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435E4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B0A69">
              <w:rPr>
                <w:b w:val="0"/>
                <w:caps w:val="0"/>
                <w:sz w:val="24"/>
              </w:rPr>
              <w:t>vasario</w:t>
            </w:r>
            <w:r w:rsidR="006A0BA0">
              <w:rPr>
                <w:b w:val="0"/>
                <w:caps w:val="0"/>
                <w:sz w:val="24"/>
              </w:rPr>
              <w:t xml:space="preserve">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0253C5">
              <w:rPr>
                <w:b w:val="0"/>
                <w:caps w:val="0"/>
                <w:sz w:val="24"/>
              </w:rPr>
              <w:t>2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253C5">
              <w:rPr>
                <w:b w:val="0"/>
                <w:caps w:val="0"/>
                <w:sz w:val="24"/>
              </w:rPr>
              <w:t>135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2B3D8E">
        <w:rPr>
          <w:i/>
        </w:rPr>
        <w:t>Plaquenil</w:t>
      </w:r>
      <w:proofErr w:type="spellEnd"/>
      <w:r w:rsidR="002B3D8E">
        <w:rPr>
          <w:i/>
        </w:rPr>
        <w:t xml:space="preserve"> 200 mg plėvele dengtos tabletės,</w:t>
      </w:r>
      <w:r w:rsidR="00BC06B4">
        <w:rPr>
          <w:i/>
        </w:rPr>
        <w:t xml:space="preserve"> </w:t>
      </w:r>
      <w:proofErr w:type="spellStart"/>
      <w:r w:rsidR="00BC06B4">
        <w:rPr>
          <w:i/>
        </w:rPr>
        <w:t>Escitalopram</w:t>
      </w:r>
      <w:proofErr w:type="spellEnd"/>
      <w:r w:rsidR="00BC06B4">
        <w:rPr>
          <w:i/>
        </w:rPr>
        <w:t xml:space="preserve"> </w:t>
      </w:r>
      <w:proofErr w:type="spellStart"/>
      <w:r w:rsidR="00BC06B4">
        <w:rPr>
          <w:i/>
        </w:rPr>
        <w:t>Actavis</w:t>
      </w:r>
      <w:proofErr w:type="spellEnd"/>
      <w:r w:rsidR="00BC06B4">
        <w:rPr>
          <w:i/>
        </w:rPr>
        <w:t xml:space="preserve"> 10 mg plėvele dengtos tabletės, </w:t>
      </w:r>
      <w:proofErr w:type="spellStart"/>
      <w:r w:rsidR="00BC06B4">
        <w:rPr>
          <w:i/>
        </w:rPr>
        <w:t>Escitalopram</w:t>
      </w:r>
      <w:proofErr w:type="spellEnd"/>
      <w:r w:rsidR="00BC06B4">
        <w:rPr>
          <w:i/>
        </w:rPr>
        <w:t xml:space="preserve"> </w:t>
      </w:r>
      <w:proofErr w:type="spellStart"/>
      <w:r w:rsidR="00BC06B4">
        <w:rPr>
          <w:i/>
        </w:rPr>
        <w:t>Actavis</w:t>
      </w:r>
      <w:proofErr w:type="spellEnd"/>
      <w:r w:rsidR="00BC06B4">
        <w:rPr>
          <w:i/>
        </w:rPr>
        <w:t xml:space="preserve"> 20 mg plėvele dengtos tabletės</w:t>
      </w:r>
      <w:r w:rsidR="00DC409A">
        <w:rPr>
          <w:i/>
        </w:rPr>
        <w:t xml:space="preserve">, </w:t>
      </w:r>
      <w:proofErr w:type="spellStart"/>
      <w:r w:rsidR="00DC409A" w:rsidRPr="00780118">
        <w:rPr>
          <w:i/>
        </w:rPr>
        <w:t>Sertraline</w:t>
      </w:r>
      <w:proofErr w:type="spellEnd"/>
      <w:r w:rsidR="00DC409A" w:rsidRPr="00780118">
        <w:rPr>
          <w:i/>
        </w:rPr>
        <w:t xml:space="preserve"> </w:t>
      </w:r>
      <w:proofErr w:type="spellStart"/>
      <w:r w:rsidR="00DC409A" w:rsidRPr="00780118">
        <w:rPr>
          <w:i/>
        </w:rPr>
        <w:t>Teva</w:t>
      </w:r>
      <w:proofErr w:type="spellEnd"/>
      <w:r w:rsidR="00DC409A" w:rsidRPr="00780118">
        <w:rPr>
          <w:i/>
        </w:rPr>
        <w:t xml:space="preserve"> 50 mg plėvele dengtos tabletės</w:t>
      </w:r>
      <w:r w:rsidR="00DC409A">
        <w:rPr>
          <w:i/>
        </w:rPr>
        <w:t xml:space="preserve">, </w:t>
      </w:r>
      <w:proofErr w:type="spellStart"/>
      <w:r w:rsidR="00DC409A" w:rsidRPr="00780118">
        <w:rPr>
          <w:i/>
        </w:rPr>
        <w:t>Sertraline</w:t>
      </w:r>
      <w:proofErr w:type="spellEnd"/>
      <w:r w:rsidR="00DC409A" w:rsidRPr="00780118">
        <w:rPr>
          <w:i/>
        </w:rPr>
        <w:t xml:space="preserve"> </w:t>
      </w:r>
      <w:proofErr w:type="spellStart"/>
      <w:r w:rsidR="00DC409A" w:rsidRPr="00780118">
        <w:rPr>
          <w:i/>
        </w:rPr>
        <w:t>Teva</w:t>
      </w:r>
      <w:proofErr w:type="spellEnd"/>
      <w:r w:rsidR="00DC409A" w:rsidRPr="00780118">
        <w:rPr>
          <w:i/>
        </w:rPr>
        <w:t xml:space="preserve"> 100 mg plėvele dengtos tabletės</w:t>
      </w:r>
      <w:r w:rsidR="00DC409A">
        <w:rPr>
          <w:i/>
        </w:rPr>
        <w:t xml:space="preserve">, </w:t>
      </w:r>
      <w:proofErr w:type="spellStart"/>
      <w:r w:rsidR="00DC409A">
        <w:rPr>
          <w:i/>
        </w:rPr>
        <w:t>Mometasone</w:t>
      </w:r>
      <w:proofErr w:type="spellEnd"/>
      <w:r w:rsidR="00DC409A">
        <w:rPr>
          <w:i/>
        </w:rPr>
        <w:t xml:space="preserve"> </w:t>
      </w:r>
      <w:proofErr w:type="spellStart"/>
      <w:r w:rsidR="00DC409A">
        <w:rPr>
          <w:i/>
        </w:rPr>
        <w:t>Furoate</w:t>
      </w:r>
      <w:proofErr w:type="spellEnd"/>
      <w:r w:rsidR="00DC409A">
        <w:rPr>
          <w:i/>
        </w:rPr>
        <w:t xml:space="preserve"> </w:t>
      </w:r>
      <w:proofErr w:type="spellStart"/>
      <w:r w:rsidR="00DC409A">
        <w:rPr>
          <w:i/>
        </w:rPr>
        <w:t>Sandoz</w:t>
      </w:r>
      <w:proofErr w:type="spellEnd"/>
      <w:r w:rsidR="00DC409A">
        <w:rPr>
          <w:i/>
        </w:rPr>
        <w:t xml:space="preserve"> 50 </w:t>
      </w:r>
      <w:proofErr w:type="spellStart"/>
      <w:r w:rsidR="00DC409A">
        <w:rPr>
          <w:i/>
        </w:rPr>
        <w:t>mikrogramų</w:t>
      </w:r>
      <w:proofErr w:type="spellEnd"/>
      <w:r w:rsidR="00DC409A">
        <w:rPr>
          <w:i/>
        </w:rPr>
        <w:t xml:space="preserve">/dozėje nosies purškalas (suspensija), </w:t>
      </w:r>
      <w:r w:rsidR="00DC409A" w:rsidRPr="00780118">
        <w:rPr>
          <w:i/>
        </w:rPr>
        <w:t xml:space="preserve"> </w:t>
      </w:r>
      <w:proofErr w:type="spellStart"/>
      <w:r w:rsidR="00DC409A">
        <w:rPr>
          <w:i/>
        </w:rPr>
        <w:t>Daktarin</w:t>
      </w:r>
      <w:proofErr w:type="spellEnd"/>
      <w:r w:rsidR="00DC409A">
        <w:rPr>
          <w:i/>
        </w:rPr>
        <w:t xml:space="preserve"> 20 mg/g valgomasis gelis </w:t>
      </w:r>
      <w:r w:rsidR="002B3D8E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CB0A69">
        <w:rPr>
          <w:i/>
        </w:rPr>
        <w:t>Plaquenil</w:t>
      </w:r>
      <w:proofErr w:type="spellEnd"/>
      <w:r w:rsidR="00CB0A69">
        <w:rPr>
          <w:i/>
        </w:rPr>
        <w:t xml:space="preserve"> 200 mg plėvele dengtos tabletės</w:t>
      </w:r>
      <w:r w:rsidR="003B34F3" w:rsidRPr="0091068E">
        <w:t xml:space="preserve"> </w:t>
      </w:r>
      <w:r w:rsidRPr="0091068E">
        <w:t xml:space="preserve">(veiklioji medžiaga – </w:t>
      </w:r>
      <w:proofErr w:type="spellStart"/>
      <w:r w:rsidR="00CB0A69">
        <w:t>hidroksichlorokvinas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/05</w:t>
      </w:r>
      <w:r w:rsidR="00CB0A69">
        <w:t>93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r w:rsidR="00CB0A69">
        <w:t>Limedika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CB0A69">
        <w:t>Graikija</w:t>
      </w:r>
      <w:r w:rsidRPr="0091068E">
        <w:t>, klasifikacija – receptinis vaistinis preparatas, pakuotė –</w:t>
      </w:r>
      <w:r w:rsidR="00E44770">
        <w:t xml:space="preserve"> </w:t>
      </w:r>
      <w:r w:rsidR="00CB0A69">
        <w:t>lizdinė plokštelė,</w:t>
      </w:r>
      <w:r w:rsidR="00BC0B0C">
        <w:t xml:space="preserve"> </w:t>
      </w:r>
      <w:r w:rsidR="00A86021">
        <w:t>N</w:t>
      </w:r>
      <w:r w:rsidR="00CB0A69">
        <w:t>30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CB0A69">
        <w:t>Plaquenil</w:t>
      </w:r>
      <w:proofErr w:type="spellEnd"/>
      <w:r w:rsidR="00CB0A69">
        <w:t xml:space="preserve"> 200 mg plėvele dengtos tabletės</w:t>
      </w:r>
      <w:r w:rsidRPr="0091068E">
        <w:t xml:space="preserve">, referencinio vaistinio preparato registracijos pažymėjimo numeris – </w:t>
      </w:r>
      <w:r w:rsidR="00454B33">
        <w:t>LT/1/</w:t>
      </w:r>
      <w:r w:rsidR="00BC0B0C">
        <w:t>9</w:t>
      </w:r>
      <w:r w:rsidR="00CB0A69">
        <w:t>7</w:t>
      </w:r>
      <w:r w:rsidR="001D6643">
        <w:t>/</w:t>
      </w:r>
      <w:r w:rsidR="00CB0A69">
        <w:t>3266</w:t>
      </w:r>
      <w:r w:rsidR="001D6643">
        <w:t>/00</w:t>
      </w:r>
      <w:r w:rsidR="00CB0A69">
        <w:t>1</w:t>
      </w:r>
      <w:r w:rsidRPr="0072470C">
        <w:t>,</w:t>
      </w:r>
      <w:r w:rsidRPr="0091068E">
        <w:t xml:space="preserve"> referencinio vaistinio preparato registruotojas – </w:t>
      </w:r>
      <w:r w:rsidR="00BC0B0C">
        <w:t>UAB „</w:t>
      </w:r>
      <w:r w:rsidR="00CB0A69">
        <w:t xml:space="preserve">SANOFI-AVENTIS </w:t>
      </w:r>
      <w:r w:rsidR="00BC0B0C">
        <w:t xml:space="preserve"> </w:t>
      </w:r>
      <w:r w:rsidR="00CB0A69">
        <w:t>LIETUVA</w:t>
      </w:r>
      <w:r w:rsidR="00BC0B0C">
        <w:t>“, Lietuva</w:t>
      </w:r>
      <w:r w:rsidRPr="0091068E">
        <w:t>)</w:t>
      </w:r>
      <w:r w:rsidR="002024F6">
        <w:t>;</w:t>
      </w:r>
    </w:p>
    <w:p w:rsidR="002B3D8E" w:rsidRDefault="002B3D8E" w:rsidP="002B3D8E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plėvele dengtos tabletės</w:t>
      </w:r>
      <w:r w:rsidRPr="0091068E">
        <w:t xml:space="preserve"> (veiklioji medžiaga – </w:t>
      </w:r>
      <w:proofErr w:type="spellStart"/>
      <w:r>
        <w:t>escitalopramas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94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plėvele dengtos tabletės</w:t>
      </w:r>
      <w:r w:rsidRPr="0091068E">
        <w:t xml:space="preserve">, referencinio vaistinio preparato registracijos pažymėjimo numeris – </w:t>
      </w:r>
      <w:r>
        <w:t>LT/1/09/1815/015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, Islandija</w:t>
      </w:r>
      <w:r w:rsidRPr="0091068E">
        <w:t>)</w:t>
      </w:r>
      <w:r>
        <w:t>;</w:t>
      </w:r>
    </w:p>
    <w:p w:rsidR="00AE56B9" w:rsidRDefault="00AE56B9" w:rsidP="00AE56B9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 plėvele dengtos tabletės</w:t>
      </w:r>
      <w:r w:rsidRPr="0091068E">
        <w:t xml:space="preserve"> (veiklioji medžiaga – </w:t>
      </w:r>
      <w:proofErr w:type="spellStart"/>
      <w:r>
        <w:t>escitalopramas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94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 plėvele dengtos tabletės</w:t>
      </w:r>
      <w:r w:rsidRPr="0091068E">
        <w:t xml:space="preserve">, referencinio vaistinio preparato registracijos pažymėjimo numeris – </w:t>
      </w:r>
      <w:r>
        <w:t>LT/1/09/1815/038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, Islandija</w:t>
      </w:r>
      <w:r w:rsidRPr="0091068E">
        <w:t>)</w:t>
      </w:r>
      <w:r>
        <w:t>;</w:t>
      </w:r>
    </w:p>
    <w:p w:rsidR="0076732D" w:rsidRDefault="0076732D" w:rsidP="0076732D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 w:rsidRPr="00780118">
        <w:rPr>
          <w:i/>
        </w:rPr>
        <w:t>Sertraline</w:t>
      </w:r>
      <w:proofErr w:type="spellEnd"/>
      <w:r w:rsidRPr="00780118">
        <w:rPr>
          <w:i/>
        </w:rPr>
        <w:t xml:space="preserve"> </w:t>
      </w:r>
      <w:proofErr w:type="spellStart"/>
      <w:r w:rsidRPr="00780118">
        <w:rPr>
          <w:i/>
        </w:rPr>
        <w:t>Teva</w:t>
      </w:r>
      <w:proofErr w:type="spellEnd"/>
      <w:r w:rsidRPr="00780118">
        <w:rPr>
          <w:i/>
        </w:rPr>
        <w:t xml:space="preserve"> 50 mg plėvele dengtos tabletės</w:t>
      </w:r>
      <w:r w:rsidRPr="0091068E">
        <w:t xml:space="preserve"> (veiklioji medžiaga – </w:t>
      </w:r>
      <w:proofErr w:type="spellStart"/>
      <w:r>
        <w:t>sertralinas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95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</w:t>
      </w:r>
      <w:r w:rsidRPr="0091068E">
        <w:lastRenderedPageBreak/>
        <w:t xml:space="preserve">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Sertraline-Teva</w:t>
      </w:r>
      <w:proofErr w:type="spellEnd"/>
      <w:r>
        <w:t xml:space="preserve"> 50 mg plėvele dengtos tabletės</w:t>
      </w:r>
      <w:r w:rsidRPr="0091068E">
        <w:t xml:space="preserve">, referencinio vaistinio preparato registracijos pažymėjimo numeris – </w:t>
      </w:r>
      <w:r>
        <w:t>LT/1/06/0603/005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2934ED" w:rsidRDefault="002934ED" w:rsidP="002934ED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 w:rsidRPr="00780118">
        <w:rPr>
          <w:i/>
        </w:rPr>
        <w:t>Sertraline</w:t>
      </w:r>
      <w:proofErr w:type="spellEnd"/>
      <w:r w:rsidRPr="00780118">
        <w:rPr>
          <w:i/>
        </w:rPr>
        <w:t xml:space="preserve"> </w:t>
      </w:r>
      <w:proofErr w:type="spellStart"/>
      <w:r w:rsidRPr="00780118">
        <w:rPr>
          <w:i/>
        </w:rPr>
        <w:t>Teva</w:t>
      </w:r>
      <w:proofErr w:type="spellEnd"/>
      <w:r w:rsidRPr="00780118">
        <w:rPr>
          <w:i/>
        </w:rPr>
        <w:t xml:space="preserve"> 100 mg plėvele dengtos tabletės</w:t>
      </w:r>
      <w:r w:rsidRPr="0091068E">
        <w:t xml:space="preserve"> (veiklioji medžiaga – </w:t>
      </w:r>
      <w:proofErr w:type="spellStart"/>
      <w:r>
        <w:t>sertralinas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95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Sertralin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100 mg plėvele dengtos tabletės</w:t>
      </w:r>
      <w:r w:rsidRPr="0091068E">
        <w:t xml:space="preserve">, referencinio vaistinio preparato registracijos pažymėjimo numeris – </w:t>
      </w:r>
      <w:r>
        <w:t>LT/1/05/0439/011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</w:t>
      </w:r>
      <w:proofErr w:type="spellStart"/>
      <w:r>
        <w:t>Nordis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E36BFB" w:rsidRDefault="00E36BFB" w:rsidP="00E36BFB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Mometasone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Furoate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Sandoz</w:t>
      </w:r>
      <w:proofErr w:type="spellEnd"/>
      <w:r>
        <w:rPr>
          <w:i/>
        </w:rPr>
        <w:t xml:space="preserve"> 50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>/dozėje nosies purškalas (suspensija)</w:t>
      </w:r>
      <w:r w:rsidRPr="00780118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96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Nasonex</w:t>
      </w:r>
      <w:proofErr w:type="spellEnd"/>
      <w:r>
        <w:t xml:space="preserve"> 50 </w:t>
      </w:r>
      <w:proofErr w:type="spellStart"/>
      <w:r>
        <w:t>mikrogramų</w:t>
      </w:r>
      <w:proofErr w:type="spellEnd"/>
      <w:r>
        <w:t>/ dozėje nosies purškalas (suspensija)</w:t>
      </w:r>
      <w:r w:rsidRPr="0091068E">
        <w:t xml:space="preserve">, referencinio vaistinio preparato registracijos pažymėjimo numeris – </w:t>
      </w:r>
      <w:r>
        <w:t>LT/1/97/1731/001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E36BFB" w:rsidRDefault="00E36BFB" w:rsidP="00E36BFB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Daktarin</w:t>
      </w:r>
      <w:proofErr w:type="spellEnd"/>
      <w:r>
        <w:rPr>
          <w:i/>
        </w:rPr>
        <w:t xml:space="preserve"> 20 mg/g valgomasis gelis</w:t>
      </w:r>
      <w:r w:rsidRPr="00780118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mikonazolas</w:t>
      </w:r>
      <w:proofErr w:type="spellEnd"/>
      <w:r w:rsidRPr="0091068E">
        <w:t xml:space="preserve">, lygiagretaus importo leidimo numeris – </w:t>
      </w:r>
      <w:r w:rsidRPr="00454B33">
        <w:t>LT/L/1</w:t>
      </w:r>
      <w:r>
        <w:t>8</w:t>
      </w:r>
      <w:r w:rsidRPr="00454B33">
        <w:t>/05</w:t>
      </w:r>
      <w:r>
        <w:t>97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BB1551">
        <w:t>MedLinija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 w:rsidR="00BB1551">
        <w:t>Ispanija</w:t>
      </w:r>
      <w:r w:rsidRPr="0091068E">
        <w:t>, klasifikacija – receptinis vaistinis preparatas, pakuotė –</w:t>
      </w:r>
      <w:r>
        <w:t xml:space="preserve"> </w:t>
      </w:r>
      <w:r w:rsidR="00BB1551">
        <w:t>tūbelė</w:t>
      </w:r>
      <w:r>
        <w:t>, N1,</w:t>
      </w:r>
      <w:r w:rsidRPr="0091068E">
        <w:t xml:space="preserve"> referencinio vaistinio preparato pavadinimas – </w:t>
      </w:r>
      <w:proofErr w:type="spellStart"/>
      <w:r w:rsidR="00BB1551">
        <w:t>Daktarin</w:t>
      </w:r>
      <w:proofErr w:type="spellEnd"/>
      <w:r w:rsidR="00BB1551">
        <w:t xml:space="preserve"> 20 mg/g valgomasis gelis</w:t>
      </w:r>
      <w:r w:rsidRPr="0091068E">
        <w:t xml:space="preserve">, referencinio vaistinio preparato registracijos pažymėjimo numeris – </w:t>
      </w:r>
      <w:r>
        <w:t>LT/1/97/</w:t>
      </w:r>
      <w:r w:rsidR="00BB1551">
        <w:t>2125</w:t>
      </w:r>
      <w:r>
        <w:t>/00</w:t>
      </w:r>
      <w:r w:rsidR="00BB1551">
        <w:t>2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r w:rsidR="00BB1551">
        <w:t>UAB „JOHNSON &amp; JOHNSON“, Lietuva</w:t>
      </w:r>
      <w:r w:rsidRPr="0091068E">
        <w:t>)</w:t>
      </w:r>
      <w:r w:rsidR="00DC409A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814"/>
      </w:tblGrid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2F5C5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09A" w:rsidRPr="002F5C56" w:rsidRDefault="00DC409A" w:rsidP="002F5C56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pavaduotojas</w:t>
            </w:r>
            <w:proofErr w:type="spellEnd"/>
            <w:r w:rsidRPr="002F5C56">
              <w:rPr>
                <w:lang w:val="en-US"/>
              </w:rPr>
              <w:t xml:space="preserve">,                                                                                 </w:t>
            </w:r>
          </w:p>
          <w:p w:rsidR="00DC409A" w:rsidRPr="002F5C56" w:rsidRDefault="00DC409A" w:rsidP="002F5C56">
            <w:pPr>
              <w:ind w:left="-105"/>
              <w:jc w:val="both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laikinai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vykdantis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funkcijas</w:t>
            </w:r>
            <w:proofErr w:type="spellEnd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09A" w:rsidRPr="002F5C56" w:rsidRDefault="00DC409A" w:rsidP="002F5C56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 w:rsidRPr="002F5C56">
              <w:rPr>
                <w:lang w:val="en-US"/>
              </w:rPr>
              <w:t>Žydrūnas Martinėnas</w:t>
            </w:r>
          </w:p>
        </w:tc>
      </w:tr>
      <w:tr w:rsidR="00DC409A" w:rsidRPr="002F5C56" w:rsidTr="002F5C5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084800" w:rsidRDefault="00084800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4205C9" w:rsidRDefault="004205C9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5648FA" w:rsidRDefault="005648F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DC409A">
        <w:rPr>
          <w:sz w:val="18"/>
          <w:szCs w:val="18"/>
        </w:rPr>
        <w:t>2</w:t>
      </w:r>
      <w:r>
        <w:rPr>
          <w:sz w:val="18"/>
          <w:szCs w:val="18"/>
        </w:rPr>
        <w:t>-</w:t>
      </w:r>
      <w:r w:rsidR="00DC409A">
        <w:rPr>
          <w:sz w:val="18"/>
          <w:szCs w:val="18"/>
        </w:rPr>
        <w:t>01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3D" w:rsidRDefault="00D2293D">
      <w:r>
        <w:separator/>
      </w:r>
    </w:p>
  </w:endnote>
  <w:endnote w:type="continuationSeparator" w:id="0">
    <w:p w:rsidR="00D2293D" w:rsidRDefault="00D2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3D" w:rsidRDefault="00D2293D">
      <w:r>
        <w:separator/>
      </w:r>
    </w:p>
  </w:footnote>
  <w:footnote w:type="continuationSeparator" w:id="0">
    <w:p w:rsidR="00D2293D" w:rsidRDefault="00D2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53C5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34E4"/>
    <w:rsid w:val="00084800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44F8"/>
    <w:rsid w:val="002A4DFF"/>
    <w:rsid w:val="002A619F"/>
    <w:rsid w:val="002B142A"/>
    <w:rsid w:val="002B23CD"/>
    <w:rsid w:val="002B30FF"/>
    <w:rsid w:val="002B3D8E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5E4B"/>
    <w:rsid w:val="00436DC8"/>
    <w:rsid w:val="00440BE1"/>
    <w:rsid w:val="004417C0"/>
    <w:rsid w:val="004420E4"/>
    <w:rsid w:val="00442E55"/>
    <w:rsid w:val="00443C8E"/>
    <w:rsid w:val="004464D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0A3E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8FA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1F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A6220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214B"/>
    <w:rsid w:val="00A03A7D"/>
    <w:rsid w:val="00A03AAC"/>
    <w:rsid w:val="00A03D4E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79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309D9"/>
    <w:rsid w:val="00C33BEE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268F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93D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280"/>
    <w:rsid w:val="00D70D76"/>
    <w:rsid w:val="00D71C76"/>
    <w:rsid w:val="00D73178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47F0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3457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820F54-68B4-4BD2-9A5E-40BFFEA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DF418-6ADC-446D-8534-D1972CC3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5271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2018-02-06T11:33:00Z</dcterms:created>
  <dcterms:modified xsi:type="dcterms:W3CDTF">2018-02-06T11:33:00Z</dcterms:modified>
</cp:coreProperties>
</file>