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Antrat2"/>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465809">
              <w:rPr>
                <w:sz w:val="24"/>
              </w:rPr>
              <w:t>Ų</w:t>
            </w:r>
            <w:r w:rsidR="00ED0AE3" w:rsidRPr="006F4232">
              <w:rPr>
                <w:sz w:val="24"/>
              </w:rPr>
              <w:t xml:space="preserve"> </w:t>
            </w:r>
            <w:r w:rsidRPr="006F4232">
              <w:rPr>
                <w:sz w:val="24"/>
              </w:rPr>
              <w:t>vaistini</w:t>
            </w:r>
            <w:r w:rsidR="00465809">
              <w:rPr>
                <w:sz w:val="24"/>
              </w:rPr>
              <w:t>Ų</w:t>
            </w:r>
            <w:r w:rsidRPr="006F4232">
              <w:rPr>
                <w:sz w:val="24"/>
              </w:rPr>
              <w:t xml:space="preserve"> preparat</w:t>
            </w:r>
            <w:r w:rsidR="00465809">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Default="006C743A" w:rsidP="0034448B">
            <w:pPr>
              <w:pStyle w:val="Antrat2"/>
              <w:rPr>
                <w:sz w:val="24"/>
              </w:rPr>
            </w:pPr>
          </w:p>
          <w:p w:rsidR="0000167F" w:rsidRPr="0000167F" w:rsidRDefault="0000167F" w:rsidP="0000167F"/>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B07DFC">
            <w:pPr>
              <w:pStyle w:val="Antrat2"/>
              <w:tabs>
                <w:tab w:val="center" w:pos="3402"/>
              </w:tabs>
              <w:rPr>
                <w:b w:val="0"/>
                <w:caps w:val="0"/>
                <w:sz w:val="24"/>
              </w:rPr>
            </w:pPr>
            <w:r>
              <w:rPr>
                <w:b w:val="0"/>
                <w:caps w:val="0"/>
                <w:sz w:val="24"/>
              </w:rPr>
              <w:t>20</w:t>
            </w:r>
            <w:r w:rsidR="00E86FC5">
              <w:rPr>
                <w:b w:val="0"/>
                <w:caps w:val="0"/>
                <w:sz w:val="24"/>
              </w:rPr>
              <w:t>21</w:t>
            </w:r>
            <w:r>
              <w:rPr>
                <w:b w:val="0"/>
                <w:caps w:val="0"/>
                <w:sz w:val="24"/>
              </w:rPr>
              <w:t xml:space="preserve"> m. </w:t>
            </w:r>
            <w:r w:rsidR="00AB5D24">
              <w:rPr>
                <w:b w:val="0"/>
                <w:caps w:val="0"/>
                <w:sz w:val="24"/>
              </w:rPr>
              <w:t>gegužės 7</w:t>
            </w:r>
            <w:r w:rsidR="00D8756F">
              <w:rPr>
                <w:b w:val="0"/>
                <w:caps w:val="0"/>
                <w:sz w:val="24"/>
              </w:rPr>
              <w:t xml:space="preserve"> </w:t>
            </w:r>
            <w:r w:rsidR="002F50AA" w:rsidRPr="00726933">
              <w:rPr>
                <w:b w:val="0"/>
                <w:caps w:val="0"/>
                <w:sz w:val="24"/>
              </w:rPr>
              <w:t>d.</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w:t>
            </w:r>
            <w:r w:rsidR="00E86FC5">
              <w:rPr>
                <w:b w:val="0"/>
                <w:caps w:val="0"/>
                <w:sz w:val="24"/>
              </w:rPr>
              <w:t>E</w:t>
            </w:r>
            <w:r w:rsidR="00707F54" w:rsidRPr="00726933">
              <w:rPr>
                <w:b w:val="0"/>
                <w:caps w:val="0"/>
                <w:sz w:val="24"/>
              </w:rPr>
              <w:t>)1A-</w:t>
            </w:r>
            <w:r w:rsidR="00AB5D24">
              <w:rPr>
                <w:b w:val="0"/>
                <w:caps w:val="0"/>
                <w:sz w:val="24"/>
              </w:rPr>
              <w:t xml:space="preserve"> 530</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p>
        </w:tc>
      </w:tr>
    </w:tbl>
    <w:p w:rsidR="002013EA" w:rsidRPr="00663F48" w:rsidRDefault="00800202" w:rsidP="00C220BE">
      <w:pPr>
        <w:ind w:left="-142" w:right="-143"/>
        <w:jc w:val="both"/>
      </w:pPr>
      <w:r w:rsidRPr="00726933">
        <w:t xml:space="preserve">           </w:t>
      </w:r>
      <w:r w:rsidR="004057EC" w:rsidRPr="00663F48">
        <w:t>Vadovaudamasis Lietuvos Respublikos farmacijos įstaty</w:t>
      </w:r>
      <w:r w:rsidR="00DC7F4A" w:rsidRPr="00663F48">
        <w:t xml:space="preserve">mo </w:t>
      </w:r>
      <w:r w:rsidR="00AF052D" w:rsidRPr="00663F48">
        <w:t>17</w:t>
      </w:r>
      <w:r w:rsidR="00F17BA0" w:rsidRPr="00663F48">
        <w:t> </w:t>
      </w:r>
      <w:r w:rsidR="004057EC" w:rsidRPr="00663F48">
        <w:t>straipsnio 2 dalimi ir ats</w:t>
      </w:r>
      <w:r w:rsidR="004F7D42" w:rsidRPr="00663F48">
        <w:t>ižvelgdamas į tai, kad vaistini</w:t>
      </w:r>
      <w:r w:rsidR="009270EA" w:rsidRPr="00663F48">
        <w:t>ų</w:t>
      </w:r>
      <w:r w:rsidR="004057EC" w:rsidRPr="00663F48">
        <w:t xml:space="preserve"> </w:t>
      </w:r>
      <w:r w:rsidR="004F7D42" w:rsidRPr="00663F48">
        <w:t>preparat</w:t>
      </w:r>
      <w:r w:rsidR="009270EA" w:rsidRPr="00663F48">
        <w:t>ų</w:t>
      </w:r>
      <w:r w:rsidR="00901AAB" w:rsidRPr="00663F48">
        <w:t xml:space="preserve"> </w:t>
      </w:r>
      <w:proofErr w:type="spellStart"/>
      <w:r w:rsidR="00C92DC6" w:rsidRPr="00C92DC6">
        <w:rPr>
          <w:i/>
          <w:color w:val="000000"/>
        </w:rPr>
        <w:t>Valsartan</w:t>
      </w:r>
      <w:proofErr w:type="spellEnd"/>
      <w:r w:rsidR="00C92DC6" w:rsidRPr="00C92DC6">
        <w:rPr>
          <w:i/>
          <w:color w:val="000000"/>
        </w:rPr>
        <w:t xml:space="preserve">/HCT BIJON 80/12,5 mg plėvele dengtos tabletės, </w:t>
      </w:r>
      <w:proofErr w:type="spellStart"/>
      <w:r w:rsidR="00C92DC6" w:rsidRPr="00C92DC6">
        <w:rPr>
          <w:i/>
          <w:color w:val="000000"/>
        </w:rPr>
        <w:t>Valsartan</w:t>
      </w:r>
      <w:proofErr w:type="spellEnd"/>
      <w:r w:rsidR="00C92DC6" w:rsidRPr="00C92DC6">
        <w:rPr>
          <w:i/>
          <w:color w:val="000000"/>
        </w:rPr>
        <w:t xml:space="preserve">/HCT BIJON 160/12,5 mg plėvele dengtos tabletės, </w:t>
      </w:r>
      <w:proofErr w:type="spellStart"/>
      <w:r w:rsidR="00C92DC6" w:rsidRPr="00C92DC6">
        <w:rPr>
          <w:i/>
          <w:color w:val="000000"/>
        </w:rPr>
        <w:t>Valsartan</w:t>
      </w:r>
      <w:proofErr w:type="spellEnd"/>
      <w:r w:rsidR="00C92DC6" w:rsidRPr="00C92DC6">
        <w:rPr>
          <w:i/>
          <w:color w:val="000000"/>
        </w:rPr>
        <w:t>/HCT BIJON 160/25 mg plėvele dengtos tabletės</w:t>
      </w:r>
      <w:r w:rsidR="00663F48" w:rsidRPr="00663F48">
        <w:t xml:space="preserve"> </w:t>
      </w:r>
      <w:r w:rsidR="00C505E6" w:rsidRPr="00663F48">
        <w:t>kartu su paraišk</w:t>
      </w:r>
      <w:r w:rsidR="005055FA" w:rsidRPr="00663F48">
        <w:t>a</w:t>
      </w:r>
      <w:r w:rsidR="00C505E6" w:rsidRPr="00663F48">
        <w:t xml:space="preserve"> regis</w:t>
      </w:r>
      <w:r w:rsidR="0073657A" w:rsidRPr="00663F48">
        <w:t>truoti lygiagrečiai imp</w:t>
      </w:r>
      <w:r w:rsidR="005055FA" w:rsidRPr="00663F48">
        <w:t>ortuojamą vaistinį preparatą</w:t>
      </w:r>
      <w:r w:rsidR="00040E08" w:rsidRPr="00663F48">
        <w:t xml:space="preserve"> </w:t>
      </w:r>
      <w:r w:rsidR="00C505E6" w:rsidRPr="00663F48">
        <w:t>pateikti dokumentai atitinka teisės aktų nustat</w:t>
      </w:r>
      <w:bookmarkStart w:id="0" w:name="_GoBack"/>
      <w:bookmarkEnd w:id="0"/>
      <w:r w:rsidR="00C505E6" w:rsidRPr="00663F48">
        <w:t>ytus reikalavimus</w:t>
      </w:r>
      <w:r w:rsidR="002013EA" w:rsidRPr="00663F48">
        <w:t>:</w:t>
      </w:r>
    </w:p>
    <w:p w:rsidR="00663F48" w:rsidRPr="00663F48" w:rsidRDefault="00B06A55" w:rsidP="00663F48">
      <w:pPr>
        <w:pStyle w:val="Sraopastraipa"/>
        <w:numPr>
          <w:ilvl w:val="0"/>
          <w:numId w:val="8"/>
        </w:numPr>
        <w:ind w:left="851" w:right="-143" w:hanging="284"/>
        <w:jc w:val="both"/>
      </w:pPr>
      <w:r w:rsidRPr="00663F48">
        <w:t>R e g i s t r u o j u</w:t>
      </w:r>
      <w:r w:rsidR="003C51F5" w:rsidRPr="00663F48">
        <w:t>:</w:t>
      </w:r>
    </w:p>
    <w:p w:rsidR="00663F48" w:rsidRPr="00663F48" w:rsidRDefault="00663F48" w:rsidP="00663F48">
      <w:pPr>
        <w:pStyle w:val="Sraopastraipa"/>
        <w:numPr>
          <w:ilvl w:val="1"/>
          <w:numId w:val="13"/>
        </w:numPr>
        <w:ind w:left="-142" w:right="-143" w:firstLine="709"/>
        <w:jc w:val="both"/>
      </w:pPr>
      <w:r w:rsidRPr="00663F48">
        <w:t xml:space="preserve">lygiagrečiai importuojamą vaistinį preparatą </w:t>
      </w:r>
      <w:proofErr w:type="spellStart"/>
      <w:r w:rsidR="00C92DC6" w:rsidRPr="00C92DC6">
        <w:rPr>
          <w:i/>
          <w:color w:val="000000"/>
        </w:rPr>
        <w:t>Valsartan</w:t>
      </w:r>
      <w:proofErr w:type="spellEnd"/>
      <w:r w:rsidR="00C92DC6" w:rsidRPr="00C92DC6">
        <w:rPr>
          <w:i/>
          <w:color w:val="000000"/>
        </w:rPr>
        <w:t>/HCT BIJON 80/12,5 mg plėvele dengtos tabletės</w:t>
      </w:r>
      <w:r w:rsidRPr="00663F48">
        <w:rPr>
          <w:i/>
        </w:rPr>
        <w:t xml:space="preserve"> </w:t>
      </w:r>
      <w:r w:rsidRPr="00663F48">
        <w:t xml:space="preserve">(veiklioji medžiaga – </w:t>
      </w:r>
      <w:proofErr w:type="spellStart"/>
      <w:r w:rsidR="00C92DC6">
        <w:t>valsartanas</w:t>
      </w:r>
      <w:proofErr w:type="spellEnd"/>
      <w:r w:rsidR="00C92DC6">
        <w:t xml:space="preserve"> / </w:t>
      </w:r>
      <w:proofErr w:type="spellStart"/>
      <w:r w:rsidR="00C92DC6">
        <w:t>h</w:t>
      </w:r>
      <w:r w:rsidR="00C92DC6" w:rsidRPr="00A30325">
        <w:t>idrochlorotiazidas</w:t>
      </w:r>
      <w:proofErr w:type="spellEnd"/>
      <w:r w:rsidRPr="00663F48">
        <w:t xml:space="preserve">, lygiagretaus importo leidimo numeris – </w:t>
      </w:r>
      <w:r w:rsidR="00152F0D">
        <w:t>LT/L/21/1520</w:t>
      </w:r>
      <w:r w:rsidRPr="00663F48">
        <w:t>/001, lygiagretaus importo leidimo turėtojas – UAB „</w:t>
      </w:r>
      <w:r w:rsidR="00C92DC6" w:rsidRPr="009E1324">
        <w:t xml:space="preserve">BIJON </w:t>
      </w:r>
      <w:proofErr w:type="spellStart"/>
      <w:r w:rsidR="00C92DC6" w:rsidRPr="009E1324">
        <w:t>medica</w:t>
      </w:r>
      <w:proofErr w:type="spellEnd"/>
      <w:r w:rsidRPr="00663F48">
        <w:t>“, Lietuva, paraiškos numeris –</w:t>
      </w:r>
      <w:r w:rsidR="00C92DC6">
        <w:t xml:space="preserve"> 2008955</w:t>
      </w:r>
      <w:r w:rsidRPr="00663F48">
        <w:t>, ek</w:t>
      </w:r>
      <w:r w:rsidR="00C92DC6">
        <w:t>sportuojanti valstybė – Švedija</w:t>
      </w:r>
      <w:r w:rsidRPr="00663F48">
        <w:t>, klasifikacija – receptinis vaistinis pre</w:t>
      </w:r>
      <w:r w:rsidR="00C92DC6">
        <w:t>paratas, pakuotė – lizdinė plokštelė, N</w:t>
      </w:r>
      <w:r w:rsidR="00C92DC6">
        <w:rPr>
          <w:lang w:val="en-US"/>
        </w:rPr>
        <w:t>28</w:t>
      </w:r>
      <w:r w:rsidRPr="00663F48">
        <w:t xml:space="preserve">, referencinio vaistinio preparato pavadinimas – </w:t>
      </w:r>
      <w:proofErr w:type="spellStart"/>
      <w:r w:rsidR="00C92DC6" w:rsidRPr="00A30325">
        <w:rPr>
          <w:color w:val="000000"/>
        </w:rPr>
        <w:t>Tensart</w:t>
      </w:r>
      <w:proofErr w:type="spellEnd"/>
      <w:r w:rsidR="00C92DC6" w:rsidRPr="00A30325">
        <w:rPr>
          <w:color w:val="000000"/>
        </w:rPr>
        <w:t xml:space="preserve"> HCT 80/12,5 mg plėvele dengtos tabletės</w:t>
      </w:r>
      <w:r w:rsidRPr="00663F48">
        <w:t xml:space="preserve">, referencinio vaistinio preparato registracijos pažymėjimo numeris – </w:t>
      </w:r>
      <w:r w:rsidR="00C92DC6" w:rsidRPr="00A30325">
        <w:t>LT/1/09/1487/003</w:t>
      </w:r>
      <w:r w:rsidRPr="00663F48">
        <w:t xml:space="preserve">, referencinio vaistinio preparato registruotojas – </w:t>
      </w:r>
      <w:proofErr w:type="spellStart"/>
      <w:r w:rsidR="00152F0D" w:rsidRPr="00A30325">
        <w:t>E</w:t>
      </w:r>
      <w:r w:rsidR="00152F0D">
        <w:t>gis</w:t>
      </w:r>
      <w:proofErr w:type="spellEnd"/>
      <w:r w:rsidR="00152F0D" w:rsidRPr="00A30325">
        <w:t xml:space="preserve"> </w:t>
      </w:r>
      <w:proofErr w:type="spellStart"/>
      <w:r w:rsidR="00152F0D" w:rsidRPr="00A30325">
        <w:t>P</w:t>
      </w:r>
      <w:r w:rsidR="00152F0D">
        <w:t>harmaceuticals</w:t>
      </w:r>
      <w:proofErr w:type="spellEnd"/>
      <w:r w:rsidR="00152F0D" w:rsidRPr="00A30325">
        <w:t xml:space="preserve"> PLC</w:t>
      </w:r>
      <w:r w:rsidR="00152F0D">
        <w:t>, Vengrija</w:t>
      </w:r>
      <w:r w:rsidRPr="00663F48">
        <w:t>);</w:t>
      </w:r>
    </w:p>
    <w:p w:rsidR="00152F0D" w:rsidRPr="00663F48" w:rsidRDefault="00152F0D" w:rsidP="00152F0D">
      <w:pPr>
        <w:pStyle w:val="Sraopastraipa"/>
        <w:numPr>
          <w:ilvl w:val="1"/>
          <w:numId w:val="13"/>
        </w:numPr>
        <w:ind w:left="-142" w:right="-143" w:firstLine="709"/>
        <w:jc w:val="both"/>
      </w:pPr>
      <w:r w:rsidRPr="00663F48">
        <w:t xml:space="preserve">lygiagrečiai importuojamą vaistinį preparatą </w:t>
      </w:r>
      <w:proofErr w:type="spellStart"/>
      <w:r w:rsidRPr="00C92DC6">
        <w:rPr>
          <w:i/>
          <w:color w:val="000000"/>
        </w:rPr>
        <w:t>Valsartan</w:t>
      </w:r>
      <w:proofErr w:type="spellEnd"/>
      <w:r w:rsidRPr="00C92DC6">
        <w:rPr>
          <w:i/>
          <w:color w:val="000000"/>
        </w:rPr>
        <w:t xml:space="preserve">/HCT BIJON </w:t>
      </w:r>
      <w:r>
        <w:rPr>
          <w:i/>
          <w:color w:val="000000"/>
        </w:rPr>
        <w:t>160/12,5 </w:t>
      </w:r>
      <w:r w:rsidRPr="00C92DC6">
        <w:rPr>
          <w:i/>
          <w:color w:val="000000"/>
        </w:rPr>
        <w:t>mg plėvele dengtos tabletės</w:t>
      </w:r>
      <w:r w:rsidRPr="00663F48">
        <w:rPr>
          <w:i/>
        </w:rPr>
        <w:t xml:space="preserve"> </w:t>
      </w:r>
      <w:r w:rsidRPr="00663F48">
        <w:t xml:space="preserve">(veiklioji medžiaga – </w:t>
      </w:r>
      <w:proofErr w:type="spellStart"/>
      <w:r>
        <w:t>valsartanas</w:t>
      </w:r>
      <w:proofErr w:type="spellEnd"/>
      <w:r>
        <w:t xml:space="preserve"> / </w:t>
      </w:r>
      <w:proofErr w:type="spellStart"/>
      <w:r>
        <w:t>h</w:t>
      </w:r>
      <w:r w:rsidRPr="00A30325">
        <w:t>idrochlorotiazidas</w:t>
      </w:r>
      <w:proofErr w:type="spellEnd"/>
      <w:r w:rsidRPr="00663F48">
        <w:t>, lygiagretaus import</w:t>
      </w:r>
      <w:r>
        <w:t>o leidimo numeris – LT/L/21/1521</w:t>
      </w:r>
      <w:r w:rsidRPr="00663F48">
        <w:t>/001, lygiagretaus importo leidimo turėtojas – UAB „</w:t>
      </w:r>
      <w:r w:rsidRPr="009E1324">
        <w:t xml:space="preserve">BIJON </w:t>
      </w:r>
      <w:proofErr w:type="spellStart"/>
      <w:r w:rsidRPr="009E1324">
        <w:t>medica</w:t>
      </w:r>
      <w:proofErr w:type="spellEnd"/>
      <w:r w:rsidRPr="00663F48">
        <w:t>“, Lietuva, paraiškos numeris –</w:t>
      </w:r>
      <w:r>
        <w:t xml:space="preserve"> 200895</w:t>
      </w:r>
      <w:r>
        <w:rPr>
          <w:lang w:val="en-US"/>
        </w:rPr>
        <w:t>7</w:t>
      </w:r>
      <w:r w:rsidRPr="00663F48">
        <w:t>, ek</w:t>
      </w:r>
      <w:r>
        <w:t>sportuojanti valstybė – Švedija</w:t>
      </w:r>
      <w:r w:rsidRPr="00663F48">
        <w:t>, klasifikacija – receptinis vaistinis pre</w:t>
      </w:r>
      <w:r>
        <w:t>paratas, pakuotė – lizdinė plokštelė, N</w:t>
      </w:r>
      <w:r>
        <w:rPr>
          <w:lang w:val="en-US"/>
        </w:rPr>
        <w:t>28</w:t>
      </w:r>
      <w:r w:rsidRPr="00663F48">
        <w:t xml:space="preserve">, referencinio vaistinio preparato pavadinimas – </w:t>
      </w:r>
      <w:proofErr w:type="spellStart"/>
      <w:r w:rsidRPr="00A30325">
        <w:rPr>
          <w:color w:val="000000"/>
        </w:rPr>
        <w:t>Tensart</w:t>
      </w:r>
      <w:proofErr w:type="spellEnd"/>
      <w:r w:rsidRPr="00A30325">
        <w:rPr>
          <w:color w:val="000000"/>
        </w:rPr>
        <w:t xml:space="preserve"> HCT </w:t>
      </w:r>
      <w:r w:rsidRPr="00A30325">
        <w:t xml:space="preserve">160/12,5 mg </w:t>
      </w:r>
      <w:r w:rsidRPr="00A30325">
        <w:rPr>
          <w:color w:val="000000"/>
        </w:rPr>
        <w:t>plėvele dengtos tabletės</w:t>
      </w:r>
      <w:r w:rsidRPr="00663F48">
        <w:t xml:space="preserve">, referencinio vaistinio preparato registracijos pažymėjimo numeris – </w:t>
      </w:r>
      <w:r>
        <w:t>LT/1/09/1487/017</w:t>
      </w:r>
      <w:r w:rsidRPr="00663F48">
        <w:t xml:space="preserve">, referencinio vaistinio preparato registruotojas – </w:t>
      </w:r>
      <w:proofErr w:type="spellStart"/>
      <w:r w:rsidRPr="00A30325">
        <w:t>E</w:t>
      </w:r>
      <w:r>
        <w:t>gis</w:t>
      </w:r>
      <w:proofErr w:type="spellEnd"/>
      <w:r w:rsidRPr="00A30325">
        <w:t xml:space="preserve"> </w:t>
      </w:r>
      <w:proofErr w:type="spellStart"/>
      <w:r w:rsidRPr="00A30325">
        <w:t>P</w:t>
      </w:r>
      <w:r>
        <w:t>harmaceuticals</w:t>
      </w:r>
      <w:proofErr w:type="spellEnd"/>
      <w:r w:rsidRPr="00A30325">
        <w:t xml:space="preserve"> PLC</w:t>
      </w:r>
      <w:r>
        <w:t>, Vengrija</w:t>
      </w:r>
      <w:r w:rsidRPr="00663F48">
        <w:t>);</w:t>
      </w:r>
    </w:p>
    <w:p w:rsidR="00663F48" w:rsidRDefault="00152F0D" w:rsidP="00152F0D">
      <w:pPr>
        <w:pStyle w:val="Sraopastraipa"/>
        <w:numPr>
          <w:ilvl w:val="1"/>
          <w:numId w:val="13"/>
        </w:numPr>
        <w:ind w:left="-142" w:right="-143" w:firstLine="709"/>
        <w:jc w:val="both"/>
      </w:pPr>
      <w:r w:rsidRPr="00663F48">
        <w:t xml:space="preserve">lygiagrečiai importuojamą vaistinį preparatą </w:t>
      </w:r>
      <w:proofErr w:type="spellStart"/>
      <w:r w:rsidRPr="00C92DC6">
        <w:rPr>
          <w:i/>
          <w:color w:val="000000"/>
        </w:rPr>
        <w:t>Valsartan</w:t>
      </w:r>
      <w:proofErr w:type="spellEnd"/>
      <w:r w:rsidRPr="00C92DC6">
        <w:rPr>
          <w:i/>
          <w:color w:val="000000"/>
        </w:rPr>
        <w:t>/HCT BIJON 160/25 mg plėvele dengtos tabletės</w:t>
      </w:r>
      <w:r w:rsidRPr="00663F48">
        <w:rPr>
          <w:i/>
        </w:rPr>
        <w:t xml:space="preserve"> </w:t>
      </w:r>
      <w:r w:rsidRPr="00663F48">
        <w:t xml:space="preserve">(veiklioji medžiaga – </w:t>
      </w:r>
      <w:proofErr w:type="spellStart"/>
      <w:r>
        <w:t>valsartanas</w:t>
      </w:r>
      <w:proofErr w:type="spellEnd"/>
      <w:r>
        <w:t xml:space="preserve"> / </w:t>
      </w:r>
      <w:proofErr w:type="spellStart"/>
      <w:r>
        <w:t>h</w:t>
      </w:r>
      <w:r w:rsidRPr="00A30325">
        <w:t>idrochlorotiazidas</w:t>
      </w:r>
      <w:proofErr w:type="spellEnd"/>
      <w:r w:rsidRPr="00663F48">
        <w:t>, lygiagretaus import</w:t>
      </w:r>
      <w:r>
        <w:t>o leidimo numeris – LT/L/21/1522</w:t>
      </w:r>
      <w:r w:rsidRPr="00663F48">
        <w:t>/001, lygiagretaus importo leidimo turėtojas – UAB „</w:t>
      </w:r>
      <w:r w:rsidRPr="009E1324">
        <w:t xml:space="preserve">BIJON </w:t>
      </w:r>
      <w:proofErr w:type="spellStart"/>
      <w:r w:rsidRPr="009E1324">
        <w:t>medica</w:t>
      </w:r>
      <w:proofErr w:type="spellEnd"/>
      <w:r w:rsidRPr="00663F48">
        <w:t xml:space="preserve">“, Lietuva, </w:t>
      </w:r>
      <w:r w:rsidRPr="00152F0D">
        <w:t>paraiškos numeris – 2009680, eksportuojanti valstybė – Švedija, klasifikacija – receptinis vaistinis preparatas, pakuotė – lizdinė plokštelė, N</w:t>
      </w:r>
      <w:r w:rsidRPr="00152F0D">
        <w:rPr>
          <w:lang w:val="en-US"/>
        </w:rPr>
        <w:t>28</w:t>
      </w:r>
      <w:r w:rsidRPr="00152F0D">
        <w:t xml:space="preserve">, referencinio vaistinio preparato pavadinimas – </w:t>
      </w:r>
      <w:proofErr w:type="spellStart"/>
      <w:r w:rsidRPr="00152F0D">
        <w:rPr>
          <w:color w:val="000000"/>
        </w:rPr>
        <w:t>Tensart</w:t>
      </w:r>
      <w:proofErr w:type="spellEnd"/>
      <w:r w:rsidRPr="00152F0D">
        <w:rPr>
          <w:color w:val="000000"/>
        </w:rPr>
        <w:t xml:space="preserve"> HCT 160/25 mg</w:t>
      </w:r>
      <w:r w:rsidRPr="00C92DC6">
        <w:rPr>
          <w:i/>
          <w:color w:val="000000"/>
        </w:rPr>
        <w:t xml:space="preserve"> </w:t>
      </w:r>
      <w:r w:rsidRPr="00A30325">
        <w:rPr>
          <w:color w:val="000000"/>
        </w:rPr>
        <w:t>plėvele dengtos tabletės</w:t>
      </w:r>
      <w:r w:rsidRPr="00663F48">
        <w:t xml:space="preserve">, referencinio vaistinio preparato registracijos pažymėjimo numeris – </w:t>
      </w:r>
      <w:r>
        <w:t>LT/1/09/1487/031</w:t>
      </w:r>
      <w:r w:rsidRPr="00663F48">
        <w:t xml:space="preserve">, referencinio vaistinio preparato registruotojas – </w:t>
      </w:r>
      <w:proofErr w:type="spellStart"/>
      <w:r w:rsidRPr="00A30325">
        <w:t>E</w:t>
      </w:r>
      <w:r>
        <w:t>gis</w:t>
      </w:r>
      <w:proofErr w:type="spellEnd"/>
      <w:r w:rsidRPr="00A30325">
        <w:t xml:space="preserve"> </w:t>
      </w:r>
      <w:proofErr w:type="spellStart"/>
      <w:r w:rsidRPr="00A30325">
        <w:t>P</w:t>
      </w:r>
      <w:r>
        <w:t>harmaceuticals</w:t>
      </w:r>
      <w:proofErr w:type="spellEnd"/>
      <w:r w:rsidRPr="00A30325">
        <w:t xml:space="preserve"> PLC</w:t>
      </w:r>
      <w:r>
        <w:t>, Vengrija).</w:t>
      </w:r>
    </w:p>
    <w:p w:rsidR="0084463B" w:rsidRDefault="0084463B" w:rsidP="0084463B">
      <w:pPr>
        <w:ind w:right="-143"/>
        <w:jc w:val="both"/>
      </w:pPr>
    </w:p>
    <w:p w:rsidR="0084463B" w:rsidRDefault="0084463B" w:rsidP="0084463B">
      <w:pPr>
        <w:ind w:right="-143"/>
        <w:jc w:val="both"/>
      </w:pPr>
    </w:p>
    <w:p w:rsidR="0084463B" w:rsidRDefault="0084463B" w:rsidP="0084463B">
      <w:pPr>
        <w:ind w:right="-143"/>
        <w:jc w:val="both"/>
      </w:pPr>
    </w:p>
    <w:p w:rsidR="0084463B" w:rsidRPr="00663F48" w:rsidRDefault="0084463B" w:rsidP="0084463B">
      <w:pPr>
        <w:ind w:right="-143"/>
        <w:jc w:val="both"/>
      </w:pPr>
    </w:p>
    <w:p w:rsidR="00846B67" w:rsidRPr="00726933" w:rsidRDefault="004B72DB" w:rsidP="00663F48">
      <w:pPr>
        <w:ind w:left="-142" w:right="-143" w:firstLine="709"/>
        <w:jc w:val="both"/>
      </w:pPr>
      <w:r w:rsidRPr="00663F48">
        <w:rPr>
          <w:bCs/>
          <w:noProof/>
        </w:rPr>
        <w:lastRenderedPageBreak/>
        <w:t>2.</w:t>
      </w:r>
      <w:r w:rsidR="002013EA" w:rsidRPr="00663F48">
        <w:t xml:space="preserve"> </w:t>
      </w:r>
      <w:r w:rsidR="004B21E8" w:rsidRPr="00663F48">
        <w:t xml:space="preserve">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w:t>
      </w:r>
      <w:r w:rsidR="004B21E8" w:rsidRPr="004B21E8">
        <w:t>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DC409A" w:rsidRPr="002F5C56" w:rsidTr="004C2596">
        <w:tc>
          <w:tcPr>
            <w:tcW w:w="9720" w:type="dxa"/>
            <w:gridSpan w:val="2"/>
            <w:tcBorders>
              <w:top w:val="nil"/>
              <w:left w:val="nil"/>
              <w:bottom w:val="nil"/>
              <w:right w:val="nil"/>
            </w:tcBorders>
            <w:shd w:val="clear" w:color="auto" w:fill="auto"/>
          </w:tcPr>
          <w:p w:rsidR="00DC409A" w:rsidRPr="002F5C56" w:rsidRDefault="00DC409A" w:rsidP="00B2721B">
            <w:pPr>
              <w:overflowPunct w:val="0"/>
              <w:ind w:left="-426" w:right="-426"/>
              <w:jc w:val="both"/>
              <w:rPr>
                <w:sz w:val="18"/>
                <w:szCs w:val="18"/>
                <w:lang w:val="en-US"/>
              </w:rPr>
            </w:pPr>
          </w:p>
        </w:tc>
      </w:tr>
      <w:tr w:rsidR="00DC409A" w:rsidRPr="002F5C56" w:rsidTr="004C2596">
        <w:tc>
          <w:tcPr>
            <w:tcW w:w="9720" w:type="dxa"/>
            <w:gridSpan w:val="2"/>
            <w:tcBorders>
              <w:top w:val="nil"/>
              <w:left w:val="nil"/>
              <w:bottom w:val="nil"/>
              <w:right w:val="nil"/>
            </w:tcBorders>
            <w:shd w:val="clear" w:color="auto" w:fill="auto"/>
          </w:tcPr>
          <w:p w:rsidR="00DC409A" w:rsidRDefault="0084463B" w:rsidP="0084463B">
            <w:pPr>
              <w:tabs>
                <w:tab w:val="left" w:pos="1770"/>
              </w:tabs>
              <w:overflowPunct w:val="0"/>
              <w:ind w:left="-426" w:right="-426"/>
              <w:jc w:val="both"/>
              <w:rPr>
                <w:sz w:val="18"/>
                <w:szCs w:val="18"/>
                <w:lang w:val="en-US"/>
              </w:rPr>
            </w:pPr>
            <w:r>
              <w:rPr>
                <w:sz w:val="18"/>
                <w:szCs w:val="18"/>
                <w:lang w:val="en-US"/>
              </w:rPr>
              <w:tab/>
            </w:r>
          </w:p>
          <w:p w:rsidR="0084463B" w:rsidRDefault="0084463B" w:rsidP="0084463B">
            <w:pPr>
              <w:tabs>
                <w:tab w:val="left" w:pos="1770"/>
              </w:tabs>
              <w:overflowPunct w:val="0"/>
              <w:ind w:left="-426" w:right="-426"/>
              <w:jc w:val="both"/>
              <w:rPr>
                <w:sz w:val="18"/>
                <w:szCs w:val="18"/>
                <w:lang w:val="en-US"/>
              </w:rPr>
            </w:pPr>
          </w:p>
          <w:p w:rsidR="00B17434" w:rsidRPr="002F5C56" w:rsidRDefault="00B17434" w:rsidP="00B2721B">
            <w:pPr>
              <w:overflowPunct w:val="0"/>
              <w:ind w:left="-426" w:right="-426"/>
              <w:jc w:val="both"/>
              <w:rPr>
                <w:sz w:val="18"/>
                <w:szCs w:val="18"/>
                <w:lang w:val="en-US"/>
              </w:rPr>
            </w:pPr>
          </w:p>
        </w:tc>
      </w:tr>
      <w:tr w:rsidR="002A2AF0" w:rsidRPr="002F5C56" w:rsidTr="004C2596">
        <w:tc>
          <w:tcPr>
            <w:tcW w:w="4114" w:type="dxa"/>
            <w:tcBorders>
              <w:top w:val="nil"/>
              <w:left w:val="nil"/>
              <w:bottom w:val="nil"/>
              <w:right w:val="nil"/>
            </w:tcBorders>
            <w:shd w:val="clear" w:color="auto" w:fill="auto"/>
            <w:hideMark/>
          </w:tcPr>
          <w:p w:rsidR="002A2AF0" w:rsidRPr="002F5C56" w:rsidRDefault="002A2AF0" w:rsidP="00374089">
            <w:pPr>
              <w:ind w:right="-426"/>
              <w:rPr>
                <w:lang w:val="en-US"/>
              </w:rPr>
            </w:pPr>
            <w:proofErr w:type="spellStart"/>
            <w:r>
              <w:rPr>
                <w:lang w:val="en-US"/>
              </w:rPr>
              <w:t>Viršininkas</w:t>
            </w:r>
            <w:proofErr w:type="spellEnd"/>
          </w:p>
        </w:tc>
        <w:tc>
          <w:tcPr>
            <w:tcW w:w="5606" w:type="dxa"/>
            <w:tcBorders>
              <w:top w:val="nil"/>
              <w:left w:val="nil"/>
              <w:bottom w:val="nil"/>
              <w:right w:val="nil"/>
            </w:tcBorders>
            <w:shd w:val="clear" w:color="auto" w:fill="auto"/>
            <w:hideMark/>
          </w:tcPr>
          <w:p w:rsidR="002A2AF0" w:rsidRPr="002F5C56" w:rsidRDefault="002427F2" w:rsidP="000838B1">
            <w:pPr>
              <w:overflowPunct w:val="0"/>
              <w:ind w:left="-426" w:right="-23"/>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B2721B">
            <w:pPr>
              <w:overflowPunct w:val="0"/>
              <w:ind w:left="-426" w:right="-426"/>
              <w:jc w:val="both"/>
              <w:rPr>
                <w:sz w:val="18"/>
                <w:szCs w:val="18"/>
                <w:lang w:val="en-US"/>
              </w:rPr>
            </w:pPr>
          </w:p>
        </w:tc>
      </w:tr>
    </w:tbl>
    <w:p w:rsidR="008C3D9A" w:rsidRDefault="008C3D9A" w:rsidP="0000167F">
      <w:pPr>
        <w:overflowPunct w:val="0"/>
        <w:ind w:right="-426"/>
        <w:jc w:val="both"/>
        <w:rPr>
          <w:sz w:val="18"/>
          <w:szCs w:val="18"/>
        </w:rPr>
      </w:pPr>
    </w:p>
    <w:p w:rsidR="002A2AF0" w:rsidRDefault="002A2AF0" w:rsidP="00B2721B">
      <w:pPr>
        <w:overflowPunct w:val="0"/>
        <w:ind w:left="-426" w:right="-426"/>
        <w:jc w:val="both"/>
        <w:rPr>
          <w:sz w:val="18"/>
          <w:szCs w:val="18"/>
        </w:rPr>
      </w:pPr>
    </w:p>
    <w:p w:rsidR="0000167F" w:rsidRDefault="0000167F"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B2721B">
      <w:pPr>
        <w:overflowPunct w:val="0"/>
        <w:ind w:left="-426" w:right="-426"/>
        <w:jc w:val="both"/>
        <w:rPr>
          <w:sz w:val="18"/>
          <w:szCs w:val="18"/>
        </w:rPr>
      </w:pPr>
    </w:p>
    <w:p w:rsidR="0084463B" w:rsidRDefault="0084463B" w:rsidP="0084463B">
      <w:pPr>
        <w:overflowPunct w:val="0"/>
        <w:ind w:right="-426"/>
        <w:jc w:val="both"/>
        <w:rPr>
          <w:sz w:val="18"/>
          <w:szCs w:val="18"/>
        </w:rPr>
      </w:pPr>
    </w:p>
    <w:p w:rsidR="0000167F" w:rsidRDefault="0000167F" w:rsidP="00B17434">
      <w:pPr>
        <w:overflowPunct w:val="0"/>
        <w:ind w:right="-426"/>
        <w:jc w:val="both"/>
        <w:rPr>
          <w:sz w:val="18"/>
          <w:szCs w:val="18"/>
        </w:rPr>
      </w:pPr>
    </w:p>
    <w:p w:rsidR="000413DC" w:rsidRDefault="000413DC" w:rsidP="00B17434">
      <w:pPr>
        <w:overflowPunct w:val="0"/>
        <w:ind w:left="-142" w:right="-426"/>
        <w:jc w:val="both"/>
        <w:rPr>
          <w:sz w:val="18"/>
          <w:szCs w:val="18"/>
        </w:rPr>
      </w:pPr>
      <w:r w:rsidRPr="000C5B5C">
        <w:rPr>
          <w:sz w:val="18"/>
          <w:szCs w:val="18"/>
        </w:rPr>
        <w:t>Parengė</w:t>
      </w:r>
    </w:p>
    <w:p w:rsidR="004B21E8" w:rsidRPr="004B21E8" w:rsidRDefault="004B21E8" w:rsidP="004B21E8">
      <w:pPr>
        <w:overflowPunct w:val="0"/>
        <w:ind w:left="-142"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B17434">
      <w:pPr>
        <w:overflowPunct w:val="0"/>
        <w:ind w:left="-142"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4"/>
  </w:num>
  <w:num w:numId="4">
    <w:abstractNumId w:val="2"/>
  </w:num>
  <w:num w:numId="5">
    <w:abstractNumId w:val="7"/>
  </w:num>
  <w:num w:numId="6">
    <w:abstractNumId w:val="9"/>
  </w:num>
  <w:num w:numId="7">
    <w:abstractNumId w:val="3"/>
  </w:num>
  <w:num w:numId="8">
    <w:abstractNumId w:val="10"/>
  </w:num>
  <w:num w:numId="9">
    <w:abstractNumId w:val="5"/>
  </w:num>
  <w:num w:numId="10">
    <w:abstractNumId w:val="6"/>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DF0"/>
    <w:rsid w:val="00425ED5"/>
    <w:rsid w:val="00430BCC"/>
    <w:rsid w:val="0043103A"/>
    <w:rsid w:val="00431444"/>
    <w:rsid w:val="00432A8A"/>
    <w:rsid w:val="0043322B"/>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625BB"/>
    <w:rsid w:val="00563356"/>
    <w:rsid w:val="00564E0E"/>
    <w:rsid w:val="005673B7"/>
    <w:rsid w:val="005678FD"/>
    <w:rsid w:val="00570434"/>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3F48"/>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CFA"/>
    <w:rsid w:val="007A0FAA"/>
    <w:rsid w:val="007A4609"/>
    <w:rsid w:val="007A46AC"/>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562"/>
    <w:rsid w:val="00AA656F"/>
    <w:rsid w:val="00AA69D4"/>
    <w:rsid w:val="00AB127F"/>
    <w:rsid w:val="00AB19D4"/>
    <w:rsid w:val="00AB31CB"/>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F2BA08"/>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D113C526-6F6B-484B-A8CD-C9C339E7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103</TotalTime>
  <Pages>2</Pages>
  <Words>352</Words>
  <Characters>2994</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8</cp:revision>
  <cp:lastPrinted>2018-07-02T08:04:00Z</cp:lastPrinted>
  <dcterms:created xsi:type="dcterms:W3CDTF">2021-03-05T12:20:00Z</dcterms:created>
  <dcterms:modified xsi:type="dcterms:W3CDTF">2021-05-11T06:35:00Z</dcterms:modified>
</cp:coreProperties>
</file>