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4C6A6D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6A0BA0">
              <w:rPr>
                <w:b w:val="0"/>
                <w:caps w:val="0"/>
                <w:sz w:val="24"/>
              </w:rPr>
              <w:t>8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0459AF">
              <w:rPr>
                <w:b w:val="0"/>
                <w:caps w:val="0"/>
                <w:sz w:val="24"/>
              </w:rPr>
              <w:t>liepos</w:t>
            </w:r>
            <w:r w:rsidR="00960DA6">
              <w:rPr>
                <w:b w:val="0"/>
                <w:caps w:val="0"/>
                <w:sz w:val="24"/>
              </w:rPr>
              <w:t xml:space="preserve"> </w:t>
            </w:r>
            <w:r w:rsidR="00032EDD">
              <w:rPr>
                <w:b w:val="0"/>
                <w:caps w:val="0"/>
                <w:sz w:val="24"/>
              </w:rPr>
              <w:t>31</w:t>
            </w:r>
            <w:r w:rsidR="00C47441">
              <w:rPr>
                <w:b w:val="0"/>
                <w:caps w:val="0"/>
                <w:sz w:val="24"/>
              </w:rPr>
              <w:t xml:space="preserve"> </w:t>
            </w:r>
            <w:r w:rsidR="00195697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032EDD">
              <w:rPr>
                <w:b w:val="0"/>
                <w:caps w:val="0"/>
                <w:sz w:val="24"/>
              </w:rPr>
              <w:t>935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Default="00800202" w:rsidP="00360F23">
      <w:pPr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9270EA">
        <w:t>ų</w:t>
      </w:r>
      <w:r w:rsidR="00FD0318">
        <w:t xml:space="preserve"> </w:t>
      </w:r>
      <w:proofErr w:type="spellStart"/>
      <w:r w:rsidR="002C4B80">
        <w:rPr>
          <w:i/>
        </w:rPr>
        <w:t>Sildenafil</w:t>
      </w:r>
      <w:proofErr w:type="spellEnd"/>
      <w:r w:rsidR="002C4B80">
        <w:rPr>
          <w:i/>
        </w:rPr>
        <w:t xml:space="preserve"> </w:t>
      </w:r>
      <w:proofErr w:type="spellStart"/>
      <w:r w:rsidR="002C4B80">
        <w:rPr>
          <w:i/>
        </w:rPr>
        <w:t>Accord</w:t>
      </w:r>
      <w:proofErr w:type="spellEnd"/>
      <w:r w:rsidR="002C4B80">
        <w:rPr>
          <w:i/>
        </w:rPr>
        <w:t xml:space="preserve"> 100 mg plėvele dengtos tabletės,</w:t>
      </w:r>
      <w:r w:rsidR="007F79DD">
        <w:rPr>
          <w:i/>
        </w:rPr>
        <w:t xml:space="preserve"> </w:t>
      </w:r>
      <w:proofErr w:type="spellStart"/>
      <w:r w:rsidR="007F79DD">
        <w:rPr>
          <w:i/>
        </w:rPr>
        <w:t>Escitalopram</w:t>
      </w:r>
      <w:proofErr w:type="spellEnd"/>
      <w:r w:rsidR="007F79DD">
        <w:rPr>
          <w:i/>
        </w:rPr>
        <w:t xml:space="preserve"> </w:t>
      </w:r>
      <w:proofErr w:type="spellStart"/>
      <w:r w:rsidR="007F79DD">
        <w:rPr>
          <w:i/>
        </w:rPr>
        <w:t>Actavis</w:t>
      </w:r>
      <w:proofErr w:type="spellEnd"/>
      <w:r w:rsidR="007F79DD">
        <w:rPr>
          <w:i/>
        </w:rPr>
        <w:t xml:space="preserve"> 10 mg plėvele dengtos tabletės, </w:t>
      </w:r>
      <w:proofErr w:type="spellStart"/>
      <w:r w:rsidR="00265681">
        <w:rPr>
          <w:i/>
        </w:rPr>
        <w:t>Escitalopram</w:t>
      </w:r>
      <w:proofErr w:type="spellEnd"/>
      <w:r w:rsidR="00265681">
        <w:rPr>
          <w:i/>
        </w:rPr>
        <w:t xml:space="preserve"> </w:t>
      </w:r>
      <w:proofErr w:type="spellStart"/>
      <w:r w:rsidR="00265681">
        <w:rPr>
          <w:i/>
        </w:rPr>
        <w:t>Actavis</w:t>
      </w:r>
      <w:proofErr w:type="spellEnd"/>
      <w:r w:rsidR="00265681">
        <w:rPr>
          <w:i/>
        </w:rPr>
        <w:t xml:space="preserve"> 20 mg plėvele dengtos tabletės, </w:t>
      </w:r>
      <w:proofErr w:type="spellStart"/>
      <w:r w:rsidR="00BC474E">
        <w:rPr>
          <w:i/>
        </w:rPr>
        <w:t>Brexin</w:t>
      </w:r>
      <w:proofErr w:type="spellEnd"/>
      <w:r w:rsidR="00BC474E">
        <w:rPr>
          <w:i/>
        </w:rPr>
        <w:t xml:space="preserve"> 20 mg tabletės, </w:t>
      </w:r>
      <w:proofErr w:type="spellStart"/>
      <w:r w:rsidR="003D1CF7">
        <w:rPr>
          <w:i/>
        </w:rPr>
        <w:t>Brexin</w:t>
      </w:r>
      <w:proofErr w:type="spellEnd"/>
      <w:r w:rsidR="003D1CF7">
        <w:rPr>
          <w:i/>
        </w:rPr>
        <w:t xml:space="preserve"> 20 mg milteliai geriamajam tirpalui,</w:t>
      </w:r>
      <w:r w:rsidR="002C4B80">
        <w:rPr>
          <w:i/>
        </w:rPr>
        <w:t xml:space="preserve"> </w:t>
      </w:r>
      <w:r w:rsidR="00B31D7D">
        <w:rPr>
          <w:i/>
        </w:rPr>
        <w:t>MAXIDEX 1 mg/ml akių lašai (suspensija)</w:t>
      </w:r>
      <w:r w:rsidR="002C4B80" w:rsidRPr="00726933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360F23">
      <w:pPr>
        <w:ind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A01779" w:rsidRDefault="005C14AB" w:rsidP="00216AE5">
      <w:pPr>
        <w:ind w:firstLine="709"/>
        <w:jc w:val="both"/>
      </w:pPr>
      <w:r>
        <w:t xml:space="preserve">1.1. </w:t>
      </w:r>
      <w:r w:rsidRPr="0091068E">
        <w:t xml:space="preserve">lygiagrečiai importuojamą vaistinį preparatą </w:t>
      </w:r>
      <w:proofErr w:type="spellStart"/>
      <w:r w:rsidR="002C4B80">
        <w:rPr>
          <w:i/>
        </w:rPr>
        <w:t>Sildenafil</w:t>
      </w:r>
      <w:proofErr w:type="spellEnd"/>
      <w:r w:rsidR="002C4B80">
        <w:rPr>
          <w:i/>
        </w:rPr>
        <w:t xml:space="preserve"> </w:t>
      </w:r>
      <w:proofErr w:type="spellStart"/>
      <w:r w:rsidR="002C4B80">
        <w:rPr>
          <w:i/>
        </w:rPr>
        <w:t>Accord</w:t>
      </w:r>
      <w:proofErr w:type="spellEnd"/>
      <w:r w:rsidR="002C4B80">
        <w:rPr>
          <w:i/>
        </w:rPr>
        <w:t xml:space="preserve"> 100 mg plėvele dengtos tabletės</w:t>
      </w:r>
      <w:r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2C4B80">
        <w:t>sildenafilis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</w:t>
      </w:r>
      <w:r w:rsidR="002C4B80">
        <w:t>10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 w:rsidR="002C4B80">
        <w:t>Lex</w:t>
      </w:r>
      <w:proofErr w:type="spellEnd"/>
      <w:r w:rsidR="002C4B80">
        <w:t xml:space="preserve"> ano</w:t>
      </w:r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lizdinė plokštelė, N4,</w:t>
      </w:r>
      <w:r w:rsidRPr="0091068E">
        <w:t xml:space="preserve">  referencinio vaistinio preparato pavadinimas – </w:t>
      </w:r>
      <w:proofErr w:type="spellStart"/>
      <w:r w:rsidR="002C4B80">
        <w:t>Sildenafil</w:t>
      </w:r>
      <w:proofErr w:type="spellEnd"/>
      <w:r w:rsidR="002C4B80">
        <w:t xml:space="preserve"> </w:t>
      </w:r>
      <w:proofErr w:type="spellStart"/>
      <w:r w:rsidR="002C4B80">
        <w:t>Accord</w:t>
      </w:r>
      <w:proofErr w:type="spellEnd"/>
      <w:r w:rsidR="002C4B80">
        <w:t xml:space="preserve"> 100 mg plėvele dengtos tabletės</w:t>
      </w:r>
      <w:r>
        <w:t xml:space="preserve">, </w:t>
      </w:r>
      <w:r w:rsidRPr="0091068E">
        <w:t xml:space="preserve">referencinio vaistinio preparato registracijos pažymėjimo numeris – </w:t>
      </w:r>
      <w:r>
        <w:t>LT/1/</w:t>
      </w:r>
      <w:r w:rsidR="002C4B80">
        <w:t>11/2428/010</w:t>
      </w:r>
      <w:r>
        <w:t xml:space="preserve">, </w:t>
      </w:r>
      <w:r w:rsidRPr="0091068E">
        <w:t xml:space="preserve">referencinio vaistinio preparato registruotojas </w:t>
      </w:r>
      <w:r>
        <w:t xml:space="preserve">– </w:t>
      </w:r>
      <w:proofErr w:type="spellStart"/>
      <w:r w:rsidR="002C4B80">
        <w:t>Accord</w:t>
      </w:r>
      <w:proofErr w:type="spellEnd"/>
      <w:r w:rsidR="002C4B80">
        <w:t xml:space="preserve"> </w:t>
      </w:r>
      <w:proofErr w:type="spellStart"/>
      <w:r w:rsidR="000819AE">
        <w:t>H</w:t>
      </w:r>
      <w:r w:rsidR="002C4B80">
        <w:t>ealthcare</w:t>
      </w:r>
      <w:proofErr w:type="spellEnd"/>
      <w:r w:rsidR="002C4B80">
        <w:t xml:space="preserve"> </w:t>
      </w:r>
      <w:proofErr w:type="spellStart"/>
      <w:r w:rsidR="002C4B80">
        <w:t>Limited</w:t>
      </w:r>
      <w:proofErr w:type="spellEnd"/>
      <w:r w:rsidR="002C4B80">
        <w:t>, Jungtinė Karalystė</w:t>
      </w:r>
      <w:r w:rsidRPr="0091068E">
        <w:t>)</w:t>
      </w:r>
      <w:r w:rsidR="002C4B80">
        <w:t>;</w:t>
      </w:r>
    </w:p>
    <w:p w:rsidR="007F79DD" w:rsidRDefault="007F79DD" w:rsidP="007F79DD">
      <w:pPr>
        <w:ind w:firstLine="709"/>
        <w:jc w:val="both"/>
      </w:pPr>
      <w:r>
        <w:t xml:space="preserve">1.2. </w:t>
      </w:r>
      <w:r w:rsidRPr="0091068E">
        <w:t xml:space="preserve">lygiagrečiai importuojamą vaistinį preparatą </w:t>
      </w:r>
      <w:proofErr w:type="spellStart"/>
      <w:r>
        <w:rPr>
          <w:i/>
        </w:rPr>
        <w:t>Escitalopram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Actavis</w:t>
      </w:r>
      <w:proofErr w:type="spellEnd"/>
      <w:r>
        <w:rPr>
          <w:i/>
        </w:rPr>
        <w:t xml:space="preserve"> 10 mg plėvele dengtos tabletės </w:t>
      </w:r>
      <w:r w:rsidRPr="0091068E">
        <w:t>(veiklioji medžiaga –</w:t>
      </w:r>
      <w:r>
        <w:t xml:space="preserve"> </w:t>
      </w:r>
      <w:proofErr w:type="spellStart"/>
      <w:r>
        <w:t>escitalopramas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0711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 referencinio vaistinio preparato pavadinimas – </w:t>
      </w:r>
      <w:proofErr w:type="spellStart"/>
      <w:r>
        <w:t>Escitalopram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10 mg plėvele dengtos tabletės, </w:t>
      </w:r>
      <w:r w:rsidRPr="0091068E">
        <w:t xml:space="preserve">referencinio vaistinio preparato registracijos pažymėjimo numeris – </w:t>
      </w:r>
      <w:r>
        <w:t xml:space="preserve">LT/1/09/1815/015, </w:t>
      </w:r>
      <w:r w:rsidRPr="0091068E">
        <w:t xml:space="preserve">referencinio vaistinio preparato registruotojas </w:t>
      </w:r>
      <w:r>
        <w:t xml:space="preserve">– </w:t>
      </w:r>
      <w:proofErr w:type="spellStart"/>
      <w:r>
        <w:t>Actavis</w:t>
      </w:r>
      <w:proofErr w:type="spellEnd"/>
      <w:r>
        <w:t xml:space="preserve"> Group PTC </w:t>
      </w:r>
      <w:proofErr w:type="spellStart"/>
      <w:r>
        <w:t>ehf</w:t>
      </w:r>
      <w:proofErr w:type="spellEnd"/>
      <w:r>
        <w:t>., Islandija);</w:t>
      </w:r>
    </w:p>
    <w:p w:rsidR="00265681" w:rsidRDefault="00265681" w:rsidP="00265681">
      <w:pPr>
        <w:ind w:firstLine="709"/>
        <w:jc w:val="both"/>
      </w:pPr>
      <w:r>
        <w:t xml:space="preserve">1.3. </w:t>
      </w:r>
      <w:r w:rsidRPr="0091068E">
        <w:t xml:space="preserve">lygiagrečiai importuojamą vaistinį preparatą </w:t>
      </w:r>
      <w:proofErr w:type="spellStart"/>
      <w:r>
        <w:rPr>
          <w:i/>
        </w:rPr>
        <w:t>Escitalopram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Actavis</w:t>
      </w:r>
      <w:proofErr w:type="spellEnd"/>
      <w:r>
        <w:rPr>
          <w:i/>
        </w:rPr>
        <w:t xml:space="preserve"> 20 mg plėvele dengtos tabletės </w:t>
      </w:r>
      <w:r w:rsidRPr="0091068E">
        <w:t>(veiklioji medžiaga –</w:t>
      </w:r>
      <w:r>
        <w:t xml:space="preserve"> </w:t>
      </w:r>
      <w:proofErr w:type="spellStart"/>
      <w:r>
        <w:t>escitalopramas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0712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 referencinio vaistinio preparato pavadinimas – </w:t>
      </w:r>
      <w:proofErr w:type="spellStart"/>
      <w:r>
        <w:t>Escitalopram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20 mg plėvele dengtos tabletės, </w:t>
      </w:r>
      <w:r w:rsidRPr="0091068E">
        <w:t xml:space="preserve">referencinio vaistinio preparato registracijos pažymėjimo numeris – </w:t>
      </w:r>
      <w:r>
        <w:t xml:space="preserve">LT/1/09/1815/038, </w:t>
      </w:r>
      <w:r w:rsidRPr="0091068E">
        <w:t xml:space="preserve">referencinio vaistinio preparato registruotojas </w:t>
      </w:r>
      <w:r>
        <w:t xml:space="preserve">– </w:t>
      </w:r>
      <w:proofErr w:type="spellStart"/>
      <w:r>
        <w:t>Actavis</w:t>
      </w:r>
      <w:proofErr w:type="spellEnd"/>
      <w:r>
        <w:t xml:space="preserve"> Group PTC </w:t>
      </w:r>
      <w:proofErr w:type="spellStart"/>
      <w:r>
        <w:t>ehf</w:t>
      </w:r>
      <w:proofErr w:type="spellEnd"/>
      <w:r>
        <w:t>., Islandija);</w:t>
      </w:r>
    </w:p>
    <w:p w:rsidR="00853576" w:rsidRDefault="00853576" w:rsidP="00853576">
      <w:pPr>
        <w:ind w:firstLine="709"/>
        <w:jc w:val="both"/>
      </w:pPr>
      <w:r>
        <w:t>1.</w:t>
      </w:r>
      <w:r w:rsidR="00BC474E">
        <w:t>4</w:t>
      </w:r>
      <w:r>
        <w:t xml:space="preserve">. </w:t>
      </w:r>
      <w:r w:rsidRPr="0091068E">
        <w:t xml:space="preserve">lygiagrečiai importuojamą vaistinį preparatą </w:t>
      </w:r>
      <w:proofErr w:type="spellStart"/>
      <w:r w:rsidR="00BC474E">
        <w:rPr>
          <w:i/>
        </w:rPr>
        <w:t>Brexin</w:t>
      </w:r>
      <w:proofErr w:type="spellEnd"/>
      <w:r w:rsidR="00BC474E">
        <w:rPr>
          <w:i/>
        </w:rPr>
        <w:t xml:space="preserve"> 20 mg tabletės</w:t>
      </w:r>
      <w:r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BC474E">
        <w:t>piroksikamas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071</w:t>
      </w:r>
      <w:r w:rsidR="00BC474E">
        <w:t>3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BC474E">
        <w:t>Graikija</w:t>
      </w:r>
      <w:r w:rsidRPr="0091068E">
        <w:t xml:space="preserve">, klasifikacija </w:t>
      </w:r>
      <w:r w:rsidRPr="0091068E">
        <w:lastRenderedPageBreak/>
        <w:t>– receptinis vaistinis preparatas</w:t>
      </w:r>
      <w:r>
        <w:t>,</w:t>
      </w:r>
      <w:r w:rsidRPr="0091068E">
        <w:t xml:space="preserve"> pakuotė –</w:t>
      </w:r>
      <w:r>
        <w:t xml:space="preserve"> lizdinė plokštelė, N2</w:t>
      </w:r>
      <w:r w:rsidR="00BC474E">
        <w:t>0</w:t>
      </w:r>
      <w:r>
        <w:t>,</w:t>
      </w:r>
      <w:r w:rsidRPr="0091068E">
        <w:t xml:space="preserve">  referencinio vaistinio preparato pavadinimas – </w:t>
      </w:r>
      <w:proofErr w:type="spellStart"/>
      <w:r w:rsidR="00BC474E">
        <w:t>Brexin</w:t>
      </w:r>
      <w:proofErr w:type="spellEnd"/>
      <w:r w:rsidR="00BC474E">
        <w:t xml:space="preserve"> 20 mg</w:t>
      </w:r>
      <w:r>
        <w:t xml:space="preserve"> tabletės, </w:t>
      </w:r>
      <w:r w:rsidRPr="0091068E">
        <w:t xml:space="preserve">referencinio vaistinio preparato registracijos pažymėjimo numeris – </w:t>
      </w:r>
      <w:r>
        <w:t>LT/1/</w:t>
      </w:r>
      <w:r w:rsidR="00BC474E">
        <w:t>2000/1566/001</w:t>
      </w:r>
      <w:r>
        <w:t xml:space="preserve">, </w:t>
      </w:r>
      <w:r w:rsidRPr="0091068E">
        <w:t xml:space="preserve">referencinio vaistinio preparato registruotojas </w:t>
      </w:r>
      <w:r>
        <w:t xml:space="preserve">– </w:t>
      </w:r>
      <w:r w:rsidR="00BC474E">
        <w:t>UAB „</w:t>
      </w:r>
      <w:proofErr w:type="spellStart"/>
      <w:r w:rsidR="00BC474E">
        <w:t>Norameda</w:t>
      </w:r>
      <w:proofErr w:type="spellEnd"/>
      <w:r w:rsidR="00BC474E">
        <w:t>“, Lietuva</w:t>
      </w:r>
      <w:r>
        <w:t>);</w:t>
      </w:r>
    </w:p>
    <w:p w:rsidR="003D1CF7" w:rsidRDefault="003D1CF7" w:rsidP="003D1CF7">
      <w:pPr>
        <w:ind w:firstLine="709"/>
        <w:jc w:val="both"/>
      </w:pPr>
      <w:r>
        <w:t xml:space="preserve">1.5. </w:t>
      </w:r>
      <w:r w:rsidRPr="0091068E">
        <w:t xml:space="preserve">lygiagrečiai importuojamą vaistinį preparatą </w:t>
      </w:r>
      <w:proofErr w:type="spellStart"/>
      <w:r>
        <w:rPr>
          <w:i/>
        </w:rPr>
        <w:t>Brexin</w:t>
      </w:r>
      <w:proofErr w:type="spellEnd"/>
      <w:r>
        <w:rPr>
          <w:i/>
        </w:rPr>
        <w:t xml:space="preserve"> 20 mg milteliai geriamajam tirpalui </w:t>
      </w:r>
      <w:r w:rsidRPr="0091068E">
        <w:t>(veiklioji medžiaga –</w:t>
      </w:r>
      <w:r>
        <w:t xml:space="preserve"> </w:t>
      </w:r>
      <w:proofErr w:type="spellStart"/>
      <w:r>
        <w:t>piroksikamas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0714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Graikija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paketėlis, N20,</w:t>
      </w:r>
      <w:r w:rsidRPr="0091068E">
        <w:t xml:space="preserve">  referencinio vaistinio preparato pavadinimas – </w:t>
      </w:r>
      <w:proofErr w:type="spellStart"/>
      <w:r>
        <w:t>Brexin</w:t>
      </w:r>
      <w:proofErr w:type="spellEnd"/>
      <w:r>
        <w:t xml:space="preserve"> 20 mg milteliai geriamajam tirpalui, </w:t>
      </w:r>
      <w:r w:rsidRPr="0091068E">
        <w:t xml:space="preserve">referencinio vaistinio preparato registracijos pažymėjimo numeris – </w:t>
      </w:r>
      <w:r>
        <w:t xml:space="preserve">LT/1/2000/1566/002, </w:t>
      </w:r>
      <w:r w:rsidRPr="0091068E">
        <w:t xml:space="preserve">referencinio vaistinio preparato registruotojas </w:t>
      </w:r>
      <w:r>
        <w:t>– UAB „</w:t>
      </w:r>
      <w:proofErr w:type="spellStart"/>
      <w:r>
        <w:t>Norameda</w:t>
      </w:r>
      <w:proofErr w:type="spellEnd"/>
      <w:r>
        <w:t>“, Lietuva);</w:t>
      </w:r>
    </w:p>
    <w:p w:rsidR="002C4B80" w:rsidRDefault="00B31D7D" w:rsidP="00216AE5">
      <w:pPr>
        <w:ind w:firstLine="709"/>
        <w:jc w:val="both"/>
      </w:pPr>
      <w:r>
        <w:t xml:space="preserve">1.6. </w:t>
      </w:r>
      <w:r w:rsidRPr="0091068E">
        <w:t xml:space="preserve">lygiagrečiai importuojamą vaistinį preparatą </w:t>
      </w:r>
      <w:r>
        <w:rPr>
          <w:i/>
        </w:rPr>
        <w:t xml:space="preserve">MAXIDEX 1 mg/ml akių lašai (suspensija) </w:t>
      </w:r>
      <w:r w:rsidRPr="0091068E">
        <w:t>(veiklioji medžiaga –</w:t>
      </w:r>
      <w:r>
        <w:t xml:space="preserve"> </w:t>
      </w:r>
      <w:proofErr w:type="spellStart"/>
      <w:r>
        <w:t>deksametazonas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0715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„Limedika“,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buteliukas, N1,</w:t>
      </w:r>
      <w:r w:rsidRPr="0091068E">
        <w:t xml:space="preserve">  referencinio vaistinio preparato pavadinimas – </w:t>
      </w:r>
      <w:r>
        <w:t xml:space="preserve">MAXIDEX 1 mg/ml akių lašai (suspensija), </w:t>
      </w:r>
      <w:r w:rsidRPr="0091068E">
        <w:t xml:space="preserve">referencinio vaistinio preparato registracijos pažymėjimo numeris – </w:t>
      </w:r>
      <w:r>
        <w:t xml:space="preserve">LT/1/92/0003/002, </w:t>
      </w:r>
      <w:r w:rsidRPr="0091068E">
        <w:t xml:space="preserve">referencinio vaistinio preparato registruotojas </w:t>
      </w:r>
      <w:r>
        <w:t xml:space="preserve">– SIA </w:t>
      </w:r>
      <w:proofErr w:type="spellStart"/>
      <w:r>
        <w:t>Novartis</w:t>
      </w:r>
      <w:proofErr w:type="spellEnd"/>
      <w:r>
        <w:t xml:space="preserve"> Baltic, Latvija)</w:t>
      </w:r>
      <w:r w:rsidR="00E640DA">
        <w:t>.</w:t>
      </w:r>
    </w:p>
    <w:p w:rsidR="0090638B" w:rsidRDefault="004B72DB" w:rsidP="000B1A87">
      <w:pPr>
        <w:ind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846B67" w:rsidRPr="00726933" w:rsidRDefault="00846B67" w:rsidP="000B1A87">
      <w:pPr>
        <w:ind w:firstLine="709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246"/>
      </w:tblGrid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B683A" w:rsidRPr="002F5C56" w:rsidTr="00F91E1E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683A" w:rsidRPr="002F5C56" w:rsidRDefault="004B1F71" w:rsidP="00C4555D">
            <w:pPr>
              <w:ind w:left="-113" w:right="-1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683A" w:rsidRPr="002F5C56" w:rsidRDefault="004B1F71" w:rsidP="00FB683A">
            <w:pPr>
              <w:overflowPunct w:val="0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Gintautas Barcys</w:t>
            </w:r>
          </w:p>
        </w:tc>
      </w:tr>
      <w:tr w:rsidR="00F91E1E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E1E" w:rsidRPr="002F5C56" w:rsidRDefault="00F91E1E" w:rsidP="00F91E1E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846B67" w:rsidRDefault="00846B67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4B1F71" w:rsidRDefault="004B1F71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4B1F71" w:rsidRDefault="004B1F71" w:rsidP="000413DC">
      <w:pPr>
        <w:overflowPunct w:val="0"/>
        <w:jc w:val="both"/>
        <w:rPr>
          <w:sz w:val="18"/>
          <w:szCs w:val="18"/>
        </w:rPr>
      </w:pPr>
    </w:p>
    <w:p w:rsidR="004B1F71" w:rsidRDefault="004B1F71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A01779" w:rsidRDefault="00A01779" w:rsidP="000413DC">
      <w:pPr>
        <w:overflowPunct w:val="0"/>
        <w:jc w:val="both"/>
        <w:rPr>
          <w:sz w:val="18"/>
          <w:szCs w:val="18"/>
        </w:rPr>
      </w:pPr>
    </w:p>
    <w:p w:rsidR="00C4555D" w:rsidRDefault="00C4555D" w:rsidP="000413DC">
      <w:pPr>
        <w:overflowPunct w:val="0"/>
        <w:jc w:val="both"/>
        <w:rPr>
          <w:sz w:val="18"/>
          <w:szCs w:val="18"/>
        </w:rPr>
      </w:pPr>
    </w:p>
    <w:p w:rsidR="00A01779" w:rsidRDefault="00A01779" w:rsidP="000413DC">
      <w:pPr>
        <w:overflowPunct w:val="0"/>
        <w:jc w:val="both"/>
        <w:rPr>
          <w:sz w:val="18"/>
          <w:szCs w:val="18"/>
        </w:rPr>
      </w:pPr>
    </w:p>
    <w:p w:rsidR="00A01779" w:rsidRDefault="00A01779" w:rsidP="000413DC">
      <w:pPr>
        <w:overflowPunct w:val="0"/>
        <w:jc w:val="both"/>
        <w:rPr>
          <w:sz w:val="18"/>
          <w:szCs w:val="18"/>
        </w:rPr>
      </w:pPr>
    </w:p>
    <w:p w:rsidR="00A01779" w:rsidRDefault="00A01779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846B67" w:rsidRDefault="00846B67" w:rsidP="000413DC">
      <w:pPr>
        <w:overflowPunct w:val="0"/>
        <w:jc w:val="both"/>
        <w:rPr>
          <w:sz w:val="18"/>
          <w:szCs w:val="18"/>
        </w:rPr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0413DC">
      <w:pPr>
        <w:overflowPunct w:val="0"/>
        <w:jc w:val="both"/>
        <w:rPr>
          <w:sz w:val="18"/>
          <w:szCs w:val="18"/>
        </w:rPr>
      </w:pPr>
    </w:p>
    <w:p w:rsidR="00965F03" w:rsidRDefault="00604E3B" w:rsidP="00DC409A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Gediminas Ruša</w:t>
      </w:r>
    </w:p>
    <w:p w:rsidR="00525276" w:rsidRPr="000413DC" w:rsidRDefault="00B07DFC" w:rsidP="00DC409A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6A0BA0">
        <w:rPr>
          <w:sz w:val="18"/>
          <w:szCs w:val="18"/>
        </w:rPr>
        <w:t>8</w:t>
      </w:r>
      <w:r>
        <w:rPr>
          <w:sz w:val="18"/>
          <w:szCs w:val="18"/>
        </w:rPr>
        <w:t>-</w:t>
      </w:r>
      <w:r w:rsidR="006A0BA0">
        <w:rPr>
          <w:sz w:val="18"/>
          <w:szCs w:val="18"/>
        </w:rPr>
        <w:t>0</w:t>
      </w:r>
      <w:r w:rsidR="000459AF">
        <w:rPr>
          <w:sz w:val="18"/>
          <w:szCs w:val="18"/>
        </w:rPr>
        <w:t>7-</w:t>
      </w:r>
      <w:r w:rsidR="00387CC9">
        <w:rPr>
          <w:sz w:val="18"/>
          <w:szCs w:val="18"/>
        </w:rPr>
        <w:t>31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457" w:rsidRDefault="00315457">
      <w:r>
        <w:separator/>
      </w:r>
    </w:p>
  </w:endnote>
  <w:endnote w:type="continuationSeparator" w:id="0">
    <w:p w:rsidR="00315457" w:rsidRDefault="0031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457" w:rsidRDefault="00315457">
      <w:r>
        <w:separator/>
      </w:r>
    </w:p>
  </w:footnote>
  <w:footnote w:type="continuationSeparator" w:id="0">
    <w:p w:rsidR="00315457" w:rsidRDefault="00315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4800"/>
    <w:rsid w:val="000848C7"/>
    <w:rsid w:val="00085F30"/>
    <w:rsid w:val="00087BC4"/>
    <w:rsid w:val="00090953"/>
    <w:rsid w:val="00090B5B"/>
    <w:rsid w:val="00091644"/>
    <w:rsid w:val="00091E84"/>
    <w:rsid w:val="00091FE7"/>
    <w:rsid w:val="000936F0"/>
    <w:rsid w:val="000A29B5"/>
    <w:rsid w:val="000A3DC1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4F53"/>
    <w:rsid w:val="000C7582"/>
    <w:rsid w:val="000D03F2"/>
    <w:rsid w:val="000D15F9"/>
    <w:rsid w:val="000D3A28"/>
    <w:rsid w:val="000D4806"/>
    <w:rsid w:val="000D4ADB"/>
    <w:rsid w:val="000E1737"/>
    <w:rsid w:val="000E17A3"/>
    <w:rsid w:val="000E1D93"/>
    <w:rsid w:val="000E5640"/>
    <w:rsid w:val="000E56C1"/>
    <w:rsid w:val="000E60C2"/>
    <w:rsid w:val="000F3FA6"/>
    <w:rsid w:val="000F4ED1"/>
    <w:rsid w:val="000F70A6"/>
    <w:rsid w:val="000F7EC8"/>
    <w:rsid w:val="00100504"/>
    <w:rsid w:val="00103810"/>
    <w:rsid w:val="0010526F"/>
    <w:rsid w:val="00107792"/>
    <w:rsid w:val="00107C8A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E1AE8"/>
    <w:rsid w:val="001E31E5"/>
    <w:rsid w:val="001E36AD"/>
    <w:rsid w:val="001E432D"/>
    <w:rsid w:val="001E4951"/>
    <w:rsid w:val="001F11E2"/>
    <w:rsid w:val="001F1C75"/>
    <w:rsid w:val="001F1DD9"/>
    <w:rsid w:val="001F27D0"/>
    <w:rsid w:val="001F3D80"/>
    <w:rsid w:val="001F4B1E"/>
    <w:rsid w:val="001F6B7B"/>
    <w:rsid w:val="002013EA"/>
    <w:rsid w:val="002024F6"/>
    <w:rsid w:val="00202EEF"/>
    <w:rsid w:val="00204B4D"/>
    <w:rsid w:val="00206559"/>
    <w:rsid w:val="00207B59"/>
    <w:rsid w:val="00207FA4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43CA"/>
    <w:rsid w:val="00224705"/>
    <w:rsid w:val="00226999"/>
    <w:rsid w:val="00230FD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53F0"/>
    <w:rsid w:val="00265681"/>
    <w:rsid w:val="0027003E"/>
    <w:rsid w:val="00270470"/>
    <w:rsid w:val="002706F0"/>
    <w:rsid w:val="00271EC6"/>
    <w:rsid w:val="00272D45"/>
    <w:rsid w:val="0027555B"/>
    <w:rsid w:val="00276389"/>
    <w:rsid w:val="00276A95"/>
    <w:rsid w:val="0027786C"/>
    <w:rsid w:val="002802F6"/>
    <w:rsid w:val="002811BF"/>
    <w:rsid w:val="00282860"/>
    <w:rsid w:val="00283B99"/>
    <w:rsid w:val="00287B63"/>
    <w:rsid w:val="00291B66"/>
    <w:rsid w:val="002934ED"/>
    <w:rsid w:val="00294E96"/>
    <w:rsid w:val="00294F3F"/>
    <w:rsid w:val="00296487"/>
    <w:rsid w:val="002A1014"/>
    <w:rsid w:val="002A1B1B"/>
    <w:rsid w:val="002A1D5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7A71"/>
    <w:rsid w:val="002C1CF6"/>
    <w:rsid w:val="002C3D9E"/>
    <w:rsid w:val="002C40BC"/>
    <w:rsid w:val="002C40D5"/>
    <w:rsid w:val="002C4B80"/>
    <w:rsid w:val="002C4FDB"/>
    <w:rsid w:val="002C55EC"/>
    <w:rsid w:val="002C6E74"/>
    <w:rsid w:val="002C7FED"/>
    <w:rsid w:val="002D05A8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50AA"/>
    <w:rsid w:val="002F5C56"/>
    <w:rsid w:val="002F6E54"/>
    <w:rsid w:val="00301EAB"/>
    <w:rsid w:val="00302A14"/>
    <w:rsid w:val="00302FBE"/>
    <w:rsid w:val="003032D5"/>
    <w:rsid w:val="0030363D"/>
    <w:rsid w:val="00305276"/>
    <w:rsid w:val="00311F92"/>
    <w:rsid w:val="00313E9D"/>
    <w:rsid w:val="00315457"/>
    <w:rsid w:val="003225F9"/>
    <w:rsid w:val="00323ACC"/>
    <w:rsid w:val="0032703C"/>
    <w:rsid w:val="003310F8"/>
    <w:rsid w:val="00331178"/>
    <w:rsid w:val="00331299"/>
    <w:rsid w:val="00331FE3"/>
    <w:rsid w:val="00332165"/>
    <w:rsid w:val="00332DDC"/>
    <w:rsid w:val="0033373B"/>
    <w:rsid w:val="003339F6"/>
    <w:rsid w:val="00343CFC"/>
    <w:rsid w:val="0034448B"/>
    <w:rsid w:val="0034501E"/>
    <w:rsid w:val="00346349"/>
    <w:rsid w:val="00346649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731"/>
    <w:rsid w:val="00373546"/>
    <w:rsid w:val="00373DFE"/>
    <w:rsid w:val="003816F8"/>
    <w:rsid w:val="00382383"/>
    <w:rsid w:val="00386C91"/>
    <w:rsid w:val="003870BC"/>
    <w:rsid w:val="00387CC9"/>
    <w:rsid w:val="00391EC9"/>
    <w:rsid w:val="00393330"/>
    <w:rsid w:val="00393994"/>
    <w:rsid w:val="00393F06"/>
    <w:rsid w:val="003956BE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7215"/>
    <w:rsid w:val="00407DDF"/>
    <w:rsid w:val="00411AEC"/>
    <w:rsid w:val="004129D9"/>
    <w:rsid w:val="004168B9"/>
    <w:rsid w:val="004172A2"/>
    <w:rsid w:val="00417960"/>
    <w:rsid w:val="00420571"/>
    <w:rsid w:val="004205C9"/>
    <w:rsid w:val="00421326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5CB6"/>
    <w:rsid w:val="00450666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3C59"/>
    <w:rsid w:val="00463EEF"/>
    <w:rsid w:val="00465153"/>
    <w:rsid w:val="00465426"/>
    <w:rsid w:val="00465809"/>
    <w:rsid w:val="0046613B"/>
    <w:rsid w:val="0046650A"/>
    <w:rsid w:val="00471CF8"/>
    <w:rsid w:val="00471D35"/>
    <w:rsid w:val="00473FFF"/>
    <w:rsid w:val="00475D7A"/>
    <w:rsid w:val="00477DB7"/>
    <w:rsid w:val="00480885"/>
    <w:rsid w:val="0048093B"/>
    <w:rsid w:val="00487FB7"/>
    <w:rsid w:val="004952DF"/>
    <w:rsid w:val="0049535B"/>
    <w:rsid w:val="004968E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72DB"/>
    <w:rsid w:val="004B7A76"/>
    <w:rsid w:val="004C047E"/>
    <w:rsid w:val="004C0A3E"/>
    <w:rsid w:val="004C0F80"/>
    <w:rsid w:val="004C2553"/>
    <w:rsid w:val="004C2A1A"/>
    <w:rsid w:val="004C3ABD"/>
    <w:rsid w:val="004C6A6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51B"/>
    <w:rsid w:val="004F42C5"/>
    <w:rsid w:val="004F4861"/>
    <w:rsid w:val="004F498F"/>
    <w:rsid w:val="004F7D42"/>
    <w:rsid w:val="00500EF3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1349"/>
    <w:rsid w:val="00581F39"/>
    <w:rsid w:val="00587597"/>
    <w:rsid w:val="00587792"/>
    <w:rsid w:val="00587C36"/>
    <w:rsid w:val="005964DE"/>
    <w:rsid w:val="005A0022"/>
    <w:rsid w:val="005A52E6"/>
    <w:rsid w:val="005A78AF"/>
    <w:rsid w:val="005A7F6A"/>
    <w:rsid w:val="005B0F71"/>
    <w:rsid w:val="005B18EF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2FFD"/>
    <w:rsid w:val="006134DB"/>
    <w:rsid w:val="00617B53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C04"/>
    <w:rsid w:val="00681FCD"/>
    <w:rsid w:val="00682113"/>
    <w:rsid w:val="00682DE5"/>
    <w:rsid w:val="006863A8"/>
    <w:rsid w:val="00687CD1"/>
    <w:rsid w:val="00687E7A"/>
    <w:rsid w:val="00690F20"/>
    <w:rsid w:val="00693FD4"/>
    <w:rsid w:val="00694C9F"/>
    <w:rsid w:val="00696B83"/>
    <w:rsid w:val="006A0BA0"/>
    <w:rsid w:val="006A4217"/>
    <w:rsid w:val="006B2AB8"/>
    <w:rsid w:val="006B4A7A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323C"/>
    <w:rsid w:val="006E3D4D"/>
    <w:rsid w:val="006E5B84"/>
    <w:rsid w:val="006F20CF"/>
    <w:rsid w:val="006F2D28"/>
    <w:rsid w:val="006F4232"/>
    <w:rsid w:val="006F7069"/>
    <w:rsid w:val="007000E1"/>
    <w:rsid w:val="007004B1"/>
    <w:rsid w:val="007006AA"/>
    <w:rsid w:val="0070390B"/>
    <w:rsid w:val="00704D53"/>
    <w:rsid w:val="00705534"/>
    <w:rsid w:val="00707F54"/>
    <w:rsid w:val="00712E83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4F0B"/>
    <w:rsid w:val="0073657A"/>
    <w:rsid w:val="007374A2"/>
    <w:rsid w:val="00737A4B"/>
    <w:rsid w:val="0074223E"/>
    <w:rsid w:val="0075110D"/>
    <w:rsid w:val="00751258"/>
    <w:rsid w:val="00752338"/>
    <w:rsid w:val="007531D5"/>
    <w:rsid w:val="007558CC"/>
    <w:rsid w:val="00756481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42B9"/>
    <w:rsid w:val="00786227"/>
    <w:rsid w:val="007867BE"/>
    <w:rsid w:val="00787B5A"/>
    <w:rsid w:val="00791341"/>
    <w:rsid w:val="0079201C"/>
    <w:rsid w:val="00794199"/>
    <w:rsid w:val="00794C76"/>
    <w:rsid w:val="007A0CFA"/>
    <w:rsid w:val="007A0FAA"/>
    <w:rsid w:val="007A46AC"/>
    <w:rsid w:val="007A757F"/>
    <w:rsid w:val="007B18D1"/>
    <w:rsid w:val="007B3C3E"/>
    <w:rsid w:val="007C2A47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23FE"/>
    <w:rsid w:val="00813E51"/>
    <w:rsid w:val="00813FD5"/>
    <w:rsid w:val="008145C6"/>
    <w:rsid w:val="00814B0C"/>
    <w:rsid w:val="00816206"/>
    <w:rsid w:val="008165C0"/>
    <w:rsid w:val="008211A2"/>
    <w:rsid w:val="00822634"/>
    <w:rsid w:val="008267B8"/>
    <w:rsid w:val="00827304"/>
    <w:rsid w:val="008336F6"/>
    <w:rsid w:val="00833C48"/>
    <w:rsid w:val="00835EC2"/>
    <w:rsid w:val="00836AB1"/>
    <w:rsid w:val="00841EC2"/>
    <w:rsid w:val="0084288E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610A8"/>
    <w:rsid w:val="008639AF"/>
    <w:rsid w:val="00866198"/>
    <w:rsid w:val="008662BA"/>
    <w:rsid w:val="00866518"/>
    <w:rsid w:val="00866653"/>
    <w:rsid w:val="008678CD"/>
    <w:rsid w:val="0087191A"/>
    <w:rsid w:val="008731A5"/>
    <w:rsid w:val="00874118"/>
    <w:rsid w:val="00876637"/>
    <w:rsid w:val="00880D78"/>
    <w:rsid w:val="008818D0"/>
    <w:rsid w:val="008846FE"/>
    <w:rsid w:val="00884E4E"/>
    <w:rsid w:val="00884EF8"/>
    <w:rsid w:val="008878FC"/>
    <w:rsid w:val="00891166"/>
    <w:rsid w:val="00892C5F"/>
    <w:rsid w:val="00894F91"/>
    <w:rsid w:val="0089707B"/>
    <w:rsid w:val="008A0844"/>
    <w:rsid w:val="008A28E2"/>
    <w:rsid w:val="008A2F30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401A"/>
    <w:rsid w:val="008C539C"/>
    <w:rsid w:val="008C6071"/>
    <w:rsid w:val="008D090A"/>
    <w:rsid w:val="008D1F41"/>
    <w:rsid w:val="008D2B0A"/>
    <w:rsid w:val="008D2BE5"/>
    <w:rsid w:val="008D4478"/>
    <w:rsid w:val="008D4701"/>
    <w:rsid w:val="008D4BDA"/>
    <w:rsid w:val="008D5B4C"/>
    <w:rsid w:val="008D7821"/>
    <w:rsid w:val="008E5F56"/>
    <w:rsid w:val="008E6057"/>
    <w:rsid w:val="008E6C6C"/>
    <w:rsid w:val="008E7C66"/>
    <w:rsid w:val="008F0883"/>
    <w:rsid w:val="008F2AC7"/>
    <w:rsid w:val="008F6BD3"/>
    <w:rsid w:val="008F7FCD"/>
    <w:rsid w:val="00902292"/>
    <w:rsid w:val="00902A8C"/>
    <w:rsid w:val="0090638B"/>
    <w:rsid w:val="009074D0"/>
    <w:rsid w:val="00907E43"/>
    <w:rsid w:val="009104DE"/>
    <w:rsid w:val="00910D47"/>
    <w:rsid w:val="00911AC8"/>
    <w:rsid w:val="0091223C"/>
    <w:rsid w:val="009150BF"/>
    <w:rsid w:val="009176C1"/>
    <w:rsid w:val="00923320"/>
    <w:rsid w:val="009270EA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94"/>
    <w:rsid w:val="009506EF"/>
    <w:rsid w:val="00951855"/>
    <w:rsid w:val="00952B64"/>
    <w:rsid w:val="009561FF"/>
    <w:rsid w:val="0096093A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EE3"/>
    <w:rsid w:val="009E364F"/>
    <w:rsid w:val="009E4132"/>
    <w:rsid w:val="009E61E9"/>
    <w:rsid w:val="009E66E5"/>
    <w:rsid w:val="009E76D8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53ED"/>
    <w:rsid w:val="00A41105"/>
    <w:rsid w:val="00A418EE"/>
    <w:rsid w:val="00A46D79"/>
    <w:rsid w:val="00A4732D"/>
    <w:rsid w:val="00A47BFB"/>
    <w:rsid w:val="00A5065A"/>
    <w:rsid w:val="00A53664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807F5"/>
    <w:rsid w:val="00A80DE6"/>
    <w:rsid w:val="00A8541E"/>
    <w:rsid w:val="00A86021"/>
    <w:rsid w:val="00A902FD"/>
    <w:rsid w:val="00A908FD"/>
    <w:rsid w:val="00A94300"/>
    <w:rsid w:val="00AA1031"/>
    <w:rsid w:val="00AA1AB8"/>
    <w:rsid w:val="00AA2E71"/>
    <w:rsid w:val="00AA656F"/>
    <w:rsid w:val="00AA69D4"/>
    <w:rsid w:val="00AB127F"/>
    <w:rsid w:val="00AB19D4"/>
    <w:rsid w:val="00AB31CB"/>
    <w:rsid w:val="00AB5DD7"/>
    <w:rsid w:val="00AB64D6"/>
    <w:rsid w:val="00AB76C4"/>
    <w:rsid w:val="00AC0891"/>
    <w:rsid w:val="00AC134B"/>
    <w:rsid w:val="00AC4148"/>
    <w:rsid w:val="00AC7652"/>
    <w:rsid w:val="00AC78CE"/>
    <w:rsid w:val="00AD0354"/>
    <w:rsid w:val="00AD0D35"/>
    <w:rsid w:val="00AD2D4B"/>
    <w:rsid w:val="00AD59CE"/>
    <w:rsid w:val="00AD6CD3"/>
    <w:rsid w:val="00AD6E48"/>
    <w:rsid w:val="00AD7041"/>
    <w:rsid w:val="00AD791A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201FC"/>
    <w:rsid w:val="00B2044B"/>
    <w:rsid w:val="00B21009"/>
    <w:rsid w:val="00B23AB0"/>
    <w:rsid w:val="00B23B31"/>
    <w:rsid w:val="00B24CED"/>
    <w:rsid w:val="00B24DD6"/>
    <w:rsid w:val="00B2651D"/>
    <w:rsid w:val="00B30B7F"/>
    <w:rsid w:val="00B318E6"/>
    <w:rsid w:val="00B31D7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3E83"/>
    <w:rsid w:val="00B44319"/>
    <w:rsid w:val="00B45093"/>
    <w:rsid w:val="00B450D5"/>
    <w:rsid w:val="00B455A1"/>
    <w:rsid w:val="00B459D2"/>
    <w:rsid w:val="00B45E23"/>
    <w:rsid w:val="00B464DB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70189"/>
    <w:rsid w:val="00B71298"/>
    <w:rsid w:val="00B71626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ADC"/>
    <w:rsid w:val="00B94DDB"/>
    <w:rsid w:val="00B966CD"/>
    <w:rsid w:val="00B9792A"/>
    <w:rsid w:val="00BA2AFE"/>
    <w:rsid w:val="00BA410E"/>
    <w:rsid w:val="00BA478B"/>
    <w:rsid w:val="00BA721B"/>
    <w:rsid w:val="00BA770B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F0037"/>
    <w:rsid w:val="00BF0563"/>
    <w:rsid w:val="00BF19E6"/>
    <w:rsid w:val="00BF3785"/>
    <w:rsid w:val="00BF5D5D"/>
    <w:rsid w:val="00BF6FB3"/>
    <w:rsid w:val="00BF7F04"/>
    <w:rsid w:val="00C0056F"/>
    <w:rsid w:val="00C011CC"/>
    <w:rsid w:val="00C015F3"/>
    <w:rsid w:val="00C0233E"/>
    <w:rsid w:val="00C03E50"/>
    <w:rsid w:val="00C04D56"/>
    <w:rsid w:val="00C05F2C"/>
    <w:rsid w:val="00C07DD8"/>
    <w:rsid w:val="00C11E7C"/>
    <w:rsid w:val="00C17222"/>
    <w:rsid w:val="00C22D00"/>
    <w:rsid w:val="00C2495D"/>
    <w:rsid w:val="00C2793E"/>
    <w:rsid w:val="00C309D9"/>
    <w:rsid w:val="00C33BEE"/>
    <w:rsid w:val="00C34D70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5911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A0904"/>
    <w:rsid w:val="00CA22C3"/>
    <w:rsid w:val="00CB0A69"/>
    <w:rsid w:val="00CB1FF1"/>
    <w:rsid w:val="00CB304A"/>
    <w:rsid w:val="00CB3184"/>
    <w:rsid w:val="00CB48EB"/>
    <w:rsid w:val="00CC104B"/>
    <w:rsid w:val="00CC3355"/>
    <w:rsid w:val="00CC3691"/>
    <w:rsid w:val="00CC3F3E"/>
    <w:rsid w:val="00CC7274"/>
    <w:rsid w:val="00CC73B0"/>
    <w:rsid w:val="00CD16F0"/>
    <w:rsid w:val="00CD51D6"/>
    <w:rsid w:val="00CD5EFC"/>
    <w:rsid w:val="00CD6C1F"/>
    <w:rsid w:val="00CD7752"/>
    <w:rsid w:val="00CE08A1"/>
    <w:rsid w:val="00CE0968"/>
    <w:rsid w:val="00CE1901"/>
    <w:rsid w:val="00CE2606"/>
    <w:rsid w:val="00CE6EDD"/>
    <w:rsid w:val="00CE79EF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10677"/>
    <w:rsid w:val="00D12831"/>
    <w:rsid w:val="00D13B89"/>
    <w:rsid w:val="00D156DD"/>
    <w:rsid w:val="00D15C0C"/>
    <w:rsid w:val="00D16063"/>
    <w:rsid w:val="00D204BC"/>
    <w:rsid w:val="00D22148"/>
    <w:rsid w:val="00D22CE1"/>
    <w:rsid w:val="00D248DE"/>
    <w:rsid w:val="00D273D4"/>
    <w:rsid w:val="00D27EF3"/>
    <w:rsid w:val="00D326CA"/>
    <w:rsid w:val="00D352DB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84F"/>
    <w:rsid w:val="00D566E1"/>
    <w:rsid w:val="00D57130"/>
    <w:rsid w:val="00D61D42"/>
    <w:rsid w:val="00D62891"/>
    <w:rsid w:val="00D65C15"/>
    <w:rsid w:val="00D663E1"/>
    <w:rsid w:val="00D66D86"/>
    <w:rsid w:val="00D676F7"/>
    <w:rsid w:val="00D70280"/>
    <w:rsid w:val="00D70D76"/>
    <w:rsid w:val="00D71C76"/>
    <w:rsid w:val="00D73178"/>
    <w:rsid w:val="00D74489"/>
    <w:rsid w:val="00D746ED"/>
    <w:rsid w:val="00D749FF"/>
    <w:rsid w:val="00D7719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B090D"/>
    <w:rsid w:val="00DB0AC2"/>
    <w:rsid w:val="00DB166F"/>
    <w:rsid w:val="00DB1B8C"/>
    <w:rsid w:val="00DB2A90"/>
    <w:rsid w:val="00DB48E5"/>
    <w:rsid w:val="00DB4FAC"/>
    <w:rsid w:val="00DB4FFD"/>
    <w:rsid w:val="00DB560A"/>
    <w:rsid w:val="00DB7196"/>
    <w:rsid w:val="00DC130D"/>
    <w:rsid w:val="00DC409A"/>
    <w:rsid w:val="00DC4589"/>
    <w:rsid w:val="00DC4814"/>
    <w:rsid w:val="00DC7F4A"/>
    <w:rsid w:val="00DD3A55"/>
    <w:rsid w:val="00DD5F5D"/>
    <w:rsid w:val="00DE643A"/>
    <w:rsid w:val="00DF0D11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C37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3517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C3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A76"/>
    <w:rsid w:val="00FD2905"/>
    <w:rsid w:val="00FD3E60"/>
    <w:rsid w:val="00FD6F9B"/>
    <w:rsid w:val="00FD74EE"/>
    <w:rsid w:val="00FE1E32"/>
    <w:rsid w:val="00FE3EAB"/>
    <w:rsid w:val="00FE5DD4"/>
    <w:rsid w:val="00FE66A7"/>
    <w:rsid w:val="00FF0713"/>
    <w:rsid w:val="00FF191F"/>
    <w:rsid w:val="00FF1B1F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9DF0935-B399-48BD-A149-CC58F539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B66DB-2617-4EB4-A4B5-9FD3784F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4400</Characters>
  <Application>Microsoft Office Word</Application>
  <DocSecurity>0</DocSecurity>
  <Lines>36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2018-07-02T08:04:00Z</cp:lastPrinted>
  <dcterms:created xsi:type="dcterms:W3CDTF">2018-08-02T07:52:00Z</dcterms:created>
  <dcterms:modified xsi:type="dcterms:W3CDTF">2018-08-02T07:52:00Z</dcterms:modified>
</cp:coreProperties>
</file>