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C72547">
            <w:pPr>
              <w:pStyle w:val="Antrat2"/>
              <w:tabs>
                <w:tab w:val="center" w:pos="3402"/>
              </w:tabs>
              <w:rPr>
                <w:b w:val="0"/>
                <w:caps w:val="0"/>
                <w:sz w:val="24"/>
              </w:rPr>
            </w:pPr>
            <w:r>
              <w:rPr>
                <w:b w:val="0"/>
                <w:caps w:val="0"/>
                <w:sz w:val="24"/>
              </w:rPr>
              <w:t>202</w:t>
            </w:r>
            <w:r>
              <w:rPr>
                <w:b w:val="0"/>
                <w:caps w:val="0"/>
                <w:sz w:val="24"/>
                <w:lang w:val="en-US"/>
              </w:rPr>
              <w:t>1</w:t>
            </w:r>
            <w:r w:rsidR="00BC10AC">
              <w:rPr>
                <w:b w:val="0"/>
                <w:caps w:val="0"/>
                <w:sz w:val="24"/>
              </w:rPr>
              <w:t xml:space="preserve"> m. </w:t>
            </w:r>
            <w:r>
              <w:rPr>
                <w:b w:val="0"/>
                <w:caps w:val="0"/>
                <w:sz w:val="24"/>
              </w:rPr>
              <w:t xml:space="preserve">kovo </w:t>
            </w:r>
            <w:r w:rsidR="001A3894">
              <w:rPr>
                <w:b w:val="0"/>
                <w:caps w:val="0"/>
                <w:sz w:val="24"/>
                <w:lang w:val="en-US"/>
              </w:rPr>
              <w:t>30</w:t>
            </w:r>
            <w:r>
              <w:rPr>
                <w:b w:val="0"/>
                <w:caps w:val="0"/>
                <w:sz w:val="24"/>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1A3894">
              <w:rPr>
                <w:b w:val="0"/>
                <w:caps w:val="0"/>
                <w:sz w:val="24"/>
              </w:rPr>
              <w:t>335</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Default="00800202" w:rsidP="00C72547">
      <w:pPr>
        <w:jc w:val="both"/>
        <w:rPr>
          <w:lang w:eastAsia="sl-SI"/>
        </w:rPr>
      </w:pPr>
      <w:r w:rsidRPr="002B38B1">
        <w:t xml:space="preserve">           </w:t>
      </w:r>
      <w:r w:rsidR="00C72547">
        <w:t xml:space="preserve">Vadovaudamasis Lietuvos Respublikos farmacijos įstatymo 17 straipsnio 2 dalimi ir atsižvelgdamas į tai, kad vaistinio preparato </w:t>
      </w:r>
      <w:proofErr w:type="spellStart"/>
      <w:r w:rsidR="00C72547">
        <w:rPr>
          <w:i/>
          <w:lang w:eastAsia="sl-SI"/>
        </w:rPr>
        <w:t>Mirena</w:t>
      </w:r>
      <w:proofErr w:type="spellEnd"/>
      <w:r w:rsidR="00C72547">
        <w:rPr>
          <w:i/>
          <w:lang w:eastAsia="sl-SI"/>
        </w:rPr>
        <w:t xml:space="preserve"> 20 </w:t>
      </w:r>
      <w:proofErr w:type="spellStart"/>
      <w:r w:rsidR="00C72547">
        <w:rPr>
          <w:i/>
          <w:lang w:eastAsia="sl-SI"/>
        </w:rPr>
        <w:t>mikrogramų</w:t>
      </w:r>
      <w:proofErr w:type="spellEnd"/>
      <w:r w:rsidR="00C72547">
        <w:rPr>
          <w:i/>
          <w:lang w:eastAsia="sl-SI"/>
        </w:rPr>
        <w:t>/24 valandoms vartojimo į gimdos ertmę sistema</w:t>
      </w:r>
      <w:r w:rsidR="00C72547">
        <w:rPr>
          <w:lang w:eastAsia="sl-SI"/>
        </w:rPr>
        <w:t xml:space="preserve"> </w:t>
      </w:r>
      <w:r w:rsidR="00C72547">
        <w:t>kartu su paraiška registruoti lygiagrečiai importuojamą vaistinį preparatą pateikti dokumentai atitinka teisės aktų nustatytus reikalavimus:</w:t>
      </w:r>
    </w:p>
    <w:p w:rsidR="00C72547" w:rsidRDefault="00C72547" w:rsidP="00C72547">
      <w:pPr>
        <w:pStyle w:val="Betarp"/>
        <w:jc w:val="both"/>
      </w:pPr>
      <w:r>
        <w:t xml:space="preserve">         1. R e g i s t r u o j u lygiagrečiai importuojamą vaistinį preparatą </w:t>
      </w:r>
      <w:proofErr w:type="spellStart"/>
      <w:r>
        <w:rPr>
          <w:i/>
          <w:lang w:eastAsia="sl-SI"/>
        </w:rPr>
        <w:t>Mirena</w:t>
      </w:r>
      <w:proofErr w:type="spellEnd"/>
      <w:r>
        <w:rPr>
          <w:i/>
          <w:lang w:eastAsia="sl-SI"/>
        </w:rPr>
        <w:t xml:space="preserve"> 20 </w:t>
      </w:r>
      <w:proofErr w:type="spellStart"/>
      <w:r>
        <w:rPr>
          <w:i/>
          <w:lang w:eastAsia="sl-SI"/>
        </w:rPr>
        <w:t>mikrogramų</w:t>
      </w:r>
      <w:proofErr w:type="spellEnd"/>
      <w:r>
        <w:rPr>
          <w:i/>
          <w:lang w:eastAsia="sl-SI"/>
        </w:rPr>
        <w:t>/24 valandoms vartojimo į gimdos ertmę sistema</w:t>
      </w:r>
      <w:r>
        <w:t xml:space="preserve"> (veiklioji medžiaga – </w:t>
      </w:r>
      <w:proofErr w:type="spellStart"/>
      <w:r>
        <w:rPr>
          <w:lang w:eastAsia="sl-SI"/>
        </w:rPr>
        <w:t>levonorgestrelis</w:t>
      </w:r>
      <w:proofErr w:type="spellEnd"/>
      <w:r>
        <w:t xml:space="preserve">, lygiagretaus importo leidimo numeris – LT/L/21/1505/001, lygiagretaus importo leidimo turėtojas – UAB „Limedika“, Lietuva, paraiškos numeris – 1860514, eksportuojanti valstybė – Ispanija, klasifikacija – receptinis vaistinis preparatas, pakuotė – lizdinė plokštelė, N1, referencinio vaistinio preparato pavadinimas – </w:t>
      </w:r>
      <w:proofErr w:type="spellStart"/>
      <w:r>
        <w:t>Mirena</w:t>
      </w:r>
      <w:proofErr w:type="spellEnd"/>
      <w:r>
        <w:t xml:space="preserve"> 20 </w:t>
      </w:r>
      <w:proofErr w:type="spellStart"/>
      <w:r>
        <w:t>mikrogramų</w:t>
      </w:r>
      <w:proofErr w:type="spellEnd"/>
      <w:r>
        <w:t>/24 valandoms vartojimo į gimdos ertmę sistema, referencinio vaistinio preparato registracijos pažymėjimo numeris – LT/1/98/0172/001, referencinio vaistinio preparato registruotojas – Bayer AG, Vokietija).</w:t>
      </w:r>
    </w:p>
    <w:p w:rsidR="00C72547" w:rsidRDefault="00C72547" w:rsidP="00C72547">
      <w:pPr>
        <w:ind w:firstLine="709"/>
        <w:jc w:val="both"/>
      </w:pPr>
      <w:r>
        <w:rPr>
          <w:bCs/>
          <w:noProof/>
        </w:rPr>
        <w:t>2.</w:t>
      </w:r>
      <w:r>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rPr>
                <w:lang w:val="en-US" w:eastAsia="lt-LT"/>
              </w:rPr>
            </w:pPr>
            <w:r>
              <w:t xml:space="preserve">Viršininko pavaduotojas, </w:t>
            </w:r>
          </w:p>
          <w:p w:rsidR="00C72547" w:rsidRDefault="00C72547">
            <w:pPr>
              <w:rPr>
                <w:lang w:val="en-US"/>
              </w:rPr>
            </w:pPr>
            <w:r>
              <w:t>laikinai vykdantis viršininko funkcijas                                                              Žydrūnas Martinėnas</w:t>
            </w: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0ADF698"/>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6AC6F1CB-853E-4AF9-AD88-86E66CAF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8</cp:revision>
  <cp:lastPrinted>2020-11-03T14:09:00Z</cp:lastPrinted>
  <dcterms:created xsi:type="dcterms:W3CDTF">2020-12-21T07:09:00Z</dcterms:created>
  <dcterms:modified xsi:type="dcterms:W3CDTF">2021-04-01T11:48:00Z</dcterms:modified>
</cp:coreProperties>
</file>