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714E26">
              <w:rPr>
                <w:b w:val="0"/>
                <w:caps w:val="0"/>
                <w:sz w:val="24"/>
              </w:rPr>
              <w:t>21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714E26">
              <w:rPr>
                <w:b w:val="0"/>
                <w:caps w:val="0"/>
                <w:sz w:val="24"/>
              </w:rPr>
              <w:t>birželio</w:t>
            </w:r>
            <w:r w:rsidR="005435BA">
              <w:rPr>
                <w:b w:val="0"/>
                <w:caps w:val="0"/>
                <w:sz w:val="24"/>
              </w:rPr>
              <w:t xml:space="preserve"> 4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</w:t>
            </w:r>
            <w:r w:rsidR="00714E26">
              <w:rPr>
                <w:b w:val="0"/>
                <w:caps w:val="0"/>
                <w:sz w:val="24"/>
              </w:rPr>
              <w:t>E</w:t>
            </w:r>
            <w:r w:rsidR="00707F54" w:rsidRPr="00726933">
              <w:rPr>
                <w:b w:val="0"/>
                <w:caps w:val="0"/>
                <w:sz w:val="24"/>
              </w:rPr>
              <w:t>)1A-</w:t>
            </w:r>
            <w:r w:rsidR="005435BA">
              <w:rPr>
                <w:b w:val="0"/>
                <w:caps w:val="0"/>
                <w:sz w:val="24"/>
              </w:rPr>
              <w:t>641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AD736C">
        <w:rPr>
          <w:rStyle w:val="Italic"/>
        </w:rPr>
        <w:t>Barium sulfuricum Medana 1 g/ml geriamoji ar tiesiosios žarnos suspensija, Imovane 7,5 mg plėvele dengtos tabletės, Cordarone 200 mg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985E55" w:rsidRPr="00985E55">
        <w:rPr>
          <w:rStyle w:val="Italic"/>
        </w:rPr>
        <w:t>Barium sulfuricum Medana 1 g/ml geriamoji ar tiesiosios žarnos suspensija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985E55">
        <w:t>bario sulfatas</w:t>
      </w:r>
      <w:r>
        <w:t>,</w:t>
      </w:r>
      <w:r w:rsidRPr="0091068E">
        <w:t xml:space="preserve"> lygiagretaus importo leidimo numeris – </w:t>
      </w:r>
      <w:r w:rsidR="00985E55">
        <w:t>LT/L/21/1535/001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714E26">
        <w:t>Ideal Trade Links</w:t>
      </w:r>
      <w:r>
        <w:t>“,</w:t>
      </w:r>
      <w:r w:rsidRPr="00A86021">
        <w:t xml:space="preserve"> Lietuva</w:t>
      </w:r>
      <w:r w:rsidR="00714E26">
        <w:t>, paraiškos numeris - 2054690</w:t>
      </w:r>
      <w:r w:rsidRPr="0091068E">
        <w:t>, eksportuojanti valstybė –</w:t>
      </w:r>
      <w:r>
        <w:t xml:space="preserve"> </w:t>
      </w:r>
      <w:r w:rsidR="00985E55">
        <w:t>Lenkija</w:t>
      </w:r>
      <w:r w:rsidRPr="0091068E">
        <w:t xml:space="preserve">, klasifikacija – </w:t>
      </w:r>
      <w:r w:rsidR="00714E26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714E26">
        <w:t>buteliukas, 200 ml N1</w:t>
      </w:r>
      <w:r>
        <w:t>,</w:t>
      </w:r>
      <w:r w:rsidRPr="0091068E">
        <w:t xml:space="preserve"> referencinio vaistinio preparato pavadinimas – </w:t>
      </w:r>
      <w:r w:rsidR="00714E26">
        <w:t>BARII</w:t>
      </w:r>
      <w:r w:rsidR="00714E26" w:rsidRPr="00714E26">
        <w:t xml:space="preserve"> </w:t>
      </w:r>
      <w:r w:rsidR="00714E26">
        <w:t xml:space="preserve">SULFAS </w:t>
      </w:r>
      <w:r w:rsidR="00714E26" w:rsidRPr="00714E26">
        <w:t>Medana 1 g/ml geriamoji ar tiesiosios žarnos suspensija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985E55">
        <w:t>LT/1/95/0786/002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714E26" w:rsidRPr="00714E26">
        <w:t>Medana Pharma SA, Lenkija</w:t>
      </w:r>
      <w:r w:rsidR="004945E6">
        <w:t>)</w:t>
      </w:r>
      <w:r w:rsidR="0022257D">
        <w:t>;</w:t>
      </w:r>
    </w:p>
    <w:p w:rsidR="00D268CE" w:rsidRDefault="00D268C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Imovane 7,5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zopiklonas,</w:t>
      </w:r>
      <w:r w:rsidRPr="0091068E">
        <w:t xml:space="preserve"> lygiagretaus importo leidimo numeris – </w:t>
      </w:r>
      <w:r>
        <w:t xml:space="preserve">LT/L/21/1536/001, LT/L/21/1536/002, LT/L/21/1536/003,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>
        <w:t>, paraiškos numeris - 2036943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N20, lizdinė plokštelė, N40, lizdinė plokštelė, N60,</w:t>
      </w:r>
      <w:r w:rsidRPr="0091068E">
        <w:t xml:space="preserve"> referencinio vaistinio preparato pavadinimas – </w:t>
      </w:r>
      <w:r w:rsidRPr="00D268CE">
        <w:t>Imovane 7,5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LT/1/97/1916/001, r</w:t>
      </w:r>
      <w:r w:rsidRPr="0091068E">
        <w:t xml:space="preserve">eferencinio vaistinio preparato registruotojas </w:t>
      </w:r>
      <w:r>
        <w:t xml:space="preserve">– </w:t>
      </w:r>
      <w:r w:rsidRPr="00D268CE">
        <w:t>SANOFI-AVENTIS LIETUVA, UAB, Lietuva</w:t>
      </w:r>
      <w:r>
        <w:t>);</w:t>
      </w:r>
    </w:p>
    <w:p w:rsidR="00E059F6" w:rsidRDefault="00D268CE" w:rsidP="00E059F6">
      <w:pPr>
        <w:pStyle w:val="ListParagraph"/>
        <w:numPr>
          <w:ilvl w:val="1"/>
          <w:numId w:val="8"/>
        </w:numPr>
        <w:ind w:left="-142" w:right="-142" w:firstLine="709"/>
        <w:jc w:val="both"/>
        <w:rPr>
          <w:rStyle w:val="PlaceholderText"/>
        </w:rPr>
      </w:pPr>
      <w:r w:rsidRPr="0091068E">
        <w:t xml:space="preserve">lygiagrečiai importuojamą vaistinį preparatą </w:t>
      </w:r>
      <w:r>
        <w:rPr>
          <w:rStyle w:val="Italic"/>
        </w:rPr>
        <w:t>Cordarone 200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amjodarono hidrochloridas,</w:t>
      </w:r>
      <w:r w:rsidRPr="0091068E">
        <w:t xml:space="preserve"> lygiagretaus importo leidimo numeris – </w:t>
      </w:r>
      <w:r>
        <w:t xml:space="preserve">LT/L/21/1537/001, </w:t>
      </w:r>
      <w:r w:rsidRPr="0091068E">
        <w:t xml:space="preserve">lygiagretaus importo leidimo turėtojas – </w:t>
      </w:r>
      <w:r>
        <w:t>UAB „</w:t>
      </w:r>
      <w:r w:rsidR="008D0E68">
        <w:t>TOJARIS PROJEKTAI</w:t>
      </w:r>
      <w:r>
        <w:t>“,</w:t>
      </w:r>
      <w:r w:rsidRPr="00A86021">
        <w:t xml:space="preserve"> Lietuva</w:t>
      </w:r>
      <w:r>
        <w:t xml:space="preserve">, paraiškos numeris - </w:t>
      </w:r>
      <w:r w:rsidR="008D0E68">
        <w:t>1994357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 w:rsidR="008D0E68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8D0E68">
        <w:t>lizdinė plokštelė, N30</w:t>
      </w:r>
      <w:r>
        <w:t>,</w:t>
      </w:r>
      <w:r w:rsidRPr="0091068E">
        <w:t xml:space="preserve"> referencinio vaistinio preparato pavadinimas – </w:t>
      </w:r>
      <w:r w:rsidR="008D0E68" w:rsidRPr="008D0E68">
        <w:t>Cordarone 200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LT/1/96/1502/001, r</w:t>
      </w:r>
      <w:r w:rsidRPr="0091068E">
        <w:t xml:space="preserve">eferencinio vaistinio preparato registruotojas </w:t>
      </w:r>
      <w:r>
        <w:t xml:space="preserve">– </w:t>
      </w:r>
      <w:r w:rsidR="008D0E68" w:rsidRPr="008D0E68">
        <w:t>SANOFI-AVENTIS LIETUVA, UAB, Lietuva</w:t>
      </w:r>
      <w:r>
        <w:t>)</w:t>
      </w:r>
      <w:r w:rsidR="00FC0EDE">
        <w:t>.</w:t>
      </w:r>
    </w:p>
    <w:p w:rsidR="00E059F6" w:rsidRPr="00E059F6" w:rsidRDefault="00E059F6" w:rsidP="00E059F6">
      <w:pPr>
        <w:pStyle w:val="NoSpacing"/>
        <w:jc w:val="both"/>
        <w:rPr>
          <w:rStyle w:val="Emphasis"/>
          <w:i w:val="0"/>
          <w:iCs w:val="0"/>
        </w:rPr>
      </w:pPr>
      <w:r>
        <w:rPr>
          <w:rStyle w:val="Emphasis"/>
          <w:i w:val="0"/>
        </w:rPr>
        <w:t xml:space="preserve">          2. </w:t>
      </w:r>
      <w:r w:rsidR="00C15CC7" w:rsidRPr="00E059F6">
        <w:rPr>
          <w:rStyle w:val="Emphasis"/>
          <w:i w:val="0"/>
        </w:rPr>
        <w:t>Šis įsakymas per vieną mėnesį nuo jo paskelbimo dienos</w:t>
      </w:r>
      <w:r>
        <w:rPr>
          <w:rStyle w:val="Emphasis"/>
          <w:i w:val="0"/>
        </w:rPr>
        <w:t xml:space="preserve"> gali būti skundžiamas Lietuvos </w:t>
      </w:r>
      <w:r w:rsidR="00C15CC7" w:rsidRPr="00E059F6">
        <w:rPr>
          <w:rStyle w:val="Emphasis"/>
          <w:i w:val="0"/>
        </w:rPr>
        <w:t xml:space="preserve">Respublikos ikiteisminio administracinių ginčų nagrinėjimo tvarkos įstatymo nustatyta tvarka Lietuvos administracinių ginčų komisijai arba Lietuvos Respublikos administracinių bylų </w:t>
      </w:r>
    </w:p>
    <w:p w:rsidR="00E059F6" w:rsidRDefault="00E059F6" w:rsidP="00E059F6">
      <w:pPr>
        <w:pStyle w:val="NoSpacing"/>
        <w:jc w:val="both"/>
        <w:rPr>
          <w:rStyle w:val="Emphasis"/>
          <w:i w:val="0"/>
        </w:rPr>
      </w:pPr>
    </w:p>
    <w:p w:rsidR="00E059F6" w:rsidRDefault="00E059F6" w:rsidP="00E059F6">
      <w:pPr>
        <w:rPr>
          <w:rStyle w:val="Emphasis"/>
          <w:i w:val="0"/>
        </w:rPr>
      </w:pPr>
    </w:p>
    <w:p w:rsidR="00E059F6" w:rsidRDefault="00E059F6" w:rsidP="00E059F6">
      <w:pPr>
        <w:rPr>
          <w:rStyle w:val="Emphasis"/>
          <w:i w:val="0"/>
        </w:rPr>
      </w:pPr>
    </w:p>
    <w:p w:rsidR="00E059F6" w:rsidRDefault="00E059F6" w:rsidP="00E059F6">
      <w:pPr>
        <w:rPr>
          <w:rStyle w:val="Emphasis"/>
          <w:i w:val="0"/>
        </w:rPr>
      </w:pPr>
    </w:p>
    <w:p w:rsidR="00E059F6" w:rsidRDefault="00E059F6" w:rsidP="00E059F6">
      <w:pPr>
        <w:rPr>
          <w:rStyle w:val="Emphasis"/>
          <w:i w:val="0"/>
        </w:rPr>
      </w:pPr>
    </w:p>
    <w:p w:rsidR="00E059F6" w:rsidRDefault="00E059F6" w:rsidP="00E059F6">
      <w:pPr>
        <w:rPr>
          <w:rStyle w:val="Emphasis"/>
          <w:i w:val="0"/>
        </w:rPr>
      </w:pPr>
    </w:p>
    <w:p w:rsidR="00C15CC7" w:rsidRPr="00E059F6" w:rsidRDefault="00C15CC7" w:rsidP="00E059F6">
      <w:pPr>
        <w:rPr>
          <w:rStyle w:val="Emphasis"/>
          <w:i w:val="0"/>
        </w:rPr>
      </w:pPr>
      <w:r w:rsidRPr="00E059F6">
        <w:rPr>
          <w:rStyle w:val="Emphasis"/>
          <w:i w:val="0"/>
        </w:rPr>
        <w:t>teisenos įstatymo nustatyta tvarka Vilniaus apygardos administraciniam teismui.</w:t>
      </w:r>
    </w:p>
    <w:p w:rsidR="00846B67" w:rsidRPr="00726933" w:rsidRDefault="00846B67" w:rsidP="00C220BE">
      <w:pPr>
        <w:ind w:left="-142" w:right="-143" w:firstLine="709"/>
        <w:jc w:val="both"/>
      </w:pP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059F6" w:rsidRDefault="00E059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C15CC7" w:rsidRPr="00C15CC7" w:rsidRDefault="00C15CC7" w:rsidP="00C15CC7">
      <w:pPr>
        <w:overflowPunct w:val="0"/>
        <w:ind w:left="-142" w:right="-426"/>
        <w:jc w:val="both"/>
        <w:rPr>
          <w:sz w:val="18"/>
          <w:szCs w:val="18"/>
        </w:rPr>
      </w:pPr>
      <w:r w:rsidRPr="00C15CC7">
        <w:rPr>
          <w:sz w:val="18"/>
          <w:szCs w:val="18"/>
        </w:rPr>
        <w:t>Vaistų stebėsenos ir informacijos skyriaus vyriausioji specialistė</w:t>
      </w:r>
    </w:p>
    <w:p w:rsidR="00C15CC7" w:rsidRPr="00C15CC7" w:rsidRDefault="00C15CC7" w:rsidP="00C15CC7">
      <w:pPr>
        <w:overflowPunct w:val="0"/>
        <w:ind w:left="-142" w:right="-426"/>
        <w:jc w:val="both"/>
        <w:rPr>
          <w:sz w:val="18"/>
          <w:szCs w:val="18"/>
        </w:rPr>
      </w:pPr>
      <w:r w:rsidRPr="00C15CC7">
        <w:rPr>
          <w:sz w:val="18"/>
          <w:szCs w:val="18"/>
        </w:rPr>
        <w:t>R. Tomaševič</w:t>
      </w:r>
    </w:p>
    <w:p w:rsidR="00AB6814" w:rsidRPr="000C5B5C" w:rsidRDefault="00AB6814" w:rsidP="00C15CC7">
      <w:pPr>
        <w:overflowPunct w:val="0"/>
        <w:ind w:right="-426"/>
        <w:jc w:val="both"/>
        <w:rPr>
          <w:sz w:val="18"/>
          <w:szCs w:val="18"/>
        </w:rPr>
      </w:pPr>
    </w:p>
    <w:p w:rsidR="008C3D9A" w:rsidRPr="000413DC" w:rsidRDefault="00E059F6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2021-06-03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CAE" w:rsidRDefault="00695CAE">
      <w:r>
        <w:separator/>
      </w:r>
    </w:p>
  </w:endnote>
  <w:endnote w:type="continuationSeparator" w:id="0">
    <w:p w:rsidR="00695CAE" w:rsidRDefault="0069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CAE" w:rsidRDefault="00695CAE">
      <w:r>
        <w:separator/>
      </w:r>
    </w:p>
  </w:footnote>
  <w:footnote w:type="continuationSeparator" w:id="0">
    <w:p w:rsidR="00695CAE" w:rsidRDefault="00695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78CA7502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6114923E">
      <w:start w:val="1"/>
      <w:numFmt w:val="decimal"/>
      <w:lvlText w:val="1.%2."/>
      <w:lvlJc w:val="left"/>
      <w:pPr>
        <w:ind w:left="1210" w:hanging="360"/>
      </w:pPr>
      <w:rPr>
        <w:rFonts w:hint="default"/>
        <w:color w:val="auto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E55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361F5"/>
    <w:rsid w:val="005406A8"/>
    <w:rsid w:val="005406C3"/>
    <w:rsid w:val="00540ADD"/>
    <w:rsid w:val="0054210B"/>
    <w:rsid w:val="00543084"/>
    <w:rsid w:val="005435BA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5CAE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4E26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0E68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5E55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51D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36C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5CC7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68CE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59F6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0EDE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1653080-A135-40FE-A582-9927A5DF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  <w:style w:type="paragraph" w:styleId="NoSpacing">
    <w:name w:val="No Spacing"/>
    <w:uiPriority w:val="1"/>
    <w:qFormat/>
    <w:rsid w:val="00E059F6"/>
    <w:rPr>
      <w:sz w:val="24"/>
      <w:szCs w:val="24"/>
      <w:lang w:eastAsia="en-US"/>
    </w:rPr>
  </w:style>
  <w:style w:type="character" w:styleId="Emphasis">
    <w:name w:val="Emphasis"/>
    <w:basedOn w:val="DefaultParagraphFont"/>
    <w:qFormat/>
    <w:rsid w:val="00E059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6B5C8667-CF5F-436E-B6BD-14A8B3E6C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2140</Words>
  <Characters>1220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2021-06-04T05:27:00Z</dcterms:created>
  <dcterms:modified xsi:type="dcterms:W3CDTF">2021-06-04T05:27:00Z</dcterms:modified>
</cp:coreProperties>
</file>