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E5EB3" w14:textId="1955ADE3" w:rsidR="005F7602" w:rsidRDefault="005F7602" w:rsidP="002946C7">
      <w:pPr>
        <w:ind w:left="5529"/>
      </w:pPr>
    </w:p>
    <w:p w14:paraId="12FA4B9E" w14:textId="77777777" w:rsidR="001B3C5B" w:rsidRPr="00E33EFF" w:rsidRDefault="001B3C5B" w:rsidP="001B3C5B">
      <w:pPr>
        <w:ind w:left="6096"/>
      </w:pPr>
      <w:r w:rsidRPr="00E33EFF">
        <w:t>Forma patvirtinta</w:t>
      </w:r>
    </w:p>
    <w:p w14:paraId="7206970B" w14:textId="70E9BD2E" w:rsidR="004C263A" w:rsidRPr="00E33EFF" w:rsidRDefault="001B3C5B" w:rsidP="001B3C5B">
      <w:pPr>
        <w:ind w:left="6096"/>
      </w:pPr>
      <w:r w:rsidRPr="00E33EFF">
        <w:t>Valstybinės vaistų kontrolės tarnybos prie Lietuvos Respublikos sveikatos apsaugos ministerijos viršininko 2021 m</w:t>
      </w:r>
      <w:r w:rsidR="004C263A" w:rsidRPr="00E33EFF">
        <w:t xml:space="preserve">. lapkričio 12 </w:t>
      </w:r>
      <w:r w:rsidRPr="00E33EFF">
        <w:t>d. įsakymu Nr.</w:t>
      </w:r>
      <w:r w:rsidR="004C263A" w:rsidRPr="00E33EFF">
        <w:t xml:space="preserve"> (1.72E)1A-1418</w:t>
      </w:r>
    </w:p>
    <w:p w14:paraId="5B219AA6" w14:textId="520B9136" w:rsidR="001B3C5B" w:rsidRPr="00E33EFF" w:rsidRDefault="004C263A" w:rsidP="001B3C5B">
      <w:pPr>
        <w:ind w:left="6096"/>
      </w:pPr>
      <w:r w:rsidRPr="00E33EFF">
        <w:t>(Valstybinės vaistų kontrolės tarnybos prie Lietuvos Respublikos sveikatos apsaugos ministerijos viršininko 2022 m.                         d. įsakymo Nr.                    redakcija)</w:t>
      </w:r>
    </w:p>
    <w:p w14:paraId="3336BD74" w14:textId="77777777" w:rsidR="001B3C5B" w:rsidRPr="00E33EFF" w:rsidRDefault="001B3C5B" w:rsidP="00FA4169"/>
    <w:p w14:paraId="77AFB67E" w14:textId="16397257" w:rsidR="00613501" w:rsidRPr="00E33EFF" w:rsidRDefault="002F0E4F" w:rsidP="003B211A">
      <w:pPr>
        <w:jc w:val="center"/>
        <w:rPr>
          <w:b/>
          <w:bCs/>
          <w:caps/>
        </w:rPr>
      </w:pPr>
      <w:r w:rsidRPr="00E33EFF">
        <w:rPr>
          <w:b/>
        </w:rPr>
        <w:t xml:space="preserve">REKOMENDACIJA DĖL VAISTINIO PREPARATO </w:t>
      </w:r>
      <w:r w:rsidRPr="00E33EFF">
        <w:rPr>
          <w:b/>
          <w:bCs/>
          <w:caps/>
        </w:rPr>
        <w:t>Lietuvos Respublikos Sveikatos apsaugos ministerijos vaistinių preparatų ir medicinos pagalbos priemonių kompensavimo komisijai</w:t>
      </w:r>
    </w:p>
    <w:p w14:paraId="34E4395D" w14:textId="15FB10DF" w:rsidR="00B13D65" w:rsidRPr="00E33EFF" w:rsidRDefault="00B13D65" w:rsidP="003B211A">
      <w:pPr>
        <w:jc w:val="center"/>
        <w:rPr>
          <w:b/>
        </w:rPr>
      </w:pPr>
    </w:p>
    <w:p w14:paraId="4C3DC47D" w14:textId="77777777" w:rsidR="00E106CD" w:rsidRPr="00D05364" w:rsidRDefault="00E106CD" w:rsidP="00E106CD">
      <w:pPr>
        <w:jc w:val="center"/>
        <w:rPr>
          <w:b/>
        </w:rPr>
      </w:pPr>
      <w:proofErr w:type="spellStart"/>
      <w:r>
        <w:rPr>
          <w:b/>
        </w:rPr>
        <w:t>Rinvoq</w:t>
      </w:r>
      <w:proofErr w:type="spellEnd"/>
      <w:r>
        <w:rPr>
          <w:b/>
        </w:rPr>
        <w:t xml:space="preserve">  (15 mg; 30 mg) pailginto atpalaidavimo tabletės</w:t>
      </w:r>
    </w:p>
    <w:p w14:paraId="78A7D6CF" w14:textId="77777777" w:rsidR="00E106CD" w:rsidRPr="00D05364" w:rsidRDefault="00E106CD" w:rsidP="00E106CD">
      <w:pPr>
        <w:jc w:val="center"/>
      </w:pPr>
    </w:p>
    <w:p w14:paraId="59E8B683" w14:textId="77777777" w:rsidR="00E106CD" w:rsidRPr="00A06F95" w:rsidRDefault="00E106CD" w:rsidP="00E106CD">
      <w:pPr>
        <w:jc w:val="center"/>
        <w:rPr>
          <w:b/>
        </w:rPr>
      </w:pPr>
      <w:r w:rsidRPr="00A06F95">
        <w:rPr>
          <w:b/>
        </w:rPr>
        <w:t>(</w:t>
      </w:r>
      <w:proofErr w:type="spellStart"/>
      <w:r w:rsidRPr="00A06F95">
        <w:rPr>
          <w:b/>
        </w:rPr>
        <w:t>Upadacitinibas</w:t>
      </w:r>
      <w:proofErr w:type="spellEnd"/>
      <w:r w:rsidRPr="00A06F95">
        <w:rPr>
          <w:b/>
        </w:rPr>
        <w:t>)</w:t>
      </w:r>
    </w:p>
    <w:p w14:paraId="4FAEAE68" w14:textId="77777777" w:rsidR="00E106CD" w:rsidRPr="00D05364" w:rsidRDefault="00E106CD" w:rsidP="00E106CD">
      <w:pPr>
        <w:jc w:val="center"/>
      </w:pPr>
    </w:p>
    <w:p w14:paraId="7245D69E" w14:textId="77777777" w:rsidR="00937907" w:rsidRPr="00E33EFF" w:rsidRDefault="00937907" w:rsidP="00E106CD"/>
    <w:p w14:paraId="5BC2EA5D" w14:textId="7A4785BC" w:rsidR="00937907" w:rsidRPr="00E33EFF" w:rsidRDefault="00965789" w:rsidP="003B211A">
      <w:pPr>
        <w:jc w:val="center"/>
        <w:rPr>
          <w:b/>
        </w:rPr>
      </w:pPr>
      <w:r>
        <w:rPr>
          <w:b/>
        </w:rPr>
        <w:t>STV-87</w:t>
      </w:r>
    </w:p>
    <w:p w14:paraId="453197C8" w14:textId="77777777" w:rsidR="00D4708D" w:rsidRPr="00E33EFF" w:rsidRDefault="00D4708D" w:rsidP="003B211A">
      <w:pPr>
        <w:jc w:val="center"/>
        <w:rPr>
          <w:b/>
        </w:rPr>
      </w:pPr>
    </w:p>
    <w:p w14:paraId="78C89D1C" w14:textId="0DEFFAA5" w:rsidR="00D4485B" w:rsidRPr="00E33EFF" w:rsidRDefault="00B13D65" w:rsidP="00CC09D4">
      <w:pPr>
        <w:pStyle w:val="ListParagraph"/>
        <w:numPr>
          <w:ilvl w:val="0"/>
          <w:numId w:val="12"/>
        </w:numPr>
        <w:tabs>
          <w:tab w:val="left" w:pos="567"/>
        </w:tabs>
        <w:ind w:left="567" w:hanging="567"/>
        <w:rPr>
          <w:b/>
          <w:bCs/>
          <w:caps/>
        </w:rPr>
      </w:pPr>
      <w:r w:rsidRPr="00E33EFF">
        <w:rPr>
          <w:b/>
          <w:bCs/>
          <w:caps/>
        </w:rPr>
        <w:t>Bendroji dalis</w:t>
      </w:r>
    </w:p>
    <w:p w14:paraId="04A7C7A7" w14:textId="77777777" w:rsidR="00B13D65" w:rsidRPr="00E33EFF" w:rsidRDefault="00B13D65" w:rsidP="00E03C3F">
      <w:pPr>
        <w:pStyle w:val="ListParagraph"/>
        <w:tabs>
          <w:tab w:val="left" w:pos="284"/>
        </w:tabs>
        <w:ind w:left="0"/>
        <w:rPr>
          <w:b/>
          <w:bCs/>
          <w:caps/>
        </w:rPr>
      </w:pPr>
    </w:p>
    <w:tbl>
      <w:tblPr>
        <w:tblStyle w:val="TableGrid"/>
        <w:tblW w:w="9493" w:type="dxa"/>
        <w:tblLook w:val="04A0" w:firstRow="1" w:lastRow="0" w:firstColumn="1" w:lastColumn="0" w:noHBand="0" w:noVBand="1"/>
      </w:tblPr>
      <w:tblGrid>
        <w:gridCol w:w="632"/>
        <w:gridCol w:w="3694"/>
        <w:gridCol w:w="5167"/>
      </w:tblGrid>
      <w:tr w:rsidR="00B13D65" w:rsidRPr="00E33EFF" w14:paraId="18A83EC2" w14:textId="77777777" w:rsidTr="00BE7489">
        <w:trPr>
          <w:trHeight w:val="538"/>
        </w:trPr>
        <w:tc>
          <w:tcPr>
            <w:tcW w:w="632" w:type="dxa"/>
          </w:tcPr>
          <w:p w14:paraId="0646FBEA" w14:textId="77777777" w:rsidR="00B13D65" w:rsidRPr="00E33EFF" w:rsidRDefault="00B13D65" w:rsidP="00824B92">
            <w:pPr>
              <w:rPr>
                <w:rFonts w:eastAsia="Arial"/>
              </w:rPr>
            </w:pPr>
            <w:r w:rsidRPr="00E33EFF">
              <w:rPr>
                <w:rFonts w:eastAsia="Arial"/>
              </w:rPr>
              <w:t>1.1</w:t>
            </w:r>
          </w:p>
        </w:tc>
        <w:tc>
          <w:tcPr>
            <w:tcW w:w="3694" w:type="dxa"/>
          </w:tcPr>
          <w:p w14:paraId="6C3AE864" w14:textId="77777777" w:rsidR="00B13D65" w:rsidRPr="00E33EFF" w:rsidRDefault="00B13D65" w:rsidP="00824B92">
            <w:pPr>
              <w:rPr>
                <w:rFonts w:eastAsia="Arial"/>
              </w:rPr>
            </w:pPr>
            <w:r w:rsidRPr="00E33EFF">
              <w:rPr>
                <w:rFonts w:eastAsia="Arial"/>
              </w:rPr>
              <w:t>Pareiškėjas</w:t>
            </w:r>
          </w:p>
          <w:p w14:paraId="2AF240DC" w14:textId="77777777" w:rsidR="00B13D65" w:rsidRPr="00E33EFF" w:rsidRDefault="00B13D65" w:rsidP="00824B92">
            <w:pPr>
              <w:rPr>
                <w:rFonts w:eastAsia="Arial"/>
              </w:rPr>
            </w:pPr>
          </w:p>
        </w:tc>
        <w:tc>
          <w:tcPr>
            <w:tcW w:w="5167" w:type="dxa"/>
          </w:tcPr>
          <w:p w14:paraId="1ABCE5DE" w14:textId="2D47BAB7" w:rsidR="00937907" w:rsidRPr="00E33EFF" w:rsidRDefault="00E106CD" w:rsidP="00824B92">
            <w:r>
              <w:rPr>
                <w:color w:val="000000"/>
              </w:rPr>
              <w:t>UAB „</w:t>
            </w:r>
            <w:proofErr w:type="spellStart"/>
            <w:r w:rsidRPr="005F0C6E">
              <w:rPr>
                <w:color w:val="000000"/>
              </w:rPr>
              <w:t>AbbVie</w:t>
            </w:r>
            <w:proofErr w:type="spellEnd"/>
            <w:r>
              <w:rPr>
                <w:color w:val="000000"/>
              </w:rPr>
              <w:t>“</w:t>
            </w:r>
          </w:p>
          <w:p w14:paraId="2AAF0D91" w14:textId="77777777" w:rsidR="00B13D65" w:rsidRPr="00E33EFF" w:rsidRDefault="00B13D65" w:rsidP="00824B92">
            <w:pPr>
              <w:rPr>
                <w:rFonts w:eastAsia="Arial"/>
              </w:rPr>
            </w:pPr>
          </w:p>
        </w:tc>
      </w:tr>
      <w:tr w:rsidR="00B13D65" w:rsidRPr="00E33EFF" w14:paraId="31998B0D" w14:textId="77777777" w:rsidTr="00BE7489">
        <w:trPr>
          <w:trHeight w:val="538"/>
        </w:trPr>
        <w:tc>
          <w:tcPr>
            <w:tcW w:w="632" w:type="dxa"/>
          </w:tcPr>
          <w:p w14:paraId="2005EC67" w14:textId="662300D0" w:rsidR="00B13D65" w:rsidRPr="00E33EFF" w:rsidRDefault="002E0702" w:rsidP="00824B92">
            <w:pPr>
              <w:rPr>
                <w:rFonts w:eastAsia="Arial"/>
              </w:rPr>
            </w:pPr>
            <w:r w:rsidRPr="00E33EFF">
              <w:rPr>
                <w:rFonts w:eastAsia="Arial"/>
              </w:rPr>
              <w:t>1.2</w:t>
            </w:r>
          </w:p>
        </w:tc>
        <w:tc>
          <w:tcPr>
            <w:tcW w:w="3694" w:type="dxa"/>
          </w:tcPr>
          <w:p w14:paraId="1E4AE3B1" w14:textId="77777777" w:rsidR="00B13D65" w:rsidRPr="00E33EFF" w:rsidRDefault="00B13D65" w:rsidP="00824B92">
            <w:pPr>
              <w:rPr>
                <w:bCs/>
                <w:color w:val="000000"/>
                <w:lang w:eastAsia="lt-LT"/>
              </w:rPr>
            </w:pPr>
            <w:r w:rsidRPr="00E33EFF">
              <w:rPr>
                <w:bCs/>
                <w:color w:val="000000"/>
                <w:lang w:eastAsia="lt-LT"/>
              </w:rPr>
              <w:t xml:space="preserve">Registracijos data </w:t>
            </w:r>
          </w:p>
          <w:p w14:paraId="3A0DC096" w14:textId="77777777" w:rsidR="00B13D65" w:rsidRPr="00E33EFF" w:rsidRDefault="00B13D65" w:rsidP="00824B92">
            <w:pPr>
              <w:rPr>
                <w:bCs/>
                <w:color w:val="000000"/>
                <w:lang w:eastAsia="lt-LT"/>
              </w:rPr>
            </w:pPr>
          </w:p>
        </w:tc>
        <w:tc>
          <w:tcPr>
            <w:tcW w:w="5167" w:type="dxa"/>
          </w:tcPr>
          <w:p w14:paraId="3CA218AD" w14:textId="0D57F382" w:rsidR="00B13D65" w:rsidRPr="00E33EFF" w:rsidRDefault="004E6BB7" w:rsidP="00824B92">
            <w:pPr>
              <w:rPr>
                <w:rStyle w:val="Style2"/>
              </w:rPr>
            </w:pPr>
            <w:sdt>
              <w:sdtPr>
                <w:rPr>
                  <w:color w:val="333333"/>
                  <w:sz w:val="32"/>
                  <w:shd w:val="clear" w:color="auto" w:fill="FFFFFF"/>
                  <w:lang w:eastAsia="en-GB"/>
                </w:rPr>
                <w:alias w:val="Nurodykite konkrečią dieną"/>
                <w:tag w:val="Nurodykite pradžios datą"/>
                <w:id w:val="423238108"/>
                <w:placeholder>
                  <w:docPart w:val="0A1DCC42A2974C359888226B925C8FF8"/>
                </w:placeholder>
                <w15:color w:val="FFCC99"/>
                <w:date>
                  <w:dateFormat w:val="yyyy 'm.' MMMM d 'd.'"/>
                  <w:lid w:val="lt-LT"/>
                  <w:storeMappedDataAs w:val="dateTime"/>
                  <w:calendar w:val="gregorian"/>
                </w:date>
              </w:sdtPr>
              <w:sdtEndPr/>
              <w:sdtContent>
                <w:r w:rsidR="00E106CD" w:rsidRPr="00E106CD">
                  <w:rPr>
                    <w:color w:val="333333"/>
                    <w:sz w:val="32"/>
                    <w:shd w:val="clear" w:color="auto" w:fill="FFFFFF"/>
                    <w:lang w:eastAsia="en-GB"/>
                  </w:rPr>
                  <w:t>2019 m. gruodžio 16 d.</w:t>
                </w:r>
              </w:sdtContent>
            </w:sdt>
          </w:p>
        </w:tc>
      </w:tr>
      <w:tr w:rsidR="00B13D65" w:rsidRPr="00E33EFF" w14:paraId="15968AE1" w14:textId="77777777" w:rsidTr="00BE7489">
        <w:trPr>
          <w:trHeight w:val="1500"/>
        </w:trPr>
        <w:tc>
          <w:tcPr>
            <w:tcW w:w="632" w:type="dxa"/>
          </w:tcPr>
          <w:p w14:paraId="6A784245" w14:textId="1E461489" w:rsidR="00B13D65" w:rsidRPr="00E33EFF" w:rsidRDefault="002E0702" w:rsidP="00824B92">
            <w:pPr>
              <w:rPr>
                <w:rFonts w:eastAsia="Arial"/>
              </w:rPr>
            </w:pPr>
            <w:r w:rsidRPr="00E33EFF">
              <w:rPr>
                <w:rFonts w:eastAsia="Arial"/>
              </w:rPr>
              <w:t>1.3</w:t>
            </w:r>
          </w:p>
        </w:tc>
        <w:tc>
          <w:tcPr>
            <w:tcW w:w="3694" w:type="dxa"/>
          </w:tcPr>
          <w:p w14:paraId="22933506" w14:textId="77777777" w:rsidR="00B13D65" w:rsidRPr="00E33EFF" w:rsidRDefault="00B13D65" w:rsidP="00824B92">
            <w:r w:rsidRPr="00E33EFF">
              <w:t xml:space="preserve">Paraiškos tipas </w:t>
            </w:r>
          </w:p>
          <w:p w14:paraId="0465E680" w14:textId="7F0A0714" w:rsidR="00B13D65" w:rsidRPr="00E33EFF" w:rsidRDefault="00B13D65" w:rsidP="00824B92">
            <w:r w:rsidRPr="00E33EFF">
              <w:t>(</w:t>
            </w:r>
            <w:r w:rsidR="00695CD3" w:rsidRPr="00E33EFF">
              <w:t xml:space="preserve">pagal </w:t>
            </w:r>
            <w:r w:rsidR="0039696E" w:rsidRPr="00E33EFF">
              <w:rPr>
                <w:color w:val="333333"/>
                <w:shd w:val="clear" w:color="auto" w:fill="FFFFFF"/>
              </w:rPr>
              <w:t>vaistinio preparato registracijos tipą, įtvirtintą</w:t>
            </w:r>
            <w:r w:rsidR="0039696E" w:rsidRPr="00E33EFF">
              <w:t xml:space="preserve"> </w:t>
            </w:r>
            <w:r w:rsidRPr="00E33EFF">
              <w:t>Direktyv</w:t>
            </w:r>
            <w:r w:rsidR="00695CD3" w:rsidRPr="00E33EFF">
              <w:t>os</w:t>
            </w:r>
            <w:r w:rsidRPr="00E33EFF">
              <w:t xml:space="preserve"> 2001/83/EB</w:t>
            </w:r>
            <w:r w:rsidR="00695CD3" w:rsidRPr="00E33EFF">
              <w:t xml:space="preserve"> </w:t>
            </w:r>
            <w:proofErr w:type="spellStart"/>
            <w:r w:rsidR="00695CD3" w:rsidRPr="00E33EFF">
              <w:t>straips</w:t>
            </w:r>
            <w:r w:rsidR="0039696E" w:rsidRPr="00E33EFF">
              <w:t>iuose</w:t>
            </w:r>
            <w:proofErr w:type="spellEnd"/>
            <w:r w:rsidRPr="00E33EFF">
              <w:t>)</w:t>
            </w:r>
          </w:p>
          <w:p w14:paraId="77089D80" w14:textId="6681D72A" w:rsidR="00B13D65" w:rsidRPr="00E33EFF" w:rsidRDefault="00B13D65" w:rsidP="00824B92">
            <w:pPr>
              <w:rPr>
                <w:bCs/>
                <w:color w:val="000000"/>
                <w:lang w:eastAsia="lt-LT"/>
              </w:rPr>
            </w:pPr>
          </w:p>
        </w:tc>
        <w:tc>
          <w:tcPr>
            <w:tcW w:w="5167" w:type="dxa"/>
          </w:tcPr>
          <w:p w14:paraId="208F40EC" w14:textId="7EF41ADD" w:rsidR="00B13D65" w:rsidRPr="00E33EFF" w:rsidRDefault="004E6BB7" w:rsidP="00824B92">
            <w:pPr>
              <w:rPr>
                <w:sz w:val="22"/>
                <w:szCs w:val="22"/>
              </w:rPr>
            </w:pPr>
            <w:sdt>
              <w:sdtPr>
                <w:rPr>
                  <w:rStyle w:val="Style2"/>
                  <w:sz w:val="22"/>
                  <w:szCs w:val="22"/>
                </w:rPr>
                <w:id w:val="526292078"/>
                <w15:color w:val="FFCC00"/>
                <w14:checkbox>
                  <w14:checked w14:val="1"/>
                  <w14:checkedState w14:val="2612" w14:font="MS Gothic"/>
                  <w14:uncheckedState w14:val="2610" w14:font="MS Gothic"/>
                </w14:checkbox>
              </w:sdtPr>
              <w:sdtEndPr>
                <w:rPr>
                  <w:rStyle w:val="Style2"/>
                </w:rPr>
              </w:sdtEndPr>
              <w:sdtContent>
                <w:r w:rsidR="00E106CD">
                  <w:rPr>
                    <w:rStyle w:val="Style2"/>
                    <w:rFonts w:ascii="MS Gothic" w:eastAsia="MS Gothic" w:hAnsi="MS Gothic" w:hint="eastAsia"/>
                    <w:sz w:val="22"/>
                    <w:szCs w:val="22"/>
                  </w:rPr>
                  <w:t>☒</w:t>
                </w:r>
              </w:sdtContent>
            </w:sdt>
            <w:r w:rsidR="00B13D65" w:rsidRPr="00E33EFF">
              <w:rPr>
                <w:sz w:val="22"/>
                <w:szCs w:val="22"/>
              </w:rPr>
              <w:t xml:space="preserve">8.3 str. (pilna byla, pagrįsta savais tyrimais) </w:t>
            </w:r>
          </w:p>
          <w:p w14:paraId="32BA564E" w14:textId="3FDA3E01" w:rsidR="00B13D65" w:rsidRPr="00E33EFF" w:rsidRDefault="004E6BB7" w:rsidP="00824B92">
            <w:pPr>
              <w:rPr>
                <w:sz w:val="22"/>
                <w:szCs w:val="22"/>
              </w:rPr>
            </w:pPr>
            <w:sdt>
              <w:sdtPr>
                <w:rPr>
                  <w:rStyle w:val="Style2"/>
                  <w:sz w:val="22"/>
                  <w:szCs w:val="22"/>
                </w:rPr>
                <w:id w:val="-1497953736"/>
                <w15:color w:val="FFCC00"/>
                <w14:checkbox>
                  <w14:checked w14:val="0"/>
                  <w14:checkedState w14:val="2612" w14:font="MS Gothic"/>
                  <w14:uncheckedState w14:val="2610" w14:font="MS Gothic"/>
                </w14:checkbox>
              </w:sdtPr>
              <w:sdtEndPr>
                <w:rPr>
                  <w:rStyle w:val="Style2"/>
                </w:rPr>
              </w:sdtEndPr>
              <w:sdtContent>
                <w:r w:rsidR="00CC7832" w:rsidRPr="00E33EFF">
                  <w:rPr>
                    <w:rStyle w:val="Style2"/>
                    <w:rFonts w:ascii="Segoe UI Symbol" w:eastAsia="MS Gothic" w:hAnsi="Segoe UI Symbol" w:cs="Segoe UI Symbol"/>
                    <w:sz w:val="22"/>
                    <w:szCs w:val="22"/>
                  </w:rPr>
                  <w:t>☐</w:t>
                </w:r>
              </w:sdtContent>
            </w:sdt>
            <w:r w:rsidR="00B13D65" w:rsidRPr="00E33EFF">
              <w:rPr>
                <w:sz w:val="22"/>
                <w:szCs w:val="22"/>
              </w:rPr>
              <w:t xml:space="preserve">10 a str. (pripažintas medicininis vartojimas) </w:t>
            </w:r>
          </w:p>
          <w:p w14:paraId="318DCD7F" w14:textId="32333E53" w:rsidR="00B13D65" w:rsidRPr="00E33EFF" w:rsidRDefault="004E6BB7" w:rsidP="00824B92">
            <w:pPr>
              <w:rPr>
                <w:sz w:val="22"/>
                <w:szCs w:val="22"/>
              </w:rPr>
            </w:pPr>
            <w:sdt>
              <w:sdtPr>
                <w:rPr>
                  <w:rStyle w:val="Style2"/>
                  <w:sz w:val="22"/>
                  <w:szCs w:val="22"/>
                </w:rPr>
                <w:id w:val="204142496"/>
                <w15:color w:val="FFCC00"/>
                <w14:checkbox>
                  <w14:checked w14:val="0"/>
                  <w14:checkedState w14:val="2612" w14:font="MS Gothic"/>
                  <w14:uncheckedState w14:val="2610" w14:font="MS Gothic"/>
                </w14:checkbox>
              </w:sdtPr>
              <w:sdtEndPr>
                <w:rPr>
                  <w:rStyle w:val="Style2"/>
                </w:rPr>
              </w:sdtEndPr>
              <w:sdtContent>
                <w:r w:rsidR="00CC7832" w:rsidRPr="00E33EFF">
                  <w:rPr>
                    <w:rStyle w:val="Style2"/>
                    <w:rFonts w:ascii="Segoe UI Symbol" w:eastAsia="MS Gothic" w:hAnsi="Segoe UI Symbol" w:cs="Segoe UI Symbol"/>
                    <w:sz w:val="22"/>
                    <w:szCs w:val="22"/>
                  </w:rPr>
                  <w:t>☐</w:t>
                </w:r>
              </w:sdtContent>
            </w:sdt>
            <w:r w:rsidR="00B13D65" w:rsidRPr="00E33EFF">
              <w:rPr>
                <w:sz w:val="22"/>
                <w:szCs w:val="22"/>
              </w:rPr>
              <w:t>10.1 str. (</w:t>
            </w:r>
            <w:proofErr w:type="spellStart"/>
            <w:r w:rsidR="00B13D65" w:rsidRPr="00E33EFF">
              <w:rPr>
                <w:sz w:val="22"/>
                <w:szCs w:val="22"/>
              </w:rPr>
              <w:t>generinis</w:t>
            </w:r>
            <w:proofErr w:type="spellEnd"/>
            <w:r w:rsidR="00B13D65" w:rsidRPr="00E33EFF">
              <w:rPr>
                <w:sz w:val="22"/>
                <w:szCs w:val="22"/>
              </w:rPr>
              <w:t>)</w:t>
            </w:r>
          </w:p>
          <w:p w14:paraId="3B0A4F72" w14:textId="3F5FB073" w:rsidR="00B13D65" w:rsidRPr="00E33EFF" w:rsidRDefault="004E6BB7" w:rsidP="00824B92">
            <w:pPr>
              <w:rPr>
                <w:rStyle w:val="Style2"/>
                <w:sz w:val="24"/>
              </w:rPr>
            </w:pPr>
            <w:sdt>
              <w:sdtPr>
                <w:rPr>
                  <w:rStyle w:val="Style2"/>
                  <w:sz w:val="22"/>
                  <w:szCs w:val="22"/>
                </w:rPr>
                <w:id w:val="820305101"/>
                <w15:color w:val="FFCC00"/>
                <w14:checkbox>
                  <w14:checked w14:val="0"/>
                  <w14:checkedState w14:val="2612" w14:font="MS Gothic"/>
                  <w14:uncheckedState w14:val="2610" w14:font="MS Gothic"/>
                </w14:checkbox>
              </w:sdtPr>
              <w:sdtEndPr>
                <w:rPr>
                  <w:rStyle w:val="Style2"/>
                </w:rPr>
              </w:sdtEndPr>
              <w:sdtContent>
                <w:r w:rsidR="00CC7832" w:rsidRPr="00E33EFF">
                  <w:rPr>
                    <w:rStyle w:val="Style2"/>
                    <w:rFonts w:ascii="Segoe UI Symbol" w:eastAsia="MS Gothic" w:hAnsi="Segoe UI Symbol" w:cs="Segoe UI Symbol"/>
                    <w:sz w:val="22"/>
                    <w:szCs w:val="22"/>
                  </w:rPr>
                  <w:t>☐</w:t>
                </w:r>
              </w:sdtContent>
            </w:sdt>
            <w:r w:rsidR="00B13D65" w:rsidRPr="00E33EFF">
              <w:rPr>
                <w:sz w:val="22"/>
                <w:szCs w:val="22"/>
              </w:rPr>
              <w:t>10.3 str. (hibridinis)</w:t>
            </w:r>
          </w:p>
        </w:tc>
      </w:tr>
      <w:tr w:rsidR="00B13D65" w:rsidRPr="00E33EFF" w14:paraId="310E9662" w14:textId="77777777" w:rsidTr="00BE7489">
        <w:trPr>
          <w:trHeight w:val="1442"/>
        </w:trPr>
        <w:tc>
          <w:tcPr>
            <w:tcW w:w="632" w:type="dxa"/>
          </w:tcPr>
          <w:p w14:paraId="4B5A91A2" w14:textId="561B5E5F" w:rsidR="00B13D65" w:rsidRPr="00E33EFF" w:rsidRDefault="00B13D65" w:rsidP="00824B92">
            <w:pPr>
              <w:rPr>
                <w:rFonts w:eastAsia="Arial"/>
              </w:rPr>
            </w:pPr>
            <w:r w:rsidRPr="00E33EFF">
              <w:rPr>
                <w:rFonts w:eastAsia="Arial"/>
              </w:rPr>
              <w:t>1.</w:t>
            </w:r>
            <w:r w:rsidR="002E0702" w:rsidRPr="00E33EFF">
              <w:rPr>
                <w:rFonts w:eastAsia="Arial"/>
              </w:rPr>
              <w:t>4</w:t>
            </w:r>
          </w:p>
        </w:tc>
        <w:tc>
          <w:tcPr>
            <w:tcW w:w="3694" w:type="dxa"/>
          </w:tcPr>
          <w:p w14:paraId="6C91E105" w14:textId="77777777" w:rsidR="00B13D65" w:rsidRPr="00E33EFF" w:rsidRDefault="00B13D65" w:rsidP="00824B92">
            <w:pPr>
              <w:rPr>
                <w:bCs/>
                <w:color w:val="000000"/>
                <w:lang w:eastAsia="lt-LT"/>
              </w:rPr>
            </w:pPr>
            <w:r w:rsidRPr="00E33EFF">
              <w:rPr>
                <w:bCs/>
                <w:color w:val="000000"/>
                <w:lang w:eastAsia="lt-LT"/>
              </w:rPr>
              <w:t xml:space="preserve">Ar vaistinis preparatas įrašytas į Bendrijos retųjų vaistinių preparatų registrą? </w:t>
            </w:r>
          </w:p>
          <w:p w14:paraId="483071A3" w14:textId="651784DC" w:rsidR="00B13D65" w:rsidRPr="00E33EFF" w:rsidRDefault="00B13D65" w:rsidP="00824B92">
            <w:pPr>
              <w:rPr>
                <w:bCs/>
                <w:color w:val="000000"/>
                <w:lang w:eastAsia="lt-LT"/>
              </w:rPr>
            </w:pPr>
          </w:p>
        </w:tc>
        <w:tc>
          <w:tcPr>
            <w:tcW w:w="5167" w:type="dxa"/>
          </w:tcPr>
          <w:p w14:paraId="05845C60" w14:textId="10CF4033" w:rsidR="00B13D65" w:rsidRPr="00E33EFF" w:rsidRDefault="004E6BB7" w:rsidP="00824B92">
            <w:sdt>
              <w:sdtPr>
                <w:rPr>
                  <w:rStyle w:val="Style2"/>
                  <w:sz w:val="24"/>
                </w:rPr>
                <w:id w:val="2024432173"/>
                <w15:color w:val="FFCC00"/>
                <w14:checkbox>
                  <w14:checked w14:val="0"/>
                  <w14:checkedState w14:val="2612" w14:font="MS Gothic"/>
                  <w14:uncheckedState w14:val="2610" w14:font="MS Gothic"/>
                </w14:checkbox>
              </w:sdtPr>
              <w:sdtEndPr>
                <w:rPr>
                  <w:rStyle w:val="Style2"/>
                </w:rPr>
              </w:sdtEndPr>
              <w:sdtContent>
                <w:r w:rsidR="00D417D2" w:rsidRPr="00E33EFF">
                  <w:rPr>
                    <w:rStyle w:val="Style2"/>
                    <w:rFonts w:ascii="MS Gothic" w:eastAsia="MS Gothic" w:hAnsi="MS Gothic" w:hint="eastAsia"/>
                    <w:sz w:val="24"/>
                  </w:rPr>
                  <w:t>☐</w:t>
                </w:r>
              </w:sdtContent>
            </w:sdt>
            <w:r w:rsidR="00B13D65" w:rsidRPr="00E33EFF">
              <w:t xml:space="preserve"> Taip</w:t>
            </w:r>
          </w:p>
          <w:p w14:paraId="41D88067" w14:textId="1C5A522A" w:rsidR="00B13D65" w:rsidRPr="00E33EFF" w:rsidRDefault="004E6BB7" w:rsidP="00824B92">
            <w:sdt>
              <w:sdtPr>
                <w:rPr>
                  <w:rStyle w:val="Style2"/>
                  <w:sz w:val="24"/>
                </w:rPr>
                <w:id w:val="-970507926"/>
                <w15:color w:val="FFCC00"/>
                <w14:checkbox>
                  <w14:checked w14:val="1"/>
                  <w14:checkedState w14:val="2612" w14:font="MS Gothic"/>
                  <w14:uncheckedState w14:val="2610" w14:font="MS Gothic"/>
                </w14:checkbox>
              </w:sdtPr>
              <w:sdtEndPr>
                <w:rPr>
                  <w:rStyle w:val="Style2"/>
                </w:rPr>
              </w:sdtEndPr>
              <w:sdtContent>
                <w:r w:rsidR="00E106CD">
                  <w:rPr>
                    <w:rStyle w:val="Style2"/>
                    <w:rFonts w:ascii="MS Gothic" w:eastAsia="MS Gothic" w:hAnsi="MS Gothic" w:hint="eastAsia"/>
                    <w:sz w:val="24"/>
                  </w:rPr>
                  <w:t>☒</w:t>
                </w:r>
              </w:sdtContent>
            </w:sdt>
            <w:r w:rsidR="00B13D65" w:rsidRPr="00E33EFF">
              <w:t xml:space="preserve"> Ne</w:t>
            </w:r>
          </w:p>
          <w:p w14:paraId="29C2CBBB" w14:textId="24E276D5" w:rsidR="00B13D65" w:rsidRPr="00E33EFF" w:rsidRDefault="00B13D65" w:rsidP="00E106CD">
            <w:pPr>
              <w:rPr>
                <w:rFonts w:eastAsia="Arial"/>
              </w:rPr>
            </w:pPr>
          </w:p>
        </w:tc>
      </w:tr>
      <w:tr w:rsidR="00D417D2" w:rsidRPr="00E33EFF" w14:paraId="7841E5F8" w14:textId="77777777" w:rsidTr="00BE7489">
        <w:trPr>
          <w:trHeight w:val="476"/>
        </w:trPr>
        <w:tc>
          <w:tcPr>
            <w:tcW w:w="632" w:type="dxa"/>
          </w:tcPr>
          <w:p w14:paraId="109D2861" w14:textId="73BF27DF" w:rsidR="00D417D2" w:rsidRPr="00E33EFF" w:rsidRDefault="00D417D2" w:rsidP="00824B92">
            <w:pPr>
              <w:rPr>
                <w:rFonts w:eastAsia="Arial"/>
              </w:rPr>
            </w:pPr>
            <w:r w:rsidRPr="00E33EFF">
              <w:rPr>
                <w:rFonts w:eastAsia="Arial"/>
              </w:rPr>
              <w:t>1.5</w:t>
            </w:r>
          </w:p>
        </w:tc>
        <w:tc>
          <w:tcPr>
            <w:tcW w:w="3694" w:type="dxa"/>
          </w:tcPr>
          <w:p w14:paraId="7822D63E" w14:textId="68C38334" w:rsidR="00D417D2" w:rsidRPr="00E33EFF" w:rsidRDefault="00D417D2" w:rsidP="00824B92">
            <w:pPr>
              <w:rPr>
                <w:bCs/>
                <w:color w:val="000000"/>
                <w:lang w:eastAsia="lt-LT"/>
              </w:rPr>
            </w:pPr>
            <w:r w:rsidRPr="00E33EFF">
              <w:t>STV paraiškos pobūdis</w:t>
            </w:r>
          </w:p>
        </w:tc>
        <w:tc>
          <w:tcPr>
            <w:tcW w:w="5167" w:type="dxa"/>
          </w:tcPr>
          <w:p w14:paraId="403461B9" w14:textId="68E39805" w:rsidR="00D417D2" w:rsidRPr="00E33EFF" w:rsidRDefault="004E6BB7" w:rsidP="00824B92">
            <w:sdt>
              <w:sdtPr>
                <w:rPr>
                  <w:rStyle w:val="Style2"/>
                  <w:sz w:val="24"/>
                </w:rPr>
                <w:id w:val="-468433535"/>
                <w15:color w:val="FFCC00"/>
                <w14:checkbox>
                  <w14:checked w14:val="1"/>
                  <w14:checkedState w14:val="2612" w14:font="MS Gothic"/>
                  <w14:uncheckedState w14:val="2610" w14:font="MS Gothic"/>
                </w14:checkbox>
              </w:sdtPr>
              <w:sdtEndPr>
                <w:rPr>
                  <w:rStyle w:val="Style2"/>
                </w:rPr>
              </w:sdtEndPr>
              <w:sdtContent>
                <w:r w:rsidR="00E106CD">
                  <w:rPr>
                    <w:rStyle w:val="Style2"/>
                    <w:rFonts w:ascii="MS Gothic" w:eastAsia="MS Gothic" w:hAnsi="MS Gothic" w:hint="eastAsia"/>
                    <w:sz w:val="24"/>
                  </w:rPr>
                  <w:t>☒</w:t>
                </w:r>
              </w:sdtContent>
            </w:sdt>
            <w:r w:rsidR="00D417D2" w:rsidRPr="00E33EFF">
              <w:t xml:space="preserve"> Pilna paraiška</w:t>
            </w:r>
          </w:p>
          <w:p w14:paraId="6B8213E3" w14:textId="3495CDF4" w:rsidR="00D417D2" w:rsidRPr="00E33EFF" w:rsidRDefault="004E6BB7" w:rsidP="00824B92">
            <w:sdt>
              <w:sdtPr>
                <w:rPr>
                  <w:rStyle w:val="Style2"/>
                  <w:sz w:val="24"/>
                </w:rPr>
                <w:id w:val="-1489014904"/>
                <w15:color w:val="FFCC00"/>
                <w14:checkbox>
                  <w14:checked w14:val="0"/>
                  <w14:checkedState w14:val="2612" w14:font="MS Gothic"/>
                  <w14:uncheckedState w14:val="2610" w14:font="MS Gothic"/>
                </w14:checkbox>
              </w:sdtPr>
              <w:sdtEndPr>
                <w:rPr>
                  <w:rStyle w:val="Style2"/>
                </w:rPr>
              </w:sdtEndPr>
              <w:sdtContent>
                <w:r w:rsidR="00D417D2" w:rsidRPr="00E33EFF">
                  <w:rPr>
                    <w:rStyle w:val="Style2"/>
                    <w:rFonts w:ascii="MS Gothic" w:eastAsia="MS Gothic" w:hAnsi="MS Gothic" w:hint="eastAsia"/>
                    <w:sz w:val="24"/>
                  </w:rPr>
                  <w:t>☐</w:t>
                </w:r>
              </w:sdtContent>
            </w:sdt>
            <w:r w:rsidR="00D417D2" w:rsidRPr="00E33EFF">
              <w:t xml:space="preserve"> Supaprastinta paraiška</w:t>
            </w:r>
          </w:p>
        </w:tc>
      </w:tr>
      <w:tr w:rsidR="00B13D65" w:rsidRPr="00E33EFF" w14:paraId="274D1DAF" w14:textId="77777777" w:rsidTr="00BE7489">
        <w:trPr>
          <w:trHeight w:val="1922"/>
        </w:trPr>
        <w:tc>
          <w:tcPr>
            <w:tcW w:w="632" w:type="dxa"/>
          </w:tcPr>
          <w:p w14:paraId="17ABF217" w14:textId="14AC00D7" w:rsidR="00B13D65" w:rsidRPr="00E33EFF" w:rsidRDefault="00B13D65" w:rsidP="00824B92">
            <w:pPr>
              <w:rPr>
                <w:rFonts w:eastAsia="Arial"/>
              </w:rPr>
            </w:pPr>
            <w:r w:rsidRPr="00E33EFF">
              <w:rPr>
                <w:rFonts w:eastAsia="Arial"/>
              </w:rPr>
              <w:t>1.</w:t>
            </w:r>
            <w:r w:rsidR="00D417D2" w:rsidRPr="00E33EFF">
              <w:rPr>
                <w:rFonts w:eastAsia="Arial"/>
              </w:rPr>
              <w:t>6</w:t>
            </w:r>
          </w:p>
        </w:tc>
        <w:tc>
          <w:tcPr>
            <w:tcW w:w="3694" w:type="dxa"/>
          </w:tcPr>
          <w:p w14:paraId="4D49DBF5" w14:textId="77777777" w:rsidR="007656B2" w:rsidRPr="00E33EFF" w:rsidRDefault="00DE4484" w:rsidP="00824B92">
            <w:pPr>
              <w:rPr>
                <w:bCs/>
                <w:color w:val="000000"/>
                <w:lang w:eastAsia="lt-LT"/>
              </w:rPr>
            </w:pPr>
            <w:r w:rsidRPr="00E33EFF">
              <w:rPr>
                <w:bCs/>
                <w:color w:val="000000"/>
                <w:lang w:eastAsia="lt-LT"/>
              </w:rPr>
              <w:t>Par</w:t>
            </w:r>
            <w:r w:rsidR="007656B2" w:rsidRPr="00E33EFF">
              <w:rPr>
                <w:bCs/>
                <w:color w:val="000000"/>
                <w:lang w:eastAsia="lt-LT"/>
              </w:rPr>
              <w:t>eiškėjo t</w:t>
            </w:r>
            <w:r w:rsidR="00B13D65" w:rsidRPr="00E33EFF">
              <w:rPr>
                <w:bCs/>
                <w:color w:val="000000"/>
                <w:lang w:eastAsia="lt-LT"/>
              </w:rPr>
              <w:t>eikiama (-</w:t>
            </w:r>
            <w:proofErr w:type="spellStart"/>
            <w:r w:rsidR="00B13D65" w:rsidRPr="00E33EFF">
              <w:rPr>
                <w:bCs/>
                <w:color w:val="000000"/>
                <w:lang w:eastAsia="lt-LT"/>
              </w:rPr>
              <w:t>os</w:t>
            </w:r>
            <w:proofErr w:type="spellEnd"/>
            <w:r w:rsidR="00B13D65" w:rsidRPr="00E33EFF">
              <w:rPr>
                <w:bCs/>
                <w:color w:val="000000"/>
                <w:lang w:eastAsia="lt-LT"/>
              </w:rPr>
              <w:t>) kompensuoti vaistinio preparato indikacija (-</w:t>
            </w:r>
            <w:proofErr w:type="spellStart"/>
            <w:r w:rsidR="00B13D65" w:rsidRPr="00E33EFF">
              <w:rPr>
                <w:bCs/>
                <w:color w:val="000000"/>
                <w:lang w:eastAsia="lt-LT"/>
              </w:rPr>
              <w:t>os</w:t>
            </w:r>
            <w:proofErr w:type="spellEnd"/>
            <w:r w:rsidR="00B13D65" w:rsidRPr="00E33EFF">
              <w:rPr>
                <w:bCs/>
                <w:color w:val="000000"/>
                <w:lang w:eastAsia="lt-LT"/>
              </w:rPr>
              <w:t>)</w:t>
            </w:r>
          </w:p>
          <w:p w14:paraId="3FB07EE5" w14:textId="77777777" w:rsidR="00AE1322" w:rsidRDefault="00AE1322" w:rsidP="00824B92">
            <w:pPr>
              <w:rPr>
                <w:bCs/>
                <w:color w:val="000000"/>
                <w:lang w:eastAsia="lt-LT"/>
              </w:rPr>
            </w:pPr>
          </w:p>
          <w:p w14:paraId="3A6B054C" w14:textId="77777777" w:rsidR="00AE1322" w:rsidRDefault="00AE1322" w:rsidP="00824B92">
            <w:pPr>
              <w:rPr>
                <w:bCs/>
                <w:color w:val="000000"/>
                <w:lang w:eastAsia="lt-LT"/>
              </w:rPr>
            </w:pPr>
          </w:p>
          <w:p w14:paraId="6B4FEEC1" w14:textId="378668B0" w:rsidR="00B13D65" w:rsidRPr="00E33EFF" w:rsidRDefault="007656B2" w:rsidP="00824B92">
            <w:pPr>
              <w:rPr>
                <w:bCs/>
                <w:color w:val="000000"/>
                <w:lang w:eastAsia="lt-LT"/>
              </w:rPr>
            </w:pPr>
            <w:r w:rsidRPr="00E33EFF">
              <w:rPr>
                <w:bCs/>
                <w:color w:val="000000"/>
                <w:lang w:eastAsia="lt-LT"/>
              </w:rPr>
              <w:t>K</w:t>
            </w:r>
            <w:r w:rsidR="00B13D65" w:rsidRPr="00E33EFF">
              <w:rPr>
                <w:bCs/>
                <w:color w:val="000000"/>
                <w:lang w:eastAsia="lt-LT"/>
              </w:rPr>
              <w:t>odas</w:t>
            </w:r>
            <w:r w:rsidRPr="00E33EFF">
              <w:rPr>
                <w:bCs/>
                <w:color w:val="000000"/>
                <w:lang w:eastAsia="lt-LT"/>
              </w:rPr>
              <w:t xml:space="preserve"> pagal TLK-10 AM</w:t>
            </w:r>
          </w:p>
        </w:tc>
        <w:tc>
          <w:tcPr>
            <w:tcW w:w="5167" w:type="dxa"/>
          </w:tcPr>
          <w:p w14:paraId="1CA0994B" w14:textId="77777777" w:rsidR="00E106CD" w:rsidRPr="00B15035" w:rsidRDefault="00E106CD" w:rsidP="00E106CD">
            <w:pPr>
              <w:pStyle w:val="HTMLPreformatted"/>
              <w:spacing w:line="276" w:lineRule="auto"/>
              <w:jc w:val="both"/>
              <w:rPr>
                <w:rFonts w:ascii="Times New Roman" w:hAnsi="Times New Roman" w:cs="Times New Roman"/>
                <w:sz w:val="24"/>
                <w:szCs w:val="24"/>
                <w:lang w:val="lt-LT"/>
              </w:rPr>
            </w:pPr>
            <w:r w:rsidRPr="00B15035">
              <w:rPr>
                <w:rFonts w:ascii="Times New Roman" w:hAnsi="Times New Roman" w:cs="Times New Roman"/>
                <w:sz w:val="24"/>
                <w:szCs w:val="24"/>
                <w:lang w:val="lt-LT"/>
              </w:rPr>
              <w:t xml:space="preserve">RINVOQ skiriamas vidutinio sunkumo ar sunkiam </w:t>
            </w:r>
            <w:proofErr w:type="spellStart"/>
            <w:r w:rsidRPr="00B15035">
              <w:rPr>
                <w:rFonts w:ascii="Times New Roman" w:hAnsi="Times New Roman" w:cs="Times New Roman"/>
                <w:sz w:val="24"/>
                <w:szCs w:val="24"/>
                <w:lang w:val="lt-LT"/>
              </w:rPr>
              <w:t>atopiniam</w:t>
            </w:r>
            <w:proofErr w:type="spellEnd"/>
            <w:r w:rsidRPr="00B15035">
              <w:rPr>
                <w:rFonts w:ascii="Times New Roman" w:hAnsi="Times New Roman" w:cs="Times New Roman"/>
                <w:sz w:val="24"/>
                <w:szCs w:val="24"/>
                <w:lang w:val="lt-LT"/>
              </w:rPr>
              <w:t xml:space="preserve"> dermatitui gydyti suaugusiesiems ir 12 metų bei vyresniems paaugliams, kurie yra sisteminės terapijos kandidatai.</w:t>
            </w:r>
          </w:p>
          <w:p w14:paraId="13F7DFB0" w14:textId="5825A544" w:rsidR="00B13D65" w:rsidRPr="00E33EFF" w:rsidRDefault="00E106CD" w:rsidP="00E106CD">
            <w:r>
              <w:t>TLK-10-AM: L20</w:t>
            </w:r>
          </w:p>
        </w:tc>
      </w:tr>
      <w:tr w:rsidR="00E106CD" w:rsidRPr="00E33EFF" w14:paraId="2F79DC08" w14:textId="77777777" w:rsidTr="00BE7489">
        <w:trPr>
          <w:trHeight w:val="378"/>
        </w:trPr>
        <w:tc>
          <w:tcPr>
            <w:tcW w:w="632" w:type="dxa"/>
          </w:tcPr>
          <w:p w14:paraId="547885A2" w14:textId="08AA8055" w:rsidR="00E106CD" w:rsidRPr="00E33EFF" w:rsidRDefault="00E106CD" w:rsidP="00E106CD">
            <w:pPr>
              <w:rPr>
                <w:rFonts w:eastAsia="Arial"/>
              </w:rPr>
            </w:pPr>
            <w:r w:rsidRPr="00E33EFF">
              <w:rPr>
                <w:rFonts w:eastAsia="Arial"/>
              </w:rPr>
              <w:lastRenderedPageBreak/>
              <w:t>1.6</w:t>
            </w:r>
          </w:p>
        </w:tc>
        <w:tc>
          <w:tcPr>
            <w:tcW w:w="3694" w:type="dxa"/>
          </w:tcPr>
          <w:p w14:paraId="2EAB877F" w14:textId="39A36941" w:rsidR="00E106CD" w:rsidRPr="00E33EFF" w:rsidRDefault="00E106CD" w:rsidP="00E106CD">
            <w:pPr>
              <w:rPr>
                <w:bCs/>
                <w:color w:val="000000"/>
                <w:u w:val="single"/>
                <w:lang w:eastAsia="lt-LT"/>
              </w:rPr>
            </w:pPr>
            <w:r w:rsidRPr="00E33EFF">
              <w:rPr>
                <w:bCs/>
                <w:color w:val="000000"/>
                <w:lang w:eastAsia="lt-LT"/>
              </w:rPr>
              <w:t xml:space="preserve">Pareiškėjo teikiamos skyrimo sąlygos </w:t>
            </w:r>
          </w:p>
        </w:tc>
        <w:tc>
          <w:tcPr>
            <w:tcW w:w="5167" w:type="dxa"/>
          </w:tcPr>
          <w:p w14:paraId="60795197" w14:textId="77777777" w:rsidR="00E106CD" w:rsidRPr="00B15035" w:rsidRDefault="00E106CD" w:rsidP="00E106CD">
            <w:pPr>
              <w:pStyle w:val="HTMLPreformatted"/>
              <w:spacing w:line="276" w:lineRule="auto"/>
              <w:jc w:val="both"/>
              <w:rPr>
                <w:rFonts w:ascii="Times New Roman" w:hAnsi="Times New Roman" w:cs="Times New Roman"/>
                <w:sz w:val="24"/>
                <w:lang w:val="lt-LT"/>
              </w:rPr>
            </w:pPr>
            <w:r w:rsidRPr="00B15035">
              <w:rPr>
                <w:rFonts w:ascii="Times New Roman" w:hAnsi="Times New Roman" w:cs="Times New Roman"/>
                <w:sz w:val="24"/>
                <w:lang w:val="lt-LT"/>
              </w:rPr>
              <w:t xml:space="preserve">RINVOQ skiriamas vidutinio sunkumo ar sunkiam </w:t>
            </w:r>
            <w:proofErr w:type="spellStart"/>
            <w:r w:rsidRPr="00B15035">
              <w:rPr>
                <w:rFonts w:ascii="Times New Roman" w:hAnsi="Times New Roman" w:cs="Times New Roman"/>
                <w:sz w:val="24"/>
                <w:lang w:val="lt-LT"/>
              </w:rPr>
              <w:t>atopiniam</w:t>
            </w:r>
            <w:proofErr w:type="spellEnd"/>
            <w:r w:rsidRPr="00B15035">
              <w:rPr>
                <w:rFonts w:ascii="Times New Roman" w:hAnsi="Times New Roman" w:cs="Times New Roman"/>
                <w:sz w:val="24"/>
                <w:lang w:val="lt-LT"/>
              </w:rPr>
              <w:t xml:space="preserve"> dermatitui gydyti suaugusiesiems ir 12 metų bei vyresniems paaugliams, kurie yra sisteminės terapijos kandidatai.</w:t>
            </w:r>
          </w:p>
          <w:p w14:paraId="293C067E" w14:textId="77777777" w:rsidR="00E106CD" w:rsidRDefault="00E106CD" w:rsidP="00E106CD">
            <w:pPr>
              <w:pStyle w:val="ListParagraph"/>
              <w:spacing w:after="120"/>
              <w:ind w:left="0"/>
              <w:contextualSpacing w:val="0"/>
              <w:jc w:val="both"/>
            </w:pPr>
            <w:proofErr w:type="spellStart"/>
            <w:r w:rsidRPr="009328A0">
              <w:t>Rinvoq</w:t>
            </w:r>
            <w:proofErr w:type="spellEnd"/>
            <w:r w:rsidRPr="009328A0">
              <w:t xml:space="preserve"> skiriamas suaugusiesiems, sergantiems sunkiu </w:t>
            </w:r>
            <w:proofErr w:type="spellStart"/>
            <w:r w:rsidRPr="009328A0">
              <w:t>atopiniu</w:t>
            </w:r>
            <w:proofErr w:type="spellEnd"/>
            <w:r w:rsidRPr="009328A0">
              <w:t xml:space="preserve"> dermatitu, kuriems gydymas </w:t>
            </w:r>
            <w:proofErr w:type="spellStart"/>
            <w:r w:rsidRPr="009328A0">
              <w:t>ciklosporinu</w:t>
            </w:r>
            <w:proofErr w:type="spellEnd"/>
            <w:r w:rsidRPr="009328A0">
              <w:t xml:space="preserve"> yra netinkamas, </w:t>
            </w:r>
            <w:proofErr w:type="spellStart"/>
            <w:r w:rsidRPr="009328A0">
              <w:t>kontraindikuotinas</w:t>
            </w:r>
            <w:proofErr w:type="spellEnd"/>
            <w:r w:rsidRPr="009328A0">
              <w:t xml:space="preserve"> ar nepasiekiamas gydymo tikslas</w:t>
            </w:r>
            <w:r>
              <w:t xml:space="preserve"> </w:t>
            </w:r>
            <w:r w:rsidRPr="009328A0">
              <w:t xml:space="preserve">ir 12 metų bei vyresniems paaugliams, sergantiems sunkiu </w:t>
            </w:r>
            <w:proofErr w:type="spellStart"/>
            <w:r w:rsidRPr="009328A0">
              <w:t>atopiniu</w:t>
            </w:r>
            <w:proofErr w:type="spellEnd"/>
            <w:r w:rsidRPr="009328A0">
              <w:t xml:space="preserve"> dermatitu</w:t>
            </w:r>
            <w:r>
              <w:t xml:space="preserve">, </w:t>
            </w:r>
            <w:r w:rsidRPr="00B15035">
              <w:t>kurie yra sisteminės terapijos kandidatai</w:t>
            </w:r>
            <w:r>
              <w:t>.</w:t>
            </w:r>
          </w:p>
          <w:p w14:paraId="7ED1DFA5" w14:textId="77777777" w:rsidR="00E106CD" w:rsidRPr="009328A0" w:rsidRDefault="00E106CD" w:rsidP="00E106CD">
            <w:pPr>
              <w:spacing w:line="276" w:lineRule="auto"/>
              <w:jc w:val="both"/>
            </w:pPr>
            <w:r w:rsidRPr="009328A0">
              <w:t xml:space="preserve">Vaistą skiria gydytojas dermatovenerologas arba gydytojas alergologas ir klinikinis imunologas. Gydymą tęsia gydytojas dermatovenerologas, gydytojas alergologas ir klinikinis imunologas arba šeimos gydytojas. </w:t>
            </w:r>
          </w:p>
          <w:p w14:paraId="0579DF58" w14:textId="547DAEE8" w:rsidR="00E106CD" w:rsidRPr="00E33EFF" w:rsidRDefault="00E106CD" w:rsidP="00E106CD">
            <w:r w:rsidRPr="00967111">
              <w:rPr>
                <w:color w:val="1A1A1A"/>
                <w:lang w:val="x-none"/>
              </w:rPr>
              <w:t xml:space="preserve">Pacientams, kuriems po 12-os savaičių </w:t>
            </w:r>
            <w:r w:rsidRPr="00967111">
              <w:rPr>
                <w:color w:val="000000"/>
                <w:lang w:val="x-none"/>
              </w:rPr>
              <w:t xml:space="preserve">nebuvo gydymo naudos, </w:t>
            </w:r>
            <w:r w:rsidRPr="00967111">
              <w:rPr>
                <w:color w:val="1A1A1A"/>
                <w:lang w:val="x-none"/>
              </w:rPr>
              <w:t xml:space="preserve">reikia apsvarstyti gydymo </w:t>
            </w:r>
            <w:proofErr w:type="spellStart"/>
            <w:r w:rsidRPr="00967111">
              <w:rPr>
                <w:color w:val="1A1A1A"/>
                <w:lang w:val="x-none"/>
              </w:rPr>
              <w:t>upadacitinibu</w:t>
            </w:r>
            <w:proofErr w:type="spellEnd"/>
            <w:r w:rsidRPr="00967111">
              <w:rPr>
                <w:color w:val="1A1A1A"/>
                <w:lang w:val="x-none"/>
              </w:rPr>
              <w:t xml:space="preserve"> nutraukimą.</w:t>
            </w:r>
          </w:p>
        </w:tc>
      </w:tr>
      <w:tr w:rsidR="00E106CD" w:rsidRPr="00E33EFF" w14:paraId="3B125269" w14:textId="77777777" w:rsidTr="00BE7489">
        <w:trPr>
          <w:trHeight w:val="378"/>
        </w:trPr>
        <w:tc>
          <w:tcPr>
            <w:tcW w:w="632" w:type="dxa"/>
          </w:tcPr>
          <w:p w14:paraId="0058E11F" w14:textId="77777777" w:rsidR="00E106CD" w:rsidRPr="00E33EFF" w:rsidRDefault="00E106CD" w:rsidP="00E106CD">
            <w:pPr>
              <w:rPr>
                <w:rFonts w:eastAsia="Arial"/>
              </w:rPr>
            </w:pPr>
            <w:r w:rsidRPr="00E33EFF">
              <w:rPr>
                <w:rFonts w:eastAsia="Arial"/>
              </w:rPr>
              <w:t>1.7</w:t>
            </w:r>
          </w:p>
        </w:tc>
        <w:tc>
          <w:tcPr>
            <w:tcW w:w="3694" w:type="dxa"/>
          </w:tcPr>
          <w:p w14:paraId="738E1926" w14:textId="77777777" w:rsidR="00E106CD" w:rsidRPr="00E33EFF" w:rsidRDefault="00E106CD" w:rsidP="00E106CD">
            <w:pPr>
              <w:rPr>
                <w:bCs/>
                <w:color w:val="000000"/>
                <w:lang w:eastAsia="lt-LT"/>
              </w:rPr>
            </w:pPr>
            <w:r w:rsidRPr="00E33EFF">
              <w:rPr>
                <w:bCs/>
                <w:color w:val="000000"/>
                <w:lang w:eastAsia="lt-LT"/>
              </w:rPr>
              <w:t xml:space="preserve">Pareiškėjo teikiamas palyginamasis gydymas </w:t>
            </w:r>
          </w:p>
          <w:p w14:paraId="61EC5BBD" w14:textId="7A8BD8B4" w:rsidR="00E106CD" w:rsidRPr="00E33EFF" w:rsidRDefault="00E106CD" w:rsidP="00E106CD">
            <w:pPr>
              <w:rPr>
                <w:bCs/>
                <w:color w:val="000000"/>
                <w:lang w:eastAsia="lt-LT"/>
              </w:rPr>
            </w:pPr>
          </w:p>
          <w:p w14:paraId="62057D94" w14:textId="77777777" w:rsidR="00E106CD" w:rsidRPr="00E33EFF" w:rsidRDefault="00E106CD" w:rsidP="00E106CD">
            <w:pPr>
              <w:rPr>
                <w:bCs/>
                <w:color w:val="000000"/>
                <w:lang w:eastAsia="lt-LT"/>
              </w:rPr>
            </w:pPr>
          </w:p>
          <w:p w14:paraId="6CC1022E" w14:textId="2B6BCEE1" w:rsidR="00E106CD" w:rsidRPr="00E33EFF" w:rsidRDefault="00E106CD" w:rsidP="00E106CD">
            <w:pPr>
              <w:rPr>
                <w:bCs/>
                <w:color w:val="000000"/>
                <w:lang w:eastAsia="lt-LT"/>
              </w:rPr>
            </w:pPr>
          </w:p>
        </w:tc>
        <w:tc>
          <w:tcPr>
            <w:tcW w:w="5167" w:type="dxa"/>
          </w:tcPr>
          <w:p w14:paraId="1F113AC0" w14:textId="55E581B7" w:rsidR="00E106CD" w:rsidRPr="00E33EFF" w:rsidRDefault="004E6BB7" w:rsidP="00E106CD">
            <w:sdt>
              <w:sdtPr>
                <w:rPr>
                  <w:rStyle w:val="Style2"/>
                  <w:sz w:val="24"/>
                </w:rPr>
                <w:id w:val="1480955706"/>
                <w15:color w:val="FFCC00"/>
                <w14:checkbox>
                  <w14:checked w14:val="1"/>
                  <w14:checkedState w14:val="2612" w14:font="MS Gothic"/>
                  <w14:uncheckedState w14:val="2610" w14:font="MS Gothic"/>
                </w14:checkbox>
              </w:sdtPr>
              <w:sdtEndPr>
                <w:rPr>
                  <w:rStyle w:val="Style2"/>
                </w:rPr>
              </w:sdtEndPr>
              <w:sdtContent>
                <w:r w:rsidR="00E106CD">
                  <w:rPr>
                    <w:rStyle w:val="Style2"/>
                    <w:rFonts w:ascii="MS Gothic" w:eastAsia="MS Gothic" w:hAnsi="MS Gothic" w:hint="eastAsia"/>
                    <w:sz w:val="24"/>
                  </w:rPr>
                  <w:t>☒</w:t>
                </w:r>
              </w:sdtContent>
            </w:sdt>
            <w:r w:rsidR="00E106CD" w:rsidRPr="00E33EFF">
              <w:t xml:space="preserve"> Tinkamas</w:t>
            </w:r>
          </w:p>
          <w:p w14:paraId="41B44044" w14:textId="199BD9DF" w:rsidR="00E106CD" w:rsidRPr="00E33EFF" w:rsidRDefault="004E6BB7" w:rsidP="00E106CD">
            <w:sdt>
              <w:sdtPr>
                <w:rPr>
                  <w:rStyle w:val="Style2"/>
                  <w:sz w:val="24"/>
                </w:rPr>
                <w:id w:val="-352420698"/>
                <w15:color w:val="FFCC00"/>
                <w14:checkbox>
                  <w14:checked w14:val="0"/>
                  <w14:checkedState w14:val="2612" w14:font="MS Gothic"/>
                  <w14:uncheckedState w14:val="2610" w14:font="MS Gothic"/>
                </w14:checkbox>
              </w:sdtPr>
              <w:sdtEndPr>
                <w:rPr>
                  <w:rStyle w:val="Style2"/>
                </w:rPr>
              </w:sdtEndPr>
              <w:sdtContent>
                <w:r w:rsidR="00E106CD" w:rsidRPr="00E33EFF">
                  <w:rPr>
                    <w:rStyle w:val="Style2"/>
                    <w:rFonts w:ascii="MS Gothic" w:eastAsia="MS Gothic" w:hAnsi="MS Gothic" w:hint="eastAsia"/>
                    <w:sz w:val="24"/>
                  </w:rPr>
                  <w:t>☐</w:t>
                </w:r>
              </w:sdtContent>
            </w:sdt>
            <w:r w:rsidR="00E106CD" w:rsidRPr="00E33EFF">
              <w:t xml:space="preserve"> Netinkama</w:t>
            </w:r>
          </w:p>
        </w:tc>
      </w:tr>
    </w:tbl>
    <w:p w14:paraId="108176F7" w14:textId="640C6F75" w:rsidR="00F70C9E" w:rsidRPr="00E33EFF" w:rsidRDefault="00F70C9E" w:rsidP="00E03C3F">
      <w:pPr>
        <w:pStyle w:val="ListParagraph"/>
        <w:tabs>
          <w:tab w:val="left" w:pos="426"/>
        </w:tabs>
        <w:ind w:left="0"/>
        <w:rPr>
          <w:b/>
          <w:bCs/>
          <w:caps/>
        </w:rPr>
      </w:pPr>
    </w:p>
    <w:p w14:paraId="2871CA7F" w14:textId="2370BDDB" w:rsidR="00F70C9E" w:rsidRPr="00E33EFF" w:rsidRDefault="00F70C9E" w:rsidP="00880A44">
      <w:pPr>
        <w:spacing w:line="276" w:lineRule="auto"/>
        <w:jc w:val="both"/>
        <w:rPr>
          <w:rFonts w:eastAsia="Arial"/>
          <w:b/>
        </w:rPr>
      </w:pPr>
      <w:r w:rsidRPr="00E33EFF">
        <w:rPr>
          <w:rFonts w:eastAsia="Arial"/>
          <w:b/>
        </w:rPr>
        <w:t xml:space="preserve">1.8 Kitų </w:t>
      </w:r>
      <w:r w:rsidR="00DF583C" w:rsidRPr="00E33EFF">
        <w:rPr>
          <w:rFonts w:eastAsia="Arial"/>
          <w:b/>
        </w:rPr>
        <w:t xml:space="preserve">valstybių </w:t>
      </w:r>
      <w:r w:rsidRPr="00E33EFF">
        <w:rPr>
          <w:rFonts w:eastAsia="Arial"/>
          <w:b/>
        </w:rPr>
        <w:t xml:space="preserve">atsakingų institucijų atlikto </w:t>
      </w:r>
      <w:r w:rsidR="00DF583C" w:rsidRPr="00E33EFF">
        <w:rPr>
          <w:rFonts w:eastAsia="Arial"/>
          <w:b/>
        </w:rPr>
        <w:t>Sveikatos technologijų vertinimo (toliau – STV)</w:t>
      </w:r>
      <w:r w:rsidRPr="00E33EFF">
        <w:rPr>
          <w:rFonts w:eastAsia="Arial"/>
          <w:b/>
        </w:rPr>
        <w:t xml:space="preserve"> išvados</w:t>
      </w:r>
    </w:p>
    <w:p w14:paraId="30721FDD" w14:textId="77777777" w:rsidR="00F70C9E" w:rsidRPr="00E33EFF" w:rsidRDefault="00F70C9E" w:rsidP="00F70C9E">
      <w:pPr>
        <w:spacing w:line="276" w:lineRule="auto"/>
        <w:rPr>
          <w:rFonts w:eastAsia="Arial"/>
        </w:rPr>
      </w:pPr>
    </w:p>
    <w:tbl>
      <w:tblPr>
        <w:tblStyle w:val="TableGrid"/>
        <w:tblW w:w="0" w:type="auto"/>
        <w:tblLook w:val="04A0" w:firstRow="1" w:lastRow="0" w:firstColumn="1" w:lastColumn="0" w:noHBand="0" w:noVBand="1"/>
      </w:tblPr>
      <w:tblGrid>
        <w:gridCol w:w="2855"/>
        <w:gridCol w:w="1851"/>
        <w:gridCol w:w="2244"/>
        <w:gridCol w:w="2543"/>
      </w:tblGrid>
      <w:tr w:rsidR="00F70C9E" w:rsidRPr="00E33EFF" w14:paraId="7E72828B" w14:textId="77777777" w:rsidTr="00BE7489">
        <w:trPr>
          <w:trHeight w:val="924"/>
        </w:trPr>
        <w:tc>
          <w:tcPr>
            <w:tcW w:w="2855" w:type="dxa"/>
          </w:tcPr>
          <w:p w14:paraId="253D1DD4" w14:textId="5B2616C0" w:rsidR="00F70C9E" w:rsidRPr="00E33EFF" w:rsidRDefault="00F70C9E" w:rsidP="00824B92">
            <w:pPr>
              <w:rPr>
                <w:rFonts w:eastAsia="Arial"/>
              </w:rPr>
            </w:pPr>
            <w:r w:rsidRPr="00E33EFF">
              <w:rPr>
                <w:rFonts w:eastAsia="Arial"/>
              </w:rPr>
              <w:t>ST</w:t>
            </w:r>
            <w:r w:rsidR="00DF583C" w:rsidRPr="00E33EFF">
              <w:rPr>
                <w:rFonts w:eastAsia="Arial"/>
              </w:rPr>
              <w:t>V</w:t>
            </w:r>
            <w:r w:rsidRPr="00E33EFF">
              <w:rPr>
                <w:rFonts w:eastAsia="Arial"/>
              </w:rPr>
              <w:t xml:space="preserve"> agentūros pavadinimas, šalis</w:t>
            </w:r>
          </w:p>
        </w:tc>
        <w:tc>
          <w:tcPr>
            <w:tcW w:w="1851" w:type="dxa"/>
          </w:tcPr>
          <w:p w14:paraId="34AE1EDD" w14:textId="77777777" w:rsidR="00F70C9E" w:rsidRPr="00E33EFF" w:rsidRDefault="00F70C9E" w:rsidP="00824B92">
            <w:pPr>
              <w:rPr>
                <w:rFonts w:eastAsia="Arial"/>
              </w:rPr>
            </w:pPr>
            <w:r w:rsidRPr="00E33EFF">
              <w:rPr>
                <w:rFonts w:eastAsia="Arial"/>
              </w:rPr>
              <w:t>STV vertinimas atliktas</w:t>
            </w:r>
          </w:p>
        </w:tc>
        <w:tc>
          <w:tcPr>
            <w:tcW w:w="2244" w:type="dxa"/>
          </w:tcPr>
          <w:p w14:paraId="16E2DDC1" w14:textId="77777777" w:rsidR="00F70C9E" w:rsidRPr="00E33EFF" w:rsidRDefault="00F70C9E" w:rsidP="00824B92">
            <w:pPr>
              <w:rPr>
                <w:rFonts w:eastAsia="Arial"/>
              </w:rPr>
            </w:pPr>
            <w:r w:rsidRPr="00E33EFF">
              <w:rPr>
                <w:rFonts w:eastAsia="Arial"/>
              </w:rPr>
              <w:t>Klinikinio vertinimo išvada</w:t>
            </w:r>
          </w:p>
        </w:tc>
        <w:tc>
          <w:tcPr>
            <w:tcW w:w="2543" w:type="dxa"/>
          </w:tcPr>
          <w:p w14:paraId="1861E3F2" w14:textId="74803B5B" w:rsidR="00F70C9E" w:rsidRPr="00E33EFF" w:rsidRDefault="00F70C9E" w:rsidP="00824B92">
            <w:pPr>
              <w:rPr>
                <w:rFonts w:eastAsia="Arial"/>
              </w:rPr>
            </w:pPr>
            <w:proofErr w:type="spellStart"/>
            <w:r w:rsidRPr="00E33EFF">
              <w:rPr>
                <w:rFonts w:eastAsia="Arial"/>
              </w:rPr>
              <w:t>Farmako</w:t>
            </w:r>
            <w:r w:rsidR="00CA217D" w:rsidRPr="00E33EFF">
              <w:rPr>
                <w:rFonts w:eastAsia="Arial"/>
              </w:rPr>
              <w:t>e</w:t>
            </w:r>
            <w:r w:rsidR="00476256" w:rsidRPr="00E33EFF">
              <w:rPr>
                <w:rFonts w:eastAsia="Arial"/>
              </w:rPr>
              <w:t>ko</w:t>
            </w:r>
            <w:r w:rsidRPr="00E33EFF">
              <w:rPr>
                <w:rFonts w:eastAsia="Arial"/>
              </w:rPr>
              <w:t>nominio</w:t>
            </w:r>
            <w:proofErr w:type="spellEnd"/>
            <w:r w:rsidRPr="00E33EFF">
              <w:rPr>
                <w:rFonts w:eastAsia="Arial"/>
              </w:rPr>
              <w:t xml:space="preserve"> vertinimo išvada</w:t>
            </w:r>
          </w:p>
        </w:tc>
      </w:tr>
      <w:tr w:rsidR="00E106CD" w:rsidRPr="00E33EFF" w14:paraId="129FA8F6" w14:textId="77777777" w:rsidTr="00BE7489">
        <w:trPr>
          <w:trHeight w:val="2267"/>
        </w:trPr>
        <w:tc>
          <w:tcPr>
            <w:tcW w:w="2855" w:type="dxa"/>
          </w:tcPr>
          <w:p w14:paraId="0A070137" w14:textId="77777777" w:rsidR="00E106CD" w:rsidRPr="00E33EFF" w:rsidRDefault="00E106CD" w:rsidP="00E106CD">
            <w:pPr>
              <w:rPr>
                <w:bCs/>
              </w:rPr>
            </w:pPr>
            <w:r w:rsidRPr="00E33EFF">
              <w:rPr>
                <w:bCs/>
              </w:rPr>
              <w:t>Nacionalinis sveikatos ir klinikinės kompetencijos institutas, Didžioji Britanija</w:t>
            </w:r>
          </w:p>
          <w:p w14:paraId="49C6520D" w14:textId="77777777" w:rsidR="00E106CD" w:rsidRPr="00E33EFF" w:rsidRDefault="00E106CD" w:rsidP="00E106CD">
            <w:pPr>
              <w:rPr>
                <w:rFonts w:eastAsia="Arial"/>
                <w:lang w:val="en-GB"/>
              </w:rPr>
            </w:pPr>
            <w:r w:rsidRPr="00E33EFF">
              <w:rPr>
                <w:rFonts w:eastAsia="Arial"/>
                <w:lang w:val="en-GB"/>
              </w:rPr>
              <w:t>(</w:t>
            </w:r>
            <w:proofErr w:type="spellStart"/>
            <w:r w:rsidRPr="00E33EFF">
              <w:rPr>
                <w:rFonts w:eastAsia="Arial"/>
                <w:lang w:val="en-GB"/>
              </w:rPr>
              <w:t>angl.</w:t>
            </w:r>
            <w:proofErr w:type="spellEnd"/>
            <w:r w:rsidRPr="00E33EFF">
              <w:rPr>
                <w:rFonts w:eastAsia="Arial"/>
                <w:lang w:val="en-GB"/>
              </w:rPr>
              <w:t xml:space="preserve"> </w:t>
            </w:r>
            <w:r w:rsidRPr="00E33EFF">
              <w:rPr>
                <w:rFonts w:eastAsia="Arial"/>
                <w:i/>
                <w:lang w:val="en-GB"/>
              </w:rPr>
              <w:t>National Institute for Health and Care  Excellence, NICE</w:t>
            </w:r>
            <w:r w:rsidRPr="00E33EFF">
              <w:rPr>
                <w:rFonts w:eastAsia="Arial"/>
                <w:lang w:val="en-GB"/>
              </w:rPr>
              <w:t>)</w:t>
            </w:r>
          </w:p>
        </w:tc>
        <w:tc>
          <w:tcPr>
            <w:tcW w:w="1851" w:type="dxa"/>
          </w:tcPr>
          <w:p w14:paraId="5846A9F8" w14:textId="3F94A0D7" w:rsidR="00E106CD" w:rsidRPr="00E33EFF" w:rsidRDefault="004E6BB7" w:rsidP="00E106CD">
            <w:sdt>
              <w:sdtPr>
                <w:rPr>
                  <w:rStyle w:val="Style2"/>
                  <w:sz w:val="24"/>
                </w:rPr>
                <w:id w:val="1558205022"/>
                <w15:color w:val="FFCC00"/>
                <w14:checkbox>
                  <w14:checked w14:val="1"/>
                  <w14:checkedState w14:val="2612" w14:font="MS Gothic"/>
                  <w14:uncheckedState w14:val="2610" w14:font="MS Gothic"/>
                </w14:checkbox>
              </w:sdtPr>
              <w:sdtEndPr>
                <w:rPr>
                  <w:rStyle w:val="Style2"/>
                </w:rPr>
              </w:sdtEndPr>
              <w:sdtContent>
                <w:r w:rsidR="00E106CD">
                  <w:rPr>
                    <w:rStyle w:val="Style2"/>
                    <w:rFonts w:ascii="MS Gothic" w:eastAsia="MS Gothic" w:hAnsi="MS Gothic" w:hint="eastAsia"/>
                    <w:sz w:val="24"/>
                  </w:rPr>
                  <w:t>☒</w:t>
                </w:r>
              </w:sdtContent>
            </w:sdt>
            <w:r w:rsidR="00E106CD" w:rsidRPr="00E33EFF">
              <w:t xml:space="preserve"> Taip</w:t>
            </w:r>
          </w:p>
          <w:p w14:paraId="29F3627E" w14:textId="77777777" w:rsidR="00E106CD" w:rsidRPr="00E33EFF" w:rsidRDefault="004E6BB7" w:rsidP="00E106CD">
            <w:sdt>
              <w:sdtPr>
                <w:rPr>
                  <w:rStyle w:val="Style2"/>
                  <w:sz w:val="24"/>
                </w:rPr>
                <w:id w:val="866029625"/>
                <w15:color w:val="FFCC00"/>
                <w14:checkbox>
                  <w14:checked w14:val="0"/>
                  <w14:checkedState w14:val="2612" w14:font="MS Gothic"/>
                  <w14:uncheckedState w14:val="2610" w14:font="MS Gothic"/>
                </w14:checkbox>
              </w:sdtPr>
              <w:sdtEndPr>
                <w:rPr>
                  <w:rStyle w:val="Style2"/>
                </w:rPr>
              </w:sdtEndPr>
              <w:sdtContent>
                <w:r w:rsidR="00E106CD" w:rsidRPr="00E33EFF">
                  <w:rPr>
                    <w:rStyle w:val="Style2"/>
                    <w:rFonts w:ascii="Segoe UI Symbol" w:eastAsia="MS Gothic" w:hAnsi="Segoe UI Symbol" w:cs="Segoe UI Symbol"/>
                    <w:sz w:val="24"/>
                  </w:rPr>
                  <w:t>☐</w:t>
                </w:r>
              </w:sdtContent>
            </w:sdt>
            <w:r w:rsidR="00E106CD" w:rsidRPr="00E33EFF">
              <w:t xml:space="preserve"> Ne</w:t>
            </w:r>
          </w:p>
          <w:p w14:paraId="7916359D" w14:textId="420AF8BA" w:rsidR="00E106CD" w:rsidRPr="00E33EFF" w:rsidRDefault="00E106CD" w:rsidP="00E106CD">
            <w:pPr>
              <w:rPr>
                <w:rFonts w:eastAsia="Arial"/>
              </w:rPr>
            </w:pPr>
          </w:p>
        </w:tc>
        <w:tc>
          <w:tcPr>
            <w:tcW w:w="2244" w:type="dxa"/>
          </w:tcPr>
          <w:p w14:paraId="4FB99382" w14:textId="77777777" w:rsidR="00E106CD" w:rsidRDefault="00E106CD" w:rsidP="00E106CD">
            <w:pPr>
              <w:spacing w:line="276" w:lineRule="auto"/>
              <w:rPr>
                <w:rFonts w:eastAsia="Arial"/>
              </w:rPr>
            </w:pPr>
            <w:proofErr w:type="spellStart"/>
            <w:r w:rsidRPr="00D1093B">
              <w:rPr>
                <w:rFonts w:eastAsia="Arial"/>
              </w:rPr>
              <w:t>Upadacitinibas</w:t>
            </w:r>
            <w:proofErr w:type="spellEnd"/>
            <w:r w:rsidRPr="00D1093B">
              <w:rPr>
                <w:rFonts w:eastAsia="Arial"/>
              </w:rPr>
              <w:t xml:space="preserve"> rekomenduojamas kaip alternatyva vidutinio sunkumo ar sunkiam </w:t>
            </w:r>
            <w:proofErr w:type="spellStart"/>
            <w:r w:rsidRPr="00D1093B">
              <w:rPr>
                <w:rFonts w:eastAsia="Arial"/>
              </w:rPr>
              <w:t>atopiniam</w:t>
            </w:r>
            <w:proofErr w:type="spellEnd"/>
            <w:r w:rsidRPr="00D1093B">
              <w:rPr>
                <w:rFonts w:eastAsia="Arial"/>
              </w:rPr>
              <w:t xml:space="preserve"> dermatitui, kai nereagavo į bent vieną sisteminį </w:t>
            </w:r>
            <w:proofErr w:type="spellStart"/>
            <w:r w:rsidRPr="00D1093B">
              <w:rPr>
                <w:rFonts w:eastAsia="Arial"/>
              </w:rPr>
              <w:t>imunosupresantą</w:t>
            </w:r>
            <w:proofErr w:type="spellEnd"/>
            <w:r w:rsidRPr="00D1093B">
              <w:rPr>
                <w:rFonts w:eastAsia="Arial"/>
              </w:rPr>
              <w:t>.</w:t>
            </w:r>
          </w:p>
          <w:p w14:paraId="6413D0ED" w14:textId="1D5CC92E" w:rsidR="00E106CD" w:rsidRPr="00E33EFF" w:rsidRDefault="00E106CD" w:rsidP="00E106CD">
            <w:pPr>
              <w:rPr>
                <w:rFonts w:eastAsia="Arial"/>
              </w:rPr>
            </w:pPr>
            <w:r>
              <w:rPr>
                <w:rFonts w:eastAsia="Arial"/>
              </w:rPr>
              <w:t xml:space="preserve">Pareiškėjo pateikta pastaba: </w:t>
            </w:r>
            <w:r>
              <w:rPr>
                <w:color w:val="262626"/>
              </w:rPr>
              <w:t xml:space="preserve">NICE paraiškos pateikimo metu nebuvo tiesioginio palyginimo su </w:t>
            </w:r>
            <w:proofErr w:type="spellStart"/>
            <w:r>
              <w:rPr>
                <w:color w:val="262626"/>
              </w:rPr>
              <w:t>dupilumab</w:t>
            </w:r>
            <w:proofErr w:type="spellEnd"/>
            <w:r>
              <w:rPr>
                <w:color w:val="262626"/>
              </w:rPr>
              <w:t xml:space="preserve"> </w:t>
            </w:r>
            <w:r>
              <w:rPr>
                <w:color w:val="262626"/>
              </w:rPr>
              <w:lastRenderedPageBreak/>
              <w:t>duomenų, šioje paraiškoje yra pateikiami tiesioginio palyginimo duomenys, taip pat skiriasi UK ir Lietuvos skyrimo kartu su tepamais kortikosteroidais praktika.</w:t>
            </w:r>
          </w:p>
        </w:tc>
        <w:tc>
          <w:tcPr>
            <w:tcW w:w="2543" w:type="dxa"/>
          </w:tcPr>
          <w:p w14:paraId="67430EE7" w14:textId="3AF34E35" w:rsidR="00E106CD" w:rsidRPr="00E33EFF" w:rsidRDefault="00E106CD" w:rsidP="00E106CD">
            <w:pPr>
              <w:rPr>
                <w:rFonts w:eastAsia="Arial"/>
              </w:rPr>
            </w:pPr>
            <w:r>
              <w:rPr>
                <w:rFonts w:eastAsia="Arial"/>
              </w:rPr>
              <w:lastRenderedPageBreak/>
              <w:t>Kompensuojama su konfidencialia kaina</w:t>
            </w:r>
          </w:p>
        </w:tc>
      </w:tr>
      <w:tr w:rsidR="00E106CD" w:rsidRPr="00E33EFF" w14:paraId="1CC31474" w14:textId="77777777" w:rsidTr="00BE7489">
        <w:trPr>
          <w:trHeight w:val="1547"/>
        </w:trPr>
        <w:tc>
          <w:tcPr>
            <w:tcW w:w="2855" w:type="dxa"/>
          </w:tcPr>
          <w:p w14:paraId="12218E35" w14:textId="77777777" w:rsidR="00E106CD" w:rsidRPr="00E33EFF" w:rsidRDefault="00E106CD" w:rsidP="00E106CD">
            <w:pPr>
              <w:rPr>
                <w:rFonts w:eastAsia="Arial"/>
                <w:lang w:val="en-GB"/>
              </w:rPr>
            </w:pPr>
            <w:proofErr w:type="spellStart"/>
            <w:r w:rsidRPr="00E33EFF">
              <w:rPr>
                <w:rFonts w:eastAsia="Arial"/>
                <w:lang w:val="en-GB"/>
              </w:rPr>
              <w:t>Kanados</w:t>
            </w:r>
            <w:proofErr w:type="spellEnd"/>
            <w:r w:rsidRPr="00E33EFF">
              <w:rPr>
                <w:rFonts w:eastAsia="Arial"/>
                <w:lang w:val="en-GB"/>
              </w:rPr>
              <w:t xml:space="preserve"> </w:t>
            </w:r>
            <w:proofErr w:type="spellStart"/>
            <w:r w:rsidRPr="00E33EFF">
              <w:rPr>
                <w:rFonts w:eastAsia="Arial"/>
                <w:lang w:val="en-GB"/>
              </w:rPr>
              <w:t>sveikatos</w:t>
            </w:r>
            <w:proofErr w:type="spellEnd"/>
            <w:r w:rsidRPr="00E33EFF">
              <w:rPr>
                <w:rFonts w:eastAsia="Arial"/>
                <w:lang w:val="en-GB"/>
              </w:rPr>
              <w:t xml:space="preserve"> </w:t>
            </w:r>
            <w:proofErr w:type="spellStart"/>
            <w:r w:rsidRPr="00E33EFF">
              <w:rPr>
                <w:rFonts w:eastAsia="Arial"/>
                <w:lang w:val="en-GB"/>
              </w:rPr>
              <w:t>technologijų</w:t>
            </w:r>
            <w:proofErr w:type="spellEnd"/>
            <w:r w:rsidRPr="00E33EFF">
              <w:rPr>
                <w:rFonts w:eastAsia="Arial"/>
                <w:lang w:val="en-GB"/>
              </w:rPr>
              <w:t xml:space="preserve"> </w:t>
            </w:r>
            <w:proofErr w:type="spellStart"/>
            <w:r w:rsidRPr="00E33EFF">
              <w:rPr>
                <w:rFonts w:eastAsia="Arial"/>
                <w:lang w:val="en-GB"/>
              </w:rPr>
              <w:t>agentūra</w:t>
            </w:r>
            <w:proofErr w:type="spellEnd"/>
          </w:p>
          <w:p w14:paraId="2C593A82" w14:textId="77777777" w:rsidR="00E106CD" w:rsidRPr="00E33EFF" w:rsidRDefault="00E106CD" w:rsidP="00E106CD">
            <w:pPr>
              <w:rPr>
                <w:rFonts w:eastAsia="Arial"/>
                <w:lang w:val="en-GB"/>
              </w:rPr>
            </w:pPr>
            <w:r w:rsidRPr="00E33EFF">
              <w:rPr>
                <w:rFonts w:eastAsia="Arial"/>
                <w:lang w:val="en-GB"/>
              </w:rPr>
              <w:t>(</w:t>
            </w:r>
            <w:proofErr w:type="spellStart"/>
            <w:r w:rsidRPr="00E33EFF">
              <w:rPr>
                <w:rFonts w:eastAsia="Arial"/>
                <w:lang w:val="en-GB"/>
              </w:rPr>
              <w:t>angl.</w:t>
            </w:r>
            <w:proofErr w:type="spellEnd"/>
            <w:r w:rsidRPr="00E33EFF">
              <w:rPr>
                <w:rFonts w:eastAsia="Arial"/>
                <w:lang w:val="en-GB"/>
              </w:rPr>
              <w:t xml:space="preserve"> </w:t>
            </w:r>
            <w:r w:rsidRPr="00E33EFF">
              <w:rPr>
                <w:rFonts w:eastAsia="Arial"/>
                <w:i/>
                <w:lang w:val="en-GB"/>
              </w:rPr>
              <w:t>Canadian health Technology Assessment agency, CADTH</w:t>
            </w:r>
            <w:r w:rsidRPr="00E33EFF">
              <w:rPr>
                <w:rFonts w:eastAsia="Arial"/>
                <w:lang w:val="en-GB"/>
              </w:rPr>
              <w:t>)</w:t>
            </w:r>
          </w:p>
        </w:tc>
        <w:tc>
          <w:tcPr>
            <w:tcW w:w="1851" w:type="dxa"/>
          </w:tcPr>
          <w:p w14:paraId="7A244A54" w14:textId="77777777" w:rsidR="00E106CD" w:rsidRPr="00D05364" w:rsidRDefault="004E6BB7" w:rsidP="00E106CD">
            <w:sdt>
              <w:sdtPr>
                <w:rPr>
                  <w:rStyle w:val="CommentSubjectChar"/>
                </w:rPr>
                <w:id w:val="-372539057"/>
                <w15:color w:val="FFCC00"/>
                <w14:checkbox>
                  <w14:checked w14:val="1"/>
                  <w14:checkedState w14:val="2612" w14:font="MS Gothic"/>
                  <w14:uncheckedState w14:val="2610" w14:font="MS Gothic"/>
                </w14:checkbox>
              </w:sdtPr>
              <w:sdtEndPr>
                <w:rPr>
                  <w:rStyle w:val="CommentSubjectChar"/>
                </w:rPr>
              </w:sdtEndPr>
              <w:sdtContent>
                <w:r w:rsidR="00E106CD">
                  <w:rPr>
                    <w:rStyle w:val="CommentSubjectChar"/>
                    <w:rFonts w:ascii="MS Gothic" w:eastAsia="MS Gothic" w:hAnsi="MS Gothic" w:hint="eastAsia"/>
                  </w:rPr>
                  <w:t>☒</w:t>
                </w:r>
              </w:sdtContent>
            </w:sdt>
            <w:r w:rsidR="00E106CD" w:rsidRPr="00D05364">
              <w:t xml:space="preserve"> Taip</w:t>
            </w:r>
          </w:p>
          <w:p w14:paraId="5D447E09" w14:textId="77777777" w:rsidR="00E106CD" w:rsidRPr="00D05364" w:rsidRDefault="004E6BB7" w:rsidP="00E106CD">
            <w:sdt>
              <w:sdtPr>
                <w:rPr>
                  <w:rStyle w:val="CommentSubjectChar"/>
                </w:rPr>
                <w:id w:val="594442222"/>
                <w15:color w:val="FFCC00"/>
                <w14:checkbox>
                  <w14:checked w14:val="0"/>
                  <w14:checkedState w14:val="2612" w14:font="MS Gothic"/>
                  <w14:uncheckedState w14:val="2610" w14:font="MS Gothic"/>
                </w14:checkbox>
              </w:sdtPr>
              <w:sdtEndPr>
                <w:rPr>
                  <w:rStyle w:val="CommentSubjectChar"/>
                </w:rPr>
              </w:sdtEndPr>
              <w:sdtContent>
                <w:r w:rsidR="00E106CD">
                  <w:rPr>
                    <w:rStyle w:val="CommentSubjectChar"/>
                    <w:rFonts w:ascii="MS Gothic" w:eastAsia="MS Gothic" w:hAnsi="MS Gothic" w:hint="eastAsia"/>
                  </w:rPr>
                  <w:t>☐</w:t>
                </w:r>
              </w:sdtContent>
            </w:sdt>
            <w:r w:rsidR="00E106CD" w:rsidRPr="00D05364">
              <w:t xml:space="preserve"> Ne</w:t>
            </w:r>
          </w:p>
          <w:p w14:paraId="0C0988CC" w14:textId="27A4137C" w:rsidR="00E106CD" w:rsidRPr="00E33EFF" w:rsidRDefault="004E6BB7" w:rsidP="00E106CD">
            <w:pPr>
              <w:rPr>
                <w:rFonts w:eastAsia="Arial"/>
              </w:rPr>
            </w:pPr>
            <w:sdt>
              <w:sdtPr>
                <w:alias w:val="Nurodykite konkrečią dieną"/>
                <w:tag w:val="Nurodykite pradžios datą"/>
                <w:id w:val="1072468416"/>
                <w:placeholder>
                  <w:docPart w:val="E7617582DD0F47BEBF9F9C3D795808B0"/>
                </w:placeholder>
                <w15:color w:val="FFCC99"/>
                <w:date w:fullDate="2022-05-24T00:00:00Z">
                  <w:dateFormat w:val="yyyy 'm.' MMMM d 'd.'"/>
                  <w:lid w:val="lt-LT"/>
                  <w:storeMappedDataAs w:val="dateTime"/>
                  <w:calendar w:val="gregorian"/>
                </w:date>
              </w:sdtPr>
              <w:sdtEndPr/>
              <w:sdtContent>
                <w:r w:rsidR="00E106CD">
                  <w:t>2022 m. gegužės 24 d.</w:t>
                </w:r>
              </w:sdtContent>
            </w:sdt>
          </w:p>
        </w:tc>
        <w:tc>
          <w:tcPr>
            <w:tcW w:w="2244" w:type="dxa"/>
          </w:tcPr>
          <w:p w14:paraId="64D1B800" w14:textId="3368C842" w:rsidR="00E106CD" w:rsidRPr="00E33EFF" w:rsidRDefault="00E106CD" w:rsidP="00E106CD">
            <w:pPr>
              <w:rPr>
                <w:rFonts w:eastAsia="Arial"/>
              </w:rPr>
            </w:pPr>
            <w:r>
              <w:rPr>
                <w:rFonts w:eastAsia="Arial"/>
              </w:rPr>
              <w:t xml:space="preserve">Rekomenduojama gydyti pacientus, kurie anksčiau buvo gydyti </w:t>
            </w:r>
            <w:proofErr w:type="spellStart"/>
            <w:r>
              <w:rPr>
                <w:rFonts w:eastAsia="Arial"/>
              </w:rPr>
              <w:t>topiniais</w:t>
            </w:r>
            <w:proofErr w:type="spellEnd"/>
            <w:r>
              <w:rPr>
                <w:rFonts w:eastAsia="Arial"/>
              </w:rPr>
              <w:t xml:space="preserve"> preparatais bei </w:t>
            </w:r>
            <w:proofErr w:type="spellStart"/>
            <w:r>
              <w:rPr>
                <w:rFonts w:eastAsia="Arial"/>
              </w:rPr>
              <w:t>fototerapija</w:t>
            </w:r>
            <w:proofErr w:type="spellEnd"/>
            <w:r>
              <w:rPr>
                <w:rFonts w:eastAsia="Arial"/>
              </w:rPr>
              <w:t xml:space="preserve"> ir </w:t>
            </w:r>
            <w:proofErr w:type="spellStart"/>
            <w:r>
              <w:rPr>
                <w:rFonts w:eastAsia="Arial"/>
              </w:rPr>
              <w:t>metotreksatu</w:t>
            </w:r>
            <w:proofErr w:type="spellEnd"/>
            <w:r>
              <w:rPr>
                <w:rFonts w:eastAsia="Arial"/>
              </w:rPr>
              <w:t xml:space="preserve"> ar </w:t>
            </w:r>
            <w:proofErr w:type="spellStart"/>
            <w:r>
              <w:rPr>
                <w:rFonts w:eastAsia="Arial"/>
              </w:rPr>
              <w:t>ciklosporinu</w:t>
            </w:r>
            <w:proofErr w:type="spellEnd"/>
            <w:r>
              <w:rPr>
                <w:rFonts w:eastAsia="Arial"/>
              </w:rPr>
              <w:t xml:space="preserve"> ar </w:t>
            </w:r>
            <w:proofErr w:type="spellStart"/>
            <w:r>
              <w:rPr>
                <w:rFonts w:eastAsia="Arial"/>
              </w:rPr>
              <w:t>mikofenilato</w:t>
            </w:r>
            <w:proofErr w:type="spellEnd"/>
            <w:r>
              <w:rPr>
                <w:rFonts w:eastAsia="Arial"/>
              </w:rPr>
              <w:t xml:space="preserve"> </w:t>
            </w:r>
            <w:proofErr w:type="spellStart"/>
            <w:r>
              <w:rPr>
                <w:rFonts w:eastAsia="Arial"/>
              </w:rPr>
              <w:t>mofetiliu</w:t>
            </w:r>
            <w:proofErr w:type="spellEnd"/>
            <w:r>
              <w:rPr>
                <w:rFonts w:eastAsia="Arial"/>
              </w:rPr>
              <w:t xml:space="preserve"> ar </w:t>
            </w:r>
            <w:proofErr w:type="spellStart"/>
            <w:r>
              <w:rPr>
                <w:rFonts w:eastAsia="Arial"/>
              </w:rPr>
              <w:t>azatioprinu</w:t>
            </w:r>
            <w:proofErr w:type="spellEnd"/>
            <w:r>
              <w:rPr>
                <w:rFonts w:eastAsia="Arial"/>
              </w:rPr>
              <w:t xml:space="preserve"> (gydymas netiko, pasireiškė </w:t>
            </w:r>
            <w:proofErr w:type="spellStart"/>
            <w:r>
              <w:rPr>
                <w:rFonts w:eastAsia="Arial"/>
              </w:rPr>
              <w:t>atkryčiai,gydymas</w:t>
            </w:r>
            <w:proofErr w:type="spellEnd"/>
            <w:r>
              <w:rPr>
                <w:rFonts w:eastAsia="Arial"/>
              </w:rPr>
              <w:t xml:space="preserve"> netoleruojamas).</w:t>
            </w:r>
          </w:p>
        </w:tc>
        <w:tc>
          <w:tcPr>
            <w:tcW w:w="2543" w:type="dxa"/>
          </w:tcPr>
          <w:p w14:paraId="5C8CB330" w14:textId="2A618C19" w:rsidR="00E106CD" w:rsidRPr="00E33EFF" w:rsidRDefault="00E106CD" w:rsidP="00E106CD">
            <w:pPr>
              <w:rPr>
                <w:rFonts w:eastAsia="Arial"/>
              </w:rPr>
            </w:pPr>
            <w:r>
              <w:rPr>
                <w:rFonts w:eastAsia="Arial"/>
              </w:rPr>
              <w:t xml:space="preserve">Rekomenduojama kompensuoti, jei gydymas </w:t>
            </w:r>
            <w:proofErr w:type="spellStart"/>
            <w:r>
              <w:rPr>
                <w:rFonts w:eastAsia="Arial"/>
              </w:rPr>
              <w:t>Rinvoq</w:t>
            </w:r>
            <w:proofErr w:type="spellEnd"/>
            <w:r>
              <w:rPr>
                <w:rFonts w:eastAsia="Arial"/>
              </w:rPr>
              <w:t xml:space="preserve"> taupo kaštus</w:t>
            </w:r>
          </w:p>
        </w:tc>
      </w:tr>
      <w:tr w:rsidR="00E106CD" w:rsidRPr="00E33EFF" w14:paraId="21C94D47" w14:textId="77777777" w:rsidTr="00BE7489">
        <w:trPr>
          <w:trHeight w:val="2160"/>
        </w:trPr>
        <w:tc>
          <w:tcPr>
            <w:tcW w:w="2855" w:type="dxa"/>
          </w:tcPr>
          <w:p w14:paraId="02F45BB8" w14:textId="77777777" w:rsidR="00E106CD" w:rsidRPr="00E33EFF" w:rsidRDefault="00E106CD" w:rsidP="00E106CD">
            <w:pPr>
              <w:rPr>
                <w:rFonts w:eastAsia="Arial"/>
              </w:rPr>
            </w:pPr>
            <w:r w:rsidRPr="00E33EFF">
              <w:rPr>
                <w:rFonts w:eastAsia="Arial"/>
              </w:rPr>
              <w:t xml:space="preserve">Nacionalinis </w:t>
            </w:r>
            <w:proofErr w:type="spellStart"/>
            <w:r w:rsidRPr="00E33EFF">
              <w:rPr>
                <w:rFonts w:eastAsia="Arial"/>
              </w:rPr>
              <w:t>farmakoekonomikos</w:t>
            </w:r>
            <w:proofErr w:type="spellEnd"/>
            <w:r w:rsidRPr="00E33EFF">
              <w:rPr>
                <w:rFonts w:eastAsia="Arial"/>
              </w:rPr>
              <w:t xml:space="preserve"> centras, Airija</w:t>
            </w:r>
          </w:p>
          <w:p w14:paraId="736F5072" w14:textId="77777777" w:rsidR="00E106CD" w:rsidRPr="00E33EFF" w:rsidRDefault="00E106CD" w:rsidP="00E106CD">
            <w:pPr>
              <w:rPr>
                <w:rFonts w:eastAsia="Arial"/>
              </w:rPr>
            </w:pPr>
            <w:r w:rsidRPr="00E33EFF">
              <w:rPr>
                <w:rFonts w:eastAsia="Arial"/>
              </w:rPr>
              <w:t>(angl.</w:t>
            </w:r>
            <w:r w:rsidRPr="00E33EFF">
              <w:rPr>
                <w:rFonts w:eastAsia="Arial"/>
                <w:i/>
              </w:rPr>
              <w:t xml:space="preserve"> </w:t>
            </w:r>
            <w:proofErr w:type="spellStart"/>
            <w:r w:rsidRPr="00E33EFF">
              <w:rPr>
                <w:rFonts w:eastAsia="Arial"/>
                <w:i/>
              </w:rPr>
              <w:t>National</w:t>
            </w:r>
            <w:proofErr w:type="spellEnd"/>
            <w:r w:rsidRPr="00E33EFF">
              <w:rPr>
                <w:rFonts w:eastAsia="Arial"/>
                <w:i/>
              </w:rPr>
              <w:t xml:space="preserve"> Centre </w:t>
            </w:r>
            <w:proofErr w:type="spellStart"/>
            <w:r w:rsidRPr="00E33EFF">
              <w:rPr>
                <w:rFonts w:eastAsia="Arial"/>
                <w:i/>
              </w:rPr>
              <w:t>for</w:t>
            </w:r>
            <w:proofErr w:type="spellEnd"/>
            <w:r w:rsidRPr="00E33EFF">
              <w:rPr>
                <w:rFonts w:eastAsia="Arial"/>
                <w:i/>
              </w:rPr>
              <w:t xml:space="preserve"> </w:t>
            </w:r>
            <w:proofErr w:type="spellStart"/>
            <w:r w:rsidRPr="00E33EFF">
              <w:rPr>
                <w:rFonts w:eastAsia="Arial"/>
                <w:i/>
              </w:rPr>
              <w:t>Pharmacoeconomics</w:t>
            </w:r>
            <w:proofErr w:type="spellEnd"/>
            <w:r w:rsidRPr="00E33EFF">
              <w:rPr>
                <w:rFonts w:eastAsia="Arial"/>
                <w:i/>
              </w:rPr>
              <w:t>, NCPE</w:t>
            </w:r>
            <w:r w:rsidRPr="00E33EFF">
              <w:rPr>
                <w:rFonts w:eastAsia="Arial"/>
              </w:rPr>
              <w:t>)</w:t>
            </w:r>
          </w:p>
        </w:tc>
        <w:tc>
          <w:tcPr>
            <w:tcW w:w="1851" w:type="dxa"/>
          </w:tcPr>
          <w:p w14:paraId="106E24DF" w14:textId="77777777" w:rsidR="00E106CD" w:rsidRPr="00E33EFF" w:rsidRDefault="004E6BB7" w:rsidP="00E106CD">
            <w:sdt>
              <w:sdtPr>
                <w:rPr>
                  <w:rStyle w:val="Style2"/>
                  <w:sz w:val="24"/>
                </w:rPr>
                <w:id w:val="-1888403732"/>
                <w15:color w:val="FFCC00"/>
                <w14:checkbox>
                  <w14:checked w14:val="0"/>
                  <w14:checkedState w14:val="2612" w14:font="MS Gothic"/>
                  <w14:uncheckedState w14:val="2610" w14:font="MS Gothic"/>
                </w14:checkbox>
              </w:sdtPr>
              <w:sdtEndPr>
                <w:rPr>
                  <w:rStyle w:val="Style2"/>
                </w:rPr>
              </w:sdtEndPr>
              <w:sdtContent>
                <w:r w:rsidR="00E106CD" w:rsidRPr="00E33EFF">
                  <w:rPr>
                    <w:rStyle w:val="Style2"/>
                    <w:rFonts w:ascii="Segoe UI Symbol" w:eastAsia="MS Gothic" w:hAnsi="Segoe UI Symbol" w:cs="Segoe UI Symbol"/>
                    <w:sz w:val="24"/>
                  </w:rPr>
                  <w:t>☐</w:t>
                </w:r>
              </w:sdtContent>
            </w:sdt>
            <w:r w:rsidR="00E106CD" w:rsidRPr="00E33EFF">
              <w:t xml:space="preserve"> Taip</w:t>
            </w:r>
          </w:p>
          <w:p w14:paraId="6C89485D" w14:textId="52917040" w:rsidR="00E106CD" w:rsidRPr="00E33EFF" w:rsidRDefault="004E6BB7" w:rsidP="00E106CD">
            <w:sdt>
              <w:sdtPr>
                <w:rPr>
                  <w:rStyle w:val="Style2"/>
                  <w:sz w:val="24"/>
                </w:rPr>
                <w:id w:val="1092201793"/>
                <w15:color w:val="FFCC00"/>
                <w14:checkbox>
                  <w14:checked w14:val="1"/>
                  <w14:checkedState w14:val="2612" w14:font="MS Gothic"/>
                  <w14:uncheckedState w14:val="2610" w14:font="MS Gothic"/>
                </w14:checkbox>
              </w:sdtPr>
              <w:sdtEndPr>
                <w:rPr>
                  <w:rStyle w:val="Style2"/>
                </w:rPr>
              </w:sdtEndPr>
              <w:sdtContent>
                <w:r w:rsidR="00E106CD">
                  <w:rPr>
                    <w:rStyle w:val="Style2"/>
                    <w:rFonts w:ascii="MS Gothic" w:eastAsia="MS Gothic" w:hAnsi="MS Gothic" w:hint="eastAsia"/>
                    <w:sz w:val="24"/>
                  </w:rPr>
                  <w:t>☒</w:t>
                </w:r>
              </w:sdtContent>
            </w:sdt>
            <w:r w:rsidR="00E106CD" w:rsidRPr="00E33EFF">
              <w:t xml:space="preserve"> Ne</w:t>
            </w:r>
          </w:p>
          <w:p w14:paraId="69AA1151" w14:textId="289A49B9" w:rsidR="00E106CD" w:rsidRPr="00E33EFF" w:rsidRDefault="00E106CD" w:rsidP="00E106CD">
            <w:pPr>
              <w:rPr>
                <w:rFonts w:eastAsia="Arial"/>
              </w:rPr>
            </w:pPr>
          </w:p>
        </w:tc>
        <w:tc>
          <w:tcPr>
            <w:tcW w:w="2244" w:type="dxa"/>
          </w:tcPr>
          <w:p w14:paraId="3C67423E" w14:textId="77777777" w:rsidR="00E106CD" w:rsidRPr="00E33EFF" w:rsidRDefault="00E106CD" w:rsidP="00E106CD">
            <w:pPr>
              <w:rPr>
                <w:rFonts w:eastAsia="Arial"/>
              </w:rPr>
            </w:pPr>
          </w:p>
        </w:tc>
        <w:tc>
          <w:tcPr>
            <w:tcW w:w="2543" w:type="dxa"/>
          </w:tcPr>
          <w:p w14:paraId="60651AFD" w14:textId="77777777" w:rsidR="00E106CD" w:rsidRPr="00E33EFF" w:rsidRDefault="00E106CD" w:rsidP="00E106CD">
            <w:pPr>
              <w:rPr>
                <w:rFonts w:eastAsia="Arial"/>
              </w:rPr>
            </w:pPr>
          </w:p>
        </w:tc>
      </w:tr>
    </w:tbl>
    <w:p w14:paraId="2EB7FD31" w14:textId="4D2A8479" w:rsidR="007A2B68" w:rsidRDefault="007A2B68" w:rsidP="00E03C3F">
      <w:pPr>
        <w:pStyle w:val="ListParagraph"/>
        <w:tabs>
          <w:tab w:val="left" w:pos="426"/>
        </w:tabs>
        <w:ind w:left="0"/>
        <w:rPr>
          <w:b/>
          <w:bCs/>
          <w:caps/>
        </w:rPr>
      </w:pPr>
    </w:p>
    <w:p w14:paraId="73290081" w14:textId="77777777" w:rsidR="007A2B68" w:rsidRDefault="007A2B68">
      <w:pPr>
        <w:rPr>
          <w:b/>
          <w:bCs/>
          <w:caps/>
        </w:rPr>
      </w:pPr>
      <w:r>
        <w:rPr>
          <w:b/>
          <w:bCs/>
          <w:caps/>
        </w:rPr>
        <w:br w:type="page"/>
      </w:r>
    </w:p>
    <w:p w14:paraId="5055E8A8" w14:textId="471A9757" w:rsidR="002E6F80" w:rsidRPr="00E33EFF" w:rsidRDefault="00CC7832" w:rsidP="00CC09D4">
      <w:pPr>
        <w:pStyle w:val="ListParagraph"/>
        <w:numPr>
          <w:ilvl w:val="0"/>
          <w:numId w:val="12"/>
        </w:numPr>
        <w:tabs>
          <w:tab w:val="left" w:pos="567"/>
        </w:tabs>
        <w:ind w:hanging="720"/>
        <w:rPr>
          <w:b/>
          <w:bCs/>
          <w:caps/>
        </w:rPr>
      </w:pPr>
      <w:r w:rsidRPr="00E33EFF">
        <w:rPr>
          <w:b/>
          <w:bCs/>
          <w:caps/>
        </w:rPr>
        <w:lastRenderedPageBreak/>
        <w:t>Klinikinio vertinimo a</w:t>
      </w:r>
      <w:r w:rsidR="00D4485B" w:rsidRPr="00E33EFF">
        <w:rPr>
          <w:b/>
          <w:bCs/>
          <w:caps/>
        </w:rPr>
        <w:t>pibendrinimas</w:t>
      </w:r>
    </w:p>
    <w:p w14:paraId="1A00BC8E" w14:textId="18E793FB" w:rsidR="00A93AA6" w:rsidRDefault="00A93AA6" w:rsidP="00A93AA6">
      <w:pPr>
        <w:tabs>
          <w:tab w:val="left" w:pos="284"/>
        </w:tabs>
        <w:rPr>
          <w:i/>
          <w:color w:val="00B050"/>
          <w:sz w:val="22"/>
        </w:rPr>
      </w:pPr>
    </w:p>
    <w:p w14:paraId="6370D231" w14:textId="77777777" w:rsidR="00E106CD" w:rsidRPr="00757E2D" w:rsidRDefault="00E106CD" w:rsidP="00E106CD">
      <w:pPr>
        <w:spacing w:line="276" w:lineRule="auto"/>
        <w:ind w:firstLine="709"/>
        <w:jc w:val="both"/>
      </w:pPr>
      <w:proofErr w:type="spellStart"/>
      <w:r w:rsidRPr="00757E2D">
        <w:t>Atopinis</w:t>
      </w:r>
      <w:proofErr w:type="spellEnd"/>
      <w:r w:rsidRPr="00757E2D">
        <w:t xml:space="preserve"> dermatitas (</w:t>
      </w:r>
      <w:proofErr w:type="spellStart"/>
      <w:r w:rsidRPr="00757E2D">
        <w:t>atopinė</w:t>
      </w:r>
      <w:proofErr w:type="spellEnd"/>
      <w:r w:rsidRPr="00757E2D">
        <w:t xml:space="preserve"> egzema) – tai lėtinė uždegimą sukelianti odos liga. Jai būdingas intensyvus odos sausumas, niežėjimas ir uždegimo sukelti odos pažeidimai: paraudimas, sudirgimas (egzemos paūmėjimai). Liga daro itin stiprią įtaką sergančiojo gyvenimo kokybei: dėl nuolatinio niežulio sutrinka miego kokybė. Estetinis odos pavidalas lemia prastesnę sergančiųjų socializaciją visuomenėje, o nuolatiniai odos pažeidimai – išaugusią infekcinių susirgimų tikimybę.</w:t>
      </w:r>
    </w:p>
    <w:p w14:paraId="7A3C8C6C" w14:textId="77777777" w:rsidR="00E106CD" w:rsidRPr="00757E2D" w:rsidRDefault="00E106CD" w:rsidP="00E106CD">
      <w:pPr>
        <w:spacing w:line="276" w:lineRule="auto"/>
        <w:ind w:firstLine="709"/>
        <w:jc w:val="both"/>
      </w:pPr>
      <w:proofErr w:type="spellStart"/>
      <w:r w:rsidRPr="00757E2D">
        <w:t>Atopinis</w:t>
      </w:r>
      <w:proofErr w:type="spellEnd"/>
      <w:r w:rsidRPr="00757E2D">
        <w:t xml:space="preserve"> dermatitas pagal Tarptautinės statistinės ligų ir sveikatos sutrikimų klasifikacijos dešimtąjį pataisytą ir papildytą leidimą „Sisteminis ligų sąrašas“ (Australijos modifikacija, TLK-10-AM) (toliau – TLK-10-AM) žymimas kodu L20.</w:t>
      </w:r>
    </w:p>
    <w:p w14:paraId="7FE3F747" w14:textId="77777777" w:rsidR="00E106CD" w:rsidRPr="00757E2D" w:rsidRDefault="00E106CD" w:rsidP="00E106CD">
      <w:pPr>
        <w:spacing w:line="276" w:lineRule="auto"/>
        <w:ind w:firstLine="709"/>
        <w:jc w:val="both"/>
      </w:pPr>
      <w:proofErr w:type="spellStart"/>
      <w:r w:rsidRPr="00757E2D">
        <w:t>Atopinio</w:t>
      </w:r>
      <w:proofErr w:type="spellEnd"/>
      <w:r w:rsidRPr="00757E2D">
        <w:t xml:space="preserve"> dermatito sunkumas vertinimas pagal objektyvius ir subjektyvius simptomus. Dažniausiai klinikinėje praktikoje naudojamas įrankis, kuriuo vertinamas šios ligos sunkumas, yra </w:t>
      </w:r>
      <w:proofErr w:type="spellStart"/>
      <w:r w:rsidRPr="00757E2D">
        <w:t>atopinio</w:t>
      </w:r>
      <w:proofErr w:type="spellEnd"/>
      <w:r w:rsidRPr="00757E2D">
        <w:t xml:space="preserve"> dermatito balas (SCORAD). Kai SCORAD balas yra 50 ar daugiau, </w:t>
      </w:r>
      <w:proofErr w:type="spellStart"/>
      <w:r w:rsidRPr="00757E2D">
        <w:t>atopinis</w:t>
      </w:r>
      <w:proofErr w:type="spellEnd"/>
      <w:r w:rsidRPr="00757E2D">
        <w:t xml:space="preserve"> dermatitas vertinamas kaip sunkus. </w:t>
      </w:r>
    </w:p>
    <w:p w14:paraId="67925C4C" w14:textId="77777777" w:rsidR="00E106CD" w:rsidRDefault="00E106CD" w:rsidP="00E106CD">
      <w:pPr>
        <w:spacing w:line="276" w:lineRule="auto"/>
        <w:ind w:firstLine="709"/>
        <w:jc w:val="both"/>
      </w:pPr>
      <w:r w:rsidRPr="00757E2D">
        <w:t xml:space="preserve">Daugiausia </w:t>
      </w:r>
      <w:proofErr w:type="spellStart"/>
      <w:r w:rsidRPr="00757E2D">
        <w:t>atopinio</w:t>
      </w:r>
      <w:proofErr w:type="spellEnd"/>
      <w:r w:rsidRPr="00757E2D">
        <w:t xml:space="preserve"> dermatito atvejų yra lengvos eigos, tačiau apie 10 proc. pacientų pasireiškia sunkūs odos pažeidimai. Nors ši liga dažniausiai pasireiškia kūdikystėje ar ankstyvoje vaikystėje, sunkių atvejų skaičius didesnis tarp suaugusių asmenų, sergančių </w:t>
      </w:r>
      <w:proofErr w:type="spellStart"/>
      <w:r w:rsidRPr="00757E2D">
        <w:t>atopiniu</w:t>
      </w:r>
      <w:proofErr w:type="spellEnd"/>
      <w:r w:rsidRPr="00757E2D">
        <w:t xml:space="preserve"> dermatitu.</w:t>
      </w:r>
    </w:p>
    <w:p w14:paraId="74EBB309" w14:textId="77777777" w:rsidR="00E106CD" w:rsidRPr="00757E2D" w:rsidRDefault="00E106CD" w:rsidP="00E106CD">
      <w:pPr>
        <w:spacing w:line="276" w:lineRule="auto"/>
        <w:ind w:firstLine="709"/>
        <w:jc w:val="both"/>
      </w:pPr>
      <w:r w:rsidRPr="00B15035">
        <w:t>Remiantis PSO Pasaulinės ligų naštos iniciatyvos duomenimis, manoma, kad AD serga mažiausiai 230 milijonų žmonių visame pasaulyje. Iš pradžių laikyta ankstyvos vaikystės liga, kurios paplitimas vaikų amžiuje siekia 15 – 25 proc., tačiau naujausi duomenys rodo, kad AD taip pat dažna ir suaugusiesiems, o dažnis svyruoja nuo 1 iki 10 proc.</w:t>
      </w:r>
    </w:p>
    <w:p w14:paraId="114061E6" w14:textId="77777777" w:rsidR="00E106CD" w:rsidRPr="00757E2D" w:rsidRDefault="00E106CD" w:rsidP="00E106CD">
      <w:pPr>
        <w:spacing w:line="276" w:lineRule="auto"/>
        <w:ind w:firstLine="851"/>
        <w:jc w:val="both"/>
      </w:pPr>
      <w:proofErr w:type="spellStart"/>
      <w:r w:rsidRPr="00757E2D">
        <w:t>Atopinio</w:t>
      </w:r>
      <w:proofErr w:type="spellEnd"/>
      <w:r w:rsidRPr="00757E2D">
        <w:t xml:space="preserve"> dermatito gydymo parinkimas priklauso nuo ligos sunkumo ir vyraujančių simptomų. Visais atvejais turi būti skiriamas bazinis gydymas – tinkamas odos prausimas ir </w:t>
      </w:r>
      <w:proofErr w:type="spellStart"/>
      <w:r w:rsidRPr="00757E2D">
        <w:t>emolientai</w:t>
      </w:r>
      <w:proofErr w:type="spellEnd"/>
      <w:r w:rsidRPr="00757E2D">
        <w:t xml:space="preserve">. Vietinio poveikio uždegimą slopinantys vaistai – </w:t>
      </w:r>
      <w:proofErr w:type="spellStart"/>
      <w:r w:rsidRPr="00757E2D">
        <w:t>gliukokortikoidai</w:t>
      </w:r>
      <w:proofErr w:type="spellEnd"/>
      <w:r w:rsidRPr="00757E2D">
        <w:t xml:space="preserve"> ir </w:t>
      </w:r>
      <w:proofErr w:type="spellStart"/>
      <w:r w:rsidRPr="00757E2D">
        <w:t>kalcineurino</w:t>
      </w:r>
      <w:proofErr w:type="spellEnd"/>
      <w:r w:rsidRPr="00757E2D">
        <w:t xml:space="preserve"> inhibitoriai – yra pirmaeiliai, tačiau esant sunkiam </w:t>
      </w:r>
      <w:proofErr w:type="spellStart"/>
      <w:r w:rsidRPr="00757E2D">
        <w:t>atopiniam</w:t>
      </w:r>
      <w:proofErr w:type="spellEnd"/>
      <w:r w:rsidRPr="00757E2D">
        <w:t xml:space="preserve"> dermatitui jie nėra pakankamai veiksmingi, todėl reikia skirti sisteminį gydymą.</w:t>
      </w:r>
    </w:p>
    <w:p w14:paraId="6DF87152" w14:textId="77777777" w:rsidR="00E106CD" w:rsidRDefault="00E106CD" w:rsidP="00E106CD">
      <w:pPr>
        <w:tabs>
          <w:tab w:val="left" w:pos="426"/>
        </w:tabs>
        <w:spacing w:line="276" w:lineRule="auto"/>
        <w:ind w:firstLine="1134"/>
        <w:jc w:val="both"/>
      </w:pPr>
      <w:r w:rsidRPr="00757E2D">
        <w:t xml:space="preserve">Remiantis Europos suaugusiųjų ir vaikų </w:t>
      </w:r>
      <w:proofErr w:type="spellStart"/>
      <w:r w:rsidRPr="00757E2D">
        <w:t>atopinio</w:t>
      </w:r>
      <w:proofErr w:type="spellEnd"/>
      <w:r w:rsidRPr="00757E2D">
        <w:t xml:space="preserve"> dermatito gydymo gairėmis, sunkiam </w:t>
      </w:r>
      <w:proofErr w:type="spellStart"/>
      <w:r w:rsidRPr="00757E2D">
        <w:t>atopiniam</w:t>
      </w:r>
      <w:proofErr w:type="spellEnd"/>
      <w:r w:rsidRPr="00757E2D">
        <w:t xml:space="preserve"> dermatitui gydyti rekomenduojami imunosupresiniai vaistai. Vienas tokių medikamentų yra </w:t>
      </w:r>
      <w:proofErr w:type="spellStart"/>
      <w:r w:rsidRPr="00757E2D">
        <w:t>ciklosporinas</w:t>
      </w:r>
      <w:proofErr w:type="spellEnd"/>
      <w:r w:rsidRPr="00757E2D">
        <w:t xml:space="preserve">. Tai pirmos eilės vaistas suaugusiųjų ir vaikų sunkiam </w:t>
      </w:r>
      <w:proofErr w:type="spellStart"/>
      <w:r w:rsidRPr="00757E2D">
        <w:t>atopiniam</w:t>
      </w:r>
      <w:proofErr w:type="spellEnd"/>
      <w:r w:rsidRPr="00757E2D">
        <w:t xml:space="preserve"> dermatitui gydyti daugelyje Europos šalių.</w:t>
      </w:r>
    </w:p>
    <w:p w14:paraId="6F203C8A" w14:textId="77777777" w:rsidR="00E106CD" w:rsidRDefault="00E106CD" w:rsidP="00E106CD">
      <w:pPr>
        <w:tabs>
          <w:tab w:val="left" w:pos="426"/>
        </w:tabs>
        <w:spacing w:line="276" w:lineRule="auto"/>
        <w:ind w:firstLine="1134"/>
        <w:jc w:val="both"/>
      </w:pPr>
      <w:r>
        <w:t xml:space="preserve">Remiantis </w:t>
      </w:r>
      <w:r w:rsidRPr="00757E2D">
        <w:t>Lietuvos Respublikos sveikatos apsaug</w:t>
      </w:r>
      <w:r>
        <w:t>os</w:t>
      </w:r>
      <w:r w:rsidRPr="00757E2D">
        <w:t xml:space="preserve"> ministr</w:t>
      </w:r>
      <w:r>
        <w:t>o</w:t>
      </w:r>
      <w:r w:rsidRPr="00757E2D">
        <w:t xml:space="preserve"> 202</w:t>
      </w:r>
      <w:r>
        <w:t>2</w:t>
      </w:r>
      <w:r w:rsidRPr="00757E2D">
        <w:t xml:space="preserve"> m. </w:t>
      </w:r>
      <w:r>
        <w:t>rugsėjo 29d.</w:t>
      </w:r>
      <w:r w:rsidRPr="00757E2D">
        <w:t xml:space="preserve"> </w:t>
      </w:r>
      <w:r>
        <w:t>išleistu įsakymu</w:t>
      </w:r>
      <w:r w:rsidRPr="00757E2D">
        <w:t xml:space="preserve"> dėl 2000 m. sausio mėnesio įsakymo Nr. 49 „Dėl kompensuojamųjų vaistų sąrašų patvirtinimo“</w:t>
      </w:r>
      <w:r>
        <w:t xml:space="preserve"> pakeitimo, Lietuvoje šiuo metu sunkiam </w:t>
      </w:r>
      <w:proofErr w:type="spellStart"/>
      <w:r>
        <w:t>suagusiųjų</w:t>
      </w:r>
      <w:proofErr w:type="spellEnd"/>
      <w:r>
        <w:t xml:space="preserve"> </w:t>
      </w:r>
      <w:proofErr w:type="spellStart"/>
      <w:r>
        <w:t>atopiniam</w:t>
      </w:r>
      <w:proofErr w:type="spellEnd"/>
      <w:r>
        <w:t xml:space="preserve"> dermatitui (L20) yra kompensuojami šie vaistai:</w:t>
      </w:r>
    </w:p>
    <w:p w14:paraId="42BF6DBF" w14:textId="77777777" w:rsidR="00E106CD" w:rsidRDefault="00E106CD" w:rsidP="00E106CD">
      <w:pPr>
        <w:pStyle w:val="ListParagraph"/>
        <w:numPr>
          <w:ilvl w:val="0"/>
          <w:numId w:val="13"/>
        </w:numPr>
        <w:tabs>
          <w:tab w:val="left" w:pos="426"/>
        </w:tabs>
        <w:spacing w:line="276" w:lineRule="auto"/>
        <w:jc w:val="both"/>
      </w:pPr>
      <w:proofErr w:type="spellStart"/>
      <w:r>
        <w:t>Flutikazonas</w:t>
      </w:r>
      <w:proofErr w:type="spellEnd"/>
    </w:p>
    <w:p w14:paraId="44E21CB7" w14:textId="77777777" w:rsidR="00E106CD" w:rsidRDefault="00E106CD" w:rsidP="00E106CD">
      <w:pPr>
        <w:pStyle w:val="ListParagraph"/>
        <w:numPr>
          <w:ilvl w:val="0"/>
          <w:numId w:val="13"/>
        </w:numPr>
        <w:tabs>
          <w:tab w:val="left" w:pos="426"/>
        </w:tabs>
        <w:spacing w:line="276" w:lineRule="auto"/>
        <w:jc w:val="both"/>
      </w:pPr>
      <w:proofErr w:type="spellStart"/>
      <w:r>
        <w:t>Metilprednizolonas</w:t>
      </w:r>
      <w:proofErr w:type="spellEnd"/>
    </w:p>
    <w:p w14:paraId="31747AA3" w14:textId="77777777" w:rsidR="00E106CD" w:rsidRDefault="00E106CD" w:rsidP="00E106CD">
      <w:pPr>
        <w:pStyle w:val="ListParagraph"/>
        <w:numPr>
          <w:ilvl w:val="0"/>
          <w:numId w:val="13"/>
        </w:numPr>
        <w:tabs>
          <w:tab w:val="left" w:pos="426"/>
        </w:tabs>
        <w:spacing w:line="276" w:lineRule="auto"/>
        <w:jc w:val="both"/>
      </w:pPr>
      <w:proofErr w:type="spellStart"/>
      <w:r>
        <w:t>Memotazono</w:t>
      </w:r>
      <w:proofErr w:type="spellEnd"/>
      <w:r>
        <w:t xml:space="preserve"> </w:t>
      </w:r>
      <w:proofErr w:type="spellStart"/>
      <w:r>
        <w:t>furoatas</w:t>
      </w:r>
      <w:proofErr w:type="spellEnd"/>
    </w:p>
    <w:p w14:paraId="5C91971B" w14:textId="77777777" w:rsidR="00E106CD" w:rsidRDefault="00E106CD" w:rsidP="00E106CD">
      <w:pPr>
        <w:pStyle w:val="ListParagraph"/>
        <w:numPr>
          <w:ilvl w:val="0"/>
          <w:numId w:val="13"/>
        </w:numPr>
        <w:tabs>
          <w:tab w:val="left" w:pos="426"/>
        </w:tabs>
        <w:spacing w:line="276" w:lineRule="auto"/>
        <w:jc w:val="both"/>
      </w:pPr>
      <w:proofErr w:type="spellStart"/>
      <w:r>
        <w:t>Betametazonas</w:t>
      </w:r>
      <w:proofErr w:type="spellEnd"/>
    </w:p>
    <w:p w14:paraId="585EC31E" w14:textId="77777777" w:rsidR="00E106CD" w:rsidRDefault="00E106CD" w:rsidP="00E106CD">
      <w:pPr>
        <w:pStyle w:val="ListParagraph"/>
        <w:numPr>
          <w:ilvl w:val="0"/>
          <w:numId w:val="13"/>
        </w:numPr>
        <w:tabs>
          <w:tab w:val="left" w:pos="426"/>
        </w:tabs>
        <w:spacing w:line="276" w:lineRule="auto"/>
        <w:jc w:val="both"/>
      </w:pPr>
      <w:proofErr w:type="spellStart"/>
      <w:r>
        <w:t>Ciklosporinas</w:t>
      </w:r>
      <w:proofErr w:type="spellEnd"/>
    </w:p>
    <w:p w14:paraId="46704DB5" w14:textId="77777777" w:rsidR="00E106CD" w:rsidRDefault="00E106CD" w:rsidP="00E106CD">
      <w:pPr>
        <w:tabs>
          <w:tab w:val="left" w:pos="426"/>
        </w:tabs>
        <w:spacing w:line="276" w:lineRule="auto"/>
        <w:jc w:val="both"/>
        <w:rPr>
          <w:color w:val="000000"/>
          <w:lang w:val="en-US"/>
        </w:rPr>
      </w:pPr>
      <w:proofErr w:type="spellStart"/>
      <w:r>
        <w:t>Dupilumabas</w:t>
      </w:r>
      <w:proofErr w:type="spellEnd"/>
      <w:r>
        <w:t xml:space="preserve"> – </w:t>
      </w:r>
      <w:proofErr w:type="spellStart"/>
      <w:r>
        <w:rPr>
          <w:color w:val="000000"/>
          <w:lang w:val="en-US"/>
        </w:rPr>
        <w:t>s</w:t>
      </w:r>
      <w:r w:rsidRPr="00757E2D">
        <w:rPr>
          <w:color w:val="000000"/>
          <w:lang w:val="en-US"/>
        </w:rPr>
        <w:t>kiriamas</w:t>
      </w:r>
      <w:proofErr w:type="spellEnd"/>
      <w:r w:rsidRPr="00757E2D">
        <w:rPr>
          <w:color w:val="000000"/>
          <w:lang w:val="en-US"/>
        </w:rPr>
        <w:t xml:space="preserve"> </w:t>
      </w:r>
      <w:proofErr w:type="spellStart"/>
      <w:r w:rsidRPr="00757E2D">
        <w:rPr>
          <w:color w:val="000000"/>
          <w:lang w:val="en-US"/>
        </w:rPr>
        <w:t>suaugusiems</w:t>
      </w:r>
      <w:proofErr w:type="spellEnd"/>
      <w:r w:rsidRPr="00757E2D">
        <w:rPr>
          <w:color w:val="000000"/>
          <w:lang w:val="en-US"/>
        </w:rPr>
        <w:t xml:space="preserve"> </w:t>
      </w:r>
      <w:proofErr w:type="spellStart"/>
      <w:r w:rsidRPr="00757E2D">
        <w:rPr>
          <w:color w:val="000000"/>
          <w:lang w:val="en-US"/>
        </w:rPr>
        <w:t>pacientams</w:t>
      </w:r>
      <w:proofErr w:type="spellEnd"/>
      <w:r w:rsidRPr="00757E2D">
        <w:rPr>
          <w:color w:val="000000"/>
          <w:lang w:val="en-US"/>
        </w:rPr>
        <w:t xml:space="preserve">, </w:t>
      </w:r>
      <w:proofErr w:type="spellStart"/>
      <w:r w:rsidRPr="00757E2D">
        <w:rPr>
          <w:color w:val="000000"/>
          <w:lang w:val="en-US"/>
        </w:rPr>
        <w:t>sergantiems</w:t>
      </w:r>
      <w:proofErr w:type="spellEnd"/>
      <w:r w:rsidRPr="00757E2D">
        <w:rPr>
          <w:color w:val="000000"/>
          <w:lang w:val="en-US"/>
        </w:rPr>
        <w:t xml:space="preserve"> </w:t>
      </w:r>
      <w:proofErr w:type="spellStart"/>
      <w:r w:rsidRPr="00757E2D">
        <w:rPr>
          <w:color w:val="000000"/>
          <w:lang w:val="en-US"/>
        </w:rPr>
        <w:t>sunkiu</w:t>
      </w:r>
      <w:proofErr w:type="spellEnd"/>
      <w:r w:rsidRPr="00757E2D">
        <w:rPr>
          <w:color w:val="000000"/>
          <w:lang w:val="en-US"/>
        </w:rPr>
        <w:t xml:space="preserve"> </w:t>
      </w:r>
      <w:proofErr w:type="spellStart"/>
      <w:r w:rsidRPr="00757E2D">
        <w:rPr>
          <w:color w:val="000000"/>
          <w:lang w:val="en-US"/>
        </w:rPr>
        <w:t>atopiniu</w:t>
      </w:r>
      <w:proofErr w:type="spellEnd"/>
      <w:r w:rsidRPr="00757E2D">
        <w:rPr>
          <w:color w:val="000000"/>
          <w:lang w:val="en-US"/>
        </w:rPr>
        <w:t xml:space="preserve"> </w:t>
      </w:r>
      <w:proofErr w:type="spellStart"/>
      <w:r w:rsidRPr="00757E2D">
        <w:rPr>
          <w:color w:val="000000"/>
          <w:lang w:val="en-US"/>
        </w:rPr>
        <w:t>dermatitu</w:t>
      </w:r>
      <w:proofErr w:type="spellEnd"/>
      <w:r w:rsidRPr="00757E2D">
        <w:rPr>
          <w:color w:val="000000"/>
          <w:lang w:val="en-US"/>
        </w:rPr>
        <w:t xml:space="preserve">, </w:t>
      </w:r>
      <w:proofErr w:type="spellStart"/>
      <w:r w:rsidRPr="00757E2D">
        <w:rPr>
          <w:color w:val="000000"/>
          <w:lang w:val="en-US"/>
        </w:rPr>
        <w:t>kuriems</w:t>
      </w:r>
      <w:proofErr w:type="spellEnd"/>
      <w:r w:rsidRPr="00757E2D">
        <w:rPr>
          <w:color w:val="000000"/>
          <w:lang w:val="en-US"/>
        </w:rPr>
        <w:t xml:space="preserve"> </w:t>
      </w:r>
      <w:proofErr w:type="spellStart"/>
      <w:r w:rsidRPr="00757E2D">
        <w:rPr>
          <w:color w:val="000000"/>
          <w:lang w:val="en-US"/>
        </w:rPr>
        <w:t>gydymas</w:t>
      </w:r>
      <w:proofErr w:type="spellEnd"/>
      <w:r w:rsidRPr="00757E2D">
        <w:rPr>
          <w:color w:val="000000"/>
          <w:lang w:val="en-US"/>
        </w:rPr>
        <w:t xml:space="preserve"> </w:t>
      </w:r>
      <w:proofErr w:type="spellStart"/>
      <w:r w:rsidRPr="00757E2D">
        <w:rPr>
          <w:color w:val="000000"/>
          <w:lang w:val="en-US"/>
        </w:rPr>
        <w:t>ciklosporinu</w:t>
      </w:r>
      <w:proofErr w:type="spellEnd"/>
      <w:r w:rsidRPr="00757E2D">
        <w:rPr>
          <w:color w:val="000000"/>
          <w:lang w:val="en-US"/>
        </w:rPr>
        <w:t xml:space="preserve"> </w:t>
      </w:r>
      <w:proofErr w:type="spellStart"/>
      <w:r w:rsidRPr="00757E2D">
        <w:rPr>
          <w:color w:val="000000"/>
          <w:lang w:val="en-US"/>
        </w:rPr>
        <w:t>yra</w:t>
      </w:r>
      <w:proofErr w:type="spellEnd"/>
      <w:r w:rsidRPr="00757E2D">
        <w:rPr>
          <w:color w:val="000000"/>
          <w:lang w:val="en-US"/>
        </w:rPr>
        <w:t xml:space="preserve"> </w:t>
      </w:r>
      <w:proofErr w:type="spellStart"/>
      <w:r w:rsidRPr="00757E2D">
        <w:rPr>
          <w:color w:val="000000"/>
          <w:lang w:val="en-US"/>
        </w:rPr>
        <w:t>netinkamas</w:t>
      </w:r>
      <w:proofErr w:type="spellEnd"/>
      <w:r w:rsidRPr="00757E2D">
        <w:rPr>
          <w:color w:val="000000"/>
          <w:lang w:val="en-US"/>
        </w:rPr>
        <w:t xml:space="preserve"> </w:t>
      </w:r>
      <w:proofErr w:type="spellStart"/>
      <w:r w:rsidRPr="00757E2D">
        <w:rPr>
          <w:color w:val="000000"/>
          <w:lang w:val="en-US"/>
        </w:rPr>
        <w:t>ar</w:t>
      </w:r>
      <w:proofErr w:type="spellEnd"/>
      <w:r w:rsidRPr="00757E2D">
        <w:rPr>
          <w:color w:val="000000"/>
          <w:lang w:val="en-US"/>
        </w:rPr>
        <w:t xml:space="preserve"> </w:t>
      </w:r>
      <w:proofErr w:type="spellStart"/>
      <w:r w:rsidRPr="00757E2D">
        <w:rPr>
          <w:color w:val="000000"/>
          <w:lang w:val="en-US"/>
        </w:rPr>
        <w:t>kontraindikuotinas</w:t>
      </w:r>
      <w:proofErr w:type="spellEnd"/>
      <w:r w:rsidRPr="00757E2D">
        <w:rPr>
          <w:color w:val="000000"/>
          <w:lang w:val="en-US"/>
        </w:rPr>
        <w:t xml:space="preserve">. </w:t>
      </w:r>
      <w:proofErr w:type="spellStart"/>
      <w:r w:rsidRPr="00757E2D">
        <w:rPr>
          <w:color w:val="000000"/>
          <w:lang w:val="en-US"/>
        </w:rPr>
        <w:t>Vaistą</w:t>
      </w:r>
      <w:proofErr w:type="spellEnd"/>
      <w:r w:rsidRPr="00757E2D">
        <w:rPr>
          <w:color w:val="000000"/>
          <w:lang w:val="en-US"/>
        </w:rPr>
        <w:t xml:space="preserve"> </w:t>
      </w:r>
      <w:proofErr w:type="spellStart"/>
      <w:r w:rsidRPr="00757E2D">
        <w:rPr>
          <w:color w:val="000000"/>
          <w:lang w:val="en-US"/>
        </w:rPr>
        <w:t>skiria</w:t>
      </w:r>
      <w:proofErr w:type="spellEnd"/>
      <w:r w:rsidRPr="00757E2D">
        <w:rPr>
          <w:color w:val="000000"/>
          <w:lang w:val="en-US"/>
        </w:rPr>
        <w:t xml:space="preserve"> </w:t>
      </w:r>
      <w:proofErr w:type="spellStart"/>
      <w:r w:rsidRPr="00757E2D">
        <w:rPr>
          <w:color w:val="000000"/>
          <w:lang w:val="en-US"/>
        </w:rPr>
        <w:t>tretinio</w:t>
      </w:r>
      <w:proofErr w:type="spellEnd"/>
      <w:r w:rsidRPr="00757E2D">
        <w:rPr>
          <w:color w:val="000000"/>
          <w:lang w:val="en-US"/>
        </w:rPr>
        <w:t xml:space="preserve"> </w:t>
      </w:r>
      <w:proofErr w:type="spellStart"/>
      <w:r w:rsidRPr="00757E2D">
        <w:rPr>
          <w:color w:val="000000"/>
          <w:lang w:val="en-US"/>
        </w:rPr>
        <w:t>lygio</w:t>
      </w:r>
      <w:proofErr w:type="spellEnd"/>
      <w:r w:rsidRPr="00757E2D">
        <w:rPr>
          <w:color w:val="000000"/>
          <w:lang w:val="en-US"/>
        </w:rPr>
        <w:t xml:space="preserve"> </w:t>
      </w:r>
      <w:proofErr w:type="spellStart"/>
      <w:r w:rsidRPr="00757E2D">
        <w:rPr>
          <w:color w:val="000000"/>
          <w:lang w:val="en-US"/>
        </w:rPr>
        <w:t>gydytojas</w:t>
      </w:r>
      <w:proofErr w:type="spellEnd"/>
      <w:r w:rsidRPr="00757E2D">
        <w:rPr>
          <w:color w:val="000000"/>
          <w:lang w:val="en-US"/>
        </w:rPr>
        <w:t xml:space="preserve"> </w:t>
      </w:r>
      <w:proofErr w:type="spellStart"/>
      <w:r w:rsidRPr="00757E2D">
        <w:rPr>
          <w:color w:val="000000"/>
          <w:lang w:val="en-US"/>
        </w:rPr>
        <w:t>dermatovenerologas</w:t>
      </w:r>
      <w:proofErr w:type="spellEnd"/>
      <w:r w:rsidRPr="00757E2D">
        <w:rPr>
          <w:color w:val="000000"/>
          <w:lang w:val="en-US"/>
        </w:rPr>
        <w:t xml:space="preserve"> </w:t>
      </w:r>
      <w:proofErr w:type="spellStart"/>
      <w:r w:rsidRPr="00757E2D">
        <w:rPr>
          <w:color w:val="000000"/>
          <w:lang w:val="en-US"/>
        </w:rPr>
        <w:t>arba</w:t>
      </w:r>
      <w:proofErr w:type="spellEnd"/>
      <w:r w:rsidRPr="00757E2D">
        <w:rPr>
          <w:color w:val="000000"/>
          <w:lang w:val="en-US"/>
        </w:rPr>
        <w:t xml:space="preserve"> </w:t>
      </w:r>
      <w:proofErr w:type="spellStart"/>
      <w:r w:rsidRPr="00757E2D">
        <w:rPr>
          <w:color w:val="000000"/>
          <w:lang w:val="en-US"/>
        </w:rPr>
        <w:t>gydytojas</w:t>
      </w:r>
      <w:proofErr w:type="spellEnd"/>
      <w:r w:rsidRPr="00757E2D">
        <w:rPr>
          <w:color w:val="000000"/>
          <w:lang w:val="en-US"/>
        </w:rPr>
        <w:t xml:space="preserve"> </w:t>
      </w:r>
      <w:proofErr w:type="spellStart"/>
      <w:r w:rsidRPr="00757E2D">
        <w:rPr>
          <w:color w:val="000000"/>
          <w:lang w:val="en-US"/>
        </w:rPr>
        <w:t>alergologas</w:t>
      </w:r>
      <w:proofErr w:type="spellEnd"/>
      <w:r w:rsidRPr="00757E2D">
        <w:rPr>
          <w:color w:val="000000"/>
          <w:lang w:val="en-US"/>
        </w:rPr>
        <w:t xml:space="preserve"> </w:t>
      </w:r>
      <w:proofErr w:type="spellStart"/>
      <w:r w:rsidRPr="00757E2D">
        <w:rPr>
          <w:color w:val="000000"/>
          <w:lang w:val="en-US"/>
        </w:rPr>
        <w:t>ir</w:t>
      </w:r>
      <w:proofErr w:type="spellEnd"/>
      <w:r w:rsidRPr="00757E2D">
        <w:rPr>
          <w:color w:val="000000"/>
          <w:lang w:val="en-US"/>
        </w:rPr>
        <w:t xml:space="preserve"> </w:t>
      </w:r>
      <w:proofErr w:type="spellStart"/>
      <w:r w:rsidRPr="00757E2D">
        <w:rPr>
          <w:color w:val="000000"/>
          <w:lang w:val="en-US"/>
        </w:rPr>
        <w:t>klinikinis</w:t>
      </w:r>
      <w:proofErr w:type="spellEnd"/>
      <w:r w:rsidRPr="00757E2D">
        <w:rPr>
          <w:color w:val="000000"/>
          <w:lang w:val="en-US"/>
        </w:rPr>
        <w:t xml:space="preserve"> </w:t>
      </w:r>
      <w:proofErr w:type="spellStart"/>
      <w:r w:rsidRPr="00757E2D">
        <w:rPr>
          <w:color w:val="000000"/>
          <w:lang w:val="en-US"/>
        </w:rPr>
        <w:t>imunologas</w:t>
      </w:r>
      <w:proofErr w:type="spellEnd"/>
      <w:r w:rsidRPr="00757E2D">
        <w:rPr>
          <w:color w:val="000000"/>
          <w:lang w:val="en-US"/>
        </w:rPr>
        <w:t xml:space="preserve">. </w:t>
      </w:r>
      <w:proofErr w:type="spellStart"/>
      <w:r w:rsidRPr="00757E2D">
        <w:rPr>
          <w:color w:val="000000"/>
          <w:lang w:val="en-US"/>
        </w:rPr>
        <w:t>Gydymą</w:t>
      </w:r>
      <w:proofErr w:type="spellEnd"/>
      <w:r w:rsidRPr="00757E2D">
        <w:rPr>
          <w:color w:val="000000"/>
          <w:lang w:val="en-US"/>
        </w:rPr>
        <w:t xml:space="preserve"> </w:t>
      </w:r>
      <w:proofErr w:type="spellStart"/>
      <w:r w:rsidRPr="00757E2D">
        <w:rPr>
          <w:color w:val="000000"/>
          <w:lang w:val="en-US"/>
        </w:rPr>
        <w:t>tęsia</w:t>
      </w:r>
      <w:proofErr w:type="spellEnd"/>
      <w:r w:rsidRPr="00757E2D">
        <w:rPr>
          <w:color w:val="000000"/>
          <w:lang w:val="en-US"/>
        </w:rPr>
        <w:t xml:space="preserve"> </w:t>
      </w:r>
      <w:proofErr w:type="spellStart"/>
      <w:r w:rsidRPr="00757E2D">
        <w:rPr>
          <w:color w:val="000000"/>
          <w:lang w:val="en-US"/>
        </w:rPr>
        <w:t>gydytojas</w:t>
      </w:r>
      <w:proofErr w:type="spellEnd"/>
      <w:r w:rsidRPr="00757E2D">
        <w:rPr>
          <w:color w:val="000000"/>
          <w:lang w:val="en-US"/>
        </w:rPr>
        <w:t xml:space="preserve"> </w:t>
      </w:r>
      <w:proofErr w:type="spellStart"/>
      <w:r w:rsidRPr="00757E2D">
        <w:rPr>
          <w:color w:val="000000"/>
          <w:lang w:val="en-US"/>
        </w:rPr>
        <w:t>dermatovenerologas</w:t>
      </w:r>
      <w:proofErr w:type="spellEnd"/>
      <w:r w:rsidRPr="00757E2D">
        <w:rPr>
          <w:color w:val="000000"/>
          <w:lang w:val="en-US"/>
        </w:rPr>
        <w:t xml:space="preserve">, </w:t>
      </w:r>
      <w:proofErr w:type="spellStart"/>
      <w:r w:rsidRPr="00757E2D">
        <w:rPr>
          <w:color w:val="000000"/>
          <w:lang w:val="en-US"/>
        </w:rPr>
        <w:t>gydytojas</w:t>
      </w:r>
      <w:proofErr w:type="spellEnd"/>
      <w:r w:rsidRPr="00757E2D">
        <w:rPr>
          <w:color w:val="000000"/>
          <w:lang w:val="en-US"/>
        </w:rPr>
        <w:t xml:space="preserve"> </w:t>
      </w:r>
      <w:proofErr w:type="spellStart"/>
      <w:r w:rsidRPr="00757E2D">
        <w:rPr>
          <w:color w:val="000000"/>
          <w:lang w:val="en-US"/>
        </w:rPr>
        <w:t>alergologas</w:t>
      </w:r>
      <w:proofErr w:type="spellEnd"/>
      <w:r w:rsidRPr="00757E2D">
        <w:rPr>
          <w:color w:val="000000"/>
          <w:lang w:val="en-US"/>
        </w:rPr>
        <w:t xml:space="preserve"> </w:t>
      </w:r>
      <w:proofErr w:type="spellStart"/>
      <w:r w:rsidRPr="00757E2D">
        <w:rPr>
          <w:color w:val="000000"/>
          <w:lang w:val="en-US"/>
        </w:rPr>
        <w:t>ir</w:t>
      </w:r>
      <w:proofErr w:type="spellEnd"/>
      <w:r w:rsidRPr="00757E2D">
        <w:rPr>
          <w:color w:val="000000"/>
          <w:lang w:val="en-US"/>
        </w:rPr>
        <w:t xml:space="preserve"> </w:t>
      </w:r>
      <w:proofErr w:type="spellStart"/>
      <w:r w:rsidRPr="00757E2D">
        <w:rPr>
          <w:color w:val="000000"/>
          <w:lang w:val="en-US"/>
        </w:rPr>
        <w:t>klinikinis</w:t>
      </w:r>
      <w:proofErr w:type="spellEnd"/>
      <w:r w:rsidRPr="00757E2D">
        <w:rPr>
          <w:color w:val="000000"/>
          <w:lang w:val="en-US"/>
        </w:rPr>
        <w:t xml:space="preserve"> </w:t>
      </w:r>
      <w:proofErr w:type="spellStart"/>
      <w:r w:rsidRPr="00757E2D">
        <w:rPr>
          <w:color w:val="000000"/>
          <w:lang w:val="en-US"/>
        </w:rPr>
        <w:t>imunologas</w:t>
      </w:r>
      <w:proofErr w:type="spellEnd"/>
      <w:r w:rsidRPr="00757E2D">
        <w:rPr>
          <w:color w:val="000000"/>
          <w:lang w:val="en-US"/>
        </w:rPr>
        <w:t xml:space="preserve"> </w:t>
      </w:r>
      <w:proofErr w:type="spellStart"/>
      <w:r w:rsidRPr="00757E2D">
        <w:rPr>
          <w:color w:val="000000"/>
          <w:lang w:val="en-US"/>
        </w:rPr>
        <w:t>arba</w:t>
      </w:r>
      <w:proofErr w:type="spellEnd"/>
      <w:r w:rsidRPr="00757E2D">
        <w:rPr>
          <w:color w:val="000000"/>
          <w:lang w:val="en-US"/>
        </w:rPr>
        <w:t xml:space="preserve"> </w:t>
      </w:r>
      <w:proofErr w:type="spellStart"/>
      <w:r w:rsidRPr="00757E2D">
        <w:rPr>
          <w:color w:val="000000"/>
          <w:lang w:val="en-US"/>
        </w:rPr>
        <w:t>šeimos</w:t>
      </w:r>
      <w:proofErr w:type="spellEnd"/>
      <w:r w:rsidRPr="00757E2D">
        <w:rPr>
          <w:color w:val="000000"/>
          <w:lang w:val="en-US"/>
        </w:rPr>
        <w:t xml:space="preserve"> </w:t>
      </w:r>
      <w:proofErr w:type="spellStart"/>
      <w:r w:rsidRPr="00757E2D">
        <w:rPr>
          <w:color w:val="000000"/>
          <w:lang w:val="en-US"/>
        </w:rPr>
        <w:t>gydytojas</w:t>
      </w:r>
      <w:proofErr w:type="spellEnd"/>
      <w:r w:rsidRPr="00757E2D">
        <w:rPr>
          <w:color w:val="000000"/>
          <w:lang w:val="en-US"/>
        </w:rPr>
        <w:t xml:space="preserve">. </w:t>
      </w:r>
      <w:proofErr w:type="spellStart"/>
      <w:r w:rsidRPr="00757E2D">
        <w:rPr>
          <w:color w:val="000000"/>
          <w:lang w:val="en-US"/>
        </w:rPr>
        <w:t>Gydymo</w:t>
      </w:r>
      <w:proofErr w:type="spellEnd"/>
      <w:r w:rsidRPr="00757E2D">
        <w:rPr>
          <w:color w:val="000000"/>
          <w:lang w:val="en-US"/>
        </w:rPr>
        <w:t xml:space="preserve"> </w:t>
      </w:r>
      <w:proofErr w:type="spellStart"/>
      <w:r w:rsidRPr="00757E2D">
        <w:rPr>
          <w:color w:val="000000"/>
          <w:lang w:val="en-US"/>
        </w:rPr>
        <w:t>efektyvumas</w:t>
      </w:r>
      <w:proofErr w:type="spellEnd"/>
      <w:r w:rsidRPr="00757E2D">
        <w:rPr>
          <w:color w:val="000000"/>
          <w:lang w:val="en-US"/>
        </w:rPr>
        <w:t xml:space="preserve"> </w:t>
      </w:r>
      <w:proofErr w:type="spellStart"/>
      <w:r w:rsidRPr="00757E2D">
        <w:rPr>
          <w:color w:val="000000"/>
          <w:lang w:val="en-US"/>
        </w:rPr>
        <w:t>vertinamas</w:t>
      </w:r>
      <w:proofErr w:type="spellEnd"/>
      <w:r w:rsidRPr="00757E2D">
        <w:rPr>
          <w:color w:val="000000"/>
          <w:lang w:val="en-US"/>
        </w:rPr>
        <w:t xml:space="preserve"> </w:t>
      </w:r>
      <w:proofErr w:type="spellStart"/>
      <w:r w:rsidRPr="00757E2D">
        <w:rPr>
          <w:color w:val="000000"/>
          <w:lang w:val="en-US"/>
        </w:rPr>
        <w:t>po</w:t>
      </w:r>
      <w:proofErr w:type="spellEnd"/>
      <w:r w:rsidRPr="00757E2D">
        <w:rPr>
          <w:color w:val="000000"/>
          <w:lang w:val="en-US"/>
        </w:rPr>
        <w:t xml:space="preserve"> 16 </w:t>
      </w:r>
      <w:proofErr w:type="spellStart"/>
      <w:r w:rsidRPr="00757E2D">
        <w:rPr>
          <w:color w:val="000000"/>
          <w:lang w:val="en-US"/>
        </w:rPr>
        <w:t>savaičių</w:t>
      </w:r>
      <w:proofErr w:type="spellEnd"/>
      <w:r w:rsidRPr="00757E2D">
        <w:rPr>
          <w:color w:val="000000"/>
          <w:lang w:val="en-US"/>
        </w:rPr>
        <w:t xml:space="preserve"> </w:t>
      </w:r>
      <w:proofErr w:type="spellStart"/>
      <w:r w:rsidRPr="00757E2D">
        <w:rPr>
          <w:color w:val="000000"/>
          <w:lang w:val="en-US"/>
        </w:rPr>
        <w:t>nuo</w:t>
      </w:r>
      <w:proofErr w:type="spellEnd"/>
      <w:r w:rsidRPr="00757E2D">
        <w:rPr>
          <w:color w:val="000000"/>
          <w:lang w:val="en-US"/>
        </w:rPr>
        <w:t xml:space="preserve"> </w:t>
      </w:r>
      <w:proofErr w:type="spellStart"/>
      <w:r w:rsidRPr="00757E2D">
        <w:rPr>
          <w:color w:val="000000"/>
          <w:lang w:val="en-US"/>
        </w:rPr>
        <w:t>gydymo</w:t>
      </w:r>
      <w:proofErr w:type="spellEnd"/>
      <w:r w:rsidRPr="00757E2D">
        <w:rPr>
          <w:color w:val="000000"/>
          <w:lang w:val="en-US"/>
        </w:rPr>
        <w:t xml:space="preserve"> </w:t>
      </w:r>
      <w:proofErr w:type="spellStart"/>
      <w:r w:rsidRPr="00757E2D">
        <w:rPr>
          <w:color w:val="000000"/>
          <w:lang w:val="en-US"/>
        </w:rPr>
        <w:t>pradžios</w:t>
      </w:r>
      <w:proofErr w:type="spellEnd"/>
      <w:r w:rsidRPr="00757E2D">
        <w:rPr>
          <w:color w:val="000000"/>
          <w:lang w:val="en-US"/>
        </w:rPr>
        <w:t xml:space="preserve"> </w:t>
      </w:r>
      <w:proofErr w:type="spellStart"/>
      <w:r w:rsidRPr="00757E2D">
        <w:rPr>
          <w:color w:val="000000"/>
          <w:lang w:val="en-US"/>
        </w:rPr>
        <w:t>ir</w:t>
      </w:r>
      <w:proofErr w:type="spellEnd"/>
      <w:r w:rsidRPr="00757E2D">
        <w:rPr>
          <w:color w:val="000000"/>
          <w:lang w:val="en-US"/>
        </w:rPr>
        <w:t xml:space="preserve"> </w:t>
      </w:r>
      <w:proofErr w:type="spellStart"/>
      <w:r w:rsidRPr="00757E2D">
        <w:rPr>
          <w:color w:val="000000"/>
          <w:lang w:val="en-US"/>
        </w:rPr>
        <w:t>nepasiekus</w:t>
      </w:r>
      <w:proofErr w:type="spellEnd"/>
      <w:r w:rsidRPr="00757E2D">
        <w:rPr>
          <w:color w:val="000000"/>
          <w:lang w:val="en-US"/>
        </w:rPr>
        <w:t xml:space="preserve"> </w:t>
      </w:r>
      <w:proofErr w:type="spellStart"/>
      <w:r w:rsidRPr="00757E2D">
        <w:rPr>
          <w:color w:val="000000"/>
          <w:lang w:val="en-US"/>
        </w:rPr>
        <w:t>gydymo</w:t>
      </w:r>
      <w:proofErr w:type="spellEnd"/>
      <w:r w:rsidRPr="00757E2D">
        <w:rPr>
          <w:color w:val="000000"/>
          <w:lang w:val="en-US"/>
        </w:rPr>
        <w:t xml:space="preserve"> </w:t>
      </w:r>
      <w:proofErr w:type="spellStart"/>
      <w:r w:rsidRPr="00757E2D">
        <w:rPr>
          <w:color w:val="000000"/>
          <w:lang w:val="en-US"/>
        </w:rPr>
        <w:t>efekto</w:t>
      </w:r>
      <w:proofErr w:type="spellEnd"/>
      <w:r w:rsidRPr="00757E2D">
        <w:rPr>
          <w:color w:val="000000"/>
          <w:lang w:val="en-US"/>
        </w:rPr>
        <w:t xml:space="preserve"> </w:t>
      </w:r>
      <w:proofErr w:type="spellStart"/>
      <w:r w:rsidRPr="00757E2D">
        <w:rPr>
          <w:color w:val="000000"/>
          <w:lang w:val="en-US"/>
        </w:rPr>
        <w:t>privalo</w:t>
      </w:r>
      <w:proofErr w:type="spellEnd"/>
      <w:r w:rsidRPr="00757E2D">
        <w:rPr>
          <w:color w:val="000000"/>
          <w:lang w:val="en-US"/>
        </w:rPr>
        <w:t xml:space="preserve"> </w:t>
      </w:r>
      <w:proofErr w:type="spellStart"/>
      <w:r w:rsidRPr="00757E2D">
        <w:rPr>
          <w:color w:val="000000"/>
          <w:lang w:val="en-US"/>
        </w:rPr>
        <w:t>būti</w:t>
      </w:r>
      <w:proofErr w:type="spellEnd"/>
      <w:r w:rsidRPr="00757E2D">
        <w:rPr>
          <w:color w:val="000000"/>
          <w:lang w:val="en-US"/>
        </w:rPr>
        <w:t xml:space="preserve"> </w:t>
      </w:r>
      <w:proofErr w:type="spellStart"/>
      <w:r w:rsidRPr="00757E2D">
        <w:rPr>
          <w:color w:val="000000"/>
          <w:lang w:val="en-US"/>
        </w:rPr>
        <w:t>nutrauktas</w:t>
      </w:r>
      <w:proofErr w:type="spellEnd"/>
      <w:r>
        <w:rPr>
          <w:color w:val="000000"/>
          <w:lang w:val="en-US"/>
        </w:rPr>
        <w:t>.</w:t>
      </w:r>
    </w:p>
    <w:p w14:paraId="5D62039A" w14:textId="77777777" w:rsidR="00E106CD" w:rsidRDefault="00E106CD" w:rsidP="00E106CD">
      <w:pPr>
        <w:spacing w:line="276" w:lineRule="auto"/>
        <w:ind w:firstLine="1134"/>
        <w:jc w:val="both"/>
      </w:pPr>
      <w:r w:rsidRPr="00B15035">
        <w:lastRenderedPageBreak/>
        <w:t>Jeigu diagnozuojamas sunkus AD</w:t>
      </w:r>
      <w:r>
        <w:t xml:space="preserve"> ir nėra paciento būklės apribojimų, </w:t>
      </w:r>
      <w:r w:rsidRPr="00B15035">
        <w:t xml:space="preserve"> skiriamas sisteminio poveikio </w:t>
      </w:r>
      <w:r>
        <w:t>ligą modifikuojantis vaistas</w:t>
      </w:r>
      <w:r w:rsidRPr="00B15035">
        <w:t xml:space="preserve"> – </w:t>
      </w:r>
      <w:proofErr w:type="spellStart"/>
      <w:r w:rsidRPr="00B15035">
        <w:t>ciklosporinas</w:t>
      </w:r>
      <w:proofErr w:type="spellEnd"/>
      <w:r w:rsidRPr="00B15035">
        <w:t xml:space="preserve"> A. Gydymas </w:t>
      </w:r>
      <w:proofErr w:type="spellStart"/>
      <w:r w:rsidRPr="00B15035">
        <w:t>ciklosporinu</w:t>
      </w:r>
      <w:proofErr w:type="spellEnd"/>
      <w:r w:rsidRPr="00B15035">
        <w:t xml:space="preserve"> A nutraukiamas, jeigu per 3 mėnesius skiriant maksimalią toleruojamą </w:t>
      </w:r>
      <w:proofErr w:type="spellStart"/>
      <w:r w:rsidRPr="00B15035">
        <w:t>ciklosporino</w:t>
      </w:r>
      <w:proofErr w:type="spellEnd"/>
      <w:r w:rsidRPr="00B15035">
        <w:t xml:space="preserve"> A dozę ir kombinuotą vietinį gydymą (esant dalinei ligos remisijai) gydymo tikslas nepasiekiamas, </w:t>
      </w:r>
      <w:r w:rsidRPr="00B15035">
        <w:rPr>
          <w:bCs/>
        </w:rPr>
        <w:t xml:space="preserve">ar daugiau nei 30 proc. padidėja </w:t>
      </w:r>
      <w:proofErr w:type="spellStart"/>
      <w:r w:rsidRPr="00B15035">
        <w:rPr>
          <w:bCs/>
        </w:rPr>
        <w:t>kreatininas</w:t>
      </w:r>
      <w:proofErr w:type="spellEnd"/>
      <w:r w:rsidRPr="00B15035">
        <w:rPr>
          <w:bCs/>
        </w:rPr>
        <w:t xml:space="preserve"> nuo pradinės rodiklio vertės, tiriant 2 kartus kas 2 savaites, ar pasireiškia kitos nepageidaujamos vaisto reakcijos.</w:t>
      </w:r>
      <w:r w:rsidRPr="00B15035">
        <w:t xml:space="preserve"> </w:t>
      </w:r>
      <w:r>
        <w:t xml:space="preserve">Vaikų ir paauglių AD gydymui </w:t>
      </w:r>
      <w:proofErr w:type="spellStart"/>
      <w:r>
        <w:t>ciklosporinas</w:t>
      </w:r>
      <w:proofErr w:type="spellEnd"/>
      <w:r>
        <w:t xml:space="preserve"> negali būti skiriamas, pagal galiojančio vaisto aprašą. </w:t>
      </w:r>
    </w:p>
    <w:p w14:paraId="14310589" w14:textId="77777777" w:rsidR="00E106CD" w:rsidRDefault="00E106CD" w:rsidP="00E106CD">
      <w:pPr>
        <w:pBdr>
          <w:bottom w:val="single" w:sz="4" w:space="1" w:color="auto"/>
        </w:pBdr>
        <w:spacing w:line="276" w:lineRule="auto"/>
        <w:ind w:firstLine="1134"/>
        <w:jc w:val="both"/>
      </w:pPr>
      <w:r w:rsidRPr="00B15035">
        <w:t xml:space="preserve">Biologiniu preparatu </w:t>
      </w:r>
      <w:proofErr w:type="spellStart"/>
      <w:r w:rsidRPr="00B15035">
        <w:t>dupilumabu</w:t>
      </w:r>
      <w:proofErr w:type="spellEnd"/>
      <w:r w:rsidRPr="00B15035">
        <w:t xml:space="preserve"> gydymas pradedamas, kai yra kontraindikacijų skirti </w:t>
      </w:r>
      <w:proofErr w:type="spellStart"/>
      <w:r w:rsidRPr="00B15035">
        <w:t>ciklosporiną</w:t>
      </w:r>
      <w:proofErr w:type="spellEnd"/>
      <w:r w:rsidRPr="00B15035">
        <w:t xml:space="preserve"> A, atsiranda vaisto nepageidaujamų reakcijų, ar nepasiekiamas gydymo tikslas. Gydymo </w:t>
      </w:r>
      <w:proofErr w:type="spellStart"/>
      <w:r w:rsidRPr="00B15035">
        <w:t>dupilumabu</w:t>
      </w:r>
      <w:proofErr w:type="spellEnd"/>
      <w:r w:rsidRPr="00B15035">
        <w:t xml:space="preserve"> atsakas vertinamas po 16 savaičių. Jei AD gydymo atsakas pasiekiamas, tęsiamas ilgalaikis gydymas. Jei per 16 savaičių biologiniu preparatu nepasiekiama ligos remisija, skiriamas kombinuotas gydymas su vietinio poveikio, sisteminio poveikio preparatais ir/ar </w:t>
      </w:r>
      <w:proofErr w:type="spellStart"/>
      <w:r w:rsidRPr="00B15035">
        <w:t>fototerapija</w:t>
      </w:r>
      <w:proofErr w:type="spellEnd"/>
      <w:r w:rsidRPr="00B15035">
        <w:t>.</w:t>
      </w:r>
      <w:r>
        <w:t xml:space="preserve"> </w:t>
      </w:r>
      <w:r>
        <w:rPr>
          <w:color w:val="000000"/>
        </w:rPr>
        <w:t xml:space="preserve">Pareiškėjas kaip palyginamąjį gydymą pateikia </w:t>
      </w:r>
      <w:proofErr w:type="spellStart"/>
      <w:r>
        <w:rPr>
          <w:color w:val="000000"/>
        </w:rPr>
        <w:t>dupilumabą</w:t>
      </w:r>
      <w:proofErr w:type="spellEnd"/>
      <w:r>
        <w:rPr>
          <w:color w:val="000000"/>
        </w:rPr>
        <w:t>.</w:t>
      </w:r>
      <w:r>
        <w:t xml:space="preserve"> </w:t>
      </w:r>
      <w:r w:rsidRPr="00AF64AB">
        <w:t xml:space="preserve">Lietuvoje kompensuojamas </w:t>
      </w:r>
      <w:proofErr w:type="spellStart"/>
      <w:r w:rsidRPr="00B15035">
        <w:t>imunomoduliuojantis</w:t>
      </w:r>
      <w:proofErr w:type="spellEnd"/>
      <w:r w:rsidRPr="00B15035">
        <w:t xml:space="preserve"> </w:t>
      </w:r>
      <w:r w:rsidRPr="00AF64AB">
        <w:t>s</w:t>
      </w:r>
      <w:r w:rsidRPr="00B15035">
        <w:t xml:space="preserve">isteminis gydymas </w:t>
      </w:r>
      <w:proofErr w:type="spellStart"/>
      <w:r w:rsidRPr="00AF64AB">
        <w:t>ciklosporinu</w:t>
      </w:r>
      <w:proofErr w:type="spellEnd"/>
      <w:r w:rsidRPr="00AF64AB">
        <w:t xml:space="preserve"> </w:t>
      </w:r>
      <w:r w:rsidRPr="00B15035">
        <w:t xml:space="preserve">ir </w:t>
      </w:r>
      <w:proofErr w:type="spellStart"/>
      <w:r w:rsidRPr="00B15035">
        <w:t>dupilumab</w:t>
      </w:r>
      <w:r w:rsidRPr="00AF64AB">
        <w:t>u</w:t>
      </w:r>
      <w:proofErr w:type="spellEnd"/>
      <w:r w:rsidRPr="00AF64AB">
        <w:t>.</w:t>
      </w:r>
      <w:r w:rsidRPr="00B15035">
        <w:t xml:space="preserve"> </w:t>
      </w:r>
      <w:r>
        <w:rPr>
          <w:color w:val="000000"/>
        </w:rPr>
        <w:t xml:space="preserve"> </w:t>
      </w:r>
      <w:r w:rsidRPr="003061FB">
        <w:rPr>
          <w:bCs/>
        </w:rPr>
        <w:t>Pagrindinis</w:t>
      </w:r>
      <w:r>
        <w:rPr>
          <w:bCs/>
        </w:rPr>
        <w:t xml:space="preserve"> upadacitinibo</w:t>
      </w:r>
      <w:r w:rsidRPr="003061FB">
        <w:rPr>
          <w:bCs/>
        </w:rPr>
        <w:t xml:space="preserve"> palyginamasis gydymas yra </w:t>
      </w:r>
      <w:proofErr w:type="spellStart"/>
      <w:r w:rsidRPr="003061FB">
        <w:rPr>
          <w:bCs/>
        </w:rPr>
        <w:t>dupilumabas</w:t>
      </w:r>
      <w:proofErr w:type="spellEnd"/>
      <w:r w:rsidRPr="003061FB">
        <w:t xml:space="preserve">, </w:t>
      </w:r>
      <w:proofErr w:type="spellStart"/>
      <w:r>
        <w:t>upadacitinibo</w:t>
      </w:r>
      <w:proofErr w:type="spellEnd"/>
      <w:r w:rsidRPr="003061FB">
        <w:t xml:space="preserve"> si</w:t>
      </w:r>
      <w:r>
        <w:t xml:space="preserve">ūlomos skyrimo sąlygos atitinka </w:t>
      </w:r>
      <w:proofErr w:type="spellStart"/>
      <w:r>
        <w:t>dupilumabo</w:t>
      </w:r>
      <w:proofErr w:type="spellEnd"/>
      <w:r>
        <w:t xml:space="preserve"> esamas kompensavimo sąlygas.</w:t>
      </w:r>
    </w:p>
    <w:p w14:paraId="37AE2366" w14:textId="77777777" w:rsidR="00E106CD" w:rsidRPr="00AF64AB" w:rsidRDefault="00E106CD" w:rsidP="00E106CD">
      <w:pPr>
        <w:pBdr>
          <w:bottom w:val="single" w:sz="4" w:space="1" w:color="auto"/>
        </w:pBdr>
        <w:spacing w:line="276" w:lineRule="auto"/>
        <w:ind w:firstLine="1134"/>
        <w:jc w:val="both"/>
      </w:pPr>
    </w:p>
    <w:p w14:paraId="2E90D699" w14:textId="77777777" w:rsidR="00E106CD" w:rsidRDefault="00E106CD" w:rsidP="00E106CD">
      <w:pPr>
        <w:tabs>
          <w:tab w:val="left" w:pos="426"/>
        </w:tabs>
        <w:spacing w:line="276" w:lineRule="auto"/>
        <w:jc w:val="both"/>
        <w:rPr>
          <w:color w:val="000000" w:themeColor="text1"/>
        </w:rPr>
      </w:pPr>
    </w:p>
    <w:p w14:paraId="05857D8F" w14:textId="77777777" w:rsidR="00E106CD" w:rsidRPr="00A23E73" w:rsidRDefault="00E106CD" w:rsidP="00E106CD">
      <w:pPr>
        <w:tabs>
          <w:tab w:val="left" w:pos="426"/>
        </w:tabs>
        <w:spacing w:line="276" w:lineRule="auto"/>
        <w:jc w:val="both"/>
        <w:rPr>
          <w:i/>
          <w:iCs/>
          <w:color w:val="000000" w:themeColor="text1"/>
          <w:u w:val="single"/>
        </w:rPr>
      </w:pPr>
      <w:r w:rsidRPr="00A23E73">
        <w:rPr>
          <w:i/>
          <w:iCs/>
          <w:color w:val="000000" w:themeColor="text1"/>
          <w:u w:val="single"/>
        </w:rPr>
        <w:t>Tiesioginiai palyginamieji tyrimai:</w:t>
      </w:r>
    </w:p>
    <w:p w14:paraId="6D2E7F7C" w14:textId="77777777" w:rsidR="00E106CD" w:rsidRPr="004C42D2" w:rsidRDefault="00E106CD" w:rsidP="00E106CD">
      <w:pPr>
        <w:tabs>
          <w:tab w:val="left" w:pos="426"/>
        </w:tabs>
        <w:spacing w:line="276" w:lineRule="auto"/>
        <w:jc w:val="both"/>
        <w:rPr>
          <w:color w:val="000000" w:themeColor="text1"/>
        </w:rPr>
      </w:pPr>
      <w:r w:rsidRPr="004C42D2">
        <w:rPr>
          <w:color w:val="000000" w:themeColor="text1"/>
        </w:rPr>
        <w:t xml:space="preserve">Upadacitinibo palyginamajam efektyvumui ir klinikiniam veiksmingumui įvertinti pateikti tiesioginiai klinikiniai tyrimai: </w:t>
      </w:r>
      <w:proofErr w:type="spellStart"/>
      <w:r w:rsidRPr="004C42D2">
        <w:rPr>
          <w:color w:val="000000" w:themeColor="text1"/>
        </w:rPr>
        <w:t>Measure</w:t>
      </w:r>
      <w:proofErr w:type="spellEnd"/>
      <w:r w:rsidRPr="004C42D2">
        <w:rPr>
          <w:color w:val="000000" w:themeColor="text1"/>
        </w:rPr>
        <w:t xml:space="preserve"> Up 1, </w:t>
      </w:r>
      <w:proofErr w:type="spellStart"/>
      <w:r w:rsidRPr="004C42D2">
        <w:rPr>
          <w:color w:val="000000" w:themeColor="text1"/>
        </w:rPr>
        <w:t>Measure</w:t>
      </w:r>
      <w:proofErr w:type="spellEnd"/>
      <w:r w:rsidRPr="004C42D2">
        <w:rPr>
          <w:color w:val="000000" w:themeColor="text1"/>
        </w:rPr>
        <w:t xml:space="preserve"> Up 2, </w:t>
      </w:r>
      <w:proofErr w:type="spellStart"/>
      <w:r w:rsidRPr="004C42D2">
        <w:rPr>
          <w:color w:val="000000" w:themeColor="text1"/>
        </w:rPr>
        <w:t>Heads</w:t>
      </w:r>
      <w:proofErr w:type="spellEnd"/>
      <w:r w:rsidRPr="004C42D2">
        <w:rPr>
          <w:color w:val="000000" w:themeColor="text1"/>
        </w:rPr>
        <w:t xml:space="preserve"> Up, AD Up. </w:t>
      </w:r>
    </w:p>
    <w:p w14:paraId="2BDD9C27" w14:textId="77777777" w:rsidR="00E106CD" w:rsidRDefault="00E106CD" w:rsidP="00E106CD">
      <w:pPr>
        <w:pStyle w:val="HTMLPreformatted"/>
        <w:spacing w:line="276" w:lineRule="auto"/>
        <w:jc w:val="both"/>
        <w:rPr>
          <w:rStyle w:val="y2iqfc"/>
          <w:rFonts w:ascii="Times New Roman" w:eastAsia="Arial" w:hAnsi="Times New Roman" w:cs="Times New Roman"/>
          <w:sz w:val="24"/>
          <w:szCs w:val="24"/>
        </w:rPr>
      </w:pPr>
      <w:r>
        <w:rPr>
          <w:rFonts w:ascii="Times New Roman" w:hAnsi="Times New Roman" w:cs="Times New Roman"/>
          <w:color w:val="000000" w:themeColor="text1"/>
          <w:sz w:val="24"/>
          <w:szCs w:val="24"/>
        </w:rPr>
        <w:tab/>
      </w:r>
      <w:proofErr w:type="spellStart"/>
      <w:r w:rsidRPr="004C42D2">
        <w:rPr>
          <w:rFonts w:ascii="Times New Roman" w:hAnsi="Times New Roman" w:cs="Times New Roman"/>
          <w:color w:val="000000" w:themeColor="text1"/>
          <w:sz w:val="24"/>
          <w:szCs w:val="24"/>
        </w:rPr>
        <w:t>Tyrimai</w:t>
      </w:r>
      <w:proofErr w:type="spellEnd"/>
      <w:r w:rsidRPr="004C42D2">
        <w:rPr>
          <w:rFonts w:ascii="Times New Roman" w:hAnsi="Times New Roman" w:cs="Times New Roman"/>
          <w:color w:val="000000" w:themeColor="text1"/>
          <w:sz w:val="24"/>
          <w:szCs w:val="24"/>
        </w:rPr>
        <w:t xml:space="preserve"> Measure Up 1 </w:t>
      </w:r>
      <w:proofErr w:type="spellStart"/>
      <w:r w:rsidRPr="004C42D2">
        <w:rPr>
          <w:rFonts w:ascii="Times New Roman" w:hAnsi="Times New Roman" w:cs="Times New Roman"/>
          <w:color w:val="000000" w:themeColor="text1"/>
          <w:sz w:val="24"/>
          <w:szCs w:val="24"/>
        </w:rPr>
        <w:t>ir</w:t>
      </w:r>
      <w:proofErr w:type="spellEnd"/>
      <w:r w:rsidRPr="004C42D2">
        <w:rPr>
          <w:rFonts w:ascii="Times New Roman" w:hAnsi="Times New Roman" w:cs="Times New Roman"/>
          <w:color w:val="000000" w:themeColor="text1"/>
          <w:sz w:val="24"/>
          <w:szCs w:val="24"/>
        </w:rPr>
        <w:t xml:space="preserve"> Measure Up 2 </w:t>
      </w:r>
      <w:proofErr w:type="spellStart"/>
      <w:r>
        <w:rPr>
          <w:rFonts w:ascii="Times New Roman" w:eastAsia="Arial" w:hAnsi="Times New Roman" w:cs="Times New Roman"/>
          <w:sz w:val="24"/>
          <w:szCs w:val="24"/>
        </w:rPr>
        <w:t>buvo</w:t>
      </w:r>
      <w:proofErr w:type="spellEnd"/>
      <w:r w:rsidRPr="004C42D2">
        <w:rPr>
          <w:rFonts w:ascii="Times New Roman" w:eastAsia="Arial" w:hAnsi="Times New Roman" w:cs="Times New Roman"/>
          <w:sz w:val="24"/>
          <w:szCs w:val="24"/>
        </w:rPr>
        <w:t xml:space="preserve"> </w:t>
      </w:r>
      <w:proofErr w:type="spellStart"/>
      <w:r w:rsidRPr="004C42D2">
        <w:rPr>
          <w:rFonts w:ascii="Times New Roman" w:eastAsia="Arial" w:hAnsi="Times New Roman" w:cs="Times New Roman"/>
          <w:sz w:val="24"/>
          <w:szCs w:val="24"/>
        </w:rPr>
        <w:t>daugiacentriai</w:t>
      </w:r>
      <w:proofErr w:type="spellEnd"/>
      <w:r w:rsidRPr="004C42D2">
        <w:rPr>
          <w:rFonts w:ascii="Times New Roman" w:eastAsia="Arial" w:hAnsi="Times New Roman" w:cs="Times New Roman"/>
          <w:sz w:val="24"/>
          <w:szCs w:val="24"/>
        </w:rPr>
        <w:t xml:space="preserve">, </w:t>
      </w:r>
      <w:proofErr w:type="spellStart"/>
      <w:r w:rsidRPr="004C42D2">
        <w:rPr>
          <w:rFonts w:ascii="Times New Roman" w:eastAsia="Arial" w:hAnsi="Times New Roman" w:cs="Times New Roman"/>
          <w:sz w:val="24"/>
          <w:szCs w:val="24"/>
        </w:rPr>
        <w:t>atsitiktinių</w:t>
      </w:r>
      <w:proofErr w:type="spellEnd"/>
      <w:r w:rsidRPr="004C42D2">
        <w:rPr>
          <w:rFonts w:ascii="Times New Roman" w:eastAsia="Arial" w:hAnsi="Times New Roman" w:cs="Times New Roman"/>
          <w:sz w:val="24"/>
          <w:szCs w:val="24"/>
        </w:rPr>
        <w:t xml:space="preserve"> </w:t>
      </w:r>
      <w:proofErr w:type="spellStart"/>
      <w:r w:rsidRPr="004C42D2">
        <w:rPr>
          <w:rFonts w:ascii="Times New Roman" w:eastAsia="Arial" w:hAnsi="Times New Roman" w:cs="Times New Roman"/>
          <w:sz w:val="24"/>
          <w:szCs w:val="24"/>
        </w:rPr>
        <w:t>imčių</w:t>
      </w:r>
      <w:proofErr w:type="spellEnd"/>
      <w:r w:rsidRPr="004C42D2">
        <w:rPr>
          <w:rFonts w:ascii="Times New Roman" w:eastAsia="Arial" w:hAnsi="Times New Roman" w:cs="Times New Roman"/>
          <w:sz w:val="24"/>
          <w:szCs w:val="24"/>
        </w:rPr>
        <w:t xml:space="preserve">, </w:t>
      </w:r>
      <w:proofErr w:type="spellStart"/>
      <w:r w:rsidRPr="004C42D2">
        <w:rPr>
          <w:rFonts w:ascii="Times New Roman" w:eastAsia="Arial" w:hAnsi="Times New Roman" w:cs="Times New Roman"/>
          <w:sz w:val="24"/>
          <w:szCs w:val="24"/>
        </w:rPr>
        <w:t>dvigubai</w:t>
      </w:r>
      <w:proofErr w:type="spellEnd"/>
      <w:r w:rsidRPr="004C42D2">
        <w:rPr>
          <w:rFonts w:ascii="Times New Roman" w:eastAsia="Arial" w:hAnsi="Times New Roman" w:cs="Times New Roman"/>
          <w:sz w:val="24"/>
          <w:szCs w:val="24"/>
        </w:rPr>
        <w:t xml:space="preserve"> </w:t>
      </w:r>
      <w:proofErr w:type="spellStart"/>
      <w:r w:rsidRPr="004C42D2">
        <w:rPr>
          <w:rFonts w:ascii="Times New Roman" w:eastAsia="Arial" w:hAnsi="Times New Roman" w:cs="Times New Roman"/>
          <w:sz w:val="24"/>
          <w:szCs w:val="24"/>
        </w:rPr>
        <w:t>koduoti</w:t>
      </w:r>
      <w:proofErr w:type="spellEnd"/>
      <w:r w:rsidRPr="004C42D2">
        <w:rPr>
          <w:rFonts w:ascii="Times New Roman" w:eastAsia="Arial" w:hAnsi="Times New Roman" w:cs="Times New Roman"/>
          <w:sz w:val="24"/>
          <w:szCs w:val="24"/>
        </w:rPr>
        <w:t xml:space="preserve">, </w:t>
      </w:r>
      <w:proofErr w:type="spellStart"/>
      <w:r w:rsidRPr="004C42D2">
        <w:rPr>
          <w:rFonts w:ascii="Times New Roman" w:eastAsia="Arial" w:hAnsi="Times New Roman" w:cs="Times New Roman"/>
          <w:sz w:val="24"/>
          <w:szCs w:val="24"/>
        </w:rPr>
        <w:t>placebu</w:t>
      </w:r>
      <w:proofErr w:type="spellEnd"/>
      <w:r w:rsidRPr="004C42D2">
        <w:rPr>
          <w:rFonts w:ascii="Times New Roman" w:eastAsia="Arial" w:hAnsi="Times New Roman" w:cs="Times New Roman"/>
          <w:sz w:val="24"/>
          <w:szCs w:val="24"/>
        </w:rPr>
        <w:t xml:space="preserve"> </w:t>
      </w:r>
      <w:proofErr w:type="spellStart"/>
      <w:r w:rsidRPr="004C42D2">
        <w:rPr>
          <w:rFonts w:ascii="Times New Roman" w:eastAsia="Arial" w:hAnsi="Times New Roman" w:cs="Times New Roman"/>
          <w:sz w:val="24"/>
          <w:szCs w:val="24"/>
        </w:rPr>
        <w:t>kontroliuojami</w:t>
      </w:r>
      <w:proofErr w:type="spellEnd"/>
      <w:r w:rsidRPr="004C42D2">
        <w:rPr>
          <w:rFonts w:ascii="Times New Roman" w:eastAsia="Arial" w:hAnsi="Times New Roman" w:cs="Times New Roman"/>
          <w:sz w:val="24"/>
          <w:szCs w:val="24"/>
        </w:rPr>
        <w:t xml:space="preserve">, 3 </w:t>
      </w:r>
      <w:proofErr w:type="spellStart"/>
      <w:r w:rsidRPr="004C42D2">
        <w:rPr>
          <w:rFonts w:ascii="Times New Roman" w:eastAsia="Arial" w:hAnsi="Times New Roman" w:cs="Times New Roman"/>
          <w:sz w:val="24"/>
          <w:szCs w:val="24"/>
        </w:rPr>
        <w:t>fazės</w:t>
      </w:r>
      <w:proofErr w:type="spellEnd"/>
      <w:r w:rsidRPr="004C42D2">
        <w:rPr>
          <w:rFonts w:ascii="Times New Roman" w:eastAsia="Arial" w:hAnsi="Times New Roman" w:cs="Times New Roman"/>
          <w:sz w:val="24"/>
          <w:szCs w:val="24"/>
        </w:rPr>
        <w:t xml:space="preserve"> </w:t>
      </w:r>
      <w:proofErr w:type="spellStart"/>
      <w:r w:rsidRPr="004C42D2">
        <w:rPr>
          <w:rFonts w:ascii="Times New Roman" w:eastAsia="Arial" w:hAnsi="Times New Roman" w:cs="Times New Roman"/>
          <w:sz w:val="24"/>
          <w:szCs w:val="24"/>
        </w:rPr>
        <w:t>tyrimai</w:t>
      </w:r>
      <w:proofErr w:type="spellEnd"/>
      <w:r w:rsidRPr="004C42D2">
        <w:rPr>
          <w:rFonts w:ascii="Times New Roman" w:eastAsia="Arial" w:hAnsi="Times New Roman" w:cs="Times New Roman"/>
          <w:sz w:val="24"/>
          <w:szCs w:val="24"/>
        </w:rPr>
        <w:t xml:space="preserve">. </w:t>
      </w:r>
      <w:proofErr w:type="spellStart"/>
      <w:r w:rsidRPr="004C42D2">
        <w:rPr>
          <w:rFonts w:ascii="Times New Roman" w:eastAsia="Arial" w:hAnsi="Times New Roman" w:cs="Times New Roman"/>
          <w:sz w:val="24"/>
          <w:szCs w:val="24"/>
        </w:rPr>
        <w:t>Abiejų</w:t>
      </w:r>
      <w:proofErr w:type="spellEnd"/>
      <w:r w:rsidRPr="004C42D2">
        <w:rPr>
          <w:rFonts w:ascii="Times New Roman" w:eastAsia="Arial" w:hAnsi="Times New Roman" w:cs="Times New Roman"/>
          <w:sz w:val="24"/>
          <w:szCs w:val="24"/>
        </w:rPr>
        <w:t xml:space="preserve"> </w:t>
      </w:r>
      <w:proofErr w:type="spellStart"/>
      <w:r w:rsidRPr="004C42D2">
        <w:rPr>
          <w:rFonts w:ascii="Times New Roman" w:eastAsia="Arial" w:hAnsi="Times New Roman" w:cs="Times New Roman"/>
          <w:sz w:val="24"/>
          <w:szCs w:val="24"/>
        </w:rPr>
        <w:t>tikslas</w:t>
      </w:r>
      <w:proofErr w:type="spellEnd"/>
      <w:r w:rsidRPr="004C42D2">
        <w:rPr>
          <w:rFonts w:ascii="Times New Roman" w:eastAsia="Arial" w:hAnsi="Times New Roman" w:cs="Times New Roman"/>
          <w:sz w:val="24"/>
          <w:szCs w:val="24"/>
        </w:rPr>
        <w:t xml:space="preserve"> - </w:t>
      </w:r>
      <w:proofErr w:type="spellStart"/>
      <w:r w:rsidRPr="004C42D2">
        <w:rPr>
          <w:rStyle w:val="ListParagraphChar"/>
          <w:rFonts w:ascii="Times New Roman" w:hAnsi="Times New Roman" w:cs="Times New Roman"/>
          <w:color w:val="202124"/>
        </w:rPr>
        <w:t>įrodyti</w:t>
      </w:r>
      <w:proofErr w:type="spellEnd"/>
      <w:r w:rsidRPr="004C42D2">
        <w:rPr>
          <w:rStyle w:val="ListParagraphChar"/>
          <w:rFonts w:ascii="Times New Roman" w:hAnsi="Times New Roman" w:cs="Times New Roman"/>
          <w:color w:val="202124"/>
        </w:rPr>
        <w:t xml:space="preserve"> </w:t>
      </w:r>
      <w:proofErr w:type="spellStart"/>
      <w:r w:rsidRPr="004C42D2">
        <w:rPr>
          <w:rStyle w:val="ListParagraphChar"/>
          <w:rFonts w:ascii="Times New Roman" w:hAnsi="Times New Roman" w:cs="Times New Roman"/>
          <w:color w:val="202124"/>
        </w:rPr>
        <w:t>upadacitinibo</w:t>
      </w:r>
      <w:proofErr w:type="spellEnd"/>
      <w:r w:rsidRPr="004C42D2">
        <w:rPr>
          <w:rStyle w:val="ListParagraphChar"/>
          <w:rFonts w:ascii="Times New Roman" w:hAnsi="Times New Roman" w:cs="Times New Roman"/>
          <w:color w:val="202124"/>
        </w:rPr>
        <w:t xml:space="preserve"> </w:t>
      </w:r>
      <w:proofErr w:type="spellStart"/>
      <w:r w:rsidRPr="004C42D2">
        <w:rPr>
          <w:rStyle w:val="ListParagraphChar"/>
          <w:rFonts w:ascii="Times New Roman" w:hAnsi="Times New Roman" w:cs="Times New Roman"/>
          <w:color w:val="202124"/>
        </w:rPr>
        <w:t>veiksmingumą</w:t>
      </w:r>
      <w:proofErr w:type="spellEnd"/>
      <w:r w:rsidRPr="004C42D2">
        <w:rPr>
          <w:rStyle w:val="ListParagraphChar"/>
          <w:rFonts w:ascii="Times New Roman" w:hAnsi="Times New Roman" w:cs="Times New Roman"/>
          <w:color w:val="202124"/>
        </w:rPr>
        <w:t xml:space="preserve"> </w:t>
      </w:r>
      <w:proofErr w:type="spellStart"/>
      <w:r w:rsidRPr="004C42D2">
        <w:rPr>
          <w:rStyle w:val="ListParagraphChar"/>
          <w:rFonts w:ascii="Times New Roman" w:hAnsi="Times New Roman" w:cs="Times New Roman"/>
          <w:color w:val="202124"/>
        </w:rPr>
        <w:t>ir</w:t>
      </w:r>
      <w:proofErr w:type="spellEnd"/>
      <w:r w:rsidRPr="004C42D2">
        <w:rPr>
          <w:rStyle w:val="ListParagraphChar"/>
          <w:rFonts w:ascii="Times New Roman" w:hAnsi="Times New Roman" w:cs="Times New Roman"/>
          <w:color w:val="202124"/>
        </w:rPr>
        <w:t xml:space="preserve"> </w:t>
      </w:r>
      <w:proofErr w:type="spellStart"/>
      <w:r w:rsidRPr="004C42D2">
        <w:rPr>
          <w:rStyle w:val="ListParagraphChar"/>
          <w:rFonts w:ascii="Times New Roman" w:hAnsi="Times New Roman" w:cs="Times New Roman"/>
          <w:color w:val="202124"/>
        </w:rPr>
        <w:t>saugumą</w:t>
      </w:r>
      <w:proofErr w:type="spellEnd"/>
      <w:r w:rsidRPr="004C42D2">
        <w:rPr>
          <w:rStyle w:val="ListParagraphChar"/>
          <w:rFonts w:ascii="Times New Roman" w:hAnsi="Times New Roman" w:cs="Times New Roman"/>
          <w:color w:val="202124"/>
        </w:rPr>
        <w:t xml:space="preserve">, </w:t>
      </w:r>
      <w:proofErr w:type="spellStart"/>
      <w:r w:rsidRPr="004C42D2">
        <w:rPr>
          <w:rStyle w:val="ListParagraphChar"/>
          <w:rFonts w:ascii="Times New Roman" w:hAnsi="Times New Roman" w:cs="Times New Roman"/>
          <w:color w:val="202124"/>
        </w:rPr>
        <w:t>palyginti</w:t>
      </w:r>
      <w:proofErr w:type="spellEnd"/>
      <w:r w:rsidRPr="004C42D2">
        <w:rPr>
          <w:rStyle w:val="ListParagraphChar"/>
          <w:rFonts w:ascii="Times New Roman" w:hAnsi="Times New Roman" w:cs="Times New Roman"/>
          <w:color w:val="202124"/>
        </w:rPr>
        <w:t xml:space="preserve"> </w:t>
      </w:r>
      <w:proofErr w:type="spellStart"/>
      <w:r w:rsidRPr="004C42D2">
        <w:rPr>
          <w:rStyle w:val="ListParagraphChar"/>
          <w:rFonts w:ascii="Times New Roman" w:hAnsi="Times New Roman" w:cs="Times New Roman"/>
          <w:color w:val="202124"/>
        </w:rPr>
        <w:t>su</w:t>
      </w:r>
      <w:proofErr w:type="spellEnd"/>
      <w:r w:rsidRPr="004C42D2">
        <w:rPr>
          <w:rStyle w:val="ListParagraphChar"/>
          <w:rFonts w:ascii="Times New Roman" w:hAnsi="Times New Roman" w:cs="Times New Roman"/>
          <w:color w:val="202124"/>
        </w:rPr>
        <w:t xml:space="preserve"> </w:t>
      </w:r>
      <w:proofErr w:type="spellStart"/>
      <w:r w:rsidRPr="004C42D2">
        <w:rPr>
          <w:rStyle w:val="ListParagraphChar"/>
          <w:rFonts w:ascii="Times New Roman" w:hAnsi="Times New Roman" w:cs="Times New Roman"/>
          <w:color w:val="202124"/>
        </w:rPr>
        <w:t>placebu</w:t>
      </w:r>
      <w:proofErr w:type="spellEnd"/>
      <w:r w:rsidRPr="004C42D2">
        <w:rPr>
          <w:rStyle w:val="ListParagraphChar"/>
          <w:rFonts w:ascii="Times New Roman" w:hAnsi="Times New Roman" w:cs="Times New Roman"/>
          <w:color w:val="202124"/>
        </w:rPr>
        <w:t xml:space="preserve"> </w:t>
      </w:r>
      <w:proofErr w:type="spellStart"/>
      <w:r w:rsidRPr="004C42D2">
        <w:rPr>
          <w:rStyle w:val="ListParagraphChar"/>
          <w:rFonts w:ascii="Times New Roman" w:hAnsi="Times New Roman" w:cs="Times New Roman"/>
          <w:color w:val="202124"/>
        </w:rPr>
        <w:t>gydant</w:t>
      </w:r>
      <w:proofErr w:type="spellEnd"/>
      <w:r w:rsidRPr="004C42D2">
        <w:rPr>
          <w:rStyle w:val="ListParagraphChar"/>
          <w:rFonts w:ascii="Times New Roman" w:hAnsi="Times New Roman" w:cs="Times New Roman"/>
          <w:color w:val="202124"/>
        </w:rPr>
        <w:t xml:space="preserve"> </w:t>
      </w:r>
      <w:proofErr w:type="spellStart"/>
      <w:r w:rsidRPr="004C42D2">
        <w:rPr>
          <w:rStyle w:val="ListParagraphChar"/>
          <w:rFonts w:ascii="Times New Roman" w:hAnsi="Times New Roman" w:cs="Times New Roman"/>
          <w:color w:val="202124"/>
        </w:rPr>
        <w:t>vidutinio</w:t>
      </w:r>
      <w:proofErr w:type="spellEnd"/>
      <w:r w:rsidRPr="004C42D2">
        <w:rPr>
          <w:rStyle w:val="ListParagraphChar"/>
          <w:rFonts w:ascii="Times New Roman" w:hAnsi="Times New Roman" w:cs="Times New Roman"/>
          <w:color w:val="202124"/>
        </w:rPr>
        <w:t xml:space="preserve"> </w:t>
      </w:r>
      <w:proofErr w:type="spellStart"/>
      <w:r w:rsidRPr="004C42D2">
        <w:rPr>
          <w:rStyle w:val="ListParagraphChar"/>
          <w:rFonts w:ascii="Times New Roman" w:hAnsi="Times New Roman" w:cs="Times New Roman"/>
          <w:color w:val="202124"/>
        </w:rPr>
        <w:t>sunkumo</w:t>
      </w:r>
      <w:proofErr w:type="spellEnd"/>
      <w:r w:rsidRPr="004C42D2">
        <w:rPr>
          <w:rStyle w:val="ListParagraphChar"/>
          <w:rFonts w:ascii="Times New Roman" w:hAnsi="Times New Roman" w:cs="Times New Roman"/>
          <w:color w:val="202124"/>
        </w:rPr>
        <w:t xml:space="preserve"> </w:t>
      </w:r>
      <w:proofErr w:type="spellStart"/>
      <w:r w:rsidRPr="004C42D2">
        <w:rPr>
          <w:rStyle w:val="ListParagraphChar"/>
          <w:rFonts w:ascii="Times New Roman" w:hAnsi="Times New Roman" w:cs="Times New Roman"/>
          <w:color w:val="202124"/>
        </w:rPr>
        <w:t>ar</w:t>
      </w:r>
      <w:proofErr w:type="spellEnd"/>
      <w:r w:rsidRPr="004C42D2">
        <w:rPr>
          <w:rStyle w:val="ListParagraphChar"/>
          <w:rFonts w:ascii="Times New Roman" w:hAnsi="Times New Roman" w:cs="Times New Roman"/>
          <w:color w:val="202124"/>
        </w:rPr>
        <w:t xml:space="preserve"> </w:t>
      </w:r>
      <w:proofErr w:type="spellStart"/>
      <w:r w:rsidRPr="004C42D2">
        <w:rPr>
          <w:rStyle w:val="ListParagraphChar"/>
          <w:rFonts w:ascii="Times New Roman" w:hAnsi="Times New Roman" w:cs="Times New Roman"/>
          <w:color w:val="202124"/>
        </w:rPr>
        <w:t>sunkų</w:t>
      </w:r>
      <w:proofErr w:type="spellEnd"/>
      <w:r w:rsidRPr="004C42D2">
        <w:rPr>
          <w:rStyle w:val="ListParagraphChar"/>
          <w:rFonts w:ascii="Times New Roman" w:hAnsi="Times New Roman" w:cs="Times New Roman"/>
          <w:color w:val="202124"/>
        </w:rPr>
        <w:t xml:space="preserve"> </w:t>
      </w:r>
      <w:proofErr w:type="spellStart"/>
      <w:r w:rsidRPr="004C42D2">
        <w:rPr>
          <w:rStyle w:val="ListParagraphChar"/>
          <w:rFonts w:ascii="Times New Roman" w:hAnsi="Times New Roman" w:cs="Times New Roman"/>
          <w:color w:val="202124"/>
        </w:rPr>
        <w:t>atopinį</w:t>
      </w:r>
      <w:proofErr w:type="spellEnd"/>
      <w:r w:rsidRPr="004C42D2">
        <w:rPr>
          <w:rStyle w:val="ListParagraphChar"/>
          <w:rFonts w:ascii="Times New Roman" w:hAnsi="Times New Roman" w:cs="Times New Roman"/>
          <w:color w:val="202124"/>
        </w:rPr>
        <w:t xml:space="preserve"> </w:t>
      </w:r>
      <w:proofErr w:type="spellStart"/>
      <w:r w:rsidRPr="004C42D2">
        <w:rPr>
          <w:rStyle w:val="ListParagraphChar"/>
          <w:rFonts w:ascii="Times New Roman" w:hAnsi="Times New Roman" w:cs="Times New Roman"/>
          <w:color w:val="202124"/>
        </w:rPr>
        <w:t>dermatitą</w:t>
      </w:r>
      <w:proofErr w:type="spellEnd"/>
      <w:r w:rsidRPr="004C42D2">
        <w:rPr>
          <w:rStyle w:val="ListParagraphChar"/>
          <w:rFonts w:ascii="Times New Roman" w:hAnsi="Times New Roman" w:cs="Times New Roman"/>
          <w:color w:val="202124"/>
        </w:rPr>
        <w:t xml:space="preserve">. </w:t>
      </w:r>
      <w:proofErr w:type="spellStart"/>
      <w:r w:rsidRPr="004C42D2">
        <w:rPr>
          <w:rStyle w:val="ListParagraphChar"/>
          <w:rFonts w:ascii="Times New Roman" w:hAnsi="Times New Roman" w:cs="Times New Roman"/>
          <w:color w:val="202124"/>
        </w:rPr>
        <w:t>Tyrimuose</w:t>
      </w:r>
      <w:proofErr w:type="spellEnd"/>
      <w:r w:rsidRPr="004C42D2">
        <w:rPr>
          <w:rStyle w:val="ListParagraphChar"/>
          <w:rFonts w:ascii="Times New Roman" w:hAnsi="Times New Roman" w:cs="Times New Roman"/>
          <w:color w:val="202124"/>
        </w:rPr>
        <w:t xml:space="preserve"> </w:t>
      </w:r>
      <w:proofErr w:type="spellStart"/>
      <w:r w:rsidRPr="004C42D2">
        <w:rPr>
          <w:rFonts w:ascii="Times New Roman" w:eastAsia="Arial" w:hAnsi="Times New Roman" w:cs="Times New Roman"/>
          <w:sz w:val="24"/>
          <w:szCs w:val="24"/>
        </w:rPr>
        <w:t>galėjo</w:t>
      </w:r>
      <w:proofErr w:type="spellEnd"/>
      <w:r w:rsidRPr="004C42D2">
        <w:rPr>
          <w:rFonts w:ascii="Times New Roman" w:eastAsia="Arial" w:hAnsi="Times New Roman" w:cs="Times New Roman"/>
          <w:sz w:val="24"/>
          <w:szCs w:val="24"/>
        </w:rPr>
        <w:t xml:space="preserve"> </w:t>
      </w:r>
      <w:proofErr w:type="spellStart"/>
      <w:r w:rsidRPr="004C42D2">
        <w:rPr>
          <w:rFonts w:ascii="Times New Roman" w:eastAsia="Arial" w:hAnsi="Times New Roman" w:cs="Times New Roman"/>
          <w:sz w:val="24"/>
          <w:szCs w:val="24"/>
        </w:rPr>
        <w:t>dalyvauti</w:t>
      </w:r>
      <w:proofErr w:type="spellEnd"/>
      <w:r w:rsidRPr="004C42D2">
        <w:rPr>
          <w:rFonts w:ascii="Times New Roman" w:eastAsia="Arial" w:hAnsi="Times New Roman" w:cs="Times New Roman"/>
          <w:sz w:val="24"/>
          <w:szCs w:val="24"/>
        </w:rPr>
        <w:t xml:space="preserve"> </w:t>
      </w:r>
      <w:proofErr w:type="spellStart"/>
      <w:r w:rsidRPr="004C42D2">
        <w:rPr>
          <w:rFonts w:ascii="Times New Roman" w:eastAsia="Arial" w:hAnsi="Times New Roman" w:cs="Times New Roman"/>
          <w:sz w:val="24"/>
          <w:szCs w:val="24"/>
        </w:rPr>
        <w:t>paaugliai</w:t>
      </w:r>
      <w:proofErr w:type="spellEnd"/>
      <w:r w:rsidRPr="004C42D2">
        <w:rPr>
          <w:rFonts w:ascii="Times New Roman" w:eastAsia="Arial" w:hAnsi="Times New Roman" w:cs="Times New Roman"/>
          <w:sz w:val="24"/>
          <w:szCs w:val="24"/>
        </w:rPr>
        <w:t xml:space="preserve"> (12 -17 </w:t>
      </w:r>
      <w:proofErr w:type="spellStart"/>
      <w:r w:rsidRPr="004C42D2">
        <w:rPr>
          <w:rFonts w:ascii="Times New Roman" w:eastAsia="Arial" w:hAnsi="Times New Roman" w:cs="Times New Roman"/>
          <w:sz w:val="24"/>
          <w:szCs w:val="24"/>
        </w:rPr>
        <w:t>metų</w:t>
      </w:r>
      <w:proofErr w:type="spellEnd"/>
      <w:r w:rsidRPr="004C42D2">
        <w:rPr>
          <w:rFonts w:ascii="Times New Roman" w:eastAsia="Arial" w:hAnsi="Times New Roman" w:cs="Times New Roman"/>
          <w:sz w:val="24"/>
          <w:szCs w:val="24"/>
        </w:rPr>
        <w:t xml:space="preserve">) </w:t>
      </w:r>
      <w:proofErr w:type="spellStart"/>
      <w:r w:rsidRPr="004C42D2">
        <w:rPr>
          <w:rFonts w:ascii="Times New Roman" w:eastAsia="Arial" w:hAnsi="Times New Roman" w:cs="Times New Roman"/>
          <w:sz w:val="24"/>
          <w:szCs w:val="24"/>
        </w:rPr>
        <w:t>ir</w:t>
      </w:r>
      <w:proofErr w:type="spellEnd"/>
      <w:r w:rsidRPr="004C42D2">
        <w:rPr>
          <w:rFonts w:ascii="Times New Roman" w:eastAsia="Arial" w:hAnsi="Times New Roman" w:cs="Times New Roman"/>
          <w:sz w:val="24"/>
          <w:szCs w:val="24"/>
        </w:rPr>
        <w:t xml:space="preserve"> </w:t>
      </w:r>
      <w:proofErr w:type="spellStart"/>
      <w:r w:rsidRPr="004C42D2">
        <w:rPr>
          <w:rFonts w:ascii="Times New Roman" w:eastAsia="Arial" w:hAnsi="Times New Roman" w:cs="Times New Roman"/>
          <w:sz w:val="24"/>
          <w:szCs w:val="24"/>
        </w:rPr>
        <w:t>suaugę</w:t>
      </w:r>
      <w:proofErr w:type="spellEnd"/>
      <w:r w:rsidRPr="004C42D2">
        <w:rPr>
          <w:rFonts w:ascii="Times New Roman" w:eastAsia="Arial" w:hAnsi="Times New Roman" w:cs="Times New Roman"/>
          <w:sz w:val="24"/>
          <w:szCs w:val="24"/>
        </w:rPr>
        <w:t xml:space="preserve"> </w:t>
      </w:r>
      <w:proofErr w:type="spellStart"/>
      <w:r w:rsidRPr="004C42D2">
        <w:rPr>
          <w:rFonts w:ascii="Times New Roman" w:eastAsia="Arial" w:hAnsi="Times New Roman" w:cs="Times New Roman"/>
          <w:sz w:val="24"/>
          <w:szCs w:val="24"/>
        </w:rPr>
        <w:t>pacientai</w:t>
      </w:r>
      <w:proofErr w:type="spellEnd"/>
      <w:r w:rsidRPr="004C42D2">
        <w:rPr>
          <w:rFonts w:ascii="Times New Roman" w:eastAsia="Arial" w:hAnsi="Times New Roman" w:cs="Times New Roman"/>
          <w:sz w:val="24"/>
          <w:szCs w:val="24"/>
        </w:rPr>
        <w:t xml:space="preserve"> (&gt;18 </w:t>
      </w:r>
      <w:proofErr w:type="spellStart"/>
      <w:r w:rsidRPr="004C42D2">
        <w:rPr>
          <w:rFonts w:ascii="Times New Roman" w:eastAsia="Arial" w:hAnsi="Times New Roman" w:cs="Times New Roman"/>
          <w:sz w:val="24"/>
          <w:szCs w:val="24"/>
        </w:rPr>
        <w:t>metų</w:t>
      </w:r>
      <w:proofErr w:type="spellEnd"/>
      <w:r w:rsidRPr="004C42D2">
        <w:rPr>
          <w:rFonts w:ascii="Times New Roman" w:eastAsia="Arial" w:hAnsi="Times New Roman" w:cs="Times New Roman"/>
          <w:sz w:val="24"/>
          <w:szCs w:val="24"/>
        </w:rPr>
        <w:t xml:space="preserve">), </w:t>
      </w:r>
      <w:proofErr w:type="spellStart"/>
      <w:r w:rsidRPr="004C42D2">
        <w:rPr>
          <w:rStyle w:val="ListParagraphChar"/>
          <w:rFonts w:ascii="Times New Roman" w:hAnsi="Times New Roman" w:cs="Times New Roman"/>
        </w:rPr>
        <w:t>kuriems</w:t>
      </w:r>
      <w:proofErr w:type="spellEnd"/>
      <w:r w:rsidRPr="004C42D2">
        <w:rPr>
          <w:rStyle w:val="ListParagraphChar"/>
          <w:rFonts w:ascii="Times New Roman" w:hAnsi="Times New Roman" w:cs="Times New Roman"/>
        </w:rPr>
        <w:t xml:space="preserve"> </w:t>
      </w:r>
      <w:proofErr w:type="spellStart"/>
      <w:r w:rsidRPr="004C42D2">
        <w:rPr>
          <w:rStyle w:val="ListParagraphChar"/>
          <w:rFonts w:ascii="Times New Roman" w:hAnsi="Times New Roman" w:cs="Times New Roman"/>
        </w:rPr>
        <w:t>buvo</w:t>
      </w:r>
      <w:proofErr w:type="spellEnd"/>
      <w:r w:rsidRPr="004C42D2">
        <w:rPr>
          <w:rStyle w:val="ListParagraphChar"/>
          <w:rFonts w:ascii="Times New Roman" w:hAnsi="Times New Roman" w:cs="Times New Roman"/>
        </w:rPr>
        <w:t xml:space="preserve"> </w:t>
      </w:r>
      <w:proofErr w:type="spellStart"/>
      <w:r w:rsidRPr="004C42D2">
        <w:rPr>
          <w:rStyle w:val="ListParagraphChar"/>
          <w:rFonts w:ascii="Times New Roman" w:hAnsi="Times New Roman" w:cs="Times New Roman"/>
        </w:rPr>
        <w:t>diagnozuotas</w:t>
      </w:r>
      <w:proofErr w:type="spellEnd"/>
      <w:r w:rsidRPr="004C42D2">
        <w:rPr>
          <w:rStyle w:val="ListParagraphChar"/>
          <w:rFonts w:ascii="Times New Roman" w:hAnsi="Times New Roman" w:cs="Times New Roman"/>
        </w:rPr>
        <w:t xml:space="preserve"> </w:t>
      </w:r>
      <w:proofErr w:type="spellStart"/>
      <w:r w:rsidRPr="004C42D2">
        <w:rPr>
          <w:rStyle w:val="ListParagraphChar"/>
          <w:rFonts w:ascii="Times New Roman" w:hAnsi="Times New Roman" w:cs="Times New Roman"/>
        </w:rPr>
        <w:t>atopinis</w:t>
      </w:r>
      <w:proofErr w:type="spellEnd"/>
      <w:r w:rsidRPr="004C42D2">
        <w:rPr>
          <w:rStyle w:val="ListParagraphChar"/>
          <w:rFonts w:ascii="Times New Roman" w:hAnsi="Times New Roman" w:cs="Times New Roman"/>
        </w:rPr>
        <w:t xml:space="preserve"> </w:t>
      </w:r>
      <w:proofErr w:type="spellStart"/>
      <w:r w:rsidRPr="004C42D2">
        <w:rPr>
          <w:rStyle w:val="ListParagraphChar"/>
          <w:rFonts w:ascii="Times New Roman" w:hAnsi="Times New Roman" w:cs="Times New Roman"/>
        </w:rPr>
        <w:t>dermatitas</w:t>
      </w:r>
      <w:proofErr w:type="spellEnd"/>
      <w:r w:rsidRPr="004C42D2">
        <w:rPr>
          <w:rStyle w:val="ListParagraphChar"/>
          <w:rFonts w:ascii="Times New Roman" w:hAnsi="Times New Roman" w:cs="Times New Roman"/>
        </w:rPr>
        <w:t xml:space="preserve"> </w:t>
      </w:r>
      <w:proofErr w:type="spellStart"/>
      <w:r w:rsidRPr="004C42D2">
        <w:rPr>
          <w:rStyle w:val="ListParagraphChar"/>
          <w:rFonts w:ascii="Times New Roman" w:hAnsi="Times New Roman" w:cs="Times New Roman"/>
        </w:rPr>
        <w:t>pagal</w:t>
      </w:r>
      <w:proofErr w:type="spellEnd"/>
      <w:r w:rsidRPr="004C42D2">
        <w:rPr>
          <w:rStyle w:val="ListParagraphChar"/>
          <w:rFonts w:ascii="Times New Roman" w:hAnsi="Times New Roman" w:cs="Times New Roman"/>
        </w:rPr>
        <w:t xml:space="preserve"> </w:t>
      </w:r>
      <w:proofErr w:type="spellStart"/>
      <w:r w:rsidRPr="004C42D2">
        <w:rPr>
          <w:rStyle w:val="ListParagraphChar"/>
          <w:rFonts w:ascii="Times New Roman" w:hAnsi="Times New Roman" w:cs="Times New Roman"/>
        </w:rPr>
        <w:t>Hanifin</w:t>
      </w:r>
      <w:proofErr w:type="spellEnd"/>
      <w:r w:rsidRPr="004C42D2">
        <w:rPr>
          <w:rStyle w:val="ListParagraphChar"/>
          <w:rFonts w:ascii="Times New Roman" w:hAnsi="Times New Roman" w:cs="Times New Roman"/>
        </w:rPr>
        <w:t xml:space="preserve"> </w:t>
      </w:r>
      <w:proofErr w:type="spellStart"/>
      <w:r w:rsidRPr="004C42D2">
        <w:rPr>
          <w:rStyle w:val="ListParagraphChar"/>
          <w:rFonts w:ascii="Times New Roman" w:hAnsi="Times New Roman" w:cs="Times New Roman"/>
        </w:rPr>
        <w:t>ir</w:t>
      </w:r>
      <w:proofErr w:type="spellEnd"/>
      <w:r w:rsidRPr="004C42D2">
        <w:rPr>
          <w:rStyle w:val="ListParagraphChar"/>
          <w:rFonts w:ascii="Times New Roman" w:hAnsi="Times New Roman" w:cs="Times New Roman"/>
        </w:rPr>
        <w:t xml:space="preserve"> </w:t>
      </w:r>
      <w:proofErr w:type="spellStart"/>
      <w:r w:rsidRPr="004C42D2">
        <w:rPr>
          <w:rStyle w:val="ListParagraphChar"/>
          <w:rFonts w:ascii="Times New Roman" w:hAnsi="Times New Roman" w:cs="Times New Roman"/>
        </w:rPr>
        <w:t>Rajka</w:t>
      </w:r>
      <w:proofErr w:type="spellEnd"/>
      <w:r w:rsidRPr="004C42D2">
        <w:rPr>
          <w:rStyle w:val="ListParagraphChar"/>
          <w:rFonts w:ascii="Times New Roman" w:hAnsi="Times New Roman" w:cs="Times New Roman"/>
        </w:rPr>
        <w:t xml:space="preserve"> </w:t>
      </w:r>
      <w:proofErr w:type="spellStart"/>
      <w:r w:rsidRPr="004C42D2">
        <w:rPr>
          <w:rStyle w:val="ListParagraphChar"/>
          <w:rFonts w:ascii="Times New Roman" w:hAnsi="Times New Roman" w:cs="Times New Roman"/>
        </w:rPr>
        <w:t>kriterijus</w:t>
      </w:r>
      <w:proofErr w:type="spellEnd"/>
      <w:r w:rsidRPr="004C42D2">
        <w:rPr>
          <w:rStyle w:val="ListParagraphChar"/>
          <w:rFonts w:ascii="Times New Roman" w:hAnsi="Times New Roman" w:cs="Times New Roman"/>
        </w:rPr>
        <w:t xml:space="preserve"> </w:t>
      </w:r>
      <w:proofErr w:type="spellStart"/>
      <w:r w:rsidRPr="004C42D2">
        <w:rPr>
          <w:rStyle w:val="ListParagraphChar"/>
          <w:rFonts w:ascii="Times New Roman" w:hAnsi="Times New Roman" w:cs="Times New Roman"/>
        </w:rPr>
        <w:t>ir</w:t>
      </w:r>
      <w:proofErr w:type="spellEnd"/>
      <w:r w:rsidRPr="004C42D2">
        <w:rPr>
          <w:rStyle w:val="ListParagraphChar"/>
          <w:rFonts w:ascii="Times New Roman" w:hAnsi="Times New Roman" w:cs="Times New Roman"/>
        </w:rPr>
        <w:t xml:space="preserve"> </w:t>
      </w:r>
      <w:proofErr w:type="spellStart"/>
      <w:r w:rsidRPr="004C42D2">
        <w:rPr>
          <w:rStyle w:val="ListParagraphChar"/>
          <w:rFonts w:ascii="Times New Roman" w:hAnsi="Times New Roman" w:cs="Times New Roman"/>
        </w:rPr>
        <w:t>kuriems</w:t>
      </w:r>
      <w:proofErr w:type="spellEnd"/>
      <w:r w:rsidRPr="004C42D2">
        <w:rPr>
          <w:rStyle w:val="ListParagraphChar"/>
          <w:rFonts w:ascii="Times New Roman" w:hAnsi="Times New Roman" w:cs="Times New Roman"/>
        </w:rPr>
        <w:t xml:space="preserve"> </w:t>
      </w:r>
      <w:proofErr w:type="spellStart"/>
      <w:r w:rsidRPr="004C42D2">
        <w:rPr>
          <w:rStyle w:val="ListParagraphChar"/>
          <w:rFonts w:ascii="Times New Roman" w:hAnsi="Times New Roman" w:cs="Times New Roman"/>
        </w:rPr>
        <w:t>buvo</w:t>
      </w:r>
      <w:proofErr w:type="spellEnd"/>
      <w:r w:rsidRPr="004C42D2">
        <w:rPr>
          <w:rStyle w:val="ListParagraphChar"/>
          <w:rFonts w:ascii="Times New Roman" w:hAnsi="Times New Roman" w:cs="Times New Roman"/>
        </w:rPr>
        <w:t xml:space="preserve"> </w:t>
      </w:r>
      <w:proofErr w:type="spellStart"/>
      <w:r w:rsidRPr="004C42D2">
        <w:rPr>
          <w:rStyle w:val="ListParagraphChar"/>
          <w:rFonts w:ascii="Times New Roman" w:hAnsi="Times New Roman" w:cs="Times New Roman"/>
        </w:rPr>
        <w:t>galima</w:t>
      </w:r>
      <w:proofErr w:type="spellEnd"/>
      <w:r w:rsidRPr="004C42D2">
        <w:rPr>
          <w:rStyle w:val="ListParagraphChar"/>
          <w:rFonts w:ascii="Times New Roman" w:hAnsi="Times New Roman" w:cs="Times New Roman"/>
        </w:rPr>
        <w:t xml:space="preserve"> </w:t>
      </w:r>
      <w:proofErr w:type="spellStart"/>
      <w:r w:rsidRPr="004C42D2">
        <w:rPr>
          <w:rStyle w:val="ListParagraphChar"/>
          <w:rFonts w:ascii="Times New Roman" w:hAnsi="Times New Roman" w:cs="Times New Roman"/>
        </w:rPr>
        <w:t>skirti</w:t>
      </w:r>
      <w:proofErr w:type="spellEnd"/>
      <w:r w:rsidRPr="004C42D2">
        <w:rPr>
          <w:rStyle w:val="ListParagraphChar"/>
          <w:rFonts w:ascii="Times New Roman" w:hAnsi="Times New Roman" w:cs="Times New Roman"/>
        </w:rPr>
        <w:t xml:space="preserve"> </w:t>
      </w:r>
      <w:proofErr w:type="spellStart"/>
      <w:r w:rsidRPr="004C42D2">
        <w:rPr>
          <w:rStyle w:val="ListParagraphChar"/>
          <w:rFonts w:ascii="Times New Roman" w:hAnsi="Times New Roman" w:cs="Times New Roman"/>
        </w:rPr>
        <w:t>sisteminį</w:t>
      </w:r>
      <w:proofErr w:type="spellEnd"/>
      <w:r w:rsidRPr="004C42D2">
        <w:rPr>
          <w:rStyle w:val="ListParagraphChar"/>
          <w:rFonts w:ascii="Times New Roman" w:hAnsi="Times New Roman" w:cs="Times New Roman"/>
        </w:rPr>
        <w:t xml:space="preserve"> </w:t>
      </w:r>
      <w:proofErr w:type="spellStart"/>
      <w:r w:rsidRPr="004C42D2">
        <w:rPr>
          <w:rStyle w:val="ListParagraphChar"/>
          <w:rFonts w:ascii="Times New Roman" w:hAnsi="Times New Roman" w:cs="Times New Roman"/>
        </w:rPr>
        <w:t>gydymą</w:t>
      </w:r>
      <w:proofErr w:type="spellEnd"/>
      <w:r w:rsidRPr="004C42D2">
        <w:rPr>
          <w:rStyle w:val="ListParagraphChar"/>
          <w:rFonts w:ascii="Times New Roman" w:hAnsi="Times New Roman" w:cs="Times New Roman"/>
        </w:rPr>
        <w:t xml:space="preserve"> (</w:t>
      </w:r>
      <w:proofErr w:type="spellStart"/>
      <w:r w:rsidRPr="004C42D2">
        <w:rPr>
          <w:rStyle w:val="ListParagraphChar"/>
          <w:rFonts w:ascii="Times New Roman" w:hAnsi="Times New Roman" w:cs="Times New Roman"/>
        </w:rPr>
        <w:t>t.y</w:t>
      </w:r>
      <w:proofErr w:type="spellEnd"/>
      <w:r w:rsidRPr="004C42D2">
        <w:rPr>
          <w:rStyle w:val="ListParagraphChar"/>
          <w:rFonts w:ascii="Times New Roman" w:hAnsi="Times New Roman" w:cs="Times New Roman"/>
        </w:rPr>
        <w:t xml:space="preserve"> </w:t>
      </w:r>
      <w:proofErr w:type="spellStart"/>
      <w:r w:rsidRPr="004C42D2">
        <w:rPr>
          <w:rStyle w:val="ListParagraphChar"/>
          <w:rFonts w:ascii="Times New Roman" w:hAnsi="Times New Roman" w:cs="Times New Roman"/>
        </w:rPr>
        <w:t>pacientai</w:t>
      </w:r>
      <w:proofErr w:type="spellEnd"/>
      <w:r w:rsidRPr="004C42D2">
        <w:rPr>
          <w:rStyle w:val="ListParagraphChar"/>
          <w:rFonts w:ascii="Times New Roman" w:hAnsi="Times New Roman" w:cs="Times New Roman"/>
        </w:rPr>
        <w:t xml:space="preserve">, </w:t>
      </w:r>
      <w:proofErr w:type="spellStart"/>
      <w:r w:rsidRPr="004C42D2">
        <w:rPr>
          <w:rStyle w:val="ListParagraphChar"/>
          <w:rFonts w:ascii="Times New Roman" w:hAnsi="Times New Roman" w:cs="Times New Roman"/>
        </w:rPr>
        <w:t>kurių</w:t>
      </w:r>
      <w:proofErr w:type="spellEnd"/>
      <w:r w:rsidRPr="004C42D2">
        <w:rPr>
          <w:rStyle w:val="ListParagraphChar"/>
          <w:rFonts w:ascii="Times New Roman" w:hAnsi="Times New Roman" w:cs="Times New Roman"/>
        </w:rPr>
        <w:t xml:space="preserve"> </w:t>
      </w:r>
      <w:proofErr w:type="spellStart"/>
      <w:r w:rsidRPr="004C42D2">
        <w:rPr>
          <w:rStyle w:val="ListParagraphChar"/>
          <w:rFonts w:ascii="Times New Roman" w:hAnsi="Times New Roman" w:cs="Times New Roman"/>
        </w:rPr>
        <w:t>atsakas</w:t>
      </w:r>
      <w:proofErr w:type="spellEnd"/>
      <w:r w:rsidRPr="004C42D2">
        <w:rPr>
          <w:rStyle w:val="ListParagraphChar"/>
          <w:rFonts w:ascii="Times New Roman" w:hAnsi="Times New Roman" w:cs="Times New Roman"/>
        </w:rPr>
        <w:t xml:space="preserve"> į </w:t>
      </w:r>
      <w:proofErr w:type="spellStart"/>
      <w:r w:rsidRPr="004C42D2">
        <w:rPr>
          <w:rStyle w:val="ListParagraphChar"/>
          <w:rFonts w:ascii="Times New Roman" w:hAnsi="Times New Roman" w:cs="Times New Roman"/>
        </w:rPr>
        <w:t>vietinį</w:t>
      </w:r>
      <w:proofErr w:type="spellEnd"/>
      <w:r w:rsidRPr="004C42D2">
        <w:rPr>
          <w:rStyle w:val="ListParagraphChar"/>
          <w:rFonts w:ascii="Times New Roman" w:hAnsi="Times New Roman" w:cs="Times New Roman"/>
        </w:rPr>
        <w:t xml:space="preserve"> </w:t>
      </w:r>
      <w:proofErr w:type="spellStart"/>
      <w:r w:rsidRPr="004C42D2">
        <w:rPr>
          <w:rStyle w:val="ListParagraphChar"/>
          <w:rFonts w:ascii="Times New Roman" w:hAnsi="Times New Roman" w:cs="Times New Roman"/>
        </w:rPr>
        <w:t>atopinio</w:t>
      </w:r>
      <w:proofErr w:type="spellEnd"/>
      <w:r w:rsidRPr="004C42D2">
        <w:rPr>
          <w:rStyle w:val="ListParagraphChar"/>
          <w:rFonts w:ascii="Times New Roman" w:hAnsi="Times New Roman" w:cs="Times New Roman"/>
        </w:rPr>
        <w:t xml:space="preserve"> </w:t>
      </w:r>
      <w:proofErr w:type="spellStart"/>
      <w:r w:rsidRPr="004C42D2">
        <w:rPr>
          <w:rStyle w:val="ListParagraphChar"/>
          <w:rFonts w:ascii="Times New Roman" w:hAnsi="Times New Roman" w:cs="Times New Roman"/>
        </w:rPr>
        <w:t>dermatito</w:t>
      </w:r>
      <w:proofErr w:type="spellEnd"/>
      <w:r w:rsidRPr="004C42D2">
        <w:rPr>
          <w:rStyle w:val="ListParagraphChar"/>
          <w:rFonts w:ascii="Times New Roman" w:hAnsi="Times New Roman" w:cs="Times New Roman"/>
        </w:rPr>
        <w:t xml:space="preserve"> </w:t>
      </w:r>
      <w:proofErr w:type="spellStart"/>
      <w:r w:rsidRPr="004C42D2">
        <w:rPr>
          <w:rStyle w:val="ListParagraphChar"/>
          <w:rFonts w:ascii="Times New Roman" w:hAnsi="Times New Roman" w:cs="Times New Roman"/>
        </w:rPr>
        <w:t>gydymą</w:t>
      </w:r>
      <w:proofErr w:type="spellEnd"/>
      <w:r w:rsidRPr="004C42D2">
        <w:rPr>
          <w:rStyle w:val="ListParagraphChar"/>
          <w:rFonts w:ascii="Times New Roman" w:hAnsi="Times New Roman" w:cs="Times New Roman"/>
        </w:rPr>
        <w:t xml:space="preserve"> </w:t>
      </w:r>
      <w:proofErr w:type="spellStart"/>
      <w:r w:rsidRPr="004C42D2">
        <w:rPr>
          <w:rStyle w:val="ListParagraphChar"/>
          <w:rFonts w:ascii="Times New Roman" w:hAnsi="Times New Roman" w:cs="Times New Roman"/>
        </w:rPr>
        <w:t>buvo</w:t>
      </w:r>
      <w:proofErr w:type="spellEnd"/>
      <w:r w:rsidRPr="004C42D2">
        <w:rPr>
          <w:rStyle w:val="ListParagraphChar"/>
          <w:rFonts w:ascii="Times New Roman" w:hAnsi="Times New Roman" w:cs="Times New Roman"/>
        </w:rPr>
        <w:t xml:space="preserve"> </w:t>
      </w:r>
      <w:proofErr w:type="spellStart"/>
      <w:r w:rsidRPr="004C42D2">
        <w:rPr>
          <w:rStyle w:val="ListParagraphChar"/>
          <w:rFonts w:ascii="Times New Roman" w:hAnsi="Times New Roman" w:cs="Times New Roman"/>
        </w:rPr>
        <w:t>nepakankamas</w:t>
      </w:r>
      <w:proofErr w:type="spellEnd"/>
      <w:r w:rsidRPr="004C42D2">
        <w:rPr>
          <w:rStyle w:val="ListParagraphChar"/>
          <w:rFonts w:ascii="Times New Roman" w:hAnsi="Times New Roman" w:cs="Times New Roman"/>
        </w:rPr>
        <w:t xml:space="preserve">, </w:t>
      </w:r>
      <w:proofErr w:type="spellStart"/>
      <w:r w:rsidRPr="004C42D2">
        <w:rPr>
          <w:rStyle w:val="ListParagraphChar"/>
          <w:rFonts w:ascii="Times New Roman" w:hAnsi="Times New Roman" w:cs="Times New Roman"/>
        </w:rPr>
        <w:t>kurie</w:t>
      </w:r>
      <w:proofErr w:type="spellEnd"/>
      <w:r w:rsidRPr="004C42D2">
        <w:rPr>
          <w:rStyle w:val="ListParagraphChar"/>
          <w:rFonts w:ascii="Times New Roman" w:hAnsi="Times New Roman" w:cs="Times New Roman"/>
        </w:rPr>
        <w:t xml:space="preserve"> </w:t>
      </w:r>
      <w:proofErr w:type="spellStart"/>
      <w:r w:rsidRPr="004C42D2">
        <w:rPr>
          <w:rStyle w:val="ListParagraphChar"/>
          <w:rFonts w:ascii="Times New Roman" w:hAnsi="Times New Roman" w:cs="Times New Roman"/>
        </w:rPr>
        <w:t>vartojo</w:t>
      </w:r>
      <w:proofErr w:type="spellEnd"/>
      <w:r w:rsidRPr="004C42D2">
        <w:rPr>
          <w:rStyle w:val="ListParagraphChar"/>
          <w:rFonts w:ascii="Times New Roman" w:hAnsi="Times New Roman" w:cs="Times New Roman"/>
        </w:rPr>
        <w:t xml:space="preserve"> </w:t>
      </w:r>
      <w:proofErr w:type="spellStart"/>
      <w:r w:rsidRPr="004C42D2">
        <w:rPr>
          <w:rStyle w:val="ListParagraphChar"/>
          <w:rFonts w:ascii="Times New Roman" w:hAnsi="Times New Roman" w:cs="Times New Roman"/>
        </w:rPr>
        <w:t>sisteminį</w:t>
      </w:r>
      <w:proofErr w:type="spellEnd"/>
      <w:r w:rsidRPr="004C42D2">
        <w:rPr>
          <w:rStyle w:val="ListParagraphChar"/>
          <w:rFonts w:ascii="Times New Roman" w:hAnsi="Times New Roman" w:cs="Times New Roman"/>
        </w:rPr>
        <w:t xml:space="preserve"> </w:t>
      </w:r>
      <w:proofErr w:type="spellStart"/>
      <w:r w:rsidRPr="004C42D2">
        <w:rPr>
          <w:rStyle w:val="ListParagraphChar"/>
          <w:rFonts w:ascii="Times New Roman" w:hAnsi="Times New Roman" w:cs="Times New Roman"/>
        </w:rPr>
        <w:t>atopinio</w:t>
      </w:r>
      <w:proofErr w:type="spellEnd"/>
      <w:r w:rsidRPr="004C42D2">
        <w:rPr>
          <w:rStyle w:val="ListParagraphChar"/>
          <w:rFonts w:ascii="Times New Roman" w:hAnsi="Times New Roman" w:cs="Times New Roman"/>
        </w:rPr>
        <w:t xml:space="preserve"> </w:t>
      </w:r>
      <w:proofErr w:type="spellStart"/>
      <w:r w:rsidRPr="004C42D2">
        <w:rPr>
          <w:rStyle w:val="ListParagraphChar"/>
          <w:rFonts w:ascii="Times New Roman" w:hAnsi="Times New Roman" w:cs="Times New Roman"/>
        </w:rPr>
        <w:t>dermatito</w:t>
      </w:r>
      <w:proofErr w:type="spellEnd"/>
      <w:r w:rsidRPr="004C42D2">
        <w:rPr>
          <w:rStyle w:val="ListParagraphChar"/>
          <w:rFonts w:ascii="Times New Roman" w:hAnsi="Times New Roman" w:cs="Times New Roman"/>
        </w:rPr>
        <w:t xml:space="preserve"> </w:t>
      </w:r>
      <w:proofErr w:type="spellStart"/>
      <w:r w:rsidRPr="004C42D2">
        <w:rPr>
          <w:rStyle w:val="ListParagraphChar"/>
          <w:rFonts w:ascii="Times New Roman" w:hAnsi="Times New Roman" w:cs="Times New Roman"/>
        </w:rPr>
        <w:t>gydymą</w:t>
      </w:r>
      <w:proofErr w:type="spellEnd"/>
      <w:r w:rsidRPr="004C42D2">
        <w:rPr>
          <w:rStyle w:val="ListParagraphChar"/>
          <w:rFonts w:ascii="Times New Roman" w:hAnsi="Times New Roman" w:cs="Times New Roman"/>
        </w:rPr>
        <w:t xml:space="preserve">, </w:t>
      </w:r>
      <w:proofErr w:type="spellStart"/>
      <w:r w:rsidRPr="004C42D2">
        <w:rPr>
          <w:rStyle w:val="ListParagraphChar"/>
          <w:rFonts w:ascii="Times New Roman" w:hAnsi="Times New Roman" w:cs="Times New Roman"/>
        </w:rPr>
        <w:t>arba</w:t>
      </w:r>
      <w:proofErr w:type="spellEnd"/>
      <w:r w:rsidRPr="004C42D2">
        <w:rPr>
          <w:rStyle w:val="ListParagraphChar"/>
          <w:rFonts w:ascii="Times New Roman" w:hAnsi="Times New Roman" w:cs="Times New Roman"/>
        </w:rPr>
        <w:t xml:space="preserve"> tie, </w:t>
      </w:r>
      <w:proofErr w:type="spellStart"/>
      <w:r w:rsidRPr="004C42D2">
        <w:rPr>
          <w:rStyle w:val="ListParagraphChar"/>
          <w:rFonts w:ascii="Times New Roman" w:hAnsi="Times New Roman" w:cs="Times New Roman"/>
        </w:rPr>
        <w:t>kuriems</w:t>
      </w:r>
      <w:proofErr w:type="spellEnd"/>
      <w:r w:rsidRPr="004C42D2">
        <w:rPr>
          <w:rStyle w:val="ListParagraphChar"/>
          <w:rFonts w:ascii="Times New Roman" w:hAnsi="Times New Roman" w:cs="Times New Roman"/>
        </w:rPr>
        <w:t xml:space="preserve"> </w:t>
      </w:r>
      <w:proofErr w:type="spellStart"/>
      <w:r w:rsidRPr="004C42D2">
        <w:rPr>
          <w:rStyle w:val="ListParagraphChar"/>
          <w:rFonts w:ascii="Times New Roman" w:hAnsi="Times New Roman" w:cs="Times New Roman"/>
        </w:rPr>
        <w:t>vietinis</w:t>
      </w:r>
      <w:proofErr w:type="spellEnd"/>
      <w:r w:rsidRPr="004C42D2">
        <w:rPr>
          <w:rStyle w:val="ListParagraphChar"/>
          <w:rFonts w:ascii="Times New Roman" w:hAnsi="Times New Roman" w:cs="Times New Roman"/>
        </w:rPr>
        <w:t xml:space="preserve"> </w:t>
      </w:r>
      <w:proofErr w:type="spellStart"/>
      <w:r w:rsidRPr="004C42D2">
        <w:rPr>
          <w:rStyle w:val="ListParagraphChar"/>
          <w:rFonts w:ascii="Times New Roman" w:hAnsi="Times New Roman" w:cs="Times New Roman"/>
        </w:rPr>
        <w:t>gydymas</w:t>
      </w:r>
      <w:proofErr w:type="spellEnd"/>
      <w:r w:rsidRPr="004C42D2">
        <w:rPr>
          <w:rStyle w:val="ListParagraphChar"/>
          <w:rFonts w:ascii="Times New Roman" w:hAnsi="Times New Roman" w:cs="Times New Roman"/>
        </w:rPr>
        <w:t xml:space="preserve"> </w:t>
      </w:r>
      <w:proofErr w:type="spellStart"/>
      <w:r w:rsidRPr="004C42D2">
        <w:rPr>
          <w:rStyle w:val="ListParagraphChar"/>
          <w:rFonts w:ascii="Times New Roman" w:hAnsi="Times New Roman" w:cs="Times New Roman"/>
        </w:rPr>
        <w:t>yra</w:t>
      </w:r>
      <w:proofErr w:type="spellEnd"/>
      <w:r w:rsidRPr="004C42D2">
        <w:rPr>
          <w:rStyle w:val="ListParagraphChar"/>
          <w:rFonts w:ascii="Times New Roman" w:hAnsi="Times New Roman" w:cs="Times New Roman"/>
        </w:rPr>
        <w:t xml:space="preserve"> </w:t>
      </w:r>
      <w:proofErr w:type="spellStart"/>
      <w:r w:rsidRPr="004C42D2">
        <w:rPr>
          <w:rStyle w:val="ListParagraphChar"/>
          <w:rFonts w:ascii="Times New Roman" w:hAnsi="Times New Roman" w:cs="Times New Roman"/>
        </w:rPr>
        <w:t>nerekomenduojamas</w:t>
      </w:r>
      <w:proofErr w:type="spellEnd"/>
      <w:r w:rsidRPr="004C42D2">
        <w:rPr>
          <w:rStyle w:val="ListParagraphChar"/>
          <w:rFonts w:ascii="Times New Roman" w:hAnsi="Times New Roman" w:cs="Times New Roman"/>
        </w:rPr>
        <w:t xml:space="preserve">) </w:t>
      </w:r>
      <w:proofErr w:type="spellStart"/>
      <w:r w:rsidRPr="004C42D2">
        <w:rPr>
          <w:rStyle w:val="ListParagraphChar"/>
          <w:rFonts w:ascii="Times New Roman" w:hAnsi="Times New Roman" w:cs="Times New Roman"/>
        </w:rPr>
        <w:t>ir</w:t>
      </w:r>
      <w:proofErr w:type="spellEnd"/>
      <w:r w:rsidRPr="004C42D2">
        <w:rPr>
          <w:rStyle w:val="ListParagraphChar"/>
          <w:rFonts w:ascii="Times New Roman" w:hAnsi="Times New Roman" w:cs="Times New Roman"/>
        </w:rPr>
        <w:t xml:space="preserve"> </w:t>
      </w:r>
      <w:proofErr w:type="spellStart"/>
      <w:r w:rsidRPr="004C42D2">
        <w:rPr>
          <w:rStyle w:val="ListParagraphChar"/>
          <w:rFonts w:ascii="Times New Roman" w:hAnsi="Times New Roman" w:cs="Times New Roman"/>
        </w:rPr>
        <w:t>kurie</w:t>
      </w:r>
      <w:proofErr w:type="spellEnd"/>
      <w:r w:rsidRPr="004C42D2">
        <w:rPr>
          <w:rStyle w:val="ListParagraphChar"/>
          <w:rFonts w:ascii="Times New Roman" w:hAnsi="Times New Roman" w:cs="Times New Roman"/>
        </w:rPr>
        <w:t xml:space="preserve"> </w:t>
      </w:r>
      <w:proofErr w:type="spellStart"/>
      <w:r w:rsidRPr="004C42D2">
        <w:rPr>
          <w:rStyle w:val="ListParagraphChar"/>
          <w:rFonts w:ascii="Times New Roman" w:hAnsi="Times New Roman" w:cs="Times New Roman"/>
        </w:rPr>
        <w:t>sirgo</w:t>
      </w:r>
      <w:proofErr w:type="spellEnd"/>
      <w:r w:rsidRPr="004C42D2">
        <w:rPr>
          <w:rStyle w:val="ListParagraphChar"/>
          <w:rFonts w:ascii="Times New Roman" w:hAnsi="Times New Roman" w:cs="Times New Roman"/>
        </w:rPr>
        <w:t xml:space="preserve"> </w:t>
      </w:r>
      <w:proofErr w:type="spellStart"/>
      <w:r w:rsidRPr="004C42D2">
        <w:rPr>
          <w:rStyle w:val="ListParagraphChar"/>
          <w:rFonts w:ascii="Times New Roman" w:hAnsi="Times New Roman" w:cs="Times New Roman"/>
        </w:rPr>
        <w:t>vidutinio</w:t>
      </w:r>
      <w:proofErr w:type="spellEnd"/>
      <w:r w:rsidRPr="004C42D2">
        <w:rPr>
          <w:rStyle w:val="ListParagraphChar"/>
          <w:rFonts w:ascii="Times New Roman" w:hAnsi="Times New Roman" w:cs="Times New Roman"/>
        </w:rPr>
        <w:t xml:space="preserve"> </w:t>
      </w:r>
      <w:proofErr w:type="spellStart"/>
      <w:r w:rsidRPr="004C42D2">
        <w:rPr>
          <w:rStyle w:val="ListParagraphChar"/>
          <w:rFonts w:ascii="Times New Roman" w:hAnsi="Times New Roman" w:cs="Times New Roman"/>
        </w:rPr>
        <w:t>sunkumo</w:t>
      </w:r>
      <w:proofErr w:type="spellEnd"/>
      <w:r w:rsidRPr="004C42D2">
        <w:rPr>
          <w:rStyle w:val="ListParagraphChar"/>
          <w:rFonts w:ascii="Times New Roman" w:hAnsi="Times New Roman" w:cs="Times New Roman"/>
        </w:rPr>
        <w:t xml:space="preserve"> </w:t>
      </w:r>
      <w:proofErr w:type="spellStart"/>
      <w:r w:rsidRPr="004C42D2">
        <w:rPr>
          <w:rStyle w:val="ListParagraphChar"/>
          <w:rFonts w:ascii="Times New Roman" w:hAnsi="Times New Roman" w:cs="Times New Roman"/>
        </w:rPr>
        <w:t>ar</w:t>
      </w:r>
      <w:proofErr w:type="spellEnd"/>
      <w:r w:rsidRPr="004C42D2">
        <w:rPr>
          <w:rStyle w:val="ListParagraphChar"/>
          <w:rFonts w:ascii="Times New Roman" w:hAnsi="Times New Roman" w:cs="Times New Roman"/>
        </w:rPr>
        <w:t xml:space="preserve"> </w:t>
      </w:r>
      <w:proofErr w:type="spellStart"/>
      <w:r w:rsidRPr="004C42D2">
        <w:rPr>
          <w:rStyle w:val="ListParagraphChar"/>
          <w:rFonts w:ascii="Times New Roman" w:hAnsi="Times New Roman" w:cs="Times New Roman"/>
        </w:rPr>
        <w:t>sunkia</w:t>
      </w:r>
      <w:proofErr w:type="spellEnd"/>
      <w:r w:rsidRPr="004C42D2">
        <w:rPr>
          <w:rStyle w:val="ListParagraphChar"/>
          <w:rFonts w:ascii="Times New Roman" w:hAnsi="Times New Roman" w:cs="Times New Roman"/>
        </w:rPr>
        <w:t xml:space="preserve"> </w:t>
      </w:r>
      <w:proofErr w:type="spellStart"/>
      <w:r w:rsidRPr="004C42D2">
        <w:rPr>
          <w:rStyle w:val="ListParagraphChar"/>
          <w:rFonts w:ascii="Times New Roman" w:hAnsi="Times New Roman" w:cs="Times New Roman"/>
        </w:rPr>
        <w:t>liga</w:t>
      </w:r>
      <w:proofErr w:type="spellEnd"/>
      <w:r w:rsidRPr="004C42D2">
        <w:rPr>
          <w:rStyle w:val="ListParagraphChar"/>
          <w:rFonts w:ascii="Times New Roman" w:hAnsi="Times New Roman" w:cs="Times New Roman"/>
        </w:rPr>
        <w:t xml:space="preserve"> (≥10 % </w:t>
      </w:r>
      <w:proofErr w:type="spellStart"/>
      <w:r w:rsidRPr="004C42D2">
        <w:rPr>
          <w:rStyle w:val="ListParagraphChar"/>
          <w:rFonts w:ascii="Times New Roman" w:hAnsi="Times New Roman" w:cs="Times New Roman"/>
        </w:rPr>
        <w:t>kūno</w:t>
      </w:r>
      <w:proofErr w:type="spellEnd"/>
      <w:r w:rsidRPr="004C42D2">
        <w:rPr>
          <w:rStyle w:val="ListParagraphChar"/>
          <w:rFonts w:ascii="Times New Roman" w:hAnsi="Times New Roman" w:cs="Times New Roman"/>
        </w:rPr>
        <w:t xml:space="preserve"> </w:t>
      </w:r>
      <w:proofErr w:type="spellStart"/>
      <w:r w:rsidRPr="004C42D2">
        <w:rPr>
          <w:rStyle w:val="ListParagraphChar"/>
          <w:rFonts w:ascii="Times New Roman" w:hAnsi="Times New Roman" w:cs="Times New Roman"/>
        </w:rPr>
        <w:t>paviršiaus</w:t>
      </w:r>
      <w:proofErr w:type="spellEnd"/>
      <w:r w:rsidRPr="004C42D2">
        <w:rPr>
          <w:rStyle w:val="ListParagraphChar"/>
          <w:rFonts w:ascii="Times New Roman" w:hAnsi="Times New Roman" w:cs="Times New Roman"/>
        </w:rPr>
        <w:t xml:space="preserve"> </w:t>
      </w:r>
      <w:proofErr w:type="spellStart"/>
      <w:r w:rsidRPr="004C42D2">
        <w:rPr>
          <w:rStyle w:val="ListParagraphChar"/>
          <w:rFonts w:ascii="Times New Roman" w:hAnsi="Times New Roman" w:cs="Times New Roman"/>
        </w:rPr>
        <w:t>ploto</w:t>
      </w:r>
      <w:proofErr w:type="spellEnd"/>
      <w:r w:rsidRPr="004C42D2">
        <w:rPr>
          <w:rStyle w:val="ListParagraphChar"/>
          <w:rFonts w:ascii="Times New Roman" w:hAnsi="Times New Roman" w:cs="Times New Roman"/>
        </w:rPr>
        <w:t xml:space="preserve">, </w:t>
      </w:r>
      <w:proofErr w:type="spellStart"/>
      <w:r w:rsidRPr="004C42D2">
        <w:rPr>
          <w:rStyle w:val="ListParagraphChar"/>
          <w:rFonts w:ascii="Times New Roman" w:hAnsi="Times New Roman" w:cs="Times New Roman"/>
        </w:rPr>
        <w:t>paveikto</w:t>
      </w:r>
      <w:proofErr w:type="spellEnd"/>
      <w:r w:rsidRPr="004C42D2">
        <w:rPr>
          <w:rStyle w:val="ListParagraphChar"/>
          <w:rFonts w:ascii="Times New Roman" w:hAnsi="Times New Roman" w:cs="Times New Roman"/>
        </w:rPr>
        <w:t xml:space="preserve"> </w:t>
      </w:r>
      <w:proofErr w:type="spellStart"/>
      <w:r w:rsidRPr="004C42D2">
        <w:rPr>
          <w:rStyle w:val="ListParagraphChar"/>
          <w:rFonts w:ascii="Times New Roman" w:hAnsi="Times New Roman" w:cs="Times New Roman"/>
        </w:rPr>
        <w:t>atopinio</w:t>
      </w:r>
      <w:proofErr w:type="spellEnd"/>
      <w:r w:rsidRPr="004C42D2">
        <w:rPr>
          <w:rStyle w:val="ListParagraphChar"/>
          <w:rFonts w:ascii="Times New Roman" w:hAnsi="Times New Roman" w:cs="Times New Roman"/>
        </w:rPr>
        <w:t xml:space="preserve"> </w:t>
      </w:r>
      <w:proofErr w:type="spellStart"/>
      <w:r w:rsidRPr="004C42D2">
        <w:rPr>
          <w:rStyle w:val="ListParagraphChar"/>
          <w:rFonts w:ascii="Times New Roman" w:hAnsi="Times New Roman" w:cs="Times New Roman"/>
        </w:rPr>
        <w:t>dermatito</w:t>
      </w:r>
      <w:proofErr w:type="spellEnd"/>
      <w:r w:rsidRPr="004C42D2">
        <w:rPr>
          <w:rStyle w:val="ListParagraphChar"/>
          <w:rFonts w:ascii="Times New Roman" w:hAnsi="Times New Roman" w:cs="Times New Roman"/>
        </w:rPr>
        <w:t xml:space="preserve">, </w:t>
      </w:r>
      <w:proofErr w:type="spellStart"/>
      <w:r w:rsidRPr="004C42D2">
        <w:rPr>
          <w:rStyle w:val="ListParagraphChar"/>
          <w:rFonts w:ascii="Times New Roman" w:hAnsi="Times New Roman" w:cs="Times New Roman"/>
        </w:rPr>
        <w:t>egzemos</w:t>
      </w:r>
      <w:proofErr w:type="spellEnd"/>
      <w:r w:rsidRPr="004C42D2">
        <w:rPr>
          <w:rStyle w:val="ListParagraphChar"/>
          <w:rFonts w:ascii="Times New Roman" w:hAnsi="Times New Roman" w:cs="Times New Roman"/>
        </w:rPr>
        <w:t xml:space="preserve"> </w:t>
      </w:r>
      <w:proofErr w:type="spellStart"/>
      <w:r w:rsidRPr="004C42D2">
        <w:rPr>
          <w:rStyle w:val="ListParagraphChar"/>
          <w:rFonts w:ascii="Times New Roman" w:hAnsi="Times New Roman" w:cs="Times New Roman"/>
        </w:rPr>
        <w:t>ploto</w:t>
      </w:r>
      <w:proofErr w:type="spellEnd"/>
      <w:r w:rsidRPr="004C42D2">
        <w:rPr>
          <w:rStyle w:val="ListParagraphChar"/>
          <w:rFonts w:ascii="Times New Roman" w:hAnsi="Times New Roman" w:cs="Times New Roman"/>
        </w:rPr>
        <w:t xml:space="preserve"> </w:t>
      </w:r>
      <w:proofErr w:type="spellStart"/>
      <w:r w:rsidRPr="004C42D2">
        <w:rPr>
          <w:rStyle w:val="ListParagraphChar"/>
          <w:rFonts w:ascii="Times New Roman" w:hAnsi="Times New Roman" w:cs="Times New Roman"/>
        </w:rPr>
        <w:t>ir</w:t>
      </w:r>
      <w:proofErr w:type="spellEnd"/>
      <w:r w:rsidRPr="004C42D2">
        <w:rPr>
          <w:rStyle w:val="ListParagraphChar"/>
          <w:rFonts w:ascii="Times New Roman" w:hAnsi="Times New Roman" w:cs="Times New Roman"/>
        </w:rPr>
        <w:t xml:space="preserve"> </w:t>
      </w:r>
      <w:proofErr w:type="spellStart"/>
      <w:r w:rsidRPr="004C42D2">
        <w:rPr>
          <w:rStyle w:val="ListParagraphChar"/>
          <w:rFonts w:ascii="Times New Roman" w:hAnsi="Times New Roman" w:cs="Times New Roman"/>
        </w:rPr>
        <w:t>sunkumo</w:t>
      </w:r>
      <w:proofErr w:type="spellEnd"/>
      <w:r w:rsidRPr="004C42D2">
        <w:rPr>
          <w:rStyle w:val="ListParagraphChar"/>
          <w:rFonts w:ascii="Times New Roman" w:hAnsi="Times New Roman" w:cs="Times New Roman"/>
        </w:rPr>
        <w:t xml:space="preserve"> </w:t>
      </w:r>
      <w:proofErr w:type="spellStart"/>
      <w:r w:rsidRPr="004C42D2">
        <w:rPr>
          <w:rStyle w:val="ListParagraphChar"/>
          <w:rFonts w:ascii="Times New Roman" w:hAnsi="Times New Roman" w:cs="Times New Roman"/>
        </w:rPr>
        <w:t>indekso</w:t>
      </w:r>
      <w:proofErr w:type="spellEnd"/>
      <w:r w:rsidRPr="004C42D2">
        <w:rPr>
          <w:rStyle w:val="ListParagraphChar"/>
          <w:rFonts w:ascii="Times New Roman" w:hAnsi="Times New Roman" w:cs="Times New Roman"/>
        </w:rPr>
        <w:t xml:space="preserve"> [EASI] ≥16 </w:t>
      </w:r>
      <w:proofErr w:type="spellStart"/>
      <w:r w:rsidRPr="004C42D2">
        <w:rPr>
          <w:rStyle w:val="ListParagraphChar"/>
          <w:rFonts w:ascii="Times New Roman" w:hAnsi="Times New Roman" w:cs="Times New Roman"/>
        </w:rPr>
        <w:t>balų</w:t>
      </w:r>
      <w:proofErr w:type="spellEnd"/>
      <w:r w:rsidRPr="004C42D2">
        <w:rPr>
          <w:rStyle w:val="ListParagraphChar"/>
          <w:rFonts w:ascii="Times New Roman" w:hAnsi="Times New Roman" w:cs="Times New Roman"/>
        </w:rPr>
        <w:t xml:space="preserve">, </w:t>
      </w:r>
      <w:proofErr w:type="spellStart"/>
      <w:r w:rsidRPr="004C42D2">
        <w:rPr>
          <w:rStyle w:val="ListParagraphChar"/>
          <w:rFonts w:ascii="Times New Roman" w:hAnsi="Times New Roman" w:cs="Times New Roman"/>
        </w:rPr>
        <w:t>patvirtintas</w:t>
      </w:r>
      <w:proofErr w:type="spellEnd"/>
      <w:r w:rsidRPr="004C42D2">
        <w:rPr>
          <w:rStyle w:val="ListParagraphChar"/>
          <w:rFonts w:ascii="Times New Roman" w:hAnsi="Times New Roman" w:cs="Times New Roman"/>
        </w:rPr>
        <w:t xml:space="preserve"> </w:t>
      </w:r>
      <w:proofErr w:type="spellStart"/>
      <w:r w:rsidRPr="004C42D2">
        <w:rPr>
          <w:rStyle w:val="ListParagraphChar"/>
          <w:rFonts w:ascii="Times New Roman" w:hAnsi="Times New Roman" w:cs="Times New Roman"/>
        </w:rPr>
        <w:t>tyrėjo</w:t>
      </w:r>
      <w:proofErr w:type="spellEnd"/>
      <w:r w:rsidRPr="004C42D2">
        <w:rPr>
          <w:rStyle w:val="ListParagraphChar"/>
          <w:rFonts w:ascii="Times New Roman" w:hAnsi="Times New Roman" w:cs="Times New Roman"/>
        </w:rPr>
        <w:t xml:space="preserve"> </w:t>
      </w:r>
      <w:proofErr w:type="spellStart"/>
      <w:r w:rsidRPr="004C42D2">
        <w:rPr>
          <w:rStyle w:val="ListParagraphChar"/>
          <w:rFonts w:ascii="Times New Roman" w:hAnsi="Times New Roman" w:cs="Times New Roman"/>
        </w:rPr>
        <w:t>visuotinis</w:t>
      </w:r>
      <w:proofErr w:type="spellEnd"/>
      <w:r w:rsidRPr="004C42D2">
        <w:rPr>
          <w:rStyle w:val="ListParagraphChar"/>
          <w:rFonts w:ascii="Times New Roman" w:hAnsi="Times New Roman" w:cs="Times New Roman"/>
        </w:rPr>
        <w:t xml:space="preserve"> </w:t>
      </w:r>
      <w:proofErr w:type="spellStart"/>
      <w:r w:rsidRPr="004C42D2">
        <w:rPr>
          <w:rStyle w:val="ListParagraphChar"/>
          <w:rFonts w:ascii="Times New Roman" w:hAnsi="Times New Roman" w:cs="Times New Roman"/>
        </w:rPr>
        <w:t>atopinio</w:t>
      </w:r>
      <w:proofErr w:type="spellEnd"/>
      <w:r w:rsidRPr="004C42D2">
        <w:rPr>
          <w:rStyle w:val="ListParagraphChar"/>
          <w:rFonts w:ascii="Times New Roman" w:hAnsi="Times New Roman" w:cs="Times New Roman"/>
        </w:rPr>
        <w:t xml:space="preserve"> </w:t>
      </w:r>
      <w:proofErr w:type="spellStart"/>
      <w:r w:rsidRPr="004C42D2">
        <w:rPr>
          <w:rStyle w:val="ListParagraphChar"/>
          <w:rFonts w:ascii="Times New Roman" w:hAnsi="Times New Roman" w:cs="Times New Roman"/>
        </w:rPr>
        <w:t>dermatito</w:t>
      </w:r>
      <w:proofErr w:type="spellEnd"/>
      <w:r w:rsidRPr="004C42D2">
        <w:rPr>
          <w:rStyle w:val="ListParagraphChar"/>
          <w:rFonts w:ascii="Times New Roman" w:hAnsi="Times New Roman" w:cs="Times New Roman"/>
        </w:rPr>
        <w:t xml:space="preserve"> </w:t>
      </w:r>
      <w:proofErr w:type="spellStart"/>
      <w:r w:rsidRPr="004C42D2">
        <w:rPr>
          <w:rStyle w:val="ListParagraphChar"/>
          <w:rFonts w:ascii="Times New Roman" w:hAnsi="Times New Roman" w:cs="Times New Roman"/>
        </w:rPr>
        <w:t>įvertinimas</w:t>
      </w:r>
      <w:proofErr w:type="spellEnd"/>
      <w:r w:rsidRPr="004C42D2">
        <w:rPr>
          <w:rStyle w:val="ListParagraphChar"/>
          <w:rFonts w:ascii="Times New Roman" w:hAnsi="Times New Roman" w:cs="Times New Roman"/>
        </w:rPr>
        <w:t xml:space="preserve"> [</w:t>
      </w:r>
      <w:proofErr w:type="spellStart"/>
      <w:r w:rsidRPr="004C42D2">
        <w:rPr>
          <w:rStyle w:val="ListParagraphChar"/>
          <w:rFonts w:ascii="Times New Roman" w:hAnsi="Times New Roman" w:cs="Times New Roman"/>
        </w:rPr>
        <w:t>vIGA</w:t>
      </w:r>
      <w:proofErr w:type="spellEnd"/>
      <w:r w:rsidRPr="004C42D2">
        <w:rPr>
          <w:rStyle w:val="ListParagraphChar"/>
          <w:rFonts w:ascii="Times New Roman" w:hAnsi="Times New Roman" w:cs="Times New Roman"/>
        </w:rPr>
        <w:t xml:space="preserve">-AD] ≥3 </w:t>
      </w:r>
      <w:proofErr w:type="spellStart"/>
      <w:r w:rsidRPr="004C42D2">
        <w:rPr>
          <w:rStyle w:val="ListParagraphChar"/>
          <w:rFonts w:ascii="Times New Roman" w:hAnsi="Times New Roman" w:cs="Times New Roman"/>
        </w:rPr>
        <w:t>balai</w:t>
      </w:r>
      <w:proofErr w:type="spellEnd"/>
      <w:r w:rsidRPr="004C42D2">
        <w:rPr>
          <w:rStyle w:val="ListParagraphChar"/>
          <w:rFonts w:ascii="Times New Roman" w:hAnsi="Times New Roman" w:cs="Times New Roman"/>
        </w:rPr>
        <w:t xml:space="preserve"> </w:t>
      </w:r>
      <w:proofErr w:type="spellStart"/>
      <w:r w:rsidRPr="004C42D2">
        <w:rPr>
          <w:rStyle w:val="ListParagraphChar"/>
          <w:rFonts w:ascii="Times New Roman" w:hAnsi="Times New Roman" w:cs="Times New Roman"/>
        </w:rPr>
        <w:t>ir</w:t>
      </w:r>
      <w:proofErr w:type="spellEnd"/>
      <w:r w:rsidRPr="004C42D2">
        <w:rPr>
          <w:rStyle w:val="ListParagraphChar"/>
          <w:rFonts w:ascii="Times New Roman" w:hAnsi="Times New Roman" w:cs="Times New Roman"/>
        </w:rPr>
        <w:t xml:space="preserve"> </w:t>
      </w:r>
      <w:proofErr w:type="spellStart"/>
      <w:r w:rsidRPr="004C42D2">
        <w:rPr>
          <w:rFonts w:ascii="Times New Roman" w:hAnsi="Times New Roman" w:cs="Times New Roman"/>
          <w:color w:val="000000"/>
          <w:sz w:val="24"/>
          <w:szCs w:val="24"/>
          <w:shd w:val="clear" w:color="auto" w:fill="FFFFFF"/>
        </w:rPr>
        <w:t>blogiausio</w:t>
      </w:r>
      <w:proofErr w:type="spellEnd"/>
      <w:r w:rsidRPr="004C42D2">
        <w:rPr>
          <w:rFonts w:ascii="Times New Roman" w:hAnsi="Times New Roman" w:cs="Times New Roman"/>
          <w:color w:val="000000"/>
          <w:sz w:val="24"/>
          <w:szCs w:val="24"/>
          <w:shd w:val="clear" w:color="auto" w:fill="FFFFFF"/>
        </w:rPr>
        <w:t xml:space="preserve"> </w:t>
      </w:r>
      <w:proofErr w:type="spellStart"/>
      <w:r w:rsidRPr="004C42D2">
        <w:rPr>
          <w:rFonts w:ascii="Times New Roman" w:hAnsi="Times New Roman" w:cs="Times New Roman"/>
          <w:color w:val="000000"/>
          <w:sz w:val="24"/>
          <w:szCs w:val="24"/>
          <w:shd w:val="clear" w:color="auto" w:fill="FFFFFF"/>
        </w:rPr>
        <w:t>niežulio</w:t>
      </w:r>
      <w:proofErr w:type="spellEnd"/>
      <w:r w:rsidRPr="004C42D2">
        <w:rPr>
          <w:rFonts w:ascii="Times New Roman" w:hAnsi="Times New Roman" w:cs="Times New Roman"/>
          <w:color w:val="000000"/>
          <w:sz w:val="24"/>
          <w:szCs w:val="24"/>
          <w:shd w:val="clear" w:color="auto" w:fill="FFFFFF"/>
        </w:rPr>
        <w:t xml:space="preserve"> </w:t>
      </w:r>
      <w:proofErr w:type="spellStart"/>
      <w:r w:rsidRPr="004C42D2">
        <w:rPr>
          <w:rFonts w:ascii="Times New Roman" w:hAnsi="Times New Roman" w:cs="Times New Roman"/>
          <w:color w:val="000000"/>
          <w:sz w:val="24"/>
          <w:szCs w:val="24"/>
          <w:shd w:val="clear" w:color="auto" w:fill="FFFFFF"/>
        </w:rPr>
        <w:t>įvertinimas</w:t>
      </w:r>
      <w:proofErr w:type="spellEnd"/>
      <w:r w:rsidRPr="004C42D2">
        <w:rPr>
          <w:rFonts w:ascii="Times New Roman" w:hAnsi="Times New Roman" w:cs="Times New Roman"/>
          <w:color w:val="000000"/>
          <w:sz w:val="24"/>
          <w:szCs w:val="24"/>
          <w:shd w:val="clear" w:color="auto" w:fill="FFFFFF"/>
        </w:rPr>
        <w:t xml:space="preserve"> [WP-NRS] </w:t>
      </w:r>
      <w:proofErr w:type="spellStart"/>
      <w:r w:rsidRPr="004C42D2">
        <w:rPr>
          <w:rFonts w:ascii="Times New Roman" w:hAnsi="Times New Roman" w:cs="Times New Roman"/>
          <w:color w:val="000000"/>
          <w:sz w:val="24"/>
          <w:szCs w:val="24"/>
          <w:shd w:val="clear" w:color="auto" w:fill="FFFFFF"/>
        </w:rPr>
        <w:t>balas</w:t>
      </w:r>
      <w:proofErr w:type="spellEnd"/>
      <w:r w:rsidRPr="004C42D2">
        <w:rPr>
          <w:rStyle w:val="ListParagraphChar"/>
          <w:rFonts w:ascii="Times New Roman" w:hAnsi="Times New Roman" w:cs="Times New Roman"/>
        </w:rPr>
        <w:t xml:space="preserve"> ≥4). </w:t>
      </w:r>
      <w:proofErr w:type="spellStart"/>
      <w:r w:rsidRPr="004C42D2">
        <w:rPr>
          <w:rStyle w:val="ListParagraphChar"/>
          <w:rFonts w:ascii="Times New Roman" w:hAnsi="Times New Roman" w:cs="Times New Roman"/>
        </w:rPr>
        <w:t>Pacientai</w:t>
      </w:r>
      <w:proofErr w:type="spellEnd"/>
      <w:r w:rsidRPr="004C42D2">
        <w:rPr>
          <w:rStyle w:val="ListParagraphChar"/>
          <w:rFonts w:ascii="Times New Roman" w:hAnsi="Times New Roman" w:cs="Times New Roman"/>
        </w:rPr>
        <w:t xml:space="preserve"> </w:t>
      </w:r>
      <w:proofErr w:type="spellStart"/>
      <w:r w:rsidRPr="004C42D2">
        <w:rPr>
          <w:rStyle w:val="ListParagraphChar"/>
          <w:rFonts w:ascii="Times New Roman" w:hAnsi="Times New Roman" w:cs="Times New Roman"/>
        </w:rPr>
        <w:t>atsitiktinai</w:t>
      </w:r>
      <w:proofErr w:type="spellEnd"/>
      <w:r w:rsidRPr="004C42D2">
        <w:rPr>
          <w:rStyle w:val="ListParagraphChar"/>
          <w:rFonts w:ascii="Times New Roman" w:hAnsi="Times New Roman" w:cs="Times New Roman"/>
        </w:rPr>
        <w:t xml:space="preserve"> </w:t>
      </w:r>
      <w:proofErr w:type="spellStart"/>
      <w:r w:rsidRPr="004C42D2">
        <w:rPr>
          <w:rStyle w:val="ListParagraphChar"/>
          <w:rFonts w:ascii="Times New Roman" w:hAnsi="Times New Roman" w:cs="Times New Roman"/>
        </w:rPr>
        <w:t>suskirstyti</w:t>
      </w:r>
      <w:proofErr w:type="spellEnd"/>
      <w:r w:rsidRPr="004C42D2">
        <w:rPr>
          <w:rStyle w:val="ListParagraphChar"/>
          <w:rFonts w:ascii="Times New Roman" w:hAnsi="Times New Roman" w:cs="Times New Roman"/>
        </w:rPr>
        <w:t xml:space="preserve"> </w:t>
      </w:r>
      <w:proofErr w:type="spellStart"/>
      <w:r w:rsidRPr="004C42D2">
        <w:rPr>
          <w:rStyle w:val="ListParagraphChar"/>
          <w:rFonts w:ascii="Times New Roman" w:hAnsi="Times New Roman" w:cs="Times New Roman"/>
        </w:rPr>
        <w:t>santykiu</w:t>
      </w:r>
      <w:proofErr w:type="spellEnd"/>
      <w:r w:rsidRPr="004C42D2">
        <w:rPr>
          <w:rStyle w:val="ListParagraphChar"/>
          <w:rFonts w:ascii="Times New Roman" w:hAnsi="Times New Roman" w:cs="Times New Roman"/>
        </w:rPr>
        <w:t xml:space="preserve"> 1:1:1, </w:t>
      </w:r>
      <w:proofErr w:type="spellStart"/>
      <w:r w:rsidRPr="004C42D2">
        <w:rPr>
          <w:rStyle w:val="ListParagraphChar"/>
          <w:rFonts w:ascii="Times New Roman" w:hAnsi="Times New Roman" w:cs="Times New Roman"/>
        </w:rPr>
        <w:t>naudojant</w:t>
      </w:r>
      <w:proofErr w:type="spellEnd"/>
      <w:r w:rsidRPr="004C42D2">
        <w:rPr>
          <w:rStyle w:val="ListParagraphChar"/>
          <w:rFonts w:ascii="Times New Roman" w:hAnsi="Times New Roman" w:cs="Times New Roman"/>
        </w:rPr>
        <w:t xml:space="preserve"> </w:t>
      </w:r>
      <w:proofErr w:type="spellStart"/>
      <w:r w:rsidRPr="004C42D2">
        <w:rPr>
          <w:rStyle w:val="ListParagraphChar"/>
          <w:rFonts w:ascii="Times New Roman" w:hAnsi="Times New Roman" w:cs="Times New Roman"/>
        </w:rPr>
        <w:t>interaktyvaus</w:t>
      </w:r>
      <w:proofErr w:type="spellEnd"/>
      <w:r w:rsidRPr="004C42D2">
        <w:rPr>
          <w:rStyle w:val="ListParagraphChar"/>
          <w:rFonts w:ascii="Times New Roman" w:hAnsi="Times New Roman" w:cs="Times New Roman"/>
        </w:rPr>
        <w:t xml:space="preserve"> </w:t>
      </w:r>
      <w:proofErr w:type="spellStart"/>
      <w:r w:rsidRPr="004C42D2">
        <w:rPr>
          <w:rStyle w:val="ListParagraphChar"/>
          <w:rFonts w:ascii="Times New Roman" w:hAnsi="Times New Roman" w:cs="Times New Roman"/>
        </w:rPr>
        <w:t>atsako</w:t>
      </w:r>
      <w:proofErr w:type="spellEnd"/>
      <w:r w:rsidRPr="004C42D2">
        <w:rPr>
          <w:rStyle w:val="ListParagraphChar"/>
          <w:rFonts w:ascii="Times New Roman" w:hAnsi="Times New Roman" w:cs="Times New Roman"/>
        </w:rPr>
        <w:t xml:space="preserve"> </w:t>
      </w:r>
      <w:proofErr w:type="spellStart"/>
      <w:r w:rsidRPr="004C42D2">
        <w:rPr>
          <w:rStyle w:val="ListParagraphChar"/>
          <w:rFonts w:ascii="Times New Roman" w:hAnsi="Times New Roman" w:cs="Times New Roman"/>
        </w:rPr>
        <w:t>technologijos</w:t>
      </w:r>
      <w:proofErr w:type="spellEnd"/>
      <w:r w:rsidRPr="004C42D2">
        <w:rPr>
          <w:rStyle w:val="ListParagraphChar"/>
          <w:rFonts w:ascii="Times New Roman" w:hAnsi="Times New Roman" w:cs="Times New Roman"/>
        </w:rPr>
        <w:t xml:space="preserve"> </w:t>
      </w:r>
      <w:proofErr w:type="spellStart"/>
      <w:r w:rsidRPr="004C42D2">
        <w:rPr>
          <w:rStyle w:val="ListParagraphChar"/>
          <w:rFonts w:ascii="Times New Roman" w:hAnsi="Times New Roman" w:cs="Times New Roman"/>
        </w:rPr>
        <w:t>sistemą</w:t>
      </w:r>
      <w:proofErr w:type="spellEnd"/>
      <w:r w:rsidRPr="004C42D2">
        <w:rPr>
          <w:rStyle w:val="ListParagraphChar"/>
          <w:rFonts w:ascii="Times New Roman" w:hAnsi="Times New Roman" w:cs="Times New Roman"/>
        </w:rPr>
        <w:t xml:space="preserve">, </w:t>
      </w:r>
      <w:proofErr w:type="spellStart"/>
      <w:r w:rsidRPr="004C42D2">
        <w:rPr>
          <w:rStyle w:val="ListParagraphChar"/>
          <w:rFonts w:ascii="Times New Roman" w:hAnsi="Times New Roman" w:cs="Times New Roman"/>
        </w:rPr>
        <w:t>kad</w:t>
      </w:r>
      <w:proofErr w:type="spellEnd"/>
      <w:r w:rsidRPr="004C42D2">
        <w:rPr>
          <w:rStyle w:val="ListParagraphChar"/>
          <w:rFonts w:ascii="Times New Roman" w:hAnsi="Times New Roman" w:cs="Times New Roman"/>
        </w:rPr>
        <w:t xml:space="preserve"> </w:t>
      </w:r>
      <w:proofErr w:type="spellStart"/>
      <w:r w:rsidRPr="004C42D2">
        <w:rPr>
          <w:rStyle w:val="ListParagraphChar"/>
          <w:rFonts w:ascii="Times New Roman" w:hAnsi="Times New Roman" w:cs="Times New Roman"/>
        </w:rPr>
        <w:t>gautų</w:t>
      </w:r>
      <w:proofErr w:type="spellEnd"/>
      <w:r w:rsidRPr="004C42D2">
        <w:rPr>
          <w:rStyle w:val="ListParagraphChar"/>
          <w:rFonts w:ascii="Times New Roman" w:hAnsi="Times New Roman" w:cs="Times New Roman"/>
        </w:rPr>
        <w:t xml:space="preserve"> 15 mg </w:t>
      </w:r>
      <w:proofErr w:type="spellStart"/>
      <w:r w:rsidRPr="004C42D2">
        <w:rPr>
          <w:rStyle w:val="ListParagraphChar"/>
          <w:rFonts w:ascii="Times New Roman" w:hAnsi="Times New Roman" w:cs="Times New Roman"/>
        </w:rPr>
        <w:t>upadacitinibo</w:t>
      </w:r>
      <w:proofErr w:type="spellEnd"/>
      <w:r w:rsidRPr="004C42D2">
        <w:rPr>
          <w:rStyle w:val="ListParagraphChar"/>
          <w:rFonts w:ascii="Times New Roman" w:hAnsi="Times New Roman" w:cs="Times New Roman"/>
        </w:rPr>
        <w:t xml:space="preserve">, 30 mg </w:t>
      </w:r>
      <w:proofErr w:type="spellStart"/>
      <w:r w:rsidRPr="004C42D2">
        <w:rPr>
          <w:rStyle w:val="ListParagraphChar"/>
          <w:rFonts w:ascii="Times New Roman" w:hAnsi="Times New Roman" w:cs="Times New Roman"/>
        </w:rPr>
        <w:t>upadacitinibo</w:t>
      </w:r>
      <w:proofErr w:type="spellEnd"/>
      <w:r w:rsidRPr="004C42D2">
        <w:rPr>
          <w:rStyle w:val="ListParagraphChar"/>
          <w:rFonts w:ascii="Times New Roman" w:hAnsi="Times New Roman" w:cs="Times New Roman"/>
        </w:rPr>
        <w:t xml:space="preserve"> </w:t>
      </w:r>
      <w:proofErr w:type="spellStart"/>
      <w:r w:rsidRPr="004C42D2">
        <w:rPr>
          <w:rStyle w:val="ListParagraphChar"/>
          <w:rFonts w:ascii="Times New Roman" w:hAnsi="Times New Roman" w:cs="Times New Roman"/>
        </w:rPr>
        <w:t>arba</w:t>
      </w:r>
      <w:proofErr w:type="spellEnd"/>
      <w:r w:rsidRPr="004C42D2">
        <w:rPr>
          <w:rStyle w:val="ListParagraphChar"/>
          <w:rFonts w:ascii="Times New Roman" w:hAnsi="Times New Roman" w:cs="Times New Roman"/>
        </w:rPr>
        <w:t xml:space="preserve"> placebo </w:t>
      </w:r>
      <w:proofErr w:type="spellStart"/>
      <w:r w:rsidRPr="004C42D2">
        <w:rPr>
          <w:rStyle w:val="ListParagraphChar"/>
          <w:rFonts w:ascii="Times New Roman" w:hAnsi="Times New Roman" w:cs="Times New Roman"/>
        </w:rPr>
        <w:t>vieną</w:t>
      </w:r>
      <w:proofErr w:type="spellEnd"/>
      <w:r w:rsidRPr="004C42D2">
        <w:rPr>
          <w:rStyle w:val="ListParagraphChar"/>
          <w:rFonts w:ascii="Times New Roman" w:hAnsi="Times New Roman" w:cs="Times New Roman"/>
        </w:rPr>
        <w:t xml:space="preserve"> </w:t>
      </w:r>
      <w:proofErr w:type="spellStart"/>
      <w:r w:rsidRPr="004C42D2">
        <w:rPr>
          <w:rStyle w:val="ListParagraphChar"/>
          <w:rFonts w:ascii="Times New Roman" w:hAnsi="Times New Roman" w:cs="Times New Roman"/>
        </w:rPr>
        <w:t>kartą</w:t>
      </w:r>
      <w:proofErr w:type="spellEnd"/>
      <w:r w:rsidRPr="004C42D2">
        <w:rPr>
          <w:rStyle w:val="ListParagraphChar"/>
          <w:rFonts w:ascii="Times New Roman" w:hAnsi="Times New Roman" w:cs="Times New Roman"/>
        </w:rPr>
        <w:t xml:space="preserve"> per </w:t>
      </w:r>
      <w:proofErr w:type="spellStart"/>
      <w:r w:rsidRPr="004C42D2">
        <w:rPr>
          <w:rStyle w:val="ListParagraphChar"/>
          <w:rFonts w:ascii="Times New Roman" w:hAnsi="Times New Roman" w:cs="Times New Roman"/>
        </w:rPr>
        <w:t>parą</w:t>
      </w:r>
      <w:proofErr w:type="spellEnd"/>
      <w:r w:rsidRPr="004C42D2">
        <w:rPr>
          <w:rStyle w:val="ListParagraphChar"/>
          <w:rFonts w:ascii="Times New Roman" w:hAnsi="Times New Roman" w:cs="Times New Roman"/>
        </w:rPr>
        <w:t xml:space="preserve"> 16 </w:t>
      </w:r>
      <w:proofErr w:type="spellStart"/>
      <w:r w:rsidRPr="004C42D2">
        <w:rPr>
          <w:rStyle w:val="ListParagraphChar"/>
          <w:rFonts w:ascii="Times New Roman" w:hAnsi="Times New Roman" w:cs="Times New Roman"/>
        </w:rPr>
        <w:t>savaičių</w:t>
      </w:r>
      <w:proofErr w:type="spellEnd"/>
      <w:r w:rsidRPr="004C42D2">
        <w:rPr>
          <w:rStyle w:val="ListParagraphChar"/>
          <w:rFonts w:ascii="Times New Roman" w:hAnsi="Times New Roman" w:cs="Times New Roman"/>
        </w:rPr>
        <w:t xml:space="preserve">, </w:t>
      </w:r>
      <w:proofErr w:type="spellStart"/>
      <w:r w:rsidRPr="004C42D2">
        <w:rPr>
          <w:rStyle w:val="ListParagraphChar"/>
          <w:rFonts w:ascii="Times New Roman" w:hAnsi="Times New Roman" w:cs="Times New Roman"/>
        </w:rPr>
        <w:t>bei</w:t>
      </w:r>
      <w:proofErr w:type="spellEnd"/>
      <w:r w:rsidRPr="004C42D2">
        <w:rPr>
          <w:rStyle w:val="ListParagraphChar"/>
          <w:rFonts w:ascii="Times New Roman" w:hAnsi="Times New Roman" w:cs="Times New Roman"/>
        </w:rPr>
        <w:t xml:space="preserve"> </w:t>
      </w:r>
      <w:proofErr w:type="spellStart"/>
      <w:r w:rsidRPr="004C42D2">
        <w:rPr>
          <w:rStyle w:val="ListParagraphChar"/>
          <w:rFonts w:ascii="Times New Roman" w:hAnsi="Times New Roman" w:cs="Times New Roman"/>
        </w:rPr>
        <w:t>papildomai</w:t>
      </w:r>
      <w:proofErr w:type="spellEnd"/>
      <w:r w:rsidRPr="004C42D2">
        <w:rPr>
          <w:rStyle w:val="ListParagraphChar"/>
          <w:rFonts w:ascii="Times New Roman" w:hAnsi="Times New Roman" w:cs="Times New Roman"/>
        </w:rPr>
        <w:t xml:space="preserve"> </w:t>
      </w:r>
      <w:proofErr w:type="spellStart"/>
      <w:r w:rsidRPr="004C42D2">
        <w:rPr>
          <w:rStyle w:val="ListParagraphChar"/>
          <w:rFonts w:ascii="Times New Roman" w:hAnsi="Times New Roman" w:cs="Times New Roman"/>
        </w:rPr>
        <w:t>suskirstyti</w:t>
      </w:r>
      <w:proofErr w:type="spellEnd"/>
      <w:r w:rsidRPr="004C42D2">
        <w:rPr>
          <w:rStyle w:val="ListParagraphChar"/>
          <w:rFonts w:ascii="Times New Roman" w:hAnsi="Times New Roman" w:cs="Times New Roman"/>
        </w:rPr>
        <w:t xml:space="preserve"> </w:t>
      </w:r>
      <w:proofErr w:type="spellStart"/>
      <w:r w:rsidRPr="004C42D2">
        <w:rPr>
          <w:rStyle w:val="ListParagraphChar"/>
          <w:rFonts w:ascii="Times New Roman" w:hAnsi="Times New Roman" w:cs="Times New Roman"/>
        </w:rPr>
        <w:t>pagal</w:t>
      </w:r>
      <w:proofErr w:type="spellEnd"/>
      <w:r w:rsidRPr="004C42D2">
        <w:rPr>
          <w:rStyle w:val="ListParagraphChar"/>
          <w:rFonts w:ascii="Times New Roman" w:hAnsi="Times New Roman" w:cs="Times New Roman"/>
        </w:rPr>
        <w:t xml:space="preserve"> </w:t>
      </w:r>
      <w:proofErr w:type="spellStart"/>
      <w:r w:rsidRPr="004C42D2">
        <w:rPr>
          <w:rStyle w:val="ListParagraphChar"/>
          <w:rFonts w:ascii="Times New Roman" w:hAnsi="Times New Roman" w:cs="Times New Roman"/>
        </w:rPr>
        <w:t>pradinį</w:t>
      </w:r>
      <w:proofErr w:type="spellEnd"/>
      <w:r w:rsidRPr="004C42D2">
        <w:rPr>
          <w:rStyle w:val="ListParagraphChar"/>
          <w:rFonts w:ascii="Times New Roman" w:hAnsi="Times New Roman" w:cs="Times New Roman"/>
        </w:rPr>
        <w:t xml:space="preserve"> </w:t>
      </w:r>
      <w:proofErr w:type="spellStart"/>
      <w:r w:rsidRPr="004C42D2">
        <w:rPr>
          <w:rStyle w:val="ListParagraphChar"/>
          <w:rFonts w:ascii="Times New Roman" w:hAnsi="Times New Roman" w:cs="Times New Roman"/>
        </w:rPr>
        <w:t>ligos</w:t>
      </w:r>
      <w:proofErr w:type="spellEnd"/>
      <w:r w:rsidRPr="004C42D2">
        <w:rPr>
          <w:rStyle w:val="ListParagraphChar"/>
          <w:rFonts w:ascii="Times New Roman" w:hAnsi="Times New Roman" w:cs="Times New Roman"/>
        </w:rPr>
        <w:t xml:space="preserve"> </w:t>
      </w:r>
      <w:proofErr w:type="spellStart"/>
      <w:r w:rsidRPr="004C42D2">
        <w:rPr>
          <w:rStyle w:val="ListParagraphChar"/>
          <w:rFonts w:ascii="Times New Roman" w:hAnsi="Times New Roman" w:cs="Times New Roman"/>
        </w:rPr>
        <w:t>sunkumą</w:t>
      </w:r>
      <w:proofErr w:type="spellEnd"/>
      <w:r w:rsidRPr="004C42D2">
        <w:rPr>
          <w:rStyle w:val="ListParagraphChar"/>
          <w:rFonts w:ascii="Times New Roman" w:hAnsi="Times New Roman" w:cs="Times New Roman"/>
        </w:rPr>
        <w:t xml:space="preserve">, </w:t>
      </w:r>
      <w:proofErr w:type="spellStart"/>
      <w:r w:rsidRPr="004C42D2">
        <w:rPr>
          <w:rStyle w:val="ListParagraphChar"/>
          <w:rFonts w:ascii="Times New Roman" w:hAnsi="Times New Roman" w:cs="Times New Roman"/>
        </w:rPr>
        <w:t>geografinį</w:t>
      </w:r>
      <w:proofErr w:type="spellEnd"/>
      <w:r w:rsidRPr="004C42D2">
        <w:rPr>
          <w:rStyle w:val="ListParagraphChar"/>
          <w:rFonts w:ascii="Times New Roman" w:hAnsi="Times New Roman" w:cs="Times New Roman"/>
        </w:rPr>
        <w:t xml:space="preserve"> </w:t>
      </w:r>
      <w:proofErr w:type="spellStart"/>
      <w:r w:rsidRPr="004C42D2">
        <w:rPr>
          <w:rStyle w:val="ListParagraphChar"/>
          <w:rFonts w:ascii="Times New Roman" w:hAnsi="Times New Roman" w:cs="Times New Roman"/>
        </w:rPr>
        <w:t>regioną</w:t>
      </w:r>
      <w:proofErr w:type="spellEnd"/>
      <w:r w:rsidRPr="004C42D2">
        <w:rPr>
          <w:rStyle w:val="ListParagraphChar"/>
          <w:rFonts w:ascii="Times New Roman" w:hAnsi="Times New Roman" w:cs="Times New Roman"/>
        </w:rPr>
        <w:t xml:space="preserve"> </w:t>
      </w:r>
      <w:proofErr w:type="spellStart"/>
      <w:r w:rsidRPr="004C42D2">
        <w:rPr>
          <w:rStyle w:val="ListParagraphChar"/>
          <w:rFonts w:ascii="Times New Roman" w:hAnsi="Times New Roman" w:cs="Times New Roman"/>
        </w:rPr>
        <w:t>ir</w:t>
      </w:r>
      <w:proofErr w:type="spellEnd"/>
      <w:r w:rsidRPr="004C42D2">
        <w:rPr>
          <w:rStyle w:val="ListParagraphChar"/>
          <w:rFonts w:ascii="Times New Roman" w:hAnsi="Times New Roman" w:cs="Times New Roman"/>
        </w:rPr>
        <w:t xml:space="preserve"> </w:t>
      </w:r>
      <w:proofErr w:type="spellStart"/>
      <w:r w:rsidRPr="004C42D2">
        <w:rPr>
          <w:rStyle w:val="ListParagraphChar"/>
          <w:rFonts w:ascii="Times New Roman" w:hAnsi="Times New Roman" w:cs="Times New Roman"/>
        </w:rPr>
        <w:t>amžių</w:t>
      </w:r>
      <w:proofErr w:type="spellEnd"/>
      <w:r w:rsidRPr="004C42D2">
        <w:rPr>
          <w:rStyle w:val="ListParagraphChar"/>
          <w:rFonts w:ascii="Times New Roman" w:hAnsi="Times New Roman" w:cs="Times New Roman"/>
        </w:rPr>
        <w:t xml:space="preserve">. </w:t>
      </w:r>
      <w:proofErr w:type="spellStart"/>
      <w:r w:rsidRPr="004C42D2">
        <w:rPr>
          <w:rFonts w:ascii="Times New Roman" w:hAnsi="Times New Roman" w:cs="Times New Roman"/>
          <w:bCs/>
          <w:color w:val="000000"/>
          <w:sz w:val="24"/>
          <w:szCs w:val="24"/>
          <w:u w:val="single"/>
          <w:shd w:val="clear" w:color="auto" w:fill="FFFFFF"/>
        </w:rPr>
        <w:t>Pirminės</w:t>
      </w:r>
      <w:proofErr w:type="spellEnd"/>
      <w:r w:rsidRPr="004C42D2">
        <w:rPr>
          <w:rFonts w:ascii="Times New Roman" w:hAnsi="Times New Roman" w:cs="Times New Roman"/>
          <w:bCs/>
          <w:color w:val="000000"/>
          <w:sz w:val="24"/>
          <w:szCs w:val="24"/>
          <w:u w:val="single"/>
          <w:shd w:val="clear" w:color="auto" w:fill="FFFFFF"/>
        </w:rPr>
        <w:t xml:space="preserve">  </w:t>
      </w:r>
      <w:proofErr w:type="spellStart"/>
      <w:r w:rsidRPr="004C42D2">
        <w:rPr>
          <w:rFonts w:ascii="Times New Roman" w:hAnsi="Times New Roman" w:cs="Times New Roman"/>
          <w:bCs/>
          <w:color w:val="000000"/>
          <w:sz w:val="24"/>
          <w:szCs w:val="24"/>
          <w:u w:val="single"/>
          <w:shd w:val="clear" w:color="auto" w:fill="FFFFFF"/>
        </w:rPr>
        <w:t>vertinamosios</w:t>
      </w:r>
      <w:proofErr w:type="spellEnd"/>
      <w:r w:rsidRPr="004C42D2">
        <w:rPr>
          <w:rFonts w:ascii="Times New Roman" w:hAnsi="Times New Roman" w:cs="Times New Roman"/>
          <w:bCs/>
          <w:color w:val="000000"/>
          <w:sz w:val="24"/>
          <w:szCs w:val="24"/>
          <w:u w:val="single"/>
          <w:shd w:val="clear" w:color="auto" w:fill="FFFFFF"/>
        </w:rPr>
        <w:t xml:space="preserve"> </w:t>
      </w:r>
      <w:proofErr w:type="spellStart"/>
      <w:r w:rsidRPr="004C42D2">
        <w:rPr>
          <w:rFonts w:ascii="Times New Roman" w:hAnsi="Times New Roman" w:cs="Times New Roman"/>
          <w:bCs/>
          <w:color w:val="000000"/>
          <w:sz w:val="24"/>
          <w:szCs w:val="24"/>
          <w:u w:val="single"/>
          <w:shd w:val="clear" w:color="auto" w:fill="FFFFFF"/>
        </w:rPr>
        <w:t>baigtys</w:t>
      </w:r>
      <w:proofErr w:type="spellEnd"/>
      <w:r w:rsidRPr="004C42D2">
        <w:rPr>
          <w:rFonts w:ascii="Times New Roman" w:hAnsi="Times New Roman" w:cs="Times New Roman"/>
          <w:color w:val="000000"/>
          <w:sz w:val="24"/>
          <w:szCs w:val="24"/>
          <w:shd w:val="clear" w:color="auto" w:fill="FFFFFF"/>
        </w:rPr>
        <w:t xml:space="preserve"> </w:t>
      </w:r>
      <w:proofErr w:type="spellStart"/>
      <w:r w:rsidRPr="004C42D2">
        <w:rPr>
          <w:rFonts w:ascii="Times New Roman" w:hAnsi="Times New Roman" w:cs="Times New Roman"/>
          <w:color w:val="000000"/>
          <w:sz w:val="24"/>
          <w:szCs w:val="24"/>
          <w:shd w:val="clear" w:color="auto" w:fill="FFFFFF"/>
        </w:rPr>
        <w:t>buvo</w:t>
      </w:r>
      <w:proofErr w:type="spellEnd"/>
      <w:r w:rsidRPr="004C42D2">
        <w:rPr>
          <w:rFonts w:ascii="Times New Roman" w:hAnsi="Times New Roman" w:cs="Times New Roman"/>
          <w:color w:val="000000"/>
          <w:sz w:val="24"/>
          <w:szCs w:val="24"/>
          <w:shd w:val="clear" w:color="auto" w:fill="FFFFFF"/>
        </w:rPr>
        <w:t xml:space="preserve"> </w:t>
      </w:r>
      <w:proofErr w:type="spellStart"/>
      <w:r w:rsidRPr="004C42D2">
        <w:rPr>
          <w:rFonts w:ascii="Times New Roman" w:hAnsi="Times New Roman" w:cs="Times New Roman"/>
          <w:color w:val="000000"/>
          <w:sz w:val="24"/>
          <w:szCs w:val="24"/>
          <w:shd w:val="clear" w:color="auto" w:fill="FFFFFF"/>
        </w:rPr>
        <w:t>pacientų</w:t>
      </w:r>
      <w:proofErr w:type="spellEnd"/>
      <w:r w:rsidRPr="004C42D2">
        <w:rPr>
          <w:rFonts w:ascii="Times New Roman" w:hAnsi="Times New Roman" w:cs="Times New Roman"/>
          <w:color w:val="000000"/>
          <w:sz w:val="24"/>
          <w:szCs w:val="24"/>
          <w:shd w:val="clear" w:color="auto" w:fill="FFFFFF"/>
        </w:rPr>
        <w:t xml:space="preserve"> </w:t>
      </w:r>
      <w:proofErr w:type="spellStart"/>
      <w:r w:rsidRPr="004C42D2">
        <w:rPr>
          <w:rFonts w:ascii="Times New Roman" w:hAnsi="Times New Roman" w:cs="Times New Roman"/>
          <w:color w:val="000000"/>
          <w:sz w:val="24"/>
          <w:szCs w:val="24"/>
          <w:shd w:val="clear" w:color="auto" w:fill="FFFFFF"/>
        </w:rPr>
        <w:t>dalis</w:t>
      </w:r>
      <w:proofErr w:type="spellEnd"/>
      <w:r w:rsidRPr="004C42D2">
        <w:rPr>
          <w:rFonts w:ascii="Times New Roman" w:hAnsi="Times New Roman" w:cs="Times New Roman"/>
          <w:color w:val="000000"/>
          <w:sz w:val="24"/>
          <w:szCs w:val="24"/>
          <w:shd w:val="clear" w:color="auto" w:fill="FFFFFF"/>
        </w:rPr>
        <w:t xml:space="preserve">, </w:t>
      </w:r>
      <w:proofErr w:type="spellStart"/>
      <w:r w:rsidRPr="004C42D2">
        <w:rPr>
          <w:rFonts w:ascii="Times New Roman" w:hAnsi="Times New Roman" w:cs="Times New Roman"/>
          <w:color w:val="000000"/>
          <w:sz w:val="24"/>
          <w:szCs w:val="24"/>
          <w:shd w:val="clear" w:color="auto" w:fill="FFFFFF"/>
        </w:rPr>
        <w:t>kuriems</w:t>
      </w:r>
      <w:proofErr w:type="spellEnd"/>
      <w:r w:rsidRPr="004C42D2">
        <w:rPr>
          <w:rFonts w:ascii="Times New Roman" w:hAnsi="Times New Roman" w:cs="Times New Roman"/>
          <w:color w:val="000000"/>
          <w:sz w:val="24"/>
          <w:szCs w:val="24"/>
          <w:shd w:val="clear" w:color="auto" w:fill="FFFFFF"/>
        </w:rPr>
        <w:t xml:space="preserve"> </w:t>
      </w:r>
      <w:proofErr w:type="spellStart"/>
      <w:r w:rsidRPr="004C42D2">
        <w:rPr>
          <w:rFonts w:ascii="Times New Roman" w:hAnsi="Times New Roman" w:cs="Times New Roman"/>
          <w:color w:val="000000"/>
          <w:sz w:val="24"/>
          <w:szCs w:val="24"/>
          <w:shd w:val="clear" w:color="auto" w:fill="FFFFFF"/>
        </w:rPr>
        <w:t>nustatytas</w:t>
      </w:r>
      <w:proofErr w:type="spellEnd"/>
      <w:r w:rsidRPr="004C42D2">
        <w:rPr>
          <w:rFonts w:ascii="Times New Roman" w:hAnsi="Times New Roman" w:cs="Times New Roman"/>
          <w:color w:val="000000"/>
          <w:sz w:val="24"/>
          <w:szCs w:val="24"/>
          <w:shd w:val="clear" w:color="auto" w:fill="FFFFFF"/>
        </w:rPr>
        <w:t xml:space="preserve"> 75 proc. EASI (EASI75) </w:t>
      </w:r>
      <w:proofErr w:type="spellStart"/>
      <w:r w:rsidRPr="004C42D2">
        <w:rPr>
          <w:rFonts w:ascii="Times New Roman" w:hAnsi="Times New Roman" w:cs="Times New Roman"/>
          <w:color w:val="000000"/>
          <w:sz w:val="24"/>
          <w:szCs w:val="24"/>
          <w:shd w:val="clear" w:color="auto" w:fill="FFFFFF"/>
        </w:rPr>
        <w:t>pagerėjimas</w:t>
      </w:r>
      <w:proofErr w:type="spellEnd"/>
      <w:r w:rsidRPr="004C42D2">
        <w:rPr>
          <w:rFonts w:ascii="Times New Roman" w:hAnsi="Times New Roman" w:cs="Times New Roman"/>
          <w:color w:val="000000"/>
          <w:sz w:val="24"/>
          <w:szCs w:val="24"/>
          <w:shd w:val="clear" w:color="auto" w:fill="FFFFFF"/>
        </w:rPr>
        <w:t xml:space="preserve"> 16 </w:t>
      </w:r>
      <w:proofErr w:type="spellStart"/>
      <w:r w:rsidRPr="004C42D2">
        <w:rPr>
          <w:rFonts w:ascii="Times New Roman" w:hAnsi="Times New Roman" w:cs="Times New Roman"/>
          <w:color w:val="000000"/>
          <w:sz w:val="24"/>
          <w:szCs w:val="24"/>
          <w:shd w:val="clear" w:color="auto" w:fill="FFFFFF"/>
        </w:rPr>
        <w:t>savaitę</w:t>
      </w:r>
      <w:proofErr w:type="spellEnd"/>
      <w:r w:rsidRPr="004C42D2">
        <w:rPr>
          <w:rFonts w:ascii="Times New Roman" w:hAnsi="Times New Roman" w:cs="Times New Roman"/>
          <w:color w:val="000000"/>
          <w:sz w:val="24"/>
          <w:szCs w:val="24"/>
          <w:shd w:val="clear" w:color="auto" w:fill="FFFFFF"/>
        </w:rPr>
        <w:t xml:space="preserve"> </w:t>
      </w:r>
      <w:proofErr w:type="spellStart"/>
      <w:r w:rsidRPr="004C42D2">
        <w:rPr>
          <w:rFonts w:ascii="Times New Roman" w:hAnsi="Times New Roman" w:cs="Times New Roman"/>
          <w:color w:val="000000"/>
          <w:sz w:val="24"/>
          <w:szCs w:val="24"/>
          <w:shd w:val="clear" w:color="auto" w:fill="FFFFFF"/>
        </w:rPr>
        <w:t>nuo</w:t>
      </w:r>
      <w:proofErr w:type="spellEnd"/>
      <w:r w:rsidRPr="004C42D2">
        <w:rPr>
          <w:rFonts w:ascii="Times New Roman" w:hAnsi="Times New Roman" w:cs="Times New Roman"/>
          <w:color w:val="000000"/>
          <w:sz w:val="24"/>
          <w:szCs w:val="24"/>
          <w:shd w:val="clear" w:color="auto" w:fill="FFFFFF"/>
        </w:rPr>
        <w:t xml:space="preserve"> </w:t>
      </w:r>
      <w:proofErr w:type="spellStart"/>
      <w:r w:rsidRPr="004C42D2">
        <w:rPr>
          <w:rFonts w:ascii="Times New Roman" w:hAnsi="Times New Roman" w:cs="Times New Roman"/>
          <w:color w:val="000000"/>
          <w:sz w:val="24"/>
          <w:szCs w:val="24"/>
          <w:shd w:val="clear" w:color="auto" w:fill="FFFFFF"/>
        </w:rPr>
        <w:t>pradinio</w:t>
      </w:r>
      <w:proofErr w:type="spellEnd"/>
      <w:r w:rsidRPr="004C42D2">
        <w:rPr>
          <w:rFonts w:ascii="Times New Roman" w:hAnsi="Times New Roman" w:cs="Times New Roman"/>
          <w:color w:val="000000"/>
          <w:sz w:val="24"/>
          <w:szCs w:val="24"/>
          <w:shd w:val="clear" w:color="auto" w:fill="FFFFFF"/>
        </w:rPr>
        <w:t xml:space="preserve"> </w:t>
      </w:r>
      <w:proofErr w:type="spellStart"/>
      <w:r w:rsidRPr="004C42D2">
        <w:rPr>
          <w:rFonts w:ascii="Times New Roman" w:hAnsi="Times New Roman" w:cs="Times New Roman"/>
          <w:color w:val="000000"/>
          <w:sz w:val="24"/>
          <w:szCs w:val="24"/>
          <w:shd w:val="clear" w:color="auto" w:fill="FFFFFF"/>
        </w:rPr>
        <w:t>lygio</w:t>
      </w:r>
      <w:proofErr w:type="spellEnd"/>
      <w:r w:rsidRPr="004C42D2">
        <w:rPr>
          <w:rFonts w:ascii="Times New Roman" w:hAnsi="Times New Roman" w:cs="Times New Roman"/>
          <w:color w:val="000000"/>
          <w:sz w:val="24"/>
          <w:szCs w:val="24"/>
          <w:shd w:val="clear" w:color="auto" w:fill="FFFFFF"/>
        </w:rPr>
        <w:t xml:space="preserve"> </w:t>
      </w:r>
      <w:r w:rsidRPr="004C42D2">
        <w:rPr>
          <w:rStyle w:val="ListParagraphChar"/>
          <w:rFonts w:ascii="Times New Roman" w:hAnsi="Times New Roman" w:cs="Times New Roman"/>
          <w:color w:val="202124"/>
          <w:lang w:val="lt-LT"/>
        </w:rPr>
        <w:t xml:space="preserve">ir pacientų dalis, kuriems buvo pasiektas </w:t>
      </w:r>
      <w:proofErr w:type="spellStart"/>
      <w:r w:rsidRPr="004C42D2">
        <w:rPr>
          <w:rStyle w:val="ListParagraphChar"/>
          <w:rFonts w:ascii="Times New Roman" w:hAnsi="Times New Roman" w:cs="Times New Roman"/>
          <w:color w:val="202124"/>
          <w:lang w:val="lt-LT"/>
        </w:rPr>
        <w:t>vIGA</w:t>
      </w:r>
      <w:proofErr w:type="spellEnd"/>
      <w:r w:rsidRPr="004C42D2">
        <w:rPr>
          <w:rStyle w:val="ListParagraphChar"/>
          <w:rFonts w:ascii="Times New Roman" w:hAnsi="Times New Roman" w:cs="Times New Roman"/>
          <w:color w:val="202124"/>
          <w:lang w:val="lt-LT"/>
        </w:rPr>
        <w:t>-AD atsakas (0 [švarus] arba 1 [beveik švarus]) su ≥2 laipsnio sumažėjimu, palyginti su pradiniu) 16 savaitę.</w:t>
      </w:r>
      <w:r w:rsidRPr="004C42D2">
        <w:rPr>
          <w:rStyle w:val="ListParagraphChar"/>
          <w:rFonts w:ascii="Times New Roman" w:hAnsi="Times New Roman" w:cs="Times New Roman"/>
          <w:color w:val="202124"/>
        </w:rPr>
        <w:t xml:space="preserve"> </w:t>
      </w:r>
      <w:proofErr w:type="spellStart"/>
      <w:r w:rsidRPr="004C42D2">
        <w:rPr>
          <w:rStyle w:val="ListParagraphChar"/>
          <w:rFonts w:ascii="Times New Roman" w:hAnsi="Times New Roman" w:cs="Times New Roman"/>
          <w:color w:val="202124"/>
        </w:rPr>
        <w:t>Nustatyta</w:t>
      </w:r>
      <w:proofErr w:type="spellEnd"/>
      <w:r w:rsidRPr="004C42D2">
        <w:rPr>
          <w:rStyle w:val="ListParagraphChar"/>
          <w:rFonts w:ascii="Times New Roman" w:hAnsi="Times New Roman" w:cs="Times New Roman"/>
          <w:color w:val="202124"/>
        </w:rPr>
        <w:t xml:space="preserve">, jog </w:t>
      </w:r>
      <w:proofErr w:type="spellStart"/>
      <w:r w:rsidRPr="004C42D2">
        <w:rPr>
          <w:rStyle w:val="ListParagraphChar"/>
          <w:rFonts w:ascii="Times New Roman" w:hAnsi="Times New Roman" w:cs="Times New Roman"/>
          <w:color w:val="202124"/>
        </w:rPr>
        <w:t>abiejuose</w:t>
      </w:r>
      <w:proofErr w:type="spellEnd"/>
      <w:r w:rsidRPr="004C42D2">
        <w:rPr>
          <w:rStyle w:val="ListParagraphChar"/>
          <w:rFonts w:ascii="Times New Roman" w:hAnsi="Times New Roman" w:cs="Times New Roman"/>
          <w:color w:val="202124"/>
        </w:rPr>
        <w:t xml:space="preserve"> </w:t>
      </w:r>
      <w:proofErr w:type="spellStart"/>
      <w:r w:rsidRPr="004C42D2">
        <w:rPr>
          <w:rStyle w:val="ListParagraphChar"/>
          <w:rFonts w:ascii="Times New Roman" w:hAnsi="Times New Roman" w:cs="Times New Roman"/>
          <w:color w:val="202124"/>
        </w:rPr>
        <w:t>tyrimuose</w:t>
      </w:r>
      <w:proofErr w:type="spellEnd"/>
      <w:r w:rsidRPr="004C42D2">
        <w:rPr>
          <w:rStyle w:val="ListParagraphChar"/>
          <w:rFonts w:ascii="Times New Roman" w:hAnsi="Times New Roman" w:cs="Times New Roman"/>
          <w:color w:val="202124"/>
        </w:rPr>
        <w:t xml:space="preserve"> (Measure Up 1 </w:t>
      </w:r>
      <w:proofErr w:type="spellStart"/>
      <w:r w:rsidRPr="004C42D2">
        <w:rPr>
          <w:rStyle w:val="ListParagraphChar"/>
          <w:rFonts w:ascii="Times New Roman" w:hAnsi="Times New Roman" w:cs="Times New Roman"/>
          <w:color w:val="202124"/>
        </w:rPr>
        <w:t>ir</w:t>
      </w:r>
      <w:proofErr w:type="spellEnd"/>
      <w:r w:rsidRPr="004C42D2">
        <w:rPr>
          <w:rStyle w:val="ListParagraphChar"/>
          <w:rFonts w:ascii="Times New Roman" w:hAnsi="Times New Roman" w:cs="Times New Roman"/>
          <w:color w:val="202124"/>
        </w:rPr>
        <w:t xml:space="preserve"> Measure Up 2) </w:t>
      </w:r>
      <w:proofErr w:type="spellStart"/>
      <w:r w:rsidRPr="004C42D2">
        <w:rPr>
          <w:rStyle w:val="ListParagraphChar"/>
          <w:rFonts w:ascii="Times New Roman" w:hAnsi="Times New Roman" w:cs="Times New Roman"/>
          <w:color w:val="202124"/>
        </w:rPr>
        <w:t>buvo</w:t>
      </w:r>
      <w:proofErr w:type="spellEnd"/>
      <w:r w:rsidRPr="004C42D2">
        <w:rPr>
          <w:rStyle w:val="ListParagraphChar"/>
          <w:rFonts w:ascii="Times New Roman" w:hAnsi="Times New Roman" w:cs="Times New Roman"/>
          <w:color w:val="202124"/>
        </w:rPr>
        <w:t xml:space="preserve"> </w:t>
      </w:r>
      <w:proofErr w:type="spellStart"/>
      <w:r w:rsidRPr="004C42D2">
        <w:rPr>
          <w:rStyle w:val="ListParagraphChar"/>
          <w:rFonts w:ascii="Times New Roman" w:hAnsi="Times New Roman" w:cs="Times New Roman"/>
          <w:color w:val="202124"/>
        </w:rPr>
        <w:t>pasiekta</w:t>
      </w:r>
      <w:proofErr w:type="spellEnd"/>
      <w:r w:rsidRPr="004C42D2">
        <w:rPr>
          <w:rStyle w:val="ListParagraphChar"/>
          <w:rFonts w:ascii="Times New Roman" w:hAnsi="Times New Roman" w:cs="Times New Roman"/>
          <w:color w:val="202124"/>
        </w:rPr>
        <w:t xml:space="preserve"> </w:t>
      </w:r>
      <w:proofErr w:type="spellStart"/>
      <w:r w:rsidRPr="004C42D2">
        <w:rPr>
          <w:rFonts w:ascii="Times New Roman" w:eastAsia="Arial" w:hAnsi="Times New Roman" w:cs="Times New Roman"/>
          <w:sz w:val="24"/>
          <w:szCs w:val="24"/>
        </w:rPr>
        <w:t>vertinamąsias</w:t>
      </w:r>
      <w:proofErr w:type="spellEnd"/>
      <w:r w:rsidRPr="004C42D2">
        <w:rPr>
          <w:rFonts w:ascii="Times New Roman" w:eastAsia="Arial" w:hAnsi="Times New Roman" w:cs="Times New Roman"/>
          <w:sz w:val="24"/>
          <w:szCs w:val="24"/>
        </w:rPr>
        <w:t xml:space="preserve"> </w:t>
      </w:r>
      <w:proofErr w:type="spellStart"/>
      <w:r w:rsidRPr="004C42D2">
        <w:rPr>
          <w:rFonts w:ascii="Times New Roman" w:eastAsia="Arial" w:hAnsi="Times New Roman" w:cs="Times New Roman"/>
          <w:sz w:val="24"/>
          <w:szCs w:val="24"/>
        </w:rPr>
        <w:t>baigtis</w:t>
      </w:r>
      <w:proofErr w:type="spellEnd"/>
      <w:r w:rsidRPr="004C42D2">
        <w:rPr>
          <w:rFonts w:ascii="Times New Roman" w:eastAsia="Arial" w:hAnsi="Times New Roman" w:cs="Times New Roman"/>
          <w:sz w:val="24"/>
          <w:szCs w:val="24"/>
        </w:rPr>
        <w:t xml:space="preserve"> 16 </w:t>
      </w:r>
      <w:proofErr w:type="spellStart"/>
      <w:r w:rsidRPr="004C42D2">
        <w:rPr>
          <w:rFonts w:ascii="Times New Roman" w:eastAsia="Arial" w:hAnsi="Times New Roman" w:cs="Times New Roman"/>
          <w:sz w:val="24"/>
          <w:szCs w:val="24"/>
        </w:rPr>
        <w:t>savaitę</w:t>
      </w:r>
      <w:proofErr w:type="spellEnd"/>
      <w:r w:rsidRPr="004C42D2">
        <w:rPr>
          <w:rFonts w:ascii="Times New Roman" w:eastAsia="Arial" w:hAnsi="Times New Roman" w:cs="Times New Roman"/>
          <w:sz w:val="24"/>
          <w:szCs w:val="24"/>
        </w:rPr>
        <w:t xml:space="preserve"> </w:t>
      </w:r>
      <w:proofErr w:type="spellStart"/>
      <w:r w:rsidRPr="004C42D2">
        <w:rPr>
          <w:rFonts w:ascii="Times New Roman" w:eastAsia="Arial" w:hAnsi="Times New Roman" w:cs="Times New Roman"/>
          <w:sz w:val="24"/>
          <w:szCs w:val="24"/>
        </w:rPr>
        <w:t>lyginant</w:t>
      </w:r>
      <w:proofErr w:type="spellEnd"/>
      <w:r w:rsidRPr="004C42D2">
        <w:rPr>
          <w:rFonts w:ascii="Times New Roman" w:eastAsia="Arial" w:hAnsi="Times New Roman" w:cs="Times New Roman"/>
          <w:sz w:val="24"/>
          <w:szCs w:val="24"/>
        </w:rPr>
        <w:t xml:space="preserve"> </w:t>
      </w:r>
      <w:proofErr w:type="spellStart"/>
      <w:r w:rsidRPr="004C42D2">
        <w:rPr>
          <w:rFonts w:ascii="Times New Roman" w:eastAsia="Arial" w:hAnsi="Times New Roman" w:cs="Times New Roman"/>
          <w:sz w:val="24"/>
          <w:szCs w:val="24"/>
        </w:rPr>
        <w:t>su</w:t>
      </w:r>
      <w:proofErr w:type="spellEnd"/>
      <w:r w:rsidRPr="004C42D2">
        <w:rPr>
          <w:rFonts w:ascii="Times New Roman" w:eastAsia="Arial" w:hAnsi="Times New Roman" w:cs="Times New Roman"/>
          <w:sz w:val="24"/>
          <w:szCs w:val="24"/>
        </w:rPr>
        <w:t xml:space="preserve"> </w:t>
      </w:r>
      <w:proofErr w:type="spellStart"/>
      <w:r w:rsidRPr="004C42D2">
        <w:rPr>
          <w:rFonts w:ascii="Times New Roman" w:eastAsia="Arial" w:hAnsi="Times New Roman" w:cs="Times New Roman"/>
          <w:sz w:val="24"/>
          <w:szCs w:val="24"/>
        </w:rPr>
        <w:t>placebu</w:t>
      </w:r>
      <w:proofErr w:type="spellEnd"/>
      <w:r w:rsidRPr="004C42D2">
        <w:rPr>
          <w:rFonts w:ascii="Times New Roman" w:eastAsia="Arial" w:hAnsi="Times New Roman" w:cs="Times New Roman"/>
          <w:sz w:val="24"/>
          <w:szCs w:val="24"/>
        </w:rPr>
        <w:t xml:space="preserve">, p&lt;0,001. Measure Up 1 </w:t>
      </w:r>
      <w:proofErr w:type="spellStart"/>
      <w:r w:rsidRPr="004C42D2">
        <w:rPr>
          <w:rFonts w:ascii="Times New Roman" w:eastAsia="Arial" w:hAnsi="Times New Roman" w:cs="Times New Roman"/>
          <w:sz w:val="24"/>
          <w:szCs w:val="24"/>
        </w:rPr>
        <w:t>tyrime</w:t>
      </w:r>
      <w:proofErr w:type="spellEnd"/>
      <w:r w:rsidRPr="004C42D2">
        <w:rPr>
          <w:rFonts w:ascii="Times New Roman" w:eastAsia="Arial" w:hAnsi="Times New Roman" w:cs="Times New Roman"/>
          <w:sz w:val="24"/>
          <w:szCs w:val="24"/>
        </w:rPr>
        <w:t xml:space="preserve">, </w:t>
      </w:r>
      <w:proofErr w:type="spellStart"/>
      <w:r w:rsidRPr="004C42D2">
        <w:rPr>
          <w:rFonts w:ascii="Times New Roman" w:eastAsia="Arial" w:hAnsi="Times New Roman" w:cs="Times New Roman"/>
          <w:sz w:val="24"/>
          <w:szCs w:val="24"/>
        </w:rPr>
        <w:t>pacientų</w:t>
      </w:r>
      <w:proofErr w:type="spellEnd"/>
      <w:r w:rsidRPr="004C42D2">
        <w:rPr>
          <w:rFonts w:ascii="Times New Roman" w:eastAsia="Arial" w:hAnsi="Times New Roman" w:cs="Times New Roman"/>
          <w:sz w:val="24"/>
          <w:szCs w:val="24"/>
        </w:rPr>
        <w:t xml:space="preserve">, </w:t>
      </w:r>
      <w:proofErr w:type="spellStart"/>
      <w:r w:rsidRPr="004C42D2">
        <w:rPr>
          <w:rFonts w:ascii="Times New Roman" w:eastAsia="Arial" w:hAnsi="Times New Roman" w:cs="Times New Roman"/>
          <w:sz w:val="24"/>
          <w:szCs w:val="24"/>
        </w:rPr>
        <w:t>kuriems</w:t>
      </w:r>
      <w:proofErr w:type="spellEnd"/>
      <w:r w:rsidRPr="004C42D2">
        <w:rPr>
          <w:rFonts w:ascii="Times New Roman" w:eastAsia="Arial" w:hAnsi="Times New Roman" w:cs="Times New Roman"/>
          <w:sz w:val="24"/>
          <w:szCs w:val="24"/>
        </w:rPr>
        <w:t xml:space="preserve"> </w:t>
      </w:r>
      <w:proofErr w:type="spellStart"/>
      <w:r w:rsidRPr="004C42D2">
        <w:rPr>
          <w:rFonts w:ascii="Times New Roman" w:eastAsia="Arial" w:hAnsi="Times New Roman" w:cs="Times New Roman"/>
          <w:sz w:val="24"/>
          <w:szCs w:val="24"/>
        </w:rPr>
        <w:t>buvo</w:t>
      </w:r>
      <w:proofErr w:type="spellEnd"/>
      <w:r w:rsidRPr="004C42D2">
        <w:rPr>
          <w:rFonts w:ascii="Times New Roman" w:eastAsia="Arial" w:hAnsi="Times New Roman" w:cs="Times New Roman"/>
          <w:sz w:val="24"/>
          <w:szCs w:val="24"/>
        </w:rPr>
        <w:t xml:space="preserve"> </w:t>
      </w:r>
      <w:proofErr w:type="spellStart"/>
      <w:r w:rsidRPr="004C42D2">
        <w:rPr>
          <w:rFonts w:ascii="Times New Roman" w:eastAsia="Arial" w:hAnsi="Times New Roman" w:cs="Times New Roman"/>
          <w:sz w:val="24"/>
          <w:szCs w:val="24"/>
        </w:rPr>
        <w:t>pasiektas</w:t>
      </w:r>
      <w:proofErr w:type="spellEnd"/>
      <w:r w:rsidRPr="004C42D2">
        <w:rPr>
          <w:rFonts w:ascii="Times New Roman" w:eastAsia="Arial" w:hAnsi="Times New Roman" w:cs="Times New Roman"/>
          <w:sz w:val="24"/>
          <w:szCs w:val="24"/>
        </w:rPr>
        <w:t xml:space="preserve"> EASI75 </w:t>
      </w:r>
      <w:proofErr w:type="spellStart"/>
      <w:r w:rsidRPr="004C42D2">
        <w:rPr>
          <w:rFonts w:ascii="Times New Roman" w:eastAsia="Arial" w:hAnsi="Times New Roman" w:cs="Times New Roman"/>
          <w:sz w:val="24"/>
          <w:szCs w:val="24"/>
        </w:rPr>
        <w:t>atsakas</w:t>
      </w:r>
      <w:proofErr w:type="spellEnd"/>
      <w:r w:rsidRPr="004C42D2">
        <w:rPr>
          <w:rFonts w:ascii="Times New Roman" w:eastAsia="Arial" w:hAnsi="Times New Roman" w:cs="Times New Roman"/>
          <w:sz w:val="24"/>
          <w:szCs w:val="24"/>
        </w:rPr>
        <w:t xml:space="preserve"> 16 </w:t>
      </w:r>
      <w:proofErr w:type="spellStart"/>
      <w:r w:rsidRPr="004C42D2">
        <w:rPr>
          <w:rFonts w:ascii="Times New Roman" w:eastAsia="Arial" w:hAnsi="Times New Roman" w:cs="Times New Roman"/>
          <w:sz w:val="24"/>
          <w:szCs w:val="24"/>
        </w:rPr>
        <w:t>savaitę</w:t>
      </w:r>
      <w:proofErr w:type="spellEnd"/>
      <w:r w:rsidRPr="004C42D2">
        <w:rPr>
          <w:rFonts w:ascii="Times New Roman" w:eastAsia="Arial" w:hAnsi="Times New Roman" w:cs="Times New Roman"/>
          <w:sz w:val="24"/>
          <w:szCs w:val="24"/>
        </w:rPr>
        <w:t xml:space="preserve">, </w:t>
      </w:r>
      <w:proofErr w:type="spellStart"/>
      <w:r w:rsidRPr="004C42D2">
        <w:rPr>
          <w:rFonts w:ascii="Times New Roman" w:eastAsia="Arial" w:hAnsi="Times New Roman" w:cs="Times New Roman"/>
          <w:sz w:val="24"/>
          <w:szCs w:val="24"/>
        </w:rPr>
        <w:t>dalis</w:t>
      </w:r>
      <w:proofErr w:type="spellEnd"/>
      <w:r w:rsidRPr="004C42D2">
        <w:rPr>
          <w:rFonts w:ascii="Times New Roman" w:eastAsia="Arial" w:hAnsi="Times New Roman" w:cs="Times New Roman"/>
          <w:sz w:val="24"/>
          <w:szCs w:val="24"/>
        </w:rPr>
        <w:t xml:space="preserve"> </w:t>
      </w:r>
      <w:proofErr w:type="spellStart"/>
      <w:r w:rsidRPr="004C42D2">
        <w:rPr>
          <w:rFonts w:ascii="Times New Roman" w:eastAsia="Arial" w:hAnsi="Times New Roman" w:cs="Times New Roman"/>
          <w:sz w:val="24"/>
          <w:szCs w:val="24"/>
        </w:rPr>
        <w:t>buvo</w:t>
      </w:r>
      <w:proofErr w:type="spellEnd"/>
      <w:r w:rsidRPr="004C42D2">
        <w:rPr>
          <w:rFonts w:ascii="Times New Roman" w:eastAsia="Arial" w:hAnsi="Times New Roman" w:cs="Times New Roman"/>
          <w:sz w:val="24"/>
          <w:szCs w:val="24"/>
        </w:rPr>
        <w:t xml:space="preserve"> </w:t>
      </w:r>
      <w:proofErr w:type="spellStart"/>
      <w:r w:rsidRPr="004C42D2">
        <w:rPr>
          <w:rFonts w:ascii="Times New Roman" w:eastAsia="Arial" w:hAnsi="Times New Roman" w:cs="Times New Roman"/>
          <w:sz w:val="24"/>
          <w:szCs w:val="24"/>
        </w:rPr>
        <w:t>žymiai</w:t>
      </w:r>
      <w:proofErr w:type="spellEnd"/>
      <w:r w:rsidRPr="004C42D2">
        <w:rPr>
          <w:rFonts w:ascii="Times New Roman" w:eastAsia="Arial" w:hAnsi="Times New Roman" w:cs="Times New Roman"/>
          <w:sz w:val="24"/>
          <w:szCs w:val="24"/>
        </w:rPr>
        <w:t xml:space="preserve"> </w:t>
      </w:r>
      <w:proofErr w:type="spellStart"/>
      <w:r w:rsidRPr="004C42D2">
        <w:rPr>
          <w:rFonts w:ascii="Times New Roman" w:eastAsia="Arial" w:hAnsi="Times New Roman" w:cs="Times New Roman"/>
          <w:sz w:val="24"/>
          <w:szCs w:val="24"/>
        </w:rPr>
        <w:t>didesnė</w:t>
      </w:r>
      <w:proofErr w:type="spellEnd"/>
      <w:r w:rsidRPr="004C42D2">
        <w:rPr>
          <w:rFonts w:ascii="Times New Roman" w:eastAsia="Arial" w:hAnsi="Times New Roman" w:cs="Times New Roman"/>
          <w:sz w:val="24"/>
          <w:szCs w:val="24"/>
        </w:rPr>
        <w:t xml:space="preserve"> </w:t>
      </w:r>
      <w:proofErr w:type="spellStart"/>
      <w:r w:rsidRPr="004C42D2">
        <w:rPr>
          <w:rFonts w:ascii="Times New Roman" w:eastAsia="Arial" w:hAnsi="Times New Roman" w:cs="Times New Roman"/>
          <w:sz w:val="24"/>
          <w:szCs w:val="24"/>
        </w:rPr>
        <w:t>upadacitinibo</w:t>
      </w:r>
      <w:proofErr w:type="spellEnd"/>
      <w:r w:rsidRPr="004C42D2">
        <w:rPr>
          <w:rFonts w:ascii="Times New Roman" w:eastAsia="Arial" w:hAnsi="Times New Roman" w:cs="Times New Roman"/>
          <w:sz w:val="24"/>
          <w:szCs w:val="24"/>
        </w:rPr>
        <w:t xml:space="preserve"> 15 mg </w:t>
      </w:r>
      <w:proofErr w:type="spellStart"/>
      <w:r w:rsidRPr="004C42D2">
        <w:rPr>
          <w:rFonts w:ascii="Times New Roman" w:eastAsia="Arial" w:hAnsi="Times New Roman" w:cs="Times New Roman"/>
          <w:sz w:val="24"/>
          <w:szCs w:val="24"/>
        </w:rPr>
        <w:t>grupėje</w:t>
      </w:r>
      <w:proofErr w:type="spellEnd"/>
      <w:r w:rsidRPr="004C42D2">
        <w:rPr>
          <w:rFonts w:ascii="Times New Roman" w:eastAsia="Arial" w:hAnsi="Times New Roman" w:cs="Times New Roman"/>
          <w:sz w:val="24"/>
          <w:szCs w:val="24"/>
        </w:rPr>
        <w:t xml:space="preserve"> (196 [70%] </w:t>
      </w:r>
      <w:proofErr w:type="spellStart"/>
      <w:r w:rsidRPr="004C42D2">
        <w:rPr>
          <w:rFonts w:ascii="Times New Roman" w:eastAsia="Arial" w:hAnsi="Times New Roman" w:cs="Times New Roman"/>
          <w:sz w:val="24"/>
          <w:szCs w:val="24"/>
        </w:rPr>
        <w:t>iš</w:t>
      </w:r>
      <w:proofErr w:type="spellEnd"/>
      <w:r w:rsidRPr="004C42D2">
        <w:rPr>
          <w:rFonts w:ascii="Times New Roman" w:eastAsia="Arial" w:hAnsi="Times New Roman" w:cs="Times New Roman"/>
          <w:sz w:val="24"/>
          <w:szCs w:val="24"/>
        </w:rPr>
        <w:t xml:space="preserve"> 281 </w:t>
      </w:r>
      <w:proofErr w:type="spellStart"/>
      <w:r w:rsidRPr="004C42D2">
        <w:rPr>
          <w:rFonts w:ascii="Times New Roman" w:eastAsia="Arial" w:hAnsi="Times New Roman" w:cs="Times New Roman"/>
          <w:sz w:val="24"/>
          <w:szCs w:val="24"/>
        </w:rPr>
        <w:t>paciento</w:t>
      </w:r>
      <w:proofErr w:type="spellEnd"/>
      <w:r w:rsidRPr="004C42D2">
        <w:rPr>
          <w:rFonts w:ascii="Times New Roman" w:eastAsia="Arial" w:hAnsi="Times New Roman" w:cs="Times New Roman"/>
          <w:sz w:val="24"/>
          <w:szCs w:val="24"/>
        </w:rPr>
        <w:t xml:space="preserve">) </w:t>
      </w:r>
      <w:proofErr w:type="spellStart"/>
      <w:r w:rsidRPr="004C42D2">
        <w:rPr>
          <w:rFonts w:ascii="Times New Roman" w:eastAsia="Arial" w:hAnsi="Times New Roman" w:cs="Times New Roman"/>
          <w:sz w:val="24"/>
          <w:szCs w:val="24"/>
        </w:rPr>
        <w:t>ir</w:t>
      </w:r>
      <w:proofErr w:type="spellEnd"/>
      <w:r w:rsidRPr="004C42D2">
        <w:rPr>
          <w:rFonts w:ascii="Times New Roman" w:eastAsia="Arial" w:hAnsi="Times New Roman" w:cs="Times New Roman"/>
          <w:sz w:val="24"/>
          <w:szCs w:val="24"/>
        </w:rPr>
        <w:t xml:space="preserve"> 30 mg </w:t>
      </w:r>
      <w:proofErr w:type="spellStart"/>
      <w:r w:rsidRPr="004C42D2">
        <w:rPr>
          <w:rFonts w:ascii="Times New Roman" w:eastAsia="Arial" w:hAnsi="Times New Roman" w:cs="Times New Roman"/>
          <w:sz w:val="24"/>
          <w:szCs w:val="24"/>
        </w:rPr>
        <w:t>upadacitinibo</w:t>
      </w:r>
      <w:proofErr w:type="spellEnd"/>
      <w:r w:rsidRPr="004C42D2">
        <w:rPr>
          <w:rFonts w:ascii="Times New Roman" w:eastAsia="Arial" w:hAnsi="Times New Roman" w:cs="Times New Roman"/>
          <w:sz w:val="24"/>
          <w:szCs w:val="24"/>
        </w:rPr>
        <w:t xml:space="preserve"> </w:t>
      </w:r>
      <w:proofErr w:type="spellStart"/>
      <w:r w:rsidRPr="004C42D2">
        <w:rPr>
          <w:rFonts w:ascii="Times New Roman" w:eastAsia="Arial" w:hAnsi="Times New Roman" w:cs="Times New Roman"/>
          <w:sz w:val="24"/>
          <w:szCs w:val="24"/>
        </w:rPr>
        <w:t>grupėje</w:t>
      </w:r>
      <w:proofErr w:type="spellEnd"/>
      <w:r w:rsidRPr="004C42D2">
        <w:rPr>
          <w:rFonts w:ascii="Times New Roman" w:eastAsia="Arial" w:hAnsi="Times New Roman" w:cs="Times New Roman"/>
          <w:sz w:val="24"/>
          <w:szCs w:val="24"/>
        </w:rPr>
        <w:t xml:space="preserve"> (227 [80%] </w:t>
      </w:r>
      <w:proofErr w:type="spellStart"/>
      <w:r w:rsidRPr="004C42D2">
        <w:rPr>
          <w:rFonts w:ascii="Times New Roman" w:eastAsia="Arial" w:hAnsi="Times New Roman" w:cs="Times New Roman"/>
          <w:sz w:val="24"/>
          <w:szCs w:val="24"/>
        </w:rPr>
        <w:t>iš</w:t>
      </w:r>
      <w:proofErr w:type="spellEnd"/>
      <w:r w:rsidRPr="004C42D2">
        <w:rPr>
          <w:rFonts w:ascii="Times New Roman" w:eastAsia="Arial" w:hAnsi="Times New Roman" w:cs="Times New Roman"/>
          <w:sz w:val="24"/>
          <w:szCs w:val="24"/>
        </w:rPr>
        <w:t xml:space="preserve"> 285 </w:t>
      </w:r>
      <w:proofErr w:type="spellStart"/>
      <w:r w:rsidRPr="004C42D2">
        <w:rPr>
          <w:rFonts w:ascii="Times New Roman" w:eastAsia="Arial" w:hAnsi="Times New Roman" w:cs="Times New Roman"/>
          <w:sz w:val="24"/>
          <w:szCs w:val="24"/>
        </w:rPr>
        <w:t>pacientų</w:t>
      </w:r>
      <w:proofErr w:type="spellEnd"/>
      <w:r w:rsidRPr="004C42D2">
        <w:rPr>
          <w:rFonts w:ascii="Times New Roman" w:eastAsia="Arial" w:hAnsi="Times New Roman" w:cs="Times New Roman"/>
          <w:sz w:val="24"/>
          <w:szCs w:val="24"/>
        </w:rPr>
        <w:t xml:space="preserve">) </w:t>
      </w:r>
      <w:proofErr w:type="spellStart"/>
      <w:r w:rsidRPr="004C42D2">
        <w:rPr>
          <w:rFonts w:ascii="Times New Roman" w:eastAsia="Arial" w:hAnsi="Times New Roman" w:cs="Times New Roman"/>
          <w:sz w:val="24"/>
          <w:szCs w:val="24"/>
        </w:rPr>
        <w:t>nei</w:t>
      </w:r>
      <w:proofErr w:type="spellEnd"/>
      <w:r w:rsidRPr="004C42D2">
        <w:rPr>
          <w:rFonts w:ascii="Times New Roman" w:eastAsia="Arial" w:hAnsi="Times New Roman" w:cs="Times New Roman"/>
          <w:sz w:val="24"/>
          <w:szCs w:val="24"/>
        </w:rPr>
        <w:t xml:space="preserve"> placebo </w:t>
      </w:r>
      <w:proofErr w:type="spellStart"/>
      <w:r w:rsidRPr="004C42D2">
        <w:rPr>
          <w:rFonts w:ascii="Times New Roman" w:eastAsia="Arial" w:hAnsi="Times New Roman" w:cs="Times New Roman"/>
          <w:sz w:val="24"/>
          <w:szCs w:val="24"/>
        </w:rPr>
        <w:t>grupėje</w:t>
      </w:r>
      <w:proofErr w:type="spellEnd"/>
      <w:r w:rsidRPr="004C42D2">
        <w:rPr>
          <w:rFonts w:ascii="Times New Roman" w:eastAsia="Arial" w:hAnsi="Times New Roman" w:cs="Times New Roman"/>
          <w:sz w:val="24"/>
          <w:szCs w:val="24"/>
        </w:rPr>
        <w:t xml:space="preserve"> (46 [16%] </w:t>
      </w:r>
      <w:proofErr w:type="spellStart"/>
      <w:r w:rsidRPr="004C42D2">
        <w:rPr>
          <w:rFonts w:ascii="Times New Roman" w:eastAsia="Arial" w:hAnsi="Times New Roman" w:cs="Times New Roman"/>
          <w:sz w:val="24"/>
          <w:szCs w:val="24"/>
        </w:rPr>
        <w:t>iš</w:t>
      </w:r>
      <w:proofErr w:type="spellEnd"/>
      <w:r w:rsidRPr="004C42D2">
        <w:rPr>
          <w:rFonts w:ascii="Times New Roman" w:eastAsia="Arial" w:hAnsi="Times New Roman" w:cs="Times New Roman"/>
          <w:sz w:val="24"/>
          <w:szCs w:val="24"/>
        </w:rPr>
        <w:t xml:space="preserve"> 281 </w:t>
      </w:r>
      <w:proofErr w:type="spellStart"/>
      <w:r w:rsidRPr="004C42D2">
        <w:rPr>
          <w:rFonts w:ascii="Times New Roman" w:eastAsia="Arial" w:hAnsi="Times New Roman" w:cs="Times New Roman"/>
          <w:sz w:val="24"/>
          <w:szCs w:val="24"/>
        </w:rPr>
        <w:t>paciento</w:t>
      </w:r>
      <w:proofErr w:type="spellEnd"/>
      <w:r w:rsidRPr="004C42D2">
        <w:rPr>
          <w:rFonts w:ascii="Times New Roman" w:eastAsia="Arial" w:hAnsi="Times New Roman" w:cs="Times New Roman"/>
          <w:sz w:val="24"/>
          <w:szCs w:val="24"/>
        </w:rPr>
        <w:t xml:space="preserve">); </w:t>
      </w:r>
      <w:proofErr w:type="spellStart"/>
      <w:r w:rsidRPr="004C42D2">
        <w:rPr>
          <w:rFonts w:ascii="Times New Roman" w:eastAsia="Arial" w:hAnsi="Times New Roman" w:cs="Times New Roman"/>
          <w:sz w:val="24"/>
          <w:szCs w:val="24"/>
        </w:rPr>
        <w:t>pakoreguotas</w:t>
      </w:r>
      <w:proofErr w:type="spellEnd"/>
      <w:r w:rsidRPr="004C42D2">
        <w:rPr>
          <w:rFonts w:ascii="Times New Roman" w:eastAsia="Arial" w:hAnsi="Times New Roman" w:cs="Times New Roman"/>
          <w:sz w:val="24"/>
          <w:szCs w:val="24"/>
        </w:rPr>
        <w:t xml:space="preserve"> EASI75 </w:t>
      </w:r>
      <w:proofErr w:type="spellStart"/>
      <w:r w:rsidRPr="004C42D2">
        <w:rPr>
          <w:rFonts w:ascii="Times New Roman" w:eastAsia="Arial" w:hAnsi="Times New Roman" w:cs="Times New Roman"/>
          <w:sz w:val="24"/>
          <w:szCs w:val="24"/>
        </w:rPr>
        <w:t>atsako</w:t>
      </w:r>
      <w:proofErr w:type="spellEnd"/>
      <w:r w:rsidRPr="004C42D2">
        <w:rPr>
          <w:rFonts w:ascii="Times New Roman" w:eastAsia="Arial" w:hAnsi="Times New Roman" w:cs="Times New Roman"/>
          <w:sz w:val="24"/>
          <w:szCs w:val="24"/>
        </w:rPr>
        <w:t xml:space="preserve"> </w:t>
      </w:r>
      <w:proofErr w:type="spellStart"/>
      <w:r w:rsidRPr="004C42D2">
        <w:rPr>
          <w:rFonts w:ascii="Times New Roman" w:eastAsia="Arial" w:hAnsi="Times New Roman" w:cs="Times New Roman"/>
          <w:sz w:val="24"/>
          <w:szCs w:val="24"/>
        </w:rPr>
        <w:t>dažnio</w:t>
      </w:r>
      <w:proofErr w:type="spellEnd"/>
      <w:r w:rsidRPr="004C42D2">
        <w:rPr>
          <w:rFonts w:ascii="Times New Roman" w:eastAsia="Arial" w:hAnsi="Times New Roman" w:cs="Times New Roman"/>
          <w:sz w:val="24"/>
          <w:szCs w:val="24"/>
        </w:rPr>
        <w:t xml:space="preserve"> </w:t>
      </w:r>
      <w:proofErr w:type="spellStart"/>
      <w:r w:rsidRPr="004C42D2">
        <w:rPr>
          <w:rFonts w:ascii="Times New Roman" w:eastAsia="Arial" w:hAnsi="Times New Roman" w:cs="Times New Roman"/>
          <w:sz w:val="24"/>
          <w:szCs w:val="24"/>
        </w:rPr>
        <w:t>skirtumas</w:t>
      </w:r>
      <w:proofErr w:type="spellEnd"/>
      <w:r w:rsidRPr="004C42D2">
        <w:rPr>
          <w:rFonts w:ascii="Times New Roman" w:eastAsia="Arial" w:hAnsi="Times New Roman" w:cs="Times New Roman"/>
          <w:sz w:val="24"/>
          <w:szCs w:val="24"/>
        </w:rPr>
        <w:t xml:space="preserve"> tarp placebo </w:t>
      </w:r>
      <w:proofErr w:type="spellStart"/>
      <w:r w:rsidRPr="004C42D2">
        <w:rPr>
          <w:rFonts w:ascii="Times New Roman" w:eastAsia="Arial" w:hAnsi="Times New Roman" w:cs="Times New Roman"/>
          <w:sz w:val="24"/>
          <w:szCs w:val="24"/>
        </w:rPr>
        <w:t>ir</w:t>
      </w:r>
      <w:proofErr w:type="spellEnd"/>
      <w:r w:rsidRPr="004C42D2">
        <w:rPr>
          <w:rFonts w:ascii="Times New Roman" w:eastAsia="Arial" w:hAnsi="Times New Roman" w:cs="Times New Roman"/>
          <w:sz w:val="24"/>
          <w:szCs w:val="24"/>
        </w:rPr>
        <w:t xml:space="preserve"> 15 mg </w:t>
      </w:r>
      <w:proofErr w:type="spellStart"/>
      <w:r w:rsidRPr="004C42D2">
        <w:rPr>
          <w:rFonts w:ascii="Times New Roman" w:eastAsia="Arial" w:hAnsi="Times New Roman" w:cs="Times New Roman"/>
          <w:sz w:val="24"/>
          <w:szCs w:val="24"/>
        </w:rPr>
        <w:t>upadacitinibo</w:t>
      </w:r>
      <w:proofErr w:type="spellEnd"/>
      <w:r w:rsidRPr="004C42D2">
        <w:rPr>
          <w:rFonts w:ascii="Times New Roman" w:eastAsia="Arial" w:hAnsi="Times New Roman" w:cs="Times New Roman"/>
          <w:sz w:val="24"/>
          <w:szCs w:val="24"/>
        </w:rPr>
        <w:t xml:space="preserve"> </w:t>
      </w:r>
      <w:proofErr w:type="spellStart"/>
      <w:r w:rsidRPr="004C42D2">
        <w:rPr>
          <w:rFonts w:ascii="Times New Roman" w:eastAsia="Arial" w:hAnsi="Times New Roman" w:cs="Times New Roman"/>
          <w:sz w:val="24"/>
          <w:szCs w:val="24"/>
        </w:rPr>
        <w:t>grupės</w:t>
      </w:r>
      <w:proofErr w:type="spellEnd"/>
      <w:r w:rsidRPr="004C42D2">
        <w:rPr>
          <w:rFonts w:ascii="Times New Roman" w:eastAsia="Arial" w:hAnsi="Times New Roman" w:cs="Times New Roman"/>
          <w:sz w:val="24"/>
          <w:szCs w:val="24"/>
        </w:rPr>
        <w:t xml:space="preserve"> </w:t>
      </w:r>
      <w:proofErr w:type="spellStart"/>
      <w:r w:rsidRPr="004C42D2">
        <w:rPr>
          <w:rFonts w:ascii="Times New Roman" w:eastAsia="Arial" w:hAnsi="Times New Roman" w:cs="Times New Roman"/>
          <w:sz w:val="24"/>
          <w:szCs w:val="24"/>
        </w:rPr>
        <w:t>buvo</w:t>
      </w:r>
      <w:proofErr w:type="spellEnd"/>
      <w:r w:rsidRPr="004C42D2">
        <w:rPr>
          <w:rFonts w:ascii="Times New Roman" w:eastAsia="Arial" w:hAnsi="Times New Roman" w:cs="Times New Roman"/>
          <w:sz w:val="24"/>
          <w:szCs w:val="24"/>
        </w:rPr>
        <w:t xml:space="preserve"> 53,3 % (95 % PI 46,4–60,2; p&lt;0,0001) </w:t>
      </w:r>
      <w:proofErr w:type="spellStart"/>
      <w:r w:rsidRPr="004C42D2">
        <w:rPr>
          <w:rFonts w:ascii="Times New Roman" w:eastAsia="Arial" w:hAnsi="Times New Roman" w:cs="Times New Roman"/>
          <w:sz w:val="24"/>
          <w:szCs w:val="24"/>
        </w:rPr>
        <w:t>ir</w:t>
      </w:r>
      <w:proofErr w:type="spellEnd"/>
      <w:r w:rsidRPr="004C42D2">
        <w:rPr>
          <w:rFonts w:ascii="Times New Roman" w:eastAsia="Arial" w:hAnsi="Times New Roman" w:cs="Times New Roman"/>
          <w:sz w:val="24"/>
          <w:szCs w:val="24"/>
        </w:rPr>
        <w:t xml:space="preserve"> 63,4 % (95 % PI 57,1–69,8; p&lt;0,0001) </w:t>
      </w:r>
      <w:proofErr w:type="spellStart"/>
      <w:r w:rsidRPr="004C42D2">
        <w:rPr>
          <w:rFonts w:ascii="Times New Roman" w:eastAsia="Arial" w:hAnsi="Times New Roman" w:cs="Times New Roman"/>
          <w:sz w:val="24"/>
          <w:szCs w:val="24"/>
        </w:rPr>
        <w:t>upadacitinibo</w:t>
      </w:r>
      <w:proofErr w:type="spellEnd"/>
      <w:r w:rsidRPr="004C42D2">
        <w:rPr>
          <w:rFonts w:ascii="Times New Roman" w:eastAsia="Arial" w:hAnsi="Times New Roman" w:cs="Times New Roman"/>
          <w:sz w:val="24"/>
          <w:szCs w:val="24"/>
        </w:rPr>
        <w:t xml:space="preserve"> 30 mg </w:t>
      </w:r>
      <w:proofErr w:type="spellStart"/>
      <w:r w:rsidRPr="004C42D2">
        <w:rPr>
          <w:rFonts w:ascii="Times New Roman" w:eastAsia="Arial" w:hAnsi="Times New Roman" w:cs="Times New Roman"/>
          <w:sz w:val="24"/>
          <w:szCs w:val="24"/>
        </w:rPr>
        <w:t>grupėje</w:t>
      </w:r>
      <w:proofErr w:type="spellEnd"/>
      <w:r w:rsidRPr="004C42D2">
        <w:rPr>
          <w:rFonts w:ascii="Times New Roman" w:eastAsia="Arial" w:hAnsi="Times New Roman" w:cs="Times New Roman"/>
          <w:sz w:val="24"/>
          <w:szCs w:val="24"/>
        </w:rPr>
        <w:t xml:space="preserve">. Measure Up 2 </w:t>
      </w:r>
      <w:proofErr w:type="spellStart"/>
      <w:r w:rsidRPr="004C42D2">
        <w:rPr>
          <w:rFonts w:ascii="Times New Roman" w:eastAsia="Arial" w:hAnsi="Times New Roman" w:cs="Times New Roman"/>
          <w:sz w:val="24"/>
          <w:szCs w:val="24"/>
        </w:rPr>
        <w:t>tyrime</w:t>
      </w:r>
      <w:proofErr w:type="spellEnd"/>
      <w:r w:rsidRPr="004C42D2">
        <w:rPr>
          <w:rFonts w:ascii="Times New Roman" w:eastAsia="Arial" w:hAnsi="Times New Roman" w:cs="Times New Roman"/>
          <w:sz w:val="24"/>
          <w:szCs w:val="24"/>
        </w:rPr>
        <w:t xml:space="preserve">, </w:t>
      </w:r>
      <w:proofErr w:type="spellStart"/>
      <w:r w:rsidRPr="004C42D2">
        <w:rPr>
          <w:rFonts w:ascii="Times New Roman" w:eastAsia="Arial" w:hAnsi="Times New Roman" w:cs="Times New Roman"/>
          <w:sz w:val="24"/>
          <w:szCs w:val="24"/>
        </w:rPr>
        <w:t>pacientų</w:t>
      </w:r>
      <w:proofErr w:type="spellEnd"/>
      <w:r w:rsidRPr="004C42D2">
        <w:rPr>
          <w:rFonts w:ascii="Times New Roman" w:eastAsia="Arial" w:hAnsi="Times New Roman" w:cs="Times New Roman"/>
          <w:sz w:val="24"/>
          <w:szCs w:val="24"/>
        </w:rPr>
        <w:t xml:space="preserve">, </w:t>
      </w:r>
      <w:proofErr w:type="spellStart"/>
      <w:r w:rsidRPr="004C42D2">
        <w:rPr>
          <w:rFonts w:ascii="Times New Roman" w:eastAsia="Arial" w:hAnsi="Times New Roman" w:cs="Times New Roman"/>
          <w:sz w:val="24"/>
          <w:szCs w:val="24"/>
        </w:rPr>
        <w:t>kuriems</w:t>
      </w:r>
      <w:proofErr w:type="spellEnd"/>
      <w:r w:rsidRPr="004C42D2">
        <w:rPr>
          <w:rFonts w:ascii="Times New Roman" w:eastAsia="Arial" w:hAnsi="Times New Roman" w:cs="Times New Roman"/>
          <w:sz w:val="24"/>
          <w:szCs w:val="24"/>
        </w:rPr>
        <w:t xml:space="preserve"> </w:t>
      </w:r>
      <w:proofErr w:type="spellStart"/>
      <w:r w:rsidRPr="004C42D2">
        <w:rPr>
          <w:rFonts w:ascii="Times New Roman" w:eastAsia="Arial" w:hAnsi="Times New Roman" w:cs="Times New Roman"/>
          <w:sz w:val="24"/>
          <w:szCs w:val="24"/>
        </w:rPr>
        <w:t>buvo</w:t>
      </w:r>
      <w:proofErr w:type="spellEnd"/>
      <w:r w:rsidRPr="004C42D2">
        <w:rPr>
          <w:rFonts w:ascii="Times New Roman" w:eastAsia="Arial" w:hAnsi="Times New Roman" w:cs="Times New Roman"/>
          <w:sz w:val="24"/>
          <w:szCs w:val="24"/>
        </w:rPr>
        <w:t xml:space="preserve"> </w:t>
      </w:r>
      <w:proofErr w:type="spellStart"/>
      <w:r w:rsidRPr="004C42D2">
        <w:rPr>
          <w:rFonts w:ascii="Times New Roman" w:eastAsia="Arial" w:hAnsi="Times New Roman" w:cs="Times New Roman"/>
          <w:sz w:val="24"/>
          <w:szCs w:val="24"/>
        </w:rPr>
        <w:t>pasiektas</w:t>
      </w:r>
      <w:proofErr w:type="spellEnd"/>
      <w:r w:rsidRPr="004C42D2">
        <w:rPr>
          <w:rFonts w:ascii="Times New Roman" w:eastAsia="Arial" w:hAnsi="Times New Roman" w:cs="Times New Roman"/>
          <w:sz w:val="24"/>
          <w:szCs w:val="24"/>
        </w:rPr>
        <w:t xml:space="preserve"> EASI75 </w:t>
      </w:r>
      <w:proofErr w:type="spellStart"/>
      <w:r w:rsidRPr="004C42D2">
        <w:rPr>
          <w:rFonts w:ascii="Times New Roman" w:eastAsia="Arial" w:hAnsi="Times New Roman" w:cs="Times New Roman"/>
          <w:sz w:val="24"/>
          <w:szCs w:val="24"/>
        </w:rPr>
        <w:t>atsakas</w:t>
      </w:r>
      <w:proofErr w:type="spellEnd"/>
      <w:r w:rsidRPr="004C42D2">
        <w:rPr>
          <w:rFonts w:ascii="Times New Roman" w:eastAsia="Arial" w:hAnsi="Times New Roman" w:cs="Times New Roman"/>
          <w:sz w:val="24"/>
          <w:szCs w:val="24"/>
        </w:rPr>
        <w:t xml:space="preserve"> 16 </w:t>
      </w:r>
      <w:proofErr w:type="spellStart"/>
      <w:r w:rsidRPr="004C42D2">
        <w:rPr>
          <w:rFonts w:ascii="Times New Roman" w:eastAsia="Arial" w:hAnsi="Times New Roman" w:cs="Times New Roman"/>
          <w:sz w:val="24"/>
          <w:szCs w:val="24"/>
        </w:rPr>
        <w:t>savaitę</w:t>
      </w:r>
      <w:proofErr w:type="spellEnd"/>
      <w:r w:rsidRPr="004C42D2">
        <w:rPr>
          <w:rFonts w:ascii="Times New Roman" w:eastAsia="Arial" w:hAnsi="Times New Roman" w:cs="Times New Roman"/>
          <w:sz w:val="24"/>
          <w:szCs w:val="24"/>
        </w:rPr>
        <w:t xml:space="preserve">, </w:t>
      </w:r>
      <w:proofErr w:type="spellStart"/>
      <w:r w:rsidRPr="004C42D2">
        <w:rPr>
          <w:rFonts w:ascii="Times New Roman" w:eastAsia="Arial" w:hAnsi="Times New Roman" w:cs="Times New Roman"/>
          <w:sz w:val="24"/>
          <w:szCs w:val="24"/>
        </w:rPr>
        <w:t>dalis</w:t>
      </w:r>
      <w:proofErr w:type="spellEnd"/>
      <w:r w:rsidRPr="004C42D2">
        <w:rPr>
          <w:rFonts w:ascii="Times New Roman" w:eastAsia="Arial" w:hAnsi="Times New Roman" w:cs="Times New Roman"/>
          <w:sz w:val="24"/>
          <w:szCs w:val="24"/>
        </w:rPr>
        <w:t xml:space="preserve"> </w:t>
      </w:r>
      <w:proofErr w:type="spellStart"/>
      <w:r w:rsidRPr="004C42D2">
        <w:rPr>
          <w:rFonts w:ascii="Times New Roman" w:eastAsia="Arial" w:hAnsi="Times New Roman" w:cs="Times New Roman"/>
          <w:sz w:val="24"/>
          <w:szCs w:val="24"/>
        </w:rPr>
        <w:t>buvo</w:t>
      </w:r>
      <w:proofErr w:type="spellEnd"/>
      <w:r w:rsidRPr="004C42D2">
        <w:rPr>
          <w:rFonts w:ascii="Times New Roman" w:eastAsia="Arial" w:hAnsi="Times New Roman" w:cs="Times New Roman"/>
          <w:sz w:val="24"/>
          <w:szCs w:val="24"/>
        </w:rPr>
        <w:t xml:space="preserve"> </w:t>
      </w:r>
      <w:proofErr w:type="spellStart"/>
      <w:r w:rsidRPr="004C42D2">
        <w:rPr>
          <w:rFonts w:ascii="Times New Roman" w:eastAsia="Arial" w:hAnsi="Times New Roman" w:cs="Times New Roman"/>
          <w:sz w:val="24"/>
          <w:szCs w:val="24"/>
        </w:rPr>
        <w:t>žymiai</w:t>
      </w:r>
      <w:proofErr w:type="spellEnd"/>
      <w:r w:rsidRPr="004C42D2">
        <w:rPr>
          <w:rFonts w:ascii="Times New Roman" w:eastAsia="Arial" w:hAnsi="Times New Roman" w:cs="Times New Roman"/>
          <w:sz w:val="24"/>
          <w:szCs w:val="24"/>
        </w:rPr>
        <w:t xml:space="preserve"> </w:t>
      </w:r>
      <w:proofErr w:type="spellStart"/>
      <w:r w:rsidRPr="004C42D2">
        <w:rPr>
          <w:rFonts w:ascii="Times New Roman" w:eastAsia="Arial" w:hAnsi="Times New Roman" w:cs="Times New Roman"/>
          <w:sz w:val="24"/>
          <w:szCs w:val="24"/>
        </w:rPr>
        <w:t>didesnė</w:t>
      </w:r>
      <w:proofErr w:type="spellEnd"/>
      <w:r w:rsidRPr="004C42D2">
        <w:rPr>
          <w:rFonts w:ascii="Times New Roman" w:eastAsia="Arial" w:hAnsi="Times New Roman" w:cs="Times New Roman"/>
          <w:sz w:val="24"/>
          <w:szCs w:val="24"/>
        </w:rPr>
        <w:t xml:space="preserve"> </w:t>
      </w:r>
      <w:proofErr w:type="spellStart"/>
      <w:r w:rsidRPr="004C42D2">
        <w:rPr>
          <w:rFonts w:ascii="Times New Roman" w:eastAsia="Arial" w:hAnsi="Times New Roman" w:cs="Times New Roman"/>
          <w:sz w:val="24"/>
          <w:szCs w:val="24"/>
        </w:rPr>
        <w:t>upadacitinibo</w:t>
      </w:r>
      <w:proofErr w:type="spellEnd"/>
      <w:r w:rsidRPr="004C42D2">
        <w:rPr>
          <w:rFonts w:ascii="Times New Roman" w:eastAsia="Arial" w:hAnsi="Times New Roman" w:cs="Times New Roman"/>
          <w:sz w:val="24"/>
          <w:szCs w:val="24"/>
        </w:rPr>
        <w:t xml:space="preserve"> 15 mg </w:t>
      </w:r>
      <w:proofErr w:type="spellStart"/>
      <w:r w:rsidRPr="004C42D2">
        <w:rPr>
          <w:rFonts w:ascii="Times New Roman" w:eastAsia="Arial" w:hAnsi="Times New Roman" w:cs="Times New Roman"/>
          <w:sz w:val="24"/>
          <w:szCs w:val="24"/>
        </w:rPr>
        <w:t>grupėje</w:t>
      </w:r>
      <w:proofErr w:type="spellEnd"/>
      <w:r w:rsidRPr="004C42D2">
        <w:rPr>
          <w:rFonts w:ascii="Times New Roman" w:eastAsia="Arial" w:hAnsi="Times New Roman" w:cs="Times New Roman"/>
          <w:sz w:val="24"/>
          <w:szCs w:val="24"/>
        </w:rPr>
        <w:t xml:space="preserve"> (166 [60%] </w:t>
      </w:r>
      <w:proofErr w:type="spellStart"/>
      <w:r w:rsidRPr="004C42D2">
        <w:rPr>
          <w:rFonts w:ascii="Times New Roman" w:eastAsia="Arial" w:hAnsi="Times New Roman" w:cs="Times New Roman"/>
          <w:sz w:val="24"/>
          <w:szCs w:val="24"/>
        </w:rPr>
        <w:t>iš</w:t>
      </w:r>
      <w:proofErr w:type="spellEnd"/>
      <w:r w:rsidRPr="004C42D2">
        <w:rPr>
          <w:rFonts w:ascii="Times New Roman" w:eastAsia="Arial" w:hAnsi="Times New Roman" w:cs="Times New Roman"/>
          <w:sz w:val="24"/>
          <w:szCs w:val="24"/>
        </w:rPr>
        <w:t xml:space="preserve"> 276 </w:t>
      </w:r>
      <w:proofErr w:type="spellStart"/>
      <w:r w:rsidRPr="004C42D2">
        <w:rPr>
          <w:rFonts w:ascii="Times New Roman" w:eastAsia="Arial" w:hAnsi="Times New Roman" w:cs="Times New Roman"/>
          <w:sz w:val="24"/>
          <w:szCs w:val="24"/>
        </w:rPr>
        <w:t>pacientų</w:t>
      </w:r>
      <w:proofErr w:type="spellEnd"/>
      <w:r w:rsidRPr="004C42D2">
        <w:rPr>
          <w:rFonts w:ascii="Times New Roman" w:eastAsia="Arial" w:hAnsi="Times New Roman" w:cs="Times New Roman"/>
          <w:sz w:val="24"/>
          <w:szCs w:val="24"/>
        </w:rPr>
        <w:t xml:space="preserve">) </w:t>
      </w:r>
      <w:proofErr w:type="spellStart"/>
      <w:r w:rsidRPr="004C42D2">
        <w:rPr>
          <w:rFonts w:ascii="Times New Roman" w:eastAsia="Arial" w:hAnsi="Times New Roman" w:cs="Times New Roman"/>
          <w:sz w:val="24"/>
          <w:szCs w:val="24"/>
        </w:rPr>
        <w:t>ir</w:t>
      </w:r>
      <w:proofErr w:type="spellEnd"/>
      <w:r w:rsidRPr="004C42D2">
        <w:rPr>
          <w:rFonts w:ascii="Times New Roman" w:eastAsia="Arial" w:hAnsi="Times New Roman" w:cs="Times New Roman"/>
          <w:sz w:val="24"/>
          <w:szCs w:val="24"/>
        </w:rPr>
        <w:t xml:space="preserve"> 30 </w:t>
      </w:r>
      <w:r w:rsidRPr="004C42D2">
        <w:rPr>
          <w:rFonts w:ascii="Times New Roman" w:eastAsia="Arial" w:hAnsi="Times New Roman" w:cs="Times New Roman"/>
          <w:sz w:val="24"/>
          <w:szCs w:val="24"/>
        </w:rPr>
        <w:lastRenderedPageBreak/>
        <w:t xml:space="preserve">mg </w:t>
      </w:r>
      <w:proofErr w:type="spellStart"/>
      <w:r w:rsidRPr="004C42D2">
        <w:rPr>
          <w:rFonts w:ascii="Times New Roman" w:eastAsia="Arial" w:hAnsi="Times New Roman" w:cs="Times New Roman"/>
          <w:sz w:val="24"/>
          <w:szCs w:val="24"/>
        </w:rPr>
        <w:t>upadacitinibo</w:t>
      </w:r>
      <w:proofErr w:type="spellEnd"/>
      <w:r w:rsidRPr="004C42D2">
        <w:rPr>
          <w:rFonts w:ascii="Times New Roman" w:eastAsia="Arial" w:hAnsi="Times New Roman" w:cs="Times New Roman"/>
          <w:sz w:val="24"/>
          <w:szCs w:val="24"/>
        </w:rPr>
        <w:t xml:space="preserve"> </w:t>
      </w:r>
      <w:proofErr w:type="spellStart"/>
      <w:r w:rsidRPr="004C42D2">
        <w:rPr>
          <w:rFonts w:ascii="Times New Roman" w:eastAsia="Arial" w:hAnsi="Times New Roman" w:cs="Times New Roman"/>
          <w:sz w:val="24"/>
          <w:szCs w:val="24"/>
        </w:rPr>
        <w:t>grupėje</w:t>
      </w:r>
      <w:proofErr w:type="spellEnd"/>
      <w:r w:rsidRPr="004C42D2">
        <w:rPr>
          <w:rFonts w:ascii="Times New Roman" w:eastAsia="Arial" w:hAnsi="Times New Roman" w:cs="Times New Roman"/>
          <w:sz w:val="24"/>
          <w:szCs w:val="24"/>
        </w:rPr>
        <w:t xml:space="preserve"> (206 [73%] </w:t>
      </w:r>
      <w:proofErr w:type="spellStart"/>
      <w:r w:rsidRPr="004C42D2">
        <w:rPr>
          <w:rFonts w:ascii="Times New Roman" w:eastAsia="Arial" w:hAnsi="Times New Roman" w:cs="Times New Roman"/>
          <w:sz w:val="24"/>
          <w:szCs w:val="24"/>
        </w:rPr>
        <w:t>iš</w:t>
      </w:r>
      <w:proofErr w:type="spellEnd"/>
      <w:r w:rsidRPr="004C42D2">
        <w:rPr>
          <w:rFonts w:ascii="Times New Roman" w:eastAsia="Arial" w:hAnsi="Times New Roman" w:cs="Times New Roman"/>
          <w:sz w:val="24"/>
          <w:szCs w:val="24"/>
        </w:rPr>
        <w:t xml:space="preserve"> 282 </w:t>
      </w:r>
      <w:proofErr w:type="spellStart"/>
      <w:r w:rsidRPr="004C42D2">
        <w:rPr>
          <w:rFonts w:ascii="Times New Roman" w:eastAsia="Arial" w:hAnsi="Times New Roman" w:cs="Times New Roman"/>
          <w:sz w:val="24"/>
          <w:szCs w:val="24"/>
        </w:rPr>
        <w:t>pacientų</w:t>
      </w:r>
      <w:proofErr w:type="spellEnd"/>
      <w:r w:rsidRPr="004C42D2">
        <w:rPr>
          <w:rFonts w:ascii="Times New Roman" w:eastAsia="Arial" w:hAnsi="Times New Roman" w:cs="Times New Roman"/>
          <w:sz w:val="24"/>
          <w:szCs w:val="24"/>
        </w:rPr>
        <w:t xml:space="preserve">) </w:t>
      </w:r>
      <w:proofErr w:type="spellStart"/>
      <w:r w:rsidRPr="004C42D2">
        <w:rPr>
          <w:rFonts w:ascii="Times New Roman" w:eastAsia="Arial" w:hAnsi="Times New Roman" w:cs="Times New Roman"/>
          <w:sz w:val="24"/>
          <w:szCs w:val="24"/>
        </w:rPr>
        <w:t>nei</w:t>
      </w:r>
      <w:proofErr w:type="spellEnd"/>
      <w:r w:rsidRPr="004C42D2">
        <w:rPr>
          <w:rFonts w:ascii="Times New Roman" w:eastAsia="Arial" w:hAnsi="Times New Roman" w:cs="Times New Roman"/>
          <w:sz w:val="24"/>
          <w:szCs w:val="24"/>
        </w:rPr>
        <w:t xml:space="preserve"> placebo </w:t>
      </w:r>
      <w:proofErr w:type="spellStart"/>
      <w:r w:rsidRPr="004C42D2">
        <w:rPr>
          <w:rFonts w:ascii="Times New Roman" w:eastAsia="Arial" w:hAnsi="Times New Roman" w:cs="Times New Roman"/>
          <w:sz w:val="24"/>
          <w:szCs w:val="24"/>
        </w:rPr>
        <w:t>grupėje</w:t>
      </w:r>
      <w:proofErr w:type="spellEnd"/>
      <w:r w:rsidRPr="004C42D2">
        <w:rPr>
          <w:rFonts w:ascii="Times New Roman" w:eastAsia="Arial" w:hAnsi="Times New Roman" w:cs="Times New Roman"/>
          <w:sz w:val="24"/>
          <w:szCs w:val="24"/>
        </w:rPr>
        <w:t xml:space="preserve"> (37 [13 %] </w:t>
      </w:r>
      <w:proofErr w:type="spellStart"/>
      <w:r w:rsidRPr="004C42D2">
        <w:rPr>
          <w:rFonts w:ascii="Times New Roman" w:eastAsia="Arial" w:hAnsi="Times New Roman" w:cs="Times New Roman"/>
          <w:sz w:val="24"/>
          <w:szCs w:val="24"/>
        </w:rPr>
        <w:t>iš</w:t>
      </w:r>
      <w:proofErr w:type="spellEnd"/>
      <w:r w:rsidRPr="004C42D2">
        <w:rPr>
          <w:rFonts w:ascii="Times New Roman" w:eastAsia="Arial" w:hAnsi="Times New Roman" w:cs="Times New Roman"/>
          <w:sz w:val="24"/>
          <w:szCs w:val="24"/>
        </w:rPr>
        <w:t xml:space="preserve"> 278 </w:t>
      </w:r>
      <w:proofErr w:type="spellStart"/>
      <w:r w:rsidRPr="004C42D2">
        <w:rPr>
          <w:rFonts w:ascii="Times New Roman" w:eastAsia="Arial" w:hAnsi="Times New Roman" w:cs="Times New Roman"/>
          <w:sz w:val="24"/>
          <w:szCs w:val="24"/>
        </w:rPr>
        <w:t>pacientų</w:t>
      </w:r>
      <w:proofErr w:type="spellEnd"/>
      <w:r w:rsidRPr="004C42D2">
        <w:rPr>
          <w:rFonts w:ascii="Times New Roman" w:eastAsia="Arial" w:hAnsi="Times New Roman" w:cs="Times New Roman"/>
          <w:sz w:val="24"/>
          <w:szCs w:val="24"/>
        </w:rPr>
        <w:t xml:space="preserve">); </w:t>
      </w:r>
      <w:proofErr w:type="spellStart"/>
      <w:r w:rsidRPr="004C42D2">
        <w:rPr>
          <w:rFonts w:ascii="Times New Roman" w:eastAsia="Arial" w:hAnsi="Times New Roman" w:cs="Times New Roman"/>
          <w:sz w:val="24"/>
          <w:szCs w:val="24"/>
        </w:rPr>
        <w:t>pakoreguotas</w:t>
      </w:r>
      <w:proofErr w:type="spellEnd"/>
      <w:r w:rsidRPr="004C42D2">
        <w:rPr>
          <w:rFonts w:ascii="Times New Roman" w:eastAsia="Arial" w:hAnsi="Times New Roman" w:cs="Times New Roman"/>
          <w:sz w:val="24"/>
          <w:szCs w:val="24"/>
        </w:rPr>
        <w:t xml:space="preserve"> EASI75 </w:t>
      </w:r>
      <w:proofErr w:type="spellStart"/>
      <w:r w:rsidRPr="004C42D2">
        <w:rPr>
          <w:rFonts w:ascii="Times New Roman" w:eastAsia="Arial" w:hAnsi="Times New Roman" w:cs="Times New Roman"/>
          <w:sz w:val="24"/>
          <w:szCs w:val="24"/>
        </w:rPr>
        <w:t>atsako</w:t>
      </w:r>
      <w:proofErr w:type="spellEnd"/>
      <w:r w:rsidRPr="004C42D2">
        <w:rPr>
          <w:rFonts w:ascii="Times New Roman" w:eastAsia="Arial" w:hAnsi="Times New Roman" w:cs="Times New Roman"/>
          <w:sz w:val="24"/>
          <w:szCs w:val="24"/>
        </w:rPr>
        <w:t xml:space="preserve"> </w:t>
      </w:r>
      <w:proofErr w:type="spellStart"/>
      <w:r w:rsidRPr="004C42D2">
        <w:rPr>
          <w:rFonts w:ascii="Times New Roman" w:eastAsia="Arial" w:hAnsi="Times New Roman" w:cs="Times New Roman"/>
          <w:sz w:val="24"/>
          <w:szCs w:val="24"/>
        </w:rPr>
        <w:t>dažnio</w:t>
      </w:r>
      <w:proofErr w:type="spellEnd"/>
      <w:r w:rsidRPr="004C42D2">
        <w:rPr>
          <w:rFonts w:ascii="Times New Roman" w:eastAsia="Arial" w:hAnsi="Times New Roman" w:cs="Times New Roman"/>
          <w:sz w:val="24"/>
          <w:szCs w:val="24"/>
        </w:rPr>
        <w:t xml:space="preserve"> </w:t>
      </w:r>
      <w:proofErr w:type="spellStart"/>
      <w:r w:rsidRPr="004C42D2">
        <w:rPr>
          <w:rFonts w:ascii="Times New Roman" w:eastAsia="Arial" w:hAnsi="Times New Roman" w:cs="Times New Roman"/>
          <w:sz w:val="24"/>
          <w:szCs w:val="24"/>
        </w:rPr>
        <w:t>skirtumas</w:t>
      </w:r>
      <w:proofErr w:type="spellEnd"/>
      <w:r w:rsidRPr="004C42D2">
        <w:rPr>
          <w:rFonts w:ascii="Times New Roman" w:eastAsia="Arial" w:hAnsi="Times New Roman" w:cs="Times New Roman"/>
          <w:sz w:val="24"/>
          <w:szCs w:val="24"/>
        </w:rPr>
        <w:t xml:space="preserve"> tarp placebo </w:t>
      </w:r>
      <w:proofErr w:type="spellStart"/>
      <w:r w:rsidRPr="004C42D2">
        <w:rPr>
          <w:rFonts w:ascii="Times New Roman" w:eastAsia="Arial" w:hAnsi="Times New Roman" w:cs="Times New Roman"/>
          <w:sz w:val="24"/>
          <w:szCs w:val="24"/>
        </w:rPr>
        <w:t>grupės</w:t>
      </w:r>
      <w:proofErr w:type="spellEnd"/>
      <w:r w:rsidRPr="004C42D2">
        <w:rPr>
          <w:rFonts w:ascii="Times New Roman" w:eastAsia="Arial" w:hAnsi="Times New Roman" w:cs="Times New Roman"/>
          <w:sz w:val="24"/>
          <w:szCs w:val="24"/>
        </w:rPr>
        <w:t xml:space="preserve"> </w:t>
      </w:r>
      <w:proofErr w:type="spellStart"/>
      <w:r w:rsidRPr="004C42D2">
        <w:rPr>
          <w:rFonts w:ascii="Times New Roman" w:eastAsia="Arial" w:hAnsi="Times New Roman" w:cs="Times New Roman"/>
          <w:sz w:val="24"/>
          <w:szCs w:val="24"/>
        </w:rPr>
        <w:t>ir</w:t>
      </w:r>
      <w:proofErr w:type="spellEnd"/>
      <w:r w:rsidRPr="004C42D2">
        <w:rPr>
          <w:rFonts w:ascii="Times New Roman" w:eastAsia="Arial" w:hAnsi="Times New Roman" w:cs="Times New Roman"/>
          <w:sz w:val="24"/>
          <w:szCs w:val="24"/>
        </w:rPr>
        <w:t xml:space="preserve"> 15 mg </w:t>
      </w:r>
      <w:proofErr w:type="spellStart"/>
      <w:r w:rsidRPr="004C42D2">
        <w:rPr>
          <w:rFonts w:ascii="Times New Roman" w:eastAsia="Arial" w:hAnsi="Times New Roman" w:cs="Times New Roman"/>
          <w:sz w:val="24"/>
          <w:szCs w:val="24"/>
        </w:rPr>
        <w:t>upadacitinibo</w:t>
      </w:r>
      <w:proofErr w:type="spellEnd"/>
      <w:r w:rsidRPr="004C42D2">
        <w:rPr>
          <w:rFonts w:ascii="Times New Roman" w:eastAsia="Arial" w:hAnsi="Times New Roman" w:cs="Times New Roman"/>
          <w:sz w:val="24"/>
          <w:szCs w:val="24"/>
        </w:rPr>
        <w:t xml:space="preserve"> </w:t>
      </w:r>
      <w:proofErr w:type="spellStart"/>
      <w:r w:rsidRPr="004C42D2">
        <w:rPr>
          <w:rFonts w:ascii="Times New Roman" w:eastAsia="Arial" w:hAnsi="Times New Roman" w:cs="Times New Roman"/>
          <w:sz w:val="24"/>
          <w:szCs w:val="24"/>
        </w:rPr>
        <w:t>grupės</w:t>
      </w:r>
      <w:proofErr w:type="spellEnd"/>
      <w:r w:rsidRPr="004C42D2">
        <w:rPr>
          <w:rFonts w:ascii="Times New Roman" w:eastAsia="Arial" w:hAnsi="Times New Roman" w:cs="Times New Roman"/>
          <w:sz w:val="24"/>
          <w:szCs w:val="24"/>
        </w:rPr>
        <w:t xml:space="preserve"> </w:t>
      </w:r>
      <w:proofErr w:type="spellStart"/>
      <w:r w:rsidRPr="004C42D2">
        <w:rPr>
          <w:rFonts w:ascii="Times New Roman" w:eastAsia="Arial" w:hAnsi="Times New Roman" w:cs="Times New Roman"/>
          <w:sz w:val="24"/>
          <w:szCs w:val="24"/>
        </w:rPr>
        <w:t>buvo</w:t>
      </w:r>
      <w:proofErr w:type="spellEnd"/>
      <w:r w:rsidRPr="004C42D2">
        <w:rPr>
          <w:rFonts w:ascii="Times New Roman" w:eastAsia="Arial" w:hAnsi="Times New Roman" w:cs="Times New Roman"/>
          <w:sz w:val="24"/>
          <w:szCs w:val="24"/>
        </w:rPr>
        <w:t xml:space="preserve"> 46,9 % (95 % PI 39,9–53,9; p &lt; 0,0001) </w:t>
      </w:r>
      <w:proofErr w:type="spellStart"/>
      <w:r w:rsidRPr="004C42D2">
        <w:rPr>
          <w:rFonts w:ascii="Times New Roman" w:eastAsia="Arial" w:hAnsi="Times New Roman" w:cs="Times New Roman"/>
          <w:sz w:val="24"/>
          <w:szCs w:val="24"/>
        </w:rPr>
        <w:t>ir</w:t>
      </w:r>
      <w:proofErr w:type="spellEnd"/>
      <w:r w:rsidRPr="004C42D2">
        <w:rPr>
          <w:rFonts w:ascii="Times New Roman" w:eastAsia="Arial" w:hAnsi="Times New Roman" w:cs="Times New Roman"/>
          <w:sz w:val="24"/>
          <w:szCs w:val="24"/>
        </w:rPr>
        <w:t xml:space="preserve"> 59,6 % (95 % PI). 53,1–66,2; p&lt;0,0001) 30 mg </w:t>
      </w:r>
      <w:proofErr w:type="spellStart"/>
      <w:r w:rsidRPr="004C42D2">
        <w:rPr>
          <w:rFonts w:ascii="Times New Roman" w:eastAsia="Arial" w:hAnsi="Times New Roman" w:cs="Times New Roman"/>
          <w:sz w:val="24"/>
          <w:szCs w:val="24"/>
        </w:rPr>
        <w:t>upadacitinibo</w:t>
      </w:r>
      <w:proofErr w:type="spellEnd"/>
      <w:r w:rsidRPr="004C42D2">
        <w:rPr>
          <w:rFonts w:ascii="Times New Roman" w:eastAsia="Arial" w:hAnsi="Times New Roman" w:cs="Times New Roman"/>
          <w:sz w:val="24"/>
          <w:szCs w:val="24"/>
        </w:rPr>
        <w:t xml:space="preserve"> </w:t>
      </w:r>
      <w:proofErr w:type="spellStart"/>
      <w:r w:rsidRPr="004C42D2">
        <w:rPr>
          <w:rFonts w:ascii="Times New Roman" w:eastAsia="Arial" w:hAnsi="Times New Roman" w:cs="Times New Roman"/>
          <w:sz w:val="24"/>
          <w:szCs w:val="24"/>
        </w:rPr>
        <w:t>grupėje</w:t>
      </w:r>
      <w:proofErr w:type="spellEnd"/>
      <w:r w:rsidRPr="004C42D2">
        <w:rPr>
          <w:rFonts w:ascii="Times New Roman" w:eastAsia="Arial" w:hAnsi="Times New Roman" w:cs="Times New Roman"/>
          <w:sz w:val="24"/>
          <w:szCs w:val="24"/>
        </w:rPr>
        <w:t xml:space="preserve">. </w:t>
      </w:r>
      <w:proofErr w:type="spellStart"/>
      <w:r w:rsidRPr="004C42D2">
        <w:rPr>
          <w:rStyle w:val="y2iqfc"/>
          <w:rFonts w:ascii="Times New Roman" w:eastAsia="Arial" w:hAnsi="Times New Roman" w:cs="Times New Roman"/>
          <w:sz w:val="24"/>
          <w:szCs w:val="24"/>
          <w:lang w:val="lt-LT"/>
        </w:rPr>
        <w:t>Measure</w:t>
      </w:r>
      <w:proofErr w:type="spellEnd"/>
      <w:r w:rsidRPr="004C42D2">
        <w:rPr>
          <w:rStyle w:val="y2iqfc"/>
          <w:rFonts w:ascii="Times New Roman" w:eastAsia="Arial" w:hAnsi="Times New Roman" w:cs="Times New Roman"/>
          <w:sz w:val="24"/>
          <w:szCs w:val="24"/>
          <w:lang w:val="lt-LT"/>
        </w:rPr>
        <w:t xml:space="preserve"> Up 1 tyrime, pacientų, kuriems buvo pasiektas </w:t>
      </w:r>
      <w:proofErr w:type="spellStart"/>
      <w:r w:rsidRPr="004C42D2">
        <w:rPr>
          <w:rStyle w:val="y2iqfc"/>
          <w:rFonts w:ascii="Times New Roman" w:eastAsia="Arial" w:hAnsi="Times New Roman" w:cs="Times New Roman"/>
          <w:sz w:val="24"/>
          <w:szCs w:val="24"/>
          <w:lang w:val="lt-LT"/>
        </w:rPr>
        <w:t>vIGA</w:t>
      </w:r>
      <w:proofErr w:type="spellEnd"/>
      <w:r w:rsidRPr="004C42D2">
        <w:rPr>
          <w:rStyle w:val="y2iqfc"/>
          <w:rFonts w:ascii="Times New Roman" w:eastAsia="Arial" w:hAnsi="Times New Roman" w:cs="Times New Roman"/>
          <w:sz w:val="24"/>
          <w:szCs w:val="24"/>
          <w:lang w:val="lt-LT"/>
        </w:rPr>
        <w:t xml:space="preserve">-AD atsakas 16 savaitę, dalis buvo didesnė upadacitinibo 15 mg grupėje (135 [48%] iš 281 paciento) ir 30 mg upadacitinibo grupėje (177 [62%] iš 285 pacientų) nei </w:t>
      </w:r>
      <w:proofErr w:type="spellStart"/>
      <w:r w:rsidRPr="004C42D2">
        <w:rPr>
          <w:rStyle w:val="y2iqfc"/>
          <w:rFonts w:ascii="Times New Roman" w:eastAsia="Arial" w:hAnsi="Times New Roman" w:cs="Times New Roman"/>
          <w:sz w:val="24"/>
          <w:szCs w:val="24"/>
          <w:lang w:val="lt-LT"/>
        </w:rPr>
        <w:t>placebo</w:t>
      </w:r>
      <w:proofErr w:type="spellEnd"/>
      <w:r w:rsidRPr="004C42D2">
        <w:rPr>
          <w:rStyle w:val="y2iqfc"/>
          <w:rFonts w:ascii="Times New Roman" w:eastAsia="Arial" w:hAnsi="Times New Roman" w:cs="Times New Roman"/>
          <w:sz w:val="24"/>
          <w:szCs w:val="24"/>
          <w:lang w:val="lt-LT"/>
        </w:rPr>
        <w:t xml:space="preserve"> grupėje (24 [8%] iš 281 paciento); pakoreguotas </w:t>
      </w:r>
      <w:proofErr w:type="spellStart"/>
      <w:r w:rsidRPr="004C42D2">
        <w:rPr>
          <w:rStyle w:val="y2iqfc"/>
          <w:rFonts w:ascii="Times New Roman" w:eastAsia="Arial" w:hAnsi="Times New Roman" w:cs="Times New Roman"/>
          <w:sz w:val="24"/>
          <w:szCs w:val="24"/>
          <w:lang w:val="lt-LT"/>
        </w:rPr>
        <w:t>vIGA</w:t>
      </w:r>
      <w:proofErr w:type="spellEnd"/>
      <w:r w:rsidRPr="004C42D2">
        <w:rPr>
          <w:rStyle w:val="y2iqfc"/>
          <w:rFonts w:ascii="Times New Roman" w:eastAsia="Arial" w:hAnsi="Times New Roman" w:cs="Times New Roman"/>
          <w:sz w:val="24"/>
          <w:szCs w:val="24"/>
          <w:lang w:val="lt-LT"/>
        </w:rPr>
        <w:t xml:space="preserve">-AD atsako dažnio skirtumas tarp </w:t>
      </w:r>
      <w:proofErr w:type="spellStart"/>
      <w:r w:rsidRPr="004C42D2">
        <w:rPr>
          <w:rStyle w:val="y2iqfc"/>
          <w:rFonts w:ascii="Times New Roman" w:eastAsia="Arial" w:hAnsi="Times New Roman" w:cs="Times New Roman"/>
          <w:sz w:val="24"/>
          <w:szCs w:val="24"/>
          <w:lang w:val="lt-LT"/>
        </w:rPr>
        <w:t>placebo</w:t>
      </w:r>
      <w:proofErr w:type="spellEnd"/>
      <w:r w:rsidRPr="004C42D2">
        <w:rPr>
          <w:rStyle w:val="y2iqfc"/>
          <w:rFonts w:ascii="Times New Roman" w:eastAsia="Arial" w:hAnsi="Times New Roman" w:cs="Times New Roman"/>
          <w:sz w:val="24"/>
          <w:szCs w:val="24"/>
          <w:lang w:val="lt-LT"/>
        </w:rPr>
        <w:t xml:space="preserve"> grupės ir 15 mg upadacitinibo grupės buvo 39,8 % (33,2–46,4; p&lt;0,0001) ir 53,6 % (47,2– 60,0; p&lt;0,0001) 30 mg upadacitinibo grupėje.</w:t>
      </w:r>
      <w:r w:rsidRPr="004C42D2">
        <w:rPr>
          <w:rStyle w:val="y2iqfc"/>
          <w:rFonts w:ascii="Times New Roman" w:eastAsia="Arial" w:hAnsi="Times New Roman" w:cs="Times New Roman"/>
          <w:sz w:val="24"/>
          <w:szCs w:val="24"/>
        </w:rPr>
        <w:t xml:space="preserve"> </w:t>
      </w:r>
      <w:proofErr w:type="spellStart"/>
      <w:r w:rsidRPr="004C42D2">
        <w:rPr>
          <w:rStyle w:val="y2iqfc"/>
          <w:rFonts w:ascii="Times New Roman" w:eastAsia="Arial" w:hAnsi="Times New Roman" w:cs="Times New Roman"/>
          <w:sz w:val="24"/>
          <w:szCs w:val="24"/>
          <w:lang w:val="lt-LT"/>
        </w:rPr>
        <w:t>Measure</w:t>
      </w:r>
      <w:proofErr w:type="spellEnd"/>
      <w:r w:rsidRPr="004C42D2">
        <w:rPr>
          <w:rStyle w:val="y2iqfc"/>
          <w:rFonts w:ascii="Times New Roman" w:eastAsia="Arial" w:hAnsi="Times New Roman" w:cs="Times New Roman"/>
          <w:sz w:val="24"/>
          <w:szCs w:val="24"/>
          <w:lang w:val="lt-LT"/>
        </w:rPr>
        <w:t xml:space="preserve"> Up 2 tyrime, pacientų, kuriems buvo pasiektas </w:t>
      </w:r>
      <w:proofErr w:type="spellStart"/>
      <w:r w:rsidRPr="004C42D2">
        <w:rPr>
          <w:rStyle w:val="y2iqfc"/>
          <w:rFonts w:ascii="Times New Roman" w:eastAsia="Arial" w:hAnsi="Times New Roman" w:cs="Times New Roman"/>
          <w:sz w:val="24"/>
          <w:szCs w:val="24"/>
          <w:lang w:val="lt-LT"/>
        </w:rPr>
        <w:t>vIGA</w:t>
      </w:r>
      <w:proofErr w:type="spellEnd"/>
      <w:r w:rsidRPr="004C42D2">
        <w:rPr>
          <w:rStyle w:val="y2iqfc"/>
          <w:rFonts w:ascii="Times New Roman" w:eastAsia="Arial" w:hAnsi="Times New Roman" w:cs="Times New Roman"/>
          <w:sz w:val="24"/>
          <w:szCs w:val="24"/>
          <w:lang w:val="lt-LT"/>
        </w:rPr>
        <w:t xml:space="preserve">-AD atsakas 16 savaitę, dalis buvo didesnė upadacitinibo 15 mg grupėje (107 [39%] iš 276 pacientų) ir 30 mg upadacitinibo grupėje (147 [52%] iš 282 pacientų) nei </w:t>
      </w:r>
      <w:proofErr w:type="spellStart"/>
      <w:r w:rsidRPr="004C42D2">
        <w:rPr>
          <w:rStyle w:val="y2iqfc"/>
          <w:rFonts w:ascii="Times New Roman" w:eastAsia="Arial" w:hAnsi="Times New Roman" w:cs="Times New Roman"/>
          <w:sz w:val="24"/>
          <w:szCs w:val="24"/>
          <w:lang w:val="lt-LT"/>
        </w:rPr>
        <w:t>placebo</w:t>
      </w:r>
      <w:proofErr w:type="spellEnd"/>
      <w:r w:rsidRPr="004C42D2">
        <w:rPr>
          <w:rStyle w:val="y2iqfc"/>
          <w:rFonts w:ascii="Times New Roman" w:eastAsia="Arial" w:hAnsi="Times New Roman" w:cs="Times New Roman"/>
          <w:sz w:val="24"/>
          <w:szCs w:val="24"/>
          <w:lang w:val="lt-LT"/>
        </w:rPr>
        <w:t xml:space="preserve"> grupėje (13 [5%] iš 278 pacientų); pakoreguotas </w:t>
      </w:r>
      <w:proofErr w:type="spellStart"/>
      <w:r w:rsidRPr="004C42D2">
        <w:rPr>
          <w:rStyle w:val="y2iqfc"/>
          <w:rFonts w:ascii="Times New Roman" w:eastAsia="Arial" w:hAnsi="Times New Roman" w:cs="Times New Roman"/>
          <w:sz w:val="24"/>
          <w:szCs w:val="24"/>
          <w:lang w:val="lt-LT"/>
        </w:rPr>
        <w:t>vIGA</w:t>
      </w:r>
      <w:proofErr w:type="spellEnd"/>
      <w:r w:rsidRPr="004C42D2">
        <w:rPr>
          <w:rStyle w:val="y2iqfc"/>
          <w:rFonts w:ascii="Times New Roman" w:eastAsia="Arial" w:hAnsi="Times New Roman" w:cs="Times New Roman"/>
          <w:sz w:val="24"/>
          <w:szCs w:val="24"/>
          <w:lang w:val="lt-LT"/>
        </w:rPr>
        <w:t xml:space="preserve">-AD atsako dažnio skirtumas tarp </w:t>
      </w:r>
      <w:proofErr w:type="spellStart"/>
      <w:r w:rsidRPr="004C42D2">
        <w:rPr>
          <w:rStyle w:val="y2iqfc"/>
          <w:rFonts w:ascii="Times New Roman" w:eastAsia="Arial" w:hAnsi="Times New Roman" w:cs="Times New Roman"/>
          <w:sz w:val="24"/>
          <w:szCs w:val="24"/>
          <w:lang w:val="lt-LT"/>
        </w:rPr>
        <w:t>placebo</w:t>
      </w:r>
      <w:proofErr w:type="spellEnd"/>
      <w:r w:rsidRPr="004C42D2">
        <w:rPr>
          <w:rStyle w:val="y2iqfc"/>
          <w:rFonts w:ascii="Times New Roman" w:eastAsia="Arial" w:hAnsi="Times New Roman" w:cs="Times New Roman"/>
          <w:sz w:val="24"/>
          <w:szCs w:val="24"/>
          <w:lang w:val="lt-LT"/>
        </w:rPr>
        <w:t xml:space="preserve"> grupės ir 15 mg upadacitinibo grupės buvo 34 % (95 % PI 27,8–40,2; p &lt; 0,0001) ir 47,4 % (95 % PI 41,0–53,7; p&lt;0,0001) 30 mg upadacitinibo grupėje.</w:t>
      </w:r>
    </w:p>
    <w:p w14:paraId="6FBC516B" w14:textId="77777777" w:rsidR="00E106CD" w:rsidRDefault="00E106CD" w:rsidP="00E106CD">
      <w:pPr>
        <w:tabs>
          <w:tab w:val="left" w:pos="284"/>
        </w:tabs>
        <w:spacing w:line="276" w:lineRule="auto"/>
        <w:jc w:val="both"/>
        <w:rPr>
          <w:rStyle w:val="y2iqfc"/>
          <w:rFonts w:asciiTheme="majorBidi" w:hAnsiTheme="majorBidi" w:cstheme="majorBidi"/>
          <w:color w:val="202124"/>
        </w:rPr>
      </w:pPr>
      <w:r>
        <w:rPr>
          <w:rStyle w:val="ListParagraphChar"/>
          <w:rFonts w:eastAsia="Arial"/>
        </w:rPr>
        <w:tab/>
      </w:r>
      <w:r w:rsidRPr="007F0D2C">
        <w:rPr>
          <w:rStyle w:val="ListParagraphChar"/>
          <w:rFonts w:eastAsia="Arial"/>
        </w:rPr>
        <w:t xml:space="preserve">Tyrimas </w:t>
      </w:r>
      <w:proofErr w:type="spellStart"/>
      <w:r w:rsidRPr="007F0D2C">
        <w:rPr>
          <w:rStyle w:val="ListParagraphChar"/>
          <w:rFonts w:eastAsia="Arial"/>
        </w:rPr>
        <w:t>Heads</w:t>
      </w:r>
      <w:proofErr w:type="spellEnd"/>
      <w:r w:rsidRPr="007F0D2C">
        <w:rPr>
          <w:rStyle w:val="ListParagraphChar"/>
          <w:rFonts w:eastAsia="Arial"/>
        </w:rPr>
        <w:t xml:space="preserve"> Up </w:t>
      </w:r>
      <w:r>
        <w:rPr>
          <w:rStyle w:val="ListParagraphChar"/>
          <w:rFonts w:eastAsia="Arial"/>
        </w:rPr>
        <w:t>buvo</w:t>
      </w:r>
      <w:r w:rsidRPr="007F0D2C">
        <w:rPr>
          <w:rStyle w:val="ListParagraphChar"/>
          <w:rFonts w:eastAsia="Arial"/>
        </w:rPr>
        <w:t xml:space="preserve"> </w:t>
      </w:r>
      <w:proofErr w:type="spellStart"/>
      <w:r w:rsidRPr="007F0D2C">
        <w:rPr>
          <w:rFonts w:eastAsia="Arial"/>
        </w:rPr>
        <w:t>daugiacentris</w:t>
      </w:r>
      <w:proofErr w:type="spellEnd"/>
      <w:r w:rsidRPr="007F0D2C">
        <w:rPr>
          <w:rFonts w:eastAsia="Arial"/>
        </w:rPr>
        <w:t xml:space="preserve">, atsitiktinių imčių, dvigubai aklas, aktyviu gydymu  kontroliuojamas III fazės tyrimas, kurio metu </w:t>
      </w:r>
      <w:r w:rsidRPr="00B15035">
        <w:t>lygin</w:t>
      </w:r>
      <w:r>
        <w:t>tas</w:t>
      </w:r>
      <w:r w:rsidRPr="00B15035">
        <w:t xml:space="preserve"> sunkiu ar vidutinio sunkumo </w:t>
      </w:r>
      <w:proofErr w:type="spellStart"/>
      <w:r w:rsidRPr="00B15035">
        <w:t>atopiniu</w:t>
      </w:r>
      <w:proofErr w:type="spellEnd"/>
      <w:r w:rsidRPr="00B15035">
        <w:t xml:space="preserve"> dermatitu sergančių pacientų upadacitinibo 30 mg vieną kartą per parą ir </w:t>
      </w:r>
      <w:proofErr w:type="spellStart"/>
      <w:r w:rsidRPr="00B15035">
        <w:t>dupilumabo</w:t>
      </w:r>
      <w:proofErr w:type="spellEnd"/>
      <w:r w:rsidRPr="00B15035">
        <w:t xml:space="preserve"> </w:t>
      </w:r>
      <w:r>
        <w:t xml:space="preserve">efektyvumas. </w:t>
      </w:r>
      <w:r w:rsidRPr="009660F0">
        <w:rPr>
          <w:rFonts w:eastAsia="Arial"/>
        </w:rPr>
        <w:t xml:space="preserve">Tyrime galėjo dalyvauti tik suaugę pacientai (&gt;18 metų), kuriems diagnozuotas AD, naudojant </w:t>
      </w:r>
      <w:proofErr w:type="spellStart"/>
      <w:r w:rsidRPr="009660F0">
        <w:rPr>
          <w:rFonts w:eastAsia="Arial"/>
        </w:rPr>
        <w:t>Hanifino</w:t>
      </w:r>
      <w:proofErr w:type="spellEnd"/>
      <w:r w:rsidRPr="009660F0">
        <w:rPr>
          <w:rFonts w:eastAsia="Arial"/>
        </w:rPr>
        <w:t xml:space="preserve"> ir </w:t>
      </w:r>
      <w:proofErr w:type="spellStart"/>
      <w:r w:rsidRPr="009660F0">
        <w:rPr>
          <w:rFonts w:eastAsia="Arial"/>
        </w:rPr>
        <w:t>Rajkos</w:t>
      </w:r>
      <w:proofErr w:type="spellEnd"/>
      <w:r w:rsidRPr="009660F0">
        <w:rPr>
          <w:rFonts w:eastAsia="Arial"/>
        </w:rPr>
        <w:t xml:space="preserve"> kriterijus, kurie buvo sisteminio gydymo kandidatai ir sirgo vidutinio sunkumo ar sunkia liga (apibrėžiama kaip ≥10 proc. kūno paviršiaus ploto, paveikto AD, egzemos srities ir sunkumo indeksas [EASI] ≥16, patvirtintas tyrėjo visuotinis įvertinimas ≥ 3 balo atrankinių ir pradinių vizitų metu, ir vidutinis savaitės blogiausio niežulio įvertinimas [NRS] balas ≥4 pradinio lygio</w:t>
      </w:r>
      <w:r>
        <w:rPr>
          <w:rFonts w:eastAsia="Arial"/>
        </w:rPr>
        <w:t xml:space="preserve">. </w:t>
      </w:r>
      <w:r>
        <w:rPr>
          <w:rFonts w:eastAsia="Arial"/>
          <w:u w:val="single"/>
        </w:rPr>
        <w:t xml:space="preserve">Pirminė </w:t>
      </w:r>
      <w:r w:rsidRPr="009D2EF3">
        <w:rPr>
          <w:rFonts w:eastAsia="Arial"/>
          <w:u w:val="single"/>
        </w:rPr>
        <w:t>vertinamoji baigtis</w:t>
      </w:r>
      <w:r w:rsidRPr="009D2EF3">
        <w:rPr>
          <w:rFonts w:eastAsia="Arial"/>
        </w:rPr>
        <w:t xml:space="preserve"> buvo </w:t>
      </w:r>
      <w:r>
        <w:rPr>
          <w:rFonts w:asciiTheme="majorBidi" w:hAnsiTheme="majorBidi" w:cstheme="majorBidi"/>
          <w:color w:val="000000"/>
          <w:shd w:val="clear" w:color="auto" w:fill="FFFFFF"/>
        </w:rPr>
        <w:t xml:space="preserve">pacientų dalis, kuriems nustatytas </w:t>
      </w:r>
      <w:r w:rsidRPr="00B15035">
        <w:rPr>
          <w:rFonts w:asciiTheme="majorBidi" w:hAnsiTheme="majorBidi" w:cstheme="majorBidi"/>
          <w:color w:val="000000"/>
          <w:shd w:val="clear" w:color="auto" w:fill="FFFFFF"/>
        </w:rPr>
        <w:t>75 proc. EASI (EASI75) pagerėjimas 16 savaitę</w:t>
      </w:r>
      <w:r>
        <w:rPr>
          <w:rFonts w:asciiTheme="majorBidi" w:hAnsiTheme="majorBidi" w:cstheme="majorBidi"/>
          <w:color w:val="000000"/>
          <w:shd w:val="clear" w:color="auto" w:fill="FFFFFF"/>
        </w:rPr>
        <w:t xml:space="preserve"> nuo pradinio lygio. Nustatyta, jog </w:t>
      </w:r>
      <w:r w:rsidRPr="00393F27">
        <w:rPr>
          <w:rStyle w:val="y2iqfc"/>
          <w:rFonts w:asciiTheme="majorBidi" w:hAnsiTheme="majorBidi" w:cstheme="majorBidi"/>
          <w:color w:val="202124"/>
        </w:rPr>
        <w:t xml:space="preserve">Pacientų, kurie 16 savaitę pasiekė EASI75, dalis buvo didesnė pacientams, vartojantiems </w:t>
      </w:r>
      <w:r w:rsidRPr="00CA62E4">
        <w:rPr>
          <w:rStyle w:val="y2iqfc"/>
          <w:rFonts w:asciiTheme="majorBidi" w:hAnsiTheme="majorBidi" w:cstheme="majorBidi"/>
          <w:color w:val="202124"/>
        </w:rPr>
        <w:t xml:space="preserve">30 mg </w:t>
      </w:r>
      <w:proofErr w:type="spellStart"/>
      <w:r w:rsidRPr="00393F27">
        <w:rPr>
          <w:rStyle w:val="y2iqfc"/>
          <w:rFonts w:asciiTheme="majorBidi" w:hAnsiTheme="majorBidi" w:cstheme="majorBidi"/>
          <w:color w:val="202124"/>
        </w:rPr>
        <w:t>upadacitinibą</w:t>
      </w:r>
      <w:proofErr w:type="spellEnd"/>
      <w:r w:rsidRPr="00393F27">
        <w:rPr>
          <w:rStyle w:val="y2iqfc"/>
          <w:rFonts w:asciiTheme="majorBidi" w:hAnsiTheme="majorBidi" w:cstheme="majorBidi"/>
          <w:color w:val="202124"/>
        </w:rPr>
        <w:t xml:space="preserve"> nei </w:t>
      </w:r>
      <w:r w:rsidRPr="00393F27">
        <w:rPr>
          <w:rStyle w:val="y2iqfc"/>
          <w:color w:val="202124"/>
        </w:rPr>
        <w:t>tiem</w:t>
      </w:r>
      <w:r w:rsidRPr="00393F27">
        <w:rPr>
          <w:rStyle w:val="y2iqfc"/>
        </w:rPr>
        <w:t>s</w:t>
      </w:r>
      <w:r w:rsidRPr="00393F27">
        <w:rPr>
          <w:rStyle w:val="y2iqfc"/>
          <w:color w:val="202124"/>
        </w:rPr>
        <w:t>,</w:t>
      </w:r>
      <w:r w:rsidRPr="00393F27">
        <w:rPr>
          <w:rStyle w:val="y2iqfc"/>
          <w:rFonts w:asciiTheme="majorBidi" w:hAnsiTheme="majorBidi" w:cstheme="majorBidi"/>
          <w:color w:val="202124"/>
        </w:rPr>
        <w:t xml:space="preserve"> kurie vartojo </w:t>
      </w:r>
      <w:proofErr w:type="spellStart"/>
      <w:r w:rsidRPr="00393F27">
        <w:rPr>
          <w:rStyle w:val="y2iqfc"/>
          <w:rFonts w:asciiTheme="majorBidi" w:hAnsiTheme="majorBidi" w:cstheme="majorBidi"/>
          <w:color w:val="202124"/>
        </w:rPr>
        <w:t>dupilumabą</w:t>
      </w:r>
      <w:proofErr w:type="spellEnd"/>
      <w:r w:rsidRPr="00393F27">
        <w:rPr>
          <w:rStyle w:val="y2iqfc"/>
          <w:rFonts w:asciiTheme="majorBidi" w:hAnsiTheme="majorBidi" w:cstheme="majorBidi"/>
          <w:color w:val="202124"/>
        </w:rPr>
        <w:t xml:space="preserve"> (247 (71,0 proc.), palyginti su 210 (61,1 proc.), koreguotas skirtumas 10,0 proc. (95% PI, 2,9–17,0; P = 0,006), taigi 16 savaitę pasiekta pirminė vertinamoji baigtis EASI75, ir nustatyta, kad </w:t>
      </w:r>
      <w:r>
        <w:rPr>
          <w:rStyle w:val="y2iqfc"/>
          <w:rFonts w:asciiTheme="majorBidi" w:hAnsiTheme="majorBidi" w:cstheme="majorBidi"/>
          <w:color w:val="202124"/>
        </w:rPr>
        <w:t xml:space="preserve">30 mg </w:t>
      </w:r>
      <w:r w:rsidRPr="00393F27">
        <w:rPr>
          <w:rStyle w:val="y2iqfc"/>
          <w:rFonts w:asciiTheme="majorBidi" w:hAnsiTheme="majorBidi" w:cstheme="majorBidi"/>
          <w:color w:val="202124"/>
        </w:rPr>
        <w:t>upadacitinib</w:t>
      </w:r>
      <w:r>
        <w:rPr>
          <w:rStyle w:val="y2iqfc"/>
          <w:rFonts w:asciiTheme="majorBidi" w:hAnsiTheme="majorBidi" w:cstheme="majorBidi"/>
          <w:color w:val="202124"/>
        </w:rPr>
        <w:t xml:space="preserve">o dozė </w:t>
      </w:r>
      <w:r w:rsidRPr="00393F27">
        <w:rPr>
          <w:rStyle w:val="y2iqfc"/>
          <w:rFonts w:asciiTheme="majorBidi" w:hAnsiTheme="majorBidi" w:cstheme="majorBidi"/>
          <w:color w:val="202124"/>
        </w:rPr>
        <w:t xml:space="preserve">pranašesnis už </w:t>
      </w:r>
      <w:proofErr w:type="spellStart"/>
      <w:r w:rsidRPr="00393F27">
        <w:rPr>
          <w:rStyle w:val="y2iqfc"/>
          <w:rFonts w:asciiTheme="majorBidi" w:hAnsiTheme="majorBidi" w:cstheme="majorBidi"/>
          <w:color w:val="202124"/>
        </w:rPr>
        <w:t>dupilumabą</w:t>
      </w:r>
      <w:proofErr w:type="spellEnd"/>
      <w:r w:rsidRPr="00393F27">
        <w:rPr>
          <w:rStyle w:val="y2iqfc"/>
          <w:rFonts w:asciiTheme="majorBidi" w:hAnsiTheme="majorBidi" w:cstheme="majorBidi"/>
          <w:color w:val="202124"/>
        </w:rPr>
        <w:t>.</w:t>
      </w:r>
    </w:p>
    <w:p w14:paraId="268C5A21" w14:textId="77777777" w:rsidR="00E106CD" w:rsidRDefault="00E106CD" w:rsidP="00E106CD">
      <w:pPr>
        <w:spacing w:line="276" w:lineRule="auto"/>
        <w:ind w:firstLine="720"/>
        <w:jc w:val="both"/>
        <w:rPr>
          <w:color w:val="18191B"/>
        </w:rPr>
      </w:pPr>
      <w:r w:rsidRPr="008568F1">
        <w:rPr>
          <w:rStyle w:val="ListParagraphChar"/>
          <w:color w:val="202124"/>
        </w:rPr>
        <w:t xml:space="preserve">Tyrimas AD Up </w:t>
      </w:r>
      <w:r>
        <w:rPr>
          <w:rStyle w:val="ListParagraphChar"/>
          <w:color w:val="202124"/>
        </w:rPr>
        <w:t>buvo</w:t>
      </w:r>
      <w:r w:rsidRPr="008568F1">
        <w:rPr>
          <w:rStyle w:val="ListParagraphChar"/>
          <w:color w:val="202124"/>
        </w:rPr>
        <w:t xml:space="preserve"> </w:t>
      </w:r>
      <w:proofErr w:type="spellStart"/>
      <w:r w:rsidRPr="008568F1">
        <w:rPr>
          <w:rFonts w:eastAsia="Arial"/>
        </w:rPr>
        <w:t>daugiacentris</w:t>
      </w:r>
      <w:proofErr w:type="spellEnd"/>
      <w:r w:rsidRPr="008568F1">
        <w:rPr>
          <w:rFonts w:eastAsia="Arial"/>
        </w:rPr>
        <w:t xml:space="preserve">, </w:t>
      </w:r>
      <w:proofErr w:type="spellStart"/>
      <w:r w:rsidRPr="008568F1">
        <w:rPr>
          <w:rFonts w:eastAsia="Arial"/>
        </w:rPr>
        <w:t>randomizuotas</w:t>
      </w:r>
      <w:proofErr w:type="spellEnd"/>
      <w:r w:rsidRPr="008568F1">
        <w:rPr>
          <w:rFonts w:eastAsia="Arial"/>
        </w:rPr>
        <w:t xml:space="preserve">, dvigubai aklas, III fazės tyrimas, kurio metu vertinamas </w:t>
      </w:r>
      <w:r w:rsidRPr="00B87358">
        <w:t xml:space="preserve">15 mg ir 30 mg upadacitinibo veiksmingumas ir saugumas vartojant preparatą kartą per parą lyginant su </w:t>
      </w:r>
      <w:proofErr w:type="spellStart"/>
      <w:r w:rsidRPr="00B87358">
        <w:t>placebu</w:t>
      </w:r>
      <w:proofErr w:type="spellEnd"/>
      <w:r w:rsidRPr="00B87358">
        <w:t xml:space="preserve">. Tyrime </w:t>
      </w:r>
      <w:r>
        <w:t xml:space="preserve">dalyvavo </w:t>
      </w:r>
      <w:r w:rsidRPr="00B87358">
        <w:t xml:space="preserve">pacientai (12 metų ir vyresni), sergantys vidutinio sunkumo ar sunkiu </w:t>
      </w:r>
      <w:proofErr w:type="spellStart"/>
      <w:r w:rsidRPr="00B87358">
        <w:t>atopiniu</w:t>
      </w:r>
      <w:proofErr w:type="spellEnd"/>
      <w:r w:rsidRPr="00B87358">
        <w:t xml:space="preserve"> dermatitu (AD), kuris nebuvo pakankamai kontroliuojamas vietiniu (-</w:t>
      </w:r>
      <w:proofErr w:type="spellStart"/>
      <w:r w:rsidRPr="00B87358">
        <w:t>ais</w:t>
      </w:r>
      <w:proofErr w:type="spellEnd"/>
      <w:r w:rsidRPr="00B87358">
        <w:t>) vaistu (-</w:t>
      </w:r>
      <w:proofErr w:type="spellStart"/>
      <w:r w:rsidRPr="00B87358">
        <w:t>ais</w:t>
      </w:r>
      <w:proofErr w:type="spellEnd"/>
      <w:r w:rsidRPr="00B87358">
        <w:t xml:space="preserve">). </w:t>
      </w:r>
      <w:r w:rsidRPr="008568F1">
        <w:rPr>
          <w:rFonts w:eastAsia="Arial"/>
          <w:u w:val="single"/>
        </w:rPr>
        <w:t>Pirminės vertinamosios baigtys</w:t>
      </w:r>
      <w:r w:rsidRPr="008568F1">
        <w:rPr>
          <w:rFonts w:eastAsia="Arial"/>
        </w:rPr>
        <w:t xml:space="preserve"> buvo pacientų EASI balo sumažėjimas bent 75 proc., palyginti su pradiniu (EASI75), ir pacientų, kuriems pasiektas </w:t>
      </w:r>
      <w:proofErr w:type="spellStart"/>
      <w:r w:rsidRPr="008568F1">
        <w:rPr>
          <w:rFonts w:eastAsia="Arial"/>
        </w:rPr>
        <w:t>vIGA</w:t>
      </w:r>
      <w:proofErr w:type="spellEnd"/>
      <w:r w:rsidRPr="008568F1">
        <w:rPr>
          <w:rFonts w:eastAsia="Arial"/>
        </w:rPr>
        <w:t xml:space="preserve">-AD atsakas, dalis (apibrėžiama kaip 0 </w:t>
      </w:r>
      <w:proofErr w:type="spellStart"/>
      <w:r w:rsidRPr="008568F1">
        <w:rPr>
          <w:rFonts w:eastAsia="Arial"/>
        </w:rPr>
        <w:t>vIGA</w:t>
      </w:r>
      <w:proofErr w:type="spellEnd"/>
      <w:r w:rsidRPr="008568F1">
        <w:rPr>
          <w:rFonts w:eastAsia="Arial"/>
        </w:rPr>
        <w:t xml:space="preserve">-AD balas) [aiškus] arba 1 [beveik aiškus], kai pagerėjo ≥ 2 laipsniais nuo pradinio lygio) 16 savaitę dalis. Nustatyta, jog </w:t>
      </w:r>
      <w:r w:rsidRPr="008568F1">
        <w:rPr>
          <w:rStyle w:val="ListParagraphChar"/>
          <w:color w:val="202124"/>
        </w:rPr>
        <w:t xml:space="preserve">16 savaitę pacientų, pasiekusių EASI75, dalis buvo didesnė vartojant 15 mg upadacitinibo kartu su vietiniais kortikosteroidais ir </w:t>
      </w:r>
      <w:r w:rsidRPr="008568F1">
        <w:rPr>
          <w:color w:val="18191B"/>
        </w:rPr>
        <w:t xml:space="preserve">30 mg </w:t>
      </w:r>
      <w:r w:rsidRPr="008568F1">
        <w:rPr>
          <w:rStyle w:val="ListParagraphChar"/>
          <w:color w:val="202124"/>
        </w:rPr>
        <w:t xml:space="preserve">upadacitinibo </w:t>
      </w:r>
      <w:r w:rsidRPr="008568F1">
        <w:rPr>
          <w:color w:val="18191B"/>
        </w:rPr>
        <w:t xml:space="preserve">plius vietinių kortikosteroidų, palyginti su </w:t>
      </w:r>
      <w:proofErr w:type="spellStart"/>
      <w:r w:rsidRPr="008568F1">
        <w:rPr>
          <w:color w:val="18191B"/>
        </w:rPr>
        <w:t>placebu</w:t>
      </w:r>
      <w:proofErr w:type="spellEnd"/>
      <w:r w:rsidRPr="008568F1">
        <w:rPr>
          <w:color w:val="18191B"/>
        </w:rPr>
        <w:t xml:space="preserve"> ir vietiniais kortikosteroidais (194 (65 proc.) iš 300 pacientų ir 229 (77 proc.) iš 297 pacientų, palyginti su 80 (26 proc.) iš 304 pacientų; pakoreguotas skirtumas, palyginti su </w:t>
      </w:r>
      <w:proofErr w:type="spellStart"/>
      <w:r w:rsidRPr="008568F1">
        <w:rPr>
          <w:color w:val="18191B"/>
        </w:rPr>
        <w:t>placebu</w:t>
      </w:r>
      <w:proofErr w:type="spellEnd"/>
      <w:r w:rsidRPr="008568F1">
        <w:rPr>
          <w:color w:val="18191B"/>
        </w:rPr>
        <w:t xml:space="preserve">, 38,1 proc. [95% PI 30,8–45,4] 15 mg upadacitinibo grupei ir 50,6 proc. [43,8–57,4] 30 mg upadacitinibo grupei; p &lt;0,0001 abiejų dozių atveju). </w:t>
      </w:r>
      <w:r w:rsidRPr="008568F1">
        <w:rPr>
          <w:rFonts w:eastAsia="Arial"/>
        </w:rPr>
        <w:t xml:space="preserve">Pacientų, kuriems pasiektas </w:t>
      </w:r>
      <w:proofErr w:type="spellStart"/>
      <w:r w:rsidRPr="008568F1">
        <w:rPr>
          <w:rFonts w:eastAsia="Arial"/>
        </w:rPr>
        <w:t>vIGA</w:t>
      </w:r>
      <w:proofErr w:type="spellEnd"/>
      <w:r w:rsidRPr="008568F1">
        <w:rPr>
          <w:rFonts w:eastAsia="Arial"/>
        </w:rPr>
        <w:t xml:space="preserve">-AD atsakas, dalis (apibrėžiama kaip 0 </w:t>
      </w:r>
      <w:proofErr w:type="spellStart"/>
      <w:r w:rsidRPr="008568F1">
        <w:rPr>
          <w:rFonts w:eastAsia="Arial"/>
        </w:rPr>
        <w:t>vIGA</w:t>
      </w:r>
      <w:proofErr w:type="spellEnd"/>
      <w:r w:rsidRPr="008568F1">
        <w:rPr>
          <w:rFonts w:eastAsia="Arial"/>
        </w:rPr>
        <w:t>-AD balas) [aiškus] arba 1 [beveik aiškus], kai pagerėjo ≥ 2 laipsniais nuo pradinio lygio)</w:t>
      </w:r>
      <w:r>
        <w:rPr>
          <w:rFonts w:eastAsia="Arial"/>
        </w:rPr>
        <w:t xml:space="preserve">. </w:t>
      </w:r>
      <w:r w:rsidRPr="00B15035">
        <w:rPr>
          <w:color w:val="18191B"/>
        </w:rPr>
        <w:t xml:space="preserve">16 savaitę pacientų, pasiekusių </w:t>
      </w:r>
      <w:proofErr w:type="spellStart"/>
      <w:r w:rsidRPr="00B15035">
        <w:rPr>
          <w:color w:val="18191B"/>
        </w:rPr>
        <w:t>vIGA</w:t>
      </w:r>
      <w:proofErr w:type="spellEnd"/>
      <w:r w:rsidRPr="00B15035">
        <w:rPr>
          <w:color w:val="18191B"/>
        </w:rPr>
        <w:t xml:space="preserve">-AD atsaką, dalis buvo didesnė 15 mg upadacitinibo kartu su vietiniais kortikosteroidais ir 30 mg upadacitinibo ir vietinių kortikosteroidų grupėse, palyginti su </w:t>
      </w:r>
      <w:proofErr w:type="spellStart"/>
      <w:r w:rsidRPr="00B15035">
        <w:rPr>
          <w:color w:val="18191B"/>
        </w:rPr>
        <w:t>placebu</w:t>
      </w:r>
      <w:proofErr w:type="spellEnd"/>
      <w:r w:rsidRPr="00B15035">
        <w:rPr>
          <w:color w:val="18191B"/>
        </w:rPr>
        <w:t xml:space="preserve"> ir vietiniais kortikosteroidais (119 (40 proc.) ir 174 (59 pro)c., palyginti su 33 (11 proc.); pakoreguotas skirtumas, palyginti su </w:t>
      </w:r>
      <w:proofErr w:type="spellStart"/>
      <w:r w:rsidRPr="00B15035">
        <w:rPr>
          <w:color w:val="18191B"/>
        </w:rPr>
        <w:lastRenderedPageBreak/>
        <w:t>placebu</w:t>
      </w:r>
      <w:proofErr w:type="spellEnd"/>
      <w:r w:rsidRPr="00B15035">
        <w:rPr>
          <w:color w:val="18191B"/>
        </w:rPr>
        <w:t xml:space="preserve"> 28,5 proc. [22,1–34,9] 15 mg upadacitinibo grupėje ir 47,6 proc. [41,1–54,0] 30 mg upadacitinibo grupėje; p &lt;0,0001</w:t>
      </w:r>
      <w:r>
        <w:rPr>
          <w:color w:val="18191B"/>
        </w:rPr>
        <w:t>.</w:t>
      </w:r>
    </w:p>
    <w:p w14:paraId="716A58F6" w14:textId="77777777" w:rsidR="00E106CD" w:rsidRPr="00A467BB" w:rsidRDefault="00E106CD" w:rsidP="00E106CD">
      <w:pPr>
        <w:pStyle w:val="HTMLPreformatted"/>
        <w:spacing w:line="276" w:lineRule="auto"/>
        <w:jc w:val="both"/>
        <w:rPr>
          <w:rStyle w:val="y2iqfc"/>
          <w:rFonts w:asciiTheme="majorBidi" w:hAnsiTheme="majorBidi" w:cstheme="majorBidi"/>
          <w:sz w:val="24"/>
          <w:lang w:val="lt-LT"/>
        </w:rPr>
      </w:pPr>
      <w:r w:rsidRPr="00A467BB">
        <w:rPr>
          <w:rFonts w:eastAsia="Arial"/>
          <w:lang w:val="lt-LT"/>
        </w:rPr>
        <w:tab/>
      </w:r>
      <w:r w:rsidRPr="00A467BB">
        <w:rPr>
          <w:rFonts w:ascii="Times New Roman" w:eastAsia="Arial" w:hAnsi="Times New Roman" w:cs="Times New Roman"/>
          <w:sz w:val="24"/>
          <w:szCs w:val="24"/>
          <w:lang w:val="lt-LT"/>
        </w:rPr>
        <w:t xml:space="preserve">Vertinant vaisto saugumą, </w:t>
      </w:r>
      <w:r w:rsidRPr="00A467BB">
        <w:rPr>
          <w:rStyle w:val="y2iqfc"/>
          <w:rFonts w:asciiTheme="majorBidi" w:hAnsiTheme="majorBidi" w:cstheme="majorBidi"/>
          <w:sz w:val="24"/>
          <w:lang w:val="lt-LT"/>
        </w:rPr>
        <w:t>s</w:t>
      </w:r>
      <w:r w:rsidRPr="00B15035">
        <w:rPr>
          <w:rStyle w:val="y2iqfc"/>
          <w:rFonts w:asciiTheme="majorBidi" w:hAnsiTheme="majorBidi" w:cstheme="majorBidi"/>
          <w:sz w:val="24"/>
          <w:lang w:val="lt-LT"/>
        </w:rPr>
        <w:t xml:space="preserve">unkių infekcijų dažnis buvo didesnis pacientams, gydytiems </w:t>
      </w:r>
      <w:proofErr w:type="spellStart"/>
      <w:r w:rsidRPr="00B15035">
        <w:rPr>
          <w:rStyle w:val="y2iqfc"/>
          <w:rFonts w:asciiTheme="majorBidi" w:hAnsiTheme="majorBidi" w:cstheme="majorBidi"/>
          <w:sz w:val="24"/>
          <w:lang w:val="lt-LT"/>
        </w:rPr>
        <w:t>upadacitinibu</w:t>
      </w:r>
      <w:proofErr w:type="spellEnd"/>
      <w:r w:rsidRPr="00B15035">
        <w:rPr>
          <w:rStyle w:val="y2iqfc"/>
          <w:rFonts w:asciiTheme="majorBidi" w:hAnsiTheme="majorBidi" w:cstheme="majorBidi"/>
          <w:sz w:val="24"/>
          <w:lang w:val="lt-LT"/>
        </w:rPr>
        <w:t xml:space="preserve">, nei tiems, kurie gydyti </w:t>
      </w:r>
      <w:proofErr w:type="spellStart"/>
      <w:r w:rsidRPr="00B15035">
        <w:rPr>
          <w:rStyle w:val="y2iqfc"/>
          <w:rFonts w:asciiTheme="majorBidi" w:hAnsiTheme="majorBidi" w:cstheme="majorBidi"/>
          <w:sz w:val="24"/>
          <w:lang w:val="lt-LT"/>
        </w:rPr>
        <w:t>dupilumabu</w:t>
      </w:r>
      <w:proofErr w:type="spellEnd"/>
      <w:r w:rsidRPr="00B15035">
        <w:rPr>
          <w:rStyle w:val="y2iqfc"/>
          <w:rFonts w:asciiTheme="majorBidi" w:hAnsiTheme="majorBidi" w:cstheme="majorBidi"/>
          <w:sz w:val="24"/>
          <w:lang w:val="lt-LT"/>
        </w:rPr>
        <w:t xml:space="preserve">, atitinkamai 4 (1,1 proc.) palyginti su 2 (0,6 proc.) </w:t>
      </w:r>
      <w:proofErr w:type="spellStart"/>
      <w:r w:rsidRPr="00B15035">
        <w:rPr>
          <w:rStyle w:val="y2iqfc"/>
          <w:rFonts w:asciiTheme="majorBidi" w:hAnsiTheme="majorBidi" w:cstheme="majorBidi"/>
          <w:sz w:val="24"/>
          <w:lang w:val="lt-LT"/>
        </w:rPr>
        <w:t>t.y</w:t>
      </w:r>
      <w:proofErr w:type="spellEnd"/>
      <w:r w:rsidRPr="00B15035">
        <w:rPr>
          <w:rStyle w:val="y2iqfc"/>
          <w:rFonts w:asciiTheme="majorBidi" w:hAnsiTheme="majorBidi" w:cstheme="majorBidi"/>
          <w:sz w:val="24"/>
          <w:lang w:val="lt-LT"/>
        </w:rPr>
        <w:t xml:space="preserve">. </w:t>
      </w:r>
      <w:proofErr w:type="spellStart"/>
      <w:r w:rsidRPr="00B15035">
        <w:rPr>
          <w:rStyle w:val="y2iqfc"/>
          <w:rFonts w:asciiTheme="majorBidi" w:hAnsiTheme="majorBidi" w:cstheme="majorBidi"/>
          <w:sz w:val="24"/>
          <w:lang w:val="lt-LT"/>
        </w:rPr>
        <w:t>herpetinė</w:t>
      </w:r>
      <w:proofErr w:type="spellEnd"/>
      <w:r w:rsidRPr="00B15035">
        <w:rPr>
          <w:rStyle w:val="y2iqfc"/>
          <w:rFonts w:asciiTheme="majorBidi" w:hAnsiTheme="majorBidi" w:cstheme="majorBidi"/>
          <w:sz w:val="24"/>
          <w:lang w:val="lt-LT"/>
        </w:rPr>
        <w:t xml:space="preserve"> egzema pasireiškė atitinkamai 1 (0,3 proc.) ir 0 pacientų, o </w:t>
      </w:r>
      <w:proofErr w:type="spellStart"/>
      <w:r w:rsidRPr="00B15035">
        <w:rPr>
          <w:rStyle w:val="y2iqfc"/>
          <w:rFonts w:asciiTheme="majorBidi" w:hAnsiTheme="majorBidi" w:cstheme="majorBidi"/>
          <w:i/>
          <w:sz w:val="24"/>
          <w:lang w:val="lt-LT"/>
        </w:rPr>
        <w:t>herpes</w:t>
      </w:r>
      <w:proofErr w:type="spellEnd"/>
      <w:r w:rsidRPr="00B15035">
        <w:rPr>
          <w:rStyle w:val="y2iqfc"/>
          <w:rFonts w:asciiTheme="majorBidi" w:hAnsiTheme="majorBidi" w:cstheme="majorBidi"/>
          <w:i/>
          <w:sz w:val="24"/>
          <w:lang w:val="lt-LT"/>
        </w:rPr>
        <w:t xml:space="preserve"> </w:t>
      </w:r>
      <w:proofErr w:type="spellStart"/>
      <w:r w:rsidRPr="00B15035">
        <w:rPr>
          <w:rStyle w:val="y2iqfc"/>
          <w:rFonts w:asciiTheme="majorBidi" w:hAnsiTheme="majorBidi" w:cstheme="majorBidi"/>
          <w:i/>
          <w:sz w:val="24"/>
          <w:lang w:val="lt-LT"/>
        </w:rPr>
        <w:t>zoster</w:t>
      </w:r>
      <w:proofErr w:type="spellEnd"/>
      <w:r w:rsidRPr="00B15035">
        <w:rPr>
          <w:rStyle w:val="y2iqfc"/>
          <w:rFonts w:asciiTheme="majorBidi" w:hAnsiTheme="majorBidi" w:cstheme="majorBidi"/>
          <w:sz w:val="24"/>
          <w:lang w:val="lt-LT"/>
        </w:rPr>
        <w:t xml:space="preserve"> 7 (2,0 proc.), palyginti su 3 (0,9 proc.) pacientais. Egzema ar </w:t>
      </w:r>
      <w:proofErr w:type="spellStart"/>
      <w:r w:rsidRPr="00B15035">
        <w:rPr>
          <w:rStyle w:val="y2iqfc"/>
          <w:rFonts w:asciiTheme="majorBidi" w:hAnsiTheme="majorBidi" w:cstheme="majorBidi"/>
          <w:sz w:val="24"/>
          <w:lang w:val="lt-LT"/>
        </w:rPr>
        <w:t>herpes</w:t>
      </w:r>
      <w:proofErr w:type="spellEnd"/>
      <w:r w:rsidRPr="00B15035">
        <w:rPr>
          <w:rStyle w:val="y2iqfc"/>
          <w:rFonts w:asciiTheme="majorBidi" w:hAnsiTheme="majorBidi" w:cstheme="majorBidi"/>
          <w:sz w:val="24"/>
          <w:lang w:val="lt-LT"/>
        </w:rPr>
        <w:t xml:space="preserve"> </w:t>
      </w:r>
      <w:proofErr w:type="spellStart"/>
      <w:r w:rsidRPr="00B15035">
        <w:rPr>
          <w:rStyle w:val="y2iqfc"/>
          <w:rFonts w:asciiTheme="majorBidi" w:hAnsiTheme="majorBidi" w:cstheme="majorBidi"/>
          <w:sz w:val="24"/>
          <w:lang w:val="lt-LT"/>
        </w:rPr>
        <w:t>zoster</w:t>
      </w:r>
      <w:proofErr w:type="spellEnd"/>
      <w:r w:rsidRPr="00B15035">
        <w:rPr>
          <w:rStyle w:val="y2iqfc"/>
          <w:rFonts w:asciiTheme="majorBidi" w:hAnsiTheme="majorBidi" w:cstheme="majorBidi"/>
          <w:sz w:val="24"/>
          <w:lang w:val="lt-LT"/>
        </w:rPr>
        <w:t xml:space="preserve"> nebuvo laikomas rimtu nepageidaujamu </w:t>
      </w:r>
      <w:proofErr w:type="spellStart"/>
      <w:r w:rsidRPr="00B15035">
        <w:rPr>
          <w:rStyle w:val="y2iqfc"/>
          <w:rFonts w:asciiTheme="majorBidi" w:hAnsiTheme="majorBidi" w:cstheme="majorBidi"/>
          <w:sz w:val="24"/>
          <w:lang w:val="lt-LT"/>
        </w:rPr>
        <w:t>reikšniu</w:t>
      </w:r>
      <w:proofErr w:type="spellEnd"/>
      <w:r w:rsidRPr="00B15035">
        <w:rPr>
          <w:rStyle w:val="y2iqfc"/>
          <w:rFonts w:asciiTheme="majorBidi" w:hAnsiTheme="majorBidi" w:cstheme="majorBidi"/>
          <w:sz w:val="24"/>
          <w:lang w:val="lt-LT"/>
        </w:rPr>
        <w:t xml:space="preserve">. Visi </w:t>
      </w:r>
      <w:proofErr w:type="spellStart"/>
      <w:r w:rsidRPr="00B15035">
        <w:rPr>
          <w:rStyle w:val="y2iqfc"/>
          <w:rFonts w:asciiTheme="majorBidi" w:hAnsiTheme="majorBidi" w:cstheme="majorBidi"/>
          <w:i/>
          <w:sz w:val="24"/>
          <w:lang w:val="lt-LT"/>
        </w:rPr>
        <w:t>herpes</w:t>
      </w:r>
      <w:proofErr w:type="spellEnd"/>
      <w:r w:rsidRPr="00B15035">
        <w:rPr>
          <w:rStyle w:val="y2iqfc"/>
          <w:rFonts w:asciiTheme="majorBidi" w:hAnsiTheme="majorBidi" w:cstheme="majorBidi"/>
          <w:i/>
          <w:sz w:val="24"/>
          <w:lang w:val="lt-LT"/>
        </w:rPr>
        <w:t xml:space="preserve"> </w:t>
      </w:r>
      <w:proofErr w:type="spellStart"/>
      <w:r w:rsidRPr="00B15035">
        <w:rPr>
          <w:rStyle w:val="y2iqfc"/>
          <w:rFonts w:asciiTheme="majorBidi" w:hAnsiTheme="majorBidi" w:cstheme="majorBidi"/>
          <w:i/>
          <w:sz w:val="24"/>
          <w:lang w:val="lt-LT"/>
        </w:rPr>
        <w:t>zoster</w:t>
      </w:r>
      <w:proofErr w:type="spellEnd"/>
      <w:r w:rsidRPr="00B15035">
        <w:rPr>
          <w:rStyle w:val="y2iqfc"/>
          <w:rFonts w:asciiTheme="majorBidi" w:hAnsiTheme="majorBidi" w:cstheme="majorBidi"/>
          <w:sz w:val="24"/>
          <w:lang w:val="lt-LT"/>
        </w:rPr>
        <w:t xml:space="preserve"> reiškiniai buvo lengvi arba vidutinio sunkumo, ir nė vienas iš jų nereikalavo nutraukti tiriamųjų vaistų vartojimą. Dauguma </w:t>
      </w:r>
      <w:proofErr w:type="spellStart"/>
      <w:r w:rsidRPr="00B15035">
        <w:rPr>
          <w:rStyle w:val="y2iqfc"/>
          <w:rFonts w:asciiTheme="majorBidi" w:hAnsiTheme="majorBidi" w:cstheme="majorBidi"/>
          <w:i/>
          <w:sz w:val="24"/>
          <w:lang w:val="lt-LT"/>
        </w:rPr>
        <w:t>herpes</w:t>
      </w:r>
      <w:proofErr w:type="spellEnd"/>
      <w:r w:rsidRPr="00B15035">
        <w:rPr>
          <w:rStyle w:val="y2iqfc"/>
          <w:rFonts w:asciiTheme="majorBidi" w:hAnsiTheme="majorBidi" w:cstheme="majorBidi"/>
          <w:i/>
          <w:sz w:val="24"/>
          <w:lang w:val="lt-LT"/>
        </w:rPr>
        <w:t xml:space="preserve"> </w:t>
      </w:r>
      <w:proofErr w:type="spellStart"/>
      <w:r w:rsidRPr="00B15035">
        <w:rPr>
          <w:rStyle w:val="y2iqfc"/>
          <w:rFonts w:asciiTheme="majorBidi" w:hAnsiTheme="majorBidi" w:cstheme="majorBidi"/>
          <w:i/>
          <w:sz w:val="24"/>
          <w:lang w:val="lt-LT"/>
        </w:rPr>
        <w:t>zoster</w:t>
      </w:r>
      <w:proofErr w:type="spellEnd"/>
      <w:r w:rsidRPr="00B15035">
        <w:rPr>
          <w:rStyle w:val="y2iqfc"/>
          <w:rFonts w:asciiTheme="majorBidi" w:hAnsiTheme="majorBidi" w:cstheme="majorBidi"/>
          <w:sz w:val="24"/>
          <w:lang w:val="lt-LT"/>
        </w:rPr>
        <w:t xml:space="preserve"> susirgimų apėmė vieną </w:t>
      </w:r>
      <w:proofErr w:type="spellStart"/>
      <w:r w:rsidRPr="00B15035">
        <w:rPr>
          <w:rStyle w:val="y2iqfc"/>
          <w:rFonts w:asciiTheme="majorBidi" w:hAnsiTheme="majorBidi" w:cstheme="majorBidi"/>
          <w:sz w:val="24"/>
          <w:lang w:val="lt-LT"/>
        </w:rPr>
        <w:t>dermatomą</w:t>
      </w:r>
      <w:proofErr w:type="spellEnd"/>
      <w:r w:rsidRPr="00B15035">
        <w:rPr>
          <w:rStyle w:val="y2iqfc"/>
          <w:rFonts w:asciiTheme="majorBidi" w:hAnsiTheme="majorBidi" w:cstheme="majorBidi"/>
          <w:sz w:val="24"/>
          <w:lang w:val="lt-LT"/>
        </w:rPr>
        <w:t xml:space="preserve">; 2 </w:t>
      </w:r>
      <w:proofErr w:type="spellStart"/>
      <w:r w:rsidRPr="00B15035">
        <w:rPr>
          <w:rStyle w:val="y2iqfc"/>
          <w:rFonts w:asciiTheme="majorBidi" w:hAnsiTheme="majorBidi" w:cstheme="majorBidi"/>
          <w:i/>
          <w:sz w:val="24"/>
          <w:lang w:val="lt-LT"/>
        </w:rPr>
        <w:t>herpes</w:t>
      </w:r>
      <w:proofErr w:type="spellEnd"/>
      <w:r w:rsidRPr="00B15035">
        <w:rPr>
          <w:rStyle w:val="y2iqfc"/>
          <w:rFonts w:asciiTheme="majorBidi" w:hAnsiTheme="majorBidi" w:cstheme="majorBidi"/>
          <w:i/>
          <w:sz w:val="24"/>
          <w:lang w:val="lt-LT"/>
        </w:rPr>
        <w:t xml:space="preserve"> </w:t>
      </w:r>
      <w:proofErr w:type="spellStart"/>
      <w:r w:rsidRPr="00B15035">
        <w:rPr>
          <w:rStyle w:val="y2iqfc"/>
          <w:rFonts w:asciiTheme="majorBidi" w:hAnsiTheme="majorBidi" w:cstheme="majorBidi"/>
          <w:i/>
          <w:sz w:val="24"/>
          <w:lang w:val="lt-LT"/>
        </w:rPr>
        <w:t>zoster</w:t>
      </w:r>
      <w:proofErr w:type="spellEnd"/>
      <w:r w:rsidRPr="00B15035">
        <w:rPr>
          <w:rStyle w:val="y2iqfc"/>
          <w:rFonts w:asciiTheme="majorBidi" w:hAnsiTheme="majorBidi" w:cstheme="majorBidi"/>
          <w:sz w:val="24"/>
          <w:lang w:val="lt-LT"/>
        </w:rPr>
        <w:t xml:space="preserve"> atvejai apėmė 3 ar daugiau </w:t>
      </w:r>
      <w:proofErr w:type="spellStart"/>
      <w:r w:rsidRPr="00B15035">
        <w:rPr>
          <w:rStyle w:val="y2iqfc"/>
          <w:rFonts w:asciiTheme="majorBidi" w:hAnsiTheme="majorBidi" w:cstheme="majorBidi"/>
          <w:sz w:val="24"/>
          <w:lang w:val="lt-LT"/>
        </w:rPr>
        <w:t>dermatomų</w:t>
      </w:r>
      <w:proofErr w:type="spellEnd"/>
      <w:r w:rsidRPr="00B15035">
        <w:rPr>
          <w:rStyle w:val="y2iqfc"/>
          <w:rFonts w:asciiTheme="majorBidi" w:hAnsiTheme="majorBidi" w:cstheme="majorBidi"/>
          <w:sz w:val="24"/>
          <w:lang w:val="lt-LT"/>
        </w:rPr>
        <w:t>, o 1- akių (</w:t>
      </w:r>
      <w:proofErr w:type="spellStart"/>
      <w:r w:rsidRPr="00B15035">
        <w:rPr>
          <w:rStyle w:val="y2iqfc"/>
          <w:rFonts w:asciiTheme="majorBidi" w:hAnsiTheme="majorBidi" w:cstheme="majorBidi"/>
          <w:sz w:val="24"/>
          <w:lang w:val="lt-LT"/>
        </w:rPr>
        <w:t>periorbitalinė</w:t>
      </w:r>
      <w:proofErr w:type="spellEnd"/>
      <w:r w:rsidRPr="00B15035">
        <w:rPr>
          <w:rStyle w:val="y2iqfc"/>
          <w:rFonts w:asciiTheme="majorBidi" w:hAnsiTheme="majorBidi" w:cstheme="majorBidi"/>
          <w:sz w:val="24"/>
          <w:lang w:val="lt-LT"/>
        </w:rPr>
        <w:t xml:space="preserve"> oda)</w:t>
      </w:r>
      <w:r w:rsidRPr="00A467BB">
        <w:rPr>
          <w:rStyle w:val="y2iqfc"/>
          <w:rFonts w:asciiTheme="majorBidi" w:hAnsiTheme="majorBidi" w:cstheme="majorBidi"/>
          <w:sz w:val="24"/>
          <w:lang w:val="lt-LT"/>
        </w:rPr>
        <w:t>.</w:t>
      </w:r>
    </w:p>
    <w:p w14:paraId="17E3BF52" w14:textId="77777777" w:rsidR="00E106CD" w:rsidRPr="00A467BB" w:rsidRDefault="00E106CD" w:rsidP="00E106CD">
      <w:pPr>
        <w:pStyle w:val="HTMLPreformatted"/>
        <w:spacing w:line="276" w:lineRule="auto"/>
        <w:jc w:val="both"/>
        <w:rPr>
          <w:rFonts w:asciiTheme="majorBidi" w:hAnsiTheme="majorBidi" w:cstheme="majorBidi"/>
          <w:sz w:val="24"/>
          <w:lang w:val="lt-LT"/>
        </w:rPr>
      </w:pPr>
    </w:p>
    <w:p w14:paraId="172F5A46" w14:textId="77777777" w:rsidR="00E106CD" w:rsidRPr="00A467BB" w:rsidRDefault="00E106CD" w:rsidP="00E106CD">
      <w:pPr>
        <w:pStyle w:val="HTMLPreformatted"/>
        <w:spacing w:line="276" w:lineRule="auto"/>
        <w:jc w:val="both"/>
        <w:rPr>
          <w:rFonts w:ascii="Times New Roman" w:eastAsia="Arial" w:hAnsi="Times New Roman" w:cs="Times New Roman"/>
          <w:i/>
          <w:iCs/>
          <w:sz w:val="24"/>
          <w:szCs w:val="24"/>
          <w:u w:val="single"/>
          <w:lang w:val="lt-LT"/>
        </w:rPr>
      </w:pPr>
      <w:r w:rsidRPr="00A467BB">
        <w:rPr>
          <w:rFonts w:ascii="Times New Roman" w:eastAsia="Arial" w:hAnsi="Times New Roman" w:cs="Times New Roman"/>
          <w:i/>
          <w:iCs/>
          <w:sz w:val="24"/>
          <w:szCs w:val="24"/>
          <w:u w:val="single"/>
          <w:lang w:val="lt-LT"/>
        </w:rPr>
        <w:t xml:space="preserve">Netiesioginis upadacitinibo </w:t>
      </w:r>
      <w:r w:rsidRPr="00D1161B">
        <w:rPr>
          <w:rFonts w:ascii="Times New Roman" w:eastAsia="Arial" w:hAnsi="Times New Roman" w:cs="Times New Roman"/>
          <w:i/>
          <w:iCs/>
          <w:sz w:val="24"/>
          <w:szCs w:val="24"/>
          <w:u w:val="single"/>
          <w:lang w:val="lt-LT"/>
        </w:rPr>
        <w:t xml:space="preserve">15 mg ir 30 mg </w:t>
      </w:r>
      <w:proofErr w:type="spellStart"/>
      <w:r w:rsidRPr="00D1161B">
        <w:rPr>
          <w:rFonts w:ascii="Times New Roman" w:eastAsia="Arial" w:hAnsi="Times New Roman" w:cs="Times New Roman"/>
          <w:i/>
          <w:iCs/>
          <w:sz w:val="24"/>
          <w:szCs w:val="24"/>
          <w:u w:val="single"/>
          <w:lang w:val="lt-LT"/>
        </w:rPr>
        <w:t>dozuo</w:t>
      </w:r>
      <w:r w:rsidRPr="00A467BB">
        <w:rPr>
          <w:rFonts w:ascii="Times New Roman" w:eastAsia="Arial" w:hAnsi="Times New Roman" w:cs="Times New Roman"/>
          <w:i/>
          <w:iCs/>
          <w:sz w:val="24"/>
          <w:szCs w:val="24"/>
          <w:u w:val="single"/>
          <w:lang w:val="lt-LT"/>
        </w:rPr>
        <w:t>čių</w:t>
      </w:r>
      <w:proofErr w:type="spellEnd"/>
      <w:r w:rsidRPr="00A467BB">
        <w:rPr>
          <w:rFonts w:ascii="Times New Roman" w:eastAsia="Arial" w:hAnsi="Times New Roman" w:cs="Times New Roman"/>
          <w:i/>
          <w:iCs/>
          <w:sz w:val="24"/>
          <w:szCs w:val="24"/>
          <w:u w:val="single"/>
          <w:lang w:val="lt-LT"/>
        </w:rPr>
        <w:t xml:space="preserve"> palyginimas su </w:t>
      </w:r>
      <w:proofErr w:type="spellStart"/>
      <w:r w:rsidRPr="00A467BB">
        <w:rPr>
          <w:rFonts w:ascii="Times New Roman" w:eastAsia="Arial" w:hAnsi="Times New Roman" w:cs="Times New Roman"/>
          <w:i/>
          <w:iCs/>
          <w:sz w:val="24"/>
          <w:szCs w:val="24"/>
          <w:u w:val="single"/>
          <w:lang w:val="lt-LT"/>
        </w:rPr>
        <w:t>dupilumabu</w:t>
      </w:r>
      <w:proofErr w:type="spellEnd"/>
      <w:r w:rsidRPr="00A467BB">
        <w:rPr>
          <w:rFonts w:ascii="Times New Roman" w:eastAsia="Arial" w:hAnsi="Times New Roman" w:cs="Times New Roman"/>
          <w:i/>
          <w:iCs/>
          <w:sz w:val="24"/>
          <w:szCs w:val="24"/>
          <w:u w:val="single"/>
          <w:lang w:val="lt-LT"/>
        </w:rPr>
        <w:t xml:space="preserve"> </w:t>
      </w:r>
      <w:proofErr w:type="spellStart"/>
      <w:r w:rsidRPr="00A467BB">
        <w:rPr>
          <w:rFonts w:ascii="Times New Roman" w:eastAsia="Arial" w:hAnsi="Times New Roman" w:cs="Times New Roman"/>
          <w:i/>
          <w:iCs/>
          <w:sz w:val="24"/>
          <w:szCs w:val="24"/>
          <w:u w:val="single"/>
          <w:lang w:val="lt-LT"/>
        </w:rPr>
        <w:t>bai</w:t>
      </w:r>
      <w:proofErr w:type="spellEnd"/>
      <w:r w:rsidRPr="00A467BB">
        <w:rPr>
          <w:rFonts w:ascii="Times New Roman" w:eastAsia="Arial" w:hAnsi="Times New Roman" w:cs="Times New Roman"/>
          <w:i/>
          <w:iCs/>
          <w:sz w:val="24"/>
          <w:szCs w:val="24"/>
          <w:u w:val="single"/>
          <w:lang w:val="lt-LT"/>
        </w:rPr>
        <w:t xml:space="preserve"> </w:t>
      </w:r>
      <w:proofErr w:type="spellStart"/>
      <w:r w:rsidRPr="00A467BB">
        <w:rPr>
          <w:rFonts w:ascii="Times New Roman" w:eastAsia="Arial" w:hAnsi="Times New Roman" w:cs="Times New Roman"/>
          <w:i/>
          <w:iCs/>
          <w:sz w:val="24"/>
          <w:szCs w:val="24"/>
          <w:u w:val="single"/>
          <w:lang w:val="lt-LT"/>
        </w:rPr>
        <w:t>baricitinibu</w:t>
      </w:r>
      <w:proofErr w:type="spellEnd"/>
      <w:r w:rsidRPr="00A467BB">
        <w:rPr>
          <w:rFonts w:ascii="Times New Roman" w:eastAsia="Arial" w:hAnsi="Times New Roman" w:cs="Times New Roman"/>
          <w:i/>
          <w:iCs/>
          <w:sz w:val="24"/>
          <w:szCs w:val="24"/>
          <w:u w:val="single"/>
          <w:lang w:val="lt-LT"/>
        </w:rPr>
        <w:t>, kuriam pateikta STV paraiška AD indikacijai:</w:t>
      </w:r>
    </w:p>
    <w:p w14:paraId="0724BA96" w14:textId="7132B92A" w:rsidR="00E106CD" w:rsidRPr="00E106CD" w:rsidRDefault="00E106CD" w:rsidP="00E106CD">
      <w:pPr>
        <w:pStyle w:val="HTMLPreformatted"/>
        <w:spacing w:line="276" w:lineRule="auto"/>
        <w:jc w:val="both"/>
        <w:rPr>
          <w:rFonts w:ascii="Times New Roman" w:eastAsia="Arial" w:hAnsi="Times New Roman" w:cs="Times New Roman"/>
          <w:sz w:val="24"/>
          <w:szCs w:val="24"/>
          <w:lang w:val="lt-LT"/>
        </w:rPr>
      </w:pPr>
      <w:r w:rsidRPr="00A467BB">
        <w:rPr>
          <w:rFonts w:ascii="Times New Roman" w:eastAsia="Arial" w:hAnsi="Times New Roman" w:cs="Times New Roman"/>
          <w:sz w:val="24"/>
          <w:szCs w:val="24"/>
          <w:lang w:val="lt-LT"/>
        </w:rPr>
        <w:t xml:space="preserve">Nustatyta, jog </w:t>
      </w:r>
      <w:proofErr w:type="spellStart"/>
      <w:r w:rsidRPr="00A467BB">
        <w:rPr>
          <w:rFonts w:ascii="Times New Roman" w:eastAsia="Arial" w:hAnsi="Times New Roman" w:cs="Times New Roman"/>
          <w:sz w:val="24"/>
          <w:szCs w:val="24"/>
          <w:lang w:val="lt-LT"/>
        </w:rPr>
        <w:t>upadacitinibo</w:t>
      </w:r>
      <w:proofErr w:type="spellEnd"/>
      <w:r w:rsidRPr="00A467BB">
        <w:rPr>
          <w:rFonts w:ascii="Times New Roman" w:eastAsia="Arial" w:hAnsi="Times New Roman" w:cs="Times New Roman"/>
          <w:sz w:val="24"/>
          <w:szCs w:val="24"/>
          <w:lang w:val="lt-LT"/>
        </w:rPr>
        <w:t xml:space="preserve"> </w:t>
      </w:r>
      <w:r w:rsidRPr="00D1161B">
        <w:rPr>
          <w:rFonts w:ascii="Times New Roman" w:eastAsia="Arial" w:hAnsi="Times New Roman" w:cs="Times New Roman"/>
          <w:sz w:val="24"/>
          <w:szCs w:val="24"/>
          <w:lang w:val="lt-LT"/>
        </w:rPr>
        <w:t xml:space="preserve">30 mg </w:t>
      </w:r>
      <w:proofErr w:type="spellStart"/>
      <w:r w:rsidRPr="00D1161B">
        <w:rPr>
          <w:rFonts w:ascii="Times New Roman" w:eastAsia="Arial" w:hAnsi="Times New Roman" w:cs="Times New Roman"/>
          <w:sz w:val="24"/>
          <w:szCs w:val="24"/>
          <w:lang w:val="lt-LT"/>
        </w:rPr>
        <w:t>dozuot</w:t>
      </w:r>
      <w:r w:rsidRPr="00A467BB">
        <w:rPr>
          <w:rFonts w:ascii="Times New Roman" w:eastAsia="Arial" w:hAnsi="Times New Roman" w:cs="Times New Roman"/>
          <w:sz w:val="24"/>
          <w:szCs w:val="24"/>
          <w:lang w:val="lt-LT"/>
        </w:rPr>
        <w:t>ė</w:t>
      </w:r>
      <w:proofErr w:type="spellEnd"/>
      <w:r w:rsidRPr="00A467BB">
        <w:rPr>
          <w:rFonts w:ascii="Times New Roman" w:eastAsia="Arial" w:hAnsi="Times New Roman" w:cs="Times New Roman"/>
          <w:sz w:val="24"/>
          <w:szCs w:val="24"/>
          <w:lang w:val="lt-LT"/>
        </w:rPr>
        <w:t xml:space="preserve"> įrodė pranašumą prieš </w:t>
      </w:r>
      <w:proofErr w:type="spellStart"/>
      <w:r w:rsidRPr="00A467BB">
        <w:rPr>
          <w:rFonts w:ascii="Times New Roman" w:eastAsia="Arial" w:hAnsi="Times New Roman" w:cs="Times New Roman"/>
          <w:sz w:val="24"/>
          <w:szCs w:val="24"/>
          <w:lang w:val="lt-LT"/>
        </w:rPr>
        <w:t>dupilumabą</w:t>
      </w:r>
      <w:proofErr w:type="spellEnd"/>
      <w:r w:rsidRPr="00A467BB">
        <w:rPr>
          <w:rFonts w:ascii="Times New Roman" w:eastAsia="Arial" w:hAnsi="Times New Roman" w:cs="Times New Roman"/>
          <w:sz w:val="24"/>
          <w:szCs w:val="24"/>
          <w:lang w:val="lt-LT"/>
        </w:rPr>
        <w:t xml:space="preserve"> bei </w:t>
      </w:r>
      <w:proofErr w:type="spellStart"/>
      <w:r w:rsidRPr="00A467BB">
        <w:rPr>
          <w:rFonts w:ascii="Times New Roman" w:eastAsia="Arial" w:hAnsi="Times New Roman" w:cs="Times New Roman"/>
          <w:sz w:val="24"/>
          <w:szCs w:val="24"/>
          <w:lang w:val="lt-LT"/>
        </w:rPr>
        <w:t>baricitinimą</w:t>
      </w:r>
      <w:proofErr w:type="spellEnd"/>
      <w:r w:rsidRPr="00A467BB">
        <w:rPr>
          <w:rFonts w:ascii="Times New Roman" w:eastAsia="Arial" w:hAnsi="Times New Roman" w:cs="Times New Roman"/>
          <w:sz w:val="24"/>
          <w:szCs w:val="24"/>
          <w:lang w:val="lt-LT"/>
        </w:rPr>
        <w:t xml:space="preserve"> vertinant pagal </w:t>
      </w:r>
      <w:r w:rsidRPr="00A467BB">
        <w:rPr>
          <w:rFonts w:ascii="Times New Roman" w:hAnsi="Times New Roman" w:cs="Times New Roman"/>
          <w:sz w:val="24"/>
          <w:szCs w:val="24"/>
          <w:lang w:val="lt-LT"/>
        </w:rPr>
        <w:t xml:space="preserve">EASI75 vertinamąją baigtį, tačiau </w:t>
      </w:r>
      <w:proofErr w:type="spellStart"/>
      <w:r w:rsidRPr="00D1161B">
        <w:rPr>
          <w:rFonts w:ascii="Times New Roman" w:hAnsi="Times New Roman" w:cs="Times New Roman"/>
          <w:sz w:val="24"/>
          <w:szCs w:val="24"/>
          <w:lang w:val="lt-LT"/>
        </w:rPr>
        <w:t>upa</w:t>
      </w:r>
      <w:r w:rsidRPr="00A467BB">
        <w:rPr>
          <w:rFonts w:ascii="Times New Roman" w:hAnsi="Times New Roman" w:cs="Times New Roman"/>
          <w:sz w:val="24"/>
          <w:szCs w:val="24"/>
          <w:lang w:val="lt-LT"/>
        </w:rPr>
        <w:t>dacitinibo</w:t>
      </w:r>
      <w:proofErr w:type="spellEnd"/>
      <w:r w:rsidRPr="00A467BB">
        <w:rPr>
          <w:rFonts w:ascii="Times New Roman" w:hAnsi="Times New Roman" w:cs="Times New Roman"/>
          <w:sz w:val="24"/>
          <w:szCs w:val="24"/>
          <w:lang w:val="lt-LT"/>
        </w:rPr>
        <w:t xml:space="preserve"> </w:t>
      </w:r>
      <w:r w:rsidRPr="00D1161B">
        <w:rPr>
          <w:rFonts w:ascii="Times New Roman" w:hAnsi="Times New Roman" w:cs="Times New Roman"/>
          <w:sz w:val="24"/>
          <w:szCs w:val="24"/>
          <w:lang w:val="lt-LT"/>
        </w:rPr>
        <w:t>1</w:t>
      </w:r>
      <w:r w:rsidRPr="00A467BB">
        <w:rPr>
          <w:rFonts w:ascii="Times New Roman" w:hAnsi="Times New Roman" w:cs="Times New Roman"/>
          <w:sz w:val="24"/>
          <w:szCs w:val="24"/>
          <w:lang w:val="lt-LT"/>
        </w:rPr>
        <w:t xml:space="preserve">5 mg </w:t>
      </w:r>
      <w:proofErr w:type="spellStart"/>
      <w:r w:rsidRPr="00A467BB">
        <w:rPr>
          <w:rFonts w:ascii="Times New Roman" w:hAnsi="Times New Roman" w:cs="Times New Roman"/>
          <w:sz w:val="24"/>
          <w:szCs w:val="24"/>
          <w:lang w:val="lt-LT"/>
        </w:rPr>
        <w:t>dozuotės</w:t>
      </w:r>
      <w:proofErr w:type="spellEnd"/>
      <w:r w:rsidRPr="00A467BB">
        <w:rPr>
          <w:rFonts w:ascii="Times New Roman" w:hAnsi="Times New Roman" w:cs="Times New Roman"/>
          <w:sz w:val="24"/>
          <w:szCs w:val="24"/>
          <w:lang w:val="lt-LT"/>
        </w:rPr>
        <w:t xml:space="preserve"> veiksmingumas pagal EASI75 vertinamąją baigtį įrodytas kaip nesiskiriantis lyginant su </w:t>
      </w:r>
      <w:proofErr w:type="spellStart"/>
      <w:r w:rsidRPr="00A467BB">
        <w:rPr>
          <w:rFonts w:ascii="Times New Roman" w:hAnsi="Times New Roman" w:cs="Times New Roman"/>
          <w:sz w:val="24"/>
          <w:szCs w:val="24"/>
          <w:lang w:val="lt-LT"/>
        </w:rPr>
        <w:t>dupilumabu</w:t>
      </w:r>
      <w:proofErr w:type="spellEnd"/>
      <w:r w:rsidRPr="00A467BB">
        <w:rPr>
          <w:rFonts w:ascii="Times New Roman" w:hAnsi="Times New Roman" w:cs="Times New Roman"/>
          <w:sz w:val="24"/>
          <w:szCs w:val="24"/>
          <w:lang w:val="lt-LT"/>
        </w:rPr>
        <w:t xml:space="preserve"> bei </w:t>
      </w:r>
      <w:proofErr w:type="spellStart"/>
      <w:r w:rsidRPr="00A467BB">
        <w:rPr>
          <w:rFonts w:ascii="Times New Roman" w:hAnsi="Times New Roman" w:cs="Times New Roman"/>
          <w:sz w:val="24"/>
          <w:szCs w:val="24"/>
          <w:lang w:val="lt-LT"/>
        </w:rPr>
        <w:t>paranašenis</w:t>
      </w:r>
      <w:proofErr w:type="spellEnd"/>
      <w:r w:rsidRPr="00A467BB">
        <w:rPr>
          <w:rFonts w:ascii="Times New Roman" w:hAnsi="Times New Roman" w:cs="Times New Roman"/>
          <w:sz w:val="24"/>
          <w:szCs w:val="24"/>
          <w:lang w:val="lt-LT"/>
        </w:rPr>
        <w:t xml:space="preserve"> prieš </w:t>
      </w:r>
      <w:proofErr w:type="spellStart"/>
      <w:r w:rsidRPr="00A467BB">
        <w:rPr>
          <w:rFonts w:ascii="Times New Roman" w:hAnsi="Times New Roman" w:cs="Times New Roman"/>
          <w:sz w:val="24"/>
          <w:szCs w:val="24"/>
          <w:lang w:val="lt-LT"/>
        </w:rPr>
        <w:t>baricinibą</w:t>
      </w:r>
      <w:proofErr w:type="spellEnd"/>
      <w:r w:rsidRPr="00A467BB">
        <w:rPr>
          <w:rFonts w:ascii="Times New Roman" w:hAnsi="Times New Roman" w:cs="Times New Roman"/>
          <w:sz w:val="24"/>
          <w:szCs w:val="24"/>
          <w:lang w:val="lt-LT"/>
        </w:rPr>
        <w:t>.</w:t>
      </w:r>
    </w:p>
    <w:p w14:paraId="25F89291" w14:textId="5C45C8FC" w:rsidR="00D4485B" w:rsidRPr="00E33EFF" w:rsidRDefault="00D4485B" w:rsidP="00A93AA6">
      <w:pPr>
        <w:pStyle w:val="ListParagraph"/>
        <w:tabs>
          <w:tab w:val="left" w:pos="426"/>
        </w:tabs>
        <w:ind w:left="0"/>
        <w:rPr>
          <w:b/>
          <w:bCs/>
          <w:caps/>
        </w:rPr>
      </w:pPr>
    </w:p>
    <w:p w14:paraId="7DE09EB5" w14:textId="69E9DD74" w:rsidR="00E03C3F" w:rsidRPr="00E33EFF" w:rsidRDefault="00CC7832" w:rsidP="00CC09D4">
      <w:pPr>
        <w:pStyle w:val="ListParagraph"/>
        <w:numPr>
          <w:ilvl w:val="0"/>
          <w:numId w:val="12"/>
        </w:numPr>
        <w:tabs>
          <w:tab w:val="left" w:pos="567"/>
        </w:tabs>
        <w:ind w:hanging="720"/>
        <w:rPr>
          <w:b/>
          <w:bCs/>
          <w:caps/>
        </w:rPr>
      </w:pPr>
      <w:r w:rsidRPr="00E33EFF">
        <w:rPr>
          <w:b/>
          <w:bCs/>
          <w:caps/>
        </w:rPr>
        <w:t xml:space="preserve">ekonominio vertinimo </w:t>
      </w:r>
      <w:r w:rsidR="002F0E4F" w:rsidRPr="00E33EFF">
        <w:rPr>
          <w:b/>
          <w:bCs/>
          <w:caps/>
        </w:rPr>
        <w:t>apibendrinimas</w:t>
      </w:r>
    </w:p>
    <w:p w14:paraId="1A900598" w14:textId="16BD3514" w:rsidR="00C62B36" w:rsidRDefault="00C62B36" w:rsidP="00A93AA6">
      <w:pPr>
        <w:tabs>
          <w:tab w:val="left" w:pos="426"/>
        </w:tabs>
        <w:rPr>
          <w:i/>
          <w:color w:val="00B050"/>
          <w:sz w:val="22"/>
          <w:szCs w:val="22"/>
        </w:rPr>
      </w:pPr>
    </w:p>
    <w:p w14:paraId="3D62FBC2" w14:textId="77777777" w:rsidR="00E106CD" w:rsidRDefault="00E106CD" w:rsidP="00E106CD">
      <w:pPr>
        <w:shd w:val="clear" w:color="auto" w:fill="FFFFFF"/>
        <w:spacing w:line="276" w:lineRule="auto"/>
        <w:jc w:val="both"/>
        <w:rPr>
          <w:rFonts w:eastAsia="Arial"/>
        </w:rPr>
      </w:pPr>
      <w:r>
        <w:rPr>
          <w:rFonts w:eastAsia="Arial"/>
        </w:rPr>
        <w:t xml:space="preserve">Pateikta kaštų naudingumo analizė, kurioje vertinamas </w:t>
      </w:r>
      <w:proofErr w:type="spellStart"/>
      <w:r>
        <w:rPr>
          <w:rFonts w:eastAsia="Arial"/>
        </w:rPr>
        <w:t>upadacitinibo</w:t>
      </w:r>
      <w:proofErr w:type="spellEnd"/>
      <w:r>
        <w:rPr>
          <w:rFonts w:eastAsia="Arial"/>
        </w:rPr>
        <w:t xml:space="preserve"> kaštų naudingumas </w:t>
      </w:r>
      <w:proofErr w:type="spellStart"/>
      <w:r>
        <w:rPr>
          <w:rFonts w:eastAsia="Arial"/>
        </w:rPr>
        <w:t>atopinio</w:t>
      </w:r>
      <w:proofErr w:type="spellEnd"/>
      <w:r>
        <w:rPr>
          <w:rFonts w:eastAsia="Arial"/>
        </w:rPr>
        <w:t xml:space="preserve"> dermatito gydymui, lyginant su </w:t>
      </w:r>
      <w:proofErr w:type="spellStart"/>
      <w:r>
        <w:rPr>
          <w:rFonts w:eastAsia="Arial"/>
        </w:rPr>
        <w:t>dupilumabu</w:t>
      </w:r>
      <w:proofErr w:type="spellEnd"/>
      <w:r>
        <w:rPr>
          <w:rFonts w:eastAsia="Arial"/>
        </w:rPr>
        <w:t xml:space="preserve">. </w:t>
      </w:r>
    </w:p>
    <w:p w14:paraId="19612150" w14:textId="77777777" w:rsidR="00E106CD" w:rsidRDefault="00E106CD" w:rsidP="00E106CD">
      <w:pPr>
        <w:shd w:val="clear" w:color="auto" w:fill="FFFFFF"/>
        <w:spacing w:line="276" w:lineRule="auto"/>
        <w:jc w:val="both"/>
        <w:rPr>
          <w:rFonts w:eastAsia="Arial"/>
        </w:rPr>
      </w:pPr>
      <w:r>
        <w:rPr>
          <w:rFonts w:eastAsia="Arial"/>
        </w:rPr>
        <w:t>Tarnyba atliko analizės rezultato perskaičiavimą, pritaikius konservatyvias prielaidas ir atnaujinus kaštus:</w:t>
      </w:r>
    </w:p>
    <w:p w14:paraId="3E47B9C1" w14:textId="77777777" w:rsidR="00E106CD" w:rsidRDefault="00E106CD" w:rsidP="00E106CD">
      <w:pPr>
        <w:pStyle w:val="ListParagraph"/>
        <w:numPr>
          <w:ilvl w:val="0"/>
          <w:numId w:val="14"/>
        </w:numPr>
        <w:shd w:val="clear" w:color="auto" w:fill="FFFFFF"/>
        <w:spacing w:line="276" w:lineRule="auto"/>
        <w:jc w:val="both"/>
        <w:rPr>
          <w:rFonts w:eastAsia="Arial"/>
        </w:rPr>
      </w:pPr>
      <w:r w:rsidRPr="009E5F21">
        <w:rPr>
          <w:rFonts w:eastAsia="Arial"/>
        </w:rPr>
        <w:t xml:space="preserve">Pirminio vertinimo metu buvo taikyta prielaida, jog 50 proc. pacientų vartos 15 mg upadacitinibo dozę ir 50 proc. – 30 mg. Vis dėlto, nėra klinikinių duomenų, kurie įrodytų šių dozių vartojimo pasiskirstymą, todėl tai buvo laikoma neapibrėžtumu. Pareiškėjas sutiko sumažinti </w:t>
      </w:r>
      <w:proofErr w:type="spellStart"/>
      <w:r w:rsidRPr="009E5F21">
        <w:rPr>
          <w:rFonts w:eastAsia="Arial"/>
        </w:rPr>
        <w:t>Rinvoq</w:t>
      </w:r>
      <w:proofErr w:type="spellEnd"/>
      <w:r w:rsidRPr="009E5F21">
        <w:rPr>
          <w:rFonts w:eastAsia="Arial"/>
        </w:rPr>
        <w:t xml:space="preserve"> kainą</w:t>
      </w:r>
      <w:r>
        <w:rPr>
          <w:rFonts w:eastAsia="Arial"/>
        </w:rPr>
        <w:t>, siekiant sumažinti šio neapibrėžtumo įtaką analizės rezultatui.</w:t>
      </w:r>
    </w:p>
    <w:p w14:paraId="60ADE3B9" w14:textId="77777777" w:rsidR="00E106CD" w:rsidRDefault="00E106CD" w:rsidP="00E106CD">
      <w:pPr>
        <w:pStyle w:val="ListParagraph"/>
        <w:numPr>
          <w:ilvl w:val="0"/>
          <w:numId w:val="14"/>
        </w:numPr>
        <w:shd w:val="clear" w:color="auto" w:fill="FFFFFF"/>
        <w:spacing w:line="276" w:lineRule="auto"/>
        <w:jc w:val="both"/>
        <w:rPr>
          <w:rFonts w:eastAsia="Arial"/>
        </w:rPr>
      </w:pPr>
      <w:r>
        <w:rPr>
          <w:rFonts w:eastAsia="Arial"/>
        </w:rPr>
        <w:t>Pareiškėjo taikyta prielaida dėl nurodymų laikymosi turi reikšmingą įtaką analizės rezultatui, tačiau laikant, kad nurodymų laikosi 100 proc. pacientų abiejose grupėse, referentinė kaštų vertė yra viršijama.</w:t>
      </w:r>
    </w:p>
    <w:p w14:paraId="0A061C68" w14:textId="77777777" w:rsidR="00E106CD" w:rsidRPr="007E25BD" w:rsidRDefault="00E106CD" w:rsidP="00E106CD">
      <w:pPr>
        <w:shd w:val="clear" w:color="auto" w:fill="FFFFFF"/>
        <w:spacing w:line="276" w:lineRule="auto"/>
        <w:jc w:val="both"/>
        <w:rPr>
          <w:rFonts w:eastAsia="Arial"/>
        </w:rPr>
      </w:pPr>
      <w:r>
        <w:rPr>
          <w:rFonts w:eastAsia="Arial"/>
        </w:rPr>
        <w:t xml:space="preserve">Pritaikius nurodytas prielaidas, daroma išvada, kad </w:t>
      </w:r>
      <w:proofErr w:type="spellStart"/>
      <w:r>
        <w:rPr>
          <w:rFonts w:eastAsia="Arial"/>
        </w:rPr>
        <w:t>Rinvoq</w:t>
      </w:r>
      <w:proofErr w:type="spellEnd"/>
      <w:r>
        <w:rPr>
          <w:rFonts w:eastAsia="Arial"/>
        </w:rPr>
        <w:t xml:space="preserve"> (</w:t>
      </w:r>
      <w:proofErr w:type="spellStart"/>
      <w:r>
        <w:rPr>
          <w:rFonts w:eastAsia="Arial"/>
        </w:rPr>
        <w:t>upadacitinibo</w:t>
      </w:r>
      <w:proofErr w:type="spellEnd"/>
      <w:r>
        <w:rPr>
          <w:rFonts w:eastAsia="Arial"/>
        </w:rPr>
        <w:t>) kaštų naudingumas turi būti pagerintas sumažinant šio vaistinio preparato kainą.</w:t>
      </w:r>
    </w:p>
    <w:p w14:paraId="623FA337" w14:textId="1D0F0302" w:rsidR="00E106CD" w:rsidRPr="00E33EFF" w:rsidRDefault="00E106CD" w:rsidP="00A93AA6">
      <w:pPr>
        <w:tabs>
          <w:tab w:val="left" w:pos="426"/>
        </w:tabs>
        <w:rPr>
          <w:b/>
          <w:bCs/>
          <w:caps/>
        </w:rPr>
      </w:pPr>
    </w:p>
    <w:p w14:paraId="174D84D7" w14:textId="2A98EE7C" w:rsidR="0035172D" w:rsidRPr="00E33EFF" w:rsidRDefault="0035172D" w:rsidP="00A93AA6">
      <w:pPr>
        <w:tabs>
          <w:tab w:val="left" w:pos="426"/>
        </w:tabs>
        <w:rPr>
          <w:b/>
          <w:lang w:eastAsia="lt-LT"/>
        </w:rPr>
      </w:pPr>
      <w:r w:rsidRPr="00E33EFF">
        <w:rPr>
          <w:b/>
          <w:lang w:eastAsia="lt-LT"/>
        </w:rPr>
        <w:t>Ekonominės analizės rezultatas</w:t>
      </w:r>
    </w:p>
    <w:p w14:paraId="4801D227" w14:textId="5405D139" w:rsidR="009E44AE" w:rsidRDefault="009E44AE" w:rsidP="00A93AA6">
      <w:pPr>
        <w:tabs>
          <w:tab w:val="left" w:pos="426"/>
        </w:tabs>
        <w:rPr>
          <w:b/>
          <w:lang w:eastAsia="lt-LT"/>
        </w:rPr>
      </w:pPr>
    </w:p>
    <w:p w14:paraId="1C74D82E" w14:textId="77777777" w:rsidR="00E106CD" w:rsidRDefault="00E106CD" w:rsidP="00E106CD">
      <w:pPr>
        <w:tabs>
          <w:tab w:val="left" w:pos="567"/>
        </w:tabs>
        <w:jc w:val="both"/>
        <w:rPr>
          <w:bCs/>
          <w:color w:val="000000"/>
          <w:lang w:eastAsia="lt-LT"/>
        </w:rPr>
      </w:pPr>
      <w:r>
        <w:rPr>
          <w:bCs/>
          <w:color w:val="000000"/>
          <w:lang w:eastAsia="lt-LT"/>
        </w:rPr>
        <w:t>Santykinis kokybiškos gyvenimo trukmės praradimas: 0,35</w:t>
      </w:r>
    </w:p>
    <w:p w14:paraId="7E38695F" w14:textId="77777777" w:rsidR="00E106CD" w:rsidRPr="00E33EFF" w:rsidRDefault="00E106CD" w:rsidP="00A93AA6">
      <w:pPr>
        <w:tabs>
          <w:tab w:val="left" w:pos="426"/>
        </w:tabs>
        <w:rPr>
          <w:b/>
          <w:lang w:eastAsia="lt-LT"/>
        </w:rPr>
      </w:pPr>
    </w:p>
    <w:tbl>
      <w:tblPr>
        <w:tblStyle w:val="Lentelstinklelis1"/>
        <w:tblW w:w="9439"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200"/>
        <w:gridCol w:w="3239"/>
      </w:tblGrid>
      <w:tr w:rsidR="009E44AE" w:rsidRPr="00E33EFF" w14:paraId="42D6C843" w14:textId="77777777" w:rsidTr="00BE7489">
        <w:trPr>
          <w:trHeight w:val="344"/>
          <w:jc w:val="center"/>
        </w:trPr>
        <w:tc>
          <w:tcPr>
            <w:tcW w:w="9439" w:type="dxa"/>
            <w:gridSpan w:val="2"/>
            <w:tcBorders>
              <w:top w:val="single" w:sz="12" w:space="0" w:color="auto"/>
              <w:left w:val="single" w:sz="4" w:space="0" w:color="auto"/>
              <w:right w:val="single" w:sz="4" w:space="0" w:color="auto"/>
            </w:tcBorders>
            <w:vAlign w:val="center"/>
          </w:tcPr>
          <w:p w14:paraId="39FD3B40" w14:textId="77777777" w:rsidR="009E44AE" w:rsidRPr="00E33EFF" w:rsidRDefault="009E44AE" w:rsidP="009E44AE">
            <w:pPr>
              <w:tabs>
                <w:tab w:val="left" w:pos="567"/>
              </w:tabs>
              <w:jc w:val="center"/>
              <w:rPr>
                <w:b/>
                <w:bCs/>
                <w:sz w:val="26"/>
                <w:szCs w:val="26"/>
                <w:lang w:eastAsia="lt-LT"/>
              </w:rPr>
            </w:pPr>
            <w:r w:rsidRPr="00E33EFF">
              <w:rPr>
                <w:b/>
                <w:bCs/>
                <w:sz w:val="26"/>
                <w:szCs w:val="26"/>
                <w:lang w:eastAsia="lt-LT"/>
              </w:rPr>
              <w:t>Rezultatai</w:t>
            </w:r>
          </w:p>
        </w:tc>
      </w:tr>
      <w:tr w:rsidR="00BA5DBC" w:rsidRPr="00E33EFF" w14:paraId="319AF392" w14:textId="77777777" w:rsidTr="00E106CD">
        <w:trPr>
          <w:trHeight w:val="267"/>
          <w:jc w:val="center"/>
        </w:trPr>
        <w:tc>
          <w:tcPr>
            <w:tcW w:w="6200" w:type="dxa"/>
            <w:tcBorders>
              <w:left w:val="single" w:sz="4" w:space="0" w:color="auto"/>
            </w:tcBorders>
          </w:tcPr>
          <w:p w14:paraId="44CD8D27" w14:textId="27245A0B" w:rsidR="00BA5DBC" w:rsidRPr="00E33EFF" w:rsidRDefault="00BA5DBC" w:rsidP="00BA5DBC">
            <w:pPr>
              <w:tabs>
                <w:tab w:val="left" w:pos="567"/>
              </w:tabs>
              <w:jc w:val="right"/>
              <w:rPr>
                <w:iCs/>
                <w:lang w:eastAsia="lt-LT"/>
              </w:rPr>
            </w:pPr>
            <w:r w:rsidRPr="00E33EFF">
              <w:rPr>
                <w:iCs/>
                <w:lang w:eastAsia="lt-LT"/>
              </w:rPr>
              <w:t>Kaštų skirtumas</w:t>
            </w:r>
          </w:p>
        </w:tc>
        <w:tc>
          <w:tcPr>
            <w:tcW w:w="3239" w:type="dxa"/>
            <w:tcBorders>
              <w:right w:val="single" w:sz="4" w:space="0" w:color="auto"/>
            </w:tcBorders>
          </w:tcPr>
          <w:p w14:paraId="1CACF0B4" w14:textId="49617A5F" w:rsidR="00BA5DBC" w:rsidRPr="00E33EFF" w:rsidRDefault="009F4EA9" w:rsidP="00BA5DBC">
            <w:pPr>
              <w:tabs>
                <w:tab w:val="left" w:pos="567"/>
              </w:tabs>
              <w:jc w:val="both"/>
              <w:rPr>
                <w:i/>
                <w:iCs/>
                <w:lang w:eastAsia="lt-LT"/>
              </w:rPr>
            </w:pPr>
            <w:r>
              <w:rPr>
                <w:i/>
                <w:iCs/>
                <w:lang w:eastAsia="lt-LT"/>
              </w:rPr>
              <w:t>*****</w:t>
            </w:r>
            <w:r w:rsidR="00E106CD">
              <w:rPr>
                <w:i/>
                <w:iCs/>
                <w:lang w:eastAsia="lt-LT"/>
              </w:rPr>
              <w:t xml:space="preserve"> </w:t>
            </w:r>
            <w:proofErr w:type="spellStart"/>
            <w:r w:rsidR="00E106CD">
              <w:rPr>
                <w:i/>
                <w:iCs/>
                <w:lang w:eastAsia="lt-LT"/>
              </w:rPr>
              <w:t>eur</w:t>
            </w:r>
            <w:proofErr w:type="spellEnd"/>
          </w:p>
        </w:tc>
      </w:tr>
      <w:tr w:rsidR="00BA5DBC" w:rsidRPr="00E33EFF" w14:paraId="20ADA742" w14:textId="77777777" w:rsidTr="00E106CD">
        <w:trPr>
          <w:trHeight w:val="267"/>
          <w:jc w:val="center"/>
        </w:trPr>
        <w:tc>
          <w:tcPr>
            <w:tcW w:w="6200" w:type="dxa"/>
            <w:tcBorders>
              <w:left w:val="single" w:sz="4" w:space="0" w:color="auto"/>
            </w:tcBorders>
          </w:tcPr>
          <w:p w14:paraId="0F567576" w14:textId="2606A2E9" w:rsidR="00BA5DBC" w:rsidRPr="00E33EFF" w:rsidRDefault="0058712F" w:rsidP="00BA5DBC">
            <w:pPr>
              <w:tabs>
                <w:tab w:val="left" w:pos="567"/>
              </w:tabs>
              <w:jc w:val="right"/>
              <w:rPr>
                <w:iCs/>
                <w:lang w:eastAsia="lt-LT"/>
              </w:rPr>
            </w:pPr>
            <w:r w:rsidRPr="00E33EFF">
              <w:rPr>
                <w:iCs/>
                <w:lang w:eastAsia="lt-LT"/>
              </w:rPr>
              <w:t>Papildomi k</w:t>
            </w:r>
            <w:r w:rsidR="00BA5DBC" w:rsidRPr="00E33EFF">
              <w:rPr>
                <w:iCs/>
                <w:lang w:eastAsia="lt-LT"/>
              </w:rPr>
              <w:t>okybiški gyvenimo metai (QALY)</w:t>
            </w:r>
          </w:p>
        </w:tc>
        <w:tc>
          <w:tcPr>
            <w:tcW w:w="3239" w:type="dxa"/>
            <w:tcBorders>
              <w:right w:val="single" w:sz="4" w:space="0" w:color="auto"/>
            </w:tcBorders>
          </w:tcPr>
          <w:p w14:paraId="02E4DAE1" w14:textId="371DECE7" w:rsidR="00BA5DBC" w:rsidRPr="00E33EFF" w:rsidRDefault="004E6BB7" w:rsidP="00BA5DBC">
            <w:pPr>
              <w:tabs>
                <w:tab w:val="left" w:pos="567"/>
              </w:tabs>
              <w:jc w:val="both"/>
              <w:rPr>
                <w:i/>
                <w:iCs/>
                <w:lang w:eastAsia="lt-LT"/>
              </w:rPr>
            </w:pPr>
            <w:r>
              <w:rPr>
                <w:i/>
                <w:iCs/>
                <w:lang w:eastAsia="lt-LT"/>
              </w:rPr>
              <w:t>******</w:t>
            </w:r>
            <w:bookmarkStart w:id="0" w:name="_GoBack"/>
            <w:bookmarkEnd w:id="0"/>
            <w:r w:rsidR="00E106CD">
              <w:rPr>
                <w:i/>
                <w:iCs/>
                <w:lang w:eastAsia="lt-LT"/>
              </w:rPr>
              <w:t xml:space="preserve"> QALY</w:t>
            </w:r>
          </w:p>
        </w:tc>
      </w:tr>
      <w:tr w:rsidR="009E44AE" w:rsidRPr="00E33EFF" w14:paraId="250DE960" w14:textId="77777777" w:rsidTr="00E106CD">
        <w:trPr>
          <w:trHeight w:val="267"/>
          <w:jc w:val="center"/>
        </w:trPr>
        <w:tc>
          <w:tcPr>
            <w:tcW w:w="6200" w:type="dxa"/>
            <w:tcBorders>
              <w:left w:val="single" w:sz="4" w:space="0" w:color="auto"/>
            </w:tcBorders>
          </w:tcPr>
          <w:p w14:paraId="207EFB23" w14:textId="77777777" w:rsidR="009E44AE" w:rsidRPr="00E33EFF" w:rsidRDefault="009E44AE" w:rsidP="009E44AE">
            <w:pPr>
              <w:tabs>
                <w:tab w:val="left" w:pos="567"/>
              </w:tabs>
              <w:jc w:val="right"/>
              <w:rPr>
                <w:iCs/>
                <w:lang w:eastAsia="lt-LT"/>
              </w:rPr>
            </w:pPr>
            <w:r w:rsidRPr="00E33EFF">
              <w:rPr>
                <w:iCs/>
                <w:lang w:eastAsia="lt-LT"/>
              </w:rPr>
              <w:t>ICER už QALY</w:t>
            </w:r>
          </w:p>
        </w:tc>
        <w:tc>
          <w:tcPr>
            <w:tcW w:w="3239" w:type="dxa"/>
            <w:tcBorders>
              <w:right w:val="single" w:sz="4" w:space="0" w:color="auto"/>
            </w:tcBorders>
          </w:tcPr>
          <w:p w14:paraId="4275320D" w14:textId="38213168" w:rsidR="009E44AE" w:rsidRPr="00E33EFF" w:rsidRDefault="009F4EA9" w:rsidP="009E44AE">
            <w:pPr>
              <w:tabs>
                <w:tab w:val="left" w:pos="567"/>
              </w:tabs>
              <w:jc w:val="both"/>
              <w:rPr>
                <w:i/>
                <w:iCs/>
                <w:lang w:eastAsia="lt-LT"/>
              </w:rPr>
            </w:pPr>
            <w:r>
              <w:rPr>
                <w:i/>
                <w:iCs/>
                <w:lang w:eastAsia="lt-LT"/>
              </w:rPr>
              <w:t>******</w:t>
            </w:r>
            <w:r w:rsidR="00E106CD">
              <w:rPr>
                <w:i/>
                <w:iCs/>
                <w:lang w:eastAsia="lt-LT"/>
              </w:rPr>
              <w:t xml:space="preserve"> </w:t>
            </w:r>
            <w:proofErr w:type="spellStart"/>
            <w:r w:rsidR="00E106CD">
              <w:rPr>
                <w:i/>
                <w:iCs/>
                <w:lang w:eastAsia="lt-LT"/>
              </w:rPr>
              <w:t>eur</w:t>
            </w:r>
            <w:proofErr w:type="spellEnd"/>
            <w:r w:rsidR="00E106CD">
              <w:rPr>
                <w:i/>
                <w:iCs/>
                <w:lang w:eastAsia="lt-LT"/>
              </w:rPr>
              <w:t>/QALY</w:t>
            </w:r>
          </w:p>
        </w:tc>
      </w:tr>
      <w:tr w:rsidR="009E44AE" w:rsidRPr="00E33EFF" w14:paraId="2C4C68BA" w14:textId="77777777" w:rsidTr="00E106CD">
        <w:trPr>
          <w:trHeight w:val="267"/>
          <w:jc w:val="center"/>
        </w:trPr>
        <w:tc>
          <w:tcPr>
            <w:tcW w:w="6200" w:type="dxa"/>
            <w:tcBorders>
              <w:left w:val="single" w:sz="4" w:space="0" w:color="auto"/>
              <w:bottom w:val="single" w:sz="4" w:space="0" w:color="auto"/>
              <w:right w:val="single" w:sz="4" w:space="0" w:color="auto"/>
            </w:tcBorders>
          </w:tcPr>
          <w:p w14:paraId="21BEDABF" w14:textId="77777777" w:rsidR="009E44AE" w:rsidRPr="00E33EFF" w:rsidRDefault="009E44AE" w:rsidP="009E44AE">
            <w:pPr>
              <w:tabs>
                <w:tab w:val="left" w:pos="567"/>
              </w:tabs>
              <w:jc w:val="right"/>
              <w:rPr>
                <w:iCs/>
                <w:lang w:eastAsia="lt-LT"/>
              </w:rPr>
            </w:pPr>
            <w:r w:rsidRPr="00E33EFF">
              <w:rPr>
                <w:iCs/>
                <w:lang w:eastAsia="lt-LT"/>
              </w:rPr>
              <w:t>Referentinė kaštų naudingumo vertė</w:t>
            </w:r>
          </w:p>
        </w:tc>
        <w:tc>
          <w:tcPr>
            <w:tcW w:w="3239" w:type="dxa"/>
            <w:tcBorders>
              <w:left w:val="single" w:sz="4" w:space="0" w:color="auto"/>
              <w:bottom w:val="single" w:sz="4" w:space="0" w:color="auto"/>
              <w:right w:val="single" w:sz="4" w:space="0" w:color="auto"/>
            </w:tcBorders>
          </w:tcPr>
          <w:p w14:paraId="31DAA72E" w14:textId="0337F28B" w:rsidR="009E44AE" w:rsidRPr="00E33EFF" w:rsidRDefault="00E106CD" w:rsidP="009E44AE">
            <w:pPr>
              <w:tabs>
                <w:tab w:val="left" w:pos="567"/>
              </w:tabs>
              <w:jc w:val="both"/>
              <w:rPr>
                <w:i/>
                <w:iCs/>
                <w:lang w:eastAsia="lt-LT"/>
              </w:rPr>
            </w:pPr>
            <w:r>
              <w:rPr>
                <w:i/>
                <w:iCs/>
                <w:lang w:eastAsia="lt-LT"/>
              </w:rPr>
              <w:t>1 BVP 20 004 (2021 metai)</w:t>
            </w:r>
          </w:p>
        </w:tc>
      </w:tr>
    </w:tbl>
    <w:p w14:paraId="5FC8C737" w14:textId="5E3AB2F9" w:rsidR="0035172D" w:rsidRPr="00E33EFF" w:rsidRDefault="00E5102E" w:rsidP="0035172D">
      <w:pPr>
        <w:tabs>
          <w:tab w:val="left" w:pos="567"/>
        </w:tabs>
        <w:jc w:val="both"/>
        <w:rPr>
          <w:iCs/>
          <w:sz w:val="20"/>
          <w:lang w:eastAsia="lt-LT"/>
        </w:rPr>
      </w:pPr>
      <w:r w:rsidRPr="00E33EFF">
        <w:rPr>
          <w:iCs/>
          <w:sz w:val="20"/>
          <w:lang w:eastAsia="lt-LT"/>
        </w:rPr>
        <w:t xml:space="preserve">ICER </w:t>
      </w:r>
      <w:r w:rsidR="00453862" w:rsidRPr="00E33EFF">
        <w:rPr>
          <w:iCs/>
          <w:sz w:val="20"/>
          <w:lang w:eastAsia="lt-LT"/>
        </w:rPr>
        <w:t>– (</w:t>
      </w:r>
      <w:r w:rsidR="00453862" w:rsidRPr="00E33EFF">
        <w:rPr>
          <w:i/>
          <w:sz w:val="20"/>
          <w:lang w:eastAsia="lt-LT"/>
        </w:rPr>
        <w:t xml:space="preserve">angl. </w:t>
      </w:r>
      <w:proofErr w:type="spellStart"/>
      <w:r w:rsidR="00453862" w:rsidRPr="00E33EFF">
        <w:rPr>
          <w:i/>
          <w:sz w:val="20"/>
          <w:lang w:eastAsia="lt-LT"/>
        </w:rPr>
        <w:t>incremental</w:t>
      </w:r>
      <w:proofErr w:type="spellEnd"/>
      <w:r w:rsidR="00453862" w:rsidRPr="00E33EFF">
        <w:rPr>
          <w:i/>
          <w:sz w:val="20"/>
          <w:lang w:eastAsia="lt-LT"/>
        </w:rPr>
        <w:t xml:space="preserve"> </w:t>
      </w:r>
      <w:proofErr w:type="spellStart"/>
      <w:r w:rsidR="00453862" w:rsidRPr="00E33EFF">
        <w:rPr>
          <w:i/>
          <w:sz w:val="20"/>
          <w:lang w:eastAsia="lt-LT"/>
        </w:rPr>
        <w:t>cost-effectiveness</w:t>
      </w:r>
      <w:proofErr w:type="spellEnd"/>
      <w:r w:rsidR="00453862" w:rsidRPr="00E33EFF">
        <w:rPr>
          <w:i/>
          <w:sz w:val="20"/>
          <w:lang w:eastAsia="lt-LT"/>
        </w:rPr>
        <w:t xml:space="preserve"> </w:t>
      </w:r>
      <w:proofErr w:type="spellStart"/>
      <w:r w:rsidR="00453862" w:rsidRPr="00E33EFF">
        <w:rPr>
          <w:i/>
          <w:sz w:val="20"/>
          <w:lang w:eastAsia="lt-LT"/>
        </w:rPr>
        <w:t>ratio</w:t>
      </w:r>
      <w:proofErr w:type="spellEnd"/>
      <w:r w:rsidR="00453862" w:rsidRPr="00E33EFF">
        <w:rPr>
          <w:iCs/>
          <w:sz w:val="20"/>
          <w:lang w:eastAsia="lt-LT"/>
        </w:rPr>
        <w:t xml:space="preserve">) </w:t>
      </w:r>
      <w:proofErr w:type="spellStart"/>
      <w:r w:rsidR="00453862" w:rsidRPr="00E33EFF">
        <w:rPr>
          <w:iCs/>
          <w:sz w:val="20"/>
          <w:lang w:eastAsia="lt-LT"/>
        </w:rPr>
        <w:t>inkrementinis</w:t>
      </w:r>
      <w:proofErr w:type="spellEnd"/>
      <w:r w:rsidR="00453862" w:rsidRPr="00E33EFF">
        <w:rPr>
          <w:iCs/>
          <w:sz w:val="20"/>
          <w:lang w:eastAsia="lt-LT"/>
        </w:rPr>
        <w:t xml:space="preserve"> kaštų naudingumo koeficientas</w:t>
      </w:r>
      <w:r w:rsidRPr="00E33EFF">
        <w:rPr>
          <w:iCs/>
          <w:sz w:val="20"/>
          <w:lang w:eastAsia="lt-LT"/>
        </w:rPr>
        <w:t xml:space="preserve">; </w:t>
      </w:r>
      <w:r w:rsidR="00453862" w:rsidRPr="00E33EFF">
        <w:rPr>
          <w:iCs/>
          <w:sz w:val="20"/>
          <w:lang w:eastAsia="lt-LT"/>
        </w:rPr>
        <w:t>gyvenimo metai</w:t>
      </w:r>
      <w:r w:rsidRPr="00E33EFF">
        <w:rPr>
          <w:iCs/>
          <w:sz w:val="20"/>
          <w:lang w:eastAsia="lt-LT"/>
        </w:rPr>
        <w:t xml:space="preserve">; QALY- </w:t>
      </w:r>
      <w:r w:rsidR="00453862" w:rsidRPr="00E33EFF">
        <w:rPr>
          <w:iCs/>
          <w:sz w:val="20"/>
          <w:lang w:eastAsia="lt-LT"/>
        </w:rPr>
        <w:t>(</w:t>
      </w:r>
      <w:r w:rsidR="00453862" w:rsidRPr="00E33EFF">
        <w:rPr>
          <w:i/>
          <w:sz w:val="20"/>
          <w:lang w:eastAsia="lt-LT"/>
        </w:rPr>
        <w:t xml:space="preserve">angl. </w:t>
      </w:r>
      <w:proofErr w:type="spellStart"/>
      <w:r w:rsidR="00453862" w:rsidRPr="00E33EFF">
        <w:rPr>
          <w:i/>
          <w:sz w:val="20"/>
          <w:lang w:eastAsia="lt-LT"/>
        </w:rPr>
        <w:t>quality</w:t>
      </w:r>
      <w:proofErr w:type="spellEnd"/>
      <w:r w:rsidR="00453862" w:rsidRPr="00E33EFF">
        <w:rPr>
          <w:i/>
          <w:sz w:val="20"/>
          <w:lang w:eastAsia="lt-LT"/>
        </w:rPr>
        <w:t xml:space="preserve"> </w:t>
      </w:r>
      <w:proofErr w:type="spellStart"/>
      <w:r w:rsidR="00453862" w:rsidRPr="00E33EFF">
        <w:rPr>
          <w:i/>
          <w:sz w:val="20"/>
          <w:lang w:eastAsia="lt-LT"/>
        </w:rPr>
        <w:t>adjusted</w:t>
      </w:r>
      <w:proofErr w:type="spellEnd"/>
      <w:r w:rsidR="00453862" w:rsidRPr="00E33EFF">
        <w:rPr>
          <w:i/>
          <w:sz w:val="20"/>
          <w:lang w:eastAsia="lt-LT"/>
        </w:rPr>
        <w:t xml:space="preserve"> </w:t>
      </w:r>
      <w:proofErr w:type="spellStart"/>
      <w:r w:rsidR="00453862" w:rsidRPr="00E33EFF">
        <w:rPr>
          <w:i/>
          <w:sz w:val="20"/>
          <w:lang w:eastAsia="lt-LT"/>
        </w:rPr>
        <w:t>life</w:t>
      </w:r>
      <w:proofErr w:type="spellEnd"/>
      <w:r w:rsidR="00453862" w:rsidRPr="00E33EFF">
        <w:rPr>
          <w:i/>
          <w:sz w:val="20"/>
          <w:lang w:eastAsia="lt-LT"/>
        </w:rPr>
        <w:t xml:space="preserve"> </w:t>
      </w:r>
      <w:proofErr w:type="spellStart"/>
      <w:r w:rsidR="00453862" w:rsidRPr="00E33EFF">
        <w:rPr>
          <w:i/>
          <w:sz w:val="20"/>
          <w:lang w:eastAsia="lt-LT"/>
        </w:rPr>
        <w:t>years</w:t>
      </w:r>
      <w:proofErr w:type="spellEnd"/>
      <w:r w:rsidR="00453862" w:rsidRPr="00E33EFF">
        <w:rPr>
          <w:i/>
          <w:sz w:val="20"/>
          <w:lang w:eastAsia="lt-LT"/>
        </w:rPr>
        <w:t xml:space="preserve">) </w:t>
      </w:r>
      <w:r w:rsidR="00453862" w:rsidRPr="00E33EFF">
        <w:rPr>
          <w:iCs/>
          <w:sz w:val="20"/>
          <w:lang w:eastAsia="lt-LT"/>
        </w:rPr>
        <w:t>kokybiški gyvenimo metai.</w:t>
      </w:r>
    </w:p>
    <w:p w14:paraId="33875138" w14:textId="77777777" w:rsidR="0035172D" w:rsidRPr="00E33EFF" w:rsidRDefault="0035172D" w:rsidP="00A93AA6">
      <w:pPr>
        <w:tabs>
          <w:tab w:val="left" w:pos="426"/>
        </w:tabs>
        <w:rPr>
          <w:b/>
          <w:bCs/>
          <w:caps/>
        </w:rPr>
      </w:pPr>
    </w:p>
    <w:p w14:paraId="4FC424F9" w14:textId="4E767245" w:rsidR="00C62B36" w:rsidRPr="00E33EFF" w:rsidRDefault="00C62B36" w:rsidP="00CC09D4">
      <w:pPr>
        <w:pStyle w:val="ListParagraph"/>
        <w:numPr>
          <w:ilvl w:val="0"/>
          <w:numId w:val="12"/>
        </w:numPr>
        <w:tabs>
          <w:tab w:val="left" w:pos="567"/>
        </w:tabs>
        <w:ind w:hanging="720"/>
        <w:rPr>
          <w:b/>
          <w:bCs/>
          <w:caps/>
        </w:rPr>
      </w:pPr>
      <w:r w:rsidRPr="00E33EFF">
        <w:rPr>
          <w:b/>
          <w:bCs/>
          <w:caps/>
        </w:rPr>
        <w:t xml:space="preserve">Pacientų organizacijų pateikti duomenys </w:t>
      </w:r>
    </w:p>
    <w:p w14:paraId="79BCFF40" w14:textId="4919574D" w:rsidR="00937907" w:rsidRPr="00E33EFF" w:rsidRDefault="004E6BB7" w:rsidP="00937907">
      <w:pPr>
        <w:spacing w:after="120"/>
        <w:jc w:val="both"/>
      </w:pPr>
      <w:sdt>
        <w:sdtPr>
          <w:rPr>
            <w:rStyle w:val="Style2"/>
            <w:rFonts w:ascii="MS Gothic" w:eastAsia="MS Gothic" w:hAnsi="MS Gothic"/>
            <w:sz w:val="24"/>
          </w:rPr>
          <w:id w:val="1150014178"/>
          <w15:color w:val="FFCC00"/>
          <w14:checkbox>
            <w14:checked w14:val="1"/>
            <w14:checkedState w14:val="2612" w14:font="MS Gothic"/>
            <w14:uncheckedState w14:val="2610" w14:font="MS Gothic"/>
          </w14:checkbox>
        </w:sdtPr>
        <w:sdtEndPr>
          <w:rPr>
            <w:rStyle w:val="Style2"/>
          </w:rPr>
        </w:sdtEndPr>
        <w:sdtContent>
          <w:r w:rsidR="003F2E42">
            <w:rPr>
              <w:rStyle w:val="Style2"/>
              <w:rFonts w:ascii="MS Gothic" w:eastAsia="MS Gothic" w:hAnsi="MS Gothic" w:hint="eastAsia"/>
              <w:sz w:val="24"/>
            </w:rPr>
            <w:t>☒</w:t>
          </w:r>
        </w:sdtContent>
      </w:sdt>
      <w:r w:rsidR="00937907" w:rsidRPr="00E33EFF">
        <w:t xml:space="preserve"> Pacientų organizacijos pozicija pateikta. Žr. priedą.</w:t>
      </w:r>
    </w:p>
    <w:p w14:paraId="62992180" w14:textId="2531D5E3" w:rsidR="00937907" w:rsidRPr="00E33EFF" w:rsidRDefault="004E6BB7" w:rsidP="00937907">
      <w:pPr>
        <w:spacing w:after="120"/>
        <w:jc w:val="both"/>
      </w:pPr>
      <w:sdt>
        <w:sdtPr>
          <w:rPr>
            <w:rStyle w:val="Style2"/>
            <w:rFonts w:ascii="MS Gothic" w:eastAsia="MS Gothic" w:hAnsi="MS Gothic"/>
            <w:sz w:val="24"/>
          </w:rPr>
          <w:id w:val="-1545513810"/>
          <w15:color w:val="FFCC00"/>
          <w14:checkbox>
            <w14:checked w14:val="0"/>
            <w14:checkedState w14:val="2612" w14:font="MS Gothic"/>
            <w14:uncheckedState w14:val="2610" w14:font="MS Gothic"/>
          </w14:checkbox>
        </w:sdtPr>
        <w:sdtEndPr>
          <w:rPr>
            <w:rStyle w:val="Style2"/>
          </w:rPr>
        </w:sdtEndPr>
        <w:sdtContent>
          <w:r w:rsidR="00937907" w:rsidRPr="00E33EFF">
            <w:rPr>
              <w:rStyle w:val="Style2"/>
              <w:rFonts w:ascii="MS Gothic" w:eastAsia="MS Gothic" w:hAnsi="MS Gothic" w:hint="eastAsia"/>
              <w:sz w:val="24"/>
            </w:rPr>
            <w:t>☐</w:t>
          </w:r>
        </w:sdtContent>
      </w:sdt>
      <w:r w:rsidR="00937907" w:rsidRPr="00E33EFF">
        <w:t xml:space="preserve"> Pacientų organizacijos pozicija </w:t>
      </w:r>
      <w:r w:rsidR="00880A44" w:rsidRPr="00E33EFF">
        <w:t>ne</w:t>
      </w:r>
      <w:r w:rsidR="00937907" w:rsidRPr="00E33EFF">
        <w:t>pateikta.</w:t>
      </w:r>
    </w:p>
    <w:p w14:paraId="03E73D82" w14:textId="77777777" w:rsidR="00D417D2" w:rsidRPr="00E33EFF" w:rsidRDefault="00D417D2" w:rsidP="00937907">
      <w:pPr>
        <w:spacing w:after="120"/>
        <w:jc w:val="both"/>
      </w:pPr>
    </w:p>
    <w:p w14:paraId="3D3277FA" w14:textId="3CEEB2D2" w:rsidR="00C62B36" w:rsidRPr="00E33EFF" w:rsidRDefault="00C62B36" w:rsidP="00CC09D4">
      <w:pPr>
        <w:pStyle w:val="ListParagraph"/>
        <w:numPr>
          <w:ilvl w:val="0"/>
          <w:numId w:val="12"/>
        </w:numPr>
        <w:tabs>
          <w:tab w:val="left" w:pos="567"/>
        </w:tabs>
        <w:ind w:hanging="720"/>
        <w:rPr>
          <w:b/>
          <w:bCs/>
          <w:caps/>
        </w:rPr>
      </w:pPr>
      <w:r w:rsidRPr="00E33EFF">
        <w:rPr>
          <w:b/>
          <w:bCs/>
          <w:caps/>
        </w:rPr>
        <w:t>Gydytojų organizacijų pateikti duomenys</w:t>
      </w:r>
    </w:p>
    <w:p w14:paraId="389A346C" w14:textId="147887A2" w:rsidR="00937907" w:rsidRPr="00E33EFF" w:rsidRDefault="004E6BB7" w:rsidP="00662983">
      <w:pPr>
        <w:spacing w:after="120"/>
        <w:jc w:val="both"/>
      </w:pPr>
      <w:sdt>
        <w:sdtPr>
          <w:rPr>
            <w:rStyle w:val="Style2"/>
            <w:rFonts w:ascii="MS Gothic" w:eastAsia="MS Gothic" w:hAnsi="MS Gothic"/>
            <w:sz w:val="24"/>
          </w:rPr>
          <w:id w:val="1613862788"/>
          <w15:color w:val="FFCC00"/>
          <w14:checkbox>
            <w14:checked w14:val="1"/>
            <w14:checkedState w14:val="2612" w14:font="MS Gothic"/>
            <w14:uncheckedState w14:val="2610" w14:font="MS Gothic"/>
          </w14:checkbox>
        </w:sdtPr>
        <w:sdtEndPr>
          <w:rPr>
            <w:rStyle w:val="Style2"/>
          </w:rPr>
        </w:sdtEndPr>
        <w:sdtContent>
          <w:r w:rsidR="003F2E42">
            <w:rPr>
              <w:rStyle w:val="Style2"/>
              <w:rFonts w:ascii="MS Gothic" w:eastAsia="MS Gothic" w:hAnsi="MS Gothic" w:hint="eastAsia"/>
              <w:sz w:val="24"/>
            </w:rPr>
            <w:t>☒</w:t>
          </w:r>
        </w:sdtContent>
      </w:sdt>
      <w:r w:rsidR="00662983" w:rsidRPr="00E33EFF">
        <w:t xml:space="preserve"> </w:t>
      </w:r>
      <w:r w:rsidR="00937907" w:rsidRPr="00E33EFF">
        <w:t xml:space="preserve">Gydytojų specialistų organizacijos pozicija pateikta. </w:t>
      </w:r>
      <w:r w:rsidR="00662983" w:rsidRPr="00E33EFF">
        <w:t>Žr. priedą</w:t>
      </w:r>
      <w:r w:rsidR="00937907" w:rsidRPr="00E33EFF">
        <w:t>.</w:t>
      </w:r>
    </w:p>
    <w:p w14:paraId="5D8CC48C" w14:textId="7AA56ADF" w:rsidR="00662983" w:rsidRPr="00E33EFF" w:rsidRDefault="004E6BB7" w:rsidP="00662983">
      <w:pPr>
        <w:spacing w:after="120"/>
        <w:jc w:val="both"/>
      </w:pPr>
      <w:sdt>
        <w:sdtPr>
          <w:rPr>
            <w:rStyle w:val="Style2"/>
            <w:rFonts w:ascii="MS Gothic" w:eastAsia="MS Gothic" w:hAnsi="MS Gothic"/>
            <w:sz w:val="24"/>
          </w:rPr>
          <w:id w:val="-41988141"/>
          <w15:color w:val="FFCC00"/>
          <w14:checkbox>
            <w14:checked w14:val="0"/>
            <w14:checkedState w14:val="2612" w14:font="MS Gothic"/>
            <w14:uncheckedState w14:val="2610" w14:font="MS Gothic"/>
          </w14:checkbox>
        </w:sdtPr>
        <w:sdtEndPr>
          <w:rPr>
            <w:rStyle w:val="Style2"/>
          </w:rPr>
        </w:sdtEndPr>
        <w:sdtContent>
          <w:r w:rsidR="00937907" w:rsidRPr="00E33EFF">
            <w:rPr>
              <w:rStyle w:val="Style2"/>
              <w:rFonts w:ascii="MS Gothic" w:eastAsia="MS Gothic" w:hAnsi="MS Gothic" w:hint="eastAsia"/>
              <w:sz w:val="24"/>
            </w:rPr>
            <w:t>☐</w:t>
          </w:r>
        </w:sdtContent>
      </w:sdt>
      <w:r w:rsidR="00662983" w:rsidRPr="00E33EFF">
        <w:t xml:space="preserve"> </w:t>
      </w:r>
      <w:r w:rsidR="00937907" w:rsidRPr="00E33EFF">
        <w:t xml:space="preserve">Gydytojų specialistų organizacijos pozicija </w:t>
      </w:r>
      <w:r w:rsidR="00880A44" w:rsidRPr="00E33EFF">
        <w:t>ne</w:t>
      </w:r>
      <w:r w:rsidR="00937907" w:rsidRPr="00E33EFF">
        <w:t>pateikta.</w:t>
      </w:r>
    </w:p>
    <w:p w14:paraId="3701D46A" w14:textId="77777777" w:rsidR="00A042B9" w:rsidRPr="00E33EFF" w:rsidRDefault="00A042B9" w:rsidP="00662983">
      <w:pPr>
        <w:spacing w:after="120"/>
        <w:jc w:val="both"/>
      </w:pPr>
    </w:p>
    <w:p w14:paraId="78F23ECB" w14:textId="23A3A002" w:rsidR="002F0E4F" w:rsidRPr="00E33EFF" w:rsidRDefault="002F0E4F" w:rsidP="00CC09D4">
      <w:pPr>
        <w:pStyle w:val="ListParagraph"/>
        <w:numPr>
          <w:ilvl w:val="0"/>
          <w:numId w:val="12"/>
        </w:numPr>
        <w:tabs>
          <w:tab w:val="left" w:pos="567"/>
        </w:tabs>
        <w:ind w:hanging="720"/>
        <w:rPr>
          <w:b/>
          <w:bCs/>
          <w:caps/>
        </w:rPr>
      </w:pPr>
      <w:r w:rsidRPr="00E33EFF">
        <w:rPr>
          <w:b/>
          <w:bCs/>
          <w:caps/>
        </w:rPr>
        <w:t xml:space="preserve">Išvada </w:t>
      </w:r>
    </w:p>
    <w:p w14:paraId="08D5B3B6" w14:textId="1539357C" w:rsidR="0061611B" w:rsidRPr="00E33EFF" w:rsidRDefault="0061611B" w:rsidP="0061611B">
      <w:pPr>
        <w:rPr>
          <w:i/>
          <w:color w:val="00B050"/>
          <w:szCs w:val="22"/>
        </w:rPr>
      </w:pPr>
    </w:p>
    <w:tbl>
      <w:tblPr>
        <w:tblStyle w:val="TableGrid"/>
        <w:tblW w:w="0" w:type="auto"/>
        <w:tblLook w:val="04A0" w:firstRow="1" w:lastRow="0" w:firstColumn="1" w:lastColumn="0" w:noHBand="0" w:noVBand="1"/>
      </w:tblPr>
      <w:tblGrid>
        <w:gridCol w:w="4815"/>
        <w:gridCol w:w="4814"/>
      </w:tblGrid>
      <w:tr w:rsidR="00B13D65" w:rsidRPr="00E33EFF" w14:paraId="25A2473E" w14:textId="77777777" w:rsidTr="00C16245">
        <w:trPr>
          <w:trHeight w:val="510"/>
        </w:trPr>
        <w:tc>
          <w:tcPr>
            <w:tcW w:w="4815" w:type="dxa"/>
            <w:vAlign w:val="center"/>
          </w:tcPr>
          <w:p w14:paraId="7EFE6941" w14:textId="23B8BB6D" w:rsidR="00B13D65"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sidRPr="00E33EFF">
              <w:rPr>
                <w:rStyle w:val="Style2"/>
                <w:rFonts w:eastAsia="MS Gothic"/>
                <w:b/>
                <w:bCs/>
                <w:sz w:val="24"/>
              </w:rPr>
              <w:t>Rekomenduojama kompensuoti</w:t>
            </w:r>
          </w:p>
        </w:tc>
        <w:tc>
          <w:tcPr>
            <w:tcW w:w="4814" w:type="dxa"/>
            <w:vAlign w:val="center"/>
          </w:tcPr>
          <w:p w14:paraId="330A1A5E" w14:textId="19247DC1" w:rsidR="00B13D65"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sidRPr="00E33EFF">
              <w:rPr>
                <w:rStyle w:val="Style2"/>
                <w:rFonts w:eastAsia="MS Gothic"/>
                <w:b/>
                <w:bCs/>
                <w:sz w:val="24"/>
              </w:rPr>
              <w:t xml:space="preserve">Rekomenduojama nekompensuoti </w:t>
            </w:r>
          </w:p>
        </w:tc>
      </w:tr>
      <w:tr w:rsidR="00B13D65" w:rsidRPr="00E33EFF" w14:paraId="143A7356" w14:textId="77777777" w:rsidTr="00C16245">
        <w:trPr>
          <w:trHeight w:val="510"/>
        </w:trPr>
        <w:tc>
          <w:tcPr>
            <w:tcW w:w="9629" w:type="dxa"/>
            <w:gridSpan w:val="2"/>
            <w:vAlign w:val="center"/>
          </w:tcPr>
          <w:p w14:paraId="0AF5D6B4" w14:textId="6D8B6C59" w:rsidR="00B13D65" w:rsidRPr="00E33EFF"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E33EFF">
              <w:rPr>
                <w:rStyle w:val="Style2"/>
                <w:rFonts w:eastAsia="MS Gothic"/>
                <w:b/>
                <w:bCs/>
                <w:sz w:val="24"/>
              </w:rPr>
              <w:t>Palyginamasis efektyvumas</w:t>
            </w:r>
          </w:p>
        </w:tc>
      </w:tr>
      <w:tr w:rsidR="00B13D65" w:rsidRPr="00E33EFF" w14:paraId="28A0C814" w14:textId="77777777" w:rsidTr="0061611B">
        <w:tc>
          <w:tcPr>
            <w:tcW w:w="4815" w:type="dxa"/>
          </w:tcPr>
          <w:p w14:paraId="216769B5" w14:textId="3F7622C3" w:rsidR="00B13D65" w:rsidRPr="00E33EFF" w:rsidRDefault="004E6BB7"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97324644"/>
                <w15:color w:val="FFCC00"/>
                <w14:checkbox>
                  <w14:checked w14:val="1"/>
                  <w14:checkedState w14:val="2612" w14:font="MS Gothic"/>
                  <w14:uncheckedState w14:val="2610" w14:font="MS Gothic"/>
                </w14:checkbox>
              </w:sdtPr>
              <w:sdtEndPr>
                <w:rPr>
                  <w:rStyle w:val="Style2"/>
                </w:rPr>
              </w:sdtEndPr>
              <w:sdtContent>
                <w:r w:rsidR="00E106CD">
                  <w:rPr>
                    <w:rStyle w:val="Style2"/>
                    <w:rFonts w:ascii="MS Gothic" w:eastAsia="MS Gothic" w:hAnsi="MS Gothic" w:hint="eastAsia"/>
                    <w:sz w:val="24"/>
                  </w:rPr>
                  <w:t>☒</w:t>
                </w:r>
              </w:sdtContent>
            </w:sdt>
            <w:r w:rsidR="00B13D65" w:rsidRPr="00E33EFF">
              <w:t xml:space="preserve"> 32.1. yra didesnis</w:t>
            </w:r>
            <w:r w:rsidR="00B00959" w:rsidRPr="00E33EFF">
              <w:t>, lyginant su įprasta klinikine praktika</w:t>
            </w:r>
          </w:p>
          <w:p w14:paraId="3B48F372"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4F18D4" w14:textId="247BE805" w:rsidR="00B13D65" w:rsidRPr="00E33EFF" w:rsidRDefault="004E6BB7" w:rsidP="00662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4"/>
              </w:rPr>
            </w:pPr>
            <w:sdt>
              <w:sdtPr>
                <w:rPr>
                  <w:rStyle w:val="Style2"/>
                  <w:sz w:val="24"/>
                </w:rPr>
                <w:id w:val="418297090"/>
                <w15:color w:val="FFCC00"/>
                <w14:checkbox>
                  <w14:checked w14:val="0"/>
                  <w14:checkedState w14:val="2612" w14:font="MS Gothic"/>
                  <w14:uncheckedState w14:val="2610" w14:font="MS Gothic"/>
                </w14:checkbox>
              </w:sdtPr>
              <w:sdtEndPr>
                <w:rPr>
                  <w:rStyle w:val="Style2"/>
                </w:rPr>
              </w:sdtEndPr>
              <w:sdtContent>
                <w:r w:rsidR="00B13D65" w:rsidRPr="00E33EFF">
                  <w:rPr>
                    <w:rStyle w:val="Style2"/>
                    <w:rFonts w:ascii="Segoe UI Symbol" w:eastAsia="MS Gothic" w:hAnsi="Segoe UI Symbol" w:cs="Segoe UI Symbol"/>
                    <w:sz w:val="24"/>
                  </w:rPr>
                  <w:t>☐</w:t>
                </w:r>
              </w:sdtContent>
            </w:sdt>
            <w:r w:rsidR="00B13D65" w:rsidRPr="00E33EFF">
              <w:t xml:space="preserve"> 32.1. iš esmės nesiskiria</w:t>
            </w:r>
            <w:r w:rsidR="00B00959" w:rsidRPr="00E33EFF">
              <w:t>, lyginant su įprasta klinikine praktika</w:t>
            </w:r>
          </w:p>
        </w:tc>
        <w:tc>
          <w:tcPr>
            <w:tcW w:w="4814" w:type="dxa"/>
          </w:tcPr>
          <w:p w14:paraId="507828D9" w14:textId="10556E28" w:rsidR="00B13D65" w:rsidRPr="00E33EFF" w:rsidRDefault="004E6BB7"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724755596"/>
                <w15:color w:val="FFCC00"/>
                <w14:checkbox>
                  <w14:checked w14:val="0"/>
                  <w14:checkedState w14:val="2612" w14:font="MS Gothic"/>
                  <w14:uncheckedState w14:val="2610" w14:font="MS Gothic"/>
                </w14:checkbox>
              </w:sdtPr>
              <w:sdtEndPr>
                <w:rPr>
                  <w:rStyle w:val="Style2"/>
                </w:rPr>
              </w:sdtEndPr>
              <w:sdtContent>
                <w:r w:rsidR="00B13D65" w:rsidRPr="00E33EFF">
                  <w:rPr>
                    <w:rStyle w:val="Style2"/>
                    <w:rFonts w:ascii="Segoe UI Symbol" w:eastAsia="MS Gothic" w:hAnsi="Segoe UI Symbol" w:cs="Segoe UI Symbol"/>
                    <w:sz w:val="24"/>
                  </w:rPr>
                  <w:t>☐</w:t>
                </w:r>
              </w:sdtContent>
            </w:sdt>
            <w:r w:rsidR="00B13D65" w:rsidRPr="00E33EFF">
              <w:t xml:space="preserve"> 33.1. yra mažesnis</w:t>
            </w:r>
            <w:r w:rsidR="00B00959" w:rsidRPr="00E33EFF">
              <w:t>, lyginant su įprasta klinikine praktika</w:t>
            </w:r>
          </w:p>
          <w:p w14:paraId="7F95DEEC"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680682B8" w14:textId="1A29EA3B" w:rsidR="00662983" w:rsidRPr="00E33EFF" w:rsidRDefault="004E6BB7"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62168479"/>
                <w15:color w:val="FFCC00"/>
                <w14:checkbox>
                  <w14:checked w14:val="0"/>
                  <w14:checkedState w14:val="2612" w14:font="MS Gothic"/>
                  <w14:uncheckedState w14:val="2610" w14:font="MS Gothic"/>
                </w14:checkbox>
              </w:sdtPr>
              <w:sdtEndPr>
                <w:rPr>
                  <w:rStyle w:val="Style2"/>
                </w:rPr>
              </w:sdtEndPr>
              <w:sdtContent>
                <w:r w:rsidR="00B13D65" w:rsidRPr="00E33EFF">
                  <w:rPr>
                    <w:rStyle w:val="Style2"/>
                    <w:rFonts w:ascii="Segoe UI Symbol" w:eastAsia="MS Gothic" w:hAnsi="Segoe UI Symbol" w:cs="Segoe UI Symbol"/>
                    <w:sz w:val="24"/>
                  </w:rPr>
                  <w:t>☐</w:t>
                </w:r>
              </w:sdtContent>
            </w:sdt>
            <w:r w:rsidR="00B13D65" w:rsidRPr="00E33EFF">
              <w:t xml:space="preserve"> 33.1. yra neįrodytas kaip toks pat</w:t>
            </w:r>
            <w:r w:rsidR="00B00959" w:rsidRPr="00E33EFF">
              <w:t>, lyginant su įprasta klinikine praktika</w:t>
            </w:r>
          </w:p>
          <w:p w14:paraId="35205E85"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CC3F0A3" w14:textId="6D563DC8" w:rsidR="00B13D65" w:rsidRPr="00E33EFF" w:rsidRDefault="004E6BB7"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57960180"/>
                <w15:color w:val="FFCC00"/>
                <w14:checkbox>
                  <w14:checked w14:val="0"/>
                  <w14:checkedState w14:val="2612" w14:font="MS Gothic"/>
                  <w14:uncheckedState w14:val="2610" w14:font="MS Gothic"/>
                </w14:checkbox>
              </w:sdtPr>
              <w:sdtEndPr>
                <w:rPr>
                  <w:rStyle w:val="Style2"/>
                </w:rPr>
              </w:sdtEndPr>
              <w:sdtContent>
                <w:r w:rsidR="00662983" w:rsidRPr="00E33EFF">
                  <w:rPr>
                    <w:rStyle w:val="Style2"/>
                    <w:rFonts w:ascii="Segoe UI Symbol" w:eastAsia="MS Gothic" w:hAnsi="Segoe UI Symbol" w:cs="Segoe UI Symbol"/>
                    <w:sz w:val="24"/>
                  </w:rPr>
                  <w:t>☐</w:t>
                </w:r>
              </w:sdtContent>
            </w:sdt>
            <w:r w:rsidR="00662983" w:rsidRPr="00E33EFF">
              <w:t xml:space="preserve"> 33.1 </w:t>
            </w:r>
            <w:r w:rsidR="00B00959" w:rsidRPr="00E33EFF">
              <w:t xml:space="preserve">yra </w:t>
            </w:r>
            <w:r w:rsidR="00B13D65" w:rsidRPr="00E33EFF">
              <w:t>neįrodytas kaip didesnis</w:t>
            </w:r>
            <w:r w:rsidR="00B00959" w:rsidRPr="00E33EFF">
              <w:t>, lyginant su įprasta klinikine praktika</w:t>
            </w:r>
          </w:p>
          <w:p w14:paraId="512E653B"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3F374F4" w14:textId="77777777" w:rsidR="00B13D65" w:rsidRPr="00E33EFF" w:rsidRDefault="004E6BB7"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69842114"/>
                <w15:color w:val="FFCC00"/>
                <w14:checkbox>
                  <w14:checked w14:val="0"/>
                  <w14:checkedState w14:val="2612" w14:font="MS Gothic"/>
                  <w14:uncheckedState w14:val="2610" w14:font="MS Gothic"/>
                </w14:checkbox>
              </w:sdtPr>
              <w:sdtEndPr>
                <w:rPr>
                  <w:rStyle w:val="Style2"/>
                </w:rPr>
              </w:sdtEndPr>
              <w:sdtContent>
                <w:r w:rsidR="00B13D65" w:rsidRPr="00E33EFF">
                  <w:rPr>
                    <w:rStyle w:val="Style2"/>
                    <w:rFonts w:ascii="Segoe UI Symbol" w:eastAsia="MS Gothic" w:hAnsi="Segoe UI Symbol" w:cs="Segoe UI Symbol"/>
                    <w:sz w:val="24"/>
                  </w:rPr>
                  <w:t>☐</w:t>
                </w:r>
              </w:sdtContent>
            </w:sdt>
            <w:r w:rsidR="00B13D65" w:rsidRPr="00E33EFF">
              <w:t xml:space="preserve"> 33.1. pateikti duomenys apie palyginamąjį efektyvumą yra netinkami vertinti</w:t>
            </w:r>
          </w:p>
          <w:p w14:paraId="5DDAA961"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B13D65" w:rsidRPr="00E33EFF" w14:paraId="161CC3FE" w14:textId="77777777" w:rsidTr="00C16245">
        <w:trPr>
          <w:trHeight w:val="510"/>
        </w:trPr>
        <w:tc>
          <w:tcPr>
            <w:tcW w:w="9629" w:type="dxa"/>
            <w:gridSpan w:val="2"/>
            <w:vAlign w:val="center"/>
          </w:tcPr>
          <w:p w14:paraId="1AB46894" w14:textId="3E765638" w:rsidR="00B13D65" w:rsidRPr="00E33EFF"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E33EFF">
              <w:rPr>
                <w:rStyle w:val="Style2"/>
                <w:rFonts w:eastAsia="MS Gothic"/>
                <w:b/>
                <w:bCs/>
                <w:sz w:val="24"/>
              </w:rPr>
              <w:t>Klinikinis veiksmingumas</w:t>
            </w:r>
          </w:p>
        </w:tc>
      </w:tr>
      <w:tr w:rsidR="00B13D65" w:rsidRPr="00E33EFF" w14:paraId="3C60570A" w14:textId="77777777" w:rsidTr="0061611B">
        <w:tc>
          <w:tcPr>
            <w:tcW w:w="4815" w:type="dxa"/>
          </w:tcPr>
          <w:p w14:paraId="6897B306" w14:textId="0CD0096A" w:rsidR="00B13D65" w:rsidRPr="00E33EFF" w:rsidRDefault="004E6BB7"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481080007"/>
                <w15:color w:val="FFCC00"/>
                <w14:checkbox>
                  <w14:checked w14:val="1"/>
                  <w14:checkedState w14:val="2612" w14:font="MS Gothic"/>
                  <w14:uncheckedState w14:val="2610" w14:font="MS Gothic"/>
                </w14:checkbox>
              </w:sdtPr>
              <w:sdtEndPr>
                <w:rPr>
                  <w:rStyle w:val="Style2"/>
                </w:rPr>
              </w:sdtEndPr>
              <w:sdtContent>
                <w:r w:rsidR="00E106CD">
                  <w:rPr>
                    <w:rStyle w:val="Style2"/>
                    <w:rFonts w:ascii="MS Gothic" w:eastAsia="MS Gothic" w:hAnsi="MS Gothic" w:hint="eastAsia"/>
                    <w:sz w:val="24"/>
                  </w:rPr>
                  <w:t>☒</w:t>
                </w:r>
              </w:sdtContent>
            </w:sdt>
            <w:r w:rsidR="00B13D65" w:rsidRPr="00E33EFF">
              <w:t xml:space="preserve"> 32.2. yra įvertintas kaip pagrindžiantis papildomos naudos pacientų sveikatai sukūrimą, lyginant su įprasta klinikine praktika</w:t>
            </w:r>
          </w:p>
          <w:p w14:paraId="71D57105"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EBBDF86" w14:textId="5C0FE0B2" w:rsidR="00B13D65" w:rsidRPr="00E33EFF" w:rsidRDefault="004E6BB7"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862061586"/>
                <w15:color w:val="FFCC00"/>
                <w14:checkbox>
                  <w14:checked w14:val="0"/>
                  <w14:checkedState w14:val="2612" w14:font="MS Gothic"/>
                  <w14:uncheckedState w14:val="2610" w14:font="MS Gothic"/>
                </w14:checkbox>
              </w:sdtPr>
              <w:sdtEndPr>
                <w:rPr>
                  <w:rStyle w:val="Style2"/>
                </w:rPr>
              </w:sdtEndPr>
              <w:sdtContent>
                <w:r w:rsidR="00B13D65" w:rsidRPr="00E33EFF">
                  <w:rPr>
                    <w:rStyle w:val="Style2"/>
                    <w:rFonts w:ascii="Segoe UI Symbol" w:eastAsia="MS Gothic" w:hAnsi="Segoe UI Symbol" w:cs="Segoe UI Symbol"/>
                    <w:sz w:val="24"/>
                  </w:rPr>
                  <w:t>☐</w:t>
                </w:r>
              </w:sdtContent>
            </w:sdt>
            <w:r w:rsidR="00B13D65" w:rsidRPr="00E33EFF">
              <w:t xml:space="preserve"> 32.2. </w:t>
            </w:r>
            <w:r w:rsidR="00B00959" w:rsidRPr="00E33EFF">
              <w:t xml:space="preserve">yra </w:t>
            </w:r>
            <w:r w:rsidR="00B13D65" w:rsidRPr="00E33EFF">
              <w:t>įvertintas kaip pagrindžiantis nesiskiriančios naudos pacientų sveikatai sukūrimą, lyginant su įprasta klinikine praktika</w:t>
            </w:r>
          </w:p>
          <w:p w14:paraId="287AD233"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4814" w:type="dxa"/>
          </w:tcPr>
          <w:p w14:paraId="74A2DECF" w14:textId="682BFC3B" w:rsidR="00662983" w:rsidRPr="00E33EFF" w:rsidRDefault="004E6BB7" w:rsidP="00662983">
            <w:pPr>
              <w:jc w:val="both"/>
            </w:pPr>
            <w:sdt>
              <w:sdtPr>
                <w:rPr>
                  <w:rStyle w:val="Style2"/>
                  <w:sz w:val="24"/>
                </w:rPr>
                <w:id w:val="-1034573056"/>
                <w15:color w:val="FFCC00"/>
                <w14:checkbox>
                  <w14:checked w14:val="0"/>
                  <w14:checkedState w14:val="2612" w14:font="MS Gothic"/>
                  <w14:uncheckedState w14:val="2610" w14:font="MS Gothic"/>
                </w14:checkbox>
              </w:sdtPr>
              <w:sdtEndPr>
                <w:rPr>
                  <w:rStyle w:val="Style2"/>
                </w:rPr>
              </w:sdtEndPr>
              <w:sdtContent>
                <w:r w:rsidR="00B13D65" w:rsidRPr="00E33EFF">
                  <w:rPr>
                    <w:rStyle w:val="Style2"/>
                    <w:rFonts w:ascii="Segoe UI Symbol" w:eastAsia="MS Gothic" w:hAnsi="Segoe UI Symbol" w:cs="Segoe UI Symbol"/>
                    <w:sz w:val="24"/>
                  </w:rPr>
                  <w:t>☐</w:t>
                </w:r>
              </w:sdtContent>
            </w:sdt>
            <w:r w:rsidR="00B13D65" w:rsidRPr="00E33EFF">
              <w:t xml:space="preserve"> 33.1. yra įvertintas kaip nepagrindžiantis papildomos </w:t>
            </w:r>
            <w:r w:rsidR="00662983" w:rsidRPr="00E33EFF">
              <w:t>naudos pacientų sveikatai sukūrimo, lyginant su  įprasta klinikine praktika</w:t>
            </w:r>
          </w:p>
          <w:p w14:paraId="6C70BCFC" w14:textId="77777777" w:rsidR="00662983" w:rsidRPr="00E33EFF" w:rsidRDefault="00662983" w:rsidP="00BD1E5A">
            <w:pPr>
              <w:jc w:val="both"/>
            </w:pPr>
          </w:p>
          <w:p w14:paraId="0ADEC30D" w14:textId="1353964F" w:rsidR="00B13D65" w:rsidRPr="00E33EFF" w:rsidRDefault="004E6BB7" w:rsidP="00BD1E5A">
            <w:pPr>
              <w:jc w:val="both"/>
            </w:pPr>
            <w:sdt>
              <w:sdtPr>
                <w:rPr>
                  <w:rStyle w:val="Style2"/>
                  <w:sz w:val="24"/>
                </w:rPr>
                <w:id w:val="1289549109"/>
                <w15:color w:val="FFCC00"/>
                <w14:checkbox>
                  <w14:checked w14:val="0"/>
                  <w14:checkedState w14:val="2612" w14:font="MS Gothic"/>
                  <w14:uncheckedState w14:val="2610" w14:font="MS Gothic"/>
                </w14:checkbox>
              </w:sdtPr>
              <w:sdtEndPr>
                <w:rPr>
                  <w:rStyle w:val="Style2"/>
                </w:rPr>
              </w:sdtEndPr>
              <w:sdtContent>
                <w:r w:rsidR="00662983" w:rsidRPr="00E33EFF">
                  <w:rPr>
                    <w:rStyle w:val="Style2"/>
                    <w:rFonts w:ascii="Segoe UI Symbol" w:eastAsia="MS Gothic" w:hAnsi="Segoe UI Symbol" w:cs="Segoe UI Symbol"/>
                    <w:sz w:val="24"/>
                  </w:rPr>
                  <w:t>☐</w:t>
                </w:r>
              </w:sdtContent>
            </w:sdt>
            <w:r w:rsidR="00B13D65" w:rsidRPr="00E33EFF">
              <w:t xml:space="preserve"> </w:t>
            </w:r>
            <w:r w:rsidR="00662983" w:rsidRPr="00E33EFF">
              <w:t xml:space="preserve">33.1. </w:t>
            </w:r>
            <w:r w:rsidR="00B00959" w:rsidRPr="00E33EFF">
              <w:t xml:space="preserve">yra įvertintas kaip nepagrindžiantis </w:t>
            </w:r>
            <w:r w:rsidR="00B13D65" w:rsidRPr="00E33EFF">
              <w:t>nesiskiriančios naudos pacientų sveikatai sukūrimo, lyginant su įprasta klinikine praktika</w:t>
            </w:r>
          </w:p>
          <w:p w14:paraId="1EED7901"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47E672"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B13D65" w:rsidRPr="00E33EFF" w14:paraId="1C75AE76" w14:textId="77777777" w:rsidTr="00C16245">
        <w:trPr>
          <w:trHeight w:val="510"/>
        </w:trPr>
        <w:tc>
          <w:tcPr>
            <w:tcW w:w="9629" w:type="dxa"/>
            <w:gridSpan w:val="2"/>
            <w:vAlign w:val="center"/>
          </w:tcPr>
          <w:p w14:paraId="0247EDAD" w14:textId="7FBBB759" w:rsidR="00B13D65" w:rsidRPr="00E33EFF"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E33EFF">
              <w:rPr>
                <w:rStyle w:val="Style2"/>
                <w:rFonts w:eastAsia="MS Gothic"/>
                <w:b/>
                <w:bCs/>
                <w:sz w:val="24"/>
              </w:rPr>
              <w:t>Kaštų naudingumas</w:t>
            </w:r>
          </w:p>
        </w:tc>
      </w:tr>
      <w:tr w:rsidR="00B13D65" w:rsidRPr="00E33EFF" w14:paraId="7091A05B" w14:textId="77777777" w:rsidTr="0061611B">
        <w:tc>
          <w:tcPr>
            <w:tcW w:w="4815" w:type="dxa"/>
          </w:tcPr>
          <w:p w14:paraId="69B2A994" w14:textId="3249F238" w:rsidR="00B13D65" w:rsidRPr="00E33EFF" w:rsidRDefault="004E6BB7"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975984416"/>
                <w15:color w:val="FFCC00"/>
                <w14:checkbox>
                  <w14:checked w14:val="0"/>
                  <w14:checkedState w14:val="2612" w14:font="MS Gothic"/>
                  <w14:uncheckedState w14:val="2610" w14:font="MS Gothic"/>
                </w14:checkbox>
              </w:sdtPr>
              <w:sdtEndPr>
                <w:rPr>
                  <w:rStyle w:val="Style2"/>
                </w:rPr>
              </w:sdtEndPr>
              <w:sdtContent>
                <w:r w:rsidR="00A06DBB" w:rsidRPr="00E33EFF">
                  <w:rPr>
                    <w:rStyle w:val="Style2"/>
                    <w:rFonts w:ascii="MS Gothic" w:eastAsia="MS Gothic" w:hAnsi="MS Gothic" w:hint="eastAsia"/>
                    <w:sz w:val="24"/>
                  </w:rPr>
                  <w:t>☐</w:t>
                </w:r>
              </w:sdtContent>
            </w:sdt>
            <w:r w:rsidR="00B13D65" w:rsidRPr="00E33EFF">
              <w:t xml:space="preserve"> 32.3. atitinka referencinę naudingumo vertę, </w:t>
            </w:r>
            <w:r w:rsidR="00662983" w:rsidRPr="00E33EFF">
              <w:t>&lt;</w:t>
            </w:r>
            <w:r w:rsidR="00B13D65" w:rsidRPr="00E33EFF">
              <w:t>taikant</w:t>
            </w:r>
            <w:r w:rsidR="00662983" w:rsidRPr="00E33EFF">
              <w:t xml:space="preserve"> PGS&gt; &lt;</w:t>
            </w:r>
            <w:r w:rsidR="00B13D65" w:rsidRPr="00E33EFF">
              <w:t>netaikant PGS</w:t>
            </w:r>
            <w:r w:rsidR="00662983" w:rsidRPr="00E33EFF">
              <w:t>&gt;</w:t>
            </w:r>
          </w:p>
          <w:p w14:paraId="3F76F153"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062072E7" w14:textId="565CB771" w:rsidR="00B13D65" w:rsidRPr="00E33EFF" w:rsidRDefault="004E6BB7"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sdt>
              <w:sdtPr>
                <w:rPr>
                  <w:rStyle w:val="Style2"/>
                  <w:sz w:val="24"/>
                </w:rPr>
                <w:id w:val="-1308081728"/>
                <w15:color w:val="FFCC00"/>
                <w14:checkbox>
                  <w14:checked w14:val="0"/>
                  <w14:checkedState w14:val="2612" w14:font="MS Gothic"/>
                  <w14:uncheckedState w14:val="2610" w14:font="MS Gothic"/>
                </w14:checkbox>
              </w:sdtPr>
              <w:sdtEndPr>
                <w:rPr>
                  <w:rStyle w:val="Style2"/>
                </w:rPr>
              </w:sdtEndPr>
              <w:sdtContent>
                <w:r w:rsidR="00B13D65" w:rsidRPr="00E33EFF">
                  <w:rPr>
                    <w:rStyle w:val="Style2"/>
                    <w:rFonts w:ascii="Segoe UI Symbol" w:eastAsia="MS Gothic" w:hAnsi="Segoe UI Symbol" w:cs="Segoe UI Symbol"/>
                    <w:sz w:val="24"/>
                  </w:rPr>
                  <w:t>☐</w:t>
                </w:r>
              </w:sdtContent>
            </w:sdt>
            <w:r w:rsidR="00B13D65" w:rsidRPr="00E33EFF">
              <w:t xml:space="preserve"> 32.3. gydymo juo kaštai yra mažesni ar tokie patys esant iš esmės nesiskiriančiam palyginamajam efektyvumui, </w:t>
            </w:r>
            <w:r w:rsidR="00662983" w:rsidRPr="00E33EFF">
              <w:t>&lt;</w:t>
            </w:r>
            <w:r w:rsidR="00B13D65" w:rsidRPr="00E33EFF">
              <w:t xml:space="preserve">taikant </w:t>
            </w:r>
            <w:r w:rsidR="00662983" w:rsidRPr="00E33EFF">
              <w:t>PGS&gt; &lt;</w:t>
            </w:r>
            <w:r w:rsidR="00B13D65" w:rsidRPr="00E33EFF">
              <w:t>netaikant PGS</w:t>
            </w:r>
            <w:r w:rsidR="00662983" w:rsidRPr="00E33EFF">
              <w:t>&gt;</w:t>
            </w:r>
            <w:r w:rsidR="00B00959" w:rsidRPr="00E33EFF">
              <w:t>, lyginant su įprasta klinikine praktika</w:t>
            </w:r>
          </w:p>
          <w:p w14:paraId="25E4BD1E"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4814" w:type="dxa"/>
          </w:tcPr>
          <w:p w14:paraId="53380063" w14:textId="4E98A76C" w:rsidR="00B13D65" w:rsidRPr="00E33EFF" w:rsidRDefault="004E6BB7"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65405113"/>
                <w15:color w:val="FFCC00"/>
                <w14:checkbox>
                  <w14:checked w14:val="1"/>
                  <w14:checkedState w14:val="2612" w14:font="MS Gothic"/>
                  <w14:uncheckedState w14:val="2610" w14:font="MS Gothic"/>
                </w14:checkbox>
              </w:sdtPr>
              <w:sdtEndPr>
                <w:rPr>
                  <w:rStyle w:val="Style2"/>
                </w:rPr>
              </w:sdtEndPr>
              <w:sdtContent>
                <w:r w:rsidR="00E106CD">
                  <w:rPr>
                    <w:rStyle w:val="Style2"/>
                    <w:rFonts w:ascii="MS Gothic" w:eastAsia="MS Gothic" w:hAnsi="MS Gothic" w:hint="eastAsia"/>
                    <w:sz w:val="24"/>
                  </w:rPr>
                  <w:t>☒</w:t>
                </w:r>
              </w:sdtContent>
            </w:sdt>
            <w:r w:rsidR="00B13D65" w:rsidRPr="00E33EFF">
              <w:t xml:space="preserve"> 33.3. neatitinka referencinės naudingumo vertės Lietuvos Respublikoje</w:t>
            </w:r>
          </w:p>
          <w:p w14:paraId="229ED51A"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673C3A9" w14:textId="28FB2120" w:rsidR="00B13D65" w:rsidRPr="00E33EFF" w:rsidRDefault="004E6BB7"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sdt>
              <w:sdtPr>
                <w:rPr>
                  <w:rStyle w:val="Style2"/>
                  <w:sz w:val="24"/>
                </w:rPr>
                <w:id w:val="-1135473618"/>
                <w15:color w:val="FFCC00"/>
                <w14:checkbox>
                  <w14:checked w14:val="0"/>
                  <w14:checkedState w14:val="2612" w14:font="MS Gothic"/>
                  <w14:uncheckedState w14:val="2610" w14:font="MS Gothic"/>
                </w14:checkbox>
              </w:sdtPr>
              <w:sdtEndPr>
                <w:rPr>
                  <w:rStyle w:val="Style2"/>
                </w:rPr>
              </w:sdtEndPr>
              <w:sdtContent>
                <w:r w:rsidR="00B13D65" w:rsidRPr="00E33EFF">
                  <w:rPr>
                    <w:rStyle w:val="Style2"/>
                    <w:rFonts w:ascii="Segoe UI Symbol" w:eastAsia="MS Gothic" w:hAnsi="Segoe UI Symbol" w:cs="Segoe UI Symbol"/>
                    <w:sz w:val="24"/>
                  </w:rPr>
                  <w:t>☐</w:t>
                </w:r>
              </w:sdtContent>
            </w:sdt>
            <w:r w:rsidR="00B13D65" w:rsidRPr="00E33EFF">
              <w:t xml:space="preserve"> 33.3. gydymo juo kaštai yra didesni esant iš esmės nesiskiriančiam palyginamajam efektyvumui, </w:t>
            </w:r>
            <w:r w:rsidR="00662983" w:rsidRPr="00E33EFF">
              <w:t>&lt;</w:t>
            </w:r>
            <w:r w:rsidR="00B13D65" w:rsidRPr="00E33EFF">
              <w:t>taikant</w:t>
            </w:r>
            <w:r w:rsidR="00662983" w:rsidRPr="00E33EFF">
              <w:t xml:space="preserve"> PGS&gt;</w:t>
            </w:r>
            <w:r w:rsidR="00B13D65" w:rsidRPr="00E33EFF">
              <w:t xml:space="preserve"> </w:t>
            </w:r>
            <w:r w:rsidR="00662983" w:rsidRPr="00E33EFF">
              <w:t>&lt;</w:t>
            </w:r>
            <w:r w:rsidR="00B13D65" w:rsidRPr="00E33EFF">
              <w:t>netaikant PGS</w:t>
            </w:r>
            <w:r w:rsidR="00662983" w:rsidRPr="00E33EFF">
              <w:t>&gt;</w:t>
            </w:r>
            <w:r w:rsidR="00B00959" w:rsidRPr="00E33EFF">
              <w:t>, lyginant su įprasta klinikine praktika</w:t>
            </w:r>
          </w:p>
          <w:p w14:paraId="4A9C7D2A"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4226013D" w14:textId="4020B1AC" w:rsidR="00B13D65" w:rsidRPr="00E33EFF" w:rsidRDefault="004E6BB7"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08360022"/>
                <w15:color w:val="FFCC00"/>
                <w14:checkbox>
                  <w14:checked w14:val="0"/>
                  <w14:checkedState w14:val="2612" w14:font="MS Gothic"/>
                  <w14:uncheckedState w14:val="2610" w14:font="MS Gothic"/>
                </w14:checkbox>
              </w:sdtPr>
              <w:sdtEndPr>
                <w:rPr>
                  <w:rStyle w:val="Style2"/>
                </w:rPr>
              </w:sdtEndPr>
              <w:sdtContent>
                <w:r w:rsidR="00B13D65" w:rsidRPr="00E33EFF">
                  <w:rPr>
                    <w:rStyle w:val="Style2"/>
                    <w:rFonts w:ascii="Segoe UI Symbol" w:eastAsia="MS Gothic" w:hAnsi="Segoe UI Symbol" w:cs="Segoe UI Symbol"/>
                    <w:sz w:val="24"/>
                  </w:rPr>
                  <w:t>☐</w:t>
                </w:r>
              </w:sdtContent>
            </w:sdt>
            <w:r w:rsidR="00B13D65" w:rsidRPr="00E33EFF">
              <w:t xml:space="preserve"> 33.3. pateikti duomenys apie kaštų na</w:t>
            </w:r>
            <w:r w:rsidR="00662983" w:rsidRPr="00E33EFF">
              <w:t>udingumą yra netinkami vertinti</w:t>
            </w:r>
          </w:p>
          <w:p w14:paraId="470A48A4"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bl>
    <w:p w14:paraId="1B85C083" w14:textId="67BD754C" w:rsidR="009E44AE" w:rsidRPr="00E33EFF" w:rsidRDefault="009E44AE" w:rsidP="00381024"/>
    <w:p w14:paraId="3B2D1F25" w14:textId="3A80E19F" w:rsidR="000001B0" w:rsidRPr="00E33EFF" w:rsidRDefault="000001B0" w:rsidP="00CC09D4">
      <w:pPr>
        <w:pStyle w:val="ListParagraph"/>
        <w:numPr>
          <w:ilvl w:val="0"/>
          <w:numId w:val="12"/>
        </w:numPr>
        <w:ind w:left="567" w:hanging="567"/>
      </w:pPr>
      <w:r w:rsidRPr="00E33EFF">
        <w:rPr>
          <w:b/>
        </w:rPr>
        <w:lastRenderedPageBreak/>
        <w:t>REKOME</w:t>
      </w:r>
      <w:r w:rsidR="00D83182" w:rsidRPr="00E33EFF">
        <w:rPr>
          <w:b/>
        </w:rPr>
        <w:t>N</w:t>
      </w:r>
      <w:r w:rsidRPr="00E33EFF">
        <w:rPr>
          <w:b/>
        </w:rPr>
        <w:t>DACIJA</w:t>
      </w:r>
    </w:p>
    <w:p w14:paraId="59422C01" w14:textId="7FF51749" w:rsidR="004F3B2B" w:rsidRPr="00E33EFF" w:rsidRDefault="004F3B2B" w:rsidP="004F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06BC01EE" w14:textId="1D0D0FF3" w:rsidR="000723FF" w:rsidRDefault="004F3B2B" w:rsidP="00713E8C">
      <w:pPr>
        <w:jc w:val="both"/>
      </w:pPr>
      <w:r w:rsidRPr="00E33EFF">
        <w:t xml:space="preserve">Vadovaujantis </w:t>
      </w:r>
      <w:r w:rsidR="00F259FC">
        <w:t>V</w:t>
      </w:r>
      <w:r w:rsidR="00F259FC" w:rsidRPr="00E33EFF">
        <w:t>aistinių preparatų ir medicinos pagalbos priemonių įrašymo į kompensavimo sąrašus ir jų keitimo tvarkos aprašo</w:t>
      </w:r>
      <w:r w:rsidR="00F259FC">
        <w:t>, patvirtinto</w:t>
      </w:r>
      <w:r w:rsidR="00F259FC" w:rsidRPr="00E33EFF">
        <w:t xml:space="preserve"> </w:t>
      </w:r>
      <w:r w:rsidRPr="00E33EFF">
        <w:t>Lietuvos Respublikos sveikatos apsaugos ministro 2002 m. balandžio 5 d. įsakymu Nr. V-159 „Dėl vaistinių preparatų ir medicinos pagalbos priemonių įrašymo į kompensavimo sąrašus ir jų keitimo tvarkos aprašo patvirtinimo“</w:t>
      </w:r>
      <w:r w:rsidR="00F259FC">
        <w:t>,</w:t>
      </w:r>
      <w:r w:rsidRPr="00E33EFF">
        <w:t xml:space="preserve"> punktu </w:t>
      </w:r>
      <w:r w:rsidR="00713E8C">
        <w:t xml:space="preserve"> </w:t>
      </w:r>
      <w:r w:rsidRPr="00E33EFF">
        <w:t>34.4</w:t>
      </w:r>
      <w:r w:rsidR="00713E8C" w:rsidRPr="00713E8C">
        <w:t xml:space="preserve"> </w:t>
      </w:r>
      <w:r w:rsidR="00713E8C" w:rsidRPr="00E33EFF">
        <w:t xml:space="preserve">rekomenduojama </w:t>
      </w:r>
      <w:r w:rsidR="00713E8C" w:rsidRPr="00E33EFF">
        <w:rPr>
          <w:i/>
        </w:rPr>
        <w:t xml:space="preserve">nekompensuoti </w:t>
      </w:r>
      <w:r w:rsidR="00713E8C" w:rsidRPr="00E33EFF">
        <w:t>vaistinio preparato pagal p</w:t>
      </w:r>
      <w:r w:rsidR="00713E8C">
        <w:t xml:space="preserve">araiškoje nurodytą indikaciją </w:t>
      </w:r>
      <w:r w:rsidR="00713E8C" w:rsidRPr="00E33EFF">
        <w:t>su skyrimo s</w:t>
      </w:r>
      <w:r w:rsidR="00713E8C">
        <w:t xml:space="preserve">ąlygomis, </w:t>
      </w:r>
      <w:r w:rsidR="00713E8C" w:rsidRPr="00E33EFF">
        <w:t>taikant PGS</w:t>
      </w:r>
      <w:r w:rsidR="00713E8C">
        <w:t xml:space="preserve"> </w:t>
      </w:r>
      <w:r w:rsidR="00713E8C" w:rsidRPr="00E33EFF">
        <w:t>dėl vertinimo išvadų</w:t>
      </w:r>
      <w:r w:rsidR="00713E8C">
        <w:t>, nurodytų 33.3 papunktyje</w:t>
      </w:r>
      <w:r w:rsidR="00E348BA">
        <w:t xml:space="preserve"> (žr. 6 skyrių), </w:t>
      </w:r>
      <w:r w:rsidRPr="00E33EFF">
        <w:t xml:space="preserve"> neatitikties </w:t>
      </w:r>
      <w:r w:rsidRPr="003D6208">
        <w:t>34.1 papunktyje išdėstyt</w:t>
      </w:r>
      <w:r w:rsidR="00CF27FD" w:rsidRPr="003D6208">
        <w:t>oms</w:t>
      </w:r>
      <w:r w:rsidRPr="003D6208">
        <w:t xml:space="preserve"> sąlyg</w:t>
      </w:r>
      <w:r w:rsidR="00CF27FD" w:rsidRPr="003D6208">
        <w:t>oms</w:t>
      </w:r>
      <w:r w:rsidR="00BF3927">
        <w:t>.</w:t>
      </w:r>
    </w:p>
    <w:p w14:paraId="1AE5AF1D" w14:textId="735E6FC7" w:rsidR="00713E8C" w:rsidRDefault="00713E8C" w:rsidP="00713E8C">
      <w:pPr>
        <w:jc w:val="both"/>
        <w:rPr>
          <w:i/>
        </w:rPr>
      </w:pPr>
    </w:p>
    <w:p w14:paraId="3704A732" w14:textId="77777777" w:rsidR="00713E8C" w:rsidRPr="00FE303B" w:rsidRDefault="00713E8C" w:rsidP="00713E8C">
      <w:pPr>
        <w:shd w:val="clear" w:color="auto" w:fill="FFFFFF"/>
        <w:spacing w:line="276" w:lineRule="auto"/>
        <w:jc w:val="both"/>
        <w:rPr>
          <w:bCs/>
          <w:i/>
        </w:rPr>
      </w:pPr>
      <w:r w:rsidRPr="00FE303B">
        <w:rPr>
          <w:bCs/>
          <w:i/>
        </w:rPr>
        <w:t>Papildom</w:t>
      </w:r>
      <w:r>
        <w:rPr>
          <w:bCs/>
          <w:i/>
        </w:rPr>
        <w:t>os</w:t>
      </w:r>
      <w:r w:rsidRPr="00FE303B">
        <w:rPr>
          <w:bCs/>
          <w:i/>
        </w:rPr>
        <w:t xml:space="preserve"> pastabos ir pasiūlymai</w:t>
      </w:r>
    </w:p>
    <w:p w14:paraId="06639893" w14:textId="3BF45CD6" w:rsidR="00713E8C" w:rsidRDefault="00713E8C" w:rsidP="00713E8C">
      <w:pPr>
        <w:shd w:val="clear" w:color="auto" w:fill="FFFFFF"/>
        <w:spacing w:line="276" w:lineRule="auto"/>
        <w:jc w:val="both"/>
        <w:rPr>
          <w:b/>
        </w:rPr>
      </w:pPr>
      <w:r>
        <w:rPr>
          <w:bCs/>
        </w:rPr>
        <w:t>Tarnyba</w:t>
      </w:r>
      <w:r w:rsidRPr="004817CE" w:rsidDel="008074EB">
        <w:rPr>
          <w:bCs/>
        </w:rPr>
        <w:t xml:space="preserve"> </w:t>
      </w:r>
      <w:r w:rsidRPr="004817CE">
        <w:rPr>
          <w:bCs/>
        </w:rPr>
        <w:t>vadovauja</w:t>
      </w:r>
      <w:r>
        <w:rPr>
          <w:bCs/>
        </w:rPr>
        <w:t>masi</w:t>
      </w:r>
      <w:r w:rsidRPr="004817CE">
        <w:rPr>
          <w:bCs/>
        </w:rPr>
        <w:t xml:space="preserve"> Vaistinių preparatų ir medicinos pagalbos priemonių įrašymo į kompensavimo sąrašus ir jų keitimo tvarkos aprašo, patvirtinto Lietuvos Respublikos sveikatos apsaugos ministro 2002 m. balandžio 5 d. įsakymu Nr. V-159 „Dėl vaistinių preparatų ir medicinos pagalbos priemonių įrašymo į kompensavimo sąrašus ir jų keitimo tvarkos aprašo patvirtinimo“ 35 punktu, siūlo </w:t>
      </w:r>
      <w:r w:rsidRPr="00FE303B">
        <w:rPr>
          <w:b/>
          <w:bCs/>
        </w:rPr>
        <w:t>kompensuoti</w:t>
      </w:r>
      <w:r w:rsidRPr="004817CE">
        <w:rPr>
          <w:bCs/>
        </w:rPr>
        <w:t xml:space="preserve"> vaistinį preparatą</w:t>
      </w:r>
      <w:r>
        <w:rPr>
          <w:bCs/>
        </w:rPr>
        <w:t xml:space="preserve"> </w:t>
      </w:r>
      <w:proofErr w:type="spellStart"/>
      <w:r>
        <w:rPr>
          <w:bCs/>
        </w:rPr>
        <w:t>upadacitinibas</w:t>
      </w:r>
      <w:proofErr w:type="spellEnd"/>
      <w:r>
        <w:rPr>
          <w:bCs/>
        </w:rPr>
        <w:t xml:space="preserve"> (</w:t>
      </w:r>
      <w:proofErr w:type="spellStart"/>
      <w:r>
        <w:rPr>
          <w:bCs/>
        </w:rPr>
        <w:t>Rinvoq</w:t>
      </w:r>
      <w:proofErr w:type="spellEnd"/>
      <w:r>
        <w:rPr>
          <w:bCs/>
        </w:rPr>
        <w:t>) 8 skyriuje nurodytoms indikacijoms, su sąlyga jog bus atnaujinta PGS ir pagrindinio atvejo analizėje nebus viršijama referentinė kaštų naudingumo vertė</w:t>
      </w:r>
      <w:r w:rsidR="00965789">
        <w:rPr>
          <w:bCs/>
        </w:rPr>
        <w:t>.</w:t>
      </w:r>
    </w:p>
    <w:p w14:paraId="08F30DBF" w14:textId="19878AA6" w:rsidR="00713E8C" w:rsidRDefault="00713E8C" w:rsidP="00713E8C">
      <w:pPr>
        <w:jc w:val="both"/>
        <w:rPr>
          <w:i/>
        </w:rPr>
      </w:pPr>
    </w:p>
    <w:p w14:paraId="7FDEC8A9" w14:textId="77777777" w:rsidR="00713E8C" w:rsidRPr="00713E8C" w:rsidRDefault="00713E8C" w:rsidP="00713E8C">
      <w:pPr>
        <w:jc w:val="both"/>
        <w:rPr>
          <w:i/>
        </w:rPr>
      </w:pPr>
    </w:p>
    <w:p w14:paraId="18B4292E" w14:textId="5120D97E" w:rsidR="000723FF" w:rsidRPr="00E33EFF" w:rsidRDefault="00CC09D4" w:rsidP="00CC09D4">
      <w:pPr>
        <w:tabs>
          <w:tab w:val="left" w:pos="567"/>
        </w:tabs>
        <w:ind w:left="567" w:hanging="567"/>
        <w:jc w:val="both"/>
        <w:rPr>
          <w:b/>
          <w:color w:val="000000"/>
          <w:lang w:eastAsia="lt-LT"/>
        </w:rPr>
      </w:pPr>
      <w:r>
        <w:rPr>
          <w:b/>
          <w:color w:val="000000"/>
          <w:lang w:eastAsia="lt-LT"/>
        </w:rPr>
        <w:t>8.</w:t>
      </w:r>
      <w:r>
        <w:rPr>
          <w:b/>
          <w:color w:val="000000"/>
          <w:lang w:eastAsia="lt-LT"/>
        </w:rPr>
        <w:tab/>
      </w:r>
      <w:r w:rsidR="000723FF" w:rsidRPr="00E33EFF">
        <w:rPr>
          <w:b/>
          <w:color w:val="000000"/>
          <w:lang w:eastAsia="lt-LT"/>
        </w:rPr>
        <w:t xml:space="preserve">SIŪLOMOS KOMPENSUOTI TERAPINĖS </w:t>
      </w:r>
      <w:r w:rsidR="00713E8C">
        <w:rPr>
          <w:b/>
          <w:color w:val="000000"/>
          <w:lang w:eastAsia="lt-LT"/>
        </w:rPr>
        <w:t>INDIKACIJOS IR SKYRIMO SĄLYGOS</w:t>
      </w:r>
    </w:p>
    <w:p w14:paraId="691340BB" w14:textId="77777777" w:rsidR="000723FF" w:rsidRPr="00E33EFF" w:rsidRDefault="000723FF" w:rsidP="000723FF">
      <w:pPr>
        <w:tabs>
          <w:tab w:val="left" w:pos="426"/>
        </w:tabs>
        <w:jc w:val="both"/>
        <w:rPr>
          <w:b/>
          <w:color w:val="000000"/>
          <w:lang w:eastAsia="lt-LT"/>
        </w:rPr>
      </w:pPr>
    </w:p>
    <w:p w14:paraId="529C92C4" w14:textId="152E5FB4" w:rsidR="000723FF" w:rsidRPr="00DC5BAC" w:rsidRDefault="000723FF" w:rsidP="00824B92">
      <w:pPr>
        <w:rPr>
          <w:b/>
          <w:lang w:eastAsia="lt-LT"/>
        </w:rPr>
      </w:pPr>
      <w:r w:rsidRPr="00DC5BAC">
        <w:rPr>
          <w:b/>
          <w:lang w:eastAsia="lt-LT"/>
        </w:rPr>
        <w:t>Terapinės indikacijos</w:t>
      </w:r>
    </w:p>
    <w:p w14:paraId="5BB746DD" w14:textId="271CA7EF" w:rsidR="000723FF" w:rsidRDefault="004E6BB7" w:rsidP="00824B92">
      <w:sdt>
        <w:sdtPr>
          <w:rPr>
            <w:rStyle w:val="Style2"/>
          </w:rPr>
          <w:id w:val="1146316688"/>
          <w15:color w:val="FFCC00"/>
          <w14:checkbox>
            <w14:checked w14:val="1"/>
            <w14:checkedState w14:val="2612" w14:font="MS Gothic"/>
            <w14:uncheckedState w14:val="2610" w14:font="MS Gothic"/>
          </w14:checkbox>
        </w:sdtPr>
        <w:sdtEndPr>
          <w:rPr>
            <w:rStyle w:val="Style2"/>
          </w:rPr>
        </w:sdtEndPr>
        <w:sdtContent>
          <w:r w:rsidR="00713E8C">
            <w:rPr>
              <w:rStyle w:val="Style2"/>
              <w:rFonts w:ascii="MS Gothic" w:eastAsia="MS Gothic" w:hAnsi="MS Gothic" w:hint="eastAsia"/>
            </w:rPr>
            <w:t>☒</w:t>
          </w:r>
        </w:sdtContent>
      </w:sdt>
      <w:r w:rsidR="000723FF" w:rsidRPr="00E33EFF">
        <w:t xml:space="preserve"> Siūloma kompensuoti Pareiškėjo teikiamą indikaciją be pakeitimų.</w:t>
      </w:r>
    </w:p>
    <w:p w14:paraId="11633F1D" w14:textId="2721AD2E" w:rsidR="00713E8C" w:rsidRDefault="00713E8C" w:rsidP="00824B92"/>
    <w:p w14:paraId="70E1D2C1" w14:textId="77777777" w:rsidR="00713E8C" w:rsidRPr="009D5D84" w:rsidRDefault="00713E8C" w:rsidP="00713E8C">
      <w:pPr>
        <w:pStyle w:val="NoSpacing"/>
        <w:rPr>
          <w:rFonts w:ascii="Times New Roman" w:hAnsi="Times New Roman"/>
          <w:i/>
          <w:iCs/>
          <w:sz w:val="24"/>
          <w:szCs w:val="24"/>
        </w:rPr>
      </w:pPr>
      <w:r w:rsidRPr="009D5D84">
        <w:rPr>
          <w:rFonts w:ascii="Times New Roman" w:hAnsi="Times New Roman"/>
          <w:i/>
          <w:iCs/>
          <w:sz w:val="24"/>
          <w:szCs w:val="24"/>
        </w:rPr>
        <w:t xml:space="preserve">RINVOQ yra skirtas vidutinio sunkumo ir sunkaus </w:t>
      </w:r>
      <w:proofErr w:type="spellStart"/>
      <w:r w:rsidRPr="009D5D84">
        <w:rPr>
          <w:rFonts w:ascii="Times New Roman" w:hAnsi="Times New Roman"/>
          <w:i/>
          <w:iCs/>
          <w:sz w:val="24"/>
          <w:szCs w:val="24"/>
        </w:rPr>
        <w:t>atopinio</w:t>
      </w:r>
      <w:proofErr w:type="spellEnd"/>
      <w:r w:rsidRPr="009D5D84">
        <w:rPr>
          <w:rFonts w:ascii="Times New Roman" w:hAnsi="Times New Roman"/>
          <w:i/>
          <w:iCs/>
          <w:sz w:val="24"/>
          <w:szCs w:val="24"/>
        </w:rPr>
        <w:t xml:space="preserve"> dermatito gydymui suaugusiems bei 12 metų ir vyresniems paaugliams, kurie atitinka kriterijus sisteminiam gydymui, TLK-10 AM L20.</w:t>
      </w:r>
    </w:p>
    <w:p w14:paraId="7DD65F7E" w14:textId="50588158" w:rsidR="000723FF" w:rsidRPr="00E33EFF" w:rsidRDefault="000723FF" w:rsidP="00824B92"/>
    <w:p w14:paraId="241A6E6B" w14:textId="77777777" w:rsidR="000723FF" w:rsidRPr="00E33EFF" w:rsidRDefault="000723FF" w:rsidP="00824B92">
      <w:pPr>
        <w:rPr>
          <w:b/>
        </w:rPr>
      </w:pPr>
      <w:r w:rsidRPr="00E33EFF">
        <w:rPr>
          <w:b/>
        </w:rPr>
        <w:t>Skyrimo sąlygos</w:t>
      </w:r>
    </w:p>
    <w:p w14:paraId="2016A63C" w14:textId="2E68843D" w:rsidR="008D1E2D" w:rsidRPr="00A40660" w:rsidRDefault="004E6BB7" w:rsidP="008D1E2D">
      <w:pPr>
        <w:pStyle w:val="xmsonormal"/>
        <w:shd w:val="clear" w:color="auto" w:fill="FFFFFF" w:themeFill="background1"/>
        <w:spacing w:before="0" w:beforeAutospacing="0" w:after="0" w:afterAutospacing="0" w:line="276" w:lineRule="atLeast"/>
        <w:jc w:val="both"/>
        <w:rPr>
          <w:b/>
          <w:bCs/>
          <w:i/>
          <w:iCs/>
        </w:rPr>
      </w:pPr>
      <w:sdt>
        <w:sdtPr>
          <w:rPr>
            <w:rStyle w:val="Style2"/>
          </w:rPr>
          <w:id w:val="169305347"/>
          <w15:color w:val="FFCC00"/>
          <w14:checkbox>
            <w14:checked w14:val="1"/>
            <w14:checkedState w14:val="2612" w14:font="MS Gothic"/>
            <w14:uncheckedState w14:val="2610" w14:font="MS Gothic"/>
          </w14:checkbox>
        </w:sdtPr>
        <w:sdtEndPr>
          <w:rPr>
            <w:rStyle w:val="Style2"/>
          </w:rPr>
        </w:sdtEndPr>
        <w:sdtContent>
          <w:r w:rsidR="00713E8C">
            <w:rPr>
              <w:rStyle w:val="Style2"/>
              <w:rFonts w:ascii="MS Gothic" w:eastAsia="MS Gothic" w:hAnsi="MS Gothic" w:hint="eastAsia"/>
            </w:rPr>
            <w:t>☒</w:t>
          </w:r>
        </w:sdtContent>
      </w:sdt>
      <w:r w:rsidR="000723FF" w:rsidRPr="00E33EFF">
        <w:t xml:space="preserve"> Pareiškėjo siūlomos skyrimo sąlygos </w:t>
      </w:r>
      <w:r w:rsidR="008D1E2D">
        <w:t xml:space="preserve">iš esmės </w:t>
      </w:r>
      <w:r w:rsidR="000723FF" w:rsidRPr="00E33EFF">
        <w:t>priimtinos</w:t>
      </w:r>
      <w:r w:rsidR="008D1E2D">
        <w:t xml:space="preserve">, tačiau pataisyta pati skyrimo sąlygų formuluotė: </w:t>
      </w:r>
      <w:proofErr w:type="spellStart"/>
      <w:r w:rsidR="008D1E2D" w:rsidRPr="00A40660">
        <w:rPr>
          <w:i/>
          <w:iCs/>
        </w:rPr>
        <w:t>Rinvoq</w:t>
      </w:r>
      <w:proofErr w:type="spellEnd"/>
      <w:r w:rsidR="008D1E2D" w:rsidRPr="00A40660">
        <w:rPr>
          <w:i/>
          <w:iCs/>
        </w:rPr>
        <w:t xml:space="preserve"> skiriamas </w:t>
      </w:r>
      <w:r w:rsidR="008D1E2D" w:rsidRPr="00A40660">
        <w:rPr>
          <w:b/>
          <w:bCs/>
          <w:i/>
          <w:iCs/>
        </w:rPr>
        <w:t>suaugusiems</w:t>
      </w:r>
      <w:r w:rsidR="008D1E2D" w:rsidRPr="00A40660">
        <w:rPr>
          <w:i/>
          <w:iCs/>
        </w:rPr>
        <w:t xml:space="preserve">, sergantiems sunkiu </w:t>
      </w:r>
      <w:proofErr w:type="spellStart"/>
      <w:r w:rsidR="008D1E2D" w:rsidRPr="00A40660">
        <w:rPr>
          <w:i/>
          <w:iCs/>
        </w:rPr>
        <w:t>atopiniu</w:t>
      </w:r>
      <w:proofErr w:type="spellEnd"/>
      <w:r w:rsidR="008D1E2D" w:rsidRPr="00A40660">
        <w:rPr>
          <w:i/>
          <w:iCs/>
        </w:rPr>
        <w:t xml:space="preserve"> dermatitu, kuriems gydymas </w:t>
      </w:r>
      <w:proofErr w:type="spellStart"/>
      <w:r w:rsidR="008D1E2D" w:rsidRPr="00A40660">
        <w:rPr>
          <w:i/>
          <w:iCs/>
        </w:rPr>
        <w:t>ciklosporinu</w:t>
      </w:r>
      <w:proofErr w:type="spellEnd"/>
      <w:r w:rsidR="008D1E2D" w:rsidRPr="00A40660">
        <w:rPr>
          <w:i/>
          <w:iCs/>
        </w:rPr>
        <w:t xml:space="preserve"> yra netinkamas, </w:t>
      </w:r>
      <w:r w:rsidR="008D1E2D" w:rsidRPr="00A40660">
        <w:rPr>
          <w:b/>
          <w:bCs/>
          <w:i/>
          <w:iCs/>
        </w:rPr>
        <w:t>draudžiama</w:t>
      </w:r>
      <w:r w:rsidR="008D1E2D" w:rsidRPr="00A40660">
        <w:rPr>
          <w:i/>
          <w:iCs/>
        </w:rPr>
        <w:t xml:space="preserve"> ar </w:t>
      </w:r>
      <w:r w:rsidR="008D1E2D" w:rsidRPr="00A40660">
        <w:rPr>
          <w:b/>
          <w:bCs/>
          <w:i/>
          <w:iCs/>
        </w:rPr>
        <w:t xml:space="preserve">gydant </w:t>
      </w:r>
      <w:proofErr w:type="spellStart"/>
      <w:r w:rsidR="008D1E2D" w:rsidRPr="00A40660">
        <w:rPr>
          <w:b/>
          <w:bCs/>
          <w:i/>
          <w:iCs/>
        </w:rPr>
        <w:t>ciklosporinu</w:t>
      </w:r>
      <w:proofErr w:type="spellEnd"/>
      <w:r w:rsidR="008D1E2D" w:rsidRPr="00A40660">
        <w:rPr>
          <w:i/>
          <w:iCs/>
        </w:rPr>
        <w:t xml:space="preserve"> nepasiekiamas gydymo tikslas ir 12 metų bei vyresniems paaugliams, sergantiems sunkiu </w:t>
      </w:r>
      <w:proofErr w:type="spellStart"/>
      <w:r w:rsidR="008D1E2D" w:rsidRPr="00A40660">
        <w:rPr>
          <w:i/>
          <w:iCs/>
        </w:rPr>
        <w:t>atopiniu</w:t>
      </w:r>
      <w:proofErr w:type="spellEnd"/>
      <w:r w:rsidR="008D1E2D" w:rsidRPr="00A40660">
        <w:rPr>
          <w:i/>
          <w:iCs/>
        </w:rPr>
        <w:t xml:space="preserve"> dermatitu, </w:t>
      </w:r>
      <w:r w:rsidR="008D1E2D" w:rsidRPr="00A40660">
        <w:rPr>
          <w:b/>
          <w:bCs/>
          <w:i/>
          <w:iCs/>
        </w:rPr>
        <w:t>kuriuos tinka gydyti sisteminio poveikio vaistiniais preparatais.</w:t>
      </w:r>
    </w:p>
    <w:p w14:paraId="7AA5EE40" w14:textId="0101E7AC" w:rsidR="008D1E2D" w:rsidRPr="00A40660" w:rsidRDefault="008D1E2D" w:rsidP="008D1E2D">
      <w:pPr>
        <w:pStyle w:val="xmsonormal"/>
        <w:shd w:val="clear" w:color="auto" w:fill="FFFFFF" w:themeFill="background1"/>
        <w:spacing w:before="0" w:beforeAutospacing="0" w:after="0" w:afterAutospacing="0" w:line="276" w:lineRule="atLeast"/>
        <w:jc w:val="both"/>
        <w:rPr>
          <w:i/>
          <w:iCs/>
        </w:rPr>
      </w:pPr>
      <w:r w:rsidRPr="00A40660">
        <w:rPr>
          <w:i/>
          <w:iCs/>
        </w:rPr>
        <w:t>Vaistą skiria gydytojas dermatovenerologas arba gydytojas alergologas ir klinikinis imunologas</w:t>
      </w:r>
      <w:r w:rsidR="00A40660" w:rsidRPr="00A40660">
        <w:rPr>
          <w:i/>
          <w:iCs/>
        </w:rPr>
        <w:t xml:space="preserve">. Gydymą tęsia gydytojas dermatovenerologas, gydytojas alergologas ir klinikinis imunologas arba šeimos gydytojas. Pacientams, kuriems po 12-os savaičių nebuvo gydymo naudos, reikia </w:t>
      </w:r>
      <w:proofErr w:type="spellStart"/>
      <w:r w:rsidR="00A40660" w:rsidRPr="00A40660">
        <w:rPr>
          <w:i/>
          <w:iCs/>
        </w:rPr>
        <w:t>apsvarsyti</w:t>
      </w:r>
      <w:proofErr w:type="spellEnd"/>
      <w:r w:rsidR="00A40660" w:rsidRPr="00A40660">
        <w:rPr>
          <w:i/>
          <w:iCs/>
        </w:rPr>
        <w:t xml:space="preserve"> gydymo </w:t>
      </w:r>
      <w:proofErr w:type="spellStart"/>
      <w:r w:rsidR="00A40660" w:rsidRPr="00A40660">
        <w:rPr>
          <w:i/>
          <w:iCs/>
        </w:rPr>
        <w:t>upadacitinibu</w:t>
      </w:r>
      <w:proofErr w:type="spellEnd"/>
      <w:r w:rsidR="00A40660" w:rsidRPr="00A40660">
        <w:rPr>
          <w:i/>
          <w:iCs/>
        </w:rPr>
        <w:t xml:space="preserve"> nutraukimą. </w:t>
      </w:r>
    </w:p>
    <w:p w14:paraId="6E306DA1" w14:textId="77777777" w:rsidR="008D1E2D" w:rsidRDefault="008D1E2D" w:rsidP="008D1E2D">
      <w:pPr>
        <w:pStyle w:val="xmsonormal"/>
        <w:shd w:val="clear" w:color="auto" w:fill="FFFFFF" w:themeFill="background1"/>
        <w:spacing w:before="0" w:beforeAutospacing="0" w:after="0" w:afterAutospacing="0" w:line="276" w:lineRule="atLeast"/>
        <w:jc w:val="both"/>
      </w:pPr>
    </w:p>
    <w:p w14:paraId="0F13ED62" w14:textId="77777777" w:rsidR="008D1E2D" w:rsidRDefault="008D1E2D" w:rsidP="008D1E2D">
      <w:pPr>
        <w:pStyle w:val="xmsonormal"/>
        <w:shd w:val="clear" w:color="auto" w:fill="FFFFFF" w:themeFill="background1"/>
        <w:spacing w:before="0" w:beforeAutospacing="0" w:after="0" w:afterAutospacing="0" w:line="276" w:lineRule="atLeast"/>
        <w:jc w:val="both"/>
      </w:pPr>
    </w:p>
    <w:p w14:paraId="0B37A580" w14:textId="267E6FCB" w:rsidR="000723FF" w:rsidRDefault="000723FF" w:rsidP="00713E8C"/>
    <w:p w14:paraId="67DE609D" w14:textId="77777777" w:rsidR="00713E8C" w:rsidRPr="008D1E2D" w:rsidRDefault="00713E8C" w:rsidP="00713E8C"/>
    <w:p w14:paraId="7CDFF220" w14:textId="58191D98" w:rsidR="000723FF" w:rsidRPr="000723FF" w:rsidRDefault="000723FF" w:rsidP="00824B92">
      <w:pPr>
        <w:rPr>
          <w:b/>
        </w:rPr>
      </w:pPr>
    </w:p>
    <w:sectPr w:rsidR="000723FF" w:rsidRPr="000723FF" w:rsidSect="005D30E1">
      <w:headerReference w:type="even" r:id="rId8"/>
      <w:headerReference w:type="default" r:id="rId9"/>
      <w:headerReference w:type="first" r:id="rId10"/>
      <w:footerReference w:type="first" r:id="rId11"/>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2C1864" w14:textId="77777777" w:rsidR="00D5121B" w:rsidRDefault="00D5121B">
      <w:r>
        <w:separator/>
      </w:r>
    </w:p>
  </w:endnote>
  <w:endnote w:type="continuationSeparator" w:id="0">
    <w:p w14:paraId="3990AFBD" w14:textId="77777777" w:rsidR="00D5121B" w:rsidRDefault="00D51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DD3368" w14:textId="77777777" w:rsidR="00347FAA" w:rsidRDefault="00347FAA">
    <w:pPr>
      <w:pStyle w:val="Footer"/>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BA1474" w14:textId="77777777" w:rsidR="00D5121B" w:rsidRDefault="00D5121B">
      <w:r>
        <w:separator/>
      </w:r>
    </w:p>
  </w:footnote>
  <w:footnote w:type="continuationSeparator" w:id="0">
    <w:p w14:paraId="37F5A489" w14:textId="77777777" w:rsidR="00D5121B" w:rsidRDefault="00D512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86FB2" w14:textId="77777777" w:rsidR="00347FAA" w:rsidRDefault="00347FA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E81DB01" w14:textId="77777777" w:rsidR="00347FAA" w:rsidRDefault="00347F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BD5F9" w14:textId="747796F4" w:rsidR="00347FAA" w:rsidRDefault="00347FA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E6BB7">
      <w:rPr>
        <w:rStyle w:val="PageNumber"/>
        <w:noProof/>
      </w:rPr>
      <w:t>8</w:t>
    </w:r>
    <w:r>
      <w:rPr>
        <w:rStyle w:val="PageNumber"/>
      </w:rPr>
      <w:fldChar w:fldCharType="end"/>
    </w:r>
  </w:p>
  <w:p w14:paraId="13EC872E" w14:textId="77777777" w:rsidR="00347FAA" w:rsidRDefault="00347F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E1C8F" w14:textId="77777777" w:rsidR="00347FAA" w:rsidRDefault="00347FAA" w:rsidP="00FD793C">
    <w:pPr>
      <w:pStyle w:val="Header"/>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17D8E"/>
    <w:multiLevelType w:val="hybridMultilevel"/>
    <w:tmpl w:val="10FAC1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9E0081E"/>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AD2E58"/>
    <w:multiLevelType w:val="hybridMultilevel"/>
    <w:tmpl w:val="F6943F7A"/>
    <w:lvl w:ilvl="0" w:tplc="AB64BC8E">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101C59"/>
    <w:multiLevelType w:val="hybridMultilevel"/>
    <w:tmpl w:val="64544F3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4" w15:restartNumberingAfterBreak="0">
    <w:nsid w:val="3975004F"/>
    <w:multiLevelType w:val="hybridMultilevel"/>
    <w:tmpl w:val="13E460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3AE0744F"/>
    <w:multiLevelType w:val="hybridMultilevel"/>
    <w:tmpl w:val="87DC94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BCC4222"/>
    <w:multiLevelType w:val="multilevel"/>
    <w:tmpl w:val="C9C6278E"/>
    <w:lvl w:ilvl="0">
      <w:start w:val="2"/>
      <w:numFmt w:val="decimal"/>
      <w:lvlText w:val="%1."/>
      <w:lvlJc w:val="left"/>
      <w:pPr>
        <w:ind w:left="360" w:hanging="360"/>
      </w:pPr>
      <w:rPr>
        <w:rFonts w:eastAsia="Arial Unicode MS" w:hint="default"/>
      </w:rPr>
    </w:lvl>
    <w:lvl w:ilvl="1">
      <w:start w:val="7"/>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7" w15:restartNumberingAfterBreak="0">
    <w:nsid w:val="41953EAB"/>
    <w:multiLevelType w:val="hybridMultilevel"/>
    <w:tmpl w:val="D0F0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9B01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2C16F8D"/>
    <w:multiLevelType w:val="hybridMultilevel"/>
    <w:tmpl w:val="A34C0904"/>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0" w15:restartNumberingAfterBreak="0">
    <w:nsid w:val="59B83C1B"/>
    <w:multiLevelType w:val="multilevel"/>
    <w:tmpl w:val="5F3843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1" w15:restartNumberingAfterBreak="0">
    <w:nsid w:val="5A0D73F3"/>
    <w:multiLevelType w:val="hybridMultilevel"/>
    <w:tmpl w:val="CA9A2AC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AB27E1E"/>
    <w:multiLevelType w:val="hybridMultilevel"/>
    <w:tmpl w:val="3D568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2266018"/>
    <w:multiLevelType w:val="hybridMultilevel"/>
    <w:tmpl w:val="AA9C9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10"/>
  </w:num>
  <w:num w:numId="4">
    <w:abstractNumId w:val="8"/>
  </w:num>
  <w:num w:numId="5">
    <w:abstractNumId w:val="6"/>
  </w:num>
  <w:num w:numId="6">
    <w:abstractNumId w:val="4"/>
  </w:num>
  <w:num w:numId="7">
    <w:abstractNumId w:val="3"/>
  </w:num>
  <w:num w:numId="8">
    <w:abstractNumId w:val="13"/>
  </w:num>
  <w:num w:numId="9">
    <w:abstractNumId w:val="0"/>
  </w:num>
  <w:num w:numId="10">
    <w:abstractNumId w:val="11"/>
  </w:num>
  <w:num w:numId="11">
    <w:abstractNumId w:val="12"/>
  </w:num>
  <w:num w:numId="12">
    <w:abstractNumId w:val="2"/>
  </w:num>
  <w:num w:numId="13">
    <w:abstractNumId w:val="9"/>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0E7"/>
    <w:rsid w:val="000001B0"/>
    <w:rsid w:val="00003F5B"/>
    <w:rsid w:val="000114DD"/>
    <w:rsid w:val="000136F7"/>
    <w:rsid w:val="0002686C"/>
    <w:rsid w:val="00031D0E"/>
    <w:rsid w:val="000337E6"/>
    <w:rsid w:val="0003402E"/>
    <w:rsid w:val="00034EAE"/>
    <w:rsid w:val="00042924"/>
    <w:rsid w:val="00053579"/>
    <w:rsid w:val="00053975"/>
    <w:rsid w:val="00057A2B"/>
    <w:rsid w:val="000606BE"/>
    <w:rsid w:val="000723FF"/>
    <w:rsid w:val="000736B8"/>
    <w:rsid w:val="0008190F"/>
    <w:rsid w:val="00081D9C"/>
    <w:rsid w:val="00082907"/>
    <w:rsid w:val="0008378D"/>
    <w:rsid w:val="000908A5"/>
    <w:rsid w:val="00092805"/>
    <w:rsid w:val="000C454C"/>
    <w:rsid w:val="000D5038"/>
    <w:rsid w:val="000E29D4"/>
    <w:rsid w:val="000F3540"/>
    <w:rsid w:val="00100491"/>
    <w:rsid w:val="00104E2E"/>
    <w:rsid w:val="00107287"/>
    <w:rsid w:val="00117406"/>
    <w:rsid w:val="00121EF0"/>
    <w:rsid w:val="00124A9E"/>
    <w:rsid w:val="00130703"/>
    <w:rsid w:val="0013153F"/>
    <w:rsid w:val="001408B8"/>
    <w:rsid w:val="001517E2"/>
    <w:rsid w:val="001521D9"/>
    <w:rsid w:val="001554E2"/>
    <w:rsid w:val="00164146"/>
    <w:rsid w:val="0017369C"/>
    <w:rsid w:val="00175D57"/>
    <w:rsid w:val="00180C39"/>
    <w:rsid w:val="00180D96"/>
    <w:rsid w:val="00184BD3"/>
    <w:rsid w:val="001921F3"/>
    <w:rsid w:val="001B3C5B"/>
    <w:rsid w:val="001D746F"/>
    <w:rsid w:val="001E4BBB"/>
    <w:rsid w:val="001E6304"/>
    <w:rsid w:val="0020381E"/>
    <w:rsid w:val="00213471"/>
    <w:rsid w:val="00215906"/>
    <w:rsid w:val="00241CD8"/>
    <w:rsid w:val="00244B09"/>
    <w:rsid w:val="002519CB"/>
    <w:rsid w:val="0025697F"/>
    <w:rsid w:val="00260258"/>
    <w:rsid w:val="0026588E"/>
    <w:rsid w:val="00272428"/>
    <w:rsid w:val="00272948"/>
    <w:rsid w:val="00292392"/>
    <w:rsid w:val="002946C7"/>
    <w:rsid w:val="002B3CC1"/>
    <w:rsid w:val="002C09E0"/>
    <w:rsid w:val="002C1BB1"/>
    <w:rsid w:val="002C2786"/>
    <w:rsid w:val="002C3A10"/>
    <w:rsid w:val="002C4A90"/>
    <w:rsid w:val="002C4ED5"/>
    <w:rsid w:val="002D02EF"/>
    <w:rsid w:val="002E0702"/>
    <w:rsid w:val="002E57AD"/>
    <w:rsid w:val="002E6F80"/>
    <w:rsid w:val="002F0E4F"/>
    <w:rsid w:val="002F1053"/>
    <w:rsid w:val="00317B0E"/>
    <w:rsid w:val="00347FAA"/>
    <w:rsid w:val="0035172D"/>
    <w:rsid w:val="0036187D"/>
    <w:rsid w:val="00367EDB"/>
    <w:rsid w:val="00381024"/>
    <w:rsid w:val="00386307"/>
    <w:rsid w:val="003874DE"/>
    <w:rsid w:val="00393E9F"/>
    <w:rsid w:val="0039696E"/>
    <w:rsid w:val="003B211A"/>
    <w:rsid w:val="003C141F"/>
    <w:rsid w:val="003C6B0E"/>
    <w:rsid w:val="003C7257"/>
    <w:rsid w:val="003C7E35"/>
    <w:rsid w:val="003D1E99"/>
    <w:rsid w:val="003D6208"/>
    <w:rsid w:val="003F2E42"/>
    <w:rsid w:val="00404E8A"/>
    <w:rsid w:val="0040622F"/>
    <w:rsid w:val="00413F24"/>
    <w:rsid w:val="00422853"/>
    <w:rsid w:val="00423160"/>
    <w:rsid w:val="00453862"/>
    <w:rsid w:val="0045469B"/>
    <w:rsid w:val="00461338"/>
    <w:rsid w:val="004677DB"/>
    <w:rsid w:val="00476256"/>
    <w:rsid w:val="0048630F"/>
    <w:rsid w:val="004947A1"/>
    <w:rsid w:val="0049482A"/>
    <w:rsid w:val="004979D3"/>
    <w:rsid w:val="004A00E7"/>
    <w:rsid w:val="004A3A61"/>
    <w:rsid w:val="004B59BA"/>
    <w:rsid w:val="004B5A03"/>
    <w:rsid w:val="004C263A"/>
    <w:rsid w:val="004D48A6"/>
    <w:rsid w:val="004D7B8F"/>
    <w:rsid w:val="004E6458"/>
    <w:rsid w:val="004E6BB7"/>
    <w:rsid w:val="004E6E7D"/>
    <w:rsid w:val="004F1AAC"/>
    <w:rsid w:val="004F1AE2"/>
    <w:rsid w:val="004F34F0"/>
    <w:rsid w:val="004F3B2B"/>
    <w:rsid w:val="004F6050"/>
    <w:rsid w:val="005005EF"/>
    <w:rsid w:val="005123C2"/>
    <w:rsid w:val="0052144B"/>
    <w:rsid w:val="00524066"/>
    <w:rsid w:val="00534E11"/>
    <w:rsid w:val="005378D8"/>
    <w:rsid w:val="005400D9"/>
    <w:rsid w:val="005476A4"/>
    <w:rsid w:val="0055019B"/>
    <w:rsid w:val="00556E63"/>
    <w:rsid w:val="005601A4"/>
    <w:rsid w:val="00566DBB"/>
    <w:rsid w:val="005767DB"/>
    <w:rsid w:val="005815E6"/>
    <w:rsid w:val="0058712F"/>
    <w:rsid w:val="005976CE"/>
    <w:rsid w:val="005A23D4"/>
    <w:rsid w:val="005A2D1E"/>
    <w:rsid w:val="005B3756"/>
    <w:rsid w:val="005C493F"/>
    <w:rsid w:val="005C6BF7"/>
    <w:rsid w:val="005C71BF"/>
    <w:rsid w:val="005D002C"/>
    <w:rsid w:val="005D30E1"/>
    <w:rsid w:val="005D6555"/>
    <w:rsid w:val="005D7BDF"/>
    <w:rsid w:val="005E4870"/>
    <w:rsid w:val="005F71D9"/>
    <w:rsid w:val="005F7602"/>
    <w:rsid w:val="006062BE"/>
    <w:rsid w:val="00613143"/>
    <w:rsid w:val="00613501"/>
    <w:rsid w:val="0061611B"/>
    <w:rsid w:val="006166A8"/>
    <w:rsid w:val="006174A1"/>
    <w:rsid w:val="00621D6C"/>
    <w:rsid w:val="00633B49"/>
    <w:rsid w:val="0064297F"/>
    <w:rsid w:val="00645102"/>
    <w:rsid w:val="00646CF3"/>
    <w:rsid w:val="00653D11"/>
    <w:rsid w:val="00662983"/>
    <w:rsid w:val="006834D3"/>
    <w:rsid w:val="00692625"/>
    <w:rsid w:val="00695CD3"/>
    <w:rsid w:val="006A38B6"/>
    <w:rsid w:val="006B1987"/>
    <w:rsid w:val="006B5B71"/>
    <w:rsid w:val="006B6CB0"/>
    <w:rsid w:val="006C0296"/>
    <w:rsid w:val="006C2B64"/>
    <w:rsid w:val="006D4C85"/>
    <w:rsid w:val="006D66AC"/>
    <w:rsid w:val="006E33F6"/>
    <w:rsid w:val="006F1251"/>
    <w:rsid w:val="006F1C23"/>
    <w:rsid w:val="00702C18"/>
    <w:rsid w:val="00703166"/>
    <w:rsid w:val="007127F3"/>
    <w:rsid w:val="00713E8C"/>
    <w:rsid w:val="007301CF"/>
    <w:rsid w:val="007316FB"/>
    <w:rsid w:val="007374D0"/>
    <w:rsid w:val="00737E2D"/>
    <w:rsid w:val="007424D5"/>
    <w:rsid w:val="00750A88"/>
    <w:rsid w:val="007523DD"/>
    <w:rsid w:val="00757B7E"/>
    <w:rsid w:val="007656B2"/>
    <w:rsid w:val="0077016F"/>
    <w:rsid w:val="007713AD"/>
    <w:rsid w:val="00795DC5"/>
    <w:rsid w:val="00797153"/>
    <w:rsid w:val="007A21F7"/>
    <w:rsid w:val="007A2B68"/>
    <w:rsid w:val="007B0DDA"/>
    <w:rsid w:val="007D3347"/>
    <w:rsid w:val="007E5466"/>
    <w:rsid w:val="007F1949"/>
    <w:rsid w:val="007F2592"/>
    <w:rsid w:val="00800A08"/>
    <w:rsid w:val="00817A84"/>
    <w:rsid w:val="008225A4"/>
    <w:rsid w:val="00824B92"/>
    <w:rsid w:val="00826D5E"/>
    <w:rsid w:val="00832013"/>
    <w:rsid w:val="00832DB7"/>
    <w:rsid w:val="00834732"/>
    <w:rsid w:val="0085200C"/>
    <w:rsid w:val="00857C52"/>
    <w:rsid w:val="00860D5F"/>
    <w:rsid w:val="00880A44"/>
    <w:rsid w:val="0088345E"/>
    <w:rsid w:val="0088656F"/>
    <w:rsid w:val="00891EF6"/>
    <w:rsid w:val="008A0303"/>
    <w:rsid w:val="008A5FDD"/>
    <w:rsid w:val="008C3947"/>
    <w:rsid w:val="008D1E2D"/>
    <w:rsid w:val="008E473B"/>
    <w:rsid w:val="008E51A6"/>
    <w:rsid w:val="008E7329"/>
    <w:rsid w:val="008F2ED5"/>
    <w:rsid w:val="0092297E"/>
    <w:rsid w:val="00923651"/>
    <w:rsid w:val="00927B56"/>
    <w:rsid w:val="009341BF"/>
    <w:rsid w:val="00937907"/>
    <w:rsid w:val="00941739"/>
    <w:rsid w:val="00951573"/>
    <w:rsid w:val="00963003"/>
    <w:rsid w:val="00965789"/>
    <w:rsid w:val="00966EEF"/>
    <w:rsid w:val="00971B28"/>
    <w:rsid w:val="00983471"/>
    <w:rsid w:val="009909AB"/>
    <w:rsid w:val="009B37DB"/>
    <w:rsid w:val="009C7A8C"/>
    <w:rsid w:val="009D23F9"/>
    <w:rsid w:val="009D4FA8"/>
    <w:rsid w:val="009E44AE"/>
    <w:rsid w:val="009E6CD6"/>
    <w:rsid w:val="009F4D66"/>
    <w:rsid w:val="009F4EA9"/>
    <w:rsid w:val="00A00C3C"/>
    <w:rsid w:val="00A01091"/>
    <w:rsid w:val="00A042B9"/>
    <w:rsid w:val="00A06DBB"/>
    <w:rsid w:val="00A22ADF"/>
    <w:rsid w:val="00A31E86"/>
    <w:rsid w:val="00A40660"/>
    <w:rsid w:val="00A54D87"/>
    <w:rsid w:val="00A5553C"/>
    <w:rsid w:val="00A701C9"/>
    <w:rsid w:val="00A81785"/>
    <w:rsid w:val="00A84803"/>
    <w:rsid w:val="00A84C51"/>
    <w:rsid w:val="00A86F2B"/>
    <w:rsid w:val="00A91366"/>
    <w:rsid w:val="00A93AA6"/>
    <w:rsid w:val="00AA4E48"/>
    <w:rsid w:val="00AA6202"/>
    <w:rsid w:val="00AA7B57"/>
    <w:rsid w:val="00AC26FC"/>
    <w:rsid w:val="00AC4A99"/>
    <w:rsid w:val="00AC64D2"/>
    <w:rsid w:val="00AD02E7"/>
    <w:rsid w:val="00AE0FE8"/>
    <w:rsid w:val="00AE1322"/>
    <w:rsid w:val="00AF60D5"/>
    <w:rsid w:val="00B00959"/>
    <w:rsid w:val="00B04415"/>
    <w:rsid w:val="00B06509"/>
    <w:rsid w:val="00B11D60"/>
    <w:rsid w:val="00B13D65"/>
    <w:rsid w:val="00B21805"/>
    <w:rsid w:val="00B3072E"/>
    <w:rsid w:val="00B36E15"/>
    <w:rsid w:val="00B37245"/>
    <w:rsid w:val="00B4017A"/>
    <w:rsid w:val="00B4468D"/>
    <w:rsid w:val="00B71C72"/>
    <w:rsid w:val="00B81E92"/>
    <w:rsid w:val="00B908D7"/>
    <w:rsid w:val="00B915AB"/>
    <w:rsid w:val="00B935E8"/>
    <w:rsid w:val="00B93B30"/>
    <w:rsid w:val="00B94CB5"/>
    <w:rsid w:val="00BA0DD9"/>
    <w:rsid w:val="00BA5DBC"/>
    <w:rsid w:val="00BB6312"/>
    <w:rsid w:val="00BC4D06"/>
    <w:rsid w:val="00BD585E"/>
    <w:rsid w:val="00BD6919"/>
    <w:rsid w:val="00BE1EA7"/>
    <w:rsid w:val="00BE7489"/>
    <w:rsid w:val="00BF2E0D"/>
    <w:rsid w:val="00BF3927"/>
    <w:rsid w:val="00BF3F8B"/>
    <w:rsid w:val="00BF76DA"/>
    <w:rsid w:val="00C07C7B"/>
    <w:rsid w:val="00C16245"/>
    <w:rsid w:val="00C22DC5"/>
    <w:rsid w:val="00C24479"/>
    <w:rsid w:val="00C273F2"/>
    <w:rsid w:val="00C37B53"/>
    <w:rsid w:val="00C517D2"/>
    <w:rsid w:val="00C5772E"/>
    <w:rsid w:val="00C62B36"/>
    <w:rsid w:val="00C7012C"/>
    <w:rsid w:val="00C712EA"/>
    <w:rsid w:val="00CA217D"/>
    <w:rsid w:val="00CC09D4"/>
    <w:rsid w:val="00CC668D"/>
    <w:rsid w:val="00CC7832"/>
    <w:rsid w:val="00CF0C1C"/>
    <w:rsid w:val="00CF27FD"/>
    <w:rsid w:val="00CF5F12"/>
    <w:rsid w:val="00D00D8F"/>
    <w:rsid w:val="00D21F3A"/>
    <w:rsid w:val="00D23808"/>
    <w:rsid w:val="00D3016A"/>
    <w:rsid w:val="00D417D2"/>
    <w:rsid w:val="00D42960"/>
    <w:rsid w:val="00D43BD7"/>
    <w:rsid w:val="00D4485B"/>
    <w:rsid w:val="00D4708D"/>
    <w:rsid w:val="00D4744C"/>
    <w:rsid w:val="00D5121B"/>
    <w:rsid w:val="00D521DE"/>
    <w:rsid w:val="00D5470B"/>
    <w:rsid w:val="00D63068"/>
    <w:rsid w:val="00D6498C"/>
    <w:rsid w:val="00D76A70"/>
    <w:rsid w:val="00D83182"/>
    <w:rsid w:val="00D8521E"/>
    <w:rsid w:val="00D9291C"/>
    <w:rsid w:val="00D93A97"/>
    <w:rsid w:val="00DB1F64"/>
    <w:rsid w:val="00DC2F53"/>
    <w:rsid w:val="00DC5BAC"/>
    <w:rsid w:val="00DC6816"/>
    <w:rsid w:val="00DC76C2"/>
    <w:rsid w:val="00DD1CF2"/>
    <w:rsid w:val="00DE4484"/>
    <w:rsid w:val="00DF41B7"/>
    <w:rsid w:val="00DF4A4A"/>
    <w:rsid w:val="00DF583C"/>
    <w:rsid w:val="00E03C3F"/>
    <w:rsid w:val="00E06FD7"/>
    <w:rsid w:val="00E07417"/>
    <w:rsid w:val="00E106CD"/>
    <w:rsid w:val="00E24D45"/>
    <w:rsid w:val="00E33DB8"/>
    <w:rsid w:val="00E33EFF"/>
    <w:rsid w:val="00E34387"/>
    <w:rsid w:val="00E348BA"/>
    <w:rsid w:val="00E369FE"/>
    <w:rsid w:val="00E37C6F"/>
    <w:rsid w:val="00E475F8"/>
    <w:rsid w:val="00E5102E"/>
    <w:rsid w:val="00E5721C"/>
    <w:rsid w:val="00E619C6"/>
    <w:rsid w:val="00E745A1"/>
    <w:rsid w:val="00E81529"/>
    <w:rsid w:val="00E83A13"/>
    <w:rsid w:val="00EB6FC5"/>
    <w:rsid w:val="00EC2356"/>
    <w:rsid w:val="00EC2582"/>
    <w:rsid w:val="00EC337C"/>
    <w:rsid w:val="00ED0CFF"/>
    <w:rsid w:val="00ED31D2"/>
    <w:rsid w:val="00EE0EAC"/>
    <w:rsid w:val="00EE3322"/>
    <w:rsid w:val="00EE33CB"/>
    <w:rsid w:val="00F0061A"/>
    <w:rsid w:val="00F02834"/>
    <w:rsid w:val="00F04EEB"/>
    <w:rsid w:val="00F05467"/>
    <w:rsid w:val="00F055D2"/>
    <w:rsid w:val="00F07CD7"/>
    <w:rsid w:val="00F127E9"/>
    <w:rsid w:val="00F14B5D"/>
    <w:rsid w:val="00F259FC"/>
    <w:rsid w:val="00F36972"/>
    <w:rsid w:val="00F42426"/>
    <w:rsid w:val="00F456BC"/>
    <w:rsid w:val="00F50666"/>
    <w:rsid w:val="00F70C9E"/>
    <w:rsid w:val="00F74A74"/>
    <w:rsid w:val="00F7572C"/>
    <w:rsid w:val="00F8382C"/>
    <w:rsid w:val="00F855D7"/>
    <w:rsid w:val="00F92035"/>
    <w:rsid w:val="00F92748"/>
    <w:rsid w:val="00FA4169"/>
    <w:rsid w:val="00FB0D41"/>
    <w:rsid w:val="00FB2030"/>
    <w:rsid w:val="00FD0E46"/>
    <w:rsid w:val="00FD1CF2"/>
    <w:rsid w:val="00FD3EDF"/>
    <w:rsid w:val="00FD793C"/>
    <w:rsid w:val="00FE0FD5"/>
    <w:rsid w:val="00FE20E6"/>
    <w:rsid w:val="00FE3E3B"/>
    <w:rsid w:val="00FF4032"/>
    <w:rsid w:val="00FF6469"/>
    <w:rsid w:val="00FF7E4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FE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1529"/>
    <w:rPr>
      <w:sz w:val="24"/>
      <w:szCs w:val="24"/>
      <w:lang w:eastAsia="en-US"/>
    </w:rPr>
  </w:style>
  <w:style w:type="paragraph" w:styleId="Heading1">
    <w:name w:val="heading 1"/>
    <w:basedOn w:val="Normal"/>
    <w:next w:val="Normal"/>
    <w:qFormat/>
    <w:rsid w:val="00A84C51"/>
    <w:pPr>
      <w:keepNext/>
      <w:jc w:val="center"/>
      <w:outlineLvl w:val="0"/>
    </w:pPr>
    <w:rPr>
      <w:b/>
      <w:bCs/>
      <w:caps/>
    </w:rPr>
  </w:style>
  <w:style w:type="paragraph" w:styleId="Heading2">
    <w:name w:val="heading 2"/>
    <w:basedOn w:val="Normal"/>
    <w:next w:val="Normal"/>
    <w:qFormat/>
    <w:rsid w:val="00A84C51"/>
    <w:pPr>
      <w:keepNext/>
      <w:jc w:val="center"/>
      <w:outlineLvl w:val="1"/>
    </w:pPr>
    <w:rPr>
      <w:b/>
      <w:bCs/>
      <w: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84C51"/>
    <w:pPr>
      <w:tabs>
        <w:tab w:val="center" w:pos="4986"/>
        <w:tab w:val="right" w:pos="9972"/>
      </w:tabs>
    </w:pPr>
  </w:style>
  <w:style w:type="paragraph" w:styleId="Footer">
    <w:name w:val="footer"/>
    <w:basedOn w:val="Normal"/>
    <w:link w:val="FooterChar"/>
    <w:rsid w:val="00A84C51"/>
    <w:pPr>
      <w:tabs>
        <w:tab w:val="center" w:pos="4986"/>
        <w:tab w:val="right" w:pos="9972"/>
      </w:tabs>
    </w:pPr>
  </w:style>
  <w:style w:type="character" w:styleId="PageNumber">
    <w:name w:val="page number"/>
    <w:basedOn w:val="DefaultParagraphFont"/>
    <w:rsid w:val="00A84C51"/>
  </w:style>
  <w:style w:type="character" w:styleId="Hyperlink">
    <w:name w:val="Hyperlink"/>
    <w:basedOn w:val="DefaultParagraphFont"/>
    <w:rsid w:val="00A84C51"/>
    <w:rPr>
      <w:color w:val="0000FF"/>
      <w:u w:val="single"/>
    </w:rPr>
  </w:style>
  <w:style w:type="paragraph" w:styleId="BalloonText">
    <w:name w:val="Balloon Text"/>
    <w:basedOn w:val="Normal"/>
    <w:semiHidden/>
    <w:rsid w:val="00EC2356"/>
    <w:rPr>
      <w:rFonts w:ascii="Tahoma" w:hAnsi="Tahoma" w:cs="Tahoma"/>
      <w:sz w:val="16"/>
      <w:szCs w:val="16"/>
    </w:rPr>
  </w:style>
  <w:style w:type="character" w:customStyle="1" w:styleId="FooterChar">
    <w:name w:val="Footer Char"/>
    <w:basedOn w:val="DefaultParagraphFont"/>
    <w:link w:val="Footer"/>
    <w:rsid w:val="00737E2D"/>
    <w:rPr>
      <w:sz w:val="24"/>
      <w:szCs w:val="24"/>
      <w:lang w:eastAsia="en-US"/>
    </w:rPr>
  </w:style>
  <w:style w:type="character" w:customStyle="1" w:styleId="Neapdorotaspaminjimas1">
    <w:name w:val="Neapdorotas paminėjimas1"/>
    <w:basedOn w:val="DefaultParagraphFont"/>
    <w:uiPriority w:val="99"/>
    <w:semiHidden/>
    <w:unhideWhenUsed/>
    <w:rsid w:val="00A31E86"/>
    <w:rPr>
      <w:color w:val="605E5C"/>
      <w:shd w:val="clear" w:color="auto" w:fill="E1DFDD"/>
    </w:rPr>
  </w:style>
  <w:style w:type="character" w:styleId="FollowedHyperlink">
    <w:name w:val="FollowedHyperlink"/>
    <w:basedOn w:val="DefaultParagraphFont"/>
    <w:semiHidden/>
    <w:unhideWhenUsed/>
    <w:rsid w:val="00A31E86"/>
    <w:rPr>
      <w:color w:val="800080" w:themeColor="followedHyperlink"/>
      <w:u w:val="single"/>
    </w:rPr>
  </w:style>
  <w:style w:type="table" w:styleId="TableGrid">
    <w:name w:val="Table Grid"/>
    <w:basedOn w:val="TableNormal"/>
    <w:rsid w:val="00D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C7012C"/>
    <w:rPr>
      <w:sz w:val="16"/>
      <w:szCs w:val="16"/>
    </w:rPr>
  </w:style>
  <w:style w:type="paragraph" w:styleId="CommentText">
    <w:name w:val="annotation text"/>
    <w:basedOn w:val="Normal"/>
    <w:link w:val="CommentTextChar"/>
    <w:unhideWhenUsed/>
    <w:rsid w:val="00C7012C"/>
    <w:rPr>
      <w:sz w:val="20"/>
      <w:szCs w:val="20"/>
    </w:rPr>
  </w:style>
  <w:style w:type="character" w:customStyle="1" w:styleId="CommentTextChar">
    <w:name w:val="Comment Text Char"/>
    <w:basedOn w:val="DefaultParagraphFont"/>
    <w:link w:val="CommentText"/>
    <w:rsid w:val="00C7012C"/>
    <w:rPr>
      <w:lang w:eastAsia="en-US"/>
    </w:rPr>
  </w:style>
  <w:style w:type="paragraph" w:styleId="CommentSubject">
    <w:name w:val="annotation subject"/>
    <w:basedOn w:val="CommentText"/>
    <w:next w:val="CommentText"/>
    <w:link w:val="CommentSubjectChar"/>
    <w:semiHidden/>
    <w:unhideWhenUsed/>
    <w:rsid w:val="00C7012C"/>
    <w:rPr>
      <w:b/>
      <w:bCs/>
    </w:rPr>
  </w:style>
  <w:style w:type="character" w:customStyle="1" w:styleId="CommentSubjectChar">
    <w:name w:val="Comment Subject Char"/>
    <w:basedOn w:val="CommentTextChar"/>
    <w:link w:val="CommentSubject"/>
    <w:semiHidden/>
    <w:rsid w:val="00C7012C"/>
    <w:rPr>
      <w:b/>
      <w:bCs/>
      <w:lang w:eastAsia="en-US"/>
    </w:rPr>
  </w:style>
  <w:style w:type="paragraph" w:styleId="ListParagraph">
    <w:name w:val="List Paragraph"/>
    <w:aliases w:val="Bullet List,Bullet1,Use Case List Paragraph,List Paragraph1,Body Bullet,Table Number Paragraph,Colorful List - Accent 11,List Paragraph 1,Ref,B1,Figure_name,bu1,bu1 + Before:  0 pt,After:  6 pt,Bullet for no #'s,Paragraph,lp1,Styl moj"/>
    <w:basedOn w:val="Normal"/>
    <w:link w:val="ListParagraphChar"/>
    <w:uiPriority w:val="34"/>
    <w:qFormat/>
    <w:rsid w:val="00104E2E"/>
    <w:pPr>
      <w:ind w:left="720"/>
      <w:contextualSpacing/>
    </w:pPr>
  </w:style>
  <w:style w:type="character" w:customStyle="1" w:styleId="Style2">
    <w:name w:val="Style2"/>
    <w:basedOn w:val="DefaultParagraphFont"/>
    <w:uiPriority w:val="1"/>
    <w:rsid w:val="00D6498C"/>
    <w:rPr>
      <w:sz w:val="32"/>
    </w:rPr>
  </w:style>
  <w:style w:type="character" w:styleId="PlaceholderText">
    <w:name w:val="Placeholder Text"/>
    <w:basedOn w:val="DefaultParagraphFont"/>
    <w:uiPriority w:val="99"/>
    <w:rsid w:val="00B13D65"/>
    <w:rPr>
      <w:color w:val="808080"/>
    </w:rPr>
  </w:style>
  <w:style w:type="paragraph" w:styleId="NoSpacing">
    <w:name w:val="No Spacing"/>
    <w:uiPriority w:val="1"/>
    <w:qFormat/>
    <w:rsid w:val="00B13D65"/>
    <w:rPr>
      <w:rFonts w:ascii="Calibri" w:eastAsia="Calibri" w:hAnsi="Calibri"/>
      <w:sz w:val="22"/>
      <w:szCs w:val="22"/>
      <w:lang w:eastAsia="en-US"/>
    </w:rPr>
  </w:style>
  <w:style w:type="table" w:customStyle="1" w:styleId="Lentelstinklelis1">
    <w:name w:val="Lentelės tinklelis1"/>
    <w:basedOn w:val="TableNormal"/>
    <w:next w:val="TableGrid"/>
    <w:rsid w:val="009E44AE"/>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76256"/>
    <w:rPr>
      <w:sz w:val="24"/>
      <w:szCs w:val="24"/>
      <w:lang w:eastAsia="en-US"/>
    </w:rPr>
  </w:style>
  <w:style w:type="paragraph" w:styleId="HTMLPreformatted">
    <w:name w:val="HTML Preformatted"/>
    <w:basedOn w:val="Normal"/>
    <w:link w:val="HTMLPreformattedChar"/>
    <w:uiPriority w:val="99"/>
    <w:unhideWhenUsed/>
    <w:rsid w:val="00E106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E106CD"/>
    <w:rPr>
      <w:rFonts w:ascii="Courier New" w:hAnsi="Courier New" w:cs="Courier New"/>
      <w:lang w:val="en-US" w:eastAsia="en-US"/>
    </w:rPr>
  </w:style>
  <w:style w:type="character" w:customStyle="1" w:styleId="ListParagraphChar">
    <w:name w:val="List Paragraph Char"/>
    <w:aliases w:val="Bullet List Char,Bullet1 Char,Use Case List Paragraph Char,List Paragraph1 Char,Body Bullet Char,Table Number Paragraph Char,Colorful List - Accent 11 Char,List Paragraph 1 Char,Ref Char,B1 Char,Figure_name Char,bu1 Char,lp1 Char"/>
    <w:basedOn w:val="DefaultParagraphFont"/>
    <w:link w:val="ListParagraph"/>
    <w:uiPriority w:val="34"/>
    <w:qFormat/>
    <w:rsid w:val="00E106CD"/>
    <w:rPr>
      <w:sz w:val="24"/>
      <w:szCs w:val="24"/>
      <w:lang w:eastAsia="en-US"/>
    </w:rPr>
  </w:style>
  <w:style w:type="character" w:customStyle="1" w:styleId="y2iqfc">
    <w:name w:val="y2iqfc"/>
    <w:basedOn w:val="DefaultParagraphFont"/>
    <w:rsid w:val="00E106CD"/>
  </w:style>
  <w:style w:type="paragraph" w:customStyle="1" w:styleId="xmsonormal">
    <w:name w:val="x_msonormal"/>
    <w:basedOn w:val="Normal"/>
    <w:rsid w:val="008D1E2D"/>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6719136">
      <w:bodyDiv w:val="1"/>
      <w:marLeft w:val="0"/>
      <w:marRight w:val="0"/>
      <w:marTop w:val="0"/>
      <w:marBottom w:val="0"/>
      <w:divBdr>
        <w:top w:val="none" w:sz="0" w:space="0" w:color="auto"/>
        <w:left w:val="none" w:sz="0" w:space="0" w:color="auto"/>
        <w:bottom w:val="none" w:sz="0" w:space="0" w:color="auto"/>
        <w:right w:val="none" w:sz="0" w:space="0" w:color="auto"/>
      </w:divBdr>
    </w:div>
    <w:div w:id="1298802146">
      <w:bodyDiv w:val="1"/>
      <w:marLeft w:val="0"/>
      <w:marRight w:val="0"/>
      <w:marTop w:val="0"/>
      <w:marBottom w:val="0"/>
      <w:divBdr>
        <w:top w:val="none" w:sz="0" w:space="0" w:color="auto"/>
        <w:left w:val="none" w:sz="0" w:space="0" w:color="auto"/>
        <w:bottom w:val="none" w:sz="0" w:space="0" w:color="auto"/>
        <w:right w:val="none" w:sz="0" w:space="0" w:color="auto"/>
      </w:divBdr>
    </w:div>
    <w:div w:id="159778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1DCC42A2974C359888226B925C8FF8"/>
        <w:category>
          <w:name w:val="Bendrosios nuostatos"/>
          <w:gallery w:val="placeholder"/>
        </w:category>
        <w:types>
          <w:type w:val="bbPlcHdr"/>
        </w:types>
        <w:behaviors>
          <w:behavior w:val="content"/>
        </w:behaviors>
        <w:guid w:val="{DA594F7C-085F-4470-BFBE-73CE12F450B6}"/>
      </w:docPartPr>
      <w:docPartBody>
        <w:p w:rsidR="00E44A86" w:rsidRDefault="005E40DD" w:rsidP="005E40DD">
          <w:pPr>
            <w:pStyle w:val="0A1DCC42A2974C359888226B925C8FF8"/>
          </w:pPr>
          <w:r>
            <w:rPr>
              <w:rStyle w:val="PlaceholderText"/>
            </w:rPr>
            <w:t>Click here to enter a date.</w:t>
          </w:r>
        </w:p>
      </w:docPartBody>
    </w:docPart>
    <w:docPart>
      <w:docPartPr>
        <w:name w:val="E7617582DD0F47BEBF9F9C3D795808B0"/>
        <w:category>
          <w:name w:val="General"/>
          <w:gallery w:val="placeholder"/>
        </w:category>
        <w:types>
          <w:type w:val="bbPlcHdr"/>
        </w:types>
        <w:behaviors>
          <w:behavior w:val="content"/>
        </w:behaviors>
        <w:guid w:val="{25684C77-29DE-4AA0-ABFC-A59EEAA5C360}"/>
      </w:docPartPr>
      <w:docPartBody>
        <w:p w:rsidR="004C10F8" w:rsidRDefault="000D0F0D" w:rsidP="000D0F0D">
          <w:pPr>
            <w:pStyle w:val="E7617582DD0F47BEBF9F9C3D795808B0"/>
          </w:pPr>
          <w:r>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0DD"/>
    <w:rsid w:val="0001247F"/>
    <w:rsid w:val="00061157"/>
    <w:rsid w:val="000937FE"/>
    <w:rsid w:val="000A559A"/>
    <w:rsid w:val="000D0F0D"/>
    <w:rsid w:val="000D24D4"/>
    <w:rsid w:val="001C35A9"/>
    <w:rsid w:val="00237556"/>
    <w:rsid w:val="0039303B"/>
    <w:rsid w:val="004144A3"/>
    <w:rsid w:val="004160E7"/>
    <w:rsid w:val="004416C6"/>
    <w:rsid w:val="004C10F8"/>
    <w:rsid w:val="004F5AB2"/>
    <w:rsid w:val="005074B9"/>
    <w:rsid w:val="005E40DD"/>
    <w:rsid w:val="007219C1"/>
    <w:rsid w:val="00753462"/>
    <w:rsid w:val="00772325"/>
    <w:rsid w:val="007A2FE0"/>
    <w:rsid w:val="007C6D1D"/>
    <w:rsid w:val="0090074D"/>
    <w:rsid w:val="009B3BF0"/>
    <w:rsid w:val="009D5E5E"/>
    <w:rsid w:val="009F1BB4"/>
    <w:rsid w:val="00AB6ED4"/>
    <w:rsid w:val="00B12BA2"/>
    <w:rsid w:val="00B14210"/>
    <w:rsid w:val="00B23DC0"/>
    <w:rsid w:val="00B96656"/>
    <w:rsid w:val="00BE29C1"/>
    <w:rsid w:val="00C2401D"/>
    <w:rsid w:val="00C53A68"/>
    <w:rsid w:val="00CA5BB4"/>
    <w:rsid w:val="00CB4BD1"/>
    <w:rsid w:val="00CE2DA9"/>
    <w:rsid w:val="00CE44BE"/>
    <w:rsid w:val="00D4356B"/>
    <w:rsid w:val="00D7162F"/>
    <w:rsid w:val="00E44A86"/>
    <w:rsid w:val="00E522EB"/>
    <w:rsid w:val="00E60827"/>
    <w:rsid w:val="00E73FF6"/>
    <w:rsid w:val="00EF6E0C"/>
    <w:rsid w:val="00F55028"/>
    <w:rsid w:val="00F77BEF"/>
    <w:rsid w:val="00FC755C"/>
    <w:rsid w:val="00FE0D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0D0F0D"/>
    <w:rPr>
      <w:color w:val="808080"/>
    </w:rPr>
  </w:style>
  <w:style w:type="paragraph" w:customStyle="1" w:styleId="0A1DCC42A2974C359888226B925C8FF8">
    <w:name w:val="0A1DCC42A2974C359888226B925C8FF8"/>
    <w:rsid w:val="005E40DD"/>
  </w:style>
  <w:style w:type="paragraph" w:customStyle="1" w:styleId="CDB60824EC144AB3B75C05A5823BEE2D">
    <w:name w:val="CDB60824EC144AB3B75C05A5823BEE2D"/>
    <w:rsid w:val="005E40DD"/>
  </w:style>
  <w:style w:type="paragraph" w:customStyle="1" w:styleId="15C99961770143949D5AA1B941DB9A1F">
    <w:name w:val="15C99961770143949D5AA1B941DB9A1F"/>
    <w:rsid w:val="000D0F0D"/>
  </w:style>
  <w:style w:type="paragraph" w:customStyle="1" w:styleId="8F44BE0C5EB34698B57213D7E8292FAE">
    <w:name w:val="8F44BE0C5EB34698B57213D7E8292FAE"/>
    <w:rsid w:val="000D0F0D"/>
  </w:style>
  <w:style w:type="paragraph" w:customStyle="1" w:styleId="E7617582DD0F47BEBF9F9C3D795808B0">
    <w:name w:val="E7617582DD0F47BEBF9F9C3D795808B0"/>
    <w:rsid w:val="000D0F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E97501-6219-4C1F-A582-AD2C9DDDD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14231</Words>
  <Characters>8112</Characters>
  <Application>Microsoft Office Word</Application>
  <DocSecurity>0</DocSecurity>
  <Lines>67</Lines>
  <Paragraphs>44</Paragraphs>
  <ScaleCrop>false</ScaleCrop>
  <Company/>
  <LinksUpToDate>false</LinksUpToDate>
  <CharactersWithSpaces>22299</CharactersWithSpaces>
  <SharedDoc>false</SharedDoc>
  <HLinks>
    <vt:vector size="6" baseType="variant">
      <vt:variant>
        <vt:i4>5308539</vt:i4>
      </vt:variant>
      <vt:variant>
        <vt:i4>6</vt:i4>
      </vt:variant>
      <vt:variant>
        <vt:i4>0</vt:i4>
      </vt:variant>
      <vt:variant>
        <vt:i4>5</vt:i4>
      </vt:variant>
      <vt:variant>
        <vt:lpwstr>mailto:vvkt@vvkt.lt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2023-02-07T06:47:00Z</dcterms:created>
  <dcterms:modified xsi:type="dcterms:W3CDTF">2023-02-09T17:54:00Z</dcterms:modified>
</cp:coreProperties>
</file>