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E5EB3" w14:textId="1955ADE3" w:rsidR="005F7602" w:rsidRPr="00964286" w:rsidRDefault="005F7602" w:rsidP="002946C7">
      <w:pPr>
        <w:ind w:left="5529"/>
      </w:pPr>
    </w:p>
    <w:p w14:paraId="12FA4B9E" w14:textId="77777777" w:rsidR="001B3C5B" w:rsidRPr="00E33EFF" w:rsidRDefault="001B3C5B" w:rsidP="001B3C5B">
      <w:pPr>
        <w:ind w:left="6096"/>
      </w:pPr>
      <w:r w:rsidRPr="00E33EFF">
        <w:t>Forma patvirtinta</w:t>
      </w:r>
    </w:p>
    <w:p w14:paraId="7206970B" w14:textId="70E9BD2E" w:rsidR="004C263A" w:rsidRPr="00E33EFF" w:rsidRDefault="001B3C5B" w:rsidP="001B3C5B">
      <w:pPr>
        <w:ind w:left="6096"/>
      </w:pPr>
      <w:r w:rsidRPr="00E33EFF">
        <w:t>Valstybinės vaistų kontrolės tarnybos prie Lietuvos Respublikos sveikatos apsaugos ministerijos viršininko 2021 m</w:t>
      </w:r>
      <w:r w:rsidR="004C263A" w:rsidRPr="00E33EFF">
        <w:t xml:space="preserve">. lapkričio 12 </w:t>
      </w:r>
      <w:r w:rsidRPr="00E33EFF">
        <w:t>d. įsakymu Nr.</w:t>
      </w:r>
      <w:r w:rsidR="004C263A" w:rsidRPr="00E33EFF">
        <w:t xml:space="preserve"> (1.72E)1A-1418</w:t>
      </w:r>
    </w:p>
    <w:p w14:paraId="5B219AA6" w14:textId="520B9136" w:rsidR="001B3C5B" w:rsidRDefault="004C263A" w:rsidP="001B3C5B">
      <w:pPr>
        <w:ind w:left="6096"/>
      </w:pPr>
      <w:r w:rsidRPr="00E33EFF">
        <w:t>(Valstybinės vaistų kontrolės tarnybos prie Lietuvos Respublikos sveikatos apsaugos ministerijos viršininko 2022 m.                         d. įsakymo Nr.                    redakcija)</w:t>
      </w:r>
    </w:p>
    <w:p w14:paraId="45DD017B" w14:textId="77777777" w:rsidR="00171488" w:rsidRPr="00D874B3" w:rsidRDefault="00171488" w:rsidP="007C2705"/>
    <w:p w14:paraId="3336BD74" w14:textId="77777777" w:rsidR="001B3C5B" w:rsidRPr="00E33EFF" w:rsidRDefault="001B3C5B" w:rsidP="00FA4169"/>
    <w:p w14:paraId="77AFB67E" w14:textId="16397257" w:rsidR="00613501" w:rsidRPr="00E33EFF" w:rsidRDefault="002F0E4F" w:rsidP="003B211A">
      <w:pPr>
        <w:jc w:val="center"/>
        <w:rPr>
          <w:b/>
          <w:bCs/>
          <w:caps/>
        </w:rPr>
      </w:pPr>
      <w:r w:rsidRPr="00E33EFF">
        <w:rPr>
          <w:b/>
        </w:rPr>
        <w:t xml:space="preserve">REKOMENDACIJA DĖL VAISTINIO PREPARATO </w:t>
      </w:r>
      <w:r w:rsidRPr="00E33EFF">
        <w:rPr>
          <w:b/>
          <w:bCs/>
          <w:caps/>
        </w:rPr>
        <w:t>Lietuvos Respublikos Sveikatos apsaugos ministerijos vaistinių preparatų ir medicinos pagalbos priemonių kompensavimo komisijai</w:t>
      </w:r>
    </w:p>
    <w:p w14:paraId="34E4395D" w14:textId="15FB10DF" w:rsidR="00B13D65" w:rsidRPr="00E33EFF" w:rsidRDefault="00B13D65" w:rsidP="003B211A">
      <w:pPr>
        <w:jc w:val="center"/>
        <w:rPr>
          <w:b/>
        </w:rPr>
      </w:pPr>
    </w:p>
    <w:p w14:paraId="4FC2569B" w14:textId="60D6E5B3" w:rsidR="005D1FDB" w:rsidRPr="00B87B84" w:rsidRDefault="00B87B84" w:rsidP="005D1FDB">
      <w:pPr>
        <w:jc w:val="center"/>
        <w:rPr>
          <w:b/>
        </w:rPr>
      </w:pPr>
      <w:proofErr w:type="spellStart"/>
      <w:r w:rsidRPr="00B87B84">
        <w:rPr>
          <w:b/>
        </w:rPr>
        <w:t>Alunbrig</w:t>
      </w:r>
      <w:proofErr w:type="spellEnd"/>
      <w:r w:rsidR="005D1FDB" w:rsidRPr="00B87B84">
        <w:rPr>
          <w:b/>
        </w:rPr>
        <w:t xml:space="preserve"> </w:t>
      </w:r>
      <w:r w:rsidRPr="00B87B84">
        <w:rPr>
          <w:b/>
          <w:lang w:val="en-US"/>
        </w:rPr>
        <w:t xml:space="preserve">30 mg, </w:t>
      </w:r>
      <w:r w:rsidR="00A347F1">
        <w:rPr>
          <w:b/>
          <w:lang w:val="en-US"/>
        </w:rPr>
        <w:t xml:space="preserve">90 mg, </w:t>
      </w:r>
      <w:r w:rsidRPr="00B87B84">
        <w:rPr>
          <w:b/>
          <w:lang w:val="en-US"/>
        </w:rPr>
        <w:t>180 mg</w:t>
      </w:r>
      <w:r w:rsidR="005D1FDB" w:rsidRPr="00B87B84">
        <w:rPr>
          <w:b/>
        </w:rPr>
        <w:t xml:space="preserve"> plėvele dengtos tabletės</w:t>
      </w:r>
    </w:p>
    <w:p w14:paraId="6D814A0E" w14:textId="77777777" w:rsidR="005D1FDB" w:rsidRPr="00D05364" w:rsidRDefault="005D1FDB" w:rsidP="005D1FDB">
      <w:pPr>
        <w:jc w:val="center"/>
      </w:pPr>
    </w:p>
    <w:p w14:paraId="1402DB72" w14:textId="4FCDD5C9" w:rsidR="005D1FDB" w:rsidRPr="006B47FE" w:rsidRDefault="00B87B84" w:rsidP="005D1FDB">
      <w:pPr>
        <w:jc w:val="center"/>
      </w:pPr>
      <w:proofErr w:type="spellStart"/>
      <w:r w:rsidRPr="006B47FE">
        <w:t>Brigatinibas</w:t>
      </w:r>
      <w:proofErr w:type="spellEnd"/>
    </w:p>
    <w:p w14:paraId="4CA96EAB" w14:textId="77777777" w:rsidR="005D1FDB" w:rsidRPr="00D05364" w:rsidRDefault="005D1FDB" w:rsidP="005D1FDB">
      <w:pPr>
        <w:jc w:val="center"/>
      </w:pPr>
    </w:p>
    <w:p w14:paraId="1B077030" w14:textId="788C28EB" w:rsidR="005D1FDB" w:rsidRPr="006B47FE" w:rsidRDefault="005D1FDB" w:rsidP="005D1FDB">
      <w:pPr>
        <w:jc w:val="center"/>
        <w:rPr>
          <w:lang w:val="en-US"/>
        </w:rPr>
      </w:pPr>
      <w:r w:rsidRPr="006B47FE">
        <w:t>STV</w:t>
      </w:r>
      <w:r w:rsidR="00B87FB3" w:rsidRPr="006B47FE">
        <w:t xml:space="preserve"> </w:t>
      </w:r>
      <w:r w:rsidR="00B87FB3" w:rsidRPr="006B47FE">
        <w:rPr>
          <w:rFonts w:eastAsia="Arial"/>
        </w:rPr>
        <w:t xml:space="preserve">– </w:t>
      </w:r>
      <w:r w:rsidR="00B87B84" w:rsidRPr="006B47FE">
        <w:rPr>
          <w:lang w:val="en-US"/>
        </w:rPr>
        <w:t>40</w:t>
      </w:r>
    </w:p>
    <w:p w14:paraId="169E0322" w14:textId="2A50E001" w:rsidR="00CB56BF" w:rsidRDefault="00CB56BF" w:rsidP="003B211A">
      <w:pPr>
        <w:jc w:val="center"/>
        <w:rPr>
          <w:b/>
        </w:rPr>
      </w:pPr>
    </w:p>
    <w:p w14:paraId="453197C8" w14:textId="77777777" w:rsidR="00D4708D" w:rsidRPr="00E33EFF" w:rsidRDefault="00D4708D" w:rsidP="003B211A">
      <w:pPr>
        <w:jc w:val="center"/>
        <w:rPr>
          <w:b/>
        </w:rPr>
      </w:pPr>
    </w:p>
    <w:p w14:paraId="78C89D1C" w14:textId="0DEFFAA5" w:rsidR="00D4485B" w:rsidRPr="00E33EFF" w:rsidRDefault="00B13D65" w:rsidP="00CC09D4">
      <w:pPr>
        <w:pStyle w:val="Sraopastraipa"/>
        <w:numPr>
          <w:ilvl w:val="0"/>
          <w:numId w:val="12"/>
        </w:numPr>
        <w:tabs>
          <w:tab w:val="left" w:pos="567"/>
        </w:tabs>
        <w:ind w:left="567" w:hanging="567"/>
        <w:rPr>
          <w:b/>
          <w:bCs/>
          <w:caps/>
        </w:rPr>
      </w:pPr>
      <w:r w:rsidRPr="00E33EFF">
        <w:rPr>
          <w:b/>
          <w:bCs/>
          <w:caps/>
        </w:rPr>
        <w:t>Bendroji dalis</w:t>
      </w:r>
    </w:p>
    <w:p w14:paraId="04A7C7A7" w14:textId="77777777" w:rsidR="00B13D65" w:rsidRPr="00E33EFF" w:rsidRDefault="00B13D65" w:rsidP="00E03C3F">
      <w:pPr>
        <w:pStyle w:val="Sraopastraipa"/>
        <w:tabs>
          <w:tab w:val="left" w:pos="284"/>
        </w:tabs>
        <w:ind w:left="0"/>
        <w:rPr>
          <w:b/>
          <w:bCs/>
          <w:caps/>
        </w:rPr>
      </w:pPr>
    </w:p>
    <w:tbl>
      <w:tblPr>
        <w:tblStyle w:val="Lentelstinklelis"/>
        <w:tblW w:w="9493" w:type="dxa"/>
        <w:tblLook w:val="04A0" w:firstRow="1" w:lastRow="0" w:firstColumn="1" w:lastColumn="0" w:noHBand="0" w:noVBand="1"/>
      </w:tblPr>
      <w:tblGrid>
        <w:gridCol w:w="632"/>
        <w:gridCol w:w="3694"/>
        <w:gridCol w:w="5167"/>
      </w:tblGrid>
      <w:tr w:rsidR="00B13D65" w:rsidRPr="00E33EFF" w14:paraId="18A83EC2" w14:textId="77777777" w:rsidTr="31357FE3">
        <w:trPr>
          <w:trHeight w:val="314"/>
        </w:trPr>
        <w:tc>
          <w:tcPr>
            <w:tcW w:w="632" w:type="dxa"/>
          </w:tcPr>
          <w:p w14:paraId="0646FBEA" w14:textId="77777777" w:rsidR="00B13D65" w:rsidRPr="00E33EFF" w:rsidRDefault="00B13D65" w:rsidP="00824B92">
            <w:pPr>
              <w:rPr>
                <w:rFonts w:eastAsia="Arial"/>
              </w:rPr>
            </w:pPr>
            <w:r w:rsidRPr="00E33EFF">
              <w:rPr>
                <w:rFonts w:eastAsia="Arial"/>
              </w:rPr>
              <w:t>1.1</w:t>
            </w:r>
          </w:p>
        </w:tc>
        <w:tc>
          <w:tcPr>
            <w:tcW w:w="3694" w:type="dxa"/>
          </w:tcPr>
          <w:p w14:paraId="2AF240DC" w14:textId="15734F1E" w:rsidR="00B13D65" w:rsidRPr="00E33EFF" w:rsidRDefault="00B13D65" w:rsidP="00824B92">
            <w:pPr>
              <w:rPr>
                <w:rFonts w:eastAsia="Arial"/>
              </w:rPr>
            </w:pPr>
            <w:r w:rsidRPr="00E33EFF">
              <w:rPr>
                <w:rFonts w:eastAsia="Arial"/>
              </w:rPr>
              <w:t>Pareiškėjas</w:t>
            </w:r>
          </w:p>
        </w:tc>
        <w:tc>
          <w:tcPr>
            <w:tcW w:w="5167" w:type="dxa"/>
          </w:tcPr>
          <w:p w14:paraId="2AAF0D91" w14:textId="178D1765" w:rsidR="00B13D65" w:rsidRPr="00B87B84" w:rsidRDefault="005D1FDB" w:rsidP="00824B92">
            <w:pPr>
              <w:rPr>
                <w:lang w:val="en-US"/>
              </w:rPr>
            </w:pPr>
            <w:r>
              <w:t xml:space="preserve">UAB </w:t>
            </w:r>
            <w:r w:rsidR="00B87B84">
              <w:t>Takeda</w:t>
            </w:r>
          </w:p>
        </w:tc>
      </w:tr>
      <w:tr w:rsidR="00B13D65" w:rsidRPr="00E33EFF" w14:paraId="31998B0D" w14:textId="77777777" w:rsidTr="31357FE3">
        <w:trPr>
          <w:trHeight w:val="156"/>
        </w:trPr>
        <w:tc>
          <w:tcPr>
            <w:tcW w:w="632" w:type="dxa"/>
          </w:tcPr>
          <w:p w14:paraId="2005EC67" w14:textId="662300D0" w:rsidR="00B13D65" w:rsidRPr="00E33EFF" w:rsidRDefault="002E0702" w:rsidP="00824B92">
            <w:pPr>
              <w:rPr>
                <w:rFonts w:eastAsia="Arial"/>
              </w:rPr>
            </w:pPr>
            <w:r w:rsidRPr="00E33EFF">
              <w:rPr>
                <w:rFonts w:eastAsia="Arial"/>
              </w:rPr>
              <w:t>1.2</w:t>
            </w:r>
          </w:p>
        </w:tc>
        <w:tc>
          <w:tcPr>
            <w:tcW w:w="3694" w:type="dxa"/>
          </w:tcPr>
          <w:p w14:paraId="3A0DC096" w14:textId="6369A966" w:rsidR="00B13D65" w:rsidRPr="004B001C" w:rsidRDefault="00B13D65" w:rsidP="00824B92">
            <w:pPr>
              <w:rPr>
                <w:bCs/>
                <w:color w:val="000000"/>
                <w:lang w:eastAsia="lt-LT"/>
              </w:rPr>
            </w:pPr>
            <w:r w:rsidRPr="00E33EFF">
              <w:rPr>
                <w:bCs/>
                <w:color w:val="000000"/>
                <w:lang w:eastAsia="lt-LT"/>
              </w:rPr>
              <w:t xml:space="preserve">Registracijos data </w:t>
            </w:r>
          </w:p>
        </w:tc>
        <w:tc>
          <w:tcPr>
            <w:tcW w:w="5167" w:type="dxa"/>
          </w:tcPr>
          <w:p w14:paraId="3CA218AD" w14:textId="20CA347A" w:rsidR="00B13D65" w:rsidRPr="009F6B35" w:rsidRDefault="00530901" w:rsidP="00824B92">
            <w:pPr>
              <w:rPr>
                <w:rStyle w:val="Style2"/>
                <w:sz w:val="24"/>
              </w:rPr>
            </w:pPr>
            <w:sdt>
              <w:sdtPr>
                <w:rPr>
                  <w:color w:val="000000" w:themeColor="text1"/>
                  <w:sz w:val="32"/>
                  <w:shd w:val="clear" w:color="auto" w:fill="FFFFFF"/>
                </w:rPr>
                <w:alias w:val="Nurodykite konkrečią dieną"/>
                <w:tag w:val="Nurodykite pradžios datą"/>
                <w:id w:val="423238108"/>
                <w:placeholder>
                  <w:docPart w:val="0A1DCC42A2974C359888226B925C8FF8"/>
                </w:placeholder>
                <w15:color w:val="FFCC99"/>
                <w:date>
                  <w:dateFormat w:val="yyyy 'm.' MMMM d 'd.'"/>
                  <w:lid w:val="lt-LT"/>
                  <w:storeMappedDataAs w:val="dateTime"/>
                  <w:calendar w:val="gregorian"/>
                </w:date>
              </w:sdtPr>
              <w:sdtEndPr/>
              <w:sdtContent>
                <w:r w:rsidR="005D1FDB" w:rsidRPr="005D1FDB">
                  <w:rPr>
                    <w:color w:val="000000" w:themeColor="text1"/>
                    <w:shd w:val="clear" w:color="auto" w:fill="FFFFFF"/>
                  </w:rPr>
                  <w:t>201</w:t>
                </w:r>
                <w:r w:rsidR="00B87B84">
                  <w:rPr>
                    <w:color w:val="000000" w:themeColor="text1"/>
                    <w:shd w:val="clear" w:color="auto" w:fill="FFFFFF"/>
                    <w:lang w:val="en-US"/>
                  </w:rPr>
                  <w:t>8</w:t>
                </w:r>
                <w:r w:rsidR="005D1FDB" w:rsidRPr="005D1FDB">
                  <w:rPr>
                    <w:color w:val="000000" w:themeColor="text1"/>
                    <w:shd w:val="clear" w:color="auto" w:fill="FFFFFF"/>
                  </w:rPr>
                  <w:t xml:space="preserve"> m. </w:t>
                </w:r>
                <w:proofErr w:type="spellStart"/>
                <w:r w:rsidR="00B87B84">
                  <w:rPr>
                    <w:color w:val="000000" w:themeColor="text1"/>
                    <w:shd w:val="clear" w:color="auto" w:fill="FFFFFF"/>
                    <w:lang w:val="en-US"/>
                  </w:rPr>
                  <w:t>lapkri</w:t>
                </w:r>
                <w:r w:rsidR="00B87B84">
                  <w:rPr>
                    <w:color w:val="000000" w:themeColor="text1"/>
                    <w:shd w:val="clear" w:color="auto" w:fill="FFFFFF"/>
                  </w:rPr>
                  <w:t>čio</w:t>
                </w:r>
                <w:proofErr w:type="spellEnd"/>
                <w:r w:rsidR="005D1FDB" w:rsidRPr="005D1FDB">
                  <w:rPr>
                    <w:color w:val="000000" w:themeColor="text1"/>
                    <w:shd w:val="clear" w:color="auto" w:fill="FFFFFF"/>
                  </w:rPr>
                  <w:t xml:space="preserve"> </w:t>
                </w:r>
                <w:r w:rsidR="00B87B84">
                  <w:rPr>
                    <w:color w:val="000000" w:themeColor="text1"/>
                    <w:shd w:val="clear" w:color="auto" w:fill="FFFFFF"/>
                    <w:lang w:val="en-US"/>
                  </w:rPr>
                  <w:t>22</w:t>
                </w:r>
                <w:r w:rsidR="005D1FDB" w:rsidRPr="005D1FDB">
                  <w:rPr>
                    <w:color w:val="000000" w:themeColor="text1"/>
                    <w:shd w:val="clear" w:color="auto" w:fill="FFFFFF"/>
                  </w:rPr>
                  <w:t xml:space="preserve"> d.</w:t>
                </w:r>
              </w:sdtContent>
            </w:sdt>
            <w:r w:rsidR="005D1FDB">
              <w:rPr>
                <w:color w:val="000000" w:themeColor="text1"/>
                <w:sz w:val="32"/>
                <w:shd w:val="clear" w:color="auto" w:fill="FFFFFF"/>
              </w:rPr>
              <w:t xml:space="preserve"> </w:t>
            </w:r>
          </w:p>
        </w:tc>
      </w:tr>
      <w:tr w:rsidR="00B13D65" w:rsidRPr="00E33EFF" w14:paraId="15968AE1" w14:textId="77777777" w:rsidTr="31357FE3">
        <w:trPr>
          <w:trHeight w:val="1500"/>
        </w:trPr>
        <w:tc>
          <w:tcPr>
            <w:tcW w:w="632" w:type="dxa"/>
          </w:tcPr>
          <w:p w14:paraId="6A784245" w14:textId="1E461489" w:rsidR="00B13D65" w:rsidRPr="00E33EFF" w:rsidRDefault="002E0702" w:rsidP="00824B92">
            <w:pPr>
              <w:rPr>
                <w:rFonts w:eastAsia="Arial"/>
              </w:rPr>
            </w:pPr>
            <w:r w:rsidRPr="00E33EFF">
              <w:rPr>
                <w:rFonts w:eastAsia="Arial"/>
              </w:rPr>
              <w:t>1.3</w:t>
            </w:r>
          </w:p>
        </w:tc>
        <w:tc>
          <w:tcPr>
            <w:tcW w:w="3694" w:type="dxa"/>
          </w:tcPr>
          <w:p w14:paraId="22933506" w14:textId="77777777" w:rsidR="00B13D65" w:rsidRPr="00E33EFF" w:rsidRDefault="00B13D65" w:rsidP="00824B92">
            <w:r w:rsidRPr="00E33EFF">
              <w:t xml:space="preserve">Paraiškos tipas </w:t>
            </w:r>
          </w:p>
          <w:p w14:paraId="0465E680" w14:textId="7F0A0714" w:rsidR="00B13D65" w:rsidRPr="00E33EFF" w:rsidRDefault="00B13D65" w:rsidP="00824B92">
            <w:r w:rsidRPr="00E33EFF">
              <w:t>(</w:t>
            </w:r>
            <w:r w:rsidR="00695CD3" w:rsidRPr="00E33EFF">
              <w:t xml:space="preserve">pagal </w:t>
            </w:r>
            <w:r w:rsidR="0039696E" w:rsidRPr="00E33EFF">
              <w:rPr>
                <w:color w:val="333333"/>
                <w:shd w:val="clear" w:color="auto" w:fill="FFFFFF"/>
              </w:rPr>
              <w:t>vaistinio preparato registracijos tipą, įtvirtintą</w:t>
            </w:r>
            <w:r w:rsidR="0039696E" w:rsidRPr="00E33EFF">
              <w:t xml:space="preserve"> </w:t>
            </w:r>
            <w:r w:rsidRPr="00E33EFF">
              <w:t>Direktyv</w:t>
            </w:r>
            <w:r w:rsidR="00695CD3" w:rsidRPr="00E33EFF">
              <w:t>os</w:t>
            </w:r>
            <w:r w:rsidRPr="00E33EFF">
              <w:t xml:space="preserve"> 2001/83/EB</w:t>
            </w:r>
            <w:r w:rsidR="00695CD3" w:rsidRPr="00E33EFF">
              <w:t xml:space="preserve"> </w:t>
            </w:r>
            <w:proofErr w:type="spellStart"/>
            <w:r w:rsidR="00695CD3" w:rsidRPr="00E33EFF">
              <w:t>straips</w:t>
            </w:r>
            <w:r w:rsidR="0039696E" w:rsidRPr="00E33EFF">
              <w:t>iuose</w:t>
            </w:r>
            <w:proofErr w:type="spellEnd"/>
            <w:r w:rsidRPr="00E33EFF">
              <w:t>)</w:t>
            </w:r>
          </w:p>
          <w:p w14:paraId="77089D80" w14:textId="6681D72A" w:rsidR="00B13D65" w:rsidRPr="00E33EFF" w:rsidRDefault="00B13D65" w:rsidP="00824B92">
            <w:pPr>
              <w:rPr>
                <w:bCs/>
                <w:color w:val="000000"/>
                <w:lang w:eastAsia="lt-LT"/>
              </w:rPr>
            </w:pPr>
          </w:p>
        </w:tc>
        <w:tc>
          <w:tcPr>
            <w:tcW w:w="5167" w:type="dxa"/>
          </w:tcPr>
          <w:p w14:paraId="208F40EC" w14:textId="69E70B6C" w:rsidR="00B13D65" w:rsidRPr="006870F1" w:rsidRDefault="00530901" w:rsidP="00824B92">
            <w:sdt>
              <w:sdtPr>
                <w:rPr>
                  <w:rStyle w:val="Style2"/>
                  <w:sz w:val="24"/>
                </w:rPr>
                <w:id w:val="526292078"/>
                <w15:color w:val="FFCC00"/>
                <w14:checkbox>
                  <w14:checked w14:val="1"/>
                  <w14:checkedState w14:val="2612" w14:font="MS Gothic"/>
                  <w14:uncheckedState w14:val="2610" w14:font="MS Gothic"/>
                </w14:checkbox>
              </w:sdtPr>
              <w:sdtEndPr>
                <w:rPr>
                  <w:rStyle w:val="Style2"/>
                </w:rPr>
              </w:sdtEndPr>
              <w:sdtContent>
                <w:r w:rsidR="009A5B40" w:rsidRPr="006870F1">
                  <w:rPr>
                    <w:rStyle w:val="Style2"/>
                    <w:rFonts w:ascii="Segoe UI Symbol" w:eastAsia="MS Gothic" w:hAnsi="Segoe UI Symbol" w:cs="Segoe UI Symbol"/>
                    <w:sz w:val="24"/>
                  </w:rPr>
                  <w:t>☒</w:t>
                </w:r>
              </w:sdtContent>
            </w:sdt>
            <w:r w:rsidR="00B13D65" w:rsidRPr="006870F1">
              <w:t xml:space="preserve">8.3 str. (pilna byla, pagrįsta savais tyrimais) </w:t>
            </w:r>
          </w:p>
          <w:p w14:paraId="32BA564E" w14:textId="3FDA3E01" w:rsidR="00B13D65" w:rsidRPr="006870F1" w:rsidRDefault="00530901" w:rsidP="00824B92">
            <w:sdt>
              <w:sdtPr>
                <w:rPr>
                  <w:rStyle w:val="Style2"/>
                  <w:sz w:val="24"/>
                </w:rPr>
                <w:id w:val="-1497953736"/>
                <w15:color w:val="FFCC00"/>
                <w14:checkbox>
                  <w14:checked w14:val="0"/>
                  <w14:checkedState w14:val="2612" w14:font="MS Gothic"/>
                  <w14:uncheckedState w14:val="2610" w14:font="MS Gothic"/>
                </w14:checkbox>
              </w:sdtPr>
              <w:sdtEndPr>
                <w:rPr>
                  <w:rStyle w:val="Style2"/>
                </w:rPr>
              </w:sdtEndPr>
              <w:sdtContent>
                <w:r w:rsidR="00CC7832" w:rsidRPr="006870F1">
                  <w:rPr>
                    <w:rStyle w:val="Style2"/>
                    <w:rFonts w:ascii="Segoe UI Symbol" w:eastAsia="MS Gothic" w:hAnsi="Segoe UI Symbol" w:cs="Segoe UI Symbol"/>
                    <w:sz w:val="24"/>
                  </w:rPr>
                  <w:t>☐</w:t>
                </w:r>
              </w:sdtContent>
            </w:sdt>
            <w:r w:rsidR="00B13D65" w:rsidRPr="006870F1">
              <w:t xml:space="preserve">10 a str. (pripažintas medicininis vartojimas) </w:t>
            </w:r>
          </w:p>
          <w:p w14:paraId="318DCD7F" w14:textId="32333E53" w:rsidR="00B13D65" w:rsidRPr="006870F1" w:rsidRDefault="00530901" w:rsidP="00824B92">
            <w:sdt>
              <w:sdtPr>
                <w:rPr>
                  <w:rStyle w:val="Style2"/>
                  <w:sz w:val="24"/>
                </w:rPr>
                <w:id w:val="204142496"/>
                <w15:color w:val="FFCC00"/>
                <w14:checkbox>
                  <w14:checked w14:val="0"/>
                  <w14:checkedState w14:val="2612" w14:font="MS Gothic"/>
                  <w14:uncheckedState w14:val="2610" w14:font="MS Gothic"/>
                </w14:checkbox>
              </w:sdtPr>
              <w:sdtEndPr>
                <w:rPr>
                  <w:rStyle w:val="Style2"/>
                </w:rPr>
              </w:sdtEndPr>
              <w:sdtContent>
                <w:r w:rsidR="00CC7832" w:rsidRPr="006870F1">
                  <w:rPr>
                    <w:rStyle w:val="Style2"/>
                    <w:rFonts w:ascii="Segoe UI Symbol" w:eastAsia="MS Gothic" w:hAnsi="Segoe UI Symbol" w:cs="Segoe UI Symbol"/>
                    <w:sz w:val="24"/>
                  </w:rPr>
                  <w:t>☐</w:t>
                </w:r>
              </w:sdtContent>
            </w:sdt>
            <w:r w:rsidR="00B13D65" w:rsidRPr="006870F1">
              <w:t>10.1 str. (</w:t>
            </w:r>
            <w:proofErr w:type="spellStart"/>
            <w:r w:rsidR="00B13D65" w:rsidRPr="006870F1">
              <w:t>generinis</w:t>
            </w:r>
            <w:proofErr w:type="spellEnd"/>
            <w:r w:rsidR="00B13D65" w:rsidRPr="006870F1">
              <w:t>)</w:t>
            </w:r>
          </w:p>
          <w:p w14:paraId="3B0A4F72" w14:textId="3F5FB073" w:rsidR="00B13D65" w:rsidRPr="00E33EFF" w:rsidRDefault="00530901" w:rsidP="00824B92">
            <w:pPr>
              <w:rPr>
                <w:rStyle w:val="Style2"/>
                <w:sz w:val="24"/>
              </w:rPr>
            </w:pPr>
            <w:sdt>
              <w:sdtPr>
                <w:rPr>
                  <w:rStyle w:val="Style2"/>
                  <w:sz w:val="24"/>
                </w:rPr>
                <w:id w:val="820305101"/>
                <w15:color w:val="FFCC00"/>
                <w14:checkbox>
                  <w14:checked w14:val="0"/>
                  <w14:checkedState w14:val="2612" w14:font="MS Gothic"/>
                  <w14:uncheckedState w14:val="2610" w14:font="MS Gothic"/>
                </w14:checkbox>
              </w:sdtPr>
              <w:sdtEndPr>
                <w:rPr>
                  <w:rStyle w:val="Style2"/>
                </w:rPr>
              </w:sdtEndPr>
              <w:sdtContent>
                <w:r w:rsidR="00CC7832" w:rsidRPr="006870F1">
                  <w:rPr>
                    <w:rStyle w:val="Style2"/>
                    <w:rFonts w:ascii="Segoe UI Symbol" w:eastAsia="MS Gothic" w:hAnsi="Segoe UI Symbol" w:cs="Segoe UI Symbol"/>
                    <w:sz w:val="24"/>
                  </w:rPr>
                  <w:t>☐</w:t>
                </w:r>
              </w:sdtContent>
            </w:sdt>
            <w:r w:rsidR="00B13D65" w:rsidRPr="006870F1">
              <w:t>10.3 str. (hibridinis)</w:t>
            </w:r>
          </w:p>
        </w:tc>
      </w:tr>
      <w:tr w:rsidR="00B13D65" w:rsidRPr="00E33EFF" w14:paraId="310E9662" w14:textId="77777777" w:rsidTr="00B87B84">
        <w:trPr>
          <w:trHeight w:val="1035"/>
        </w:trPr>
        <w:tc>
          <w:tcPr>
            <w:tcW w:w="632" w:type="dxa"/>
          </w:tcPr>
          <w:p w14:paraId="4B5A91A2" w14:textId="561B5E5F" w:rsidR="00B13D65" w:rsidRPr="00E33EFF" w:rsidRDefault="00B13D65" w:rsidP="00824B92">
            <w:pPr>
              <w:rPr>
                <w:rFonts w:eastAsia="Arial"/>
              </w:rPr>
            </w:pPr>
            <w:r w:rsidRPr="00E33EFF">
              <w:rPr>
                <w:rFonts w:eastAsia="Arial"/>
              </w:rPr>
              <w:t>1.</w:t>
            </w:r>
            <w:r w:rsidR="002E0702" w:rsidRPr="00E33EFF">
              <w:rPr>
                <w:rFonts w:eastAsia="Arial"/>
              </w:rPr>
              <w:t>4</w:t>
            </w:r>
          </w:p>
        </w:tc>
        <w:tc>
          <w:tcPr>
            <w:tcW w:w="3694" w:type="dxa"/>
          </w:tcPr>
          <w:p w14:paraId="483071A3" w14:textId="2CB03165" w:rsidR="00B13D65" w:rsidRPr="00E33EFF" w:rsidRDefault="00B13D65" w:rsidP="00824B92">
            <w:pPr>
              <w:rPr>
                <w:bCs/>
                <w:color w:val="000000"/>
                <w:lang w:eastAsia="lt-LT"/>
              </w:rPr>
            </w:pPr>
            <w:r w:rsidRPr="00E33EFF">
              <w:rPr>
                <w:bCs/>
                <w:color w:val="000000"/>
                <w:lang w:eastAsia="lt-LT"/>
              </w:rPr>
              <w:t xml:space="preserve">Ar vaistinis preparatas įrašytas į Bendrijos retųjų vaistinių preparatų registrą? </w:t>
            </w:r>
          </w:p>
        </w:tc>
        <w:tc>
          <w:tcPr>
            <w:tcW w:w="5167" w:type="dxa"/>
          </w:tcPr>
          <w:p w14:paraId="05845C60" w14:textId="7060881F" w:rsidR="00B13D65" w:rsidRPr="00E33EFF" w:rsidRDefault="00530901" w:rsidP="00824B92">
            <w:sdt>
              <w:sdtPr>
                <w:rPr>
                  <w:rStyle w:val="Style2"/>
                  <w:sz w:val="24"/>
                </w:rPr>
                <w:id w:val="2024432173"/>
                <w15:color w:val="FFCC00"/>
                <w14:checkbox>
                  <w14:checked w14:val="0"/>
                  <w14:checkedState w14:val="2612" w14:font="MS Gothic"/>
                  <w14:uncheckedState w14:val="2610" w14:font="MS Gothic"/>
                </w14:checkbox>
              </w:sdtPr>
              <w:sdtEndPr>
                <w:rPr>
                  <w:rStyle w:val="Style2"/>
                </w:rPr>
              </w:sdtEndPr>
              <w:sdtContent>
                <w:r w:rsidR="004B001C">
                  <w:rPr>
                    <w:rStyle w:val="Style2"/>
                    <w:rFonts w:ascii="MS Gothic" w:eastAsia="MS Gothic" w:hAnsi="MS Gothic" w:hint="eastAsia"/>
                    <w:sz w:val="24"/>
                  </w:rPr>
                  <w:t>☐</w:t>
                </w:r>
              </w:sdtContent>
            </w:sdt>
            <w:r w:rsidR="00B13D65" w:rsidRPr="00E33EFF">
              <w:t xml:space="preserve"> Taip</w:t>
            </w:r>
          </w:p>
          <w:p w14:paraId="41D88067" w14:textId="50ED090B" w:rsidR="00B13D65" w:rsidRPr="00E33EFF" w:rsidRDefault="00530901" w:rsidP="00824B92">
            <w:sdt>
              <w:sdtPr>
                <w:rPr>
                  <w:rStyle w:val="Style2"/>
                  <w:sz w:val="24"/>
                </w:rPr>
                <w:id w:val="-970507926"/>
                <w15:color w:val="FFCC00"/>
                <w14:checkbox>
                  <w14:checked w14:val="1"/>
                  <w14:checkedState w14:val="2612" w14:font="MS Gothic"/>
                  <w14:uncheckedState w14:val="2610" w14:font="MS Gothic"/>
                </w14:checkbox>
              </w:sdtPr>
              <w:sdtEndPr>
                <w:rPr>
                  <w:rStyle w:val="Style2"/>
                </w:rPr>
              </w:sdtEndPr>
              <w:sdtContent>
                <w:r w:rsidR="004B001C">
                  <w:rPr>
                    <w:rStyle w:val="Style2"/>
                    <w:rFonts w:ascii="MS Gothic" w:eastAsia="MS Gothic" w:hAnsi="MS Gothic" w:hint="eastAsia"/>
                    <w:sz w:val="24"/>
                  </w:rPr>
                  <w:t>☒</w:t>
                </w:r>
              </w:sdtContent>
            </w:sdt>
            <w:r w:rsidR="00B13D65" w:rsidRPr="00E33EFF">
              <w:t xml:space="preserve"> Ne</w:t>
            </w:r>
          </w:p>
          <w:p w14:paraId="29C2CBBB" w14:textId="37BE5F4A" w:rsidR="00B13D65" w:rsidRPr="00E33EFF" w:rsidRDefault="00B13D65" w:rsidP="31357FE3"/>
        </w:tc>
      </w:tr>
      <w:tr w:rsidR="00D417D2" w:rsidRPr="00E33EFF" w14:paraId="7841E5F8" w14:textId="77777777" w:rsidTr="31357FE3">
        <w:trPr>
          <w:trHeight w:val="476"/>
        </w:trPr>
        <w:tc>
          <w:tcPr>
            <w:tcW w:w="632" w:type="dxa"/>
          </w:tcPr>
          <w:p w14:paraId="109D2861" w14:textId="73BF27DF" w:rsidR="00D417D2" w:rsidRPr="00E33EFF" w:rsidRDefault="00D417D2" w:rsidP="00824B92">
            <w:pPr>
              <w:rPr>
                <w:rFonts w:eastAsia="Arial"/>
              </w:rPr>
            </w:pPr>
            <w:r w:rsidRPr="00E33EFF">
              <w:rPr>
                <w:rFonts w:eastAsia="Arial"/>
              </w:rPr>
              <w:t>1.5</w:t>
            </w:r>
          </w:p>
        </w:tc>
        <w:tc>
          <w:tcPr>
            <w:tcW w:w="3694" w:type="dxa"/>
          </w:tcPr>
          <w:p w14:paraId="7822D63E" w14:textId="68C38334" w:rsidR="00D417D2" w:rsidRPr="00E33EFF" w:rsidRDefault="00D417D2" w:rsidP="00824B92">
            <w:pPr>
              <w:rPr>
                <w:bCs/>
                <w:color w:val="000000"/>
                <w:lang w:eastAsia="lt-LT"/>
              </w:rPr>
            </w:pPr>
            <w:r w:rsidRPr="00E33EFF">
              <w:t>STV paraiškos pobūdis</w:t>
            </w:r>
          </w:p>
        </w:tc>
        <w:tc>
          <w:tcPr>
            <w:tcW w:w="5167" w:type="dxa"/>
          </w:tcPr>
          <w:p w14:paraId="403461B9" w14:textId="0E3D3DB9" w:rsidR="00D417D2" w:rsidRPr="00E33EFF" w:rsidRDefault="00530901" w:rsidP="00824B92">
            <w:sdt>
              <w:sdtPr>
                <w:rPr>
                  <w:rStyle w:val="Style2"/>
                  <w:sz w:val="24"/>
                </w:rPr>
                <w:id w:val="-468433535"/>
                <w15:color w:val="FFCC00"/>
                <w14:checkbox>
                  <w14:checked w14:val="1"/>
                  <w14:checkedState w14:val="2612" w14:font="MS Gothic"/>
                  <w14:uncheckedState w14:val="2610" w14:font="MS Gothic"/>
                </w14:checkbox>
              </w:sdtPr>
              <w:sdtEndPr>
                <w:rPr>
                  <w:rStyle w:val="Style2"/>
                </w:rPr>
              </w:sdtEndPr>
              <w:sdtContent>
                <w:r w:rsidR="0045326F">
                  <w:rPr>
                    <w:rStyle w:val="Style2"/>
                    <w:rFonts w:ascii="MS Gothic" w:eastAsia="MS Gothic" w:hAnsi="MS Gothic" w:hint="eastAsia"/>
                    <w:sz w:val="24"/>
                  </w:rPr>
                  <w:t>☒</w:t>
                </w:r>
              </w:sdtContent>
            </w:sdt>
            <w:r w:rsidR="00D417D2" w:rsidRPr="00E33EFF">
              <w:t xml:space="preserve"> Pilna paraiška</w:t>
            </w:r>
          </w:p>
          <w:p w14:paraId="6B8213E3" w14:textId="3495CDF4" w:rsidR="00D417D2" w:rsidRPr="00E33EFF" w:rsidRDefault="00530901" w:rsidP="00824B92">
            <w:sdt>
              <w:sdtPr>
                <w:rPr>
                  <w:rStyle w:val="Style2"/>
                  <w:sz w:val="24"/>
                </w:rPr>
                <w:id w:val="-1489014904"/>
                <w15:color w:val="FFCC00"/>
                <w14:checkbox>
                  <w14:checked w14:val="0"/>
                  <w14:checkedState w14:val="2612" w14:font="MS Gothic"/>
                  <w14:uncheckedState w14:val="2610" w14:font="MS Gothic"/>
                </w14:checkbox>
              </w:sdtPr>
              <w:sdtEndPr>
                <w:rPr>
                  <w:rStyle w:val="Style2"/>
                </w:rPr>
              </w:sdtEndPr>
              <w:sdtContent>
                <w:r w:rsidR="00D417D2" w:rsidRPr="00E33EFF">
                  <w:rPr>
                    <w:rStyle w:val="Style2"/>
                    <w:rFonts w:ascii="MS Gothic" w:eastAsia="MS Gothic" w:hAnsi="MS Gothic" w:hint="eastAsia"/>
                    <w:sz w:val="24"/>
                  </w:rPr>
                  <w:t>☐</w:t>
                </w:r>
              </w:sdtContent>
            </w:sdt>
            <w:r w:rsidR="00D417D2" w:rsidRPr="00E33EFF">
              <w:t xml:space="preserve"> Supaprastinta paraiška</w:t>
            </w:r>
          </w:p>
        </w:tc>
      </w:tr>
      <w:tr w:rsidR="00B13D65" w:rsidRPr="00E33EFF" w14:paraId="274D1DAF" w14:textId="77777777" w:rsidTr="31357FE3">
        <w:trPr>
          <w:trHeight w:val="1545"/>
        </w:trPr>
        <w:tc>
          <w:tcPr>
            <w:tcW w:w="632" w:type="dxa"/>
          </w:tcPr>
          <w:p w14:paraId="17ABF217" w14:textId="14AC00D7" w:rsidR="00B13D65" w:rsidRPr="00E33EFF" w:rsidRDefault="00B13D65" w:rsidP="00824B92">
            <w:pPr>
              <w:rPr>
                <w:rFonts w:eastAsia="Arial"/>
              </w:rPr>
            </w:pPr>
            <w:r w:rsidRPr="00E33EFF">
              <w:rPr>
                <w:rFonts w:eastAsia="Arial"/>
              </w:rPr>
              <w:t>1.</w:t>
            </w:r>
            <w:r w:rsidR="00D417D2" w:rsidRPr="00E33EFF">
              <w:rPr>
                <w:rFonts w:eastAsia="Arial"/>
              </w:rPr>
              <w:t>6</w:t>
            </w:r>
          </w:p>
        </w:tc>
        <w:tc>
          <w:tcPr>
            <w:tcW w:w="3694" w:type="dxa"/>
          </w:tcPr>
          <w:p w14:paraId="4D49DBF5" w14:textId="77777777" w:rsidR="007656B2" w:rsidRPr="00E33EFF" w:rsidRDefault="00DE4484" w:rsidP="00824B92">
            <w:pPr>
              <w:rPr>
                <w:bCs/>
                <w:color w:val="000000"/>
                <w:lang w:eastAsia="lt-LT"/>
              </w:rPr>
            </w:pPr>
            <w:r w:rsidRPr="00E33EFF">
              <w:rPr>
                <w:bCs/>
                <w:color w:val="000000"/>
                <w:lang w:eastAsia="lt-LT"/>
              </w:rPr>
              <w:t>Par</w:t>
            </w:r>
            <w:r w:rsidR="007656B2" w:rsidRPr="00E33EFF">
              <w:rPr>
                <w:bCs/>
                <w:color w:val="000000"/>
                <w:lang w:eastAsia="lt-LT"/>
              </w:rPr>
              <w:t>eiškėjo t</w:t>
            </w:r>
            <w:r w:rsidR="00B13D65" w:rsidRPr="00E33EFF">
              <w:rPr>
                <w:bCs/>
                <w:color w:val="000000"/>
                <w:lang w:eastAsia="lt-LT"/>
              </w:rPr>
              <w:t>eikiama (-</w:t>
            </w:r>
            <w:proofErr w:type="spellStart"/>
            <w:r w:rsidR="00B13D65" w:rsidRPr="00E33EFF">
              <w:rPr>
                <w:bCs/>
                <w:color w:val="000000"/>
                <w:lang w:eastAsia="lt-LT"/>
              </w:rPr>
              <w:t>os</w:t>
            </w:r>
            <w:proofErr w:type="spellEnd"/>
            <w:r w:rsidR="00B13D65" w:rsidRPr="00E33EFF">
              <w:rPr>
                <w:bCs/>
                <w:color w:val="000000"/>
                <w:lang w:eastAsia="lt-LT"/>
              </w:rPr>
              <w:t>) kompensuoti vaistinio preparato indikacija (-</w:t>
            </w:r>
            <w:proofErr w:type="spellStart"/>
            <w:r w:rsidR="00B13D65" w:rsidRPr="00E33EFF">
              <w:rPr>
                <w:bCs/>
                <w:color w:val="000000"/>
                <w:lang w:eastAsia="lt-LT"/>
              </w:rPr>
              <w:t>os</w:t>
            </w:r>
            <w:proofErr w:type="spellEnd"/>
            <w:r w:rsidR="00B13D65" w:rsidRPr="00E33EFF">
              <w:rPr>
                <w:bCs/>
                <w:color w:val="000000"/>
                <w:lang w:eastAsia="lt-LT"/>
              </w:rPr>
              <w:t>)</w:t>
            </w:r>
          </w:p>
          <w:p w14:paraId="13473BFF" w14:textId="77777777" w:rsidR="00D2043F" w:rsidRDefault="00D2043F" w:rsidP="00824B92">
            <w:pPr>
              <w:rPr>
                <w:bCs/>
                <w:color w:val="000000"/>
                <w:lang w:eastAsia="lt-LT"/>
              </w:rPr>
            </w:pPr>
          </w:p>
          <w:p w14:paraId="41586E85" w14:textId="77777777" w:rsidR="006B47FE" w:rsidRDefault="006B47FE" w:rsidP="00824B92">
            <w:pPr>
              <w:rPr>
                <w:bCs/>
                <w:color w:val="000000"/>
                <w:lang w:eastAsia="lt-LT"/>
              </w:rPr>
            </w:pPr>
          </w:p>
          <w:p w14:paraId="6B4FEEC1" w14:textId="219E39D0" w:rsidR="00B13D65" w:rsidRPr="00E33EFF" w:rsidRDefault="007656B2" w:rsidP="00824B92">
            <w:pPr>
              <w:rPr>
                <w:bCs/>
                <w:color w:val="000000"/>
                <w:lang w:eastAsia="lt-LT"/>
              </w:rPr>
            </w:pPr>
            <w:r w:rsidRPr="00E33EFF">
              <w:rPr>
                <w:bCs/>
                <w:color w:val="000000"/>
                <w:lang w:eastAsia="lt-LT"/>
              </w:rPr>
              <w:t>K</w:t>
            </w:r>
            <w:r w:rsidR="00B13D65" w:rsidRPr="00E33EFF">
              <w:rPr>
                <w:bCs/>
                <w:color w:val="000000"/>
                <w:lang w:eastAsia="lt-LT"/>
              </w:rPr>
              <w:t>odas</w:t>
            </w:r>
            <w:r w:rsidRPr="00E33EFF">
              <w:rPr>
                <w:bCs/>
                <w:color w:val="000000"/>
                <w:lang w:eastAsia="lt-LT"/>
              </w:rPr>
              <w:t xml:space="preserve"> pagal TLK-10 AM</w:t>
            </w:r>
          </w:p>
        </w:tc>
        <w:tc>
          <w:tcPr>
            <w:tcW w:w="5167" w:type="dxa"/>
          </w:tcPr>
          <w:p w14:paraId="21B88015" w14:textId="77777777" w:rsidR="00B87B84" w:rsidRDefault="00B87B84" w:rsidP="00B87B84">
            <w:pPr>
              <w:pStyle w:val="Sraopastraipa"/>
              <w:spacing w:after="120"/>
              <w:ind w:left="0"/>
              <w:contextualSpacing w:val="0"/>
              <w:jc w:val="both"/>
              <w:rPr>
                <w:rFonts w:eastAsia="Arial"/>
                <w:color w:val="000000"/>
              </w:rPr>
            </w:pPr>
            <w:proofErr w:type="spellStart"/>
            <w:r w:rsidRPr="004C6EEC">
              <w:rPr>
                <w:rFonts w:eastAsia="Arial"/>
                <w:color w:val="000000"/>
              </w:rPr>
              <w:t>Alunbrig</w:t>
            </w:r>
            <w:proofErr w:type="spellEnd"/>
            <w:r w:rsidRPr="004C6EEC">
              <w:rPr>
                <w:rFonts w:eastAsia="Arial"/>
                <w:color w:val="000000"/>
              </w:rPr>
              <w:t xml:space="preserve"> kaip </w:t>
            </w:r>
            <w:proofErr w:type="spellStart"/>
            <w:r w:rsidRPr="004C6EEC">
              <w:rPr>
                <w:rFonts w:eastAsia="Arial"/>
                <w:color w:val="000000"/>
              </w:rPr>
              <w:t>monoterapija</w:t>
            </w:r>
            <w:proofErr w:type="spellEnd"/>
            <w:r w:rsidRPr="004C6EEC">
              <w:rPr>
                <w:rFonts w:eastAsia="Arial"/>
                <w:color w:val="000000"/>
              </w:rPr>
              <w:t xml:space="preserve"> skirtas gydyti teigiamu </w:t>
            </w:r>
            <w:proofErr w:type="spellStart"/>
            <w:r w:rsidRPr="004C6EEC">
              <w:rPr>
                <w:rFonts w:eastAsia="Arial"/>
                <w:color w:val="000000"/>
              </w:rPr>
              <w:t>anaplazinės</w:t>
            </w:r>
            <w:proofErr w:type="spellEnd"/>
            <w:r w:rsidRPr="004C6EEC">
              <w:rPr>
                <w:rFonts w:eastAsia="Arial"/>
                <w:color w:val="000000"/>
              </w:rPr>
              <w:t xml:space="preserve"> limfomos </w:t>
            </w:r>
            <w:proofErr w:type="spellStart"/>
            <w:r w:rsidRPr="004C6EEC">
              <w:rPr>
                <w:rFonts w:eastAsia="Arial"/>
                <w:color w:val="000000"/>
              </w:rPr>
              <w:t>kinazės</w:t>
            </w:r>
            <w:proofErr w:type="spellEnd"/>
            <w:r w:rsidRPr="004C6EEC">
              <w:rPr>
                <w:rFonts w:eastAsia="Arial"/>
                <w:color w:val="000000"/>
              </w:rPr>
              <w:t xml:space="preserve"> (ALK) atžvilgiu</w:t>
            </w:r>
            <w:r>
              <w:rPr>
                <w:rFonts w:eastAsia="Arial"/>
                <w:color w:val="000000"/>
              </w:rPr>
              <w:t xml:space="preserve"> </w:t>
            </w:r>
            <w:r w:rsidRPr="004C6EEC">
              <w:rPr>
                <w:rFonts w:eastAsia="Arial"/>
                <w:color w:val="000000"/>
              </w:rPr>
              <w:t>išplitusiu nesmulkiųjų ląstelių plaučių vėžiu (NSLPV) sergantiems suaugusiems pacientams, kurie</w:t>
            </w:r>
            <w:r>
              <w:rPr>
                <w:rFonts w:eastAsia="Arial"/>
                <w:color w:val="000000"/>
              </w:rPr>
              <w:t xml:space="preserve"> </w:t>
            </w:r>
            <w:r w:rsidRPr="004C6EEC">
              <w:rPr>
                <w:rFonts w:eastAsia="Arial"/>
                <w:color w:val="000000"/>
              </w:rPr>
              <w:t>anksčiau nebuvo gydyti ALK inhibitorium</w:t>
            </w:r>
            <w:r>
              <w:rPr>
                <w:rFonts w:eastAsia="Arial"/>
                <w:color w:val="000000"/>
              </w:rPr>
              <w:t>i.</w:t>
            </w:r>
          </w:p>
          <w:p w14:paraId="13F7DFB0" w14:textId="6AB1F7B6" w:rsidR="00B13D65" w:rsidRPr="00B87B84" w:rsidRDefault="00B87B84" w:rsidP="00B87B84">
            <w:pPr>
              <w:pStyle w:val="Sraopastraipa"/>
              <w:spacing w:after="120"/>
              <w:ind w:left="0"/>
              <w:contextualSpacing w:val="0"/>
              <w:jc w:val="both"/>
              <w:rPr>
                <w:lang w:val="en-US"/>
              </w:rPr>
            </w:pPr>
            <w:r>
              <w:t>C34</w:t>
            </w:r>
          </w:p>
        </w:tc>
      </w:tr>
      <w:tr w:rsidR="00B13D65" w:rsidRPr="00E33EFF" w14:paraId="2F79DC08" w14:textId="77777777" w:rsidTr="31357FE3">
        <w:trPr>
          <w:trHeight w:val="378"/>
        </w:trPr>
        <w:tc>
          <w:tcPr>
            <w:tcW w:w="632" w:type="dxa"/>
          </w:tcPr>
          <w:p w14:paraId="547885A2" w14:textId="08AA8055" w:rsidR="00B13D65" w:rsidRPr="00E33EFF" w:rsidRDefault="00B13D65" w:rsidP="00824B92">
            <w:pPr>
              <w:rPr>
                <w:rFonts w:eastAsia="Arial"/>
              </w:rPr>
            </w:pPr>
            <w:r w:rsidRPr="00E33EFF">
              <w:rPr>
                <w:rFonts w:eastAsia="Arial"/>
              </w:rPr>
              <w:t>1.</w:t>
            </w:r>
            <w:r w:rsidR="002E0702" w:rsidRPr="00E33EFF">
              <w:rPr>
                <w:rFonts w:eastAsia="Arial"/>
              </w:rPr>
              <w:t>6</w:t>
            </w:r>
          </w:p>
        </w:tc>
        <w:tc>
          <w:tcPr>
            <w:tcW w:w="3694" w:type="dxa"/>
          </w:tcPr>
          <w:p w14:paraId="2EAB877F" w14:textId="39A36941" w:rsidR="00B13D65" w:rsidRPr="00E33EFF" w:rsidRDefault="007656B2" w:rsidP="00824B92">
            <w:pPr>
              <w:rPr>
                <w:bCs/>
                <w:color w:val="000000"/>
                <w:u w:val="single"/>
                <w:lang w:eastAsia="lt-LT"/>
              </w:rPr>
            </w:pPr>
            <w:r w:rsidRPr="009C5586">
              <w:rPr>
                <w:color w:val="000000"/>
                <w:lang w:eastAsia="lt-LT"/>
              </w:rPr>
              <w:t>Pareiškėjo t</w:t>
            </w:r>
            <w:r w:rsidR="00B13D65" w:rsidRPr="009C5586">
              <w:rPr>
                <w:color w:val="000000"/>
                <w:lang w:eastAsia="lt-LT"/>
              </w:rPr>
              <w:t>eikiamos skyrimo sąlygos</w:t>
            </w:r>
            <w:r w:rsidR="005B3756" w:rsidRPr="00E33EFF">
              <w:rPr>
                <w:bCs/>
                <w:color w:val="000000"/>
                <w:lang w:eastAsia="lt-LT"/>
              </w:rPr>
              <w:t xml:space="preserve"> </w:t>
            </w:r>
          </w:p>
        </w:tc>
        <w:tc>
          <w:tcPr>
            <w:tcW w:w="5167" w:type="dxa"/>
          </w:tcPr>
          <w:p w14:paraId="0579DF58" w14:textId="77656A14" w:rsidR="00B13D65" w:rsidRPr="00B87B84" w:rsidRDefault="00B87B84" w:rsidP="00286873">
            <w:pPr>
              <w:jc w:val="both"/>
            </w:pPr>
            <w:proofErr w:type="spellStart"/>
            <w:r>
              <w:rPr>
                <w:lang w:val="en-US"/>
              </w:rPr>
              <w:t>Pagal</w:t>
            </w:r>
            <w:proofErr w:type="spellEnd"/>
            <w:r>
              <w:rPr>
                <w:lang w:val="en-US"/>
              </w:rPr>
              <w:t xml:space="preserve"> </w:t>
            </w:r>
            <w:proofErr w:type="spellStart"/>
            <w:r>
              <w:rPr>
                <w:lang w:val="en-US"/>
              </w:rPr>
              <w:t>registruot</w:t>
            </w:r>
            <w:proofErr w:type="spellEnd"/>
            <w:r>
              <w:t xml:space="preserve">ą </w:t>
            </w:r>
            <w:r w:rsidR="006B47FE">
              <w:t xml:space="preserve">terapinę </w:t>
            </w:r>
            <w:r>
              <w:t>indikaciją.</w:t>
            </w:r>
          </w:p>
        </w:tc>
      </w:tr>
      <w:tr w:rsidR="00B13D65" w:rsidRPr="00E33EFF" w14:paraId="3B125269" w14:textId="77777777" w:rsidTr="31357FE3">
        <w:trPr>
          <w:trHeight w:val="378"/>
        </w:trPr>
        <w:tc>
          <w:tcPr>
            <w:tcW w:w="632" w:type="dxa"/>
          </w:tcPr>
          <w:p w14:paraId="0058E11F" w14:textId="77777777" w:rsidR="00B13D65" w:rsidRPr="00E33EFF" w:rsidRDefault="00B13D65" w:rsidP="00824B92">
            <w:pPr>
              <w:rPr>
                <w:rFonts w:eastAsia="Arial"/>
              </w:rPr>
            </w:pPr>
            <w:r w:rsidRPr="00E33EFF">
              <w:rPr>
                <w:rFonts w:eastAsia="Arial"/>
              </w:rPr>
              <w:t>1.7</w:t>
            </w:r>
          </w:p>
        </w:tc>
        <w:tc>
          <w:tcPr>
            <w:tcW w:w="3694" w:type="dxa"/>
          </w:tcPr>
          <w:p w14:paraId="738E1926" w14:textId="428A2F47" w:rsidR="00B13D65" w:rsidRDefault="007656B2" w:rsidP="00824B92">
            <w:pPr>
              <w:rPr>
                <w:bCs/>
                <w:color w:val="000000"/>
                <w:lang w:eastAsia="lt-LT"/>
              </w:rPr>
            </w:pPr>
            <w:r w:rsidRPr="00E33EFF">
              <w:rPr>
                <w:bCs/>
                <w:color w:val="000000"/>
                <w:lang w:eastAsia="lt-LT"/>
              </w:rPr>
              <w:t>Pareiškėjo teikiamas p</w:t>
            </w:r>
            <w:r w:rsidR="00B13D65" w:rsidRPr="00E33EFF">
              <w:rPr>
                <w:bCs/>
                <w:color w:val="000000"/>
                <w:lang w:eastAsia="lt-LT"/>
              </w:rPr>
              <w:t>alyginamasis</w:t>
            </w:r>
            <w:r w:rsidR="005B3756" w:rsidRPr="00E33EFF">
              <w:rPr>
                <w:bCs/>
                <w:color w:val="000000"/>
                <w:lang w:eastAsia="lt-LT"/>
              </w:rPr>
              <w:t xml:space="preserve"> </w:t>
            </w:r>
            <w:r w:rsidR="00B13D65" w:rsidRPr="00E33EFF">
              <w:rPr>
                <w:bCs/>
                <w:color w:val="000000"/>
                <w:lang w:eastAsia="lt-LT"/>
              </w:rPr>
              <w:t xml:space="preserve">gydymas </w:t>
            </w:r>
          </w:p>
          <w:p w14:paraId="4A449E91" w14:textId="1CF60AF8" w:rsidR="000A3A69" w:rsidRDefault="000A3A69" w:rsidP="00824B92">
            <w:pPr>
              <w:rPr>
                <w:bCs/>
                <w:color w:val="000000"/>
                <w:lang w:eastAsia="lt-LT"/>
              </w:rPr>
            </w:pPr>
            <w:r>
              <w:rPr>
                <w:bCs/>
                <w:color w:val="000000"/>
                <w:lang w:eastAsia="lt-LT"/>
              </w:rPr>
              <w:lastRenderedPageBreak/>
              <w:t xml:space="preserve">Tiesioginis palyginimas su </w:t>
            </w:r>
            <w:proofErr w:type="spellStart"/>
            <w:r>
              <w:rPr>
                <w:bCs/>
                <w:color w:val="000000"/>
                <w:lang w:eastAsia="lt-LT"/>
              </w:rPr>
              <w:t>krizotinibu</w:t>
            </w:r>
            <w:proofErr w:type="spellEnd"/>
          </w:p>
          <w:p w14:paraId="260F9E11" w14:textId="5784A837" w:rsidR="000A3A69" w:rsidRPr="00E33EFF" w:rsidRDefault="000A3A69" w:rsidP="00824B92">
            <w:pPr>
              <w:rPr>
                <w:bCs/>
                <w:color w:val="000000"/>
                <w:lang w:eastAsia="lt-LT"/>
              </w:rPr>
            </w:pPr>
            <w:r>
              <w:rPr>
                <w:bCs/>
                <w:color w:val="000000"/>
                <w:lang w:eastAsia="lt-LT"/>
              </w:rPr>
              <w:t xml:space="preserve">Netiesioginis palyginimas su </w:t>
            </w:r>
            <w:proofErr w:type="spellStart"/>
            <w:r>
              <w:rPr>
                <w:bCs/>
                <w:color w:val="000000"/>
                <w:lang w:eastAsia="lt-LT"/>
              </w:rPr>
              <w:t>ceretinibu</w:t>
            </w:r>
            <w:proofErr w:type="spellEnd"/>
            <w:r>
              <w:rPr>
                <w:bCs/>
                <w:color w:val="000000"/>
                <w:lang w:eastAsia="lt-LT"/>
              </w:rPr>
              <w:t xml:space="preserve"> i</w:t>
            </w:r>
            <w:r w:rsidR="00971E3B">
              <w:rPr>
                <w:bCs/>
                <w:color w:val="000000"/>
                <w:lang w:eastAsia="lt-LT"/>
              </w:rPr>
              <w:t>r</w:t>
            </w:r>
            <w:r>
              <w:rPr>
                <w:bCs/>
                <w:color w:val="000000"/>
                <w:lang w:eastAsia="lt-LT"/>
              </w:rPr>
              <w:t xml:space="preserve"> </w:t>
            </w:r>
            <w:proofErr w:type="spellStart"/>
            <w:r>
              <w:rPr>
                <w:bCs/>
                <w:color w:val="000000"/>
                <w:lang w:eastAsia="lt-LT"/>
              </w:rPr>
              <w:t>alektinibu</w:t>
            </w:r>
            <w:proofErr w:type="spellEnd"/>
          </w:p>
          <w:p w14:paraId="6CC1022E" w14:textId="2B6BCEE1" w:rsidR="009F4D66" w:rsidRPr="00E33EFF" w:rsidRDefault="009F4D66" w:rsidP="00824B92">
            <w:pPr>
              <w:rPr>
                <w:bCs/>
                <w:color w:val="000000"/>
                <w:lang w:eastAsia="lt-LT"/>
              </w:rPr>
            </w:pPr>
          </w:p>
        </w:tc>
        <w:tc>
          <w:tcPr>
            <w:tcW w:w="5167" w:type="dxa"/>
          </w:tcPr>
          <w:p w14:paraId="1F113AC0" w14:textId="2CF14144" w:rsidR="009F4D66" w:rsidRPr="00E33EFF" w:rsidRDefault="00530901" w:rsidP="00824B92">
            <w:sdt>
              <w:sdtPr>
                <w:rPr>
                  <w:rStyle w:val="Style2"/>
                  <w:sz w:val="24"/>
                </w:rPr>
                <w:id w:val="1480955706"/>
                <w15:color w:val="FFCC00"/>
                <w14:checkbox>
                  <w14:checked w14:val="1"/>
                  <w14:checkedState w14:val="2612" w14:font="MS Gothic"/>
                  <w14:uncheckedState w14:val="2610" w14:font="MS Gothic"/>
                </w14:checkbox>
              </w:sdtPr>
              <w:sdtEndPr>
                <w:rPr>
                  <w:rStyle w:val="Style2"/>
                </w:rPr>
              </w:sdtEndPr>
              <w:sdtContent>
                <w:r w:rsidR="00A67196">
                  <w:rPr>
                    <w:rStyle w:val="Style2"/>
                    <w:rFonts w:ascii="MS Gothic" w:eastAsia="MS Gothic" w:hAnsi="MS Gothic" w:hint="eastAsia"/>
                    <w:sz w:val="24"/>
                  </w:rPr>
                  <w:t>☒</w:t>
                </w:r>
              </w:sdtContent>
            </w:sdt>
            <w:r w:rsidR="009F4D66" w:rsidRPr="00E33EFF">
              <w:t xml:space="preserve"> Tinkamas</w:t>
            </w:r>
          </w:p>
          <w:p w14:paraId="498C3F38" w14:textId="77777777" w:rsidR="00B13D65" w:rsidRDefault="00530901" w:rsidP="00824B92">
            <w:sdt>
              <w:sdtPr>
                <w:rPr>
                  <w:rStyle w:val="Style2"/>
                  <w:sz w:val="24"/>
                </w:rPr>
                <w:id w:val="-352420698"/>
                <w15:color w:val="FFCC00"/>
                <w14:checkbox>
                  <w14:checked w14:val="0"/>
                  <w14:checkedState w14:val="2612" w14:font="MS Gothic"/>
                  <w14:uncheckedState w14:val="2610" w14:font="MS Gothic"/>
                </w14:checkbox>
              </w:sdtPr>
              <w:sdtEndPr>
                <w:rPr>
                  <w:rStyle w:val="Style2"/>
                </w:rPr>
              </w:sdtEndPr>
              <w:sdtContent>
                <w:r w:rsidR="00A67196">
                  <w:rPr>
                    <w:rStyle w:val="Style2"/>
                    <w:rFonts w:ascii="MS Gothic" w:eastAsia="MS Gothic" w:hAnsi="MS Gothic" w:hint="eastAsia"/>
                    <w:sz w:val="24"/>
                  </w:rPr>
                  <w:t>☐</w:t>
                </w:r>
              </w:sdtContent>
            </w:sdt>
            <w:r w:rsidR="009F4D66" w:rsidRPr="00E33EFF">
              <w:t xml:space="preserve"> Netinkama</w:t>
            </w:r>
            <w:r w:rsidR="009F6B35">
              <w:t>s</w:t>
            </w:r>
          </w:p>
          <w:p w14:paraId="27FDD952" w14:textId="77777777" w:rsidR="001D254D" w:rsidRDefault="001D254D" w:rsidP="00824B92"/>
          <w:p w14:paraId="0FC5C9C7" w14:textId="77777777" w:rsidR="001D254D" w:rsidRPr="00E33EFF" w:rsidRDefault="00530901" w:rsidP="001D254D">
            <w:sdt>
              <w:sdtPr>
                <w:rPr>
                  <w:rStyle w:val="Style2"/>
                  <w:sz w:val="24"/>
                </w:rPr>
                <w:id w:val="1460600336"/>
                <w15:color w:val="FFCC00"/>
                <w14:checkbox>
                  <w14:checked w14:val="1"/>
                  <w14:checkedState w14:val="2612" w14:font="MS Gothic"/>
                  <w14:uncheckedState w14:val="2610" w14:font="MS Gothic"/>
                </w14:checkbox>
              </w:sdtPr>
              <w:sdtEndPr>
                <w:rPr>
                  <w:rStyle w:val="Style2"/>
                </w:rPr>
              </w:sdtEndPr>
              <w:sdtContent>
                <w:r w:rsidR="001D254D">
                  <w:rPr>
                    <w:rStyle w:val="Style2"/>
                    <w:rFonts w:ascii="MS Gothic" w:eastAsia="MS Gothic" w:hAnsi="MS Gothic" w:hint="eastAsia"/>
                    <w:sz w:val="24"/>
                  </w:rPr>
                  <w:t>☒</w:t>
                </w:r>
              </w:sdtContent>
            </w:sdt>
            <w:r w:rsidR="001D254D" w:rsidRPr="00E33EFF">
              <w:t xml:space="preserve"> Tinkamas</w:t>
            </w:r>
          </w:p>
          <w:p w14:paraId="41B44044" w14:textId="31DA9110" w:rsidR="001D254D" w:rsidRPr="00E33EFF" w:rsidRDefault="00530901" w:rsidP="001D254D">
            <w:sdt>
              <w:sdtPr>
                <w:rPr>
                  <w:rStyle w:val="Style2"/>
                  <w:sz w:val="24"/>
                </w:rPr>
                <w:id w:val="183335320"/>
                <w15:color w:val="FFCC00"/>
                <w14:checkbox>
                  <w14:checked w14:val="0"/>
                  <w14:checkedState w14:val="2612" w14:font="MS Gothic"/>
                  <w14:uncheckedState w14:val="2610" w14:font="MS Gothic"/>
                </w14:checkbox>
              </w:sdtPr>
              <w:sdtEndPr>
                <w:rPr>
                  <w:rStyle w:val="Style2"/>
                </w:rPr>
              </w:sdtEndPr>
              <w:sdtContent>
                <w:r w:rsidR="001D254D">
                  <w:rPr>
                    <w:rStyle w:val="Style2"/>
                    <w:rFonts w:ascii="MS Gothic" w:eastAsia="MS Gothic" w:hAnsi="MS Gothic" w:hint="eastAsia"/>
                    <w:sz w:val="24"/>
                  </w:rPr>
                  <w:t>☐</w:t>
                </w:r>
              </w:sdtContent>
            </w:sdt>
            <w:r w:rsidR="001D254D" w:rsidRPr="00E33EFF">
              <w:t xml:space="preserve"> Netinkama</w:t>
            </w:r>
            <w:r w:rsidR="001D254D">
              <w:t>s</w:t>
            </w:r>
          </w:p>
        </w:tc>
      </w:tr>
    </w:tbl>
    <w:p w14:paraId="108176F7" w14:textId="640C6F75" w:rsidR="00F70C9E" w:rsidRPr="00E33EFF" w:rsidRDefault="00F70C9E" w:rsidP="00E03C3F">
      <w:pPr>
        <w:pStyle w:val="Sraopastraipa"/>
        <w:tabs>
          <w:tab w:val="left" w:pos="426"/>
        </w:tabs>
        <w:ind w:left="0"/>
        <w:rPr>
          <w:b/>
          <w:bCs/>
          <w:caps/>
        </w:rPr>
      </w:pPr>
    </w:p>
    <w:p w14:paraId="2871CA7F" w14:textId="2370BDDB" w:rsidR="00F70C9E" w:rsidRPr="00E33EFF" w:rsidRDefault="00F70C9E" w:rsidP="00880A44">
      <w:pPr>
        <w:spacing w:line="276" w:lineRule="auto"/>
        <w:jc w:val="both"/>
        <w:rPr>
          <w:rFonts w:eastAsia="Arial"/>
          <w:b/>
        </w:rPr>
      </w:pPr>
      <w:r w:rsidRPr="00E33EFF">
        <w:rPr>
          <w:rFonts w:eastAsia="Arial"/>
          <w:b/>
        </w:rPr>
        <w:t xml:space="preserve">1.8 Kitų </w:t>
      </w:r>
      <w:r w:rsidR="00DF583C" w:rsidRPr="00E33EFF">
        <w:rPr>
          <w:rFonts w:eastAsia="Arial"/>
          <w:b/>
        </w:rPr>
        <w:t xml:space="preserve">valstybių </w:t>
      </w:r>
      <w:r w:rsidRPr="00E33EFF">
        <w:rPr>
          <w:rFonts w:eastAsia="Arial"/>
          <w:b/>
        </w:rPr>
        <w:t xml:space="preserve">atsakingų institucijų atlikto </w:t>
      </w:r>
      <w:r w:rsidR="00DF583C" w:rsidRPr="00E33EFF">
        <w:rPr>
          <w:rFonts w:eastAsia="Arial"/>
          <w:b/>
        </w:rPr>
        <w:t>Sveikatos technologijų vertinimo (toliau – STV)</w:t>
      </w:r>
      <w:r w:rsidRPr="00E33EFF">
        <w:rPr>
          <w:rFonts w:eastAsia="Arial"/>
          <w:b/>
        </w:rPr>
        <w:t xml:space="preserve"> išvados</w:t>
      </w:r>
    </w:p>
    <w:p w14:paraId="30721FDD" w14:textId="77777777" w:rsidR="00F70C9E" w:rsidRPr="00E33EFF" w:rsidRDefault="00F70C9E" w:rsidP="00F70C9E">
      <w:pPr>
        <w:spacing w:line="276" w:lineRule="auto"/>
        <w:rPr>
          <w:rFonts w:eastAsia="Arial"/>
        </w:rPr>
      </w:pPr>
    </w:p>
    <w:tbl>
      <w:tblPr>
        <w:tblStyle w:val="Lentelstinklelis"/>
        <w:tblW w:w="9918" w:type="dxa"/>
        <w:tblLook w:val="04A0" w:firstRow="1" w:lastRow="0" w:firstColumn="1" w:lastColumn="0" w:noHBand="0" w:noVBand="1"/>
      </w:tblPr>
      <w:tblGrid>
        <w:gridCol w:w="2927"/>
        <w:gridCol w:w="1915"/>
        <w:gridCol w:w="2351"/>
        <w:gridCol w:w="2725"/>
      </w:tblGrid>
      <w:tr w:rsidR="00B87B84" w:rsidRPr="00D05364" w14:paraId="5F11B5B5" w14:textId="77777777" w:rsidTr="00EB114F">
        <w:trPr>
          <w:trHeight w:val="924"/>
        </w:trPr>
        <w:tc>
          <w:tcPr>
            <w:tcW w:w="2927" w:type="dxa"/>
          </w:tcPr>
          <w:p w14:paraId="45814C6A" w14:textId="77777777" w:rsidR="00B87B84" w:rsidRPr="00D05364" w:rsidRDefault="00B87B84" w:rsidP="00EB114F">
            <w:pPr>
              <w:spacing w:line="276" w:lineRule="auto"/>
              <w:rPr>
                <w:rFonts w:eastAsia="Arial"/>
              </w:rPr>
            </w:pPr>
            <w:r w:rsidRPr="00D05364">
              <w:rPr>
                <w:rFonts w:eastAsia="Arial"/>
              </w:rPr>
              <w:t>STV agentūros pavadinimas, šalis</w:t>
            </w:r>
          </w:p>
        </w:tc>
        <w:tc>
          <w:tcPr>
            <w:tcW w:w="1915" w:type="dxa"/>
          </w:tcPr>
          <w:p w14:paraId="0C5D63D1" w14:textId="77777777" w:rsidR="00B87B84" w:rsidRPr="00D05364" w:rsidRDefault="00B87B84" w:rsidP="00EB114F">
            <w:pPr>
              <w:spacing w:line="276" w:lineRule="auto"/>
              <w:rPr>
                <w:rFonts w:eastAsia="Arial"/>
              </w:rPr>
            </w:pPr>
            <w:r w:rsidRPr="00D05364">
              <w:rPr>
                <w:rFonts w:eastAsia="Arial"/>
              </w:rPr>
              <w:t>STV vertinimas atliktas</w:t>
            </w:r>
          </w:p>
        </w:tc>
        <w:tc>
          <w:tcPr>
            <w:tcW w:w="2351" w:type="dxa"/>
          </w:tcPr>
          <w:p w14:paraId="75CAF7AE" w14:textId="77777777" w:rsidR="00B87B84" w:rsidRPr="00D05364" w:rsidRDefault="00B87B84" w:rsidP="00EB114F">
            <w:pPr>
              <w:spacing w:line="276" w:lineRule="auto"/>
              <w:rPr>
                <w:rFonts w:eastAsia="Arial"/>
              </w:rPr>
            </w:pPr>
            <w:r w:rsidRPr="00D05364">
              <w:rPr>
                <w:rFonts w:eastAsia="Arial"/>
              </w:rPr>
              <w:t>Klinikinio vertinimo išvada</w:t>
            </w:r>
          </w:p>
        </w:tc>
        <w:tc>
          <w:tcPr>
            <w:tcW w:w="2725" w:type="dxa"/>
          </w:tcPr>
          <w:p w14:paraId="068CB53E" w14:textId="77777777" w:rsidR="00B87B84" w:rsidRPr="00D05364" w:rsidRDefault="00B87B84" w:rsidP="00EB114F">
            <w:pPr>
              <w:spacing w:line="276" w:lineRule="auto"/>
              <w:rPr>
                <w:rFonts w:eastAsia="Arial"/>
              </w:rPr>
            </w:pPr>
            <w:proofErr w:type="spellStart"/>
            <w:r w:rsidRPr="00C12779">
              <w:rPr>
                <w:rFonts w:eastAsia="Arial"/>
              </w:rPr>
              <w:t>Farmakoekonominio</w:t>
            </w:r>
            <w:proofErr w:type="spellEnd"/>
            <w:r w:rsidRPr="00C12779">
              <w:rPr>
                <w:rFonts w:eastAsia="Arial"/>
              </w:rPr>
              <w:t xml:space="preserve"> vertinimo išvada</w:t>
            </w:r>
          </w:p>
        </w:tc>
      </w:tr>
      <w:tr w:rsidR="00C12779" w:rsidRPr="00D05364" w14:paraId="4B5C947E" w14:textId="77777777" w:rsidTr="00EB114F">
        <w:trPr>
          <w:trHeight w:val="1765"/>
        </w:trPr>
        <w:tc>
          <w:tcPr>
            <w:tcW w:w="2927" w:type="dxa"/>
          </w:tcPr>
          <w:p w14:paraId="4574C4B5" w14:textId="77777777" w:rsidR="00C12779" w:rsidRPr="00D05364" w:rsidRDefault="00C12779" w:rsidP="00C12779">
            <w:pPr>
              <w:autoSpaceDE w:val="0"/>
              <w:autoSpaceDN w:val="0"/>
              <w:adjustRightInd w:val="0"/>
              <w:rPr>
                <w:bCs/>
              </w:rPr>
            </w:pPr>
            <w:r w:rsidRPr="00D05364">
              <w:rPr>
                <w:bCs/>
              </w:rPr>
              <w:t>Nacionalinis sveikatos ir klinikinės kompetencijos institutas, Didžioji Britanija</w:t>
            </w:r>
          </w:p>
          <w:p w14:paraId="2BAB396F" w14:textId="77777777" w:rsidR="00C12779" w:rsidRPr="00D05364" w:rsidRDefault="00C12779" w:rsidP="00C12779">
            <w:pPr>
              <w:spacing w:line="276" w:lineRule="auto"/>
              <w:rPr>
                <w:rFonts w:eastAsia="Arial"/>
              </w:rPr>
            </w:pPr>
            <w:r w:rsidRPr="00D05364">
              <w:rPr>
                <w:rFonts w:eastAsia="Arial"/>
              </w:rPr>
              <w:t xml:space="preserve">(angl. </w:t>
            </w:r>
            <w:proofErr w:type="spellStart"/>
            <w:r w:rsidRPr="00D05364">
              <w:rPr>
                <w:rFonts w:eastAsia="Arial"/>
                <w:i/>
              </w:rPr>
              <w:t>National</w:t>
            </w:r>
            <w:proofErr w:type="spellEnd"/>
            <w:r w:rsidRPr="00D05364">
              <w:rPr>
                <w:rFonts w:eastAsia="Arial"/>
                <w:i/>
              </w:rPr>
              <w:t xml:space="preserve"> Institute </w:t>
            </w:r>
            <w:proofErr w:type="spellStart"/>
            <w:r w:rsidRPr="00D05364">
              <w:rPr>
                <w:rFonts w:eastAsia="Arial"/>
                <w:i/>
              </w:rPr>
              <w:t>for</w:t>
            </w:r>
            <w:proofErr w:type="spellEnd"/>
            <w:r w:rsidRPr="00D05364">
              <w:rPr>
                <w:rFonts w:eastAsia="Arial"/>
                <w:i/>
              </w:rPr>
              <w:t xml:space="preserve"> </w:t>
            </w:r>
            <w:proofErr w:type="spellStart"/>
            <w:r w:rsidRPr="00D05364">
              <w:rPr>
                <w:rFonts w:eastAsia="Arial"/>
                <w:i/>
              </w:rPr>
              <w:t>Health</w:t>
            </w:r>
            <w:proofErr w:type="spellEnd"/>
            <w:r w:rsidRPr="00D05364">
              <w:rPr>
                <w:rFonts w:eastAsia="Arial"/>
                <w:i/>
              </w:rPr>
              <w:t xml:space="preserve"> </w:t>
            </w:r>
            <w:proofErr w:type="spellStart"/>
            <w:r w:rsidRPr="00D05364">
              <w:rPr>
                <w:rFonts w:eastAsia="Arial"/>
                <w:i/>
              </w:rPr>
              <w:t>and</w:t>
            </w:r>
            <w:proofErr w:type="spellEnd"/>
            <w:r w:rsidRPr="00D05364">
              <w:rPr>
                <w:rFonts w:eastAsia="Arial"/>
                <w:i/>
              </w:rPr>
              <w:t xml:space="preserve"> Care </w:t>
            </w:r>
            <w:proofErr w:type="spellStart"/>
            <w:r w:rsidRPr="00D05364">
              <w:rPr>
                <w:rFonts w:eastAsia="Arial"/>
                <w:i/>
              </w:rPr>
              <w:t>Excellence</w:t>
            </w:r>
            <w:proofErr w:type="spellEnd"/>
            <w:r w:rsidRPr="00D05364">
              <w:rPr>
                <w:rFonts w:eastAsia="Arial"/>
                <w:i/>
              </w:rPr>
              <w:t>, NICE</w:t>
            </w:r>
            <w:r w:rsidRPr="00D05364">
              <w:rPr>
                <w:rFonts w:eastAsia="Arial"/>
              </w:rPr>
              <w:t>)</w:t>
            </w:r>
          </w:p>
        </w:tc>
        <w:tc>
          <w:tcPr>
            <w:tcW w:w="1915" w:type="dxa"/>
          </w:tcPr>
          <w:p w14:paraId="62C71D75" w14:textId="77777777" w:rsidR="00C12779" w:rsidRPr="00D05364" w:rsidRDefault="00530901" w:rsidP="00C12779">
            <w:sdt>
              <w:sdtPr>
                <w:rPr>
                  <w:rStyle w:val="Style2"/>
                </w:rPr>
                <w:id w:val="1558205022"/>
                <w15:color w:val="FFCC00"/>
                <w14:checkbox>
                  <w14:checked w14:val="1"/>
                  <w14:checkedState w14:val="2612" w14:font="MS Gothic"/>
                  <w14:uncheckedState w14:val="2610" w14:font="MS Gothic"/>
                </w14:checkbox>
              </w:sdtPr>
              <w:sdtEndPr>
                <w:rPr>
                  <w:rStyle w:val="Style2"/>
                </w:rPr>
              </w:sdtEndPr>
              <w:sdtContent>
                <w:r w:rsidR="00C12779">
                  <w:rPr>
                    <w:rStyle w:val="Style2"/>
                    <w:rFonts w:ascii="MS Gothic" w:eastAsia="MS Gothic" w:hAnsi="MS Gothic" w:hint="eastAsia"/>
                  </w:rPr>
                  <w:t>☒</w:t>
                </w:r>
              </w:sdtContent>
            </w:sdt>
            <w:r w:rsidR="00C12779" w:rsidRPr="00D05364">
              <w:t xml:space="preserve"> Taip</w:t>
            </w:r>
          </w:p>
          <w:p w14:paraId="0BC1EBF2" w14:textId="77777777" w:rsidR="00C12779" w:rsidRPr="00D05364" w:rsidRDefault="00530901" w:rsidP="00C12779">
            <w:sdt>
              <w:sdtPr>
                <w:rPr>
                  <w:rStyle w:val="Style2"/>
                </w:rPr>
                <w:id w:val="866029625"/>
                <w15:color w:val="FFCC00"/>
                <w14:checkbox>
                  <w14:checked w14:val="0"/>
                  <w14:checkedState w14:val="2612" w14:font="MS Gothic"/>
                  <w14:uncheckedState w14:val="2610" w14:font="MS Gothic"/>
                </w14:checkbox>
              </w:sdtPr>
              <w:sdtEndPr>
                <w:rPr>
                  <w:rStyle w:val="Style2"/>
                </w:rPr>
              </w:sdtEndPr>
              <w:sdtContent>
                <w:r w:rsidR="00C12779" w:rsidRPr="00D05364">
                  <w:rPr>
                    <w:rStyle w:val="Style2"/>
                    <w:rFonts w:ascii="MS Gothic" w:eastAsia="MS Gothic" w:hAnsi="MS Gothic" w:hint="eastAsia"/>
                  </w:rPr>
                  <w:t>☐</w:t>
                </w:r>
              </w:sdtContent>
            </w:sdt>
            <w:r w:rsidR="00C12779" w:rsidRPr="00D05364">
              <w:t xml:space="preserve"> Ne</w:t>
            </w:r>
          </w:p>
          <w:p w14:paraId="29855F9C" w14:textId="77777777" w:rsidR="00C12779" w:rsidRPr="00D05364" w:rsidRDefault="00530901" w:rsidP="00C12779">
            <w:pPr>
              <w:rPr>
                <w:rFonts w:eastAsia="Arial"/>
              </w:rPr>
            </w:pPr>
            <w:sdt>
              <w:sdtPr>
                <w:alias w:val="Nurodykite konkrečią dieną"/>
                <w:tag w:val="Nurodykite pradžios datą"/>
                <w:id w:val="922837954"/>
                <w:placeholder>
                  <w:docPart w:val="312D2F5BAE5640B3954AAD05D41316BB"/>
                </w:placeholder>
                <w15:color w:val="FFCC99"/>
                <w:date w:fullDate="2021-01-27T00:00:00Z">
                  <w:dateFormat w:val="yyyy 'm.' MMMM d 'd.'"/>
                  <w:lid w:val="lt-LT"/>
                  <w:storeMappedDataAs w:val="dateTime"/>
                  <w:calendar w:val="gregorian"/>
                </w:date>
              </w:sdtPr>
              <w:sdtEndPr/>
              <w:sdtContent>
                <w:r w:rsidR="00C12779">
                  <w:t>2021 m. sausio 27 d.</w:t>
                </w:r>
              </w:sdtContent>
            </w:sdt>
          </w:p>
        </w:tc>
        <w:tc>
          <w:tcPr>
            <w:tcW w:w="2351" w:type="dxa"/>
          </w:tcPr>
          <w:p w14:paraId="7CB19C17" w14:textId="77777777" w:rsidR="00C12779" w:rsidRPr="00D05364" w:rsidRDefault="00C12779" w:rsidP="00C12779">
            <w:pPr>
              <w:spacing w:line="276" w:lineRule="auto"/>
              <w:rPr>
                <w:rFonts w:eastAsia="Arial"/>
              </w:rPr>
            </w:pPr>
            <w:r>
              <w:rPr>
                <w:rFonts w:eastAsia="Arial"/>
              </w:rPr>
              <w:t xml:space="preserve">Rekomenduojama kaip dar viena gydymo galimybė </w:t>
            </w:r>
            <w:r w:rsidRPr="004C6EEC">
              <w:rPr>
                <w:rFonts w:eastAsia="Arial"/>
                <w:color w:val="000000"/>
              </w:rPr>
              <w:t xml:space="preserve">teigiamu </w:t>
            </w:r>
            <w:proofErr w:type="spellStart"/>
            <w:r w:rsidRPr="004C6EEC">
              <w:rPr>
                <w:rFonts w:eastAsia="Arial"/>
                <w:color w:val="000000"/>
              </w:rPr>
              <w:t>anaplazinės</w:t>
            </w:r>
            <w:proofErr w:type="spellEnd"/>
            <w:r w:rsidRPr="004C6EEC">
              <w:rPr>
                <w:rFonts w:eastAsia="Arial"/>
                <w:color w:val="000000"/>
              </w:rPr>
              <w:t xml:space="preserve"> limfomos </w:t>
            </w:r>
            <w:proofErr w:type="spellStart"/>
            <w:r w:rsidRPr="004C6EEC">
              <w:rPr>
                <w:rFonts w:eastAsia="Arial"/>
                <w:color w:val="000000"/>
              </w:rPr>
              <w:t>kinazės</w:t>
            </w:r>
            <w:proofErr w:type="spellEnd"/>
            <w:r w:rsidRPr="004C6EEC">
              <w:rPr>
                <w:rFonts w:eastAsia="Arial"/>
                <w:color w:val="000000"/>
              </w:rPr>
              <w:t xml:space="preserve"> (ALK) atžvilgiu</w:t>
            </w:r>
            <w:r>
              <w:rPr>
                <w:rFonts w:eastAsia="Arial"/>
                <w:color w:val="000000"/>
              </w:rPr>
              <w:t xml:space="preserve"> </w:t>
            </w:r>
            <w:r w:rsidRPr="004C6EEC">
              <w:rPr>
                <w:rFonts w:eastAsia="Arial"/>
                <w:color w:val="000000"/>
              </w:rPr>
              <w:t>išplitusiu nesmulkiųjų ląstelių plaučių vėžiu (NSLPV) sergantiems suaugusiems pacientams, kurie</w:t>
            </w:r>
            <w:r>
              <w:rPr>
                <w:rFonts w:eastAsia="Arial"/>
                <w:color w:val="000000"/>
              </w:rPr>
              <w:t xml:space="preserve"> </w:t>
            </w:r>
            <w:r w:rsidRPr="004C6EEC">
              <w:rPr>
                <w:rFonts w:eastAsia="Arial"/>
                <w:color w:val="000000"/>
              </w:rPr>
              <w:t>anksčiau nebuvo gydyti ALK inhibitorium</w:t>
            </w:r>
            <w:r>
              <w:rPr>
                <w:rFonts w:eastAsia="Arial"/>
                <w:color w:val="000000"/>
              </w:rPr>
              <w:t>i.</w:t>
            </w:r>
          </w:p>
        </w:tc>
        <w:tc>
          <w:tcPr>
            <w:tcW w:w="2725" w:type="dxa"/>
          </w:tcPr>
          <w:p w14:paraId="44BE15F1" w14:textId="4DA75D85" w:rsidR="00C12779" w:rsidRPr="00D05364" w:rsidRDefault="00C12779" w:rsidP="00C12779">
            <w:pPr>
              <w:spacing w:line="276" w:lineRule="auto"/>
              <w:rPr>
                <w:rFonts w:eastAsia="Arial"/>
              </w:rPr>
            </w:pPr>
            <w:r w:rsidRPr="00F21DE2">
              <w:t xml:space="preserve">Po derybų dėl kainos buvo priimta išvada, kad </w:t>
            </w:r>
            <w:proofErr w:type="spellStart"/>
            <w:r w:rsidRPr="00F21DE2">
              <w:t>brigatinibo</w:t>
            </w:r>
            <w:proofErr w:type="spellEnd"/>
            <w:r w:rsidRPr="00F21DE2">
              <w:t xml:space="preserve"> kompensavimas, tikėtina, bus racionalus kaštų naudingumo atžvilgiu, todėl </w:t>
            </w:r>
            <w:proofErr w:type="spellStart"/>
            <w:r w:rsidRPr="00F21DE2">
              <w:t>brigatinibą</w:t>
            </w:r>
            <w:proofErr w:type="spellEnd"/>
            <w:r w:rsidRPr="00F21DE2">
              <w:t xml:space="preserve"> rekomenduojama kompensuoti.</w:t>
            </w:r>
          </w:p>
        </w:tc>
      </w:tr>
      <w:tr w:rsidR="00C12779" w:rsidRPr="00D05364" w14:paraId="17C04DD5" w14:textId="77777777" w:rsidTr="00EB114F">
        <w:trPr>
          <w:trHeight w:val="1125"/>
        </w:trPr>
        <w:tc>
          <w:tcPr>
            <w:tcW w:w="2927" w:type="dxa"/>
          </w:tcPr>
          <w:p w14:paraId="39B98CBA" w14:textId="77777777" w:rsidR="00C12779" w:rsidRPr="00D05364" w:rsidRDefault="00C12779" w:rsidP="00C12779">
            <w:pPr>
              <w:spacing w:line="276" w:lineRule="auto"/>
              <w:rPr>
                <w:rFonts w:eastAsia="Arial"/>
              </w:rPr>
            </w:pPr>
            <w:r w:rsidRPr="00D05364">
              <w:rPr>
                <w:rFonts w:eastAsia="Arial"/>
              </w:rPr>
              <w:t>Kanados sveikatos technologijų agentūra</w:t>
            </w:r>
          </w:p>
          <w:p w14:paraId="1E588514" w14:textId="77777777" w:rsidR="00C12779" w:rsidRPr="00D05364" w:rsidRDefault="00C12779" w:rsidP="00C12779">
            <w:pPr>
              <w:spacing w:line="276" w:lineRule="auto"/>
              <w:rPr>
                <w:rFonts w:eastAsia="Arial"/>
              </w:rPr>
            </w:pPr>
            <w:r w:rsidRPr="00D05364">
              <w:rPr>
                <w:rFonts w:eastAsia="Arial"/>
              </w:rPr>
              <w:t xml:space="preserve">(angl. </w:t>
            </w:r>
            <w:proofErr w:type="spellStart"/>
            <w:r w:rsidRPr="00D05364">
              <w:rPr>
                <w:rFonts w:eastAsia="Arial"/>
                <w:i/>
              </w:rPr>
              <w:t>Canadian</w:t>
            </w:r>
            <w:proofErr w:type="spellEnd"/>
            <w:r w:rsidRPr="00D05364">
              <w:rPr>
                <w:rFonts w:eastAsia="Arial"/>
                <w:i/>
              </w:rPr>
              <w:t xml:space="preserve"> </w:t>
            </w:r>
            <w:proofErr w:type="spellStart"/>
            <w:r w:rsidRPr="00D05364">
              <w:rPr>
                <w:rFonts w:eastAsia="Arial"/>
                <w:i/>
              </w:rPr>
              <w:t>health</w:t>
            </w:r>
            <w:proofErr w:type="spellEnd"/>
            <w:r w:rsidRPr="00D05364">
              <w:rPr>
                <w:rFonts w:eastAsia="Arial"/>
                <w:i/>
              </w:rPr>
              <w:t xml:space="preserve"> </w:t>
            </w:r>
            <w:proofErr w:type="spellStart"/>
            <w:r w:rsidRPr="00D05364">
              <w:rPr>
                <w:rFonts w:eastAsia="Arial"/>
                <w:i/>
              </w:rPr>
              <w:t>Technology</w:t>
            </w:r>
            <w:proofErr w:type="spellEnd"/>
            <w:r w:rsidRPr="00D05364">
              <w:rPr>
                <w:rFonts w:eastAsia="Arial"/>
                <w:i/>
              </w:rPr>
              <w:t xml:space="preserve"> </w:t>
            </w:r>
            <w:proofErr w:type="spellStart"/>
            <w:r w:rsidRPr="00D05364">
              <w:rPr>
                <w:rFonts w:eastAsia="Arial"/>
                <w:i/>
              </w:rPr>
              <w:t>Assessment</w:t>
            </w:r>
            <w:proofErr w:type="spellEnd"/>
            <w:r w:rsidRPr="00D05364">
              <w:rPr>
                <w:rFonts w:eastAsia="Arial"/>
                <w:i/>
              </w:rPr>
              <w:t xml:space="preserve"> </w:t>
            </w:r>
            <w:proofErr w:type="spellStart"/>
            <w:r w:rsidRPr="00D05364">
              <w:rPr>
                <w:rFonts w:eastAsia="Arial"/>
                <w:i/>
              </w:rPr>
              <w:t>agency</w:t>
            </w:r>
            <w:proofErr w:type="spellEnd"/>
            <w:r w:rsidRPr="00D05364">
              <w:rPr>
                <w:rFonts w:eastAsia="Arial"/>
                <w:i/>
              </w:rPr>
              <w:t>, CADTH</w:t>
            </w:r>
            <w:r w:rsidRPr="00D05364">
              <w:rPr>
                <w:rFonts w:eastAsia="Arial"/>
              </w:rPr>
              <w:t>)</w:t>
            </w:r>
          </w:p>
        </w:tc>
        <w:tc>
          <w:tcPr>
            <w:tcW w:w="1915" w:type="dxa"/>
          </w:tcPr>
          <w:p w14:paraId="44F60B02" w14:textId="77777777" w:rsidR="00C12779" w:rsidRPr="00D05364" w:rsidRDefault="00530901" w:rsidP="00C12779">
            <w:sdt>
              <w:sdtPr>
                <w:rPr>
                  <w:rStyle w:val="Style2"/>
                </w:rPr>
                <w:id w:val="-372539057"/>
                <w15:color w:val="FFCC00"/>
                <w14:checkbox>
                  <w14:checked w14:val="1"/>
                  <w14:checkedState w14:val="2612" w14:font="MS Gothic"/>
                  <w14:uncheckedState w14:val="2610" w14:font="MS Gothic"/>
                </w14:checkbox>
              </w:sdtPr>
              <w:sdtEndPr>
                <w:rPr>
                  <w:rStyle w:val="Style2"/>
                </w:rPr>
              </w:sdtEndPr>
              <w:sdtContent>
                <w:r w:rsidR="00C12779">
                  <w:rPr>
                    <w:rStyle w:val="Style2"/>
                    <w:rFonts w:ascii="MS Gothic" w:eastAsia="MS Gothic" w:hAnsi="MS Gothic" w:hint="eastAsia"/>
                  </w:rPr>
                  <w:t>☒</w:t>
                </w:r>
              </w:sdtContent>
            </w:sdt>
            <w:r w:rsidR="00C12779" w:rsidRPr="00D05364">
              <w:t xml:space="preserve"> Taip</w:t>
            </w:r>
          </w:p>
          <w:p w14:paraId="2E113527" w14:textId="77777777" w:rsidR="00C12779" w:rsidRPr="00D05364" w:rsidRDefault="00530901" w:rsidP="00C12779">
            <w:sdt>
              <w:sdtPr>
                <w:rPr>
                  <w:rStyle w:val="Style2"/>
                </w:rPr>
                <w:id w:val="594442222"/>
                <w15:color w:val="FFCC00"/>
                <w14:checkbox>
                  <w14:checked w14:val="0"/>
                  <w14:checkedState w14:val="2612" w14:font="MS Gothic"/>
                  <w14:uncheckedState w14:val="2610" w14:font="MS Gothic"/>
                </w14:checkbox>
              </w:sdtPr>
              <w:sdtEndPr>
                <w:rPr>
                  <w:rStyle w:val="Style2"/>
                </w:rPr>
              </w:sdtEndPr>
              <w:sdtContent>
                <w:r w:rsidR="00C12779" w:rsidRPr="00D05364">
                  <w:rPr>
                    <w:rStyle w:val="Style2"/>
                    <w:rFonts w:ascii="Segoe UI Symbol" w:eastAsia="MS Gothic" w:hAnsi="Segoe UI Symbol" w:cs="Segoe UI Symbol"/>
                  </w:rPr>
                  <w:t>☐</w:t>
                </w:r>
              </w:sdtContent>
            </w:sdt>
            <w:r w:rsidR="00C12779" w:rsidRPr="00D05364">
              <w:t xml:space="preserve"> Ne</w:t>
            </w:r>
          </w:p>
          <w:p w14:paraId="6530E272" w14:textId="77777777" w:rsidR="00C12779" w:rsidRPr="00D05364" w:rsidRDefault="00530901" w:rsidP="00C12779">
            <w:pPr>
              <w:spacing w:line="276" w:lineRule="auto"/>
              <w:rPr>
                <w:rFonts w:eastAsia="Arial"/>
              </w:rPr>
            </w:pPr>
            <w:sdt>
              <w:sdtPr>
                <w:alias w:val="Nurodykite konkrečią dieną"/>
                <w:tag w:val="Nurodykite pradžios datą"/>
                <w:id w:val="1072468416"/>
                <w:placeholder>
                  <w:docPart w:val="11168BC7AC3B41CD9A38048BCD8C757D"/>
                </w:placeholder>
                <w15:color w:val="FFCC99"/>
                <w:date w:fullDate="2021-04-21T00:00:00Z">
                  <w:dateFormat w:val="yyyy 'm.' MMMM d 'd.'"/>
                  <w:lid w:val="lt-LT"/>
                  <w:storeMappedDataAs w:val="dateTime"/>
                  <w:calendar w:val="gregorian"/>
                </w:date>
              </w:sdtPr>
              <w:sdtEndPr/>
              <w:sdtContent>
                <w:r w:rsidR="00C12779">
                  <w:t>2021 m. balandžio 21 d.</w:t>
                </w:r>
              </w:sdtContent>
            </w:sdt>
          </w:p>
        </w:tc>
        <w:tc>
          <w:tcPr>
            <w:tcW w:w="2351" w:type="dxa"/>
          </w:tcPr>
          <w:p w14:paraId="1F6C21FB" w14:textId="77777777" w:rsidR="00C12779" w:rsidRPr="001B7233" w:rsidRDefault="00C12779" w:rsidP="00C12779">
            <w:pPr>
              <w:spacing w:line="276" w:lineRule="auto"/>
              <w:rPr>
                <w:rFonts w:eastAsia="Arial"/>
              </w:rPr>
            </w:pPr>
            <w:r>
              <w:rPr>
                <w:rFonts w:eastAsia="Arial"/>
              </w:rPr>
              <w:t xml:space="preserve">Rekomenduojama gydymui pacientams su </w:t>
            </w:r>
            <w:r w:rsidRPr="004C6EEC">
              <w:rPr>
                <w:rFonts w:eastAsia="Arial"/>
                <w:color w:val="000000"/>
              </w:rPr>
              <w:t xml:space="preserve">teigiamu </w:t>
            </w:r>
            <w:proofErr w:type="spellStart"/>
            <w:r w:rsidRPr="004C6EEC">
              <w:rPr>
                <w:rFonts w:eastAsia="Arial"/>
                <w:color w:val="000000"/>
              </w:rPr>
              <w:t>anaplazinės</w:t>
            </w:r>
            <w:proofErr w:type="spellEnd"/>
            <w:r w:rsidRPr="004C6EEC">
              <w:rPr>
                <w:rFonts w:eastAsia="Arial"/>
                <w:color w:val="000000"/>
              </w:rPr>
              <w:t xml:space="preserve"> limfomos </w:t>
            </w:r>
            <w:proofErr w:type="spellStart"/>
            <w:r w:rsidRPr="004C6EEC">
              <w:rPr>
                <w:rFonts w:eastAsia="Arial"/>
                <w:color w:val="000000"/>
              </w:rPr>
              <w:t>kinazės</w:t>
            </w:r>
            <w:proofErr w:type="spellEnd"/>
            <w:r w:rsidRPr="004C6EEC">
              <w:rPr>
                <w:rFonts w:eastAsia="Arial"/>
                <w:color w:val="000000"/>
              </w:rPr>
              <w:t xml:space="preserve"> (ALK) atžvilgiu</w:t>
            </w:r>
            <w:r>
              <w:rPr>
                <w:rFonts w:eastAsia="Arial"/>
                <w:color w:val="000000"/>
              </w:rPr>
              <w:t xml:space="preserve"> </w:t>
            </w:r>
            <w:r w:rsidRPr="004C6EEC">
              <w:rPr>
                <w:rFonts w:eastAsia="Arial"/>
                <w:color w:val="000000"/>
              </w:rPr>
              <w:t>išplitusiu nesmulkiųjų ląstelių plaučių vėžiu (NSLPV) sergantiems suaugusiems pacientams, kurie</w:t>
            </w:r>
            <w:r>
              <w:rPr>
                <w:rFonts w:eastAsia="Arial"/>
                <w:color w:val="000000"/>
              </w:rPr>
              <w:t xml:space="preserve"> </w:t>
            </w:r>
            <w:r w:rsidRPr="004C6EEC">
              <w:rPr>
                <w:rFonts w:eastAsia="Arial"/>
                <w:color w:val="000000"/>
              </w:rPr>
              <w:t>anksčiau nebuvo gydyti ALK inhibitorium</w:t>
            </w:r>
            <w:r>
              <w:rPr>
                <w:rFonts w:eastAsia="Arial"/>
                <w:color w:val="000000"/>
              </w:rPr>
              <w:t>i, jeigu bus pasiekiamas priimtinas kaštų efektyvumas.</w:t>
            </w:r>
          </w:p>
        </w:tc>
        <w:tc>
          <w:tcPr>
            <w:tcW w:w="2725" w:type="dxa"/>
          </w:tcPr>
          <w:p w14:paraId="1260699C" w14:textId="28BB9787" w:rsidR="00C12779" w:rsidRPr="00D05364" w:rsidRDefault="00C12779" w:rsidP="00C12779">
            <w:pPr>
              <w:spacing w:line="276" w:lineRule="auto"/>
              <w:rPr>
                <w:rFonts w:eastAsia="Arial"/>
              </w:rPr>
            </w:pPr>
            <w:r w:rsidRPr="00F21DE2">
              <w:t xml:space="preserve">Rekomenduojama kompensuoti su sąlyga, kad kaštų efektyvumas bus pagerintas ir kad planinės išlaidos </w:t>
            </w:r>
            <w:proofErr w:type="spellStart"/>
            <w:r w:rsidRPr="00F21DE2">
              <w:t>brigatinibui</w:t>
            </w:r>
            <w:proofErr w:type="spellEnd"/>
            <w:r w:rsidRPr="00F21DE2">
              <w:t xml:space="preserve"> neviršys išlaidų </w:t>
            </w:r>
            <w:proofErr w:type="spellStart"/>
            <w:r w:rsidRPr="00F21DE2">
              <w:t>alektinibui</w:t>
            </w:r>
            <w:proofErr w:type="spellEnd"/>
            <w:r w:rsidRPr="00F21DE2">
              <w:t>.</w:t>
            </w:r>
          </w:p>
        </w:tc>
      </w:tr>
      <w:tr w:rsidR="00C12779" w:rsidRPr="00D05364" w14:paraId="4A848586" w14:textId="77777777" w:rsidTr="00EB114F">
        <w:trPr>
          <w:trHeight w:val="1927"/>
        </w:trPr>
        <w:tc>
          <w:tcPr>
            <w:tcW w:w="2927" w:type="dxa"/>
          </w:tcPr>
          <w:p w14:paraId="477694C8" w14:textId="77777777" w:rsidR="00C12779" w:rsidRPr="00D05364" w:rsidRDefault="00C12779" w:rsidP="00C12779">
            <w:pPr>
              <w:spacing w:line="276" w:lineRule="auto"/>
              <w:rPr>
                <w:rFonts w:eastAsia="Arial"/>
              </w:rPr>
            </w:pPr>
            <w:r w:rsidRPr="00D05364">
              <w:rPr>
                <w:rFonts w:eastAsia="Arial"/>
              </w:rPr>
              <w:lastRenderedPageBreak/>
              <w:t xml:space="preserve">Nacionalinis </w:t>
            </w:r>
            <w:proofErr w:type="spellStart"/>
            <w:r w:rsidRPr="00D05364">
              <w:rPr>
                <w:rFonts w:eastAsia="Arial"/>
              </w:rPr>
              <w:t>farmakoekonomikos</w:t>
            </w:r>
            <w:proofErr w:type="spellEnd"/>
            <w:r w:rsidRPr="00D05364">
              <w:rPr>
                <w:rFonts w:eastAsia="Arial"/>
              </w:rPr>
              <w:t xml:space="preserve"> centras, Airija</w:t>
            </w:r>
          </w:p>
          <w:p w14:paraId="2B36A389" w14:textId="77777777" w:rsidR="00C12779" w:rsidRPr="00D05364" w:rsidRDefault="00C12779" w:rsidP="00C12779">
            <w:pPr>
              <w:spacing w:line="276" w:lineRule="auto"/>
              <w:rPr>
                <w:rFonts w:eastAsia="Arial"/>
              </w:rPr>
            </w:pPr>
            <w:r w:rsidRPr="00D05364">
              <w:rPr>
                <w:rFonts w:eastAsia="Arial"/>
              </w:rPr>
              <w:t>(angl.</w:t>
            </w:r>
            <w:r w:rsidRPr="00D05364">
              <w:rPr>
                <w:rFonts w:eastAsia="Arial"/>
                <w:i/>
              </w:rPr>
              <w:t xml:space="preserve"> </w:t>
            </w:r>
            <w:proofErr w:type="spellStart"/>
            <w:r w:rsidRPr="00D05364">
              <w:rPr>
                <w:rFonts w:eastAsia="Arial"/>
                <w:i/>
              </w:rPr>
              <w:t>National</w:t>
            </w:r>
            <w:proofErr w:type="spellEnd"/>
            <w:r w:rsidRPr="00D05364">
              <w:rPr>
                <w:rFonts w:eastAsia="Arial"/>
                <w:i/>
              </w:rPr>
              <w:t xml:space="preserve"> Centre </w:t>
            </w:r>
            <w:proofErr w:type="spellStart"/>
            <w:r w:rsidRPr="00D05364">
              <w:rPr>
                <w:rFonts w:eastAsia="Arial"/>
                <w:i/>
              </w:rPr>
              <w:t>for</w:t>
            </w:r>
            <w:proofErr w:type="spellEnd"/>
            <w:r w:rsidRPr="00D05364">
              <w:rPr>
                <w:rFonts w:eastAsia="Arial"/>
                <w:i/>
              </w:rPr>
              <w:t xml:space="preserve"> </w:t>
            </w:r>
            <w:proofErr w:type="spellStart"/>
            <w:r w:rsidRPr="00D05364">
              <w:rPr>
                <w:rFonts w:eastAsia="Arial"/>
                <w:i/>
              </w:rPr>
              <w:t>Pharmacoeconomics</w:t>
            </w:r>
            <w:proofErr w:type="spellEnd"/>
            <w:r w:rsidRPr="00D05364">
              <w:rPr>
                <w:rFonts w:eastAsia="Arial"/>
                <w:i/>
              </w:rPr>
              <w:t>, NCPE</w:t>
            </w:r>
            <w:r w:rsidRPr="00D05364">
              <w:rPr>
                <w:rFonts w:eastAsia="Arial"/>
              </w:rPr>
              <w:t>)</w:t>
            </w:r>
          </w:p>
        </w:tc>
        <w:tc>
          <w:tcPr>
            <w:tcW w:w="1915" w:type="dxa"/>
          </w:tcPr>
          <w:p w14:paraId="6A2C814E" w14:textId="77777777" w:rsidR="00C12779" w:rsidRPr="00D05364" w:rsidRDefault="00530901" w:rsidP="00C12779">
            <w:sdt>
              <w:sdtPr>
                <w:rPr>
                  <w:rStyle w:val="Style2"/>
                </w:rPr>
                <w:id w:val="-1888403732"/>
                <w15:color w:val="FFCC00"/>
                <w14:checkbox>
                  <w14:checked w14:val="1"/>
                  <w14:checkedState w14:val="2612" w14:font="MS Gothic"/>
                  <w14:uncheckedState w14:val="2610" w14:font="MS Gothic"/>
                </w14:checkbox>
              </w:sdtPr>
              <w:sdtEndPr>
                <w:rPr>
                  <w:rStyle w:val="Style2"/>
                </w:rPr>
              </w:sdtEndPr>
              <w:sdtContent>
                <w:r w:rsidR="00C12779">
                  <w:rPr>
                    <w:rStyle w:val="Style2"/>
                    <w:rFonts w:ascii="MS Gothic" w:eastAsia="MS Gothic" w:hAnsi="MS Gothic" w:hint="eastAsia"/>
                  </w:rPr>
                  <w:t>☒</w:t>
                </w:r>
              </w:sdtContent>
            </w:sdt>
            <w:r w:rsidR="00C12779" w:rsidRPr="00D05364">
              <w:t xml:space="preserve"> Taip</w:t>
            </w:r>
          </w:p>
          <w:p w14:paraId="48697290" w14:textId="77777777" w:rsidR="00C12779" w:rsidRPr="00D05364" w:rsidRDefault="00530901" w:rsidP="00C12779">
            <w:sdt>
              <w:sdtPr>
                <w:rPr>
                  <w:rStyle w:val="Style2"/>
                </w:rPr>
                <w:id w:val="1092201793"/>
                <w15:color w:val="FFCC00"/>
                <w14:checkbox>
                  <w14:checked w14:val="0"/>
                  <w14:checkedState w14:val="2612" w14:font="MS Gothic"/>
                  <w14:uncheckedState w14:val="2610" w14:font="MS Gothic"/>
                </w14:checkbox>
              </w:sdtPr>
              <w:sdtEndPr>
                <w:rPr>
                  <w:rStyle w:val="Style2"/>
                </w:rPr>
              </w:sdtEndPr>
              <w:sdtContent>
                <w:r w:rsidR="00C12779" w:rsidRPr="00D05364">
                  <w:rPr>
                    <w:rStyle w:val="Style2"/>
                    <w:rFonts w:ascii="Segoe UI Symbol" w:eastAsia="MS Gothic" w:hAnsi="Segoe UI Symbol" w:cs="Segoe UI Symbol"/>
                  </w:rPr>
                  <w:t>☐</w:t>
                </w:r>
              </w:sdtContent>
            </w:sdt>
            <w:r w:rsidR="00C12779" w:rsidRPr="00D05364">
              <w:t xml:space="preserve"> Ne</w:t>
            </w:r>
          </w:p>
          <w:p w14:paraId="105CE75D" w14:textId="77777777" w:rsidR="00C12779" w:rsidRPr="00D05364" w:rsidRDefault="00530901" w:rsidP="00C12779">
            <w:pPr>
              <w:spacing w:line="276" w:lineRule="auto"/>
              <w:rPr>
                <w:rFonts w:eastAsia="Arial"/>
              </w:rPr>
            </w:pPr>
            <w:sdt>
              <w:sdtPr>
                <w:alias w:val="Nurodykite konkrečią dieną"/>
                <w:tag w:val="Nurodykite pradžios datą"/>
                <w:id w:val="-198323198"/>
                <w:placeholder>
                  <w:docPart w:val="3B2A1F9C68D846B99589DDB543781501"/>
                </w:placeholder>
                <w15:color w:val="FFCC99"/>
                <w:date w:fullDate="2020-08-06T00:00:00Z">
                  <w:dateFormat w:val="yyyy 'm.' MMMM d 'd.'"/>
                  <w:lid w:val="lt-LT"/>
                  <w:storeMappedDataAs w:val="dateTime"/>
                  <w:calendar w:val="gregorian"/>
                </w:date>
              </w:sdtPr>
              <w:sdtEndPr/>
              <w:sdtContent>
                <w:r w:rsidR="00C12779">
                  <w:t>2020 m. rugpjūčio 6 d.</w:t>
                </w:r>
              </w:sdtContent>
            </w:sdt>
          </w:p>
        </w:tc>
        <w:tc>
          <w:tcPr>
            <w:tcW w:w="2351" w:type="dxa"/>
          </w:tcPr>
          <w:p w14:paraId="5724A796" w14:textId="77777777" w:rsidR="00C12779" w:rsidRPr="00D05364" w:rsidRDefault="00C12779" w:rsidP="00C12779">
            <w:pPr>
              <w:spacing w:line="276" w:lineRule="auto"/>
              <w:rPr>
                <w:rFonts w:eastAsia="Arial"/>
              </w:rPr>
            </w:pPr>
            <w:r>
              <w:rPr>
                <w:rFonts w:eastAsia="Arial"/>
              </w:rPr>
              <w:t>Kompensuoti nerekomenduojama pagal pateiktą kainą.</w:t>
            </w:r>
          </w:p>
        </w:tc>
        <w:tc>
          <w:tcPr>
            <w:tcW w:w="2725" w:type="dxa"/>
          </w:tcPr>
          <w:p w14:paraId="343E064D" w14:textId="3FB0D236" w:rsidR="00C12779" w:rsidRPr="00D05364" w:rsidRDefault="00C12779" w:rsidP="00C12779">
            <w:pPr>
              <w:spacing w:line="276" w:lineRule="auto"/>
              <w:rPr>
                <w:rFonts w:eastAsia="Arial"/>
              </w:rPr>
            </w:pPr>
            <w:r w:rsidRPr="00F21DE2">
              <w:t>Kompensuoti nerekomenduojama pagal pateiktą kainą ir pilnas STV vertinimas nerekomenduojamas. Tačiau po konfidencialių derybų vaistas buvo įtrauktas į kompensavimo sąrašus (neatlikus pilno vertinimo).</w:t>
            </w:r>
          </w:p>
        </w:tc>
      </w:tr>
    </w:tbl>
    <w:p w14:paraId="2EB7FD31" w14:textId="4D2A8479" w:rsidR="007A2B68" w:rsidRPr="00B87B84" w:rsidRDefault="007A2B68" w:rsidP="00E03C3F">
      <w:pPr>
        <w:pStyle w:val="Sraopastraipa"/>
        <w:tabs>
          <w:tab w:val="left" w:pos="426"/>
        </w:tabs>
        <w:ind w:left="0"/>
        <w:rPr>
          <w:b/>
          <w:bCs/>
          <w:caps/>
        </w:rPr>
      </w:pPr>
    </w:p>
    <w:p w14:paraId="5055E8A8" w14:textId="6CCB4EBD" w:rsidR="002E6F80" w:rsidRPr="00B87B84" w:rsidRDefault="00CC7832" w:rsidP="00B87B84">
      <w:pPr>
        <w:pStyle w:val="Sraopastraipa"/>
        <w:numPr>
          <w:ilvl w:val="0"/>
          <w:numId w:val="12"/>
        </w:numPr>
        <w:rPr>
          <w:b/>
          <w:bCs/>
          <w:caps/>
        </w:rPr>
      </w:pPr>
      <w:r w:rsidRPr="00B87B84">
        <w:rPr>
          <w:b/>
          <w:bCs/>
          <w:caps/>
        </w:rPr>
        <w:t>Klinikinio vertinimo a</w:t>
      </w:r>
      <w:r w:rsidR="00D4485B" w:rsidRPr="00B87B84">
        <w:rPr>
          <w:b/>
          <w:bCs/>
          <w:caps/>
        </w:rPr>
        <w:t>pibendrinimas</w:t>
      </w:r>
    </w:p>
    <w:p w14:paraId="7D229D83" w14:textId="2DC6EA12" w:rsidR="001317EF" w:rsidRDefault="001317EF" w:rsidP="001317EF">
      <w:pPr>
        <w:rPr>
          <w:rStyle w:val="Emfaz"/>
          <w:i w:val="0"/>
        </w:rPr>
      </w:pPr>
    </w:p>
    <w:p w14:paraId="69C6035A" w14:textId="77777777" w:rsidR="00B87B84" w:rsidRDefault="00B87B84" w:rsidP="000A3A69">
      <w:pPr>
        <w:pStyle w:val="Tekstas"/>
        <w:spacing w:after="60" w:line="276" w:lineRule="auto"/>
        <w:ind w:firstLine="357"/>
      </w:pPr>
      <w:r>
        <w:t xml:space="preserve">Plaučių vėžys skirstomas į 2 pagrindinius tipus: smulkiųjų ląstelių (~ 10% </w:t>
      </w:r>
      <w:r w:rsidRPr="00007DD8">
        <w:rPr>
          <w:rStyle w:val="y2iqfc"/>
          <w:color w:val="202124"/>
        </w:rPr>
        <w:t>–</w:t>
      </w:r>
      <w:r>
        <w:t xml:space="preserve"> 15% visų atvejų) ir nesmulkiųjų ląstelių plaučių vėžys (NSLPV; ~ 80% </w:t>
      </w:r>
      <w:r w:rsidRPr="00007DD8">
        <w:rPr>
          <w:rStyle w:val="y2iqfc"/>
          <w:color w:val="202124"/>
        </w:rPr>
        <w:t>–</w:t>
      </w:r>
      <w:r>
        <w:t xml:space="preserve"> 85% visų atvejų). NSLPV skirstomas į 3 pagrindinius potipius:</w:t>
      </w:r>
    </w:p>
    <w:p w14:paraId="6C7B8A61" w14:textId="66F14AD3" w:rsidR="00B87B84" w:rsidRDefault="006B47FE" w:rsidP="00B87B84">
      <w:pPr>
        <w:pStyle w:val="Tekstas"/>
        <w:numPr>
          <w:ilvl w:val="0"/>
          <w:numId w:val="25"/>
        </w:numPr>
        <w:spacing w:after="60" w:line="276" w:lineRule="auto"/>
        <w:ind w:left="714" w:hanging="357"/>
      </w:pPr>
      <w:proofErr w:type="spellStart"/>
      <w:r>
        <w:t>a</w:t>
      </w:r>
      <w:r w:rsidR="00B87B84">
        <w:t>denokarcinoma</w:t>
      </w:r>
      <w:proofErr w:type="spellEnd"/>
      <w:r w:rsidR="00B87B84">
        <w:t xml:space="preserve"> (~ 40%)</w:t>
      </w:r>
      <w:r>
        <w:t>;</w:t>
      </w:r>
    </w:p>
    <w:p w14:paraId="5A78AF09" w14:textId="51D07564" w:rsidR="00B87B84" w:rsidRDefault="006B47FE" w:rsidP="00B87B84">
      <w:pPr>
        <w:pStyle w:val="Tekstas"/>
        <w:numPr>
          <w:ilvl w:val="0"/>
          <w:numId w:val="25"/>
        </w:numPr>
        <w:spacing w:after="60" w:line="276" w:lineRule="auto"/>
        <w:ind w:left="714" w:hanging="357"/>
      </w:pPr>
      <w:r>
        <w:t>p</w:t>
      </w:r>
      <w:r w:rsidR="00B87B84">
        <w:t xml:space="preserve">lokščiųjų ląstelių karcinoma (25% </w:t>
      </w:r>
      <w:r w:rsidR="00B87B84" w:rsidRPr="00007DD8">
        <w:rPr>
          <w:rStyle w:val="y2iqfc"/>
          <w:color w:val="202124"/>
        </w:rPr>
        <w:t>–</w:t>
      </w:r>
      <w:r w:rsidR="00B87B84">
        <w:rPr>
          <w:rStyle w:val="y2iqfc"/>
          <w:color w:val="202124"/>
        </w:rPr>
        <w:t xml:space="preserve"> </w:t>
      </w:r>
      <w:r w:rsidR="00B87B84">
        <w:t>30%)</w:t>
      </w:r>
      <w:r>
        <w:t>;</w:t>
      </w:r>
    </w:p>
    <w:p w14:paraId="62DFD997" w14:textId="45345704" w:rsidR="00B87B84" w:rsidRDefault="006B47FE" w:rsidP="00B87B84">
      <w:pPr>
        <w:pStyle w:val="Tekstas"/>
        <w:numPr>
          <w:ilvl w:val="0"/>
          <w:numId w:val="25"/>
        </w:numPr>
        <w:spacing w:after="60" w:line="276" w:lineRule="auto"/>
        <w:ind w:left="714" w:hanging="357"/>
      </w:pPr>
      <w:r>
        <w:t>d</w:t>
      </w:r>
      <w:r w:rsidR="00B87B84">
        <w:t xml:space="preserve">idžiųjų ląstelių karcinoma (10%  </w:t>
      </w:r>
      <w:r w:rsidR="00B87B84" w:rsidRPr="00007DD8">
        <w:rPr>
          <w:rStyle w:val="y2iqfc"/>
          <w:color w:val="202124"/>
        </w:rPr>
        <w:t>–</w:t>
      </w:r>
      <w:r w:rsidR="00B87B84">
        <w:rPr>
          <w:rStyle w:val="y2iqfc"/>
          <w:color w:val="202124"/>
        </w:rPr>
        <w:t xml:space="preserve"> </w:t>
      </w:r>
      <w:r w:rsidR="00B87B84">
        <w:t>15%)</w:t>
      </w:r>
      <w:r>
        <w:t>.</w:t>
      </w:r>
    </w:p>
    <w:p w14:paraId="40AB5038" w14:textId="77777777" w:rsidR="00B87B84" w:rsidRDefault="00B87B84" w:rsidP="000A3A69">
      <w:pPr>
        <w:pStyle w:val="Tekstas"/>
        <w:spacing w:after="60" w:line="276" w:lineRule="auto"/>
        <w:ind w:firstLine="357"/>
      </w:pPr>
      <w:r>
        <w:t>Šiuo metu yra i</w:t>
      </w:r>
      <w:r w:rsidRPr="004C56C3">
        <w:t xml:space="preserve">dentifikuota </w:t>
      </w:r>
      <w:r>
        <w:t xml:space="preserve">visa eilė </w:t>
      </w:r>
      <w:r w:rsidRPr="004C56C3">
        <w:t xml:space="preserve">NSLPV </w:t>
      </w:r>
      <w:proofErr w:type="spellStart"/>
      <w:r w:rsidRPr="004C56C3">
        <w:t>gen</w:t>
      </w:r>
      <w:r>
        <w:t>ominių</w:t>
      </w:r>
      <w:proofErr w:type="spellEnd"/>
      <w:r>
        <w:t xml:space="preserve"> pokyčių ir sukurti atitinkami vaistiniai preparatai</w:t>
      </w:r>
      <w:r w:rsidRPr="002C4540">
        <w:t xml:space="preserve">. </w:t>
      </w:r>
      <w:r>
        <w:t xml:space="preserve">Prašomai kompensuoti indikacijai svarbaus </w:t>
      </w:r>
      <w:proofErr w:type="spellStart"/>
      <w:r>
        <w:t>genominio</w:t>
      </w:r>
      <w:proofErr w:type="spellEnd"/>
      <w:r>
        <w:t xml:space="preserve"> NSLPV pokyčio </w:t>
      </w:r>
      <w:r w:rsidRPr="00007DD8">
        <w:rPr>
          <w:rStyle w:val="y2iqfc"/>
          <w:color w:val="202124"/>
        </w:rPr>
        <w:t>–</w:t>
      </w:r>
      <w:r>
        <w:t xml:space="preserve"> </w:t>
      </w:r>
      <w:r w:rsidRPr="002C4540">
        <w:t xml:space="preserve">ALK </w:t>
      </w:r>
      <w:proofErr w:type="spellStart"/>
      <w:r>
        <w:t>translokacijos</w:t>
      </w:r>
      <w:proofErr w:type="spellEnd"/>
      <w:r>
        <w:t xml:space="preserve"> paplitimas svyruoja nuo </w:t>
      </w:r>
      <w:r w:rsidRPr="002C4540">
        <w:t xml:space="preserve">3% </w:t>
      </w:r>
      <w:r>
        <w:t xml:space="preserve">iki </w:t>
      </w:r>
      <w:r w:rsidRPr="002C4540">
        <w:t>5% (ALK+ NSL</w:t>
      </w:r>
      <w:r>
        <w:t>PV)</w:t>
      </w:r>
      <w:r w:rsidRPr="002C4540">
        <w:t>. ALK+ NSL</w:t>
      </w:r>
      <w:r>
        <w:t xml:space="preserve">PV yra jautrus gydymui </w:t>
      </w:r>
      <w:r w:rsidRPr="002C4540">
        <w:t xml:space="preserve">ALK </w:t>
      </w:r>
      <w:proofErr w:type="spellStart"/>
      <w:r w:rsidRPr="002C4540">
        <w:t>t</w:t>
      </w:r>
      <w:r>
        <w:t>irozino</w:t>
      </w:r>
      <w:proofErr w:type="spellEnd"/>
      <w:r>
        <w:t xml:space="preserve"> </w:t>
      </w:r>
      <w:proofErr w:type="spellStart"/>
      <w:r>
        <w:t>kinazės</w:t>
      </w:r>
      <w:proofErr w:type="spellEnd"/>
      <w:r>
        <w:t xml:space="preserve"> </w:t>
      </w:r>
      <w:r w:rsidRPr="002C4540">
        <w:t>inhibitor</w:t>
      </w:r>
      <w:r>
        <w:t>iai</w:t>
      </w:r>
      <w:r w:rsidRPr="002C4540">
        <w:t>s (</w:t>
      </w:r>
      <w:proofErr w:type="spellStart"/>
      <w:r w:rsidRPr="002C4540">
        <w:t>TKIs</w:t>
      </w:r>
      <w:proofErr w:type="spellEnd"/>
      <w:r w:rsidRPr="002C4540">
        <w:t>).</w:t>
      </w:r>
    </w:p>
    <w:p w14:paraId="0731506F" w14:textId="77777777" w:rsidR="00B87B84" w:rsidRDefault="00B87B84" w:rsidP="00B87B84">
      <w:pPr>
        <w:pStyle w:val="Tekstas"/>
        <w:spacing w:after="60" w:line="276" w:lineRule="auto"/>
      </w:pPr>
      <w:r>
        <w:t xml:space="preserve">Viena svarbiausių ALK+ NSLPV sergančių pacientų išskirtinių charakteristikų – nerūkymas anamnezėje. Kitos svarbios ALK+ NSLPV charakteristikos </w:t>
      </w:r>
      <w:r>
        <w:fldChar w:fldCharType="begin"/>
      </w:r>
      <w:r>
        <w:instrText xml:space="preserve"> ADDIN ZOTERO_ITEM CSL_CITATION {"citationID":"a11kr08ojsu","properties":{"formattedCitation":"(7,8,12)","plainCitation":"(7,8,12)","noteIndex":0},"citationItems":[{"id":3948,"uris":["http://zotero.org/users/5814076/items/WWHH3JEU"],"uri":["http://zotero.org/users/5814076/items/WWHH3JEU"],"itemData":{"id":3948,"type":"article-journal","abstract":"Improved understanding of molecular drivers of carcinogenesis has led to significant progress in the management of lung cancer. Patients with non-small-cell lung cancer (NSCLC) with anaplastic lymphoma kinase (ALK) gene rearrangements constitute about 4%-5% of all NSCLC patients. ALK+ NSCLC cells respond well to small molecule ALK inhibitors such as crizotinib; however, resistance invariably develops after several months of treatment. There are now several newer ALK inhibitors, with the next generation of agents targeting resistance mutations. In this review, we will discuss the prevalence and clinical characteristics of ALK+ lung cancer, current treatment options, and future directions in the management of this subset of NSCLC patients.","container-title":"Clinical Epidemiology","DOI":"10.2147/CLEP.S69718","ISSN":"1179-1349","journalAbbreviation":"Clin Epidemiol","language":"eng","note":"PMID: 25429239\nPMCID: PMC4242069","page":"423-432","source":"PubMed","title":"Prevalence and natural history of ALK positive non-small-cell lung cancer and the clinical impact of targeted therapy with ALK inhibitors","volume":"6","author":[{"family":"Chia","given":"Puey Ling"},{"family":"Mitchell","given":"Paul"},{"family":"Dobrovic","given":"Alexander"},{"family":"John","given":"Thomas"}],"issued":{"date-parts":[["2014"]]}}},{"id":3951,"uris":["http://zotero.org/users/5814076/items/LG9WPG9K"],"uri":["http://zotero.org/users/5814076/items/LG9WPG9K"],"itemData":{"id":3951,"type":"article-journal","abstract":"In 2007, scientists discovered that anaplastic lymphoma kinase (ALK) gene rearrangements are present in a small subset of non-small-cell lung cancers. ALK-positive cancers are highly sensitive to small-molecule ALK kinase inhibitors, such as crizotinib. Phase I and II studies of crizotinib in ALK-positive lung cancer demonstrated impressive activity and clinical benefit, leading to rapid US Food and Drug Administration approval in 2011. Although crizotinib induces remissions and extends the lives of patients, cures are not achieved as resistance to therapy develops. In this review, we will discuss the history of this field, current diagnostic and treatment practices, and future challenges and opportunities to advance outcomes for patients with ALK-positive lung cancers.","container-title":"Journal of Clinical Oncology: Official Journal of the American Society of Clinical Oncology","DOI":"10.1200/JCO.2012.44.5353","ISSN":"1527-7755","issue":"8","journalAbbreviation":"J Clin Oncol","language":"eng","note":"PMID: 23401436\nPMCID: PMC4209068","page":"1105-1111","source":"PubMed","title":"ALK in lung cancer: past, present, and future","title-short":"ALK in lung cancer","volume":"31","author":[{"family":"Shaw","given":"Alice T."},{"family":"Engelman","given":"Jeffrey A."}],"issued":{"date-parts":[["2013",3,10]]}}},{"id":3962,"uris":["http://zotero.org/users/5814076/items/E5SYQECG"],"uri":["http://zotero.org/users/5814076/items/E5SYQECG"],"itemData":{"id":3962,"type":"article-journal","abstract":"Background\nPatients with anaplastic lymphoma kinase rearranged (ALK+) non-small cell lung cancer (NSCLC) have a higher risk of developing brain metastases (BMs) than patients with other NSCLC sub-types. ALK inhibitors have activity in BMs due to ALK+ NSCLC. We performed a systematic review of the literature with the aim of assessing the efficacy of ALK inhibitors on BMs.\n\nMaterial and methods\nA systematic search of the literature was performed using the databases Pubmed, EMBASE, Web of Science, The Cochrane Library, and SCOPUS. Relevant publications reporting activity of ALK inhibitors in NSCLC BMs were retrieved. Data were pooled using the number of events/number of evaluable patients according to fixed or random effect models. Intracranial tumour response was assessed through overall response rate (ORR), disease control rate (DCR: ORR + stable disease rate), median progression-free survival (PFS), and overall survival (OS). The primary endpoint was intracranial overall response rate (IC ORR).\n\nResults\nA total of 1,016 patients with BMs from 21 studies were analysed. In patients receiving ALK inhibitors in the first line setting, the pooled IC ORR was 39.17% (95%CI 13.1–65.2%), while the pooled IC ORR observed in further lines was 44.2% (95%CI 33.3–55.1%). Intracranial disease control rate (IC DCR) was 70.3% and 78.2% in naïve and pre-treated patients, respectively. Patients who had not received brain radiation attained an IC ORR of 49.0%.\n\nConclusions\nBased on these data, ALK inhibitors are effective in both naive and pre-treated patients with similar IC ORR and IC DCR, irrespective of the line of therapy.","container-title":"PLoS ONE","DOI":"10.1371/journal.pone.0201425","ISSN":"1932-6203","issue":"7","journalAbbreviation":"PLoS One","note":"PMID: 30052658\nPMCID: PMC6063430","source":"PubMed Central","title":"Efficacy of ALK inhibitors on NSCLC brain metastases: A systematic review and pooled analysis of 21 studies","title-short":"Efficacy of ALK inhibitors on NSCLC brain metastases","URL":"https://www.ncbi.nlm.nih.gov/pmc/articles/PMC6063430/","volume":"13","author":[{"family":"Petrelli","given":"Fausto"},{"family":"Lazzari","given":"Chiara"},{"family":"Ardito","given":"Raffaele"},{"family":"Borgonovo","given":"Karen"},{"family":"Bulotta","given":"Alessandra"},{"family":"Conti","given":"Barbara"},{"family":"Cabiddu","given":"Mary"},{"family":"Capitanio","given":"Jody Filippo"},{"family":"Brighenti","given":"Matteo"},{"family":"Ghilardi","given":"Mara"},{"family":"Gianni","given":"Luca"},{"family":"Barni","given":"Sandro"},{"family":"Gregorc","given":"Vanesa"}],"accessed":{"date-parts":[["2020",11,11]]},"issued":{"date-parts":[["2018",7,27]]}}}],"schema":"https://github.com/citation-style-language/schema/raw/master/csl-citation.json"} </w:instrText>
      </w:r>
      <w:r>
        <w:fldChar w:fldCharType="end"/>
      </w:r>
      <w:r>
        <w:t>:</w:t>
      </w:r>
    </w:p>
    <w:p w14:paraId="09E76EDF" w14:textId="03FB1E8E" w:rsidR="00B87B84" w:rsidRDefault="006B47FE" w:rsidP="00B87B84">
      <w:pPr>
        <w:pStyle w:val="Tekstas"/>
        <w:numPr>
          <w:ilvl w:val="0"/>
          <w:numId w:val="26"/>
        </w:numPr>
        <w:spacing w:after="60" w:line="276" w:lineRule="auto"/>
      </w:pPr>
      <w:r>
        <w:t>j</w:t>
      </w:r>
      <w:r w:rsidR="00B87B84">
        <w:t>aunesnis pacientų amžius (amžiaus mediana - 52 m.)</w:t>
      </w:r>
      <w:r>
        <w:t>;</w:t>
      </w:r>
    </w:p>
    <w:p w14:paraId="0E950B80" w14:textId="53CFE8DA" w:rsidR="00B87B84" w:rsidRDefault="006B47FE" w:rsidP="00B87B84">
      <w:pPr>
        <w:pStyle w:val="Tekstas"/>
        <w:numPr>
          <w:ilvl w:val="0"/>
          <w:numId w:val="26"/>
        </w:numPr>
        <w:spacing w:after="60" w:line="276" w:lineRule="auto"/>
      </w:pPr>
      <w:r>
        <w:t>v</w:t>
      </w:r>
      <w:r w:rsidR="00B87B84">
        <w:t xml:space="preserve">yraujanti </w:t>
      </w:r>
      <w:proofErr w:type="spellStart"/>
      <w:r w:rsidR="00B87B84">
        <w:t>adenokarcinomos</w:t>
      </w:r>
      <w:proofErr w:type="spellEnd"/>
      <w:r w:rsidR="00B87B84">
        <w:t xml:space="preserve"> histologija</w:t>
      </w:r>
      <w:r>
        <w:t>;</w:t>
      </w:r>
    </w:p>
    <w:p w14:paraId="06E6E09B" w14:textId="6A24E708" w:rsidR="00B87B84" w:rsidRDefault="006B47FE" w:rsidP="00B87B84">
      <w:pPr>
        <w:pStyle w:val="Tekstas"/>
        <w:numPr>
          <w:ilvl w:val="0"/>
          <w:numId w:val="26"/>
        </w:numPr>
        <w:spacing w:after="60" w:line="276" w:lineRule="auto"/>
      </w:pPr>
      <w:r>
        <w:t>k</w:t>
      </w:r>
      <w:r w:rsidR="00B87B84">
        <w:t>itų genetinių pokyčių nebuvimas (EGFR, KRAS)</w:t>
      </w:r>
      <w:r>
        <w:t>;</w:t>
      </w:r>
    </w:p>
    <w:p w14:paraId="62434923" w14:textId="24C01711" w:rsidR="00B87B84" w:rsidRDefault="006B47FE" w:rsidP="00B87B84">
      <w:pPr>
        <w:pStyle w:val="Tekstas"/>
        <w:numPr>
          <w:ilvl w:val="0"/>
          <w:numId w:val="26"/>
        </w:numPr>
        <w:spacing w:after="60" w:line="276" w:lineRule="auto"/>
      </w:pPr>
      <w:r>
        <w:t>d</w:t>
      </w:r>
      <w:r w:rsidR="00B87B84">
        <w:t>ažnos metastazės smegenyse</w:t>
      </w:r>
      <w:r>
        <w:t>.</w:t>
      </w:r>
      <w:r w:rsidR="00B87B84">
        <w:t xml:space="preserve"> </w:t>
      </w:r>
    </w:p>
    <w:p w14:paraId="168C3B15" w14:textId="21467ABE" w:rsidR="00B87B84" w:rsidRPr="00564ED9" w:rsidRDefault="00B87B84" w:rsidP="000A3A69">
      <w:pPr>
        <w:pStyle w:val="Tekstas"/>
        <w:spacing w:after="60" w:line="276" w:lineRule="auto"/>
        <w:ind w:firstLine="360"/>
      </w:pPr>
      <w:r>
        <w:t xml:space="preserve">Dauguma ALK+ NSLPV atvejų </w:t>
      </w:r>
      <w:r w:rsidRPr="00564ED9">
        <w:t xml:space="preserve">diagnozuojami esant išplitusiai ligos formai. ALK+ NSLPV dažnai </w:t>
      </w:r>
      <w:proofErr w:type="spellStart"/>
      <w:r w:rsidRPr="00564ED9">
        <w:t>metastazuoja</w:t>
      </w:r>
      <w:proofErr w:type="spellEnd"/>
      <w:r w:rsidRPr="00564ED9">
        <w:t xml:space="preserve"> į centrinę nervų sistemą (CNS). </w:t>
      </w:r>
      <w:r w:rsidR="006B47FE">
        <w:t>Nustatant d</w:t>
      </w:r>
      <w:r w:rsidRPr="00564ED9">
        <w:t>iagnoz</w:t>
      </w:r>
      <w:r w:rsidR="006B47FE">
        <w:t>ę</w:t>
      </w:r>
      <w:r w:rsidRPr="00564ED9">
        <w:t xml:space="preserve"> CNS metastazės </w:t>
      </w:r>
      <w:r w:rsidR="006B47FE">
        <w:t>aptinkamos</w:t>
      </w:r>
      <w:r w:rsidR="006B47FE" w:rsidRPr="00564ED9">
        <w:t xml:space="preserve"> </w:t>
      </w:r>
      <w:r w:rsidRPr="00564ED9">
        <w:t>apie 30% pacientų. CNS metastazės ženkliai pablogina pacientų gyvenimo kokybę. CNS metastazės taip pat susiję su padidėjusia progresavimo ir mirtingumo rizika. Dėl blogo pirmos kartos ALK TKI (</w:t>
      </w:r>
      <w:proofErr w:type="spellStart"/>
      <w:r w:rsidRPr="00564ED9">
        <w:t>krizotinibo</w:t>
      </w:r>
      <w:proofErr w:type="spellEnd"/>
      <w:r w:rsidRPr="00564ED9">
        <w:t xml:space="preserve">) </w:t>
      </w:r>
      <w:r w:rsidR="001E5B2C">
        <w:t xml:space="preserve">prasiskverbimo </w:t>
      </w:r>
      <w:r w:rsidRPr="00564ED9">
        <w:t xml:space="preserve"> per </w:t>
      </w:r>
      <w:proofErr w:type="spellStart"/>
      <w:r w:rsidRPr="00564ED9">
        <w:t>hematoencefalinį</w:t>
      </w:r>
      <w:proofErr w:type="spellEnd"/>
      <w:r w:rsidRPr="00564ED9">
        <w:t xml:space="preserve"> barjerą CNS metastazių gydymo rezultatai yra blogi. </w:t>
      </w:r>
    </w:p>
    <w:p w14:paraId="4E74A20E" w14:textId="27DF822C" w:rsidR="00B87B84" w:rsidRDefault="001E5B2C" w:rsidP="00B87B84">
      <w:pPr>
        <w:tabs>
          <w:tab w:val="left" w:pos="426"/>
        </w:tabs>
        <w:spacing w:line="276" w:lineRule="auto"/>
        <w:jc w:val="both"/>
      </w:pPr>
      <w:r>
        <w:tab/>
      </w:r>
      <w:r w:rsidR="00B87B84" w:rsidRPr="00564ED9">
        <w:t xml:space="preserve">Lietuvoje </w:t>
      </w:r>
      <w:r>
        <w:t xml:space="preserve">, kaip ir daugelyje kitų Europos šalių, </w:t>
      </w:r>
      <w:r w:rsidR="00B87B84" w:rsidRPr="00564ED9">
        <w:t xml:space="preserve">pirmos eilės išplitusio ALK+ NSLPV gydymui </w:t>
      </w:r>
      <w:r w:rsidR="00B87B84">
        <w:t xml:space="preserve">rekomenduojami </w:t>
      </w:r>
      <w:r w:rsidR="00B87B84" w:rsidRPr="00564ED9">
        <w:t>kompensuojami ALK</w:t>
      </w:r>
      <w:r w:rsidR="004B25D6">
        <w:t xml:space="preserve"> </w:t>
      </w:r>
      <w:r w:rsidR="00B87B84" w:rsidRPr="00564ED9">
        <w:t xml:space="preserve">TKI </w:t>
      </w:r>
      <w:proofErr w:type="spellStart"/>
      <w:r w:rsidR="00B87B84" w:rsidRPr="00564ED9">
        <w:t>krizotinibas</w:t>
      </w:r>
      <w:proofErr w:type="spellEnd"/>
      <w:r w:rsidR="00B87B84" w:rsidRPr="00564ED9">
        <w:t xml:space="preserve">, </w:t>
      </w:r>
      <w:proofErr w:type="spellStart"/>
      <w:r w:rsidR="00B87B84" w:rsidRPr="00564ED9">
        <w:t>ceritinibas</w:t>
      </w:r>
      <w:proofErr w:type="spellEnd"/>
      <w:r w:rsidR="00B87B84" w:rsidRPr="00564ED9">
        <w:t xml:space="preserve"> ir </w:t>
      </w:r>
      <w:proofErr w:type="spellStart"/>
      <w:r w:rsidR="00B87B84" w:rsidRPr="00564ED9">
        <w:t>alektinibas</w:t>
      </w:r>
      <w:proofErr w:type="spellEnd"/>
      <w:r w:rsidR="00B87B84" w:rsidRPr="00564ED9">
        <w:t>.</w:t>
      </w:r>
      <w:r w:rsidR="00A347F1">
        <w:t xml:space="preserve"> Šie vaistiniai preparatai ir yra laikomi tinkamu palyginamuoju gydymu </w:t>
      </w:r>
      <w:proofErr w:type="spellStart"/>
      <w:r w:rsidR="00A347F1">
        <w:t>brigatinibui</w:t>
      </w:r>
      <w:proofErr w:type="spellEnd"/>
      <w:r w:rsidR="00A347F1">
        <w:t>.</w:t>
      </w:r>
    </w:p>
    <w:p w14:paraId="5328186F" w14:textId="37EFDE06" w:rsidR="004B25D6" w:rsidRDefault="004B25D6" w:rsidP="004B25D6">
      <w:pPr>
        <w:tabs>
          <w:tab w:val="left" w:pos="426"/>
        </w:tabs>
        <w:spacing w:line="276" w:lineRule="auto"/>
        <w:jc w:val="both"/>
        <w:rPr>
          <w:rFonts w:eastAsia="Arial"/>
          <w:bCs/>
        </w:rPr>
      </w:pPr>
      <w:r>
        <w:tab/>
      </w:r>
      <w:r w:rsidR="00A91C99" w:rsidRPr="003935AD">
        <w:rPr>
          <w:iCs/>
        </w:rPr>
        <w:t xml:space="preserve">Palyginamajam efektyvumui ir klinikiniam veiksmingumui pagrįsti Pareiškėjas pateikė </w:t>
      </w:r>
      <w:r>
        <w:rPr>
          <w:iCs/>
        </w:rPr>
        <w:t>tiesioginį klinikinį tyrimą ALTA-</w:t>
      </w:r>
      <w:r w:rsidRPr="004B25D6">
        <w:rPr>
          <w:iCs/>
        </w:rPr>
        <w:t>1</w:t>
      </w:r>
      <w:r>
        <w:rPr>
          <w:iCs/>
        </w:rPr>
        <w:t xml:space="preserve">L bei netiesioginį </w:t>
      </w:r>
      <w:proofErr w:type="spellStart"/>
      <w:r>
        <w:rPr>
          <w:iCs/>
        </w:rPr>
        <w:t>brigatinibo</w:t>
      </w:r>
      <w:proofErr w:type="spellEnd"/>
      <w:r>
        <w:rPr>
          <w:iCs/>
        </w:rPr>
        <w:t xml:space="preserve"> palyginimą su kitais tos pačios grupės Lietuvoje kompensuojamais ALK TKI </w:t>
      </w:r>
      <w:proofErr w:type="spellStart"/>
      <w:r>
        <w:rPr>
          <w:iCs/>
        </w:rPr>
        <w:t>ceritinibu</w:t>
      </w:r>
      <w:proofErr w:type="spellEnd"/>
      <w:r>
        <w:rPr>
          <w:iCs/>
        </w:rPr>
        <w:t xml:space="preserve"> bei </w:t>
      </w:r>
      <w:proofErr w:type="spellStart"/>
      <w:r>
        <w:rPr>
          <w:iCs/>
        </w:rPr>
        <w:t>alektinibu</w:t>
      </w:r>
      <w:proofErr w:type="spellEnd"/>
      <w:r>
        <w:rPr>
          <w:iCs/>
        </w:rPr>
        <w:t>. ALTA-</w:t>
      </w:r>
      <w:r w:rsidRPr="004B25D6">
        <w:rPr>
          <w:iCs/>
        </w:rPr>
        <w:t>1L</w:t>
      </w:r>
      <w:r>
        <w:rPr>
          <w:iCs/>
        </w:rPr>
        <w:t xml:space="preserve"> - </w:t>
      </w:r>
      <w:r w:rsidRPr="004B25D6">
        <w:rPr>
          <w:iCs/>
        </w:rPr>
        <w:t xml:space="preserve">tai </w:t>
      </w:r>
      <w:proofErr w:type="spellStart"/>
      <w:r w:rsidRPr="00E82A4B">
        <w:rPr>
          <w:rFonts w:eastAsia="Arial"/>
          <w:iCs/>
          <w:color w:val="000000" w:themeColor="text1"/>
        </w:rPr>
        <w:t>randomizuotas</w:t>
      </w:r>
      <w:proofErr w:type="spellEnd"/>
      <w:r w:rsidRPr="00E82A4B">
        <w:rPr>
          <w:rFonts w:eastAsia="Arial"/>
          <w:iCs/>
          <w:color w:val="000000" w:themeColor="text1"/>
        </w:rPr>
        <w:t xml:space="preserve"> 1:1, 3 fazės, atviras, atsitiktinių imčių klinikinis tyrimas, kuriame </w:t>
      </w:r>
      <w:proofErr w:type="spellStart"/>
      <w:r w:rsidRPr="00E82A4B">
        <w:rPr>
          <w:rFonts w:eastAsia="Arial"/>
          <w:iCs/>
          <w:color w:val="000000" w:themeColor="text1"/>
        </w:rPr>
        <w:t>brigatinibas</w:t>
      </w:r>
      <w:proofErr w:type="spellEnd"/>
      <w:r w:rsidRPr="00E82A4B">
        <w:rPr>
          <w:rFonts w:eastAsia="Arial"/>
          <w:iCs/>
          <w:color w:val="000000" w:themeColor="text1"/>
        </w:rPr>
        <w:t xml:space="preserve"> buvo lyginamas su </w:t>
      </w:r>
      <w:proofErr w:type="spellStart"/>
      <w:r w:rsidRPr="00E82A4B">
        <w:rPr>
          <w:rFonts w:eastAsia="Arial"/>
          <w:iCs/>
          <w:color w:val="000000" w:themeColor="text1"/>
        </w:rPr>
        <w:t>krizotinibu</w:t>
      </w:r>
      <w:proofErr w:type="spellEnd"/>
      <w:r w:rsidRPr="00E82A4B">
        <w:rPr>
          <w:rFonts w:eastAsia="Arial"/>
          <w:iCs/>
          <w:color w:val="000000" w:themeColor="text1"/>
        </w:rPr>
        <w:t xml:space="preserve">. </w:t>
      </w:r>
      <w:r>
        <w:rPr>
          <w:rFonts w:eastAsia="Arial"/>
          <w:iCs/>
          <w:color w:val="000000" w:themeColor="text1"/>
        </w:rPr>
        <w:t xml:space="preserve">Į tyrimą įtraukti </w:t>
      </w:r>
      <w:r w:rsidRPr="00E82A4B">
        <w:rPr>
          <w:rFonts w:eastAsia="Arial"/>
          <w:color w:val="000000" w:themeColor="text1"/>
        </w:rPr>
        <w:t xml:space="preserve">išplitusiu ALK+ NSLPV sergantys suaugusieji, anksčiau negydyti ALK </w:t>
      </w:r>
      <w:r>
        <w:rPr>
          <w:rFonts w:eastAsia="Arial"/>
          <w:color w:val="000000" w:themeColor="text1"/>
        </w:rPr>
        <w:lastRenderedPageBreak/>
        <w:t xml:space="preserve">TKI </w:t>
      </w:r>
      <w:r w:rsidRPr="00E82A4B">
        <w:rPr>
          <w:rFonts w:eastAsia="Arial"/>
          <w:color w:val="000000" w:themeColor="text1"/>
        </w:rPr>
        <w:t xml:space="preserve">inhibitoriumi, santykiu 1:1 </w:t>
      </w:r>
      <w:r>
        <w:rPr>
          <w:rFonts w:eastAsia="Arial"/>
          <w:color w:val="000000" w:themeColor="text1"/>
        </w:rPr>
        <w:t xml:space="preserve">pacientai </w:t>
      </w:r>
      <w:r w:rsidRPr="00E82A4B">
        <w:rPr>
          <w:rFonts w:eastAsia="Arial"/>
          <w:color w:val="000000" w:themeColor="text1"/>
        </w:rPr>
        <w:t xml:space="preserve">buvo atsitiktinai suskirstyti į </w:t>
      </w:r>
      <w:proofErr w:type="spellStart"/>
      <w:r w:rsidRPr="00E82A4B">
        <w:rPr>
          <w:color w:val="000000" w:themeColor="text1"/>
        </w:rPr>
        <w:t>brigatinibo</w:t>
      </w:r>
      <w:proofErr w:type="spellEnd"/>
      <w:r w:rsidRPr="00E82A4B">
        <w:rPr>
          <w:color w:val="000000" w:themeColor="text1"/>
        </w:rPr>
        <w:t xml:space="preserve"> 180 mg 1k./d. (7-ių dienų gydymo pradžiai skirta dozė - 90 mg 1k</w:t>
      </w:r>
      <w:r>
        <w:rPr>
          <w:color w:val="000000" w:themeColor="text1"/>
        </w:rPr>
        <w:t>.</w:t>
      </w:r>
      <w:r w:rsidRPr="00E82A4B">
        <w:rPr>
          <w:color w:val="000000" w:themeColor="text1"/>
        </w:rPr>
        <w:t xml:space="preserve">/d.) dozės grupę ir </w:t>
      </w:r>
      <w:proofErr w:type="spellStart"/>
      <w:r w:rsidRPr="00E82A4B">
        <w:rPr>
          <w:color w:val="000000" w:themeColor="text1"/>
        </w:rPr>
        <w:t>krizotinibo</w:t>
      </w:r>
      <w:proofErr w:type="spellEnd"/>
      <w:r w:rsidRPr="00E82A4B">
        <w:rPr>
          <w:color w:val="000000" w:themeColor="text1"/>
        </w:rPr>
        <w:t xml:space="preserve"> 250 mg 2 k./d. dozės grupę.</w:t>
      </w:r>
      <w:r>
        <w:rPr>
          <w:color w:val="000000" w:themeColor="text1"/>
        </w:rPr>
        <w:t xml:space="preserve"> Pirminė vertinamoji baigtis buvo išgyvenamumas be ligos progresavimo</w:t>
      </w:r>
      <w:r w:rsidR="00992A92">
        <w:rPr>
          <w:color w:val="000000" w:themeColor="text1"/>
        </w:rPr>
        <w:t xml:space="preserve">, vertinta, jog ši vertinamoji baigtis yra surogatinė išplitusiam NSLPV. </w:t>
      </w:r>
      <w:r w:rsidR="00992A92">
        <w:rPr>
          <w:rStyle w:val="y2iqfc"/>
          <w:color w:val="202124"/>
        </w:rPr>
        <w:t>A</w:t>
      </w:r>
      <w:r w:rsidR="00992A92" w:rsidRPr="00007DD8">
        <w:rPr>
          <w:rStyle w:val="y2iqfc"/>
          <w:color w:val="202124"/>
        </w:rPr>
        <w:t xml:space="preserve">pskaičiuotą 12 mėnesių išgyvenamumą be ligos progresavimo pasiekė 67 % pacientų </w:t>
      </w:r>
      <w:proofErr w:type="spellStart"/>
      <w:r w:rsidR="00992A92" w:rsidRPr="00007DD8">
        <w:rPr>
          <w:rStyle w:val="y2iqfc"/>
          <w:color w:val="202124"/>
        </w:rPr>
        <w:t>b</w:t>
      </w:r>
      <w:r w:rsidR="000A3A69">
        <w:rPr>
          <w:rStyle w:val="y2iqfc"/>
          <w:color w:val="202124"/>
        </w:rPr>
        <w:t>rigatinibo</w:t>
      </w:r>
      <w:proofErr w:type="spellEnd"/>
      <w:r w:rsidR="00992A92" w:rsidRPr="00007DD8">
        <w:rPr>
          <w:rStyle w:val="y2iqfc"/>
          <w:color w:val="202124"/>
        </w:rPr>
        <w:t xml:space="preserve"> grupėje (95 % PI 56-75)</w:t>
      </w:r>
      <w:r w:rsidR="00992A92">
        <w:rPr>
          <w:rStyle w:val="y2iqfc"/>
          <w:color w:val="202124"/>
        </w:rPr>
        <w:t xml:space="preserve"> ir </w:t>
      </w:r>
      <w:r w:rsidR="00992A92" w:rsidRPr="00007DD8">
        <w:rPr>
          <w:rStyle w:val="y2iqfc"/>
          <w:color w:val="202124"/>
        </w:rPr>
        <w:t>43 % pacientų (95 % PI 32-53</w:t>
      </w:r>
      <w:r w:rsidR="00992A92">
        <w:rPr>
          <w:rStyle w:val="y2iqfc"/>
          <w:color w:val="202124"/>
        </w:rPr>
        <w:t>)</w:t>
      </w:r>
      <w:r w:rsidR="00992A92" w:rsidRPr="00007DD8">
        <w:rPr>
          <w:rStyle w:val="y2iqfc"/>
          <w:color w:val="202124"/>
        </w:rPr>
        <w:t xml:space="preserve"> </w:t>
      </w:r>
      <w:proofErr w:type="spellStart"/>
      <w:r w:rsidR="00992A92" w:rsidRPr="00007DD8">
        <w:rPr>
          <w:rStyle w:val="y2iqfc"/>
          <w:color w:val="202124"/>
        </w:rPr>
        <w:t>krizotinibo</w:t>
      </w:r>
      <w:proofErr w:type="spellEnd"/>
      <w:r w:rsidR="00992A92" w:rsidRPr="00007DD8">
        <w:rPr>
          <w:rStyle w:val="y2iqfc"/>
          <w:color w:val="202124"/>
        </w:rPr>
        <w:t xml:space="preserve"> grupėje</w:t>
      </w:r>
      <w:r w:rsidR="00992A92">
        <w:rPr>
          <w:rStyle w:val="y2iqfc"/>
          <w:color w:val="202124"/>
        </w:rPr>
        <w:t xml:space="preserve">, nustatytas </w:t>
      </w:r>
      <w:r w:rsidR="00992A92" w:rsidRPr="00007DD8">
        <w:rPr>
          <w:rStyle w:val="y2iqfc"/>
          <w:color w:val="202124"/>
        </w:rPr>
        <w:t xml:space="preserve">RS ligos progresavimui ar mirčiai 0,49 (95 % PI 0,33-0,74), p&lt;0,001. Taip pat </w:t>
      </w:r>
      <w:r w:rsidR="001055F8">
        <w:rPr>
          <w:rStyle w:val="y2iqfc"/>
          <w:color w:val="202124"/>
        </w:rPr>
        <w:t xml:space="preserve">papildomai </w:t>
      </w:r>
      <w:r w:rsidR="00992A92" w:rsidRPr="00007DD8">
        <w:rPr>
          <w:rStyle w:val="y2iqfc"/>
          <w:color w:val="202124"/>
        </w:rPr>
        <w:t xml:space="preserve">pateikti duomenys po </w:t>
      </w:r>
      <w:r w:rsidR="00992A92" w:rsidRPr="00007DD8">
        <w:t>24,9 mėn.</w:t>
      </w:r>
      <w:r w:rsidR="001055F8">
        <w:t xml:space="preserve"> </w:t>
      </w:r>
      <w:r w:rsidR="00992A92">
        <w:t>p</w:t>
      </w:r>
      <w:r w:rsidR="00992A92" w:rsidRPr="00007DD8">
        <w:t xml:space="preserve">acientų stebėjimo: išgyvenamumo be ligos progresavimo mediana </w:t>
      </w:r>
      <w:proofErr w:type="spellStart"/>
      <w:r w:rsidR="00992A92" w:rsidRPr="00007DD8">
        <w:t>b</w:t>
      </w:r>
      <w:r w:rsidR="000A3A69">
        <w:t>rigatinibo</w:t>
      </w:r>
      <w:proofErr w:type="spellEnd"/>
      <w:r w:rsidR="00992A92" w:rsidRPr="00007DD8">
        <w:t xml:space="preserve"> grupėje buvo 24,0 mėn. (</w:t>
      </w:r>
      <w:r w:rsidR="00992A92" w:rsidRPr="00007DD8">
        <w:rPr>
          <w:rStyle w:val="y2iqfc"/>
          <w:color w:val="202124"/>
        </w:rPr>
        <w:t xml:space="preserve">95 % PI 18,5 – NE), </w:t>
      </w:r>
      <w:proofErr w:type="spellStart"/>
      <w:r w:rsidR="00992A92" w:rsidRPr="00007DD8">
        <w:rPr>
          <w:rStyle w:val="y2iqfc"/>
          <w:color w:val="202124"/>
        </w:rPr>
        <w:t>krizotinibo</w:t>
      </w:r>
      <w:proofErr w:type="spellEnd"/>
      <w:r w:rsidR="00992A92" w:rsidRPr="00007DD8">
        <w:rPr>
          <w:rStyle w:val="y2iqfc"/>
          <w:color w:val="202124"/>
        </w:rPr>
        <w:t xml:space="preserve"> </w:t>
      </w:r>
      <w:proofErr w:type="spellStart"/>
      <w:r w:rsidR="00992A92" w:rsidRPr="00007DD8">
        <w:rPr>
          <w:rStyle w:val="y2iqfc"/>
          <w:color w:val="202124"/>
        </w:rPr>
        <w:t>išgyvenamumo</w:t>
      </w:r>
      <w:proofErr w:type="spellEnd"/>
      <w:r w:rsidR="00992A92" w:rsidRPr="00007DD8">
        <w:rPr>
          <w:rStyle w:val="y2iqfc"/>
          <w:color w:val="202124"/>
        </w:rPr>
        <w:t xml:space="preserve"> be ligos progresavimo mediana buvo 11,0 mėn. (95 % PI 9,2 – 12,9).</w:t>
      </w:r>
      <w:r w:rsidR="001055F8">
        <w:rPr>
          <w:rStyle w:val="y2iqfc"/>
          <w:color w:val="202124"/>
        </w:rPr>
        <w:t xml:space="preserve"> Bendrasis išgyvenamumas statistiškai reikšmingai nesiskyrė tiek </w:t>
      </w:r>
      <w:proofErr w:type="spellStart"/>
      <w:r w:rsidR="001055F8">
        <w:rPr>
          <w:rStyle w:val="y2iqfc"/>
          <w:color w:val="202124"/>
        </w:rPr>
        <w:t>brigatinibo</w:t>
      </w:r>
      <w:proofErr w:type="spellEnd"/>
      <w:r w:rsidR="001055F8">
        <w:rPr>
          <w:rStyle w:val="y2iqfc"/>
          <w:color w:val="202124"/>
        </w:rPr>
        <w:t xml:space="preserve">, tiek </w:t>
      </w:r>
      <w:proofErr w:type="spellStart"/>
      <w:r w:rsidR="001055F8">
        <w:rPr>
          <w:rStyle w:val="y2iqfc"/>
          <w:color w:val="202124"/>
        </w:rPr>
        <w:t>krizotinibo</w:t>
      </w:r>
      <w:proofErr w:type="spellEnd"/>
      <w:r w:rsidR="001055F8">
        <w:rPr>
          <w:rStyle w:val="y2iqfc"/>
          <w:color w:val="202124"/>
        </w:rPr>
        <w:t xml:space="preserve"> grupėse. </w:t>
      </w:r>
      <w:r w:rsidR="00CC4872">
        <w:rPr>
          <w:rStyle w:val="y2iqfc"/>
          <w:color w:val="202124"/>
        </w:rPr>
        <w:t xml:space="preserve">Vertinant </w:t>
      </w:r>
      <w:proofErr w:type="spellStart"/>
      <w:r w:rsidR="00CC4872">
        <w:rPr>
          <w:rStyle w:val="y2iqfc"/>
          <w:color w:val="202124"/>
        </w:rPr>
        <w:t>brigatinibo</w:t>
      </w:r>
      <w:proofErr w:type="spellEnd"/>
      <w:r w:rsidR="00CC4872">
        <w:rPr>
          <w:rStyle w:val="y2iqfc"/>
          <w:color w:val="202124"/>
        </w:rPr>
        <w:t xml:space="preserve"> saugumą, </w:t>
      </w:r>
      <w:r w:rsidR="00CC4872">
        <w:rPr>
          <w:rFonts w:eastAsia="Arial"/>
          <w:bCs/>
        </w:rPr>
        <w:t xml:space="preserve">dažniausios nepageidaujamos reakcijos </w:t>
      </w:r>
      <w:r w:rsidR="00CC4872" w:rsidRPr="005869DB">
        <w:rPr>
          <w:rFonts w:eastAsia="Arial"/>
          <w:bCs/>
        </w:rPr>
        <w:t>ALTA-1L tyrime buvo viduriavimas, kuris pasirei</w:t>
      </w:r>
      <w:r w:rsidR="00CC4872">
        <w:rPr>
          <w:rFonts w:eastAsia="Arial"/>
          <w:bCs/>
        </w:rPr>
        <w:t xml:space="preserve">škė </w:t>
      </w:r>
      <w:r w:rsidR="00CC4872" w:rsidRPr="005869DB">
        <w:rPr>
          <w:rFonts w:eastAsia="Arial"/>
          <w:bCs/>
        </w:rPr>
        <w:t xml:space="preserve">52 % </w:t>
      </w:r>
      <w:proofErr w:type="spellStart"/>
      <w:r w:rsidR="00CC4872" w:rsidRPr="005869DB">
        <w:rPr>
          <w:rFonts w:eastAsia="Arial"/>
          <w:bCs/>
        </w:rPr>
        <w:t>brigatinibo</w:t>
      </w:r>
      <w:proofErr w:type="spellEnd"/>
      <w:r w:rsidR="00CC4872" w:rsidRPr="005869DB">
        <w:rPr>
          <w:rFonts w:eastAsia="Arial"/>
          <w:bCs/>
        </w:rPr>
        <w:t xml:space="preserve"> grup</w:t>
      </w:r>
      <w:r w:rsidR="00CC4872">
        <w:rPr>
          <w:rFonts w:eastAsia="Arial"/>
          <w:bCs/>
        </w:rPr>
        <w:t xml:space="preserve">ės pacientų ir </w:t>
      </w:r>
      <w:r w:rsidR="00CC4872" w:rsidRPr="005869DB">
        <w:rPr>
          <w:rFonts w:eastAsia="Arial"/>
          <w:bCs/>
        </w:rPr>
        <w:t>56</w:t>
      </w:r>
      <w:r w:rsidR="00CC4872">
        <w:rPr>
          <w:rFonts w:eastAsia="Arial"/>
          <w:bCs/>
        </w:rPr>
        <w:t xml:space="preserve"> % </w:t>
      </w:r>
      <w:proofErr w:type="spellStart"/>
      <w:r w:rsidR="00CC4872">
        <w:rPr>
          <w:rFonts w:eastAsia="Arial"/>
          <w:bCs/>
        </w:rPr>
        <w:t>krizotinibo</w:t>
      </w:r>
      <w:proofErr w:type="spellEnd"/>
      <w:r w:rsidR="00CC4872">
        <w:rPr>
          <w:rFonts w:eastAsia="Arial"/>
          <w:bCs/>
        </w:rPr>
        <w:t xml:space="preserve"> grupės pacientų. Padidėjusi </w:t>
      </w:r>
      <w:proofErr w:type="spellStart"/>
      <w:r w:rsidR="00CC4872">
        <w:rPr>
          <w:rFonts w:eastAsia="Arial"/>
          <w:bCs/>
        </w:rPr>
        <w:t>kreatinfosfokinazės</w:t>
      </w:r>
      <w:proofErr w:type="spellEnd"/>
      <w:r w:rsidR="00CC4872">
        <w:rPr>
          <w:rFonts w:eastAsia="Arial"/>
          <w:bCs/>
        </w:rPr>
        <w:t xml:space="preserve"> koncentracija buvo nustatyta </w:t>
      </w:r>
      <w:r w:rsidR="00CC4872" w:rsidRPr="001070A1">
        <w:rPr>
          <w:rFonts w:eastAsia="Arial"/>
          <w:bCs/>
        </w:rPr>
        <w:t xml:space="preserve">46 % </w:t>
      </w:r>
      <w:proofErr w:type="spellStart"/>
      <w:r w:rsidR="00CC4872">
        <w:rPr>
          <w:rFonts w:eastAsia="Arial"/>
          <w:bCs/>
        </w:rPr>
        <w:t>brigatinibo</w:t>
      </w:r>
      <w:proofErr w:type="spellEnd"/>
      <w:r w:rsidR="00CC4872">
        <w:rPr>
          <w:rFonts w:eastAsia="Arial"/>
          <w:bCs/>
        </w:rPr>
        <w:t xml:space="preserve"> grupės pacientų ir </w:t>
      </w:r>
      <w:r w:rsidR="00CC4872" w:rsidRPr="001070A1">
        <w:rPr>
          <w:rFonts w:eastAsia="Arial"/>
          <w:bCs/>
        </w:rPr>
        <w:t xml:space="preserve">17 % </w:t>
      </w:r>
      <w:proofErr w:type="spellStart"/>
      <w:r w:rsidR="00CC4872" w:rsidRPr="001070A1">
        <w:rPr>
          <w:rFonts w:eastAsia="Arial"/>
          <w:bCs/>
        </w:rPr>
        <w:t>krizotinibo</w:t>
      </w:r>
      <w:proofErr w:type="spellEnd"/>
      <w:r w:rsidR="00CC4872" w:rsidRPr="001070A1">
        <w:rPr>
          <w:rFonts w:eastAsia="Arial"/>
          <w:bCs/>
        </w:rPr>
        <w:t xml:space="preserve"> </w:t>
      </w:r>
      <w:r w:rsidR="00CC4872">
        <w:rPr>
          <w:rFonts w:eastAsia="Arial"/>
          <w:bCs/>
        </w:rPr>
        <w:t xml:space="preserve">grupės pacientų. Kosulys ir hipertenzija buvo nustatyta </w:t>
      </w:r>
      <w:r w:rsidR="00CC4872">
        <w:rPr>
          <w:rFonts w:eastAsia="Arial"/>
          <w:bCs/>
          <w:lang w:val="en-US"/>
        </w:rPr>
        <w:t xml:space="preserve">32 – 35 % </w:t>
      </w:r>
      <w:proofErr w:type="spellStart"/>
      <w:r w:rsidR="00CC4872">
        <w:rPr>
          <w:rFonts w:eastAsia="Arial"/>
          <w:bCs/>
          <w:lang w:val="en-US"/>
        </w:rPr>
        <w:t>brigatinibo</w:t>
      </w:r>
      <w:proofErr w:type="spellEnd"/>
      <w:r w:rsidR="00CC4872">
        <w:rPr>
          <w:rFonts w:eastAsia="Arial"/>
          <w:bCs/>
          <w:lang w:val="en-US"/>
        </w:rPr>
        <w:t xml:space="preserve"> </w:t>
      </w:r>
      <w:proofErr w:type="spellStart"/>
      <w:r w:rsidR="00CC4872">
        <w:rPr>
          <w:rFonts w:eastAsia="Arial"/>
          <w:bCs/>
          <w:lang w:val="en-US"/>
        </w:rPr>
        <w:t>grup</w:t>
      </w:r>
      <w:proofErr w:type="spellEnd"/>
      <w:r w:rsidR="00CC4872">
        <w:rPr>
          <w:rFonts w:eastAsia="Arial"/>
          <w:bCs/>
        </w:rPr>
        <w:t xml:space="preserve">ės pacientams ir </w:t>
      </w:r>
      <w:r w:rsidR="00CC4872">
        <w:rPr>
          <w:rFonts w:eastAsia="Arial"/>
          <w:bCs/>
          <w:lang w:val="en-US"/>
        </w:rPr>
        <w:t xml:space="preserve">8 – 20 % </w:t>
      </w:r>
      <w:proofErr w:type="spellStart"/>
      <w:r w:rsidR="00CC4872">
        <w:rPr>
          <w:rFonts w:eastAsia="Arial"/>
          <w:bCs/>
          <w:lang w:val="en-US"/>
        </w:rPr>
        <w:t>krizotinibo</w:t>
      </w:r>
      <w:proofErr w:type="spellEnd"/>
      <w:r w:rsidR="00CC4872">
        <w:rPr>
          <w:rFonts w:eastAsia="Arial"/>
          <w:bCs/>
          <w:lang w:val="en-US"/>
        </w:rPr>
        <w:t xml:space="preserve"> </w:t>
      </w:r>
      <w:proofErr w:type="spellStart"/>
      <w:r w:rsidR="00CC4872">
        <w:rPr>
          <w:rFonts w:eastAsia="Arial"/>
          <w:bCs/>
          <w:lang w:val="en-US"/>
        </w:rPr>
        <w:t>grup</w:t>
      </w:r>
      <w:proofErr w:type="spellEnd"/>
      <w:r w:rsidR="00CC4872">
        <w:rPr>
          <w:rFonts w:eastAsia="Arial"/>
          <w:bCs/>
        </w:rPr>
        <w:t xml:space="preserve">ės pacientų. Pykinimas labiau pasireiškė </w:t>
      </w:r>
      <w:proofErr w:type="spellStart"/>
      <w:r w:rsidR="00CC4872">
        <w:rPr>
          <w:rFonts w:eastAsia="Arial"/>
          <w:bCs/>
        </w:rPr>
        <w:t>krizotinibo</w:t>
      </w:r>
      <w:proofErr w:type="spellEnd"/>
      <w:r w:rsidR="00CC4872">
        <w:rPr>
          <w:rFonts w:eastAsia="Arial"/>
          <w:bCs/>
        </w:rPr>
        <w:t xml:space="preserve"> grupėje </w:t>
      </w:r>
      <w:r w:rsidR="00CC4872" w:rsidRPr="002F2772">
        <w:rPr>
          <w:rFonts w:eastAsia="Arial"/>
          <w:bCs/>
        </w:rPr>
        <w:t>58 % pacient</w:t>
      </w:r>
      <w:r w:rsidR="00CC4872">
        <w:rPr>
          <w:rFonts w:eastAsia="Arial"/>
          <w:bCs/>
        </w:rPr>
        <w:t xml:space="preserve">ų, o </w:t>
      </w:r>
      <w:proofErr w:type="spellStart"/>
      <w:r w:rsidR="00CC4872">
        <w:rPr>
          <w:rFonts w:eastAsia="Arial"/>
          <w:bCs/>
        </w:rPr>
        <w:t>brigatinibo</w:t>
      </w:r>
      <w:proofErr w:type="spellEnd"/>
      <w:r w:rsidR="00CC4872">
        <w:rPr>
          <w:rFonts w:eastAsia="Arial"/>
          <w:bCs/>
        </w:rPr>
        <w:t xml:space="preserve"> grupėje tokių pacientų buvo </w:t>
      </w:r>
      <w:r w:rsidR="00CC4872" w:rsidRPr="002F2772">
        <w:rPr>
          <w:rFonts w:eastAsia="Arial"/>
          <w:bCs/>
        </w:rPr>
        <w:t xml:space="preserve">30 </w:t>
      </w:r>
      <w:r w:rsidR="00CC4872">
        <w:rPr>
          <w:rFonts w:eastAsia="Arial"/>
          <w:bCs/>
        </w:rPr>
        <w:t xml:space="preserve">%. Bendrai </w:t>
      </w:r>
      <w:proofErr w:type="spellStart"/>
      <w:r w:rsidR="00CC4872">
        <w:rPr>
          <w:rFonts w:eastAsia="Arial"/>
          <w:bCs/>
        </w:rPr>
        <w:t>brigatinibo</w:t>
      </w:r>
      <w:proofErr w:type="spellEnd"/>
      <w:r w:rsidR="00CC4872">
        <w:rPr>
          <w:rFonts w:eastAsia="Arial"/>
          <w:bCs/>
        </w:rPr>
        <w:t xml:space="preserve"> grupėje pasireiškė </w:t>
      </w:r>
      <w:r w:rsidR="00CC4872" w:rsidRPr="002F2772">
        <w:rPr>
          <w:rFonts w:eastAsia="Arial"/>
          <w:bCs/>
        </w:rPr>
        <w:t>13 % su gydymu susijusi</w:t>
      </w:r>
      <w:r w:rsidR="00CC4872">
        <w:rPr>
          <w:rFonts w:eastAsia="Arial"/>
          <w:bCs/>
        </w:rPr>
        <w:t>ų</w:t>
      </w:r>
      <w:r w:rsidR="00CC4872" w:rsidRPr="002F2772">
        <w:rPr>
          <w:rFonts w:eastAsia="Arial"/>
          <w:bCs/>
        </w:rPr>
        <w:t xml:space="preserve"> nepageidaujam</w:t>
      </w:r>
      <w:r w:rsidR="00CC4872">
        <w:rPr>
          <w:rFonts w:eastAsia="Arial"/>
          <w:bCs/>
        </w:rPr>
        <w:t xml:space="preserve">ų reakcijų, kurios lėmė gydymo nutraukimą, o </w:t>
      </w:r>
      <w:proofErr w:type="spellStart"/>
      <w:r w:rsidR="00CC4872">
        <w:rPr>
          <w:rFonts w:eastAsia="Arial"/>
          <w:bCs/>
        </w:rPr>
        <w:t>krizotinibo</w:t>
      </w:r>
      <w:proofErr w:type="spellEnd"/>
      <w:r w:rsidR="00CC4872">
        <w:rPr>
          <w:rFonts w:eastAsia="Arial"/>
          <w:bCs/>
        </w:rPr>
        <w:t xml:space="preserve"> grupėje tokių </w:t>
      </w:r>
      <w:r w:rsidR="00971E3B">
        <w:rPr>
          <w:rFonts w:eastAsia="Arial"/>
          <w:bCs/>
        </w:rPr>
        <w:t>nepageidaujamų</w:t>
      </w:r>
      <w:r w:rsidR="00CC4872">
        <w:rPr>
          <w:rFonts w:eastAsia="Arial"/>
          <w:bCs/>
        </w:rPr>
        <w:t xml:space="preserve"> reakcijų buvo 9 %.</w:t>
      </w:r>
    </w:p>
    <w:p w14:paraId="198FA158" w14:textId="6117DDB4" w:rsidR="00CC4872" w:rsidRDefault="00CC4872" w:rsidP="004B25D6">
      <w:pPr>
        <w:tabs>
          <w:tab w:val="left" w:pos="426"/>
        </w:tabs>
        <w:spacing w:line="276" w:lineRule="auto"/>
        <w:jc w:val="both"/>
        <w:rPr>
          <w:rFonts w:eastAsia="Arial"/>
          <w:iCs/>
          <w:color w:val="000000" w:themeColor="text1"/>
        </w:rPr>
      </w:pPr>
      <w:r>
        <w:rPr>
          <w:rFonts w:eastAsia="Arial"/>
          <w:bCs/>
        </w:rPr>
        <w:tab/>
        <w:t xml:space="preserve">Pareiškėjas taip pat pateikė netiesioginį </w:t>
      </w:r>
      <w:proofErr w:type="spellStart"/>
      <w:r>
        <w:rPr>
          <w:rFonts w:eastAsia="Arial"/>
          <w:bCs/>
        </w:rPr>
        <w:t>brigatinibo</w:t>
      </w:r>
      <w:proofErr w:type="spellEnd"/>
      <w:r>
        <w:rPr>
          <w:rFonts w:eastAsia="Arial"/>
          <w:bCs/>
        </w:rPr>
        <w:t xml:space="preserve"> palyginimą su </w:t>
      </w:r>
      <w:proofErr w:type="spellStart"/>
      <w:r>
        <w:rPr>
          <w:rFonts w:eastAsia="Arial"/>
          <w:bCs/>
        </w:rPr>
        <w:t>alektinibu</w:t>
      </w:r>
      <w:proofErr w:type="spellEnd"/>
      <w:r>
        <w:rPr>
          <w:rFonts w:eastAsia="Arial"/>
          <w:bCs/>
        </w:rPr>
        <w:t xml:space="preserve"> bei </w:t>
      </w:r>
      <w:proofErr w:type="spellStart"/>
      <w:r>
        <w:rPr>
          <w:rFonts w:eastAsia="Arial"/>
          <w:bCs/>
        </w:rPr>
        <w:t>ceritinibu</w:t>
      </w:r>
      <w:proofErr w:type="spellEnd"/>
      <w:r>
        <w:rPr>
          <w:rFonts w:eastAsia="Arial"/>
          <w:bCs/>
        </w:rPr>
        <w:t xml:space="preserve"> pagal </w:t>
      </w:r>
      <w:proofErr w:type="spellStart"/>
      <w:r>
        <w:rPr>
          <w:rFonts w:eastAsia="Arial"/>
          <w:bCs/>
        </w:rPr>
        <w:t>išgyvenamumą</w:t>
      </w:r>
      <w:proofErr w:type="spellEnd"/>
      <w:r>
        <w:rPr>
          <w:rFonts w:eastAsia="Arial"/>
          <w:bCs/>
        </w:rPr>
        <w:t xml:space="preserve"> be ligos progresavimo</w:t>
      </w:r>
      <w:r w:rsidR="009F64BE">
        <w:rPr>
          <w:rFonts w:eastAsia="Arial"/>
          <w:bCs/>
        </w:rPr>
        <w:t>, tačiau statistiškai reikšmingo skirtumo tarp šių vaistų nustatyta nebuvo.</w:t>
      </w:r>
    </w:p>
    <w:p w14:paraId="69D278DA" w14:textId="7843B6B5" w:rsidR="008B5F43" w:rsidRPr="00DC0109" w:rsidRDefault="008B5F43" w:rsidP="66B2306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202124"/>
        </w:rPr>
      </w:pPr>
    </w:p>
    <w:p w14:paraId="7DE09EB5" w14:textId="69E9DD74" w:rsidR="00E03C3F" w:rsidRPr="00E33EFF" w:rsidRDefault="00CC7832" w:rsidP="00CC09D4">
      <w:pPr>
        <w:pStyle w:val="Sraopastraipa"/>
        <w:numPr>
          <w:ilvl w:val="0"/>
          <w:numId w:val="12"/>
        </w:numPr>
        <w:tabs>
          <w:tab w:val="left" w:pos="567"/>
        </w:tabs>
        <w:ind w:hanging="720"/>
        <w:rPr>
          <w:b/>
          <w:bCs/>
          <w:caps/>
        </w:rPr>
      </w:pPr>
      <w:r w:rsidRPr="00E33EFF">
        <w:rPr>
          <w:b/>
          <w:bCs/>
          <w:caps/>
        </w:rPr>
        <w:t xml:space="preserve">ekonominio vertinimo </w:t>
      </w:r>
      <w:r w:rsidR="002F0E4F" w:rsidRPr="00E33EFF">
        <w:rPr>
          <w:b/>
          <w:bCs/>
          <w:caps/>
        </w:rPr>
        <w:t>apibendrinimas</w:t>
      </w:r>
    </w:p>
    <w:p w14:paraId="1A900598" w14:textId="4826E5DF" w:rsidR="00C62B36" w:rsidRPr="000A3A69" w:rsidRDefault="00C62B36" w:rsidP="00A93AA6">
      <w:pPr>
        <w:tabs>
          <w:tab w:val="left" w:pos="426"/>
        </w:tabs>
        <w:rPr>
          <w:i/>
          <w:sz w:val="22"/>
          <w:szCs w:val="22"/>
        </w:rPr>
      </w:pPr>
    </w:p>
    <w:p w14:paraId="2CD8DBF8" w14:textId="77777777" w:rsidR="00F82712" w:rsidRPr="00F82712" w:rsidRDefault="00F82712" w:rsidP="0011111C">
      <w:pPr>
        <w:tabs>
          <w:tab w:val="left" w:pos="567"/>
        </w:tabs>
        <w:spacing w:line="276" w:lineRule="auto"/>
        <w:ind w:firstLine="432"/>
        <w:jc w:val="both"/>
        <w:rPr>
          <w:bCs/>
          <w:color w:val="000000"/>
        </w:rPr>
      </w:pPr>
      <w:r w:rsidRPr="00F82712">
        <w:rPr>
          <w:bCs/>
          <w:color w:val="000000"/>
        </w:rPr>
        <w:t xml:space="preserve">Į ekonominę analizę įtraukti pacientai atitinka kompensacijai teikiamas terapines indikacijas. Ekonominiame vertinime pacientų populiaciją sudaro teigiamu </w:t>
      </w:r>
      <w:proofErr w:type="spellStart"/>
      <w:r w:rsidRPr="00F82712">
        <w:rPr>
          <w:bCs/>
          <w:color w:val="000000"/>
        </w:rPr>
        <w:t>anaplazinės</w:t>
      </w:r>
      <w:proofErr w:type="spellEnd"/>
      <w:r w:rsidRPr="00F82712">
        <w:rPr>
          <w:bCs/>
          <w:color w:val="000000"/>
        </w:rPr>
        <w:t xml:space="preserve"> limfomos </w:t>
      </w:r>
      <w:proofErr w:type="spellStart"/>
      <w:r w:rsidRPr="00F82712">
        <w:rPr>
          <w:bCs/>
          <w:color w:val="000000"/>
        </w:rPr>
        <w:t>kinazės</w:t>
      </w:r>
      <w:proofErr w:type="spellEnd"/>
      <w:r w:rsidRPr="00F82712">
        <w:rPr>
          <w:bCs/>
          <w:color w:val="000000"/>
        </w:rPr>
        <w:t xml:space="preserve"> (ALK) atžvilgiu išplitusiu nesmulkiųjų ląstelių plaučių vėžiu (NSLPV) sergantys suaugusieji pacientai, kurie anksčiau nebuvo gydyti ALK inhibitoriumi. </w:t>
      </w:r>
    </w:p>
    <w:p w14:paraId="167B7723" w14:textId="77777777" w:rsidR="00F82712" w:rsidRPr="00F82712" w:rsidRDefault="00F82712" w:rsidP="0011111C">
      <w:pPr>
        <w:tabs>
          <w:tab w:val="left" w:pos="567"/>
        </w:tabs>
        <w:spacing w:line="276" w:lineRule="auto"/>
        <w:ind w:firstLine="432"/>
        <w:jc w:val="both"/>
        <w:rPr>
          <w:bCs/>
          <w:color w:val="000000"/>
        </w:rPr>
      </w:pPr>
      <w:r w:rsidRPr="00F82712">
        <w:rPr>
          <w:bCs/>
          <w:color w:val="000000"/>
        </w:rPr>
        <w:t>Pacientų pogrupiai analizuojami nebuvo.</w:t>
      </w:r>
    </w:p>
    <w:p w14:paraId="19963C7B" w14:textId="77777777" w:rsidR="00F82712" w:rsidRPr="00F82712" w:rsidRDefault="00F82712" w:rsidP="0011111C">
      <w:pPr>
        <w:tabs>
          <w:tab w:val="left" w:pos="567"/>
        </w:tabs>
        <w:spacing w:line="276" w:lineRule="auto"/>
        <w:ind w:firstLine="432"/>
        <w:jc w:val="both"/>
        <w:rPr>
          <w:bCs/>
          <w:color w:val="000000"/>
        </w:rPr>
      </w:pPr>
      <w:r w:rsidRPr="00F82712">
        <w:rPr>
          <w:bCs/>
          <w:color w:val="000000"/>
        </w:rPr>
        <w:t xml:space="preserve">Pirminė pateikta ekonominė analizė buvo kaštų naudingumo analizė. Atliekant pateiktos paraiškos duomenų vertinimą buvo nustatyta, kad </w:t>
      </w:r>
      <w:proofErr w:type="spellStart"/>
      <w:r w:rsidRPr="00F82712">
        <w:rPr>
          <w:bCs/>
          <w:color w:val="000000"/>
        </w:rPr>
        <w:t>brigatinibo</w:t>
      </w:r>
      <w:proofErr w:type="spellEnd"/>
      <w:r w:rsidRPr="00F82712">
        <w:rPr>
          <w:bCs/>
          <w:color w:val="000000"/>
        </w:rPr>
        <w:t xml:space="preserve"> pranašumo modeliavimas prieš palyginamuosius vaistinius preparatus yra neaiškus dėl tiesioginio palyginimo duomenų nebrandumo, netiesioginio palyginimo neapibrėžtumo, todėl manytina, kad </w:t>
      </w:r>
      <w:proofErr w:type="spellStart"/>
      <w:r w:rsidRPr="00F82712">
        <w:rPr>
          <w:bCs/>
          <w:color w:val="000000"/>
        </w:rPr>
        <w:t>brigatinibo</w:t>
      </w:r>
      <w:proofErr w:type="spellEnd"/>
      <w:r w:rsidRPr="00F82712">
        <w:rPr>
          <w:bCs/>
          <w:color w:val="000000"/>
        </w:rPr>
        <w:t xml:space="preserve"> palyginamasis efektyvumas ir klinikinis veiksmingumas yra iš esmės nesiskiriantis, lyginant su įprasta klinikine praktika (t. y. lyginant su kitais </w:t>
      </w:r>
      <w:proofErr w:type="spellStart"/>
      <w:r w:rsidRPr="00F82712">
        <w:rPr>
          <w:bCs/>
          <w:color w:val="000000"/>
        </w:rPr>
        <w:t>tirozino</w:t>
      </w:r>
      <w:proofErr w:type="spellEnd"/>
      <w:r w:rsidRPr="00F82712">
        <w:rPr>
          <w:bCs/>
          <w:color w:val="000000"/>
        </w:rPr>
        <w:t xml:space="preserve"> </w:t>
      </w:r>
      <w:proofErr w:type="spellStart"/>
      <w:r w:rsidRPr="00F82712">
        <w:rPr>
          <w:bCs/>
          <w:color w:val="000000"/>
        </w:rPr>
        <w:t>kinazės</w:t>
      </w:r>
      <w:proofErr w:type="spellEnd"/>
      <w:r w:rsidRPr="00F82712">
        <w:rPr>
          <w:bCs/>
          <w:color w:val="000000"/>
        </w:rPr>
        <w:t xml:space="preserve"> inhibitoriais). Todėl pareiškėjui teikiant paraiškos trūkumus buvo siūloma pateikti kaštų mažinimo analizę kurioje </w:t>
      </w:r>
      <w:proofErr w:type="spellStart"/>
      <w:r w:rsidRPr="00F82712">
        <w:rPr>
          <w:bCs/>
          <w:color w:val="000000"/>
        </w:rPr>
        <w:t>brigatinibo</w:t>
      </w:r>
      <w:proofErr w:type="spellEnd"/>
      <w:r w:rsidRPr="00F82712">
        <w:rPr>
          <w:bCs/>
          <w:color w:val="000000"/>
        </w:rPr>
        <w:t xml:space="preserve"> kaštai būtų lyginami su </w:t>
      </w:r>
      <w:proofErr w:type="spellStart"/>
      <w:r w:rsidRPr="00F82712">
        <w:rPr>
          <w:bCs/>
          <w:color w:val="000000"/>
        </w:rPr>
        <w:t>krizotinibo</w:t>
      </w:r>
      <w:proofErr w:type="spellEnd"/>
      <w:r w:rsidRPr="00F82712">
        <w:rPr>
          <w:bCs/>
          <w:color w:val="000000"/>
        </w:rPr>
        <w:t xml:space="preserve">, </w:t>
      </w:r>
      <w:proofErr w:type="spellStart"/>
      <w:r w:rsidRPr="00F82712">
        <w:rPr>
          <w:bCs/>
          <w:color w:val="000000"/>
        </w:rPr>
        <w:t>alektinibo</w:t>
      </w:r>
      <w:proofErr w:type="spellEnd"/>
      <w:r w:rsidRPr="00F82712">
        <w:rPr>
          <w:bCs/>
          <w:color w:val="000000"/>
        </w:rPr>
        <w:t xml:space="preserve"> bei </w:t>
      </w:r>
      <w:proofErr w:type="spellStart"/>
      <w:r w:rsidRPr="00F82712">
        <w:rPr>
          <w:bCs/>
          <w:color w:val="000000"/>
        </w:rPr>
        <w:t>ceretinibo</w:t>
      </w:r>
      <w:proofErr w:type="spellEnd"/>
      <w:r w:rsidRPr="00F82712">
        <w:rPr>
          <w:bCs/>
          <w:color w:val="000000"/>
        </w:rPr>
        <w:t xml:space="preserve"> kaštais. Pareiškėjas šią prašomą analizę pateikė. Šioje pateiktoje kaštų mažinimo analizėje yra lyginamos vienerių metų gydymo išlaidos. Analizė atlikta iš PSDF biudžeto perspektyvos, įtraukti tiesiogiai su sveikatos sistema susiję kaštai. Tai atitinka teisės aktuose nustatytus paraiškos rengimo taisyklių reikalavimus.</w:t>
      </w:r>
    </w:p>
    <w:p w14:paraId="339AE817" w14:textId="73DB770F" w:rsidR="00F82712" w:rsidRPr="00F82712" w:rsidRDefault="00F82712" w:rsidP="0011111C">
      <w:pPr>
        <w:tabs>
          <w:tab w:val="left" w:pos="567"/>
        </w:tabs>
        <w:spacing w:line="276" w:lineRule="auto"/>
        <w:ind w:firstLine="432"/>
        <w:jc w:val="both"/>
        <w:rPr>
          <w:bCs/>
          <w:color w:val="000000"/>
        </w:rPr>
      </w:pPr>
      <w:r w:rsidRPr="00F82712">
        <w:rPr>
          <w:bCs/>
          <w:color w:val="000000"/>
        </w:rPr>
        <w:t xml:space="preserve">Pareiškėjas, atlikdamas ekonominę kaštų mažinimo analizę, taiko prielaidą, kad gydymo trukmė bus vienoda. Tarnyba atkreipia dėmesį, kad vaistų vartojimo trukmė, tikėtina skiriasi tarp lyginamų vaistinių preparatų. ALK inhibitoriai vartojami tol, kol yra klinikinė nauda, o tai dažniausiu atveju reiškia, kad šie vaistai bus vartojami iki ligos progresavimo įvykio arba netoleravimo. Todėl gydymo trukmę geriausiai apibrėžia gydymo trukmės klinikiniuose tyrimuose įrodymai (gydymo trukmės mediana), jei tokie duomenys yra prieinami. </w:t>
      </w:r>
    </w:p>
    <w:p w14:paraId="58C6970A" w14:textId="77777777" w:rsidR="00F82712" w:rsidRPr="00F82712" w:rsidRDefault="00F82712" w:rsidP="0011111C">
      <w:pPr>
        <w:tabs>
          <w:tab w:val="left" w:pos="567"/>
        </w:tabs>
        <w:spacing w:line="276" w:lineRule="auto"/>
        <w:ind w:firstLine="432"/>
        <w:jc w:val="both"/>
        <w:rPr>
          <w:bCs/>
          <w:color w:val="000000"/>
        </w:rPr>
      </w:pPr>
      <w:r w:rsidRPr="00F82712">
        <w:rPr>
          <w:bCs/>
          <w:color w:val="000000"/>
        </w:rPr>
        <w:lastRenderedPageBreak/>
        <w:t xml:space="preserve">Atkreiptinas dėmesys, kad </w:t>
      </w:r>
      <w:proofErr w:type="spellStart"/>
      <w:r w:rsidRPr="00F82712">
        <w:rPr>
          <w:bCs/>
          <w:color w:val="000000"/>
        </w:rPr>
        <w:t>brigatinibo</w:t>
      </w:r>
      <w:proofErr w:type="spellEnd"/>
      <w:r w:rsidRPr="00F82712">
        <w:rPr>
          <w:bCs/>
          <w:color w:val="000000"/>
        </w:rPr>
        <w:t xml:space="preserve"> gydymo trukmės mediana yra ilgesnė už IBLP medianos trukmę. Tai rodo, kad dalis pacientų po ligos progresijos toliau tam tikrą laiką vartojo </w:t>
      </w:r>
      <w:proofErr w:type="spellStart"/>
      <w:r w:rsidRPr="00F82712">
        <w:rPr>
          <w:bCs/>
          <w:color w:val="000000"/>
        </w:rPr>
        <w:t>brigatinibą</w:t>
      </w:r>
      <w:proofErr w:type="spellEnd"/>
      <w:r w:rsidRPr="00F82712">
        <w:rPr>
          <w:bCs/>
          <w:color w:val="000000"/>
        </w:rPr>
        <w:t xml:space="preserve">. Dėl šios priežasties tarnyba mano, kad skirtingų ALK inhibitorių gydymo trukmės palyginimas gali būti netikslus, todėl ekonominėje analizėje siūlo gydymo trukmę nustatyti pagal ALK inhibitorių IBLP rezultatus. </w:t>
      </w:r>
    </w:p>
    <w:p w14:paraId="559D4EEC" w14:textId="77777777" w:rsidR="00F82712" w:rsidRPr="00F82712" w:rsidRDefault="00F82712" w:rsidP="0011111C">
      <w:pPr>
        <w:tabs>
          <w:tab w:val="left" w:pos="567"/>
        </w:tabs>
        <w:spacing w:line="276" w:lineRule="auto"/>
        <w:ind w:firstLine="432"/>
        <w:jc w:val="both"/>
        <w:rPr>
          <w:bCs/>
          <w:color w:val="000000"/>
        </w:rPr>
      </w:pPr>
      <w:r w:rsidRPr="00F82712">
        <w:rPr>
          <w:bCs/>
          <w:color w:val="000000"/>
        </w:rPr>
        <w:t xml:space="preserve">Tarnyba, apskaičiuodama kaštų mažinimo analizės rezultatus, pagrindiniame scenarijuje </w:t>
      </w:r>
      <w:proofErr w:type="spellStart"/>
      <w:r w:rsidRPr="00F82712">
        <w:rPr>
          <w:bCs/>
          <w:color w:val="000000"/>
        </w:rPr>
        <w:t>brigatinibui</w:t>
      </w:r>
      <w:proofErr w:type="spellEnd"/>
      <w:r w:rsidRPr="00F82712">
        <w:rPr>
          <w:bCs/>
          <w:color w:val="000000"/>
        </w:rPr>
        <w:t xml:space="preserve"> ir </w:t>
      </w:r>
      <w:proofErr w:type="spellStart"/>
      <w:r w:rsidRPr="00F82712">
        <w:rPr>
          <w:bCs/>
          <w:color w:val="000000"/>
        </w:rPr>
        <w:t>alektinibui</w:t>
      </w:r>
      <w:proofErr w:type="spellEnd"/>
      <w:r w:rsidRPr="00F82712">
        <w:rPr>
          <w:bCs/>
          <w:color w:val="000000"/>
        </w:rPr>
        <w:t xml:space="preserve"> taiko vienodą gydymo trukmę (24 mėn.). Taip daroma dėl to, kad:</w:t>
      </w:r>
    </w:p>
    <w:p w14:paraId="0EE989FB" w14:textId="77777777" w:rsidR="00F82712" w:rsidRPr="00F82712" w:rsidRDefault="00F82712" w:rsidP="0011111C">
      <w:pPr>
        <w:tabs>
          <w:tab w:val="left" w:pos="567"/>
        </w:tabs>
        <w:spacing w:line="276" w:lineRule="auto"/>
        <w:ind w:firstLine="432"/>
        <w:jc w:val="both"/>
        <w:rPr>
          <w:bCs/>
          <w:color w:val="000000"/>
        </w:rPr>
      </w:pPr>
      <w:r w:rsidRPr="00F82712">
        <w:rPr>
          <w:bCs/>
          <w:color w:val="000000"/>
        </w:rPr>
        <w:t>1.</w:t>
      </w:r>
      <w:r w:rsidRPr="00F82712">
        <w:rPr>
          <w:bCs/>
          <w:color w:val="000000"/>
        </w:rPr>
        <w:tab/>
        <w:t>tai būtų konservatyvesnė prielaida nei taikant IBLP medianų trukmes;</w:t>
      </w:r>
    </w:p>
    <w:p w14:paraId="305F1848" w14:textId="77777777" w:rsidR="00F82712" w:rsidRPr="00F82712" w:rsidRDefault="00F82712" w:rsidP="0011111C">
      <w:pPr>
        <w:tabs>
          <w:tab w:val="left" w:pos="567"/>
        </w:tabs>
        <w:spacing w:line="276" w:lineRule="auto"/>
        <w:ind w:firstLine="432"/>
        <w:jc w:val="both"/>
        <w:rPr>
          <w:bCs/>
          <w:color w:val="000000"/>
        </w:rPr>
      </w:pPr>
      <w:r w:rsidRPr="00F82712">
        <w:rPr>
          <w:bCs/>
          <w:color w:val="000000"/>
        </w:rPr>
        <w:t>2.</w:t>
      </w:r>
      <w:r w:rsidRPr="00F82712">
        <w:rPr>
          <w:bCs/>
          <w:color w:val="000000"/>
        </w:rPr>
        <w:tab/>
        <w:t xml:space="preserve">atsižvelgiama į pareiškėjo prieš tai teiktą kaštų naudingumo analizę, kurioje modeliuojama </w:t>
      </w:r>
      <w:proofErr w:type="spellStart"/>
      <w:r w:rsidRPr="00F82712">
        <w:rPr>
          <w:bCs/>
          <w:color w:val="000000"/>
        </w:rPr>
        <w:t>brigatinibo</w:t>
      </w:r>
      <w:proofErr w:type="spellEnd"/>
      <w:r w:rsidRPr="00F82712">
        <w:rPr>
          <w:bCs/>
          <w:color w:val="000000"/>
        </w:rPr>
        <w:t xml:space="preserve"> ir </w:t>
      </w:r>
      <w:proofErr w:type="spellStart"/>
      <w:r w:rsidRPr="00F82712">
        <w:rPr>
          <w:bCs/>
          <w:color w:val="000000"/>
        </w:rPr>
        <w:t>alektinibo</w:t>
      </w:r>
      <w:proofErr w:type="spellEnd"/>
      <w:r w:rsidRPr="00F82712">
        <w:rPr>
          <w:bCs/>
          <w:color w:val="000000"/>
        </w:rPr>
        <w:t xml:space="preserve"> gydymo trukmės mediana buvo labai panaši, atitinkamai 24,8 mėn. </w:t>
      </w:r>
      <w:proofErr w:type="spellStart"/>
      <w:r w:rsidRPr="00F82712">
        <w:rPr>
          <w:bCs/>
          <w:color w:val="000000"/>
        </w:rPr>
        <w:t>brigatinibui</w:t>
      </w:r>
      <w:proofErr w:type="spellEnd"/>
      <w:r w:rsidRPr="00F82712">
        <w:rPr>
          <w:bCs/>
          <w:color w:val="000000"/>
        </w:rPr>
        <w:t xml:space="preserve"> ir 23,9 mėn. </w:t>
      </w:r>
      <w:proofErr w:type="spellStart"/>
      <w:r w:rsidRPr="00F82712">
        <w:rPr>
          <w:bCs/>
          <w:color w:val="000000"/>
        </w:rPr>
        <w:t>alektinibui</w:t>
      </w:r>
      <w:proofErr w:type="spellEnd"/>
      <w:r w:rsidRPr="00F82712">
        <w:rPr>
          <w:bCs/>
          <w:color w:val="000000"/>
        </w:rPr>
        <w:t xml:space="preserve">. </w:t>
      </w:r>
    </w:p>
    <w:p w14:paraId="4B33618A" w14:textId="77777777" w:rsidR="00F82712" w:rsidRPr="00F82712" w:rsidRDefault="00F82712" w:rsidP="0011111C">
      <w:pPr>
        <w:tabs>
          <w:tab w:val="left" w:pos="567"/>
        </w:tabs>
        <w:spacing w:line="276" w:lineRule="auto"/>
        <w:ind w:firstLine="432"/>
        <w:jc w:val="both"/>
        <w:rPr>
          <w:bCs/>
          <w:color w:val="000000"/>
        </w:rPr>
      </w:pPr>
      <w:r w:rsidRPr="00F82712">
        <w:rPr>
          <w:bCs/>
          <w:color w:val="000000"/>
        </w:rPr>
        <w:t>3.</w:t>
      </w:r>
      <w:r w:rsidRPr="00F82712">
        <w:rPr>
          <w:bCs/>
          <w:color w:val="000000"/>
        </w:rPr>
        <w:tab/>
        <w:t xml:space="preserve">atsižvelgiama į </w:t>
      </w:r>
      <w:proofErr w:type="spellStart"/>
      <w:r w:rsidRPr="00F82712">
        <w:rPr>
          <w:bCs/>
          <w:color w:val="000000"/>
        </w:rPr>
        <w:t>brigatinibo</w:t>
      </w:r>
      <w:proofErr w:type="spellEnd"/>
      <w:r w:rsidRPr="00F82712">
        <w:rPr>
          <w:bCs/>
          <w:color w:val="000000"/>
        </w:rPr>
        <w:t xml:space="preserve"> atitinkamos paraiškos vertinimus kitų šalių agentūrose – pvz., NICE savo vertinime </w:t>
      </w:r>
      <w:proofErr w:type="spellStart"/>
      <w:r w:rsidRPr="00F82712">
        <w:rPr>
          <w:bCs/>
          <w:color w:val="000000"/>
        </w:rPr>
        <w:t>brigatinibui</w:t>
      </w:r>
      <w:proofErr w:type="spellEnd"/>
      <w:r w:rsidRPr="00F82712">
        <w:rPr>
          <w:bCs/>
          <w:color w:val="000000"/>
        </w:rPr>
        <w:t xml:space="preserve"> ir </w:t>
      </w:r>
      <w:proofErr w:type="spellStart"/>
      <w:r w:rsidRPr="00F82712">
        <w:rPr>
          <w:bCs/>
          <w:color w:val="000000"/>
        </w:rPr>
        <w:t>alektinibui</w:t>
      </w:r>
      <w:proofErr w:type="spellEnd"/>
      <w:r w:rsidRPr="00F82712">
        <w:rPr>
          <w:bCs/>
          <w:color w:val="000000"/>
        </w:rPr>
        <w:t xml:space="preserve"> taikė vienodą gydymo trukmę - buvo taikoma </w:t>
      </w:r>
      <w:proofErr w:type="spellStart"/>
      <w:r w:rsidRPr="00F82712">
        <w:rPr>
          <w:bCs/>
          <w:color w:val="000000"/>
        </w:rPr>
        <w:t>brigatinibo</w:t>
      </w:r>
      <w:proofErr w:type="spellEnd"/>
      <w:r w:rsidRPr="00F82712">
        <w:rPr>
          <w:bCs/>
          <w:color w:val="000000"/>
        </w:rPr>
        <w:t xml:space="preserve"> gydymo trukmė, nustatyta klinikiniame tyrime, tiek </w:t>
      </w:r>
      <w:proofErr w:type="spellStart"/>
      <w:r w:rsidRPr="00F82712">
        <w:rPr>
          <w:bCs/>
          <w:color w:val="000000"/>
        </w:rPr>
        <w:t>brigatinibui</w:t>
      </w:r>
      <w:proofErr w:type="spellEnd"/>
      <w:r w:rsidRPr="00F82712">
        <w:rPr>
          <w:bCs/>
          <w:color w:val="000000"/>
        </w:rPr>
        <w:t xml:space="preserve">, tiek </w:t>
      </w:r>
      <w:proofErr w:type="spellStart"/>
      <w:r w:rsidRPr="00F82712">
        <w:rPr>
          <w:bCs/>
          <w:color w:val="000000"/>
        </w:rPr>
        <w:t>alektinibui</w:t>
      </w:r>
      <w:proofErr w:type="spellEnd"/>
      <w:r w:rsidRPr="00F82712">
        <w:rPr>
          <w:bCs/>
          <w:color w:val="000000"/>
        </w:rPr>
        <w:t xml:space="preserve"> (24 mėn.).</w:t>
      </w:r>
    </w:p>
    <w:p w14:paraId="0D31CDBE" w14:textId="77777777" w:rsidR="00F82712" w:rsidRPr="00F82712" w:rsidRDefault="00F82712" w:rsidP="0011111C">
      <w:pPr>
        <w:tabs>
          <w:tab w:val="left" w:pos="567"/>
        </w:tabs>
        <w:spacing w:line="276" w:lineRule="auto"/>
        <w:ind w:firstLine="432"/>
        <w:jc w:val="both"/>
        <w:rPr>
          <w:bCs/>
          <w:color w:val="000000"/>
        </w:rPr>
      </w:pPr>
      <w:r w:rsidRPr="00F82712">
        <w:rPr>
          <w:bCs/>
          <w:color w:val="000000"/>
        </w:rPr>
        <w:t xml:space="preserve">Pareiškėjas skaičiuojant palyginamojo gydymo vidutinius kaštus atsižvelgia į pacientų skaičių, kurie vartoja skirtingus ALK inhibitorius. Remiantis 2022 m. I-III ketvirčių kompensuojamųjų vaistų išdavimo duomenimis, 85 proc. pacientų vartojo </w:t>
      </w:r>
      <w:proofErr w:type="spellStart"/>
      <w:r w:rsidRPr="00F82712">
        <w:rPr>
          <w:bCs/>
          <w:color w:val="000000"/>
        </w:rPr>
        <w:t>alektinibą</w:t>
      </w:r>
      <w:proofErr w:type="spellEnd"/>
      <w:r w:rsidRPr="00F82712">
        <w:rPr>
          <w:bCs/>
          <w:color w:val="000000"/>
        </w:rPr>
        <w:t xml:space="preserve">, 10 proc. </w:t>
      </w:r>
      <w:proofErr w:type="spellStart"/>
      <w:r w:rsidRPr="00F82712">
        <w:rPr>
          <w:bCs/>
          <w:color w:val="000000"/>
        </w:rPr>
        <w:t>krizotinibą</w:t>
      </w:r>
      <w:proofErr w:type="spellEnd"/>
      <w:r w:rsidRPr="00F82712">
        <w:rPr>
          <w:bCs/>
          <w:color w:val="000000"/>
        </w:rPr>
        <w:t xml:space="preserve">, 5 proc. </w:t>
      </w:r>
      <w:proofErr w:type="spellStart"/>
      <w:r w:rsidRPr="00F82712">
        <w:rPr>
          <w:bCs/>
          <w:color w:val="000000"/>
        </w:rPr>
        <w:t>ceritinibą</w:t>
      </w:r>
      <w:proofErr w:type="spellEnd"/>
      <w:r w:rsidRPr="00F82712">
        <w:rPr>
          <w:bCs/>
          <w:color w:val="000000"/>
        </w:rPr>
        <w:t>.</w:t>
      </w:r>
    </w:p>
    <w:p w14:paraId="4AAEA6FF" w14:textId="77777777" w:rsidR="00F82712" w:rsidRPr="00F82712" w:rsidRDefault="00F82712" w:rsidP="0011111C">
      <w:pPr>
        <w:tabs>
          <w:tab w:val="left" w:pos="567"/>
        </w:tabs>
        <w:spacing w:line="276" w:lineRule="auto"/>
        <w:ind w:firstLine="432"/>
        <w:jc w:val="both"/>
        <w:rPr>
          <w:bCs/>
          <w:color w:val="000000"/>
        </w:rPr>
      </w:pPr>
      <w:r w:rsidRPr="00F82712">
        <w:rPr>
          <w:bCs/>
          <w:color w:val="000000"/>
        </w:rPr>
        <w:t xml:space="preserve">Diskontavimas kaštams nėra taikomas. Tarnyba tai vertina kaip trūkumą, ypač vertinant gydymo alternatyvų kaštus taikant skirtingą gydymo trukmę. Tačiau poveikis analizės rezultatui dėl itin trumpos laiko perspektyvos tikėtina yra minimalus. </w:t>
      </w:r>
    </w:p>
    <w:p w14:paraId="29496E96" w14:textId="77777777" w:rsidR="00F82712" w:rsidRPr="00F82712" w:rsidRDefault="00F82712" w:rsidP="0011111C">
      <w:pPr>
        <w:tabs>
          <w:tab w:val="left" w:pos="567"/>
        </w:tabs>
        <w:spacing w:line="276" w:lineRule="auto"/>
        <w:ind w:firstLine="432"/>
        <w:jc w:val="both"/>
        <w:rPr>
          <w:bCs/>
          <w:color w:val="000000"/>
        </w:rPr>
      </w:pPr>
      <w:r w:rsidRPr="00F82712">
        <w:rPr>
          <w:bCs/>
          <w:color w:val="000000"/>
        </w:rPr>
        <w:t xml:space="preserve">Tarnyba baziniame scenarijuje analizės rezultatus apskaičiuoja ALK inhibitorių gydymo trukmei taikant IBLP rezultatus, o </w:t>
      </w:r>
      <w:proofErr w:type="spellStart"/>
      <w:r w:rsidRPr="00F82712">
        <w:rPr>
          <w:bCs/>
          <w:color w:val="000000"/>
        </w:rPr>
        <w:t>alektinibui</w:t>
      </w:r>
      <w:proofErr w:type="spellEnd"/>
      <w:r w:rsidRPr="00F82712">
        <w:rPr>
          <w:bCs/>
          <w:color w:val="000000"/>
        </w:rPr>
        <w:t xml:space="preserve"> taikant </w:t>
      </w:r>
      <w:proofErr w:type="spellStart"/>
      <w:r w:rsidRPr="00F82712">
        <w:rPr>
          <w:bCs/>
          <w:color w:val="000000"/>
        </w:rPr>
        <w:t>brigatinibo</w:t>
      </w:r>
      <w:proofErr w:type="spellEnd"/>
      <w:r w:rsidRPr="00F82712">
        <w:rPr>
          <w:bCs/>
          <w:color w:val="000000"/>
        </w:rPr>
        <w:t xml:space="preserve"> IBLP rezultatą. Remiantis šiais skaičiavimais, </w:t>
      </w:r>
      <w:proofErr w:type="spellStart"/>
      <w:r w:rsidRPr="00F82712">
        <w:rPr>
          <w:bCs/>
          <w:color w:val="000000"/>
        </w:rPr>
        <w:t>brigatinibas</w:t>
      </w:r>
      <w:proofErr w:type="spellEnd"/>
      <w:r w:rsidRPr="00F82712">
        <w:rPr>
          <w:bCs/>
          <w:color w:val="000000"/>
        </w:rPr>
        <w:t xml:space="preserve"> yra pigesnė gydymo alternatyva lyginant su bendrais (apskaičiuotais pagal svertinį suvartojimo vidurkį) kitų TLK inhibitorių gydymo kaštais.</w:t>
      </w:r>
    </w:p>
    <w:p w14:paraId="116F4138" w14:textId="77777777" w:rsidR="00F82712" w:rsidRDefault="00F82712" w:rsidP="00DB72FF">
      <w:pPr>
        <w:tabs>
          <w:tab w:val="left" w:pos="567"/>
        </w:tabs>
        <w:spacing w:line="276" w:lineRule="auto"/>
        <w:rPr>
          <w:bCs/>
          <w:color w:val="000000"/>
        </w:rPr>
      </w:pPr>
    </w:p>
    <w:p w14:paraId="76BF43EB" w14:textId="51939AFF" w:rsidR="00C93EE2" w:rsidRDefault="00C93EE2" w:rsidP="00DB72FF">
      <w:pPr>
        <w:tabs>
          <w:tab w:val="left" w:pos="567"/>
        </w:tabs>
        <w:spacing w:line="276" w:lineRule="auto"/>
        <w:rPr>
          <w:bCs/>
          <w:color w:val="000000"/>
        </w:rPr>
      </w:pPr>
      <w:r>
        <w:rPr>
          <w:bCs/>
          <w:color w:val="000000"/>
        </w:rPr>
        <w:t xml:space="preserve">Tarnybos apskaičiuotas analizės rezultatas pateiktas lentelėje. </w:t>
      </w:r>
    </w:p>
    <w:p w14:paraId="26ADFBBC" w14:textId="77777777" w:rsidR="00F82712" w:rsidRDefault="00F82712" w:rsidP="00DB72FF">
      <w:pPr>
        <w:tabs>
          <w:tab w:val="left" w:pos="567"/>
        </w:tabs>
        <w:spacing w:line="276" w:lineRule="auto"/>
        <w:rPr>
          <w:bCs/>
          <w:color w:val="000000"/>
        </w:rPr>
      </w:pPr>
    </w:p>
    <w:p w14:paraId="522C8370" w14:textId="77777777" w:rsidR="00F82712" w:rsidRPr="00040765" w:rsidRDefault="00F82712" w:rsidP="00F82712">
      <w:pPr>
        <w:pStyle w:val="Antrat"/>
        <w:rPr>
          <w:color w:val="auto"/>
          <w:sz w:val="24"/>
          <w:szCs w:val="20"/>
        </w:rPr>
      </w:pPr>
      <w:r w:rsidRPr="00040765">
        <w:rPr>
          <w:color w:val="auto"/>
          <w:sz w:val="24"/>
          <w:szCs w:val="20"/>
        </w:rPr>
        <w:t xml:space="preserve">15.1.2. lentelė. Analizės rezultatas taikant </w:t>
      </w:r>
      <w:r>
        <w:rPr>
          <w:color w:val="auto"/>
          <w:sz w:val="24"/>
          <w:szCs w:val="20"/>
        </w:rPr>
        <w:t>Tarnybos taikomas pagrindinio atvejo prielaidas</w:t>
      </w:r>
    </w:p>
    <w:tbl>
      <w:tblPr>
        <w:tblStyle w:val="Lentelstinklelis"/>
        <w:tblW w:w="9863" w:type="dxa"/>
        <w:tblLook w:val="04A0" w:firstRow="1" w:lastRow="0" w:firstColumn="1" w:lastColumn="0" w:noHBand="0" w:noVBand="1"/>
      </w:tblPr>
      <w:tblGrid>
        <w:gridCol w:w="2245"/>
        <w:gridCol w:w="1800"/>
        <w:gridCol w:w="1097"/>
        <w:gridCol w:w="1576"/>
        <w:gridCol w:w="1584"/>
        <w:gridCol w:w="1768"/>
      </w:tblGrid>
      <w:tr w:rsidR="00F82712" w:rsidRPr="00040765" w14:paraId="2F68D136" w14:textId="77777777" w:rsidTr="00CA2748">
        <w:trPr>
          <w:trHeight w:val="250"/>
        </w:trPr>
        <w:tc>
          <w:tcPr>
            <w:tcW w:w="2245" w:type="dxa"/>
            <w:noWrap/>
            <w:vAlign w:val="center"/>
            <w:hideMark/>
          </w:tcPr>
          <w:p w14:paraId="10BB3243" w14:textId="77777777" w:rsidR="00F82712" w:rsidRPr="00040765" w:rsidRDefault="00F82712" w:rsidP="00CA2748">
            <w:pPr>
              <w:tabs>
                <w:tab w:val="left" w:pos="567"/>
              </w:tabs>
              <w:jc w:val="both"/>
              <w:rPr>
                <w:b/>
                <w:bCs/>
                <w:lang w:eastAsia="lt-LT"/>
              </w:rPr>
            </w:pPr>
            <w:r w:rsidRPr="00040765">
              <w:rPr>
                <w:b/>
                <w:bCs/>
                <w:lang w:eastAsia="lt-LT"/>
              </w:rPr>
              <w:t>Vaistas</w:t>
            </w:r>
          </w:p>
        </w:tc>
        <w:tc>
          <w:tcPr>
            <w:tcW w:w="1800" w:type="dxa"/>
            <w:noWrap/>
            <w:vAlign w:val="center"/>
            <w:hideMark/>
          </w:tcPr>
          <w:p w14:paraId="7883EE42" w14:textId="77777777" w:rsidR="00F82712" w:rsidRPr="00040765" w:rsidRDefault="00F82712" w:rsidP="00CA2748">
            <w:pPr>
              <w:tabs>
                <w:tab w:val="left" w:pos="567"/>
              </w:tabs>
              <w:jc w:val="both"/>
              <w:rPr>
                <w:b/>
                <w:bCs/>
                <w:lang w:eastAsia="lt-LT"/>
              </w:rPr>
            </w:pPr>
            <w:r w:rsidRPr="00040765">
              <w:rPr>
                <w:b/>
                <w:bCs/>
                <w:lang w:eastAsia="lt-LT"/>
              </w:rPr>
              <w:t>Paros gydymo kaina, Eur</w:t>
            </w:r>
          </w:p>
        </w:tc>
        <w:tc>
          <w:tcPr>
            <w:tcW w:w="1097" w:type="dxa"/>
            <w:noWrap/>
            <w:vAlign w:val="center"/>
            <w:hideMark/>
          </w:tcPr>
          <w:p w14:paraId="78584379" w14:textId="77777777" w:rsidR="00F82712" w:rsidRPr="00040765" w:rsidRDefault="00F82712" w:rsidP="00CA2748">
            <w:pPr>
              <w:tabs>
                <w:tab w:val="left" w:pos="567"/>
              </w:tabs>
              <w:jc w:val="both"/>
              <w:rPr>
                <w:b/>
                <w:bCs/>
                <w:lang w:eastAsia="lt-LT"/>
              </w:rPr>
            </w:pPr>
            <w:r w:rsidRPr="00040765">
              <w:rPr>
                <w:b/>
                <w:bCs/>
                <w:lang w:eastAsia="lt-LT"/>
              </w:rPr>
              <w:t>Gydymo trukmė</w:t>
            </w:r>
          </w:p>
        </w:tc>
        <w:tc>
          <w:tcPr>
            <w:tcW w:w="1369" w:type="dxa"/>
            <w:noWrap/>
            <w:vAlign w:val="center"/>
            <w:hideMark/>
          </w:tcPr>
          <w:p w14:paraId="6D216F91" w14:textId="77777777" w:rsidR="00F82712" w:rsidRPr="00040765" w:rsidRDefault="00F82712" w:rsidP="00CA2748">
            <w:pPr>
              <w:tabs>
                <w:tab w:val="left" w:pos="567"/>
              </w:tabs>
              <w:jc w:val="both"/>
              <w:rPr>
                <w:b/>
                <w:bCs/>
                <w:lang w:eastAsia="lt-LT"/>
              </w:rPr>
            </w:pPr>
            <w:r w:rsidRPr="00040765">
              <w:rPr>
                <w:b/>
                <w:bCs/>
                <w:lang w:eastAsia="lt-LT"/>
              </w:rPr>
              <w:t>Gydymo kaina, Eur</w:t>
            </w:r>
          </w:p>
        </w:tc>
        <w:tc>
          <w:tcPr>
            <w:tcW w:w="1584" w:type="dxa"/>
            <w:noWrap/>
            <w:vAlign w:val="center"/>
            <w:hideMark/>
          </w:tcPr>
          <w:p w14:paraId="36C1FC32" w14:textId="77777777" w:rsidR="00F82712" w:rsidRPr="00040765" w:rsidRDefault="00F82712" w:rsidP="00CA2748">
            <w:pPr>
              <w:tabs>
                <w:tab w:val="left" w:pos="567"/>
              </w:tabs>
              <w:jc w:val="both"/>
              <w:rPr>
                <w:b/>
                <w:bCs/>
                <w:lang w:eastAsia="lt-LT"/>
              </w:rPr>
            </w:pPr>
            <w:r w:rsidRPr="00040765">
              <w:rPr>
                <w:b/>
                <w:bCs/>
                <w:lang w:eastAsia="lt-LT"/>
              </w:rPr>
              <w:t>Suvartojimo dalis</w:t>
            </w:r>
          </w:p>
        </w:tc>
        <w:tc>
          <w:tcPr>
            <w:tcW w:w="1768" w:type="dxa"/>
            <w:noWrap/>
            <w:vAlign w:val="center"/>
            <w:hideMark/>
          </w:tcPr>
          <w:p w14:paraId="4AF4E101" w14:textId="77777777" w:rsidR="00F82712" w:rsidRPr="00040765" w:rsidRDefault="00F82712" w:rsidP="00CA2748">
            <w:pPr>
              <w:tabs>
                <w:tab w:val="left" w:pos="567"/>
              </w:tabs>
              <w:jc w:val="both"/>
              <w:rPr>
                <w:b/>
                <w:bCs/>
                <w:lang w:eastAsia="lt-LT"/>
              </w:rPr>
            </w:pPr>
            <w:r w:rsidRPr="00040765">
              <w:rPr>
                <w:b/>
                <w:bCs/>
                <w:lang w:eastAsia="lt-LT"/>
              </w:rPr>
              <w:t>Visos gydymo išlaidos, Eur</w:t>
            </w:r>
          </w:p>
        </w:tc>
      </w:tr>
      <w:tr w:rsidR="00F82712" w:rsidRPr="00040765" w14:paraId="47443038" w14:textId="77777777" w:rsidTr="00CA2748">
        <w:trPr>
          <w:trHeight w:val="240"/>
        </w:trPr>
        <w:tc>
          <w:tcPr>
            <w:tcW w:w="2245" w:type="dxa"/>
            <w:noWrap/>
            <w:hideMark/>
          </w:tcPr>
          <w:p w14:paraId="632EC308" w14:textId="77777777" w:rsidR="00F82712" w:rsidRPr="00040765" w:rsidRDefault="00F82712" w:rsidP="00CA2748">
            <w:pPr>
              <w:tabs>
                <w:tab w:val="left" w:pos="567"/>
              </w:tabs>
              <w:jc w:val="both"/>
              <w:rPr>
                <w:lang w:eastAsia="lt-LT"/>
              </w:rPr>
            </w:pPr>
            <w:proofErr w:type="spellStart"/>
            <w:r w:rsidRPr="00040765">
              <w:rPr>
                <w:lang w:eastAsia="lt-LT"/>
              </w:rPr>
              <w:t>Brigatinibas</w:t>
            </w:r>
            <w:proofErr w:type="spellEnd"/>
            <w:r w:rsidRPr="00040765">
              <w:rPr>
                <w:lang w:eastAsia="lt-LT"/>
              </w:rPr>
              <w:t xml:space="preserve"> 30 mg</w:t>
            </w:r>
          </w:p>
        </w:tc>
        <w:tc>
          <w:tcPr>
            <w:tcW w:w="1800" w:type="dxa"/>
            <w:noWrap/>
            <w:vAlign w:val="center"/>
            <w:hideMark/>
          </w:tcPr>
          <w:p w14:paraId="13FCEF83" w14:textId="6640E872" w:rsidR="00F82712" w:rsidRPr="00DA463F" w:rsidRDefault="00DA463F" w:rsidP="00CA2748">
            <w:pPr>
              <w:tabs>
                <w:tab w:val="left" w:pos="567"/>
              </w:tabs>
              <w:jc w:val="center"/>
              <w:rPr>
                <w:lang w:eastAsia="lt-LT"/>
              </w:rPr>
            </w:pPr>
            <w:r w:rsidRPr="00DA463F">
              <w:rPr>
                <w:lang w:eastAsia="lt-LT"/>
              </w:rPr>
              <w:t>(</w:t>
            </w:r>
            <w:r w:rsidRPr="00DA463F">
              <w:rPr>
                <w:i/>
                <w:lang w:eastAsia="lt-LT"/>
              </w:rPr>
              <w:t>neviešinama</w:t>
            </w:r>
            <w:r w:rsidRPr="00DA463F">
              <w:rPr>
                <w:lang w:eastAsia="lt-LT"/>
              </w:rPr>
              <w:t>)</w:t>
            </w:r>
          </w:p>
        </w:tc>
        <w:tc>
          <w:tcPr>
            <w:tcW w:w="1097" w:type="dxa"/>
            <w:noWrap/>
          </w:tcPr>
          <w:p w14:paraId="697D33C1" w14:textId="77777777" w:rsidR="00F82712" w:rsidRPr="00040765" w:rsidRDefault="00F82712" w:rsidP="00CA2748">
            <w:pPr>
              <w:tabs>
                <w:tab w:val="left" w:pos="567"/>
              </w:tabs>
              <w:jc w:val="center"/>
              <w:rPr>
                <w:lang w:eastAsia="lt-LT"/>
              </w:rPr>
            </w:pPr>
            <w:r w:rsidRPr="00083897">
              <w:t>7</w:t>
            </w:r>
          </w:p>
        </w:tc>
        <w:tc>
          <w:tcPr>
            <w:tcW w:w="1369" w:type="dxa"/>
            <w:noWrap/>
          </w:tcPr>
          <w:p w14:paraId="033751AD" w14:textId="59AE2EA2" w:rsidR="00F82712" w:rsidRPr="001647DC" w:rsidRDefault="00DA463F" w:rsidP="00CA2748">
            <w:pPr>
              <w:tabs>
                <w:tab w:val="left" w:pos="567"/>
              </w:tabs>
              <w:jc w:val="center"/>
              <w:rPr>
                <w:highlight w:val="yellow"/>
                <w:lang w:eastAsia="lt-LT"/>
              </w:rPr>
            </w:pPr>
            <w:r w:rsidRPr="00DA463F">
              <w:rPr>
                <w:lang w:eastAsia="lt-LT"/>
              </w:rPr>
              <w:t>(</w:t>
            </w:r>
            <w:r w:rsidRPr="00DA463F">
              <w:rPr>
                <w:i/>
                <w:lang w:eastAsia="lt-LT"/>
              </w:rPr>
              <w:t>neviešinama</w:t>
            </w:r>
            <w:r w:rsidRPr="00DA463F">
              <w:rPr>
                <w:lang w:eastAsia="lt-LT"/>
              </w:rPr>
              <w:t>)</w:t>
            </w:r>
          </w:p>
        </w:tc>
        <w:tc>
          <w:tcPr>
            <w:tcW w:w="1584" w:type="dxa"/>
            <w:vMerge w:val="restart"/>
            <w:noWrap/>
            <w:vAlign w:val="center"/>
            <w:hideMark/>
          </w:tcPr>
          <w:p w14:paraId="7C451629" w14:textId="77777777" w:rsidR="00F82712" w:rsidRPr="00040765" w:rsidRDefault="00F82712" w:rsidP="00CA2748">
            <w:pPr>
              <w:tabs>
                <w:tab w:val="left" w:pos="567"/>
              </w:tabs>
              <w:jc w:val="center"/>
              <w:rPr>
                <w:lang w:eastAsia="lt-LT"/>
              </w:rPr>
            </w:pPr>
          </w:p>
        </w:tc>
        <w:tc>
          <w:tcPr>
            <w:tcW w:w="1768" w:type="dxa"/>
            <w:vMerge w:val="restart"/>
            <w:noWrap/>
            <w:vAlign w:val="center"/>
          </w:tcPr>
          <w:p w14:paraId="01702B92" w14:textId="6FD90113" w:rsidR="00F82712" w:rsidRPr="00040765" w:rsidRDefault="00DA463F" w:rsidP="00CA2748">
            <w:pPr>
              <w:tabs>
                <w:tab w:val="left" w:pos="567"/>
              </w:tabs>
              <w:jc w:val="center"/>
              <w:rPr>
                <w:lang w:eastAsia="lt-LT"/>
              </w:rPr>
            </w:pPr>
            <w:r w:rsidRPr="00DA463F">
              <w:rPr>
                <w:lang w:eastAsia="lt-LT"/>
              </w:rPr>
              <w:t>(</w:t>
            </w:r>
            <w:r w:rsidRPr="00DA463F">
              <w:rPr>
                <w:i/>
                <w:lang w:eastAsia="lt-LT"/>
              </w:rPr>
              <w:t>neviešinama</w:t>
            </w:r>
            <w:r w:rsidRPr="00DA463F">
              <w:rPr>
                <w:lang w:eastAsia="lt-LT"/>
              </w:rPr>
              <w:t>)</w:t>
            </w:r>
          </w:p>
        </w:tc>
      </w:tr>
      <w:tr w:rsidR="00F82712" w:rsidRPr="00040765" w14:paraId="02DA6775" w14:textId="77777777" w:rsidTr="00CA2748">
        <w:trPr>
          <w:trHeight w:val="240"/>
        </w:trPr>
        <w:tc>
          <w:tcPr>
            <w:tcW w:w="2245" w:type="dxa"/>
            <w:noWrap/>
            <w:hideMark/>
          </w:tcPr>
          <w:p w14:paraId="1DFAA652" w14:textId="77777777" w:rsidR="00F82712" w:rsidRPr="00040765" w:rsidRDefault="00F82712" w:rsidP="00CA2748">
            <w:pPr>
              <w:tabs>
                <w:tab w:val="left" w:pos="567"/>
              </w:tabs>
              <w:jc w:val="both"/>
              <w:rPr>
                <w:lang w:eastAsia="lt-LT"/>
              </w:rPr>
            </w:pPr>
            <w:proofErr w:type="spellStart"/>
            <w:r w:rsidRPr="00040765">
              <w:rPr>
                <w:lang w:eastAsia="lt-LT"/>
              </w:rPr>
              <w:t>Brigatinibas</w:t>
            </w:r>
            <w:proofErr w:type="spellEnd"/>
            <w:r w:rsidRPr="00040765">
              <w:rPr>
                <w:lang w:eastAsia="lt-LT"/>
              </w:rPr>
              <w:t xml:space="preserve"> 180 mg</w:t>
            </w:r>
          </w:p>
        </w:tc>
        <w:tc>
          <w:tcPr>
            <w:tcW w:w="1800" w:type="dxa"/>
            <w:noWrap/>
            <w:vAlign w:val="center"/>
            <w:hideMark/>
          </w:tcPr>
          <w:p w14:paraId="33CB4BCA" w14:textId="498472F4" w:rsidR="00F82712" w:rsidRPr="001647DC" w:rsidRDefault="00DA463F" w:rsidP="00CA2748">
            <w:pPr>
              <w:tabs>
                <w:tab w:val="left" w:pos="567"/>
              </w:tabs>
              <w:jc w:val="center"/>
              <w:rPr>
                <w:highlight w:val="yellow"/>
                <w:lang w:eastAsia="lt-LT"/>
              </w:rPr>
            </w:pPr>
            <w:r w:rsidRPr="00DA463F">
              <w:rPr>
                <w:lang w:eastAsia="lt-LT"/>
              </w:rPr>
              <w:t>(</w:t>
            </w:r>
            <w:r w:rsidRPr="00DA463F">
              <w:rPr>
                <w:i/>
                <w:lang w:eastAsia="lt-LT"/>
              </w:rPr>
              <w:t>neviešinama</w:t>
            </w:r>
            <w:r w:rsidRPr="00DA463F">
              <w:rPr>
                <w:lang w:eastAsia="lt-LT"/>
              </w:rPr>
              <w:t>)</w:t>
            </w:r>
          </w:p>
        </w:tc>
        <w:tc>
          <w:tcPr>
            <w:tcW w:w="1097" w:type="dxa"/>
            <w:noWrap/>
          </w:tcPr>
          <w:p w14:paraId="19276079" w14:textId="77777777" w:rsidR="00F82712" w:rsidRPr="00040765" w:rsidRDefault="00F82712" w:rsidP="00CA2748">
            <w:pPr>
              <w:tabs>
                <w:tab w:val="left" w:pos="567"/>
              </w:tabs>
              <w:jc w:val="center"/>
              <w:rPr>
                <w:lang w:eastAsia="lt-LT"/>
              </w:rPr>
            </w:pPr>
            <w:r w:rsidRPr="00083897">
              <w:t>723</w:t>
            </w:r>
          </w:p>
        </w:tc>
        <w:tc>
          <w:tcPr>
            <w:tcW w:w="1369" w:type="dxa"/>
            <w:noWrap/>
          </w:tcPr>
          <w:p w14:paraId="16ACBE80" w14:textId="1EFD25BF" w:rsidR="00F82712" w:rsidRPr="001647DC" w:rsidRDefault="00DA463F" w:rsidP="00CA2748">
            <w:pPr>
              <w:tabs>
                <w:tab w:val="left" w:pos="567"/>
              </w:tabs>
              <w:jc w:val="center"/>
              <w:rPr>
                <w:highlight w:val="yellow"/>
                <w:lang w:eastAsia="lt-LT"/>
              </w:rPr>
            </w:pPr>
            <w:r w:rsidRPr="00DA463F">
              <w:rPr>
                <w:lang w:eastAsia="lt-LT"/>
              </w:rPr>
              <w:t>(</w:t>
            </w:r>
            <w:r w:rsidRPr="00DA463F">
              <w:rPr>
                <w:i/>
                <w:lang w:eastAsia="lt-LT"/>
              </w:rPr>
              <w:t>neviešinama</w:t>
            </w:r>
            <w:r w:rsidRPr="00DA463F">
              <w:rPr>
                <w:lang w:eastAsia="lt-LT"/>
              </w:rPr>
              <w:t>)</w:t>
            </w:r>
          </w:p>
        </w:tc>
        <w:tc>
          <w:tcPr>
            <w:tcW w:w="1584" w:type="dxa"/>
            <w:vMerge/>
            <w:noWrap/>
            <w:vAlign w:val="center"/>
            <w:hideMark/>
          </w:tcPr>
          <w:p w14:paraId="7C150558" w14:textId="77777777" w:rsidR="00F82712" w:rsidRPr="00040765" w:rsidRDefault="00F82712" w:rsidP="00CA2748">
            <w:pPr>
              <w:tabs>
                <w:tab w:val="left" w:pos="567"/>
              </w:tabs>
              <w:jc w:val="center"/>
              <w:rPr>
                <w:lang w:eastAsia="lt-LT"/>
              </w:rPr>
            </w:pPr>
          </w:p>
        </w:tc>
        <w:tc>
          <w:tcPr>
            <w:tcW w:w="1768" w:type="dxa"/>
            <w:vMerge/>
            <w:noWrap/>
            <w:vAlign w:val="center"/>
          </w:tcPr>
          <w:p w14:paraId="4D7B00CC" w14:textId="77777777" w:rsidR="00F82712" w:rsidRPr="00040765" w:rsidRDefault="00F82712" w:rsidP="00CA2748">
            <w:pPr>
              <w:tabs>
                <w:tab w:val="left" w:pos="567"/>
              </w:tabs>
              <w:jc w:val="center"/>
              <w:rPr>
                <w:lang w:eastAsia="lt-LT"/>
              </w:rPr>
            </w:pPr>
          </w:p>
        </w:tc>
      </w:tr>
      <w:tr w:rsidR="00F82712" w:rsidRPr="00040765" w14:paraId="3CE0C43C" w14:textId="77777777" w:rsidTr="00CA2748">
        <w:trPr>
          <w:trHeight w:val="240"/>
        </w:trPr>
        <w:tc>
          <w:tcPr>
            <w:tcW w:w="2245" w:type="dxa"/>
            <w:noWrap/>
            <w:hideMark/>
          </w:tcPr>
          <w:p w14:paraId="0FBFA2B6" w14:textId="77777777" w:rsidR="00F82712" w:rsidRPr="00040765" w:rsidRDefault="00F82712" w:rsidP="00CA2748">
            <w:pPr>
              <w:tabs>
                <w:tab w:val="left" w:pos="567"/>
              </w:tabs>
              <w:jc w:val="both"/>
              <w:rPr>
                <w:lang w:eastAsia="lt-LT"/>
              </w:rPr>
            </w:pPr>
            <w:proofErr w:type="spellStart"/>
            <w:r w:rsidRPr="00040765">
              <w:rPr>
                <w:lang w:eastAsia="lt-LT"/>
              </w:rPr>
              <w:t>Krizotinibas</w:t>
            </w:r>
            <w:proofErr w:type="spellEnd"/>
            <w:r w:rsidRPr="00040765">
              <w:rPr>
                <w:lang w:eastAsia="lt-LT"/>
              </w:rPr>
              <w:t xml:space="preserve"> 250  mg</w:t>
            </w:r>
          </w:p>
        </w:tc>
        <w:tc>
          <w:tcPr>
            <w:tcW w:w="1800" w:type="dxa"/>
            <w:noWrap/>
            <w:vAlign w:val="center"/>
            <w:hideMark/>
          </w:tcPr>
          <w:p w14:paraId="45D1E43B" w14:textId="77777777" w:rsidR="00F82712" w:rsidRPr="00040765" w:rsidRDefault="00F82712" w:rsidP="00CA2748">
            <w:pPr>
              <w:tabs>
                <w:tab w:val="left" w:pos="567"/>
              </w:tabs>
              <w:jc w:val="center"/>
              <w:rPr>
                <w:lang w:eastAsia="lt-LT"/>
              </w:rPr>
            </w:pPr>
            <w:r w:rsidRPr="00040765">
              <w:rPr>
                <w:lang w:eastAsia="lt-LT"/>
              </w:rPr>
              <w:t>135,07</w:t>
            </w:r>
          </w:p>
        </w:tc>
        <w:tc>
          <w:tcPr>
            <w:tcW w:w="1097" w:type="dxa"/>
            <w:noWrap/>
          </w:tcPr>
          <w:p w14:paraId="202D7A2F" w14:textId="77777777" w:rsidR="00F82712" w:rsidRPr="00040765" w:rsidRDefault="00F82712" w:rsidP="00CA2748">
            <w:pPr>
              <w:tabs>
                <w:tab w:val="left" w:pos="567"/>
              </w:tabs>
              <w:jc w:val="center"/>
              <w:rPr>
                <w:lang w:eastAsia="lt-LT"/>
              </w:rPr>
            </w:pPr>
            <w:r w:rsidRPr="00083897">
              <w:t>338</w:t>
            </w:r>
          </w:p>
        </w:tc>
        <w:tc>
          <w:tcPr>
            <w:tcW w:w="1369" w:type="dxa"/>
            <w:noWrap/>
          </w:tcPr>
          <w:p w14:paraId="0BB5333F" w14:textId="77777777" w:rsidR="00F82712" w:rsidRPr="00040765" w:rsidRDefault="00F82712" w:rsidP="00CA2748">
            <w:pPr>
              <w:tabs>
                <w:tab w:val="left" w:pos="567"/>
              </w:tabs>
              <w:jc w:val="center"/>
              <w:rPr>
                <w:lang w:eastAsia="lt-LT"/>
              </w:rPr>
            </w:pPr>
            <w:r w:rsidRPr="006D7E52">
              <w:t>45</w:t>
            </w:r>
            <w:r>
              <w:t xml:space="preserve"> </w:t>
            </w:r>
            <w:r w:rsidRPr="006D7E52">
              <w:t>653</w:t>
            </w:r>
          </w:p>
        </w:tc>
        <w:tc>
          <w:tcPr>
            <w:tcW w:w="1584" w:type="dxa"/>
            <w:noWrap/>
            <w:vAlign w:val="center"/>
            <w:hideMark/>
          </w:tcPr>
          <w:p w14:paraId="417BA704" w14:textId="77777777" w:rsidR="00F82712" w:rsidRPr="00040765" w:rsidRDefault="00F82712" w:rsidP="00CA2748">
            <w:pPr>
              <w:tabs>
                <w:tab w:val="left" w:pos="567"/>
              </w:tabs>
              <w:jc w:val="center"/>
              <w:rPr>
                <w:lang w:eastAsia="lt-LT"/>
              </w:rPr>
            </w:pPr>
            <w:r w:rsidRPr="00040765">
              <w:rPr>
                <w:lang w:eastAsia="lt-LT"/>
              </w:rPr>
              <w:t>10%</w:t>
            </w:r>
          </w:p>
        </w:tc>
        <w:tc>
          <w:tcPr>
            <w:tcW w:w="1768" w:type="dxa"/>
            <w:vMerge w:val="restart"/>
            <w:noWrap/>
            <w:vAlign w:val="center"/>
          </w:tcPr>
          <w:p w14:paraId="3FC327F5" w14:textId="77777777" w:rsidR="00F82712" w:rsidRPr="00040765" w:rsidRDefault="00F82712" w:rsidP="00CA2748">
            <w:pPr>
              <w:tabs>
                <w:tab w:val="left" w:pos="567"/>
              </w:tabs>
              <w:jc w:val="center"/>
              <w:rPr>
                <w:lang w:eastAsia="lt-LT"/>
              </w:rPr>
            </w:pPr>
            <w:r w:rsidRPr="00A6425C">
              <w:rPr>
                <w:lang w:eastAsia="lt-LT"/>
              </w:rPr>
              <w:t>103</w:t>
            </w:r>
            <w:r>
              <w:rPr>
                <w:lang w:eastAsia="lt-LT"/>
              </w:rPr>
              <w:t xml:space="preserve"> </w:t>
            </w:r>
            <w:r w:rsidRPr="00A6425C">
              <w:rPr>
                <w:lang w:eastAsia="lt-LT"/>
              </w:rPr>
              <w:t>115</w:t>
            </w:r>
            <w:r>
              <w:rPr>
                <w:lang w:eastAsia="lt-LT"/>
              </w:rPr>
              <w:t>,</w:t>
            </w:r>
            <w:r w:rsidRPr="00A6425C">
              <w:rPr>
                <w:lang w:eastAsia="lt-LT"/>
              </w:rPr>
              <w:t>88</w:t>
            </w:r>
          </w:p>
        </w:tc>
      </w:tr>
      <w:tr w:rsidR="00F82712" w:rsidRPr="00040765" w14:paraId="7B794F8D" w14:textId="77777777" w:rsidTr="00CA2748">
        <w:trPr>
          <w:trHeight w:val="240"/>
        </w:trPr>
        <w:tc>
          <w:tcPr>
            <w:tcW w:w="2245" w:type="dxa"/>
            <w:noWrap/>
            <w:hideMark/>
          </w:tcPr>
          <w:p w14:paraId="15D510A9" w14:textId="77777777" w:rsidR="00F82712" w:rsidRPr="00040765" w:rsidRDefault="00F82712" w:rsidP="00CA2748">
            <w:pPr>
              <w:tabs>
                <w:tab w:val="left" w:pos="567"/>
              </w:tabs>
              <w:jc w:val="both"/>
              <w:rPr>
                <w:lang w:eastAsia="lt-LT"/>
              </w:rPr>
            </w:pPr>
            <w:proofErr w:type="spellStart"/>
            <w:r w:rsidRPr="00040765">
              <w:rPr>
                <w:lang w:eastAsia="lt-LT"/>
              </w:rPr>
              <w:t>Ceritinibas</w:t>
            </w:r>
            <w:proofErr w:type="spellEnd"/>
            <w:r w:rsidRPr="00040765">
              <w:rPr>
                <w:lang w:eastAsia="lt-LT"/>
              </w:rPr>
              <w:t xml:space="preserve"> 150 mg</w:t>
            </w:r>
          </w:p>
        </w:tc>
        <w:tc>
          <w:tcPr>
            <w:tcW w:w="1800" w:type="dxa"/>
            <w:noWrap/>
            <w:vAlign w:val="center"/>
            <w:hideMark/>
          </w:tcPr>
          <w:p w14:paraId="29ECD539" w14:textId="77777777" w:rsidR="00F82712" w:rsidRPr="00040765" w:rsidRDefault="00F82712" w:rsidP="00CA2748">
            <w:pPr>
              <w:tabs>
                <w:tab w:val="left" w:pos="567"/>
              </w:tabs>
              <w:jc w:val="center"/>
              <w:rPr>
                <w:lang w:eastAsia="lt-LT"/>
              </w:rPr>
            </w:pPr>
            <w:r w:rsidRPr="00040765">
              <w:rPr>
                <w:lang w:eastAsia="lt-LT"/>
              </w:rPr>
              <w:t>89,96</w:t>
            </w:r>
          </w:p>
        </w:tc>
        <w:tc>
          <w:tcPr>
            <w:tcW w:w="1097" w:type="dxa"/>
            <w:noWrap/>
          </w:tcPr>
          <w:p w14:paraId="7DBCBD86" w14:textId="77777777" w:rsidR="00F82712" w:rsidRPr="00040765" w:rsidRDefault="00F82712" w:rsidP="00CA2748">
            <w:pPr>
              <w:tabs>
                <w:tab w:val="left" w:pos="567"/>
              </w:tabs>
              <w:jc w:val="center"/>
              <w:rPr>
                <w:lang w:eastAsia="lt-LT"/>
              </w:rPr>
            </w:pPr>
            <w:r w:rsidRPr="00083897">
              <w:t>505</w:t>
            </w:r>
          </w:p>
        </w:tc>
        <w:tc>
          <w:tcPr>
            <w:tcW w:w="1369" w:type="dxa"/>
            <w:noWrap/>
          </w:tcPr>
          <w:p w14:paraId="4CBFCB5E" w14:textId="77777777" w:rsidR="00F82712" w:rsidRPr="00040765" w:rsidRDefault="00F82712" w:rsidP="00CA2748">
            <w:pPr>
              <w:tabs>
                <w:tab w:val="left" w:pos="567"/>
              </w:tabs>
              <w:jc w:val="center"/>
              <w:rPr>
                <w:lang w:eastAsia="lt-LT"/>
              </w:rPr>
            </w:pPr>
            <w:r w:rsidRPr="006D7E52">
              <w:t>45</w:t>
            </w:r>
            <w:r>
              <w:t xml:space="preserve"> </w:t>
            </w:r>
            <w:r w:rsidRPr="006D7E52">
              <w:t>428</w:t>
            </w:r>
          </w:p>
        </w:tc>
        <w:tc>
          <w:tcPr>
            <w:tcW w:w="1584" w:type="dxa"/>
            <w:noWrap/>
            <w:vAlign w:val="center"/>
            <w:hideMark/>
          </w:tcPr>
          <w:p w14:paraId="74E9C191" w14:textId="77777777" w:rsidR="00F82712" w:rsidRPr="00040765" w:rsidRDefault="00F82712" w:rsidP="00CA2748">
            <w:pPr>
              <w:tabs>
                <w:tab w:val="left" w:pos="567"/>
              </w:tabs>
              <w:jc w:val="center"/>
              <w:rPr>
                <w:lang w:eastAsia="lt-LT"/>
              </w:rPr>
            </w:pPr>
            <w:r w:rsidRPr="00040765">
              <w:rPr>
                <w:lang w:eastAsia="lt-LT"/>
              </w:rPr>
              <w:t>5%</w:t>
            </w:r>
          </w:p>
        </w:tc>
        <w:tc>
          <w:tcPr>
            <w:tcW w:w="1768" w:type="dxa"/>
            <w:vMerge/>
            <w:noWrap/>
            <w:vAlign w:val="center"/>
          </w:tcPr>
          <w:p w14:paraId="46B3D182" w14:textId="77777777" w:rsidR="00F82712" w:rsidRPr="00040765" w:rsidRDefault="00F82712" w:rsidP="00CA2748">
            <w:pPr>
              <w:tabs>
                <w:tab w:val="left" w:pos="567"/>
              </w:tabs>
              <w:jc w:val="center"/>
              <w:rPr>
                <w:lang w:eastAsia="lt-LT"/>
              </w:rPr>
            </w:pPr>
          </w:p>
        </w:tc>
      </w:tr>
      <w:tr w:rsidR="00F82712" w:rsidRPr="00040765" w14:paraId="09851B59" w14:textId="77777777" w:rsidTr="00CA2748">
        <w:trPr>
          <w:trHeight w:val="250"/>
        </w:trPr>
        <w:tc>
          <w:tcPr>
            <w:tcW w:w="2245" w:type="dxa"/>
            <w:noWrap/>
            <w:hideMark/>
          </w:tcPr>
          <w:p w14:paraId="77EDC091" w14:textId="77777777" w:rsidR="00F82712" w:rsidRPr="00040765" w:rsidRDefault="00F82712" w:rsidP="00CA2748">
            <w:pPr>
              <w:tabs>
                <w:tab w:val="left" w:pos="567"/>
              </w:tabs>
              <w:jc w:val="both"/>
              <w:rPr>
                <w:lang w:eastAsia="lt-LT"/>
              </w:rPr>
            </w:pPr>
            <w:proofErr w:type="spellStart"/>
            <w:r w:rsidRPr="00040765">
              <w:rPr>
                <w:lang w:eastAsia="lt-LT"/>
              </w:rPr>
              <w:t>Alektinibas</w:t>
            </w:r>
            <w:proofErr w:type="spellEnd"/>
            <w:r w:rsidRPr="00040765">
              <w:rPr>
                <w:lang w:eastAsia="lt-LT"/>
              </w:rPr>
              <w:t xml:space="preserve"> 150 mg</w:t>
            </w:r>
          </w:p>
        </w:tc>
        <w:tc>
          <w:tcPr>
            <w:tcW w:w="1800" w:type="dxa"/>
            <w:noWrap/>
            <w:vAlign w:val="center"/>
            <w:hideMark/>
          </w:tcPr>
          <w:p w14:paraId="77016DB0" w14:textId="77777777" w:rsidR="00F82712" w:rsidRPr="00040765" w:rsidRDefault="00F82712" w:rsidP="00CA2748">
            <w:pPr>
              <w:tabs>
                <w:tab w:val="left" w:pos="567"/>
              </w:tabs>
              <w:jc w:val="center"/>
              <w:rPr>
                <w:lang w:eastAsia="lt-LT"/>
              </w:rPr>
            </w:pPr>
            <w:r w:rsidRPr="00040765">
              <w:rPr>
                <w:lang w:eastAsia="lt-LT"/>
              </w:rPr>
              <w:t>155,16</w:t>
            </w:r>
          </w:p>
        </w:tc>
        <w:tc>
          <w:tcPr>
            <w:tcW w:w="1097" w:type="dxa"/>
            <w:noWrap/>
          </w:tcPr>
          <w:p w14:paraId="0CD9F240" w14:textId="77777777" w:rsidR="00F82712" w:rsidRPr="00040765" w:rsidRDefault="00F82712" w:rsidP="00CA2748">
            <w:pPr>
              <w:tabs>
                <w:tab w:val="left" w:pos="567"/>
              </w:tabs>
              <w:jc w:val="center"/>
              <w:rPr>
                <w:lang w:eastAsia="lt-LT"/>
              </w:rPr>
            </w:pPr>
            <w:r w:rsidRPr="00083897">
              <w:t>730</w:t>
            </w:r>
          </w:p>
        </w:tc>
        <w:tc>
          <w:tcPr>
            <w:tcW w:w="1369" w:type="dxa"/>
            <w:noWrap/>
          </w:tcPr>
          <w:p w14:paraId="202F37BA" w14:textId="77777777" w:rsidR="00F82712" w:rsidRPr="00040765" w:rsidRDefault="00F82712" w:rsidP="00CA2748">
            <w:pPr>
              <w:tabs>
                <w:tab w:val="left" w:pos="567"/>
              </w:tabs>
              <w:jc w:val="center"/>
              <w:rPr>
                <w:lang w:eastAsia="lt-LT"/>
              </w:rPr>
            </w:pPr>
            <w:r w:rsidRPr="006D7E52">
              <w:t>113</w:t>
            </w:r>
            <w:r>
              <w:t xml:space="preserve"> </w:t>
            </w:r>
            <w:r w:rsidRPr="006D7E52">
              <w:t>270</w:t>
            </w:r>
          </w:p>
        </w:tc>
        <w:tc>
          <w:tcPr>
            <w:tcW w:w="1584" w:type="dxa"/>
            <w:noWrap/>
            <w:vAlign w:val="center"/>
            <w:hideMark/>
          </w:tcPr>
          <w:p w14:paraId="4E799012" w14:textId="77777777" w:rsidR="00F82712" w:rsidRPr="00040765" w:rsidRDefault="00F82712" w:rsidP="00CA2748">
            <w:pPr>
              <w:tabs>
                <w:tab w:val="left" w:pos="567"/>
              </w:tabs>
              <w:jc w:val="center"/>
              <w:rPr>
                <w:lang w:eastAsia="lt-LT"/>
              </w:rPr>
            </w:pPr>
            <w:r w:rsidRPr="00040765">
              <w:rPr>
                <w:lang w:eastAsia="lt-LT"/>
              </w:rPr>
              <w:t>85%</w:t>
            </w:r>
          </w:p>
        </w:tc>
        <w:tc>
          <w:tcPr>
            <w:tcW w:w="1768" w:type="dxa"/>
            <w:vMerge/>
            <w:noWrap/>
            <w:vAlign w:val="center"/>
          </w:tcPr>
          <w:p w14:paraId="2898D08B" w14:textId="77777777" w:rsidR="00F82712" w:rsidRPr="00040765" w:rsidRDefault="00F82712" w:rsidP="00CA2748">
            <w:pPr>
              <w:tabs>
                <w:tab w:val="left" w:pos="567"/>
              </w:tabs>
              <w:jc w:val="center"/>
              <w:rPr>
                <w:lang w:eastAsia="lt-LT"/>
              </w:rPr>
            </w:pPr>
          </w:p>
        </w:tc>
      </w:tr>
      <w:tr w:rsidR="00F82712" w:rsidRPr="00040765" w14:paraId="7087EB96" w14:textId="77777777" w:rsidTr="00CA2748">
        <w:trPr>
          <w:trHeight w:val="250"/>
        </w:trPr>
        <w:tc>
          <w:tcPr>
            <w:tcW w:w="6511" w:type="dxa"/>
            <w:gridSpan w:val="4"/>
            <w:vMerge w:val="restart"/>
            <w:tcBorders>
              <w:left w:val="nil"/>
            </w:tcBorders>
            <w:noWrap/>
            <w:vAlign w:val="center"/>
            <w:hideMark/>
          </w:tcPr>
          <w:p w14:paraId="5276D74F" w14:textId="77777777" w:rsidR="00F82712" w:rsidRPr="00040765" w:rsidRDefault="00F82712" w:rsidP="00CA2748">
            <w:pPr>
              <w:tabs>
                <w:tab w:val="left" w:pos="567"/>
              </w:tabs>
              <w:jc w:val="center"/>
              <w:rPr>
                <w:lang w:eastAsia="lt-LT"/>
              </w:rPr>
            </w:pPr>
          </w:p>
        </w:tc>
        <w:tc>
          <w:tcPr>
            <w:tcW w:w="1584" w:type="dxa"/>
            <w:vMerge w:val="restart"/>
            <w:noWrap/>
            <w:vAlign w:val="center"/>
            <w:hideMark/>
          </w:tcPr>
          <w:p w14:paraId="342ED175" w14:textId="77777777" w:rsidR="00F82712" w:rsidRPr="00040765" w:rsidRDefault="00F82712" w:rsidP="00CA2748">
            <w:pPr>
              <w:tabs>
                <w:tab w:val="left" w:pos="567"/>
              </w:tabs>
              <w:jc w:val="center"/>
              <w:rPr>
                <w:lang w:eastAsia="lt-LT"/>
              </w:rPr>
            </w:pPr>
            <w:r w:rsidRPr="00040765">
              <w:rPr>
                <w:lang w:eastAsia="lt-LT"/>
              </w:rPr>
              <w:t>Skirtumas</w:t>
            </w:r>
          </w:p>
        </w:tc>
        <w:tc>
          <w:tcPr>
            <w:tcW w:w="1768" w:type="dxa"/>
            <w:noWrap/>
            <w:vAlign w:val="center"/>
            <w:hideMark/>
          </w:tcPr>
          <w:p w14:paraId="03265498" w14:textId="0AD1A05C" w:rsidR="00F82712" w:rsidRPr="001647DC" w:rsidRDefault="00DA463F" w:rsidP="00CA2748">
            <w:pPr>
              <w:tabs>
                <w:tab w:val="left" w:pos="567"/>
              </w:tabs>
              <w:jc w:val="center"/>
              <w:rPr>
                <w:b/>
                <w:bCs/>
                <w:highlight w:val="yellow"/>
                <w:lang w:eastAsia="lt-LT"/>
              </w:rPr>
            </w:pPr>
            <w:r w:rsidRPr="00DA463F">
              <w:rPr>
                <w:lang w:eastAsia="lt-LT"/>
              </w:rPr>
              <w:t>(</w:t>
            </w:r>
            <w:r w:rsidRPr="00DA463F">
              <w:rPr>
                <w:i/>
                <w:lang w:eastAsia="lt-LT"/>
              </w:rPr>
              <w:t>neviešinama</w:t>
            </w:r>
            <w:r w:rsidRPr="00DA463F">
              <w:rPr>
                <w:lang w:eastAsia="lt-LT"/>
              </w:rPr>
              <w:t>)</w:t>
            </w:r>
          </w:p>
        </w:tc>
      </w:tr>
      <w:tr w:rsidR="00F82712" w:rsidRPr="00C57D6F" w14:paraId="3A4F515C" w14:textId="77777777" w:rsidTr="00CA2748">
        <w:trPr>
          <w:trHeight w:val="240"/>
        </w:trPr>
        <w:tc>
          <w:tcPr>
            <w:tcW w:w="6511" w:type="dxa"/>
            <w:gridSpan w:val="4"/>
            <w:vMerge/>
            <w:tcBorders>
              <w:left w:val="nil"/>
              <w:bottom w:val="nil"/>
            </w:tcBorders>
            <w:noWrap/>
            <w:vAlign w:val="center"/>
            <w:hideMark/>
          </w:tcPr>
          <w:p w14:paraId="2965C551" w14:textId="77777777" w:rsidR="00F82712" w:rsidRPr="00040765" w:rsidRDefault="00F82712" w:rsidP="00CA2748">
            <w:pPr>
              <w:tabs>
                <w:tab w:val="left" w:pos="567"/>
              </w:tabs>
              <w:jc w:val="center"/>
              <w:rPr>
                <w:lang w:eastAsia="lt-LT"/>
              </w:rPr>
            </w:pPr>
          </w:p>
        </w:tc>
        <w:tc>
          <w:tcPr>
            <w:tcW w:w="1584" w:type="dxa"/>
            <w:vMerge/>
            <w:noWrap/>
            <w:vAlign w:val="center"/>
            <w:hideMark/>
          </w:tcPr>
          <w:p w14:paraId="404F8D84" w14:textId="77777777" w:rsidR="00F82712" w:rsidRPr="00040765" w:rsidRDefault="00F82712" w:rsidP="00CA2748">
            <w:pPr>
              <w:tabs>
                <w:tab w:val="left" w:pos="567"/>
              </w:tabs>
              <w:jc w:val="center"/>
              <w:rPr>
                <w:lang w:eastAsia="lt-LT"/>
              </w:rPr>
            </w:pPr>
          </w:p>
        </w:tc>
        <w:tc>
          <w:tcPr>
            <w:tcW w:w="1768" w:type="dxa"/>
            <w:noWrap/>
            <w:vAlign w:val="center"/>
            <w:hideMark/>
          </w:tcPr>
          <w:p w14:paraId="46F4D9AB" w14:textId="667E3B55" w:rsidR="00F82712" w:rsidRPr="001647DC" w:rsidRDefault="00DA463F" w:rsidP="00CA2748">
            <w:pPr>
              <w:tabs>
                <w:tab w:val="left" w:pos="567"/>
              </w:tabs>
              <w:jc w:val="center"/>
              <w:rPr>
                <w:b/>
                <w:bCs/>
                <w:highlight w:val="yellow"/>
                <w:lang w:eastAsia="lt-LT"/>
              </w:rPr>
            </w:pPr>
            <w:r w:rsidRPr="00DA463F">
              <w:rPr>
                <w:lang w:eastAsia="lt-LT"/>
              </w:rPr>
              <w:t>(</w:t>
            </w:r>
            <w:r w:rsidRPr="00DA463F">
              <w:rPr>
                <w:i/>
                <w:lang w:eastAsia="lt-LT"/>
              </w:rPr>
              <w:t>neviešinama</w:t>
            </w:r>
            <w:r w:rsidRPr="00DA463F">
              <w:rPr>
                <w:lang w:eastAsia="lt-LT"/>
              </w:rPr>
              <w:t>)</w:t>
            </w:r>
            <w:bookmarkStart w:id="0" w:name="_GoBack"/>
            <w:bookmarkEnd w:id="0"/>
          </w:p>
        </w:tc>
      </w:tr>
    </w:tbl>
    <w:p w14:paraId="33875138" w14:textId="77777777" w:rsidR="0035172D" w:rsidRDefault="0035172D" w:rsidP="00A93AA6">
      <w:pPr>
        <w:tabs>
          <w:tab w:val="left" w:pos="426"/>
        </w:tabs>
        <w:rPr>
          <w:b/>
          <w:bCs/>
          <w:caps/>
        </w:rPr>
      </w:pPr>
    </w:p>
    <w:p w14:paraId="353A005F" w14:textId="77777777" w:rsidR="005E4A4C" w:rsidRPr="00E33EFF" w:rsidRDefault="005E4A4C" w:rsidP="00A93AA6">
      <w:pPr>
        <w:tabs>
          <w:tab w:val="left" w:pos="426"/>
        </w:tabs>
        <w:rPr>
          <w:b/>
          <w:bCs/>
          <w:caps/>
        </w:rPr>
      </w:pPr>
    </w:p>
    <w:p w14:paraId="4FC424F9" w14:textId="4E767245" w:rsidR="00C62B36" w:rsidRPr="00ED38A5" w:rsidRDefault="00C62B36" w:rsidP="00CC09D4">
      <w:pPr>
        <w:pStyle w:val="Sraopastraipa"/>
        <w:numPr>
          <w:ilvl w:val="0"/>
          <w:numId w:val="12"/>
        </w:numPr>
        <w:tabs>
          <w:tab w:val="left" w:pos="567"/>
        </w:tabs>
        <w:ind w:hanging="720"/>
        <w:rPr>
          <w:b/>
          <w:bCs/>
          <w:caps/>
        </w:rPr>
      </w:pPr>
      <w:r w:rsidRPr="00ED38A5">
        <w:rPr>
          <w:b/>
          <w:bCs/>
          <w:caps/>
        </w:rPr>
        <w:t xml:space="preserve">Pacientų organizacijų pateikti duomenys </w:t>
      </w:r>
    </w:p>
    <w:p w14:paraId="79BCFF40" w14:textId="5475A219" w:rsidR="00937907" w:rsidRPr="00ED38A5" w:rsidRDefault="00530901" w:rsidP="00937907">
      <w:pPr>
        <w:spacing w:after="120"/>
        <w:jc w:val="both"/>
      </w:pPr>
      <w:sdt>
        <w:sdtPr>
          <w:rPr>
            <w:rStyle w:val="Style2"/>
            <w:rFonts w:ascii="MS Gothic" w:eastAsia="MS Gothic" w:hAnsi="MS Gothic"/>
            <w:sz w:val="24"/>
          </w:rPr>
          <w:id w:val="1150014178"/>
          <w15:color w:val="FFCC00"/>
          <w14:checkbox>
            <w14:checked w14:val="1"/>
            <w14:checkedState w14:val="2612" w14:font="MS Gothic"/>
            <w14:uncheckedState w14:val="2610" w14:font="MS Gothic"/>
          </w14:checkbox>
        </w:sdtPr>
        <w:sdtEndPr>
          <w:rPr>
            <w:rStyle w:val="Style2"/>
          </w:rPr>
        </w:sdtEndPr>
        <w:sdtContent>
          <w:r w:rsidR="00ED38A5" w:rsidRPr="00ED38A5">
            <w:rPr>
              <w:rStyle w:val="Style2"/>
              <w:rFonts w:ascii="MS Gothic" w:eastAsia="MS Gothic" w:hAnsi="MS Gothic" w:hint="eastAsia"/>
              <w:sz w:val="24"/>
            </w:rPr>
            <w:t>☒</w:t>
          </w:r>
        </w:sdtContent>
      </w:sdt>
      <w:r w:rsidR="00937907" w:rsidRPr="00ED38A5">
        <w:t xml:space="preserve"> Pacientų organizacijos pozicija pateikta. Žr. priedą.</w:t>
      </w:r>
    </w:p>
    <w:p w14:paraId="62992180" w14:textId="28E1D72E" w:rsidR="00937907" w:rsidRPr="00ED38A5" w:rsidRDefault="00530901" w:rsidP="00937907">
      <w:pPr>
        <w:spacing w:after="120"/>
        <w:jc w:val="both"/>
      </w:pPr>
      <w:sdt>
        <w:sdtPr>
          <w:rPr>
            <w:rStyle w:val="Style2"/>
            <w:rFonts w:ascii="MS Gothic" w:eastAsia="MS Gothic" w:hAnsi="MS Gothic"/>
            <w:sz w:val="24"/>
          </w:rPr>
          <w:id w:val="-1545513810"/>
          <w15:color w:val="FFCC00"/>
          <w14:checkbox>
            <w14:checked w14:val="0"/>
            <w14:checkedState w14:val="2612" w14:font="MS Gothic"/>
            <w14:uncheckedState w14:val="2610" w14:font="MS Gothic"/>
          </w14:checkbox>
        </w:sdtPr>
        <w:sdtEndPr>
          <w:rPr>
            <w:rStyle w:val="Style2"/>
          </w:rPr>
        </w:sdtEndPr>
        <w:sdtContent>
          <w:r w:rsidR="00EC4133" w:rsidRPr="00ED38A5">
            <w:rPr>
              <w:rStyle w:val="Style2"/>
              <w:rFonts w:ascii="MS Gothic" w:eastAsia="MS Gothic" w:hAnsi="MS Gothic" w:hint="eastAsia"/>
              <w:sz w:val="24"/>
            </w:rPr>
            <w:t>☐</w:t>
          </w:r>
        </w:sdtContent>
      </w:sdt>
      <w:r w:rsidR="00937907" w:rsidRPr="00ED38A5">
        <w:t xml:space="preserve"> Pacientų organizacijos pozicija </w:t>
      </w:r>
      <w:r w:rsidR="00880A44" w:rsidRPr="00ED38A5">
        <w:t>ne</w:t>
      </w:r>
      <w:r w:rsidR="00937907" w:rsidRPr="00ED38A5">
        <w:t>pateikta.</w:t>
      </w:r>
    </w:p>
    <w:p w14:paraId="03E73D82" w14:textId="77777777" w:rsidR="00D417D2" w:rsidRPr="00ED38A5" w:rsidRDefault="00D417D2" w:rsidP="00937907">
      <w:pPr>
        <w:spacing w:after="120"/>
        <w:jc w:val="both"/>
      </w:pPr>
    </w:p>
    <w:p w14:paraId="3D3277FA" w14:textId="3CEEB2D2" w:rsidR="00C62B36" w:rsidRPr="00ED38A5" w:rsidRDefault="00C62B36" w:rsidP="00CC09D4">
      <w:pPr>
        <w:pStyle w:val="Sraopastraipa"/>
        <w:numPr>
          <w:ilvl w:val="0"/>
          <w:numId w:val="12"/>
        </w:numPr>
        <w:tabs>
          <w:tab w:val="left" w:pos="567"/>
        </w:tabs>
        <w:ind w:hanging="720"/>
        <w:rPr>
          <w:b/>
          <w:bCs/>
          <w:caps/>
        </w:rPr>
      </w:pPr>
      <w:r w:rsidRPr="00ED38A5">
        <w:rPr>
          <w:b/>
          <w:bCs/>
          <w:caps/>
        </w:rPr>
        <w:t>Gydytojų organizacijų pateikti duomenys</w:t>
      </w:r>
    </w:p>
    <w:p w14:paraId="389A346C" w14:textId="565665C5" w:rsidR="00937907" w:rsidRPr="00ED38A5" w:rsidRDefault="00530901" w:rsidP="00662983">
      <w:pPr>
        <w:spacing w:after="120"/>
        <w:jc w:val="both"/>
        <w:rPr>
          <w:lang w:val="en-US"/>
        </w:rPr>
      </w:pPr>
      <w:sdt>
        <w:sdtPr>
          <w:rPr>
            <w:rStyle w:val="Style2"/>
            <w:rFonts w:ascii="MS Gothic" w:eastAsia="MS Gothic" w:hAnsi="MS Gothic"/>
            <w:sz w:val="24"/>
          </w:rPr>
          <w:id w:val="1613862788"/>
          <w15:color w:val="FFCC00"/>
          <w14:checkbox>
            <w14:checked w14:val="1"/>
            <w14:checkedState w14:val="2612" w14:font="MS Gothic"/>
            <w14:uncheckedState w14:val="2610" w14:font="MS Gothic"/>
          </w14:checkbox>
        </w:sdtPr>
        <w:sdtEndPr>
          <w:rPr>
            <w:rStyle w:val="Style2"/>
          </w:rPr>
        </w:sdtEndPr>
        <w:sdtContent>
          <w:r w:rsidR="00EC4133" w:rsidRPr="00ED38A5">
            <w:rPr>
              <w:rStyle w:val="Style2"/>
              <w:rFonts w:ascii="MS Gothic" w:eastAsia="MS Gothic" w:hAnsi="MS Gothic" w:hint="eastAsia"/>
              <w:sz w:val="24"/>
            </w:rPr>
            <w:t>☒</w:t>
          </w:r>
        </w:sdtContent>
      </w:sdt>
      <w:r w:rsidR="00662983" w:rsidRPr="00ED38A5">
        <w:t xml:space="preserve"> </w:t>
      </w:r>
      <w:r w:rsidR="00937907" w:rsidRPr="00ED38A5">
        <w:t xml:space="preserve">Gydytojų specialistų organizacijos pozicija pateikta. </w:t>
      </w:r>
    </w:p>
    <w:p w14:paraId="5D8CC48C" w14:textId="0EBEF682" w:rsidR="00662983" w:rsidRPr="00E33EFF" w:rsidRDefault="00530901" w:rsidP="00662983">
      <w:pPr>
        <w:spacing w:after="120"/>
        <w:jc w:val="both"/>
      </w:pPr>
      <w:sdt>
        <w:sdtPr>
          <w:rPr>
            <w:rStyle w:val="Style2"/>
            <w:rFonts w:ascii="MS Gothic" w:eastAsia="MS Gothic" w:hAnsi="MS Gothic"/>
            <w:sz w:val="24"/>
          </w:rPr>
          <w:id w:val="-41988141"/>
          <w15:color w:val="FFCC00"/>
          <w14:checkbox>
            <w14:checked w14:val="0"/>
            <w14:checkedState w14:val="2612" w14:font="MS Gothic"/>
            <w14:uncheckedState w14:val="2610" w14:font="MS Gothic"/>
          </w14:checkbox>
        </w:sdtPr>
        <w:sdtEndPr>
          <w:rPr>
            <w:rStyle w:val="Style2"/>
          </w:rPr>
        </w:sdtEndPr>
        <w:sdtContent>
          <w:r w:rsidR="00EC4133" w:rsidRPr="00ED38A5">
            <w:rPr>
              <w:rStyle w:val="Style2"/>
              <w:rFonts w:ascii="MS Gothic" w:eastAsia="MS Gothic" w:hAnsi="MS Gothic" w:hint="eastAsia"/>
              <w:sz w:val="24"/>
            </w:rPr>
            <w:t>☐</w:t>
          </w:r>
        </w:sdtContent>
      </w:sdt>
      <w:r w:rsidR="00662983" w:rsidRPr="00ED38A5">
        <w:t xml:space="preserve"> </w:t>
      </w:r>
      <w:r w:rsidR="00937907" w:rsidRPr="00ED38A5">
        <w:t xml:space="preserve">Gydytojų specialistų organizacijos pozicija </w:t>
      </w:r>
      <w:r w:rsidR="00880A44" w:rsidRPr="00ED38A5">
        <w:t>ne</w:t>
      </w:r>
      <w:r w:rsidR="00937907" w:rsidRPr="00ED38A5">
        <w:t>pateikta.</w:t>
      </w:r>
    </w:p>
    <w:p w14:paraId="186B6FDA" w14:textId="77777777" w:rsidR="00093A6A" w:rsidRPr="00E33EFF" w:rsidRDefault="00093A6A" w:rsidP="00662983">
      <w:pPr>
        <w:spacing w:after="120"/>
        <w:jc w:val="both"/>
      </w:pPr>
    </w:p>
    <w:p w14:paraId="78F23ECB" w14:textId="23A3A002" w:rsidR="002F0E4F" w:rsidRPr="00E33EFF" w:rsidRDefault="002F0E4F" w:rsidP="00CC09D4">
      <w:pPr>
        <w:pStyle w:val="Sraopastraipa"/>
        <w:numPr>
          <w:ilvl w:val="0"/>
          <w:numId w:val="12"/>
        </w:numPr>
        <w:tabs>
          <w:tab w:val="left" w:pos="567"/>
        </w:tabs>
        <w:ind w:hanging="720"/>
        <w:rPr>
          <w:b/>
          <w:bCs/>
          <w:caps/>
        </w:rPr>
      </w:pPr>
      <w:r w:rsidRPr="00E33EFF">
        <w:rPr>
          <w:b/>
          <w:bCs/>
          <w:caps/>
        </w:rPr>
        <w:t xml:space="preserve">Išvada </w:t>
      </w:r>
    </w:p>
    <w:p w14:paraId="08D5B3B6" w14:textId="4B19EB3F" w:rsidR="0061611B" w:rsidRPr="00E33EFF" w:rsidRDefault="0061611B" w:rsidP="0061611B">
      <w:pPr>
        <w:rPr>
          <w:i/>
          <w:color w:val="00B050"/>
          <w:szCs w:val="22"/>
        </w:rPr>
      </w:pPr>
    </w:p>
    <w:tbl>
      <w:tblPr>
        <w:tblStyle w:val="Lentelstinklelis"/>
        <w:tblW w:w="0" w:type="auto"/>
        <w:tblLook w:val="04A0" w:firstRow="1" w:lastRow="0" w:firstColumn="1" w:lastColumn="0" w:noHBand="0" w:noVBand="1"/>
      </w:tblPr>
      <w:tblGrid>
        <w:gridCol w:w="4815"/>
        <w:gridCol w:w="4814"/>
      </w:tblGrid>
      <w:tr w:rsidR="00B13D65" w:rsidRPr="00E33EFF" w14:paraId="25A2473E" w14:textId="77777777" w:rsidTr="00C16245">
        <w:trPr>
          <w:trHeight w:val="510"/>
        </w:trPr>
        <w:tc>
          <w:tcPr>
            <w:tcW w:w="4815" w:type="dxa"/>
            <w:vAlign w:val="center"/>
          </w:tcPr>
          <w:p w14:paraId="7EFE6941" w14:textId="23B8BB6D" w:rsidR="00B13D65"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Rekomenduojama kompensuoti</w:t>
            </w:r>
          </w:p>
        </w:tc>
        <w:tc>
          <w:tcPr>
            <w:tcW w:w="4814" w:type="dxa"/>
            <w:vAlign w:val="center"/>
          </w:tcPr>
          <w:p w14:paraId="330A1A5E" w14:textId="19247DC1" w:rsidR="00B13D65"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 xml:space="preserve">Rekomenduojama nekompensuoti </w:t>
            </w:r>
          </w:p>
        </w:tc>
      </w:tr>
      <w:tr w:rsidR="00B13D65" w:rsidRPr="00E33EFF" w14:paraId="143A7356" w14:textId="77777777" w:rsidTr="00C16245">
        <w:trPr>
          <w:trHeight w:val="510"/>
        </w:trPr>
        <w:tc>
          <w:tcPr>
            <w:tcW w:w="9629" w:type="dxa"/>
            <w:gridSpan w:val="2"/>
            <w:vAlign w:val="center"/>
          </w:tcPr>
          <w:p w14:paraId="0AF5D6B4" w14:textId="6D8B6C59"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Palyginamasis efektyvumas</w:t>
            </w:r>
          </w:p>
        </w:tc>
      </w:tr>
      <w:tr w:rsidR="00B13D65" w:rsidRPr="00E33EFF" w14:paraId="28A0C814" w14:textId="77777777" w:rsidTr="0061611B">
        <w:tc>
          <w:tcPr>
            <w:tcW w:w="4815" w:type="dxa"/>
          </w:tcPr>
          <w:p w14:paraId="216769B5" w14:textId="2E0D9538" w:rsidR="00B13D65" w:rsidRPr="00E33EFF" w:rsidRDefault="00530901"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0"/>
                  <w14:checkedState w14:val="2612" w14:font="MS Gothic"/>
                  <w14:uncheckedState w14:val="2610" w14:font="MS Gothic"/>
                </w14:checkbox>
              </w:sdtPr>
              <w:sdtEndPr>
                <w:rPr>
                  <w:rStyle w:val="Style2"/>
                </w:rPr>
              </w:sdtEndPr>
              <w:sdtContent>
                <w:r w:rsidR="00A347F1">
                  <w:rPr>
                    <w:rStyle w:val="Style2"/>
                    <w:rFonts w:ascii="MS Gothic" w:eastAsia="MS Gothic" w:hAnsi="MS Gothic" w:hint="eastAsia"/>
                    <w:sz w:val="24"/>
                  </w:rPr>
                  <w:t>☐</w:t>
                </w:r>
              </w:sdtContent>
            </w:sdt>
            <w:r w:rsidR="00B13D65" w:rsidRPr="00E33EFF">
              <w:t xml:space="preserve"> 32.1. yra didesnis</w:t>
            </w:r>
          </w:p>
          <w:p w14:paraId="3B48F372"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0032FF50" w:rsidR="00B13D65" w:rsidRPr="00E33EFF" w:rsidRDefault="00530901" w:rsidP="00662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1"/>
                  <w14:checkedState w14:val="2612" w14:font="MS Gothic"/>
                  <w14:uncheckedState w14:val="2610" w14:font="MS Gothic"/>
                </w14:checkbox>
              </w:sdtPr>
              <w:sdtEndPr>
                <w:rPr>
                  <w:rStyle w:val="Style2"/>
                </w:rPr>
              </w:sdtEndPr>
              <w:sdtContent>
                <w:r w:rsidR="00A347F1">
                  <w:rPr>
                    <w:rStyle w:val="Style2"/>
                    <w:rFonts w:ascii="MS Gothic" w:eastAsia="MS Gothic" w:hAnsi="MS Gothic" w:hint="eastAsia"/>
                    <w:sz w:val="24"/>
                  </w:rPr>
                  <w:t>☒</w:t>
                </w:r>
              </w:sdtContent>
            </w:sdt>
            <w:r w:rsidR="00B13D65" w:rsidRPr="00E33EFF">
              <w:t xml:space="preserve"> 32.1. iš esmės nesiskiria</w:t>
            </w:r>
          </w:p>
        </w:tc>
        <w:tc>
          <w:tcPr>
            <w:tcW w:w="4814" w:type="dxa"/>
          </w:tcPr>
          <w:p w14:paraId="507828D9" w14:textId="795AE382" w:rsidR="00B13D65" w:rsidRPr="00E33EFF" w:rsidRDefault="00530901"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33.1. yra mažesnis</w:t>
            </w:r>
          </w:p>
          <w:p w14:paraId="7F95DEEC"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5205E85" w14:textId="3300F0A7" w:rsidR="00662983" w:rsidRDefault="00530901"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33.1. yra neįrodytas kaip toks pat</w:t>
            </w:r>
          </w:p>
          <w:p w14:paraId="461D0A96" w14:textId="77777777" w:rsidR="008514DF" w:rsidRPr="00E33EFF" w:rsidRDefault="008514DF"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183D5E20" w:rsidR="00B13D65" w:rsidRPr="00E33EFF" w:rsidRDefault="00530901"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EndPr>
                <w:rPr>
                  <w:rStyle w:val="Style2"/>
                </w:rPr>
              </w:sdtEndPr>
              <w:sdtContent>
                <w:r w:rsidR="00662983" w:rsidRPr="00E33EFF">
                  <w:rPr>
                    <w:rStyle w:val="Style2"/>
                    <w:rFonts w:ascii="Segoe UI Symbol" w:eastAsia="MS Gothic" w:hAnsi="Segoe UI Symbol" w:cs="Segoe UI Symbol"/>
                    <w:sz w:val="24"/>
                  </w:rPr>
                  <w:t>☐</w:t>
                </w:r>
              </w:sdtContent>
            </w:sdt>
            <w:r w:rsidR="00662983" w:rsidRPr="00E33EFF">
              <w:t xml:space="preserve"> 33.1 </w:t>
            </w:r>
            <w:r w:rsidR="00B00959" w:rsidRPr="00E33EFF">
              <w:t xml:space="preserve">yra </w:t>
            </w:r>
            <w:r w:rsidR="00B13D65" w:rsidRPr="00E33EFF">
              <w:t>neįrodytas kaip didesnis</w:t>
            </w:r>
          </w:p>
          <w:p w14:paraId="512E653B"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5FED5325" w:rsidR="00B13D65" w:rsidRPr="00E33EFF" w:rsidRDefault="00530901"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EndPr>
                <w:rPr>
                  <w:rStyle w:val="Style2"/>
                </w:rPr>
              </w:sdtEndPr>
              <w:sdtContent>
                <w:r w:rsidR="00627D2D">
                  <w:rPr>
                    <w:rStyle w:val="Style2"/>
                    <w:rFonts w:ascii="MS Gothic" w:eastAsia="MS Gothic" w:hAnsi="MS Gothic" w:hint="eastAsia"/>
                    <w:sz w:val="24"/>
                  </w:rPr>
                  <w:t>☐</w:t>
                </w:r>
              </w:sdtContent>
            </w:sdt>
            <w:r w:rsidR="00B13D65" w:rsidRPr="00E33EFF">
              <w:t xml:space="preserve"> 33.1. pateikti duomenys apie palyginamąjį efektyvumą yra netinkami vertinti</w:t>
            </w:r>
          </w:p>
          <w:p w14:paraId="5DDAA961"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E33EFF" w14:paraId="161CC3FE" w14:textId="77777777" w:rsidTr="00C16245">
        <w:trPr>
          <w:trHeight w:val="510"/>
        </w:trPr>
        <w:tc>
          <w:tcPr>
            <w:tcW w:w="9629" w:type="dxa"/>
            <w:gridSpan w:val="2"/>
            <w:vAlign w:val="center"/>
          </w:tcPr>
          <w:p w14:paraId="1AB46894" w14:textId="3E765638"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Klinikinis veiksmingumas</w:t>
            </w:r>
          </w:p>
        </w:tc>
      </w:tr>
      <w:tr w:rsidR="00B13D65" w:rsidRPr="00E33EFF" w14:paraId="3C60570A" w14:textId="77777777" w:rsidTr="0061611B">
        <w:tc>
          <w:tcPr>
            <w:tcW w:w="4815" w:type="dxa"/>
          </w:tcPr>
          <w:p w14:paraId="6897B306" w14:textId="7B944925" w:rsidR="00B13D65" w:rsidRPr="00E33EFF" w:rsidRDefault="00530901"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0"/>
                  <w14:checkedState w14:val="2612" w14:font="MS Gothic"/>
                  <w14:uncheckedState w14:val="2610" w14:font="MS Gothic"/>
                </w14:checkbox>
              </w:sdtPr>
              <w:sdtEndPr>
                <w:rPr>
                  <w:rStyle w:val="Style2"/>
                </w:rPr>
              </w:sdtEndPr>
              <w:sdtContent>
                <w:r w:rsidR="008514DF">
                  <w:rPr>
                    <w:rStyle w:val="Style2"/>
                    <w:rFonts w:ascii="MS Gothic" w:eastAsia="MS Gothic" w:hAnsi="MS Gothic" w:hint="eastAsia"/>
                    <w:sz w:val="24"/>
                  </w:rPr>
                  <w:t>☐</w:t>
                </w:r>
              </w:sdtContent>
            </w:sdt>
            <w:r w:rsidR="00B13D65" w:rsidRPr="00E33EFF">
              <w:t xml:space="preserve"> 32.2. yra įvertintas kaip pagrindžiantis papildomos naudos pacientų sveikatai sukūrimą, lyginant su įprasta klinikine praktika</w:t>
            </w:r>
          </w:p>
          <w:p w14:paraId="71D57105"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01310FC0" w:rsidR="00B13D65" w:rsidRPr="00E33EFF" w:rsidRDefault="00530901"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1"/>
                  <w14:checkedState w14:val="2612" w14:font="MS Gothic"/>
                  <w14:uncheckedState w14:val="2610" w14:font="MS Gothic"/>
                </w14:checkbox>
              </w:sdtPr>
              <w:sdtEndPr>
                <w:rPr>
                  <w:rStyle w:val="Style2"/>
                </w:rPr>
              </w:sdtEndPr>
              <w:sdtContent>
                <w:r w:rsidR="008514DF">
                  <w:rPr>
                    <w:rStyle w:val="Style2"/>
                    <w:rFonts w:ascii="MS Gothic" w:eastAsia="MS Gothic" w:hAnsi="MS Gothic" w:hint="eastAsia"/>
                    <w:sz w:val="24"/>
                  </w:rPr>
                  <w:t>☒</w:t>
                </w:r>
              </w:sdtContent>
            </w:sdt>
            <w:r w:rsidR="00B13D65" w:rsidRPr="00E33EFF">
              <w:t xml:space="preserve"> 32.2. </w:t>
            </w:r>
            <w:r w:rsidR="00B00959" w:rsidRPr="00E33EFF">
              <w:t xml:space="preserve">yra </w:t>
            </w:r>
            <w:r w:rsidR="00B13D65" w:rsidRPr="00E33EFF">
              <w:t>įvertintas kaip pagrindžiantis nesiskiriančios naudos pacientų sveikatai sukūrimą, lyginant su įprasta klinikine praktika</w:t>
            </w:r>
          </w:p>
          <w:p w14:paraId="287AD233"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74A2DECF" w14:textId="415361C0" w:rsidR="00662983" w:rsidRPr="00E33EFF" w:rsidRDefault="00530901" w:rsidP="00662983">
            <w:pPr>
              <w:jc w:val="both"/>
            </w:pPr>
            <w:sdt>
              <w:sdtPr>
                <w:rPr>
                  <w:rStyle w:val="Style2"/>
                  <w:sz w:val="24"/>
                </w:rPr>
                <w:id w:val="-1034573056"/>
                <w15:color w:val="FFCC00"/>
                <w14:checkbox>
                  <w14:checked w14:val="0"/>
                  <w14:checkedState w14:val="2612" w14:font="MS Gothic"/>
                  <w14:uncheckedState w14:val="2610" w14:font="MS Gothic"/>
                </w14:checkbox>
              </w:sdtPr>
              <w:sdtEndPr>
                <w:rPr>
                  <w:rStyle w:val="Style2"/>
                </w:rPr>
              </w:sdtEndPr>
              <w:sdtContent>
                <w:r w:rsidR="00627D2D">
                  <w:rPr>
                    <w:rStyle w:val="Style2"/>
                    <w:rFonts w:ascii="MS Gothic" w:eastAsia="MS Gothic" w:hAnsi="MS Gothic" w:hint="eastAsia"/>
                    <w:sz w:val="24"/>
                  </w:rPr>
                  <w:t>☐</w:t>
                </w:r>
              </w:sdtContent>
            </w:sdt>
            <w:r w:rsidR="00B13D65" w:rsidRPr="00E33EFF">
              <w:t xml:space="preserve"> 33.1. yra įvertintas kaip nepagrindžiantis papildomos </w:t>
            </w:r>
            <w:r w:rsidR="00662983" w:rsidRPr="00E33EFF">
              <w:t>naudos pacientų sveikatai sukūrimo, lyginant su  įprasta klinikine praktika</w:t>
            </w:r>
          </w:p>
          <w:p w14:paraId="6C70BCFC" w14:textId="77777777" w:rsidR="00662983" w:rsidRPr="00E33EFF" w:rsidRDefault="00662983" w:rsidP="00BD1E5A">
            <w:pPr>
              <w:jc w:val="both"/>
            </w:pPr>
          </w:p>
          <w:p w14:paraId="0ADEC30D" w14:textId="1353964F" w:rsidR="00B13D65" w:rsidRPr="00E33EFF" w:rsidRDefault="00530901" w:rsidP="00BD1E5A">
            <w:pPr>
              <w:jc w:val="both"/>
            </w:pPr>
            <w:sdt>
              <w:sdtPr>
                <w:rPr>
                  <w:rStyle w:val="Style2"/>
                  <w:sz w:val="24"/>
                </w:rPr>
                <w:id w:val="1289549109"/>
                <w15:color w:val="FFCC00"/>
                <w14:checkbox>
                  <w14:checked w14:val="0"/>
                  <w14:checkedState w14:val="2612" w14:font="MS Gothic"/>
                  <w14:uncheckedState w14:val="2610" w14:font="MS Gothic"/>
                </w14:checkbox>
              </w:sdtPr>
              <w:sdtEndPr>
                <w:rPr>
                  <w:rStyle w:val="Style2"/>
                </w:rPr>
              </w:sdtEndPr>
              <w:sdtContent>
                <w:r w:rsidR="00662983" w:rsidRPr="00E33EFF">
                  <w:rPr>
                    <w:rStyle w:val="Style2"/>
                    <w:rFonts w:ascii="Segoe UI Symbol" w:eastAsia="MS Gothic" w:hAnsi="Segoe UI Symbol" w:cs="Segoe UI Symbol"/>
                    <w:sz w:val="24"/>
                  </w:rPr>
                  <w:t>☐</w:t>
                </w:r>
              </w:sdtContent>
            </w:sdt>
            <w:r w:rsidR="00B13D65" w:rsidRPr="00E33EFF">
              <w:t xml:space="preserve"> </w:t>
            </w:r>
            <w:r w:rsidR="00662983" w:rsidRPr="00E33EFF">
              <w:t xml:space="preserve">33.1. </w:t>
            </w:r>
            <w:r w:rsidR="00B00959" w:rsidRPr="00E33EFF">
              <w:t xml:space="preserve">yra įvertintas kaip nepagrindžiantis </w:t>
            </w:r>
            <w:r w:rsidR="00B13D65" w:rsidRPr="00E33EFF">
              <w:t>nesiskiriančios naudos pacientų sveikatai sukūrimo, lyginant su įprasta klinikine praktika</w:t>
            </w:r>
          </w:p>
          <w:p w14:paraId="1EED7901"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E33EFF" w14:paraId="1C75AE76" w14:textId="77777777" w:rsidTr="00C16245">
        <w:trPr>
          <w:trHeight w:val="510"/>
        </w:trPr>
        <w:tc>
          <w:tcPr>
            <w:tcW w:w="9629" w:type="dxa"/>
            <w:gridSpan w:val="2"/>
            <w:vAlign w:val="center"/>
          </w:tcPr>
          <w:p w14:paraId="0247EDAD" w14:textId="7FBBB759"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Kaštų naudingumas</w:t>
            </w:r>
          </w:p>
        </w:tc>
      </w:tr>
      <w:tr w:rsidR="00B13D65" w:rsidRPr="00E33EFF" w14:paraId="7091A05B" w14:textId="77777777" w:rsidTr="0061611B">
        <w:tc>
          <w:tcPr>
            <w:tcW w:w="4815" w:type="dxa"/>
          </w:tcPr>
          <w:p w14:paraId="69B2A994" w14:textId="05516DF4" w:rsidR="00B13D65" w:rsidRPr="00093A6A" w:rsidRDefault="00530901"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0"/>
                  <w14:checkedState w14:val="2612" w14:font="MS Gothic"/>
                  <w14:uncheckedState w14:val="2610" w14:font="MS Gothic"/>
                </w14:checkbox>
              </w:sdtPr>
              <w:sdtEndPr>
                <w:rPr>
                  <w:rStyle w:val="Style2"/>
                </w:rPr>
              </w:sdtEndPr>
              <w:sdtContent>
                <w:r w:rsidR="00A06DBB" w:rsidRPr="00093A6A">
                  <w:rPr>
                    <w:rStyle w:val="Style2"/>
                    <w:rFonts w:ascii="MS Gothic" w:eastAsia="MS Gothic" w:hAnsi="MS Gothic"/>
                    <w:sz w:val="24"/>
                  </w:rPr>
                  <w:t>☐</w:t>
                </w:r>
              </w:sdtContent>
            </w:sdt>
            <w:r w:rsidR="00B13D65" w:rsidRPr="00093A6A">
              <w:t xml:space="preserve"> 32.3. atitinka referencinę naudingumo vertę</w:t>
            </w:r>
          </w:p>
          <w:p w14:paraId="3F76F153" w14:textId="77777777" w:rsidR="00662983" w:rsidRPr="00093A6A"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62072E7" w14:textId="20B0CF90" w:rsidR="00B13D65" w:rsidRPr="00E33EFF" w:rsidRDefault="00530901"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308081728"/>
                <w15:color w:val="FFCC00"/>
                <w14:checkbox>
                  <w14:checked w14:val="1"/>
                  <w14:checkedState w14:val="2612" w14:font="MS Gothic"/>
                  <w14:uncheckedState w14:val="2610" w14:font="MS Gothic"/>
                </w14:checkbox>
              </w:sdtPr>
              <w:sdtEndPr>
                <w:rPr>
                  <w:rStyle w:val="Style2"/>
                </w:rPr>
              </w:sdtEndPr>
              <w:sdtContent>
                <w:r w:rsidR="00F82712">
                  <w:rPr>
                    <w:rStyle w:val="Style2"/>
                    <w:rFonts w:ascii="MS Gothic" w:eastAsia="MS Gothic" w:hAnsi="MS Gothic" w:hint="eastAsia"/>
                    <w:sz w:val="24"/>
                  </w:rPr>
                  <w:t>☒</w:t>
                </w:r>
              </w:sdtContent>
            </w:sdt>
            <w:r w:rsidR="00B13D65" w:rsidRPr="00093A6A">
              <w:t xml:space="preserve"> 32.3. gydymo juo kaštai yra mažesni ar tokie patys esant iš esmės nesiskiriančiam palyginamajam efektyvumui,</w:t>
            </w:r>
            <w:r w:rsidR="00093A6A" w:rsidRPr="00093A6A">
              <w:t xml:space="preserve"> </w:t>
            </w:r>
            <w:r w:rsidR="00B00959" w:rsidRPr="00093A6A">
              <w:t>lyginant su įprasta klinikine praktika</w:t>
            </w:r>
          </w:p>
          <w:p w14:paraId="25E4BD1E"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53380063" w14:textId="7240300A" w:rsidR="00B13D65" w:rsidRPr="00E33EFF" w:rsidRDefault="00530901"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0"/>
                  <w14:checkedState w14:val="2612" w14:font="MS Gothic"/>
                  <w14:uncheckedState w14:val="2610" w14:font="MS Gothic"/>
                </w14:checkbox>
              </w:sdtPr>
              <w:sdtEndPr>
                <w:rPr>
                  <w:rStyle w:val="Style2"/>
                </w:rPr>
              </w:sdtEndPr>
              <w:sdtContent>
                <w:r w:rsidR="00A347F1">
                  <w:rPr>
                    <w:rStyle w:val="Style2"/>
                    <w:rFonts w:ascii="MS Gothic" w:eastAsia="MS Gothic" w:hAnsi="MS Gothic" w:hint="eastAsia"/>
                    <w:sz w:val="24"/>
                  </w:rPr>
                  <w:t>☐</w:t>
                </w:r>
              </w:sdtContent>
            </w:sdt>
            <w:r w:rsidR="00B13D65" w:rsidRPr="00E33EFF">
              <w:t xml:space="preserve"> 33.3. neatitinka referencinės naudingumo vertės Lietuvos Respublikoje</w:t>
            </w:r>
          </w:p>
          <w:p w14:paraId="229ED51A"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673C3A9" w14:textId="6E684DA2" w:rsidR="00B13D65" w:rsidRPr="00E33EFF" w:rsidRDefault="00530901"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135473618"/>
                <w15:color w:val="FFCC00"/>
                <w14:checkbox>
                  <w14:checked w14:val="0"/>
                  <w14:checkedState w14:val="2612" w14:font="MS Gothic"/>
                  <w14:uncheckedState w14:val="2610" w14:font="MS Gothic"/>
                </w14:checkbox>
              </w:sdtPr>
              <w:sdtEndPr>
                <w:rPr>
                  <w:rStyle w:val="Style2"/>
                </w:rPr>
              </w:sdtEndPr>
              <w:sdtContent>
                <w:r w:rsidR="00F82712">
                  <w:rPr>
                    <w:rStyle w:val="Style2"/>
                    <w:rFonts w:ascii="MS Gothic" w:eastAsia="MS Gothic" w:hAnsi="MS Gothic" w:hint="eastAsia"/>
                    <w:sz w:val="24"/>
                  </w:rPr>
                  <w:t>☐</w:t>
                </w:r>
              </w:sdtContent>
            </w:sdt>
            <w:r w:rsidR="00B13D65" w:rsidRPr="00E33EFF">
              <w:t xml:space="preserve"> 33.3. gydymo juo kaštai yra didesni esant iš esmės nesiskiriančiam palyginamajam </w:t>
            </w:r>
            <w:r w:rsidR="00B13D65" w:rsidRPr="00093A6A">
              <w:t xml:space="preserve">efektyvumui, </w:t>
            </w:r>
            <w:r w:rsidR="00B00959" w:rsidRPr="00093A6A">
              <w:t>lyginant su įprasta klinikine praktika</w:t>
            </w:r>
          </w:p>
          <w:p w14:paraId="4A9C7D2A"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226013D" w14:textId="38AAD610" w:rsidR="00B13D65" w:rsidRPr="00E33EFF" w:rsidRDefault="00530901"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0"/>
                  <w14:checkedState w14:val="2612" w14:font="MS Gothic"/>
                  <w14:uncheckedState w14:val="2610" w14:font="MS Gothic"/>
                </w14:checkbox>
              </w:sdtPr>
              <w:sdtEndPr>
                <w:rPr>
                  <w:rStyle w:val="Style2"/>
                </w:rPr>
              </w:sdtEndPr>
              <w:sdtContent>
                <w:r w:rsidR="00381904">
                  <w:rPr>
                    <w:rStyle w:val="Style2"/>
                    <w:rFonts w:ascii="MS Gothic" w:eastAsia="MS Gothic" w:hAnsi="MS Gothic" w:hint="eastAsia"/>
                    <w:sz w:val="24"/>
                  </w:rPr>
                  <w:t>☐</w:t>
                </w:r>
              </w:sdtContent>
            </w:sdt>
            <w:r w:rsidR="00B13D65" w:rsidRPr="00E33EFF">
              <w:t xml:space="preserve"> 33.3. pateikti duomenys apie kaštų na</w:t>
            </w:r>
            <w:r w:rsidR="00662983" w:rsidRPr="00E33EFF">
              <w:t>udingumą yra netinkami vertinti</w:t>
            </w:r>
          </w:p>
          <w:p w14:paraId="470A48A4"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230C71F6" w14:textId="2F7C9E72" w:rsidR="006929B9" w:rsidRPr="007567F2" w:rsidRDefault="006929B9" w:rsidP="00381024">
      <w:pPr>
        <w:rPr>
          <w:lang w:val="en-US"/>
        </w:rPr>
      </w:pPr>
    </w:p>
    <w:p w14:paraId="5AD7381B" w14:textId="77777777" w:rsidR="006929B9" w:rsidRPr="00E33EFF" w:rsidRDefault="006929B9" w:rsidP="00381024"/>
    <w:p w14:paraId="3B2D1F25" w14:textId="6510F3C9" w:rsidR="000001B0" w:rsidRPr="00363ADE" w:rsidRDefault="000001B0" w:rsidP="00CC09D4">
      <w:pPr>
        <w:pStyle w:val="Sraopastraipa"/>
        <w:numPr>
          <w:ilvl w:val="0"/>
          <w:numId w:val="12"/>
        </w:numPr>
        <w:ind w:left="567" w:hanging="567"/>
      </w:pPr>
      <w:r w:rsidRPr="00E33EFF">
        <w:rPr>
          <w:b/>
        </w:rPr>
        <w:t>REKOME</w:t>
      </w:r>
      <w:r w:rsidR="00D83182" w:rsidRPr="00E33EFF">
        <w:rPr>
          <w:b/>
        </w:rPr>
        <w:t>N</w:t>
      </w:r>
      <w:r w:rsidRPr="00E33EFF">
        <w:rPr>
          <w:b/>
        </w:rPr>
        <w:t>DACIJA</w:t>
      </w:r>
    </w:p>
    <w:p w14:paraId="56655703" w14:textId="49F844A1" w:rsidR="00363ADE" w:rsidRDefault="00363ADE" w:rsidP="00363ADE"/>
    <w:p w14:paraId="6C85F936" w14:textId="77777777" w:rsidR="00F82712" w:rsidRPr="008A6038" w:rsidRDefault="00F82712" w:rsidP="0011111C">
      <w:pPr>
        <w:pStyle w:val="VVKT"/>
        <w:jc w:val="both"/>
      </w:pPr>
      <w:r w:rsidRPr="00E33EFF">
        <w:t xml:space="preserve">Vadovaujantis </w:t>
      </w:r>
      <w:r>
        <w:t>V</w:t>
      </w:r>
      <w:r w:rsidRPr="00E33EFF">
        <w:t>aistinių preparatų ir medicinos pagalbos priemonių įrašymo į kompensavimo sąrašus ir jų keitimo tvarkos aprašo</w:t>
      </w:r>
      <w:r>
        <w:t>, patvirtinto</w:t>
      </w:r>
      <w:r w:rsidRPr="00E33EFF">
        <w:t xml:space="preserve"> Lietuvos Respublikos sveikatos apsaugos ministro 2002 m. balandžio 5 d. įsakymu Nr. V-159 „Dėl vaistinių preparatų ir medicinos pagalbos priemonių įrašymo į kompensavimo sąrašus ir jų keitimo tvarkos aprašo patvirtinimo“</w:t>
      </w:r>
      <w:r>
        <w:t>,</w:t>
      </w:r>
      <w:r w:rsidRPr="00E33EFF">
        <w:t xml:space="preserve"> punktu</w:t>
      </w:r>
      <w:r>
        <w:t xml:space="preserve"> </w:t>
      </w:r>
      <w:r w:rsidRPr="00E33EFF">
        <w:t xml:space="preserve">34.3. </w:t>
      </w:r>
      <w:r w:rsidRPr="00F05997">
        <w:rPr>
          <w:b/>
          <w:bCs/>
        </w:rPr>
        <w:t>kompensuoti</w:t>
      </w:r>
      <w:r w:rsidRPr="00E33EFF">
        <w:t xml:space="preserve"> vaistinį preparatą pagal paraiškoje nurodytą indikaciją be skyrimo sąlygų, </w:t>
      </w:r>
      <w:r w:rsidRPr="008A6038">
        <w:t xml:space="preserve">taikant </w:t>
      </w:r>
      <w:r w:rsidRPr="008A6038">
        <w:lastRenderedPageBreak/>
        <w:t>pareiškėjo atnaujintą kainą, dėl iš esmės nesiskiriančio gydymo efektyvumo ir sukuriamos naudos pacientų sveikatai, lyginant su įprasta klinikine praktika, ir dėl mažesnių gydymo kaštų dydžio (kaštų minimizavimas).</w:t>
      </w:r>
      <w:r>
        <w:t xml:space="preserve"> </w:t>
      </w:r>
    </w:p>
    <w:p w14:paraId="35B3DC2E" w14:textId="77777777" w:rsidR="00F82712" w:rsidRDefault="00F82712" w:rsidP="00DA2145">
      <w:pPr>
        <w:jc w:val="both"/>
      </w:pPr>
    </w:p>
    <w:p w14:paraId="757F27E7" w14:textId="77777777" w:rsidR="00F82712" w:rsidRDefault="00F82712" w:rsidP="00DA2145">
      <w:pPr>
        <w:jc w:val="both"/>
      </w:pPr>
    </w:p>
    <w:p w14:paraId="7CDFF220" w14:textId="58191D98" w:rsidR="000723FF" w:rsidRPr="000723FF" w:rsidRDefault="000723FF" w:rsidP="00966AC3">
      <w:pPr>
        <w:rPr>
          <w:b/>
        </w:rPr>
      </w:pPr>
    </w:p>
    <w:sectPr w:rsidR="000723FF" w:rsidRPr="000723FF" w:rsidSect="005D30E1">
      <w:headerReference w:type="even" r:id="rId11"/>
      <w:headerReference w:type="default" r:id="rId12"/>
      <w:headerReference w:type="first" r:id="rId13"/>
      <w:footerReference w:type="first" r:id="rId14"/>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7E3563" w14:textId="77777777" w:rsidR="00530901" w:rsidRDefault="00530901">
      <w:r>
        <w:separator/>
      </w:r>
    </w:p>
  </w:endnote>
  <w:endnote w:type="continuationSeparator" w:id="0">
    <w:p w14:paraId="22D30393" w14:textId="77777777" w:rsidR="00530901" w:rsidRDefault="00530901">
      <w:r>
        <w:continuationSeparator/>
      </w:r>
    </w:p>
  </w:endnote>
  <w:endnote w:type="continuationNotice" w:id="1">
    <w:p w14:paraId="7F97F272" w14:textId="77777777" w:rsidR="00530901" w:rsidRDefault="005309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6BEB32" w14:textId="77777777" w:rsidR="00530901" w:rsidRDefault="00530901">
      <w:r>
        <w:separator/>
      </w:r>
    </w:p>
  </w:footnote>
  <w:footnote w:type="continuationSeparator" w:id="0">
    <w:p w14:paraId="1DA57922" w14:textId="77777777" w:rsidR="00530901" w:rsidRDefault="00530901">
      <w:r>
        <w:continuationSeparator/>
      </w:r>
    </w:p>
  </w:footnote>
  <w:footnote w:type="continuationNotice" w:id="1">
    <w:p w14:paraId="4E3CC8B8" w14:textId="77777777" w:rsidR="00530901" w:rsidRDefault="0053090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86FB2" w14:textId="77777777"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E81DB01" w14:textId="77777777" w:rsidR="00347FAA" w:rsidRDefault="00347F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BD5F9" w14:textId="746BE1A3"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A463F">
      <w:rPr>
        <w:rStyle w:val="Puslapionumeris"/>
        <w:noProof/>
      </w:rPr>
      <w:t>7</w:t>
    </w:r>
    <w:r>
      <w:rPr>
        <w:rStyle w:val="Puslapionumeris"/>
      </w:rPr>
      <w:fldChar w:fldCharType="end"/>
    </w:r>
  </w:p>
  <w:p w14:paraId="13EC872E" w14:textId="77777777" w:rsidR="00347FAA" w:rsidRDefault="00347F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13158EE"/>
    <w:multiLevelType w:val="hybridMultilevel"/>
    <w:tmpl w:val="E1B21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721E75"/>
    <w:multiLevelType w:val="hybridMultilevel"/>
    <w:tmpl w:val="49967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B7D08"/>
    <w:multiLevelType w:val="hybridMultilevel"/>
    <w:tmpl w:val="0DC6D344"/>
    <w:lvl w:ilvl="0" w:tplc="7938C79C">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B5286D"/>
    <w:multiLevelType w:val="hybridMultilevel"/>
    <w:tmpl w:val="1BACDAC8"/>
    <w:lvl w:ilvl="0" w:tplc="5B38CC2A">
      <w:start w:val="1"/>
      <w:numFmt w:val="bullet"/>
      <w:lvlText w:val="-"/>
      <w:lvlJc w:val="left"/>
      <w:pPr>
        <w:ind w:left="720" w:hanging="360"/>
      </w:pPr>
      <w:rPr>
        <w:rFonts w:ascii="Times New Roman" w:eastAsia="Times New Roma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8" w15:restartNumberingAfterBreak="0">
    <w:nsid w:val="1EC47D73"/>
    <w:multiLevelType w:val="hybridMultilevel"/>
    <w:tmpl w:val="06F2E9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D040A3"/>
    <w:multiLevelType w:val="hybridMultilevel"/>
    <w:tmpl w:val="E0DA95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B1505AA"/>
    <w:multiLevelType w:val="hybridMultilevel"/>
    <w:tmpl w:val="F9106AB2"/>
    <w:lvl w:ilvl="0" w:tplc="9A82F144">
      <w:start w:val="1"/>
      <w:numFmt w:val="bullet"/>
      <w:lvlText w:val=""/>
      <w:lvlJc w:val="left"/>
      <w:pPr>
        <w:ind w:left="785" w:hanging="360"/>
      </w:pPr>
      <w:rPr>
        <w:rFonts w:ascii="Symbol" w:hAnsi="Symbol" w:hint="default"/>
        <w:strike w:val="0"/>
      </w:rPr>
    </w:lvl>
    <w:lvl w:ilvl="1" w:tplc="9CAC1EB8">
      <w:start w:val="1"/>
      <w:numFmt w:val="bullet"/>
      <w:lvlText w:val="o"/>
      <w:lvlJc w:val="left"/>
      <w:pPr>
        <w:ind w:left="2149" w:hanging="360"/>
      </w:pPr>
      <w:rPr>
        <w:rFonts w:ascii="Courier New" w:hAnsi="Courier New" w:cs="Courier New" w:hint="default"/>
        <w:strike w:val="0"/>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389C6719"/>
    <w:multiLevelType w:val="multilevel"/>
    <w:tmpl w:val="11B2533C"/>
    <w:lvl w:ilvl="0">
      <w:start w:val="1"/>
      <w:numFmt w:val="bullet"/>
      <w:pStyle w:val="Head2"/>
      <w:lvlText w:val="●"/>
      <w:lvlJc w:val="left"/>
      <w:pPr>
        <w:ind w:left="720" w:hanging="360"/>
      </w:pPr>
      <w:rPr>
        <w:rFonts w:ascii="Noto Sans Symbols" w:eastAsia="Noto Sans Symbols" w:hAnsi="Noto Sans Symbols" w:cs="Noto Sans Symbols"/>
      </w:rPr>
    </w:lvl>
    <w:lvl w:ilvl="1">
      <w:start w:val="1"/>
      <w:numFmt w:val="bullet"/>
      <w:pStyle w:val="Head3"/>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14"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7"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27D2182"/>
    <w:multiLevelType w:val="hybridMultilevel"/>
    <w:tmpl w:val="EAF45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286546"/>
    <w:multiLevelType w:val="hybridMultilevel"/>
    <w:tmpl w:val="E662DD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90123B"/>
    <w:multiLevelType w:val="hybridMultilevel"/>
    <w:tmpl w:val="25988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9836E22"/>
    <w:multiLevelType w:val="hybridMultilevel"/>
    <w:tmpl w:val="CD2EE7F2"/>
    <w:lvl w:ilvl="0" w:tplc="08090001">
      <w:start w:val="1"/>
      <w:numFmt w:val="bullet"/>
      <w:lvlText w:val=""/>
      <w:lvlJc w:val="left"/>
      <w:pPr>
        <w:ind w:left="2869" w:hanging="360"/>
      </w:pPr>
      <w:rPr>
        <w:rFonts w:ascii="Symbol" w:hAnsi="Symbol" w:hint="default"/>
      </w:rPr>
    </w:lvl>
    <w:lvl w:ilvl="1" w:tplc="08090003" w:tentative="1">
      <w:start w:val="1"/>
      <w:numFmt w:val="bullet"/>
      <w:lvlText w:val="o"/>
      <w:lvlJc w:val="left"/>
      <w:pPr>
        <w:ind w:left="3589" w:hanging="360"/>
      </w:pPr>
      <w:rPr>
        <w:rFonts w:ascii="Courier New" w:hAnsi="Courier New" w:cs="Courier New" w:hint="default"/>
      </w:rPr>
    </w:lvl>
    <w:lvl w:ilvl="2" w:tplc="08090005" w:tentative="1">
      <w:start w:val="1"/>
      <w:numFmt w:val="bullet"/>
      <w:lvlText w:val=""/>
      <w:lvlJc w:val="left"/>
      <w:pPr>
        <w:ind w:left="4309" w:hanging="360"/>
      </w:pPr>
      <w:rPr>
        <w:rFonts w:ascii="Wingdings" w:hAnsi="Wingdings" w:hint="default"/>
      </w:rPr>
    </w:lvl>
    <w:lvl w:ilvl="3" w:tplc="08090001" w:tentative="1">
      <w:start w:val="1"/>
      <w:numFmt w:val="bullet"/>
      <w:lvlText w:val=""/>
      <w:lvlJc w:val="left"/>
      <w:pPr>
        <w:ind w:left="5029" w:hanging="360"/>
      </w:pPr>
      <w:rPr>
        <w:rFonts w:ascii="Symbol" w:hAnsi="Symbol" w:hint="default"/>
      </w:rPr>
    </w:lvl>
    <w:lvl w:ilvl="4" w:tplc="08090003" w:tentative="1">
      <w:start w:val="1"/>
      <w:numFmt w:val="bullet"/>
      <w:lvlText w:val="o"/>
      <w:lvlJc w:val="left"/>
      <w:pPr>
        <w:ind w:left="5749" w:hanging="360"/>
      </w:pPr>
      <w:rPr>
        <w:rFonts w:ascii="Courier New" w:hAnsi="Courier New" w:cs="Courier New" w:hint="default"/>
      </w:rPr>
    </w:lvl>
    <w:lvl w:ilvl="5" w:tplc="08090005" w:tentative="1">
      <w:start w:val="1"/>
      <w:numFmt w:val="bullet"/>
      <w:lvlText w:val=""/>
      <w:lvlJc w:val="left"/>
      <w:pPr>
        <w:ind w:left="6469" w:hanging="360"/>
      </w:pPr>
      <w:rPr>
        <w:rFonts w:ascii="Wingdings" w:hAnsi="Wingdings" w:hint="default"/>
      </w:rPr>
    </w:lvl>
    <w:lvl w:ilvl="6" w:tplc="08090001" w:tentative="1">
      <w:start w:val="1"/>
      <w:numFmt w:val="bullet"/>
      <w:lvlText w:val=""/>
      <w:lvlJc w:val="left"/>
      <w:pPr>
        <w:ind w:left="7189" w:hanging="360"/>
      </w:pPr>
      <w:rPr>
        <w:rFonts w:ascii="Symbol" w:hAnsi="Symbol" w:hint="default"/>
      </w:rPr>
    </w:lvl>
    <w:lvl w:ilvl="7" w:tplc="08090003" w:tentative="1">
      <w:start w:val="1"/>
      <w:numFmt w:val="bullet"/>
      <w:lvlText w:val="o"/>
      <w:lvlJc w:val="left"/>
      <w:pPr>
        <w:ind w:left="7909" w:hanging="360"/>
      </w:pPr>
      <w:rPr>
        <w:rFonts w:ascii="Courier New" w:hAnsi="Courier New" w:cs="Courier New" w:hint="default"/>
      </w:rPr>
    </w:lvl>
    <w:lvl w:ilvl="8" w:tplc="08090005" w:tentative="1">
      <w:start w:val="1"/>
      <w:numFmt w:val="bullet"/>
      <w:lvlText w:val=""/>
      <w:lvlJc w:val="left"/>
      <w:pPr>
        <w:ind w:left="8629" w:hanging="360"/>
      </w:pPr>
      <w:rPr>
        <w:rFonts w:ascii="Wingdings" w:hAnsi="Wingdings" w:hint="default"/>
      </w:rPr>
    </w:lvl>
  </w:abstractNum>
  <w:abstractNum w:abstractNumId="24" w15:restartNumberingAfterBreak="0">
    <w:nsid w:val="79866489"/>
    <w:multiLevelType w:val="hybridMultilevel"/>
    <w:tmpl w:val="38127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FC01C3"/>
    <w:multiLevelType w:val="multilevel"/>
    <w:tmpl w:val="ABA69FF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4"/>
  </w:num>
  <w:num w:numId="2">
    <w:abstractNumId w:val="4"/>
  </w:num>
  <w:num w:numId="3">
    <w:abstractNumId w:val="16"/>
  </w:num>
  <w:num w:numId="4">
    <w:abstractNumId w:val="15"/>
  </w:num>
  <w:num w:numId="5">
    <w:abstractNumId w:val="13"/>
  </w:num>
  <w:num w:numId="6">
    <w:abstractNumId w:val="12"/>
  </w:num>
  <w:num w:numId="7">
    <w:abstractNumId w:val="7"/>
  </w:num>
  <w:num w:numId="8">
    <w:abstractNumId w:val="22"/>
  </w:num>
  <w:num w:numId="9">
    <w:abstractNumId w:val="0"/>
  </w:num>
  <w:num w:numId="10">
    <w:abstractNumId w:val="17"/>
  </w:num>
  <w:num w:numId="11">
    <w:abstractNumId w:val="20"/>
  </w:num>
  <w:num w:numId="12">
    <w:abstractNumId w:val="5"/>
  </w:num>
  <w:num w:numId="13">
    <w:abstractNumId w:val="9"/>
  </w:num>
  <w:num w:numId="14">
    <w:abstractNumId w:val="25"/>
  </w:num>
  <w:num w:numId="15">
    <w:abstractNumId w:val="21"/>
  </w:num>
  <w:num w:numId="16">
    <w:abstractNumId w:val="1"/>
  </w:num>
  <w:num w:numId="17">
    <w:abstractNumId w:val="19"/>
  </w:num>
  <w:num w:numId="18">
    <w:abstractNumId w:val="3"/>
  </w:num>
  <w:num w:numId="19">
    <w:abstractNumId w:val="11"/>
  </w:num>
  <w:num w:numId="20">
    <w:abstractNumId w:val="24"/>
  </w:num>
  <w:num w:numId="21">
    <w:abstractNumId w:val="8"/>
  </w:num>
  <w:num w:numId="22">
    <w:abstractNumId w:val="10"/>
  </w:num>
  <w:num w:numId="23">
    <w:abstractNumId w:val="23"/>
  </w:num>
  <w:num w:numId="24">
    <w:abstractNumId w:val="6"/>
  </w:num>
  <w:num w:numId="25">
    <w:abstractNumId w:val="18"/>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0E7"/>
    <w:rsid w:val="000001B0"/>
    <w:rsid w:val="0000137A"/>
    <w:rsid w:val="00002B30"/>
    <w:rsid w:val="00003EAA"/>
    <w:rsid w:val="00003F5B"/>
    <w:rsid w:val="0000653D"/>
    <w:rsid w:val="000114DD"/>
    <w:rsid w:val="000136F7"/>
    <w:rsid w:val="0002686C"/>
    <w:rsid w:val="0002715E"/>
    <w:rsid w:val="0003157B"/>
    <w:rsid w:val="00031D0E"/>
    <w:rsid w:val="000337E6"/>
    <w:rsid w:val="0003402E"/>
    <w:rsid w:val="00034EAE"/>
    <w:rsid w:val="0004158E"/>
    <w:rsid w:val="00042924"/>
    <w:rsid w:val="00043B68"/>
    <w:rsid w:val="00044028"/>
    <w:rsid w:val="00053975"/>
    <w:rsid w:val="00057A2B"/>
    <w:rsid w:val="000606BE"/>
    <w:rsid w:val="000632EF"/>
    <w:rsid w:val="00064C3F"/>
    <w:rsid w:val="000673C0"/>
    <w:rsid w:val="000723FF"/>
    <w:rsid w:val="000736B8"/>
    <w:rsid w:val="00074D36"/>
    <w:rsid w:val="0008190F"/>
    <w:rsid w:val="00081D9C"/>
    <w:rsid w:val="0008213F"/>
    <w:rsid w:val="00082907"/>
    <w:rsid w:val="0008378D"/>
    <w:rsid w:val="000908A5"/>
    <w:rsid w:val="0009136E"/>
    <w:rsid w:val="00092805"/>
    <w:rsid w:val="00093A6A"/>
    <w:rsid w:val="00093CBB"/>
    <w:rsid w:val="00094192"/>
    <w:rsid w:val="00096C64"/>
    <w:rsid w:val="000A03C9"/>
    <w:rsid w:val="000A2387"/>
    <w:rsid w:val="000A3A69"/>
    <w:rsid w:val="000A7ABC"/>
    <w:rsid w:val="000A7B01"/>
    <w:rsid w:val="000B3083"/>
    <w:rsid w:val="000B3F68"/>
    <w:rsid w:val="000C3121"/>
    <w:rsid w:val="000C454C"/>
    <w:rsid w:val="000D5038"/>
    <w:rsid w:val="000D5A96"/>
    <w:rsid w:val="000E29D4"/>
    <w:rsid w:val="000E2F1C"/>
    <w:rsid w:val="000E30ED"/>
    <w:rsid w:val="000E5CD8"/>
    <w:rsid w:val="000F0FC3"/>
    <w:rsid w:val="000F3445"/>
    <w:rsid w:val="000F3540"/>
    <w:rsid w:val="000F530D"/>
    <w:rsid w:val="000F71A5"/>
    <w:rsid w:val="00100491"/>
    <w:rsid w:val="00104294"/>
    <w:rsid w:val="00104E2E"/>
    <w:rsid w:val="001055F8"/>
    <w:rsid w:val="00107287"/>
    <w:rsid w:val="0011111C"/>
    <w:rsid w:val="001142FC"/>
    <w:rsid w:val="00114506"/>
    <w:rsid w:val="00117406"/>
    <w:rsid w:val="00121EF0"/>
    <w:rsid w:val="00122115"/>
    <w:rsid w:val="00124A9E"/>
    <w:rsid w:val="00124E1B"/>
    <w:rsid w:val="001261AB"/>
    <w:rsid w:val="00130703"/>
    <w:rsid w:val="0013153F"/>
    <w:rsid w:val="001317EF"/>
    <w:rsid w:val="00132E4F"/>
    <w:rsid w:val="00134CA8"/>
    <w:rsid w:val="001408B8"/>
    <w:rsid w:val="00141E68"/>
    <w:rsid w:val="001517E2"/>
    <w:rsid w:val="001521D9"/>
    <w:rsid w:val="0015418E"/>
    <w:rsid w:val="001544C1"/>
    <w:rsid w:val="001554E2"/>
    <w:rsid w:val="00164146"/>
    <w:rsid w:val="001647DC"/>
    <w:rsid w:val="00167B65"/>
    <w:rsid w:val="00171488"/>
    <w:rsid w:val="0017369C"/>
    <w:rsid w:val="0017430E"/>
    <w:rsid w:val="00175D57"/>
    <w:rsid w:val="00180C39"/>
    <w:rsid w:val="00180D96"/>
    <w:rsid w:val="00183187"/>
    <w:rsid w:val="00184BD3"/>
    <w:rsid w:val="001921F3"/>
    <w:rsid w:val="001A051D"/>
    <w:rsid w:val="001A3E3D"/>
    <w:rsid w:val="001B3C5B"/>
    <w:rsid w:val="001B40D2"/>
    <w:rsid w:val="001D0BF9"/>
    <w:rsid w:val="001D254D"/>
    <w:rsid w:val="001D3F77"/>
    <w:rsid w:val="001D583C"/>
    <w:rsid w:val="001D746F"/>
    <w:rsid w:val="001E394D"/>
    <w:rsid w:val="001E4AB0"/>
    <w:rsid w:val="001E4BBB"/>
    <w:rsid w:val="001E5B2C"/>
    <w:rsid w:val="001E6304"/>
    <w:rsid w:val="001F2041"/>
    <w:rsid w:val="001F6F9F"/>
    <w:rsid w:val="0020381E"/>
    <w:rsid w:val="00206990"/>
    <w:rsid w:val="0021319A"/>
    <w:rsid w:val="00213471"/>
    <w:rsid w:val="00213FED"/>
    <w:rsid w:val="00214B93"/>
    <w:rsid w:val="00215906"/>
    <w:rsid w:val="00217699"/>
    <w:rsid w:val="00222F0B"/>
    <w:rsid w:val="00241CD8"/>
    <w:rsid w:val="0024363A"/>
    <w:rsid w:val="00244B09"/>
    <w:rsid w:val="00246F4D"/>
    <w:rsid w:val="002519CB"/>
    <w:rsid w:val="0025697F"/>
    <w:rsid w:val="00260258"/>
    <w:rsid w:val="0026588E"/>
    <w:rsid w:val="002673E4"/>
    <w:rsid w:val="002702B3"/>
    <w:rsid w:val="00272428"/>
    <w:rsid w:val="00272948"/>
    <w:rsid w:val="002829B2"/>
    <w:rsid w:val="00285CBD"/>
    <w:rsid w:val="00286873"/>
    <w:rsid w:val="00292392"/>
    <w:rsid w:val="002946C7"/>
    <w:rsid w:val="002B2F17"/>
    <w:rsid w:val="002B3CC1"/>
    <w:rsid w:val="002B3D8F"/>
    <w:rsid w:val="002B6C8B"/>
    <w:rsid w:val="002B7C18"/>
    <w:rsid w:val="002C09E0"/>
    <w:rsid w:val="002C1424"/>
    <w:rsid w:val="002C1BB1"/>
    <w:rsid w:val="002C2786"/>
    <w:rsid w:val="002C370B"/>
    <w:rsid w:val="002C3A10"/>
    <w:rsid w:val="002C4A90"/>
    <w:rsid w:val="002C4ED5"/>
    <w:rsid w:val="002C71D8"/>
    <w:rsid w:val="002D02EF"/>
    <w:rsid w:val="002D3F93"/>
    <w:rsid w:val="002D6560"/>
    <w:rsid w:val="002D7116"/>
    <w:rsid w:val="002E0109"/>
    <w:rsid w:val="002E0702"/>
    <w:rsid w:val="002E2F32"/>
    <w:rsid w:val="002E57AD"/>
    <w:rsid w:val="002E6F80"/>
    <w:rsid w:val="002F0E4F"/>
    <w:rsid w:val="002F1053"/>
    <w:rsid w:val="002F705D"/>
    <w:rsid w:val="002F7D36"/>
    <w:rsid w:val="003035A6"/>
    <w:rsid w:val="0030445B"/>
    <w:rsid w:val="003074C9"/>
    <w:rsid w:val="00317B0E"/>
    <w:rsid w:val="0032523A"/>
    <w:rsid w:val="00325937"/>
    <w:rsid w:val="00330612"/>
    <w:rsid w:val="0033140A"/>
    <w:rsid w:val="00347FAA"/>
    <w:rsid w:val="0035172D"/>
    <w:rsid w:val="003578EE"/>
    <w:rsid w:val="003606B5"/>
    <w:rsid w:val="0036187D"/>
    <w:rsid w:val="00363ADE"/>
    <w:rsid w:val="00366394"/>
    <w:rsid w:val="00367957"/>
    <w:rsid w:val="00367EDB"/>
    <w:rsid w:val="00381024"/>
    <w:rsid w:val="00381904"/>
    <w:rsid w:val="00381EBB"/>
    <w:rsid w:val="00384168"/>
    <w:rsid w:val="00386307"/>
    <w:rsid w:val="003874DE"/>
    <w:rsid w:val="00387D17"/>
    <w:rsid w:val="00392ABE"/>
    <w:rsid w:val="00393E9F"/>
    <w:rsid w:val="00393EB5"/>
    <w:rsid w:val="0039696E"/>
    <w:rsid w:val="003A1151"/>
    <w:rsid w:val="003A1E8B"/>
    <w:rsid w:val="003A759F"/>
    <w:rsid w:val="003B211A"/>
    <w:rsid w:val="003B7BC0"/>
    <w:rsid w:val="003C0CAB"/>
    <w:rsid w:val="003C141F"/>
    <w:rsid w:val="003C3AE0"/>
    <w:rsid w:val="003C6B0E"/>
    <w:rsid w:val="003C6B59"/>
    <w:rsid w:val="003C7257"/>
    <w:rsid w:val="003C7E35"/>
    <w:rsid w:val="003D096A"/>
    <w:rsid w:val="003D1E99"/>
    <w:rsid w:val="003D6208"/>
    <w:rsid w:val="003D7D5B"/>
    <w:rsid w:val="003F341B"/>
    <w:rsid w:val="003F4BE2"/>
    <w:rsid w:val="00404E8A"/>
    <w:rsid w:val="0040622F"/>
    <w:rsid w:val="00412578"/>
    <w:rsid w:val="00413F24"/>
    <w:rsid w:val="00414022"/>
    <w:rsid w:val="004144A3"/>
    <w:rsid w:val="00422853"/>
    <w:rsid w:val="00423160"/>
    <w:rsid w:val="004232B5"/>
    <w:rsid w:val="00450033"/>
    <w:rsid w:val="00450E42"/>
    <w:rsid w:val="0045326F"/>
    <w:rsid w:val="00453862"/>
    <w:rsid w:val="0045469B"/>
    <w:rsid w:val="00461338"/>
    <w:rsid w:val="004635DB"/>
    <w:rsid w:val="00463F0B"/>
    <w:rsid w:val="00466F87"/>
    <w:rsid w:val="004677DB"/>
    <w:rsid w:val="004713AD"/>
    <w:rsid w:val="00476256"/>
    <w:rsid w:val="0048172B"/>
    <w:rsid w:val="004859B7"/>
    <w:rsid w:val="0048630F"/>
    <w:rsid w:val="004938A6"/>
    <w:rsid w:val="004947A1"/>
    <w:rsid w:val="0049482A"/>
    <w:rsid w:val="004979D3"/>
    <w:rsid w:val="004A00E7"/>
    <w:rsid w:val="004A3A61"/>
    <w:rsid w:val="004A6F9B"/>
    <w:rsid w:val="004A751A"/>
    <w:rsid w:val="004B001C"/>
    <w:rsid w:val="004B25D6"/>
    <w:rsid w:val="004B542F"/>
    <w:rsid w:val="004B59BA"/>
    <w:rsid w:val="004B5A03"/>
    <w:rsid w:val="004C263A"/>
    <w:rsid w:val="004D43D5"/>
    <w:rsid w:val="004D48A6"/>
    <w:rsid w:val="004D7B8F"/>
    <w:rsid w:val="004E5A99"/>
    <w:rsid w:val="004E6458"/>
    <w:rsid w:val="004E6E7D"/>
    <w:rsid w:val="004F0B29"/>
    <w:rsid w:val="004F1AAC"/>
    <w:rsid w:val="004F1AE2"/>
    <w:rsid w:val="004F34F0"/>
    <w:rsid w:val="004F3B2B"/>
    <w:rsid w:val="004F6050"/>
    <w:rsid w:val="004F7410"/>
    <w:rsid w:val="005005EF"/>
    <w:rsid w:val="00503AA3"/>
    <w:rsid w:val="005111F9"/>
    <w:rsid w:val="005123C2"/>
    <w:rsid w:val="005123C3"/>
    <w:rsid w:val="00513E95"/>
    <w:rsid w:val="00515F01"/>
    <w:rsid w:val="0052144B"/>
    <w:rsid w:val="00524066"/>
    <w:rsid w:val="005268A3"/>
    <w:rsid w:val="00530901"/>
    <w:rsid w:val="0053222F"/>
    <w:rsid w:val="00534351"/>
    <w:rsid w:val="00534E11"/>
    <w:rsid w:val="005378D8"/>
    <w:rsid w:val="005400D9"/>
    <w:rsid w:val="00541EF4"/>
    <w:rsid w:val="00542A47"/>
    <w:rsid w:val="00545325"/>
    <w:rsid w:val="005476A4"/>
    <w:rsid w:val="00547A75"/>
    <w:rsid w:val="0055019B"/>
    <w:rsid w:val="00551B65"/>
    <w:rsid w:val="00551FC4"/>
    <w:rsid w:val="005530A3"/>
    <w:rsid w:val="005550A2"/>
    <w:rsid w:val="00556E63"/>
    <w:rsid w:val="005601A4"/>
    <w:rsid w:val="00564647"/>
    <w:rsid w:val="00566DBB"/>
    <w:rsid w:val="00570C0F"/>
    <w:rsid w:val="005767DB"/>
    <w:rsid w:val="005815E6"/>
    <w:rsid w:val="0058712F"/>
    <w:rsid w:val="00590502"/>
    <w:rsid w:val="00594574"/>
    <w:rsid w:val="005976CE"/>
    <w:rsid w:val="005A23D4"/>
    <w:rsid w:val="005A2D1E"/>
    <w:rsid w:val="005A5B18"/>
    <w:rsid w:val="005A7157"/>
    <w:rsid w:val="005B3756"/>
    <w:rsid w:val="005B6DDD"/>
    <w:rsid w:val="005C038E"/>
    <w:rsid w:val="005C493F"/>
    <w:rsid w:val="005C4A75"/>
    <w:rsid w:val="005C6BF7"/>
    <w:rsid w:val="005C71BF"/>
    <w:rsid w:val="005C7688"/>
    <w:rsid w:val="005D002C"/>
    <w:rsid w:val="005D1FDB"/>
    <w:rsid w:val="005D30E1"/>
    <w:rsid w:val="005D56D7"/>
    <w:rsid w:val="005D6555"/>
    <w:rsid w:val="005D7BDF"/>
    <w:rsid w:val="005E40DD"/>
    <w:rsid w:val="005E4870"/>
    <w:rsid w:val="005E4A4C"/>
    <w:rsid w:val="005F0862"/>
    <w:rsid w:val="005F595B"/>
    <w:rsid w:val="005F71D9"/>
    <w:rsid w:val="005F7602"/>
    <w:rsid w:val="006062BE"/>
    <w:rsid w:val="00610B56"/>
    <w:rsid w:val="00613143"/>
    <w:rsid w:val="00613501"/>
    <w:rsid w:val="006147EF"/>
    <w:rsid w:val="0061611B"/>
    <w:rsid w:val="006166A8"/>
    <w:rsid w:val="006174A1"/>
    <w:rsid w:val="00621D6C"/>
    <w:rsid w:val="00623589"/>
    <w:rsid w:val="00625BF8"/>
    <w:rsid w:val="00627D2D"/>
    <w:rsid w:val="00630348"/>
    <w:rsid w:val="00633B49"/>
    <w:rsid w:val="00636C72"/>
    <w:rsid w:val="00637257"/>
    <w:rsid w:val="00641676"/>
    <w:rsid w:val="0064297F"/>
    <w:rsid w:val="00645102"/>
    <w:rsid w:val="00646CF3"/>
    <w:rsid w:val="00650B99"/>
    <w:rsid w:val="0065119B"/>
    <w:rsid w:val="00653904"/>
    <w:rsid w:val="00653D11"/>
    <w:rsid w:val="006541C0"/>
    <w:rsid w:val="00662983"/>
    <w:rsid w:val="00667249"/>
    <w:rsid w:val="00671C3D"/>
    <w:rsid w:val="00673331"/>
    <w:rsid w:val="006833E9"/>
    <w:rsid w:val="006834D3"/>
    <w:rsid w:val="00686223"/>
    <w:rsid w:val="006870F1"/>
    <w:rsid w:val="00692625"/>
    <w:rsid w:val="006929B9"/>
    <w:rsid w:val="00695CD3"/>
    <w:rsid w:val="006A07F4"/>
    <w:rsid w:val="006A38B6"/>
    <w:rsid w:val="006B0FF7"/>
    <w:rsid w:val="006B1544"/>
    <w:rsid w:val="006B1987"/>
    <w:rsid w:val="006B4145"/>
    <w:rsid w:val="006B41EE"/>
    <w:rsid w:val="006B47FE"/>
    <w:rsid w:val="006B563B"/>
    <w:rsid w:val="006B5B71"/>
    <w:rsid w:val="006B6CB0"/>
    <w:rsid w:val="006C0296"/>
    <w:rsid w:val="006C2B64"/>
    <w:rsid w:val="006C37D2"/>
    <w:rsid w:val="006C4075"/>
    <w:rsid w:val="006C79F3"/>
    <w:rsid w:val="006D4C85"/>
    <w:rsid w:val="006D66AC"/>
    <w:rsid w:val="006E1C60"/>
    <w:rsid w:val="006E33F6"/>
    <w:rsid w:val="006E647F"/>
    <w:rsid w:val="006F0B24"/>
    <w:rsid w:val="006F1251"/>
    <w:rsid w:val="006F1C23"/>
    <w:rsid w:val="006F3C13"/>
    <w:rsid w:val="00702C18"/>
    <w:rsid w:val="00703166"/>
    <w:rsid w:val="0070421A"/>
    <w:rsid w:val="007055A1"/>
    <w:rsid w:val="007127F3"/>
    <w:rsid w:val="00712D11"/>
    <w:rsid w:val="00712E51"/>
    <w:rsid w:val="00715D1D"/>
    <w:rsid w:val="00715EEB"/>
    <w:rsid w:val="00716FFB"/>
    <w:rsid w:val="007216ED"/>
    <w:rsid w:val="00721E63"/>
    <w:rsid w:val="007301CF"/>
    <w:rsid w:val="007316FB"/>
    <w:rsid w:val="007374D0"/>
    <w:rsid w:val="00737E2D"/>
    <w:rsid w:val="00741B08"/>
    <w:rsid w:val="007424D5"/>
    <w:rsid w:val="00744F45"/>
    <w:rsid w:val="00750A88"/>
    <w:rsid w:val="007523DD"/>
    <w:rsid w:val="007567F2"/>
    <w:rsid w:val="00757B7E"/>
    <w:rsid w:val="007601ED"/>
    <w:rsid w:val="00764260"/>
    <w:rsid w:val="007656B2"/>
    <w:rsid w:val="00766761"/>
    <w:rsid w:val="0077016F"/>
    <w:rsid w:val="007713AD"/>
    <w:rsid w:val="0077368E"/>
    <w:rsid w:val="00775C5C"/>
    <w:rsid w:val="00784629"/>
    <w:rsid w:val="00794E27"/>
    <w:rsid w:val="00795DC5"/>
    <w:rsid w:val="00796D2F"/>
    <w:rsid w:val="00797153"/>
    <w:rsid w:val="007979BF"/>
    <w:rsid w:val="007A21F7"/>
    <w:rsid w:val="007A2B68"/>
    <w:rsid w:val="007A52E5"/>
    <w:rsid w:val="007B0DDA"/>
    <w:rsid w:val="007B4A62"/>
    <w:rsid w:val="007B711D"/>
    <w:rsid w:val="007C2705"/>
    <w:rsid w:val="007D3347"/>
    <w:rsid w:val="007E3E05"/>
    <w:rsid w:val="007E5466"/>
    <w:rsid w:val="007F1949"/>
    <w:rsid w:val="007F2592"/>
    <w:rsid w:val="00800A08"/>
    <w:rsid w:val="00801F73"/>
    <w:rsid w:val="008035F9"/>
    <w:rsid w:val="008166B0"/>
    <w:rsid w:val="00817A84"/>
    <w:rsid w:val="0082119E"/>
    <w:rsid w:val="008225A4"/>
    <w:rsid w:val="00823357"/>
    <w:rsid w:val="00823CE0"/>
    <w:rsid w:val="00824B92"/>
    <w:rsid w:val="00826D5E"/>
    <w:rsid w:val="0082736A"/>
    <w:rsid w:val="00832013"/>
    <w:rsid w:val="0083250F"/>
    <w:rsid w:val="00832DB7"/>
    <w:rsid w:val="00833BCD"/>
    <w:rsid w:val="00834732"/>
    <w:rsid w:val="00842AAA"/>
    <w:rsid w:val="00842D82"/>
    <w:rsid w:val="00845F60"/>
    <w:rsid w:val="00847AC0"/>
    <w:rsid w:val="008514DF"/>
    <w:rsid w:val="0085200C"/>
    <w:rsid w:val="00854A6C"/>
    <w:rsid w:val="00857C52"/>
    <w:rsid w:val="00860D5F"/>
    <w:rsid w:val="00863458"/>
    <w:rsid w:val="008647D7"/>
    <w:rsid w:val="00865926"/>
    <w:rsid w:val="00880A44"/>
    <w:rsid w:val="0088345E"/>
    <w:rsid w:val="0088656F"/>
    <w:rsid w:val="00890443"/>
    <w:rsid w:val="00891EF6"/>
    <w:rsid w:val="008A0303"/>
    <w:rsid w:val="008A5B23"/>
    <w:rsid w:val="008A5FDD"/>
    <w:rsid w:val="008B25B3"/>
    <w:rsid w:val="008B5F43"/>
    <w:rsid w:val="008C04D7"/>
    <w:rsid w:val="008C3947"/>
    <w:rsid w:val="008C454D"/>
    <w:rsid w:val="008D6BCF"/>
    <w:rsid w:val="008E4656"/>
    <w:rsid w:val="008E473B"/>
    <w:rsid w:val="008E51A6"/>
    <w:rsid w:val="008E7329"/>
    <w:rsid w:val="008E75B9"/>
    <w:rsid w:val="008F053A"/>
    <w:rsid w:val="008F2ED5"/>
    <w:rsid w:val="00904334"/>
    <w:rsid w:val="0090549F"/>
    <w:rsid w:val="0092129A"/>
    <w:rsid w:val="00921E3E"/>
    <w:rsid w:val="0092297E"/>
    <w:rsid w:val="00923651"/>
    <w:rsid w:val="00927B56"/>
    <w:rsid w:val="00931AAC"/>
    <w:rsid w:val="00932F3D"/>
    <w:rsid w:val="009341BF"/>
    <w:rsid w:val="00936A9D"/>
    <w:rsid w:val="00937907"/>
    <w:rsid w:val="00941739"/>
    <w:rsid w:val="009478A9"/>
    <w:rsid w:val="00950ADD"/>
    <w:rsid w:val="00951573"/>
    <w:rsid w:val="00951820"/>
    <w:rsid w:val="00955F02"/>
    <w:rsid w:val="00957CBE"/>
    <w:rsid w:val="00957ED0"/>
    <w:rsid w:val="00963003"/>
    <w:rsid w:val="00964286"/>
    <w:rsid w:val="00966AC3"/>
    <w:rsid w:val="00966EEF"/>
    <w:rsid w:val="00971B28"/>
    <w:rsid w:val="00971E3B"/>
    <w:rsid w:val="00973D51"/>
    <w:rsid w:val="00974061"/>
    <w:rsid w:val="0097702A"/>
    <w:rsid w:val="00977A3B"/>
    <w:rsid w:val="0098228E"/>
    <w:rsid w:val="00983471"/>
    <w:rsid w:val="00983A03"/>
    <w:rsid w:val="009909AB"/>
    <w:rsid w:val="0099144D"/>
    <w:rsid w:val="00991541"/>
    <w:rsid w:val="00992A92"/>
    <w:rsid w:val="009A114D"/>
    <w:rsid w:val="009A179F"/>
    <w:rsid w:val="009A3023"/>
    <w:rsid w:val="009A3D1F"/>
    <w:rsid w:val="009A4F25"/>
    <w:rsid w:val="009A50A3"/>
    <w:rsid w:val="009A5B40"/>
    <w:rsid w:val="009A7928"/>
    <w:rsid w:val="009B31D9"/>
    <w:rsid w:val="009B37DB"/>
    <w:rsid w:val="009C13E0"/>
    <w:rsid w:val="009C5586"/>
    <w:rsid w:val="009C7230"/>
    <w:rsid w:val="009C7A8C"/>
    <w:rsid w:val="009D23F9"/>
    <w:rsid w:val="009D33E7"/>
    <w:rsid w:val="009D4FA8"/>
    <w:rsid w:val="009E08BF"/>
    <w:rsid w:val="009E1AC7"/>
    <w:rsid w:val="009E29F2"/>
    <w:rsid w:val="009E44AE"/>
    <w:rsid w:val="009E6CD6"/>
    <w:rsid w:val="009F4863"/>
    <w:rsid w:val="009F4D66"/>
    <w:rsid w:val="009F64BE"/>
    <w:rsid w:val="009F6B35"/>
    <w:rsid w:val="00A00C3C"/>
    <w:rsid w:val="00A01091"/>
    <w:rsid w:val="00A042B9"/>
    <w:rsid w:val="00A06DBB"/>
    <w:rsid w:val="00A16CC8"/>
    <w:rsid w:val="00A20346"/>
    <w:rsid w:val="00A22ADF"/>
    <w:rsid w:val="00A23A4D"/>
    <w:rsid w:val="00A25044"/>
    <w:rsid w:val="00A2707B"/>
    <w:rsid w:val="00A31E86"/>
    <w:rsid w:val="00A347F1"/>
    <w:rsid w:val="00A348D3"/>
    <w:rsid w:val="00A36B7E"/>
    <w:rsid w:val="00A473AA"/>
    <w:rsid w:val="00A477CE"/>
    <w:rsid w:val="00A47FD5"/>
    <w:rsid w:val="00A54A3B"/>
    <w:rsid w:val="00A54D87"/>
    <w:rsid w:val="00A5553C"/>
    <w:rsid w:val="00A62314"/>
    <w:rsid w:val="00A67196"/>
    <w:rsid w:val="00A67DE2"/>
    <w:rsid w:val="00A701C9"/>
    <w:rsid w:val="00A762AD"/>
    <w:rsid w:val="00A81785"/>
    <w:rsid w:val="00A84803"/>
    <w:rsid w:val="00A84C51"/>
    <w:rsid w:val="00A86D55"/>
    <w:rsid w:val="00A86F2B"/>
    <w:rsid w:val="00A91366"/>
    <w:rsid w:val="00A918F3"/>
    <w:rsid w:val="00A91C99"/>
    <w:rsid w:val="00A93AA6"/>
    <w:rsid w:val="00A944DF"/>
    <w:rsid w:val="00A959B7"/>
    <w:rsid w:val="00A9663D"/>
    <w:rsid w:val="00AA4E48"/>
    <w:rsid w:val="00AA5104"/>
    <w:rsid w:val="00AA6202"/>
    <w:rsid w:val="00AA756E"/>
    <w:rsid w:val="00AA7B57"/>
    <w:rsid w:val="00AB1C66"/>
    <w:rsid w:val="00AB5681"/>
    <w:rsid w:val="00AC26FC"/>
    <w:rsid w:val="00AC2BC7"/>
    <w:rsid w:val="00AC4A99"/>
    <w:rsid w:val="00AC64D2"/>
    <w:rsid w:val="00AD0174"/>
    <w:rsid w:val="00AD02E7"/>
    <w:rsid w:val="00AD1CF5"/>
    <w:rsid w:val="00AE0FE8"/>
    <w:rsid w:val="00AE1322"/>
    <w:rsid w:val="00AE3198"/>
    <w:rsid w:val="00AE382D"/>
    <w:rsid w:val="00AF1051"/>
    <w:rsid w:val="00AF16E5"/>
    <w:rsid w:val="00AF37D7"/>
    <w:rsid w:val="00AF60D5"/>
    <w:rsid w:val="00B00959"/>
    <w:rsid w:val="00B04415"/>
    <w:rsid w:val="00B06509"/>
    <w:rsid w:val="00B06B60"/>
    <w:rsid w:val="00B10B9E"/>
    <w:rsid w:val="00B11C76"/>
    <w:rsid w:val="00B11D60"/>
    <w:rsid w:val="00B13D65"/>
    <w:rsid w:val="00B17797"/>
    <w:rsid w:val="00B21805"/>
    <w:rsid w:val="00B21A5D"/>
    <w:rsid w:val="00B258A1"/>
    <w:rsid w:val="00B3072E"/>
    <w:rsid w:val="00B36E15"/>
    <w:rsid w:val="00B37245"/>
    <w:rsid w:val="00B4017A"/>
    <w:rsid w:val="00B4468D"/>
    <w:rsid w:val="00B44B25"/>
    <w:rsid w:val="00B706BC"/>
    <w:rsid w:val="00B71C72"/>
    <w:rsid w:val="00B81E92"/>
    <w:rsid w:val="00B870CE"/>
    <w:rsid w:val="00B87619"/>
    <w:rsid w:val="00B87B84"/>
    <w:rsid w:val="00B87F6A"/>
    <w:rsid w:val="00B87FB3"/>
    <w:rsid w:val="00B905DC"/>
    <w:rsid w:val="00B908D7"/>
    <w:rsid w:val="00B915AB"/>
    <w:rsid w:val="00B925AC"/>
    <w:rsid w:val="00B935E8"/>
    <w:rsid w:val="00B93B30"/>
    <w:rsid w:val="00B94CB5"/>
    <w:rsid w:val="00B96272"/>
    <w:rsid w:val="00B9735E"/>
    <w:rsid w:val="00BA0DD9"/>
    <w:rsid w:val="00BA19F0"/>
    <w:rsid w:val="00BA5DBC"/>
    <w:rsid w:val="00BA5FC9"/>
    <w:rsid w:val="00BB2CE4"/>
    <w:rsid w:val="00BB3FE7"/>
    <w:rsid w:val="00BB6312"/>
    <w:rsid w:val="00BC4BEA"/>
    <w:rsid w:val="00BC4D06"/>
    <w:rsid w:val="00BD0300"/>
    <w:rsid w:val="00BD585E"/>
    <w:rsid w:val="00BD5919"/>
    <w:rsid w:val="00BD6919"/>
    <w:rsid w:val="00BE153D"/>
    <w:rsid w:val="00BE1EA7"/>
    <w:rsid w:val="00BE320B"/>
    <w:rsid w:val="00BE6606"/>
    <w:rsid w:val="00BE7489"/>
    <w:rsid w:val="00BF2E0D"/>
    <w:rsid w:val="00BF36AB"/>
    <w:rsid w:val="00BF3927"/>
    <w:rsid w:val="00BF3F8B"/>
    <w:rsid w:val="00BF76DA"/>
    <w:rsid w:val="00C04112"/>
    <w:rsid w:val="00C0601C"/>
    <w:rsid w:val="00C06201"/>
    <w:rsid w:val="00C07C7B"/>
    <w:rsid w:val="00C10B64"/>
    <w:rsid w:val="00C11BAE"/>
    <w:rsid w:val="00C12779"/>
    <w:rsid w:val="00C16245"/>
    <w:rsid w:val="00C16C40"/>
    <w:rsid w:val="00C210B4"/>
    <w:rsid w:val="00C22DC5"/>
    <w:rsid w:val="00C24479"/>
    <w:rsid w:val="00C273F2"/>
    <w:rsid w:val="00C31812"/>
    <w:rsid w:val="00C37B53"/>
    <w:rsid w:val="00C406C2"/>
    <w:rsid w:val="00C41C6B"/>
    <w:rsid w:val="00C439DB"/>
    <w:rsid w:val="00C50D1E"/>
    <w:rsid w:val="00C517D2"/>
    <w:rsid w:val="00C51A47"/>
    <w:rsid w:val="00C542F0"/>
    <w:rsid w:val="00C54E33"/>
    <w:rsid w:val="00C5772E"/>
    <w:rsid w:val="00C62740"/>
    <w:rsid w:val="00C62B36"/>
    <w:rsid w:val="00C63931"/>
    <w:rsid w:val="00C63D1B"/>
    <w:rsid w:val="00C7012C"/>
    <w:rsid w:val="00C712EA"/>
    <w:rsid w:val="00C7255C"/>
    <w:rsid w:val="00C849C5"/>
    <w:rsid w:val="00C93E77"/>
    <w:rsid w:val="00C93EE2"/>
    <w:rsid w:val="00C96CE4"/>
    <w:rsid w:val="00CA217D"/>
    <w:rsid w:val="00CA3AFD"/>
    <w:rsid w:val="00CA3E47"/>
    <w:rsid w:val="00CB56BF"/>
    <w:rsid w:val="00CB744C"/>
    <w:rsid w:val="00CC05F1"/>
    <w:rsid w:val="00CC09D4"/>
    <w:rsid w:val="00CC34AF"/>
    <w:rsid w:val="00CC4872"/>
    <w:rsid w:val="00CC668D"/>
    <w:rsid w:val="00CC7832"/>
    <w:rsid w:val="00CD09CB"/>
    <w:rsid w:val="00CD0B3D"/>
    <w:rsid w:val="00CD1F32"/>
    <w:rsid w:val="00CD1F72"/>
    <w:rsid w:val="00CD26AE"/>
    <w:rsid w:val="00CE08D6"/>
    <w:rsid w:val="00CF0408"/>
    <w:rsid w:val="00CF0C1C"/>
    <w:rsid w:val="00CF20D4"/>
    <w:rsid w:val="00CF27FD"/>
    <w:rsid w:val="00CF5F12"/>
    <w:rsid w:val="00D00D8F"/>
    <w:rsid w:val="00D12DE9"/>
    <w:rsid w:val="00D13D66"/>
    <w:rsid w:val="00D16345"/>
    <w:rsid w:val="00D2043F"/>
    <w:rsid w:val="00D214E7"/>
    <w:rsid w:val="00D21C59"/>
    <w:rsid w:val="00D21F3A"/>
    <w:rsid w:val="00D23808"/>
    <w:rsid w:val="00D3016A"/>
    <w:rsid w:val="00D417D2"/>
    <w:rsid w:val="00D42960"/>
    <w:rsid w:val="00D43BD7"/>
    <w:rsid w:val="00D443E3"/>
    <w:rsid w:val="00D4485B"/>
    <w:rsid w:val="00D4708D"/>
    <w:rsid w:val="00D4744C"/>
    <w:rsid w:val="00D521DE"/>
    <w:rsid w:val="00D52F1C"/>
    <w:rsid w:val="00D5470B"/>
    <w:rsid w:val="00D54D68"/>
    <w:rsid w:val="00D57AB7"/>
    <w:rsid w:val="00D6104C"/>
    <w:rsid w:val="00D63068"/>
    <w:rsid w:val="00D6498C"/>
    <w:rsid w:val="00D6547B"/>
    <w:rsid w:val="00D65B3B"/>
    <w:rsid w:val="00D73BB4"/>
    <w:rsid w:val="00D76A70"/>
    <w:rsid w:val="00D83182"/>
    <w:rsid w:val="00D8521E"/>
    <w:rsid w:val="00D874B3"/>
    <w:rsid w:val="00D9291C"/>
    <w:rsid w:val="00D93A97"/>
    <w:rsid w:val="00D94394"/>
    <w:rsid w:val="00D97FEA"/>
    <w:rsid w:val="00DA2145"/>
    <w:rsid w:val="00DA2565"/>
    <w:rsid w:val="00DA463F"/>
    <w:rsid w:val="00DA6F01"/>
    <w:rsid w:val="00DB1616"/>
    <w:rsid w:val="00DB1F64"/>
    <w:rsid w:val="00DB72FF"/>
    <w:rsid w:val="00DC0109"/>
    <w:rsid w:val="00DC2F53"/>
    <w:rsid w:val="00DC5BAC"/>
    <w:rsid w:val="00DC6816"/>
    <w:rsid w:val="00DC76C2"/>
    <w:rsid w:val="00DC7ECF"/>
    <w:rsid w:val="00DD1CF2"/>
    <w:rsid w:val="00DD2C93"/>
    <w:rsid w:val="00DD33DC"/>
    <w:rsid w:val="00DE22C8"/>
    <w:rsid w:val="00DE4484"/>
    <w:rsid w:val="00DE5DFC"/>
    <w:rsid w:val="00DE6ACC"/>
    <w:rsid w:val="00DF41B7"/>
    <w:rsid w:val="00DF439F"/>
    <w:rsid w:val="00DF4A4A"/>
    <w:rsid w:val="00DF583C"/>
    <w:rsid w:val="00E033CD"/>
    <w:rsid w:val="00E03C3F"/>
    <w:rsid w:val="00E03D36"/>
    <w:rsid w:val="00E056A4"/>
    <w:rsid w:val="00E06FD7"/>
    <w:rsid w:val="00E07417"/>
    <w:rsid w:val="00E170E1"/>
    <w:rsid w:val="00E24D45"/>
    <w:rsid w:val="00E30534"/>
    <w:rsid w:val="00E33DB8"/>
    <w:rsid w:val="00E33EFF"/>
    <w:rsid w:val="00E34387"/>
    <w:rsid w:val="00E348BA"/>
    <w:rsid w:val="00E3684C"/>
    <w:rsid w:val="00E369FE"/>
    <w:rsid w:val="00E37C6F"/>
    <w:rsid w:val="00E43449"/>
    <w:rsid w:val="00E45447"/>
    <w:rsid w:val="00E45575"/>
    <w:rsid w:val="00E475F8"/>
    <w:rsid w:val="00E500BB"/>
    <w:rsid w:val="00E5102E"/>
    <w:rsid w:val="00E5305E"/>
    <w:rsid w:val="00E5721C"/>
    <w:rsid w:val="00E60827"/>
    <w:rsid w:val="00E619C6"/>
    <w:rsid w:val="00E745A1"/>
    <w:rsid w:val="00E8102A"/>
    <w:rsid w:val="00E81529"/>
    <w:rsid w:val="00E83A13"/>
    <w:rsid w:val="00E9126B"/>
    <w:rsid w:val="00EA1155"/>
    <w:rsid w:val="00EA14DC"/>
    <w:rsid w:val="00EA6CBB"/>
    <w:rsid w:val="00EA7410"/>
    <w:rsid w:val="00EB2CA6"/>
    <w:rsid w:val="00EB6FC5"/>
    <w:rsid w:val="00EC1511"/>
    <w:rsid w:val="00EC2356"/>
    <w:rsid w:val="00EC2582"/>
    <w:rsid w:val="00EC337C"/>
    <w:rsid w:val="00EC4133"/>
    <w:rsid w:val="00ED0CFF"/>
    <w:rsid w:val="00ED243F"/>
    <w:rsid w:val="00ED31D2"/>
    <w:rsid w:val="00ED38A5"/>
    <w:rsid w:val="00EE05A8"/>
    <w:rsid w:val="00EE0EAC"/>
    <w:rsid w:val="00EE3322"/>
    <w:rsid w:val="00EE33CB"/>
    <w:rsid w:val="00EF2973"/>
    <w:rsid w:val="00EF7DD3"/>
    <w:rsid w:val="00F0061A"/>
    <w:rsid w:val="00F02834"/>
    <w:rsid w:val="00F04EEB"/>
    <w:rsid w:val="00F05467"/>
    <w:rsid w:val="00F055D2"/>
    <w:rsid w:val="00F05BC7"/>
    <w:rsid w:val="00F07CD7"/>
    <w:rsid w:val="00F127E9"/>
    <w:rsid w:val="00F14B5D"/>
    <w:rsid w:val="00F259FC"/>
    <w:rsid w:val="00F2756B"/>
    <w:rsid w:val="00F3143C"/>
    <w:rsid w:val="00F31E3E"/>
    <w:rsid w:val="00F36972"/>
    <w:rsid w:val="00F400FE"/>
    <w:rsid w:val="00F42426"/>
    <w:rsid w:val="00F456BC"/>
    <w:rsid w:val="00F50666"/>
    <w:rsid w:val="00F53151"/>
    <w:rsid w:val="00F54682"/>
    <w:rsid w:val="00F55522"/>
    <w:rsid w:val="00F55668"/>
    <w:rsid w:val="00F67D3C"/>
    <w:rsid w:val="00F70C9E"/>
    <w:rsid w:val="00F74A74"/>
    <w:rsid w:val="00F7572C"/>
    <w:rsid w:val="00F82712"/>
    <w:rsid w:val="00F8382C"/>
    <w:rsid w:val="00F839BD"/>
    <w:rsid w:val="00F8539F"/>
    <w:rsid w:val="00F855D7"/>
    <w:rsid w:val="00F900FC"/>
    <w:rsid w:val="00F92035"/>
    <w:rsid w:val="00F92748"/>
    <w:rsid w:val="00F92A24"/>
    <w:rsid w:val="00FA4169"/>
    <w:rsid w:val="00FB0D41"/>
    <w:rsid w:val="00FB2030"/>
    <w:rsid w:val="00FB388C"/>
    <w:rsid w:val="00FC0D45"/>
    <w:rsid w:val="00FC37CC"/>
    <w:rsid w:val="00FC50CC"/>
    <w:rsid w:val="00FC76AB"/>
    <w:rsid w:val="00FD0E46"/>
    <w:rsid w:val="00FD1CF2"/>
    <w:rsid w:val="00FD3EDF"/>
    <w:rsid w:val="00FD492C"/>
    <w:rsid w:val="00FD4B60"/>
    <w:rsid w:val="00FD793C"/>
    <w:rsid w:val="00FE0FD5"/>
    <w:rsid w:val="00FE20E6"/>
    <w:rsid w:val="00FE231B"/>
    <w:rsid w:val="00FE3E3B"/>
    <w:rsid w:val="00FE63F5"/>
    <w:rsid w:val="00FE659C"/>
    <w:rsid w:val="00FE6709"/>
    <w:rsid w:val="00FE6D31"/>
    <w:rsid w:val="00FF00D2"/>
    <w:rsid w:val="00FF3FB1"/>
    <w:rsid w:val="00FF4032"/>
    <w:rsid w:val="00FF6469"/>
    <w:rsid w:val="00FF7E4A"/>
    <w:rsid w:val="2042B827"/>
    <w:rsid w:val="31357FE3"/>
    <w:rsid w:val="3B251BD8"/>
    <w:rsid w:val="4A6A60F2"/>
    <w:rsid w:val="57A7D712"/>
    <w:rsid w:val="66B23060"/>
    <w:rsid w:val="6EB88CC3"/>
    <w:rsid w:val="73DA16CE"/>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FE6E56"/>
  <w15:docId w15:val="{EAE663F4-E9D4-4801-9B3D-DF722035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36A9D"/>
    <w:rPr>
      <w:sz w:val="24"/>
      <w:szCs w:val="24"/>
      <w:lang w:eastAsia="en-GB"/>
    </w:rPr>
  </w:style>
  <w:style w:type="paragraph" w:styleId="Antrat1">
    <w:name w:val="heading 1"/>
    <w:basedOn w:val="prastasis"/>
    <w:next w:val="prastasis"/>
    <w:uiPriority w:val="9"/>
    <w:qFormat/>
    <w:rsid w:val="00A84C51"/>
    <w:pPr>
      <w:keepNext/>
      <w:jc w:val="center"/>
      <w:outlineLvl w:val="0"/>
    </w:pPr>
    <w:rPr>
      <w:b/>
      <w:bCs/>
      <w:caps/>
      <w:lang w:eastAsia="en-US"/>
    </w:rPr>
  </w:style>
  <w:style w:type="paragraph" w:styleId="Antrat2">
    <w:name w:val="heading 2"/>
    <w:basedOn w:val="prastasis"/>
    <w:next w:val="prastasis"/>
    <w:uiPriority w:val="9"/>
    <w:qFormat/>
    <w:rsid w:val="00A84C51"/>
    <w:pPr>
      <w:keepNext/>
      <w:jc w:val="center"/>
      <w:outlineLvl w:val="1"/>
    </w:pPr>
    <w:rPr>
      <w:b/>
      <w:bCs/>
      <w:caps/>
      <w:sz w:val="28"/>
      <w:lang w:eastAsia="en-US"/>
    </w:rPr>
  </w:style>
  <w:style w:type="paragraph" w:styleId="Antrat3">
    <w:name w:val="heading 3"/>
    <w:basedOn w:val="Antrat1"/>
    <w:next w:val="prastasis"/>
    <w:link w:val="Antrat3Diagrama"/>
    <w:uiPriority w:val="9"/>
    <w:semiHidden/>
    <w:unhideWhenUsed/>
    <w:qFormat/>
    <w:rsid w:val="002D7116"/>
    <w:pPr>
      <w:keepNext w:val="0"/>
      <w:spacing w:line="280" w:lineRule="atLeast"/>
      <w:ind w:left="2160" w:hanging="360"/>
      <w:contextualSpacing/>
      <w:jc w:val="left"/>
      <w:outlineLvl w:val="2"/>
    </w:pPr>
    <w:rPr>
      <w:rFonts w:eastAsia="Arial"/>
      <w:bCs w:val="0"/>
      <w:caps w:val="0"/>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rPr>
      <w:lang w:eastAsia="en-US"/>
    </w:rPr>
  </w:style>
  <w:style w:type="paragraph" w:styleId="Porat">
    <w:name w:val="footer"/>
    <w:basedOn w:val="prastasis"/>
    <w:link w:val="PoratDiagrama"/>
    <w:rsid w:val="00A84C51"/>
    <w:pPr>
      <w:tabs>
        <w:tab w:val="center" w:pos="4986"/>
        <w:tab w:val="right" w:pos="9972"/>
      </w:tabs>
    </w:pPr>
    <w:rPr>
      <w:lang w:eastAsia="en-US"/>
    </w:r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lang w:eastAsia="en-US"/>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basedOn w:val="prastojilentel"/>
    <w:uiPriority w:val="39"/>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lang w:eastAsia="en-US"/>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Styl moj,Akapit z listą11,aotm_załączniki,Akapit z listą1,List Paragraph1,Bullet1,Table Legend,Dot pt,F5 List Paragraph,No Spacing1,List Paragraph Char Char Char,Indicator Text,Colorful List - Accent 11,Numbered Para 1,Bullet 1"/>
    <w:basedOn w:val="prastasis"/>
    <w:link w:val="SraopastraipaDiagrama"/>
    <w:uiPriority w:val="34"/>
    <w:qFormat/>
    <w:rsid w:val="00104E2E"/>
    <w:pPr>
      <w:ind w:left="720"/>
      <w:contextualSpacing/>
    </w:pPr>
    <w:rPr>
      <w:lang w:eastAsia="en-US"/>
    </w:r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 w:type="character" w:styleId="Grietas">
    <w:name w:val="Strong"/>
    <w:basedOn w:val="Numatytasispastraiposriftas"/>
    <w:uiPriority w:val="22"/>
    <w:qFormat/>
    <w:rsid w:val="00BB3FE7"/>
    <w:rPr>
      <w:b/>
      <w:bCs/>
    </w:rPr>
  </w:style>
  <w:style w:type="character" w:styleId="Emfaz">
    <w:name w:val="Emphasis"/>
    <w:basedOn w:val="Numatytasispastraiposriftas"/>
    <w:qFormat/>
    <w:rsid w:val="001317EF"/>
    <w:rPr>
      <w:i/>
      <w:iCs/>
    </w:rPr>
  </w:style>
  <w:style w:type="character" w:customStyle="1" w:styleId="SraopastraipaDiagrama">
    <w:name w:val="Sąrašo pastraipa Diagrama"/>
    <w:aliases w:val="Styl moj Diagrama,Akapit z listą11 Diagrama,aotm_załączniki Diagrama,Akapit z listą1 Diagrama,List Paragraph1 Diagrama,Bullet1 Diagrama,Table Legend Diagrama,Dot pt Diagrama,F5 List Paragraph Diagrama,No Spacing1 Diagrama"/>
    <w:link w:val="Sraopastraipa"/>
    <w:uiPriority w:val="34"/>
    <w:qFormat/>
    <w:locked/>
    <w:rsid w:val="00CD1F72"/>
    <w:rPr>
      <w:sz w:val="24"/>
      <w:szCs w:val="24"/>
      <w:lang w:eastAsia="en-US"/>
    </w:rPr>
  </w:style>
  <w:style w:type="character" w:customStyle="1" w:styleId="Antrat3Diagrama">
    <w:name w:val="Antraštė 3 Diagrama"/>
    <w:basedOn w:val="Numatytasispastraiposriftas"/>
    <w:link w:val="Antrat3"/>
    <w:uiPriority w:val="9"/>
    <w:semiHidden/>
    <w:rsid w:val="002D7116"/>
    <w:rPr>
      <w:rFonts w:eastAsia="Arial"/>
      <w:b/>
      <w:sz w:val="24"/>
      <w:szCs w:val="24"/>
      <w:lang w:eastAsia="en-GB"/>
    </w:rPr>
  </w:style>
  <w:style w:type="paragraph" w:styleId="HTMLiankstoformatuotas">
    <w:name w:val="HTML Preformatted"/>
    <w:basedOn w:val="prastasis"/>
    <w:link w:val="HTMLiankstoformatuotasDiagrama"/>
    <w:uiPriority w:val="99"/>
    <w:unhideWhenUsed/>
    <w:rsid w:val="00D13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D13D66"/>
    <w:rPr>
      <w:rFonts w:ascii="Courier New" w:hAnsi="Courier New" w:cs="Courier New"/>
      <w:lang w:eastAsia="en-GB"/>
    </w:rPr>
  </w:style>
  <w:style w:type="character" w:customStyle="1" w:styleId="y2iqfc">
    <w:name w:val="y2iqfc"/>
    <w:basedOn w:val="Numatytasispastraiposriftas"/>
    <w:rsid w:val="00D13D66"/>
  </w:style>
  <w:style w:type="character" w:customStyle="1" w:styleId="normaltextrun">
    <w:name w:val="normaltextrun"/>
    <w:basedOn w:val="Numatytasispastraiposriftas"/>
    <w:rsid w:val="0033140A"/>
  </w:style>
  <w:style w:type="paragraph" w:customStyle="1" w:styleId="paragraph">
    <w:name w:val="paragraph"/>
    <w:basedOn w:val="prastasis"/>
    <w:rsid w:val="00964286"/>
    <w:pPr>
      <w:spacing w:before="100" w:beforeAutospacing="1" w:after="100" w:afterAutospacing="1"/>
    </w:pPr>
  </w:style>
  <w:style w:type="character" w:customStyle="1" w:styleId="eop">
    <w:name w:val="eop"/>
    <w:basedOn w:val="Numatytasispastraiposriftas"/>
    <w:rsid w:val="00964286"/>
  </w:style>
  <w:style w:type="character" w:customStyle="1" w:styleId="tabchar">
    <w:name w:val="tabchar"/>
    <w:basedOn w:val="Numatytasispastraiposriftas"/>
    <w:rsid w:val="00964286"/>
  </w:style>
  <w:style w:type="paragraph" w:customStyle="1" w:styleId="Head2">
    <w:name w:val="Head 2"/>
    <w:basedOn w:val="Antrat1"/>
    <w:link w:val="Head2Char"/>
    <w:qFormat/>
    <w:rsid w:val="00C41C6B"/>
    <w:pPr>
      <w:keepNext w:val="0"/>
      <w:widowControl w:val="0"/>
      <w:numPr>
        <w:numId w:val="19"/>
      </w:numPr>
      <w:overflowPunct w:val="0"/>
      <w:autoSpaceDE w:val="0"/>
      <w:autoSpaceDN w:val="0"/>
      <w:adjustRightInd w:val="0"/>
      <w:contextualSpacing/>
      <w:jc w:val="both"/>
      <w:textAlignment w:val="baseline"/>
    </w:pPr>
    <w:rPr>
      <w:bCs w:val="0"/>
      <w:caps w:val="0"/>
      <w:kern w:val="28"/>
      <w:lang w:eastAsia="en-GB"/>
    </w:rPr>
  </w:style>
  <w:style w:type="paragraph" w:customStyle="1" w:styleId="Head3">
    <w:name w:val="Head 3"/>
    <w:basedOn w:val="Antrat1"/>
    <w:qFormat/>
    <w:rsid w:val="00C41C6B"/>
    <w:pPr>
      <w:keepNext w:val="0"/>
      <w:widowControl w:val="0"/>
      <w:numPr>
        <w:ilvl w:val="1"/>
        <w:numId w:val="19"/>
      </w:numPr>
      <w:overflowPunct w:val="0"/>
      <w:autoSpaceDE w:val="0"/>
      <w:autoSpaceDN w:val="0"/>
      <w:adjustRightInd w:val="0"/>
      <w:ind w:left="567" w:hanging="573"/>
      <w:contextualSpacing/>
      <w:jc w:val="both"/>
      <w:textAlignment w:val="baseline"/>
    </w:pPr>
    <w:rPr>
      <w:bCs w:val="0"/>
      <w:caps w:val="0"/>
      <w:kern w:val="28"/>
      <w:lang w:eastAsia="en-GB"/>
    </w:rPr>
  </w:style>
  <w:style w:type="character" w:customStyle="1" w:styleId="Head2Char">
    <w:name w:val="Head 2 Char"/>
    <w:basedOn w:val="Numatytasispastraiposriftas"/>
    <w:link w:val="Head2"/>
    <w:rsid w:val="00C41C6B"/>
    <w:rPr>
      <w:b/>
      <w:kern w:val="28"/>
      <w:sz w:val="24"/>
      <w:szCs w:val="24"/>
      <w:lang w:eastAsia="en-GB"/>
    </w:rPr>
  </w:style>
  <w:style w:type="paragraph" w:styleId="Z-Formospabaiga">
    <w:name w:val="HTML Bottom of Form"/>
    <w:basedOn w:val="prastasis"/>
    <w:next w:val="prastasis"/>
    <w:link w:val="Z-FormospabaigaDiagrama"/>
    <w:hidden/>
    <w:uiPriority w:val="99"/>
    <w:semiHidden/>
    <w:unhideWhenUsed/>
    <w:rsid w:val="00114506"/>
    <w:pPr>
      <w:pBdr>
        <w:top w:val="single" w:sz="6" w:space="1" w:color="auto"/>
      </w:pBdr>
      <w:spacing w:line="276" w:lineRule="auto"/>
      <w:jc w:val="center"/>
    </w:pPr>
    <w:rPr>
      <w:rFonts w:ascii="Arial" w:eastAsia="Arial" w:hAnsi="Arial" w:cs="Arial"/>
      <w:vanish/>
      <w:sz w:val="16"/>
      <w:szCs w:val="16"/>
    </w:rPr>
  </w:style>
  <w:style w:type="character" w:customStyle="1" w:styleId="Z-FormospabaigaDiagrama">
    <w:name w:val="Z-Formos pabaiga Diagrama"/>
    <w:basedOn w:val="Numatytasispastraiposriftas"/>
    <w:link w:val="Z-Formospabaiga"/>
    <w:uiPriority w:val="99"/>
    <w:semiHidden/>
    <w:rsid w:val="00114506"/>
    <w:rPr>
      <w:rFonts w:ascii="Arial" w:eastAsia="Arial" w:hAnsi="Arial" w:cs="Arial"/>
      <w:vanish/>
      <w:sz w:val="16"/>
      <w:szCs w:val="16"/>
      <w:lang w:eastAsia="en-GB"/>
    </w:rPr>
  </w:style>
  <w:style w:type="paragraph" w:styleId="prastasiniatinklio">
    <w:name w:val="Normal (Web)"/>
    <w:basedOn w:val="prastasis"/>
    <w:uiPriority w:val="99"/>
    <w:unhideWhenUsed/>
    <w:rsid w:val="00AB1C66"/>
    <w:pPr>
      <w:spacing w:before="100" w:beforeAutospacing="1" w:after="100" w:afterAutospacing="1"/>
    </w:pPr>
    <w:rPr>
      <w:lang w:eastAsia="lt-LT"/>
    </w:rPr>
  </w:style>
  <w:style w:type="paragraph" w:customStyle="1" w:styleId="Tekstas">
    <w:name w:val="Tekstas"/>
    <w:basedOn w:val="prastasis"/>
    <w:qFormat/>
    <w:rsid w:val="00B87B84"/>
    <w:pPr>
      <w:spacing w:after="120"/>
      <w:jc w:val="both"/>
    </w:pPr>
    <w:rPr>
      <w:lang w:eastAsia="lt-LT"/>
    </w:rPr>
  </w:style>
  <w:style w:type="paragraph" w:styleId="Antrat">
    <w:name w:val="caption"/>
    <w:aliases w:val="Tables and Figures,NICE Caption,- H17,Caption 3,TableCaption,Table caption,Char1,c,fig cadre,Caption Char Char,Caption Char Char Char Char,fig cadre Char2,Caption Char2,fig cadre Char Char,Char,SMC Caption,AW Caption,IB Caption,Medical Caption"/>
    <w:basedOn w:val="prastasis"/>
    <w:next w:val="prastasis"/>
    <w:link w:val="AntratDiagrama"/>
    <w:unhideWhenUsed/>
    <w:qFormat/>
    <w:rsid w:val="00C93EE2"/>
    <w:pPr>
      <w:keepNext/>
      <w:spacing w:after="60"/>
      <w:jc w:val="both"/>
    </w:pPr>
    <w:rPr>
      <w:bCs/>
      <w:color w:val="365F91" w:themeColor="accent1" w:themeShade="BF"/>
      <w:sz w:val="23"/>
      <w:szCs w:val="18"/>
      <w:lang w:eastAsia="lt-LT"/>
    </w:rPr>
  </w:style>
  <w:style w:type="character" w:customStyle="1" w:styleId="AntratDiagrama">
    <w:name w:val="Antraštė Diagrama"/>
    <w:aliases w:val="Tables and Figures Diagrama,NICE Caption Diagrama,- H17 Diagrama,Caption 3 Diagrama,TableCaption Diagrama,Table caption Diagrama,Char1 Diagrama,c Diagrama,fig cadre Diagrama,Caption Char Char Diagrama,fig cadre Char2 Diagrama"/>
    <w:basedOn w:val="Numatytasispastraiposriftas"/>
    <w:link w:val="Antrat"/>
    <w:rsid w:val="00C93EE2"/>
    <w:rPr>
      <w:bCs/>
      <w:color w:val="365F91" w:themeColor="accent1" w:themeShade="BF"/>
      <w:sz w:val="23"/>
      <w:szCs w:val="18"/>
    </w:rPr>
  </w:style>
  <w:style w:type="paragraph" w:customStyle="1" w:styleId="VVKT">
    <w:name w:val="VVKT"/>
    <w:link w:val="VVKTChar"/>
    <w:qFormat/>
    <w:rsid w:val="00F82712"/>
    <w:pPr>
      <w:widowControl w:val="0"/>
      <w:spacing w:after="60" w:line="276" w:lineRule="auto"/>
      <w:ind w:firstLine="576"/>
    </w:pPr>
    <w:rPr>
      <w:sz w:val="24"/>
      <w:lang w:eastAsia="en-US"/>
    </w:rPr>
  </w:style>
  <w:style w:type="character" w:customStyle="1" w:styleId="VVKTChar">
    <w:name w:val="VVKT Char"/>
    <w:link w:val="VVKT"/>
    <w:rsid w:val="00F82712"/>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1519">
      <w:bodyDiv w:val="1"/>
      <w:marLeft w:val="0"/>
      <w:marRight w:val="0"/>
      <w:marTop w:val="0"/>
      <w:marBottom w:val="0"/>
      <w:divBdr>
        <w:top w:val="none" w:sz="0" w:space="0" w:color="auto"/>
        <w:left w:val="none" w:sz="0" w:space="0" w:color="auto"/>
        <w:bottom w:val="none" w:sz="0" w:space="0" w:color="auto"/>
        <w:right w:val="none" w:sz="0" w:space="0" w:color="auto"/>
      </w:divBdr>
    </w:div>
    <w:div w:id="723528670">
      <w:bodyDiv w:val="1"/>
      <w:marLeft w:val="0"/>
      <w:marRight w:val="0"/>
      <w:marTop w:val="0"/>
      <w:marBottom w:val="0"/>
      <w:divBdr>
        <w:top w:val="none" w:sz="0" w:space="0" w:color="auto"/>
        <w:left w:val="none" w:sz="0" w:space="0" w:color="auto"/>
        <w:bottom w:val="none" w:sz="0" w:space="0" w:color="auto"/>
        <w:right w:val="none" w:sz="0" w:space="0" w:color="auto"/>
      </w:divBdr>
    </w:div>
    <w:div w:id="888764114">
      <w:bodyDiv w:val="1"/>
      <w:marLeft w:val="0"/>
      <w:marRight w:val="0"/>
      <w:marTop w:val="0"/>
      <w:marBottom w:val="0"/>
      <w:divBdr>
        <w:top w:val="none" w:sz="0" w:space="0" w:color="auto"/>
        <w:left w:val="none" w:sz="0" w:space="0" w:color="auto"/>
        <w:bottom w:val="none" w:sz="0" w:space="0" w:color="auto"/>
        <w:right w:val="none" w:sz="0" w:space="0" w:color="auto"/>
      </w:divBdr>
    </w:div>
    <w:div w:id="962617311">
      <w:bodyDiv w:val="1"/>
      <w:marLeft w:val="0"/>
      <w:marRight w:val="0"/>
      <w:marTop w:val="0"/>
      <w:marBottom w:val="0"/>
      <w:divBdr>
        <w:top w:val="none" w:sz="0" w:space="0" w:color="auto"/>
        <w:left w:val="none" w:sz="0" w:space="0" w:color="auto"/>
        <w:bottom w:val="none" w:sz="0" w:space="0" w:color="auto"/>
        <w:right w:val="none" w:sz="0" w:space="0" w:color="auto"/>
      </w:divBdr>
    </w:div>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446657043">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 w:id="1849102165">
      <w:bodyDiv w:val="1"/>
      <w:marLeft w:val="0"/>
      <w:marRight w:val="0"/>
      <w:marTop w:val="0"/>
      <w:marBottom w:val="0"/>
      <w:divBdr>
        <w:top w:val="none" w:sz="0" w:space="0" w:color="auto"/>
        <w:left w:val="none" w:sz="0" w:space="0" w:color="auto"/>
        <w:bottom w:val="none" w:sz="0" w:space="0" w:color="auto"/>
        <w:right w:val="none" w:sz="0" w:space="0" w:color="auto"/>
      </w:divBdr>
      <w:divsChild>
        <w:div w:id="1890605878">
          <w:marLeft w:val="0"/>
          <w:marRight w:val="0"/>
          <w:marTop w:val="300"/>
          <w:marBottom w:val="0"/>
          <w:divBdr>
            <w:top w:val="none" w:sz="0" w:space="0" w:color="auto"/>
            <w:left w:val="none" w:sz="0" w:space="0" w:color="auto"/>
            <w:bottom w:val="none" w:sz="0" w:space="0" w:color="auto"/>
            <w:right w:val="none" w:sz="0" w:space="0" w:color="auto"/>
          </w:divBdr>
          <w:divsChild>
            <w:div w:id="1264337994">
              <w:marLeft w:val="0"/>
              <w:marRight w:val="0"/>
              <w:marTop w:val="0"/>
              <w:marBottom w:val="0"/>
              <w:divBdr>
                <w:top w:val="none" w:sz="0" w:space="0" w:color="auto"/>
                <w:left w:val="none" w:sz="0" w:space="0" w:color="auto"/>
                <w:bottom w:val="none" w:sz="0" w:space="0" w:color="auto"/>
                <w:right w:val="none" w:sz="0" w:space="0" w:color="auto"/>
              </w:divBdr>
            </w:div>
          </w:divsChild>
        </w:div>
        <w:div w:id="587740550">
          <w:marLeft w:val="1500"/>
          <w:marRight w:val="0"/>
          <w:marTop w:val="0"/>
          <w:marBottom w:val="0"/>
          <w:divBdr>
            <w:top w:val="none" w:sz="0" w:space="0" w:color="auto"/>
            <w:left w:val="none" w:sz="0" w:space="0" w:color="auto"/>
            <w:bottom w:val="none" w:sz="0" w:space="0" w:color="auto"/>
            <w:right w:val="none" w:sz="0" w:space="0" w:color="auto"/>
          </w:divBdr>
          <w:divsChild>
            <w:div w:id="392657205">
              <w:marLeft w:val="0"/>
              <w:marRight w:val="0"/>
              <w:marTop w:val="0"/>
              <w:marBottom w:val="0"/>
              <w:divBdr>
                <w:top w:val="none" w:sz="0" w:space="0" w:color="auto"/>
                <w:left w:val="none" w:sz="0" w:space="0" w:color="auto"/>
                <w:bottom w:val="none" w:sz="0" w:space="0" w:color="auto"/>
                <w:right w:val="none" w:sz="0" w:space="0" w:color="auto"/>
              </w:divBdr>
              <w:divsChild>
                <w:div w:id="1029531432">
                  <w:marLeft w:val="0"/>
                  <w:marRight w:val="0"/>
                  <w:marTop w:val="0"/>
                  <w:marBottom w:val="60"/>
                  <w:divBdr>
                    <w:top w:val="none" w:sz="0" w:space="0" w:color="auto"/>
                    <w:left w:val="none" w:sz="0" w:space="0" w:color="auto"/>
                    <w:bottom w:val="none" w:sz="0" w:space="0" w:color="auto"/>
                    <w:right w:val="none" w:sz="0" w:space="0" w:color="auto"/>
                  </w:divBdr>
                  <w:divsChild>
                    <w:div w:id="152201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50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oceviciute\Documents\VVKT%20rastam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1DCC42A2974C359888226B925C8FF8"/>
        <w:category>
          <w:name w:val="Bendrosios nuostatos"/>
          <w:gallery w:val="placeholder"/>
        </w:category>
        <w:types>
          <w:type w:val="bbPlcHdr"/>
        </w:types>
        <w:behaviors>
          <w:behavior w:val="content"/>
        </w:behaviors>
        <w:guid w:val="{DA594F7C-085F-4470-BFBE-73CE12F450B6}"/>
      </w:docPartPr>
      <w:docPartBody>
        <w:p w:rsidR="00E44A86" w:rsidRDefault="005E40DD" w:rsidP="005E40DD">
          <w:pPr>
            <w:pStyle w:val="0A1DCC42A2974C359888226B925C8FF8"/>
          </w:pPr>
          <w:r>
            <w:rPr>
              <w:rStyle w:val="Vietosrezervavimoenklotekstas"/>
            </w:rPr>
            <w:t>Click here to enter a date.</w:t>
          </w:r>
        </w:p>
      </w:docPartBody>
    </w:docPart>
    <w:docPart>
      <w:docPartPr>
        <w:name w:val="312D2F5BAE5640B3954AAD05D41316BB"/>
        <w:category>
          <w:name w:val="General"/>
          <w:gallery w:val="placeholder"/>
        </w:category>
        <w:types>
          <w:type w:val="bbPlcHdr"/>
        </w:types>
        <w:behaviors>
          <w:behavior w:val="content"/>
        </w:behaviors>
        <w:guid w:val="{2364B581-1736-48F4-B2AE-F84D45035C3B}"/>
      </w:docPartPr>
      <w:docPartBody>
        <w:p w:rsidR="00E37C82" w:rsidRDefault="009E3ADB" w:rsidP="009E3ADB">
          <w:pPr>
            <w:pStyle w:val="312D2F5BAE5640B3954AAD05D41316BB"/>
          </w:pPr>
          <w:r>
            <w:rPr>
              <w:rStyle w:val="Vietosrezervavimoenklotekstas"/>
            </w:rPr>
            <w:t>Click here to enter a date.</w:t>
          </w:r>
        </w:p>
      </w:docPartBody>
    </w:docPart>
    <w:docPart>
      <w:docPartPr>
        <w:name w:val="11168BC7AC3B41CD9A38048BCD8C757D"/>
        <w:category>
          <w:name w:val="General"/>
          <w:gallery w:val="placeholder"/>
        </w:category>
        <w:types>
          <w:type w:val="bbPlcHdr"/>
        </w:types>
        <w:behaviors>
          <w:behavior w:val="content"/>
        </w:behaviors>
        <w:guid w:val="{C58101AF-C341-4D33-800E-C7CAD6CA3ECC}"/>
      </w:docPartPr>
      <w:docPartBody>
        <w:p w:rsidR="00E37C82" w:rsidRDefault="009E3ADB" w:rsidP="009E3ADB">
          <w:pPr>
            <w:pStyle w:val="11168BC7AC3B41CD9A38048BCD8C757D"/>
          </w:pPr>
          <w:r>
            <w:rPr>
              <w:rStyle w:val="Vietosrezervavimoenklotekstas"/>
            </w:rPr>
            <w:t>Click here to enter a date.</w:t>
          </w:r>
        </w:p>
      </w:docPartBody>
    </w:docPart>
    <w:docPart>
      <w:docPartPr>
        <w:name w:val="3B2A1F9C68D846B99589DDB543781501"/>
        <w:category>
          <w:name w:val="General"/>
          <w:gallery w:val="placeholder"/>
        </w:category>
        <w:types>
          <w:type w:val="bbPlcHdr"/>
        </w:types>
        <w:behaviors>
          <w:behavior w:val="content"/>
        </w:behaviors>
        <w:guid w:val="{6C70AF30-C88C-41FC-84DC-9B8BA85C28F9}"/>
      </w:docPartPr>
      <w:docPartBody>
        <w:p w:rsidR="00E37C82" w:rsidRDefault="009E3ADB" w:rsidP="009E3ADB">
          <w:pPr>
            <w:pStyle w:val="3B2A1F9C68D846B99589DDB543781501"/>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0DD"/>
    <w:rsid w:val="0001247F"/>
    <w:rsid w:val="000352CB"/>
    <w:rsid w:val="00057142"/>
    <w:rsid w:val="00061157"/>
    <w:rsid w:val="000738A4"/>
    <w:rsid w:val="000937FE"/>
    <w:rsid w:val="00097290"/>
    <w:rsid w:val="000A559A"/>
    <w:rsid w:val="000B0F37"/>
    <w:rsid w:val="000D24D4"/>
    <w:rsid w:val="00104DD4"/>
    <w:rsid w:val="00160497"/>
    <w:rsid w:val="001C35A9"/>
    <w:rsid w:val="00237556"/>
    <w:rsid w:val="002C589F"/>
    <w:rsid w:val="002E2EF8"/>
    <w:rsid w:val="0039303B"/>
    <w:rsid w:val="003C4CC5"/>
    <w:rsid w:val="003C52E3"/>
    <w:rsid w:val="004144A3"/>
    <w:rsid w:val="004160E7"/>
    <w:rsid w:val="004416C6"/>
    <w:rsid w:val="004B375D"/>
    <w:rsid w:val="004F5AB2"/>
    <w:rsid w:val="005074B9"/>
    <w:rsid w:val="00582BA0"/>
    <w:rsid w:val="005E40DD"/>
    <w:rsid w:val="006E3C0A"/>
    <w:rsid w:val="00712847"/>
    <w:rsid w:val="007219C1"/>
    <w:rsid w:val="00753462"/>
    <w:rsid w:val="00772325"/>
    <w:rsid w:val="007A2FE0"/>
    <w:rsid w:val="007C6D1D"/>
    <w:rsid w:val="007E3B55"/>
    <w:rsid w:val="0090074D"/>
    <w:rsid w:val="00972F31"/>
    <w:rsid w:val="009B28D3"/>
    <w:rsid w:val="009B3BF0"/>
    <w:rsid w:val="009D5E5E"/>
    <w:rsid w:val="009E3ADB"/>
    <w:rsid w:val="009F1BB4"/>
    <w:rsid w:val="00AA4DF5"/>
    <w:rsid w:val="00AB6ED4"/>
    <w:rsid w:val="00B14210"/>
    <w:rsid w:val="00B23DC0"/>
    <w:rsid w:val="00B529BE"/>
    <w:rsid w:val="00B96656"/>
    <w:rsid w:val="00BD6185"/>
    <w:rsid w:val="00BE29C1"/>
    <w:rsid w:val="00C2401D"/>
    <w:rsid w:val="00C519D8"/>
    <w:rsid w:val="00C53A68"/>
    <w:rsid w:val="00CA5BB4"/>
    <w:rsid w:val="00CB4BD1"/>
    <w:rsid w:val="00CE2DA9"/>
    <w:rsid w:val="00CE44BE"/>
    <w:rsid w:val="00D4356B"/>
    <w:rsid w:val="00D56BFB"/>
    <w:rsid w:val="00D7162F"/>
    <w:rsid w:val="00DE4057"/>
    <w:rsid w:val="00E26D3F"/>
    <w:rsid w:val="00E37C82"/>
    <w:rsid w:val="00E44A86"/>
    <w:rsid w:val="00E47C2E"/>
    <w:rsid w:val="00E522EB"/>
    <w:rsid w:val="00E60827"/>
    <w:rsid w:val="00E71B68"/>
    <w:rsid w:val="00E73FF6"/>
    <w:rsid w:val="00E82CB3"/>
    <w:rsid w:val="00EB735D"/>
    <w:rsid w:val="00EF6E0C"/>
    <w:rsid w:val="00F55028"/>
    <w:rsid w:val="00F77BEF"/>
    <w:rsid w:val="00FC755C"/>
    <w:rsid w:val="00FD499F"/>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9E3ADB"/>
    <w:rPr>
      <w:color w:val="808080"/>
    </w:rPr>
  </w:style>
  <w:style w:type="paragraph" w:customStyle="1" w:styleId="0A1DCC42A2974C359888226B925C8FF8">
    <w:name w:val="0A1DCC42A2974C359888226B925C8FF8"/>
    <w:rsid w:val="005E40DD"/>
  </w:style>
  <w:style w:type="paragraph" w:customStyle="1" w:styleId="312D2F5BAE5640B3954AAD05D41316BB">
    <w:name w:val="312D2F5BAE5640B3954AAD05D41316BB"/>
    <w:rsid w:val="009E3ADB"/>
  </w:style>
  <w:style w:type="paragraph" w:customStyle="1" w:styleId="11168BC7AC3B41CD9A38048BCD8C757D">
    <w:name w:val="11168BC7AC3B41CD9A38048BCD8C757D"/>
    <w:rsid w:val="009E3ADB"/>
  </w:style>
  <w:style w:type="paragraph" w:customStyle="1" w:styleId="3B2A1F9C68D846B99589DDB543781501">
    <w:name w:val="3B2A1F9C68D846B99589DDB543781501"/>
    <w:rsid w:val="009E3A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E3B67235628E7F46AF2BA15FF369754F" ma:contentTypeVersion="12" ma:contentTypeDescription="Kurkite naują dokumentą." ma:contentTypeScope="" ma:versionID="7896cec6a881105de0b62eeda7f7519d">
  <xsd:schema xmlns:xsd="http://www.w3.org/2001/XMLSchema" xmlns:xs="http://www.w3.org/2001/XMLSchema" xmlns:p="http://schemas.microsoft.com/office/2006/metadata/properties" xmlns:ns2="0cbfc325-95d3-4267-a4df-efb99666e73f" xmlns:ns3="58c78cca-ba62-460a-8b2d-a5f76cdde1ab" targetNamespace="http://schemas.microsoft.com/office/2006/metadata/properties" ma:root="true" ma:fieldsID="bff511d3fd5ce467215635241e287862" ns2:_="" ns3:_="">
    <xsd:import namespace="0cbfc325-95d3-4267-a4df-efb99666e73f"/>
    <xsd:import namespace="58c78cca-ba62-460a-8b2d-a5f76cdde1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fc325-95d3-4267-a4df-efb99666e7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c78cca-ba62-460a-8b2d-a5f76cdde1ab"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F17D2-A806-4DF5-9510-FA92D047FF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5AC572-D939-49A7-BBA1-25F66E19ADAA}">
  <ds:schemaRefs>
    <ds:schemaRef ds:uri="http://schemas.microsoft.com/sharepoint/v3/contenttype/forms"/>
  </ds:schemaRefs>
</ds:datastoreItem>
</file>

<file path=customXml/itemProps3.xml><?xml version="1.0" encoding="utf-8"?>
<ds:datastoreItem xmlns:ds="http://schemas.openxmlformats.org/officeDocument/2006/customXml" ds:itemID="{195B3648-0E4E-495C-B47D-BD0BD8BF9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fc325-95d3-4267-a4df-efb99666e73f"/>
    <ds:schemaRef ds:uri="58c78cca-ba62-460a-8b2d-a5f76cdde1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12522-638C-4EB3-A231-6C9A5EFF8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VVKT rastams</Template>
  <TotalTime>270</TotalTime>
  <Pages>7</Pages>
  <Words>13303</Words>
  <Characters>7583</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S.M.C.A.</Company>
  <LinksUpToDate>false</LinksUpToDate>
  <CharactersWithSpaces>20845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Kudelienė</dc:creator>
  <cp:keywords/>
  <dc:description/>
  <cp:lastModifiedBy>Kamilė Labanauskaitė</cp:lastModifiedBy>
  <cp:revision>36</cp:revision>
  <cp:lastPrinted>2015-11-17T07:39:00Z</cp:lastPrinted>
  <dcterms:created xsi:type="dcterms:W3CDTF">2022-12-12T12:09:00Z</dcterms:created>
  <dcterms:modified xsi:type="dcterms:W3CDTF">2023-01-02T11:12:00Z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0x010100E3B67235628E7F46AF2BA15FF369754F</vt:lpwstr>
  </property>
</Properties>
</file>