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0C85" w14:textId="77777777" w:rsidR="005F7602" w:rsidRDefault="005F7602" w:rsidP="002946C7">
      <w:pPr>
        <w:ind w:left="5529"/>
      </w:pPr>
    </w:p>
    <w:p w14:paraId="63FA0C2D" w14:textId="77777777" w:rsidR="001B3C5B" w:rsidRDefault="001B3C5B" w:rsidP="001B3C5B">
      <w:pPr>
        <w:ind w:left="6096"/>
      </w:pPr>
      <w:r>
        <w:t>Forma patvirtinta</w:t>
      </w:r>
    </w:p>
    <w:p w14:paraId="0AB20D97" w14:textId="77777777"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6BC01B44" w14:textId="77777777" w:rsidR="001B3C5B" w:rsidRDefault="004C263A" w:rsidP="001B3C5B">
      <w:pPr>
        <w:ind w:left="6096"/>
      </w:pPr>
      <w:r>
        <w:t>(Valstybinės vaistų kontrolės tarnybos prie Lietuvos Respublikos sveikatos apsaugos ministerijos viršininko 2022 m.                         d. įsakymo Nr.                    redakcija)</w:t>
      </w:r>
    </w:p>
    <w:p w14:paraId="43E2EF7F" w14:textId="77777777" w:rsidR="001B3C5B" w:rsidRPr="000A2492" w:rsidRDefault="001B3C5B" w:rsidP="00FA4169"/>
    <w:p w14:paraId="740AB546" w14:textId="7777777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670B1509" w14:textId="77777777" w:rsidR="001E3C7E" w:rsidRDefault="001E3C7E" w:rsidP="005F30EB">
      <w:pPr>
        <w:rPr>
          <w:b/>
          <w:bCs/>
          <w:caps/>
        </w:rPr>
      </w:pPr>
    </w:p>
    <w:p w14:paraId="3CEF47C5" w14:textId="7D86E33A" w:rsidR="005F30EB" w:rsidRDefault="005F30EB" w:rsidP="005F30EB">
      <w:pPr>
        <w:jc w:val="center"/>
        <w:rPr>
          <w:b/>
        </w:rPr>
      </w:pPr>
      <w:r w:rsidRPr="00520E19">
        <w:rPr>
          <w:b/>
        </w:rPr>
        <w:t>Biktarvy 50 mg/200 mg/25 mg</w:t>
      </w:r>
      <w:r>
        <w:rPr>
          <w:b/>
        </w:rPr>
        <w:t xml:space="preserve"> plėvele dengtos tabletės</w:t>
      </w:r>
    </w:p>
    <w:p w14:paraId="42A118CC" w14:textId="77777777" w:rsidR="005F30EB" w:rsidRPr="00396F99" w:rsidRDefault="005F30EB" w:rsidP="005F30EB">
      <w:pPr>
        <w:jc w:val="center"/>
      </w:pPr>
    </w:p>
    <w:p w14:paraId="394127D8" w14:textId="77777777" w:rsidR="005F30EB" w:rsidRPr="00396F99" w:rsidRDefault="005F30EB" w:rsidP="005F30EB">
      <w:pPr>
        <w:jc w:val="center"/>
      </w:pPr>
      <w:r>
        <w:t>(</w:t>
      </w:r>
      <w:r w:rsidRPr="00520E19">
        <w:rPr>
          <w:b/>
        </w:rPr>
        <w:t>Biktegraviras/Emtricitabinas/Tenofoviras alafenamidas</w:t>
      </w:r>
      <w:r>
        <w:t>)</w:t>
      </w:r>
    </w:p>
    <w:p w14:paraId="13A26C3A" w14:textId="77777777" w:rsidR="005F30EB" w:rsidRPr="00396F99" w:rsidRDefault="005F30EB" w:rsidP="005F30EB">
      <w:pPr>
        <w:jc w:val="center"/>
      </w:pPr>
    </w:p>
    <w:p w14:paraId="591EAFFB" w14:textId="77777777" w:rsidR="005F30EB" w:rsidRPr="00461830" w:rsidRDefault="005F30EB" w:rsidP="005F30EB">
      <w:pPr>
        <w:jc w:val="center"/>
        <w:rPr>
          <w:b/>
        </w:rPr>
      </w:pPr>
      <w:r w:rsidRPr="0083128A">
        <w:rPr>
          <w:b/>
        </w:rPr>
        <w:t>Paraiškos numeris</w:t>
      </w:r>
      <w:r>
        <w:rPr>
          <w:b/>
        </w:rPr>
        <w:t xml:space="preserve"> STV-106</w:t>
      </w:r>
    </w:p>
    <w:p w14:paraId="15663462" w14:textId="77777777" w:rsidR="001E3C7E" w:rsidRDefault="001E3C7E" w:rsidP="003B211A">
      <w:pPr>
        <w:jc w:val="center"/>
        <w:rPr>
          <w:b/>
          <w:bCs/>
          <w:caps/>
        </w:rPr>
      </w:pPr>
    </w:p>
    <w:p w14:paraId="0CF4632E" w14:textId="77777777" w:rsidR="0036497D" w:rsidRDefault="0036497D" w:rsidP="005F30EB">
      <w:pPr>
        <w:rPr>
          <w:b/>
        </w:rPr>
      </w:pPr>
    </w:p>
    <w:p w14:paraId="168D8B71" w14:textId="77777777" w:rsidR="00D4485B" w:rsidRDefault="00B13D65" w:rsidP="001E3C7E">
      <w:pPr>
        <w:pStyle w:val="ListParagraph"/>
        <w:numPr>
          <w:ilvl w:val="0"/>
          <w:numId w:val="12"/>
        </w:numPr>
        <w:tabs>
          <w:tab w:val="left" w:pos="284"/>
        </w:tabs>
        <w:rPr>
          <w:b/>
          <w:bCs/>
          <w:caps/>
        </w:rPr>
      </w:pPr>
      <w:r w:rsidRPr="001E3C7E">
        <w:rPr>
          <w:b/>
          <w:bCs/>
          <w:caps/>
        </w:rPr>
        <w:t>Bendroji dalis</w:t>
      </w:r>
    </w:p>
    <w:p w14:paraId="4F2B3C93" w14:textId="77777777" w:rsidR="0036497D" w:rsidRPr="001E3C7E" w:rsidRDefault="0036497D" w:rsidP="0036497D">
      <w:pPr>
        <w:pStyle w:val="ListParagraph"/>
        <w:tabs>
          <w:tab w:val="left" w:pos="284"/>
        </w:tabs>
        <w:rPr>
          <w:b/>
          <w:bCs/>
          <w:caps/>
        </w:rPr>
      </w:pPr>
    </w:p>
    <w:tbl>
      <w:tblPr>
        <w:tblStyle w:val="TableGrid"/>
        <w:tblW w:w="9918" w:type="dxa"/>
        <w:tblLook w:val="04A0" w:firstRow="1" w:lastRow="0" w:firstColumn="1" w:lastColumn="0" w:noHBand="0" w:noVBand="1"/>
      </w:tblPr>
      <w:tblGrid>
        <w:gridCol w:w="705"/>
        <w:gridCol w:w="4117"/>
        <w:gridCol w:w="5096"/>
      </w:tblGrid>
      <w:tr w:rsidR="0036497D" w:rsidRPr="00D05364" w14:paraId="1237B333" w14:textId="77777777" w:rsidTr="00B31A12">
        <w:trPr>
          <w:trHeight w:val="342"/>
        </w:trPr>
        <w:tc>
          <w:tcPr>
            <w:tcW w:w="705" w:type="dxa"/>
          </w:tcPr>
          <w:p w14:paraId="48BFBB07" w14:textId="77777777" w:rsidR="0036497D" w:rsidRPr="00D05364" w:rsidRDefault="0036497D" w:rsidP="00B31A12">
            <w:pPr>
              <w:tabs>
                <w:tab w:val="left" w:pos="284"/>
              </w:tabs>
              <w:spacing w:line="280" w:lineRule="atLeast"/>
              <w:rPr>
                <w:rFonts w:eastAsia="Arial"/>
                <w:b/>
              </w:rPr>
            </w:pPr>
            <w:r w:rsidRPr="00D05364">
              <w:rPr>
                <w:rFonts w:eastAsia="Arial"/>
                <w:b/>
              </w:rPr>
              <w:t>1.1</w:t>
            </w:r>
          </w:p>
        </w:tc>
        <w:tc>
          <w:tcPr>
            <w:tcW w:w="4117" w:type="dxa"/>
          </w:tcPr>
          <w:p w14:paraId="7E76DD65" w14:textId="77777777" w:rsidR="0036497D" w:rsidRPr="00D05364" w:rsidRDefault="0036497D" w:rsidP="00B31A12">
            <w:pPr>
              <w:tabs>
                <w:tab w:val="left" w:pos="284"/>
              </w:tabs>
              <w:spacing w:line="280" w:lineRule="atLeast"/>
              <w:rPr>
                <w:b/>
                <w:bCs/>
                <w:color w:val="000000"/>
                <w:lang w:eastAsia="lt-LT"/>
              </w:rPr>
            </w:pPr>
            <w:r w:rsidRPr="00D05364">
              <w:rPr>
                <w:b/>
                <w:bCs/>
                <w:color w:val="000000"/>
                <w:lang w:eastAsia="lt-LT"/>
              </w:rPr>
              <w:t>Pareiškėjas</w:t>
            </w:r>
          </w:p>
        </w:tc>
        <w:tc>
          <w:tcPr>
            <w:tcW w:w="5096" w:type="dxa"/>
          </w:tcPr>
          <w:p w14:paraId="31187470" w14:textId="77777777" w:rsidR="0036497D" w:rsidRPr="007A68A5" w:rsidRDefault="0036497D" w:rsidP="00B31A12">
            <w:pPr>
              <w:pStyle w:val="ListParagraph"/>
              <w:spacing w:after="120"/>
              <w:ind w:left="0"/>
              <w:contextualSpacing w:val="0"/>
              <w:jc w:val="both"/>
            </w:pPr>
            <w:r>
              <w:rPr>
                <w:lang w:eastAsia="lt-LT"/>
              </w:rPr>
              <w:t>Swixx Biopharma, UAB</w:t>
            </w:r>
          </w:p>
        </w:tc>
      </w:tr>
      <w:tr w:rsidR="005F30EB" w:rsidRPr="00D05364" w14:paraId="5EC5BFE2" w14:textId="77777777" w:rsidTr="00B31A12">
        <w:trPr>
          <w:trHeight w:val="479"/>
        </w:trPr>
        <w:tc>
          <w:tcPr>
            <w:tcW w:w="705" w:type="dxa"/>
          </w:tcPr>
          <w:p w14:paraId="7DE25C14" w14:textId="77777777" w:rsidR="005F30EB" w:rsidRPr="00D05364" w:rsidRDefault="005F30EB" w:rsidP="005F30EB">
            <w:pPr>
              <w:tabs>
                <w:tab w:val="left" w:pos="284"/>
              </w:tabs>
              <w:spacing w:line="280" w:lineRule="atLeast"/>
              <w:rPr>
                <w:rFonts w:eastAsia="Arial"/>
                <w:b/>
              </w:rPr>
            </w:pPr>
            <w:r w:rsidRPr="00D05364">
              <w:rPr>
                <w:rFonts w:eastAsia="Arial"/>
                <w:b/>
              </w:rPr>
              <w:t>1.2</w:t>
            </w:r>
          </w:p>
        </w:tc>
        <w:tc>
          <w:tcPr>
            <w:tcW w:w="4117" w:type="dxa"/>
          </w:tcPr>
          <w:p w14:paraId="6FF36014" w14:textId="77777777" w:rsidR="005F30EB" w:rsidRPr="00D05364" w:rsidRDefault="005F30EB" w:rsidP="005F30EB">
            <w:pPr>
              <w:tabs>
                <w:tab w:val="left" w:pos="284"/>
              </w:tabs>
              <w:spacing w:line="280" w:lineRule="atLeast"/>
              <w:rPr>
                <w:b/>
                <w:bCs/>
                <w:color w:val="000000"/>
                <w:lang w:eastAsia="lt-LT"/>
              </w:rPr>
            </w:pPr>
            <w:r w:rsidRPr="00D05364">
              <w:rPr>
                <w:b/>
                <w:bCs/>
                <w:color w:val="000000"/>
                <w:lang w:eastAsia="lt-LT"/>
              </w:rPr>
              <w:t>Registracijos data (EVA)</w:t>
            </w:r>
          </w:p>
          <w:p w14:paraId="66B9BFFF" w14:textId="77777777" w:rsidR="005F30EB" w:rsidRPr="00D05364" w:rsidRDefault="005F30EB" w:rsidP="005F30EB">
            <w:pPr>
              <w:tabs>
                <w:tab w:val="left" w:pos="284"/>
              </w:tabs>
              <w:spacing w:line="280" w:lineRule="atLeast"/>
              <w:rPr>
                <w:bCs/>
                <w:color w:val="000000"/>
                <w:lang w:eastAsia="lt-LT"/>
              </w:rPr>
            </w:pPr>
          </w:p>
        </w:tc>
        <w:tc>
          <w:tcPr>
            <w:tcW w:w="5096" w:type="dxa"/>
          </w:tcPr>
          <w:p w14:paraId="7F0786A7" w14:textId="1B12D7CC" w:rsidR="005F30EB" w:rsidRPr="0036497D" w:rsidRDefault="00000000" w:rsidP="005F30EB">
            <w:pPr>
              <w:pStyle w:val="ListParagraph"/>
              <w:spacing w:after="120"/>
              <w:ind w:left="0"/>
              <w:contextualSpacing w:val="0"/>
              <w:jc w:val="both"/>
              <w:rPr>
                <w:rStyle w:val="Style2"/>
                <w:sz w:val="24"/>
                <w:lang w:val="en-US"/>
              </w:rPr>
            </w:pPr>
            <w:sdt>
              <w:sdtPr>
                <w:rPr>
                  <w:sz w:val="32"/>
                </w:rPr>
                <w:alias w:val="Nurodykite konkrečią dieną"/>
                <w:tag w:val="Nurodykite pradžios datą"/>
                <w:id w:val="423238108"/>
                <w:placeholder>
                  <w:docPart w:val="A0356328287742EE9CF7F22FE07A58D5"/>
                </w:placeholder>
                <w15:color w:val="FFCC99"/>
                <w:date w:fullDate="2018-06-21T00:00:00Z">
                  <w:dateFormat w:val="yyyy 'm.' MMMM d 'd.'"/>
                  <w:lid w:val="lt-LT"/>
                  <w:storeMappedDataAs w:val="dateTime"/>
                  <w:calendar w:val="gregorian"/>
                </w:date>
              </w:sdtPr>
              <w:sdtEndPr>
                <w:rPr>
                  <w:sz w:val="24"/>
                </w:rPr>
              </w:sdtEndPr>
              <w:sdtContent>
                <w:r w:rsidR="005F30EB">
                  <w:t>2018 m. birželio 21 d.</w:t>
                </w:r>
              </w:sdtContent>
            </w:sdt>
          </w:p>
        </w:tc>
      </w:tr>
      <w:tr w:rsidR="005F30EB" w:rsidRPr="00D05364" w14:paraId="1060F6B3" w14:textId="77777777" w:rsidTr="00B31A12">
        <w:trPr>
          <w:trHeight w:val="1328"/>
        </w:trPr>
        <w:tc>
          <w:tcPr>
            <w:tcW w:w="705" w:type="dxa"/>
          </w:tcPr>
          <w:p w14:paraId="635F2DD2" w14:textId="77777777" w:rsidR="005F30EB" w:rsidRPr="00D05364" w:rsidRDefault="005F30EB" w:rsidP="005F30EB">
            <w:pPr>
              <w:tabs>
                <w:tab w:val="left" w:pos="284"/>
              </w:tabs>
              <w:spacing w:line="280" w:lineRule="atLeast"/>
              <w:rPr>
                <w:rFonts w:eastAsia="Arial"/>
                <w:b/>
              </w:rPr>
            </w:pPr>
            <w:r w:rsidRPr="00D05364">
              <w:rPr>
                <w:rFonts w:eastAsia="Arial"/>
                <w:b/>
              </w:rPr>
              <w:t>1.3</w:t>
            </w:r>
          </w:p>
        </w:tc>
        <w:tc>
          <w:tcPr>
            <w:tcW w:w="4117" w:type="dxa"/>
          </w:tcPr>
          <w:p w14:paraId="556DC0A2" w14:textId="77777777" w:rsidR="005F30EB" w:rsidRPr="00D05364" w:rsidRDefault="005F30EB" w:rsidP="005F30EB">
            <w:pPr>
              <w:pStyle w:val="NoSpacing"/>
              <w:rPr>
                <w:rFonts w:ascii="Times New Roman" w:hAnsi="Times New Roman"/>
                <w:b/>
                <w:sz w:val="24"/>
                <w:szCs w:val="24"/>
              </w:rPr>
            </w:pPr>
            <w:r w:rsidRPr="00D05364">
              <w:rPr>
                <w:rFonts w:ascii="Times New Roman" w:hAnsi="Times New Roman"/>
                <w:b/>
                <w:sz w:val="24"/>
                <w:szCs w:val="24"/>
              </w:rPr>
              <w:t xml:space="preserve">Paraiškos tipas </w:t>
            </w:r>
          </w:p>
          <w:p w14:paraId="6E83DD8B" w14:textId="77777777" w:rsidR="005F30EB" w:rsidRPr="00D05364" w:rsidRDefault="005F30EB" w:rsidP="005F30EB">
            <w:pPr>
              <w:rPr>
                <w:b/>
              </w:rPr>
            </w:pPr>
            <w:r w:rsidRPr="00D05364">
              <w:rPr>
                <w:b/>
              </w:rPr>
              <w:t xml:space="preserve">(pagal </w:t>
            </w:r>
            <w:r w:rsidRPr="00D05364">
              <w:rPr>
                <w:b/>
                <w:shd w:val="clear" w:color="auto" w:fill="FFFFFF"/>
              </w:rPr>
              <w:t>vaistinio preparato registracijos tipą, įtvirtintą</w:t>
            </w:r>
            <w:r w:rsidRPr="00D05364">
              <w:rPr>
                <w:b/>
              </w:rPr>
              <w:t xml:space="preserve"> Direktyvos 2001/83/EB straipsniuose)</w:t>
            </w:r>
          </w:p>
          <w:p w14:paraId="53D6FD67" w14:textId="77777777" w:rsidR="005F30EB" w:rsidRPr="00D05364" w:rsidRDefault="005F30EB" w:rsidP="005F30EB">
            <w:pPr>
              <w:tabs>
                <w:tab w:val="left" w:pos="284"/>
              </w:tabs>
              <w:spacing w:line="280" w:lineRule="atLeast"/>
              <w:rPr>
                <w:b/>
                <w:bCs/>
                <w:color w:val="000000"/>
                <w:lang w:eastAsia="lt-LT"/>
              </w:rPr>
            </w:pPr>
          </w:p>
        </w:tc>
        <w:tc>
          <w:tcPr>
            <w:tcW w:w="5096" w:type="dxa"/>
          </w:tcPr>
          <w:p w14:paraId="79C4456F" w14:textId="77777777" w:rsidR="005F30EB" w:rsidRPr="00D05364" w:rsidRDefault="00000000" w:rsidP="005F30EB">
            <w:sdt>
              <w:sdtPr>
                <w:rPr>
                  <w:rStyle w:val="Style2"/>
                </w:rPr>
                <w:id w:val="-366596377"/>
              </w:sdtPr>
              <w:sdtContent>
                <w:r w:rsidR="005F30EB">
                  <w:rPr>
                    <w:rStyle w:val="Style2"/>
                    <w:rFonts w:ascii="MS Gothic" w:eastAsia="MS Gothic" w:hAnsi="MS Gothic" w:hint="eastAsia"/>
                  </w:rPr>
                  <w:t>☒</w:t>
                </w:r>
              </w:sdtContent>
            </w:sdt>
            <w:r w:rsidR="005F30EB" w:rsidRPr="00D05364">
              <w:t xml:space="preserve"> 8.3 str. (pilna byla, pagrįsta savais tyrimais) </w:t>
            </w:r>
          </w:p>
          <w:p w14:paraId="79A8BE8A" w14:textId="77777777" w:rsidR="005F30EB" w:rsidRPr="00D05364" w:rsidRDefault="00000000" w:rsidP="005F30EB">
            <w:sdt>
              <w:sdtPr>
                <w:rPr>
                  <w:rStyle w:val="Style2"/>
                </w:rPr>
                <w:id w:val="675462298"/>
              </w:sdtPr>
              <w:sdtContent>
                <w:r w:rsidR="005F30EB" w:rsidRPr="00D05364">
                  <w:rPr>
                    <w:rStyle w:val="Style2"/>
                    <w:rFonts w:ascii="Segoe UI Symbol" w:eastAsia="MS Gothic" w:hAnsi="Segoe UI Symbol" w:cs="Segoe UI Symbol"/>
                  </w:rPr>
                  <w:t>☐</w:t>
                </w:r>
              </w:sdtContent>
            </w:sdt>
            <w:r w:rsidR="005F30EB" w:rsidRPr="00D05364">
              <w:t xml:space="preserve"> 10 a str. (pripažintas medicininis vartojimas) </w:t>
            </w:r>
          </w:p>
          <w:p w14:paraId="59A2A0DA" w14:textId="77777777" w:rsidR="005F30EB" w:rsidRPr="00D05364" w:rsidRDefault="00000000" w:rsidP="005F30EB">
            <w:sdt>
              <w:sdtPr>
                <w:rPr>
                  <w:rStyle w:val="Style2"/>
                </w:rPr>
                <w:id w:val="-1290435890"/>
              </w:sdtPr>
              <w:sdtContent>
                <w:r w:rsidR="005F30EB" w:rsidRPr="00D05364">
                  <w:rPr>
                    <w:rStyle w:val="Style2"/>
                    <w:rFonts w:ascii="MS Gothic" w:eastAsia="MS Gothic" w:hAnsi="MS Gothic" w:hint="eastAsia"/>
                  </w:rPr>
                  <w:t>☐</w:t>
                </w:r>
              </w:sdtContent>
            </w:sdt>
            <w:r w:rsidR="005F30EB" w:rsidRPr="00D05364">
              <w:t xml:space="preserve"> 10.1 str. (generinis)</w:t>
            </w:r>
          </w:p>
          <w:p w14:paraId="4F01BA9D" w14:textId="77777777" w:rsidR="005F30EB" w:rsidRPr="00D05364" w:rsidRDefault="00000000" w:rsidP="005F30EB">
            <w:pPr>
              <w:rPr>
                <w:rStyle w:val="Style2"/>
              </w:rPr>
            </w:pPr>
            <w:sdt>
              <w:sdtPr>
                <w:rPr>
                  <w:rStyle w:val="Style2"/>
                </w:rPr>
                <w:id w:val="-124545030"/>
              </w:sdtPr>
              <w:sdtContent>
                <w:r w:rsidR="005F30EB" w:rsidRPr="00D05364">
                  <w:rPr>
                    <w:rStyle w:val="Style2"/>
                    <w:rFonts w:ascii="Segoe UI Symbol" w:eastAsia="MS Gothic" w:hAnsi="Segoe UI Symbol" w:cs="Segoe UI Symbol"/>
                  </w:rPr>
                  <w:t>☐</w:t>
                </w:r>
              </w:sdtContent>
            </w:sdt>
            <w:r w:rsidR="005F30EB" w:rsidRPr="00D05364">
              <w:t xml:space="preserve"> 10.3 str. (hibridinis)</w:t>
            </w:r>
          </w:p>
        </w:tc>
      </w:tr>
      <w:tr w:rsidR="005F30EB" w:rsidRPr="00D05364" w14:paraId="60F6ACDB" w14:textId="77777777" w:rsidTr="00B31A12">
        <w:trPr>
          <w:trHeight w:val="1109"/>
        </w:trPr>
        <w:tc>
          <w:tcPr>
            <w:tcW w:w="705" w:type="dxa"/>
          </w:tcPr>
          <w:p w14:paraId="72E4E673" w14:textId="77777777" w:rsidR="005F30EB" w:rsidRPr="00D05364" w:rsidRDefault="005F30EB" w:rsidP="005F30EB">
            <w:pPr>
              <w:tabs>
                <w:tab w:val="left" w:pos="284"/>
              </w:tabs>
              <w:spacing w:line="280" w:lineRule="atLeast"/>
              <w:rPr>
                <w:rFonts w:eastAsia="Arial"/>
                <w:b/>
              </w:rPr>
            </w:pPr>
            <w:r w:rsidRPr="00D05364">
              <w:rPr>
                <w:rFonts w:eastAsia="Arial"/>
                <w:b/>
              </w:rPr>
              <w:t>1.4</w:t>
            </w:r>
          </w:p>
        </w:tc>
        <w:tc>
          <w:tcPr>
            <w:tcW w:w="4117" w:type="dxa"/>
          </w:tcPr>
          <w:p w14:paraId="5269B72C" w14:textId="77777777" w:rsidR="005F30EB" w:rsidRPr="00D05364" w:rsidRDefault="005F30EB" w:rsidP="005F30EB">
            <w:pPr>
              <w:tabs>
                <w:tab w:val="left" w:pos="284"/>
              </w:tabs>
              <w:spacing w:line="280" w:lineRule="atLeast"/>
              <w:rPr>
                <w:b/>
                <w:bCs/>
                <w:color w:val="000000"/>
                <w:lang w:eastAsia="lt-LT"/>
              </w:rPr>
            </w:pPr>
            <w:r w:rsidRPr="00D05364">
              <w:rPr>
                <w:b/>
                <w:bCs/>
                <w:color w:val="000000"/>
                <w:lang w:eastAsia="lt-LT"/>
              </w:rPr>
              <w:t>Ar vaistinis preparatas įrašytas į Bendrijos retųjų vaistinių preparatų registrą?</w:t>
            </w:r>
          </w:p>
          <w:p w14:paraId="3CA4F451" w14:textId="77777777" w:rsidR="005F30EB" w:rsidRPr="00D05364" w:rsidRDefault="005F30EB" w:rsidP="005F30EB">
            <w:pPr>
              <w:tabs>
                <w:tab w:val="left" w:pos="284"/>
              </w:tabs>
              <w:spacing w:line="280" w:lineRule="atLeast"/>
              <w:jc w:val="both"/>
              <w:rPr>
                <w:b/>
                <w:bCs/>
                <w:color w:val="000000"/>
                <w:sz w:val="22"/>
                <w:szCs w:val="22"/>
                <w:lang w:eastAsia="lt-LT"/>
              </w:rPr>
            </w:pPr>
          </w:p>
        </w:tc>
        <w:tc>
          <w:tcPr>
            <w:tcW w:w="5096" w:type="dxa"/>
          </w:tcPr>
          <w:p w14:paraId="1F3D9F65" w14:textId="77777777" w:rsidR="005F30EB" w:rsidRPr="00D05364" w:rsidRDefault="00000000" w:rsidP="005F30EB">
            <w:sdt>
              <w:sdtPr>
                <w:rPr>
                  <w:rStyle w:val="Style2"/>
                </w:rPr>
                <w:id w:val="2024432173"/>
              </w:sdtPr>
              <w:sdtContent>
                <w:r w:rsidR="005F30EB">
                  <w:rPr>
                    <w:rStyle w:val="Style2"/>
                    <w:rFonts w:ascii="MS Gothic" w:eastAsia="MS Gothic" w:hAnsi="MS Gothic" w:hint="eastAsia"/>
                  </w:rPr>
                  <w:t>☐</w:t>
                </w:r>
              </w:sdtContent>
            </w:sdt>
            <w:r w:rsidR="005F30EB" w:rsidRPr="00D05364">
              <w:t xml:space="preserve"> Taip</w:t>
            </w:r>
          </w:p>
          <w:p w14:paraId="1A18A29C" w14:textId="77777777" w:rsidR="005F30EB" w:rsidRPr="00D05364" w:rsidRDefault="00000000" w:rsidP="005F30EB">
            <w:sdt>
              <w:sdtPr>
                <w:rPr>
                  <w:rStyle w:val="Style2"/>
                </w:rPr>
                <w:id w:val="-970507926"/>
              </w:sdtPr>
              <w:sdtContent>
                <w:r w:rsidR="005F30EB">
                  <w:rPr>
                    <w:rStyle w:val="Style2"/>
                    <w:rFonts w:ascii="MS Gothic" w:eastAsia="MS Gothic" w:hAnsi="MS Gothic" w:hint="eastAsia"/>
                  </w:rPr>
                  <w:t>☒</w:t>
                </w:r>
              </w:sdtContent>
            </w:sdt>
            <w:r w:rsidR="005F30EB" w:rsidRPr="00D05364">
              <w:t xml:space="preserve"> Ne</w:t>
            </w:r>
          </w:p>
          <w:p w14:paraId="3E230800" w14:textId="77777777" w:rsidR="005F30EB" w:rsidRPr="00D05364" w:rsidRDefault="005F30EB" w:rsidP="005F30EB">
            <w:pPr>
              <w:rPr>
                <w:rFonts w:eastAsia="Arial"/>
                <w:b/>
              </w:rPr>
            </w:pPr>
          </w:p>
        </w:tc>
      </w:tr>
      <w:tr w:rsidR="005F30EB" w:rsidRPr="00D05364" w14:paraId="6DB68922" w14:textId="77777777" w:rsidTr="00B31A12">
        <w:trPr>
          <w:trHeight w:val="958"/>
        </w:trPr>
        <w:tc>
          <w:tcPr>
            <w:tcW w:w="705" w:type="dxa"/>
            <w:tcBorders>
              <w:bottom w:val="single" w:sz="4" w:space="0" w:color="auto"/>
            </w:tcBorders>
          </w:tcPr>
          <w:p w14:paraId="72524AFC" w14:textId="77777777" w:rsidR="005F30EB" w:rsidRPr="00D05364" w:rsidRDefault="005F30EB" w:rsidP="005F30EB">
            <w:pPr>
              <w:tabs>
                <w:tab w:val="left" w:pos="284"/>
              </w:tabs>
              <w:spacing w:line="280" w:lineRule="atLeast"/>
              <w:rPr>
                <w:rFonts w:eastAsia="Arial"/>
                <w:b/>
              </w:rPr>
            </w:pPr>
            <w:r w:rsidRPr="00D05364">
              <w:rPr>
                <w:rFonts w:eastAsia="Arial"/>
                <w:b/>
              </w:rPr>
              <w:t>1.5</w:t>
            </w:r>
          </w:p>
        </w:tc>
        <w:tc>
          <w:tcPr>
            <w:tcW w:w="4117" w:type="dxa"/>
            <w:tcBorders>
              <w:bottom w:val="single" w:sz="4" w:space="0" w:color="auto"/>
            </w:tcBorders>
          </w:tcPr>
          <w:p w14:paraId="5A13A84C" w14:textId="77777777" w:rsidR="005F30EB" w:rsidRPr="00D05364" w:rsidRDefault="005F30EB" w:rsidP="005F30EB">
            <w:pPr>
              <w:tabs>
                <w:tab w:val="left" w:pos="284"/>
              </w:tabs>
              <w:spacing w:line="280" w:lineRule="atLeast"/>
              <w:rPr>
                <w:b/>
                <w:bCs/>
                <w:color w:val="000000"/>
                <w:lang w:eastAsia="lt-LT"/>
              </w:rPr>
            </w:pPr>
            <w:r w:rsidRPr="00D05364">
              <w:rPr>
                <w:b/>
                <w:bCs/>
                <w:color w:val="000000"/>
                <w:lang w:eastAsia="lt-LT"/>
              </w:rPr>
              <w:t>Pareiškėjo teikiama (-os) kompensuoti preparato indikacija (-os)</w:t>
            </w:r>
          </w:p>
          <w:p w14:paraId="3F2C441A" w14:textId="77777777" w:rsidR="005F30EB" w:rsidRPr="00D05364" w:rsidRDefault="005F30EB" w:rsidP="005F30EB">
            <w:pPr>
              <w:tabs>
                <w:tab w:val="left" w:pos="284"/>
              </w:tabs>
              <w:spacing w:line="280" w:lineRule="atLeast"/>
              <w:rPr>
                <w:b/>
                <w:bCs/>
                <w:color w:val="000000"/>
                <w:lang w:eastAsia="lt-LT"/>
              </w:rPr>
            </w:pPr>
            <w:r w:rsidRPr="00D05364">
              <w:rPr>
                <w:b/>
                <w:bCs/>
                <w:color w:val="000000"/>
                <w:lang w:eastAsia="lt-LT"/>
              </w:rPr>
              <w:t xml:space="preserve">Kodas pagal TLK-10 AM  </w:t>
            </w:r>
          </w:p>
        </w:tc>
        <w:tc>
          <w:tcPr>
            <w:tcW w:w="5096" w:type="dxa"/>
            <w:tcBorders>
              <w:bottom w:val="single" w:sz="4" w:space="0" w:color="auto"/>
            </w:tcBorders>
          </w:tcPr>
          <w:p w14:paraId="203D60C8" w14:textId="77777777" w:rsidR="005F30EB" w:rsidRPr="00D05364" w:rsidRDefault="005F30EB" w:rsidP="005F30EB">
            <w:pPr>
              <w:jc w:val="both"/>
            </w:pPr>
            <w:r>
              <w:t xml:space="preserve">Biktarvy skirtas žmogaus imunodeficito viruso-1 (ŽIV-1) infekcijai gydyti suaugusiesiems bei vaikams, ne jaunesniems kaip 2 metų ir sveriantiems ne mažiau kaip 14 kg, kai nėra ir nebuvo nustatyta viruso atsparumo integrazės inhibitorių klasei, emtricitabinui arba tenofovirui.; </w:t>
            </w:r>
            <w:r w:rsidRPr="0096552E">
              <w:t>TLK-10-AM koda</w:t>
            </w:r>
            <w:r>
              <w:t>i</w:t>
            </w:r>
            <w:r w:rsidRPr="00362871">
              <w:t>: B20-B24</w:t>
            </w:r>
            <w:r>
              <w:t>.</w:t>
            </w:r>
          </w:p>
        </w:tc>
      </w:tr>
      <w:tr w:rsidR="005F30EB" w:rsidRPr="00D05364" w14:paraId="3D69917A" w14:textId="77777777" w:rsidTr="00B31A12">
        <w:trPr>
          <w:trHeight w:val="479"/>
        </w:trPr>
        <w:tc>
          <w:tcPr>
            <w:tcW w:w="705" w:type="dxa"/>
            <w:tcBorders>
              <w:top w:val="single" w:sz="4" w:space="0" w:color="auto"/>
              <w:left w:val="single" w:sz="4" w:space="0" w:color="auto"/>
              <w:bottom w:val="single" w:sz="4" w:space="0" w:color="auto"/>
              <w:right w:val="single" w:sz="4" w:space="0" w:color="auto"/>
            </w:tcBorders>
          </w:tcPr>
          <w:p w14:paraId="0EB7CB33" w14:textId="77777777" w:rsidR="005F30EB" w:rsidRPr="00D05364" w:rsidRDefault="005F30EB" w:rsidP="005F30EB">
            <w:pPr>
              <w:tabs>
                <w:tab w:val="left" w:pos="284"/>
              </w:tabs>
              <w:spacing w:line="280" w:lineRule="atLeast"/>
              <w:rPr>
                <w:rFonts w:eastAsia="Arial"/>
                <w:b/>
              </w:rPr>
            </w:pPr>
            <w:r w:rsidRPr="00D05364">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3BFB2218" w14:textId="77777777" w:rsidR="005F30EB" w:rsidRPr="00D05364" w:rsidRDefault="005F30EB" w:rsidP="005F30EB">
            <w:pPr>
              <w:tabs>
                <w:tab w:val="left" w:pos="284"/>
              </w:tabs>
              <w:spacing w:line="280" w:lineRule="atLeast"/>
              <w:rPr>
                <w:bCs/>
                <w:color w:val="000000"/>
                <w:u w:val="single"/>
                <w:lang w:eastAsia="lt-LT"/>
              </w:rPr>
            </w:pPr>
            <w:r w:rsidRPr="00D05364">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2C57BFE5" w14:textId="77777777" w:rsidR="005F30EB" w:rsidRPr="00D05364" w:rsidRDefault="005F30EB" w:rsidP="005F30EB">
            <w:pPr>
              <w:pStyle w:val="ListParagraph"/>
              <w:spacing w:after="120"/>
              <w:ind w:left="0"/>
              <w:contextualSpacing w:val="0"/>
              <w:jc w:val="both"/>
            </w:pPr>
            <w:r>
              <w:t>Skyrimo sąlygos nesiūlomos.</w:t>
            </w:r>
          </w:p>
        </w:tc>
      </w:tr>
      <w:tr w:rsidR="005F30EB" w:rsidRPr="00D05364" w14:paraId="503817D9" w14:textId="77777777" w:rsidTr="00B31A12">
        <w:trPr>
          <w:trHeight w:val="479"/>
        </w:trPr>
        <w:tc>
          <w:tcPr>
            <w:tcW w:w="705" w:type="dxa"/>
            <w:tcBorders>
              <w:top w:val="single" w:sz="4" w:space="0" w:color="auto"/>
              <w:left w:val="single" w:sz="4" w:space="0" w:color="auto"/>
              <w:bottom w:val="single" w:sz="4" w:space="0" w:color="auto"/>
              <w:right w:val="single" w:sz="4" w:space="0" w:color="auto"/>
            </w:tcBorders>
          </w:tcPr>
          <w:p w14:paraId="15FED4A2" w14:textId="77777777" w:rsidR="005F30EB" w:rsidRPr="00D05364" w:rsidRDefault="005F30EB" w:rsidP="005F30EB">
            <w:pPr>
              <w:tabs>
                <w:tab w:val="left" w:pos="284"/>
              </w:tabs>
              <w:spacing w:line="280" w:lineRule="atLeast"/>
              <w:rPr>
                <w:rFonts w:eastAsia="Arial"/>
                <w:b/>
              </w:rPr>
            </w:pPr>
            <w:r w:rsidRPr="00D05364">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6C300020" w14:textId="77777777" w:rsidR="005F30EB" w:rsidRPr="00D05364" w:rsidRDefault="005F30EB" w:rsidP="005F30EB">
            <w:pPr>
              <w:tabs>
                <w:tab w:val="left" w:pos="284"/>
              </w:tabs>
              <w:spacing w:line="280" w:lineRule="atLeast"/>
              <w:rPr>
                <w:b/>
                <w:bCs/>
                <w:color w:val="000000"/>
                <w:lang w:eastAsia="lt-LT"/>
              </w:rPr>
            </w:pPr>
            <w:r w:rsidRPr="00D05364">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0881AB16" w14:textId="77777777" w:rsidR="005F30EB" w:rsidRPr="00D05364" w:rsidRDefault="00000000" w:rsidP="005F30EB">
            <w:sdt>
              <w:sdtPr>
                <w:rPr>
                  <w:rStyle w:val="Style2"/>
                </w:rPr>
                <w:id w:val="-468433535"/>
              </w:sdtPr>
              <w:sdtContent>
                <w:r w:rsidR="005F30EB">
                  <w:rPr>
                    <w:rStyle w:val="Style2"/>
                    <w:rFonts w:ascii="MS Gothic" w:eastAsia="MS Gothic" w:hAnsi="MS Gothic" w:hint="eastAsia"/>
                  </w:rPr>
                  <w:t>☒</w:t>
                </w:r>
              </w:sdtContent>
            </w:sdt>
            <w:r w:rsidR="005F30EB" w:rsidRPr="00D05364">
              <w:t xml:space="preserve"> Pilna paraiška</w:t>
            </w:r>
          </w:p>
          <w:p w14:paraId="718D2E5A" w14:textId="77777777" w:rsidR="005F30EB" w:rsidRPr="00D05364" w:rsidRDefault="00000000" w:rsidP="005F30EB">
            <w:pPr>
              <w:rPr>
                <w:rStyle w:val="Style2"/>
              </w:rPr>
            </w:pPr>
            <w:sdt>
              <w:sdtPr>
                <w:rPr>
                  <w:rStyle w:val="Style2"/>
                </w:rPr>
                <w:id w:val="-1489014904"/>
              </w:sdtPr>
              <w:sdtContent>
                <w:r w:rsidR="005F30EB" w:rsidRPr="00D05364">
                  <w:rPr>
                    <w:rStyle w:val="Style2"/>
                    <w:rFonts w:ascii="MS Gothic" w:eastAsia="MS Gothic" w:hAnsi="MS Gothic" w:hint="eastAsia"/>
                  </w:rPr>
                  <w:t>☐</w:t>
                </w:r>
              </w:sdtContent>
            </w:sdt>
            <w:r w:rsidR="005F30EB" w:rsidRPr="00D05364">
              <w:t xml:space="preserve"> Supaprastinta paraiška</w:t>
            </w:r>
          </w:p>
        </w:tc>
      </w:tr>
      <w:tr w:rsidR="005F30EB" w:rsidRPr="00D05364" w14:paraId="2C4FFB58" w14:textId="77777777" w:rsidTr="00B31A12">
        <w:trPr>
          <w:trHeight w:val="479"/>
        </w:trPr>
        <w:tc>
          <w:tcPr>
            <w:tcW w:w="705" w:type="dxa"/>
            <w:tcBorders>
              <w:top w:val="single" w:sz="4" w:space="0" w:color="auto"/>
              <w:left w:val="single" w:sz="4" w:space="0" w:color="auto"/>
              <w:bottom w:val="single" w:sz="4" w:space="0" w:color="auto"/>
              <w:right w:val="single" w:sz="4" w:space="0" w:color="auto"/>
            </w:tcBorders>
          </w:tcPr>
          <w:p w14:paraId="12F7C211" w14:textId="77777777" w:rsidR="005F30EB" w:rsidRPr="00D05364" w:rsidRDefault="005F30EB" w:rsidP="005F30EB">
            <w:pPr>
              <w:tabs>
                <w:tab w:val="left" w:pos="284"/>
              </w:tabs>
              <w:spacing w:line="280" w:lineRule="atLeast"/>
              <w:rPr>
                <w:rFonts w:eastAsia="Arial"/>
                <w:b/>
              </w:rPr>
            </w:pPr>
            <w:r w:rsidRPr="00D05364">
              <w:rPr>
                <w:rFonts w:eastAsia="Arial"/>
                <w:b/>
              </w:rPr>
              <w:lastRenderedPageBreak/>
              <w:t>1.8</w:t>
            </w:r>
          </w:p>
        </w:tc>
        <w:tc>
          <w:tcPr>
            <w:tcW w:w="4117" w:type="dxa"/>
            <w:tcBorders>
              <w:top w:val="single" w:sz="4" w:space="0" w:color="auto"/>
              <w:left w:val="single" w:sz="4" w:space="0" w:color="auto"/>
              <w:bottom w:val="single" w:sz="4" w:space="0" w:color="auto"/>
              <w:right w:val="single" w:sz="4" w:space="0" w:color="auto"/>
            </w:tcBorders>
          </w:tcPr>
          <w:p w14:paraId="45DCBEAC" w14:textId="77777777" w:rsidR="005F30EB" w:rsidRDefault="005F30EB" w:rsidP="005F30EB">
            <w:pPr>
              <w:tabs>
                <w:tab w:val="left" w:pos="284"/>
              </w:tabs>
              <w:spacing w:line="280" w:lineRule="atLeast"/>
              <w:rPr>
                <w:b/>
                <w:bCs/>
                <w:color w:val="000000"/>
                <w:lang w:eastAsia="lt-LT"/>
              </w:rPr>
            </w:pPr>
            <w:r w:rsidRPr="00D05364">
              <w:rPr>
                <w:b/>
                <w:bCs/>
                <w:color w:val="000000"/>
                <w:lang w:eastAsia="lt-LT"/>
              </w:rPr>
              <w:t>Klinikinių tyrimų tipas</w:t>
            </w:r>
            <w:r>
              <w:rPr>
                <w:b/>
                <w:bCs/>
                <w:color w:val="000000"/>
                <w:lang w:eastAsia="lt-LT"/>
              </w:rPr>
              <w:t>:</w:t>
            </w:r>
            <w:r w:rsidRPr="00D05364">
              <w:rPr>
                <w:b/>
                <w:bCs/>
                <w:color w:val="000000"/>
                <w:lang w:eastAsia="lt-LT"/>
              </w:rPr>
              <w:t xml:space="preserve"> </w:t>
            </w:r>
          </w:p>
          <w:p w14:paraId="408BA4AD" w14:textId="3DD806D6" w:rsidR="005F30EB" w:rsidRPr="00163415" w:rsidRDefault="005F30EB" w:rsidP="005F30EB">
            <w:pPr>
              <w:tabs>
                <w:tab w:val="left" w:pos="284"/>
              </w:tabs>
              <w:spacing w:line="280" w:lineRule="atLeast"/>
            </w:pPr>
            <w:r>
              <w:rPr>
                <w:b/>
                <w:bCs/>
                <w:color w:val="000000"/>
                <w:lang w:eastAsia="lt-LT"/>
              </w:rPr>
              <w:t>-</w:t>
            </w:r>
            <w:r w:rsidRPr="00163415">
              <w:rPr>
                <w:bCs/>
                <w:color w:val="000000"/>
                <w:lang w:eastAsia="lt-LT"/>
              </w:rPr>
              <w:t xml:space="preserve">Tiesioginis palyginimas atliktas su </w:t>
            </w:r>
            <w:r w:rsidRPr="00163415">
              <w:rPr>
                <w:color w:val="000000" w:themeColor="text1"/>
              </w:rPr>
              <w:t xml:space="preserve">abakaviro/lamivudino/dolutegraviro </w:t>
            </w:r>
            <w:r>
              <w:t>(</w:t>
            </w:r>
            <w:r w:rsidRPr="003C1F45">
              <w:t>[ABC]</w:t>
            </w:r>
            <w:r>
              <w:t>+</w:t>
            </w:r>
            <w:r w:rsidRPr="003C1F45">
              <w:t xml:space="preserve"> [3TC]</w:t>
            </w:r>
            <w:r>
              <w:rPr>
                <w:lang w:val="en-US"/>
              </w:rPr>
              <w:t>+</w:t>
            </w:r>
            <w:r w:rsidRPr="003C1F45">
              <w:t>[DTG]</w:t>
            </w:r>
            <w:r>
              <w:t xml:space="preserve">) </w:t>
            </w:r>
            <w:r w:rsidRPr="00163415">
              <w:t>deriniu.</w:t>
            </w:r>
          </w:p>
          <w:p w14:paraId="483952AB" w14:textId="19646866" w:rsidR="005F30EB" w:rsidRPr="00D05364" w:rsidRDefault="005F30EB" w:rsidP="005F30EB">
            <w:pPr>
              <w:tabs>
                <w:tab w:val="left" w:pos="284"/>
              </w:tabs>
              <w:spacing w:line="280" w:lineRule="atLeast"/>
              <w:rPr>
                <w:b/>
                <w:bCs/>
                <w:color w:val="000000"/>
                <w:lang w:eastAsia="lt-LT"/>
              </w:rPr>
            </w:pPr>
            <w:r w:rsidRPr="00163415">
              <w:t>-Netiesioginis palyginimas atliktas su įvairiais antiretrovirusinių vaistų deriniais</w:t>
            </w:r>
            <w:r>
              <w:t xml:space="preserve"> įskaitant ir palyginimą su (</w:t>
            </w:r>
            <w:r w:rsidRPr="003C1F45">
              <w:t>[ABC]</w:t>
            </w:r>
            <w:r>
              <w:t>+</w:t>
            </w:r>
            <w:r w:rsidRPr="003C1F45">
              <w:t xml:space="preserve"> [3TC]</w:t>
            </w:r>
            <w:r w:rsidRPr="00E3756B">
              <w:t>+</w:t>
            </w:r>
            <w:r w:rsidRPr="003C1F45">
              <w:t>[DTG]</w:t>
            </w:r>
            <w:r>
              <w:t xml:space="preserve">) </w:t>
            </w:r>
            <w:r w:rsidRPr="00163415">
              <w:t>deriniu</w:t>
            </w:r>
            <w:r>
              <w:t>.</w:t>
            </w:r>
          </w:p>
        </w:tc>
        <w:tc>
          <w:tcPr>
            <w:tcW w:w="5096" w:type="dxa"/>
            <w:tcBorders>
              <w:top w:val="single" w:sz="4" w:space="0" w:color="auto"/>
              <w:left w:val="single" w:sz="4" w:space="0" w:color="auto"/>
              <w:bottom w:val="single" w:sz="4" w:space="0" w:color="auto"/>
              <w:right w:val="single" w:sz="4" w:space="0" w:color="auto"/>
            </w:tcBorders>
          </w:tcPr>
          <w:p w14:paraId="5A255172" w14:textId="77777777" w:rsidR="005F30EB" w:rsidRPr="00D05364" w:rsidRDefault="00000000" w:rsidP="005F30EB">
            <w:sdt>
              <w:sdtPr>
                <w:rPr>
                  <w:rStyle w:val="Style2"/>
                </w:rPr>
                <w:id w:val="1348903796"/>
              </w:sdtPr>
              <w:sdtContent>
                <w:r w:rsidR="005F30EB">
                  <w:rPr>
                    <w:rStyle w:val="Style2"/>
                    <w:rFonts w:ascii="MS Gothic" w:eastAsia="MS Gothic" w:hAnsi="MS Gothic" w:hint="eastAsia"/>
                  </w:rPr>
                  <w:t>☒</w:t>
                </w:r>
              </w:sdtContent>
            </w:sdt>
            <w:r w:rsidR="005F30EB" w:rsidRPr="00D05364">
              <w:t xml:space="preserve"> Tiesioginis palyginimas</w:t>
            </w:r>
          </w:p>
          <w:p w14:paraId="64B26EC2" w14:textId="7742392A" w:rsidR="005F30EB" w:rsidRPr="00D05364" w:rsidRDefault="00000000" w:rsidP="005F30EB">
            <w:sdt>
              <w:sdtPr>
                <w:rPr>
                  <w:rStyle w:val="Style2"/>
                </w:rPr>
                <w:id w:val="-1574418969"/>
              </w:sdtPr>
              <w:sdtContent>
                <w:r w:rsidR="005F30EB">
                  <w:rPr>
                    <w:rStyle w:val="Style2"/>
                    <w:rFonts w:ascii="MS Gothic" w:eastAsia="MS Gothic" w:hAnsi="MS Gothic" w:hint="eastAsia"/>
                  </w:rPr>
                  <w:t>☒</w:t>
                </w:r>
              </w:sdtContent>
            </w:sdt>
            <w:r w:rsidR="005F30EB" w:rsidRPr="00D05364">
              <w:t xml:space="preserve"> Netiesioginis palyginimas</w:t>
            </w:r>
          </w:p>
        </w:tc>
      </w:tr>
      <w:tr w:rsidR="005F30EB" w:rsidRPr="00D05364" w14:paraId="1CA9A5BF" w14:textId="77777777" w:rsidTr="00B31A12">
        <w:trPr>
          <w:trHeight w:val="479"/>
        </w:trPr>
        <w:tc>
          <w:tcPr>
            <w:tcW w:w="705" w:type="dxa"/>
            <w:tcBorders>
              <w:top w:val="single" w:sz="4" w:space="0" w:color="auto"/>
              <w:left w:val="single" w:sz="4" w:space="0" w:color="auto"/>
              <w:bottom w:val="single" w:sz="4" w:space="0" w:color="auto"/>
              <w:right w:val="single" w:sz="4" w:space="0" w:color="auto"/>
            </w:tcBorders>
          </w:tcPr>
          <w:p w14:paraId="136A23E8" w14:textId="77777777" w:rsidR="005F30EB" w:rsidRPr="00D05364" w:rsidRDefault="005F30EB" w:rsidP="005F30EB">
            <w:pPr>
              <w:tabs>
                <w:tab w:val="left" w:pos="284"/>
              </w:tabs>
              <w:spacing w:line="280" w:lineRule="atLeast"/>
              <w:rPr>
                <w:rFonts w:eastAsia="Arial"/>
                <w:b/>
              </w:rPr>
            </w:pPr>
            <w:r w:rsidRPr="00D05364">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69F032F3" w14:textId="77777777" w:rsidR="005F30EB" w:rsidRPr="00D05364" w:rsidRDefault="005F30EB" w:rsidP="005F30EB">
            <w:pPr>
              <w:tabs>
                <w:tab w:val="left" w:pos="284"/>
              </w:tabs>
              <w:spacing w:line="280" w:lineRule="atLeast"/>
              <w:rPr>
                <w:b/>
                <w:bCs/>
                <w:color w:val="000000"/>
                <w:lang w:eastAsia="lt-LT"/>
              </w:rPr>
            </w:pPr>
            <w:r w:rsidRPr="00D05364">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3EDF92E8" w14:textId="66D0AEB9" w:rsidR="005F30EB" w:rsidRPr="00D05364" w:rsidRDefault="00000000" w:rsidP="005F30EB">
            <w:sdt>
              <w:sdtPr>
                <w:rPr>
                  <w:rStyle w:val="Style2"/>
                </w:rPr>
                <w:id w:val="-85084096"/>
              </w:sdtPr>
              <w:sdtContent>
                <w:r w:rsidR="005F30EB" w:rsidRPr="00D05364">
                  <w:rPr>
                    <w:rStyle w:val="Style2"/>
                    <w:rFonts w:ascii="MS Gothic" w:eastAsia="MS Gothic" w:hAnsi="MS Gothic" w:hint="eastAsia"/>
                  </w:rPr>
                  <w:t>☐</w:t>
                </w:r>
              </w:sdtContent>
            </w:sdt>
            <w:r w:rsidR="005F30EB" w:rsidRPr="00D05364">
              <w:t xml:space="preserve"> Kaštų naudingumo analizė</w:t>
            </w:r>
          </w:p>
          <w:p w14:paraId="2213A713" w14:textId="242FE4C5" w:rsidR="005F30EB" w:rsidRPr="00D05364" w:rsidRDefault="00000000" w:rsidP="005F30EB">
            <w:sdt>
              <w:sdtPr>
                <w:rPr>
                  <w:rStyle w:val="Style2"/>
                </w:rPr>
                <w:id w:val="680329936"/>
              </w:sdtPr>
              <w:sdtContent>
                <w:r w:rsidR="005F30EB">
                  <w:rPr>
                    <w:rStyle w:val="Style2"/>
                    <w:rFonts w:ascii="MS Gothic" w:eastAsia="MS Gothic" w:hAnsi="MS Gothic" w:hint="eastAsia"/>
                  </w:rPr>
                  <w:t>☒</w:t>
                </w:r>
              </w:sdtContent>
            </w:sdt>
            <w:r w:rsidR="005F30EB" w:rsidRPr="00D05364">
              <w:t xml:space="preserve"> Kaštų mažinimo analizė</w:t>
            </w:r>
          </w:p>
          <w:p w14:paraId="66FD40BE" w14:textId="2BBCCDC7" w:rsidR="005F30EB" w:rsidRPr="00D05364" w:rsidRDefault="00000000" w:rsidP="005F30EB">
            <w:sdt>
              <w:sdtPr>
                <w:rPr>
                  <w:rStyle w:val="Style2"/>
                </w:rPr>
                <w:id w:val="-38514048"/>
              </w:sdtPr>
              <w:sdtContent>
                <w:r w:rsidR="005F30EB" w:rsidRPr="00D05364">
                  <w:rPr>
                    <w:rStyle w:val="Style2"/>
                    <w:rFonts w:ascii="MS Gothic" w:eastAsia="MS Gothic" w:hAnsi="MS Gothic" w:hint="eastAsia"/>
                  </w:rPr>
                  <w:t>☐</w:t>
                </w:r>
              </w:sdtContent>
            </w:sdt>
            <w:r w:rsidR="005F30EB" w:rsidRPr="00D05364">
              <w:t xml:space="preserve"> Kita: </w:t>
            </w:r>
            <w:sdt>
              <w:sdtPr>
                <w:alias w:val="Įrašykite"/>
                <w:tag w:val="Įrašykite"/>
                <w:id w:val="-16472040"/>
              </w:sdtPr>
              <w:sdtContent>
                <w:r w:rsidR="005F30EB" w:rsidRPr="00D05364">
                  <w:t>_________________</w:t>
                </w:r>
              </w:sdtContent>
            </w:sdt>
            <w:r w:rsidR="005F30EB" w:rsidRPr="00D05364">
              <w:t xml:space="preserve"> </w:t>
            </w:r>
          </w:p>
        </w:tc>
      </w:tr>
    </w:tbl>
    <w:p w14:paraId="3348595E" w14:textId="77777777" w:rsidR="00B13D65" w:rsidRDefault="00B13D65" w:rsidP="00E03C3F">
      <w:pPr>
        <w:pStyle w:val="ListParagraph"/>
        <w:tabs>
          <w:tab w:val="left" w:pos="284"/>
        </w:tabs>
        <w:ind w:left="0"/>
        <w:rPr>
          <w:b/>
          <w:bCs/>
          <w:caps/>
        </w:rPr>
      </w:pPr>
    </w:p>
    <w:p w14:paraId="799941D6" w14:textId="77777777" w:rsidR="00F70C9E" w:rsidRDefault="00F70C9E" w:rsidP="00E03C3F">
      <w:pPr>
        <w:pStyle w:val="ListParagraph"/>
        <w:tabs>
          <w:tab w:val="left" w:pos="426"/>
        </w:tabs>
        <w:ind w:left="0"/>
        <w:rPr>
          <w:b/>
          <w:bCs/>
          <w:caps/>
        </w:rPr>
      </w:pPr>
    </w:p>
    <w:p w14:paraId="077FB504" w14:textId="77777777" w:rsidR="00F70C9E" w:rsidRPr="00177C8C" w:rsidRDefault="00F70C9E" w:rsidP="00880A44">
      <w:pPr>
        <w:spacing w:line="276" w:lineRule="auto"/>
        <w:jc w:val="both"/>
        <w:rPr>
          <w:rFonts w:eastAsia="Arial"/>
          <w:b/>
        </w:rPr>
      </w:pPr>
      <w:r w:rsidRPr="00177C8C">
        <w:rPr>
          <w:rFonts w:eastAsia="Arial"/>
          <w:b/>
        </w:rPr>
        <w:t>1.</w:t>
      </w:r>
      <w:r>
        <w:rPr>
          <w:rFonts w:eastAsia="Arial"/>
          <w:b/>
        </w:rPr>
        <w:t>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4950211C" w14:textId="77777777" w:rsidR="00F70C9E"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362B66" w:rsidRPr="00D05364" w14:paraId="52BA8A63" w14:textId="77777777" w:rsidTr="00B31A12">
        <w:trPr>
          <w:trHeight w:val="924"/>
        </w:trPr>
        <w:tc>
          <w:tcPr>
            <w:tcW w:w="2927" w:type="dxa"/>
          </w:tcPr>
          <w:p w14:paraId="22131407" w14:textId="77777777" w:rsidR="00362B66" w:rsidRPr="00D05364" w:rsidRDefault="00362B66" w:rsidP="00B31A12">
            <w:pPr>
              <w:spacing w:line="276" w:lineRule="auto"/>
              <w:rPr>
                <w:rFonts w:eastAsia="Arial"/>
              </w:rPr>
            </w:pPr>
            <w:r w:rsidRPr="00D05364">
              <w:rPr>
                <w:rFonts w:eastAsia="Arial"/>
              </w:rPr>
              <w:t>STV agentūros pavadinimas, šalis</w:t>
            </w:r>
          </w:p>
        </w:tc>
        <w:tc>
          <w:tcPr>
            <w:tcW w:w="1915" w:type="dxa"/>
          </w:tcPr>
          <w:p w14:paraId="50F416C0" w14:textId="77777777" w:rsidR="00362B66" w:rsidRPr="00D05364" w:rsidRDefault="00362B66" w:rsidP="00B31A12">
            <w:pPr>
              <w:spacing w:line="276" w:lineRule="auto"/>
              <w:rPr>
                <w:rFonts w:eastAsia="Arial"/>
              </w:rPr>
            </w:pPr>
            <w:r w:rsidRPr="00D05364">
              <w:rPr>
                <w:rFonts w:eastAsia="Arial"/>
              </w:rPr>
              <w:t>STV vertinimas atliktas</w:t>
            </w:r>
          </w:p>
        </w:tc>
        <w:tc>
          <w:tcPr>
            <w:tcW w:w="2351" w:type="dxa"/>
          </w:tcPr>
          <w:p w14:paraId="3F19A528" w14:textId="77777777" w:rsidR="00362B66" w:rsidRPr="00D05364" w:rsidRDefault="00362B66" w:rsidP="00B31A12">
            <w:pPr>
              <w:spacing w:line="276" w:lineRule="auto"/>
              <w:rPr>
                <w:rFonts w:eastAsia="Arial"/>
              </w:rPr>
            </w:pPr>
            <w:r w:rsidRPr="00D05364">
              <w:rPr>
                <w:rFonts w:eastAsia="Arial"/>
              </w:rPr>
              <w:t>Klinikinio vertinimo išvada</w:t>
            </w:r>
          </w:p>
        </w:tc>
        <w:tc>
          <w:tcPr>
            <w:tcW w:w="2725" w:type="dxa"/>
          </w:tcPr>
          <w:p w14:paraId="55E1CE77" w14:textId="77777777" w:rsidR="00362B66" w:rsidRPr="00D05364" w:rsidRDefault="00362B66" w:rsidP="00B31A12">
            <w:pPr>
              <w:spacing w:line="276" w:lineRule="auto"/>
              <w:rPr>
                <w:rFonts w:eastAsia="Arial"/>
              </w:rPr>
            </w:pPr>
            <w:r w:rsidRPr="00D05364">
              <w:rPr>
                <w:rFonts w:eastAsia="Arial"/>
              </w:rPr>
              <w:t>Farmakoekonominio vertinimo išvada</w:t>
            </w:r>
          </w:p>
        </w:tc>
      </w:tr>
      <w:tr w:rsidR="00362B66" w:rsidRPr="00D05364" w14:paraId="6EA69B6C" w14:textId="77777777" w:rsidTr="00B31A12">
        <w:trPr>
          <w:trHeight w:val="1765"/>
        </w:trPr>
        <w:tc>
          <w:tcPr>
            <w:tcW w:w="2927" w:type="dxa"/>
          </w:tcPr>
          <w:p w14:paraId="595BEC07" w14:textId="77777777" w:rsidR="00362B66" w:rsidRPr="00D05364" w:rsidRDefault="00362B66" w:rsidP="00B31A12">
            <w:pPr>
              <w:autoSpaceDE w:val="0"/>
              <w:autoSpaceDN w:val="0"/>
              <w:adjustRightInd w:val="0"/>
              <w:rPr>
                <w:bCs/>
              </w:rPr>
            </w:pPr>
            <w:r w:rsidRPr="00D05364">
              <w:rPr>
                <w:bCs/>
              </w:rPr>
              <w:t>Nacionalinis sveikatos ir klinikinės kompetencijos institutas, Didžioji Britanija</w:t>
            </w:r>
          </w:p>
          <w:p w14:paraId="367AB03F" w14:textId="77777777" w:rsidR="00362B66" w:rsidRPr="00D05364" w:rsidRDefault="00362B66" w:rsidP="00B31A12">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1BC8235A" w14:textId="77777777" w:rsidR="00362B66" w:rsidRPr="00D05364" w:rsidRDefault="00000000" w:rsidP="00B31A12">
            <w:sdt>
              <w:sdtPr>
                <w:rPr>
                  <w:rStyle w:val="Style2"/>
                </w:rPr>
                <w:id w:val="1558205022"/>
              </w:sdtPr>
              <w:sdtContent>
                <w:r w:rsidR="00362B66">
                  <w:rPr>
                    <w:rStyle w:val="Style2"/>
                    <w:rFonts w:ascii="MS Gothic" w:eastAsia="MS Gothic" w:hAnsi="MS Gothic" w:hint="eastAsia"/>
                  </w:rPr>
                  <w:t>☐</w:t>
                </w:r>
              </w:sdtContent>
            </w:sdt>
            <w:r w:rsidR="00362B66" w:rsidRPr="00D05364">
              <w:t xml:space="preserve"> Taip</w:t>
            </w:r>
          </w:p>
          <w:p w14:paraId="6800EB97" w14:textId="77777777" w:rsidR="00362B66" w:rsidRPr="00235836" w:rsidRDefault="00000000" w:rsidP="00B31A12">
            <w:sdt>
              <w:sdtPr>
                <w:rPr>
                  <w:rStyle w:val="Style2"/>
                </w:rPr>
                <w:id w:val="866029625"/>
              </w:sdtPr>
              <w:sdtContent>
                <w:r w:rsidR="00362B66">
                  <w:rPr>
                    <w:rStyle w:val="Style2"/>
                    <w:rFonts w:ascii="MS Gothic" w:eastAsia="MS Gothic" w:hAnsi="MS Gothic" w:hint="eastAsia"/>
                  </w:rPr>
                  <w:t>☒</w:t>
                </w:r>
              </w:sdtContent>
            </w:sdt>
            <w:r w:rsidR="00362B66" w:rsidRPr="00D05364">
              <w:t xml:space="preserve"> Ne</w:t>
            </w:r>
          </w:p>
        </w:tc>
        <w:tc>
          <w:tcPr>
            <w:tcW w:w="2351" w:type="dxa"/>
          </w:tcPr>
          <w:p w14:paraId="065AED08" w14:textId="095D2D97" w:rsidR="00362B66" w:rsidRPr="00235836" w:rsidRDefault="00362B66" w:rsidP="00B31A12">
            <w:pPr>
              <w:spacing w:line="276" w:lineRule="auto"/>
              <w:rPr>
                <w:rFonts w:eastAsia="Arial"/>
              </w:rPr>
            </w:pPr>
            <w:r>
              <w:rPr>
                <w:rFonts w:eastAsia="Arial"/>
              </w:rPr>
              <w:t>Vertinimas neatliktas</w:t>
            </w:r>
          </w:p>
        </w:tc>
        <w:tc>
          <w:tcPr>
            <w:tcW w:w="2725" w:type="dxa"/>
          </w:tcPr>
          <w:p w14:paraId="6943F1F8" w14:textId="56AAC190" w:rsidR="00362B66" w:rsidRPr="00D05364" w:rsidRDefault="004C4FBA" w:rsidP="00B31A12">
            <w:pPr>
              <w:spacing w:line="276" w:lineRule="auto"/>
              <w:rPr>
                <w:rFonts w:eastAsia="Arial"/>
              </w:rPr>
            </w:pPr>
            <w:r>
              <w:rPr>
                <w:rFonts w:eastAsia="Arial"/>
              </w:rPr>
              <w:t>Vertinimas neatliktas</w:t>
            </w:r>
          </w:p>
        </w:tc>
      </w:tr>
      <w:tr w:rsidR="00362B66" w:rsidRPr="00D05364" w14:paraId="2C269EAF" w14:textId="77777777" w:rsidTr="00B31A12">
        <w:trPr>
          <w:trHeight w:val="1125"/>
        </w:trPr>
        <w:tc>
          <w:tcPr>
            <w:tcW w:w="2927" w:type="dxa"/>
          </w:tcPr>
          <w:p w14:paraId="08A56065" w14:textId="77777777" w:rsidR="00362B66" w:rsidRPr="00D05364" w:rsidRDefault="00362B66" w:rsidP="00B31A12">
            <w:pPr>
              <w:spacing w:line="276" w:lineRule="auto"/>
              <w:rPr>
                <w:rFonts w:eastAsia="Arial"/>
              </w:rPr>
            </w:pPr>
            <w:r w:rsidRPr="00D05364">
              <w:rPr>
                <w:rFonts w:eastAsia="Arial"/>
              </w:rPr>
              <w:t>Kanados sveikatos technologijų agentūra</w:t>
            </w:r>
          </w:p>
          <w:p w14:paraId="4B6FB45E" w14:textId="77777777" w:rsidR="00362B66" w:rsidRPr="00D05364" w:rsidRDefault="00362B66" w:rsidP="00B31A12">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17676466" w14:textId="77777777" w:rsidR="00362B66" w:rsidRPr="00D05364" w:rsidRDefault="00000000" w:rsidP="00B31A12">
            <w:sdt>
              <w:sdtPr>
                <w:rPr>
                  <w:rStyle w:val="Style2"/>
                </w:rPr>
                <w:id w:val="-372539057"/>
              </w:sdtPr>
              <w:sdtContent>
                <w:r w:rsidR="00362B66">
                  <w:rPr>
                    <w:rStyle w:val="Style2"/>
                    <w:rFonts w:ascii="MS Gothic" w:eastAsia="MS Gothic" w:hAnsi="MS Gothic" w:hint="eastAsia"/>
                  </w:rPr>
                  <w:t>☒</w:t>
                </w:r>
              </w:sdtContent>
            </w:sdt>
            <w:r w:rsidR="00362B66" w:rsidRPr="00D05364">
              <w:t xml:space="preserve"> Taip</w:t>
            </w:r>
          </w:p>
          <w:p w14:paraId="74836642" w14:textId="77777777" w:rsidR="00362B66" w:rsidRPr="00D05364" w:rsidRDefault="00000000" w:rsidP="00B31A12">
            <w:sdt>
              <w:sdtPr>
                <w:rPr>
                  <w:rStyle w:val="Style2"/>
                </w:rPr>
                <w:id w:val="594442222"/>
              </w:sdtPr>
              <w:sdtContent>
                <w:r w:rsidR="00362B66" w:rsidRPr="00D05364">
                  <w:rPr>
                    <w:rStyle w:val="Style2"/>
                    <w:rFonts w:ascii="Segoe UI Symbol" w:eastAsia="MS Gothic" w:hAnsi="Segoe UI Symbol" w:cs="Segoe UI Symbol"/>
                  </w:rPr>
                  <w:t>☐</w:t>
                </w:r>
              </w:sdtContent>
            </w:sdt>
            <w:r w:rsidR="00362B66" w:rsidRPr="00D05364">
              <w:t xml:space="preserve"> Ne</w:t>
            </w:r>
          </w:p>
          <w:p w14:paraId="6FF6DD92" w14:textId="77777777" w:rsidR="00362B66" w:rsidRPr="00D05364" w:rsidRDefault="00000000" w:rsidP="00B31A12">
            <w:pPr>
              <w:spacing w:line="276" w:lineRule="auto"/>
              <w:rPr>
                <w:rFonts w:eastAsia="Arial"/>
              </w:rPr>
            </w:pPr>
            <w:sdt>
              <w:sdtPr>
                <w:alias w:val="Nurodykite konkrečią dieną"/>
                <w:tag w:val="Nurodykite pradžios datą"/>
                <w:id w:val="1072468416"/>
                <w:date>
                  <w:dateFormat w:val="yyyy 'm.' MMMM d 'd.'"/>
                  <w:lid w:val="lt-LT"/>
                  <w:storeMappedDataAs w:val="dateTime"/>
                  <w:calendar w:val="gregorian"/>
                </w:date>
              </w:sdtPr>
              <w:sdtContent>
                <w:r w:rsidR="00362B66">
                  <w:t>2018 m. spalio 25 d.</w:t>
                </w:r>
              </w:sdtContent>
            </w:sdt>
          </w:p>
        </w:tc>
        <w:tc>
          <w:tcPr>
            <w:tcW w:w="2351" w:type="dxa"/>
          </w:tcPr>
          <w:p w14:paraId="6C9F23F2" w14:textId="00C57E32" w:rsidR="00362B66" w:rsidRPr="00235836" w:rsidRDefault="008D370A" w:rsidP="00B31A12">
            <w:pPr>
              <w:spacing w:line="276" w:lineRule="auto"/>
              <w:rPr>
                <w:rFonts w:eastAsia="Arial"/>
              </w:rPr>
            </w:pPr>
            <w:r>
              <w:rPr>
                <w:rFonts w:eastAsia="Arial"/>
              </w:rPr>
              <w:t>Vaistinis preparatas nėra pranašesnis už palyginamąjį gydymą</w:t>
            </w:r>
            <w:r w:rsidR="005159C2">
              <w:rPr>
                <w:rFonts w:eastAsia="Arial"/>
              </w:rPr>
              <w:t xml:space="preserve"> </w:t>
            </w:r>
            <w:r w:rsidR="005159C2" w:rsidRPr="005159C2">
              <w:rPr>
                <w:rFonts w:eastAsia="Arial"/>
              </w:rPr>
              <w:t xml:space="preserve">ABC/DTG/3TC </w:t>
            </w:r>
            <w:r w:rsidR="005159C2">
              <w:rPr>
                <w:rFonts w:eastAsia="Arial"/>
              </w:rPr>
              <w:t>bei</w:t>
            </w:r>
            <w:r w:rsidR="005159C2" w:rsidRPr="005159C2">
              <w:rPr>
                <w:rFonts w:eastAsia="Arial"/>
              </w:rPr>
              <w:t xml:space="preserve"> DTG + FTC/TAF</w:t>
            </w:r>
            <w:r>
              <w:rPr>
                <w:rFonts w:eastAsia="Arial"/>
              </w:rPr>
              <w:t xml:space="preserve"> </w:t>
            </w:r>
          </w:p>
        </w:tc>
        <w:tc>
          <w:tcPr>
            <w:tcW w:w="2725" w:type="dxa"/>
          </w:tcPr>
          <w:p w14:paraId="3032E923" w14:textId="0222BA99" w:rsidR="00362B66" w:rsidRPr="00D05364" w:rsidRDefault="005F30EB" w:rsidP="00B31A12">
            <w:pPr>
              <w:spacing w:line="276" w:lineRule="auto"/>
              <w:rPr>
                <w:rFonts w:eastAsia="Arial"/>
              </w:rPr>
            </w:pPr>
            <w:r w:rsidRPr="00235836">
              <w:rPr>
                <w:rFonts w:eastAsia="Arial"/>
              </w:rPr>
              <w:t>Rekomenduojama kompensuoti, jeigu Biktarvy nevir</w:t>
            </w:r>
            <w:r>
              <w:rPr>
                <w:rFonts w:eastAsia="Arial"/>
              </w:rPr>
              <w:t>šys palyginamojo gydymo kainos</w:t>
            </w:r>
          </w:p>
        </w:tc>
      </w:tr>
      <w:tr w:rsidR="00362B66" w:rsidRPr="00D05364" w14:paraId="4533F607" w14:textId="77777777" w:rsidTr="00B31A12">
        <w:trPr>
          <w:trHeight w:val="1927"/>
        </w:trPr>
        <w:tc>
          <w:tcPr>
            <w:tcW w:w="2927" w:type="dxa"/>
          </w:tcPr>
          <w:p w14:paraId="60A2778A" w14:textId="77777777" w:rsidR="00362B66" w:rsidRPr="00D05364" w:rsidRDefault="00362B66" w:rsidP="00B31A12">
            <w:pPr>
              <w:spacing w:line="276" w:lineRule="auto"/>
              <w:rPr>
                <w:rFonts w:eastAsia="Arial"/>
              </w:rPr>
            </w:pPr>
            <w:r w:rsidRPr="00D05364">
              <w:rPr>
                <w:rFonts w:eastAsia="Arial"/>
              </w:rPr>
              <w:t>Nacionalinis farmakoekonomikos centras, Airija</w:t>
            </w:r>
          </w:p>
          <w:p w14:paraId="53D0CC69" w14:textId="77777777" w:rsidR="00362B66" w:rsidRPr="00D05364" w:rsidRDefault="00362B66" w:rsidP="00B31A12">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0C3ECBD6" w14:textId="77777777" w:rsidR="00362B66" w:rsidRPr="00D05364" w:rsidRDefault="00000000" w:rsidP="00B31A12">
            <w:sdt>
              <w:sdtPr>
                <w:rPr>
                  <w:rStyle w:val="Style2"/>
                </w:rPr>
                <w:id w:val="-1888403732"/>
              </w:sdtPr>
              <w:sdtContent>
                <w:r w:rsidR="00362B66">
                  <w:rPr>
                    <w:rStyle w:val="Style2"/>
                    <w:rFonts w:ascii="MS Gothic" w:eastAsia="MS Gothic" w:hAnsi="MS Gothic" w:hint="eastAsia"/>
                  </w:rPr>
                  <w:t>☒</w:t>
                </w:r>
              </w:sdtContent>
            </w:sdt>
            <w:r w:rsidR="00362B66" w:rsidRPr="00D05364">
              <w:t xml:space="preserve"> Taip</w:t>
            </w:r>
          </w:p>
          <w:p w14:paraId="601E959A" w14:textId="77777777" w:rsidR="00362B66" w:rsidRPr="00D05364" w:rsidRDefault="00000000" w:rsidP="00B31A12">
            <w:sdt>
              <w:sdtPr>
                <w:rPr>
                  <w:rStyle w:val="Style2"/>
                </w:rPr>
                <w:id w:val="1092201793"/>
              </w:sdtPr>
              <w:sdtContent>
                <w:r w:rsidR="00362B66" w:rsidRPr="00D05364">
                  <w:rPr>
                    <w:rStyle w:val="Style2"/>
                    <w:rFonts w:ascii="Segoe UI Symbol" w:eastAsia="MS Gothic" w:hAnsi="Segoe UI Symbol" w:cs="Segoe UI Symbol"/>
                  </w:rPr>
                  <w:t>☐</w:t>
                </w:r>
              </w:sdtContent>
            </w:sdt>
            <w:r w:rsidR="00362B66" w:rsidRPr="00D05364">
              <w:t xml:space="preserve"> Ne</w:t>
            </w:r>
          </w:p>
          <w:p w14:paraId="105E0C04" w14:textId="77777777" w:rsidR="00362B66" w:rsidRPr="00D05364" w:rsidRDefault="00000000" w:rsidP="00B31A12">
            <w:pPr>
              <w:spacing w:line="276" w:lineRule="auto"/>
              <w:rPr>
                <w:rFonts w:eastAsia="Arial"/>
              </w:rPr>
            </w:pPr>
            <w:sdt>
              <w:sdtPr>
                <w:alias w:val="Nurodykite konkrečią dieną"/>
                <w:tag w:val="Nurodykite pradžios datą"/>
                <w:id w:val="-198323198"/>
                <w:date>
                  <w:dateFormat w:val="yyyy 'm.' MMMM d 'd.'"/>
                  <w:lid w:val="lt-LT"/>
                  <w:storeMappedDataAs w:val="dateTime"/>
                  <w:calendar w:val="gregorian"/>
                </w:date>
              </w:sdtPr>
              <w:sdtContent>
                <w:r w:rsidR="00362B66">
                  <w:t>20</w:t>
                </w:r>
                <w:r w:rsidR="00362B66">
                  <w:rPr>
                    <w:lang w:val="en-US"/>
                  </w:rPr>
                  <w:t>18</w:t>
                </w:r>
                <w:r w:rsidR="00362B66">
                  <w:t xml:space="preserve"> m. birželio </w:t>
                </w:r>
                <w:r w:rsidR="00362B66">
                  <w:rPr>
                    <w:lang w:val="en-US"/>
                  </w:rPr>
                  <w:t>7</w:t>
                </w:r>
                <w:r w:rsidR="00362B66">
                  <w:t xml:space="preserve"> d.</w:t>
                </w:r>
              </w:sdtContent>
            </w:sdt>
          </w:p>
        </w:tc>
        <w:tc>
          <w:tcPr>
            <w:tcW w:w="2351" w:type="dxa"/>
          </w:tcPr>
          <w:p w14:paraId="02FFAB7B" w14:textId="7FAC8BD6" w:rsidR="00362B66" w:rsidRPr="00D05364" w:rsidRDefault="005F30EB" w:rsidP="00B31A12">
            <w:pPr>
              <w:spacing w:line="276" w:lineRule="auto"/>
              <w:rPr>
                <w:rFonts w:eastAsia="Arial"/>
              </w:rPr>
            </w:pPr>
            <w:r>
              <w:rPr>
                <w:rFonts w:eastAsia="Arial"/>
              </w:rPr>
              <w:t>Rekomenduojama kompensuoti, jeigu bus vykdomos derybos dėl vaisto kainos</w:t>
            </w:r>
          </w:p>
        </w:tc>
        <w:tc>
          <w:tcPr>
            <w:tcW w:w="2725" w:type="dxa"/>
          </w:tcPr>
          <w:p w14:paraId="25623FBD" w14:textId="197D9751" w:rsidR="00362B66" w:rsidRPr="00D05364" w:rsidRDefault="005F30EB" w:rsidP="00B31A12">
            <w:pPr>
              <w:spacing w:line="276" w:lineRule="auto"/>
              <w:rPr>
                <w:rFonts w:eastAsia="Arial"/>
              </w:rPr>
            </w:pPr>
            <w:r>
              <w:rPr>
                <w:rFonts w:eastAsia="Arial"/>
              </w:rPr>
              <w:t>Rekomenduojama kompensuoti, jeigu bus vykdomos derybos dėl vaisto kainos</w:t>
            </w:r>
          </w:p>
        </w:tc>
      </w:tr>
    </w:tbl>
    <w:p w14:paraId="75723625" w14:textId="77777777" w:rsidR="00F70C9E" w:rsidRPr="003346C8" w:rsidRDefault="00F70C9E" w:rsidP="00E03C3F">
      <w:pPr>
        <w:pStyle w:val="ListParagraph"/>
        <w:tabs>
          <w:tab w:val="left" w:pos="426"/>
        </w:tabs>
        <w:ind w:left="0"/>
        <w:rPr>
          <w:b/>
          <w:bCs/>
          <w:caps/>
        </w:rPr>
      </w:pPr>
    </w:p>
    <w:p w14:paraId="39940DD9" w14:textId="77777777" w:rsidR="008651E2" w:rsidRDefault="008651E2" w:rsidP="00E03C3F">
      <w:pPr>
        <w:pStyle w:val="ListParagraph"/>
        <w:tabs>
          <w:tab w:val="left" w:pos="426"/>
        </w:tabs>
        <w:ind w:left="0"/>
        <w:rPr>
          <w:b/>
          <w:bCs/>
          <w:caps/>
        </w:rPr>
      </w:pPr>
    </w:p>
    <w:p w14:paraId="7FE40097" w14:textId="77777777" w:rsidR="002E6F80" w:rsidRPr="00937907" w:rsidRDefault="00CC7832" w:rsidP="00937907">
      <w:pPr>
        <w:pStyle w:val="ListParagraph"/>
        <w:numPr>
          <w:ilvl w:val="0"/>
          <w:numId w:val="12"/>
        </w:numPr>
        <w:tabs>
          <w:tab w:val="left" w:pos="284"/>
        </w:tabs>
        <w:rPr>
          <w:b/>
          <w:bCs/>
          <w:caps/>
        </w:rPr>
      </w:pPr>
      <w:r w:rsidRPr="00937907">
        <w:rPr>
          <w:b/>
          <w:bCs/>
          <w:caps/>
        </w:rPr>
        <w:t>Klinikinio vertinimo a</w:t>
      </w:r>
      <w:r w:rsidR="00D4485B" w:rsidRPr="00937907">
        <w:rPr>
          <w:b/>
          <w:bCs/>
          <w:caps/>
        </w:rPr>
        <w:t>pibendrinimas</w:t>
      </w:r>
    </w:p>
    <w:p w14:paraId="68F79AFD" w14:textId="77777777" w:rsidR="00D4485B" w:rsidRDefault="00D4485B" w:rsidP="00A93AA6">
      <w:pPr>
        <w:pStyle w:val="ListParagraph"/>
        <w:tabs>
          <w:tab w:val="left" w:pos="426"/>
        </w:tabs>
        <w:ind w:left="0"/>
        <w:rPr>
          <w:b/>
          <w:bCs/>
          <w:caps/>
        </w:rPr>
      </w:pPr>
    </w:p>
    <w:p w14:paraId="7E01B8BE" w14:textId="77777777" w:rsidR="0035444E" w:rsidRPr="003C1F45" w:rsidRDefault="0035444E" w:rsidP="0035444E">
      <w:pPr>
        <w:pStyle w:val="0TEXT"/>
        <w:spacing w:line="276" w:lineRule="auto"/>
        <w:rPr>
          <w:lang w:val="fr-FR"/>
        </w:rPr>
      </w:pPr>
      <w:r w:rsidRPr="000A03AA">
        <w:rPr>
          <w:lang w:val="fr-FR"/>
        </w:rPr>
        <w:t>Užkrečiamųjų ligų ir AIDS centro (ULAC) stebėsenos duomenimis, 2020 metais ŽIV ligos gydymą – antivirusinė terapija (ART) – iš viso Lietuvoje buvo skirta 1429 ŽIV užsikrėtusiems asmenims (vyrų ir moterų: atitinkamai 1 071 ir 358), o į ŽIV ligos gydymą naujai įtraukti 179 užsikrėtusieji ŽIV asmenys.</w:t>
      </w:r>
    </w:p>
    <w:p w14:paraId="23195340" w14:textId="77777777" w:rsidR="0035444E" w:rsidRPr="00B56F81" w:rsidRDefault="0035444E" w:rsidP="0035444E">
      <w:pPr>
        <w:pStyle w:val="0TEXT"/>
        <w:spacing w:line="276" w:lineRule="auto"/>
        <w:rPr>
          <w:lang w:val="lt-LT" w:eastAsia="lt-LT"/>
        </w:rPr>
      </w:pPr>
      <w:r w:rsidRPr="00B56F81">
        <w:rPr>
          <w:lang w:val="lt-LT" w:eastAsia="lt-LT"/>
        </w:rPr>
        <w:t xml:space="preserve">Žmogaus imunodeficito viruso liga diagnozuojama Sveikatos apsaugos ministro nustatyta tvarka atlikus molekulinius atrankinius laboratorinius tyrimus dėl ŽIV bei gavus teigiamą rezultatą arba atrankinio laboratorinio tyrimo dėl ŽIV metu du kartus gavus abejotiną rezultatą, užpildomas </w:t>
      </w:r>
      <w:r w:rsidRPr="00B56F81">
        <w:rPr>
          <w:lang w:val="lt-LT" w:eastAsia="lt-LT"/>
        </w:rPr>
        <w:lastRenderedPageBreak/>
        <w:t>siuntimas atlikti ŽIV laboratorinės diagnozės patvirtinimą, kurio metu kraujo ėminys siunčiamas ŽIV laboratorinei diagnozei patvirtinti į Nacionalinę visuomenės sveikatos priežiūros laboratoriją.</w:t>
      </w:r>
    </w:p>
    <w:p w14:paraId="1D9B8C67" w14:textId="77777777" w:rsidR="0035444E" w:rsidRPr="000A03AA" w:rsidRDefault="0035444E" w:rsidP="0035444E">
      <w:pPr>
        <w:pStyle w:val="0TEXT"/>
        <w:spacing w:line="276" w:lineRule="auto"/>
        <w:rPr>
          <w:lang w:val="lt-LT"/>
        </w:rPr>
      </w:pPr>
      <w:r w:rsidRPr="000A03AA">
        <w:rPr>
          <w:lang w:val="lt-LT"/>
        </w:rPr>
        <w:t>Vadovaujantis Lietuvoje SAM patvirtinta ŽIV ligos gydymo tvarka, antiretrovirusinė terapija (toliau – ART) skiriama visiems ŽIV užsikrėtusiems pacientams, kai pacientai yra pasiruošę ir motyvuoti pradėti gydymą. Pacientai prieš jiems skiriant ART informuojami apie būtinybę laikytis griežto vaistų vartojimo režimo, apie vaistų nepageidaujamas reakcijas, gydymo nepertraukiamumą, viruso atsparumo vaistams vystymosi grėsmę.</w:t>
      </w:r>
    </w:p>
    <w:p w14:paraId="73661033" w14:textId="77777777" w:rsidR="0035444E" w:rsidRPr="000A03AA" w:rsidRDefault="0035444E" w:rsidP="0035444E">
      <w:pPr>
        <w:pStyle w:val="0TEXT"/>
        <w:spacing w:line="276" w:lineRule="auto"/>
        <w:rPr>
          <w:lang w:val="lt-LT"/>
        </w:rPr>
      </w:pPr>
    </w:p>
    <w:p w14:paraId="2D886AFE" w14:textId="77777777" w:rsidR="0035444E" w:rsidRDefault="0035444E" w:rsidP="0035444E">
      <w:pPr>
        <w:widowControl w:val="0"/>
        <w:suppressAutoHyphens/>
        <w:spacing w:line="276" w:lineRule="auto"/>
        <w:jc w:val="both"/>
        <w:rPr>
          <w:color w:val="000000"/>
          <w:lang w:eastAsia="lt-LT"/>
        </w:rPr>
      </w:pPr>
      <w:r>
        <w:rPr>
          <w:color w:val="000000"/>
          <w:lang w:eastAsia="lt-LT"/>
        </w:rPr>
        <w:t>Kompensuojamųjų ART vaistų grupės:</w:t>
      </w:r>
    </w:p>
    <w:p w14:paraId="657D4C7E" w14:textId="77777777" w:rsidR="0035444E" w:rsidRPr="003347E4" w:rsidRDefault="0035444E" w:rsidP="0035444E">
      <w:pPr>
        <w:pStyle w:val="ListParagraph"/>
        <w:widowControl w:val="0"/>
        <w:numPr>
          <w:ilvl w:val="0"/>
          <w:numId w:val="20"/>
        </w:numPr>
        <w:suppressAutoHyphens/>
        <w:spacing w:line="276" w:lineRule="auto"/>
        <w:ind w:left="873"/>
        <w:jc w:val="both"/>
        <w:rPr>
          <w:color w:val="000000"/>
          <w:lang w:eastAsia="lt-LT"/>
        </w:rPr>
      </w:pPr>
      <w:r w:rsidRPr="003347E4">
        <w:rPr>
          <w:color w:val="000000"/>
          <w:lang w:eastAsia="lt-LT"/>
        </w:rPr>
        <w:t>nukleozidiniai ir nukleotidiniai atvirkštinės transkriptazės inhibitoriai (toliau – NATI);</w:t>
      </w:r>
    </w:p>
    <w:p w14:paraId="12EC5CC9" w14:textId="77777777" w:rsidR="0035444E" w:rsidRPr="003347E4" w:rsidRDefault="0035444E" w:rsidP="0035444E">
      <w:pPr>
        <w:pStyle w:val="ListParagraph"/>
        <w:widowControl w:val="0"/>
        <w:numPr>
          <w:ilvl w:val="0"/>
          <w:numId w:val="20"/>
        </w:numPr>
        <w:suppressAutoHyphens/>
        <w:spacing w:line="276" w:lineRule="auto"/>
        <w:ind w:left="873"/>
        <w:jc w:val="both"/>
        <w:rPr>
          <w:color w:val="000000"/>
          <w:lang w:eastAsia="lt-LT"/>
        </w:rPr>
      </w:pPr>
      <w:r w:rsidRPr="003347E4">
        <w:rPr>
          <w:color w:val="000000"/>
          <w:lang w:eastAsia="lt-LT"/>
        </w:rPr>
        <w:t>nenukleozidiniai atvirkštinės transkriptazės inhibitoriai (toliau – NNATI);</w:t>
      </w:r>
    </w:p>
    <w:p w14:paraId="10B04AC9" w14:textId="77777777" w:rsidR="0035444E" w:rsidRPr="00882FD8" w:rsidRDefault="0035444E" w:rsidP="0035444E">
      <w:pPr>
        <w:pStyle w:val="ListParagraph"/>
        <w:widowControl w:val="0"/>
        <w:numPr>
          <w:ilvl w:val="0"/>
          <w:numId w:val="20"/>
        </w:numPr>
        <w:suppressAutoHyphens/>
        <w:spacing w:line="276" w:lineRule="auto"/>
        <w:ind w:left="873"/>
        <w:jc w:val="both"/>
        <w:rPr>
          <w:color w:val="000000"/>
          <w:lang w:eastAsia="lt-LT"/>
        </w:rPr>
      </w:pPr>
      <w:r w:rsidRPr="00882FD8">
        <w:rPr>
          <w:color w:val="000000"/>
          <w:lang w:eastAsia="lt-LT"/>
        </w:rPr>
        <w:t>proteazių inhibitoriai (toliau – PI);</w:t>
      </w:r>
    </w:p>
    <w:p w14:paraId="5631CA99" w14:textId="77777777" w:rsidR="0035444E" w:rsidRPr="00882FD8" w:rsidRDefault="0035444E" w:rsidP="0035444E">
      <w:pPr>
        <w:pStyle w:val="ListParagraph"/>
        <w:widowControl w:val="0"/>
        <w:numPr>
          <w:ilvl w:val="0"/>
          <w:numId w:val="20"/>
        </w:numPr>
        <w:suppressAutoHyphens/>
        <w:spacing w:line="276" w:lineRule="auto"/>
        <w:ind w:left="873"/>
        <w:jc w:val="both"/>
        <w:rPr>
          <w:color w:val="000000"/>
          <w:lang w:eastAsia="lt-LT"/>
        </w:rPr>
      </w:pPr>
      <w:r w:rsidRPr="00882FD8">
        <w:rPr>
          <w:lang w:eastAsia="lt-LT"/>
        </w:rPr>
        <w:t>in</w:t>
      </w:r>
      <w:r w:rsidRPr="00882FD8">
        <w:rPr>
          <w:color w:val="000000"/>
          <w:lang w:eastAsia="lt-LT"/>
        </w:rPr>
        <w:t>tegrazės inhibitoriai (toliau – II).</w:t>
      </w:r>
    </w:p>
    <w:p w14:paraId="4F3637A8" w14:textId="77777777" w:rsidR="0035444E" w:rsidRDefault="0035444E" w:rsidP="0035444E">
      <w:pPr>
        <w:spacing w:line="276" w:lineRule="auto"/>
        <w:jc w:val="both"/>
      </w:pPr>
    </w:p>
    <w:p w14:paraId="6E020D55" w14:textId="77777777" w:rsidR="0035444E" w:rsidRDefault="0035444E" w:rsidP="0035444E">
      <w:pPr>
        <w:widowControl w:val="0"/>
        <w:suppressAutoHyphens/>
        <w:spacing w:line="276" w:lineRule="auto"/>
        <w:jc w:val="both"/>
        <w:rPr>
          <w:color w:val="000000"/>
          <w:lang w:eastAsia="lt-LT"/>
        </w:rPr>
      </w:pPr>
      <w:r>
        <w:rPr>
          <w:color w:val="000000"/>
          <w:lang w:eastAsia="lt-LT"/>
        </w:rPr>
        <w:t>Suaugusiems pacientams pirmaeiliam gydymui skiriami šie vaistai:</w:t>
      </w:r>
    </w:p>
    <w:p w14:paraId="5FC665E5" w14:textId="77777777" w:rsidR="0035444E" w:rsidRPr="003347E4" w:rsidRDefault="0035444E" w:rsidP="0035444E">
      <w:pPr>
        <w:pStyle w:val="ListParagraph"/>
        <w:widowControl w:val="0"/>
        <w:numPr>
          <w:ilvl w:val="0"/>
          <w:numId w:val="19"/>
        </w:numPr>
        <w:suppressAutoHyphens/>
        <w:spacing w:line="276" w:lineRule="auto"/>
        <w:jc w:val="both"/>
        <w:rPr>
          <w:color w:val="000000"/>
          <w:lang w:val="fr-FR" w:eastAsia="lt-LT"/>
        </w:rPr>
      </w:pPr>
      <w:r w:rsidRPr="003347E4">
        <w:rPr>
          <w:color w:val="000000"/>
          <w:lang w:val="fr-FR" w:eastAsia="lt-LT"/>
        </w:rPr>
        <w:t xml:space="preserve">2 NATI (sudėtinis vaistinis preparatas abakaviras ir lamivudinas arba sudėtinis vaistinis praparatas tenofoviras ir emtricitabinas) ir 1 II (raltegraviras, dolutegraviras); </w:t>
      </w:r>
    </w:p>
    <w:p w14:paraId="593FF14F" w14:textId="77777777" w:rsidR="0035444E" w:rsidRPr="003347E4" w:rsidRDefault="0035444E" w:rsidP="0035444E">
      <w:pPr>
        <w:pStyle w:val="ListParagraph"/>
        <w:widowControl w:val="0"/>
        <w:numPr>
          <w:ilvl w:val="0"/>
          <w:numId w:val="19"/>
        </w:numPr>
        <w:suppressAutoHyphens/>
        <w:spacing w:line="276" w:lineRule="auto"/>
        <w:jc w:val="both"/>
        <w:rPr>
          <w:color w:val="000000"/>
          <w:lang w:val="fr-FR" w:eastAsia="lt-LT"/>
        </w:rPr>
      </w:pPr>
      <w:r w:rsidRPr="003347E4">
        <w:rPr>
          <w:color w:val="000000"/>
          <w:lang w:val="fr-FR" w:eastAsia="lt-LT"/>
        </w:rPr>
        <w:t>2 NATI (sudėtinis vaistinis preparatas abakaviras ir lamivudinas arba sudėtinis vaistinis preparatas tenofoviras ir emtricitabinas) ir 1 PI (darunaviras, lopinaviras) su ritonaviru arba kobicistatu stiprinančiomis dozėmis;</w:t>
      </w:r>
    </w:p>
    <w:p w14:paraId="05194BDA" w14:textId="77777777" w:rsidR="0035444E" w:rsidRPr="003347E4" w:rsidRDefault="0035444E" w:rsidP="0035444E">
      <w:pPr>
        <w:pStyle w:val="ListParagraph"/>
        <w:widowControl w:val="0"/>
        <w:numPr>
          <w:ilvl w:val="0"/>
          <w:numId w:val="19"/>
        </w:numPr>
        <w:suppressAutoHyphens/>
        <w:spacing w:line="276" w:lineRule="auto"/>
        <w:jc w:val="both"/>
        <w:rPr>
          <w:color w:val="000000"/>
          <w:lang w:val="fr-FR" w:eastAsia="lt-LT"/>
        </w:rPr>
      </w:pPr>
      <w:r w:rsidRPr="003347E4">
        <w:rPr>
          <w:color w:val="000000"/>
          <w:lang w:val="fr-FR" w:eastAsia="lt-LT"/>
        </w:rPr>
        <w:t>1 NATI ir 1 II (sudėtinis vaistinis preparatas dolutegraviras ir lamivudinas), jei neaptinkamas HBsAg, ŽIV-RNR &lt; 500 000 kop/ml, CD4 &gt; 200 ląst/mm3.</w:t>
      </w:r>
    </w:p>
    <w:p w14:paraId="367FB01B" w14:textId="77777777" w:rsidR="0035444E" w:rsidRDefault="0035444E" w:rsidP="0035444E">
      <w:pPr>
        <w:widowControl w:val="0"/>
        <w:suppressAutoHyphens/>
        <w:spacing w:line="276" w:lineRule="auto"/>
        <w:jc w:val="both"/>
        <w:rPr>
          <w:color w:val="000000"/>
          <w:lang w:eastAsia="lt-LT"/>
        </w:rPr>
      </w:pPr>
    </w:p>
    <w:p w14:paraId="5B93C157" w14:textId="77777777" w:rsidR="0035444E" w:rsidRPr="00F808E3" w:rsidRDefault="0035444E" w:rsidP="0035444E">
      <w:pPr>
        <w:widowControl w:val="0"/>
        <w:suppressAutoHyphens/>
        <w:spacing w:line="276" w:lineRule="auto"/>
        <w:jc w:val="both"/>
        <w:rPr>
          <w:color w:val="000000"/>
          <w:lang w:eastAsia="lt-LT"/>
        </w:rPr>
      </w:pPr>
      <w:r w:rsidRPr="00F808E3">
        <w:rPr>
          <w:color w:val="000000"/>
          <w:lang w:eastAsia="lt-LT"/>
        </w:rPr>
        <w:t xml:space="preserve">Alternatyvieji ART vaistų deriniai:  </w:t>
      </w:r>
    </w:p>
    <w:p w14:paraId="4E6D1606" w14:textId="77777777" w:rsidR="0035444E" w:rsidRPr="003347E4" w:rsidRDefault="0035444E" w:rsidP="0035444E">
      <w:pPr>
        <w:pStyle w:val="ListParagraph"/>
        <w:widowControl w:val="0"/>
        <w:numPr>
          <w:ilvl w:val="0"/>
          <w:numId w:val="18"/>
        </w:numPr>
        <w:suppressAutoHyphens/>
        <w:spacing w:line="276" w:lineRule="auto"/>
        <w:jc w:val="both"/>
        <w:rPr>
          <w:color w:val="000000"/>
          <w:lang w:val="fr-FR" w:eastAsia="lt-LT"/>
        </w:rPr>
      </w:pPr>
      <w:r w:rsidRPr="003347E4">
        <w:rPr>
          <w:color w:val="000000"/>
          <w:lang w:val="fr-FR" w:eastAsia="lt-LT"/>
        </w:rPr>
        <w:t>2 NATI (sudėtinis vaistinis preparatas abakaviras ir lamivudinas arba sudėtinis vaistinis preparatas tenofoviras ir emtricitabinas) ir 1 NNATI (efavirenzas);</w:t>
      </w:r>
    </w:p>
    <w:p w14:paraId="49F2C1D7" w14:textId="77777777" w:rsidR="0035444E" w:rsidRPr="003347E4" w:rsidRDefault="0035444E" w:rsidP="0035444E">
      <w:pPr>
        <w:pStyle w:val="ListParagraph"/>
        <w:widowControl w:val="0"/>
        <w:numPr>
          <w:ilvl w:val="0"/>
          <w:numId w:val="18"/>
        </w:numPr>
        <w:suppressAutoHyphens/>
        <w:spacing w:line="276" w:lineRule="auto"/>
        <w:jc w:val="both"/>
        <w:rPr>
          <w:color w:val="000000"/>
          <w:lang w:val="fr-FR" w:eastAsia="lt-LT"/>
        </w:rPr>
      </w:pPr>
      <w:r w:rsidRPr="003347E4">
        <w:rPr>
          <w:color w:val="000000"/>
          <w:lang w:val="fr-FR" w:eastAsia="lt-LT"/>
        </w:rPr>
        <w:t>2 NATI ir 1 NNATI (sudėtinis vaistinis preparatas doravirinas ir lamivudinas, ir tenofoviras);</w:t>
      </w:r>
    </w:p>
    <w:p w14:paraId="72778838" w14:textId="77777777" w:rsidR="0035444E" w:rsidRDefault="0035444E" w:rsidP="00A93AA6">
      <w:pPr>
        <w:pStyle w:val="ListParagraph"/>
        <w:tabs>
          <w:tab w:val="left" w:pos="426"/>
        </w:tabs>
        <w:ind w:left="0"/>
        <w:rPr>
          <w:b/>
          <w:bCs/>
          <w:caps/>
        </w:rPr>
      </w:pPr>
    </w:p>
    <w:p w14:paraId="6EB1D40A" w14:textId="028917DA" w:rsidR="0035444E" w:rsidRDefault="0035444E" w:rsidP="0035444E">
      <w:pPr>
        <w:spacing w:line="276" w:lineRule="auto"/>
        <w:jc w:val="both"/>
      </w:pPr>
      <w:r>
        <w:t xml:space="preserve">Paraiškoje lyginami šie </w:t>
      </w:r>
      <w:r w:rsidR="00647369">
        <w:t xml:space="preserve">vaistiniai </w:t>
      </w:r>
      <w:r>
        <w:t>preparatai:</w:t>
      </w:r>
    </w:p>
    <w:p w14:paraId="37206737" w14:textId="359764BE" w:rsidR="0035444E" w:rsidRPr="0035444E" w:rsidRDefault="0035444E" w:rsidP="0035444E">
      <w:pPr>
        <w:pStyle w:val="ListParagraph"/>
        <w:numPr>
          <w:ilvl w:val="0"/>
          <w:numId w:val="21"/>
        </w:numPr>
        <w:tabs>
          <w:tab w:val="left" w:pos="360"/>
        </w:tabs>
        <w:spacing w:after="240" w:line="276" w:lineRule="auto"/>
        <w:jc w:val="both"/>
        <w:rPr>
          <w:color w:val="000000" w:themeColor="text1"/>
          <w:u w:val="single"/>
        </w:rPr>
      </w:pPr>
      <w:r w:rsidRPr="002711E5">
        <w:rPr>
          <w:color w:val="000000" w:themeColor="text1"/>
        </w:rPr>
        <w:t xml:space="preserve">Biktegraviras / emtricitabinas / tenofoviras alafenamidas </w:t>
      </w:r>
      <w:r w:rsidRPr="003C1F45">
        <w:t>(biktegraviras [B], emtricitabinas [F] ir tenofoviro alafenamidas [TAF])</w:t>
      </w:r>
      <w:r w:rsidR="00647369">
        <w:t xml:space="preserve"> ((t.y . </w:t>
      </w:r>
      <w:r w:rsidR="00647369">
        <w:rPr>
          <w:b/>
          <w:color w:val="000000" w:themeColor="text1"/>
          <w:u w:val="single"/>
        </w:rPr>
        <w:t xml:space="preserve">teikiamas </w:t>
      </w:r>
      <w:r w:rsidRPr="0035444E">
        <w:rPr>
          <w:b/>
          <w:color w:val="000000" w:themeColor="text1"/>
          <w:u w:val="single"/>
        </w:rPr>
        <w:t xml:space="preserve">kompensuoti </w:t>
      </w:r>
      <w:r w:rsidR="00647369" w:rsidRPr="0035444E">
        <w:rPr>
          <w:b/>
          <w:color w:val="000000" w:themeColor="text1"/>
          <w:u w:val="single"/>
        </w:rPr>
        <w:t xml:space="preserve">trijų veikliųjų medžiagų </w:t>
      </w:r>
      <w:r w:rsidR="00647369">
        <w:rPr>
          <w:b/>
          <w:color w:val="000000" w:themeColor="text1"/>
          <w:u w:val="single"/>
        </w:rPr>
        <w:t xml:space="preserve">vaistinis </w:t>
      </w:r>
      <w:r w:rsidRPr="0035444E">
        <w:rPr>
          <w:b/>
          <w:color w:val="000000" w:themeColor="text1"/>
          <w:u w:val="single"/>
        </w:rPr>
        <w:t>preparatas</w:t>
      </w:r>
      <w:r w:rsidR="00647369">
        <w:rPr>
          <w:b/>
          <w:color w:val="000000" w:themeColor="text1"/>
          <w:u w:val="single"/>
        </w:rPr>
        <w:t>Biktarvy plėvele dentos tabletės)</w:t>
      </w:r>
    </w:p>
    <w:p w14:paraId="71246BE4" w14:textId="0FF73EFF" w:rsidR="0035444E" w:rsidRPr="0035444E" w:rsidRDefault="0035444E" w:rsidP="0035444E">
      <w:pPr>
        <w:pStyle w:val="ListParagraph"/>
        <w:numPr>
          <w:ilvl w:val="0"/>
          <w:numId w:val="21"/>
        </w:numPr>
        <w:tabs>
          <w:tab w:val="left" w:pos="360"/>
        </w:tabs>
        <w:spacing w:after="240" w:line="276" w:lineRule="auto"/>
        <w:jc w:val="both"/>
        <w:rPr>
          <w:b/>
          <w:color w:val="000000" w:themeColor="text1"/>
          <w:u w:val="single"/>
        </w:rPr>
      </w:pPr>
      <w:r>
        <w:rPr>
          <w:color w:val="000000" w:themeColor="text1"/>
        </w:rPr>
        <w:t>A</w:t>
      </w:r>
      <w:r w:rsidRPr="002711E5">
        <w:rPr>
          <w:color w:val="000000" w:themeColor="text1"/>
        </w:rPr>
        <w:t>bakaviras/lamivudinas</w:t>
      </w:r>
      <w:r>
        <w:rPr>
          <w:color w:val="000000" w:themeColor="text1"/>
        </w:rPr>
        <w:t xml:space="preserve">/dolutegraviras </w:t>
      </w:r>
      <w:r w:rsidRPr="003C1F45">
        <w:t>(abakaviru [ABC], lamivudinu [3TC] ir dolutegraviru [DTG])</w:t>
      </w:r>
      <w:r w:rsidR="00647369">
        <w:t xml:space="preserve"> (</w:t>
      </w:r>
      <w:r w:rsidRPr="0035444E">
        <w:rPr>
          <w:b/>
          <w:color w:val="000000" w:themeColor="text1"/>
          <w:u w:val="single"/>
        </w:rPr>
        <w:t xml:space="preserve"> Lietuvoje kompensuojamas trijų veikliųjų medžiagų vaistinis preparatas</w:t>
      </w:r>
      <w:r w:rsidR="00647369">
        <w:rPr>
          <w:b/>
          <w:color w:val="000000" w:themeColor="text1"/>
          <w:u w:val="single"/>
        </w:rPr>
        <w:t xml:space="preserve"> Triumeq</w:t>
      </w:r>
      <w:r w:rsidRPr="0035444E">
        <w:rPr>
          <w:b/>
          <w:color w:val="000000" w:themeColor="text1"/>
          <w:u w:val="single"/>
        </w:rPr>
        <w:t>.</w:t>
      </w:r>
    </w:p>
    <w:p w14:paraId="1D4BEB89" w14:textId="77777777" w:rsidR="0035444E" w:rsidRDefault="0035444E" w:rsidP="0035444E">
      <w:pPr>
        <w:pStyle w:val="ListParagraph"/>
        <w:tabs>
          <w:tab w:val="left" w:pos="426"/>
        </w:tabs>
        <w:ind w:left="0"/>
      </w:pPr>
    </w:p>
    <w:p w14:paraId="0497BB38" w14:textId="77777777" w:rsidR="003346C8" w:rsidRDefault="0035444E" w:rsidP="0035444E">
      <w:pPr>
        <w:pStyle w:val="ListParagraph"/>
        <w:tabs>
          <w:tab w:val="left" w:pos="426"/>
        </w:tabs>
        <w:ind w:left="0"/>
      </w:pPr>
      <w:r>
        <w:t>Paraiškoje s</w:t>
      </w:r>
      <w:r w:rsidRPr="003C1F45">
        <w:t>iekia</w:t>
      </w:r>
      <w:r>
        <w:t>ma</w:t>
      </w:r>
      <w:r w:rsidRPr="003C1F45">
        <w:t xml:space="preserve"> įrodyti B+F+TAF neprastumą prieš ABC+3TC+DTG.</w:t>
      </w:r>
    </w:p>
    <w:p w14:paraId="4BF5FBA8" w14:textId="77777777" w:rsidR="0035444E" w:rsidRDefault="0035444E" w:rsidP="00A93AA6">
      <w:pPr>
        <w:pStyle w:val="ListParagraph"/>
        <w:tabs>
          <w:tab w:val="left" w:pos="426"/>
        </w:tabs>
        <w:ind w:left="0"/>
        <w:rPr>
          <w:i/>
          <w:iCs/>
          <w:u w:val="single"/>
        </w:rPr>
      </w:pPr>
    </w:p>
    <w:p w14:paraId="36C42B3B" w14:textId="1B386A45" w:rsidR="008075B7" w:rsidRDefault="008075B7" w:rsidP="00A93AA6">
      <w:pPr>
        <w:pStyle w:val="ListParagraph"/>
        <w:tabs>
          <w:tab w:val="left" w:pos="426"/>
        </w:tabs>
        <w:ind w:left="0"/>
        <w:rPr>
          <w:i/>
          <w:iCs/>
          <w:u w:val="single"/>
        </w:rPr>
      </w:pPr>
      <w:r w:rsidRPr="008075B7">
        <w:rPr>
          <w:i/>
          <w:iCs/>
          <w:u w:val="single"/>
        </w:rPr>
        <w:t>Tiesioginis palyginimas</w:t>
      </w:r>
    </w:p>
    <w:p w14:paraId="4F225C6E" w14:textId="77777777" w:rsidR="00D876D6" w:rsidRPr="00D876D6" w:rsidRDefault="00D876D6" w:rsidP="00A93AA6">
      <w:pPr>
        <w:pStyle w:val="ListParagraph"/>
        <w:tabs>
          <w:tab w:val="left" w:pos="426"/>
        </w:tabs>
        <w:ind w:left="0"/>
      </w:pPr>
    </w:p>
    <w:p w14:paraId="74079022" w14:textId="43A5349C" w:rsidR="00D876D6" w:rsidRDefault="001B62CB" w:rsidP="00D876D6">
      <w:pPr>
        <w:tabs>
          <w:tab w:val="left" w:pos="426"/>
        </w:tabs>
        <w:spacing w:line="276" w:lineRule="auto"/>
        <w:jc w:val="both"/>
        <w:rPr>
          <w:rFonts w:eastAsia="Calibri"/>
          <w:bCs/>
        </w:rPr>
      </w:pPr>
      <w:r>
        <w:tab/>
      </w:r>
      <w:r w:rsidR="002A3421" w:rsidRPr="00B7206C">
        <w:t xml:space="preserve">Palyginamajam efektyvumui ir klinikiniam veiksmingumui įvertinti buvo pateikti tiesioginiai klinikiniai tyrimai </w:t>
      </w:r>
      <w:r w:rsidR="00D876D6" w:rsidRPr="00D876D6">
        <w:rPr>
          <w:rFonts w:eastAsia="Calibri"/>
          <w:bCs/>
        </w:rPr>
        <w:t xml:space="preserve">GS-US-380-1489 ir GS-US-380-1490, kuriuose įtraukti pacientai, kuriems anksčiau nebuvo gydyta ŽIV-1 infekcija, kituose klinikiniuose tyrimuose </w:t>
      </w:r>
      <w:r w:rsidR="00D876D6" w:rsidRPr="00D876D6">
        <w:rPr>
          <w:rFonts w:eastAsia="Calibri"/>
          <w:bCs/>
          <w:color w:val="000000" w:themeColor="text1"/>
        </w:rPr>
        <w:t xml:space="preserve">GS-US-380-1878, </w:t>
      </w:r>
      <w:r w:rsidR="00D876D6" w:rsidRPr="00D876D6">
        <w:rPr>
          <w:rFonts w:eastAsia="Calibri"/>
          <w:bCs/>
        </w:rPr>
        <w:t xml:space="preserve">GS-US-380-1844, GS-US-380-1961, GS-US-380-1474 ir GS-US-380-4030 įtraukti pacientai jau gaunantys aktyvų </w:t>
      </w:r>
      <w:r w:rsidR="00D876D6">
        <w:rPr>
          <w:rFonts w:eastAsia="Calibri"/>
          <w:bCs/>
        </w:rPr>
        <w:t xml:space="preserve">antiretrovirusinį gydymą. </w:t>
      </w:r>
    </w:p>
    <w:p w14:paraId="7C105EE5" w14:textId="73EC32C4" w:rsidR="00D876D6" w:rsidRDefault="00D876D6" w:rsidP="00D876D6">
      <w:pPr>
        <w:tabs>
          <w:tab w:val="left" w:pos="426"/>
        </w:tabs>
        <w:spacing w:line="276" w:lineRule="auto"/>
        <w:jc w:val="both"/>
      </w:pPr>
      <w:r>
        <w:rPr>
          <w:rFonts w:eastAsia="Calibri"/>
          <w:bCs/>
        </w:rPr>
        <w:lastRenderedPageBreak/>
        <w:tab/>
      </w:r>
      <w:r w:rsidRPr="00D876D6">
        <w:rPr>
          <w:rFonts w:eastAsia="Calibri"/>
          <w:bCs/>
        </w:rPr>
        <w:t>GS-US-380-1489</w:t>
      </w:r>
      <w:r>
        <w:rPr>
          <w:rFonts w:eastAsia="Calibri"/>
          <w:bCs/>
        </w:rPr>
        <w:t xml:space="preserve"> tyrimas – </w:t>
      </w:r>
      <w:r w:rsidRPr="00137229">
        <w:rPr>
          <w:rFonts w:eastAsia="Calibri"/>
        </w:rPr>
        <w:t xml:space="preserve">tai randomizuotas (1:1), trečios fazės, dvigubai aklas klinikinis tyrimas, kuriame buvo lyginama </w:t>
      </w:r>
      <w:r>
        <w:t>Biktarvy</w:t>
      </w:r>
      <w:r w:rsidRPr="00137229">
        <w:t xml:space="preserve"> (</w:t>
      </w:r>
      <w:bookmarkStart w:id="0" w:name="_Hlk498605521"/>
      <w:r w:rsidRPr="00137229">
        <w:t>biktegraviras [B], emtricitabinas [F] ir tenofoviro alafenamid</w:t>
      </w:r>
      <w:bookmarkEnd w:id="0"/>
      <w:r w:rsidRPr="00137229">
        <w:t>as [TAF]) su ABC+3TC+DTG (abakaviru [ABC], lamivudinu [3TC] ir dolutegraviru [DTG]) siekiant įrodyti B+F+TAF neprastumą prieš ABC+3TC+DTG</w:t>
      </w:r>
      <w:r>
        <w:t xml:space="preserve">. </w:t>
      </w:r>
      <w:r w:rsidRPr="00BD34FA">
        <w:rPr>
          <w:rFonts w:eastAsia="Arial"/>
          <w:iCs/>
          <w:color w:val="000000" w:themeColor="text1"/>
        </w:rPr>
        <w:t xml:space="preserve">Į tyrimą įtraukti suaugę ŽIV-1 infekuoti pacientai, kuriems buvo anksčiau negydyta ŽIV-1 infekcija ir kuriems nustatyta </w:t>
      </w:r>
      <w:r w:rsidRPr="00BD34FA">
        <w:rPr>
          <w:rFonts w:eastAsia="Calibri"/>
          <w:lang w:eastAsia="lt-LT"/>
        </w:rPr>
        <w:t xml:space="preserve">ŽIV-1 RNR kopijų &gt;=500/ml nesant HLA-B 5701 alelio. Patikros metu nebuvo nustatyta hepatito B viruso bei nustatytas jautrumas </w:t>
      </w:r>
      <w:r w:rsidRPr="00BD34FA">
        <w:rPr>
          <w:rFonts w:eastAsia="ScalaLancetPro-Bold"/>
        </w:rPr>
        <w:t>emtricitabinui, tenofovirui, lamivudinui ir abakavirui.</w:t>
      </w:r>
      <w:r>
        <w:rPr>
          <w:rFonts w:eastAsia="ScalaLancetPro-Bold"/>
        </w:rPr>
        <w:t xml:space="preserve"> </w:t>
      </w:r>
      <w:r w:rsidRPr="00D876D6">
        <w:rPr>
          <w:rFonts w:eastAsia="Calibri"/>
          <w:color w:val="000000" w:themeColor="text1"/>
        </w:rPr>
        <w:t xml:space="preserve">GS-US-380-1489 tyrimo pirminė vertinamoji baigtis buvo </w:t>
      </w:r>
      <w:r w:rsidRPr="00D876D6">
        <w:rPr>
          <w:rFonts w:eastAsia="Calibri"/>
          <w:lang w:eastAsia="lt-LT"/>
        </w:rPr>
        <w:t>pacientų, kurių ŽIV-1 RNR lygis &lt;50 kopijų/ml 48-ą gydymo savaitę, proporcija</w:t>
      </w:r>
      <w:r>
        <w:rPr>
          <w:rFonts w:eastAsia="Calibri"/>
          <w:lang w:eastAsia="lt-LT"/>
        </w:rPr>
        <w:t>. N</w:t>
      </w:r>
      <w:r w:rsidRPr="00020CBF">
        <w:rPr>
          <w:rFonts w:eastAsia="Calibri"/>
          <w:lang w:eastAsia="lt-LT"/>
        </w:rPr>
        <w:t xml:space="preserve">ustatyta, jog pacientų proporcijos, kuriems ŽIV-1 RNR lygis &lt;50 kopijų/ml 48-ą gydymo savaitę nesiskyrė tarp abiejų gydymo grupių. </w:t>
      </w:r>
      <w:r w:rsidRPr="00020CBF">
        <w:t>B+F+TAF įrodė neprastumą prieš ABC+3TC+DTG</w:t>
      </w:r>
      <w:r>
        <w:t xml:space="preserve">, </w:t>
      </w:r>
      <w:r w:rsidRPr="00020CBF">
        <w:t xml:space="preserve">0,7 %  (95% </w:t>
      </w:r>
      <w:r>
        <w:t>PI</w:t>
      </w:r>
      <w:r w:rsidRPr="00020CBF">
        <w:t>: -1</w:t>
      </w:r>
      <w:r>
        <w:t>,</w:t>
      </w:r>
      <w:r w:rsidRPr="00020CBF">
        <w:t>4, 2</w:t>
      </w:r>
      <w:r>
        <w:t>,</w:t>
      </w:r>
      <w:r w:rsidRPr="00020CBF">
        <w:t>8)</w:t>
      </w:r>
      <w:r>
        <w:t xml:space="preserve">. </w:t>
      </w:r>
      <w:r w:rsidR="000367AA" w:rsidRPr="003C1F45">
        <w:rPr>
          <w:rFonts w:eastAsia="Calibri"/>
        </w:rPr>
        <w:t>Saugumo profilis tiek</w:t>
      </w:r>
      <w:r w:rsidR="000367AA" w:rsidRPr="003C1F45">
        <w:rPr>
          <w:rFonts w:eastAsia="Calibri"/>
          <w:b/>
          <w:bCs/>
        </w:rPr>
        <w:t xml:space="preserve"> </w:t>
      </w:r>
      <w:r w:rsidR="000367AA" w:rsidRPr="00020CBF">
        <w:t>B+F+TAF</w:t>
      </w:r>
      <w:r w:rsidR="000367AA">
        <w:t xml:space="preserve">, tiek </w:t>
      </w:r>
      <w:r w:rsidR="000367AA" w:rsidRPr="00020CBF">
        <w:t>ABC+3TC+DTG</w:t>
      </w:r>
      <w:r w:rsidR="000367AA">
        <w:t xml:space="preserve"> grupėse buvo panašus. </w:t>
      </w:r>
      <w:r w:rsidR="000367AA" w:rsidRPr="00020CBF">
        <w:t>B+F+TAF</w:t>
      </w:r>
      <w:r w:rsidR="000367AA">
        <w:t xml:space="preserve"> grupėje </w:t>
      </w:r>
      <w:r w:rsidR="000367AA" w:rsidRPr="00053B3A">
        <w:t>≥</w:t>
      </w:r>
      <w:r w:rsidR="000367AA">
        <w:t xml:space="preserve"> </w:t>
      </w:r>
      <w:r w:rsidR="000367AA" w:rsidRPr="00015CDC">
        <w:t>3 laipsnio nepageidaujam</w:t>
      </w:r>
      <w:r w:rsidR="000367AA">
        <w:t>ų reakcijų buvo 7,3</w:t>
      </w:r>
      <w:r w:rsidR="000367AA" w:rsidRPr="00015CDC">
        <w:t xml:space="preserve"> </w:t>
      </w:r>
      <w:r w:rsidR="000367AA">
        <w:t>%</w:t>
      </w:r>
      <w:r w:rsidR="000367AA" w:rsidRPr="00015CDC">
        <w:t xml:space="preserve">, </w:t>
      </w:r>
      <w:r w:rsidR="000367AA" w:rsidRPr="00020CBF">
        <w:t>ABC+3TC+DTG</w:t>
      </w:r>
      <w:r w:rsidR="000367AA">
        <w:t xml:space="preserve"> grupėje tokių reakcijų buvo 7,6 %. Dažniausios nepageidaujamos reakcijos abiejose grupėse buvo pykinimas (10,2 – 22,9 %), viduriavimas (12,7 – 13 %), galvos skausmas (11,5 – 13,7 %), viršutinių kvėpavimo takų infekcijos (6,4– 10,8 %), nazofaringitas (7,3 – 9,2 %).</w:t>
      </w:r>
    </w:p>
    <w:p w14:paraId="2090FFE9" w14:textId="53A3CE16" w:rsidR="000367AA" w:rsidRDefault="000367AA" w:rsidP="000367AA">
      <w:pPr>
        <w:tabs>
          <w:tab w:val="left" w:pos="492"/>
        </w:tabs>
        <w:spacing w:line="276" w:lineRule="auto"/>
        <w:jc w:val="both"/>
        <w:outlineLvl w:val="1"/>
      </w:pPr>
      <w:r>
        <w:tab/>
      </w:r>
      <w:r w:rsidRPr="000367AA">
        <w:rPr>
          <w:rFonts w:eastAsia="Calibri"/>
        </w:rPr>
        <w:t xml:space="preserve">GS-US-380-1844 – tai randomizuotas (1:1), trečios fazės, dvigubai aklas klinikinis tyrimas, kuriame buvo lyginamas </w:t>
      </w:r>
      <w:r w:rsidRPr="000367AA">
        <w:t xml:space="preserve">BIKTARVY (biktegraviras [B], emtricitabinas [F] ir tenofoviro alafenamidas [TAF]) su ABC+3TC+DTG (abakaviru [ABC], lamivudinu [3TC] ir dolutegraviru [DTG]) pacientams, kurie jau ≥3 mėnesius gydymą ABC+3TC+DTG gavusiems ir ŽIV-1 virusologiškai supresuotiems pacientams. </w:t>
      </w:r>
      <w:r w:rsidRPr="000367AA">
        <w:rPr>
          <w:rFonts w:eastAsia="Arial"/>
          <w:iCs/>
          <w:color w:val="000000" w:themeColor="text1"/>
        </w:rPr>
        <w:t>Į tyrimą įtraukti suaugę ŽIV-1 infekuoti pacientai</w:t>
      </w:r>
      <w:r w:rsidRPr="000367AA">
        <w:t>, kurie yra virusulogiškai nuslopinti (</w:t>
      </w:r>
      <w:r w:rsidRPr="000367AA">
        <w:rPr>
          <w:rFonts w:eastAsia="Calibri"/>
          <w:lang w:eastAsia="lt-LT"/>
        </w:rPr>
        <w:t xml:space="preserve">ŽIV-1 RNR kopijų &lt;50/ml) </w:t>
      </w:r>
      <w:r w:rsidRPr="000367AA">
        <w:t xml:space="preserve">≥3 mėnesius taikant gydymą dolutegraviru/abakaviru/lamivudinu. </w:t>
      </w:r>
      <w:r w:rsidRPr="000367AA">
        <w:rPr>
          <w:rFonts w:eastAsia="Calibri"/>
          <w:lang w:eastAsia="lt-LT"/>
        </w:rPr>
        <w:t xml:space="preserve">Patikros metu nebuvo nustatyta hepatito B viruso bei nenustatytas atsparumas dolutegravirui, </w:t>
      </w:r>
      <w:r w:rsidRPr="000367AA">
        <w:rPr>
          <w:rFonts w:eastAsia="ScalaLancetPro-Bold"/>
        </w:rPr>
        <w:t xml:space="preserve">emtricitabinui, tenofovirui, lamivudinui ir abakavirui. </w:t>
      </w:r>
      <w:r w:rsidRPr="000367AA">
        <w:rPr>
          <w:rFonts w:eastAsia="Calibri"/>
          <w:color w:val="000000" w:themeColor="text1"/>
        </w:rPr>
        <w:t xml:space="preserve">GS-US-380-1844 tyrimo pirminė vertinamoji baigtis buvo </w:t>
      </w:r>
      <w:r w:rsidRPr="000367AA">
        <w:rPr>
          <w:rFonts w:eastAsia="Calibri"/>
          <w:lang w:eastAsia="lt-LT"/>
        </w:rPr>
        <w:t xml:space="preserve">pacientų, kurių ŽIV-1 RNR </w:t>
      </w:r>
      <w:r w:rsidRPr="000367AA">
        <w:rPr>
          <w:rFonts w:eastAsia="TimesNewRoman"/>
        </w:rPr>
        <w:t xml:space="preserve">≥ </w:t>
      </w:r>
      <w:r w:rsidRPr="000367AA">
        <w:rPr>
          <w:rFonts w:eastAsia="Calibri"/>
          <w:lang w:eastAsia="lt-LT"/>
        </w:rPr>
        <w:t>50 kopijų/ml 48-ą gydymo savaitę, proporcija. Nustatyta, jog pacientų proporcijos, kuriems buvo nustatytas ŽIV-1 RNR lygis </w:t>
      </w:r>
      <w:r w:rsidRPr="000367AA">
        <w:t xml:space="preserve">≥50 </w:t>
      </w:r>
      <w:r w:rsidRPr="000367AA">
        <w:rPr>
          <w:rFonts w:eastAsia="Calibri"/>
          <w:lang w:eastAsia="lt-LT"/>
        </w:rPr>
        <w:t xml:space="preserve">kopijų/ml 48-ą gydymo savaitę nesiskyrė tarp abiejų gydymo grupių. </w:t>
      </w:r>
      <w:r w:rsidRPr="000367AA">
        <w:t xml:space="preserve">B+F+TAF įrodė neprastumą prieš ABC+3TC+DTG, 0,4 %  (95% PI: -1,1;2,1). </w:t>
      </w:r>
      <w:r w:rsidRPr="000367AA">
        <w:rPr>
          <w:rFonts w:eastAsia="Calibri"/>
        </w:rPr>
        <w:t>Saugumo profilis tiek</w:t>
      </w:r>
      <w:r w:rsidRPr="000367AA">
        <w:rPr>
          <w:rFonts w:eastAsia="Calibri"/>
          <w:b/>
          <w:bCs/>
        </w:rPr>
        <w:t xml:space="preserve"> </w:t>
      </w:r>
      <w:r w:rsidRPr="000367AA">
        <w:t>B+F+TAF, tiek ABC+3TC+DTG grupėse buvo panašus. B+F+TAF grupėje ≥ 3 laipsnio nepageidaujamų reakcijų buvo 5,7 %, ABC+3TC+DTG grupėje tokių reakcijų buvo 3,6 %. Dažniausios nepageidaujamos reakcijos abiejose grupėse buvo viršutinių kvėpavimo takų infekcijos (9,6 – 10,3 %), nazofaringitas (7,1 – 7,8 %), galvos skausmas (6,7 – 7,5 %), viduriavimas (8,7 – 5,0 %), atralgija (3,6 – 6,7 %), nemiga (2,8 – 5,0 %).</w:t>
      </w:r>
    </w:p>
    <w:p w14:paraId="770F1C56" w14:textId="53E4B9B1" w:rsidR="00D876D6" w:rsidRPr="000367AA" w:rsidRDefault="000367AA" w:rsidP="000367AA">
      <w:pPr>
        <w:tabs>
          <w:tab w:val="left" w:pos="492"/>
        </w:tabs>
        <w:spacing w:line="276" w:lineRule="auto"/>
        <w:jc w:val="both"/>
        <w:outlineLvl w:val="1"/>
        <w:rPr>
          <w:rFonts w:eastAsia="Calibri"/>
          <w:b/>
          <w:bCs/>
        </w:rPr>
      </w:pPr>
      <w:r>
        <w:tab/>
        <w:t xml:space="preserve">Kiti pateikti klinikiniai tyrimai </w:t>
      </w:r>
      <w:r w:rsidRPr="00D876D6">
        <w:rPr>
          <w:rFonts w:eastAsia="Calibri"/>
          <w:bCs/>
          <w:color w:val="000000" w:themeColor="text1"/>
        </w:rPr>
        <w:t xml:space="preserve">GS-US-380-1878, </w:t>
      </w:r>
      <w:r w:rsidRPr="00D876D6">
        <w:rPr>
          <w:rFonts w:eastAsia="Calibri"/>
          <w:bCs/>
        </w:rPr>
        <w:t>GS-US-380-1961, GS-US-380-1474 ir GS-US-380-4030</w:t>
      </w:r>
      <w:r>
        <w:rPr>
          <w:rFonts w:eastAsia="Calibri"/>
          <w:bCs/>
        </w:rPr>
        <w:t xml:space="preserve"> detaliau vertinti nebuvo, kadangi neatspindi situacijos Lietuvoje dėl netinkamo palyginamojo gydymo.</w:t>
      </w:r>
    </w:p>
    <w:p w14:paraId="4E7EBFAA" w14:textId="77777777" w:rsidR="00D876D6" w:rsidRPr="002A3421" w:rsidRDefault="00D876D6" w:rsidP="00CB1C5E">
      <w:pPr>
        <w:tabs>
          <w:tab w:val="left" w:pos="426"/>
        </w:tabs>
        <w:spacing w:line="276" w:lineRule="auto"/>
        <w:jc w:val="both"/>
      </w:pPr>
    </w:p>
    <w:p w14:paraId="3891042A" w14:textId="77777777" w:rsidR="00CB1C5E" w:rsidRDefault="00CB1C5E" w:rsidP="00CB1C5E">
      <w:pPr>
        <w:tabs>
          <w:tab w:val="left" w:pos="426"/>
        </w:tabs>
        <w:spacing w:line="276" w:lineRule="auto"/>
        <w:jc w:val="both"/>
        <w:rPr>
          <w:i/>
          <w:iCs/>
          <w:u w:val="single"/>
        </w:rPr>
      </w:pPr>
      <w:r w:rsidRPr="00CB1C5E">
        <w:rPr>
          <w:i/>
          <w:iCs/>
          <w:u w:val="single"/>
        </w:rPr>
        <w:t xml:space="preserve">Netiesioginis palyginimas </w:t>
      </w:r>
    </w:p>
    <w:p w14:paraId="2E598C5C" w14:textId="33E02076" w:rsidR="00333B00" w:rsidRPr="00A65CAE" w:rsidRDefault="001B62CB" w:rsidP="00333B00">
      <w:pPr>
        <w:tabs>
          <w:tab w:val="left" w:pos="720"/>
        </w:tabs>
        <w:spacing w:line="276" w:lineRule="auto"/>
        <w:jc w:val="both"/>
        <w:rPr>
          <w:color w:val="000000"/>
          <w:lang w:eastAsia="lt-LT"/>
        </w:rPr>
      </w:pPr>
      <w:r>
        <w:rPr>
          <w:rFonts w:eastAsia="Arial"/>
          <w:bCs/>
        </w:rPr>
        <w:tab/>
      </w:r>
      <w:r w:rsidR="00F87FD0" w:rsidRPr="00DA6C6C">
        <w:rPr>
          <w:rFonts w:eastAsia="Arial"/>
          <w:bCs/>
        </w:rPr>
        <w:t xml:space="preserve">Pareiškėjas papildomai pateikė </w:t>
      </w:r>
      <w:r w:rsidR="00F87FD0">
        <w:rPr>
          <w:rFonts w:eastAsia="Arial"/>
          <w:bCs/>
        </w:rPr>
        <w:t xml:space="preserve">netiesioginį </w:t>
      </w:r>
      <w:r w:rsidR="00F87FD0" w:rsidRPr="00020CBF">
        <w:t>B+F+TAF</w:t>
      </w:r>
      <w:r w:rsidR="00F87FD0">
        <w:t xml:space="preserve"> palyginimą su kitais gydymo būdais ŽIV-</w:t>
      </w:r>
      <w:r w:rsidR="00F87FD0" w:rsidRPr="00336C67">
        <w:t xml:space="preserve">1 </w:t>
      </w:r>
      <w:r w:rsidR="00F87FD0">
        <w:t>infekuotiems suaugusiems pacientams. Į netiesioginį palyginimą buvo įtraukti tiek anksčiau ŽIV-</w:t>
      </w:r>
      <w:r w:rsidR="00F87FD0" w:rsidRPr="00336C67">
        <w:t>1 infekcijos negydyt</w:t>
      </w:r>
      <w:r w:rsidR="00F87FD0">
        <w:t xml:space="preserve">, tiek anksčiau gavę gydymą pacientai. Pagrindinis efektyvumo vertinimo rodiklis buvo virusologinė sėkmė. </w:t>
      </w:r>
      <w:r w:rsidR="00F87FD0">
        <w:rPr>
          <w:rFonts w:eastAsia="Arial"/>
          <w:bCs/>
        </w:rPr>
        <w:t xml:space="preserve">Nustatyta, jog virusologinis atsakas </w:t>
      </w:r>
      <w:r w:rsidR="00F87FD0" w:rsidRPr="00336C67">
        <w:rPr>
          <w:rFonts w:eastAsia="Arial"/>
          <w:bCs/>
        </w:rPr>
        <w:t>48-</w:t>
      </w:r>
      <w:r w:rsidR="00F87FD0">
        <w:rPr>
          <w:rFonts w:eastAsia="Arial"/>
          <w:bCs/>
        </w:rPr>
        <w:t xml:space="preserve">ąją gydymo savaitę </w:t>
      </w:r>
      <w:r w:rsidR="00F87FD0" w:rsidRPr="00020CBF">
        <w:t>B+F+TAF</w:t>
      </w:r>
      <w:r w:rsidR="00F87FD0">
        <w:t xml:space="preserve"> buvo statistiškai reikšmingai geresnis nei </w:t>
      </w:r>
      <w:r w:rsidR="00F87FD0" w:rsidRPr="001E0384">
        <w:rPr>
          <w:rFonts w:asciiTheme="majorBidi" w:hAnsiTheme="majorBidi" w:cstheme="majorBidi"/>
          <w:lang w:bidi="en-US"/>
        </w:rPr>
        <w:t>EFV + ABC/3TC</w:t>
      </w:r>
      <w:r w:rsidR="00F87FD0">
        <w:rPr>
          <w:rFonts w:asciiTheme="majorBidi" w:hAnsiTheme="majorBidi" w:cstheme="majorBidi"/>
          <w:lang w:bidi="en-US"/>
        </w:rPr>
        <w:t xml:space="preserve"> (efavirenzas [EFV], abakaviras [ABC]/lamivudinas [</w:t>
      </w:r>
      <w:r w:rsidR="00F87FD0" w:rsidRPr="00336C67">
        <w:rPr>
          <w:rFonts w:asciiTheme="majorBidi" w:hAnsiTheme="majorBidi" w:cstheme="majorBidi"/>
          <w:lang w:bidi="en-US"/>
        </w:rPr>
        <w:t>3</w:t>
      </w:r>
      <w:r w:rsidR="00F87FD0">
        <w:rPr>
          <w:rFonts w:asciiTheme="majorBidi" w:hAnsiTheme="majorBidi" w:cstheme="majorBidi"/>
          <w:lang w:bidi="en-US"/>
        </w:rPr>
        <w:t>TC]</w:t>
      </w:r>
      <w:r w:rsidR="00F87FD0" w:rsidRPr="001E0384">
        <w:rPr>
          <w:rFonts w:asciiTheme="majorBidi" w:hAnsiTheme="majorBidi" w:cstheme="majorBidi"/>
          <w:lang w:bidi="en-US"/>
        </w:rPr>
        <w:t xml:space="preserve"> </w:t>
      </w:r>
      <w:r w:rsidR="00F87FD0">
        <w:rPr>
          <w:rFonts w:asciiTheme="majorBidi" w:hAnsiTheme="majorBidi" w:cstheme="majorBidi"/>
          <w:lang w:bidi="en-US"/>
        </w:rPr>
        <w:t>ir</w:t>
      </w:r>
      <w:r w:rsidR="00F87FD0" w:rsidRPr="001E0384">
        <w:rPr>
          <w:rFonts w:asciiTheme="majorBidi" w:hAnsiTheme="majorBidi" w:cstheme="majorBidi"/>
          <w:lang w:bidi="en-US"/>
        </w:rPr>
        <w:t xml:space="preserve"> ATV + RTV + ABC/3TC</w:t>
      </w:r>
      <w:r w:rsidR="00F87FD0">
        <w:rPr>
          <w:rFonts w:asciiTheme="majorBidi" w:hAnsiTheme="majorBidi" w:cstheme="majorBidi"/>
          <w:lang w:bidi="en-US"/>
        </w:rPr>
        <w:t xml:space="preserve"> (atazanaviras [ATV], ritonaviras [RTV], abakaviras [ABC]/</w:t>
      </w:r>
      <w:r w:rsidR="00F87FD0" w:rsidRPr="00336C67">
        <w:rPr>
          <w:rFonts w:asciiTheme="majorBidi" w:hAnsiTheme="majorBidi" w:cstheme="majorBidi"/>
          <w:lang w:bidi="en-US"/>
        </w:rPr>
        <w:t xml:space="preserve"> </w:t>
      </w:r>
      <w:r w:rsidR="00F87FD0">
        <w:rPr>
          <w:rFonts w:asciiTheme="majorBidi" w:hAnsiTheme="majorBidi" w:cstheme="majorBidi"/>
          <w:lang w:bidi="en-US"/>
        </w:rPr>
        <w:t>lamivudinas [</w:t>
      </w:r>
      <w:r w:rsidR="00F87FD0" w:rsidRPr="00336C67">
        <w:rPr>
          <w:rFonts w:asciiTheme="majorBidi" w:hAnsiTheme="majorBidi" w:cstheme="majorBidi"/>
          <w:lang w:bidi="en-US"/>
        </w:rPr>
        <w:t>3</w:t>
      </w:r>
      <w:r w:rsidR="00F87FD0">
        <w:rPr>
          <w:rFonts w:asciiTheme="majorBidi" w:hAnsiTheme="majorBidi" w:cstheme="majorBidi"/>
          <w:lang w:bidi="en-US"/>
        </w:rPr>
        <w:t>TC]. Su kitais gydymo būdais</w:t>
      </w:r>
      <w:r>
        <w:rPr>
          <w:rFonts w:asciiTheme="majorBidi" w:hAnsiTheme="majorBidi" w:cstheme="majorBidi"/>
          <w:lang w:bidi="en-US"/>
        </w:rPr>
        <w:t xml:space="preserve"> įskaitant ir tinkamą Lietuvai </w:t>
      </w:r>
      <w:r>
        <w:rPr>
          <w:rFonts w:asciiTheme="majorBidi" w:hAnsiTheme="majorBidi" w:cstheme="majorBidi"/>
          <w:lang w:bidi="en-US"/>
        </w:rPr>
        <w:lastRenderedPageBreak/>
        <w:t xml:space="preserve">palyginamąjį gydymą </w:t>
      </w:r>
      <w:r w:rsidRPr="003C1F45">
        <w:t>ABC+3TC+DTG</w:t>
      </w:r>
      <w:r>
        <w:t xml:space="preserve"> pagal</w:t>
      </w:r>
      <w:r>
        <w:rPr>
          <w:rFonts w:asciiTheme="majorBidi" w:hAnsiTheme="majorBidi" w:cstheme="majorBidi"/>
          <w:lang w:bidi="en-US"/>
        </w:rPr>
        <w:t xml:space="preserve"> </w:t>
      </w:r>
      <w:r w:rsidR="00F87FD0">
        <w:rPr>
          <w:rFonts w:asciiTheme="majorBidi" w:hAnsiTheme="majorBidi" w:cstheme="majorBidi"/>
          <w:lang w:bidi="en-US"/>
        </w:rPr>
        <w:t xml:space="preserve">virusologinį atsaką </w:t>
      </w:r>
      <w:r w:rsidR="00F87FD0" w:rsidRPr="00336C67">
        <w:rPr>
          <w:rFonts w:asciiTheme="majorBidi" w:hAnsiTheme="majorBidi" w:cstheme="majorBidi"/>
          <w:lang w:bidi="en-US"/>
        </w:rPr>
        <w:t>48-</w:t>
      </w:r>
      <w:r w:rsidR="00F87FD0">
        <w:rPr>
          <w:rFonts w:asciiTheme="majorBidi" w:hAnsiTheme="majorBidi" w:cstheme="majorBidi"/>
          <w:lang w:bidi="en-US"/>
        </w:rPr>
        <w:t xml:space="preserve">ąją gydymo savaitę, pranašumo įrodyta nebuvo. </w:t>
      </w:r>
    </w:p>
    <w:p w14:paraId="68767E9E" w14:textId="77777777" w:rsidR="008651E2" w:rsidRPr="006D4C85" w:rsidRDefault="008651E2" w:rsidP="00A93AA6">
      <w:pPr>
        <w:pStyle w:val="ListParagraph"/>
        <w:tabs>
          <w:tab w:val="left" w:pos="426"/>
        </w:tabs>
        <w:ind w:left="0"/>
        <w:rPr>
          <w:b/>
          <w:bCs/>
          <w:caps/>
        </w:rPr>
      </w:pPr>
    </w:p>
    <w:p w14:paraId="24E45661" w14:textId="77777777" w:rsidR="00E03C3F" w:rsidRPr="00A93AA6" w:rsidRDefault="00CC7832" w:rsidP="00937907">
      <w:pPr>
        <w:pStyle w:val="ListParagraph"/>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66D29F0D" w14:textId="77777777" w:rsidR="00C62B36" w:rsidRDefault="00C62B36" w:rsidP="00A93AA6">
      <w:pPr>
        <w:tabs>
          <w:tab w:val="left" w:pos="426"/>
        </w:tabs>
        <w:rPr>
          <w:i/>
          <w:color w:val="00B050"/>
          <w:sz w:val="22"/>
          <w:szCs w:val="22"/>
        </w:rPr>
      </w:pPr>
    </w:p>
    <w:p w14:paraId="259E1466" w14:textId="77777777" w:rsidR="005F30EB" w:rsidRPr="005F30EB" w:rsidRDefault="005F30EB" w:rsidP="005F30EB">
      <w:pPr>
        <w:pStyle w:val="VVKT"/>
        <w:jc w:val="both"/>
        <w:rPr>
          <w:lang w:val="lt-LT"/>
        </w:rPr>
      </w:pPr>
      <w:r w:rsidRPr="005F30EB">
        <w:rPr>
          <w:lang w:val="lt-LT"/>
        </w:rPr>
        <w:t xml:space="preserve">Į pateiktą pirminę ekonominę analizę įtraukiami pacientai, užsikrėtę ŽIV-1 infekcija. Į ekonominę analizę įtraukti pacientai atitinka kompensacijai teikiamas terapines indikacijas. </w:t>
      </w:r>
    </w:p>
    <w:p w14:paraId="3C814B3F" w14:textId="77777777" w:rsidR="005F30EB" w:rsidRPr="005F30EB" w:rsidRDefault="005F30EB" w:rsidP="005F30EB">
      <w:pPr>
        <w:pStyle w:val="VVKT"/>
        <w:jc w:val="both"/>
        <w:rPr>
          <w:lang w:val="lt-LT" w:eastAsia="lt-LT"/>
        </w:rPr>
      </w:pPr>
      <w:r w:rsidRPr="005F30EB">
        <w:rPr>
          <w:lang w:val="lt-LT"/>
        </w:rPr>
        <w:t>Ekonominėje analizėje pateikti keli palyginamojo gydymo būdai. Palyginamieji gydymai ekonominėje analizėje apima gydymą Triumeq (dolutegraviras, abakaviras, lamivudinas), Dovato (dolutegraviras, lamivudinas).</w:t>
      </w:r>
      <w:r w:rsidRPr="005F30EB">
        <w:rPr>
          <w:rFonts w:eastAsia="Arial"/>
          <w:lang w:val="lt-LT"/>
        </w:rPr>
        <w:t xml:space="preserve"> </w:t>
      </w:r>
      <w:r w:rsidRPr="005F30EB">
        <w:rPr>
          <w:lang w:val="lt-LT"/>
        </w:rPr>
        <w:t>Atnaujintoje ekonominėje analizėje, atsižvelgiant į Tarnybos pateiktus klausimus pareiškėjui, palyginamasis gydymas yra Triumeq (dolutegraviras, abakaviras, lamivudinas). Ekonominėje analizėje pateiktas palyginamasis gydymas atitinka klinikinio paraiškos vertinimo dalyje pateiktą palyginamąjį gydymą ir klinikinę Lietuvos praktiką.</w:t>
      </w:r>
      <w:r w:rsidRPr="005F30EB">
        <w:rPr>
          <w:lang w:val="lt-LT" w:eastAsia="lt-LT"/>
        </w:rPr>
        <w:t xml:space="preserve"> </w:t>
      </w:r>
    </w:p>
    <w:p w14:paraId="47308096" w14:textId="77777777" w:rsidR="005F30EB" w:rsidRPr="005F30EB" w:rsidRDefault="005F30EB" w:rsidP="005F30EB">
      <w:pPr>
        <w:pStyle w:val="VVKT"/>
        <w:jc w:val="both"/>
        <w:rPr>
          <w:lang w:val="lt-LT"/>
        </w:rPr>
      </w:pPr>
      <w:r w:rsidRPr="005F30EB">
        <w:rPr>
          <w:lang w:val="lt-LT" w:eastAsia="lt-LT"/>
        </w:rPr>
        <w:t xml:space="preserve">Pirminėje ekonominėje analizėje modeliuojant taikomas Markovo modelis. Modelį sudaro 5 pagrindinės sveikatos būklės, apibrėžiamos skirtingu CD4 ląstelių skaičiumi. Nesiskiriantis klinikinis veiksmingumas grindžiamas GS-US-380-1489 ir GS-US-380-1844 klinikiniais tyrimais. </w:t>
      </w:r>
      <w:r w:rsidRPr="005F30EB">
        <w:rPr>
          <w:lang w:val="lt-LT"/>
        </w:rPr>
        <w:t>Analizė atlikta iš PSDF biudžeto perspektyvos, įtraukti tiesiogiai su sveikatos sistema susiję kaštai. Tai atitinka teisės aktuose nustatytus paraiškos rengimo taisyklių reikalavimus.</w:t>
      </w:r>
    </w:p>
    <w:p w14:paraId="2AC1C606" w14:textId="77777777" w:rsidR="005F30EB" w:rsidRPr="005F30EB" w:rsidRDefault="005F30EB" w:rsidP="005F30EB">
      <w:pPr>
        <w:pStyle w:val="VVKT"/>
        <w:jc w:val="both"/>
        <w:rPr>
          <w:lang w:val="lt-LT"/>
        </w:rPr>
      </w:pPr>
      <w:r w:rsidRPr="005F30EB">
        <w:rPr>
          <w:lang w:val="lt-LT"/>
        </w:rPr>
        <w:t xml:space="preserve">Esminiai prieštaravimai </w:t>
      </w:r>
      <w:r w:rsidRPr="005F30EB">
        <w:rPr>
          <w:b/>
          <w:bCs/>
          <w:lang w:val="lt-LT"/>
        </w:rPr>
        <w:t>pirminėje</w:t>
      </w:r>
      <w:r w:rsidRPr="005F30EB">
        <w:rPr>
          <w:lang w:val="lt-LT"/>
        </w:rPr>
        <w:t xml:space="preserve"> ekonominėje analizėje:</w:t>
      </w:r>
    </w:p>
    <w:p w14:paraId="66D68B40" w14:textId="77777777" w:rsidR="005F30EB" w:rsidRPr="005F30EB" w:rsidRDefault="005F30EB" w:rsidP="005F30EB">
      <w:pPr>
        <w:pStyle w:val="VVKT"/>
        <w:numPr>
          <w:ilvl w:val="0"/>
          <w:numId w:val="23"/>
        </w:numPr>
        <w:jc w:val="both"/>
        <w:rPr>
          <w:lang w:val="lt-LT" w:eastAsia="lt-LT"/>
        </w:rPr>
      </w:pPr>
      <w:r w:rsidRPr="005F30EB">
        <w:rPr>
          <w:lang w:val="lt-LT" w:eastAsia="lt-LT"/>
        </w:rPr>
        <w:t>atsižvelgiant į tai, kad klinikinis veiksmingumas nesiskiria, pasirinktas modeliavimo tipas ir analizės struktūra yra nepagrįsti;</w:t>
      </w:r>
    </w:p>
    <w:p w14:paraId="4FA9037F" w14:textId="77777777" w:rsidR="005F30EB" w:rsidRPr="005F30EB" w:rsidRDefault="005F30EB" w:rsidP="005F30EB">
      <w:pPr>
        <w:pStyle w:val="VVKT"/>
        <w:numPr>
          <w:ilvl w:val="0"/>
          <w:numId w:val="23"/>
        </w:numPr>
        <w:jc w:val="both"/>
        <w:rPr>
          <w:iCs/>
          <w:color w:val="000000" w:themeColor="text1"/>
          <w:lang w:val="lt-LT" w:eastAsia="lt-LT"/>
        </w:rPr>
      </w:pPr>
      <w:r w:rsidRPr="005F30EB">
        <w:rPr>
          <w:lang w:val="lt-LT" w:eastAsia="lt-LT"/>
        </w:rPr>
        <w:t xml:space="preserve">pareiškėjo taikomos prielaidos pirminėje ekonominėje analizėje vertinant efektyvumo skirtumus tarp siūlomo ir palyginamojo gydymo ilgajame laikotarpyje yra </w:t>
      </w:r>
      <w:r w:rsidRPr="005F30EB">
        <w:rPr>
          <w:iCs/>
          <w:color w:val="000000" w:themeColor="text1"/>
          <w:lang w:val="lt-LT" w:eastAsia="lt-LT"/>
        </w:rPr>
        <w:t xml:space="preserve">netinkamai pagrįstos. Tarnybos vertinimu, modeliuojamas skirtingas lyginamų vaistinių preparatų efektyvumas pirminėje kaštų mažinimo analizėje yra nepagrįstas įrodymais, o taikomos ilgalaikės skirtingo efektyvumo prielaidos, tikėtina, sudaro sąlygas nepakankamai įvertinti kaštų skirtumą tarp lyginamų gydymo alternatyvų.  </w:t>
      </w:r>
    </w:p>
    <w:p w14:paraId="21F7F289" w14:textId="77777777" w:rsidR="005F30EB" w:rsidRPr="005F30EB" w:rsidRDefault="005F30EB" w:rsidP="005F30EB">
      <w:pPr>
        <w:pStyle w:val="VVKT"/>
        <w:jc w:val="both"/>
        <w:rPr>
          <w:iCs/>
          <w:color w:val="000000" w:themeColor="text1"/>
          <w:lang w:val="lt-LT" w:eastAsia="lt-LT"/>
        </w:rPr>
      </w:pPr>
      <w:r w:rsidRPr="005F30EB">
        <w:rPr>
          <w:iCs/>
          <w:color w:val="000000" w:themeColor="text1"/>
          <w:lang w:val="lt-LT" w:eastAsia="lt-LT"/>
        </w:rPr>
        <w:t xml:space="preserve">Atsižvelgiant į pateiktus klausimus pareiškėjas pateikė </w:t>
      </w:r>
      <w:r w:rsidRPr="005F30EB">
        <w:rPr>
          <w:b/>
          <w:bCs/>
          <w:iCs/>
          <w:color w:val="000000" w:themeColor="text1"/>
          <w:lang w:val="lt-LT" w:eastAsia="lt-LT"/>
        </w:rPr>
        <w:t>atnaujintą</w:t>
      </w:r>
      <w:r w:rsidRPr="005F30EB">
        <w:rPr>
          <w:iCs/>
          <w:color w:val="000000" w:themeColor="text1"/>
          <w:lang w:val="lt-LT" w:eastAsia="lt-LT"/>
        </w:rPr>
        <w:t xml:space="preserve"> kaštų mažinimo analizę, kuri, Tarnybos nuomone, yra tinkama siekiant palyginti gydymo Biktarvy vaistu gydymo kaštus su palyginamojo gydymo Triumeq kaštais. Taip pat pareiškėjas pateikė PGS siūlymą sumažinant Biktarvy kainą. Laikoma, kad esminis šios analizės prieštaravimas dėl analizės struktūros (modeliavimo būdo ir prielaidų) buvo išspręstas. Pateiktoje atnaujintoje ekonominėje analizėje yra vertinami vaistinių preparatų įsigijimo, nepageidaujamų reakcijų valdymo, papildomų laboratorinių tyrimų kaštai.</w:t>
      </w:r>
    </w:p>
    <w:p w14:paraId="4FEDE092" w14:textId="77777777" w:rsidR="005F30EB" w:rsidRPr="005F30EB" w:rsidRDefault="005F30EB" w:rsidP="005F30EB">
      <w:pPr>
        <w:pStyle w:val="VVKT"/>
        <w:jc w:val="both"/>
        <w:rPr>
          <w:iCs/>
          <w:color w:val="000000" w:themeColor="text1"/>
          <w:lang w:val="lt-LT" w:eastAsia="lt-LT"/>
        </w:rPr>
      </w:pPr>
    </w:p>
    <w:p w14:paraId="1B9CD561" w14:textId="77777777" w:rsidR="005F30EB" w:rsidRPr="005F30EB" w:rsidRDefault="005F30EB" w:rsidP="005F30EB">
      <w:pPr>
        <w:tabs>
          <w:tab w:val="left" w:pos="426"/>
        </w:tabs>
        <w:rPr>
          <w:b/>
          <w:lang w:eastAsia="lt-LT"/>
        </w:rPr>
      </w:pPr>
      <w:r w:rsidRPr="005F30EB">
        <w:rPr>
          <w:b/>
          <w:lang w:eastAsia="lt-LT"/>
        </w:rPr>
        <w:t>Ekonominės analizės rezultatas</w:t>
      </w:r>
    </w:p>
    <w:p w14:paraId="7AE902A6" w14:textId="77777777" w:rsidR="005F30EB" w:rsidRPr="005F30EB" w:rsidRDefault="005F30EB" w:rsidP="005F30EB">
      <w:pPr>
        <w:tabs>
          <w:tab w:val="left" w:pos="426"/>
        </w:tabs>
        <w:rPr>
          <w:b/>
          <w:lang w:eastAsia="lt-LT"/>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4"/>
        <w:gridCol w:w="2194"/>
        <w:gridCol w:w="1928"/>
        <w:gridCol w:w="2103"/>
      </w:tblGrid>
      <w:tr w:rsidR="005F30EB" w:rsidRPr="005F30EB" w14:paraId="7718F93A" w14:textId="77777777" w:rsidTr="005F30EB">
        <w:tc>
          <w:tcPr>
            <w:tcW w:w="9855" w:type="dxa"/>
            <w:gridSpan w:val="4"/>
            <w:tcBorders>
              <w:top w:val="single" w:sz="12" w:space="0" w:color="auto"/>
              <w:bottom w:val="single" w:sz="4" w:space="0" w:color="auto"/>
            </w:tcBorders>
          </w:tcPr>
          <w:p w14:paraId="2534D696" w14:textId="77777777" w:rsidR="005F30EB" w:rsidRPr="005F30EB" w:rsidRDefault="005F30EB" w:rsidP="00D55D72">
            <w:pPr>
              <w:tabs>
                <w:tab w:val="left" w:pos="567"/>
              </w:tabs>
              <w:jc w:val="center"/>
              <w:rPr>
                <w:b/>
                <w:i/>
                <w:iCs/>
                <w:color w:val="00B050"/>
                <w:sz w:val="22"/>
                <w:szCs w:val="22"/>
                <w:lang w:eastAsia="lt-LT"/>
              </w:rPr>
            </w:pPr>
            <w:bookmarkStart w:id="1" w:name="_Hlk133286630"/>
            <w:r w:rsidRPr="005F30EB">
              <w:rPr>
                <w:b/>
                <w:lang w:eastAsia="lt-LT"/>
              </w:rPr>
              <w:t>Kaštai, Eur</w:t>
            </w:r>
          </w:p>
        </w:tc>
      </w:tr>
      <w:tr w:rsidR="005F30EB" w:rsidRPr="005F30EB" w14:paraId="59491C3D" w14:textId="77777777" w:rsidTr="005F30EB">
        <w:tc>
          <w:tcPr>
            <w:tcW w:w="3498" w:type="dxa"/>
            <w:tcBorders>
              <w:top w:val="single" w:sz="4" w:space="0" w:color="auto"/>
              <w:bottom w:val="single" w:sz="4" w:space="0" w:color="auto"/>
            </w:tcBorders>
          </w:tcPr>
          <w:p w14:paraId="141E23E1" w14:textId="77777777" w:rsidR="005F30EB" w:rsidRPr="005F30EB" w:rsidRDefault="005F30EB" w:rsidP="00D55D72">
            <w:pPr>
              <w:tabs>
                <w:tab w:val="left" w:pos="567"/>
              </w:tabs>
              <w:jc w:val="both"/>
              <w:rPr>
                <w:color w:val="00B050"/>
                <w:lang w:eastAsia="lt-LT"/>
              </w:rPr>
            </w:pPr>
          </w:p>
        </w:tc>
        <w:tc>
          <w:tcPr>
            <w:tcW w:w="2246" w:type="dxa"/>
            <w:tcBorders>
              <w:top w:val="single" w:sz="4" w:space="0" w:color="auto"/>
              <w:bottom w:val="single" w:sz="4" w:space="0" w:color="auto"/>
            </w:tcBorders>
          </w:tcPr>
          <w:p w14:paraId="63532150" w14:textId="77777777" w:rsidR="005F30EB" w:rsidRPr="005F30EB" w:rsidRDefault="005F30EB" w:rsidP="00D55D72">
            <w:pPr>
              <w:tabs>
                <w:tab w:val="left" w:pos="567"/>
              </w:tabs>
              <w:jc w:val="center"/>
              <w:rPr>
                <w:i/>
                <w:iCs/>
                <w:lang w:eastAsia="lt-LT"/>
              </w:rPr>
            </w:pPr>
            <w:r w:rsidRPr="005F30EB">
              <w:rPr>
                <w:i/>
                <w:iCs/>
                <w:lang w:eastAsia="lt-LT"/>
              </w:rPr>
              <w:t>Biktarvy</w:t>
            </w:r>
          </w:p>
        </w:tc>
        <w:tc>
          <w:tcPr>
            <w:tcW w:w="1968" w:type="dxa"/>
            <w:tcBorders>
              <w:top w:val="single" w:sz="4" w:space="0" w:color="auto"/>
              <w:bottom w:val="single" w:sz="4" w:space="0" w:color="auto"/>
            </w:tcBorders>
          </w:tcPr>
          <w:p w14:paraId="0731EB35" w14:textId="77777777" w:rsidR="005F30EB" w:rsidRPr="005F30EB" w:rsidRDefault="005F30EB" w:rsidP="00D55D72">
            <w:pPr>
              <w:tabs>
                <w:tab w:val="left" w:pos="567"/>
              </w:tabs>
              <w:jc w:val="center"/>
              <w:rPr>
                <w:i/>
                <w:iCs/>
                <w:lang w:eastAsia="lt-LT"/>
              </w:rPr>
            </w:pPr>
            <w:r w:rsidRPr="005F30EB">
              <w:rPr>
                <w:i/>
                <w:iCs/>
                <w:lang w:eastAsia="lt-LT"/>
              </w:rPr>
              <w:t>Triumeq</w:t>
            </w:r>
          </w:p>
        </w:tc>
        <w:tc>
          <w:tcPr>
            <w:tcW w:w="2143" w:type="dxa"/>
            <w:tcBorders>
              <w:top w:val="single" w:sz="4" w:space="0" w:color="auto"/>
              <w:bottom w:val="single" w:sz="4" w:space="0" w:color="auto"/>
            </w:tcBorders>
          </w:tcPr>
          <w:p w14:paraId="21190E5F" w14:textId="77777777" w:rsidR="005F30EB" w:rsidRPr="005F30EB" w:rsidRDefault="005F30EB" w:rsidP="00D55D72">
            <w:pPr>
              <w:tabs>
                <w:tab w:val="left" w:pos="567"/>
              </w:tabs>
              <w:jc w:val="center"/>
              <w:rPr>
                <w:iCs/>
                <w:lang w:eastAsia="lt-LT"/>
              </w:rPr>
            </w:pPr>
            <w:r w:rsidRPr="005F30EB">
              <w:rPr>
                <w:iCs/>
                <w:lang w:eastAsia="lt-LT"/>
              </w:rPr>
              <w:t>Skirtumas</w:t>
            </w:r>
          </w:p>
        </w:tc>
      </w:tr>
      <w:tr w:rsidR="00E27BEF" w:rsidRPr="005F30EB" w14:paraId="77056DC6" w14:textId="77777777" w:rsidTr="005F30EB">
        <w:trPr>
          <w:trHeight w:val="340"/>
        </w:trPr>
        <w:tc>
          <w:tcPr>
            <w:tcW w:w="3498" w:type="dxa"/>
            <w:tcBorders>
              <w:top w:val="single" w:sz="4" w:space="0" w:color="auto"/>
              <w:bottom w:val="single" w:sz="12" w:space="0" w:color="auto"/>
            </w:tcBorders>
            <w:vAlign w:val="center"/>
          </w:tcPr>
          <w:p w14:paraId="28ADE2BB" w14:textId="77777777" w:rsidR="005F30EB" w:rsidRPr="005F30EB" w:rsidRDefault="005F30EB" w:rsidP="00D55D72">
            <w:pPr>
              <w:tabs>
                <w:tab w:val="left" w:pos="567"/>
              </w:tabs>
              <w:rPr>
                <w:b/>
                <w:bCs/>
                <w:iCs/>
                <w:lang w:eastAsia="lt-LT"/>
              </w:rPr>
            </w:pPr>
            <w:r w:rsidRPr="005F30EB">
              <w:rPr>
                <w:b/>
                <w:bCs/>
                <w:iCs/>
                <w:lang w:eastAsia="lt-LT"/>
              </w:rPr>
              <w:t>VISO</w:t>
            </w:r>
          </w:p>
        </w:tc>
        <w:tc>
          <w:tcPr>
            <w:tcW w:w="2246" w:type="dxa"/>
            <w:tcBorders>
              <w:top w:val="single" w:sz="4" w:space="0" w:color="auto"/>
              <w:bottom w:val="single" w:sz="12" w:space="0" w:color="auto"/>
            </w:tcBorders>
            <w:vAlign w:val="center"/>
          </w:tcPr>
          <w:p w14:paraId="31DFE877" w14:textId="2E36C867" w:rsidR="005F30EB" w:rsidRPr="005F30EB" w:rsidRDefault="003B6705" w:rsidP="00D55D72">
            <w:pPr>
              <w:tabs>
                <w:tab w:val="left" w:pos="567"/>
              </w:tabs>
              <w:jc w:val="center"/>
              <w:rPr>
                <w:i/>
                <w:iCs/>
                <w:lang w:eastAsia="lt-LT"/>
              </w:rPr>
            </w:pPr>
            <w:r>
              <w:rPr>
                <w:rFonts w:eastAsia="Arial"/>
                <w:lang w:val="en-US"/>
              </w:rPr>
              <w:t>******</w:t>
            </w:r>
          </w:p>
        </w:tc>
        <w:tc>
          <w:tcPr>
            <w:tcW w:w="1968" w:type="dxa"/>
            <w:tcBorders>
              <w:top w:val="single" w:sz="4" w:space="0" w:color="auto"/>
              <w:bottom w:val="single" w:sz="12" w:space="0" w:color="auto"/>
            </w:tcBorders>
            <w:vAlign w:val="center"/>
          </w:tcPr>
          <w:p w14:paraId="75E5F079" w14:textId="4C287E96" w:rsidR="005F30EB" w:rsidRPr="005F30EB" w:rsidRDefault="003B6705" w:rsidP="00D55D72">
            <w:pPr>
              <w:tabs>
                <w:tab w:val="left" w:pos="567"/>
              </w:tabs>
              <w:jc w:val="center"/>
              <w:rPr>
                <w:i/>
                <w:iCs/>
                <w:lang w:eastAsia="lt-LT"/>
              </w:rPr>
            </w:pPr>
            <w:r>
              <w:rPr>
                <w:rFonts w:eastAsia="Arial"/>
                <w:lang w:val="en-US"/>
              </w:rPr>
              <w:t>******</w:t>
            </w:r>
          </w:p>
        </w:tc>
        <w:tc>
          <w:tcPr>
            <w:tcW w:w="2143" w:type="dxa"/>
            <w:tcBorders>
              <w:top w:val="single" w:sz="4" w:space="0" w:color="auto"/>
              <w:bottom w:val="single" w:sz="12" w:space="0" w:color="auto"/>
            </w:tcBorders>
            <w:vAlign w:val="center"/>
          </w:tcPr>
          <w:p w14:paraId="11474A98" w14:textId="0419FBA3" w:rsidR="005F30EB" w:rsidRPr="005F30EB" w:rsidRDefault="003B6705" w:rsidP="00D55D72">
            <w:pPr>
              <w:tabs>
                <w:tab w:val="left" w:pos="567"/>
              </w:tabs>
              <w:jc w:val="center"/>
              <w:rPr>
                <w:i/>
                <w:iCs/>
                <w:lang w:eastAsia="lt-LT"/>
              </w:rPr>
            </w:pPr>
            <w:r>
              <w:rPr>
                <w:rFonts w:eastAsia="Arial"/>
                <w:lang w:val="en-US"/>
              </w:rPr>
              <w:t>******</w:t>
            </w:r>
            <w:r w:rsidRPr="006918ED">
              <w:rPr>
                <w:rFonts w:eastAsia="Arial"/>
                <w:lang w:val="en-US"/>
              </w:rPr>
              <w:t xml:space="preserve"> </w:t>
            </w:r>
          </w:p>
        </w:tc>
      </w:tr>
      <w:bookmarkEnd w:id="1"/>
    </w:tbl>
    <w:p w14:paraId="153BE9AB" w14:textId="77777777" w:rsidR="005F30EB" w:rsidRPr="005F30EB" w:rsidRDefault="005F30EB" w:rsidP="005F30EB">
      <w:pPr>
        <w:pStyle w:val="VVKT"/>
        <w:ind w:firstLine="0"/>
        <w:jc w:val="both"/>
        <w:rPr>
          <w:iCs/>
          <w:color w:val="000000" w:themeColor="text1"/>
          <w:lang w:val="lt-LT" w:eastAsia="lt-LT"/>
        </w:rPr>
      </w:pPr>
    </w:p>
    <w:p w14:paraId="40202B9D" w14:textId="5F8B52A6" w:rsidR="005F30EB" w:rsidRPr="005F30EB" w:rsidRDefault="005F30EB" w:rsidP="005F30EB">
      <w:pPr>
        <w:pStyle w:val="VVKT"/>
        <w:jc w:val="both"/>
        <w:rPr>
          <w:lang w:val="lt-LT"/>
        </w:rPr>
      </w:pPr>
      <w:r w:rsidRPr="005F30EB">
        <w:rPr>
          <w:lang w:val="lt-LT"/>
        </w:rPr>
        <w:t xml:space="preserve">Atkreipiamas dėmesys, kad palyginamojo vaistinio preparato Triumeq gamintojas su VLK yra sudaręs prieinamumo gerinimo sutartį (PGS). Kaštų mažinimo analizės rezultatas Triumeq taikant konfidencialią PGS kainą yra aprašomas šio protokolo priede. Šiame priede esanti informacija pareiškėjui nėra atskleidžiama. Atsižvelgiant į ekonominės analizės rezultatus, pateiktus šiame </w:t>
      </w:r>
      <w:r w:rsidRPr="005F30EB">
        <w:rPr>
          <w:lang w:val="lt-LT"/>
        </w:rPr>
        <w:lastRenderedPageBreak/>
        <w:t xml:space="preserve">protokolo priede, gydymas Biktarvy yra </w:t>
      </w:r>
      <w:r w:rsidR="003B6705">
        <w:rPr>
          <w:rFonts w:eastAsia="Arial"/>
          <w:lang w:val="en-US"/>
        </w:rPr>
        <w:t>******</w:t>
      </w:r>
      <w:r w:rsidR="003B6705" w:rsidRPr="006918ED">
        <w:rPr>
          <w:rFonts w:eastAsia="Arial"/>
          <w:lang w:val="en-US"/>
        </w:rPr>
        <w:t xml:space="preserve"> </w:t>
      </w:r>
      <w:r w:rsidRPr="005F30EB">
        <w:rPr>
          <w:lang w:val="lt-LT"/>
        </w:rPr>
        <w:t xml:space="preserve">už gydymą palyginamuoju vaistiniu preparatu Triumeq. </w:t>
      </w:r>
    </w:p>
    <w:p w14:paraId="5EA82BC0" w14:textId="77777777" w:rsidR="005F30EB" w:rsidRDefault="005F30EB" w:rsidP="005F30EB">
      <w:pPr>
        <w:jc w:val="both"/>
      </w:pPr>
    </w:p>
    <w:p w14:paraId="3BBE69CA" w14:textId="77777777" w:rsidR="00EF3EF4" w:rsidRPr="00AF3EBC" w:rsidRDefault="00EF3EF4" w:rsidP="005F30EB">
      <w:pPr>
        <w:jc w:val="both"/>
      </w:pPr>
    </w:p>
    <w:p w14:paraId="029F9E88" w14:textId="77777777" w:rsidR="00C62B36" w:rsidRPr="00797153" w:rsidRDefault="00C62B36" w:rsidP="00937907">
      <w:pPr>
        <w:pStyle w:val="ListParagraph"/>
        <w:numPr>
          <w:ilvl w:val="0"/>
          <w:numId w:val="12"/>
        </w:numPr>
        <w:tabs>
          <w:tab w:val="left" w:pos="284"/>
        </w:tabs>
        <w:rPr>
          <w:b/>
          <w:bCs/>
          <w:caps/>
        </w:rPr>
      </w:pPr>
      <w:r w:rsidRPr="00797153">
        <w:rPr>
          <w:b/>
          <w:bCs/>
          <w:caps/>
        </w:rPr>
        <w:t xml:space="preserve">Pacientų organizacijų pateikti duomenys </w:t>
      </w:r>
    </w:p>
    <w:p w14:paraId="40918B84" w14:textId="77777777" w:rsidR="00937907" w:rsidRPr="00797153" w:rsidRDefault="00000000" w:rsidP="00937907">
      <w:pPr>
        <w:spacing w:after="120"/>
        <w:jc w:val="both"/>
      </w:pPr>
      <w:sdt>
        <w:sdtPr>
          <w:rPr>
            <w:rStyle w:val="Style2"/>
            <w:rFonts w:ascii="MS Gothic" w:eastAsia="MS Gothic" w:hAnsi="MS Gothic"/>
          </w:rPr>
          <w:id w:val="1150014178"/>
        </w:sdt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2AA22511" w14:textId="77777777" w:rsidR="00937907" w:rsidRDefault="00000000" w:rsidP="00937907">
      <w:pPr>
        <w:spacing w:after="120"/>
        <w:jc w:val="both"/>
      </w:pPr>
      <w:sdt>
        <w:sdtPr>
          <w:rPr>
            <w:rStyle w:val="Style2"/>
            <w:rFonts w:ascii="MS Gothic" w:eastAsia="MS Gothic" w:hAnsi="MS Gothic"/>
          </w:rPr>
          <w:id w:val="-1545513810"/>
        </w:sdtPr>
        <w:sdtContent>
          <w:r w:rsidR="00B3517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3A6ED26" w14:textId="77777777" w:rsidR="00EF3EF4" w:rsidRPr="00797153" w:rsidRDefault="00EF3EF4" w:rsidP="00937907">
      <w:pPr>
        <w:spacing w:after="120"/>
        <w:jc w:val="both"/>
      </w:pPr>
    </w:p>
    <w:p w14:paraId="2974CD0D" w14:textId="77777777" w:rsidR="00C62B36" w:rsidRPr="00797153" w:rsidRDefault="00C62B36" w:rsidP="00937907">
      <w:pPr>
        <w:pStyle w:val="ListParagraph"/>
        <w:numPr>
          <w:ilvl w:val="0"/>
          <w:numId w:val="12"/>
        </w:numPr>
        <w:tabs>
          <w:tab w:val="left" w:pos="426"/>
        </w:tabs>
        <w:rPr>
          <w:b/>
          <w:bCs/>
          <w:caps/>
        </w:rPr>
      </w:pPr>
      <w:r w:rsidRPr="00797153">
        <w:rPr>
          <w:b/>
          <w:bCs/>
          <w:caps/>
        </w:rPr>
        <w:t>Gydytojų organizacijų pateikti duomenys</w:t>
      </w:r>
    </w:p>
    <w:p w14:paraId="00EB3754" w14:textId="037F1734" w:rsidR="00937907" w:rsidRPr="00797153" w:rsidRDefault="00000000" w:rsidP="00662983">
      <w:pPr>
        <w:spacing w:after="120"/>
        <w:jc w:val="both"/>
      </w:pPr>
      <w:sdt>
        <w:sdtPr>
          <w:rPr>
            <w:rStyle w:val="Style2"/>
            <w:rFonts w:ascii="MS Gothic" w:eastAsia="MS Gothic" w:hAnsi="MS Gothic"/>
          </w:rPr>
          <w:id w:val="1613862788"/>
        </w:sdtPr>
        <w:sdtContent>
          <w:sdt>
            <w:sdtPr>
              <w:rPr>
                <w:rStyle w:val="Style2"/>
                <w:rFonts w:ascii="MS Gothic" w:eastAsia="MS Gothic" w:hAnsi="MS Gothic"/>
              </w:rPr>
              <w:id w:val="1575083713"/>
            </w:sdtPr>
            <w:sdtContent>
              <w:r w:rsidR="002867E5">
                <w:rPr>
                  <w:rStyle w:val="Style2"/>
                  <w:rFonts w:ascii="MS Gothic" w:eastAsia="MS Gothic" w:hAnsi="MS Gothic" w:hint="eastAsia"/>
                </w:rPr>
                <w:t>☒</w:t>
              </w:r>
            </w:sdtContent>
          </w:sdt>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AB64F8E" w14:textId="2F35A131" w:rsidR="00662983" w:rsidRDefault="00000000" w:rsidP="00662983">
      <w:pPr>
        <w:spacing w:after="120"/>
        <w:jc w:val="both"/>
      </w:pPr>
      <w:sdt>
        <w:sdtPr>
          <w:rPr>
            <w:rStyle w:val="Style2"/>
            <w:rFonts w:ascii="MS Gothic" w:eastAsia="MS Gothic" w:hAnsi="MS Gothic"/>
          </w:rPr>
          <w:id w:val="1691256921"/>
        </w:sdtPr>
        <w:sdtContent>
          <w:r w:rsidR="002867E5" w:rsidRPr="00797153">
            <w:rPr>
              <w:rStyle w:val="Style2"/>
              <w:rFonts w:ascii="MS Gothic" w:eastAsia="MS Gothic" w:hAnsi="MS Gothic" w:hint="eastAsia"/>
            </w:rPr>
            <w:t>☐</w:t>
          </w:r>
        </w:sdtContent>
      </w:sdt>
      <w:r w:rsidR="002867E5" w:rsidRPr="00797153">
        <w:t xml:space="preserve"> </w:t>
      </w:r>
      <w:r w:rsidR="00937907" w:rsidRPr="00797153">
        <w:t xml:space="preserve">Gydytojų specialistų organizacijos pozicija </w:t>
      </w:r>
      <w:r w:rsidR="00880A44">
        <w:t>ne</w:t>
      </w:r>
      <w:r w:rsidR="00937907" w:rsidRPr="00797153">
        <w:t>pateikta.</w:t>
      </w:r>
    </w:p>
    <w:p w14:paraId="4B8AEDC8" w14:textId="77777777" w:rsidR="00EF3EF4" w:rsidRPr="006E501F" w:rsidRDefault="00EF3EF4" w:rsidP="00662983">
      <w:pPr>
        <w:spacing w:after="120"/>
        <w:jc w:val="both"/>
      </w:pPr>
    </w:p>
    <w:p w14:paraId="1F16E3B7" w14:textId="77777777" w:rsidR="002F0E4F" w:rsidRDefault="002F0E4F" w:rsidP="00937907">
      <w:pPr>
        <w:pStyle w:val="ListParagraph"/>
        <w:numPr>
          <w:ilvl w:val="0"/>
          <w:numId w:val="12"/>
        </w:numPr>
        <w:tabs>
          <w:tab w:val="left" w:pos="426"/>
        </w:tabs>
        <w:rPr>
          <w:b/>
          <w:bCs/>
          <w:caps/>
        </w:rPr>
      </w:pPr>
      <w:r w:rsidRPr="00B4017A">
        <w:rPr>
          <w:b/>
          <w:bCs/>
          <w:caps/>
        </w:rPr>
        <w:t xml:space="preserve">Išvada </w:t>
      </w:r>
    </w:p>
    <w:p w14:paraId="4C2A9C5A" w14:textId="77777777" w:rsidR="00797153" w:rsidRPr="0079715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13D65" w14:paraId="6E5724FB" w14:textId="77777777" w:rsidTr="00BD1E5A">
        <w:tc>
          <w:tcPr>
            <w:tcW w:w="4981" w:type="dxa"/>
          </w:tcPr>
          <w:p w14:paraId="19BCFD5E" w14:textId="77777777"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0250BC5E" w14:textId="77777777"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01345998" w14:textId="77777777" w:rsidTr="00BD1E5A">
        <w:tc>
          <w:tcPr>
            <w:tcW w:w="9962" w:type="dxa"/>
            <w:gridSpan w:val="2"/>
          </w:tcPr>
          <w:p w14:paraId="2032B24A"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53EE8A16"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5394813C" w14:textId="77777777" w:rsidTr="00BD1E5A">
        <w:tc>
          <w:tcPr>
            <w:tcW w:w="4981" w:type="dxa"/>
          </w:tcPr>
          <w:p w14:paraId="505DC966" w14:textId="7777777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sdt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9043C34"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865647" w14:textId="77777777" w:rsidR="00B13D65" w:rsidRPr="00B13D6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sdtPr>
              <w:sdtContent>
                <w:r w:rsidR="00D2102A">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26A8D542" w14:textId="7777777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sdt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360A1B5F"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C8CF8C" w14:textId="77777777" w:rsidR="0066298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sdt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7ECF04FF"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6FFB45A" w14:textId="7777777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sdt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7AB6DB80"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0FB289"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sdt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7941277B"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29E0561C" w14:textId="77777777" w:rsidTr="00BD1E5A">
        <w:tc>
          <w:tcPr>
            <w:tcW w:w="9962" w:type="dxa"/>
            <w:gridSpan w:val="2"/>
          </w:tcPr>
          <w:p w14:paraId="032EB5D7"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3202A0D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C319B07" w14:textId="77777777" w:rsidTr="00BD1E5A">
        <w:tc>
          <w:tcPr>
            <w:tcW w:w="4981" w:type="dxa"/>
          </w:tcPr>
          <w:p w14:paraId="1E543509" w14:textId="7777777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sdt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1F834AF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AE00ED9"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sdtPr>
              <w:sdtContent>
                <w:r w:rsidR="00D2102A">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50A64CE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16E060D5" w14:textId="77777777" w:rsidR="00662983" w:rsidRPr="00B13D65" w:rsidRDefault="00000000" w:rsidP="00662983">
            <w:pPr>
              <w:jc w:val="both"/>
            </w:pPr>
            <w:sdt>
              <w:sdtPr>
                <w:rPr>
                  <w:rStyle w:val="Style2"/>
                  <w:sz w:val="24"/>
                </w:rPr>
                <w:id w:val="-1034573056"/>
              </w:sdt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38EF7FFB" w14:textId="77777777" w:rsidR="00662983" w:rsidRDefault="00662983" w:rsidP="00BD1E5A">
            <w:pPr>
              <w:jc w:val="both"/>
            </w:pPr>
          </w:p>
          <w:p w14:paraId="570D874A" w14:textId="77777777" w:rsidR="00B13D65" w:rsidRPr="00B13D65" w:rsidRDefault="00000000" w:rsidP="00BD1E5A">
            <w:pPr>
              <w:jc w:val="both"/>
            </w:pPr>
            <w:sdt>
              <w:sdtPr>
                <w:rPr>
                  <w:rStyle w:val="Style2"/>
                  <w:sz w:val="24"/>
                </w:rPr>
                <w:id w:val="1289549109"/>
              </w:sdt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3D0C0A2F"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1EF80EC"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54264C37" w14:textId="77777777" w:rsidTr="00BD1E5A">
        <w:tc>
          <w:tcPr>
            <w:tcW w:w="9962" w:type="dxa"/>
            <w:gridSpan w:val="2"/>
          </w:tcPr>
          <w:p w14:paraId="46D52F81" w14:textId="77777777" w:rsidR="00B13D65" w:rsidRDefault="00B13D65" w:rsidP="00E2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74469DF2" w14:textId="6C7B0755" w:rsidR="00E27BEF" w:rsidRPr="00B13D65" w:rsidRDefault="00E27BEF" w:rsidP="00E2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4A96BF32" w14:textId="77777777" w:rsidTr="00BD1E5A">
        <w:tc>
          <w:tcPr>
            <w:tcW w:w="4981" w:type="dxa"/>
          </w:tcPr>
          <w:p w14:paraId="5C46CB32" w14:textId="706178F0"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sdtPr>
              <w:sdtContent>
                <w:r w:rsidR="00A06DBB">
                  <w:rPr>
                    <w:rStyle w:val="Style2"/>
                    <w:rFonts w:ascii="MS Gothic" w:eastAsia="MS Gothic" w:hAnsi="MS Gothic" w:hint="eastAsia"/>
                    <w:sz w:val="24"/>
                  </w:rPr>
                  <w:t>☐</w:t>
                </w:r>
              </w:sdtContent>
            </w:sdt>
            <w:r w:rsidR="00B13D65" w:rsidRPr="00B13D65">
              <w:t xml:space="preserve"> 32.3. atitinka referencinę naudingumo vertę</w:t>
            </w:r>
          </w:p>
          <w:p w14:paraId="22EE289D"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98D4A5" w14:textId="5B3FFABD"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sdtPr>
              <w:sdtContent>
                <w:sdt>
                  <w:sdtPr>
                    <w:rPr>
                      <w:rStyle w:val="Style2"/>
                      <w:sz w:val="24"/>
                    </w:rPr>
                    <w:id w:val="-935897619"/>
                  </w:sdtPr>
                  <w:sdtContent>
                    <w:r w:rsidR="005F30EB">
                      <w:rPr>
                        <w:rStyle w:val="Style2"/>
                        <w:rFonts w:ascii="MS Gothic" w:eastAsia="MS Gothic" w:hAnsi="MS Gothic" w:hint="eastAsia"/>
                        <w:sz w:val="24"/>
                      </w:rPr>
                      <w:t>☐</w:t>
                    </w:r>
                  </w:sdtContent>
                </w:sdt>
              </w:sdtContent>
            </w:sdt>
            <w:r w:rsidR="00B13D65" w:rsidRPr="00B13D65">
              <w:t xml:space="preserve"> 32.3. gydymo juo kaštai yra mažesni ar tokie patys esant iš esmės nesiskirian</w:t>
            </w:r>
            <w:r w:rsidR="00B35176">
              <w:t>čiam palyginamajam efektyvumui</w:t>
            </w:r>
          </w:p>
          <w:p w14:paraId="73228DF6"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0FAD1646" w14:textId="7777777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sdt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7E3C314D"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63C47D0" w14:textId="2117477B"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sdtPr>
              <w:sdtContent>
                <w:sdt>
                  <w:sdtPr>
                    <w:rPr>
                      <w:rStyle w:val="Style2"/>
                      <w:sz w:val="24"/>
                    </w:rPr>
                    <w:id w:val="-953082947"/>
                  </w:sdtPr>
                  <w:sdtContent>
                    <w:r w:rsidR="005F30EB">
                      <w:rPr>
                        <w:rStyle w:val="Style2"/>
                        <w:rFonts w:ascii="MS Gothic" w:eastAsia="MS Gothic" w:hAnsi="MS Gothic" w:hint="eastAsia"/>
                        <w:sz w:val="24"/>
                      </w:rPr>
                      <w:t>☒</w:t>
                    </w:r>
                  </w:sdtContent>
                </w:sdt>
              </w:sdtContent>
            </w:sdt>
            <w:r w:rsidR="00B13D65" w:rsidRPr="00B13D65">
              <w:t xml:space="preserve"> 33.3. gydymo juo kaštai yra didesni esant iš esmės nesiskiriančiam palyginamajam efektyvumui, taikant</w:t>
            </w:r>
            <w:r w:rsidR="00662983">
              <w:t xml:space="preserve"> PGS</w:t>
            </w:r>
          </w:p>
          <w:p w14:paraId="319BE5AF"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4C72C5C"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sdt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27FDB1B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431D096" w14:textId="77777777" w:rsidR="0055060B" w:rsidRPr="0055060B" w:rsidRDefault="0055060B" w:rsidP="0055060B">
      <w:pPr>
        <w:rPr>
          <w:b/>
        </w:rPr>
      </w:pPr>
    </w:p>
    <w:p w14:paraId="561BC1CA" w14:textId="77777777" w:rsidR="0055060B" w:rsidRPr="0055060B" w:rsidRDefault="0055060B" w:rsidP="0055060B">
      <w:pPr>
        <w:pStyle w:val="ListParagraph"/>
        <w:numPr>
          <w:ilvl w:val="0"/>
          <w:numId w:val="12"/>
        </w:numPr>
        <w:ind w:left="567" w:hanging="567"/>
        <w:rPr>
          <w:b/>
        </w:rPr>
      </w:pPr>
      <w:r w:rsidRPr="0055060B">
        <w:rPr>
          <w:b/>
        </w:rPr>
        <w:t>REKOMENDACIJA</w:t>
      </w:r>
    </w:p>
    <w:p w14:paraId="01E63E2D" w14:textId="77777777" w:rsidR="0055060B" w:rsidRPr="008B63AB" w:rsidRDefault="0055060B" w:rsidP="00E27BEF">
      <w:pPr>
        <w:spacing w:line="276" w:lineRule="auto"/>
        <w:ind w:firstLine="567"/>
        <w:rPr>
          <w:i/>
          <w:color w:val="00B050"/>
        </w:rPr>
      </w:pPr>
    </w:p>
    <w:p w14:paraId="394B7E01" w14:textId="2BD0F876" w:rsidR="00E27BEF" w:rsidRPr="00E27BEF" w:rsidRDefault="00E27BEF" w:rsidP="00EF3EF4">
      <w:pPr>
        <w:spacing w:line="276" w:lineRule="auto"/>
        <w:ind w:firstLine="567"/>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34.4. rekomenduojama </w:t>
      </w:r>
      <w:r w:rsidRPr="00E33EFF">
        <w:rPr>
          <w:i/>
        </w:rPr>
        <w:t xml:space="preserve">nekompensuoti </w:t>
      </w:r>
      <w:r w:rsidRPr="00E33EFF">
        <w:t>vaistinio preparato pagal paraiškoje nurodytą indikaciją</w:t>
      </w:r>
      <w:r>
        <w:t xml:space="preserve"> </w:t>
      </w:r>
      <w:r w:rsidRPr="00E33EFF">
        <w:t>be skyrimo sąlygų, taikant PGS</w:t>
      </w:r>
      <w:r>
        <w:t xml:space="preserve"> </w:t>
      </w:r>
      <w:r w:rsidRPr="00E33EFF">
        <w:t>dėl vertinimo išvadų</w:t>
      </w:r>
      <w:r>
        <w:t xml:space="preserve">, nurodytų 33.3 papunktyje (žr. 6 skyrių), </w:t>
      </w:r>
      <w:r w:rsidRPr="00E33EFF">
        <w:t xml:space="preserve"> neatitikties </w:t>
      </w:r>
      <w:r w:rsidRPr="003D6208">
        <w:t>34.3 papunktyje išdėstytoms sąlygoms</w:t>
      </w:r>
      <w:r>
        <w:t>.</w:t>
      </w:r>
    </w:p>
    <w:p w14:paraId="7D27E3AB" w14:textId="77777777" w:rsidR="00E27BEF" w:rsidRPr="006F6679" w:rsidRDefault="00E27BEF" w:rsidP="0055060B">
      <w:pPr>
        <w:jc w:val="both"/>
        <w:rPr>
          <w:color w:val="000000" w:themeColor="text1"/>
        </w:rPr>
      </w:pPr>
    </w:p>
    <w:p w14:paraId="7F3F72A0" w14:textId="238F9A8E" w:rsidR="00D964EE" w:rsidRPr="00D964EE" w:rsidRDefault="00D964EE" w:rsidP="00D964EE">
      <w:pPr>
        <w:pStyle w:val="VVKT"/>
        <w:rPr>
          <w:b/>
          <w:bCs/>
          <w:lang w:val="lt-LT"/>
        </w:rPr>
      </w:pPr>
      <w:r w:rsidRPr="00D964EE">
        <w:rPr>
          <w:b/>
          <w:bCs/>
          <w:lang w:val="lt-LT"/>
        </w:rPr>
        <w:t>Papildoma informacija</w:t>
      </w:r>
    </w:p>
    <w:p w14:paraId="5BFB03DE" w14:textId="1537BC2E" w:rsidR="00D964EE" w:rsidRPr="00D964EE" w:rsidRDefault="00D964EE" w:rsidP="00D964EE">
      <w:pPr>
        <w:pStyle w:val="VVKT"/>
        <w:jc w:val="both"/>
        <w:rPr>
          <w:lang w:val="lt-LT"/>
        </w:rPr>
      </w:pPr>
      <w:r w:rsidRPr="00D964EE">
        <w:rPr>
          <w:lang w:val="lt-LT"/>
        </w:rPr>
        <w:t>Tarnyba, remiantis Vaistinių preparatų ir medicinos pagalbos priemonių įrašymo į kompensavimo sąrašus ir jų keitimo tvarkos aprašo, patvirtinto Lietuvos Respublikos sveikatos apsaugos ministro 2002 m. balandžio 5 d. įsakymu Nr. 159 „Dėl Vaistinių preparatų ir medicinos pagalbos priemonių įrašymo į kompensavimo sąrašus ir jų keitimo tvarkos aprašo patvirtinimo“ 35 punktu,  Komisijai teikia papildomas pastabas ir pasiūlymus, susijusius su Paraiškos vertinimu. Atsižvelgiant į ekonominės analizės rezultatą</w:t>
      </w:r>
      <w:r w:rsidR="00647369">
        <w:rPr>
          <w:lang w:val="lt-LT"/>
        </w:rPr>
        <w:t>,</w:t>
      </w:r>
      <w:r w:rsidRPr="00D964EE">
        <w:rPr>
          <w:lang w:val="lt-LT"/>
        </w:rPr>
        <w:t xml:space="preserve"> rekomendacija kompensuoti vaistinį preparatą galėtų būti teikiama, jei vaisto kainai būtų taikoma papildoma </w:t>
      </w:r>
      <w:r w:rsidR="003B6705">
        <w:rPr>
          <w:rFonts w:eastAsia="Arial"/>
          <w:lang w:val="en-US"/>
        </w:rPr>
        <w:t>******</w:t>
      </w:r>
      <w:r w:rsidR="003B6705" w:rsidRPr="006918ED">
        <w:rPr>
          <w:rFonts w:eastAsia="Arial"/>
          <w:lang w:val="en-US"/>
        </w:rPr>
        <w:t xml:space="preserve"> </w:t>
      </w:r>
      <w:r w:rsidRPr="00D964EE">
        <w:rPr>
          <w:lang w:val="lt-LT"/>
        </w:rPr>
        <w:t xml:space="preserve">nuolaida nuo </w:t>
      </w:r>
      <w:r w:rsidR="000F1DEB" w:rsidRPr="00D964EE">
        <w:rPr>
          <w:lang w:val="lt-LT"/>
        </w:rPr>
        <w:t xml:space="preserve">pareiškėjo </w:t>
      </w:r>
      <w:r w:rsidRPr="00D964EE">
        <w:rPr>
          <w:lang w:val="lt-LT"/>
        </w:rPr>
        <w:t>pateikto</w:t>
      </w:r>
      <w:r w:rsidR="000F1DEB">
        <w:rPr>
          <w:lang w:val="lt-LT"/>
        </w:rPr>
        <w:t>je</w:t>
      </w:r>
      <w:r w:rsidRPr="00D964EE">
        <w:rPr>
          <w:lang w:val="lt-LT"/>
        </w:rPr>
        <w:t xml:space="preserve"> PGS </w:t>
      </w:r>
      <w:r w:rsidR="000F1DEB">
        <w:rPr>
          <w:lang w:val="lt-LT"/>
        </w:rPr>
        <w:t>nurodytos</w:t>
      </w:r>
      <w:r w:rsidR="000F1DEB" w:rsidRPr="00D964EE">
        <w:rPr>
          <w:lang w:val="lt-LT"/>
        </w:rPr>
        <w:t xml:space="preserve"> </w:t>
      </w:r>
      <w:r w:rsidRPr="00D964EE">
        <w:rPr>
          <w:lang w:val="lt-LT"/>
        </w:rPr>
        <w:t>kainos</w:t>
      </w:r>
      <w:r w:rsidR="000F1DEB">
        <w:rPr>
          <w:lang w:val="lt-LT"/>
        </w:rPr>
        <w:t xml:space="preserve">. </w:t>
      </w:r>
    </w:p>
    <w:p w14:paraId="193672DF" w14:textId="77777777" w:rsidR="00D964EE" w:rsidRPr="006F6679" w:rsidRDefault="00D964EE" w:rsidP="00D964EE">
      <w:pPr>
        <w:pStyle w:val="VVKT"/>
        <w:jc w:val="both"/>
        <w:rPr>
          <w:lang w:val="lt-LT"/>
        </w:rPr>
      </w:pPr>
    </w:p>
    <w:p w14:paraId="5FC09BD3" w14:textId="77777777" w:rsidR="00D964EE" w:rsidRPr="006F6679" w:rsidRDefault="00D964EE" w:rsidP="0055060B">
      <w:pPr>
        <w:jc w:val="both"/>
        <w:rPr>
          <w:color w:val="000000" w:themeColor="text1"/>
        </w:rPr>
      </w:pPr>
    </w:p>
    <w:p w14:paraId="34E29198" w14:textId="77777777" w:rsidR="00D964EE" w:rsidRPr="006F6679" w:rsidRDefault="00D964EE" w:rsidP="0055060B">
      <w:pPr>
        <w:jc w:val="both"/>
        <w:rPr>
          <w:color w:val="000000" w:themeColor="text1"/>
        </w:rPr>
      </w:pPr>
    </w:p>
    <w:p w14:paraId="259D8CAF" w14:textId="77777777" w:rsidR="00D964EE" w:rsidRPr="008B63AB" w:rsidRDefault="00D964EE" w:rsidP="00D964EE"/>
    <w:p w14:paraId="282AD1F8" w14:textId="77777777" w:rsidR="00D964EE" w:rsidRPr="008B63AB" w:rsidRDefault="00D964EE" w:rsidP="00D964EE">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0DC5DA02" w14:textId="77777777" w:rsidR="00D964EE" w:rsidRPr="008B63AB" w:rsidRDefault="00D964EE" w:rsidP="00D964EE">
      <w:pPr>
        <w:tabs>
          <w:tab w:val="left" w:pos="426"/>
        </w:tabs>
        <w:jc w:val="both"/>
        <w:rPr>
          <w:b/>
          <w:color w:val="000000"/>
          <w:lang w:eastAsia="lt-LT"/>
        </w:rPr>
      </w:pPr>
    </w:p>
    <w:p w14:paraId="7A493A11" w14:textId="77777777" w:rsidR="00D964EE" w:rsidRPr="008B63AB" w:rsidRDefault="00D964EE" w:rsidP="00D964EE">
      <w:pPr>
        <w:outlineLvl w:val="0"/>
        <w:rPr>
          <w:b/>
          <w:lang w:eastAsia="lt-LT"/>
        </w:rPr>
      </w:pPr>
      <w:r w:rsidRPr="008B63AB">
        <w:rPr>
          <w:b/>
          <w:lang w:eastAsia="lt-LT"/>
        </w:rPr>
        <w:t>Terapinės indikacijos</w:t>
      </w:r>
    </w:p>
    <w:p w14:paraId="664598FB" w14:textId="77777777" w:rsidR="00D964EE" w:rsidRDefault="00000000" w:rsidP="00D964EE">
      <w:sdt>
        <w:sdtPr>
          <w:rPr>
            <w:rStyle w:val="Style2"/>
          </w:rPr>
          <w:id w:val="1146316688"/>
        </w:sdtPr>
        <w:sdtContent>
          <w:r w:rsidR="00D964EE" w:rsidRPr="008B63AB">
            <w:rPr>
              <w:rStyle w:val="Style2"/>
              <w:rFonts w:ascii="MS Gothic" w:eastAsia="MS Gothic" w:hAnsi="MS Gothic"/>
            </w:rPr>
            <w:t>☒</w:t>
          </w:r>
        </w:sdtContent>
      </w:sdt>
      <w:r w:rsidR="00D964EE" w:rsidRPr="008B63AB">
        <w:t xml:space="preserve"> Siūloma kompensuoti Pareiškėjo teikiamą indikaciją </w:t>
      </w:r>
      <w:r w:rsidR="00D964EE">
        <w:t>su</w:t>
      </w:r>
      <w:r w:rsidR="00D964EE" w:rsidRPr="008B63AB">
        <w:t xml:space="preserve"> pakeitim</w:t>
      </w:r>
      <w:r w:rsidR="00D964EE">
        <w:t>ais</w:t>
      </w:r>
      <w:r w:rsidR="00D964EE" w:rsidRPr="008B63AB">
        <w:t>.</w:t>
      </w:r>
    </w:p>
    <w:p w14:paraId="170ACA4D" w14:textId="77777777" w:rsidR="00D964EE" w:rsidRPr="00647369" w:rsidRDefault="00D964EE" w:rsidP="00D964EE"/>
    <w:p w14:paraId="13FF9BC8" w14:textId="77777777" w:rsidR="00D964EE" w:rsidRPr="006F6679" w:rsidRDefault="00D964EE" w:rsidP="00D964EE">
      <w:pPr>
        <w:spacing w:line="276" w:lineRule="auto"/>
        <w:jc w:val="both"/>
        <w:rPr>
          <w:iCs/>
        </w:rPr>
      </w:pPr>
      <w:r w:rsidRPr="006F6679">
        <w:rPr>
          <w:iCs/>
        </w:rPr>
        <w:t xml:space="preserve">Biktarvy skirtas žmogaus imunodeficito viruso-1 (ŽIV-1) infekcijai gydyti </w:t>
      </w:r>
      <w:r w:rsidRPr="006F6679">
        <w:rPr>
          <w:bCs/>
          <w:iCs/>
        </w:rPr>
        <w:t>suaugusiesiems</w:t>
      </w:r>
      <w:r w:rsidRPr="006F6679">
        <w:rPr>
          <w:iCs/>
        </w:rPr>
        <w:t>, kai nėra ir nebuvo nustatyta viruso atsparumo integrazės inhibitorių klasei, emtricitabinui arba tenofovirui. TLK-10-AM kodai: B20-B24.</w:t>
      </w:r>
    </w:p>
    <w:p w14:paraId="5007F6C9" w14:textId="77777777" w:rsidR="00D964EE" w:rsidRPr="00AF3EBC" w:rsidRDefault="00D964EE" w:rsidP="00D964EE">
      <w:pPr>
        <w:rPr>
          <w:b/>
          <w:i/>
          <w:iCs/>
        </w:rPr>
      </w:pPr>
    </w:p>
    <w:p w14:paraId="5C936086" w14:textId="77777777" w:rsidR="00D964EE" w:rsidRPr="00F87FD0" w:rsidRDefault="00D964EE" w:rsidP="00D964EE">
      <w:pPr>
        <w:outlineLvl w:val="0"/>
        <w:rPr>
          <w:rStyle w:val="Style2"/>
          <w:b/>
          <w:sz w:val="24"/>
        </w:rPr>
      </w:pPr>
      <w:r w:rsidRPr="008B63AB">
        <w:rPr>
          <w:b/>
        </w:rPr>
        <w:t>Skyrimo sąlygos</w:t>
      </w:r>
    </w:p>
    <w:p w14:paraId="1CEAD6EA" w14:textId="40AA915F" w:rsidR="00D964EE" w:rsidRPr="006F6679" w:rsidRDefault="00D964EE" w:rsidP="00D964EE">
      <w:pPr>
        <w:rPr>
          <w:iCs/>
          <w:lang w:val="en-US"/>
        </w:rPr>
      </w:pPr>
      <w:r w:rsidRPr="006F6679">
        <w:rPr>
          <w:rStyle w:val="Style2"/>
          <w:rFonts w:eastAsia="MS Gothic"/>
          <w:iCs/>
          <w:sz w:val="24"/>
        </w:rPr>
        <w:t>Netaikomos</w:t>
      </w:r>
      <w:r w:rsidR="000F1DEB">
        <w:rPr>
          <w:rStyle w:val="Style2"/>
          <w:rFonts w:eastAsia="MS Gothic"/>
          <w:iCs/>
          <w:sz w:val="24"/>
        </w:rPr>
        <w:t>.</w:t>
      </w:r>
    </w:p>
    <w:p w14:paraId="3C30579A" w14:textId="77777777" w:rsidR="00D964EE" w:rsidRPr="00E27BEF" w:rsidRDefault="00D964EE" w:rsidP="0055060B">
      <w:pPr>
        <w:jc w:val="both"/>
        <w:rPr>
          <w:color w:val="000000" w:themeColor="text1"/>
          <w:lang w:val="en-US"/>
        </w:rPr>
      </w:pPr>
    </w:p>
    <w:sectPr w:rsidR="00D964EE" w:rsidRPr="00E27BE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4F5B" w14:textId="77777777" w:rsidR="00EF455B" w:rsidRDefault="00EF455B">
      <w:r>
        <w:separator/>
      </w:r>
    </w:p>
  </w:endnote>
  <w:endnote w:type="continuationSeparator" w:id="0">
    <w:p w14:paraId="1D68D7C3" w14:textId="77777777" w:rsidR="00EF455B" w:rsidRDefault="00EF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calaLancetPro-Bold">
    <w:altName w:val="Yu Gothic"/>
    <w:panose1 w:val="00000000000000000000"/>
    <w:charset w:val="80"/>
    <w:family w:val="roman"/>
    <w:notTrueType/>
    <w:pitch w:val="default"/>
    <w:sig w:usb0="00000003" w:usb1="08070000" w:usb2="00000010" w:usb3="00000000" w:csb0="00020001" w:csb1="00000000"/>
  </w:font>
  <w:font w:name="TimesNewRoman">
    <w:altName w:val="Heiti TC Ligh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9051" w14:textId="77777777" w:rsidR="00087BF1" w:rsidRDefault="0008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FEAB" w14:textId="77777777" w:rsidR="00087BF1" w:rsidRDefault="00087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09A5"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0682" w14:textId="77777777" w:rsidR="00EF455B" w:rsidRDefault="00EF455B">
      <w:r>
        <w:separator/>
      </w:r>
    </w:p>
  </w:footnote>
  <w:footnote w:type="continuationSeparator" w:id="0">
    <w:p w14:paraId="35C2480D" w14:textId="77777777" w:rsidR="00EF455B" w:rsidRDefault="00EF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BFFC" w14:textId="77777777" w:rsidR="00347FAA" w:rsidRDefault="00F37E4E">
    <w:pPr>
      <w:pStyle w:val="Header"/>
      <w:framePr w:wrap="around" w:vAnchor="text" w:hAnchor="margin" w:xAlign="center" w:y="1"/>
      <w:rPr>
        <w:rStyle w:val="PageNumber"/>
      </w:rPr>
    </w:pPr>
    <w:r>
      <w:rPr>
        <w:rStyle w:val="PageNumber"/>
      </w:rPr>
      <w:fldChar w:fldCharType="begin"/>
    </w:r>
    <w:r w:rsidR="00347FAA">
      <w:rPr>
        <w:rStyle w:val="PageNumber"/>
      </w:rPr>
      <w:instrText xml:space="preserve">PAGE  </w:instrText>
    </w:r>
    <w:r>
      <w:rPr>
        <w:rStyle w:val="PageNumber"/>
      </w:rPr>
      <w:fldChar w:fldCharType="separate"/>
    </w:r>
    <w:r w:rsidR="00347FAA">
      <w:rPr>
        <w:rStyle w:val="PageNumber"/>
        <w:noProof/>
      </w:rPr>
      <w:t>1</w:t>
    </w:r>
    <w:r>
      <w:rPr>
        <w:rStyle w:val="PageNumber"/>
      </w:rPr>
      <w:fldChar w:fldCharType="end"/>
    </w:r>
  </w:p>
  <w:p w14:paraId="30BFE5B6"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B087" w14:textId="03970798" w:rsidR="00347FAA" w:rsidRDefault="00F37E4E">
    <w:pPr>
      <w:pStyle w:val="Header"/>
      <w:framePr w:wrap="around" w:vAnchor="text" w:hAnchor="margin" w:xAlign="center" w:y="1"/>
      <w:rPr>
        <w:rStyle w:val="PageNumber"/>
      </w:rPr>
    </w:pPr>
    <w:r>
      <w:rPr>
        <w:rStyle w:val="PageNumber"/>
      </w:rPr>
      <w:fldChar w:fldCharType="begin"/>
    </w:r>
    <w:r w:rsidR="00347FAA">
      <w:rPr>
        <w:rStyle w:val="PageNumber"/>
      </w:rPr>
      <w:instrText xml:space="preserve">PAGE  </w:instrText>
    </w:r>
    <w:r>
      <w:rPr>
        <w:rStyle w:val="PageNumber"/>
      </w:rPr>
      <w:fldChar w:fldCharType="separate"/>
    </w:r>
    <w:r w:rsidR="00087BF1">
      <w:rPr>
        <w:rStyle w:val="PageNumber"/>
        <w:noProof/>
      </w:rPr>
      <w:t>2</w:t>
    </w:r>
    <w:r>
      <w:rPr>
        <w:rStyle w:val="PageNumber"/>
      </w:rPr>
      <w:fldChar w:fldCharType="end"/>
    </w:r>
  </w:p>
  <w:p w14:paraId="29B40D5A"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F9F7"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2A31C1"/>
    <w:multiLevelType w:val="hybridMultilevel"/>
    <w:tmpl w:val="DA00F4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2A9C"/>
    <w:multiLevelType w:val="hybridMultilevel"/>
    <w:tmpl w:val="0CCC367A"/>
    <w:lvl w:ilvl="0" w:tplc="4E5CA144">
      <w:start w:val="1"/>
      <w:numFmt w:val="decimal"/>
      <w:lvlText w:val="%1."/>
      <w:lvlJc w:val="left"/>
      <w:pPr>
        <w:ind w:left="720" w:hanging="360"/>
      </w:pPr>
      <w:rPr>
        <w:rFonts w:ascii="Times New Roman" w:eastAsiaTheme="minorHAnsi" w:hAnsi="Times New Roman" w:cs="Times New Roman" w:hint="default"/>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F6A35"/>
    <w:multiLevelType w:val="hybridMultilevel"/>
    <w:tmpl w:val="AF9CA33A"/>
    <w:lvl w:ilvl="0" w:tplc="83E219B0">
      <w:start w:val="12"/>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9691753"/>
    <w:multiLevelType w:val="hybridMultilevel"/>
    <w:tmpl w:val="E902A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996EB7"/>
    <w:multiLevelType w:val="hybridMultilevel"/>
    <w:tmpl w:val="B5946248"/>
    <w:lvl w:ilvl="0" w:tplc="D38A1368">
      <w:start w:val="1"/>
      <w:numFmt w:val="bullet"/>
      <w:lvlText w:val=""/>
      <w:lvlJc w:val="left"/>
      <w:pPr>
        <w:ind w:left="720" w:hanging="360"/>
      </w:pPr>
      <w:rPr>
        <w:rFonts w:ascii="Symbol" w:hAnsi="Symbol" w:hint="default"/>
        <w:color w:val="000000" w:themeColor="text1"/>
        <w:u w:color="00408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F954F5"/>
    <w:multiLevelType w:val="hybridMultilevel"/>
    <w:tmpl w:val="E27A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C00652"/>
    <w:multiLevelType w:val="hybridMultilevel"/>
    <w:tmpl w:val="68FE3A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F2000B3"/>
    <w:multiLevelType w:val="hybridMultilevel"/>
    <w:tmpl w:val="225A6224"/>
    <w:lvl w:ilvl="0" w:tplc="65222088">
      <w:start w:val="1"/>
      <w:numFmt w:val="bullet"/>
      <w:lvlText w:val="•"/>
      <w:lvlJc w:val="left"/>
      <w:pPr>
        <w:tabs>
          <w:tab w:val="num" w:pos="720"/>
        </w:tabs>
        <w:ind w:left="720" w:hanging="360"/>
      </w:pPr>
      <w:rPr>
        <w:rFonts w:ascii="Arial" w:hAnsi="Arial" w:hint="default"/>
      </w:rPr>
    </w:lvl>
    <w:lvl w:ilvl="1" w:tplc="72BAC12E" w:tentative="1">
      <w:start w:val="1"/>
      <w:numFmt w:val="bullet"/>
      <w:lvlText w:val="•"/>
      <w:lvlJc w:val="left"/>
      <w:pPr>
        <w:tabs>
          <w:tab w:val="num" w:pos="1440"/>
        </w:tabs>
        <w:ind w:left="1440" w:hanging="360"/>
      </w:pPr>
      <w:rPr>
        <w:rFonts w:ascii="Arial" w:hAnsi="Arial" w:hint="default"/>
      </w:rPr>
    </w:lvl>
    <w:lvl w:ilvl="2" w:tplc="A3C2EB10" w:tentative="1">
      <w:start w:val="1"/>
      <w:numFmt w:val="bullet"/>
      <w:lvlText w:val="•"/>
      <w:lvlJc w:val="left"/>
      <w:pPr>
        <w:tabs>
          <w:tab w:val="num" w:pos="2160"/>
        </w:tabs>
        <w:ind w:left="2160" w:hanging="360"/>
      </w:pPr>
      <w:rPr>
        <w:rFonts w:ascii="Arial" w:hAnsi="Arial" w:hint="default"/>
      </w:rPr>
    </w:lvl>
    <w:lvl w:ilvl="3" w:tplc="5A3E570C" w:tentative="1">
      <w:start w:val="1"/>
      <w:numFmt w:val="bullet"/>
      <w:lvlText w:val="•"/>
      <w:lvlJc w:val="left"/>
      <w:pPr>
        <w:tabs>
          <w:tab w:val="num" w:pos="2880"/>
        </w:tabs>
        <w:ind w:left="2880" w:hanging="360"/>
      </w:pPr>
      <w:rPr>
        <w:rFonts w:ascii="Arial" w:hAnsi="Arial" w:hint="default"/>
      </w:rPr>
    </w:lvl>
    <w:lvl w:ilvl="4" w:tplc="EFD2DB22" w:tentative="1">
      <w:start w:val="1"/>
      <w:numFmt w:val="bullet"/>
      <w:lvlText w:val="•"/>
      <w:lvlJc w:val="left"/>
      <w:pPr>
        <w:tabs>
          <w:tab w:val="num" w:pos="3600"/>
        </w:tabs>
        <w:ind w:left="3600" w:hanging="360"/>
      </w:pPr>
      <w:rPr>
        <w:rFonts w:ascii="Arial" w:hAnsi="Arial" w:hint="default"/>
      </w:rPr>
    </w:lvl>
    <w:lvl w:ilvl="5" w:tplc="65BA033A" w:tentative="1">
      <w:start w:val="1"/>
      <w:numFmt w:val="bullet"/>
      <w:lvlText w:val="•"/>
      <w:lvlJc w:val="left"/>
      <w:pPr>
        <w:tabs>
          <w:tab w:val="num" w:pos="4320"/>
        </w:tabs>
        <w:ind w:left="4320" w:hanging="360"/>
      </w:pPr>
      <w:rPr>
        <w:rFonts w:ascii="Arial" w:hAnsi="Arial" w:hint="default"/>
      </w:rPr>
    </w:lvl>
    <w:lvl w:ilvl="6" w:tplc="482C1D18" w:tentative="1">
      <w:start w:val="1"/>
      <w:numFmt w:val="bullet"/>
      <w:lvlText w:val="•"/>
      <w:lvlJc w:val="left"/>
      <w:pPr>
        <w:tabs>
          <w:tab w:val="num" w:pos="5040"/>
        </w:tabs>
        <w:ind w:left="5040" w:hanging="360"/>
      </w:pPr>
      <w:rPr>
        <w:rFonts w:ascii="Arial" w:hAnsi="Arial" w:hint="default"/>
      </w:rPr>
    </w:lvl>
    <w:lvl w:ilvl="7" w:tplc="7CD80E4C" w:tentative="1">
      <w:start w:val="1"/>
      <w:numFmt w:val="bullet"/>
      <w:lvlText w:val="•"/>
      <w:lvlJc w:val="left"/>
      <w:pPr>
        <w:tabs>
          <w:tab w:val="num" w:pos="5760"/>
        </w:tabs>
        <w:ind w:left="5760" w:hanging="360"/>
      </w:pPr>
      <w:rPr>
        <w:rFonts w:ascii="Arial" w:hAnsi="Arial" w:hint="default"/>
      </w:rPr>
    </w:lvl>
    <w:lvl w:ilvl="8" w:tplc="B6A0A7A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929651">
    <w:abstractNumId w:val="9"/>
  </w:num>
  <w:num w:numId="2" w16cid:durableId="507915665">
    <w:abstractNumId w:val="4"/>
  </w:num>
  <w:num w:numId="3" w16cid:durableId="1236818511">
    <w:abstractNumId w:val="14"/>
  </w:num>
  <w:num w:numId="4" w16cid:durableId="1716585918">
    <w:abstractNumId w:val="12"/>
  </w:num>
  <w:num w:numId="5" w16cid:durableId="862667961">
    <w:abstractNumId w:val="8"/>
  </w:num>
  <w:num w:numId="6" w16cid:durableId="321156432">
    <w:abstractNumId w:val="7"/>
  </w:num>
  <w:num w:numId="7" w16cid:durableId="409891255">
    <w:abstractNumId w:val="6"/>
  </w:num>
  <w:num w:numId="8" w16cid:durableId="87780043">
    <w:abstractNumId w:val="22"/>
  </w:num>
  <w:num w:numId="9" w16cid:durableId="1383212565">
    <w:abstractNumId w:val="0"/>
  </w:num>
  <w:num w:numId="10" w16cid:durableId="423189400">
    <w:abstractNumId w:val="15"/>
  </w:num>
  <w:num w:numId="11" w16cid:durableId="798035088">
    <w:abstractNumId w:val="18"/>
  </w:num>
  <w:num w:numId="12" w16cid:durableId="1168398278">
    <w:abstractNumId w:val="5"/>
  </w:num>
  <w:num w:numId="13" w16cid:durableId="2096660060">
    <w:abstractNumId w:val="2"/>
  </w:num>
  <w:num w:numId="14" w16cid:durableId="1855722493">
    <w:abstractNumId w:val="17"/>
  </w:num>
  <w:num w:numId="15" w16cid:durableId="785586943">
    <w:abstractNumId w:val="23"/>
  </w:num>
  <w:num w:numId="16" w16cid:durableId="1365788229">
    <w:abstractNumId w:val="20"/>
  </w:num>
  <w:num w:numId="17" w16cid:durableId="109475568">
    <w:abstractNumId w:val="1"/>
  </w:num>
  <w:num w:numId="18" w16cid:durableId="1797067200">
    <w:abstractNumId w:val="16"/>
  </w:num>
  <w:num w:numId="19" w16cid:durableId="676886559">
    <w:abstractNumId w:val="11"/>
  </w:num>
  <w:num w:numId="20" w16cid:durableId="908461494">
    <w:abstractNumId w:val="19"/>
  </w:num>
  <w:num w:numId="21" w16cid:durableId="427116243">
    <w:abstractNumId w:val="13"/>
  </w:num>
  <w:num w:numId="22" w16cid:durableId="35279439">
    <w:abstractNumId w:val="3"/>
  </w:num>
  <w:num w:numId="23" w16cid:durableId="1202548502">
    <w:abstractNumId w:val="10"/>
  </w:num>
  <w:num w:numId="24" w16cid:durableId="13302571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2A74"/>
    <w:rsid w:val="00003F5B"/>
    <w:rsid w:val="000114DD"/>
    <w:rsid w:val="000136F7"/>
    <w:rsid w:val="0002686C"/>
    <w:rsid w:val="00031D0E"/>
    <w:rsid w:val="000337E6"/>
    <w:rsid w:val="0003402E"/>
    <w:rsid w:val="00034EAE"/>
    <w:rsid w:val="000367AA"/>
    <w:rsid w:val="000606BE"/>
    <w:rsid w:val="000736B8"/>
    <w:rsid w:val="0008190F"/>
    <w:rsid w:val="00081D9C"/>
    <w:rsid w:val="00082907"/>
    <w:rsid w:val="0008378D"/>
    <w:rsid w:val="00087BF1"/>
    <w:rsid w:val="00090638"/>
    <w:rsid w:val="000908A5"/>
    <w:rsid w:val="00092805"/>
    <w:rsid w:val="00096C4F"/>
    <w:rsid w:val="000C454C"/>
    <w:rsid w:val="000D5038"/>
    <w:rsid w:val="000E29D4"/>
    <w:rsid w:val="000F1DEB"/>
    <w:rsid w:val="000F3540"/>
    <w:rsid w:val="00100491"/>
    <w:rsid w:val="00104E2E"/>
    <w:rsid w:val="00107287"/>
    <w:rsid w:val="00117406"/>
    <w:rsid w:val="00121EF0"/>
    <w:rsid w:val="00122CC7"/>
    <w:rsid w:val="00124A9E"/>
    <w:rsid w:val="00130703"/>
    <w:rsid w:val="0013153F"/>
    <w:rsid w:val="001408B8"/>
    <w:rsid w:val="001521D9"/>
    <w:rsid w:val="001554E2"/>
    <w:rsid w:val="00164146"/>
    <w:rsid w:val="0017369C"/>
    <w:rsid w:val="00180C39"/>
    <w:rsid w:val="00180D96"/>
    <w:rsid w:val="001921F3"/>
    <w:rsid w:val="001B3C5B"/>
    <w:rsid w:val="001B62CB"/>
    <w:rsid w:val="001E3C7E"/>
    <w:rsid w:val="001E4BBB"/>
    <w:rsid w:val="001E6304"/>
    <w:rsid w:val="0020381E"/>
    <w:rsid w:val="00213471"/>
    <w:rsid w:val="00214F6C"/>
    <w:rsid w:val="00215906"/>
    <w:rsid w:val="0025697F"/>
    <w:rsid w:val="00260258"/>
    <w:rsid w:val="00272428"/>
    <w:rsid w:val="00272948"/>
    <w:rsid w:val="002867E5"/>
    <w:rsid w:val="002946C7"/>
    <w:rsid w:val="002A3421"/>
    <w:rsid w:val="002A6B73"/>
    <w:rsid w:val="002B3CC1"/>
    <w:rsid w:val="002C09E0"/>
    <w:rsid w:val="002C3A10"/>
    <w:rsid w:val="002C4A90"/>
    <w:rsid w:val="002D02EF"/>
    <w:rsid w:val="002E0702"/>
    <w:rsid w:val="002E6F80"/>
    <w:rsid w:val="002F0E4F"/>
    <w:rsid w:val="002F1053"/>
    <w:rsid w:val="00306D00"/>
    <w:rsid w:val="00317B0E"/>
    <w:rsid w:val="00333B00"/>
    <w:rsid w:val="003346C8"/>
    <w:rsid w:val="00347FAA"/>
    <w:rsid w:val="0035172D"/>
    <w:rsid w:val="0035444E"/>
    <w:rsid w:val="003607CB"/>
    <w:rsid w:val="0036187D"/>
    <w:rsid w:val="00362B66"/>
    <w:rsid w:val="0036497D"/>
    <w:rsid w:val="00381024"/>
    <w:rsid w:val="00386307"/>
    <w:rsid w:val="003874DE"/>
    <w:rsid w:val="00390F3E"/>
    <w:rsid w:val="00393E9F"/>
    <w:rsid w:val="0039696E"/>
    <w:rsid w:val="003B211A"/>
    <w:rsid w:val="003B6705"/>
    <w:rsid w:val="003C12B3"/>
    <w:rsid w:val="003C141F"/>
    <w:rsid w:val="003C6B0E"/>
    <w:rsid w:val="003C7257"/>
    <w:rsid w:val="003C7E35"/>
    <w:rsid w:val="003E5FCD"/>
    <w:rsid w:val="00404E8A"/>
    <w:rsid w:val="0040622F"/>
    <w:rsid w:val="00423160"/>
    <w:rsid w:val="00453862"/>
    <w:rsid w:val="00461338"/>
    <w:rsid w:val="004677DB"/>
    <w:rsid w:val="004803D0"/>
    <w:rsid w:val="0048630F"/>
    <w:rsid w:val="004947A1"/>
    <w:rsid w:val="0049482A"/>
    <w:rsid w:val="004979D3"/>
    <w:rsid w:val="004A00E7"/>
    <w:rsid w:val="004A3A61"/>
    <w:rsid w:val="004B59BA"/>
    <w:rsid w:val="004C263A"/>
    <w:rsid w:val="004C4FBA"/>
    <w:rsid w:val="004D7B8F"/>
    <w:rsid w:val="004E6458"/>
    <w:rsid w:val="004E6E7D"/>
    <w:rsid w:val="004F1AAC"/>
    <w:rsid w:val="004F1AE2"/>
    <w:rsid w:val="004F34F0"/>
    <w:rsid w:val="005005EF"/>
    <w:rsid w:val="005159C2"/>
    <w:rsid w:val="005270F1"/>
    <w:rsid w:val="00534E11"/>
    <w:rsid w:val="005400D9"/>
    <w:rsid w:val="005476A4"/>
    <w:rsid w:val="0055019B"/>
    <w:rsid w:val="0055060B"/>
    <w:rsid w:val="00556E63"/>
    <w:rsid w:val="005601A4"/>
    <w:rsid w:val="00566DBB"/>
    <w:rsid w:val="005976CE"/>
    <w:rsid w:val="005A23D4"/>
    <w:rsid w:val="005A2D1E"/>
    <w:rsid w:val="005C493F"/>
    <w:rsid w:val="005C6BF7"/>
    <w:rsid w:val="005C71BF"/>
    <w:rsid w:val="005D002C"/>
    <w:rsid w:val="005D30E1"/>
    <w:rsid w:val="005D6555"/>
    <w:rsid w:val="005D7BDF"/>
    <w:rsid w:val="005E4C2D"/>
    <w:rsid w:val="005F30EB"/>
    <w:rsid w:val="005F71D9"/>
    <w:rsid w:val="005F7602"/>
    <w:rsid w:val="006108BA"/>
    <w:rsid w:val="00613501"/>
    <w:rsid w:val="006166A8"/>
    <w:rsid w:val="006174A1"/>
    <w:rsid w:val="00633B49"/>
    <w:rsid w:val="0064297F"/>
    <w:rsid w:val="00646CF3"/>
    <w:rsid w:val="00647369"/>
    <w:rsid w:val="00662983"/>
    <w:rsid w:val="006661F8"/>
    <w:rsid w:val="006705B8"/>
    <w:rsid w:val="006834D3"/>
    <w:rsid w:val="00692625"/>
    <w:rsid w:val="00695CD3"/>
    <w:rsid w:val="006A38B6"/>
    <w:rsid w:val="006B1987"/>
    <w:rsid w:val="006B5B71"/>
    <w:rsid w:val="006B6CB0"/>
    <w:rsid w:val="006C2B64"/>
    <w:rsid w:val="006D4C85"/>
    <w:rsid w:val="006E33F6"/>
    <w:rsid w:val="006F1251"/>
    <w:rsid w:val="006F1C23"/>
    <w:rsid w:val="006F6679"/>
    <w:rsid w:val="00703166"/>
    <w:rsid w:val="007127F3"/>
    <w:rsid w:val="007301CF"/>
    <w:rsid w:val="007316FB"/>
    <w:rsid w:val="00737E2D"/>
    <w:rsid w:val="007424D5"/>
    <w:rsid w:val="007523DD"/>
    <w:rsid w:val="00757B7E"/>
    <w:rsid w:val="00795DC5"/>
    <w:rsid w:val="00797153"/>
    <w:rsid w:val="007B0DDA"/>
    <w:rsid w:val="007D6482"/>
    <w:rsid w:val="007E5466"/>
    <w:rsid w:val="007F1949"/>
    <w:rsid w:val="00802956"/>
    <w:rsid w:val="008038D5"/>
    <w:rsid w:val="008075B7"/>
    <w:rsid w:val="00817A84"/>
    <w:rsid w:val="008225A4"/>
    <w:rsid w:val="00826D5E"/>
    <w:rsid w:val="00832013"/>
    <w:rsid w:val="00834732"/>
    <w:rsid w:val="00843554"/>
    <w:rsid w:val="0085200C"/>
    <w:rsid w:val="00857C52"/>
    <w:rsid w:val="008651E2"/>
    <w:rsid w:val="00880A44"/>
    <w:rsid w:val="0088345E"/>
    <w:rsid w:val="0088656F"/>
    <w:rsid w:val="008A0303"/>
    <w:rsid w:val="008A5FDD"/>
    <w:rsid w:val="008C3947"/>
    <w:rsid w:val="008D370A"/>
    <w:rsid w:val="008E7329"/>
    <w:rsid w:val="008F2ED5"/>
    <w:rsid w:val="009145D2"/>
    <w:rsid w:val="00916202"/>
    <w:rsid w:val="0092297E"/>
    <w:rsid w:val="00926589"/>
    <w:rsid w:val="0093069F"/>
    <w:rsid w:val="009341BF"/>
    <w:rsid w:val="00937907"/>
    <w:rsid w:val="00941739"/>
    <w:rsid w:val="00951573"/>
    <w:rsid w:val="00963003"/>
    <w:rsid w:val="00983471"/>
    <w:rsid w:val="009909AB"/>
    <w:rsid w:val="009B37DB"/>
    <w:rsid w:val="009C7A8C"/>
    <w:rsid w:val="009D23F9"/>
    <w:rsid w:val="009D2AB7"/>
    <w:rsid w:val="009D4FA8"/>
    <w:rsid w:val="009E6CD6"/>
    <w:rsid w:val="00A00C3C"/>
    <w:rsid w:val="00A01091"/>
    <w:rsid w:val="00A06DBB"/>
    <w:rsid w:val="00A31E86"/>
    <w:rsid w:val="00A54D87"/>
    <w:rsid w:val="00A5553C"/>
    <w:rsid w:val="00A71554"/>
    <w:rsid w:val="00A81785"/>
    <w:rsid w:val="00A84803"/>
    <w:rsid w:val="00A84C51"/>
    <w:rsid w:val="00A86F2B"/>
    <w:rsid w:val="00A91366"/>
    <w:rsid w:val="00A93AA6"/>
    <w:rsid w:val="00AA4E48"/>
    <w:rsid w:val="00AA6202"/>
    <w:rsid w:val="00AC4A99"/>
    <w:rsid w:val="00AC64D2"/>
    <w:rsid w:val="00AE0FE8"/>
    <w:rsid w:val="00AF3EBC"/>
    <w:rsid w:val="00AF60D5"/>
    <w:rsid w:val="00B04415"/>
    <w:rsid w:val="00B11D60"/>
    <w:rsid w:val="00B11E4B"/>
    <w:rsid w:val="00B13D65"/>
    <w:rsid w:val="00B35176"/>
    <w:rsid w:val="00B351ED"/>
    <w:rsid w:val="00B37245"/>
    <w:rsid w:val="00B4017A"/>
    <w:rsid w:val="00B4468D"/>
    <w:rsid w:val="00B71C72"/>
    <w:rsid w:val="00B81E92"/>
    <w:rsid w:val="00B93B30"/>
    <w:rsid w:val="00B94CB5"/>
    <w:rsid w:val="00BA0DD9"/>
    <w:rsid w:val="00BA4F88"/>
    <w:rsid w:val="00BB6312"/>
    <w:rsid w:val="00BC4D06"/>
    <w:rsid w:val="00BD585E"/>
    <w:rsid w:val="00BF2E0D"/>
    <w:rsid w:val="00BF3F8B"/>
    <w:rsid w:val="00BF76DA"/>
    <w:rsid w:val="00C07C7B"/>
    <w:rsid w:val="00C24479"/>
    <w:rsid w:val="00C37B53"/>
    <w:rsid w:val="00C517D2"/>
    <w:rsid w:val="00C62B36"/>
    <w:rsid w:val="00C638D6"/>
    <w:rsid w:val="00C7012C"/>
    <w:rsid w:val="00C96915"/>
    <w:rsid w:val="00CB1C5E"/>
    <w:rsid w:val="00CC668D"/>
    <w:rsid w:val="00CC7832"/>
    <w:rsid w:val="00CF0C1C"/>
    <w:rsid w:val="00CF1FFA"/>
    <w:rsid w:val="00D2102A"/>
    <w:rsid w:val="00D23808"/>
    <w:rsid w:val="00D2781D"/>
    <w:rsid w:val="00D3016A"/>
    <w:rsid w:val="00D42960"/>
    <w:rsid w:val="00D43BD7"/>
    <w:rsid w:val="00D4485B"/>
    <w:rsid w:val="00D4708D"/>
    <w:rsid w:val="00D4744C"/>
    <w:rsid w:val="00D63068"/>
    <w:rsid w:val="00D6498C"/>
    <w:rsid w:val="00D8521E"/>
    <w:rsid w:val="00D876D6"/>
    <w:rsid w:val="00D9291C"/>
    <w:rsid w:val="00D93A97"/>
    <w:rsid w:val="00D964EE"/>
    <w:rsid w:val="00DB1F64"/>
    <w:rsid w:val="00DC2F53"/>
    <w:rsid w:val="00DC6816"/>
    <w:rsid w:val="00DC76C2"/>
    <w:rsid w:val="00DD1CF2"/>
    <w:rsid w:val="00DF41B7"/>
    <w:rsid w:val="00DF4A4A"/>
    <w:rsid w:val="00DF583C"/>
    <w:rsid w:val="00E03C3F"/>
    <w:rsid w:val="00E24D45"/>
    <w:rsid w:val="00E27BEF"/>
    <w:rsid w:val="00E33DB8"/>
    <w:rsid w:val="00E34387"/>
    <w:rsid w:val="00E369FE"/>
    <w:rsid w:val="00E3756B"/>
    <w:rsid w:val="00E37C6F"/>
    <w:rsid w:val="00E475F8"/>
    <w:rsid w:val="00E5102E"/>
    <w:rsid w:val="00E5721C"/>
    <w:rsid w:val="00E619C6"/>
    <w:rsid w:val="00E745A1"/>
    <w:rsid w:val="00E81529"/>
    <w:rsid w:val="00E83A13"/>
    <w:rsid w:val="00E84FAD"/>
    <w:rsid w:val="00EC2356"/>
    <w:rsid w:val="00EC2582"/>
    <w:rsid w:val="00EC337C"/>
    <w:rsid w:val="00ED0CFF"/>
    <w:rsid w:val="00ED31D2"/>
    <w:rsid w:val="00EE0ACF"/>
    <w:rsid w:val="00EE0EAC"/>
    <w:rsid w:val="00EE33CB"/>
    <w:rsid w:val="00EF3EF4"/>
    <w:rsid w:val="00EF455B"/>
    <w:rsid w:val="00F0061A"/>
    <w:rsid w:val="00F02834"/>
    <w:rsid w:val="00F07CD7"/>
    <w:rsid w:val="00F127E9"/>
    <w:rsid w:val="00F174C8"/>
    <w:rsid w:val="00F36972"/>
    <w:rsid w:val="00F37E4E"/>
    <w:rsid w:val="00F42426"/>
    <w:rsid w:val="00F456BC"/>
    <w:rsid w:val="00F50666"/>
    <w:rsid w:val="00F60C95"/>
    <w:rsid w:val="00F70C9E"/>
    <w:rsid w:val="00F74A74"/>
    <w:rsid w:val="00F8382C"/>
    <w:rsid w:val="00F855D7"/>
    <w:rsid w:val="00F87FD0"/>
    <w:rsid w:val="00F92035"/>
    <w:rsid w:val="00F92748"/>
    <w:rsid w:val="00F953C7"/>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5B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aliases w:val="~BaseStyle,PBAC Table Footnote,Preliminary Heading"/>
    <w:link w:val="NoSpacingChar"/>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character" w:customStyle="1" w:styleId="NoSpacingChar">
    <w:name w:val="No Spacing Char"/>
    <w:aliases w:val="~BaseStyle Char,PBAC Table Footnote Char,Preliminary Heading Char"/>
    <w:basedOn w:val="DefaultParagraphFont"/>
    <w:link w:val="NoSpacing"/>
    <w:uiPriority w:val="1"/>
    <w:locked/>
    <w:rsid w:val="0036497D"/>
    <w:rPr>
      <w:rFonts w:ascii="Calibri" w:eastAsia="Calibri" w:hAnsi="Calibri"/>
      <w:sz w:val="22"/>
      <w:szCs w:val="22"/>
      <w:lang w:eastAsia="en-US"/>
    </w:rPr>
  </w:style>
  <w:style w:type="paragraph" w:customStyle="1" w:styleId="Tekstas">
    <w:name w:val="Tekstas"/>
    <w:basedOn w:val="Normal"/>
    <w:qFormat/>
    <w:rsid w:val="0035444E"/>
    <w:pPr>
      <w:spacing w:after="120"/>
      <w:jc w:val="both"/>
    </w:pPr>
    <w:rPr>
      <w:lang w:eastAsia="lt-LT"/>
    </w:rPr>
  </w:style>
  <w:style w:type="paragraph" w:customStyle="1" w:styleId="0TEXT">
    <w:name w:val="0: TEXT"/>
    <w:basedOn w:val="Normal"/>
    <w:link w:val="0TEXTChar"/>
    <w:qFormat/>
    <w:rsid w:val="0035444E"/>
    <w:pPr>
      <w:ind w:firstLine="567"/>
      <w:jc w:val="both"/>
    </w:pPr>
    <w:rPr>
      <w:rFonts w:eastAsiaTheme="minorHAnsi"/>
      <w:bCs/>
      <w:color w:val="000000"/>
      <w:lang w:val="en-GB"/>
    </w:rPr>
  </w:style>
  <w:style w:type="character" w:customStyle="1" w:styleId="0TEXTChar">
    <w:name w:val="0: TEXT Char"/>
    <w:basedOn w:val="DefaultParagraphFont"/>
    <w:link w:val="0TEXT"/>
    <w:rsid w:val="0035444E"/>
    <w:rPr>
      <w:rFonts w:eastAsiaTheme="minorHAnsi"/>
      <w:bCs/>
      <w:color w:val="000000"/>
      <w:sz w:val="24"/>
      <w:szCs w:val="24"/>
      <w:lang w:val="en-GB" w:eastAsia="en-US"/>
    </w:rPr>
  </w:style>
  <w:style w:type="paragraph" w:customStyle="1" w:styleId="VVKT">
    <w:name w:val="VVKT"/>
    <w:basedOn w:val="Normal"/>
    <w:link w:val="VVKTChar"/>
    <w:qFormat/>
    <w:rsid w:val="005F30EB"/>
    <w:pPr>
      <w:spacing w:line="276" w:lineRule="auto"/>
      <w:ind w:firstLine="567"/>
    </w:pPr>
    <w:rPr>
      <w:rFonts w:eastAsiaTheme="minorHAnsi"/>
      <w:color w:val="000000"/>
      <w:lang w:val="en-GB"/>
    </w:rPr>
  </w:style>
  <w:style w:type="character" w:customStyle="1" w:styleId="VVKTChar">
    <w:name w:val="VVKT Char"/>
    <w:basedOn w:val="0TEXTChar"/>
    <w:link w:val="VVKT"/>
    <w:rsid w:val="005F30EB"/>
    <w:rPr>
      <w:rFonts w:eastAsiaTheme="minorHAnsi"/>
      <w:bCs w:val="0"/>
      <w:color w:val="000000"/>
      <w:sz w:val="24"/>
      <w:szCs w:val="24"/>
      <w:lang w:val="en-GB" w:eastAsia="en-US"/>
    </w:rPr>
  </w:style>
  <w:style w:type="paragraph" w:styleId="Revision">
    <w:name w:val="Revision"/>
    <w:hidden/>
    <w:uiPriority w:val="99"/>
    <w:semiHidden/>
    <w:rsid w:val="006F667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26611">
      <w:bodyDiv w:val="1"/>
      <w:marLeft w:val="0"/>
      <w:marRight w:val="0"/>
      <w:marTop w:val="0"/>
      <w:marBottom w:val="0"/>
      <w:divBdr>
        <w:top w:val="none" w:sz="0" w:space="0" w:color="auto"/>
        <w:left w:val="none" w:sz="0" w:space="0" w:color="auto"/>
        <w:bottom w:val="none" w:sz="0" w:space="0" w:color="auto"/>
        <w:right w:val="none" w:sz="0" w:space="0" w:color="auto"/>
      </w:divBdr>
      <w:divsChild>
        <w:div w:id="1046297248">
          <w:marLeft w:val="360"/>
          <w:marRight w:val="0"/>
          <w:marTop w:val="200"/>
          <w:marBottom w:val="0"/>
          <w:divBdr>
            <w:top w:val="none" w:sz="0" w:space="0" w:color="auto"/>
            <w:left w:val="none" w:sz="0" w:space="0" w:color="auto"/>
            <w:bottom w:val="none" w:sz="0" w:space="0" w:color="auto"/>
            <w:right w:val="none" w:sz="0" w:space="0" w:color="auto"/>
          </w:divBdr>
        </w:div>
      </w:divsChild>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56328287742EE9CF7F22FE07A58D5"/>
        <w:category>
          <w:name w:val="General"/>
          <w:gallery w:val="placeholder"/>
        </w:category>
        <w:types>
          <w:type w:val="bbPlcHdr"/>
        </w:types>
        <w:behaviors>
          <w:behavior w:val="content"/>
        </w:behaviors>
        <w:guid w:val="{6216A823-AB69-4CFE-8BCB-135E649E0859}"/>
      </w:docPartPr>
      <w:docPartBody>
        <w:p w:rsidR="00125CA5" w:rsidRDefault="00AE353D" w:rsidP="00AE353D">
          <w:pPr>
            <w:pStyle w:val="A0356328287742EE9CF7F22FE07A58D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calaLancetPro-Bold">
    <w:altName w:val="Yu Gothic"/>
    <w:panose1 w:val="00000000000000000000"/>
    <w:charset w:val="80"/>
    <w:family w:val="roman"/>
    <w:notTrueType/>
    <w:pitch w:val="default"/>
    <w:sig w:usb0="00000003" w:usb1="08070000" w:usb2="00000010" w:usb3="00000000" w:csb0="00020001" w:csb1="00000000"/>
  </w:font>
  <w:font w:name="TimesNewRoman">
    <w:altName w:val="Heiti TC Ligh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3D"/>
    <w:rsid w:val="00115DE6"/>
    <w:rsid w:val="00125CA5"/>
    <w:rsid w:val="00291AC3"/>
    <w:rsid w:val="00AE353D"/>
    <w:rsid w:val="00F50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353D"/>
    <w:rPr>
      <w:color w:val="808080"/>
    </w:rPr>
  </w:style>
  <w:style w:type="paragraph" w:customStyle="1" w:styleId="A0356328287742EE9CF7F22FE07A58D5">
    <w:name w:val="A0356328287742EE9CF7F22FE07A58D5"/>
    <w:rsid w:val="00AE3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48A3-34C6-44AE-940F-29806192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2517</Words>
  <Characters>14350</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16834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2023-05-04T07:30:00Z</dcterms:created>
  <dcterms:modified xsi:type="dcterms:W3CDTF">2023-05-18T03:24:00Z</dcterms:modified>
</cp:coreProperties>
</file>