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EB3" w14:textId="1955ADE3" w:rsidR="005F7602" w:rsidRPr="000203E1" w:rsidRDefault="005F7602" w:rsidP="002946C7">
      <w:pPr>
        <w:ind w:left="5529"/>
      </w:pPr>
    </w:p>
    <w:p w14:paraId="12FA4B9E" w14:textId="77777777" w:rsidR="001B3C5B" w:rsidRPr="000203E1" w:rsidRDefault="001B3C5B" w:rsidP="001B3C5B">
      <w:pPr>
        <w:ind w:left="6096"/>
      </w:pPr>
      <w:r w:rsidRPr="000203E1">
        <w:t>Forma patvirtinta</w:t>
      </w:r>
    </w:p>
    <w:p w14:paraId="7206970B" w14:textId="70E9BD2E" w:rsidR="004C263A" w:rsidRPr="000203E1" w:rsidRDefault="001B3C5B" w:rsidP="001B3C5B">
      <w:pPr>
        <w:ind w:left="6096"/>
      </w:pPr>
      <w:r w:rsidRPr="000203E1">
        <w:t>Valstybinės vaistų kontrolės tarnybos prie Lietuvos Respublikos sveikatos apsaugos ministerijos viršininko 2021 m</w:t>
      </w:r>
      <w:r w:rsidR="004C263A" w:rsidRPr="000203E1">
        <w:t xml:space="preserve">. lapkričio 12 </w:t>
      </w:r>
      <w:r w:rsidRPr="000203E1">
        <w:t>d. įsakymu Nr.</w:t>
      </w:r>
      <w:r w:rsidR="004C263A" w:rsidRPr="000203E1">
        <w:t xml:space="preserve"> (1.72E)1A-1418</w:t>
      </w:r>
    </w:p>
    <w:p w14:paraId="5B219AA6" w14:textId="520B9136" w:rsidR="001B3C5B" w:rsidRPr="000203E1" w:rsidRDefault="004C263A" w:rsidP="001B3C5B">
      <w:pPr>
        <w:ind w:left="6096"/>
      </w:pPr>
      <w:r w:rsidRPr="000203E1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0203E1" w:rsidRDefault="001B3C5B" w:rsidP="00FA4169"/>
    <w:p w14:paraId="77AFB67E" w14:textId="16397257" w:rsidR="00613501" w:rsidRPr="000203E1" w:rsidRDefault="002F0E4F" w:rsidP="003B211A">
      <w:pPr>
        <w:jc w:val="center"/>
        <w:rPr>
          <w:b/>
          <w:bCs/>
          <w:caps/>
        </w:rPr>
      </w:pPr>
      <w:r w:rsidRPr="000203E1">
        <w:rPr>
          <w:b/>
        </w:rPr>
        <w:t xml:space="preserve">REKOMENDACIJA DĖL VAISTINIO PREPARATO </w:t>
      </w:r>
      <w:r w:rsidRPr="000203E1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0203E1" w:rsidRDefault="00B13D65" w:rsidP="003B211A">
      <w:pPr>
        <w:jc w:val="center"/>
        <w:rPr>
          <w:b/>
        </w:rPr>
      </w:pPr>
    </w:p>
    <w:p w14:paraId="3E43A229" w14:textId="77777777" w:rsidR="006F3010" w:rsidRPr="00D05364" w:rsidRDefault="006F3010" w:rsidP="006F3010">
      <w:pPr>
        <w:jc w:val="center"/>
        <w:rPr>
          <w:b/>
        </w:rPr>
      </w:pPr>
      <w:proofErr w:type="spellStart"/>
      <w:r>
        <w:rPr>
          <w:b/>
        </w:rPr>
        <w:t>Vyepti</w:t>
      </w:r>
      <w:proofErr w:type="spellEnd"/>
      <w:r>
        <w:rPr>
          <w:b/>
        </w:rPr>
        <w:t xml:space="preserve"> 100 mg  koncentratas infuziniam tirpalui</w:t>
      </w:r>
    </w:p>
    <w:p w14:paraId="43B0E6BF" w14:textId="77777777" w:rsidR="006F3010" w:rsidRPr="00D05364" w:rsidRDefault="006F3010" w:rsidP="006F3010">
      <w:pPr>
        <w:jc w:val="center"/>
      </w:pPr>
    </w:p>
    <w:p w14:paraId="7490FDC8" w14:textId="77777777" w:rsidR="006F3010" w:rsidRPr="00D05364" w:rsidRDefault="006F3010" w:rsidP="006F3010">
      <w:pPr>
        <w:jc w:val="center"/>
      </w:pPr>
      <w:r w:rsidRPr="00D05364">
        <w:t>(</w:t>
      </w:r>
      <w:proofErr w:type="spellStart"/>
      <w:r>
        <w:rPr>
          <w:b/>
        </w:rPr>
        <w:t>Eptinezumabas</w:t>
      </w:r>
      <w:proofErr w:type="spellEnd"/>
      <w:r w:rsidRPr="00D05364">
        <w:t>)</w:t>
      </w:r>
    </w:p>
    <w:p w14:paraId="7964DE09" w14:textId="77777777" w:rsidR="006F3010" w:rsidRPr="00D05364" w:rsidRDefault="006F3010" w:rsidP="006F3010">
      <w:pPr>
        <w:jc w:val="center"/>
      </w:pPr>
    </w:p>
    <w:p w14:paraId="2DA6ED31" w14:textId="77777777" w:rsidR="006F3010" w:rsidRPr="00D05364" w:rsidRDefault="006F3010" w:rsidP="006F3010">
      <w:pPr>
        <w:jc w:val="center"/>
        <w:rPr>
          <w:b/>
        </w:rPr>
      </w:pPr>
      <w:r>
        <w:rPr>
          <w:b/>
        </w:rPr>
        <w:t>STV 109</w:t>
      </w:r>
    </w:p>
    <w:p w14:paraId="453197C8" w14:textId="77777777" w:rsidR="00D4708D" w:rsidRPr="000203E1" w:rsidRDefault="00D4708D" w:rsidP="003B211A">
      <w:pPr>
        <w:jc w:val="center"/>
        <w:rPr>
          <w:b/>
        </w:rPr>
      </w:pPr>
    </w:p>
    <w:p w14:paraId="78C89D1C" w14:textId="0DEFFAA5" w:rsidR="00D4485B" w:rsidRPr="000203E1" w:rsidRDefault="00B13D65" w:rsidP="00CC09D4">
      <w:pPr>
        <w:pStyle w:val="Sraopastraipa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0203E1">
        <w:rPr>
          <w:b/>
          <w:bCs/>
          <w:caps/>
        </w:rPr>
        <w:t>Bendroji dalis</w:t>
      </w:r>
    </w:p>
    <w:p w14:paraId="04A7C7A7" w14:textId="77777777" w:rsidR="00B13D65" w:rsidRPr="000203E1" w:rsidRDefault="00B13D65" w:rsidP="00E03C3F">
      <w:pPr>
        <w:pStyle w:val="Sraopastraipa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0203E1" w:rsidRPr="000203E1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B13D65" w:rsidRPr="000203E1" w:rsidRDefault="00B13D65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B13D65" w:rsidRPr="000203E1" w:rsidRDefault="00B13D65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Pareiškėjas</w:t>
            </w:r>
          </w:p>
          <w:p w14:paraId="2AF240DC" w14:textId="77777777" w:rsidR="00B13D65" w:rsidRPr="000203E1" w:rsidRDefault="00B13D65" w:rsidP="00824B92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285278C7" w:rsidR="00B13D65" w:rsidRPr="000203E1" w:rsidRDefault="006F3010" w:rsidP="00824B92">
            <w:pPr>
              <w:rPr>
                <w:rFonts w:eastAsia="Arial"/>
              </w:rPr>
            </w:pPr>
            <w:proofErr w:type="spellStart"/>
            <w:r>
              <w:t>Lundbeck</w:t>
            </w:r>
            <w:proofErr w:type="spellEnd"/>
            <w:r w:rsidRPr="000203E1">
              <w:rPr>
                <w:rFonts w:eastAsia="Arial"/>
              </w:rPr>
              <w:t xml:space="preserve"> </w:t>
            </w:r>
          </w:p>
        </w:tc>
      </w:tr>
      <w:tr w:rsidR="000203E1" w:rsidRPr="000203E1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B13D65" w:rsidRPr="000203E1" w:rsidRDefault="002E0702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B13D65" w:rsidRPr="000203E1" w:rsidRDefault="00B13D65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Registracijos data </w:t>
            </w:r>
          </w:p>
          <w:p w14:paraId="3A0DC096" w14:textId="77777777" w:rsidR="00B13D65" w:rsidRPr="000203E1" w:rsidRDefault="00B13D65" w:rsidP="00824B92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3CA218AD" w14:textId="5DEC22B8" w:rsidR="00B13D65" w:rsidRPr="000203E1" w:rsidRDefault="00000000" w:rsidP="00824B92">
            <w:pPr>
              <w:rPr>
                <w:rStyle w:val="Style2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0A1DCC42A2974C359888226B925C8FF8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6F3010" w:rsidRPr="006F3010">
                  <w:t>2022 sausio 24 d.</w:t>
                </w:r>
              </w:sdtContent>
            </w:sdt>
          </w:p>
        </w:tc>
      </w:tr>
      <w:tr w:rsidR="000203E1" w:rsidRPr="000203E1" w14:paraId="15968AE1" w14:textId="77777777" w:rsidTr="00BE7489">
        <w:trPr>
          <w:trHeight w:val="1500"/>
        </w:trPr>
        <w:tc>
          <w:tcPr>
            <w:tcW w:w="632" w:type="dxa"/>
          </w:tcPr>
          <w:p w14:paraId="6A784245" w14:textId="1E461489" w:rsidR="00B13D65" w:rsidRPr="000203E1" w:rsidRDefault="002E0702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B13D65" w:rsidRPr="000203E1" w:rsidRDefault="00B13D65" w:rsidP="00824B92">
            <w:r w:rsidRPr="000203E1">
              <w:t xml:space="preserve">Paraiškos tipas </w:t>
            </w:r>
          </w:p>
          <w:p w14:paraId="0465E680" w14:textId="3979A82C" w:rsidR="00B13D65" w:rsidRPr="000203E1" w:rsidRDefault="00B13D65" w:rsidP="00824B92">
            <w:r w:rsidRPr="000203E1">
              <w:t>(</w:t>
            </w:r>
            <w:r w:rsidR="00695CD3" w:rsidRPr="000203E1">
              <w:t xml:space="preserve">pagal </w:t>
            </w:r>
            <w:r w:rsidR="0039696E" w:rsidRPr="000203E1">
              <w:rPr>
                <w:shd w:val="clear" w:color="auto" w:fill="FFFFFF"/>
              </w:rPr>
              <w:t>vaistinio preparato registracijos tipą, įtvirtintą</w:t>
            </w:r>
            <w:r w:rsidR="0039696E" w:rsidRPr="000203E1">
              <w:t xml:space="preserve"> </w:t>
            </w:r>
            <w:r w:rsidRPr="000203E1">
              <w:t>Direktyv</w:t>
            </w:r>
            <w:r w:rsidR="00695CD3" w:rsidRPr="000203E1">
              <w:t>os</w:t>
            </w:r>
            <w:r w:rsidRPr="000203E1">
              <w:t xml:space="preserve"> 2001/83/EB</w:t>
            </w:r>
            <w:r w:rsidR="00695CD3" w:rsidRPr="000203E1">
              <w:t xml:space="preserve"> </w:t>
            </w:r>
            <w:r w:rsidR="00CC2C81" w:rsidRPr="000203E1">
              <w:t>straipsniuose</w:t>
            </w:r>
            <w:r w:rsidRPr="000203E1">
              <w:t>)</w:t>
            </w:r>
          </w:p>
          <w:p w14:paraId="77089D80" w14:textId="6681D72A" w:rsidR="00B13D65" w:rsidRPr="000203E1" w:rsidRDefault="00B13D65" w:rsidP="00824B92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208F40EC" w14:textId="1650D98A" w:rsidR="00B13D65" w:rsidRPr="000203E1" w:rsidRDefault="00000000" w:rsidP="00824B92">
            <w:pPr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52629207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13D65" w:rsidRPr="000203E1">
              <w:rPr>
                <w:sz w:val="22"/>
                <w:szCs w:val="22"/>
              </w:rPr>
              <w:t xml:space="preserve">8.3 str. (pilna byla, pagrįsta savais tyrimais) </w:t>
            </w:r>
          </w:p>
          <w:p w14:paraId="32BA564E" w14:textId="3FDA3E01" w:rsidR="00B13D65" w:rsidRPr="000203E1" w:rsidRDefault="00000000" w:rsidP="00824B92">
            <w:pPr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-149795373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832" w:rsidRPr="000203E1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3D65" w:rsidRPr="000203E1">
              <w:rPr>
                <w:sz w:val="22"/>
                <w:szCs w:val="22"/>
              </w:rPr>
              <w:t xml:space="preserve">10 a str. (pripažintas medicininis vartojimas) </w:t>
            </w:r>
          </w:p>
          <w:p w14:paraId="318DCD7F" w14:textId="32333E53" w:rsidR="00B13D65" w:rsidRPr="000203E1" w:rsidRDefault="00000000" w:rsidP="00824B92">
            <w:pPr>
              <w:rPr>
                <w:sz w:val="22"/>
                <w:szCs w:val="22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2041424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832" w:rsidRPr="000203E1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3D65" w:rsidRPr="000203E1">
              <w:rPr>
                <w:sz w:val="22"/>
                <w:szCs w:val="22"/>
              </w:rPr>
              <w:t>10.1 str. (</w:t>
            </w:r>
            <w:proofErr w:type="spellStart"/>
            <w:r w:rsidR="00B13D65" w:rsidRPr="000203E1">
              <w:rPr>
                <w:sz w:val="22"/>
                <w:szCs w:val="22"/>
              </w:rPr>
              <w:t>generinis</w:t>
            </w:r>
            <w:proofErr w:type="spellEnd"/>
            <w:r w:rsidR="00B13D65" w:rsidRPr="000203E1">
              <w:rPr>
                <w:sz w:val="22"/>
                <w:szCs w:val="22"/>
              </w:rPr>
              <w:t>)</w:t>
            </w:r>
          </w:p>
          <w:p w14:paraId="3B0A4F72" w14:textId="3F5FB073" w:rsidR="00B13D65" w:rsidRPr="000203E1" w:rsidRDefault="00000000" w:rsidP="00824B92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2"/>
                  <w:szCs w:val="22"/>
                </w:rPr>
                <w:id w:val="82030510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832" w:rsidRPr="000203E1">
                  <w:rPr>
                    <w:rStyle w:val="Style2"/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13D65" w:rsidRPr="000203E1">
              <w:rPr>
                <w:sz w:val="22"/>
                <w:szCs w:val="22"/>
              </w:rPr>
              <w:t>10.3 str. (hibridinis)</w:t>
            </w:r>
          </w:p>
        </w:tc>
      </w:tr>
      <w:tr w:rsidR="000203E1" w:rsidRPr="000203E1" w14:paraId="310E9662" w14:textId="77777777" w:rsidTr="00BE7489">
        <w:trPr>
          <w:trHeight w:val="1442"/>
        </w:trPr>
        <w:tc>
          <w:tcPr>
            <w:tcW w:w="632" w:type="dxa"/>
          </w:tcPr>
          <w:p w14:paraId="4B5A91A2" w14:textId="561B5E5F" w:rsidR="00B13D65" w:rsidRPr="000203E1" w:rsidRDefault="00B13D65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 w:rsidR="002E0702" w:rsidRPr="000203E1">
              <w:rPr>
                <w:rFonts w:eastAsia="Arial"/>
              </w:rPr>
              <w:t>4</w:t>
            </w:r>
          </w:p>
        </w:tc>
        <w:tc>
          <w:tcPr>
            <w:tcW w:w="3694" w:type="dxa"/>
          </w:tcPr>
          <w:p w14:paraId="6C91E105" w14:textId="77777777" w:rsidR="00B13D65" w:rsidRPr="000203E1" w:rsidRDefault="00B13D65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Ar vaistinis preparatas įrašytas į Bendrijos retųjų vaistinių preparatų registrą? </w:t>
            </w:r>
          </w:p>
          <w:p w14:paraId="33726F9C" w14:textId="77777777" w:rsidR="00B13D65" w:rsidRPr="000203E1" w:rsidRDefault="00B13D65" w:rsidP="00824B92">
            <w:pPr>
              <w:rPr>
                <w:bCs/>
                <w:i/>
                <w:lang w:eastAsia="lt-LT"/>
              </w:rPr>
            </w:pPr>
          </w:p>
          <w:p w14:paraId="483071A3" w14:textId="0F633FFC" w:rsidR="00B13D65" w:rsidRPr="000203E1" w:rsidRDefault="00DF583C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i/>
                <w:sz w:val="20"/>
                <w:lang w:eastAsia="lt-LT"/>
              </w:rPr>
              <w:t>Jei taip, n</w:t>
            </w:r>
            <w:r w:rsidR="00B13D65" w:rsidRPr="000203E1">
              <w:rPr>
                <w:bCs/>
                <w:i/>
                <w:sz w:val="20"/>
                <w:lang w:eastAsia="lt-LT"/>
              </w:rPr>
              <w:t xml:space="preserve">urodykite </w:t>
            </w:r>
            <w:r w:rsidR="007656B2" w:rsidRPr="000203E1">
              <w:rPr>
                <w:bCs/>
                <w:i/>
                <w:sz w:val="20"/>
                <w:lang w:eastAsia="lt-LT"/>
              </w:rPr>
              <w:t>įrašymo</w:t>
            </w:r>
            <w:r w:rsidR="00B13D65" w:rsidRPr="000203E1">
              <w:rPr>
                <w:bCs/>
                <w:i/>
                <w:sz w:val="20"/>
                <w:lang w:eastAsia="lt-LT"/>
              </w:rPr>
              <w:t xml:space="preserve"> datą ir numerį</w:t>
            </w:r>
          </w:p>
        </w:tc>
        <w:tc>
          <w:tcPr>
            <w:tcW w:w="5167" w:type="dxa"/>
          </w:tcPr>
          <w:p w14:paraId="05845C60" w14:textId="10CF4033" w:rsidR="00B13D65" w:rsidRPr="000203E1" w:rsidRDefault="00000000" w:rsidP="00824B92">
            <w:sdt>
              <w:sdtPr>
                <w:rPr>
                  <w:rStyle w:val="Style2"/>
                  <w:sz w:val="24"/>
                </w:rPr>
                <w:id w:val="202443217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D2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0203E1">
              <w:t xml:space="preserve"> Taip</w:t>
            </w:r>
          </w:p>
          <w:p w14:paraId="41D88067" w14:textId="0856C4F7" w:rsidR="00B13D65" w:rsidRPr="000203E1" w:rsidRDefault="00000000" w:rsidP="00824B92">
            <w:sdt>
              <w:sdtPr>
                <w:rPr>
                  <w:rStyle w:val="Style2"/>
                  <w:sz w:val="24"/>
                </w:rPr>
                <w:id w:val="-97050792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0203E1">
              <w:t xml:space="preserve"> Ne</w:t>
            </w:r>
          </w:p>
          <w:p w14:paraId="29C2CBBB" w14:textId="3735BE7E" w:rsidR="00B13D65" w:rsidRPr="000203E1" w:rsidRDefault="00000000" w:rsidP="00824B92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693498901"/>
                <w:placeholder>
                  <w:docPart w:val="CDB60824EC144AB3B75C05A5823BEE2D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6F3010">
                  <w:rPr>
                    <w:rStyle w:val="Vietosrezervavimoenklotekstas"/>
                  </w:rPr>
                  <w:t>Click here to enter a date.</w:t>
                </w:r>
              </w:sdtContent>
            </w:sdt>
          </w:p>
        </w:tc>
      </w:tr>
      <w:tr w:rsidR="000203E1" w:rsidRPr="000203E1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D417D2" w:rsidRPr="000203E1" w:rsidRDefault="00D417D2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0203E1" w:rsidRDefault="00D417D2" w:rsidP="00824B92">
            <w:pPr>
              <w:rPr>
                <w:bCs/>
                <w:lang w:eastAsia="lt-LT"/>
              </w:rPr>
            </w:pPr>
            <w:r w:rsidRPr="000203E1">
              <w:t>STV paraiškos pobūdis</w:t>
            </w:r>
          </w:p>
        </w:tc>
        <w:tc>
          <w:tcPr>
            <w:tcW w:w="5167" w:type="dxa"/>
          </w:tcPr>
          <w:p w14:paraId="403461B9" w14:textId="5C2FBDEA" w:rsidR="00D417D2" w:rsidRPr="000203E1" w:rsidRDefault="00000000" w:rsidP="00824B92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0203E1">
              <w:t xml:space="preserve"> Pilna paraiška</w:t>
            </w:r>
          </w:p>
          <w:p w14:paraId="6B8213E3" w14:textId="3495CDF4" w:rsidR="00D417D2" w:rsidRPr="000203E1" w:rsidRDefault="00000000" w:rsidP="00824B92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7D2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0203E1">
              <w:t xml:space="preserve"> Supaprastinta paraiška</w:t>
            </w:r>
          </w:p>
        </w:tc>
      </w:tr>
      <w:tr w:rsidR="000203E1" w:rsidRPr="000203E1" w14:paraId="274D1DAF" w14:textId="77777777" w:rsidTr="00BE7489">
        <w:trPr>
          <w:trHeight w:val="1922"/>
        </w:trPr>
        <w:tc>
          <w:tcPr>
            <w:tcW w:w="632" w:type="dxa"/>
          </w:tcPr>
          <w:p w14:paraId="17ABF217" w14:textId="14AC00D7" w:rsidR="00B13D65" w:rsidRPr="000203E1" w:rsidRDefault="00B13D65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 w:rsidR="00D417D2" w:rsidRPr="000203E1">
              <w:rPr>
                <w:rFonts w:eastAsia="Arial"/>
              </w:rPr>
              <w:t>6</w:t>
            </w:r>
          </w:p>
        </w:tc>
        <w:tc>
          <w:tcPr>
            <w:tcW w:w="3694" w:type="dxa"/>
          </w:tcPr>
          <w:p w14:paraId="4D49DBF5" w14:textId="77777777" w:rsidR="007656B2" w:rsidRPr="000203E1" w:rsidRDefault="00DE4484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Par</w:t>
            </w:r>
            <w:r w:rsidR="007656B2" w:rsidRPr="000203E1">
              <w:rPr>
                <w:bCs/>
                <w:lang w:eastAsia="lt-LT"/>
              </w:rPr>
              <w:t>eiškėjo t</w:t>
            </w:r>
            <w:r w:rsidR="00B13D65" w:rsidRPr="000203E1">
              <w:rPr>
                <w:bCs/>
                <w:lang w:eastAsia="lt-LT"/>
              </w:rPr>
              <w:t>eikiama (-</w:t>
            </w:r>
            <w:proofErr w:type="spellStart"/>
            <w:r w:rsidR="00B13D65" w:rsidRPr="000203E1">
              <w:rPr>
                <w:bCs/>
                <w:lang w:eastAsia="lt-LT"/>
              </w:rPr>
              <w:t>os</w:t>
            </w:r>
            <w:proofErr w:type="spellEnd"/>
            <w:r w:rsidR="00B13D65" w:rsidRPr="000203E1">
              <w:rPr>
                <w:bCs/>
                <w:lang w:eastAsia="lt-LT"/>
              </w:rPr>
              <w:t>) kompensuoti vaistinio preparato indikacija (-</w:t>
            </w:r>
            <w:proofErr w:type="spellStart"/>
            <w:r w:rsidR="00B13D65" w:rsidRPr="000203E1">
              <w:rPr>
                <w:bCs/>
                <w:lang w:eastAsia="lt-LT"/>
              </w:rPr>
              <w:t>os</w:t>
            </w:r>
            <w:proofErr w:type="spellEnd"/>
            <w:r w:rsidR="00B13D65" w:rsidRPr="000203E1">
              <w:rPr>
                <w:bCs/>
                <w:lang w:eastAsia="lt-LT"/>
              </w:rPr>
              <w:t>)</w:t>
            </w:r>
          </w:p>
          <w:p w14:paraId="6B4FEEC1" w14:textId="6A619694" w:rsidR="00B13D65" w:rsidRPr="000203E1" w:rsidRDefault="007656B2" w:rsidP="00824B92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>K</w:t>
            </w:r>
            <w:r w:rsidR="00B13D65" w:rsidRPr="000203E1">
              <w:rPr>
                <w:bCs/>
                <w:lang w:eastAsia="lt-LT"/>
              </w:rPr>
              <w:t>odas</w:t>
            </w:r>
            <w:r w:rsidRPr="000203E1">
              <w:rPr>
                <w:bCs/>
                <w:lang w:eastAsia="lt-LT"/>
              </w:rPr>
              <w:t xml:space="preserve"> pagal TLK-10 AM</w:t>
            </w:r>
          </w:p>
        </w:tc>
        <w:tc>
          <w:tcPr>
            <w:tcW w:w="5167" w:type="dxa"/>
          </w:tcPr>
          <w:p w14:paraId="085514DE" w14:textId="704C7B3B" w:rsidR="00B13D65" w:rsidRPr="000203E1" w:rsidRDefault="006F3010" w:rsidP="006F3010">
            <w:pPr>
              <w:pStyle w:val="Sraopastraipa"/>
              <w:spacing w:after="120"/>
              <w:ind w:left="0"/>
              <w:contextualSpacing w:val="0"/>
              <w:jc w:val="both"/>
            </w:pPr>
            <w:proofErr w:type="spellStart"/>
            <w:r>
              <w:t>Vyepti</w:t>
            </w:r>
            <w:proofErr w:type="spellEnd"/>
            <w:r>
              <w:t xml:space="preserve"> skirtas migrenos profilaktikai suaugusiems, patiriantiems bent 4 migrenos dienas per mėnesį.</w:t>
            </w:r>
          </w:p>
          <w:p w14:paraId="430E383A" w14:textId="77777777" w:rsidR="00B13D65" w:rsidRPr="000203E1" w:rsidRDefault="00B13D65" w:rsidP="00824B92"/>
          <w:p w14:paraId="13F7DFB0" w14:textId="0E8190D7" w:rsidR="00B13D65" w:rsidRPr="000203E1" w:rsidRDefault="006F3010" w:rsidP="00824B92">
            <w:r>
              <w:t>G43</w:t>
            </w:r>
          </w:p>
        </w:tc>
      </w:tr>
      <w:tr w:rsidR="006F3010" w:rsidRPr="000203E1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2EE70237" w:rsidR="006F3010" w:rsidRPr="000203E1" w:rsidRDefault="006F3010" w:rsidP="006F301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1.</w:t>
            </w:r>
            <w:r>
              <w:rPr>
                <w:rFonts w:eastAsia="Arial"/>
              </w:rPr>
              <w:t>7</w:t>
            </w:r>
          </w:p>
        </w:tc>
        <w:tc>
          <w:tcPr>
            <w:tcW w:w="3694" w:type="dxa"/>
          </w:tcPr>
          <w:p w14:paraId="2EAB877F" w14:textId="39A36941" w:rsidR="006F3010" w:rsidRPr="000203E1" w:rsidRDefault="006F3010" w:rsidP="006F3010">
            <w:pPr>
              <w:rPr>
                <w:bCs/>
                <w:u w:val="single"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Pareiškėjo teikiamos skyrimo sąlygos </w:t>
            </w:r>
          </w:p>
        </w:tc>
        <w:tc>
          <w:tcPr>
            <w:tcW w:w="5167" w:type="dxa"/>
          </w:tcPr>
          <w:p w14:paraId="0579DF58" w14:textId="0A267519" w:rsidR="006F3010" w:rsidRPr="000203E1" w:rsidRDefault="006F3010" w:rsidP="006F3010">
            <w:r>
              <w:t>Pagal registruotą indikaciją.</w:t>
            </w:r>
          </w:p>
        </w:tc>
      </w:tr>
      <w:tr w:rsidR="006F3010" w:rsidRPr="000203E1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3C0D7626" w:rsidR="006F3010" w:rsidRPr="000203E1" w:rsidRDefault="006F3010" w:rsidP="006F301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lastRenderedPageBreak/>
              <w:t>1.</w:t>
            </w:r>
            <w:r>
              <w:rPr>
                <w:rFonts w:eastAsia="Arial"/>
              </w:rPr>
              <w:t>8</w:t>
            </w:r>
          </w:p>
        </w:tc>
        <w:tc>
          <w:tcPr>
            <w:tcW w:w="3694" w:type="dxa"/>
          </w:tcPr>
          <w:p w14:paraId="738E1926" w14:textId="1B265112" w:rsidR="006F3010" w:rsidRPr="000203E1" w:rsidRDefault="006F3010" w:rsidP="006F3010">
            <w:pPr>
              <w:rPr>
                <w:bCs/>
                <w:lang w:eastAsia="lt-LT"/>
              </w:rPr>
            </w:pPr>
            <w:r w:rsidRPr="000203E1">
              <w:rPr>
                <w:bCs/>
                <w:lang w:eastAsia="lt-LT"/>
              </w:rPr>
              <w:t xml:space="preserve">Pareiškėjo teikiamas palyginamasis gydymas </w:t>
            </w:r>
            <w:r>
              <w:rPr>
                <w:bCs/>
                <w:lang w:eastAsia="lt-LT"/>
              </w:rPr>
              <w:t xml:space="preserve">– </w:t>
            </w:r>
            <w:proofErr w:type="spellStart"/>
            <w:r>
              <w:rPr>
                <w:bCs/>
                <w:lang w:eastAsia="lt-LT"/>
              </w:rPr>
              <w:t>erenumabas</w:t>
            </w:r>
            <w:proofErr w:type="spellEnd"/>
            <w:r>
              <w:rPr>
                <w:bCs/>
                <w:lang w:eastAsia="lt-LT"/>
              </w:rPr>
              <w:t xml:space="preserve"> ir </w:t>
            </w:r>
            <w:proofErr w:type="spellStart"/>
            <w:r>
              <w:rPr>
                <w:bCs/>
                <w:lang w:eastAsia="lt-LT"/>
              </w:rPr>
              <w:t>fremanezumabas</w:t>
            </w:r>
            <w:proofErr w:type="spellEnd"/>
          </w:p>
          <w:p w14:paraId="61EC5BBD" w14:textId="7A8BD8B4" w:rsidR="006F3010" w:rsidRPr="000203E1" w:rsidRDefault="006F3010" w:rsidP="006F3010">
            <w:pPr>
              <w:rPr>
                <w:bCs/>
                <w:lang w:eastAsia="lt-LT"/>
              </w:rPr>
            </w:pPr>
          </w:p>
          <w:p w14:paraId="62057D94" w14:textId="77777777" w:rsidR="006F3010" w:rsidRPr="000203E1" w:rsidRDefault="006F3010" w:rsidP="006F3010">
            <w:pPr>
              <w:rPr>
                <w:bCs/>
                <w:lang w:eastAsia="lt-LT"/>
              </w:rPr>
            </w:pPr>
          </w:p>
          <w:p w14:paraId="6CC1022E" w14:textId="2B6BCEE1" w:rsidR="006F3010" w:rsidRPr="000203E1" w:rsidRDefault="006F3010" w:rsidP="006F3010">
            <w:pPr>
              <w:rPr>
                <w:bCs/>
                <w:lang w:eastAsia="lt-LT"/>
              </w:rPr>
            </w:pPr>
          </w:p>
        </w:tc>
        <w:tc>
          <w:tcPr>
            <w:tcW w:w="5167" w:type="dxa"/>
          </w:tcPr>
          <w:p w14:paraId="1F113AC0" w14:textId="51802C57" w:rsidR="006F3010" w:rsidRPr="000203E1" w:rsidRDefault="00000000" w:rsidP="006F3010">
            <w:sdt>
              <w:sdtPr>
                <w:rPr>
                  <w:rStyle w:val="Style2"/>
                  <w:sz w:val="24"/>
                </w:rPr>
                <w:id w:val="148095570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6F3010" w:rsidRPr="000203E1">
              <w:t xml:space="preserve"> Tinkamas</w:t>
            </w:r>
          </w:p>
          <w:p w14:paraId="41B44044" w14:textId="199BD9DF" w:rsidR="006F3010" w:rsidRPr="000203E1" w:rsidRDefault="00000000" w:rsidP="006F3010">
            <w:sdt>
              <w:sdtPr>
                <w:rPr>
                  <w:rStyle w:val="Style2"/>
                  <w:sz w:val="24"/>
                </w:rPr>
                <w:id w:val="-3524206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010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F3010" w:rsidRPr="000203E1">
              <w:t xml:space="preserve"> Netinkama</w:t>
            </w:r>
          </w:p>
        </w:tc>
      </w:tr>
    </w:tbl>
    <w:p w14:paraId="108176F7" w14:textId="640C6F75" w:rsidR="00F70C9E" w:rsidRPr="000203E1" w:rsidRDefault="00F70C9E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2871CA7F" w14:textId="3B173597" w:rsidR="00F70C9E" w:rsidRPr="000203E1" w:rsidRDefault="00F70C9E" w:rsidP="00880A44">
      <w:pPr>
        <w:spacing w:line="276" w:lineRule="auto"/>
        <w:jc w:val="both"/>
        <w:rPr>
          <w:rFonts w:eastAsia="Arial"/>
          <w:b/>
        </w:rPr>
      </w:pPr>
      <w:r w:rsidRPr="000203E1">
        <w:rPr>
          <w:rFonts w:eastAsia="Arial"/>
          <w:b/>
        </w:rPr>
        <w:t>1.</w:t>
      </w:r>
      <w:r w:rsidR="00164D64">
        <w:rPr>
          <w:rFonts w:eastAsia="Arial"/>
          <w:b/>
        </w:rPr>
        <w:t>9</w:t>
      </w:r>
      <w:r w:rsidRPr="000203E1">
        <w:rPr>
          <w:rFonts w:eastAsia="Arial"/>
          <w:b/>
        </w:rPr>
        <w:t xml:space="preserve"> Kitų </w:t>
      </w:r>
      <w:r w:rsidR="00DF583C" w:rsidRPr="000203E1">
        <w:rPr>
          <w:rFonts w:eastAsia="Arial"/>
          <w:b/>
        </w:rPr>
        <w:t xml:space="preserve">valstybių </w:t>
      </w:r>
      <w:r w:rsidRPr="000203E1">
        <w:rPr>
          <w:rFonts w:eastAsia="Arial"/>
          <w:b/>
        </w:rPr>
        <w:t xml:space="preserve">atsakingų institucijų atlikto </w:t>
      </w:r>
      <w:r w:rsidR="00DF583C" w:rsidRPr="000203E1">
        <w:rPr>
          <w:rFonts w:eastAsia="Arial"/>
          <w:b/>
        </w:rPr>
        <w:t>Sveikatos technologijų vertinimo (toliau – STV)</w:t>
      </w:r>
      <w:r w:rsidRPr="000203E1">
        <w:rPr>
          <w:rFonts w:eastAsia="Arial"/>
          <w:b/>
        </w:rPr>
        <w:t xml:space="preserve"> išvados</w:t>
      </w:r>
    </w:p>
    <w:p w14:paraId="30721FDD" w14:textId="77777777" w:rsidR="00F70C9E" w:rsidRPr="000203E1" w:rsidRDefault="00F70C9E" w:rsidP="00F70C9E">
      <w:pPr>
        <w:spacing w:line="276" w:lineRule="auto"/>
        <w:rPr>
          <w:rFonts w:eastAsia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55"/>
        <w:gridCol w:w="1851"/>
        <w:gridCol w:w="2244"/>
        <w:gridCol w:w="2543"/>
      </w:tblGrid>
      <w:tr w:rsidR="000203E1" w:rsidRPr="000203E1" w14:paraId="7E72828B" w14:textId="77777777" w:rsidTr="00BE7489">
        <w:trPr>
          <w:trHeight w:val="924"/>
        </w:trPr>
        <w:tc>
          <w:tcPr>
            <w:tcW w:w="2855" w:type="dxa"/>
          </w:tcPr>
          <w:p w14:paraId="253D1DD4" w14:textId="5B2616C0" w:rsidR="00F70C9E" w:rsidRPr="000203E1" w:rsidRDefault="00F70C9E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ST</w:t>
            </w:r>
            <w:r w:rsidR="00DF583C" w:rsidRPr="000203E1">
              <w:rPr>
                <w:rFonts w:eastAsia="Arial"/>
              </w:rPr>
              <w:t>V</w:t>
            </w:r>
            <w:r w:rsidRPr="000203E1">
              <w:rPr>
                <w:rFonts w:eastAsia="Arial"/>
              </w:rPr>
              <w:t xml:space="preserve"> agentūros pavadinimas, šalis</w:t>
            </w:r>
          </w:p>
        </w:tc>
        <w:tc>
          <w:tcPr>
            <w:tcW w:w="1851" w:type="dxa"/>
          </w:tcPr>
          <w:p w14:paraId="34AE1EDD" w14:textId="77777777" w:rsidR="00F70C9E" w:rsidRPr="000203E1" w:rsidRDefault="00F70C9E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STV vertinimas atliktas</w:t>
            </w:r>
          </w:p>
        </w:tc>
        <w:tc>
          <w:tcPr>
            <w:tcW w:w="2244" w:type="dxa"/>
          </w:tcPr>
          <w:p w14:paraId="16E2DDC1" w14:textId="77777777" w:rsidR="00F70C9E" w:rsidRPr="000203E1" w:rsidRDefault="00F70C9E" w:rsidP="00824B92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Klinikinio vertinimo išvada</w:t>
            </w:r>
          </w:p>
        </w:tc>
        <w:tc>
          <w:tcPr>
            <w:tcW w:w="2543" w:type="dxa"/>
          </w:tcPr>
          <w:p w14:paraId="1861E3F2" w14:textId="74803B5B" w:rsidR="00F70C9E" w:rsidRPr="000203E1" w:rsidRDefault="00F70C9E" w:rsidP="00824B92">
            <w:pPr>
              <w:rPr>
                <w:rFonts w:eastAsia="Arial"/>
              </w:rPr>
            </w:pPr>
            <w:proofErr w:type="spellStart"/>
            <w:r w:rsidRPr="000203E1">
              <w:rPr>
                <w:rFonts w:eastAsia="Arial"/>
              </w:rPr>
              <w:t>Farmako</w:t>
            </w:r>
            <w:r w:rsidR="00CA217D" w:rsidRPr="000203E1">
              <w:rPr>
                <w:rFonts w:eastAsia="Arial"/>
              </w:rPr>
              <w:t>e</w:t>
            </w:r>
            <w:r w:rsidR="00476256" w:rsidRPr="000203E1">
              <w:rPr>
                <w:rFonts w:eastAsia="Arial"/>
              </w:rPr>
              <w:t>ko</w:t>
            </w:r>
            <w:r w:rsidRPr="000203E1">
              <w:rPr>
                <w:rFonts w:eastAsia="Arial"/>
              </w:rPr>
              <w:t>nominio</w:t>
            </w:r>
            <w:proofErr w:type="spellEnd"/>
            <w:r w:rsidRPr="000203E1">
              <w:rPr>
                <w:rFonts w:eastAsia="Arial"/>
              </w:rPr>
              <w:t xml:space="preserve"> vertinimo išvada</w:t>
            </w:r>
          </w:p>
        </w:tc>
      </w:tr>
      <w:tr w:rsidR="006F3010" w:rsidRPr="000203E1" w14:paraId="129FA8F6" w14:textId="77777777" w:rsidTr="00D725AF">
        <w:trPr>
          <w:trHeight w:val="2267"/>
        </w:trPr>
        <w:tc>
          <w:tcPr>
            <w:tcW w:w="2855" w:type="dxa"/>
          </w:tcPr>
          <w:p w14:paraId="0A070137" w14:textId="77777777" w:rsidR="006F3010" w:rsidRPr="000203E1" w:rsidRDefault="006F3010" w:rsidP="006F3010">
            <w:pPr>
              <w:rPr>
                <w:bCs/>
              </w:rPr>
            </w:pPr>
            <w:r w:rsidRPr="000203E1">
              <w:rPr>
                <w:bCs/>
              </w:rPr>
              <w:t>Nacionalinis sveikatos ir klinikinės kompetencijos institutas, Didžioji Britanija</w:t>
            </w:r>
          </w:p>
          <w:p w14:paraId="49C6520D" w14:textId="77777777" w:rsidR="006F3010" w:rsidRPr="000203E1" w:rsidRDefault="006F3010" w:rsidP="006F3010">
            <w:pPr>
              <w:rPr>
                <w:rFonts w:eastAsia="Arial"/>
                <w:lang w:val="en-GB"/>
              </w:rPr>
            </w:pPr>
            <w:r w:rsidRPr="000203E1">
              <w:rPr>
                <w:rFonts w:eastAsia="Arial"/>
                <w:lang w:val="en-GB"/>
              </w:rPr>
              <w:t>(</w:t>
            </w:r>
            <w:proofErr w:type="spellStart"/>
            <w:proofErr w:type="gramStart"/>
            <w:r w:rsidRPr="000203E1">
              <w:rPr>
                <w:rFonts w:eastAsia="Arial"/>
                <w:lang w:val="en-GB"/>
              </w:rPr>
              <w:t>angl</w:t>
            </w:r>
            <w:proofErr w:type="gramEnd"/>
            <w:r w:rsidRPr="000203E1">
              <w:rPr>
                <w:rFonts w:eastAsia="Arial"/>
                <w:lang w:val="en-GB"/>
              </w:rPr>
              <w:t>.</w:t>
            </w:r>
            <w:proofErr w:type="spellEnd"/>
            <w:r w:rsidRPr="000203E1">
              <w:rPr>
                <w:rFonts w:eastAsia="Arial"/>
                <w:lang w:val="en-GB"/>
              </w:rPr>
              <w:t xml:space="preserve"> </w:t>
            </w:r>
            <w:r w:rsidRPr="000203E1">
              <w:rPr>
                <w:rFonts w:eastAsia="Arial"/>
                <w:i/>
                <w:lang w:val="en-GB"/>
              </w:rPr>
              <w:t xml:space="preserve">National Institute for Health and </w:t>
            </w:r>
            <w:proofErr w:type="gramStart"/>
            <w:r w:rsidRPr="000203E1">
              <w:rPr>
                <w:rFonts w:eastAsia="Arial"/>
                <w:i/>
                <w:lang w:val="en-GB"/>
              </w:rPr>
              <w:t>Care  Excellence</w:t>
            </w:r>
            <w:proofErr w:type="gramEnd"/>
            <w:r w:rsidRPr="000203E1">
              <w:rPr>
                <w:rFonts w:eastAsia="Arial"/>
                <w:i/>
                <w:lang w:val="en-GB"/>
              </w:rPr>
              <w:t>, NICE</w:t>
            </w:r>
            <w:r w:rsidRPr="000203E1">
              <w:rPr>
                <w:rFonts w:eastAsia="Arial"/>
                <w:lang w:val="en-GB"/>
              </w:rPr>
              <w:t>)</w:t>
            </w:r>
          </w:p>
        </w:tc>
        <w:tc>
          <w:tcPr>
            <w:tcW w:w="1851" w:type="dxa"/>
          </w:tcPr>
          <w:p w14:paraId="145FAA5B" w14:textId="77777777" w:rsidR="006F3010" w:rsidRPr="00D05364" w:rsidRDefault="00000000" w:rsidP="006F3010"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F3010" w:rsidRPr="00D05364">
              <w:t xml:space="preserve"> Taip</w:t>
            </w:r>
          </w:p>
          <w:p w14:paraId="351722F3" w14:textId="77777777" w:rsidR="006F3010" w:rsidRPr="00D05364" w:rsidRDefault="00000000" w:rsidP="006F3010"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010" w:rsidRPr="00D0536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10" w:rsidRPr="00D05364">
              <w:t xml:space="preserve"> Ne</w:t>
            </w:r>
          </w:p>
          <w:p w14:paraId="7916359D" w14:textId="53A49F77" w:rsidR="006F3010" w:rsidRPr="000203E1" w:rsidRDefault="00000000" w:rsidP="006F3010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BF3D439222E9454F9F7B19ED41073CA1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6F3010">
                  <w:t>2023 kovo 1 d.</w:t>
                </w:r>
              </w:sdtContent>
            </w:sdt>
          </w:p>
        </w:tc>
        <w:tc>
          <w:tcPr>
            <w:tcW w:w="4787" w:type="dxa"/>
            <w:gridSpan w:val="2"/>
          </w:tcPr>
          <w:p w14:paraId="4FB6AC28" w14:textId="77777777" w:rsidR="006F3010" w:rsidRDefault="006F3010" w:rsidP="006F3010">
            <w:pPr>
              <w:spacing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Eptinezumabas</w:t>
            </w:r>
            <w:proofErr w:type="spellEnd"/>
            <w:r>
              <w:rPr>
                <w:rFonts w:eastAsia="Arial"/>
              </w:rPr>
              <w:t xml:space="preserve"> rekomenduojamas migrenos prevencijai suaugusiems pacientas jeigu:</w:t>
            </w:r>
          </w:p>
          <w:p w14:paraId="2DF767DA" w14:textId="77777777" w:rsidR="006F3010" w:rsidRDefault="006F3010" w:rsidP="006F3010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298" w:hanging="283"/>
              <w:rPr>
                <w:rFonts w:eastAsia="Arial"/>
              </w:rPr>
            </w:pPr>
            <w:r w:rsidRPr="000B4AB6">
              <w:rPr>
                <w:rFonts w:eastAsia="Arial"/>
              </w:rPr>
              <w:t>Patiriamos 4 migrenos dienos per mėnesį;</w:t>
            </w:r>
          </w:p>
          <w:p w14:paraId="0757F090" w14:textId="6A49717A" w:rsidR="006F3010" w:rsidRDefault="006F3010" w:rsidP="006F3010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298" w:hanging="283"/>
              <w:rPr>
                <w:rFonts w:eastAsia="Arial"/>
              </w:rPr>
            </w:pPr>
            <w:r>
              <w:rPr>
                <w:rFonts w:eastAsia="Arial"/>
              </w:rPr>
              <w:t xml:space="preserve">Bent 3 kiti prevenciniam gydymui skirti </w:t>
            </w:r>
            <w:r w:rsidR="00C74195">
              <w:rPr>
                <w:rFonts w:eastAsia="Arial"/>
              </w:rPr>
              <w:t xml:space="preserve">vaistiniai </w:t>
            </w:r>
            <w:r>
              <w:rPr>
                <w:rFonts w:eastAsia="Arial"/>
              </w:rPr>
              <w:t>preparatai buvo neveiksmingi;</w:t>
            </w:r>
          </w:p>
          <w:p w14:paraId="53B47A09" w14:textId="6D02CDF5" w:rsidR="006F3010" w:rsidRDefault="00C74195" w:rsidP="006F3010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298" w:hanging="283"/>
              <w:rPr>
                <w:rFonts w:eastAsia="Arial"/>
              </w:rPr>
            </w:pPr>
            <w:r>
              <w:rPr>
                <w:rFonts w:eastAsia="Arial"/>
              </w:rPr>
              <w:t>Vaistiniai p</w:t>
            </w:r>
            <w:r w:rsidR="006F3010">
              <w:rPr>
                <w:rFonts w:eastAsia="Arial"/>
              </w:rPr>
              <w:t>reparatas tiekiamas pagal komercinį susitarimą.</w:t>
            </w:r>
          </w:p>
          <w:p w14:paraId="4DBA8E2D" w14:textId="77777777" w:rsidR="006F3010" w:rsidRDefault="006F3010" w:rsidP="006F3010">
            <w:pPr>
              <w:spacing w:line="276" w:lineRule="auto"/>
              <w:ind w:left="15"/>
              <w:rPr>
                <w:rFonts w:eastAsia="Arial"/>
              </w:rPr>
            </w:pPr>
            <w:r>
              <w:rPr>
                <w:rFonts w:eastAsia="Arial"/>
              </w:rPr>
              <w:t xml:space="preserve">Gydymą </w:t>
            </w:r>
            <w:proofErr w:type="spellStart"/>
            <w:r>
              <w:rPr>
                <w:rFonts w:eastAsia="Arial"/>
              </w:rPr>
              <w:t>eptinezumabu</w:t>
            </w:r>
            <w:proofErr w:type="spellEnd"/>
            <w:r>
              <w:rPr>
                <w:rFonts w:eastAsia="Arial"/>
              </w:rPr>
              <w:t xml:space="preserve"> nutraukti po 12 savaičių jeigu:</w:t>
            </w:r>
          </w:p>
          <w:p w14:paraId="08ED2533" w14:textId="77777777" w:rsidR="006F3010" w:rsidRDefault="006F3010" w:rsidP="006F3010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298" w:hanging="283"/>
              <w:rPr>
                <w:rFonts w:eastAsia="Arial"/>
              </w:rPr>
            </w:pPr>
            <w:r>
              <w:rPr>
                <w:rFonts w:eastAsia="Arial"/>
              </w:rPr>
              <w:t>Epizodinės migrenos dažnis nesumažėja bent 50%;</w:t>
            </w:r>
          </w:p>
          <w:p w14:paraId="0CB8C8A2" w14:textId="77777777" w:rsidR="006F3010" w:rsidRPr="00652952" w:rsidRDefault="006F3010" w:rsidP="006F3010">
            <w:pPr>
              <w:pStyle w:val="Sraopastraipa"/>
              <w:numPr>
                <w:ilvl w:val="0"/>
                <w:numId w:val="14"/>
              </w:numPr>
              <w:spacing w:line="276" w:lineRule="auto"/>
              <w:ind w:left="298" w:hanging="283"/>
              <w:rPr>
                <w:rFonts w:eastAsia="Arial"/>
              </w:rPr>
            </w:pPr>
            <w:r>
              <w:rPr>
                <w:rFonts w:eastAsia="Arial"/>
              </w:rPr>
              <w:t>Lėtines migrenos dažnis nesumažėja bent 30%.</w:t>
            </w:r>
          </w:p>
          <w:p w14:paraId="67430EE7" w14:textId="77777777" w:rsidR="006F3010" w:rsidRPr="000203E1" w:rsidRDefault="006F3010" w:rsidP="006F3010">
            <w:pPr>
              <w:rPr>
                <w:rFonts w:eastAsia="Arial"/>
              </w:rPr>
            </w:pPr>
          </w:p>
        </w:tc>
      </w:tr>
      <w:tr w:rsidR="006F3010" w:rsidRPr="000203E1" w14:paraId="1CC31474" w14:textId="77777777" w:rsidTr="00BE7489">
        <w:trPr>
          <w:trHeight w:val="1547"/>
        </w:trPr>
        <w:tc>
          <w:tcPr>
            <w:tcW w:w="2855" w:type="dxa"/>
          </w:tcPr>
          <w:p w14:paraId="12218E35" w14:textId="77777777" w:rsidR="006F3010" w:rsidRPr="000203E1" w:rsidRDefault="006F3010" w:rsidP="006F3010">
            <w:pPr>
              <w:rPr>
                <w:rFonts w:eastAsia="Arial"/>
                <w:lang w:val="en-GB"/>
              </w:rPr>
            </w:pPr>
            <w:proofErr w:type="spellStart"/>
            <w:r w:rsidRPr="000203E1">
              <w:rPr>
                <w:rFonts w:eastAsia="Arial"/>
                <w:lang w:val="en-GB"/>
              </w:rPr>
              <w:t>Kanados</w:t>
            </w:r>
            <w:proofErr w:type="spellEnd"/>
            <w:r w:rsidRPr="000203E1">
              <w:rPr>
                <w:rFonts w:eastAsia="Arial"/>
                <w:lang w:val="en-GB"/>
              </w:rPr>
              <w:t xml:space="preserve"> </w:t>
            </w:r>
            <w:proofErr w:type="spellStart"/>
            <w:r w:rsidRPr="000203E1">
              <w:rPr>
                <w:rFonts w:eastAsia="Arial"/>
                <w:lang w:val="en-GB"/>
              </w:rPr>
              <w:t>sveikatos</w:t>
            </w:r>
            <w:proofErr w:type="spellEnd"/>
            <w:r w:rsidRPr="000203E1">
              <w:rPr>
                <w:rFonts w:eastAsia="Arial"/>
                <w:lang w:val="en-GB"/>
              </w:rPr>
              <w:t xml:space="preserve"> </w:t>
            </w:r>
            <w:proofErr w:type="spellStart"/>
            <w:r w:rsidRPr="000203E1">
              <w:rPr>
                <w:rFonts w:eastAsia="Arial"/>
                <w:lang w:val="en-GB"/>
              </w:rPr>
              <w:t>technologijų</w:t>
            </w:r>
            <w:proofErr w:type="spellEnd"/>
            <w:r w:rsidRPr="000203E1">
              <w:rPr>
                <w:rFonts w:eastAsia="Arial"/>
                <w:lang w:val="en-GB"/>
              </w:rPr>
              <w:t xml:space="preserve"> </w:t>
            </w:r>
            <w:proofErr w:type="spellStart"/>
            <w:r w:rsidRPr="000203E1">
              <w:rPr>
                <w:rFonts w:eastAsia="Arial"/>
                <w:lang w:val="en-GB"/>
              </w:rPr>
              <w:t>agentūra</w:t>
            </w:r>
            <w:proofErr w:type="spellEnd"/>
          </w:p>
          <w:p w14:paraId="2C593A82" w14:textId="77777777" w:rsidR="006F3010" w:rsidRPr="000203E1" w:rsidRDefault="006F3010" w:rsidP="006F3010">
            <w:pPr>
              <w:rPr>
                <w:rFonts w:eastAsia="Arial"/>
                <w:lang w:val="en-GB"/>
              </w:rPr>
            </w:pPr>
            <w:r w:rsidRPr="000203E1">
              <w:rPr>
                <w:rFonts w:eastAsia="Arial"/>
                <w:lang w:val="en-GB"/>
              </w:rPr>
              <w:t>(</w:t>
            </w:r>
            <w:proofErr w:type="spellStart"/>
            <w:proofErr w:type="gramStart"/>
            <w:r w:rsidRPr="000203E1">
              <w:rPr>
                <w:rFonts w:eastAsia="Arial"/>
                <w:lang w:val="en-GB"/>
              </w:rPr>
              <w:t>angl</w:t>
            </w:r>
            <w:proofErr w:type="gramEnd"/>
            <w:r w:rsidRPr="000203E1">
              <w:rPr>
                <w:rFonts w:eastAsia="Arial"/>
                <w:lang w:val="en-GB"/>
              </w:rPr>
              <w:t>.</w:t>
            </w:r>
            <w:proofErr w:type="spellEnd"/>
            <w:r w:rsidRPr="000203E1">
              <w:rPr>
                <w:rFonts w:eastAsia="Arial"/>
                <w:lang w:val="en-GB"/>
              </w:rPr>
              <w:t xml:space="preserve"> </w:t>
            </w:r>
            <w:r w:rsidRPr="000203E1">
              <w:rPr>
                <w:rFonts w:eastAsia="Arial"/>
                <w:i/>
                <w:lang w:val="en-GB"/>
              </w:rPr>
              <w:t>Canadian health Technology Assessment agency, CADTH</w:t>
            </w:r>
            <w:r w:rsidRPr="000203E1">
              <w:rPr>
                <w:rFonts w:eastAsia="Arial"/>
                <w:lang w:val="en-GB"/>
              </w:rPr>
              <w:t>)</w:t>
            </w:r>
          </w:p>
        </w:tc>
        <w:tc>
          <w:tcPr>
            <w:tcW w:w="1851" w:type="dxa"/>
          </w:tcPr>
          <w:p w14:paraId="7AA90957" w14:textId="77777777" w:rsidR="006F3010" w:rsidRPr="00D05364" w:rsidRDefault="00000000" w:rsidP="006F3010"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6F3010" w:rsidRPr="00D05364">
              <w:t xml:space="preserve"> Taip</w:t>
            </w:r>
          </w:p>
          <w:p w14:paraId="41D84BBC" w14:textId="77777777" w:rsidR="006F3010" w:rsidRPr="00D05364" w:rsidRDefault="00000000" w:rsidP="006F3010"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010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3010" w:rsidRPr="00D05364">
              <w:t xml:space="preserve"> Ne</w:t>
            </w:r>
          </w:p>
          <w:p w14:paraId="0C0988CC" w14:textId="21DE5253" w:rsidR="006F3010" w:rsidRPr="000203E1" w:rsidRDefault="00000000" w:rsidP="006F3010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8B4A77ABCCC08046B1680BA5D8F4BFAD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6F3010">
                  <w:t>2023 kovo 15 d.</w:t>
                </w:r>
              </w:sdtContent>
            </w:sdt>
          </w:p>
        </w:tc>
        <w:tc>
          <w:tcPr>
            <w:tcW w:w="2244" w:type="dxa"/>
          </w:tcPr>
          <w:p w14:paraId="64D1B800" w14:textId="74A3883A" w:rsidR="006F3010" w:rsidRPr="000203E1" w:rsidRDefault="006F3010" w:rsidP="006F3010">
            <w:pPr>
              <w:rPr>
                <w:rFonts w:eastAsia="Arial"/>
              </w:rPr>
            </w:pPr>
            <w:r w:rsidRPr="000B4AB6">
              <w:rPr>
                <w:rFonts w:eastAsia="Arial"/>
              </w:rPr>
              <w:t>CADTH</w:t>
            </w:r>
            <w:r>
              <w:rPr>
                <w:rFonts w:eastAsia="Arial"/>
              </w:rPr>
              <w:t xml:space="preserve"> rekomenduoja kompensuoti </w:t>
            </w:r>
            <w:proofErr w:type="spellStart"/>
            <w:r>
              <w:rPr>
                <w:rFonts w:eastAsia="Arial"/>
              </w:rPr>
              <w:t>Vyepti</w:t>
            </w:r>
            <w:proofErr w:type="spellEnd"/>
            <w:r>
              <w:rPr>
                <w:rFonts w:eastAsia="Arial"/>
              </w:rPr>
              <w:t xml:space="preserve"> epizodinės ir lėtinės migrenos prevencijai suaugusiems pacientams, kuriems pasireiškia bent 4 migrenos dienos per mėnesį, jeigu išpildomos šios sąlygos: yra išbandyti bent 2 kiti </w:t>
            </w:r>
            <w:proofErr w:type="spellStart"/>
            <w:r>
              <w:rPr>
                <w:rFonts w:eastAsia="Arial"/>
              </w:rPr>
              <w:t>peroraliniai</w:t>
            </w:r>
            <w:proofErr w:type="spellEnd"/>
            <w:r>
              <w:rPr>
                <w:rFonts w:eastAsia="Arial"/>
              </w:rPr>
              <w:t xml:space="preserve"> migrenos prevencijai skirti </w:t>
            </w:r>
            <w:r w:rsidR="00C74195">
              <w:rPr>
                <w:rFonts w:eastAsia="Arial"/>
              </w:rPr>
              <w:t xml:space="preserve">vaistiniai </w:t>
            </w:r>
            <w:r>
              <w:rPr>
                <w:rFonts w:eastAsia="Arial"/>
              </w:rPr>
              <w:t xml:space="preserve">preparatai; pirmą kartą išrašant </w:t>
            </w:r>
            <w:r w:rsidR="00C74195">
              <w:rPr>
                <w:rFonts w:eastAsia="Arial"/>
              </w:rPr>
              <w:t xml:space="preserve">vaistinį </w:t>
            </w:r>
            <w:r>
              <w:rPr>
                <w:rFonts w:eastAsia="Arial"/>
              </w:rPr>
              <w:t xml:space="preserve">preparatą, turi būti dokumentuojamas mėnesinių migrenos </w:t>
            </w:r>
            <w:r>
              <w:rPr>
                <w:rFonts w:eastAsia="Arial"/>
              </w:rPr>
              <w:lastRenderedPageBreak/>
              <w:t xml:space="preserve">dienų skaičius siekiu pagrįsti </w:t>
            </w:r>
            <w:r w:rsidR="009A0504">
              <w:rPr>
                <w:rFonts w:eastAsia="Arial"/>
              </w:rPr>
              <w:t xml:space="preserve">vaistinio </w:t>
            </w:r>
            <w:r>
              <w:rPr>
                <w:rFonts w:eastAsia="Arial"/>
              </w:rPr>
              <w:t>preparato veiksmingumą.</w:t>
            </w:r>
          </w:p>
        </w:tc>
        <w:tc>
          <w:tcPr>
            <w:tcW w:w="2543" w:type="dxa"/>
          </w:tcPr>
          <w:p w14:paraId="5C8CB330" w14:textId="7FC888BD" w:rsidR="006F3010" w:rsidRPr="000203E1" w:rsidRDefault="006F3010" w:rsidP="006F3010">
            <w:p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Rekomenduojama kompensuoti, jei nusiderama vaisto kaina iki pigiausios gydymo alternatyvos kainos.</w:t>
            </w:r>
          </w:p>
        </w:tc>
      </w:tr>
      <w:tr w:rsidR="006F3010" w:rsidRPr="000203E1" w14:paraId="21C94D47" w14:textId="77777777" w:rsidTr="00897E99">
        <w:trPr>
          <w:trHeight w:val="2160"/>
        </w:trPr>
        <w:tc>
          <w:tcPr>
            <w:tcW w:w="2855" w:type="dxa"/>
          </w:tcPr>
          <w:p w14:paraId="02F45BB8" w14:textId="77777777" w:rsidR="006F3010" w:rsidRPr="000203E1" w:rsidRDefault="006F3010" w:rsidP="006F301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 xml:space="preserve">Nacionalinis </w:t>
            </w:r>
            <w:proofErr w:type="spellStart"/>
            <w:r w:rsidRPr="000203E1">
              <w:rPr>
                <w:rFonts w:eastAsia="Arial"/>
              </w:rPr>
              <w:t>farmakoekonomikos</w:t>
            </w:r>
            <w:proofErr w:type="spellEnd"/>
            <w:r w:rsidRPr="000203E1">
              <w:rPr>
                <w:rFonts w:eastAsia="Arial"/>
              </w:rPr>
              <w:t xml:space="preserve"> centras, Airija</w:t>
            </w:r>
          </w:p>
          <w:p w14:paraId="736F5072" w14:textId="77777777" w:rsidR="006F3010" w:rsidRPr="000203E1" w:rsidRDefault="006F3010" w:rsidP="006F3010">
            <w:pPr>
              <w:rPr>
                <w:rFonts w:eastAsia="Arial"/>
              </w:rPr>
            </w:pPr>
            <w:r w:rsidRPr="000203E1">
              <w:rPr>
                <w:rFonts w:eastAsia="Arial"/>
              </w:rPr>
              <w:t>(angl.</w:t>
            </w:r>
            <w:r w:rsidRPr="000203E1">
              <w:rPr>
                <w:rFonts w:eastAsia="Arial"/>
                <w:i/>
              </w:rPr>
              <w:t xml:space="preserve"> </w:t>
            </w:r>
            <w:proofErr w:type="spellStart"/>
            <w:r w:rsidRPr="000203E1">
              <w:rPr>
                <w:rFonts w:eastAsia="Arial"/>
                <w:i/>
              </w:rPr>
              <w:t>National</w:t>
            </w:r>
            <w:proofErr w:type="spellEnd"/>
            <w:r w:rsidRPr="000203E1">
              <w:rPr>
                <w:rFonts w:eastAsia="Arial"/>
                <w:i/>
              </w:rPr>
              <w:t xml:space="preserve"> Centre </w:t>
            </w:r>
            <w:proofErr w:type="spellStart"/>
            <w:r w:rsidRPr="000203E1">
              <w:rPr>
                <w:rFonts w:eastAsia="Arial"/>
                <w:i/>
              </w:rPr>
              <w:t>for</w:t>
            </w:r>
            <w:proofErr w:type="spellEnd"/>
            <w:r w:rsidRPr="000203E1">
              <w:rPr>
                <w:rFonts w:eastAsia="Arial"/>
                <w:i/>
              </w:rPr>
              <w:t xml:space="preserve"> </w:t>
            </w:r>
            <w:proofErr w:type="spellStart"/>
            <w:r w:rsidRPr="000203E1">
              <w:rPr>
                <w:rFonts w:eastAsia="Arial"/>
                <w:i/>
              </w:rPr>
              <w:t>Pharmacoeconomics</w:t>
            </w:r>
            <w:proofErr w:type="spellEnd"/>
            <w:r w:rsidRPr="000203E1">
              <w:rPr>
                <w:rFonts w:eastAsia="Arial"/>
                <w:i/>
              </w:rPr>
              <w:t>, NCPE</w:t>
            </w:r>
            <w:r w:rsidRPr="000203E1">
              <w:rPr>
                <w:rFonts w:eastAsia="Arial"/>
              </w:rPr>
              <w:t>)</w:t>
            </w:r>
          </w:p>
        </w:tc>
        <w:tc>
          <w:tcPr>
            <w:tcW w:w="1851" w:type="dxa"/>
          </w:tcPr>
          <w:p w14:paraId="106E24DF" w14:textId="77777777" w:rsidR="006F3010" w:rsidRPr="000203E1" w:rsidRDefault="00000000" w:rsidP="006F3010">
            <w:sdt>
              <w:sdtPr>
                <w:rPr>
                  <w:rStyle w:val="Style2"/>
                  <w:sz w:val="24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010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F3010" w:rsidRPr="000203E1">
              <w:t xml:space="preserve"> Taip</w:t>
            </w:r>
          </w:p>
          <w:p w14:paraId="6C89485D" w14:textId="1A270EB0" w:rsidR="006F3010" w:rsidRPr="000203E1" w:rsidRDefault="00000000" w:rsidP="006F3010">
            <w:sdt>
              <w:sdtPr>
                <w:rPr>
                  <w:rStyle w:val="Style2"/>
                  <w:sz w:val="24"/>
                </w:rPr>
                <w:id w:val="109220179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6F3010" w:rsidRPr="000203E1">
              <w:t xml:space="preserve"> Ne</w:t>
            </w:r>
          </w:p>
          <w:p w14:paraId="69AA1151" w14:textId="77777777" w:rsidR="006F3010" w:rsidRPr="000203E1" w:rsidRDefault="00000000" w:rsidP="006F3010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-198323198"/>
                <w:placeholder>
                  <w:docPart w:val="860CB8D8EE1E10479CE6812867AB2022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6F3010" w:rsidRPr="000203E1">
                  <w:rPr>
                    <w:rStyle w:val="Vietosrezervavimoenklotekstas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4787" w:type="dxa"/>
            <w:gridSpan w:val="2"/>
          </w:tcPr>
          <w:p w14:paraId="60651AFD" w14:textId="1B196C29" w:rsidR="006F3010" w:rsidRPr="000203E1" w:rsidRDefault="006F3010" w:rsidP="006F3010">
            <w:pPr>
              <w:rPr>
                <w:rFonts w:eastAsia="Arial"/>
              </w:rPr>
            </w:pPr>
            <w:r>
              <w:rPr>
                <w:rFonts w:eastAsia="Arial"/>
              </w:rPr>
              <w:t>Vykdomas vertinimo procesas.</w:t>
            </w:r>
          </w:p>
        </w:tc>
      </w:tr>
    </w:tbl>
    <w:p w14:paraId="2EB7FD31" w14:textId="4D2A8479" w:rsidR="007A2B68" w:rsidRPr="000203E1" w:rsidRDefault="007A2B68" w:rsidP="00E03C3F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3290081" w14:textId="77777777" w:rsidR="007A2B68" w:rsidRPr="000203E1" w:rsidRDefault="007A2B68">
      <w:pPr>
        <w:rPr>
          <w:b/>
          <w:bCs/>
          <w:caps/>
        </w:rPr>
      </w:pPr>
      <w:r w:rsidRPr="000203E1">
        <w:rPr>
          <w:b/>
          <w:bCs/>
          <w:caps/>
        </w:rPr>
        <w:br w:type="page"/>
      </w:r>
    </w:p>
    <w:p w14:paraId="2E309D3D" w14:textId="05309801" w:rsidR="006F3010" w:rsidRPr="006F3010" w:rsidRDefault="00CC7832" w:rsidP="006F3010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lastRenderedPageBreak/>
        <w:t>Klinikinio vertinimo a</w:t>
      </w:r>
      <w:r w:rsidR="00D4485B" w:rsidRPr="000203E1">
        <w:rPr>
          <w:b/>
          <w:bCs/>
          <w:caps/>
        </w:rPr>
        <w:t>pibendrinimas</w:t>
      </w:r>
    </w:p>
    <w:p w14:paraId="570DF5A5" w14:textId="77777777" w:rsidR="006F3010" w:rsidRPr="00FE0E4C" w:rsidRDefault="006F3010" w:rsidP="006F3010">
      <w:pPr>
        <w:pStyle w:val="VVKT"/>
        <w:rPr>
          <w:rFonts w:eastAsia="Arial"/>
        </w:rPr>
      </w:pPr>
      <w:r w:rsidRPr="00BA5B73">
        <w:rPr>
          <w:rFonts w:eastAsia="Arial"/>
        </w:rPr>
        <w:t xml:space="preserve">Migrena yra ilgalaikė varginanti neurologinė liga, kuriai būdingi pasikartojantys pirminiai, vidutinio sunkumo ar sunkaus galvos skausmo epizodai, kartais lydimi vėmimo, </w:t>
      </w:r>
      <w:proofErr w:type="spellStart"/>
      <w:r w:rsidRPr="00BA5B73">
        <w:rPr>
          <w:rFonts w:eastAsia="Arial"/>
        </w:rPr>
        <w:t>fotofobijos</w:t>
      </w:r>
      <w:proofErr w:type="spellEnd"/>
      <w:r w:rsidRPr="00BA5B73">
        <w:rPr>
          <w:rFonts w:eastAsia="Arial"/>
        </w:rPr>
        <w:t xml:space="preserve"> ar </w:t>
      </w:r>
      <w:proofErr w:type="spellStart"/>
      <w:r w:rsidRPr="00BA5B73">
        <w:rPr>
          <w:rFonts w:eastAsia="Arial"/>
        </w:rPr>
        <w:t>fonofobijos</w:t>
      </w:r>
      <w:proofErr w:type="spellEnd"/>
      <w:r w:rsidRPr="00BA5B73">
        <w:rPr>
          <w:rFonts w:eastAsia="Arial"/>
        </w:rPr>
        <w:t>, nerimo ir depresijos.</w:t>
      </w:r>
      <w:r>
        <w:rPr>
          <w:rFonts w:eastAsia="Arial"/>
        </w:rPr>
        <w:t xml:space="preserve"> </w:t>
      </w:r>
      <w:r w:rsidRPr="00FE0E4C">
        <w:rPr>
          <w:rFonts w:eastAsia="Arial"/>
        </w:rPr>
        <w:t xml:space="preserve">Lietuvoje, remiantis vyresnių kaip 18 metų amžiaus žmonių populiacija, galima apskaičiuoti, kad su migrena gyvena apie 400 tūkst. Maždaug 42 % jų liga yra diagnozuota ir 25 % skiriamas profilaktinis gydymas. Maždaug 1600 žmonių vartoja </w:t>
      </w:r>
      <w:proofErr w:type="spellStart"/>
      <w:r w:rsidRPr="00FE0E4C">
        <w:rPr>
          <w:rFonts w:eastAsia="Arial"/>
        </w:rPr>
        <w:t>aCGRP</w:t>
      </w:r>
      <w:proofErr w:type="spellEnd"/>
      <w:r w:rsidRPr="00FE0E4C">
        <w:rPr>
          <w:rFonts w:eastAsia="Arial"/>
        </w:rPr>
        <w:t xml:space="preserve"> (3,7 %). </w:t>
      </w:r>
      <w:r>
        <w:rPr>
          <w:rFonts w:eastAsia="Arial"/>
        </w:rPr>
        <w:t>Skaičiuojama</w:t>
      </w:r>
      <w:r w:rsidRPr="00FE0E4C">
        <w:rPr>
          <w:rFonts w:eastAsia="Arial"/>
        </w:rPr>
        <w:t xml:space="preserve">, kad per ateinančius 5 metus </w:t>
      </w:r>
      <w:r>
        <w:rPr>
          <w:rFonts w:eastAsia="Arial"/>
          <w:szCs w:val="24"/>
        </w:rPr>
        <w:t xml:space="preserve">žmogaus su </w:t>
      </w:r>
      <w:proofErr w:type="spellStart"/>
      <w:r>
        <w:rPr>
          <w:rFonts w:eastAsia="Arial"/>
          <w:szCs w:val="24"/>
        </w:rPr>
        <w:t>kalcitonino</w:t>
      </w:r>
      <w:proofErr w:type="spellEnd"/>
      <w:r>
        <w:rPr>
          <w:rFonts w:eastAsia="Arial"/>
          <w:szCs w:val="24"/>
        </w:rPr>
        <w:t xml:space="preserve"> genu susijusio peptido </w:t>
      </w:r>
      <w:r w:rsidRPr="00BA5B73">
        <w:rPr>
          <w:rFonts w:eastAsia="Arial"/>
          <w:szCs w:val="24"/>
        </w:rPr>
        <w:t xml:space="preserve">(angl. </w:t>
      </w:r>
      <w:proofErr w:type="spellStart"/>
      <w:r w:rsidRPr="00FE0E4C">
        <w:rPr>
          <w:rFonts w:eastAsia="Arial"/>
          <w:i/>
          <w:iCs/>
          <w:szCs w:val="24"/>
        </w:rPr>
        <w:t>calcitonin</w:t>
      </w:r>
      <w:proofErr w:type="spellEnd"/>
      <w:r w:rsidRPr="00FE0E4C">
        <w:rPr>
          <w:rFonts w:eastAsia="Arial"/>
          <w:i/>
          <w:iCs/>
          <w:szCs w:val="24"/>
        </w:rPr>
        <w:t xml:space="preserve"> gene-</w:t>
      </w:r>
      <w:r w:rsidRPr="00152F68">
        <w:rPr>
          <w:rFonts w:eastAsia="Arial"/>
          <w:i/>
          <w:iCs/>
          <w:szCs w:val="24"/>
          <w:lang w:val="en-US"/>
        </w:rPr>
        <w:t>related</w:t>
      </w:r>
      <w:r w:rsidRPr="00FE0E4C">
        <w:rPr>
          <w:rFonts w:eastAsia="Arial"/>
          <w:i/>
          <w:iCs/>
          <w:szCs w:val="24"/>
        </w:rPr>
        <w:t xml:space="preserve"> peptide</w:t>
      </w:r>
      <w:r w:rsidRPr="00BA5B73">
        <w:rPr>
          <w:rFonts w:eastAsia="Arial"/>
          <w:szCs w:val="24"/>
        </w:rPr>
        <w:t xml:space="preserve">, CGRP) </w:t>
      </w:r>
      <w:proofErr w:type="spellStart"/>
      <w:r>
        <w:rPr>
          <w:rFonts w:eastAsia="Arial"/>
          <w:szCs w:val="24"/>
        </w:rPr>
        <w:t>monokloninių</w:t>
      </w:r>
      <w:proofErr w:type="spellEnd"/>
      <w:r>
        <w:rPr>
          <w:rFonts w:eastAsia="Arial"/>
          <w:szCs w:val="24"/>
        </w:rPr>
        <w:t xml:space="preserve"> antikūnų (</w:t>
      </w:r>
      <w:proofErr w:type="spellStart"/>
      <w:r>
        <w:rPr>
          <w:rFonts w:eastAsia="Arial"/>
          <w:szCs w:val="24"/>
        </w:rPr>
        <w:t>mAb-aCGRP</w:t>
      </w:r>
      <w:proofErr w:type="spellEnd"/>
      <w:r>
        <w:rPr>
          <w:rFonts w:eastAsia="Arial"/>
          <w:szCs w:val="24"/>
        </w:rPr>
        <w:t xml:space="preserve">) </w:t>
      </w:r>
      <w:r w:rsidRPr="00FE0E4C">
        <w:rPr>
          <w:rFonts w:eastAsia="Arial"/>
        </w:rPr>
        <w:t xml:space="preserve">vartojimas </w:t>
      </w:r>
      <w:r>
        <w:rPr>
          <w:rFonts w:eastAsia="Arial"/>
        </w:rPr>
        <w:t>gali išaugti</w:t>
      </w:r>
      <w:r w:rsidRPr="00FE0E4C">
        <w:rPr>
          <w:rFonts w:eastAsia="Arial"/>
        </w:rPr>
        <w:t xml:space="preserve"> iki 10–11 %.</w:t>
      </w:r>
      <w:r>
        <w:rPr>
          <w:rFonts w:eastAsia="Arial"/>
        </w:rPr>
        <w:t xml:space="preserve"> </w:t>
      </w:r>
      <w:r w:rsidRPr="00BA5B73">
        <w:rPr>
          <w:rFonts w:eastAsia="Arial"/>
          <w:szCs w:val="24"/>
        </w:rPr>
        <w:t>Kadangi migrena dažniausiai vargina produktyviausiu žmogaus amžiaus laikotarpiu, ji lemia reikšmingą produktyvumo netekimą</w:t>
      </w:r>
      <w:r>
        <w:rPr>
          <w:rFonts w:eastAsia="Arial"/>
          <w:szCs w:val="24"/>
        </w:rPr>
        <w:t xml:space="preserve">. </w:t>
      </w:r>
    </w:p>
    <w:p w14:paraId="4D9598AD" w14:textId="5E558472" w:rsidR="006F3010" w:rsidRDefault="006F3010" w:rsidP="006F3010">
      <w:pPr>
        <w:pStyle w:val="VVKT"/>
        <w:rPr>
          <w:rFonts w:eastAsia="Arial"/>
          <w:szCs w:val="24"/>
        </w:rPr>
      </w:pPr>
      <w:r w:rsidRPr="00BA5B73">
        <w:rPr>
          <w:rFonts w:eastAsia="Arial"/>
          <w:szCs w:val="24"/>
        </w:rPr>
        <w:t>Iki dabar standartinei migrenos profilaktikai buvo skiriami ne tik migrenai gydyti skirti geriamieji vaistai (pvz., vaistai nuo epilepsijos, antidepresantai ir vaistai nuo aukšto kraujospūdžio</w:t>
      </w:r>
      <w:r>
        <w:rPr>
          <w:rFonts w:eastAsia="Arial"/>
          <w:szCs w:val="24"/>
        </w:rPr>
        <w:t>)</w:t>
      </w:r>
      <w:r w:rsidRPr="00BA5B73">
        <w:rPr>
          <w:rFonts w:eastAsia="Arial"/>
          <w:szCs w:val="24"/>
        </w:rPr>
        <w:t>. Į tokį gydymą reagavo mažiau kaip 30 % migrena sergančių pacientų</w:t>
      </w:r>
      <w:r>
        <w:rPr>
          <w:rFonts w:eastAsia="Arial"/>
          <w:szCs w:val="24"/>
        </w:rPr>
        <w:t xml:space="preserve">. Pastaruoju metu migrenos profilaktikai plačiau pradėti naudoti </w:t>
      </w:r>
      <w:proofErr w:type="spellStart"/>
      <w:r>
        <w:rPr>
          <w:rFonts w:eastAsia="Arial"/>
          <w:szCs w:val="24"/>
        </w:rPr>
        <w:t>mAb-aCGRP</w:t>
      </w:r>
      <w:proofErr w:type="spellEnd"/>
      <w:r>
        <w:rPr>
          <w:rFonts w:eastAsia="Arial"/>
          <w:szCs w:val="24"/>
        </w:rPr>
        <w:t xml:space="preserve">, kurie slopina </w:t>
      </w:r>
      <w:proofErr w:type="spellStart"/>
      <w:r>
        <w:rPr>
          <w:rFonts w:eastAsia="Arial"/>
          <w:szCs w:val="24"/>
        </w:rPr>
        <w:t>neurogeninį</w:t>
      </w:r>
      <w:proofErr w:type="spellEnd"/>
      <w:r>
        <w:rPr>
          <w:rFonts w:eastAsia="Arial"/>
          <w:szCs w:val="24"/>
        </w:rPr>
        <w:t xml:space="preserve"> uždegimą ir kraujagyslių išsiplėtimą, taip veikdami į fiziologinį migrenos mechanizmą. </w:t>
      </w:r>
      <w:r w:rsidRPr="00FE0E4C">
        <w:rPr>
          <w:rFonts w:eastAsia="Arial"/>
          <w:szCs w:val="24"/>
        </w:rPr>
        <w:t>Remiantis naujausi</w:t>
      </w:r>
      <w:r>
        <w:rPr>
          <w:rFonts w:eastAsia="Arial"/>
          <w:szCs w:val="24"/>
        </w:rPr>
        <w:t>ų</w:t>
      </w:r>
      <w:r w:rsidRPr="00FE0E4C">
        <w:rPr>
          <w:rFonts w:eastAsia="Arial"/>
          <w:szCs w:val="24"/>
        </w:rPr>
        <w:t xml:space="preserve"> Europos galvos skausmo</w:t>
      </w:r>
      <w:r>
        <w:rPr>
          <w:rFonts w:eastAsia="Arial"/>
          <w:szCs w:val="24"/>
        </w:rPr>
        <w:t xml:space="preserve"> federacijos</w:t>
      </w:r>
      <w:r w:rsidRPr="00FE0E4C">
        <w:rPr>
          <w:rFonts w:eastAsia="Arial"/>
          <w:szCs w:val="24"/>
        </w:rPr>
        <w:t xml:space="preserve"> (</w:t>
      </w:r>
      <w:r w:rsidRPr="00152F68">
        <w:rPr>
          <w:rFonts w:eastAsia="Arial"/>
          <w:i/>
          <w:iCs/>
          <w:szCs w:val="24"/>
          <w:lang w:val="en-US"/>
        </w:rPr>
        <w:t>European Headache federation</w:t>
      </w:r>
      <w:r w:rsidRPr="00152F68">
        <w:rPr>
          <w:rFonts w:eastAsia="Arial"/>
          <w:szCs w:val="24"/>
          <w:lang w:val="en-US"/>
        </w:rPr>
        <w:t>)</w:t>
      </w:r>
      <w:r w:rsidRPr="00FE0E4C">
        <w:rPr>
          <w:rFonts w:eastAsia="Arial"/>
          <w:szCs w:val="24"/>
        </w:rPr>
        <w:t xml:space="preserve"> 2022 m. gairių atnaujinimu, visi </w:t>
      </w:r>
      <w:proofErr w:type="spellStart"/>
      <w:r w:rsidRPr="00FE0E4C">
        <w:rPr>
          <w:rFonts w:eastAsia="Arial"/>
          <w:szCs w:val="24"/>
        </w:rPr>
        <w:t>monokloniniai</w:t>
      </w:r>
      <w:proofErr w:type="spellEnd"/>
      <w:r w:rsidRPr="00FE0E4C">
        <w:rPr>
          <w:rFonts w:eastAsia="Arial"/>
          <w:szCs w:val="24"/>
        </w:rPr>
        <w:t xml:space="preserve"> antikūnai, veikiantys per CGRP mechanizmą, rekomenduojami migrenos prevencijai kaip efektyvūs ir saugūs </w:t>
      </w:r>
      <w:r w:rsidR="009A0504" w:rsidRPr="001C4887">
        <w:rPr>
          <w:rFonts w:eastAsia="Arial"/>
          <w:szCs w:val="24"/>
        </w:rPr>
        <w:t>vaistini</w:t>
      </w:r>
      <w:r w:rsidR="009A0504">
        <w:rPr>
          <w:rFonts w:eastAsia="Arial"/>
          <w:szCs w:val="24"/>
        </w:rPr>
        <w:t>ai</w:t>
      </w:r>
      <w:r w:rsidR="009A0504" w:rsidRPr="00FE0E4C">
        <w:rPr>
          <w:rFonts w:eastAsia="Arial"/>
          <w:szCs w:val="24"/>
        </w:rPr>
        <w:t xml:space="preserve"> </w:t>
      </w:r>
      <w:r w:rsidRPr="00FE0E4C">
        <w:rPr>
          <w:rFonts w:eastAsia="Arial"/>
          <w:szCs w:val="24"/>
        </w:rPr>
        <w:t>preparatai.</w:t>
      </w:r>
      <w:r>
        <w:rPr>
          <w:rFonts w:eastAsia="Arial"/>
          <w:szCs w:val="24"/>
        </w:rPr>
        <w:t xml:space="preserve"> Paraiškoje kompensuoti teikiamas </w:t>
      </w:r>
      <w:proofErr w:type="spellStart"/>
      <w:r>
        <w:rPr>
          <w:rFonts w:eastAsia="Arial"/>
          <w:szCs w:val="24"/>
        </w:rPr>
        <w:t>eptinezumabas</w:t>
      </w:r>
      <w:proofErr w:type="spellEnd"/>
      <w:r>
        <w:rPr>
          <w:rFonts w:eastAsia="Arial"/>
          <w:szCs w:val="24"/>
        </w:rPr>
        <w:t xml:space="preserve"> yra </w:t>
      </w:r>
      <w:proofErr w:type="spellStart"/>
      <w:r>
        <w:rPr>
          <w:rFonts w:eastAsia="Arial"/>
          <w:szCs w:val="24"/>
        </w:rPr>
        <w:t>intraveniškai</w:t>
      </w:r>
      <w:proofErr w:type="spellEnd"/>
      <w:r>
        <w:rPr>
          <w:rFonts w:eastAsia="Arial"/>
          <w:szCs w:val="24"/>
        </w:rPr>
        <w:t xml:space="preserve"> vieną kartą per 3 mėnesius skiriamas </w:t>
      </w:r>
      <w:proofErr w:type="spellStart"/>
      <w:r>
        <w:rPr>
          <w:rFonts w:eastAsia="Arial"/>
          <w:szCs w:val="24"/>
        </w:rPr>
        <w:t>mAb-aCGRP</w:t>
      </w:r>
      <w:proofErr w:type="spellEnd"/>
      <w:r>
        <w:rPr>
          <w:rFonts w:eastAsia="Arial"/>
          <w:szCs w:val="24"/>
        </w:rPr>
        <w:t xml:space="preserve"> preparatas. Lietuvoje šiuo metu migrenos profilaktiniam gydymui kompensuojami kiti du </w:t>
      </w:r>
      <w:proofErr w:type="spellStart"/>
      <w:r>
        <w:rPr>
          <w:rFonts w:eastAsia="Arial"/>
          <w:szCs w:val="24"/>
        </w:rPr>
        <w:t>mAb-aCGRP</w:t>
      </w:r>
      <w:proofErr w:type="spellEnd"/>
      <w:r>
        <w:rPr>
          <w:rFonts w:eastAsia="Arial"/>
          <w:szCs w:val="24"/>
        </w:rPr>
        <w:t xml:space="preserve"> preparatai – </w:t>
      </w:r>
      <w:proofErr w:type="spellStart"/>
      <w:r>
        <w:rPr>
          <w:rFonts w:eastAsia="Arial"/>
          <w:szCs w:val="24"/>
        </w:rPr>
        <w:t>erenumabas</w:t>
      </w:r>
      <w:proofErr w:type="spellEnd"/>
      <w:r>
        <w:rPr>
          <w:rFonts w:eastAsia="Arial"/>
          <w:szCs w:val="24"/>
        </w:rPr>
        <w:t xml:space="preserve"> ir </w:t>
      </w:r>
      <w:proofErr w:type="spellStart"/>
      <w:r>
        <w:rPr>
          <w:rFonts w:eastAsia="Arial"/>
          <w:szCs w:val="24"/>
        </w:rPr>
        <w:t>fremanezumabas</w:t>
      </w:r>
      <w:proofErr w:type="spellEnd"/>
      <w:r>
        <w:rPr>
          <w:rFonts w:eastAsia="Arial"/>
          <w:szCs w:val="24"/>
        </w:rPr>
        <w:t xml:space="preserve">, kurie yra skiriami poodinėmis injekcijomis. Abu šie </w:t>
      </w:r>
      <w:r w:rsidR="009A0504">
        <w:rPr>
          <w:rFonts w:eastAsia="Arial"/>
          <w:szCs w:val="24"/>
        </w:rPr>
        <w:t xml:space="preserve">vaistiniai </w:t>
      </w:r>
      <w:r>
        <w:rPr>
          <w:rFonts w:eastAsia="Arial"/>
          <w:szCs w:val="24"/>
        </w:rPr>
        <w:t xml:space="preserve">preparatai yra tinkami palyginamieji </w:t>
      </w:r>
      <w:r w:rsidR="009A0504">
        <w:rPr>
          <w:rFonts w:eastAsia="Arial"/>
          <w:szCs w:val="24"/>
        </w:rPr>
        <w:t xml:space="preserve">vaistiniai </w:t>
      </w:r>
      <w:r>
        <w:rPr>
          <w:rFonts w:eastAsia="Arial"/>
          <w:szCs w:val="24"/>
        </w:rPr>
        <w:t>preparatai.</w:t>
      </w:r>
    </w:p>
    <w:p w14:paraId="7F0F079A" w14:textId="77777777" w:rsidR="006F3010" w:rsidRDefault="006F3010" w:rsidP="006F3010">
      <w:pPr>
        <w:pStyle w:val="VVKT"/>
        <w:rPr>
          <w:rFonts w:eastAsia="Arial"/>
          <w:szCs w:val="24"/>
        </w:rPr>
      </w:pPr>
      <w:r>
        <w:rPr>
          <w:rFonts w:eastAsia="Arial"/>
          <w:szCs w:val="24"/>
        </w:rPr>
        <w:t xml:space="preserve">Klinikinio vertinimo apibendrinime apžvelgiami pateiktų tyrimų rezultatai, nagrinėjantys Paraiškoje teikiamos </w:t>
      </w:r>
      <w:proofErr w:type="spellStart"/>
      <w:r>
        <w:rPr>
          <w:rFonts w:eastAsia="Arial"/>
          <w:szCs w:val="24"/>
        </w:rPr>
        <w:t>eptinezumabo</w:t>
      </w:r>
      <w:proofErr w:type="spellEnd"/>
      <w:r>
        <w:rPr>
          <w:rFonts w:eastAsia="Arial"/>
          <w:szCs w:val="24"/>
        </w:rPr>
        <w:t xml:space="preserve"> 100 mg dozės palyginamąjį efektyvumą, klinikinį veiksmingumą ir saugumą.</w:t>
      </w:r>
    </w:p>
    <w:p w14:paraId="7EA38837" w14:textId="77777777" w:rsidR="006F3010" w:rsidRDefault="006F3010" w:rsidP="006F3010">
      <w:pPr>
        <w:pStyle w:val="VVKT"/>
        <w:rPr>
          <w:rFonts w:eastAsia="Arial"/>
          <w:szCs w:val="24"/>
        </w:rPr>
      </w:pPr>
    </w:p>
    <w:p w14:paraId="62ADAE20" w14:textId="77777777" w:rsidR="006F3010" w:rsidRDefault="006F3010" w:rsidP="006F3010">
      <w:pPr>
        <w:pStyle w:val="VVKT"/>
        <w:rPr>
          <w:rFonts w:eastAsia="Arial"/>
          <w:szCs w:val="24"/>
        </w:rPr>
      </w:pPr>
      <w:r>
        <w:rPr>
          <w:rFonts w:eastAsia="Arial"/>
          <w:i/>
          <w:iCs/>
          <w:szCs w:val="24"/>
        </w:rPr>
        <w:t>Tiesioginis palyginimas</w:t>
      </w:r>
    </w:p>
    <w:p w14:paraId="3BFDDD1D" w14:textId="73EB3D5F" w:rsidR="006F3010" w:rsidRDefault="006F3010" w:rsidP="006F3010">
      <w:pPr>
        <w:pStyle w:val="VVKT"/>
        <w:rPr>
          <w:rFonts w:eastAsia="Arial"/>
          <w:szCs w:val="24"/>
        </w:rPr>
      </w:pPr>
      <w:r>
        <w:rPr>
          <w:rFonts w:eastAsia="Arial"/>
          <w:szCs w:val="24"/>
        </w:rPr>
        <w:t xml:space="preserve">Tiesioginiame palyginime pateikti 4 klinikiniai tyrimai: </w:t>
      </w:r>
      <w:r w:rsidRPr="00BA5B73">
        <w:rPr>
          <w:rFonts w:eastAsia="Arial"/>
          <w:szCs w:val="24"/>
        </w:rPr>
        <w:t>PROMISE-1</w:t>
      </w:r>
      <w:r>
        <w:rPr>
          <w:rFonts w:eastAsia="Arial"/>
          <w:szCs w:val="24"/>
        </w:rPr>
        <w:t xml:space="preserve">, </w:t>
      </w:r>
      <w:r w:rsidRPr="00811102">
        <w:rPr>
          <w:rFonts w:eastAsia="Arial"/>
          <w:szCs w:val="24"/>
        </w:rPr>
        <w:t>PROMISE-2</w:t>
      </w:r>
      <w:r>
        <w:rPr>
          <w:rFonts w:eastAsia="Arial"/>
          <w:szCs w:val="24"/>
        </w:rPr>
        <w:t xml:space="preserve">, RELIEF ir </w:t>
      </w:r>
      <w:r w:rsidRPr="00811102">
        <w:rPr>
          <w:rFonts w:eastAsia="Arial"/>
          <w:szCs w:val="24"/>
        </w:rPr>
        <w:t>PREVAIL</w:t>
      </w:r>
      <w:r>
        <w:rPr>
          <w:rFonts w:eastAsia="Arial"/>
          <w:szCs w:val="24"/>
        </w:rPr>
        <w:t xml:space="preserve">. PROMISE-1 yra 3 fazės, atsitiktinių imčių, dvigubai aklas, placebo kontroliuojamas, </w:t>
      </w:r>
      <w:proofErr w:type="spellStart"/>
      <w:r>
        <w:rPr>
          <w:rFonts w:eastAsia="Arial"/>
          <w:szCs w:val="24"/>
        </w:rPr>
        <w:t>daugiacentris</w:t>
      </w:r>
      <w:proofErr w:type="spellEnd"/>
      <w:r>
        <w:rPr>
          <w:rFonts w:eastAsia="Arial"/>
          <w:szCs w:val="24"/>
        </w:rPr>
        <w:t xml:space="preserve"> klinikinis tyrimas, kurio populiaciją (n=898) sudarė suaugę pacientai, sergantys epizodine migrena. </w:t>
      </w:r>
      <w:r w:rsidRPr="00AE5BDD">
        <w:rPr>
          <w:rFonts w:eastAsia="Arial"/>
          <w:szCs w:val="24"/>
        </w:rPr>
        <w:t>Pagrindinė vertinamoji baigtis –</w:t>
      </w:r>
      <w:r>
        <w:rPr>
          <w:rFonts w:eastAsia="Arial"/>
          <w:szCs w:val="24"/>
        </w:rPr>
        <w:t xml:space="preserve"> mėnesinių migrenos dienų</w:t>
      </w:r>
      <w:r w:rsidRPr="00AE5BDD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>(</w:t>
      </w:r>
      <w:r w:rsidRPr="00AE5BDD">
        <w:rPr>
          <w:rFonts w:eastAsia="Arial"/>
          <w:szCs w:val="24"/>
        </w:rPr>
        <w:t>MMD</w:t>
      </w:r>
      <w:r>
        <w:rPr>
          <w:rFonts w:eastAsia="Arial"/>
          <w:szCs w:val="24"/>
        </w:rPr>
        <w:t>)</w:t>
      </w:r>
      <w:r w:rsidRPr="00AE5BDD">
        <w:rPr>
          <w:rFonts w:eastAsia="Arial"/>
          <w:szCs w:val="24"/>
        </w:rPr>
        <w:t xml:space="preserve"> pokytis lyginant su pradiniu: 100 mg</w:t>
      </w:r>
      <w:r>
        <w:rPr>
          <w:rFonts w:eastAsia="Arial"/>
          <w:szCs w:val="24"/>
        </w:rPr>
        <w:t xml:space="preserve"> </w:t>
      </w:r>
      <w:proofErr w:type="spellStart"/>
      <w:r w:rsidRPr="00AE5BDD">
        <w:rPr>
          <w:rFonts w:eastAsia="Arial"/>
          <w:szCs w:val="24"/>
        </w:rPr>
        <w:t>eptinezumabo</w:t>
      </w:r>
      <w:proofErr w:type="spellEnd"/>
      <w:r w:rsidRPr="00AE5BDD">
        <w:rPr>
          <w:rFonts w:eastAsia="Arial"/>
          <w:szCs w:val="24"/>
        </w:rPr>
        <w:t xml:space="preserve"> dozė statistiškai reikšmingai sumažino MMD skaičių nuo pradinio, lyginant su placebo (-0,7 d.</w:t>
      </w:r>
      <w:r>
        <w:rPr>
          <w:rFonts w:eastAsia="Arial"/>
          <w:szCs w:val="24"/>
        </w:rPr>
        <w:t xml:space="preserve">, </w:t>
      </w:r>
      <w:r w:rsidRPr="00AE5BDD">
        <w:rPr>
          <w:rFonts w:eastAsia="Arial"/>
          <w:szCs w:val="24"/>
        </w:rPr>
        <w:t xml:space="preserve">p=0,0182). Antrinės vertinamosios baigtys: statistiškai reikšmingas MMD sumažėjimas ≥75% pacientų 1-4 sav. periodu </w:t>
      </w:r>
      <w:r>
        <w:rPr>
          <w:rFonts w:eastAsia="Arial"/>
          <w:szCs w:val="24"/>
        </w:rPr>
        <w:t>gydant</w:t>
      </w:r>
      <w:r w:rsidRPr="00AE5BDD">
        <w:rPr>
          <w:rFonts w:eastAsia="Arial"/>
          <w:szCs w:val="24"/>
        </w:rPr>
        <w:t xml:space="preserve"> </w:t>
      </w:r>
      <w:proofErr w:type="spellStart"/>
      <w:r w:rsidRPr="00AE5BDD">
        <w:rPr>
          <w:rFonts w:eastAsia="Arial"/>
          <w:szCs w:val="24"/>
        </w:rPr>
        <w:t>eptinezumab</w:t>
      </w:r>
      <w:r>
        <w:rPr>
          <w:rFonts w:eastAsia="Arial"/>
          <w:szCs w:val="24"/>
        </w:rPr>
        <w:t>u</w:t>
      </w:r>
      <w:proofErr w:type="spellEnd"/>
      <w:r>
        <w:rPr>
          <w:rFonts w:eastAsia="Arial"/>
          <w:szCs w:val="24"/>
        </w:rPr>
        <w:t>, lyginant su placebo</w:t>
      </w:r>
      <w:r w:rsidRPr="00AE5BDD">
        <w:rPr>
          <w:rFonts w:eastAsia="Arial"/>
          <w:szCs w:val="24"/>
        </w:rPr>
        <w:t xml:space="preserve"> dozėms (30,8%</w:t>
      </w:r>
      <w:r>
        <w:rPr>
          <w:rFonts w:eastAsia="Arial"/>
          <w:szCs w:val="24"/>
        </w:rPr>
        <w:t xml:space="preserve"> </w:t>
      </w:r>
      <w:proofErr w:type="spellStart"/>
      <w:r>
        <w:rPr>
          <w:rFonts w:eastAsia="Arial"/>
          <w:i/>
          <w:iCs/>
          <w:szCs w:val="24"/>
        </w:rPr>
        <w:t>vs</w:t>
      </w:r>
      <w:proofErr w:type="spellEnd"/>
      <w:r>
        <w:rPr>
          <w:rFonts w:eastAsia="Arial"/>
          <w:szCs w:val="24"/>
        </w:rPr>
        <w:t xml:space="preserve"> </w:t>
      </w:r>
      <w:r w:rsidRPr="00AE5BDD">
        <w:rPr>
          <w:rFonts w:eastAsia="Arial"/>
          <w:szCs w:val="24"/>
        </w:rPr>
        <w:t xml:space="preserve"> 20,3%</w:t>
      </w:r>
      <w:r>
        <w:rPr>
          <w:rFonts w:eastAsia="Arial"/>
          <w:szCs w:val="24"/>
        </w:rPr>
        <w:t xml:space="preserve">, </w:t>
      </w:r>
      <w:r w:rsidRPr="00AE5BDD">
        <w:rPr>
          <w:rFonts w:eastAsia="Arial"/>
          <w:szCs w:val="24"/>
        </w:rPr>
        <w:t>p=0,0112). Statistikai reikšming</w:t>
      </w:r>
      <w:r>
        <w:rPr>
          <w:rFonts w:eastAsia="Arial"/>
          <w:szCs w:val="24"/>
        </w:rPr>
        <w:t>o</w:t>
      </w:r>
      <w:r w:rsidRPr="00AE5BDD">
        <w:rPr>
          <w:rFonts w:eastAsia="Arial"/>
          <w:szCs w:val="24"/>
        </w:rPr>
        <w:t xml:space="preserve"> MMD sumažėjim</w:t>
      </w:r>
      <w:r>
        <w:rPr>
          <w:rFonts w:eastAsia="Arial"/>
          <w:szCs w:val="24"/>
        </w:rPr>
        <w:t>o</w:t>
      </w:r>
      <w:r w:rsidRPr="00AE5BDD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 xml:space="preserve">≥50% ir </w:t>
      </w:r>
      <w:r w:rsidRPr="00AE5BDD">
        <w:rPr>
          <w:rFonts w:eastAsia="Arial"/>
          <w:szCs w:val="24"/>
        </w:rPr>
        <w:t xml:space="preserve">≥75% pacientų </w:t>
      </w:r>
      <w:r>
        <w:rPr>
          <w:rFonts w:eastAsia="Arial"/>
          <w:szCs w:val="24"/>
        </w:rPr>
        <w:t xml:space="preserve">po 12 savaičių nuo gydymo </w:t>
      </w:r>
      <w:r w:rsidRPr="00AE5BDD">
        <w:rPr>
          <w:rFonts w:eastAsia="Arial"/>
          <w:szCs w:val="24"/>
        </w:rPr>
        <w:t xml:space="preserve">skiriant </w:t>
      </w:r>
      <w:r>
        <w:rPr>
          <w:rFonts w:eastAsia="Arial"/>
          <w:szCs w:val="24"/>
        </w:rPr>
        <w:t>1</w:t>
      </w:r>
      <w:r w:rsidRPr="00AE5BDD">
        <w:rPr>
          <w:rFonts w:eastAsia="Arial"/>
          <w:szCs w:val="24"/>
        </w:rPr>
        <w:t xml:space="preserve">00 mg dozę </w:t>
      </w:r>
      <w:r>
        <w:rPr>
          <w:rFonts w:eastAsia="Arial"/>
          <w:szCs w:val="24"/>
        </w:rPr>
        <w:t>lyginant su placebo nenustatyta (p&gt;0,05)</w:t>
      </w:r>
      <w:r w:rsidRPr="00AE5BDD">
        <w:rPr>
          <w:rFonts w:eastAsia="Arial"/>
          <w:szCs w:val="24"/>
        </w:rPr>
        <w:t>. Vertinant gyvenimo kokybę pagal EQ-5D-5L klausimyną, reikšmingų skirtumų tarp grupių nebuvo.</w:t>
      </w:r>
      <w:r>
        <w:rPr>
          <w:rFonts w:eastAsia="Arial"/>
          <w:szCs w:val="24"/>
        </w:rPr>
        <w:t xml:space="preserve"> PROMISE-2 yra 3 fazės, atsitiktinių imčių, dvigubai aklas, placebo kontroliuojamas, </w:t>
      </w:r>
      <w:proofErr w:type="spellStart"/>
      <w:r>
        <w:rPr>
          <w:rFonts w:eastAsia="Arial"/>
          <w:szCs w:val="24"/>
        </w:rPr>
        <w:t>daugiacentris</w:t>
      </w:r>
      <w:proofErr w:type="spellEnd"/>
      <w:r>
        <w:rPr>
          <w:rFonts w:eastAsia="Arial"/>
          <w:szCs w:val="24"/>
        </w:rPr>
        <w:t xml:space="preserve"> klinikinis tyrimas, kurio populiaciją sudarė 1121 lėtine migrena sergantys pacientai. </w:t>
      </w:r>
      <w:r w:rsidRPr="00010192">
        <w:rPr>
          <w:rFonts w:eastAsia="Arial"/>
          <w:szCs w:val="24"/>
        </w:rPr>
        <w:t xml:space="preserve">Pagrindinė vertinamoji baigtis – MMD pokytis lyginant su pradiniu: </w:t>
      </w:r>
      <w:r>
        <w:rPr>
          <w:rFonts w:eastAsia="Arial"/>
          <w:szCs w:val="24"/>
        </w:rPr>
        <w:t xml:space="preserve">skiriant </w:t>
      </w:r>
      <w:r w:rsidRPr="00010192">
        <w:rPr>
          <w:rFonts w:eastAsia="Arial"/>
          <w:szCs w:val="24"/>
        </w:rPr>
        <w:t>100</w:t>
      </w:r>
      <w:r>
        <w:rPr>
          <w:rFonts w:eastAsia="Arial"/>
          <w:szCs w:val="24"/>
        </w:rPr>
        <w:t xml:space="preserve"> </w:t>
      </w:r>
      <w:r w:rsidRPr="00010192">
        <w:rPr>
          <w:rFonts w:eastAsia="Arial"/>
          <w:szCs w:val="24"/>
        </w:rPr>
        <w:t xml:space="preserve">mg </w:t>
      </w:r>
      <w:proofErr w:type="spellStart"/>
      <w:r w:rsidRPr="00010192">
        <w:rPr>
          <w:rFonts w:eastAsia="Arial"/>
          <w:szCs w:val="24"/>
        </w:rPr>
        <w:t>eptinezumabo</w:t>
      </w:r>
      <w:proofErr w:type="spellEnd"/>
      <w:r w:rsidRPr="00010192">
        <w:rPr>
          <w:rFonts w:eastAsia="Arial"/>
          <w:szCs w:val="24"/>
        </w:rPr>
        <w:t xml:space="preserve"> doz</w:t>
      </w:r>
      <w:r>
        <w:rPr>
          <w:rFonts w:eastAsia="Arial"/>
          <w:szCs w:val="24"/>
        </w:rPr>
        <w:t>ę</w:t>
      </w:r>
      <w:r w:rsidRPr="00010192">
        <w:rPr>
          <w:rFonts w:eastAsia="Arial"/>
          <w:szCs w:val="24"/>
        </w:rPr>
        <w:t xml:space="preserve"> MMD </w:t>
      </w:r>
      <w:r>
        <w:rPr>
          <w:rFonts w:eastAsia="Arial"/>
          <w:szCs w:val="24"/>
        </w:rPr>
        <w:t xml:space="preserve">nuo pradinio sumažėjo </w:t>
      </w:r>
      <w:r w:rsidRPr="00010192">
        <w:rPr>
          <w:rFonts w:eastAsia="Arial"/>
          <w:szCs w:val="24"/>
        </w:rPr>
        <w:t>statistiškai reikšminga, lyginant su placebo (-2,0 d.</w:t>
      </w:r>
      <w:r>
        <w:rPr>
          <w:rFonts w:eastAsia="Arial"/>
          <w:szCs w:val="24"/>
        </w:rPr>
        <w:t xml:space="preserve">, </w:t>
      </w:r>
      <w:r w:rsidRPr="00010192">
        <w:rPr>
          <w:rFonts w:eastAsia="Arial"/>
          <w:szCs w:val="24"/>
        </w:rPr>
        <w:t>p&lt;0,0001)</w:t>
      </w:r>
      <w:r>
        <w:rPr>
          <w:rFonts w:eastAsia="Arial"/>
          <w:szCs w:val="24"/>
        </w:rPr>
        <w:t xml:space="preserve">. </w:t>
      </w:r>
      <w:r w:rsidRPr="00010192">
        <w:rPr>
          <w:rFonts w:eastAsia="Arial"/>
          <w:szCs w:val="24"/>
        </w:rPr>
        <w:t>Antrinės vertinamosios baigtys: skiriant 100 mg</w:t>
      </w:r>
      <w:r>
        <w:rPr>
          <w:rFonts w:eastAsia="Arial"/>
          <w:szCs w:val="24"/>
        </w:rPr>
        <w:t xml:space="preserve"> </w:t>
      </w:r>
      <w:proofErr w:type="spellStart"/>
      <w:r>
        <w:rPr>
          <w:rFonts w:eastAsia="Arial"/>
          <w:szCs w:val="24"/>
        </w:rPr>
        <w:t>eptinezumabo</w:t>
      </w:r>
      <w:proofErr w:type="spellEnd"/>
      <w:r>
        <w:rPr>
          <w:rFonts w:eastAsia="Arial"/>
          <w:szCs w:val="24"/>
        </w:rPr>
        <w:t xml:space="preserve"> dozę, </w:t>
      </w:r>
      <w:r w:rsidRPr="00010192">
        <w:rPr>
          <w:rFonts w:eastAsia="Arial"/>
          <w:szCs w:val="24"/>
        </w:rPr>
        <w:t>statistiškai reikšmingai didesnei daliai pacientų MMD sumažėjo ≥50%</w:t>
      </w:r>
      <w:r>
        <w:rPr>
          <w:rFonts w:eastAsia="Arial"/>
          <w:szCs w:val="24"/>
        </w:rPr>
        <w:t xml:space="preserve"> </w:t>
      </w:r>
      <w:r w:rsidRPr="00010192">
        <w:rPr>
          <w:rFonts w:eastAsia="Arial"/>
          <w:szCs w:val="24"/>
        </w:rPr>
        <w:t>per 12 sav.</w:t>
      </w:r>
      <w:r>
        <w:rPr>
          <w:rFonts w:eastAsia="Arial"/>
          <w:szCs w:val="24"/>
        </w:rPr>
        <w:t xml:space="preserve">, </w:t>
      </w:r>
      <w:r w:rsidRPr="00010192">
        <w:rPr>
          <w:rFonts w:eastAsia="Arial"/>
          <w:szCs w:val="24"/>
        </w:rPr>
        <w:t>≥75%</w:t>
      </w:r>
      <w:r>
        <w:rPr>
          <w:rFonts w:eastAsia="Arial"/>
          <w:szCs w:val="24"/>
        </w:rPr>
        <w:t xml:space="preserve"> per </w:t>
      </w:r>
      <w:r w:rsidRPr="00010192">
        <w:rPr>
          <w:rFonts w:eastAsia="Arial"/>
          <w:szCs w:val="24"/>
        </w:rPr>
        <w:t>4 sav.</w:t>
      </w:r>
      <w:r>
        <w:rPr>
          <w:rFonts w:eastAsia="Arial"/>
          <w:szCs w:val="24"/>
        </w:rPr>
        <w:t>,</w:t>
      </w:r>
      <w:r w:rsidRPr="00010192">
        <w:rPr>
          <w:rFonts w:eastAsia="Arial"/>
          <w:szCs w:val="24"/>
        </w:rPr>
        <w:t xml:space="preserve"> </w:t>
      </w:r>
      <w:r>
        <w:rPr>
          <w:rFonts w:eastAsia="Arial"/>
          <w:szCs w:val="24"/>
        </w:rPr>
        <w:t xml:space="preserve">ir  </w:t>
      </w:r>
      <w:r w:rsidRPr="00010192">
        <w:rPr>
          <w:rFonts w:eastAsia="Arial"/>
          <w:szCs w:val="24"/>
        </w:rPr>
        <w:t xml:space="preserve">≥75% </w:t>
      </w:r>
      <w:r>
        <w:rPr>
          <w:rFonts w:eastAsia="Arial"/>
          <w:szCs w:val="24"/>
        </w:rPr>
        <w:t xml:space="preserve">per </w:t>
      </w:r>
      <w:r w:rsidRPr="00010192">
        <w:rPr>
          <w:rFonts w:eastAsia="Arial"/>
          <w:szCs w:val="24"/>
        </w:rPr>
        <w:t>12</w:t>
      </w:r>
      <w:r>
        <w:rPr>
          <w:rFonts w:eastAsia="Arial"/>
          <w:szCs w:val="24"/>
        </w:rPr>
        <w:t xml:space="preserve"> sav. nuo gydymo pradžios, lyginant su placebo </w:t>
      </w:r>
      <w:r w:rsidRPr="00010192">
        <w:rPr>
          <w:rFonts w:eastAsia="Arial"/>
          <w:szCs w:val="24"/>
        </w:rPr>
        <w:t xml:space="preserve">(56,7% </w:t>
      </w:r>
      <w:proofErr w:type="spellStart"/>
      <w:r>
        <w:rPr>
          <w:rFonts w:eastAsia="Arial"/>
          <w:i/>
          <w:iCs/>
          <w:szCs w:val="24"/>
        </w:rPr>
        <w:t>vs</w:t>
      </w:r>
      <w:proofErr w:type="spellEnd"/>
      <w:r>
        <w:rPr>
          <w:rFonts w:eastAsia="Arial"/>
          <w:szCs w:val="24"/>
        </w:rPr>
        <w:t xml:space="preserve"> </w:t>
      </w:r>
      <w:r w:rsidRPr="00010192">
        <w:rPr>
          <w:rFonts w:eastAsia="Arial"/>
          <w:szCs w:val="24"/>
        </w:rPr>
        <w:t>39,3%</w:t>
      </w:r>
      <w:r>
        <w:rPr>
          <w:rFonts w:eastAsia="Arial"/>
          <w:szCs w:val="24"/>
        </w:rPr>
        <w:t xml:space="preserve"> (</w:t>
      </w:r>
      <w:r w:rsidRPr="00010192">
        <w:rPr>
          <w:rFonts w:eastAsia="Arial"/>
          <w:szCs w:val="24"/>
        </w:rPr>
        <w:t>p&lt;0,0001</w:t>
      </w:r>
      <w:r>
        <w:rPr>
          <w:rFonts w:eastAsia="Arial"/>
          <w:szCs w:val="24"/>
        </w:rPr>
        <w:t xml:space="preserve">),  </w:t>
      </w:r>
      <w:r w:rsidRPr="00010192">
        <w:rPr>
          <w:rFonts w:eastAsia="Arial"/>
          <w:szCs w:val="24"/>
        </w:rPr>
        <w:t xml:space="preserve">30,9% </w:t>
      </w:r>
      <w:proofErr w:type="spellStart"/>
      <w:r>
        <w:rPr>
          <w:rFonts w:eastAsia="Arial"/>
          <w:i/>
          <w:iCs/>
          <w:szCs w:val="24"/>
        </w:rPr>
        <w:t>vs</w:t>
      </w:r>
      <w:proofErr w:type="spellEnd"/>
      <w:r>
        <w:rPr>
          <w:rFonts w:eastAsia="Arial"/>
          <w:i/>
          <w:iCs/>
          <w:szCs w:val="24"/>
        </w:rPr>
        <w:t xml:space="preserve"> </w:t>
      </w:r>
      <w:r w:rsidRPr="00010192">
        <w:rPr>
          <w:rFonts w:eastAsia="Arial"/>
          <w:szCs w:val="24"/>
        </w:rPr>
        <w:t>15,6% (p&lt;0,0001)</w:t>
      </w:r>
      <w:r>
        <w:rPr>
          <w:rFonts w:eastAsia="Arial"/>
          <w:szCs w:val="24"/>
        </w:rPr>
        <w:t xml:space="preserve"> ir  </w:t>
      </w:r>
      <w:r w:rsidRPr="00010192">
        <w:rPr>
          <w:rFonts w:eastAsia="Arial"/>
          <w:szCs w:val="24"/>
        </w:rPr>
        <w:t xml:space="preserve">26,7% </w:t>
      </w:r>
      <w:proofErr w:type="spellStart"/>
      <w:r w:rsidRPr="00010192">
        <w:rPr>
          <w:rFonts w:eastAsia="Arial"/>
          <w:i/>
          <w:iCs/>
          <w:szCs w:val="24"/>
        </w:rPr>
        <w:t>vs</w:t>
      </w:r>
      <w:proofErr w:type="spellEnd"/>
      <w:r w:rsidRPr="00010192">
        <w:rPr>
          <w:rFonts w:eastAsia="Arial"/>
          <w:i/>
          <w:iCs/>
          <w:szCs w:val="24"/>
        </w:rPr>
        <w:t xml:space="preserve"> </w:t>
      </w:r>
      <w:r w:rsidRPr="00010192">
        <w:rPr>
          <w:rFonts w:eastAsia="Arial"/>
          <w:szCs w:val="24"/>
        </w:rPr>
        <w:t>15,0%</w:t>
      </w:r>
      <w:r>
        <w:rPr>
          <w:rFonts w:eastAsia="Arial"/>
          <w:szCs w:val="24"/>
        </w:rPr>
        <w:t xml:space="preserve"> (</w:t>
      </w:r>
      <w:r w:rsidRPr="00010192">
        <w:rPr>
          <w:rFonts w:eastAsia="Arial"/>
          <w:szCs w:val="24"/>
        </w:rPr>
        <w:t>p=0,0001)</w:t>
      </w:r>
      <w:r>
        <w:rPr>
          <w:rFonts w:eastAsia="Arial"/>
          <w:szCs w:val="24"/>
        </w:rPr>
        <w:t>, atitinkamai)</w:t>
      </w:r>
      <w:r w:rsidRPr="00010192">
        <w:rPr>
          <w:rFonts w:eastAsia="Arial"/>
          <w:szCs w:val="24"/>
        </w:rPr>
        <w:t xml:space="preserve">. Sekančią dieną po </w:t>
      </w:r>
      <w:r w:rsidR="009A0504" w:rsidRPr="001C4887">
        <w:rPr>
          <w:rFonts w:eastAsia="Arial"/>
          <w:szCs w:val="24"/>
        </w:rPr>
        <w:t>vaistini</w:t>
      </w:r>
      <w:r w:rsidR="009A0504">
        <w:rPr>
          <w:rFonts w:eastAsia="Arial"/>
          <w:szCs w:val="24"/>
        </w:rPr>
        <w:t>o</w:t>
      </w:r>
      <w:r w:rsidR="009A0504" w:rsidRPr="00010192">
        <w:rPr>
          <w:rFonts w:eastAsia="Arial"/>
          <w:szCs w:val="24"/>
        </w:rPr>
        <w:t xml:space="preserve"> </w:t>
      </w:r>
      <w:r w:rsidRPr="00010192">
        <w:rPr>
          <w:rFonts w:eastAsia="Arial"/>
          <w:szCs w:val="24"/>
        </w:rPr>
        <w:t xml:space="preserve">preparato skyrimo statistiškai reikšmingai mažesnei daliai </w:t>
      </w:r>
      <w:proofErr w:type="spellStart"/>
      <w:r w:rsidRPr="00010192">
        <w:rPr>
          <w:rFonts w:eastAsia="Arial"/>
          <w:szCs w:val="24"/>
        </w:rPr>
        <w:t>eptinezumabo</w:t>
      </w:r>
      <w:proofErr w:type="spellEnd"/>
      <w:r w:rsidRPr="00010192">
        <w:rPr>
          <w:rFonts w:eastAsia="Arial"/>
          <w:szCs w:val="24"/>
        </w:rPr>
        <w:t xml:space="preserve"> grup</w:t>
      </w:r>
      <w:r>
        <w:rPr>
          <w:rFonts w:eastAsia="Arial"/>
          <w:szCs w:val="24"/>
        </w:rPr>
        <w:t>ės</w:t>
      </w:r>
      <w:r w:rsidRPr="00010192">
        <w:rPr>
          <w:rFonts w:eastAsia="Arial"/>
          <w:szCs w:val="24"/>
        </w:rPr>
        <w:t xml:space="preserve"> pacientų pasikartojo migrena, lyginant su placebo </w:t>
      </w:r>
      <w:r w:rsidRPr="00010192">
        <w:rPr>
          <w:rFonts w:eastAsia="Arial"/>
          <w:szCs w:val="24"/>
        </w:rPr>
        <w:lastRenderedPageBreak/>
        <w:t xml:space="preserve">(28,6% </w:t>
      </w:r>
      <w:proofErr w:type="spellStart"/>
      <w:r w:rsidRPr="00010192">
        <w:rPr>
          <w:rFonts w:eastAsia="Arial"/>
          <w:i/>
          <w:iCs/>
          <w:szCs w:val="24"/>
        </w:rPr>
        <w:t>vs</w:t>
      </w:r>
      <w:proofErr w:type="spellEnd"/>
      <w:r w:rsidRPr="00010192">
        <w:rPr>
          <w:rFonts w:eastAsia="Arial"/>
          <w:szCs w:val="24"/>
        </w:rPr>
        <w:t xml:space="preserve"> 42,3%, p&lt;0,0001</w:t>
      </w:r>
      <w:r>
        <w:rPr>
          <w:rFonts w:eastAsia="Arial"/>
          <w:szCs w:val="24"/>
        </w:rPr>
        <w:t xml:space="preserve">). </w:t>
      </w:r>
      <w:proofErr w:type="spellStart"/>
      <w:r w:rsidRPr="00010192">
        <w:rPr>
          <w:rFonts w:eastAsia="Arial"/>
          <w:szCs w:val="24"/>
        </w:rPr>
        <w:t>Eptinezumabas</w:t>
      </w:r>
      <w:proofErr w:type="spellEnd"/>
      <w:r w:rsidRPr="00010192">
        <w:rPr>
          <w:rFonts w:eastAsia="Arial"/>
          <w:szCs w:val="24"/>
        </w:rPr>
        <w:t xml:space="preserve"> po 12 savaičių gydymo statistiškai reikšmingai pagerino pacientų gyvenimo kokybę: </w:t>
      </w:r>
      <w:proofErr w:type="spellStart"/>
      <w:r>
        <w:rPr>
          <w:rFonts w:eastAsia="Arial"/>
          <w:szCs w:val="24"/>
        </w:rPr>
        <w:t>eptinezumabo</w:t>
      </w:r>
      <w:proofErr w:type="spellEnd"/>
      <w:r>
        <w:rPr>
          <w:rFonts w:eastAsia="Arial"/>
          <w:szCs w:val="24"/>
        </w:rPr>
        <w:t xml:space="preserve"> grupės</w:t>
      </w:r>
      <w:r w:rsidRPr="00010192">
        <w:rPr>
          <w:rFonts w:eastAsia="Arial"/>
          <w:szCs w:val="24"/>
        </w:rPr>
        <w:t xml:space="preserve"> HIT-6 įvertis buvo 2,9 balo mažesnis už placebo (95% PI (-3,9;-1,8), p&lt;0,0001)</w:t>
      </w:r>
      <w:r>
        <w:rPr>
          <w:rFonts w:eastAsia="Arial"/>
          <w:szCs w:val="24"/>
        </w:rPr>
        <w:t>. K</w:t>
      </w:r>
      <w:r w:rsidRPr="00860646">
        <w:rPr>
          <w:rFonts w:eastAsia="Arial"/>
          <w:szCs w:val="24"/>
        </w:rPr>
        <w:t>linikini</w:t>
      </w:r>
      <w:r>
        <w:rPr>
          <w:rFonts w:eastAsia="Arial"/>
          <w:szCs w:val="24"/>
        </w:rPr>
        <w:t>ame</w:t>
      </w:r>
      <w:r w:rsidRPr="00860646">
        <w:rPr>
          <w:rFonts w:eastAsia="Arial"/>
          <w:szCs w:val="24"/>
        </w:rPr>
        <w:t xml:space="preserve"> 3 fazės,</w:t>
      </w:r>
      <w:r>
        <w:rPr>
          <w:rFonts w:eastAsia="Arial"/>
          <w:szCs w:val="24"/>
        </w:rPr>
        <w:t xml:space="preserve"> </w:t>
      </w:r>
      <w:r w:rsidRPr="00860646">
        <w:rPr>
          <w:rFonts w:eastAsia="Arial"/>
          <w:szCs w:val="24"/>
        </w:rPr>
        <w:t>atsitiktinių imčių, dvigubai akla</w:t>
      </w:r>
      <w:r>
        <w:rPr>
          <w:rFonts w:eastAsia="Arial"/>
          <w:szCs w:val="24"/>
        </w:rPr>
        <w:t>me</w:t>
      </w:r>
      <w:r w:rsidRPr="00860646">
        <w:rPr>
          <w:rFonts w:eastAsia="Arial"/>
          <w:szCs w:val="24"/>
        </w:rPr>
        <w:t>, placebo kontroliuojama</w:t>
      </w:r>
      <w:r>
        <w:rPr>
          <w:rFonts w:eastAsia="Arial"/>
          <w:szCs w:val="24"/>
        </w:rPr>
        <w:t>me</w:t>
      </w:r>
      <w:r w:rsidRPr="00860646">
        <w:rPr>
          <w:rFonts w:eastAsia="Arial"/>
          <w:szCs w:val="24"/>
        </w:rPr>
        <w:t xml:space="preserve">, </w:t>
      </w:r>
      <w:proofErr w:type="spellStart"/>
      <w:r w:rsidRPr="00860646">
        <w:rPr>
          <w:rFonts w:eastAsia="Arial"/>
          <w:szCs w:val="24"/>
        </w:rPr>
        <w:t>daugiacentri</w:t>
      </w:r>
      <w:r>
        <w:rPr>
          <w:rFonts w:eastAsia="Arial"/>
          <w:szCs w:val="24"/>
        </w:rPr>
        <w:t>ame</w:t>
      </w:r>
      <w:proofErr w:type="spellEnd"/>
      <w:r>
        <w:rPr>
          <w:rFonts w:eastAsia="Arial"/>
          <w:szCs w:val="24"/>
        </w:rPr>
        <w:t xml:space="preserve"> </w:t>
      </w:r>
      <w:r w:rsidRPr="00860646">
        <w:rPr>
          <w:rFonts w:eastAsia="Arial"/>
          <w:szCs w:val="24"/>
        </w:rPr>
        <w:t>tyrim</w:t>
      </w:r>
      <w:r>
        <w:rPr>
          <w:rFonts w:eastAsia="Arial"/>
          <w:szCs w:val="24"/>
        </w:rPr>
        <w:t>e</w:t>
      </w:r>
      <w:r w:rsidRPr="0054318F">
        <w:rPr>
          <w:rFonts w:eastAsia="Arial"/>
          <w:szCs w:val="24"/>
        </w:rPr>
        <w:t xml:space="preserve"> RELIEF vertintas </w:t>
      </w:r>
      <w:proofErr w:type="spellStart"/>
      <w:r w:rsidRPr="0054318F">
        <w:rPr>
          <w:rFonts w:eastAsia="Arial"/>
          <w:szCs w:val="24"/>
        </w:rPr>
        <w:t>eptinezumabo</w:t>
      </w:r>
      <w:proofErr w:type="spellEnd"/>
      <w:r w:rsidRPr="0054318F">
        <w:rPr>
          <w:rFonts w:eastAsia="Arial"/>
          <w:szCs w:val="24"/>
        </w:rPr>
        <w:t xml:space="preserve"> efektyvumas malšinant migrenos priepuolį migrena sergantie</w:t>
      </w:r>
      <w:r>
        <w:rPr>
          <w:rFonts w:eastAsia="Arial"/>
          <w:szCs w:val="24"/>
        </w:rPr>
        <w:t>siems</w:t>
      </w:r>
      <w:r w:rsidRPr="0054318F">
        <w:rPr>
          <w:rFonts w:eastAsia="Arial"/>
          <w:szCs w:val="24"/>
        </w:rPr>
        <w:t>, į tyrimą įtraukti 485 pacientai</w:t>
      </w:r>
      <w:r>
        <w:rPr>
          <w:rFonts w:eastAsia="Arial"/>
          <w:szCs w:val="24"/>
        </w:rPr>
        <w:t xml:space="preserve">. </w:t>
      </w:r>
      <w:proofErr w:type="spellStart"/>
      <w:r>
        <w:rPr>
          <w:rFonts w:eastAsia="Arial"/>
          <w:szCs w:val="24"/>
        </w:rPr>
        <w:t>Eptinezumabas</w:t>
      </w:r>
      <w:proofErr w:type="spellEnd"/>
      <w:r>
        <w:rPr>
          <w:rFonts w:eastAsia="Arial"/>
          <w:szCs w:val="24"/>
        </w:rPr>
        <w:t xml:space="preserve"> buvo skiriamas </w:t>
      </w:r>
      <w:proofErr w:type="spellStart"/>
      <w:r>
        <w:rPr>
          <w:rFonts w:eastAsia="Arial"/>
          <w:szCs w:val="24"/>
        </w:rPr>
        <w:t>intraveniškai</w:t>
      </w:r>
      <w:proofErr w:type="spellEnd"/>
      <w:r>
        <w:rPr>
          <w:rFonts w:eastAsia="Arial"/>
          <w:szCs w:val="24"/>
        </w:rPr>
        <w:t xml:space="preserve"> per 1-6 valandas nuo migrenos priepuolio pradžios. </w:t>
      </w:r>
      <w:r w:rsidRPr="0054318F">
        <w:rPr>
          <w:rFonts w:eastAsia="Arial"/>
          <w:szCs w:val="24"/>
        </w:rPr>
        <w:t xml:space="preserve">Pagrindinės vertinamosios baigtys: skiriant </w:t>
      </w:r>
      <w:proofErr w:type="spellStart"/>
      <w:r w:rsidRPr="0054318F">
        <w:rPr>
          <w:rFonts w:eastAsia="Arial"/>
          <w:szCs w:val="24"/>
        </w:rPr>
        <w:t>eptinezumabą</w:t>
      </w:r>
      <w:proofErr w:type="spellEnd"/>
      <w:r w:rsidRPr="0054318F">
        <w:rPr>
          <w:rFonts w:eastAsia="Arial"/>
          <w:szCs w:val="24"/>
        </w:rPr>
        <w:t xml:space="preserve"> laikas iki galvos skausmo regresavimo buvo trumpesnis (4 </w:t>
      </w:r>
      <w:proofErr w:type="spellStart"/>
      <w:r w:rsidRPr="0054318F">
        <w:rPr>
          <w:rFonts w:eastAsia="Arial"/>
          <w:i/>
          <w:iCs/>
          <w:szCs w:val="24"/>
        </w:rPr>
        <w:t>vs</w:t>
      </w:r>
      <w:proofErr w:type="spellEnd"/>
      <w:r w:rsidRPr="0054318F">
        <w:rPr>
          <w:rFonts w:eastAsia="Arial"/>
          <w:szCs w:val="24"/>
        </w:rPr>
        <w:t xml:space="preserve"> 9 val., RS [95% PI]: 1,54 [1,20, 1,98], p&lt;0,001), taip pat greičiau  regresavo labiausiai varginantis simptomas (2 </w:t>
      </w:r>
      <w:proofErr w:type="spellStart"/>
      <w:r w:rsidRPr="0054318F">
        <w:rPr>
          <w:rFonts w:eastAsia="Arial"/>
          <w:i/>
          <w:iCs/>
          <w:szCs w:val="24"/>
        </w:rPr>
        <w:t>vs</w:t>
      </w:r>
      <w:proofErr w:type="spellEnd"/>
      <w:r w:rsidRPr="0054318F">
        <w:rPr>
          <w:rFonts w:eastAsia="Arial"/>
          <w:szCs w:val="24"/>
        </w:rPr>
        <w:t xml:space="preserve"> 3 val., RS [95% PI]: 1,75 [1,41, 2,19], p&lt;0,001). Antrinės vertinamosios baigtys: </w:t>
      </w:r>
      <w:proofErr w:type="spellStart"/>
      <w:r w:rsidRPr="0054318F">
        <w:rPr>
          <w:rFonts w:eastAsia="Arial"/>
          <w:szCs w:val="24"/>
        </w:rPr>
        <w:t>eptinezumabo</w:t>
      </w:r>
      <w:proofErr w:type="spellEnd"/>
      <w:r w:rsidRPr="0054318F">
        <w:rPr>
          <w:rFonts w:eastAsia="Arial"/>
          <w:szCs w:val="24"/>
        </w:rPr>
        <w:t xml:space="preserve"> grupėje reikšmingai didesnei daliai pacientų galvos skausmas ir labiausiai varginantis simptomas regresavo per 2 valandas, taip pat reikšmingai mažiau pacientų prireikė gelbstinčių medikamentų per pirmas 24 val., lyginant su placebo (atitinkamai 23,5% </w:t>
      </w:r>
      <w:proofErr w:type="spellStart"/>
      <w:r w:rsidRPr="0054318F">
        <w:rPr>
          <w:rFonts w:eastAsia="Arial"/>
          <w:i/>
          <w:iCs/>
          <w:szCs w:val="24"/>
        </w:rPr>
        <w:t>vs</w:t>
      </w:r>
      <w:proofErr w:type="spellEnd"/>
      <w:r w:rsidRPr="0054318F">
        <w:rPr>
          <w:rFonts w:eastAsia="Arial"/>
          <w:szCs w:val="24"/>
        </w:rPr>
        <w:t xml:space="preserve"> 12,0%, p&lt;0,001, 55,5% </w:t>
      </w:r>
      <w:proofErr w:type="spellStart"/>
      <w:r w:rsidRPr="0054318F">
        <w:rPr>
          <w:rFonts w:eastAsia="Arial"/>
          <w:i/>
          <w:iCs/>
          <w:szCs w:val="24"/>
        </w:rPr>
        <w:t>vs</w:t>
      </w:r>
      <w:proofErr w:type="spellEnd"/>
      <w:r w:rsidRPr="0054318F">
        <w:rPr>
          <w:rFonts w:eastAsia="Arial"/>
          <w:szCs w:val="24"/>
        </w:rPr>
        <w:t xml:space="preserve"> 35,8%, p&lt;0,001, 31,5% </w:t>
      </w:r>
      <w:proofErr w:type="spellStart"/>
      <w:r w:rsidRPr="0054318F">
        <w:rPr>
          <w:rFonts w:eastAsia="Arial"/>
          <w:i/>
          <w:iCs/>
          <w:szCs w:val="24"/>
        </w:rPr>
        <w:t>vs</w:t>
      </w:r>
      <w:proofErr w:type="spellEnd"/>
      <w:r w:rsidRPr="0054318F">
        <w:rPr>
          <w:rFonts w:eastAsia="Arial"/>
          <w:szCs w:val="24"/>
        </w:rPr>
        <w:t xml:space="preserve"> 59,9%, p&lt;0,001).</w:t>
      </w:r>
      <w:r>
        <w:rPr>
          <w:rFonts w:eastAsia="Arial"/>
          <w:szCs w:val="24"/>
        </w:rPr>
        <w:t xml:space="preserve"> </w:t>
      </w:r>
      <w:r w:rsidRPr="0054318F">
        <w:rPr>
          <w:rFonts w:eastAsia="Arial"/>
          <w:szCs w:val="24"/>
        </w:rPr>
        <w:t xml:space="preserve">PREVAIL tyrime vertintas </w:t>
      </w:r>
      <w:proofErr w:type="spellStart"/>
      <w:r w:rsidRPr="0054318F">
        <w:rPr>
          <w:rFonts w:eastAsia="Arial"/>
          <w:szCs w:val="24"/>
        </w:rPr>
        <w:t>eptinezumabo</w:t>
      </w:r>
      <w:proofErr w:type="spellEnd"/>
      <w:r w:rsidRPr="0054318F">
        <w:rPr>
          <w:rFonts w:eastAsia="Arial"/>
          <w:szCs w:val="24"/>
        </w:rPr>
        <w:t xml:space="preserve"> saugumas ir pacientų praneštos bai</w:t>
      </w:r>
      <w:r>
        <w:rPr>
          <w:rFonts w:eastAsia="Arial"/>
          <w:szCs w:val="24"/>
        </w:rPr>
        <w:t>g</w:t>
      </w:r>
      <w:r w:rsidRPr="0054318F">
        <w:rPr>
          <w:rFonts w:eastAsia="Arial"/>
          <w:szCs w:val="24"/>
        </w:rPr>
        <w:t xml:space="preserve">tys pacientams, sergantiems migrena. Į tyrimą įtraukti 128 pacientai. Tyrime vertinta </w:t>
      </w:r>
      <w:proofErr w:type="spellStart"/>
      <w:r w:rsidRPr="0054318F">
        <w:rPr>
          <w:rFonts w:eastAsia="Arial"/>
          <w:szCs w:val="24"/>
        </w:rPr>
        <w:t>eptinezumabo</w:t>
      </w:r>
      <w:proofErr w:type="spellEnd"/>
      <w:r w:rsidRPr="0054318F">
        <w:rPr>
          <w:rFonts w:eastAsia="Arial"/>
          <w:szCs w:val="24"/>
        </w:rPr>
        <w:t xml:space="preserve"> 300 mg dozė</w:t>
      </w:r>
      <w:r>
        <w:rPr>
          <w:rFonts w:eastAsia="Arial"/>
          <w:szCs w:val="24"/>
        </w:rPr>
        <w:t>, kuri neteikiama Paraiškoje, todėl rezultatai neapžvelgiami.</w:t>
      </w:r>
    </w:p>
    <w:p w14:paraId="1518730F" w14:textId="77777777" w:rsidR="006F3010" w:rsidRDefault="006F3010" w:rsidP="006F3010">
      <w:pPr>
        <w:pStyle w:val="VVKT"/>
        <w:rPr>
          <w:rFonts w:eastAsia="Arial"/>
          <w:szCs w:val="24"/>
        </w:rPr>
      </w:pPr>
    </w:p>
    <w:p w14:paraId="6602D1E6" w14:textId="77777777" w:rsidR="006F3010" w:rsidRDefault="006F3010" w:rsidP="006F3010">
      <w:pPr>
        <w:pStyle w:val="VVKT"/>
        <w:rPr>
          <w:rFonts w:eastAsia="Arial"/>
          <w:szCs w:val="24"/>
        </w:rPr>
      </w:pPr>
      <w:r>
        <w:rPr>
          <w:rFonts w:eastAsia="Arial"/>
          <w:i/>
          <w:iCs/>
          <w:szCs w:val="24"/>
        </w:rPr>
        <w:t>Netiesioginis palyginimas</w:t>
      </w:r>
    </w:p>
    <w:p w14:paraId="153B6163" w14:textId="7417F0D4" w:rsidR="006F3010" w:rsidRDefault="006F3010" w:rsidP="006F3010">
      <w:pPr>
        <w:pStyle w:val="VVKT"/>
        <w:rPr>
          <w:rFonts w:eastAsia="Arial"/>
        </w:rPr>
      </w:pPr>
      <w:r w:rsidRPr="0059771D">
        <w:rPr>
          <w:rFonts w:eastAsia="Arial"/>
        </w:rPr>
        <w:t>Nesant tinkamo tiesioginio palyginimo su palyginamaisiais</w:t>
      </w:r>
      <w:r w:rsidR="009A0504">
        <w:rPr>
          <w:rFonts w:eastAsia="Arial"/>
        </w:rPr>
        <w:t xml:space="preserve"> vaistiniais</w:t>
      </w:r>
      <w:r w:rsidRPr="0059771D">
        <w:rPr>
          <w:rFonts w:eastAsia="Arial"/>
        </w:rPr>
        <w:t xml:space="preserve"> preparatais, atlikta netiesioginė palyginamoji analizė ir </w:t>
      </w:r>
      <w:proofErr w:type="spellStart"/>
      <w:r w:rsidRPr="0059771D">
        <w:rPr>
          <w:rFonts w:eastAsia="Arial"/>
        </w:rPr>
        <w:t>Bayesian</w:t>
      </w:r>
      <w:proofErr w:type="spellEnd"/>
      <w:r w:rsidRPr="0059771D">
        <w:rPr>
          <w:rFonts w:eastAsia="Arial"/>
        </w:rPr>
        <w:t xml:space="preserve"> </w:t>
      </w:r>
      <w:r>
        <w:rPr>
          <w:rFonts w:eastAsia="Arial"/>
        </w:rPr>
        <w:t xml:space="preserve">tinklinė </w:t>
      </w:r>
      <w:proofErr w:type="spellStart"/>
      <w:r>
        <w:rPr>
          <w:rFonts w:eastAsia="Arial"/>
        </w:rPr>
        <w:t>metaanalizė</w:t>
      </w:r>
      <w:proofErr w:type="spellEnd"/>
      <w:r>
        <w:rPr>
          <w:rFonts w:eastAsia="Arial"/>
        </w:rPr>
        <w:t xml:space="preserve"> (TMA)</w:t>
      </w:r>
      <w:r w:rsidRPr="0059771D">
        <w:rPr>
          <w:rFonts w:eastAsia="Arial"/>
        </w:rPr>
        <w:t xml:space="preserve"> su </w:t>
      </w:r>
      <w:proofErr w:type="spellStart"/>
      <w:r w:rsidRPr="0059771D">
        <w:rPr>
          <w:rFonts w:eastAsia="Arial"/>
        </w:rPr>
        <w:t>erenumabu</w:t>
      </w:r>
      <w:proofErr w:type="spellEnd"/>
      <w:r w:rsidRPr="0059771D">
        <w:rPr>
          <w:rFonts w:eastAsia="Arial"/>
        </w:rPr>
        <w:t xml:space="preserve">, </w:t>
      </w:r>
      <w:proofErr w:type="spellStart"/>
      <w:r w:rsidRPr="0059771D">
        <w:rPr>
          <w:rFonts w:eastAsia="Arial"/>
        </w:rPr>
        <w:t>fre</w:t>
      </w:r>
      <w:r>
        <w:rPr>
          <w:rFonts w:eastAsia="Arial"/>
        </w:rPr>
        <w:t>ma</w:t>
      </w:r>
      <w:r w:rsidRPr="0059771D">
        <w:rPr>
          <w:rFonts w:eastAsia="Arial"/>
        </w:rPr>
        <w:t>nezumabu</w:t>
      </w:r>
      <w:proofErr w:type="spellEnd"/>
      <w:r w:rsidRPr="0059771D">
        <w:rPr>
          <w:rFonts w:eastAsia="Arial"/>
        </w:rPr>
        <w:t xml:space="preserve">, </w:t>
      </w:r>
      <w:proofErr w:type="spellStart"/>
      <w:r w:rsidRPr="0059771D">
        <w:rPr>
          <w:rFonts w:eastAsia="Arial"/>
        </w:rPr>
        <w:t>galcanezumabu</w:t>
      </w:r>
      <w:proofErr w:type="spellEnd"/>
      <w:r w:rsidRPr="0059771D">
        <w:rPr>
          <w:rFonts w:eastAsia="Arial"/>
        </w:rPr>
        <w:t xml:space="preserve"> </w:t>
      </w:r>
      <w:r>
        <w:rPr>
          <w:rFonts w:eastAsia="Arial"/>
        </w:rPr>
        <w:t>ir</w:t>
      </w:r>
      <w:r w:rsidRPr="0059771D">
        <w:rPr>
          <w:rFonts w:eastAsia="Arial"/>
        </w:rPr>
        <w:t xml:space="preserve"> </w:t>
      </w:r>
      <w:proofErr w:type="spellStart"/>
      <w:r w:rsidRPr="0059771D">
        <w:rPr>
          <w:rFonts w:eastAsia="Arial"/>
        </w:rPr>
        <w:t>onabotulino</w:t>
      </w:r>
      <w:proofErr w:type="spellEnd"/>
      <w:r w:rsidRPr="0059771D">
        <w:rPr>
          <w:rFonts w:eastAsia="Arial"/>
        </w:rPr>
        <w:t xml:space="preserve"> toksinu A. Kadangi tinkami palyginamieji </w:t>
      </w:r>
      <w:r w:rsidR="009A0504">
        <w:rPr>
          <w:rFonts w:eastAsia="Arial"/>
        </w:rPr>
        <w:t xml:space="preserve">vaistiniai </w:t>
      </w:r>
      <w:r w:rsidRPr="0059771D">
        <w:rPr>
          <w:rFonts w:eastAsia="Arial"/>
        </w:rPr>
        <w:t xml:space="preserve">preparatai yra </w:t>
      </w:r>
      <w:proofErr w:type="spellStart"/>
      <w:r w:rsidRPr="0059771D">
        <w:rPr>
          <w:rFonts w:eastAsia="Arial"/>
        </w:rPr>
        <w:t>erenumabas</w:t>
      </w:r>
      <w:proofErr w:type="spellEnd"/>
      <w:r w:rsidRPr="0059771D">
        <w:rPr>
          <w:rFonts w:eastAsia="Arial"/>
        </w:rPr>
        <w:t xml:space="preserve"> ir </w:t>
      </w:r>
      <w:proofErr w:type="spellStart"/>
      <w:r w:rsidRPr="0059771D">
        <w:rPr>
          <w:rFonts w:eastAsia="Arial"/>
        </w:rPr>
        <w:t>fre</w:t>
      </w:r>
      <w:r>
        <w:rPr>
          <w:rFonts w:eastAsia="Arial"/>
        </w:rPr>
        <w:t>ma</w:t>
      </w:r>
      <w:r w:rsidRPr="0059771D">
        <w:rPr>
          <w:rFonts w:eastAsia="Arial"/>
        </w:rPr>
        <w:t>nezumabas</w:t>
      </w:r>
      <w:proofErr w:type="spellEnd"/>
      <w:r w:rsidRPr="0059771D">
        <w:rPr>
          <w:rFonts w:eastAsia="Arial"/>
        </w:rPr>
        <w:t xml:space="preserve">, aptariama tik NPA dalis, lyginanti </w:t>
      </w:r>
      <w:proofErr w:type="spellStart"/>
      <w:r w:rsidRPr="0059771D">
        <w:rPr>
          <w:rFonts w:eastAsia="Arial"/>
        </w:rPr>
        <w:t>eptinezumab</w:t>
      </w:r>
      <w:r>
        <w:rPr>
          <w:rFonts w:eastAsia="Arial"/>
        </w:rPr>
        <w:t>o</w:t>
      </w:r>
      <w:proofErr w:type="spellEnd"/>
      <w:r>
        <w:rPr>
          <w:rFonts w:eastAsia="Arial"/>
        </w:rPr>
        <w:t xml:space="preserve"> 100 mg dozę</w:t>
      </w:r>
      <w:r w:rsidRPr="0059771D">
        <w:rPr>
          <w:rFonts w:eastAsia="Arial"/>
        </w:rPr>
        <w:t xml:space="preserve"> su šiais </w:t>
      </w:r>
      <w:r w:rsidR="009A0504">
        <w:rPr>
          <w:rFonts w:eastAsia="Arial"/>
        </w:rPr>
        <w:t xml:space="preserve">vaistiniais </w:t>
      </w:r>
      <w:r w:rsidRPr="0059771D">
        <w:rPr>
          <w:rFonts w:eastAsia="Arial"/>
        </w:rPr>
        <w:t xml:space="preserve">preparatais. </w:t>
      </w:r>
      <w:proofErr w:type="spellStart"/>
      <w:r w:rsidRPr="0059771D">
        <w:rPr>
          <w:rFonts w:eastAsia="Arial"/>
        </w:rPr>
        <w:t>Bayesian</w:t>
      </w:r>
      <w:proofErr w:type="spellEnd"/>
      <w:r w:rsidRPr="0059771D">
        <w:rPr>
          <w:rFonts w:eastAsia="Arial"/>
        </w:rPr>
        <w:t xml:space="preserve"> TMA buvo atliekama korekcija pagal placebo skyrimo būdą, kadangi intraveninis placebo skyrimas sukelia didesnį efektą nei </w:t>
      </w:r>
      <w:r>
        <w:rPr>
          <w:rFonts w:eastAsia="Arial"/>
        </w:rPr>
        <w:t>skyrimas po oda</w:t>
      </w:r>
      <w:r w:rsidRPr="0059771D">
        <w:rPr>
          <w:rFonts w:eastAsia="Arial"/>
        </w:rPr>
        <w:t xml:space="preserve">. Lėtinės migrenos pacientams </w:t>
      </w:r>
      <w:proofErr w:type="spellStart"/>
      <w:r w:rsidRPr="0059771D">
        <w:rPr>
          <w:rFonts w:eastAsia="Arial"/>
        </w:rPr>
        <w:t>eptinezumabo</w:t>
      </w:r>
      <w:proofErr w:type="spellEnd"/>
      <w:r w:rsidRPr="0059771D">
        <w:rPr>
          <w:rFonts w:eastAsia="Arial"/>
        </w:rPr>
        <w:t xml:space="preserve"> 100 mg dozė statistiškai reikšmingai sumažina MMD 1,47 d. lyginant su </w:t>
      </w:r>
      <w:proofErr w:type="spellStart"/>
      <w:r w:rsidRPr="0059771D">
        <w:rPr>
          <w:rFonts w:eastAsia="Arial"/>
        </w:rPr>
        <w:t>erenumabu</w:t>
      </w:r>
      <w:proofErr w:type="spellEnd"/>
      <w:r w:rsidRPr="0059771D">
        <w:rPr>
          <w:rFonts w:eastAsia="Arial"/>
        </w:rPr>
        <w:t xml:space="preserve"> 70 mg, 1,30 d. lyginant su </w:t>
      </w:r>
      <w:proofErr w:type="spellStart"/>
      <w:r w:rsidRPr="0059771D">
        <w:rPr>
          <w:rFonts w:eastAsia="Arial"/>
        </w:rPr>
        <w:t>erenumabu</w:t>
      </w:r>
      <w:proofErr w:type="spellEnd"/>
      <w:r w:rsidRPr="0059771D">
        <w:rPr>
          <w:rFonts w:eastAsia="Arial"/>
        </w:rPr>
        <w:t xml:space="preserve"> 140 mg, 2,04 d. lyginant su </w:t>
      </w:r>
      <w:proofErr w:type="spellStart"/>
      <w:r w:rsidRPr="0059771D">
        <w:rPr>
          <w:rFonts w:eastAsia="Arial"/>
        </w:rPr>
        <w:t>fremanezumabu</w:t>
      </w:r>
      <w:proofErr w:type="spellEnd"/>
      <w:r w:rsidRPr="0059771D">
        <w:rPr>
          <w:rFonts w:eastAsia="Arial"/>
        </w:rPr>
        <w:t xml:space="preserve"> 225 mg, 2,21 d. lyginant su </w:t>
      </w:r>
      <w:proofErr w:type="spellStart"/>
      <w:r w:rsidRPr="0059771D">
        <w:rPr>
          <w:rFonts w:eastAsia="Arial"/>
        </w:rPr>
        <w:t>fremanezumabu</w:t>
      </w:r>
      <w:proofErr w:type="spellEnd"/>
      <w:r w:rsidRPr="0059771D">
        <w:rPr>
          <w:rFonts w:eastAsia="Arial"/>
        </w:rPr>
        <w:t xml:space="preserve"> 675 mg. Epizodinės migrenos pacientams statistiškai reikšmingai MMD sumažina 0,72 d. lyginant su </w:t>
      </w:r>
      <w:proofErr w:type="spellStart"/>
      <w:r w:rsidRPr="0059771D">
        <w:rPr>
          <w:rFonts w:eastAsia="Arial"/>
        </w:rPr>
        <w:t>erenumabu</w:t>
      </w:r>
      <w:proofErr w:type="spellEnd"/>
      <w:r w:rsidRPr="0059771D">
        <w:rPr>
          <w:rFonts w:eastAsia="Arial"/>
        </w:rPr>
        <w:t xml:space="preserve"> 70 mg, 0,52 d. lyginant su </w:t>
      </w:r>
      <w:proofErr w:type="spellStart"/>
      <w:r w:rsidRPr="0059771D">
        <w:rPr>
          <w:rFonts w:eastAsia="Arial"/>
        </w:rPr>
        <w:t>fremanezumabu</w:t>
      </w:r>
      <w:proofErr w:type="spellEnd"/>
      <w:r w:rsidRPr="0059771D">
        <w:rPr>
          <w:rFonts w:eastAsia="Arial"/>
        </w:rPr>
        <w:t xml:space="preserve"> 225 mg. </w:t>
      </w:r>
    </w:p>
    <w:p w14:paraId="2213DDF8" w14:textId="77777777" w:rsidR="006F3010" w:rsidRDefault="006F3010" w:rsidP="006F3010">
      <w:pPr>
        <w:pStyle w:val="VVKT"/>
        <w:rPr>
          <w:rFonts w:eastAsia="Arial"/>
        </w:rPr>
      </w:pPr>
    </w:p>
    <w:p w14:paraId="6F37461D" w14:textId="77777777" w:rsidR="006F3010" w:rsidRPr="00387953" w:rsidRDefault="006F3010" w:rsidP="006F3010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bCs/>
          <w:i/>
          <w:iCs/>
        </w:rPr>
      </w:pPr>
      <w:r>
        <w:rPr>
          <w:rFonts w:eastAsia="Arial"/>
          <w:bCs/>
          <w:i/>
          <w:iCs/>
        </w:rPr>
        <w:t>Palyginamasis s</w:t>
      </w:r>
      <w:r w:rsidRPr="00387953">
        <w:rPr>
          <w:rFonts w:eastAsia="Arial"/>
          <w:bCs/>
          <w:i/>
          <w:iCs/>
        </w:rPr>
        <w:t>augumas</w:t>
      </w:r>
    </w:p>
    <w:p w14:paraId="3689AA44" w14:textId="77777777" w:rsidR="006F3010" w:rsidRPr="006F3010" w:rsidRDefault="006F3010" w:rsidP="006F3010">
      <w:pPr>
        <w:pStyle w:val="Protokolui"/>
        <w:rPr>
          <w:rFonts w:eastAsia="Arial"/>
          <w:sz w:val="24"/>
          <w:szCs w:val="24"/>
          <w:lang w:val="lt-LT"/>
        </w:rPr>
      </w:pPr>
      <w:r w:rsidRPr="006F3010">
        <w:rPr>
          <w:color w:val="000000"/>
          <w:sz w:val="24"/>
          <w:szCs w:val="24"/>
          <w:lang w:val="lt-LT"/>
        </w:rPr>
        <w:t xml:space="preserve">Reikšmingų saugumo problemų nenustatyta. </w:t>
      </w:r>
      <w:proofErr w:type="spellStart"/>
      <w:r w:rsidRPr="006F3010">
        <w:rPr>
          <w:rFonts w:eastAsia="Arial"/>
          <w:sz w:val="24"/>
          <w:szCs w:val="24"/>
          <w:lang w:val="lt-LT"/>
        </w:rPr>
        <w:t>Eptinezumabo</w:t>
      </w:r>
      <w:proofErr w:type="spellEnd"/>
      <w:r w:rsidRPr="006F3010">
        <w:rPr>
          <w:rFonts w:eastAsia="Arial"/>
          <w:sz w:val="24"/>
          <w:szCs w:val="24"/>
          <w:lang w:val="lt-LT"/>
        </w:rPr>
        <w:t xml:space="preserve"> saugumo rezultatai buvo aptarti EVA mokslinėje diskusijoje (EMEA/H/C/005287/0000) ir įtraukti į preparato charakteristikų santrauką, todėl šiame sveikatos technologijų vertinimo protokole bus aptariami trumpai.</w:t>
      </w:r>
    </w:p>
    <w:p w14:paraId="2D846DD8" w14:textId="513E3882" w:rsidR="006F3010" w:rsidRDefault="006F3010" w:rsidP="006F3010">
      <w:pPr>
        <w:pStyle w:val="VVKT"/>
        <w:rPr>
          <w:rFonts w:eastAsia="Arial"/>
        </w:rPr>
      </w:pPr>
      <w:r>
        <w:rPr>
          <w:rFonts w:eastAsia="Arial"/>
        </w:rPr>
        <w:t xml:space="preserve">Saugumo analizė atlikta remiantis 5 klinikiniais </w:t>
      </w:r>
      <w:proofErr w:type="spellStart"/>
      <w:r>
        <w:rPr>
          <w:rFonts w:eastAsia="Arial"/>
        </w:rPr>
        <w:t>eptinezumabo</w:t>
      </w:r>
      <w:proofErr w:type="spellEnd"/>
      <w:r>
        <w:rPr>
          <w:rFonts w:eastAsia="Arial"/>
        </w:rPr>
        <w:t xml:space="preserve"> tyrimais: </w:t>
      </w:r>
      <w:r w:rsidRPr="0025139A">
        <w:rPr>
          <w:rFonts w:eastAsia="Arial"/>
        </w:rPr>
        <w:t xml:space="preserve">1b </w:t>
      </w:r>
      <w:r>
        <w:rPr>
          <w:rFonts w:eastAsia="Arial"/>
        </w:rPr>
        <w:t>fazes tyrimas</w:t>
      </w:r>
      <w:r w:rsidRPr="0025139A">
        <w:rPr>
          <w:rFonts w:eastAsia="Arial"/>
        </w:rPr>
        <w:t xml:space="preserve"> NCT01772524</w:t>
      </w:r>
      <w:r>
        <w:rPr>
          <w:rFonts w:eastAsia="Arial"/>
        </w:rPr>
        <w:t>,</w:t>
      </w:r>
      <w:r w:rsidRPr="0025139A">
        <w:rPr>
          <w:rFonts w:eastAsia="Arial"/>
        </w:rPr>
        <w:t xml:space="preserve"> 2</w:t>
      </w:r>
      <w:r>
        <w:rPr>
          <w:rFonts w:eastAsia="Arial"/>
        </w:rPr>
        <w:t>-os</w:t>
      </w:r>
      <w:r w:rsidRPr="0025139A">
        <w:rPr>
          <w:rFonts w:eastAsia="Arial"/>
        </w:rPr>
        <w:t xml:space="preserve"> </w:t>
      </w:r>
      <w:r>
        <w:rPr>
          <w:rFonts w:eastAsia="Arial"/>
        </w:rPr>
        <w:t>fazės tyrimas</w:t>
      </w:r>
      <w:r w:rsidRPr="0025139A">
        <w:rPr>
          <w:rFonts w:eastAsia="Arial"/>
        </w:rPr>
        <w:t xml:space="preserve"> NCT02275117, 3</w:t>
      </w:r>
      <w:r>
        <w:rPr>
          <w:rFonts w:eastAsia="Arial"/>
        </w:rPr>
        <w:t>-ios</w:t>
      </w:r>
      <w:r w:rsidRPr="0025139A">
        <w:rPr>
          <w:rFonts w:eastAsia="Arial"/>
        </w:rPr>
        <w:t xml:space="preserve"> </w:t>
      </w:r>
      <w:r>
        <w:rPr>
          <w:rFonts w:eastAsia="Arial"/>
        </w:rPr>
        <w:t>fazės tyrimai</w:t>
      </w:r>
      <w:r w:rsidRPr="0025139A">
        <w:rPr>
          <w:rFonts w:eastAsia="Arial"/>
        </w:rPr>
        <w:t xml:space="preserve"> [PROMISE-1, PROMISE 2], </w:t>
      </w:r>
      <w:r>
        <w:rPr>
          <w:rFonts w:eastAsia="Arial"/>
        </w:rPr>
        <w:t xml:space="preserve">ir 3-ios fazės tyrimo </w:t>
      </w:r>
      <w:r w:rsidRPr="0025139A">
        <w:rPr>
          <w:rFonts w:eastAsia="Arial"/>
        </w:rPr>
        <w:t>PREVAIL</w:t>
      </w:r>
      <w:r>
        <w:rPr>
          <w:rFonts w:eastAsia="Arial"/>
        </w:rPr>
        <w:t xml:space="preserve"> pirmųjų metų duomenys. Bendra saugumo analizės populiacija buvo  2867 pacientai, 2076 gydyti </w:t>
      </w:r>
      <w:proofErr w:type="spellStart"/>
      <w:r>
        <w:rPr>
          <w:rFonts w:eastAsia="Arial"/>
        </w:rPr>
        <w:t>eptinezumabu</w:t>
      </w:r>
      <w:proofErr w:type="spellEnd"/>
      <w:r>
        <w:rPr>
          <w:rFonts w:eastAsia="Arial"/>
        </w:rPr>
        <w:t xml:space="preserve"> ir 791 gydyti placebo. 54,8% pacientų, gydytų </w:t>
      </w:r>
      <w:proofErr w:type="spellStart"/>
      <w:r>
        <w:rPr>
          <w:rFonts w:eastAsia="Arial"/>
        </w:rPr>
        <w:t>eptinezumabu</w:t>
      </w:r>
      <w:proofErr w:type="spellEnd"/>
      <w:r>
        <w:rPr>
          <w:rFonts w:eastAsia="Arial"/>
        </w:rPr>
        <w:t xml:space="preserve">, ir 52,3% gydytų placebo pasireiškė bent 1 su gydymų susijęs nepageidaujamas reiškinys (NR), dėl su gydymu susijusių NR gydymą nutraukė 1,9% </w:t>
      </w:r>
      <w:proofErr w:type="spellStart"/>
      <w:r>
        <w:rPr>
          <w:rFonts w:eastAsia="Arial"/>
        </w:rPr>
        <w:t>eptinezumabo</w:t>
      </w:r>
      <w:proofErr w:type="spellEnd"/>
      <w:r>
        <w:rPr>
          <w:rFonts w:eastAsia="Arial"/>
        </w:rPr>
        <w:t xml:space="preserve"> pacientų ir 1,0% placebo pacientų, dėl NR </w:t>
      </w:r>
      <w:r w:rsidR="00C74195" w:rsidRPr="001C4887">
        <w:rPr>
          <w:rFonts w:eastAsia="Arial"/>
          <w:szCs w:val="24"/>
        </w:rPr>
        <w:t>vaistini</w:t>
      </w:r>
      <w:r w:rsidR="00C74195">
        <w:rPr>
          <w:rFonts w:eastAsia="Arial"/>
          <w:szCs w:val="24"/>
        </w:rPr>
        <w:t>o</w:t>
      </w:r>
      <w:r w:rsidR="00C74195">
        <w:rPr>
          <w:rFonts w:eastAsia="Arial"/>
        </w:rPr>
        <w:t xml:space="preserve"> </w:t>
      </w:r>
      <w:r>
        <w:rPr>
          <w:rFonts w:eastAsia="Arial"/>
        </w:rPr>
        <w:t xml:space="preserve">preparato infuzija buvo sustabdyta 1,9% ir 0,8% pacientų atitinkamai. Dauguma NR buvo nesusiję su gydymu (&gt;85%) ir ne rimti (&gt;98%). Gydymas </w:t>
      </w:r>
      <w:proofErr w:type="spellStart"/>
      <w:r>
        <w:rPr>
          <w:rFonts w:eastAsia="Arial"/>
        </w:rPr>
        <w:t>eptinezumabu</w:t>
      </w:r>
      <w:proofErr w:type="spellEnd"/>
      <w:r>
        <w:rPr>
          <w:rFonts w:eastAsia="Arial"/>
        </w:rPr>
        <w:t xml:space="preserve"> nedidino širdies ir kraujagyslių ligų rizikos. Mirčių registruota nebuvo. Esminių palyginamojo saugumo skirtumų, lyginant su </w:t>
      </w:r>
      <w:proofErr w:type="spellStart"/>
      <w:r>
        <w:rPr>
          <w:rFonts w:eastAsia="Arial"/>
        </w:rPr>
        <w:t>erenumabu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fremanezumabu</w:t>
      </w:r>
      <w:proofErr w:type="spellEnd"/>
      <w:r>
        <w:rPr>
          <w:rFonts w:eastAsia="Arial"/>
        </w:rPr>
        <w:t>, nenustatyta.</w:t>
      </w:r>
    </w:p>
    <w:p w14:paraId="12803277" w14:textId="77777777" w:rsidR="006F3010" w:rsidRDefault="006F3010" w:rsidP="006F3010">
      <w:pPr>
        <w:spacing w:line="276" w:lineRule="auto"/>
        <w:jc w:val="both"/>
        <w:rPr>
          <w:rFonts w:eastAsia="Arial"/>
          <w:i/>
          <w:color w:val="000000" w:themeColor="text1"/>
        </w:rPr>
      </w:pPr>
    </w:p>
    <w:p w14:paraId="3CE82222" w14:textId="7E515D96" w:rsidR="006F3010" w:rsidRPr="00387953" w:rsidRDefault="006F3010" w:rsidP="006F3010">
      <w:pPr>
        <w:spacing w:line="276" w:lineRule="auto"/>
        <w:jc w:val="both"/>
        <w:rPr>
          <w:rFonts w:eastAsia="Arial"/>
          <w:i/>
          <w:color w:val="000000" w:themeColor="text1"/>
        </w:rPr>
      </w:pPr>
      <w:r w:rsidRPr="00387953">
        <w:rPr>
          <w:rFonts w:eastAsia="Arial"/>
          <w:i/>
          <w:color w:val="000000" w:themeColor="text1"/>
        </w:rPr>
        <w:t>Privalumai ir trūkumai</w:t>
      </w:r>
    </w:p>
    <w:p w14:paraId="307239FC" w14:textId="77777777" w:rsidR="006F3010" w:rsidRPr="001C4887" w:rsidRDefault="006F3010" w:rsidP="006F3010">
      <w:pPr>
        <w:pStyle w:val="Protokolui"/>
        <w:rPr>
          <w:rFonts w:eastAsia="Arial"/>
          <w:sz w:val="24"/>
          <w:szCs w:val="24"/>
          <w:lang w:val="lt-LT"/>
        </w:rPr>
      </w:pPr>
      <w:r w:rsidRPr="001C4887">
        <w:rPr>
          <w:rFonts w:eastAsia="Arial"/>
          <w:sz w:val="24"/>
          <w:szCs w:val="24"/>
          <w:lang w:val="lt-LT"/>
        </w:rPr>
        <w:lastRenderedPageBreak/>
        <w:t>Jei vaistinis preparatas būtų įrašytas į kompensavimo sąrašus, gydymo šiuo vaistiniu preparatu taikymas klinikinėje praktikoje galėtų turėti privalumų ir trūkumų medicininėms paslaugoms ar pacientams.</w:t>
      </w:r>
    </w:p>
    <w:p w14:paraId="292744E7" w14:textId="643003A0" w:rsidR="006F3010" w:rsidRDefault="006F3010" w:rsidP="006F3010">
      <w:pPr>
        <w:spacing w:line="276" w:lineRule="auto"/>
        <w:jc w:val="both"/>
        <w:rPr>
          <w:rFonts w:eastAsia="Arial"/>
          <w:i/>
          <w:iCs/>
          <w:color w:val="000000" w:themeColor="text1"/>
        </w:rPr>
      </w:pPr>
      <w:r w:rsidRPr="001C4887">
        <w:rPr>
          <w:rFonts w:eastAsia="Arial"/>
          <w:i/>
          <w:iCs/>
          <w:color w:val="000000" w:themeColor="text1"/>
        </w:rPr>
        <w:t>Privalumai.</w:t>
      </w:r>
      <w:r w:rsidRPr="001C4887">
        <w:rPr>
          <w:rFonts w:eastAsia="Arial"/>
          <w:iCs/>
          <w:color w:val="000000" w:themeColor="text1"/>
        </w:rPr>
        <w:t xml:space="preserve"> Pacientams –</w:t>
      </w:r>
      <w:r w:rsidRPr="00FC4D49">
        <w:rPr>
          <w:rFonts w:eastAsia="Arial"/>
          <w:iCs/>
          <w:color w:val="000000" w:themeColor="text1"/>
        </w:rPr>
        <w:t xml:space="preserve"> </w:t>
      </w:r>
      <w:r>
        <w:rPr>
          <w:rFonts w:eastAsia="Arial"/>
          <w:iCs/>
          <w:color w:val="000000" w:themeColor="text1"/>
        </w:rPr>
        <w:t xml:space="preserve">didesnė migrenos prevencinio gydymo pasirinkimo galimybė. </w:t>
      </w:r>
      <w:r w:rsidRPr="00FC4D49">
        <w:rPr>
          <w:rFonts w:eastAsia="Arial"/>
          <w:iCs/>
          <w:color w:val="000000" w:themeColor="text1"/>
        </w:rPr>
        <w:t xml:space="preserve">Medicinos paslaugoms – </w:t>
      </w:r>
      <w:r>
        <w:rPr>
          <w:rFonts w:eastAsia="Arial"/>
          <w:iCs/>
          <w:color w:val="000000" w:themeColor="text1"/>
        </w:rPr>
        <w:t xml:space="preserve">lyginant su palyginamaisiais </w:t>
      </w:r>
      <w:r w:rsidR="00C74195" w:rsidRPr="001C4887">
        <w:rPr>
          <w:rFonts w:eastAsia="Arial"/>
        </w:rPr>
        <w:t>vaistini</w:t>
      </w:r>
      <w:r w:rsidR="00C74195">
        <w:rPr>
          <w:rFonts w:eastAsia="Arial"/>
        </w:rPr>
        <w:t>ai</w:t>
      </w:r>
      <w:r w:rsidR="00C74195" w:rsidRPr="001C4887">
        <w:rPr>
          <w:rFonts w:eastAsia="Arial"/>
        </w:rPr>
        <w:t>s</w:t>
      </w:r>
      <w:r w:rsidR="00C74195">
        <w:rPr>
          <w:rFonts w:eastAsia="Arial"/>
          <w:iCs/>
          <w:color w:val="000000" w:themeColor="text1"/>
        </w:rPr>
        <w:t xml:space="preserve"> </w:t>
      </w:r>
      <w:r>
        <w:rPr>
          <w:rFonts w:eastAsia="Arial"/>
          <w:iCs/>
          <w:color w:val="000000" w:themeColor="text1"/>
        </w:rPr>
        <w:t xml:space="preserve">preparatais, esminių privalumų nėra. </w:t>
      </w:r>
    </w:p>
    <w:p w14:paraId="628B08EA" w14:textId="77777777" w:rsidR="006F3010" w:rsidRPr="00FC4D49" w:rsidRDefault="006F3010" w:rsidP="006F3010">
      <w:pPr>
        <w:spacing w:line="276" w:lineRule="auto"/>
        <w:jc w:val="both"/>
        <w:rPr>
          <w:rFonts w:eastAsia="Arial"/>
          <w:iCs/>
          <w:color w:val="000000" w:themeColor="text1"/>
        </w:rPr>
      </w:pPr>
      <w:r w:rsidRPr="00FC6AEC">
        <w:rPr>
          <w:rFonts w:eastAsia="Arial"/>
          <w:i/>
          <w:iCs/>
          <w:color w:val="000000" w:themeColor="text1"/>
        </w:rPr>
        <w:t>Trūkumai</w:t>
      </w:r>
      <w:r w:rsidRPr="00FC4D49">
        <w:rPr>
          <w:rFonts w:eastAsia="Arial"/>
          <w:iCs/>
          <w:color w:val="000000" w:themeColor="text1"/>
        </w:rPr>
        <w:t>.</w:t>
      </w:r>
      <w:r w:rsidRPr="007C1987">
        <w:rPr>
          <w:rFonts w:eastAsia="Arial"/>
          <w:iCs/>
          <w:color w:val="000000" w:themeColor="text1"/>
        </w:rPr>
        <w:t xml:space="preserve"> Pacientams ir medicinos paslaugoms –  reikalingas </w:t>
      </w:r>
      <w:r>
        <w:rPr>
          <w:rFonts w:eastAsia="Arial"/>
          <w:iCs/>
          <w:color w:val="000000" w:themeColor="text1"/>
        </w:rPr>
        <w:t xml:space="preserve">apsilankymas intraveniniam </w:t>
      </w:r>
      <w:proofErr w:type="spellStart"/>
      <w:r>
        <w:rPr>
          <w:rFonts w:eastAsia="Arial"/>
          <w:iCs/>
          <w:color w:val="000000" w:themeColor="text1"/>
        </w:rPr>
        <w:t>eptinezumabo</w:t>
      </w:r>
      <w:proofErr w:type="spellEnd"/>
      <w:r>
        <w:rPr>
          <w:rFonts w:eastAsia="Arial"/>
          <w:iCs/>
          <w:color w:val="000000" w:themeColor="text1"/>
        </w:rPr>
        <w:t xml:space="preserve"> skyrimui.</w:t>
      </w:r>
    </w:p>
    <w:p w14:paraId="0AE1DF4A" w14:textId="77777777" w:rsidR="006F3010" w:rsidRDefault="006F3010" w:rsidP="006F3010">
      <w:pPr>
        <w:pStyle w:val="VVKT"/>
        <w:ind w:firstLine="0"/>
        <w:rPr>
          <w:rFonts w:eastAsia="Arial"/>
        </w:rPr>
      </w:pPr>
    </w:p>
    <w:p w14:paraId="163FCB0A" w14:textId="2DD2C10E" w:rsidR="006F3010" w:rsidRPr="0059771D" w:rsidRDefault="006F3010" w:rsidP="006F3010">
      <w:pPr>
        <w:pStyle w:val="VVKT"/>
        <w:rPr>
          <w:rFonts w:eastAsia="Arial"/>
        </w:rPr>
      </w:pPr>
      <w:r>
        <w:rPr>
          <w:rFonts w:eastAsia="Arial"/>
        </w:rPr>
        <w:t xml:space="preserve">Apibendrinant </w:t>
      </w:r>
      <w:r w:rsidR="00C74195">
        <w:rPr>
          <w:rFonts w:eastAsia="Arial"/>
        </w:rPr>
        <w:t>p</w:t>
      </w:r>
      <w:r>
        <w:rPr>
          <w:rFonts w:eastAsia="Arial"/>
        </w:rPr>
        <w:t>araiškoje pateiktus duomenis ir a</w:t>
      </w:r>
      <w:r w:rsidRPr="0059771D">
        <w:rPr>
          <w:rFonts w:eastAsia="Arial"/>
        </w:rPr>
        <w:t xml:space="preserve">tsižvelgiant į tai, kad skiriasi palyginamųjų </w:t>
      </w:r>
      <w:r w:rsidR="00C74195">
        <w:rPr>
          <w:rFonts w:eastAsia="Arial"/>
        </w:rPr>
        <w:t xml:space="preserve">vaistinių </w:t>
      </w:r>
      <w:r w:rsidRPr="0059771D">
        <w:rPr>
          <w:rFonts w:eastAsia="Arial"/>
        </w:rPr>
        <w:t xml:space="preserve">preparatų skyrimo būdas (intraveninis </w:t>
      </w:r>
      <w:proofErr w:type="spellStart"/>
      <w:r w:rsidRPr="0059771D">
        <w:rPr>
          <w:rFonts w:eastAsia="Arial"/>
        </w:rPr>
        <w:t>eptinezumabo</w:t>
      </w:r>
      <w:proofErr w:type="spellEnd"/>
      <w:r w:rsidRPr="0059771D">
        <w:rPr>
          <w:rFonts w:eastAsia="Arial"/>
        </w:rPr>
        <w:t xml:space="preserve"> skyrimas</w:t>
      </w:r>
      <w:r>
        <w:rPr>
          <w:rFonts w:eastAsia="Arial"/>
        </w:rPr>
        <w:t xml:space="preserve"> </w:t>
      </w:r>
      <w:proofErr w:type="spellStart"/>
      <w:r>
        <w:rPr>
          <w:rFonts w:eastAsia="Arial"/>
          <w:i/>
          <w:iCs/>
        </w:rPr>
        <w:t>vs</w:t>
      </w:r>
      <w:proofErr w:type="spellEnd"/>
      <w:r>
        <w:rPr>
          <w:rFonts w:eastAsia="Arial"/>
          <w:i/>
          <w:iCs/>
        </w:rPr>
        <w:t xml:space="preserve"> </w:t>
      </w:r>
      <w:r>
        <w:rPr>
          <w:rFonts w:eastAsia="Arial"/>
        </w:rPr>
        <w:t>poodinis</w:t>
      </w:r>
      <w:r w:rsidRPr="0059771D">
        <w:rPr>
          <w:rFonts w:eastAsia="Arial"/>
        </w:rPr>
        <w:t xml:space="preserve"> </w:t>
      </w:r>
      <w:proofErr w:type="spellStart"/>
      <w:r w:rsidRPr="0059771D">
        <w:rPr>
          <w:rFonts w:eastAsia="Arial"/>
        </w:rPr>
        <w:t>erenumabo</w:t>
      </w:r>
      <w:proofErr w:type="spellEnd"/>
      <w:r w:rsidRPr="0059771D">
        <w:rPr>
          <w:rFonts w:eastAsia="Arial"/>
        </w:rPr>
        <w:t xml:space="preserve"> ir </w:t>
      </w:r>
      <w:proofErr w:type="spellStart"/>
      <w:r w:rsidRPr="0059771D">
        <w:rPr>
          <w:rFonts w:eastAsia="Arial"/>
        </w:rPr>
        <w:t>fremanezumabo</w:t>
      </w:r>
      <w:proofErr w:type="spellEnd"/>
      <w:r w:rsidRPr="0059771D">
        <w:rPr>
          <w:rFonts w:eastAsia="Arial"/>
        </w:rPr>
        <w:t xml:space="preserve"> skyrimas), skirtingus </w:t>
      </w:r>
      <w:r w:rsidR="00C74195">
        <w:rPr>
          <w:rFonts w:eastAsia="Arial"/>
        </w:rPr>
        <w:t xml:space="preserve">vaistinių </w:t>
      </w:r>
      <w:r w:rsidRPr="0059771D">
        <w:rPr>
          <w:rFonts w:eastAsia="Arial"/>
        </w:rPr>
        <w:t xml:space="preserve">preparatų dozavimo intervalus, ne visuose palyginimuose esant statistiškai reikšmingam skirtumui, taip pat ne visuose palyginimuose esant kliniškai reikšmingam (&gt;1 d.) skirtumui, </w:t>
      </w:r>
      <w:r>
        <w:rPr>
          <w:rFonts w:eastAsia="Arial"/>
        </w:rPr>
        <w:t xml:space="preserve">nesant tiesioginio palyginimo su palyginamaisiais </w:t>
      </w:r>
      <w:r w:rsidR="00C74195">
        <w:rPr>
          <w:rFonts w:eastAsia="Arial"/>
        </w:rPr>
        <w:t xml:space="preserve">vaistiniais </w:t>
      </w:r>
      <w:r>
        <w:rPr>
          <w:rFonts w:eastAsia="Arial"/>
        </w:rPr>
        <w:t>preparatais, daroma išvada</w:t>
      </w:r>
      <w:r w:rsidRPr="0059771D">
        <w:rPr>
          <w:rFonts w:eastAsia="Arial"/>
        </w:rPr>
        <w:t xml:space="preserve">, kad </w:t>
      </w:r>
      <w:proofErr w:type="spellStart"/>
      <w:r w:rsidRPr="0059771D">
        <w:rPr>
          <w:rFonts w:eastAsia="Arial"/>
        </w:rPr>
        <w:t>eptinezumabas</w:t>
      </w:r>
      <w:proofErr w:type="spellEnd"/>
      <w:r w:rsidRPr="0059771D">
        <w:rPr>
          <w:rFonts w:eastAsia="Arial"/>
        </w:rPr>
        <w:t xml:space="preserve"> yra </w:t>
      </w:r>
      <w:r>
        <w:rPr>
          <w:rFonts w:eastAsia="Arial"/>
        </w:rPr>
        <w:t xml:space="preserve">iš esmės </w:t>
      </w:r>
      <w:r w:rsidRPr="0059771D">
        <w:rPr>
          <w:rFonts w:eastAsia="Arial"/>
        </w:rPr>
        <w:t xml:space="preserve">nesiskiriančio palyginamojo </w:t>
      </w:r>
      <w:r>
        <w:rPr>
          <w:rFonts w:eastAsia="Arial"/>
        </w:rPr>
        <w:t>efektyvumo</w:t>
      </w:r>
      <w:r w:rsidRPr="0059771D">
        <w:rPr>
          <w:rFonts w:eastAsia="Arial"/>
        </w:rPr>
        <w:t xml:space="preserve"> </w:t>
      </w:r>
      <w:r>
        <w:rPr>
          <w:rFonts w:eastAsia="Arial"/>
        </w:rPr>
        <w:t>nuo</w:t>
      </w:r>
      <w:r w:rsidRPr="0059771D">
        <w:rPr>
          <w:rFonts w:eastAsia="Arial"/>
        </w:rPr>
        <w:t xml:space="preserve"> </w:t>
      </w:r>
      <w:proofErr w:type="spellStart"/>
      <w:r w:rsidRPr="0059771D">
        <w:rPr>
          <w:rFonts w:eastAsia="Arial"/>
        </w:rPr>
        <w:t>erenumab</w:t>
      </w:r>
      <w:r>
        <w:rPr>
          <w:rFonts w:eastAsia="Arial"/>
        </w:rPr>
        <w:t>o</w:t>
      </w:r>
      <w:proofErr w:type="spellEnd"/>
      <w:r w:rsidRPr="0059771D">
        <w:rPr>
          <w:rFonts w:eastAsia="Arial"/>
        </w:rPr>
        <w:t xml:space="preserve"> ir </w:t>
      </w:r>
      <w:proofErr w:type="spellStart"/>
      <w:r w:rsidRPr="0059771D">
        <w:rPr>
          <w:rFonts w:eastAsia="Arial"/>
        </w:rPr>
        <w:t>fremanezumab</w:t>
      </w:r>
      <w:r>
        <w:rPr>
          <w:rFonts w:eastAsia="Arial"/>
        </w:rPr>
        <w:t>o</w:t>
      </w:r>
      <w:proofErr w:type="spellEnd"/>
      <w:r>
        <w:rPr>
          <w:rFonts w:eastAsia="Arial"/>
        </w:rPr>
        <w:t xml:space="preserve">. </w:t>
      </w:r>
      <w:proofErr w:type="spellStart"/>
      <w:r>
        <w:rPr>
          <w:rFonts w:eastAsia="Arial"/>
        </w:rPr>
        <w:t>Eptinezumabo</w:t>
      </w:r>
      <w:proofErr w:type="spellEnd"/>
      <w:r>
        <w:rPr>
          <w:rFonts w:eastAsia="Arial"/>
        </w:rPr>
        <w:t xml:space="preserve"> 100 mg dozės klinikinis veiksmingumas vertinamas kaip </w:t>
      </w:r>
      <w:r w:rsidRPr="0059771D">
        <w:rPr>
          <w:rFonts w:eastAsia="Arial"/>
        </w:rPr>
        <w:t>pagrindžiantis nesiskiriančios naudos pacientų sveikatai sukūrimą, lyginant su įprasta klinikine praktika</w:t>
      </w:r>
      <w:r>
        <w:rPr>
          <w:rFonts w:eastAsia="Arial"/>
        </w:rPr>
        <w:t>.</w:t>
      </w:r>
    </w:p>
    <w:p w14:paraId="732B1693" w14:textId="77777777" w:rsidR="006F3010" w:rsidRPr="006F3010" w:rsidRDefault="006F3010" w:rsidP="00A93AA6">
      <w:pPr>
        <w:pStyle w:val="Sraopastraipa"/>
        <w:tabs>
          <w:tab w:val="left" w:pos="426"/>
        </w:tabs>
        <w:ind w:left="0"/>
        <w:rPr>
          <w:caps/>
        </w:rPr>
      </w:pPr>
    </w:p>
    <w:p w14:paraId="38288C16" w14:textId="77777777" w:rsidR="006F3010" w:rsidRPr="000203E1" w:rsidRDefault="006F3010" w:rsidP="00A93AA6">
      <w:pPr>
        <w:pStyle w:val="Sraopastraipa"/>
        <w:tabs>
          <w:tab w:val="left" w:pos="426"/>
        </w:tabs>
        <w:ind w:left="0"/>
        <w:rPr>
          <w:b/>
          <w:bCs/>
          <w:caps/>
        </w:rPr>
      </w:pPr>
    </w:p>
    <w:p w14:paraId="7DE09EB5" w14:textId="69E9DD74" w:rsidR="00E03C3F" w:rsidRPr="000203E1" w:rsidRDefault="00CC7832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ekonominio vertinimo </w:t>
      </w:r>
      <w:r w:rsidR="002F0E4F" w:rsidRPr="000203E1">
        <w:rPr>
          <w:b/>
          <w:bCs/>
          <w:caps/>
        </w:rPr>
        <w:t>apibendrinimas</w:t>
      </w:r>
    </w:p>
    <w:p w14:paraId="1A900598" w14:textId="5E9D1E8C" w:rsidR="00C62B36" w:rsidRDefault="00C62B36" w:rsidP="00A93AA6">
      <w:pPr>
        <w:tabs>
          <w:tab w:val="left" w:pos="426"/>
        </w:tabs>
        <w:rPr>
          <w:i/>
        </w:rPr>
      </w:pPr>
    </w:p>
    <w:p w14:paraId="63B65454" w14:textId="21E59E9D" w:rsidR="009220F0" w:rsidRDefault="009220F0" w:rsidP="009220F0">
      <w:pPr>
        <w:tabs>
          <w:tab w:val="left" w:pos="567"/>
        </w:tabs>
        <w:jc w:val="both"/>
        <w:rPr>
          <w:bCs/>
          <w:color w:val="000000"/>
          <w:lang w:eastAsia="lt-LT"/>
        </w:rPr>
      </w:pPr>
      <w:r>
        <w:rPr>
          <w:iCs/>
          <w:lang w:eastAsia="lt-LT"/>
        </w:rPr>
        <w:tab/>
        <w:t xml:space="preserve">Pateikta kaštų mažinimo analizė, kurioje nagrinėjami gydymo </w:t>
      </w:r>
      <w:proofErr w:type="spellStart"/>
      <w:r>
        <w:rPr>
          <w:iCs/>
          <w:lang w:eastAsia="lt-LT"/>
        </w:rPr>
        <w:t>eptinezumabu</w:t>
      </w:r>
      <w:proofErr w:type="spellEnd"/>
      <w:r>
        <w:rPr>
          <w:iCs/>
          <w:lang w:eastAsia="lt-LT"/>
        </w:rPr>
        <w:t xml:space="preserve">, </w:t>
      </w:r>
      <w:proofErr w:type="spellStart"/>
      <w:r>
        <w:rPr>
          <w:iCs/>
          <w:lang w:eastAsia="lt-LT"/>
        </w:rPr>
        <w:t>fremanezumabu</w:t>
      </w:r>
      <w:proofErr w:type="spellEnd"/>
      <w:r>
        <w:rPr>
          <w:iCs/>
          <w:lang w:eastAsia="lt-LT"/>
        </w:rPr>
        <w:t xml:space="preserve">, </w:t>
      </w:r>
      <w:proofErr w:type="spellStart"/>
      <w:r>
        <w:rPr>
          <w:iCs/>
          <w:lang w:eastAsia="lt-LT"/>
        </w:rPr>
        <w:t>erenumabu</w:t>
      </w:r>
      <w:proofErr w:type="spellEnd"/>
      <w:r>
        <w:rPr>
          <w:iCs/>
          <w:lang w:eastAsia="lt-LT"/>
        </w:rPr>
        <w:t xml:space="preserve"> kaštai. Nagrinėjama pacientų populiacija, kurie patiria bent 4 migrenos dienas per mėnesį. </w:t>
      </w:r>
      <w:r w:rsidRPr="004355A5">
        <w:rPr>
          <w:bCs/>
          <w:color w:val="000000"/>
          <w:lang w:eastAsia="lt-LT"/>
        </w:rPr>
        <w:t>Atliktas ekonominės analizės perskaičiavimas</w:t>
      </w:r>
      <w:r>
        <w:rPr>
          <w:bCs/>
          <w:color w:val="000000"/>
          <w:lang w:eastAsia="lt-LT"/>
        </w:rPr>
        <w:t xml:space="preserve">, taikant Pareiškėjo po pirminio išsamaus vertinimo atnaujintą PGS. Analizėje palyginamiesiems gydymams netaikomi vaistų vartojimo kaštai, nes vaistai vartojami poodine injekcija, o pacientų apmokymas vaistų vartojimui gali būti atliekamas gydytojo konsultacijos metu, paskiriant vaistinius preparatus. Atlikus analizės rezultato perskaičiavimą įvertinta, jog gydymas </w:t>
      </w:r>
      <w:proofErr w:type="spellStart"/>
      <w:r>
        <w:rPr>
          <w:bCs/>
          <w:color w:val="000000"/>
          <w:lang w:eastAsia="lt-LT"/>
        </w:rPr>
        <w:t>eptinezumabu</w:t>
      </w:r>
      <w:proofErr w:type="spellEnd"/>
      <w:r>
        <w:rPr>
          <w:bCs/>
          <w:color w:val="000000"/>
          <w:lang w:eastAsia="lt-LT"/>
        </w:rPr>
        <w:t xml:space="preserve"> yra brangesnis nei gydymas </w:t>
      </w:r>
      <w:proofErr w:type="spellStart"/>
      <w:r>
        <w:rPr>
          <w:bCs/>
          <w:color w:val="000000"/>
          <w:lang w:eastAsia="lt-LT"/>
        </w:rPr>
        <w:t>fremanezumabu</w:t>
      </w:r>
      <w:proofErr w:type="spellEnd"/>
      <w:r>
        <w:rPr>
          <w:bCs/>
          <w:color w:val="000000"/>
          <w:lang w:eastAsia="lt-LT"/>
        </w:rPr>
        <w:t xml:space="preserve"> ar </w:t>
      </w:r>
      <w:proofErr w:type="spellStart"/>
      <w:r>
        <w:rPr>
          <w:bCs/>
          <w:color w:val="000000"/>
          <w:lang w:eastAsia="lt-LT"/>
        </w:rPr>
        <w:t>erenumabu</w:t>
      </w:r>
      <w:proofErr w:type="spellEnd"/>
      <w:r>
        <w:rPr>
          <w:bCs/>
          <w:color w:val="000000"/>
          <w:lang w:eastAsia="lt-LT"/>
        </w:rPr>
        <w:t xml:space="preserve">. </w:t>
      </w:r>
    </w:p>
    <w:p w14:paraId="4CA9CDF4" w14:textId="77777777" w:rsidR="009220F0" w:rsidRPr="00164D64" w:rsidRDefault="009220F0" w:rsidP="00A93AA6">
      <w:pPr>
        <w:tabs>
          <w:tab w:val="left" w:pos="426"/>
        </w:tabs>
        <w:rPr>
          <w:b/>
          <w:bCs/>
          <w:caps/>
        </w:rPr>
      </w:pPr>
    </w:p>
    <w:p w14:paraId="174D84D7" w14:textId="09C7BC2B" w:rsidR="0035172D" w:rsidRPr="000203E1" w:rsidRDefault="00164D64" w:rsidP="00A93AA6">
      <w:pPr>
        <w:tabs>
          <w:tab w:val="left" w:pos="426"/>
        </w:tabs>
        <w:rPr>
          <w:b/>
          <w:lang w:eastAsia="lt-LT"/>
        </w:rPr>
      </w:pPr>
      <w:r>
        <w:rPr>
          <w:b/>
          <w:lang w:eastAsia="lt-LT"/>
        </w:rPr>
        <w:t xml:space="preserve">3.1 </w:t>
      </w:r>
      <w:r w:rsidR="0035172D" w:rsidRPr="000203E1">
        <w:rPr>
          <w:b/>
          <w:lang w:eastAsia="lt-LT"/>
        </w:rPr>
        <w:t>Ekonominės analizės rezultatas</w:t>
      </w:r>
    </w:p>
    <w:p w14:paraId="4801D227" w14:textId="77777777" w:rsidR="009E44AE" w:rsidRPr="000203E1" w:rsidRDefault="009E44AE" w:rsidP="00A93AA6">
      <w:pPr>
        <w:tabs>
          <w:tab w:val="left" w:pos="426"/>
        </w:tabs>
        <w:rPr>
          <w:b/>
          <w:lang w:eastAsia="lt-LT"/>
        </w:rPr>
      </w:pPr>
    </w:p>
    <w:tbl>
      <w:tblPr>
        <w:tblStyle w:val="Lentelstinklelis1"/>
        <w:tblW w:w="9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00"/>
        <w:gridCol w:w="3239"/>
      </w:tblGrid>
      <w:tr w:rsidR="000203E1" w:rsidRPr="000203E1" w14:paraId="42D6C843" w14:textId="77777777" w:rsidTr="00BE7489">
        <w:trPr>
          <w:trHeight w:val="344"/>
          <w:jc w:val="center"/>
        </w:trPr>
        <w:tc>
          <w:tcPr>
            <w:tcW w:w="94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D3B40" w14:textId="77777777" w:rsidR="009E44AE" w:rsidRPr="000203E1" w:rsidRDefault="009E44AE" w:rsidP="009E44AE">
            <w:pPr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  <w:lang w:eastAsia="lt-LT"/>
              </w:rPr>
            </w:pPr>
            <w:r w:rsidRPr="000203E1">
              <w:rPr>
                <w:b/>
                <w:bCs/>
                <w:sz w:val="26"/>
                <w:szCs w:val="26"/>
                <w:lang w:eastAsia="lt-LT"/>
              </w:rPr>
              <w:t>Rezultatai</w:t>
            </w:r>
          </w:p>
        </w:tc>
      </w:tr>
      <w:tr w:rsidR="009220F0" w:rsidRPr="000203E1" w14:paraId="319AF392" w14:textId="77777777" w:rsidTr="009220F0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44CD8D27" w14:textId="389C5360" w:rsidR="009220F0" w:rsidRPr="000203E1" w:rsidRDefault="009220F0" w:rsidP="009220F0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 xml:space="preserve">Kaštų skirtumas </w:t>
            </w:r>
            <w:r w:rsidRPr="008A4485">
              <w:rPr>
                <w:i/>
                <w:sz w:val="16"/>
                <w:lang w:eastAsia="lt-LT"/>
              </w:rPr>
              <w:t xml:space="preserve">(vs. </w:t>
            </w:r>
            <w:proofErr w:type="spellStart"/>
            <w:r w:rsidRPr="008A4485">
              <w:rPr>
                <w:i/>
                <w:sz w:val="16"/>
                <w:lang w:eastAsia="lt-LT"/>
              </w:rPr>
              <w:t>Fremanezumab</w:t>
            </w:r>
            <w:proofErr w:type="spellEnd"/>
            <w:r w:rsidRPr="008A4485">
              <w:rPr>
                <w:i/>
                <w:sz w:val="16"/>
                <w:lang w:eastAsia="lt-LT"/>
              </w:rPr>
              <w:t>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1CACF0B4" w14:textId="069594E6" w:rsidR="009220F0" w:rsidRPr="000203E1" w:rsidRDefault="00485173" w:rsidP="009220F0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****</w:t>
            </w:r>
            <w:r w:rsidR="009220F0" w:rsidRPr="00754C24">
              <w:rPr>
                <w:b/>
                <w:i/>
                <w:iCs/>
                <w:lang w:eastAsia="lt-LT"/>
              </w:rPr>
              <w:t xml:space="preserve"> </w:t>
            </w:r>
            <w:proofErr w:type="spellStart"/>
            <w:r w:rsidR="009220F0" w:rsidRPr="00754C24">
              <w:rPr>
                <w:b/>
                <w:i/>
                <w:iCs/>
                <w:lang w:eastAsia="lt-LT"/>
              </w:rPr>
              <w:t>eur</w:t>
            </w:r>
            <w:proofErr w:type="spellEnd"/>
            <w:r w:rsidR="009220F0" w:rsidRPr="00754C24">
              <w:rPr>
                <w:b/>
                <w:i/>
                <w:iCs/>
                <w:lang w:eastAsia="lt-LT"/>
              </w:rPr>
              <w:t>.</w:t>
            </w:r>
          </w:p>
        </w:tc>
      </w:tr>
      <w:tr w:rsidR="009220F0" w:rsidRPr="000203E1" w14:paraId="49F818A3" w14:textId="77777777" w:rsidTr="009220F0">
        <w:trPr>
          <w:trHeight w:val="267"/>
          <w:jc w:val="center"/>
        </w:trPr>
        <w:tc>
          <w:tcPr>
            <w:tcW w:w="6200" w:type="dxa"/>
            <w:tcBorders>
              <w:left w:val="single" w:sz="4" w:space="0" w:color="auto"/>
            </w:tcBorders>
          </w:tcPr>
          <w:p w14:paraId="021DB925" w14:textId="3128B61D" w:rsidR="009220F0" w:rsidRPr="000203E1" w:rsidRDefault="009220F0" w:rsidP="009220F0">
            <w:pPr>
              <w:tabs>
                <w:tab w:val="left" w:pos="567"/>
              </w:tabs>
              <w:jc w:val="right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 xml:space="preserve">Kaštų skirtumas </w:t>
            </w:r>
            <w:r w:rsidRPr="008A4485">
              <w:rPr>
                <w:i/>
                <w:sz w:val="16"/>
                <w:lang w:eastAsia="lt-LT"/>
              </w:rPr>
              <w:t xml:space="preserve">(vs. </w:t>
            </w:r>
            <w:proofErr w:type="spellStart"/>
            <w:r w:rsidRPr="008A4485">
              <w:rPr>
                <w:i/>
                <w:sz w:val="16"/>
                <w:lang w:eastAsia="lt-LT"/>
              </w:rPr>
              <w:t>Erenumab</w:t>
            </w:r>
            <w:proofErr w:type="spellEnd"/>
            <w:r w:rsidRPr="008A4485">
              <w:rPr>
                <w:i/>
                <w:sz w:val="16"/>
                <w:lang w:eastAsia="lt-LT"/>
              </w:rPr>
              <w:t>)</w:t>
            </w:r>
          </w:p>
        </w:tc>
        <w:tc>
          <w:tcPr>
            <w:tcW w:w="3239" w:type="dxa"/>
            <w:tcBorders>
              <w:right w:val="single" w:sz="4" w:space="0" w:color="auto"/>
            </w:tcBorders>
          </w:tcPr>
          <w:p w14:paraId="4954817B" w14:textId="57FE2133" w:rsidR="009220F0" w:rsidRPr="000203E1" w:rsidRDefault="00485173" w:rsidP="009220F0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****</w:t>
            </w:r>
            <w:r w:rsidR="009220F0" w:rsidRPr="00754C24">
              <w:rPr>
                <w:b/>
                <w:i/>
                <w:iCs/>
                <w:lang w:eastAsia="lt-LT"/>
              </w:rPr>
              <w:t xml:space="preserve"> </w:t>
            </w:r>
            <w:proofErr w:type="spellStart"/>
            <w:r w:rsidR="009220F0" w:rsidRPr="00754C24">
              <w:rPr>
                <w:b/>
                <w:i/>
                <w:iCs/>
                <w:lang w:eastAsia="lt-LT"/>
              </w:rPr>
              <w:t>eur</w:t>
            </w:r>
            <w:proofErr w:type="spellEnd"/>
            <w:r w:rsidR="009220F0" w:rsidRPr="00754C24">
              <w:rPr>
                <w:b/>
                <w:i/>
                <w:iCs/>
                <w:lang w:eastAsia="lt-LT"/>
              </w:rPr>
              <w:t>.</w:t>
            </w:r>
          </w:p>
        </w:tc>
      </w:tr>
    </w:tbl>
    <w:p w14:paraId="33875138" w14:textId="77777777" w:rsidR="0035172D" w:rsidRPr="000203E1" w:rsidRDefault="0035172D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0203E1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Pacientų organizacijų pateikti duomenys </w:t>
      </w:r>
    </w:p>
    <w:p w14:paraId="79BCFF40" w14:textId="05B45BE0" w:rsidR="00937907" w:rsidRPr="000203E1" w:rsidRDefault="00000000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0203E1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0203E1">
        <w:t xml:space="preserve"> Pacientų organizacijos pozicija pateikta.</w:t>
      </w:r>
      <w:r w:rsidR="006F3010">
        <w:t xml:space="preserve"> </w:t>
      </w:r>
      <w:r w:rsidR="006F3010" w:rsidRPr="000203E1">
        <w:t>Žr. priedą.</w:t>
      </w:r>
    </w:p>
    <w:p w14:paraId="62992180" w14:textId="56DC3ADE" w:rsidR="00937907" w:rsidRPr="000203E1" w:rsidRDefault="00000000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0F0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0203E1">
        <w:t xml:space="preserve"> Pacientų organizacijos pozicija </w:t>
      </w:r>
      <w:r w:rsidR="00880A44" w:rsidRPr="000203E1">
        <w:t>ne</w:t>
      </w:r>
      <w:r w:rsidR="00937907" w:rsidRPr="000203E1">
        <w:t>pateikta.</w:t>
      </w:r>
    </w:p>
    <w:p w14:paraId="03E73D82" w14:textId="77777777" w:rsidR="00D417D2" w:rsidRPr="000203E1" w:rsidRDefault="00D417D2" w:rsidP="00937907">
      <w:pPr>
        <w:spacing w:after="120"/>
        <w:jc w:val="both"/>
      </w:pPr>
    </w:p>
    <w:p w14:paraId="3D3277FA" w14:textId="3CEEB2D2" w:rsidR="00C62B36" w:rsidRPr="000203E1" w:rsidRDefault="00C62B36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>Gydytojų organizacijų pateikti duomenys</w:t>
      </w:r>
    </w:p>
    <w:p w14:paraId="389A346C" w14:textId="17184B64" w:rsidR="00937907" w:rsidRPr="000203E1" w:rsidRDefault="00000000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907" w:rsidRPr="000203E1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0203E1">
        <w:t xml:space="preserve"> </w:t>
      </w:r>
      <w:r w:rsidR="00937907" w:rsidRPr="000203E1">
        <w:t xml:space="preserve">Gydytojų specialistų organizacijos pozicija pateikta. </w:t>
      </w:r>
      <w:r w:rsidR="00662983" w:rsidRPr="000203E1">
        <w:t>Žr. priedą</w:t>
      </w:r>
      <w:r w:rsidR="00937907" w:rsidRPr="000203E1">
        <w:t>.</w:t>
      </w:r>
    </w:p>
    <w:p w14:paraId="5D8CC48C" w14:textId="6E9302FE" w:rsidR="00662983" w:rsidRPr="000203E1" w:rsidRDefault="00000000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220F0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0203E1">
        <w:t xml:space="preserve"> </w:t>
      </w:r>
      <w:r w:rsidR="00937907" w:rsidRPr="000203E1">
        <w:t xml:space="preserve">Gydytojų specialistų organizacijos pozicija </w:t>
      </w:r>
      <w:r w:rsidR="00880A44" w:rsidRPr="000203E1">
        <w:t>ne</w:t>
      </w:r>
      <w:r w:rsidR="00937907" w:rsidRPr="000203E1">
        <w:t>pateikta.</w:t>
      </w:r>
    </w:p>
    <w:p w14:paraId="3701D46A" w14:textId="77777777" w:rsidR="00A042B9" w:rsidRPr="000203E1" w:rsidRDefault="00A042B9" w:rsidP="00662983">
      <w:pPr>
        <w:spacing w:after="120"/>
        <w:jc w:val="both"/>
      </w:pPr>
    </w:p>
    <w:p w14:paraId="78F23ECB" w14:textId="23A3A002" w:rsidR="002F0E4F" w:rsidRPr="000203E1" w:rsidRDefault="002F0E4F" w:rsidP="00CC09D4">
      <w:pPr>
        <w:pStyle w:val="Sraopastraipa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0203E1">
        <w:rPr>
          <w:b/>
          <w:bCs/>
          <w:caps/>
        </w:rPr>
        <w:t xml:space="preserve">Išvada </w:t>
      </w:r>
    </w:p>
    <w:p w14:paraId="08D5B3B6" w14:textId="1F140072" w:rsidR="0061611B" w:rsidRDefault="0061611B" w:rsidP="0061611B">
      <w:pPr>
        <w:rPr>
          <w:i/>
          <w:szCs w:val="22"/>
        </w:rPr>
      </w:pPr>
    </w:p>
    <w:p w14:paraId="5D61CEBC" w14:textId="77777777" w:rsidR="009220F0" w:rsidRPr="000203E1" w:rsidRDefault="009220F0" w:rsidP="0061611B">
      <w:pPr>
        <w:rPr>
          <w:i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0203E1" w:rsidRPr="000203E1" w14:paraId="25A2473E" w14:textId="77777777" w:rsidTr="00C16245">
        <w:trPr>
          <w:trHeight w:val="510"/>
        </w:trPr>
        <w:tc>
          <w:tcPr>
            <w:tcW w:w="4815" w:type="dxa"/>
            <w:vAlign w:val="center"/>
          </w:tcPr>
          <w:p w14:paraId="7EFE6941" w14:textId="23B8BB6D" w:rsidR="00B13D65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0203E1">
              <w:rPr>
                <w:rStyle w:val="Style2"/>
                <w:rFonts w:eastAsia="MS Gothic"/>
                <w:b/>
                <w:bCs/>
                <w:sz w:val="24"/>
              </w:rPr>
              <w:lastRenderedPageBreak/>
              <w:t>Rekomenduojama kompensuoti</w:t>
            </w:r>
          </w:p>
        </w:tc>
        <w:tc>
          <w:tcPr>
            <w:tcW w:w="4814" w:type="dxa"/>
            <w:vAlign w:val="center"/>
          </w:tcPr>
          <w:p w14:paraId="330A1A5E" w14:textId="19247DC1" w:rsidR="00B13D65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0203E1">
              <w:rPr>
                <w:rStyle w:val="Style2"/>
                <w:rFonts w:eastAsia="MS Gothic"/>
                <w:b/>
                <w:bCs/>
                <w:sz w:val="24"/>
              </w:rPr>
              <w:t xml:space="preserve">Rekomenduojama nekompensuoti </w:t>
            </w:r>
          </w:p>
        </w:tc>
      </w:tr>
      <w:tr w:rsidR="000203E1" w:rsidRPr="000203E1" w14:paraId="143A735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AF5D6B4" w14:textId="6D8B6C59" w:rsidR="00B13D65" w:rsidRPr="000203E1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0203E1">
              <w:rPr>
                <w:rStyle w:val="Style2"/>
                <w:rFonts w:eastAsia="MS Gothic"/>
                <w:b/>
                <w:bCs/>
                <w:sz w:val="24"/>
              </w:rPr>
              <w:t>Palyginamasis efektyvumas</w:t>
            </w:r>
          </w:p>
        </w:tc>
      </w:tr>
      <w:tr w:rsidR="000203E1" w:rsidRPr="000203E1" w14:paraId="28A0C814" w14:textId="77777777" w:rsidTr="0061611B">
        <w:tc>
          <w:tcPr>
            <w:tcW w:w="4815" w:type="dxa"/>
          </w:tcPr>
          <w:p w14:paraId="216769B5" w14:textId="144FEB07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32.1. yra didesnis</w:t>
            </w:r>
            <w:r w:rsidR="00B00959" w:rsidRPr="000203E1">
              <w:t>, lyginant su įprasta klinikine praktika</w:t>
            </w:r>
          </w:p>
          <w:p w14:paraId="3B48F372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F18D4" w14:textId="61C74DE1" w:rsidR="00B13D65" w:rsidRPr="000203E1" w:rsidRDefault="00000000" w:rsidP="00662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0203E1">
              <w:t xml:space="preserve"> 32.1. iš esmės nesiskiria</w:t>
            </w:r>
            <w:r w:rsidR="00B00959" w:rsidRPr="000203E1">
              <w:t>, lyginant su įprasta klinikine praktika</w:t>
            </w:r>
          </w:p>
        </w:tc>
        <w:tc>
          <w:tcPr>
            <w:tcW w:w="4814" w:type="dxa"/>
          </w:tcPr>
          <w:p w14:paraId="507828D9" w14:textId="10556E28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33.1. yra mažesnis</w:t>
            </w:r>
            <w:r w:rsidR="00B00959" w:rsidRPr="000203E1">
              <w:t>, lyginant su įprasta klinikine praktika</w:t>
            </w:r>
          </w:p>
          <w:p w14:paraId="7F95DEEC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680682B8" w14:textId="1A29EA3B" w:rsidR="00662983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33.1. yra neįrodytas kaip toks pat</w:t>
            </w:r>
            <w:r w:rsidR="00B00959" w:rsidRPr="000203E1">
              <w:t>, lyginant su įprasta klinikine praktika</w:t>
            </w:r>
          </w:p>
          <w:p w14:paraId="35205E85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CC3F0A3" w14:textId="6D563DC8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983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62983" w:rsidRPr="000203E1">
              <w:t xml:space="preserve"> 33.1 </w:t>
            </w:r>
            <w:r w:rsidR="00B00959" w:rsidRPr="000203E1">
              <w:t xml:space="preserve">yra </w:t>
            </w:r>
            <w:r w:rsidR="00B13D65" w:rsidRPr="000203E1">
              <w:t>neįrodytas kaip didesnis</w:t>
            </w:r>
            <w:r w:rsidR="00B00959" w:rsidRPr="000203E1">
              <w:t>, lyginant su įprasta klinikine praktika</w:t>
            </w:r>
          </w:p>
          <w:p w14:paraId="512E653B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3F374F4" w14:textId="77777777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206984211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33.1. pateikti duomenys apie palyginamąjį efektyvumą yra netinkami vertinti</w:t>
            </w:r>
          </w:p>
          <w:p w14:paraId="5DDAA961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0203E1" w:rsidRPr="000203E1" w14:paraId="161CC3FE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1AB46894" w14:textId="3E765638" w:rsidR="00B13D65" w:rsidRPr="000203E1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0203E1">
              <w:rPr>
                <w:rStyle w:val="Style2"/>
                <w:rFonts w:eastAsia="MS Gothic"/>
                <w:b/>
                <w:bCs/>
                <w:sz w:val="24"/>
              </w:rPr>
              <w:t>Klinikinis veiksmingumas</w:t>
            </w:r>
          </w:p>
        </w:tc>
      </w:tr>
      <w:tr w:rsidR="000203E1" w:rsidRPr="000203E1" w14:paraId="3C60570A" w14:textId="77777777" w:rsidTr="0061611B">
        <w:tc>
          <w:tcPr>
            <w:tcW w:w="4815" w:type="dxa"/>
          </w:tcPr>
          <w:p w14:paraId="6897B306" w14:textId="70C15EA4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4810800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32.2. yra įvertintas kaip pagrindžiantis papildomos naudos pacientų sveikatai sukūrimą, lyginant su įprasta klinikine praktika</w:t>
            </w:r>
          </w:p>
          <w:p w14:paraId="71D57105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EBBDF86" w14:textId="45157154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86206158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F301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0203E1">
              <w:t xml:space="preserve"> 32.2. </w:t>
            </w:r>
            <w:r w:rsidR="00B00959" w:rsidRPr="000203E1">
              <w:t xml:space="preserve">yra </w:t>
            </w:r>
            <w:r w:rsidR="00B13D65" w:rsidRPr="000203E1">
              <w:t>įvertintas kaip pagrindžiantis nesiskiriančios naudos pacientų sveikatai sukūrimą, lyginant su įprasta klinikine praktika</w:t>
            </w:r>
          </w:p>
          <w:p w14:paraId="287AD233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74A2DECF" w14:textId="682BFC3B" w:rsidR="00662983" w:rsidRPr="000203E1" w:rsidRDefault="00000000" w:rsidP="00662983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03457305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33.1. yra įvertintas kaip nepagrindžiantis papildomos </w:t>
            </w:r>
            <w:r w:rsidR="00662983" w:rsidRPr="000203E1">
              <w:t>naudos pacientų sveikatai sukūrimo, lyginant su  įprasta klinikine praktika</w:t>
            </w:r>
          </w:p>
          <w:p w14:paraId="6C70BCFC" w14:textId="77777777" w:rsidR="00662983" w:rsidRPr="000203E1" w:rsidRDefault="00662983" w:rsidP="00BD1E5A">
            <w:pPr>
              <w:jc w:val="both"/>
            </w:pPr>
          </w:p>
          <w:p w14:paraId="0ADEC30D" w14:textId="1353964F" w:rsidR="00B13D65" w:rsidRPr="000203E1" w:rsidRDefault="00000000" w:rsidP="00BD1E5A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2895491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983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</w:t>
            </w:r>
            <w:r w:rsidR="00662983" w:rsidRPr="000203E1">
              <w:t xml:space="preserve">33.1. </w:t>
            </w:r>
            <w:r w:rsidR="00B00959" w:rsidRPr="000203E1">
              <w:t xml:space="preserve">yra įvertintas kaip nepagrindžiantis </w:t>
            </w:r>
            <w:r w:rsidR="00B13D65" w:rsidRPr="000203E1">
              <w:t>nesiskiriančios naudos pacientų sveikatai sukūrimo, lyginant su įprasta klinikine praktika</w:t>
            </w:r>
          </w:p>
          <w:p w14:paraId="1EED7901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7E672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0203E1" w:rsidRPr="000203E1" w14:paraId="1C75AE7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247EDAD" w14:textId="7FBBB759" w:rsidR="00B13D65" w:rsidRPr="000203E1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0203E1">
              <w:rPr>
                <w:rStyle w:val="Style2"/>
                <w:rFonts w:eastAsia="MS Gothic"/>
                <w:b/>
                <w:bCs/>
                <w:sz w:val="24"/>
              </w:rPr>
              <w:t>Kaštų naudingumas</w:t>
            </w:r>
          </w:p>
        </w:tc>
      </w:tr>
      <w:tr w:rsidR="00B13D65" w:rsidRPr="000203E1" w14:paraId="7091A05B" w14:textId="77777777" w:rsidTr="0061611B">
        <w:tc>
          <w:tcPr>
            <w:tcW w:w="4815" w:type="dxa"/>
          </w:tcPr>
          <w:p w14:paraId="3F76F153" w14:textId="797A8295" w:rsidR="00662983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9759844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DBB" w:rsidRPr="000203E1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0203E1">
              <w:t xml:space="preserve"> 32.3. atitinka referencinę naudingumo vertę</w:t>
            </w:r>
          </w:p>
          <w:p w14:paraId="062072E7" w14:textId="353F5DD3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30808172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32.3. gydymo juo kaštai yra mažesni ar tokie patys esant iš esmės nesiskiriančiam palyginamajam efektyvumui, </w:t>
            </w:r>
            <w:r w:rsidR="00B00959" w:rsidRPr="000203E1">
              <w:t>lyginant su įprasta klinikine praktika</w:t>
            </w:r>
          </w:p>
          <w:p w14:paraId="25E4BD1E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53380063" w14:textId="5EB8488A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65405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33.3. neatitinka referencinės naudingumo vertės Lietuvos Respublikoje</w:t>
            </w:r>
          </w:p>
          <w:p w14:paraId="229ED51A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673C3A9" w14:textId="3F2225B0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13547361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220F0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0203E1">
              <w:t xml:space="preserve"> 33.3. gydymo juo kaštai yra didesni esant iš esmės nesiskiriančiam palyginamajam efektyvumui, </w:t>
            </w:r>
            <w:r w:rsidR="00B00959" w:rsidRPr="000203E1">
              <w:t>lyginant su įprasta klinikine praktika</w:t>
            </w:r>
          </w:p>
          <w:p w14:paraId="4A9C7D2A" w14:textId="77777777" w:rsidR="00662983" w:rsidRPr="000203E1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4226013D" w14:textId="4020B1AC" w:rsidR="00B13D65" w:rsidRPr="000203E1" w:rsidRDefault="00000000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2008360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D65" w:rsidRPr="000203E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0203E1">
              <w:t xml:space="preserve"> 33.3. pateikti duomenys apie kaštų na</w:t>
            </w:r>
            <w:r w:rsidR="00662983" w:rsidRPr="000203E1">
              <w:t>udingumą yra netinkami vertinti</w:t>
            </w:r>
          </w:p>
          <w:p w14:paraId="470A48A4" w14:textId="77777777" w:rsidR="00B13D65" w:rsidRPr="000203E1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</w:tbl>
    <w:p w14:paraId="29A90384" w14:textId="4772D5ED" w:rsidR="004A3A61" w:rsidRPr="000203E1" w:rsidRDefault="004A3A61" w:rsidP="00381024"/>
    <w:p w14:paraId="1B85C083" w14:textId="77777777" w:rsidR="009E44AE" w:rsidRPr="000203E1" w:rsidRDefault="009E44AE" w:rsidP="00381024"/>
    <w:p w14:paraId="3B2D1F25" w14:textId="3A80E19F" w:rsidR="000001B0" w:rsidRPr="000203E1" w:rsidRDefault="000001B0" w:rsidP="00CC09D4">
      <w:pPr>
        <w:pStyle w:val="Sraopastraipa"/>
        <w:numPr>
          <w:ilvl w:val="0"/>
          <w:numId w:val="12"/>
        </w:numPr>
        <w:ind w:left="567" w:hanging="567"/>
      </w:pPr>
      <w:r w:rsidRPr="000203E1">
        <w:rPr>
          <w:b/>
        </w:rPr>
        <w:t>REKOME</w:t>
      </w:r>
      <w:r w:rsidR="00D83182" w:rsidRPr="000203E1">
        <w:rPr>
          <w:b/>
        </w:rPr>
        <w:t>N</w:t>
      </w:r>
      <w:r w:rsidRPr="000203E1">
        <w:rPr>
          <w:b/>
        </w:rPr>
        <w:t>DACIJA</w:t>
      </w:r>
    </w:p>
    <w:p w14:paraId="7D5C6700" w14:textId="77777777" w:rsidR="00D5470B" w:rsidRPr="000203E1" w:rsidRDefault="00D5470B" w:rsidP="00C712EA">
      <w:pPr>
        <w:pStyle w:val="Sraopastraipa"/>
        <w:ind w:left="426"/>
      </w:pPr>
    </w:p>
    <w:p w14:paraId="0497BEC5" w14:textId="2782D6B3" w:rsidR="006F3010" w:rsidRPr="000D4B95" w:rsidRDefault="006F3010" w:rsidP="006F3010">
      <w:pPr>
        <w:pStyle w:val="VVKT"/>
        <w:rPr>
          <w:i/>
          <w:iCs/>
          <w:szCs w:val="24"/>
        </w:rPr>
      </w:pPr>
      <w:r w:rsidRPr="00E33EFF">
        <w:t xml:space="preserve">Vadovaujantis </w:t>
      </w:r>
      <w:r>
        <w:t>V</w:t>
      </w:r>
      <w:r w:rsidRPr="00E33EFF">
        <w:t>aistinių preparatų ir medicinos pagalbos priemonių įrašymo į kompensavimo sąrašus ir jų keitimo tvarkos aprašo</w:t>
      </w:r>
      <w:r>
        <w:t>, patvirtinto</w:t>
      </w:r>
      <w:r w:rsidRPr="00E33EFF">
        <w:t xml:space="preserve"> Lietuvos Respublikos sveikatos apsaugos ministro 2002 m. balandžio 5 d. įsakymu Nr. V-159 „Dėl vaistinių preparatų ir medicinos pagalbos priemonių įrašymo į kompensavimo sąrašus ir jų keitimo tvarkos aprašo patvirtinimo“</w:t>
      </w:r>
      <w:r>
        <w:t xml:space="preserve">, punktu </w:t>
      </w:r>
      <w:r w:rsidRPr="00E33EFF">
        <w:t xml:space="preserve">34.4. rekomenduojama </w:t>
      </w:r>
      <w:r w:rsidRPr="00E33EFF">
        <w:rPr>
          <w:i/>
        </w:rPr>
        <w:t xml:space="preserve">nekompensuoti </w:t>
      </w:r>
      <w:r w:rsidRPr="00E33EFF">
        <w:t xml:space="preserve">vaistinio preparato pagal paraiškoje nurodytą indikaciją </w:t>
      </w:r>
      <w:r>
        <w:t>„</w:t>
      </w:r>
      <w:proofErr w:type="spellStart"/>
      <w:r>
        <w:rPr>
          <w:szCs w:val="24"/>
        </w:rPr>
        <w:t>Vyepti</w:t>
      </w:r>
      <w:proofErr w:type="spellEnd"/>
      <w:r>
        <w:rPr>
          <w:szCs w:val="24"/>
        </w:rPr>
        <w:t xml:space="preserve"> skirtas migrenos profilaktikai suaugusiems, patiriantiems bent 4 migrenos dienas per mėnesį“,</w:t>
      </w:r>
      <w:r>
        <w:t xml:space="preserve"> su </w:t>
      </w:r>
      <w:r>
        <w:lastRenderedPageBreak/>
        <w:t xml:space="preserve">skyrimo sąlyga </w:t>
      </w:r>
      <w:r w:rsidRPr="000D4B95">
        <w:t>„</w:t>
      </w:r>
      <w:r w:rsidRPr="000D4B95">
        <w:rPr>
          <w:szCs w:val="24"/>
        </w:rPr>
        <w:t>pirmą kartą skiria ir išrašo gydytojas neurologas, vėliau gali išrašyti vidaus ligų ar šeimos gydytojas“</w:t>
      </w:r>
      <w:r w:rsidRPr="000D4B95">
        <w:t>,</w:t>
      </w:r>
      <w:r>
        <w:t xml:space="preserve"> </w:t>
      </w:r>
      <w:r w:rsidRPr="00E33EFF">
        <w:t>taikant PGS dėl vertinimo išvadų</w:t>
      </w:r>
      <w:r>
        <w:t xml:space="preserve">, nurodytų 33.3 papunktyje (žr. </w:t>
      </w:r>
      <w:r w:rsidR="009220F0">
        <w:t>6 skyrių</w:t>
      </w:r>
      <w:r>
        <w:t xml:space="preserve">),  neatitikties </w:t>
      </w:r>
      <w:r w:rsidRPr="003D6208">
        <w:t>34.3 papunktyje išdėstytoms sąlygoms</w:t>
      </w:r>
      <w:r>
        <w:t>.</w:t>
      </w:r>
    </w:p>
    <w:p w14:paraId="4C7E3141" w14:textId="77777777" w:rsidR="006F3010" w:rsidRDefault="006F3010" w:rsidP="006F3010">
      <w:pPr>
        <w:pStyle w:val="VVKT"/>
      </w:pPr>
    </w:p>
    <w:p w14:paraId="20347277" w14:textId="77777777" w:rsidR="006F3010" w:rsidRPr="00CE6F24" w:rsidRDefault="006F3010" w:rsidP="006F3010">
      <w:pPr>
        <w:jc w:val="both"/>
        <w:rPr>
          <w:i/>
        </w:rPr>
      </w:pPr>
      <w:r w:rsidRPr="00CE6F24">
        <w:rPr>
          <w:i/>
        </w:rPr>
        <w:t>Papildomos pastabos ir pasiūlymai</w:t>
      </w:r>
    </w:p>
    <w:p w14:paraId="17180FA2" w14:textId="77777777" w:rsidR="006F3010" w:rsidRDefault="006F3010" w:rsidP="006F3010">
      <w:pPr>
        <w:jc w:val="both"/>
      </w:pPr>
    </w:p>
    <w:p w14:paraId="5280C5DD" w14:textId="48DEF644" w:rsidR="009220F0" w:rsidRPr="004355A5" w:rsidRDefault="009220F0" w:rsidP="009220F0">
      <w:pPr>
        <w:ind w:firstLine="720"/>
        <w:jc w:val="both"/>
      </w:pPr>
      <w:r>
        <w:t xml:space="preserve">Atsižvelgiant į nedidelį kaštų skirtumą tarp palyginamųjų gydymų, </w:t>
      </w:r>
      <w:r w:rsidRPr="00141D93">
        <w:t xml:space="preserve">Tarnyba </w:t>
      </w:r>
      <w:r w:rsidRPr="00141D93">
        <w:rPr>
          <w:bCs/>
        </w:rPr>
        <w:t xml:space="preserve">vadovaudamasi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 35 punktu, siūlo </w:t>
      </w:r>
      <w:r>
        <w:rPr>
          <w:bCs/>
        </w:rPr>
        <w:t xml:space="preserve">kompensuoti vaistinį preparatą </w:t>
      </w:r>
      <w:proofErr w:type="spellStart"/>
      <w:r>
        <w:rPr>
          <w:bCs/>
        </w:rPr>
        <w:t>eptinezumabas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Vyepti</w:t>
      </w:r>
      <w:proofErr w:type="spellEnd"/>
      <w:r>
        <w:rPr>
          <w:bCs/>
        </w:rPr>
        <w:t>) pritaikius nuolaidą: r</w:t>
      </w:r>
      <w:r>
        <w:t xml:space="preserve">eikalinga papildoma </w:t>
      </w:r>
      <w:r w:rsidR="00485173">
        <w:t xml:space="preserve">**** </w:t>
      </w:r>
      <w:r>
        <w:t xml:space="preserve">proc. nuolaida, siekiant, jog </w:t>
      </w:r>
      <w:proofErr w:type="spellStart"/>
      <w:r>
        <w:t>eptinezumabo</w:t>
      </w:r>
      <w:proofErr w:type="spellEnd"/>
      <w:r>
        <w:t xml:space="preserve"> kaštai būtų ne didesni nei palyginamųjų gydymų kaštai ir maždaug </w:t>
      </w:r>
      <w:r w:rsidR="00485173">
        <w:t>****</w:t>
      </w:r>
      <w:r>
        <w:t xml:space="preserve"> proc. nuolaida, kad būtų taupomi 5 proc. kaštų. </w:t>
      </w:r>
    </w:p>
    <w:p w14:paraId="06BC01EE" w14:textId="44333E0B" w:rsidR="000723FF" w:rsidRPr="000203E1" w:rsidRDefault="000723FF" w:rsidP="00381024"/>
    <w:p w14:paraId="18B4292E" w14:textId="22927325" w:rsidR="000723FF" w:rsidRPr="000203E1" w:rsidRDefault="00CC09D4" w:rsidP="00CC09D4">
      <w:pPr>
        <w:tabs>
          <w:tab w:val="left" w:pos="567"/>
        </w:tabs>
        <w:ind w:left="567" w:hanging="567"/>
        <w:jc w:val="both"/>
        <w:rPr>
          <w:b/>
          <w:lang w:eastAsia="lt-LT"/>
        </w:rPr>
      </w:pPr>
      <w:r w:rsidRPr="000203E1">
        <w:rPr>
          <w:b/>
          <w:lang w:eastAsia="lt-LT"/>
        </w:rPr>
        <w:t>8.</w:t>
      </w:r>
      <w:r w:rsidRPr="000203E1">
        <w:rPr>
          <w:b/>
          <w:lang w:eastAsia="lt-LT"/>
        </w:rPr>
        <w:tab/>
      </w:r>
      <w:r w:rsidR="000723FF" w:rsidRPr="000203E1">
        <w:rPr>
          <w:b/>
          <w:lang w:eastAsia="lt-LT"/>
        </w:rPr>
        <w:t xml:space="preserve">SIŪLOMOS KOMPENSUOTI TERAPINĖS INDIKACIJOS IR SKYRIMO SĄLYGOS </w:t>
      </w:r>
    </w:p>
    <w:p w14:paraId="691340BB" w14:textId="77777777" w:rsidR="000723FF" w:rsidRPr="000203E1" w:rsidRDefault="000723FF" w:rsidP="000723FF">
      <w:pPr>
        <w:tabs>
          <w:tab w:val="left" w:pos="426"/>
        </w:tabs>
        <w:jc w:val="both"/>
        <w:rPr>
          <w:b/>
          <w:lang w:eastAsia="lt-LT"/>
        </w:rPr>
      </w:pPr>
    </w:p>
    <w:p w14:paraId="529C92C4" w14:textId="152E5FB4" w:rsidR="000723FF" w:rsidRPr="000203E1" w:rsidRDefault="000723FF" w:rsidP="00824B92">
      <w:pPr>
        <w:rPr>
          <w:b/>
          <w:lang w:eastAsia="lt-LT"/>
        </w:rPr>
      </w:pPr>
      <w:r w:rsidRPr="000203E1">
        <w:rPr>
          <w:b/>
          <w:lang w:eastAsia="lt-LT"/>
        </w:rPr>
        <w:t>Terapinės indikacijos</w:t>
      </w:r>
    </w:p>
    <w:p w14:paraId="5BB746DD" w14:textId="3BC4820C" w:rsidR="000723FF" w:rsidRPr="000203E1" w:rsidRDefault="00000000" w:rsidP="00824B92">
      <w:sdt>
        <w:sdtPr>
          <w:rPr>
            <w:rStyle w:val="Style2"/>
          </w:rPr>
          <w:id w:val="1146316688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3010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0723FF" w:rsidRPr="000203E1">
        <w:t xml:space="preserve"> Siūloma kompensuoti Pareiškėjo teikiamą indikaciją be pakeitimų.</w:t>
      </w:r>
    </w:p>
    <w:p w14:paraId="3D0507E7" w14:textId="77777777" w:rsidR="006F3010" w:rsidRPr="004C2399" w:rsidRDefault="000723FF" w:rsidP="006F3010">
      <w:pPr>
        <w:pStyle w:val="Betarp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0203E1">
        <w:t xml:space="preserve"> </w:t>
      </w:r>
      <w:proofErr w:type="spellStart"/>
      <w:r w:rsidR="006F3010" w:rsidRPr="004C2399">
        <w:rPr>
          <w:rFonts w:ascii="Times New Roman" w:hAnsi="Times New Roman"/>
          <w:i/>
          <w:iCs/>
          <w:sz w:val="24"/>
          <w:szCs w:val="24"/>
        </w:rPr>
        <w:t>Vyepti</w:t>
      </w:r>
      <w:proofErr w:type="spellEnd"/>
      <w:r w:rsidR="006F3010" w:rsidRPr="004C2399">
        <w:rPr>
          <w:rFonts w:ascii="Times New Roman" w:hAnsi="Times New Roman"/>
          <w:i/>
          <w:iCs/>
          <w:sz w:val="24"/>
          <w:szCs w:val="24"/>
        </w:rPr>
        <w:t xml:space="preserve"> skirtas migrenos profilaktikai suaugusiems, patiriantiems bent 4 migrenos dienas per mėnesį.</w:t>
      </w:r>
    </w:p>
    <w:p w14:paraId="70D94B0B" w14:textId="050CEDDB" w:rsidR="006F3010" w:rsidRDefault="006F3010" w:rsidP="00824B92"/>
    <w:p w14:paraId="597367EF" w14:textId="0F4BFA98" w:rsidR="000723FF" w:rsidRPr="000203E1" w:rsidRDefault="00000000" w:rsidP="00824B92">
      <w:sdt>
        <w:sdtPr>
          <w:rPr>
            <w:rStyle w:val="Style2"/>
          </w:rPr>
          <w:id w:val="146724514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23FF" w:rsidRPr="000203E1">
            <w:rPr>
              <w:rStyle w:val="Style2"/>
              <w:rFonts w:ascii="MS Gothic" w:eastAsia="MS Gothic" w:hAnsi="MS Gothic"/>
            </w:rPr>
            <w:t>☐</w:t>
          </w:r>
        </w:sdtContent>
      </w:sdt>
      <w:r w:rsidR="000723FF" w:rsidRPr="000203E1">
        <w:t xml:space="preserve"> Siūloma kompensuoti Pareiškėjo teikiamą indikaciją su pakeitimais.</w:t>
      </w:r>
    </w:p>
    <w:p w14:paraId="7DD65F7E" w14:textId="5B20DD2E" w:rsidR="000723FF" w:rsidRDefault="000723FF" w:rsidP="00824B92"/>
    <w:p w14:paraId="16D2150A" w14:textId="77777777" w:rsidR="006F3010" w:rsidRPr="000203E1" w:rsidRDefault="006F3010" w:rsidP="00824B92"/>
    <w:p w14:paraId="241A6E6B" w14:textId="77777777" w:rsidR="000723FF" w:rsidRPr="000203E1" w:rsidRDefault="000723FF" w:rsidP="00824B92">
      <w:pPr>
        <w:rPr>
          <w:b/>
        </w:rPr>
      </w:pPr>
      <w:r w:rsidRPr="000203E1">
        <w:rPr>
          <w:b/>
        </w:rPr>
        <w:t>Skyrimo sąlygos</w:t>
      </w:r>
    </w:p>
    <w:p w14:paraId="250ACC46" w14:textId="29F6AA46" w:rsidR="000723FF" w:rsidRPr="000203E1" w:rsidRDefault="00000000" w:rsidP="00824B92">
      <w:sdt>
        <w:sdtPr>
          <w:rPr>
            <w:rStyle w:val="Style2"/>
          </w:rPr>
          <w:id w:val="16930534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B68" w:rsidRPr="000203E1">
            <w:rPr>
              <w:rStyle w:val="Style2"/>
              <w:rFonts w:ascii="MS Gothic" w:eastAsia="MS Gothic" w:hAnsi="MS Gothic" w:hint="eastAsia"/>
            </w:rPr>
            <w:t>☐</w:t>
          </w:r>
        </w:sdtContent>
      </w:sdt>
      <w:r w:rsidR="000723FF" w:rsidRPr="000203E1">
        <w:t xml:space="preserve"> Pareiškėjo siūlomos skyrimo sąlygos priimtinos. </w:t>
      </w:r>
    </w:p>
    <w:p w14:paraId="53E60DEC" w14:textId="77777777" w:rsidR="006F3010" w:rsidRDefault="006F3010" w:rsidP="00824B92"/>
    <w:p w14:paraId="297867ED" w14:textId="5A7EF767" w:rsidR="000723FF" w:rsidRPr="000203E1" w:rsidRDefault="00000000" w:rsidP="00824B92">
      <w:sdt>
        <w:sdtPr>
          <w:rPr>
            <w:rStyle w:val="Style2"/>
          </w:rPr>
          <w:id w:val="1823936883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F3010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0723FF" w:rsidRPr="000203E1">
        <w:t xml:space="preserve"> Pareiškėjo siūlomos skyrimo sąlygos nepriimtinos. </w:t>
      </w:r>
    </w:p>
    <w:p w14:paraId="57B65A2D" w14:textId="77777777" w:rsidR="006F3010" w:rsidRDefault="006F3010" w:rsidP="006F3010">
      <w:pPr>
        <w:pStyle w:val="Betarp"/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Siūloma skyrimo sąlyga: </w:t>
      </w:r>
      <w:r w:rsidRPr="004C2399">
        <w:rPr>
          <w:rFonts w:ascii="Times New Roman" w:hAnsi="Times New Roman"/>
          <w:i/>
          <w:iCs/>
          <w:sz w:val="24"/>
          <w:szCs w:val="24"/>
        </w:rPr>
        <w:t>pirmą kartą skiria ir išrašo gydytojas neurologas, vėliau gali išrašyti vidaus ligų ar šeimos gydytojas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33B8DE04" w14:textId="77777777" w:rsidR="00283E59" w:rsidRDefault="00283E59" w:rsidP="006F3010">
      <w:pPr>
        <w:widowControl w:val="0"/>
        <w:tabs>
          <w:tab w:val="left" w:pos="1418"/>
        </w:tabs>
        <w:suppressAutoHyphens/>
        <w:spacing w:line="360" w:lineRule="atLeast"/>
        <w:textAlignment w:val="center"/>
      </w:pPr>
      <w:r>
        <w:rPr>
          <w:color w:val="000000"/>
          <w:lang w:eastAsia="lt-LT"/>
        </w:rPr>
        <w:t>____________________________</w:t>
      </w:r>
    </w:p>
    <w:p w14:paraId="562A1372" w14:textId="77777777" w:rsidR="00283E59" w:rsidRDefault="00283E59" w:rsidP="00283E59">
      <w:pPr>
        <w:jc w:val="both"/>
        <w:rPr>
          <w:b/>
          <w:sz w:val="20"/>
        </w:rPr>
      </w:pPr>
    </w:p>
    <w:p w14:paraId="7CDFF220" w14:textId="58191D98" w:rsidR="000723FF" w:rsidRPr="000203E1" w:rsidRDefault="000723FF" w:rsidP="00824B92">
      <w:pPr>
        <w:rPr>
          <w:b/>
        </w:rPr>
      </w:pPr>
    </w:p>
    <w:sectPr w:rsidR="000723FF" w:rsidRPr="000203E1" w:rsidSect="00AE2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6A5A" w14:textId="77777777" w:rsidR="00AE2B61" w:rsidRDefault="00AE2B61">
      <w:r>
        <w:separator/>
      </w:r>
    </w:p>
  </w:endnote>
  <w:endnote w:type="continuationSeparator" w:id="0">
    <w:p w14:paraId="3BC4C1CF" w14:textId="77777777" w:rsidR="00AE2B61" w:rsidRDefault="00AE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1360" w14:textId="77777777" w:rsidR="002846C5" w:rsidRDefault="002846C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2B1F" w14:textId="77777777" w:rsidR="002846C5" w:rsidRDefault="002846C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3368" w14:textId="77777777" w:rsidR="00347FAA" w:rsidRDefault="00347FAA">
    <w:pPr>
      <w:pStyle w:val="Porat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DB07" w14:textId="77777777" w:rsidR="00AE2B61" w:rsidRDefault="00AE2B61">
      <w:r>
        <w:separator/>
      </w:r>
    </w:p>
  </w:footnote>
  <w:footnote w:type="continuationSeparator" w:id="0">
    <w:p w14:paraId="4D4E2284" w14:textId="77777777" w:rsidR="00AE2B61" w:rsidRDefault="00AE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FB2" w14:textId="77777777" w:rsidR="00347FAA" w:rsidRDefault="0034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81DB01" w14:textId="77777777" w:rsidR="00347FAA" w:rsidRDefault="00347F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D5F9" w14:textId="376F3939" w:rsidR="00347FAA" w:rsidRDefault="00347F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46C5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3EC872E" w14:textId="77777777" w:rsidR="00347FAA" w:rsidRDefault="00347FA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1C8F" w14:textId="77777777" w:rsidR="00347FAA" w:rsidRDefault="00347FAA" w:rsidP="00FD793C">
    <w:pPr>
      <w:pStyle w:val="Antrats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6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F597F"/>
    <w:multiLevelType w:val="hybridMultilevel"/>
    <w:tmpl w:val="43FEF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0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5654"/>
    <w:multiLevelType w:val="hybridMultilevel"/>
    <w:tmpl w:val="206A02E6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0796">
    <w:abstractNumId w:val="6"/>
  </w:num>
  <w:num w:numId="2" w16cid:durableId="1702050262">
    <w:abstractNumId w:val="1"/>
  </w:num>
  <w:num w:numId="3" w16cid:durableId="1076825843">
    <w:abstractNumId w:val="9"/>
  </w:num>
  <w:num w:numId="4" w16cid:durableId="1693802451">
    <w:abstractNumId w:val="8"/>
  </w:num>
  <w:num w:numId="5" w16cid:durableId="729033787">
    <w:abstractNumId w:val="5"/>
  </w:num>
  <w:num w:numId="6" w16cid:durableId="1383211074">
    <w:abstractNumId w:val="4"/>
  </w:num>
  <w:num w:numId="7" w16cid:durableId="1727486211">
    <w:abstractNumId w:val="3"/>
  </w:num>
  <w:num w:numId="8" w16cid:durableId="400181782">
    <w:abstractNumId w:val="13"/>
  </w:num>
  <w:num w:numId="9" w16cid:durableId="1889873877">
    <w:abstractNumId w:val="0"/>
  </w:num>
  <w:num w:numId="10" w16cid:durableId="632978047">
    <w:abstractNumId w:val="10"/>
  </w:num>
  <w:num w:numId="11" w16cid:durableId="1826239792">
    <w:abstractNumId w:val="12"/>
  </w:num>
  <w:num w:numId="12" w16cid:durableId="1295335614">
    <w:abstractNumId w:val="2"/>
  </w:num>
  <w:num w:numId="13" w16cid:durableId="1832401987">
    <w:abstractNumId w:val="7"/>
  </w:num>
  <w:num w:numId="14" w16cid:durableId="1449468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3F5B"/>
    <w:rsid w:val="000114DD"/>
    <w:rsid w:val="000136F7"/>
    <w:rsid w:val="000203E1"/>
    <w:rsid w:val="0002686C"/>
    <w:rsid w:val="00031D0E"/>
    <w:rsid w:val="000337E6"/>
    <w:rsid w:val="0003402E"/>
    <w:rsid w:val="00034EAE"/>
    <w:rsid w:val="00042924"/>
    <w:rsid w:val="00053975"/>
    <w:rsid w:val="00057A2B"/>
    <w:rsid w:val="000606BE"/>
    <w:rsid w:val="000723FF"/>
    <w:rsid w:val="000736B8"/>
    <w:rsid w:val="0008190F"/>
    <w:rsid w:val="00081D9C"/>
    <w:rsid w:val="00082907"/>
    <w:rsid w:val="0008378D"/>
    <w:rsid w:val="000908A5"/>
    <w:rsid w:val="00092805"/>
    <w:rsid w:val="000C454C"/>
    <w:rsid w:val="000D5038"/>
    <w:rsid w:val="000E29D4"/>
    <w:rsid w:val="000F3540"/>
    <w:rsid w:val="00100491"/>
    <w:rsid w:val="00104E2E"/>
    <w:rsid w:val="00107287"/>
    <w:rsid w:val="00117406"/>
    <w:rsid w:val="00121EF0"/>
    <w:rsid w:val="00124A9E"/>
    <w:rsid w:val="00130703"/>
    <w:rsid w:val="0013153F"/>
    <w:rsid w:val="001408B8"/>
    <w:rsid w:val="001517E2"/>
    <w:rsid w:val="001521D9"/>
    <w:rsid w:val="001554E2"/>
    <w:rsid w:val="00164146"/>
    <w:rsid w:val="00164D64"/>
    <w:rsid w:val="0017369C"/>
    <w:rsid w:val="00175D57"/>
    <w:rsid w:val="00180C39"/>
    <w:rsid w:val="00180D96"/>
    <w:rsid w:val="00184BD3"/>
    <w:rsid w:val="001921F3"/>
    <w:rsid w:val="001B3C5B"/>
    <w:rsid w:val="001C4887"/>
    <w:rsid w:val="001D5B91"/>
    <w:rsid w:val="001D746F"/>
    <w:rsid w:val="001E4BBB"/>
    <w:rsid w:val="001E6304"/>
    <w:rsid w:val="0020381E"/>
    <w:rsid w:val="00213471"/>
    <w:rsid w:val="00215906"/>
    <w:rsid w:val="00241CD8"/>
    <w:rsid w:val="00244B09"/>
    <w:rsid w:val="002519CB"/>
    <w:rsid w:val="0025697F"/>
    <w:rsid w:val="00260258"/>
    <w:rsid w:val="0026588E"/>
    <w:rsid w:val="00272428"/>
    <w:rsid w:val="00272948"/>
    <w:rsid w:val="00283E59"/>
    <w:rsid w:val="002846C5"/>
    <w:rsid w:val="00292392"/>
    <w:rsid w:val="002946C7"/>
    <w:rsid w:val="002B3CC1"/>
    <w:rsid w:val="002C09E0"/>
    <w:rsid w:val="002C1BB1"/>
    <w:rsid w:val="002C2786"/>
    <w:rsid w:val="002C3A10"/>
    <w:rsid w:val="002C4A90"/>
    <w:rsid w:val="002C4ED5"/>
    <w:rsid w:val="002D02EF"/>
    <w:rsid w:val="002E0702"/>
    <w:rsid w:val="002E57AD"/>
    <w:rsid w:val="002E6F80"/>
    <w:rsid w:val="002F0E4F"/>
    <w:rsid w:val="002F1053"/>
    <w:rsid w:val="00314816"/>
    <w:rsid w:val="00317B0E"/>
    <w:rsid w:val="00347FAA"/>
    <w:rsid w:val="0035172D"/>
    <w:rsid w:val="0036187D"/>
    <w:rsid w:val="00367EDB"/>
    <w:rsid w:val="00381024"/>
    <w:rsid w:val="00386307"/>
    <w:rsid w:val="003874DE"/>
    <w:rsid w:val="00393E9F"/>
    <w:rsid w:val="0039696E"/>
    <w:rsid w:val="003B211A"/>
    <w:rsid w:val="003C141F"/>
    <w:rsid w:val="003C6B0E"/>
    <w:rsid w:val="003C7257"/>
    <w:rsid w:val="003C7E35"/>
    <w:rsid w:val="003D1E99"/>
    <w:rsid w:val="003D6208"/>
    <w:rsid w:val="00404E8A"/>
    <w:rsid w:val="0040622F"/>
    <w:rsid w:val="00413F24"/>
    <w:rsid w:val="00422853"/>
    <w:rsid w:val="00423160"/>
    <w:rsid w:val="00453862"/>
    <w:rsid w:val="0045469B"/>
    <w:rsid w:val="00461338"/>
    <w:rsid w:val="004677DB"/>
    <w:rsid w:val="00476256"/>
    <w:rsid w:val="00485173"/>
    <w:rsid w:val="0048630F"/>
    <w:rsid w:val="004947A1"/>
    <w:rsid w:val="0049482A"/>
    <w:rsid w:val="004979D3"/>
    <w:rsid w:val="004A00E7"/>
    <w:rsid w:val="004A3A61"/>
    <w:rsid w:val="004B59BA"/>
    <w:rsid w:val="004B5A03"/>
    <w:rsid w:val="004C263A"/>
    <w:rsid w:val="004D48A6"/>
    <w:rsid w:val="004D7B8F"/>
    <w:rsid w:val="004E241F"/>
    <w:rsid w:val="004E6458"/>
    <w:rsid w:val="004E6E7D"/>
    <w:rsid w:val="004F1AAC"/>
    <w:rsid w:val="004F1AE2"/>
    <w:rsid w:val="004F34F0"/>
    <w:rsid w:val="004F3B2B"/>
    <w:rsid w:val="004F6050"/>
    <w:rsid w:val="005005EF"/>
    <w:rsid w:val="005123C2"/>
    <w:rsid w:val="0052144B"/>
    <w:rsid w:val="00524066"/>
    <w:rsid w:val="00534E11"/>
    <w:rsid w:val="005378D8"/>
    <w:rsid w:val="005400D9"/>
    <w:rsid w:val="005476A4"/>
    <w:rsid w:val="0055019B"/>
    <w:rsid w:val="00556E63"/>
    <w:rsid w:val="005601A4"/>
    <w:rsid w:val="00566DBB"/>
    <w:rsid w:val="005767DB"/>
    <w:rsid w:val="005815E6"/>
    <w:rsid w:val="0058712F"/>
    <w:rsid w:val="005976CE"/>
    <w:rsid w:val="005A23D4"/>
    <w:rsid w:val="005A2D1E"/>
    <w:rsid w:val="005A4698"/>
    <w:rsid w:val="005B3756"/>
    <w:rsid w:val="005C493F"/>
    <w:rsid w:val="005C6BF7"/>
    <w:rsid w:val="005C71BF"/>
    <w:rsid w:val="005D002C"/>
    <w:rsid w:val="005D30E1"/>
    <w:rsid w:val="005D6555"/>
    <w:rsid w:val="005D7BDF"/>
    <w:rsid w:val="005E4870"/>
    <w:rsid w:val="005F71D9"/>
    <w:rsid w:val="005F7602"/>
    <w:rsid w:val="006062BE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62983"/>
    <w:rsid w:val="006834D3"/>
    <w:rsid w:val="00692625"/>
    <w:rsid w:val="00695CD3"/>
    <w:rsid w:val="006A38B6"/>
    <w:rsid w:val="006A61B8"/>
    <w:rsid w:val="006B1987"/>
    <w:rsid w:val="006B5B71"/>
    <w:rsid w:val="006B5D3E"/>
    <w:rsid w:val="006B6CB0"/>
    <w:rsid w:val="006C2B64"/>
    <w:rsid w:val="006D1BF3"/>
    <w:rsid w:val="006D4C85"/>
    <w:rsid w:val="006D66AC"/>
    <w:rsid w:val="006E33F6"/>
    <w:rsid w:val="006F1251"/>
    <w:rsid w:val="006F1C23"/>
    <w:rsid w:val="006F3010"/>
    <w:rsid w:val="00702C18"/>
    <w:rsid w:val="00703166"/>
    <w:rsid w:val="007127F3"/>
    <w:rsid w:val="007301CF"/>
    <w:rsid w:val="007316FB"/>
    <w:rsid w:val="00737E2D"/>
    <w:rsid w:val="007424D5"/>
    <w:rsid w:val="00750A88"/>
    <w:rsid w:val="007523DD"/>
    <w:rsid w:val="00757B7E"/>
    <w:rsid w:val="007656B2"/>
    <w:rsid w:val="0077016F"/>
    <w:rsid w:val="007713AD"/>
    <w:rsid w:val="00795DC5"/>
    <w:rsid w:val="00797153"/>
    <w:rsid w:val="007A21F7"/>
    <w:rsid w:val="007A2B68"/>
    <w:rsid w:val="007B0DDA"/>
    <w:rsid w:val="007D3347"/>
    <w:rsid w:val="007E5466"/>
    <w:rsid w:val="007F1949"/>
    <w:rsid w:val="007F2592"/>
    <w:rsid w:val="00800A08"/>
    <w:rsid w:val="00817A84"/>
    <w:rsid w:val="008225A4"/>
    <w:rsid w:val="00824B92"/>
    <w:rsid w:val="00826D5E"/>
    <w:rsid w:val="00832013"/>
    <w:rsid w:val="00832DB7"/>
    <w:rsid w:val="00834732"/>
    <w:rsid w:val="0085200C"/>
    <w:rsid w:val="00857C52"/>
    <w:rsid w:val="00860D5F"/>
    <w:rsid w:val="00880A44"/>
    <w:rsid w:val="0088345E"/>
    <w:rsid w:val="0088656F"/>
    <w:rsid w:val="00891EF6"/>
    <w:rsid w:val="008A0303"/>
    <w:rsid w:val="008A1D49"/>
    <w:rsid w:val="008A5FDD"/>
    <w:rsid w:val="008C3947"/>
    <w:rsid w:val="008E473B"/>
    <w:rsid w:val="008E51A6"/>
    <w:rsid w:val="008E7329"/>
    <w:rsid w:val="008F2ED5"/>
    <w:rsid w:val="009220F0"/>
    <w:rsid w:val="0092297E"/>
    <w:rsid w:val="00923651"/>
    <w:rsid w:val="00927B56"/>
    <w:rsid w:val="009341BF"/>
    <w:rsid w:val="00937907"/>
    <w:rsid w:val="00941739"/>
    <w:rsid w:val="00951573"/>
    <w:rsid w:val="00963003"/>
    <w:rsid w:val="00966EEF"/>
    <w:rsid w:val="00971B28"/>
    <w:rsid w:val="00983471"/>
    <w:rsid w:val="009909AB"/>
    <w:rsid w:val="009A0504"/>
    <w:rsid w:val="009B37DB"/>
    <w:rsid w:val="009C7A8C"/>
    <w:rsid w:val="009D23F9"/>
    <w:rsid w:val="009D4FA8"/>
    <w:rsid w:val="009E44AE"/>
    <w:rsid w:val="009E6CD6"/>
    <w:rsid w:val="009F4D66"/>
    <w:rsid w:val="00A00C3C"/>
    <w:rsid w:val="00A01091"/>
    <w:rsid w:val="00A042B9"/>
    <w:rsid w:val="00A06DBB"/>
    <w:rsid w:val="00A22ADF"/>
    <w:rsid w:val="00A31E86"/>
    <w:rsid w:val="00A54D87"/>
    <w:rsid w:val="00A5553C"/>
    <w:rsid w:val="00A701C9"/>
    <w:rsid w:val="00A81785"/>
    <w:rsid w:val="00A84803"/>
    <w:rsid w:val="00A84C51"/>
    <w:rsid w:val="00A86F2B"/>
    <w:rsid w:val="00A91366"/>
    <w:rsid w:val="00A92F91"/>
    <w:rsid w:val="00A93AA6"/>
    <w:rsid w:val="00AA4E48"/>
    <w:rsid w:val="00AA6202"/>
    <w:rsid w:val="00AA7B57"/>
    <w:rsid w:val="00AB2806"/>
    <w:rsid w:val="00AC26FC"/>
    <w:rsid w:val="00AC4A99"/>
    <w:rsid w:val="00AC64D2"/>
    <w:rsid w:val="00AD02E7"/>
    <w:rsid w:val="00AE0FE8"/>
    <w:rsid w:val="00AE2B61"/>
    <w:rsid w:val="00AF60D5"/>
    <w:rsid w:val="00B00959"/>
    <w:rsid w:val="00B04415"/>
    <w:rsid w:val="00B06509"/>
    <w:rsid w:val="00B11D60"/>
    <w:rsid w:val="00B13D65"/>
    <w:rsid w:val="00B21805"/>
    <w:rsid w:val="00B3072E"/>
    <w:rsid w:val="00B36E15"/>
    <w:rsid w:val="00B37245"/>
    <w:rsid w:val="00B4017A"/>
    <w:rsid w:val="00B4468D"/>
    <w:rsid w:val="00B71C72"/>
    <w:rsid w:val="00B81E92"/>
    <w:rsid w:val="00B908D7"/>
    <w:rsid w:val="00B935E8"/>
    <w:rsid w:val="00B93B30"/>
    <w:rsid w:val="00B94CB5"/>
    <w:rsid w:val="00BA0DD9"/>
    <w:rsid w:val="00BA5DBC"/>
    <w:rsid w:val="00BA6584"/>
    <w:rsid w:val="00BB6312"/>
    <w:rsid w:val="00BC4D06"/>
    <w:rsid w:val="00BD585E"/>
    <w:rsid w:val="00BD6919"/>
    <w:rsid w:val="00BE1EA7"/>
    <w:rsid w:val="00BE7489"/>
    <w:rsid w:val="00BF2E0D"/>
    <w:rsid w:val="00BF3927"/>
    <w:rsid w:val="00BF3F8B"/>
    <w:rsid w:val="00BF76DA"/>
    <w:rsid w:val="00C07C7B"/>
    <w:rsid w:val="00C16245"/>
    <w:rsid w:val="00C22DC5"/>
    <w:rsid w:val="00C24479"/>
    <w:rsid w:val="00C273F2"/>
    <w:rsid w:val="00C37B53"/>
    <w:rsid w:val="00C434EB"/>
    <w:rsid w:val="00C517D2"/>
    <w:rsid w:val="00C5772E"/>
    <w:rsid w:val="00C62B36"/>
    <w:rsid w:val="00C7012C"/>
    <w:rsid w:val="00C712EA"/>
    <w:rsid w:val="00C74195"/>
    <w:rsid w:val="00CA217D"/>
    <w:rsid w:val="00CC09D4"/>
    <w:rsid w:val="00CC2C81"/>
    <w:rsid w:val="00CC668D"/>
    <w:rsid w:val="00CC7832"/>
    <w:rsid w:val="00CD488E"/>
    <w:rsid w:val="00CF0C1C"/>
    <w:rsid w:val="00CF27FD"/>
    <w:rsid w:val="00CF5F12"/>
    <w:rsid w:val="00D00D8F"/>
    <w:rsid w:val="00D17419"/>
    <w:rsid w:val="00D21F3A"/>
    <w:rsid w:val="00D23808"/>
    <w:rsid w:val="00D3016A"/>
    <w:rsid w:val="00D417D2"/>
    <w:rsid w:val="00D42960"/>
    <w:rsid w:val="00D43BD7"/>
    <w:rsid w:val="00D4485B"/>
    <w:rsid w:val="00D46CCD"/>
    <w:rsid w:val="00D4708D"/>
    <w:rsid w:val="00D4744C"/>
    <w:rsid w:val="00D521DE"/>
    <w:rsid w:val="00D5470B"/>
    <w:rsid w:val="00D63068"/>
    <w:rsid w:val="00D6498C"/>
    <w:rsid w:val="00D76A70"/>
    <w:rsid w:val="00D83182"/>
    <w:rsid w:val="00D8521E"/>
    <w:rsid w:val="00D9291C"/>
    <w:rsid w:val="00D93A97"/>
    <w:rsid w:val="00DB1F64"/>
    <w:rsid w:val="00DC2F53"/>
    <w:rsid w:val="00DC5BAC"/>
    <w:rsid w:val="00DC6816"/>
    <w:rsid w:val="00DC76C2"/>
    <w:rsid w:val="00DD1CF2"/>
    <w:rsid w:val="00DE4484"/>
    <w:rsid w:val="00DF41B7"/>
    <w:rsid w:val="00DF4A4A"/>
    <w:rsid w:val="00DF583C"/>
    <w:rsid w:val="00E03C3F"/>
    <w:rsid w:val="00E06FD7"/>
    <w:rsid w:val="00E0741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721C"/>
    <w:rsid w:val="00E619C6"/>
    <w:rsid w:val="00E745A1"/>
    <w:rsid w:val="00E81529"/>
    <w:rsid w:val="00E83A13"/>
    <w:rsid w:val="00EB6FC5"/>
    <w:rsid w:val="00EC2356"/>
    <w:rsid w:val="00EC2582"/>
    <w:rsid w:val="00EC337C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B5D"/>
    <w:rsid w:val="00F259FC"/>
    <w:rsid w:val="00F36972"/>
    <w:rsid w:val="00F42426"/>
    <w:rsid w:val="00F456BC"/>
    <w:rsid w:val="00F50666"/>
    <w:rsid w:val="00F70731"/>
    <w:rsid w:val="00F70C9E"/>
    <w:rsid w:val="00F74A74"/>
    <w:rsid w:val="00F7572C"/>
    <w:rsid w:val="00F8382C"/>
    <w:rsid w:val="00F855D7"/>
    <w:rsid w:val="00F92035"/>
    <w:rsid w:val="00F92748"/>
    <w:rsid w:val="00FA4169"/>
    <w:rsid w:val="00FB0D41"/>
    <w:rsid w:val="00FB2030"/>
    <w:rsid w:val="00FD0E46"/>
    <w:rsid w:val="00FD1CF2"/>
    <w:rsid w:val="00FD3EDF"/>
    <w:rsid w:val="00FD793C"/>
    <w:rsid w:val="00FE0FD5"/>
    <w:rsid w:val="00FE20E6"/>
    <w:rsid w:val="00FE3E3B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8152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4C51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rsid w:val="00A84C51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84C51"/>
  </w:style>
  <w:style w:type="character" w:styleId="Hipersaitas">
    <w:name w:val="Hyperlink"/>
    <w:basedOn w:val="Numatytasispastraiposriftas"/>
    <w:rsid w:val="00A84C51"/>
    <w:rPr>
      <w:color w:val="0000FF"/>
      <w:u w:val="single"/>
    </w:rPr>
  </w:style>
  <w:style w:type="paragraph" w:styleId="Debesliotekstas">
    <w:name w:val="Balloon Text"/>
    <w:basedOn w:val="prastasis"/>
    <w:semiHidden/>
    <w:rsid w:val="00EC235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A31E86"/>
    <w:rPr>
      <w:color w:val="800080" w:themeColor="followedHyperlink"/>
      <w:u w:val="single"/>
    </w:rPr>
  </w:style>
  <w:style w:type="table" w:styleId="Lentelstinklelis">
    <w:name w:val="Table Grid"/>
    <w:basedOn w:val="prastojilentel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C70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70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701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0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012C"/>
    <w:rPr>
      <w:b/>
      <w:bCs/>
      <w:lang w:eastAsia="en-US"/>
    </w:rPr>
  </w:style>
  <w:style w:type="paragraph" w:styleId="Sraopastraipa">
    <w:name w:val="List Paragraph"/>
    <w:aliases w:val="Bullet List,Bullet1,Use Case List Paragraph,List Paragraph1,Body Bullet,Table Number Paragraph,Colorful List - Accent 11,List Paragraph 1,Ref,B1,Figure_name,bu1,bu1 + Before:  0 pt,After:  6 pt,Bullet for no #'s,Paragraph,lp1"/>
    <w:basedOn w:val="prastasis"/>
    <w:link w:val="SraopastraipaDiagrama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Numatytasispastraiposriftas"/>
    <w:uiPriority w:val="1"/>
    <w:rsid w:val="00D6498C"/>
    <w:rPr>
      <w:sz w:val="32"/>
    </w:rPr>
  </w:style>
  <w:style w:type="character" w:styleId="Vietosrezervavimoenklotekstas">
    <w:name w:val="Placeholder Text"/>
    <w:basedOn w:val="Numatytasispastraiposriftas"/>
    <w:uiPriority w:val="99"/>
    <w:rsid w:val="00B13D65"/>
    <w:rPr>
      <w:color w:val="808080"/>
    </w:rPr>
  </w:style>
  <w:style w:type="paragraph" w:styleId="Betarp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 List Diagrama,Bullet1 Diagrama,Use Case List Paragraph Diagrama,List Paragraph1 Diagrama,Body Bullet Diagrama,Table Number Paragraph Diagrama,Colorful List - Accent 11 Diagrama,List Paragraph 1 Diagrama,Ref Diagrama"/>
    <w:basedOn w:val="Numatytasispastraiposriftas"/>
    <w:link w:val="Sraopastraipa"/>
    <w:uiPriority w:val="34"/>
    <w:rsid w:val="006F3010"/>
    <w:rPr>
      <w:sz w:val="24"/>
      <w:szCs w:val="24"/>
      <w:lang w:eastAsia="en-US"/>
    </w:rPr>
  </w:style>
  <w:style w:type="paragraph" w:customStyle="1" w:styleId="VVKT">
    <w:name w:val="VVKT"/>
    <w:basedOn w:val="prastasis"/>
    <w:qFormat/>
    <w:rsid w:val="006F3010"/>
    <w:pPr>
      <w:spacing w:line="276" w:lineRule="auto"/>
      <w:ind w:right="11" w:firstLine="561"/>
      <w:jc w:val="both"/>
      <w:outlineLvl w:val="0"/>
    </w:pPr>
    <w:rPr>
      <w:bCs/>
      <w:szCs w:val="20"/>
    </w:rPr>
  </w:style>
  <w:style w:type="character" w:customStyle="1" w:styleId="ProtokoluiChar">
    <w:name w:val="Protokolui Char"/>
    <w:link w:val="Protokolui"/>
    <w:locked/>
    <w:rsid w:val="006F3010"/>
    <w:rPr>
      <w:lang w:val="x-none"/>
    </w:rPr>
  </w:style>
  <w:style w:type="paragraph" w:customStyle="1" w:styleId="Protokolui">
    <w:name w:val="Protokolui"/>
    <w:basedOn w:val="Pagrindinistekstas"/>
    <w:link w:val="ProtokoluiChar"/>
    <w:qFormat/>
    <w:rsid w:val="006F3010"/>
    <w:pPr>
      <w:spacing w:after="0"/>
      <w:ind w:firstLine="432"/>
      <w:jc w:val="both"/>
    </w:pPr>
    <w:rPr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6F30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F30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1DCC42A2974C359888226B925C8F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94F7C-085F-4470-BFBE-73CE12F450B6}"/>
      </w:docPartPr>
      <w:docPartBody>
        <w:p w:rsidR="00E44A86" w:rsidRDefault="005E40DD" w:rsidP="005E40DD">
          <w:pPr>
            <w:pStyle w:val="0A1DCC42A2974C359888226B925C8FF8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CDB60824EC144AB3B75C05A5823BEE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A21354-5277-4E37-94EF-AC6CA7E9D852}"/>
      </w:docPartPr>
      <w:docPartBody>
        <w:p w:rsidR="00E44A86" w:rsidRDefault="005E40DD" w:rsidP="005E40DD">
          <w:pPr>
            <w:pStyle w:val="CDB60824EC144AB3B75C05A5823BEE2D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BF3D439222E9454F9F7B19ED41073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721BC-FE07-8749-80FC-FE2A32E7AFA0}"/>
      </w:docPartPr>
      <w:docPartBody>
        <w:p w:rsidR="00EF4E1F" w:rsidRDefault="004B6C14" w:rsidP="004B6C14">
          <w:pPr>
            <w:pStyle w:val="BF3D439222E9454F9F7B19ED41073CA1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B4A77ABCCC08046B1680BA5D8F4B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69CC2-420D-D642-9AA2-6CAE5FFEB593}"/>
      </w:docPartPr>
      <w:docPartBody>
        <w:p w:rsidR="00EF4E1F" w:rsidRDefault="004B6C14" w:rsidP="004B6C14">
          <w:pPr>
            <w:pStyle w:val="8B4A77ABCCC08046B1680BA5D8F4BFAD"/>
          </w:pPr>
          <w:r>
            <w:rPr>
              <w:rStyle w:val="Vietosrezervavimoenklotekstas"/>
            </w:rPr>
            <w:t>Click here to enter a date.</w:t>
          </w:r>
        </w:p>
      </w:docPartBody>
    </w:docPart>
    <w:docPart>
      <w:docPartPr>
        <w:name w:val="860CB8D8EE1E10479CE6812867AB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81C3-F532-8C46-9C14-BDFB02C0EBAF}"/>
      </w:docPartPr>
      <w:docPartBody>
        <w:p w:rsidR="00EF4E1F" w:rsidRDefault="004B6C14" w:rsidP="004B6C14">
          <w:pPr>
            <w:pStyle w:val="860CB8D8EE1E10479CE6812867AB2022"/>
          </w:pPr>
          <w:r>
            <w:rPr>
              <w:rStyle w:val="Vietosrezervavimoenkloteksta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14D20"/>
    <w:rsid w:val="00061157"/>
    <w:rsid w:val="000937FE"/>
    <w:rsid w:val="000A559A"/>
    <w:rsid w:val="000D24D4"/>
    <w:rsid w:val="001C35A9"/>
    <w:rsid w:val="00237556"/>
    <w:rsid w:val="00286CE8"/>
    <w:rsid w:val="0039303B"/>
    <w:rsid w:val="004144A3"/>
    <w:rsid w:val="004160E7"/>
    <w:rsid w:val="004416C6"/>
    <w:rsid w:val="00456E96"/>
    <w:rsid w:val="004B6C14"/>
    <w:rsid w:val="004F5AB2"/>
    <w:rsid w:val="005074B9"/>
    <w:rsid w:val="005C62E5"/>
    <w:rsid w:val="005E40DD"/>
    <w:rsid w:val="007219C1"/>
    <w:rsid w:val="00753462"/>
    <w:rsid w:val="00772325"/>
    <w:rsid w:val="007A2FE0"/>
    <w:rsid w:val="007C6D1D"/>
    <w:rsid w:val="0090074D"/>
    <w:rsid w:val="00951CAD"/>
    <w:rsid w:val="009B3BF0"/>
    <w:rsid w:val="009D5E5E"/>
    <w:rsid w:val="009F1BB4"/>
    <w:rsid w:val="00AB6ED4"/>
    <w:rsid w:val="00B14210"/>
    <w:rsid w:val="00B22ED6"/>
    <w:rsid w:val="00B23DC0"/>
    <w:rsid w:val="00B96656"/>
    <w:rsid w:val="00C2401D"/>
    <w:rsid w:val="00C250D7"/>
    <w:rsid w:val="00C53A68"/>
    <w:rsid w:val="00CA5BB4"/>
    <w:rsid w:val="00CB4BD1"/>
    <w:rsid w:val="00CD139C"/>
    <w:rsid w:val="00CE2DA9"/>
    <w:rsid w:val="00CE44BE"/>
    <w:rsid w:val="00D0142D"/>
    <w:rsid w:val="00D4356B"/>
    <w:rsid w:val="00D7162F"/>
    <w:rsid w:val="00DB4DB5"/>
    <w:rsid w:val="00DE4D10"/>
    <w:rsid w:val="00E44A86"/>
    <w:rsid w:val="00E522EB"/>
    <w:rsid w:val="00E60827"/>
    <w:rsid w:val="00EF4E1F"/>
    <w:rsid w:val="00EF6E0C"/>
    <w:rsid w:val="00F55028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4B6C14"/>
    <w:rPr>
      <w:color w:val="808080"/>
    </w:rPr>
  </w:style>
  <w:style w:type="paragraph" w:customStyle="1" w:styleId="0A1DCC42A2974C359888226B925C8FF8">
    <w:name w:val="0A1DCC42A2974C359888226B925C8FF8"/>
    <w:rsid w:val="005E40DD"/>
  </w:style>
  <w:style w:type="paragraph" w:customStyle="1" w:styleId="CDB60824EC144AB3B75C05A5823BEE2D">
    <w:name w:val="CDB60824EC144AB3B75C05A5823BEE2D"/>
    <w:rsid w:val="005E40DD"/>
  </w:style>
  <w:style w:type="paragraph" w:customStyle="1" w:styleId="BF3D439222E9454F9F7B19ED41073CA1">
    <w:name w:val="BF3D439222E9454F9F7B19ED41073CA1"/>
    <w:rsid w:val="004B6C14"/>
    <w:pPr>
      <w:spacing w:after="0" w:line="240" w:lineRule="auto"/>
    </w:pPr>
    <w:rPr>
      <w:sz w:val="24"/>
      <w:szCs w:val="24"/>
      <w:lang w:eastAsia="en-GB"/>
    </w:rPr>
  </w:style>
  <w:style w:type="paragraph" w:customStyle="1" w:styleId="8B4A77ABCCC08046B1680BA5D8F4BFAD">
    <w:name w:val="8B4A77ABCCC08046B1680BA5D8F4BFAD"/>
    <w:rsid w:val="004B6C14"/>
    <w:pPr>
      <w:spacing w:after="0" w:line="240" w:lineRule="auto"/>
    </w:pPr>
    <w:rPr>
      <w:sz w:val="24"/>
      <w:szCs w:val="24"/>
      <w:lang w:eastAsia="en-GB"/>
    </w:rPr>
  </w:style>
  <w:style w:type="paragraph" w:customStyle="1" w:styleId="860CB8D8EE1E10479CE6812867AB2022">
    <w:name w:val="860CB8D8EE1E10479CE6812867AB2022"/>
    <w:rsid w:val="004B6C14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19FF-7A4B-49EA-B269-98BC6CA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10902</Words>
  <Characters>6215</Characters>
  <Application>Microsoft Office Word</Application>
  <DocSecurity>0</DocSecurity>
  <Lines>51</Lines>
  <Paragraphs>34</Paragraphs>
  <ScaleCrop>false</ScaleCrop>
  <Company/>
  <LinksUpToDate>false</LinksUpToDate>
  <CharactersWithSpaces>17083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2023-08-01T10:30:00Z</dcterms:created>
  <dcterms:modified xsi:type="dcterms:W3CDTF">2024-01-19T10:48:00Z</dcterms:modified>
</cp:coreProperties>
</file>