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bookmarkStart w:id="0" w:name="_GoBack"/>
      <w:bookmarkEnd w:id="0"/>
    </w:p>
    <w:p w14:paraId="12FA4B9E" w14:textId="77777777" w:rsidR="001B3C5B" w:rsidRPr="00E33EFF" w:rsidRDefault="001B3C5B" w:rsidP="001B3C5B">
      <w:pPr>
        <w:ind w:left="6096"/>
      </w:pPr>
      <w:r w:rsidRPr="00E33EFF">
        <w:t>Forma patvirtinta</w:t>
      </w:r>
    </w:p>
    <w:p w14:paraId="7206970B" w14:textId="4B25813A" w:rsidR="004C263A" w:rsidRPr="008B63AB" w:rsidRDefault="001B3C5B" w:rsidP="001B3C5B">
      <w:pPr>
        <w:ind w:left="6096"/>
      </w:pPr>
      <w:r w:rsidRPr="00E33EFF">
        <w:t>Valstybinės vaistų ko</w:t>
      </w:r>
      <w:r w:rsidR="00122E01">
        <w:t xml:space="preserve"> </w:t>
      </w:r>
      <w:proofErr w:type="spellStart"/>
      <w:r w:rsidRPr="00E33EFF">
        <w:t>trolės</w:t>
      </w:r>
      <w:proofErr w:type="spellEnd"/>
      <w:r w:rsidRPr="00E33EFF">
        <w:t xml:space="preserve"> tarnybos prie Lietuvos Respublikos sveikatos apsaugos ministerijos viršininko 2021 m</w:t>
      </w:r>
      <w:r w:rsidR="004C263A" w:rsidRPr="00E33EFF">
        <w:t xml:space="preserve">. lapkričio 12 </w:t>
      </w:r>
      <w:r w:rsidRPr="00E33EFF">
        <w:t xml:space="preserve">d. </w:t>
      </w:r>
      <w:r w:rsidRPr="008B63AB">
        <w:t>įsakymu Nr.</w:t>
      </w:r>
      <w:r w:rsidR="004C263A" w:rsidRPr="008B63AB">
        <w:t xml:space="preserve"> (1.72E)1A-1418</w:t>
      </w:r>
    </w:p>
    <w:p w14:paraId="5B219AA6" w14:textId="4FE0F7BA" w:rsidR="001B3C5B" w:rsidRPr="008B63AB" w:rsidRDefault="004C263A" w:rsidP="001B3C5B">
      <w:pPr>
        <w:ind w:left="6096"/>
      </w:pPr>
      <w:r w:rsidRPr="008B63AB">
        <w:t>(Valstybinės vaistų kontrolės tarnybos prie Lietuvos Respublikos sveikatos apsaugos ministerijos viršininko 2022 m.</w:t>
      </w:r>
      <w:r w:rsidR="00122E01">
        <w:t xml:space="preserve">            </w:t>
      </w:r>
      <w:r w:rsidRPr="008B63AB">
        <w:t xml:space="preserve"> d. įsakymo Nr.</w:t>
      </w:r>
      <w:r w:rsidR="00122E01">
        <w:t xml:space="preserve">          </w:t>
      </w:r>
      <w:r w:rsidRPr="008B63AB">
        <w:t>redakcija)</w:t>
      </w:r>
    </w:p>
    <w:p w14:paraId="3336BD74" w14:textId="77777777" w:rsidR="001B3C5B" w:rsidRPr="008B63AB" w:rsidRDefault="001B3C5B" w:rsidP="00FA4169"/>
    <w:p w14:paraId="77AFB67E" w14:textId="16397257" w:rsidR="00613501" w:rsidRPr="008B63AB" w:rsidRDefault="002F0E4F" w:rsidP="003B211A">
      <w:pPr>
        <w:jc w:val="center"/>
        <w:rPr>
          <w:b/>
          <w:bCs/>
          <w:caps/>
        </w:rPr>
      </w:pPr>
      <w:r w:rsidRPr="008B63AB">
        <w:rPr>
          <w:b/>
        </w:rPr>
        <w:t xml:space="preserve">REKOMENDACIJA DĖL VAISTINIO PREPARATO </w:t>
      </w:r>
      <w:r w:rsidRPr="008B63AB">
        <w:rPr>
          <w:b/>
          <w:bCs/>
          <w:caps/>
        </w:rPr>
        <w:t>Lietuvos Respublikos Sveikatos apsaugos ministerijos vaistinių preparatų ir medicinos pagalbos priemonių kompensavimo komisijai</w:t>
      </w:r>
    </w:p>
    <w:p w14:paraId="34E4395D" w14:textId="15FB10DF" w:rsidR="00B13D65" w:rsidRPr="008B63AB" w:rsidRDefault="00B13D65" w:rsidP="003B211A">
      <w:pPr>
        <w:jc w:val="center"/>
        <w:rPr>
          <w:b/>
        </w:rPr>
      </w:pPr>
    </w:p>
    <w:p w14:paraId="01B70DA3" w14:textId="65EB7F00" w:rsidR="00570D25" w:rsidRPr="00570D25" w:rsidRDefault="00570D25" w:rsidP="00570D25">
      <w:pPr>
        <w:jc w:val="center"/>
        <w:rPr>
          <w:b/>
        </w:rPr>
      </w:pPr>
      <w:proofErr w:type="spellStart"/>
      <w:r w:rsidRPr="00570D25">
        <w:rPr>
          <w:b/>
        </w:rPr>
        <w:t>Vosevi</w:t>
      </w:r>
      <w:proofErr w:type="spellEnd"/>
      <w:r w:rsidRPr="00570D25">
        <w:rPr>
          <w:b/>
        </w:rPr>
        <w:t xml:space="preserve"> 400 mg/100 mg/100 mg plėvele dengtos tabletės</w:t>
      </w:r>
    </w:p>
    <w:p w14:paraId="6692CA07" w14:textId="167421DB" w:rsidR="00570D25" w:rsidRDefault="00570D25" w:rsidP="00570D25">
      <w:pPr>
        <w:jc w:val="center"/>
        <w:rPr>
          <w:b/>
        </w:rPr>
      </w:pPr>
      <w:proofErr w:type="spellStart"/>
      <w:r w:rsidRPr="00570D25">
        <w:rPr>
          <w:b/>
        </w:rPr>
        <w:t>Sofosbuviras</w:t>
      </w:r>
      <w:proofErr w:type="spellEnd"/>
      <w:r w:rsidRPr="00570D25">
        <w:rPr>
          <w:b/>
        </w:rPr>
        <w:t>/</w:t>
      </w:r>
      <w:proofErr w:type="spellStart"/>
      <w:r w:rsidRPr="00570D25">
        <w:rPr>
          <w:b/>
        </w:rPr>
        <w:t>Velpatasviras</w:t>
      </w:r>
      <w:proofErr w:type="spellEnd"/>
      <w:r w:rsidRPr="00570D25">
        <w:rPr>
          <w:b/>
        </w:rPr>
        <w:t>/</w:t>
      </w:r>
      <w:proofErr w:type="spellStart"/>
      <w:r w:rsidRPr="00570D25">
        <w:rPr>
          <w:b/>
        </w:rPr>
        <w:t>Voksilapreviras</w:t>
      </w:r>
      <w:proofErr w:type="spellEnd"/>
    </w:p>
    <w:p w14:paraId="004395E5" w14:textId="77777777" w:rsidR="00F6083F" w:rsidRPr="00570D25" w:rsidRDefault="00F6083F" w:rsidP="00570D25">
      <w:pPr>
        <w:jc w:val="center"/>
        <w:rPr>
          <w:b/>
        </w:rPr>
      </w:pPr>
    </w:p>
    <w:p w14:paraId="37E538E4" w14:textId="226BC9B4" w:rsidR="008358C8" w:rsidRDefault="00570D25" w:rsidP="00570D25">
      <w:pPr>
        <w:jc w:val="center"/>
        <w:rPr>
          <w:b/>
        </w:rPr>
      </w:pPr>
      <w:r w:rsidRPr="00570D25">
        <w:rPr>
          <w:b/>
        </w:rPr>
        <w:t>STV–111</w:t>
      </w:r>
    </w:p>
    <w:p w14:paraId="1C25C1FA" w14:textId="77777777" w:rsidR="00570D25" w:rsidRPr="006C4813" w:rsidRDefault="00570D25" w:rsidP="00570D25">
      <w:pPr>
        <w:jc w:val="center"/>
        <w:rPr>
          <w:b/>
        </w:rPr>
      </w:pPr>
    </w:p>
    <w:p w14:paraId="78C89D1C" w14:textId="0DEFFAA5" w:rsidR="00D4485B" w:rsidRPr="006C4813" w:rsidRDefault="00B13D65" w:rsidP="00CC09D4">
      <w:pPr>
        <w:pStyle w:val="Sraopastraipa"/>
        <w:numPr>
          <w:ilvl w:val="0"/>
          <w:numId w:val="12"/>
        </w:numPr>
        <w:tabs>
          <w:tab w:val="left" w:pos="567"/>
        </w:tabs>
        <w:ind w:left="567" w:hanging="567"/>
        <w:rPr>
          <w:b/>
          <w:bCs/>
          <w:caps/>
        </w:rPr>
      </w:pPr>
      <w:r w:rsidRPr="006C4813">
        <w:rPr>
          <w:b/>
          <w:bCs/>
          <w:caps/>
        </w:rPr>
        <w:t>Bendroji dalis</w:t>
      </w:r>
    </w:p>
    <w:p w14:paraId="04A7C7A7" w14:textId="77777777" w:rsidR="00B13D65" w:rsidRPr="006C4813"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8358C8" w:rsidRPr="00451168" w14:paraId="18A83EC2" w14:textId="77777777" w:rsidTr="006C4813">
        <w:trPr>
          <w:trHeight w:val="99"/>
        </w:trPr>
        <w:tc>
          <w:tcPr>
            <w:tcW w:w="632" w:type="dxa"/>
          </w:tcPr>
          <w:p w14:paraId="0646FBEA" w14:textId="77777777" w:rsidR="008358C8" w:rsidRPr="00451168" w:rsidRDefault="008358C8" w:rsidP="008358C8">
            <w:pPr>
              <w:rPr>
                <w:rFonts w:eastAsia="Arial"/>
              </w:rPr>
            </w:pPr>
            <w:r w:rsidRPr="00451168">
              <w:rPr>
                <w:rFonts w:eastAsia="Arial"/>
              </w:rPr>
              <w:t>1.1</w:t>
            </w:r>
          </w:p>
        </w:tc>
        <w:tc>
          <w:tcPr>
            <w:tcW w:w="3694" w:type="dxa"/>
          </w:tcPr>
          <w:p w14:paraId="2AF240DC" w14:textId="35B76415" w:rsidR="008358C8" w:rsidRPr="00451168" w:rsidRDefault="008358C8" w:rsidP="008358C8">
            <w:pPr>
              <w:rPr>
                <w:rFonts w:eastAsia="Arial"/>
              </w:rPr>
            </w:pPr>
            <w:r w:rsidRPr="00451168">
              <w:rPr>
                <w:rFonts w:eastAsia="Arial"/>
              </w:rPr>
              <w:t>Pareiškėjas</w:t>
            </w:r>
          </w:p>
        </w:tc>
        <w:sdt>
          <w:sdtPr>
            <w:rPr>
              <w:rFonts w:eastAsiaTheme="minorHAnsi"/>
            </w:rPr>
            <w:id w:val="886223320"/>
            <w:placeholder>
              <w:docPart w:val="28558B219B174D889C09F8183FB06D90"/>
            </w:placeholder>
            <w:text/>
          </w:sdtPr>
          <w:sdtEndPr/>
          <w:sdtContent>
            <w:tc>
              <w:tcPr>
                <w:tcW w:w="5167" w:type="dxa"/>
              </w:tcPr>
              <w:p w14:paraId="2AAF0D91" w14:textId="72272E59" w:rsidR="008358C8" w:rsidRPr="00451168" w:rsidRDefault="008358C8" w:rsidP="008358C8">
                <w:pPr>
                  <w:tabs>
                    <w:tab w:val="left" w:pos="3331"/>
                  </w:tabs>
                  <w:rPr>
                    <w:rFonts w:eastAsia="Arial"/>
                  </w:rPr>
                </w:pPr>
                <w:proofErr w:type="spellStart"/>
                <w:r w:rsidRPr="00451168">
                  <w:rPr>
                    <w:color w:val="000000"/>
                  </w:rPr>
                  <w:t>Gilead</w:t>
                </w:r>
                <w:proofErr w:type="spellEnd"/>
                <w:r w:rsidRPr="00451168">
                  <w:rPr>
                    <w:color w:val="000000"/>
                  </w:rPr>
                  <w:t xml:space="preserve"> </w:t>
                </w:r>
                <w:proofErr w:type="spellStart"/>
                <w:r w:rsidRPr="00451168">
                  <w:rPr>
                    <w:color w:val="000000"/>
                  </w:rPr>
                  <w:t>Sciences</w:t>
                </w:r>
                <w:proofErr w:type="spellEnd"/>
                <w:r w:rsidRPr="00451168">
                  <w:rPr>
                    <w:color w:val="000000"/>
                  </w:rPr>
                  <w:t xml:space="preserve"> </w:t>
                </w:r>
                <w:proofErr w:type="spellStart"/>
                <w:r w:rsidRPr="00451168">
                  <w:rPr>
                    <w:color w:val="000000"/>
                  </w:rPr>
                  <w:t>Ireland</w:t>
                </w:r>
                <w:proofErr w:type="spellEnd"/>
                <w:r w:rsidRPr="00451168">
                  <w:rPr>
                    <w:color w:val="000000"/>
                  </w:rPr>
                  <w:t xml:space="preserve"> UC</w:t>
                </w:r>
              </w:p>
            </w:tc>
          </w:sdtContent>
        </w:sdt>
      </w:tr>
      <w:tr w:rsidR="008358C8" w:rsidRPr="00451168" w14:paraId="31998B0D" w14:textId="77777777" w:rsidTr="006C4813">
        <w:trPr>
          <w:trHeight w:val="99"/>
        </w:trPr>
        <w:tc>
          <w:tcPr>
            <w:tcW w:w="632" w:type="dxa"/>
          </w:tcPr>
          <w:p w14:paraId="2005EC67" w14:textId="662300D0" w:rsidR="008358C8" w:rsidRPr="00451168" w:rsidRDefault="008358C8" w:rsidP="008358C8">
            <w:pPr>
              <w:rPr>
                <w:rFonts w:eastAsia="Arial"/>
              </w:rPr>
            </w:pPr>
            <w:r w:rsidRPr="00451168">
              <w:rPr>
                <w:rFonts w:eastAsia="Arial"/>
              </w:rPr>
              <w:t>1.2</w:t>
            </w:r>
          </w:p>
        </w:tc>
        <w:tc>
          <w:tcPr>
            <w:tcW w:w="3694" w:type="dxa"/>
          </w:tcPr>
          <w:p w14:paraId="3A0DC096" w14:textId="638FBB91" w:rsidR="008358C8" w:rsidRPr="00451168" w:rsidRDefault="008358C8" w:rsidP="008358C8">
            <w:pPr>
              <w:rPr>
                <w:bCs/>
                <w:color w:val="000000"/>
                <w:lang w:eastAsia="lt-LT"/>
              </w:rPr>
            </w:pPr>
            <w:r w:rsidRPr="00451168">
              <w:rPr>
                <w:bCs/>
                <w:color w:val="000000"/>
                <w:lang w:eastAsia="lt-LT"/>
              </w:rPr>
              <w:t xml:space="preserve">Registracijos data </w:t>
            </w:r>
          </w:p>
        </w:tc>
        <w:tc>
          <w:tcPr>
            <w:tcW w:w="5167" w:type="dxa"/>
          </w:tcPr>
          <w:p w14:paraId="3CA218AD" w14:textId="318EA1A1" w:rsidR="008358C8" w:rsidRPr="00451168" w:rsidRDefault="0020678E" w:rsidP="008358C8">
            <w:pPr>
              <w:rPr>
                <w:rStyle w:val="Style2"/>
                <w:sz w:val="24"/>
              </w:rPr>
            </w:pPr>
            <w:sdt>
              <w:sdtPr>
                <w:rPr>
                  <w:sz w:val="32"/>
                </w:rPr>
                <w:alias w:val="Nurodykite konkrečią dieną"/>
                <w:tag w:val="Nurodykite pradžios datą"/>
                <w:id w:val="423238108"/>
                <w:placeholder>
                  <w:docPart w:val="B78E18AB7C33451C9A62D41AC05DB1B4"/>
                </w:placeholder>
                <w:date>
                  <w:dateFormat w:val="yyyy 'm.' MMMM d 'd.'"/>
                  <w:lid w:val="lt-LT"/>
                  <w:storeMappedDataAs w:val="dateTime"/>
                  <w:calendar w:val="gregorian"/>
                </w:date>
              </w:sdtPr>
              <w:sdtEndPr>
                <w:rPr>
                  <w:sz w:val="24"/>
                </w:rPr>
              </w:sdtEndPr>
              <w:sdtContent>
                <w:r w:rsidR="00570D25" w:rsidRPr="00451168">
                  <w:t>2017 m. liepos 26 d.</w:t>
                </w:r>
              </w:sdtContent>
            </w:sdt>
          </w:p>
        </w:tc>
      </w:tr>
      <w:tr w:rsidR="008358C8" w:rsidRPr="00451168" w14:paraId="15968AE1" w14:textId="77777777" w:rsidTr="006C4813">
        <w:trPr>
          <w:trHeight w:val="665"/>
        </w:trPr>
        <w:tc>
          <w:tcPr>
            <w:tcW w:w="632" w:type="dxa"/>
          </w:tcPr>
          <w:p w14:paraId="6A784245" w14:textId="1E461489" w:rsidR="008358C8" w:rsidRPr="00451168" w:rsidRDefault="008358C8" w:rsidP="008358C8">
            <w:pPr>
              <w:rPr>
                <w:rFonts w:eastAsia="Arial"/>
              </w:rPr>
            </w:pPr>
            <w:r w:rsidRPr="00451168">
              <w:rPr>
                <w:rFonts w:eastAsia="Arial"/>
              </w:rPr>
              <w:t>1.3</w:t>
            </w:r>
          </w:p>
        </w:tc>
        <w:tc>
          <w:tcPr>
            <w:tcW w:w="3694" w:type="dxa"/>
          </w:tcPr>
          <w:p w14:paraId="22933506" w14:textId="77777777" w:rsidR="008358C8" w:rsidRPr="00451168" w:rsidRDefault="008358C8" w:rsidP="008358C8">
            <w:r w:rsidRPr="00451168">
              <w:t xml:space="preserve">Paraiškos tipas </w:t>
            </w:r>
          </w:p>
          <w:p w14:paraId="77089D80" w14:textId="64992E3D" w:rsidR="008358C8" w:rsidRPr="00451168" w:rsidRDefault="008358C8" w:rsidP="008358C8">
            <w:r w:rsidRPr="00451168">
              <w:t xml:space="preserve">(pagal </w:t>
            </w:r>
            <w:r w:rsidRPr="00451168">
              <w:rPr>
                <w:color w:val="333333"/>
                <w:shd w:val="clear" w:color="auto" w:fill="FFFFFF"/>
              </w:rPr>
              <w:t>vaistinio preparato registracijos tipą, įtvirtintą</w:t>
            </w:r>
            <w:r w:rsidRPr="00451168">
              <w:t xml:space="preserve"> Direktyvos 2001/83/EB </w:t>
            </w:r>
            <w:proofErr w:type="spellStart"/>
            <w:r w:rsidRPr="00451168">
              <w:t>straipsiuose</w:t>
            </w:r>
            <w:proofErr w:type="spellEnd"/>
            <w:r w:rsidRPr="00451168">
              <w:t>)</w:t>
            </w:r>
          </w:p>
        </w:tc>
        <w:tc>
          <w:tcPr>
            <w:tcW w:w="5167" w:type="dxa"/>
          </w:tcPr>
          <w:p w14:paraId="2AC363FB" w14:textId="77777777" w:rsidR="008358C8" w:rsidRPr="00451168" w:rsidRDefault="0020678E" w:rsidP="008358C8">
            <w:sdt>
              <w:sdtPr>
                <w:rPr>
                  <w:rStyle w:val="Style2"/>
                  <w:sz w:val="24"/>
                </w:rPr>
                <w:id w:val="-366596377"/>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8.3 str. (pilna byla, pagrįsta savais tyrimais) </w:t>
            </w:r>
          </w:p>
          <w:p w14:paraId="24DF5526" w14:textId="77777777" w:rsidR="008358C8" w:rsidRPr="00451168" w:rsidRDefault="0020678E" w:rsidP="008358C8">
            <w:sdt>
              <w:sdtPr>
                <w:rPr>
                  <w:rStyle w:val="Style2"/>
                  <w:sz w:val="24"/>
                </w:rPr>
                <w:id w:val="675462298"/>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10 a str. (pripažintas medicininis vartojimas) </w:t>
            </w:r>
          </w:p>
          <w:p w14:paraId="26D258CA" w14:textId="77777777" w:rsidR="008358C8" w:rsidRPr="00451168" w:rsidRDefault="0020678E" w:rsidP="008358C8">
            <w:sdt>
              <w:sdtPr>
                <w:rPr>
                  <w:rStyle w:val="Style2"/>
                  <w:sz w:val="24"/>
                </w:rPr>
                <w:id w:val="-1290435890"/>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10.1 str. (</w:t>
            </w:r>
            <w:proofErr w:type="spellStart"/>
            <w:r w:rsidR="008358C8" w:rsidRPr="00451168">
              <w:t>generinis</w:t>
            </w:r>
            <w:proofErr w:type="spellEnd"/>
            <w:r w:rsidR="008358C8" w:rsidRPr="00451168">
              <w:t>)</w:t>
            </w:r>
          </w:p>
          <w:p w14:paraId="3B0A4F72" w14:textId="6EA509E2" w:rsidR="008358C8" w:rsidRPr="00451168" w:rsidRDefault="0020678E" w:rsidP="008358C8">
            <w:pPr>
              <w:rPr>
                <w:rStyle w:val="Style2"/>
                <w:sz w:val="24"/>
              </w:rPr>
            </w:pPr>
            <w:sdt>
              <w:sdtPr>
                <w:rPr>
                  <w:rStyle w:val="Style2"/>
                  <w:sz w:val="24"/>
                </w:rPr>
                <w:id w:val="-124545030"/>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10.3 str. (hibridinis)</w:t>
            </w:r>
          </w:p>
        </w:tc>
      </w:tr>
      <w:tr w:rsidR="008358C8" w:rsidRPr="00451168" w14:paraId="310E9662" w14:textId="77777777" w:rsidTr="006C4813">
        <w:trPr>
          <w:trHeight w:val="395"/>
        </w:trPr>
        <w:tc>
          <w:tcPr>
            <w:tcW w:w="632" w:type="dxa"/>
          </w:tcPr>
          <w:p w14:paraId="4B5A91A2" w14:textId="561B5E5F" w:rsidR="008358C8" w:rsidRPr="00451168" w:rsidRDefault="008358C8" w:rsidP="008358C8">
            <w:pPr>
              <w:rPr>
                <w:rFonts w:eastAsia="Arial"/>
              </w:rPr>
            </w:pPr>
            <w:r w:rsidRPr="00451168">
              <w:rPr>
                <w:rFonts w:eastAsia="Arial"/>
              </w:rPr>
              <w:t>1.4</w:t>
            </w:r>
          </w:p>
        </w:tc>
        <w:tc>
          <w:tcPr>
            <w:tcW w:w="3694" w:type="dxa"/>
          </w:tcPr>
          <w:p w14:paraId="483071A3" w14:textId="57873AF7" w:rsidR="008358C8" w:rsidRPr="00451168" w:rsidRDefault="008358C8" w:rsidP="008358C8">
            <w:pPr>
              <w:rPr>
                <w:bCs/>
                <w:color w:val="000000"/>
                <w:lang w:eastAsia="lt-LT"/>
              </w:rPr>
            </w:pPr>
            <w:r w:rsidRPr="00451168">
              <w:rPr>
                <w:bCs/>
                <w:color w:val="000000"/>
                <w:lang w:eastAsia="lt-LT"/>
              </w:rPr>
              <w:t xml:space="preserve">Ar vaistinis preparatas įrašytas į Bendrijos retųjų vaistinių preparatų registrą? </w:t>
            </w:r>
          </w:p>
        </w:tc>
        <w:tc>
          <w:tcPr>
            <w:tcW w:w="5167" w:type="dxa"/>
          </w:tcPr>
          <w:p w14:paraId="5B2A3D17" w14:textId="77777777" w:rsidR="008358C8" w:rsidRPr="00451168" w:rsidRDefault="0020678E" w:rsidP="008358C8">
            <w:sdt>
              <w:sdtPr>
                <w:rPr>
                  <w:rStyle w:val="Style2"/>
                  <w:sz w:val="24"/>
                </w:rPr>
                <w:id w:val="2024432173"/>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Taip</w:t>
            </w:r>
          </w:p>
          <w:p w14:paraId="7E76739E" w14:textId="77777777" w:rsidR="008358C8" w:rsidRPr="00451168" w:rsidRDefault="0020678E" w:rsidP="008358C8">
            <w:sdt>
              <w:sdtPr>
                <w:rPr>
                  <w:rStyle w:val="Style2"/>
                  <w:sz w:val="24"/>
                </w:rPr>
                <w:id w:val="-970507926"/>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Ne</w:t>
            </w:r>
          </w:p>
          <w:p w14:paraId="29C2CBBB" w14:textId="213E738E" w:rsidR="008358C8" w:rsidRPr="00451168" w:rsidRDefault="0020678E" w:rsidP="008358C8">
            <w:pPr>
              <w:rPr>
                <w:rFonts w:eastAsia="Arial"/>
              </w:rPr>
            </w:pPr>
            <w:sdt>
              <w:sdtPr>
                <w:alias w:val="Nurodykite konkrečią dieną"/>
                <w:tag w:val="Nurodykite pradžios datą"/>
                <w:id w:val="693498901"/>
                <w:showingPlcHdr/>
                <w:date w:fullDate="2022-05-18T00:00:00Z">
                  <w:dateFormat w:val="yyyy 'm.' MMMM d 'd.'"/>
                  <w:lid w:val="lt-LT"/>
                  <w:storeMappedDataAs w:val="dateTime"/>
                  <w:calendar w:val="gregorian"/>
                </w:date>
              </w:sdtPr>
              <w:sdtEndPr/>
              <w:sdtContent>
                <w:r w:rsidR="008358C8" w:rsidRPr="00451168">
                  <w:rPr>
                    <w:rStyle w:val="Vietosrezervavimoenklotekstas"/>
                  </w:rPr>
                  <w:t>Click here to enter a date.</w:t>
                </w:r>
              </w:sdtContent>
            </w:sdt>
          </w:p>
        </w:tc>
      </w:tr>
      <w:tr w:rsidR="008358C8" w:rsidRPr="00451168" w14:paraId="7841E5F8" w14:textId="77777777" w:rsidTr="006C4813">
        <w:trPr>
          <w:trHeight w:val="99"/>
        </w:trPr>
        <w:tc>
          <w:tcPr>
            <w:tcW w:w="632" w:type="dxa"/>
          </w:tcPr>
          <w:p w14:paraId="109D2861" w14:textId="73BF27DF" w:rsidR="008358C8" w:rsidRPr="00451168" w:rsidRDefault="008358C8" w:rsidP="008358C8">
            <w:pPr>
              <w:rPr>
                <w:rFonts w:eastAsia="Arial"/>
              </w:rPr>
            </w:pPr>
            <w:r w:rsidRPr="00451168">
              <w:rPr>
                <w:rFonts w:eastAsia="Arial"/>
              </w:rPr>
              <w:t>1.5</w:t>
            </w:r>
          </w:p>
        </w:tc>
        <w:tc>
          <w:tcPr>
            <w:tcW w:w="3694" w:type="dxa"/>
          </w:tcPr>
          <w:p w14:paraId="7822D63E" w14:textId="68C38334" w:rsidR="008358C8" w:rsidRPr="00451168" w:rsidRDefault="008358C8" w:rsidP="008358C8">
            <w:pPr>
              <w:rPr>
                <w:bCs/>
                <w:color w:val="000000"/>
                <w:lang w:eastAsia="lt-LT"/>
              </w:rPr>
            </w:pPr>
            <w:r w:rsidRPr="00451168">
              <w:t>STV paraiškos pobūdis</w:t>
            </w:r>
          </w:p>
        </w:tc>
        <w:tc>
          <w:tcPr>
            <w:tcW w:w="5167" w:type="dxa"/>
          </w:tcPr>
          <w:p w14:paraId="403461B9" w14:textId="69596D63" w:rsidR="008358C8" w:rsidRPr="00451168" w:rsidRDefault="0020678E" w:rsidP="008358C8">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Pilna paraiška</w:t>
            </w:r>
          </w:p>
          <w:p w14:paraId="6B8213E3" w14:textId="07B38C72" w:rsidR="008358C8" w:rsidRPr="00451168" w:rsidRDefault="0020678E" w:rsidP="008358C8">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8358C8" w:rsidRPr="00451168">
                  <w:rPr>
                    <w:rStyle w:val="Style2"/>
                    <w:rFonts w:ascii="MS Mincho" w:eastAsia="MS Mincho" w:hAnsi="MS Mincho" w:cs="MS Mincho"/>
                    <w:sz w:val="24"/>
                  </w:rPr>
                  <w:t>☐</w:t>
                </w:r>
              </w:sdtContent>
            </w:sdt>
            <w:r w:rsidR="008358C8" w:rsidRPr="00451168">
              <w:t xml:space="preserve"> Supaprastinta paraiška</w:t>
            </w:r>
          </w:p>
        </w:tc>
      </w:tr>
      <w:tr w:rsidR="00570D25" w:rsidRPr="00451168" w14:paraId="274D1DAF" w14:textId="77777777" w:rsidTr="008358C8">
        <w:trPr>
          <w:trHeight w:val="1006"/>
        </w:trPr>
        <w:tc>
          <w:tcPr>
            <w:tcW w:w="632" w:type="dxa"/>
          </w:tcPr>
          <w:p w14:paraId="17ABF217" w14:textId="14AC00D7" w:rsidR="00570D25" w:rsidRPr="00451168" w:rsidRDefault="00570D25" w:rsidP="00570D25">
            <w:pPr>
              <w:rPr>
                <w:rFonts w:eastAsia="Arial"/>
              </w:rPr>
            </w:pPr>
            <w:r w:rsidRPr="00451168">
              <w:rPr>
                <w:rFonts w:eastAsia="Arial"/>
              </w:rPr>
              <w:t>1.6</w:t>
            </w:r>
          </w:p>
        </w:tc>
        <w:tc>
          <w:tcPr>
            <w:tcW w:w="3694" w:type="dxa"/>
          </w:tcPr>
          <w:p w14:paraId="4D49DBF5" w14:textId="77777777" w:rsidR="00570D25" w:rsidRPr="00451168" w:rsidRDefault="00570D25" w:rsidP="00570D25">
            <w:pPr>
              <w:spacing w:line="276" w:lineRule="auto"/>
              <w:rPr>
                <w:bCs/>
                <w:color w:val="000000"/>
                <w:lang w:eastAsia="lt-LT"/>
              </w:rPr>
            </w:pPr>
            <w:r w:rsidRPr="00451168">
              <w:rPr>
                <w:bCs/>
                <w:color w:val="000000"/>
                <w:lang w:eastAsia="lt-LT"/>
              </w:rPr>
              <w:t>Pareiškėjo teikiama (-</w:t>
            </w:r>
            <w:proofErr w:type="spellStart"/>
            <w:r w:rsidRPr="00451168">
              <w:rPr>
                <w:bCs/>
                <w:color w:val="000000"/>
                <w:lang w:eastAsia="lt-LT"/>
              </w:rPr>
              <w:t>os</w:t>
            </w:r>
            <w:proofErr w:type="spellEnd"/>
            <w:r w:rsidRPr="00451168">
              <w:rPr>
                <w:bCs/>
                <w:color w:val="000000"/>
                <w:lang w:eastAsia="lt-LT"/>
              </w:rPr>
              <w:t>) kompensuoti vaistinio preparato indikacija (-</w:t>
            </w:r>
            <w:proofErr w:type="spellStart"/>
            <w:r w:rsidRPr="00451168">
              <w:rPr>
                <w:bCs/>
                <w:color w:val="000000"/>
                <w:lang w:eastAsia="lt-LT"/>
              </w:rPr>
              <w:t>os</w:t>
            </w:r>
            <w:proofErr w:type="spellEnd"/>
            <w:r w:rsidRPr="00451168">
              <w:rPr>
                <w:bCs/>
                <w:color w:val="000000"/>
                <w:lang w:eastAsia="lt-LT"/>
              </w:rPr>
              <w:t>)</w:t>
            </w:r>
          </w:p>
          <w:p w14:paraId="771062AC" w14:textId="77777777" w:rsidR="00570D25" w:rsidRPr="00451168" w:rsidRDefault="00570D25" w:rsidP="00570D25">
            <w:pPr>
              <w:spacing w:line="276" w:lineRule="auto"/>
              <w:rPr>
                <w:bCs/>
                <w:color w:val="000000"/>
                <w:lang w:eastAsia="lt-LT"/>
              </w:rPr>
            </w:pPr>
          </w:p>
          <w:p w14:paraId="6B4FEEC1" w14:textId="5BFF9552" w:rsidR="00570D25" w:rsidRPr="00451168" w:rsidRDefault="00570D25" w:rsidP="00570D25">
            <w:pPr>
              <w:spacing w:line="276" w:lineRule="auto"/>
              <w:rPr>
                <w:bCs/>
                <w:color w:val="000000"/>
                <w:lang w:eastAsia="lt-LT"/>
              </w:rPr>
            </w:pPr>
            <w:r w:rsidRPr="00451168">
              <w:rPr>
                <w:bCs/>
                <w:color w:val="000000"/>
                <w:lang w:eastAsia="lt-LT"/>
              </w:rPr>
              <w:t>Kodas pagal TLK-10 AM</w:t>
            </w:r>
          </w:p>
        </w:tc>
        <w:tc>
          <w:tcPr>
            <w:tcW w:w="5167" w:type="dxa"/>
          </w:tcPr>
          <w:p w14:paraId="7F43565E" w14:textId="77777777" w:rsidR="00570D25" w:rsidRPr="00451168" w:rsidRDefault="00570D25" w:rsidP="00570D25">
            <w:proofErr w:type="spellStart"/>
            <w:r w:rsidRPr="00451168">
              <w:t>Vosevi</w:t>
            </w:r>
            <w:proofErr w:type="spellEnd"/>
            <w:r w:rsidRPr="00451168">
              <w:t xml:space="preserve"> skirtas 12 metų ir vyresniems bei ne mažiau nei 30 kg sveriantiems pacientams lėtinio </w:t>
            </w:r>
          </w:p>
          <w:p w14:paraId="555552DA" w14:textId="77777777" w:rsidR="00570D25" w:rsidRPr="00451168" w:rsidRDefault="00570D25" w:rsidP="00570D25">
            <w:pPr>
              <w:pStyle w:val="Sraopastraipa"/>
              <w:spacing w:after="120"/>
              <w:ind w:left="0"/>
              <w:contextualSpacing w:val="0"/>
              <w:jc w:val="both"/>
            </w:pPr>
            <w:r w:rsidRPr="00451168">
              <w:t>hepatito C viruso (HCV) infekcijai gydyti.</w:t>
            </w:r>
          </w:p>
          <w:p w14:paraId="13F7DFB0" w14:textId="45585507" w:rsidR="00570D25" w:rsidRPr="00451168" w:rsidRDefault="00570D25" w:rsidP="00570D25">
            <w:pPr>
              <w:spacing w:line="276" w:lineRule="auto"/>
            </w:pPr>
            <w:r w:rsidRPr="00451168">
              <w:t>TLK-10-AM: B18.2</w:t>
            </w:r>
          </w:p>
        </w:tc>
      </w:tr>
      <w:tr w:rsidR="00570D25" w:rsidRPr="00451168" w14:paraId="2F79DC08" w14:textId="77777777" w:rsidTr="00BE7489">
        <w:trPr>
          <w:trHeight w:val="378"/>
        </w:trPr>
        <w:tc>
          <w:tcPr>
            <w:tcW w:w="632" w:type="dxa"/>
          </w:tcPr>
          <w:p w14:paraId="547885A2" w14:textId="08AA8055" w:rsidR="00570D25" w:rsidRPr="00451168" w:rsidRDefault="00570D25" w:rsidP="00570D25">
            <w:pPr>
              <w:rPr>
                <w:rFonts w:eastAsia="Arial"/>
              </w:rPr>
            </w:pPr>
            <w:r w:rsidRPr="00451168">
              <w:rPr>
                <w:rFonts w:eastAsia="Arial"/>
              </w:rPr>
              <w:t>1.6</w:t>
            </w:r>
          </w:p>
        </w:tc>
        <w:tc>
          <w:tcPr>
            <w:tcW w:w="3694" w:type="dxa"/>
          </w:tcPr>
          <w:p w14:paraId="2EAB877F" w14:textId="39A36941" w:rsidR="00570D25" w:rsidRPr="00451168" w:rsidRDefault="00570D25" w:rsidP="00570D25">
            <w:pPr>
              <w:rPr>
                <w:bCs/>
                <w:color w:val="000000"/>
                <w:u w:val="single"/>
                <w:lang w:eastAsia="lt-LT"/>
              </w:rPr>
            </w:pPr>
            <w:r w:rsidRPr="00451168">
              <w:rPr>
                <w:bCs/>
                <w:color w:val="000000"/>
                <w:lang w:eastAsia="lt-LT"/>
              </w:rPr>
              <w:t xml:space="preserve">Pareiškėjo teikiamos skyrimo sąlygos </w:t>
            </w:r>
          </w:p>
        </w:tc>
        <w:tc>
          <w:tcPr>
            <w:tcW w:w="5167" w:type="dxa"/>
          </w:tcPr>
          <w:p w14:paraId="0579DF58" w14:textId="153C5732" w:rsidR="00570D25" w:rsidRPr="00451168" w:rsidRDefault="00570D25" w:rsidP="00570D25">
            <w:pPr>
              <w:pStyle w:val="Betarp"/>
              <w:spacing w:line="276" w:lineRule="auto"/>
              <w:rPr>
                <w:rFonts w:ascii="Times New Roman" w:hAnsi="Times New Roman"/>
                <w:sz w:val="24"/>
                <w:szCs w:val="24"/>
              </w:rPr>
            </w:pPr>
            <w:proofErr w:type="spellStart"/>
            <w:r w:rsidRPr="00451168">
              <w:rPr>
                <w:rFonts w:ascii="Times New Roman" w:hAnsi="Times New Roman"/>
                <w:sz w:val="24"/>
                <w:szCs w:val="24"/>
              </w:rPr>
              <w:t>Vosevi</w:t>
            </w:r>
            <w:proofErr w:type="spellEnd"/>
            <w:r w:rsidRPr="00451168">
              <w:rPr>
                <w:rFonts w:ascii="Times New Roman" w:hAnsi="Times New Roman"/>
                <w:sz w:val="24"/>
                <w:szCs w:val="24"/>
              </w:rPr>
              <w:t xml:space="preserve"> skiriamas tiesiogiai veikiančiu antivirusiniu vaistiniu preparatu (TVAVP) gydytiems pacientams.</w:t>
            </w:r>
          </w:p>
        </w:tc>
      </w:tr>
      <w:tr w:rsidR="008358C8" w:rsidRPr="00451168" w14:paraId="3B125269" w14:textId="77777777" w:rsidTr="00BE7489">
        <w:trPr>
          <w:trHeight w:val="378"/>
        </w:trPr>
        <w:tc>
          <w:tcPr>
            <w:tcW w:w="632" w:type="dxa"/>
          </w:tcPr>
          <w:p w14:paraId="0058E11F" w14:textId="77777777" w:rsidR="008358C8" w:rsidRPr="00451168" w:rsidRDefault="008358C8" w:rsidP="008358C8">
            <w:pPr>
              <w:rPr>
                <w:rFonts w:eastAsia="Arial"/>
              </w:rPr>
            </w:pPr>
            <w:r w:rsidRPr="00451168">
              <w:rPr>
                <w:rFonts w:eastAsia="Arial"/>
              </w:rPr>
              <w:t>1.7</w:t>
            </w:r>
          </w:p>
        </w:tc>
        <w:tc>
          <w:tcPr>
            <w:tcW w:w="3694" w:type="dxa"/>
          </w:tcPr>
          <w:p w14:paraId="1BAAD642" w14:textId="5C6DB89F" w:rsidR="008358C8" w:rsidRPr="00451168" w:rsidRDefault="008358C8" w:rsidP="008358C8">
            <w:pPr>
              <w:rPr>
                <w:bCs/>
                <w:color w:val="000000"/>
                <w:lang w:eastAsia="lt-LT"/>
              </w:rPr>
            </w:pPr>
            <w:r w:rsidRPr="00451168">
              <w:rPr>
                <w:bCs/>
                <w:color w:val="000000"/>
                <w:lang w:eastAsia="lt-LT"/>
              </w:rPr>
              <w:t xml:space="preserve">Pareiškėjo teikiamas palyginamasis gydymas: </w:t>
            </w:r>
          </w:p>
          <w:p w14:paraId="20C5407E" w14:textId="3AA17260" w:rsidR="008358C8" w:rsidRPr="00451168" w:rsidRDefault="008358C8" w:rsidP="008358C8">
            <w:pPr>
              <w:pStyle w:val="Sraopastraipa"/>
              <w:numPr>
                <w:ilvl w:val="0"/>
                <w:numId w:val="15"/>
              </w:numPr>
              <w:rPr>
                <w:bCs/>
                <w:color w:val="000000"/>
                <w:lang w:eastAsia="lt-LT"/>
              </w:rPr>
            </w:pPr>
            <w:r w:rsidRPr="00451168">
              <w:rPr>
                <w:bCs/>
                <w:color w:val="000000"/>
                <w:lang w:eastAsia="lt-LT"/>
              </w:rPr>
              <w:t xml:space="preserve">tiesioginiame palyginime – </w:t>
            </w:r>
            <w:proofErr w:type="spellStart"/>
            <w:r w:rsidRPr="00451168">
              <w:rPr>
                <w:bCs/>
                <w:color w:val="000000"/>
                <w:lang w:eastAsia="lt-LT"/>
              </w:rPr>
              <w:t>placeb</w:t>
            </w:r>
            <w:r w:rsidR="00F6083F" w:rsidRPr="00451168">
              <w:rPr>
                <w:bCs/>
                <w:color w:val="000000"/>
                <w:lang w:eastAsia="lt-LT"/>
              </w:rPr>
              <w:t>as</w:t>
            </w:r>
            <w:proofErr w:type="spellEnd"/>
            <w:r w:rsidRPr="00451168">
              <w:rPr>
                <w:bCs/>
                <w:color w:val="000000"/>
                <w:lang w:eastAsia="lt-LT"/>
              </w:rPr>
              <w:t>;</w:t>
            </w:r>
          </w:p>
          <w:p w14:paraId="6CC1022E" w14:textId="41CCBC10" w:rsidR="008358C8" w:rsidRPr="00451168" w:rsidRDefault="008358C8" w:rsidP="00F6083F">
            <w:pPr>
              <w:pStyle w:val="Sraopastraipa"/>
              <w:numPr>
                <w:ilvl w:val="0"/>
                <w:numId w:val="15"/>
              </w:numPr>
              <w:rPr>
                <w:bCs/>
                <w:color w:val="000000"/>
                <w:lang w:eastAsia="lt-LT"/>
              </w:rPr>
            </w:pPr>
            <w:r w:rsidRPr="00451168">
              <w:rPr>
                <w:bCs/>
                <w:color w:val="000000"/>
                <w:lang w:eastAsia="lt-LT"/>
              </w:rPr>
              <w:lastRenderedPageBreak/>
              <w:t xml:space="preserve">netiesioginiame palyginime – </w:t>
            </w:r>
            <w:proofErr w:type="spellStart"/>
            <w:r w:rsidR="00570D25" w:rsidRPr="00451168">
              <w:rPr>
                <w:bCs/>
                <w:color w:val="000000"/>
                <w:lang w:eastAsia="lt-LT"/>
              </w:rPr>
              <w:t>placeb</w:t>
            </w:r>
            <w:r w:rsidR="00F6083F" w:rsidRPr="00451168">
              <w:rPr>
                <w:bCs/>
                <w:color w:val="000000"/>
                <w:lang w:eastAsia="lt-LT"/>
              </w:rPr>
              <w:t>as</w:t>
            </w:r>
            <w:proofErr w:type="spellEnd"/>
            <w:r w:rsidRPr="00451168">
              <w:rPr>
                <w:bCs/>
                <w:color w:val="000000"/>
                <w:lang w:eastAsia="lt-LT"/>
              </w:rPr>
              <w:t>.</w:t>
            </w:r>
          </w:p>
        </w:tc>
        <w:tc>
          <w:tcPr>
            <w:tcW w:w="5167" w:type="dxa"/>
          </w:tcPr>
          <w:p w14:paraId="0DF29E7C" w14:textId="214C149C" w:rsidR="008358C8" w:rsidRPr="00451168" w:rsidRDefault="008358C8" w:rsidP="008358C8">
            <w:pPr>
              <w:rPr>
                <w:rStyle w:val="Style2"/>
                <w:sz w:val="24"/>
              </w:rPr>
            </w:pPr>
          </w:p>
          <w:p w14:paraId="7EBF65C8" w14:textId="77777777" w:rsidR="00570D25" w:rsidRPr="00451168" w:rsidRDefault="00570D25" w:rsidP="008358C8">
            <w:pPr>
              <w:rPr>
                <w:rStyle w:val="Style2"/>
                <w:sz w:val="24"/>
              </w:rPr>
            </w:pPr>
          </w:p>
          <w:p w14:paraId="1F113AC0" w14:textId="2802A388" w:rsidR="008358C8" w:rsidRPr="00451168" w:rsidRDefault="0020678E" w:rsidP="008358C8">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570D25" w:rsidRPr="00451168">
                  <w:rPr>
                    <w:rStyle w:val="Style2"/>
                    <w:rFonts w:ascii="MS Gothic" w:eastAsia="MS Gothic" w:hAnsi="MS Gothic" w:hint="eastAsia"/>
                    <w:sz w:val="24"/>
                  </w:rPr>
                  <w:t>☒</w:t>
                </w:r>
              </w:sdtContent>
            </w:sdt>
            <w:r w:rsidR="008358C8" w:rsidRPr="00451168">
              <w:t xml:space="preserve"> Tinkamas</w:t>
            </w:r>
          </w:p>
          <w:p w14:paraId="00F53F5B" w14:textId="751BACE0" w:rsidR="008358C8" w:rsidRPr="00451168" w:rsidRDefault="0020678E" w:rsidP="008358C8">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570D25" w:rsidRPr="00451168">
                  <w:rPr>
                    <w:rStyle w:val="Style2"/>
                    <w:rFonts w:ascii="MS Gothic" w:eastAsia="MS Gothic" w:hAnsi="MS Gothic" w:hint="eastAsia"/>
                    <w:sz w:val="24"/>
                  </w:rPr>
                  <w:t>☐</w:t>
                </w:r>
              </w:sdtContent>
            </w:sdt>
            <w:r w:rsidR="008358C8" w:rsidRPr="00451168">
              <w:t xml:space="preserve"> Netinkamas</w:t>
            </w:r>
          </w:p>
          <w:p w14:paraId="1688C143" w14:textId="77777777" w:rsidR="008358C8" w:rsidRPr="00451168" w:rsidRDefault="008358C8" w:rsidP="008358C8"/>
          <w:p w14:paraId="46177921" w14:textId="77544D51" w:rsidR="008358C8" w:rsidRPr="00451168" w:rsidRDefault="0020678E" w:rsidP="008358C8">
            <w:sdt>
              <w:sdtPr>
                <w:rPr>
                  <w:rStyle w:val="Style2"/>
                  <w:sz w:val="24"/>
                </w:rPr>
                <w:id w:val="785773607"/>
                <w15:color w:val="FFCC00"/>
                <w14:checkbox>
                  <w14:checked w14:val="1"/>
                  <w14:checkedState w14:val="2612" w14:font="MS Gothic"/>
                  <w14:uncheckedState w14:val="2610" w14:font="MS Gothic"/>
                </w14:checkbox>
              </w:sdtPr>
              <w:sdtEndPr>
                <w:rPr>
                  <w:rStyle w:val="Style2"/>
                </w:rPr>
              </w:sdtEndPr>
              <w:sdtContent>
                <w:r w:rsidR="00570D25" w:rsidRPr="00451168">
                  <w:rPr>
                    <w:rStyle w:val="Style2"/>
                    <w:rFonts w:ascii="MS Gothic" w:eastAsia="MS Gothic" w:hAnsi="MS Gothic" w:hint="eastAsia"/>
                    <w:sz w:val="24"/>
                  </w:rPr>
                  <w:t>☒</w:t>
                </w:r>
              </w:sdtContent>
            </w:sdt>
            <w:r w:rsidR="008358C8" w:rsidRPr="00451168">
              <w:t xml:space="preserve"> Tinkamas</w:t>
            </w:r>
          </w:p>
          <w:p w14:paraId="41B44044" w14:textId="008FD186" w:rsidR="008358C8" w:rsidRPr="00451168" w:rsidRDefault="0020678E" w:rsidP="008358C8">
            <w:sdt>
              <w:sdtPr>
                <w:rPr>
                  <w:rStyle w:val="Style2"/>
                  <w:sz w:val="24"/>
                </w:rPr>
                <w:id w:val="-433289805"/>
                <w15:color w:val="FFCC00"/>
                <w14:checkbox>
                  <w14:checked w14:val="0"/>
                  <w14:checkedState w14:val="2612" w14:font="MS Gothic"/>
                  <w14:uncheckedState w14:val="2610" w14:font="MS Gothic"/>
                </w14:checkbox>
              </w:sdtPr>
              <w:sdtEndPr>
                <w:rPr>
                  <w:rStyle w:val="Style2"/>
                </w:rPr>
              </w:sdtEndPr>
              <w:sdtContent>
                <w:r w:rsidR="00570D25" w:rsidRPr="00451168">
                  <w:rPr>
                    <w:rStyle w:val="Style2"/>
                    <w:rFonts w:ascii="MS Gothic" w:eastAsia="MS Gothic" w:hAnsi="MS Gothic" w:hint="eastAsia"/>
                    <w:sz w:val="24"/>
                  </w:rPr>
                  <w:t>☐</w:t>
                </w:r>
              </w:sdtContent>
            </w:sdt>
            <w:r w:rsidR="008358C8" w:rsidRPr="00451168">
              <w:t xml:space="preserve"> Netinkamas</w:t>
            </w:r>
          </w:p>
        </w:tc>
      </w:tr>
    </w:tbl>
    <w:p w14:paraId="108176F7" w14:textId="640C6F75" w:rsidR="00F70C9E" w:rsidRPr="006C4813" w:rsidRDefault="00F70C9E" w:rsidP="00E03C3F">
      <w:pPr>
        <w:pStyle w:val="Sraopastraipa"/>
        <w:tabs>
          <w:tab w:val="left" w:pos="426"/>
        </w:tabs>
        <w:ind w:left="0"/>
        <w:rPr>
          <w:b/>
          <w:bCs/>
          <w:caps/>
        </w:rPr>
      </w:pPr>
    </w:p>
    <w:p w14:paraId="2871CA7F" w14:textId="2370BDDB" w:rsidR="00F70C9E" w:rsidRPr="006C4813" w:rsidRDefault="00F70C9E" w:rsidP="00880A44">
      <w:pPr>
        <w:spacing w:line="276" w:lineRule="auto"/>
        <w:jc w:val="both"/>
        <w:rPr>
          <w:rFonts w:eastAsia="Arial"/>
          <w:b/>
        </w:rPr>
      </w:pPr>
      <w:r w:rsidRPr="006C4813">
        <w:rPr>
          <w:rFonts w:eastAsia="Arial"/>
          <w:b/>
        </w:rPr>
        <w:t xml:space="preserve">1.8 Kitų </w:t>
      </w:r>
      <w:r w:rsidR="00DF583C" w:rsidRPr="006C4813">
        <w:rPr>
          <w:rFonts w:eastAsia="Arial"/>
          <w:b/>
        </w:rPr>
        <w:t xml:space="preserve">valstybių </w:t>
      </w:r>
      <w:r w:rsidRPr="006C4813">
        <w:rPr>
          <w:rFonts w:eastAsia="Arial"/>
          <w:b/>
        </w:rPr>
        <w:t xml:space="preserve">atsakingų institucijų atlikto </w:t>
      </w:r>
      <w:r w:rsidR="00DF583C" w:rsidRPr="006C4813">
        <w:rPr>
          <w:rFonts w:eastAsia="Arial"/>
          <w:b/>
        </w:rPr>
        <w:t>Sveikatos technologijų vertinimo (toliau – STV)</w:t>
      </w:r>
      <w:r w:rsidRPr="006C4813">
        <w:rPr>
          <w:rFonts w:eastAsia="Arial"/>
          <w:b/>
        </w:rPr>
        <w:t xml:space="preserve"> išvados</w:t>
      </w:r>
    </w:p>
    <w:p w14:paraId="30721FDD" w14:textId="77777777" w:rsidR="00F70C9E" w:rsidRPr="006C4813" w:rsidRDefault="00F70C9E" w:rsidP="00F70C9E">
      <w:pPr>
        <w:spacing w:line="276" w:lineRule="auto"/>
        <w:rPr>
          <w:rFonts w:eastAsia="Arial"/>
          <w:highlight w:val="yellow"/>
        </w:rPr>
      </w:pPr>
    </w:p>
    <w:tbl>
      <w:tblPr>
        <w:tblStyle w:val="Lentelstinklelis"/>
        <w:tblpPr w:leftFromText="180" w:rightFromText="180" w:vertAnchor="text" w:horzAnchor="page" w:tblpX="1810" w:tblpY="157"/>
        <w:tblW w:w="9918" w:type="dxa"/>
        <w:tblLook w:val="04A0" w:firstRow="1" w:lastRow="0" w:firstColumn="1" w:lastColumn="0" w:noHBand="0" w:noVBand="1"/>
      </w:tblPr>
      <w:tblGrid>
        <w:gridCol w:w="2927"/>
        <w:gridCol w:w="1915"/>
        <w:gridCol w:w="2349"/>
        <w:gridCol w:w="2727"/>
      </w:tblGrid>
      <w:tr w:rsidR="00570D25" w:rsidRPr="00451168" w14:paraId="2CE75403" w14:textId="77777777" w:rsidTr="00E02BAC">
        <w:trPr>
          <w:trHeight w:val="924"/>
        </w:trPr>
        <w:tc>
          <w:tcPr>
            <w:tcW w:w="2927" w:type="dxa"/>
          </w:tcPr>
          <w:p w14:paraId="16DC4DF8" w14:textId="77777777" w:rsidR="00570D25" w:rsidRPr="00451168" w:rsidRDefault="00570D25" w:rsidP="00E02BAC">
            <w:pPr>
              <w:spacing w:line="276" w:lineRule="auto"/>
              <w:rPr>
                <w:rFonts w:eastAsia="Arial"/>
              </w:rPr>
            </w:pPr>
            <w:r w:rsidRPr="00451168">
              <w:rPr>
                <w:rFonts w:eastAsia="Arial"/>
              </w:rPr>
              <w:t>STV agentūros pavadinimas, šalis</w:t>
            </w:r>
          </w:p>
        </w:tc>
        <w:tc>
          <w:tcPr>
            <w:tcW w:w="1915" w:type="dxa"/>
          </w:tcPr>
          <w:p w14:paraId="1CA7D36D" w14:textId="77777777" w:rsidR="00570D25" w:rsidRPr="00451168" w:rsidRDefault="00570D25" w:rsidP="00E02BAC">
            <w:pPr>
              <w:spacing w:line="276" w:lineRule="auto"/>
              <w:rPr>
                <w:rFonts w:eastAsia="Arial"/>
              </w:rPr>
            </w:pPr>
            <w:r w:rsidRPr="00451168">
              <w:rPr>
                <w:rFonts w:eastAsia="Arial"/>
              </w:rPr>
              <w:t>STV vertinimas atliktas</w:t>
            </w:r>
          </w:p>
        </w:tc>
        <w:tc>
          <w:tcPr>
            <w:tcW w:w="2349" w:type="dxa"/>
          </w:tcPr>
          <w:p w14:paraId="6D66B624" w14:textId="77777777" w:rsidR="00570D25" w:rsidRPr="00451168" w:rsidRDefault="00570D25" w:rsidP="00E02BAC">
            <w:pPr>
              <w:spacing w:line="276" w:lineRule="auto"/>
              <w:rPr>
                <w:rFonts w:eastAsia="Arial"/>
              </w:rPr>
            </w:pPr>
            <w:r w:rsidRPr="00451168">
              <w:rPr>
                <w:rFonts w:eastAsia="Arial"/>
              </w:rPr>
              <w:t>Klinikinio vertinimo išvada</w:t>
            </w:r>
          </w:p>
        </w:tc>
        <w:tc>
          <w:tcPr>
            <w:tcW w:w="2727" w:type="dxa"/>
          </w:tcPr>
          <w:p w14:paraId="1866701A" w14:textId="77777777" w:rsidR="00570D25" w:rsidRPr="00451168" w:rsidRDefault="00570D25" w:rsidP="00E02BAC">
            <w:pPr>
              <w:spacing w:line="276" w:lineRule="auto"/>
              <w:rPr>
                <w:rFonts w:eastAsia="Arial"/>
              </w:rPr>
            </w:pPr>
            <w:proofErr w:type="spellStart"/>
            <w:r w:rsidRPr="00451168">
              <w:rPr>
                <w:rFonts w:eastAsia="Arial"/>
              </w:rPr>
              <w:t>Farmakoekonominio</w:t>
            </w:r>
            <w:proofErr w:type="spellEnd"/>
            <w:r w:rsidRPr="00451168">
              <w:rPr>
                <w:rFonts w:eastAsia="Arial"/>
              </w:rPr>
              <w:t xml:space="preserve"> vertinimo išvada</w:t>
            </w:r>
          </w:p>
        </w:tc>
      </w:tr>
      <w:tr w:rsidR="00570D25" w:rsidRPr="00451168" w14:paraId="5813EB20" w14:textId="77777777" w:rsidTr="00E02BAC">
        <w:trPr>
          <w:trHeight w:val="1765"/>
        </w:trPr>
        <w:tc>
          <w:tcPr>
            <w:tcW w:w="2927" w:type="dxa"/>
            <w:vAlign w:val="center"/>
          </w:tcPr>
          <w:p w14:paraId="418EC444" w14:textId="77777777" w:rsidR="00570D25" w:rsidRPr="00451168" w:rsidRDefault="00570D25" w:rsidP="00E02BAC">
            <w:pPr>
              <w:autoSpaceDE w:val="0"/>
              <w:autoSpaceDN w:val="0"/>
              <w:adjustRightInd w:val="0"/>
              <w:rPr>
                <w:bCs/>
              </w:rPr>
            </w:pPr>
            <w:r w:rsidRPr="00451168">
              <w:rPr>
                <w:bCs/>
              </w:rPr>
              <w:t>Nacionalinis sveikatos ir klinikinės kompetencijos institutas, Didžioji Britanija</w:t>
            </w:r>
          </w:p>
          <w:p w14:paraId="1D0C41FE" w14:textId="77777777" w:rsidR="00570D25" w:rsidRPr="00451168" w:rsidRDefault="00570D25" w:rsidP="00E02BAC">
            <w:pPr>
              <w:spacing w:line="276" w:lineRule="auto"/>
              <w:rPr>
                <w:rFonts w:eastAsia="Arial"/>
              </w:rPr>
            </w:pPr>
            <w:r w:rsidRPr="00451168">
              <w:rPr>
                <w:rFonts w:eastAsia="Arial"/>
              </w:rPr>
              <w:t xml:space="preserve">(angl. </w:t>
            </w:r>
            <w:proofErr w:type="spellStart"/>
            <w:r w:rsidRPr="00451168">
              <w:rPr>
                <w:rFonts w:eastAsia="Arial"/>
                <w:i/>
              </w:rPr>
              <w:t>National</w:t>
            </w:r>
            <w:proofErr w:type="spellEnd"/>
            <w:r w:rsidRPr="00451168">
              <w:rPr>
                <w:rFonts w:eastAsia="Arial"/>
                <w:i/>
              </w:rPr>
              <w:t xml:space="preserve"> Institute </w:t>
            </w:r>
            <w:proofErr w:type="spellStart"/>
            <w:r w:rsidRPr="00451168">
              <w:rPr>
                <w:rFonts w:eastAsia="Arial"/>
                <w:i/>
              </w:rPr>
              <w:t>for</w:t>
            </w:r>
            <w:proofErr w:type="spellEnd"/>
            <w:r w:rsidRPr="00451168">
              <w:rPr>
                <w:rFonts w:eastAsia="Arial"/>
                <w:i/>
              </w:rPr>
              <w:t xml:space="preserve"> </w:t>
            </w:r>
            <w:proofErr w:type="spellStart"/>
            <w:r w:rsidRPr="00451168">
              <w:rPr>
                <w:rFonts w:eastAsia="Arial"/>
                <w:i/>
              </w:rPr>
              <w:t>Health</w:t>
            </w:r>
            <w:proofErr w:type="spellEnd"/>
            <w:r w:rsidRPr="00451168">
              <w:rPr>
                <w:rFonts w:eastAsia="Arial"/>
                <w:i/>
              </w:rPr>
              <w:t xml:space="preserve"> </w:t>
            </w:r>
            <w:proofErr w:type="spellStart"/>
            <w:r w:rsidRPr="00451168">
              <w:rPr>
                <w:rFonts w:eastAsia="Arial"/>
                <w:i/>
              </w:rPr>
              <w:t>and</w:t>
            </w:r>
            <w:proofErr w:type="spellEnd"/>
            <w:r w:rsidRPr="00451168">
              <w:rPr>
                <w:rFonts w:eastAsia="Arial"/>
                <w:i/>
              </w:rPr>
              <w:t xml:space="preserve"> Care </w:t>
            </w:r>
            <w:proofErr w:type="spellStart"/>
            <w:r w:rsidRPr="00451168">
              <w:rPr>
                <w:rFonts w:eastAsia="Arial"/>
                <w:i/>
              </w:rPr>
              <w:t>Excellence</w:t>
            </w:r>
            <w:proofErr w:type="spellEnd"/>
            <w:r w:rsidRPr="00451168">
              <w:rPr>
                <w:rFonts w:eastAsia="Arial"/>
                <w:i/>
              </w:rPr>
              <w:t>, NICE</w:t>
            </w:r>
            <w:r w:rsidRPr="00451168">
              <w:rPr>
                <w:rFonts w:eastAsia="Arial"/>
              </w:rPr>
              <w:t>)</w:t>
            </w:r>
          </w:p>
        </w:tc>
        <w:tc>
          <w:tcPr>
            <w:tcW w:w="1915" w:type="dxa"/>
            <w:vAlign w:val="center"/>
          </w:tcPr>
          <w:p w14:paraId="7A4C6637" w14:textId="77777777" w:rsidR="00570D25" w:rsidRPr="00451168" w:rsidRDefault="0020678E" w:rsidP="00E02BAC">
            <w:sdt>
              <w:sdtPr>
                <w:rPr>
                  <w:rStyle w:val="Style2"/>
                  <w:sz w:val="24"/>
                </w:rPr>
                <w:id w:val="1558205022"/>
              </w:sdtPr>
              <w:sdtEndPr>
                <w:rPr>
                  <w:rStyle w:val="Style2"/>
                </w:rPr>
              </w:sdtEndPr>
              <w:sdtContent>
                <w:sdt>
                  <w:sdtPr>
                    <w:rPr>
                      <w:rStyle w:val="Style2"/>
                      <w:sz w:val="24"/>
                    </w:rPr>
                    <w:id w:val="1778524246"/>
                  </w:sdtPr>
                  <w:sdtEndPr>
                    <w:rPr>
                      <w:rStyle w:val="Style2"/>
                    </w:rPr>
                  </w:sdtEndPr>
                  <w:sdtContent>
                    <w:r w:rsidR="00570D25" w:rsidRPr="00451168">
                      <w:rPr>
                        <w:rStyle w:val="Style2"/>
                        <w:rFonts w:ascii="MS Mincho" w:eastAsia="MS Mincho" w:hAnsi="MS Mincho" w:cs="MS Mincho"/>
                        <w:sz w:val="24"/>
                      </w:rPr>
                      <w:t>☒</w:t>
                    </w:r>
                  </w:sdtContent>
                </w:sdt>
              </w:sdtContent>
            </w:sdt>
            <w:r w:rsidR="00570D25" w:rsidRPr="00451168">
              <w:t xml:space="preserve"> Taip</w:t>
            </w:r>
          </w:p>
          <w:p w14:paraId="5FFA4DFB" w14:textId="77777777" w:rsidR="00570D25" w:rsidRPr="00451168" w:rsidRDefault="0020678E" w:rsidP="00E02BAC">
            <w:sdt>
              <w:sdtPr>
                <w:rPr>
                  <w:rStyle w:val="Style2"/>
                  <w:sz w:val="24"/>
                </w:rPr>
                <w:id w:val="866029625"/>
              </w:sdtPr>
              <w:sdtEndPr>
                <w:rPr>
                  <w:rStyle w:val="Style2"/>
                </w:rPr>
              </w:sdtEndPr>
              <w:sdtContent>
                <w:r w:rsidR="00570D25" w:rsidRPr="00451168">
                  <w:rPr>
                    <w:rStyle w:val="Style2"/>
                    <w:rFonts w:ascii="MS Mincho" w:eastAsia="MS Mincho" w:hAnsi="MS Mincho" w:cs="MS Mincho"/>
                    <w:sz w:val="24"/>
                  </w:rPr>
                  <w:t>☐</w:t>
                </w:r>
              </w:sdtContent>
            </w:sdt>
            <w:r w:rsidR="00570D25" w:rsidRPr="00451168">
              <w:t xml:space="preserve"> Ne</w:t>
            </w:r>
          </w:p>
          <w:p w14:paraId="208E75B8" w14:textId="77777777" w:rsidR="00570D25" w:rsidRPr="00451168" w:rsidRDefault="0020678E" w:rsidP="00E02BAC">
            <w:pPr>
              <w:rPr>
                <w:rFonts w:eastAsia="Arial"/>
              </w:rPr>
            </w:pPr>
            <w:sdt>
              <w:sdtPr>
                <w:alias w:val="Nurodykite konkrečią dieną"/>
                <w:tag w:val="Nurodykite pradžios datą"/>
                <w:id w:val="1726637702"/>
                <w:date>
                  <w:dateFormat w:val="yyyy 'm.' MMMM d 'd.'"/>
                  <w:lid w:val="lt-LT"/>
                  <w:storeMappedDataAs w:val="dateTime"/>
                  <w:calendar w:val="gregorian"/>
                </w:date>
              </w:sdtPr>
              <w:sdtEndPr/>
              <w:sdtContent>
                <w:r w:rsidR="00570D25" w:rsidRPr="00451168">
                  <w:t>2017 m. sausio 25 d.</w:t>
                </w:r>
              </w:sdtContent>
            </w:sdt>
          </w:p>
        </w:tc>
        <w:tc>
          <w:tcPr>
            <w:tcW w:w="5076" w:type="dxa"/>
            <w:gridSpan w:val="2"/>
          </w:tcPr>
          <w:p w14:paraId="1446DE07" w14:textId="77777777" w:rsidR="00570D25" w:rsidRPr="00451168" w:rsidRDefault="00570D25" w:rsidP="00E02BAC">
            <w:pPr>
              <w:pStyle w:val="prastasiniatinklio"/>
              <w:jc w:val="both"/>
              <w:rPr>
                <w:color w:val="0E0E0E"/>
              </w:rPr>
            </w:pPr>
            <w:proofErr w:type="spellStart"/>
            <w:r w:rsidRPr="00451168">
              <w:rPr>
                <w:color w:val="0E0E0E"/>
              </w:rPr>
              <w:t>Epclusa</w:t>
            </w:r>
            <w:proofErr w:type="spellEnd"/>
            <w:r w:rsidRPr="00451168">
              <w:rPr>
                <w:color w:val="0E0E0E"/>
              </w:rPr>
              <w:t xml:space="preserve"> rekomenduojamas kaip vienas iš vaistų skirtų gydyti lėtinį hepatitą C suaugusiems pacientams pagal žemiau pateiktą schemą:</w:t>
            </w:r>
          </w:p>
          <w:p w14:paraId="7DC05F46" w14:textId="77777777" w:rsidR="00570D25" w:rsidRPr="00451168" w:rsidRDefault="00570D25" w:rsidP="00E02BAC">
            <w:pPr>
              <w:pStyle w:val="prastasiniatinklio"/>
              <w:jc w:val="both"/>
              <w:rPr>
                <w:color w:val="0E0E0E"/>
              </w:rPr>
            </w:pPr>
            <w:r w:rsidRPr="00451168">
              <w:rPr>
                <w:noProof/>
              </w:rPr>
              <w:drawing>
                <wp:inline distT="0" distB="0" distL="0" distR="0" wp14:anchorId="2C2A56E7" wp14:editId="6F549516">
                  <wp:extent cx="3039926" cy="280358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40" t="21164" r="38633" b="34851"/>
                          <a:stretch/>
                        </pic:blipFill>
                        <pic:spPr bwMode="auto">
                          <a:xfrm>
                            <a:off x="0" y="0"/>
                            <a:ext cx="3059733" cy="2821852"/>
                          </a:xfrm>
                          <a:prstGeom prst="rect">
                            <a:avLst/>
                          </a:prstGeom>
                          <a:ln>
                            <a:noFill/>
                          </a:ln>
                          <a:extLst>
                            <a:ext uri="{53640926-AAD7-44D8-BBD7-CCE9431645EC}">
                              <a14:shadowObscured xmlns:a14="http://schemas.microsoft.com/office/drawing/2010/main"/>
                            </a:ext>
                          </a:extLst>
                        </pic:spPr>
                      </pic:pic>
                    </a:graphicData>
                  </a:graphic>
                </wp:inline>
              </w:drawing>
            </w:r>
            <w:r w:rsidRPr="00451168">
              <w:rPr>
                <w:noProof/>
              </w:rPr>
              <w:drawing>
                <wp:inline distT="0" distB="0" distL="0" distR="0" wp14:anchorId="1AE85D89" wp14:editId="5F592403">
                  <wp:extent cx="3027871" cy="149782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03" t="16783" r="38577" b="59629"/>
                          <a:stretch/>
                        </pic:blipFill>
                        <pic:spPr bwMode="auto">
                          <a:xfrm>
                            <a:off x="0" y="0"/>
                            <a:ext cx="3051229" cy="1509375"/>
                          </a:xfrm>
                          <a:prstGeom prst="rect">
                            <a:avLst/>
                          </a:prstGeom>
                          <a:ln>
                            <a:noFill/>
                          </a:ln>
                          <a:extLst>
                            <a:ext uri="{53640926-AAD7-44D8-BBD7-CCE9431645EC}">
                              <a14:shadowObscured xmlns:a14="http://schemas.microsoft.com/office/drawing/2010/main"/>
                            </a:ext>
                          </a:extLst>
                        </pic:spPr>
                      </pic:pic>
                    </a:graphicData>
                  </a:graphic>
                </wp:inline>
              </w:drawing>
            </w:r>
          </w:p>
        </w:tc>
      </w:tr>
      <w:tr w:rsidR="00570D25" w:rsidRPr="00451168" w14:paraId="5C335BEA" w14:textId="77777777" w:rsidTr="00E02BAC">
        <w:trPr>
          <w:trHeight w:val="1547"/>
        </w:trPr>
        <w:tc>
          <w:tcPr>
            <w:tcW w:w="2927" w:type="dxa"/>
          </w:tcPr>
          <w:p w14:paraId="0F301DA5" w14:textId="77777777" w:rsidR="00570D25" w:rsidRPr="00451168" w:rsidRDefault="00570D25" w:rsidP="00E02BAC">
            <w:pPr>
              <w:spacing w:line="276" w:lineRule="auto"/>
              <w:rPr>
                <w:rFonts w:eastAsia="Arial"/>
              </w:rPr>
            </w:pPr>
            <w:r w:rsidRPr="00451168">
              <w:rPr>
                <w:rFonts w:eastAsia="Arial"/>
              </w:rPr>
              <w:t>Kanados sveikatos technologijų agentūra</w:t>
            </w:r>
          </w:p>
          <w:p w14:paraId="43EDEF73" w14:textId="77777777" w:rsidR="00570D25" w:rsidRPr="00451168" w:rsidRDefault="00570D25" w:rsidP="00E02BAC">
            <w:pPr>
              <w:spacing w:line="276" w:lineRule="auto"/>
              <w:rPr>
                <w:rFonts w:eastAsia="Arial"/>
              </w:rPr>
            </w:pPr>
            <w:r w:rsidRPr="00451168">
              <w:rPr>
                <w:rFonts w:eastAsia="Arial"/>
              </w:rPr>
              <w:t xml:space="preserve">(angl. </w:t>
            </w:r>
            <w:proofErr w:type="spellStart"/>
            <w:r w:rsidRPr="00451168">
              <w:rPr>
                <w:rFonts w:eastAsia="Arial"/>
                <w:i/>
              </w:rPr>
              <w:t>Canadian</w:t>
            </w:r>
            <w:proofErr w:type="spellEnd"/>
            <w:r w:rsidRPr="00451168">
              <w:rPr>
                <w:rFonts w:eastAsia="Arial"/>
                <w:i/>
              </w:rPr>
              <w:t xml:space="preserve"> </w:t>
            </w:r>
            <w:proofErr w:type="spellStart"/>
            <w:r w:rsidRPr="00451168">
              <w:rPr>
                <w:rFonts w:eastAsia="Arial"/>
                <w:i/>
              </w:rPr>
              <w:t>health</w:t>
            </w:r>
            <w:proofErr w:type="spellEnd"/>
            <w:r w:rsidRPr="00451168">
              <w:rPr>
                <w:rFonts w:eastAsia="Arial"/>
                <w:i/>
              </w:rPr>
              <w:t xml:space="preserve"> </w:t>
            </w:r>
            <w:proofErr w:type="spellStart"/>
            <w:r w:rsidRPr="00451168">
              <w:rPr>
                <w:rFonts w:eastAsia="Arial"/>
                <w:i/>
              </w:rPr>
              <w:t>Technology</w:t>
            </w:r>
            <w:proofErr w:type="spellEnd"/>
            <w:r w:rsidRPr="00451168">
              <w:rPr>
                <w:rFonts w:eastAsia="Arial"/>
                <w:i/>
              </w:rPr>
              <w:t xml:space="preserve"> </w:t>
            </w:r>
            <w:proofErr w:type="spellStart"/>
            <w:r w:rsidRPr="00451168">
              <w:rPr>
                <w:rFonts w:eastAsia="Arial"/>
                <w:i/>
              </w:rPr>
              <w:t>Assessment</w:t>
            </w:r>
            <w:proofErr w:type="spellEnd"/>
            <w:r w:rsidRPr="00451168">
              <w:rPr>
                <w:rFonts w:eastAsia="Arial"/>
                <w:i/>
              </w:rPr>
              <w:t xml:space="preserve"> </w:t>
            </w:r>
            <w:proofErr w:type="spellStart"/>
            <w:r w:rsidRPr="00451168">
              <w:rPr>
                <w:rFonts w:eastAsia="Arial"/>
                <w:i/>
              </w:rPr>
              <w:t>agency</w:t>
            </w:r>
            <w:proofErr w:type="spellEnd"/>
            <w:r w:rsidRPr="00451168">
              <w:rPr>
                <w:rFonts w:eastAsia="Arial"/>
                <w:i/>
              </w:rPr>
              <w:t>, CADTH</w:t>
            </w:r>
            <w:r w:rsidRPr="00451168">
              <w:rPr>
                <w:rFonts w:eastAsia="Arial"/>
              </w:rPr>
              <w:t>)</w:t>
            </w:r>
          </w:p>
        </w:tc>
        <w:tc>
          <w:tcPr>
            <w:tcW w:w="1915" w:type="dxa"/>
          </w:tcPr>
          <w:p w14:paraId="1A07E493" w14:textId="77777777" w:rsidR="00570D25" w:rsidRPr="00451168" w:rsidRDefault="0020678E" w:rsidP="00E02BAC">
            <w:sdt>
              <w:sdtPr>
                <w:rPr>
                  <w:rStyle w:val="Style2"/>
                  <w:sz w:val="24"/>
                </w:rPr>
                <w:id w:val="-372539057"/>
              </w:sdtPr>
              <w:sdtEndPr>
                <w:rPr>
                  <w:rStyle w:val="Style2"/>
                </w:rPr>
              </w:sdtEndPr>
              <w:sdtContent>
                <w:sdt>
                  <w:sdtPr>
                    <w:rPr>
                      <w:rStyle w:val="Style2"/>
                      <w:sz w:val="24"/>
                    </w:rPr>
                    <w:id w:val="-811788529"/>
                  </w:sdtPr>
                  <w:sdtEndPr>
                    <w:rPr>
                      <w:rStyle w:val="Style2"/>
                    </w:rPr>
                  </w:sdtEndPr>
                  <w:sdtContent>
                    <w:r w:rsidR="00570D25" w:rsidRPr="00451168">
                      <w:rPr>
                        <w:rStyle w:val="Style2"/>
                        <w:rFonts w:ascii="MS Mincho" w:eastAsia="MS Mincho" w:hAnsi="MS Mincho" w:cs="MS Mincho"/>
                        <w:sz w:val="24"/>
                      </w:rPr>
                      <w:t>☒</w:t>
                    </w:r>
                  </w:sdtContent>
                </w:sdt>
              </w:sdtContent>
            </w:sdt>
            <w:r w:rsidR="00570D25" w:rsidRPr="00451168">
              <w:t xml:space="preserve"> Taip</w:t>
            </w:r>
          </w:p>
          <w:p w14:paraId="3BD88E0E" w14:textId="77777777" w:rsidR="00570D25" w:rsidRPr="00451168" w:rsidRDefault="0020678E" w:rsidP="00E02BAC">
            <w:sdt>
              <w:sdtPr>
                <w:rPr>
                  <w:rStyle w:val="Style2"/>
                  <w:sz w:val="24"/>
                </w:rPr>
                <w:id w:val="594442222"/>
              </w:sdtPr>
              <w:sdtEndPr>
                <w:rPr>
                  <w:rStyle w:val="Style2"/>
                </w:rPr>
              </w:sdtEndPr>
              <w:sdtContent>
                <w:r w:rsidR="00570D25" w:rsidRPr="00451168">
                  <w:rPr>
                    <w:rStyle w:val="Style2"/>
                    <w:rFonts w:ascii="MS Mincho" w:eastAsia="MS Mincho" w:hAnsi="MS Mincho" w:cs="MS Mincho"/>
                    <w:sz w:val="24"/>
                  </w:rPr>
                  <w:t>☐</w:t>
                </w:r>
              </w:sdtContent>
            </w:sdt>
            <w:r w:rsidR="00570D25" w:rsidRPr="00451168">
              <w:t xml:space="preserve"> Ne</w:t>
            </w:r>
          </w:p>
          <w:p w14:paraId="7DCE80D4" w14:textId="77777777" w:rsidR="00570D25" w:rsidRPr="00451168" w:rsidRDefault="0020678E" w:rsidP="00E02BAC">
            <w:pPr>
              <w:spacing w:line="276" w:lineRule="auto"/>
              <w:rPr>
                <w:rFonts w:eastAsia="Arial"/>
              </w:rPr>
            </w:pPr>
            <w:sdt>
              <w:sdtPr>
                <w:alias w:val="Nurodykite konkrečią dieną"/>
                <w:tag w:val="Nurodykite pradžios datą"/>
                <w:id w:val="1072468416"/>
                <w:date>
                  <w:dateFormat w:val="yyyy 'm.' MMMM d 'd.'"/>
                  <w:lid w:val="lt-LT"/>
                  <w:storeMappedDataAs w:val="dateTime"/>
                  <w:calendar w:val="gregorian"/>
                </w:date>
              </w:sdtPr>
              <w:sdtEndPr/>
              <w:sdtContent>
                <w:r w:rsidR="00570D25" w:rsidRPr="00451168">
                  <w:t>2016 m. spalio 26 d.</w:t>
                </w:r>
              </w:sdtContent>
            </w:sdt>
          </w:p>
        </w:tc>
        <w:tc>
          <w:tcPr>
            <w:tcW w:w="5076" w:type="dxa"/>
            <w:gridSpan w:val="2"/>
          </w:tcPr>
          <w:p w14:paraId="76314BBC" w14:textId="77777777" w:rsidR="00570D25" w:rsidRPr="00451168" w:rsidRDefault="00570D25" w:rsidP="00E02BAC">
            <w:pPr>
              <w:spacing w:line="276" w:lineRule="auto"/>
            </w:pPr>
            <w:proofErr w:type="spellStart"/>
            <w:r w:rsidRPr="00451168">
              <w:rPr>
                <w:color w:val="0E0E0E"/>
              </w:rPr>
              <w:t>Epclusa</w:t>
            </w:r>
            <w:proofErr w:type="spellEnd"/>
            <w:r w:rsidRPr="00451168">
              <w:rPr>
                <w:color w:val="0E0E0E"/>
              </w:rPr>
              <w:t xml:space="preserve"> rekomenduojamas gydyti lėtinį hepatitą C pacientams, jei atitinka kriterijų – gydymas turėtų būti pradėtas gydytojų su lėtiniu hepatitu C sergančiųjų gydymo patirtimi.</w:t>
            </w:r>
          </w:p>
        </w:tc>
      </w:tr>
      <w:tr w:rsidR="00570D25" w:rsidRPr="00451168" w14:paraId="06ACBF0F" w14:textId="77777777" w:rsidTr="00E02BAC">
        <w:trPr>
          <w:trHeight w:val="1927"/>
        </w:trPr>
        <w:tc>
          <w:tcPr>
            <w:tcW w:w="2927" w:type="dxa"/>
          </w:tcPr>
          <w:p w14:paraId="3959FA26" w14:textId="77777777" w:rsidR="00570D25" w:rsidRPr="00451168" w:rsidRDefault="00570D25" w:rsidP="00E02BAC">
            <w:pPr>
              <w:spacing w:line="276" w:lineRule="auto"/>
              <w:rPr>
                <w:rFonts w:eastAsia="Arial"/>
              </w:rPr>
            </w:pPr>
            <w:r w:rsidRPr="00451168">
              <w:rPr>
                <w:rFonts w:eastAsia="Arial"/>
              </w:rPr>
              <w:lastRenderedPageBreak/>
              <w:t xml:space="preserve">Nacionalinis </w:t>
            </w:r>
            <w:proofErr w:type="spellStart"/>
            <w:r w:rsidRPr="00451168">
              <w:rPr>
                <w:rFonts w:eastAsia="Arial"/>
              </w:rPr>
              <w:t>farmakoekonomikos</w:t>
            </w:r>
            <w:proofErr w:type="spellEnd"/>
            <w:r w:rsidRPr="00451168">
              <w:rPr>
                <w:rFonts w:eastAsia="Arial"/>
              </w:rPr>
              <w:t xml:space="preserve"> centras, Airija</w:t>
            </w:r>
          </w:p>
          <w:p w14:paraId="4BDE4AFC" w14:textId="77777777" w:rsidR="00570D25" w:rsidRPr="00451168" w:rsidRDefault="00570D25" w:rsidP="00E02BAC">
            <w:pPr>
              <w:spacing w:line="276" w:lineRule="auto"/>
              <w:rPr>
                <w:rFonts w:eastAsia="Arial"/>
              </w:rPr>
            </w:pPr>
            <w:r w:rsidRPr="00451168">
              <w:rPr>
                <w:rFonts w:eastAsia="Arial"/>
              </w:rPr>
              <w:t>(angl.</w:t>
            </w:r>
            <w:r w:rsidRPr="00451168">
              <w:rPr>
                <w:rFonts w:eastAsia="Arial"/>
                <w:i/>
              </w:rPr>
              <w:t xml:space="preserve"> </w:t>
            </w:r>
            <w:proofErr w:type="spellStart"/>
            <w:r w:rsidRPr="00451168">
              <w:rPr>
                <w:rFonts w:eastAsia="Arial"/>
                <w:i/>
              </w:rPr>
              <w:t>National</w:t>
            </w:r>
            <w:proofErr w:type="spellEnd"/>
            <w:r w:rsidRPr="00451168">
              <w:rPr>
                <w:rFonts w:eastAsia="Arial"/>
                <w:i/>
              </w:rPr>
              <w:t xml:space="preserve"> Centre </w:t>
            </w:r>
            <w:proofErr w:type="spellStart"/>
            <w:r w:rsidRPr="00451168">
              <w:rPr>
                <w:rFonts w:eastAsia="Arial"/>
                <w:i/>
              </w:rPr>
              <w:t>for</w:t>
            </w:r>
            <w:proofErr w:type="spellEnd"/>
            <w:r w:rsidRPr="00451168">
              <w:rPr>
                <w:rFonts w:eastAsia="Arial"/>
                <w:i/>
              </w:rPr>
              <w:t xml:space="preserve"> </w:t>
            </w:r>
            <w:proofErr w:type="spellStart"/>
            <w:r w:rsidRPr="00451168">
              <w:rPr>
                <w:rFonts w:eastAsia="Arial"/>
                <w:i/>
              </w:rPr>
              <w:t>Pharmacoeconomics</w:t>
            </w:r>
            <w:proofErr w:type="spellEnd"/>
            <w:r w:rsidRPr="00451168">
              <w:rPr>
                <w:rFonts w:eastAsia="Arial"/>
                <w:i/>
              </w:rPr>
              <w:t>, NCPE</w:t>
            </w:r>
            <w:r w:rsidRPr="00451168">
              <w:rPr>
                <w:rFonts w:eastAsia="Arial"/>
              </w:rPr>
              <w:t>)</w:t>
            </w:r>
          </w:p>
        </w:tc>
        <w:tc>
          <w:tcPr>
            <w:tcW w:w="1915" w:type="dxa"/>
          </w:tcPr>
          <w:p w14:paraId="29EF94D1" w14:textId="77777777" w:rsidR="00570D25" w:rsidRPr="00451168" w:rsidRDefault="0020678E" w:rsidP="00E02BAC">
            <w:sdt>
              <w:sdtPr>
                <w:rPr>
                  <w:rStyle w:val="Style2"/>
                  <w:sz w:val="24"/>
                </w:rPr>
                <w:id w:val="-1888403732"/>
              </w:sdtPr>
              <w:sdtEndPr>
                <w:rPr>
                  <w:rStyle w:val="Style2"/>
                </w:rPr>
              </w:sdtEndPr>
              <w:sdtContent>
                <w:sdt>
                  <w:sdtPr>
                    <w:rPr>
                      <w:rStyle w:val="Style2"/>
                      <w:sz w:val="24"/>
                    </w:rPr>
                    <w:id w:val="812368574"/>
                  </w:sdtPr>
                  <w:sdtEndPr>
                    <w:rPr>
                      <w:rStyle w:val="Style2"/>
                    </w:rPr>
                  </w:sdtEndPr>
                  <w:sdtContent>
                    <w:r w:rsidR="00570D25" w:rsidRPr="00451168">
                      <w:rPr>
                        <w:rStyle w:val="Style2"/>
                        <w:rFonts w:ascii="MS Mincho" w:eastAsia="MS Mincho" w:hAnsi="MS Mincho" w:cs="MS Mincho"/>
                        <w:sz w:val="24"/>
                      </w:rPr>
                      <w:t>☒</w:t>
                    </w:r>
                  </w:sdtContent>
                </w:sdt>
              </w:sdtContent>
            </w:sdt>
            <w:r w:rsidR="00570D25" w:rsidRPr="00451168">
              <w:t xml:space="preserve"> Taip</w:t>
            </w:r>
          </w:p>
          <w:p w14:paraId="672CE5A6" w14:textId="77777777" w:rsidR="00570D25" w:rsidRPr="00451168" w:rsidRDefault="0020678E" w:rsidP="00E02BAC">
            <w:sdt>
              <w:sdtPr>
                <w:rPr>
                  <w:rStyle w:val="Style2"/>
                  <w:sz w:val="24"/>
                </w:rPr>
                <w:id w:val="1092201793"/>
              </w:sdtPr>
              <w:sdtEndPr>
                <w:rPr>
                  <w:rStyle w:val="Style2"/>
                </w:rPr>
              </w:sdtEndPr>
              <w:sdtContent>
                <w:r w:rsidR="00570D25" w:rsidRPr="00451168">
                  <w:rPr>
                    <w:rStyle w:val="Style2"/>
                    <w:rFonts w:ascii="MS Mincho" w:eastAsia="MS Mincho" w:hAnsi="MS Mincho" w:cs="MS Mincho"/>
                    <w:sz w:val="24"/>
                  </w:rPr>
                  <w:t>☐</w:t>
                </w:r>
              </w:sdtContent>
            </w:sdt>
            <w:r w:rsidR="00570D25" w:rsidRPr="00451168">
              <w:t xml:space="preserve"> Ne</w:t>
            </w:r>
          </w:p>
          <w:p w14:paraId="4072F556" w14:textId="77777777" w:rsidR="00570D25" w:rsidRPr="00451168" w:rsidRDefault="0020678E" w:rsidP="00E02BAC">
            <w:pPr>
              <w:spacing w:line="276" w:lineRule="auto"/>
              <w:rPr>
                <w:rFonts w:eastAsia="Arial"/>
              </w:rPr>
            </w:pPr>
            <w:sdt>
              <w:sdtPr>
                <w:alias w:val="Nurodykite konkrečią dieną"/>
                <w:tag w:val="Nurodykite pradžios datą"/>
                <w:id w:val="-198323198"/>
                <w:date>
                  <w:dateFormat w:val="yyyy 'm.' MMMM d 'd.'"/>
                  <w:lid w:val="lt-LT"/>
                  <w:storeMappedDataAs w:val="dateTime"/>
                  <w:calendar w:val="gregorian"/>
                </w:date>
              </w:sdtPr>
              <w:sdtEndPr/>
              <w:sdtContent>
                <w:r w:rsidR="00570D25" w:rsidRPr="00451168">
                  <w:t xml:space="preserve">2017 m. spalio 19 d. </w:t>
                </w:r>
              </w:sdtContent>
            </w:sdt>
          </w:p>
        </w:tc>
        <w:tc>
          <w:tcPr>
            <w:tcW w:w="5076" w:type="dxa"/>
            <w:gridSpan w:val="2"/>
          </w:tcPr>
          <w:p w14:paraId="153AAA87" w14:textId="77777777" w:rsidR="00570D25" w:rsidRPr="00451168" w:rsidRDefault="00570D25" w:rsidP="00E02BAC">
            <w:pPr>
              <w:spacing w:line="276" w:lineRule="auto"/>
              <w:rPr>
                <w:rFonts w:eastAsia="Arial"/>
                <w:highlight w:val="yellow"/>
              </w:rPr>
            </w:pPr>
            <w:proofErr w:type="spellStart"/>
            <w:r w:rsidRPr="00451168">
              <w:rPr>
                <w:color w:val="0E0E0E"/>
              </w:rPr>
              <w:t>Epclusa</w:t>
            </w:r>
            <w:proofErr w:type="spellEnd"/>
            <w:r w:rsidRPr="00451168">
              <w:rPr>
                <w:color w:val="0E0E0E"/>
              </w:rPr>
              <w:t xml:space="preserve"> rekomenduojamas gydyti lėtinį hepatitą C suaugusiems pacientams. Rekomendacija apima visus genotipus </w:t>
            </w:r>
            <w:r w:rsidRPr="00451168">
              <w:rPr>
                <w:color w:val="0E0E0E"/>
              </w:rPr>
              <w:br/>
              <w:t>(</w:t>
            </w:r>
            <w:r w:rsidRPr="00451168">
              <w:rPr>
                <w:rFonts w:eastAsia="Arial"/>
              </w:rPr>
              <w:t>1, 2, 3, 4, 5 ir 6</w:t>
            </w:r>
            <w:r w:rsidRPr="00451168">
              <w:rPr>
                <w:color w:val="0E0E0E"/>
              </w:rPr>
              <w:t>).</w:t>
            </w:r>
          </w:p>
        </w:tc>
      </w:tr>
    </w:tbl>
    <w:p w14:paraId="4FF85587" w14:textId="77777777" w:rsidR="00B62292" w:rsidRDefault="00B62292">
      <w:pPr>
        <w:rPr>
          <w:b/>
          <w:bCs/>
          <w:caps/>
          <w:highlight w:val="yellow"/>
        </w:rPr>
      </w:pPr>
    </w:p>
    <w:p w14:paraId="626FE67D" w14:textId="77777777" w:rsidR="00080362" w:rsidRPr="006C4813" w:rsidRDefault="00080362">
      <w:pPr>
        <w:rPr>
          <w:b/>
          <w:bCs/>
          <w:caps/>
          <w:highlight w:val="yellow"/>
        </w:rPr>
      </w:pPr>
    </w:p>
    <w:p w14:paraId="5055E8A8" w14:textId="09A31708" w:rsidR="002E6F80" w:rsidRPr="00FF602D" w:rsidRDefault="00CC7832" w:rsidP="00CC09D4">
      <w:pPr>
        <w:pStyle w:val="Sraopastraipa"/>
        <w:numPr>
          <w:ilvl w:val="0"/>
          <w:numId w:val="12"/>
        </w:numPr>
        <w:tabs>
          <w:tab w:val="left" w:pos="567"/>
        </w:tabs>
        <w:ind w:hanging="720"/>
        <w:rPr>
          <w:b/>
          <w:bCs/>
          <w:caps/>
        </w:rPr>
      </w:pPr>
      <w:r w:rsidRPr="00FF602D">
        <w:rPr>
          <w:b/>
          <w:bCs/>
          <w:caps/>
        </w:rPr>
        <w:t>Klinikinio vertinimo a</w:t>
      </w:r>
      <w:r w:rsidR="00D4485B" w:rsidRPr="00FF602D">
        <w:rPr>
          <w:b/>
          <w:bCs/>
          <w:caps/>
        </w:rPr>
        <w:t>pibendrinimas</w:t>
      </w:r>
    </w:p>
    <w:p w14:paraId="5423F716" w14:textId="77777777" w:rsidR="002A3179" w:rsidRPr="006C4813" w:rsidRDefault="002A3179" w:rsidP="002A3179">
      <w:pPr>
        <w:tabs>
          <w:tab w:val="left" w:pos="284"/>
        </w:tabs>
        <w:rPr>
          <w:b/>
          <w:bCs/>
          <w:caps/>
          <w:highlight w:val="yellow"/>
        </w:rPr>
      </w:pPr>
    </w:p>
    <w:p w14:paraId="10EC1B77" w14:textId="604818D4" w:rsidR="00570D25" w:rsidRPr="002B5BC5" w:rsidRDefault="00570D25" w:rsidP="00570D25">
      <w:pPr>
        <w:ind w:firstLine="720"/>
        <w:jc w:val="both"/>
        <w:rPr>
          <w:rFonts w:eastAsia="Arial"/>
        </w:rPr>
      </w:pPr>
      <w:r w:rsidRPr="00CB1369">
        <w:rPr>
          <w:rFonts w:eastAsia="Arial"/>
        </w:rPr>
        <w:t>Virusinis hepatitas C (toliau – VHC) – tai hepatito C viruso sukeltas kepenų uždegimas. VHC – užkrečiamoji (infekcinė) liga. Šios ligos sukėlėjas – hepatito C virusas pažeidžia kepenis, sukeldamas uždegimą, kuris gali progresuoti į kepenų cirozę ir pirminį kepenų vėžį.</w:t>
      </w:r>
      <w:r w:rsidRPr="00CB1369">
        <w:t xml:space="preserve"> TLK-AM kodas: B18.2.</w:t>
      </w:r>
      <w:r>
        <w:t xml:space="preserve"> </w:t>
      </w:r>
      <w:r w:rsidRPr="00CB1369">
        <w:rPr>
          <w:rFonts w:eastAsia="Arial"/>
        </w:rPr>
        <w:t>Pasaulio sveikatos organizacijos duomenimis, kasmet nustatoma 3 – 4 milijonai naujų VHC susirgimo atvejų. 22-85 proc. žmonių, užsikrėtusių hepatito C virusu, suserga lėtiniu</w:t>
      </w:r>
      <w:r w:rsidRPr="002B5BC5">
        <w:rPr>
          <w:rFonts w:eastAsia="Arial"/>
        </w:rPr>
        <w:t xml:space="preserve"> VHC (jei liga trunka ilgiau kaip 6 mėnesius). Po 20 metų nuo užsikrėtimo, 20 proc. sergančiųjų išsivysto kepenų cirozė. 1 – 4 proc. užsikrėtusiųjų arba sirgusiųjų kasmet diagnozuojamas kepenų vėžys</w:t>
      </w:r>
      <w:r>
        <w:rPr>
          <w:rFonts w:eastAsia="Arial"/>
        </w:rPr>
        <w:t>.</w:t>
      </w:r>
      <w:r w:rsidRPr="002B5BC5">
        <w:rPr>
          <w:rFonts w:eastAsia="Arial"/>
        </w:rPr>
        <w:t xml:space="preserve"> Lietuvoje tikslių duomenų apie lėtinį VHC nėra, tačiau Europos ligų prevencijos ir kontrolės centro (angl. </w:t>
      </w:r>
      <w:proofErr w:type="spellStart"/>
      <w:r w:rsidRPr="002B5BC5">
        <w:rPr>
          <w:rFonts w:eastAsia="Arial"/>
        </w:rPr>
        <w:t>European</w:t>
      </w:r>
      <w:proofErr w:type="spellEnd"/>
      <w:r w:rsidRPr="002B5BC5">
        <w:rPr>
          <w:rFonts w:eastAsia="Arial"/>
        </w:rPr>
        <w:t xml:space="preserve"> Centre </w:t>
      </w:r>
      <w:proofErr w:type="spellStart"/>
      <w:r w:rsidRPr="002B5BC5">
        <w:rPr>
          <w:rFonts w:eastAsia="Arial"/>
        </w:rPr>
        <w:t>for</w:t>
      </w:r>
      <w:proofErr w:type="spellEnd"/>
      <w:r w:rsidRPr="002B5BC5">
        <w:rPr>
          <w:rFonts w:eastAsia="Arial"/>
        </w:rPr>
        <w:t xml:space="preserve"> </w:t>
      </w:r>
      <w:proofErr w:type="spellStart"/>
      <w:r w:rsidRPr="002B5BC5">
        <w:rPr>
          <w:rFonts w:eastAsia="Arial"/>
        </w:rPr>
        <w:t>Disease</w:t>
      </w:r>
      <w:proofErr w:type="spellEnd"/>
      <w:r w:rsidRPr="002B5BC5">
        <w:rPr>
          <w:rFonts w:eastAsia="Arial"/>
        </w:rPr>
        <w:t xml:space="preserve"> </w:t>
      </w:r>
      <w:proofErr w:type="spellStart"/>
      <w:r w:rsidRPr="002B5BC5">
        <w:rPr>
          <w:rFonts w:eastAsia="Arial"/>
        </w:rPr>
        <w:t>Prevention</w:t>
      </w:r>
      <w:proofErr w:type="spellEnd"/>
      <w:r w:rsidRPr="002B5BC5">
        <w:rPr>
          <w:rFonts w:eastAsia="Arial"/>
        </w:rPr>
        <w:t xml:space="preserve"> </w:t>
      </w:r>
      <w:proofErr w:type="spellStart"/>
      <w:r w:rsidRPr="002B5BC5">
        <w:rPr>
          <w:rFonts w:eastAsia="Arial"/>
        </w:rPr>
        <w:t>and</w:t>
      </w:r>
      <w:proofErr w:type="spellEnd"/>
      <w:r w:rsidRPr="002B5BC5">
        <w:rPr>
          <w:rFonts w:eastAsia="Arial"/>
        </w:rPr>
        <w:t xml:space="preserve"> </w:t>
      </w:r>
      <w:proofErr w:type="spellStart"/>
      <w:r w:rsidRPr="002B5BC5">
        <w:rPr>
          <w:rFonts w:eastAsia="Arial"/>
        </w:rPr>
        <w:t>Control</w:t>
      </w:r>
      <w:proofErr w:type="spellEnd"/>
      <w:r w:rsidRPr="002B5BC5">
        <w:rPr>
          <w:rFonts w:eastAsia="Arial"/>
        </w:rPr>
        <w:t xml:space="preserve">; ECDC) skelbti ūmių hepatito C viruso infekcijų duomenys rodo, kad 2019 metais 21 (0,8 asmenys 100000 gyventojų) susirgo ūmiu VHC, remiantis tuo tikėtina sergamumas lėtiniu VHC Lietuvoje galėtų sudaryti 77 asmenis arba 2,9 </w:t>
      </w:r>
      <w:proofErr w:type="spellStart"/>
      <w:r w:rsidRPr="002B5BC5">
        <w:rPr>
          <w:rFonts w:eastAsia="Arial"/>
        </w:rPr>
        <w:t>atv</w:t>
      </w:r>
      <w:proofErr w:type="spellEnd"/>
      <w:r w:rsidRPr="002B5BC5">
        <w:rPr>
          <w:rFonts w:eastAsia="Arial"/>
        </w:rPr>
        <w:t>. 100000 gyventojų. Ligotumas lėtiniu VHC VLK duomenimis sudaro apie 1400 asmenų (remiantis 2019 ir 2020 metais gydytų pacientų vidurkiu).</w:t>
      </w:r>
    </w:p>
    <w:p w14:paraId="4CE64BCB" w14:textId="77777777" w:rsidR="00570D25" w:rsidRPr="002B5BC5" w:rsidRDefault="00570D25" w:rsidP="00570D25">
      <w:pPr>
        <w:ind w:firstLine="720"/>
        <w:jc w:val="both"/>
        <w:rPr>
          <w:rFonts w:eastAsia="Arial"/>
        </w:rPr>
      </w:pPr>
      <w:r w:rsidRPr="002B5BC5">
        <w:rPr>
          <w:rFonts w:eastAsia="Arial"/>
        </w:rPr>
        <w:t>Hepatito C virusas yra klasifikuojamas į 6 pagrindinius genotipus (sunumeruoti nuo 1 iki 6) ir virš 80 potipių. Lietuvoje labiausiai paplitę 1b (52 proc.), 3 (22 proc.), 1a (11 proc.) ir 2 (5 proc.) genotipai.</w:t>
      </w:r>
    </w:p>
    <w:p w14:paraId="39F680FD" w14:textId="77777777" w:rsidR="00570D25" w:rsidRPr="00CB1369" w:rsidRDefault="00570D25" w:rsidP="00570D25">
      <w:pPr>
        <w:ind w:firstLine="720"/>
        <w:jc w:val="both"/>
        <w:rPr>
          <w:rFonts w:eastAsia="Arial"/>
        </w:rPr>
      </w:pPr>
      <w:r w:rsidRPr="00CB1369">
        <w:rPr>
          <w:rFonts w:eastAsia="Arial"/>
        </w:rPr>
        <w:t xml:space="preserve">Gydymo tikslas yra išgydyti VHC infekciją, siekiant užkirsti kelią su VHC susijusių kepenų ir </w:t>
      </w:r>
      <w:proofErr w:type="spellStart"/>
      <w:r w:rsidRPr="00CB1369">
        <w:rPr>
          <w:rFonts w:eastAsia="Arial"/>
        </w:rPr>
        <w:t>ekstrahepatinių</w:t>
      </w:r>
      <w:proofErr w:type="spellEnd"/>
      <w:r w:rsidRPr="00CB1369">
        <w:rPr>
          <w:rFonts w:eastAsia="Arial"/>
        </w:rPr>
        <w:t xml:space="preserve"> ligų komplikacijoms (pvz., cirozei, vėžiui) ir užkirsti kelią tolesniam VHC perdavimui.  VHC terapijos tikslas yra </w:t>
      </w:r>
      <w:r>
        <w:rPr>
          <w:rFonts w:eastAsia="Arial"/>
        </w:rPr>
        <w:t>stabilus</w:t>
      </w:r>
      <w:r w:rsidRPr="00CB1369">
        <w:rPr>
          <w:rFonts w:eastAsia="Arial"/>
        </w:rPr>
        <w:t xml:space="preserve"> </w:t>
      </w:r>
      <w:proofErr w:type="spellStart"/>
      <w:r w:rsidRPr="00CB1369">
        <w:rPr>
          <w:rFonts w:eastAsia="Arial"/>
        </w:rPr>
        <w:t>virusologinis</w:t>
      </w:r>
      <w:proofErr w:type="spellEnd"/>
      <w:r w:rsidRPr="00CB1369">
        <w:rPr>
          <w:rFonts w:eastAsia="Arial"/>
        </w:rPr>
        <w:t xml:space="preserve"> atsakas (</w:t>
      </w:r>
      <w:r>
        <w:rPr>
          <w:rFonts w:eastAsia="Arial"/>
        </w:rPr>
        <w:t>SVR</w:t>
      </w:r>
      <w:r w:rsidRPr="00CB1369">
        <w:rPr>
          <w:rFonts w:eastAsia="Arial"/>
        </w:rPr>
        <w:t xml:space="preserve">), kuris apibrėžiamas kaip hepatito C viruso RNR neaptikimas serume ar plazmoje praėjus 12 savaičių (SVR12) arba 24 savaitėms (SVR24) po gydymo pabaigos. Tiek </w:t>
      </w:r>
      <w:r>
        <w:rPr>
          <w:rFonts w:eastAsia="Arial"/>
        </w:rPr>
        <w:t>SVR12</w:t>
      </w:r>
      <w:r w:rsidRPr="00CB1369">
        <w:rPr>
          <w:rFonts w:eastAsia="Arial"/>
        </w:rPr>
        <w:t xml:space="preserve">, tiek </w:t>
      </w:r>
      <w:r>
        <w:rPr>
          <w:rFonts w:eastAsia="Arial"/>
        </w:rPr>
        <w:t>SVR24</w:t>
      </w:r>
      <w:r w:rsidRPr="00CB1369">
        <w:rPr>
          <w:rFonts w:eastAsia="Arial"/>
        </w:rPr>
        <w:t xml:space="preserve"> Europos ir JAV reguliavimo institucijos priėmė kaip galutinius rodiklius, atsižvelgiant į tai, kad jų suderinamumas yra &gt;99 proc. </w:t>
      </w:r>
    </w:p>
    <w:p w14:paraId="40BF465F" w14:textId="77777777" w:rsidR="00570D25" w:rsidRPr="002B5BC5" w:rsidRDefault="00570D25" w:rsidP="00570D25">
      <w:pPr>
        <w:ind w:firstLine="720"/>
        <w:jc w:val="both"/>
        <w:rPr>
          <w:rFonts w:eastAsia="Arial"/>
        </w:rPr>
      </w:pPr>
      <w:r w:rsidRPr="002B5BC5">
        <w:rPr>
          <w:rFonts w:eastAsia="Arial"/>
        </w:rPr>
        <w:t>Europos kepenų tyrimo asociacijos (</w:t>
      </w:r>
      <w:r w:rsidRPr="00CB1369">
        <w:rPr>
          <w:rFonts w:eastAsia="Arial"/>
        </w:rPr>
        <w:t>angl. „</w:t>
      </w:r>
      <w:proofErr w:type="spellStart"/>
      <w:r w:rsidRPr="00CB1369">
        <w:rPr>
          <w:rFonts w:eastAsia="Arial"/>
        </w:rPr>
        <w:t>European</w:t>
      </w:r>
      <w:proofErr w:type="spellEnd"/>
      <w:r w:rsidRPr="00CB1369">
        <w:rPr>
          <w:rFonts w:eastAsia="Arial"/>
        </w:rPr>
        <w:t xml:space="preserve"> </w:t>
      </w:r>
      <w:proofErr w:type="spellStart"/>
      <w:r w:rsidRPr="00CB1369">
        <w:rPr>
          <w:rFonts w:eastAsia="Arial"/>
        </w:rPr>
        <w:t>Association</w:t>
      </w:r>
      <w:proofErr w:type="spellEnd"/>
      <w:r w:rsidRPr="00CB1369">
        <w:rPr>
          <w:rFonts w:eastAsia="Arial"/>
        </w:rPr>
        <w:t xml:space="preserve"> </w:t>
      </w:r>
      <w:proofErr w:type="spellStart"/>
      <w:r w:rsidRPr="00CB1369">
        <w:rPr>
          <w:rFonts w:eastAsia="Arial"/>
        </w:rPr>
        <w:t>for</w:t>
      </w:r>
      <w:proofErr w:type="spellEnd"/>
      <w:r w:rsidRPr="00CB1369">
        <w:rPr>
          <w:rFonts w:eastAsia="Arial"/>
        </w:rPr>
        <w:t xml:space="preserve"> </w:t>
      </w:r>
      <w:proofErr w:type="spellStart"/>
      <w:r w:rsidRPr="00CB1369">
        <w:rPr>
          <w:rFonts w:eastAsia="Arial"/>
        </w:rPr>
        <w:t>the</w:t>
      </w:r>
      <w:proofErr w:type="spellEnd"/>
      <w:r w:rsidRPr="00CB1369">
        <w:rPr>
          <w:rFonts w:eastAsia="Arial"/>
        </w:rPr>
        <w:t xml:space="preserve"> </w:t>
      </w:r>
      <w:proofErr w:type="spellStart"/>
      <w:r w:rsidRPr="00CB1369">
        <w:rPr>
          <w:rFonts w:eastAsia="Arial"/>
        </w:rPr>
        <w:t>Study</w:t>
      </w:r>
      <w:proofErr w:type="spellEnd"/>
      <w:r w:rsidRPr="00CB1369">
        <w:rPr>
          <w:rFonts w:eastAsia="Arial"/>
        </w:rPr>
        <w:t xml:space="preserve"> </w:t>
      </w:r>
      <w:proofErr w:type="spellStart"/>
      <w:r w:rsidRPr="00CB1369">
        <w:rPr>
          <w:rFonts w:eastAsia="Arial"/>
        </w:rPr>
        <w:t>of</w:t>
      </w:r>
      <w:proofErr w:type="spellEnd"/>
      <w:r w:rsidRPr="00CB1369">
        <w:rPr>
          <w:rFonts w:eastAsia="Arial"/>
        </w:rPr>
        <w:t xml:space="preserve"> </w:t>
      </w:r>
      <w:proofErr w:type="spellStart"/>
      <w:r w:rsidRPr="00CB1369">
        <w:rPr>
          <w:rFonts w:eastAsia="Arial"/>
        </w:rPr>
        <w:t>the</w:t>
      </w:r>
      <w:proofErr w:type="spellEnd"/>
      <w:r w:rsidRPr="00CB1369">
        <w:rPr>
          <w:rFonts w:eastAsia="Arial"/>
        </w:rPr>
        <w:t xml:space="preserve"> </w:t>
      </w:r>
      <w:proofErr w:type="spellStart"/>
      <w:r w:rsidRPr="00CB1369">
        <w:rPr>
          <w:rFonts w:eastAsia="Arial"/>
        </w:rPr>
        <w:t>Liver</w:t>
      </w:r>
      <w:proofErr w:type="spellEnd"/>
      <w:r w:rsidRPr="00CB1369">
        <w:rPr>
          <w:rFonts w:eastAsia="Arial"/>
        </w:rPr>
        <w:t>“, EASL</w:t>
      </w:r>
      <w:r w:rsidRPr="002B5BC5">
        <w:rPr>
          <w:rFonts w:eastAsia="Arial"/>
        </w:rPr>
        <w:t>) gairėse rekomenduojama gydyti tiesioginio veikimo antivirusiniais vaistais (</w:t>
      </w:r>
      <w:r w:rsidRPr="00CB1369">
        <w:rPr>
          <w:rFonts w:eastAsia="Arial"/>
        </w:rPr>
        <w:t>angl. „</w:t>
      </w:r>
      <w:proofErr w:type="spellStart"/>
      <w:r w:rsidRPr="00CB1369">
        <w:rPr>
          <w:rFonts w:eastAsia="Arial"/>
        </w:rPr>
        <w:t>direct-acting</w:t>
      </w:r>
      <w:proofErr w:type="spellEnd"/>
      <w:r w:rsidRPr="00CB1369">
        <w:rPr>
          <w:rFonts w:eastAsia="Arial"/>
        </w:rPr>
        <w:t xml:space="preserve"> </w:t>
      </w:r>
      <w:proofErr w:type="spellStart"/>
      <w:r w:rsidRPr="00CB1369">
        <w:rPr>
          <w:rFonts w:eastAsia="Arial"/>
        </w:rPr>
        <w:t>antiviral</w:t>
      </w:r>
      <w:proofErr w:type="spellEnd"/>
      <w:r w:rsidRPr="00CB1369">
        <w:rPr>
          <w:rFonts w:eastAsia="Arial"/>
        </w:rPr>
        <w:t>“, DAA</w:t>
      </w:r>
      <w:r w:rsidRPr="002B5BC5">
        <w:rPr>
          <w:rFonts w:eastAsia="Arial"/>
        </w:rPr>
        <w:t xml:space="preserve">). DAA yra labai veiksmingi ir gali išgydyti daugumą asmenų, sergančių VHC. Gydymo trukmė paprastai svyruoja nuo 8 iki 24 savaičių, priklausomai nuo genotipo, cirozės būklės ir ankstesnio gydymo poveikio. Rekomenduojami </w:t>
      </w:r>
      <w:proofErr w:type="spellStart"/>
      <w:r w:rsidRPr="002B5BC5">
        <w:rPr>
          <w:rFonts w:eastAsia="Arial"/>
        </w:rPr>
        <w:t>pangenotipiniai</w:t>
      </w:r>
      <w:proofErr w:type="spellEnd"/>
      <w:r w:rsidRPr="002B5BC5">
        <w:rPr>
          <w:rFonts w:eastAsia="Arial"/>
        </w:rPr>
        <w:t xml:space="preserve"> DAA yra </w:t>
      </w:r>
      <w:proofErr w:type="spellStart"/>
      <w:r w:rsidRPr="002B5BC5">
        <w:rPr>
          <w:rFonts w:eastAsia="Arial"/>
        </w:rPr>
        <w:t>sofosbuviras</w:t>
      </w:r>
      <w:proofErr w:type="spellEnd"/>
      <w:r w:rsidRPr="002B5BC5">
        <w:rPr>
          <w:rFonts w:eastAsia="Arial"/>
        </w:rPr>
        <w:t>/</w:t>
      </w:r>
      <w:proofErr w:type="spellStart"/>
      <w:r w:rsidRPr="002B5BC5">
        <w:rPr>
          <w:rFonts w:eastAsia="Arial"/>
        </w:rPr>
        <w:t>velpatasviras</w:t>
      </w:r>
      <w:proofErr w:type="spellEnd"/>
      <w:r w:rsidRPr="002B5BC5">
        <w:rPr>
          <w:rFonts w:eastAsia="Arial"/>
        </w:rPr>
        <w:t xml:space="preserve">, </w:t>
      </w:r>
      <w:proofErr w:type="spellStart"/>
      <w:r w:rsidRPr="002B5BC5">
        <w:rPr>
          <w:rFonts w:eastAsia="Arial"/>
        </w:rPr>
        <w:t>glecapreviras</w:t>
      </w:r>
      <w:proofErr w:type="spellEnd"/>
      <w:r w:rsidRPr="002B5BC5">
        <w:rPr>
          <w:rFonts w:eastAsia="Arial"/>
        </w:rPr>
        <w:t>/</w:t>
      </w:r>
      <w:proofErr w:type="spellStart"/>
      <w:r w:rsidRPr="002B5BC5">
        <w:rPr>
          <w:rFonts w:eastAsia="Arial"/>
        </w:rPr>
        <w:t>pibrentasviras</w:t>
      </w:r>
      <w:proofErr w:type="spellEnd"/>
      <w:r w:rsidRPr="002B5BC5">
        <w:rPr>
          <w:rFonts w:eastAsia="Arial"/>
        </w:rPr>
        <w:t xml:space="preserve"> arba </w:t>
      </w:r>
      <w:proofErr w:type="spellStart"/>
      <w:r w:rsidRPr="002B5BC5">
        <w:rPr>
          <w:rFonts w:eastAsia="Arial"/>
        </w:rPr>
        <w:t>sofosbuviras</w:t>
      </w:r>
      <w:proofErr w:type="spellEnd"/>
      <w:r w:rsidRPr="002B5BC5">
        <w:rPr>
          <w:rFonts w:eastAsia="Arial"/>
        </w:rPr>
        <w:t>/</w:t>
      </w:r>
      <w:proofErr w:type="spellStart"/>
      <w:r w:rsidRPr="002B5BC5">
        <w:rPr>
          <w:rFonts w:eastAsia="Arial"/>
        </w:rPr>
        <w:t>velpatasviras</w:t>
      </w:r>
      <w:proofErr w:type="spellEnd"/>
      <w:r w:rsidRPr="002B5BC5">
        <w:rPr>
          <w:rFonts w:eastAsia="Arial"/>
        </w:rPr>
        <w:t xml:space="preserve">/ </w:t>
      </w:r>
      <w:proofErr w:type="spellStart"/>
      <w:r w:rsidRPr="002B5BC5">
        <w:rPr>
          <w:rFonts w:eastAsia="Arial"/>
        </w:rPr>
        <w:t>voksilapreviras</w:t>
      </w:r>
      <w:proofErr w:type="spellEnd"/>
      <w:r w:rsidRPr="002B5BC5">
        <w:rPr>
          <w:rFonts w:eastAsia="Arial"/>
        </w:rPr>
        <w:t xml:space="preserve">. </w:t>
      </w:r>
      <w:proofErr w:type="spellStart"/>
      <w:r w:rsidRPr="002B5BC5">
        <w:rPr>
          <w:rFonts w:eastAsia="Arial"/>
        </w:rPr>
        <w:t>Grazoprevirą</w:t>
      </w:r>
      <w:proofErr w:type="spellEnd"/>
      <w:r w:rsidRPr="002B5BC5">
        <w:rPr>
          <w:rFonts w:eastAsia="Arial"/>
        </w:rPr>
        <w:t>/</w:t>
      </w:r>
      <w:proofErr w:type="spellStart"/>
      <w:r w:rsidRPr="002B5BC5">
        <w:rPr>
          <w:rFonts w:eastAsia="Arial"/>
        </w:rPr>
        <w:t>elbasvirą</w:t>
      </w:r>
      <w:proofErr w:type="spellEnd"/>
      <w:r w:rsidRPr="002B5BC5">
        <w:rPr>
          <w:rFonts w:eastAsia="Arial"/>
        </w:rPr>
        <w:t xml:space="preserve"> rekomenduojama </w:t>
      </w:r>
      <w:r w:rsidRPr="006557BC">
        <w:rPr>
          <w:rFonts w:eastAsia="Arial"/>
        </w:rPr>
        <w:t>vartoti tik pacientams, turintiems 1b genotipą.</w:t>
      </w:r>
      <w:r w:rsidRPr="002B5BC5">
        <w:rPr>
          <w:rFonts w:eastAsia="Arial"/>
        </w:rPr>
        <w:t xml:space="preserve"> </w:t>
      </w:r>
    </w:p>
    <w:p w14:paraId="04FB89E6" w14:textId="77777777" w:rsidR="00570D25" w:rsidRPr="006557BC" w:rsidRDefault="00570D25" w:rsidP="00570D25">
      <w:pPr>
        <w:jc w:val="both"/>
        <w:rPr>
          <w:rFonts w:eastAsia="Arial"/>
        </w:rPr>
      </w:pPr>
      <w:r w:rsidRPr="002B5BC5">
        <w:rPr>
          <w:rFonts w:eastAsia="Arial"/>
        </w:rPr>
        <w:tab/>
        <w:t xml:space="preserve">Šios paraiškos </w:t>
      </w:r>
      <w:r w:rsidRPr="002B5BC5">
        <w:rPr>
          <w:rFonts w:eastAsia="Arial"/>
          <w:u w:val="single"/>
        </w:rPr>
        <w:t>skyrimo sąlyga</w:t>
      </w:r>
      <w:r w:rsidRPr="002B5BC5">
        <w:rPr>
          <w:rFonts w:eastAsia="Arial"/>
        </w:rPr>
        <w:t xml:space="preserve"> – anksčiau gydyti pacientai, kuriems gydymas TVAVP nebuvo veiksmingas. 2020 m. EASL gairės nurodo, kad pacientai, kuriems gydymas TVAVP nebuvo veiksmingas, ir kuriems nėra nustatyta, ar nustatyta kompensuota kepenų cirozė, turi gauti fiksuotą dozę </w:t>
      </w:r>
      <w:proofErr w:type="spellStart"/>
      <w:r w:rsidRPr="002B5BC5">
        <w:rPr>
          <w:rFonts w:eastAsia="Arial"/>
        </w:rPr>
        <w:t>Sofosbuviro</w:t>
      </w:r>
      <w:proofErr w:type="spellEnd"/>
      <w:r w:rsidRPr="002B5BC5">
        <w:rPr>
          <w:rFonts w:eastAsia="Arial"/>
        </w:rPr>
        <w:t>/</w:t>
      </w:r>
      <w:proofErr w:type="spellStart"/>
      <w:r w:rsidRPr="002B5BC5">
        <w:rPr>
          <w:rFonts w:eastAsia="Arial"/>
        </w:rPr>
        <w:t>Velpatasviro</w:t>
      </w:r>
      <w:proofErr w:type="spellEnd"/>
      <w:r w:rsidRPr="002B5BC5">
        <w:rPr>
          <w:rFonts w:eastAsia="Arial"/>
        </w:rPr>
        <w:t>/</w:t>
      </w:r>
      <w:proofErr w:type="spellStart"/>
      <w:r w:rsidRPr="002B5BC5">
        <w:rPr>
          <w:rFonts w:eastAsia="Arial"/>
        </w:rPr>
        <w:t>Voxilapreviro</w:t>
      </w:r>
      <w:proofErr w:type="spellEnd"/>
      <w:r w:rsidRPr="002B5BC5">
        <w:rPr>
          <w:rFonts w:eastAsia="Arial"/>
        </w:rPr>
        <w:t xml:space="preserve"> derinio 12 sav. Esant pakartotinei </w:t>
      </w:r>
      <w:proofErr w:type="spellStart"/>
      <w:r w:rsidRPr="002B5BC5">
        <w:rPr>
          <w:rFonts w:eastAsia="Arial"/>
        </w:rPr>
        <w:t>reinfekcijai</w:t>
      </w:r>
      <w:proofErr w:type="spellEnd"/>
      <w:r w:rsidRPr="002B5BC5">
        <w:rPr>
          <w:rFonts w:eastAsia="Arial"/>
        </w:rPr>
        <w:t xml:space="preserve">, galima skirti </w:t>
      </w:r>
      <w:r w:rsidRPr="006557BC">
        <w:rPr>
          <w:rFonts w:eastAsia="Arial"/>
        </w:rPr>
        <w:t xml:space="preserve">ilgesnį </w:t>
      </w:r>
      <w:proofErr w:type="spellStart"/>
      <w:r w:rsidRPr="006557BC">
        <w:rPr>
          <w:rFonts w:eastAsia="Arial"/>
        </w:rPr>
        <w:t>Sofosbuviro</w:t>
      </w:r>
      <w:proofErr w:type="spellEnd"/>
      <w:r w:rsidRPr="006557BC">
        <w:rPr>
          <w:rFonts w:eastAsia="Arial"/>
        </w:rPr>
        <w:t>/</w:t>
      </w:r>
      <w:proofErr w:type="spellStart"/>
      <w:r w:rsidRPr="006557BC">
        <w:rPr>
          <w:rFonts w:eastAsia="Arial"/>
        </w:rPr>
        <w:t>velpatasviro</w:t>
      </w:r>
      <w:proofErr w:type="spellEnd"/>
      <w:r w:rsidRPr="006557BC">
        <w:rPr>
          <w:rFonts w:eastAsia="Arial"/>
        </w:rPr>
        <w:t xml:space="preserve">/ </w:t>
      </w:r>
      <w:proofErr w:type="spellStart"/>
      <w:r w:rsidRPr="006557BC">
        <w:rPr>
          <w:rFonts w:eastAsia="Arial"/>
        </w:rPr>
        <w:t>voksilapreviro</w:t>
      </w:r>
      <w:proofErr w:type="spellEnd"/>
      <w:r w:rsidRPr="006557BC">
        <w:rPr>
          <w:rFonts w:eastAsia="Arial"/>
        </w:rPr>
        <w:t xml:space="preserve"> derinio kursą, bei pridėti </w:t>
      </w:r>
      <w:proofErr w:type="spellStart"/>
      <w:r w:rsidRPr="006557BC">
        <w:rPr>
          <w:rFonts w:eastAsia="Arial"/>
        </w:rPr>
        <w:t>Rivabiriną</w:t>
      </w:r>
      <w:proofErr w:type="spellEnd"/>
      <w:r w:rsidRPr="006557BC">
        <w:rPr>
          <w:rFonts w:eastAsia="Arial"/>
        </w:rPr>
        <w:t>.</w:t>
      </w:r>
    </w:p>
    <w:p w14:paraId="40E5F8CC" w14:textId="77777777" w:rsidR="00570D25" w:rsidRDefault="00570D25" w:rsidP="00570D25">
      <w:pPr>
        <w:tabs>
          <w:tab w:val="left" w:pos="426"/>
        </w:tabs>
        <w:jc w:val="both"/>
      </w:pPr>
      <w:r>
        <w:rPr>
          <w:szCs w:val="18"/>
        </w:rPr>
        <w:tab/>
      </w:r>
      <w:r>
        <w:rPr>
          <w:szCs w:val="18"/>
        </w:rPr>
        <w:tab/>
      </w:r>
      <w:proofErr w:type="spellStart"/>
      <w:r w:rsidRPr="002B5BC5">
        <w:rPr>
          <w:szCs w:val="18"/>
        </w:rPr>
        <w:t>Sofosbuviras</w:t>
      </w:r>
      <w:proofErr w:type="spellEnd"/>
      <w:r w:rsidRPr="002B5BC5">
        <w:rPr>
          <w:szCs w:val="18"/>
        </w:rPr>
        <w:t>/</w:t>
      </w:r>
      <w:proofErr w:type="spellStart"/>
      <w:r w:rsidRPr="002B5BC5">
        <w:rPr>
          <w:szCs w:val="18"/>
        </w:rPr>
        <w:t>Velpatasviras</w:t>
      </w:r>
      <w:proofErr w:type="spellEnd"/>
      <w:r w:rsidRPr="002B5BC5">
        <w:rPr>
          <w:szCs w:val="18"/>
        </w:rPr>
        <w:t>/</w:t>
      </w:r>
      <w:proofErr w:type="spellStart"/>
      <w:r w:rsidRPr="002B5BC5">
        <w:rPr>
          <w:szCs w:val="18"/>
        </w:rPr>
        <w:t>Voksilapreviras</w:t>
      </w:r>
      <w:proofErr w:type="spellEnd"/>
      <w:r w:rsidRPr="002B5BC5">
        <w:rPr>
          <w:szCs w:val="18"/>
        </w:rPr>
        <w:t xml:space="preserve"> (</w:t>
      </w:r>
      <w:proofErr w:type="spellStart"/>
      <w:r w:rsidRPr="002B5BC5">
        <w:rPr>
          <w:szCs w:val="18"/>
        </w:rPr>
        <w:t>Vosevi</w:t>
      </w:r>
      <w:proofErr w:type="spellEnd"/>
      <w:r w:rsidRPr="002B5BC5">
        <w:rPr>
          <w:szCs w:val="18"/>
        </w:rPr>
        <w:t xml:space="preserve">) yra </w:t>
      </w:r>
      <w:proofErr w:type="spellStart"/>
      <w:r w:rsidRPr="002B5BC5">
        <w:rPr>
          <w:szCs w:val="18"/>
        </w:rPr>
        <w:t>pangenotipinis</w:t>
      </w:r>
      <w:proofErr w:type="spellEnd"/>
      <w:r w:rsidRPr="002B5BC5">
        <w:rPr>
          <w:szCs w:val="18"/>
        </w:rPr>
        <w:t xml:space="preserve">, vienos tabletės, </w:t>
      </w:r>
      <w:proofErr w:type="spellStart"/>
      <w:r w:rsidRPr="002B5BC5">
        <w:rPr>
          <w:szCs w:val="18"/>
        </w:rPr>
        <w:t>Sofosbuviro</w:t>
      </w:r>
      <w:proofErr w:type="spellEnd"/>
      <w:r w:rsidRPr="002B5BC5">
        <w:rPr>
          <w:szCs w:val="18"/>
        </w:rPr>
        <w:t xml:space="preserve"> pagrindu sukurtas antivirusinis derinys, skirtas suaugusiems pacientams, sergantiems lėtiniu hepatitu C be cirozės arba su kompensuota ciroze (</w:t>
      </w:r>
      <w:proofErr w:type="spellStart"/>
      <w:r w:rsidRPr="002B5BC5">
        <w:rPr>
          <w:szCs w:val="18"/>
        </w:rPr>
        <w:t>Child-Pugh</w:t>
      </w:r>
      <w:proofErr w:type="spellEnd"/>
      <w:r w:rsidRPr="002B5BC5">
        <w:rPr>
          <w:szCs w:val="18"/>
        </w:rPr>
        <w:t xml:space="preserve"> A), gydyti, kuriems nustatyta 1-6 HCV genotipų infekcija ir anksčiau buvo gydyti antivirusiniu deriniu, kuriame yra NS5A inhibitorių, arba kurie užsikrėtę 1a arba 3 HCV genotipo infekcija ir anksčiau buvo gydyti antivirusiniu deriniu, kuriame yra </w:t>
      </w:r>
      <w:proofErr w:type="spellStart"/>
      <w:r w:rsidRPr="002B5BC5">
        <w:rPr>
          <w:szCs w:val="18"/>
        </w:rPr>
        <w:t>Sofosbuviro</w:t>
      </w:r>
      <w:proofErr w:type="spellEnd"/>
      <w:r w:rsidRPr="002B5BC5">
        <w:rPr>
          <w:szCs w:val="18"/>
        </w:rPr>
        <w:t xml:space="preserve"> be NS5A inhibitorių.</w:t>
      </w:r>
      <w:r w:rsidRPr="006557BC">
        <w:tab/>
      </w:r>
      <w:r w:rsidRPr="006557BC">
        <w:tab/>
      </w:r>
    </w:p>
    <w:p w14:paraId="51868572" w14:textId="77777777" w:rsidR="00570D25" w:rsidRPr="002B5BC5" w:rsidRDefault="00570D25" w:rsidP="00570D25">
      <w:pPr>
        <w:tabs>
          <w:tab w:val="left" w:pos="426"/>
        </w:tabs>
        <w:jc w:val="both"/>
        <w:rPr>
          <w:bCs/>
          <w:iCs/>
          <w:lang w:eastAsia="lt-LT"/>
        </w:rPr>
      </w:pPr>
      <w:r>
        <w:rPr>
          <w:bCs/>
          <w:iCs/>
          <w:lang w:eastAsia="lt-LT"/>
        </w:rPr>
        <w:lastRenderedPageBreak/>
        <w:tab/>
      </w:r>
      <w:r>
        <w:rPr>
          <w:bCs/>
          <w:iCs/>
          <w:lang w:eastAsia="lt-LT"/>
        </w:rPr>
        <w:tab/>
      </w:r>
      <w:proofErr w:type="spellStart"/>
      <w:r w:rsidRPr="006557BC">
        <w:rPr>
          <w:bCs/>
          <w:iCs/>
          <w:lang w:eastAsia="lt-LT"/>
        </w:rPr>
        <w:t>Sofosbuviras</w:t>
      </w:r>
      <w:proofErr w:type="spellEnd"/>
      <w:r w:rsidRPr="006557BC">
        <w:rPr>
          <w:bCs/>
          <w:iCs/>
          <w:lang w:eastAsia="lt-LT"/>
        </w:rPr>
        <w:t xml:space="preserve"> yra visų genotipų HCV NS5B nuo RNR priklausomos RNR </w:t>
      </w:r>
      <w:proofErr w:type="spellStart"/>
      <w:r w:rsidRPr="006557BC">
        <w:rPr>
          <w:bCs/>
          <w:iCs/>
          <w:lang w:eastAsia="lt-LT"/>
        </w:rPr>
        <w:t>polimerazės</w:t>
      </w:r>
      <w:proofErr w:type="spellEnd"/>
      <w:r w:rsidRPr="006557BC">
        <w:rPr>
          <w:bCs/>
          <w:iCs/>
          <w:lang w:eastAsia="lt-LT"/>
        </w:rPr>
        <w:t xml:space="preserve">, atsakingos už viruso replikaciją, inhibitorius. </w:t>
      </w:r>
      <w:proofErr w:type="spellStart"/>
      <w:r w:rsidRPr="006557BC">
        <w:rPr>
          <w:bCs/>
          <w:iCs/>
          <w:lang w:eastAsia="lt-LT"/>
        </w:rPr>
        <w:t>Sofosbuviras</w:t>
      </w:r>
      <w:proofErr w:type="spellEnd"/>
      <w:r w:rsidRPr="006557BC">
        <w:rPr>
          <w:bCs/>
          <w:iCs/>
          <w:lang w:eastAsia="lt-LT"/>
        </w:rPr>
        <w:t xml:space="preserve"> yra nukleotidų </w:t>
      </w:r>
      <w:proofErr w:type="spellStart"/>
      <w:r w:rsidRPr="006557BC">
        <w:rPr>
          <w:bCs/>
          <w:iCs/>
          <w:lang w:eastAsia="lt-LT"/>
        </w:rPr>
        <w:t>provaistas</w:t>
      </w:r>
      <w:proofErr w:type="spellEnd"/>
      <w:r w:rsidRPr="006557BC">
        <w:rPr>
          <w:bCs/>
          <w:iCs/>
          <w:lang w:eastAsia="lt-LT"/>
        </w:rPr>
        <w:t xml:space="preserve">, ląstelės viduje </w:t>
      </w:r>
      <w:proofErr w:type="spellStart"/>
      <w:r w:rsidRPr="006557BC">
        <w:rPr>
          <w:bCs/>
          <w:iCs/>
          <w:lang w:eastAsia="lt-LT"/>
        </w:rPr>
        <w:t>metabolizuojamas</w:t>
      </w:r>
      <w:proofErr w:type="spellEnd"/>
      <w:r w:rsidRPr="002B5BC5">
        <w:rPr>
          <w:bCs/>
          <w:iCs/>
          <w:lang w:eastAsia="lt-LT"/>
        </w:rPr>
        <w:t xml:space="preserve"> į farmakologiškai aktyvų </w:t>
      </w:r>
      <w:proofErr w:type="spellStart"/>
      <w:r w:rsidRPr="002B5BC5">
        <w:rPr>
          <w:bCs/>
          <w:iCs/>
          <w:lang w:eastAsia="lt-LT"/>
        </w:rPr>
        <w:t>uridino</w:t>
      </w:r>
      <w:proofErr w:type="spellEnd"/>
      <w:r w:rsidRPr="002B5BC5">
        <w:rPr>
          <w:bCs/>
          <w:iCs/>
          <w:lang w:eastAsia="lt-LT"/>
        </w:rPr>
        <w:t xml:space="preserve"> </w:t>
      </w:r>
      <w:proofErr w:type="spellStart"/>
      <w:r w:rsidRPr="002B5BC5">
        <w:rPr>
          <w:bCs/>
          <w:iCs/>
          <w:lang w:eastAsia="lt-LT"/>
        </w:rPr>
        <w:t>analoga</w:t>
      </w:r>
      <w:proofErr w:type="spellEnd"/>
      <w:r w:rsidRPr="002B5BC5">
        <w:rPr>
          <w:bCs/>
          <w:iCs/>
          <w:lang w:eastAsia="lt-LT"/>
        </w:rPr>
        <w:t xml:space="preserve">̨ </w:t>
      </w:r>
      <w:proofErr w:type="spellStart"/>
      <w:r w:rsidRPr="002B5BC5">
        <w:rPr>
          <w:bCs/>
          <w:iCs/>
          <w:lang w:eastAsia="lt-LT"/>
        </w:rPr>
        <w:t>trifosfata</w:t>
      </w:r>
      <w:proofErr w:type="spellEnd"/>
      <w:r w:rsidRPr="002B5BC5">
        <w:rPr>
          <w:bCs/>
          <w:iCs/>
          <w:lang w:eastAsia="lt-LT"/>
        </w:rPr>
        <w:t xml:space="preserve">̨ (GS-461203), kuris NS5B </w:t>
      </w:r>
      <w:proofErr w:type="spellStart"/>
      <w:r w:rsidRPr="002B5BC5">
        <w:rPr>
          <w:bCs/>
          <w:iCs/>
          <w:lang w:eastAsia="lt-LT"/>
        </w:rPr>
        <w:t>polimerazės</w:t>
      </w:r>
      <w:proofErr w:type="spellEnd"/>
      <w:r w:rsidRPr="002B5BC5">
        <w:rPr>
          <w:bCs/>
          <w:iCs/>
          <w:lang w:eastAsia="lt-LT"/>
        </w:rPr>
        <w:t xml:space="preserve"> gali </w:t>
      </w:r>
      <w:proofErr w:type="spellStart"/>
      <w:r w:rsidRPr="002B5BC5">
        <w:rPr>
          <w:bCs/>
          <w:iCs/>
          <w:lang w:eastAsia="lt-LT"/>
        </w:rPr>
        <w:t>būti</w:t>
      </w:r>
      <w:proofErr w:type="spellEnd"/>
      <w:r w:rsidRPr="002B5BC5">
        <w:rPr>
          <w:bCs/>
          <w:iCs/>
          <w:lang w:eastAsia="lt-LT"/>
        </w:rPr>
        <w:t xml:space="preserve"> </w:t>
      </w:r>
      <w:proofErr w:type="spellStart"/>
      <w:r w:rsidRPr="002B5BC5">
        <w:rPr>
          <w:bCs/>
          <w:iCs/>
          <w:lang w:eastAsia="lt-LT"/>
        </w:rPr>
        <w:t>įtraukiamas</w:t>
      </w:r>
      <w:proofErr w:type="spellEnd"/>
      <w:r w:rsidRPr="002B5BC5">
        <w:rPr>
          <w:bCs/>
          <w:iCs/>
          <w:lang w:eastAsia="lt-LT"/>
        </w:rPr>
        <w:t xml:space="preserve"> į HCV RNR ir veikia kaip grandinės terminatorius. Atliekant biocheminius tyrimus, GS-461203 slopino HCV 1b, 2a, 3a ir 4a genotipų </w:t>
      </w:r>
      <w:proofErr w:type="spellStart"/>
      <w:r w:rsidRPr="002B5BC5">
        <w:rPr>
          <w:bCs/>
          <w:iCs/>
          <w:lang w:eastAsia="lt-LT"/>
        </w:rPr>
        <w:t>rekombinantinės</w:t>
      </w:r>
      <w:proofErr w:type="spellEnd"/>
      <w:r w:rsidRPr="002B5BC5">
        <w:rPr>
          <w:bCs/>
          <w:iCs/>
          <w:lang w:eastAsia="lt-LT"/>
        </w:rPr>
        <w:t xml:space="preserve"> NS5B </w:t>
      </w:r>
      <w:proofErr w:type="spellStart"/>
      <w:r w:rsidRPr="002B5BC5">
        <w:rPr>
          <w:bCs/>
          <w:iCs/>
          <w:lang w:eastAsia="lt-LT"/>
        </w:rPr>
        <w:t>polimerazės</w:t>
      </w:r>
      <w:proofErr w:type="spellEnd"/>
      <w:r w:rsidRPr="002B5BC5">
        <w:rPr>
          <w:bCs/>
          <w:iCs/>
          <w:lang w:eastAsia="lt-LT"/>
        </w:rPr>
        <w:t xml:space="preserve"> aktyvumą. GS-461203 </w:t>
      </w:r>
      <w:proofErr w:type="spellStart"/>
      <w:r w:rsidRPr="002B5BC5">
        <w:rPr>
          <w:bCs/>
          <w:iCs/>
          <w:lang w:eastAsia="lt-LT"/>
        </w:rPr>
        <w:t>nėra</w:t>
      </w:r>
      <w:proofErr w:type="spellEnd"/>
      <w:r w:rsidRPr="002B5BC5">
        <w:rPr>
          <w:bCs/>
          <w:iCs/>
          <w:lang w:eastAsia="lt-LT"/>
        </w:rPr>
        <w:t xml:space="preserve"> nei </w:t>
      </w:r>
      <w:proofErr w:type="spellStart"/>
      <w:r w:rsidRPr="002B5BC5">
        <w:rPr>
          <w:bCs/>
          <w:iCs/>
          <w:lang w:eastAsia="lt-LT"/>
        </w:rPr>
        <w:t>žmogaus</w:t>
      </w:r>
      <w:proofErr w:type="spellEnd"/>
      <w:r w:rsidRPr="002B5BC5">
        <w:rPr>
          <w:bCs/>
          <w:iCs/>
          <w:lang w:eastAsia="lt-LT"/>
        </w:rPr>
        <w:t xml:space="preserve"> DNR ar RNR </w:t>
      </w:r>
      <w:proofErr w:type="spellStart"/>
      <w:r w:rsidRPr="002B5BC5">
        <w:rPr>
          <w:bCs/>
          <w:iCs/>
          <w:lang w:eastAsia="lt-LT"/>
        </w:rPr>
        <w:t>polimeraziu</w:t>
      </w:r>
      <w:proofErr w:type="spellEnd"/>
      <w:r w:rsidRPr="002B5BC5">
        <w:rPr>
          <w:bCs/>
          <w:iCs/>
          <w:lang w:eastAsia="lt-LT"/>
        </w:rPr>
        <w:t xml:space="preserve">̨ inhibitorius, nei </w:t>
      </w:r>
      <w:proofErr w:type="spellStart"/>
      <w:r w:rsidRPr="002B5BC5">
        <w:rPr>
          <w:bCs/>
          <w:iCs/>
          <w:lang w:eastAsia="lt-LT"/>
        </w:rPr>
        <w:t>mitochondriju</w:t>
      </w:r>
      <w:proofErr w:type="spellEnd"/>
      <w:r w:rsidRPr="002B5BC5">
        <w:rPr>
          <w:bCs/>
          <w:iCs/>
          <w:lang w:eastAsia="lt-LT"/>
        </w:rPr>
        <w:t xml:space="preserve">̨ RNR </w:t>
      </w:r>
      <w:proofErr w:type="spellStart"/>
      <w:r w:rsidRPr="002B5BC5">
        <w:rPr>
          <w:bCs/>
          <w:iCs/>
          <w:lang w:eastAsia="lt-LT"/>
        </w:rPr>
        <w:t>polimerazės</w:t>
      </w:r>
      <w:proofErr w:type="spellEnd"/>
      <w:r w:rsidRPr="002B5BC5">
        <w:rPr>
          <w:bCs/>
          <w:iCs/>
          <w:lang w:eastAsia="lt-LT"/>
        </w:rPr>
        <w:t xml:space="preserve"> inhibitorius.</w:t>
      </w:r>
      <w:r>
        <w:rPr>
          <w:bCs/>
          <w:iCs/>
          <w:lang w:eastAsia="lt-LT"/>
        </w:rPr>
        <w:t xml:space="preserve"> </w:t>
      </w:r>
      <w:proofErr w:type="spellStart"/>
      <w:r w:rsidRPr="002B5BC5">
        <w:rPr>
          <w:bCs/>
          <w:iCs/>
          <w:lang w:eastAsia="lt-LT"/>
        </w:rPr>
        <w:t>Voksilapreviras</w:t>
      </w:r>
      <w:proofErr w:type="spellEnd"/>
      <w:r w:rsidRPr="002B5BC5">
        <w:rPr>
          <w:bCs/>
          <w:iCs/>
          <w:lang w:eastAsia="lt-LT"/>
        </w:rPr>
        <w:t xml:space="preserve"> yra </w:t>
      </w:r>
      <w:proofErr w:type="spellStart"/>
      <w:r w:rsidRPr="002B5BC5">
        <w:rPr>
          <w:bCs/>
          <w:iCs/>
          <w:lang w:eastAsia="lt-LT"/>
        </w:rPr>
        <w:t>pan-genotipinis</w:t>
      </w:r>
      <w:proofErr w:type="spellEnd"/>
      <w:r w:rsidRPr="002B5BC5">
        <w:rPr>
          <w:bCs/>
          <w:iCs/>
          <w:lang w:eastAsia="lt-LT"/>
        </w:rPr>
        <w:t xml:space="preserve"> HCV NS3/4A </w:t>
      </w:r>
      <w:proofErr w:type="spellStart"/>
      <w:r w:rsidRPr="002B5BC5">
        <w:rPr>
          <w:bCs/>
          <w:iCs/>
          <w:lang w:eastAsia="lt-LT"/>
        </w:rPr>
        <w:t>proteazės</w:t>
      </w:r>
      <w:proofErr w:type="spellEnd"/>
      <w:r w:rsidRPr="002B5BC5">
        <w:rPr>
          <w:bCs/>
          <w:iCs/>
          <w:lang w:eastAsia="lt-LT"/>
        </w:rPr>
        <w:t xml:space="preserve"> inhibitorius. </w:t>
      </w:r>
      <w:proofErr w:type="spellStart"/>
      <w:r w:rsidRPr="002B5BC5">
        <w:rPr>
          <w:bCs/>
          <w:iCs/>
          <w:lang w:eastAsia="lt-LT"/>
        </w:rPr>
        <w:t>Voksilapreviras</w:t>
      </w:r>
      <w:proofErr w:type="spellEnd"/>
      <w:r w:rsidRPr="002B5BC5">
        <w:rPr>
          <w:bCs/>
          <w:iCs/>
          <w:lang w:eastAsia="lt-LT"/>
        </w:rPr>
        <w:t xml:space="preserve"> veikia kaip </w:t>
      </w:r>
      <w:proofErr w:type="spellStart"/>
      <w:r w:rsidRPr="002B5BC5">
        <w:rPr>
          <w:bCs/>
          <w:iCs/>
          <w:lang w:eastAsia="lt-LT"/>
        </w:rPr>
        <w:t>nekovalentinis</w:t>
      </w:r>
      <w:proofErr w:type="spellEnd"/>
      <w:r w:rsidRPr="002B5BC5">
        <w:rPr>
          <w:bCs/>
          <w:iCs/>
          <w:lang w:eastAsia="lt-LT"/>
        </w:rPr>
        <w:t xml:space="preserve">, </w:t>
      </w:r>
      <w:proofErr w:type="spellStart"/>
      <w:r w:rsidRPr="002B5BC5">
        <w:rPr>
          <w:bCs/>
          <w:iCs/>
          <w:lang w:eastAsia="lt-LT"/>
        </w:rPr>
        <w:t>atvirkštinis</w:t>
      </w:r>
      <w:proofErr w:type="spellEnd"/>
      <w:r w:rsidRPr="002B5BC5">
        <w:rPr>
          <w:bCs/>
          <w:iCs/>
          <w:lang w:eastAsia="lt-LT"/>
        </w:rPr>
        <w:t xml:space="preserve"> NS3/4A </w:t>
      </w:r>
      <w:proofErr w:type="spellStart"/>
      <w:r w:rsidRPr="002B5BC5">
        <w:rPr>
          <w:bCs/>
          <w:iCs/>
          <w:lang w:eastAsia="lt-LT"/>
        </w:rPr>
        <w:t>proteazės</w:t>
      </w:r>
      <w:proofErr w:type="spellEnd"/>
      <w:r w:rsidRPr="002B5BC5">
        <w:rPr>
          <w:bCs/>
          <w:iCs/>
          <w:lang w:eastAsia="lt-LT"/>
        </w:rPr>
        <w:t xml:space="preserve"> inhibitorius.</w:t>
      </w:r>
      <w:r>
        <w:rPr>
          <w:bCs/>
          <w:iCs/>
          <w:lang w:eastAsia="lt-LT"/>
        </w:rPr>
        <w:t xml:space="preserve"> </w:t>
      </w:r>
      <w:proofErr w:type="spellStart"/>
      <w:r w:rsidRPr="002B5BC5">
        <w:rPr>
          <w:bCs/>
          <w:iCs/>
          <w:lang w:eastAsia="lt-LT"/>
        </w:rPr>
        <w:t>Velpatasviras</w:t>
      </w:r>
      <w:proofErr w:type="spellEnd"/>
      <w:r w:rsidRPr="002B5BC5">
        <w:rPr>
          <w:bCs/>
          <w:iCs/>
          <w:lang w:eastAsia="lt-LT"/>
        </w:rPr>
        <w:t xml:space="preserve"> yra HCV inhibitorius, veikiantis HCV NS5A baltymą, atsakingą už RNR replikaciją ir HCV virionų sankaupą.</w:t>
      </w:r>
    </w:p>
    <w:p w14:paraId="30BA505D" w14:textId="77777777" w:rsidR="00570D25" w:rsidRPr="002B5BC5" w:rsidRDefault="00570D25" w:rsidP="00570D25">
      <w:pPr>
        <w:tabs>
          <w:tab w:val="left" w:pos="426"/>
        </w:tabs>
        <w:jc w:val="both"/>
        <w:rPr>
          <w:szCs w:val="18"/>
        </w:rPr>
      </w:pPr>
      <w:r w:rsidRPr="002B5BC5">
        <w:tab/>
      </w:r>
      <w:r w:rsidRPr="002B5BC5">
        <w:tab/>
        <w:t>Lėtinis VHC Lietuvoje gydomas remiantis 2012 m. spalio 24 d. įsakymu Nr. V-960 „Lėtinio virusinio hepatito C diagnostikos ir ambulatorinio gydymo kompensuojamaisiais vaistais tvarkos aprašu”.</w:t>
      </w:r>
      <w:r w:rsidRPr="002B5BC5">
        <w:rPr>
          <w:spacing w:val="-4"/>
        </w:rPr>
        <w:t xml:space="preserve"> Nepaisant šiuo metu galiojančio tvarkos aprašo, kompensuojamų vaistų sąraše yra daugiau vaistų, kurie tvarkos apraše nėra minėti: </w:t>
      </w:r>
      <w:proofErr w:type="spellStart"/>
      <w:r w:rsidRPr="002B5BC5">
        <w:rPr>
          <w:spacing w:val="-4"/>
        </w:rPr>
        <w:t>Elbasviras</w:t>
      </w:r>
      <w:proofErr w:type="spellEnd"/>
      <w:r w:rsidRPr="002B5BC5">
        <w:rPr>
          <w:spacing w:val="-4"/>
        </w:rPr>
        <w:t>/</w:t>
      </w:r>
      <w:proofErr w:type="spellStart"/>
      <w:r w:rsidRPr="002B5BC5">
        <w:rPr>
          <w:spacing w:val="-4"/>
        </w:rPr>
        <w:t>Grazopreviras</w:t>
      </w:r>
      <w:proofErr w:type="spellEnd"/>
      <w:r w:rsidRPr="002B5BC5">
        <w:rPr>
          <w:spacing w:val="-4"/>
        </w:rPr>
        <w:t xml:space="preserve">, </w:t>
      </w:r>
      <w:proofErr w:type="spellStart"/>
      <w:r w:rsidRPr="002B5BC5">
        <w:rPr>
          <w:spacing w:val="-4"/>
        </w:rPr>
        <w:t>Glecapreviras</w:t>
      </w:r>
      <w:proofErr w:type="spellEnd"/>
      <w:r w:rsidRPr="002B5BC5">
        <w:rPr>
          <w:spacing w:val="-4"/>
        </w:rPr>
        <w:t xml:space="preserve">/ </w:t>
      </w:r>
      <w:proofErr w:type="spellStart"/>
      <w:r w:rsidRPr="002B5BC5">
        <w:rPr>
          <w:spacing w:val="-4"/>
        </w:rPr>
        <w:t>Pibrentasviras</w:t>
      </w:r>
      <w:proofErr w:type="spellEnd"/>
      <w:r w:rsidRPr="002B5BC5">
        <w:rPr>
          <w:spacing w:val="-4"/>
        </w:rPr>
        <w:t xml:space="preserve">, kurie yra skirti </w:t>
      </w:r>
      <w:r w:rsidRPr="002B5BC5">
        <w:rPr>
          <w:rFonts w:eastAsia="Arial"/>
        </w:rPr>
        <w:t>lėtinio VHC gydymui</w:t>
      </w:r>
      <w:r w:rsidRPr="002B5BC5">
        <w:rPr>
          <w:spacing w:val="-4"/>
        </w:rPr>
        <w:t>.</w:t>
      </w:r>
      <w:r>
        <w:rPr>
          <w:spacing w:val="-4"/>
        </w:rPr>
        <w:t xml:space="preserve"> </w:t>
      </w:r>
      <w:r w:rsidRPr="002B5BC5">
        <w:rPr>
          <w:szCs w:val="18"/>
        </w:rPr>
        <w:t>Remiantis VLK statistika, 2020 m. buvo naudojami tik du iš šių gydymo būdų: „</w:t>
      </w:r>
      <w:proofErr w:type="spellStart"/>
      <w:r w:rsidRPr="002B5BC5">
        <w:rPr>
          <w:szCs w:val="18"/>
        </w:rPr>
        <w:t>Maviret</w:t>
      </w:r>
      <w:proofErr w:type="spellEnd"/>
      <w:r w:rsidRPr="002B5BC5">
        <w:rPr>
          <w:szCs w:val="18"/>
        </w:rPr>
        <w:t>“ (</w:t>
      </w:r>
      <w:proofErr w:type="spellStart"/>
      <w:r w:rsidRPr="002B5BC5">
        <w:rPr>
          <w:szCs w:val="18"/>
        </w:rPr>
        <w:t>glecapreviras</w:t>
      </w:r>
      <w:proofErr w:type="spellEnd"/>
      <w:r w:rsidRPr="002B5BC5">
        <w:rPr>
          <w:szCs w:val="18"/>
        </w:rPr>
        <w:t xml:space="preserve"> / </w:t>
      </w:r>
      <w:proofErr w:type="spellStart"/>
      <w:r w:rsidRPr="002B5BC5">
        <w:rPr>
          <w:szCs w:val="18"/>
        </w:rPr>
        <w:t>pibrentasviras</w:t>
      </w:r>
      <w:proofErr w:type="spellEnd"/>
      <w:r w:rsidRPr="002B5BC5">
        <w:rPr>
          <w:szCs w:val="18"/>
        </w:rPr>
        <w:t>) ir „</w:t>
      </w:r>
      <w:proofErr w:type="spellStart"/>
      <w:r w:rsidRPr="002B5BC5">
        <w:rPr>
          <w:szCs w:val="18"/>
        </w:rPr>
        <w:t>Zepatier</w:t>
      </w:r>
      <w:proofErr w:type="spellEnd"/>
      <w:r w:rsidRPr="002B5BC5">
        <w:rPr>
          <w:szCs w:val="18"/>
        </w:rPr>
        <w:t>“ (</w:t>
      </w:r>
      <w:proofErr w:type="spellStart"/>
      <w:r w:rsidRPr="002B5BC5">
        <w:rPr>
          <w:szCs w:val="18"/>
        </w:rPr>
        <w:t>elbasviras</w:t>
      </w:r>
      <w:proofErr w:type="spellEnd"/>
      <w:r w:rsidRPr="002B5BC5">
        <w:rPr>
          <w:szCs w:val="18"/>
        </w:rPr>
        <w:t xml:space="preserve"> / </w:t>
      </w:r>
      <w:proofErr w:type="spellStart"/>
      <w:r w:rsidRPr="002B5BC5">
        <w:rPr>
          <w:szCs w:val="18"/>
        </w:rPr>
        <w:t>grazopreviras</w:t>
      </w:r>
      <w:proofErr w:type="spellEnd"/>
      <w:r w:rsidRPr="002B5BC5">
        <w:rPr>
          <w:szCs w:val="18"/>
        </w:rPr>
        <w:t>).</w:t>
      </w:r>
    </w:p>
    <w:p w14:paraId="76A9D37A" w14:textId="77777777" w:rsidR="00570D25" w:rsidRPr="002B5BC5" w:rsidRDefault="00570D25" w:rsidP="00570D25">
      <w:pPr>
        <w:tabs>
          <w:tab w:val="left" w:pos="426"/>
        </w:tabs>
        <w:jc w:val="both"/>
        <w:rPr>
          <w:spacing w:val="-4"/>
        </w:rPr>
      </w:pPr>
      <w:r w:rsidRPr="002B5BC5">
        <w:rPr>
          <w:spacing w:val="-4"/>
        </w:rPr>
        <w:tab/>
      </w:r>
      <w:r w:rsidRPr="002B5BC5">
        <w:rPr>
          <w:spacing w:val="-4"/>
        </w:rPr>
        <w:tab/>
      </w:r>
      <w:r w:rsidRPr="00CB1369">
        <w:rPr>
          <w:spacing w:val="-4"/>
        </w:rPr>
        <w:t>Svarbu paminėti, kad Lietuvoje šiuo metu vaistų, kurie būtų skirti pakartotiniam gydymui, kai</w:t>
      </w:r>
      <w:r>
        <w:rPr>
          <w:spacing w:val="-4"/>
        </w:rPr>
        <w:t xml:space="preserve"> gydymas TVAVP nebuvo efektyvus, nėra.</w:t>
      </w:r>
    </w:p>
    <w:p w14:paraId="6C22EB66" w14:textId="77777777" w:rsidR="00570D25" w:rsidRPr="002B5BC5" w:rsidRDefault="00570D25" w:rsidP="00570D25">
      <w:pPr>
        <w:tabs>
          <w:tab w:val="left" w:pos="426"/>
        </w:tabs>
        <w:jc w:val="both"/>
        <w:rPr>
          <w:bCs/>
          <w:iCs/>
          <w:highlight w:val="yellow"/>
          <w:lang w:eastAsia="lt-LT"/>
        </w:rPr>
      </w:pPr>
      <w:r w:rsidRPr="002B5BC5">
        <w:rPr>
          <w:bCs/>
        </w:rPr>
        <w:tab/>
      </w:r>
      <w:r w:rsidRPr="002B5BC5">
        <w:rPr>
          <w:bCs/>
        </w:rPr>
        <w:tab/>
        <w:t xml:space="preserve">Pergydymo galimybės, nepasiekus </w:t>
      </w:r>
      <w:proofErr w:type="spellStart"/>
      <w:r w:rsidRPr="002B5BC5">
        <w:rPr>
          <w:bCs/>
        </w:rPr>
        <w:t>virusologinio</w:t>
      </w:r>
      <w:proofErr w:type="spellEnd"/>
      <w:r w:rsidRPr="002B5BC5">
        <w:rPr>
          <w:bCs/>
        </w:rPr>
        <w:t xml:space="preserve"> atsako skiriant įprastą </w:t>
      </w:r>
      <w:proofErr w:type="spellStart"/>
      <w:r w:rsidRPr="002B5BC5">
        <w:rPr>
          <w:bCs/>
        </w:rPr>
        <w:t>pangenotipinį</w:t>
      </w:r>
      <w:proofErr w:type="spellEnd"/>
      <w:r w:rsidRPr="002B5BC5">
        <w:rPr>
          <w:bCs/>
        </w:rPr>
        <w:t xml:space="preserve"> antivirusinių vaistų derinį </w:t>
      </w:r>
      <w:proofErr w:type="spellStart"/>
      <w:r w:rsidRPr="002B5BC5">
        <w:rPr>
          <w:bCs/>
        </w:rPr>
        <w:t>Glecapreviro</w:t>
      </w:r>
      <w:proofErr w:type="spellEnd"/>
      <w:r w:rsidRPr="002B5BC5">
        <w:rPr>
          <w:bCs/>
        </w:rPr>
        <w:t>/</w:t>
      </w:r>
      <w:proofErr w:type="spellStart"/>
      <w:r w:rsidRPr="002B5BC5">
        <w:rPr>
          <w:bCs/>
        </w:rPr>
        <w:t>Pibrentasviro</w:t>
      </w:r>
      <w:proofErr w:type="spellEnd"/>
      <w:r w:rsidRPr="002B5BC5">
        <w:rPr>
          <w:bCs/>
        </w:rPr>
        <w:t xml:space="preserve"> ar skiriant ne</w:t>
      </w:r>
      <w:r>
        <w:rPr>
          <w:bCs/>
        </w:rPr>
        <w:t xml:space="preserve"> </w:t>
      </w:r>
      <w:proofErr w:type="spellStart"/>
      <w:r w:rsidRPr="002B5BC5">
        <w:rPr>
          <w:bCs/>
        </w:rPr>
        <w:t>pangenotipinį</w:t>
      </w:r>
      <w:proofErr w:type="spellEnd"/>
      <w:r w:rsidRPr="002B5BC5">
        <w:rPr>
          <w:bCs/>
        </w:rPr>
        <w:t xml:space="preserve"> </w:t>
      </w:r>
      <w:proofErr w:type="spellStart"/>
      <w:r w:rsidRPr="002B5BC5">
        <w:rPr>
          <w:bCs/>
        </w:rPr>
        <w:t>Elbasviro</w:t>
      </w:r>
      <w:proofErr w:type="spellEnd"/>
      <w:r w:rsidRPr="002B5BC5">
        <w:rPr>
          <w:bCs/>
        </w:rPr>
        <w:t>/</w:t>
      </w:r>
      <w:proofErr w:type="spellStart"/>
      <w:r w:rsidRPr="002B5BC5">
        <w:rPr>
          <w:bCs/>
        </w:rPr>
        <w:t>Grazopreviro</w:t>
      </w:r>
      <w:proofErr w:type="spellEnd"/>
      <w:r w:rsidRPr="002B5BC5">
        <w:rPr>
          <w:bCs/>
        </w:rPr>
        <w:t xml:space="preserve"> antivirusinių vaistų derinį lėtinio VHC gydymui Lietuvoje šiuo metu nėra. </w:t>
      </w:r>
      <w:r w:rsidRPr="00CB1369">
        <w:rPr>
          <w:rFonts w:eastAsia="Arial"/>
        </w:rPr>
        <w:t xml:space="preserve">Lietuvos infektologų draugija savo rašte nurodo, kad šiuo metu Lietuvoje pakartotiniam gydymui yra taikomas </w:t>
      </w:r>
      <w:r w:rsidRPr="00CB1369">
        <w:rPr>
          <w:bCs/>
        </w:rPr>
        <w:t xml:space="preserve">neefektyvaus gydymo </w:t>
      </w:r>
      <w:proofErr w:type="spellStart"/>
      <w:r w:rsidRPr="00CB1369">
        <w:rPr>
          <w:bCs/>
        </w:rPr>
        <w:t>pangenotipiniu</w:t>
      </w:r>
      <w:proofErr w:type="spellEnd"/>
      <w:r w:rsidRPr="00CB1369">
        <w:rPr>
          <w:bCs/>
        </w:rPr>
        <w:t xml:space="preserve"> antivirusinių vaistų </w:t>
      </w:r>
      <w:proofErr w:type="spellStart"/>
      <w:r w:rsidRPr="00CB1369">
        <w:rPr>
          <w:bCs/>
        </w:rPr>
        <w:t>Glecapreviro</w:t>
      </w:r>
      <w:proofErr w:type="spellEnd"/>
      <w:r w:rsidRPr="00CB1369">
        <w:rPr>
          <w:bCs/>
        </w:rPr>
        <w:t>/</w:t>
      </w:r>
      <w:proofErr w:type="spellStart"/>
      <w:r w:rsidRPr="00CB1369">
        <w:rPr>
          <w:bCs/>
        </w:rPr>
        <w:t>Pibrentasviro</w:t>
      </w:r>
      <w:proofErr w:type="spellEnd"/>
      <w:r w:rsidRPr="00CB1369">
        <w:rPr>
          <w:bCs/>
        </w:rPr>
        <w:t xml:space="preserve"> deriniu kurso kartojimas kartu skiriant </w:t>
      </w:r>
      <w:proofErr w:type="spellStart"/>
      <w:r w:rsidRPr="00CB1369">
        <w:rPr>
          <w:bCs/>
        </w:rPr>
        <w:t>Sofosbuvirą</w:t>
      </w:r>
      <w:proofErr w:type="spellEnd"/>
      <w:r w:rsidRPr="00CB1369">
        <w:rPr>
          <w:bCs/>
        </w:rPr>
        <w:t xml:space="preserve">, kuris yra </w:t>
      </w:r>
      <w:r w:rsidRPr="00CB1369">
        <w:rPr>
          <w:bCs/>
          <w:u w:val="single"/>
        </w:rPr>
        <w:t>nekompensuojamas</w:t>
      </w:r>
      <w:r w:rsidRPr="002B5BC5">
        <w:rPr>
          <w:bCs/>
        </w:rPr>
        <w:t>.</w:t>
      </w:r>
    </w:p>
    <w:p w14:paraId="12ADA078" w14:textId="77777777" w:rsidR="00570D25" w:rsidRPr="00CB1369" w:rsidRDefault="00570D25" w:rsidP="00570D25">
      <w:pPr>
        <w:tabs>
          <w:tab w:val="left" w:pos="426"/>
        </w:tabs>
        <w:jc w:val="both"/>
        <w:rPr>
          <w:rFonts w:eastAsia="Arial"/>
          <w:color w:val="000000" w:themeColor="text1"/>
        </w:rPr>
      </w:pPr>
      <w:r>
        <w:rPr>
          <w:bCs/>
          <w:color w:val="000000" w:themeColor="text1"/>
          <w:lang w:eastAsia="lt-LT"/>
        </w:rPr>
        <w:tab/>
      </w:r>
      <w:r>
        <w:rPr>
          <w:bCs/>
          <w:color w:val="000000" w:themeColor="text1"/>
          <w:lang w:eastAsia="lt-LT"/>
        </w:rPr>
        <w:tab/>
      </w:r>
      <w:r w:rsidRPr="00CB1369">
        <w:rPr>
          <w:bCs/>
          <w:color w:val="000000" w:themeColor="text1"/>
          <w:lang w:eastAsia="lt-LT"/>
        </w:rPr>
        <w:t>Pagal Lietuvos Respublikos sveikatos apsaugos ministro 2002 m. balandžio 5 d. įsakymu Nr. V-159 „Dė</w:t>
      </w:r>
      <w:r w:rsidRPr="00CB1369">
        <w:rPr>
          <w:bCs/>
          <w:color w:val="000000" w:themeColor="text1"/>
        </w:rPr>
        <w:t xml:space="preserve">l vaistinių preparatų ir medicinos pagalbos priemonių įrašymo į kompensavimo sąrašus ir jų keitimo tvarkos aprašo patvirtinimo“ (116-119 </w:t>
      </w:r>
      <w:proofErr w:type="spellStart"/>
      <w:r w:rsidRPr="00CB1369">
        <w:rPr>
          <w:bCs/>
          <w:color w:val="000000" w:themeColor="text1"/>
        </w:rPr>
        <w:t>pp</w:t>
      </w:r>
      <w:proofErr w:type="spellEnd"/>
      <w:r w:rsidRPr="00CB1369">
        <w:rPr>
          <w:bCs/>
          <w:color w:val="000000" w:themeColor="text1"/>
        </w:rPr>
        <w:t xml:space="preserve">.) šiuo atveju tinkamas palyginamasis vaistinis preparatas –  </w:t>
      </w:r>
      <w:proofErr w:type="spellStart"/>
      <w:r w:rsidRPr="00CB1369">
        <w:rPr>
          <w:bCs/>
          <w:color w:val="000000" w:themeColor="text1"/>
        </w:rPr>
        <w:t>placebas</w:t>
      </w:r>
      <w:proofErr w:type="spellEnd"/>
      <w:r w:rsidRPr="00CB1369">
        <w:rPr>
          <w:bCs/>
          <w:color w:val="000000" w:themeColor="text1"/>
        </w:rPr>
        <w:t xml:space="preserve">. </w:t>
      </w:r>
    </w:p>
    <w:p w14:paraId="29F1CB2D" w14:textId="77777777" w:rsidR="00570D25" w:rsidRDefault="00570D25" w:rsidP="00570D25">
      <w:pPr>
        <w:rPr>
          <w:rFonts w:eastAsia="Arial"/>
          <w:highlight w:val="yellow"/>
        </w:rPr>
      </w:pPr>
    </w:p>
    <w:p w14:paraId="3C0C3DF0" w14:textId="77777777" w:rsidR="00570D25" w:rsidRPr="007A56B9" w:rsidRDefault="00570D25" w:rsidP="00570D25">
      <w:pPr>
        <w:rPr>
          <w:rFonts w:eastAsia="Arial"/>
          <w:i/>
        </w:rPr>
      </w:pPr>
      <w:r w:rsidRPr="007A56B9">
        <w:rPr>
          <w:rFonts w:eastAsia="Arial"/>
          <w:i/>
        </w:rPr>
        <w:t>Tiesioginis palyginimas</w:t>
      </w:r>
    </w:p>
    <w:p w14:paraId="3CB0E9B1" w14:textId="77777777" w:rsidR="00570D25" w:rsidRPr="002B5BC5" w:rsidRDefault="00570D25" w:rsidP="00570D25">
      <w:pPr>
        <w:tabs>
          <w:tab w:val="left" w:pos="492"/>
        </w:tabs>
        <w:outlineLvl w:val="1"/>
        <w:rPr>
          <w:rFonts w:eastAsia="Arial"/>
          <w:b/>
          <w:highlight w:val="yellow"/>
        </w:rPr>
      </w:pPr>
    </w:p>
    <w:p w14:paraId="6A020C68" w14:textId="77777777" w:rsidR="00570D25" w:rsidRDefault="00570D25" w:rsidP="00570D25">
      <w:pPr>
        <w:widowControl w:val="0"/>
        <w:pBdr>
          <w:top w:val="nil"/>
          <w:left w:val="nil"/>
          <w:bottom w:val="nil"/>
          <w:right w:val="nil"/>
          <w:between w:val="nil"/>
        </w:pBdr>
        <w:ind w:firstLine="720"/>
        <w:jc w:val="both"/>
      </w:pPr>
      <w:r w:rsidRPr="002B5BC5">
        <w:t xml:space="preserve">POLARIS-1 – atsitiktinių imčių, dvigubai koduotas, </w:t>
      </w:r>
      <w:proofErr w:type="spellStart"/>
      <w:r w:rsidRPr="002B5BC5">
        <w:t>placebu</w:t>
      </w:r>
      <w:proofErr w:type="spellEnd"/>
      <w:r w:rsidRPr="002B5BC5">
        <w:t xml:space="preserve"> kontroliuojamas, </w:t>
      </w:r>
      <w:proofErr w:type="spellStart"/>
      <w:r w:rsidRPr="002B5BC5">
        <w:t>daugiacentrinis</w:t>
      </w:r>
      <w:proofErr w:type="spellEnd"/>
      <w:r w:rsidRPr="002B5BC5">
        <w:t xml:space="preserve"> III fazės klinikinis tyrimas, kuriame dalyvavo NS5A inhibitorių anksčiau vartoję pacientai, 1-6 genotipo, sergantys arba nesergantys kepenų ciroze.</w:t>
      </w:r>
    </w:p>
    <w:p w14:paraId="6BA2DB34" w14:textId="77777777" w:rsidR="00570D25" w:rsidRPr="002B5BC5" w:rsidRDefault="00570D25" w:rsidP="00570D25">
      <w:pPr>
        <w:tabs>
          <w:tab w:val="left" w:pos="426"/>
        </w:tabs>
        <w:jc w:val="both"/>
      </w:pPr>
      <w:r w:rsidRPr="002B5BC5">
        <w:tab/>
      </w:r>
      <w:r>
        <w:tab/>
      </w:r>
      <w:r w:rsidRPr="002B5BC5">
        <w:t xml:space="preserve">POLARIS-1 viso įtraukė 520 pacientus, tačiau atmetus pacientus, kuriems gydymas nebuvo taikomas dėl įtraukimo kriterijų, galutinę tyrimo populiaciją sudarė 415 pacientų. Iš jų, 300 asmenų, sergančių 1 genotipo lėtiniu VHC, buvo atsitiktinai (santykiu 1:1) suskirstyti į grupes: a. </w:t>
      </w:r>
      <w:proofErr w:type="spellStart"/>
      <w:r w:rsidRPr="002B5BC5">
        <w:rPr>
          <w:szCs w:val="18"/>
        </w:rPr>
        <w:t>Sofosbuviro</w:t>
      </w:r>
      <w:proofErr w:type="spellEnd"/>
      <w:r w:rsidRPr="002B5BC5">
        <w:rPr>
          <w:szCs w:val="18"/>
        </w:rPr>
        <w:t>/</w:t>
      </w:r>
      <w:proofErr w:type="spellStart"/>
      <w:r w:rsidRPr="002B5BC5">
        <w:rPr>
          <w:szCs w:val="18"/>
        </w:rPr>
        <w:t>Velpatasviro</w:t>
      </w:r>
      <w:proofErr w:type="spellEnd"/>
      <w:r w:rsidRPr="002B5BC5">
        <w:rPr>
          <w:szCs w:val="18"/>
        </w:rPr>
        <w:t>/</w:t>
      </w:r>
      <w:proofErr w:type="spellStart"/>
      <w:r w:rsidRPr="002B5BC5">
        <w:rPr>
          <w:szCs w:val="18"/>
        </w:rPr>
        <w:t>Voksilapreviro</w:t>
      </w:r>
      <w:proofErr w:type="spellEnd"/>
      <w:r w:rsidRPr="002B5BC5">
        <w:rPr>
          <w:szCs w:val="18"/>
        </w:rPr>
        <w:t xml:space="preserve"> derinys (SOF/VEL/VOX)</w:t>
      </w:r>
      <w:r w:rsidRPr="002B5BC5">
        <w:t xml:space="preserve"> arba b. </w:t>
      </w:r>
      <w:proofErr w:type="spellStart"/>
      <w:r w:rsidRPr="002B5BC5">
        <w:t>placebas</w:t>
      </w:r>
      <w:proofErr w:type="spellEnd"/>
      <w:r w:rsidRPr="002B5BC5">
        <w:t xml:space="preserve">. </w:t>
      </w:r>
      <w:proofErr w:type="spellStart"/>
      <w:r w:rsidRPr="002B5BC5">
        <w:t>Randomizacija</w:t>
      </w:r>
      <w:proofErr w:type="spellEnd"/>
      <w:r w:rsidRPr="002B5BC5">
        <w:t xml:space="preserve"> buvo </w:t>
      </w:r>
      <w:proofErr w:type="spellStart"/>
      <w:r w:rsidRPr="002B5BC5">
        <w:t>stratifikuota</w:t>
      </w:r>
      <w:proofErr w:type="spellEnd"/>
      <w:r w:rsidRPr="002B5BC5">
        <w:t xml:space="preserve"> pagal kepenų cirozės stadiją. Papildomi 115 tiriamųjų, kurių hepatito C viruso genotipas buvo 2, 3, 4, 5 ir 6, gavo </w:t>
      </w:r>
      <w:r w:rsidRPr="002B5BC5">
        <w:rPr>
          <w:szCs w:val="18"/>
        </w:rPr>
        <w:t>SOF/VEL/VOX</w:t>
      </w:r>
      <w:r w:rsidRPr="002B5BC5">
        <w:t>.</w:t>
      </w:r>
      <w:r w:rsidRPr="001B12BD">
        <w:t xml:space="preserve"> </w:t>
      </w:r>
      <w:r w:rsidRPr="002B5BC5">
        <w:t xml:space="preserve">POLARIS-1 efektyvumui vertinti pasirinko tik 1 genotipo pacientus, </w:t>
      </w:r>
      <w:proofErr w:type="spellStart"/>
      <w:r w:rsidRPr="002B5BC5">
        <w:t>t.y</w:t>
      </w:r>
      <w:proofErr w:type="spellEnd"/>
      <w:r w:rsidRPr="002B5BC5">
        <w:t xml:space="preserve">. tik šio genotipo pacientai buvo lyginami su </w:t>
      </w:r>
      <w:proofErr w:type="spellStart"/>
      <w:r w:rsidRPr="002B5BC5">
        <w:t>placebu</w:t>
      </w:r>
      <w:proofErr w:type="spellEnd"/>
      <w:r w:rsidRPr="002B5BC5">
        <w:t xml:space="preserve">. Kitų genotipų pacientai buvo priskirti </w:t>
      </w:r>
      <w:r w:rsidRPr="002B5BC5">
        <w:rPr>
          <w:szCs w:val="18"/>
        </w:rPr>
        <w:t xml:space="preserve">SOF/VEL/VOX grupei ir kontrolinės grupės nebuvo. Lietuvoje 1 genotipas nustatomas 63 proc. sergančiųjų </w:t>
      </w:r>
      <w:proofErr w:type="spellStart"/>
      <w:r w:rsidRPr="002B5BC5">
        <w:rPr>
          <w:szCs w:val="18"/>
        </w:rPr>
        <w:t>letiniu</w:t>
      </w:r>
      <w:proofErr w:type="spellEnd"/>
      <w:r w:rsidRPr="002B5BC5">
        <w:rPr>
          <w:szCs w:val="18"/>
        </w:rPr>
        <w:t xml:space="preserve"> hepatitu C, likusiai daliai yra nustatomas kitas lėtinio hepatito C viruso genotipas.</w:t>
      </w:r>
    </w:p>
    <w:p w14:paraId="61C04988" w14:textId="77777777" w:rsidR="00570D25" w:rsidRDefault="00570D25" w:rsidP="00570D25">
      <w:pPr>
        <w:tabs>
          <w:tab w:val="left" w:pos="426"/>
        </w:tabs>
        <w:jc w:val="both"/>
      </w:pPr>
      <w:r>
        <w:rPr>
          <w:rFonts w:eastAsia="Arial"/>
        </w:rPr>
        <w:tab/>
      </w:r>
      <w:r>
        <w:rPr>
          <w:rFonts w:eastAsia="Arial"/>
        </w:rPr>
        <w:tab/>
      </w:r>
      <w:r w:rsidRPr="002B5BC5">
        <w:rPr>
          <w:rFonts w:eastAsia="Arial"/>
        </w:rPr>
        <w:t>Pacientų, dalyvavusių tyrime, populiacija (</w:t>
      </w:r>
      <w:r w:rsidRPr="00CB1369">
        <w:rPr>
          <w:rFonts w:eastAsia="Arial"/>
        </w:rPr>
        <w:t xml:space="preserve">angl. </w:t>
      </w:r>
      <w:proofErr w:type="spellStart"/>
      <w:r w:rsidRPr="00CB1369">
        <w:rPr>
          <w:rFonts w:eastAsia="Arial"/>
        </w:rPr>
        <w:t>intention</w:t>
      </w:r>
      <w:proofErr w:type="spellEnd"/>
      <w:r w:rsidRPr="00CB1369">
        <w:rPr>
          <w:rFonts w:eastAsia="Arial"/>
        </w:rPr>
        <w:t xml:space="preserve"> to </w:t>
      </w:r>
      <w:proofErr w:type="spellStart"/>
      <w:r w:rsidRPr="00CB1369">
        <w:rPr>
          <w:rFonts w:eastAsia="Arial"/>
        </w:rPr>
        <w:t>treat</w:t>
      </w:r>
      <w:proofErr w:type="spellEnd"/>
      <w:r w:rsidRPr="00CB1369">
        <w:rPr>
          <w:rFonts w:eastAsia="Arial"/>
        </w:rPr>
        <w:t>, ITT</w:t>
      </w:r>
      <w:r w:rsidRPr="002B5BC5">
        <w:rPr>
          <w:rFonts w:eastAsia="Arial"/>
        </w:rPr>
        <w:t xml:space="preserve">) </w:t>
      </w:r>
      <w:r>
        <w:rPr>
          <w:rFonts w:eastAsia="Arial"/>
        </w:rPr>
        <w:t>ne</w:t>
      </w:r>
      <w:r w:rsidRPr="002B5BC5">
        <w:rPr>
          <w:rFonts w:eastAsia="Arial"/>
        </w:rPr>
        <w:t xml:space="preserve">atitinka Pareiškėjo siūlomas skyrimo sąlygas Lietuvoje. POLARIS-1 tyrime tik dalis 1 genotipo pacientų buvo gavę gydymą NS5A inhibitoriumi, </w:t>
      </w:r>
      <w:proofErr w:type="spellStart"/>
      <w:r w:rsidRPr="002B5BC5">
        <w:rPr>
          <w:rFonts w:eastAsia="Arial"/>
        </w:rPr>
        <w:t>t.y</w:t>
      </w:r>
      <w:proofErr w:type="spellEnd"/>
      <w:r w:rsidRPr="002B5BC5">
        <w:rPr>
          <w:rFonts w:eastAsia="Arial"/>
        </w:rPr>
        <w:t xml:space="preserve">. tik dalis pacientų gavo gydymą, kuris iš dalies atitinka įprastą klinikinę praktiką Lietuvoje, tačiau rezultatai nenurodo, kiek tiksliai pacientų gavo šiuo metu Lietuvoje skiriamą gydymą vaistų deriniu: </w:t>
      </w:r>
      <w:r w:rsidRPr="002B5BC5">
        <w:t>HCV inhibitoriaus, veikiančio HCV NS5A baltymą, bei HCV NS3/4A proteazės inhibitoriaus</w:t>
      </w:r>
      <w:r>
        <w:t>.</w:t>
      </w:r>
    </w:p>
    <w:p w14:paraId="28D1D920" w14:textId="77777777" w:rsidR="00570D25" w:rsidRPr="002B5BC5" w:rsidRDefault="00570D25" w:rsidP="00570D25">
      <w:pPr>
        <w:tabs>
          <w:tab w:val="left" w:pos="426"/>
        </w:tabs>
        <w:jc w:val="both"/>
        <w:rPr>
          <w:rFonts w:eastAsia="Arial"/>
        </w:rPr>
      </w:pPr>
      <w:r w:rsidRPr="002B5BC5">
        <w:rPr>
          <w:rFonts w:eastAsia="Arial"/>
        </w:rPr>
        <w:tab/>
      </w:r>
      <w:r w:rsidRPr="002B5BC5">
        <w:rPr>
          <w:rFonts w:eastAsia="Arial"/>
        </w:rPr>
        <w:tab/>
        <w:t xml:space="preserve">Tyrimo pagrindinė (pirminė) veiksmingumo vertinamoji baigtis buvo </w:t>
      </w:r>
      <w:r w:rsidRPr="002B5BC5">
        <w:t>stabilus virusinis atsakas (</w:t>
      </w:r>
      <w:r>
        <w:t>SVR12</w:t>
      </w:r>
      <w:r w:rsidRPr="002B5BC5">
        <w:t xml:space="preserve">), kuris buvo apibrėžiamas taip: HCV RNR vertė yra mažesnė </w:t>
      </w:r>
      <w:r w:rsidRPr="002B5BC5">
        <w:rPr>
          <w:rFonts w:eastAsia="Arial"/>
        </w:rPr>
        <w:t xml:space="preserve">nei mažiausia </w:t>
      </w:r>
      <w:r w:rsidRPr="002B5BC5">
        <w:rPr>
          <w:rFonts w:eastAsia="Arial"/>
        </w:rPr>
        <w:lastRenderedPageBreak/>
        <w:t>kiekybinio nustatymo riba (</w:t>
      </w:r>
      <w:r w:rsidRPr="00CB1369">
        <w:rPr>
          <w:rFonts w:eastAsia="Arial"/>
        </w:rPr>
        <w:t>ang</w:t>
      </w:r>
      <w:r>
        <w:rPr>
          <w:rFonts w:eastAsia="Arial"/>
        </w:rPr>
        <w:t>l</w:t>
      </w:r>
      <w:r w:rsidRPr="00CB1369">
        <w:rPr>
          <w:rFonts w:eastAsia="Arial"/>
        </w:rPr>
        <w:t xml:space="preserve">. </w:t>
      </w:r>
      <w:proofErr w:type="spellStart"/>
      <w:r w:rsidRPr="00CB1369">
        <w:rPr>
          <w:rFonts w:eastAsia="Arial"/>
        </w:rPr>
        <w:t>lower</w:t>
      </w:r>
      <w:proofErr w:type="spellEnd"/>
      <w:r w:rsidRPr="00CB1369">
        <w:rPr>
          <w:rFonts w:eastAsia="Arial"/>
        </w:rPr>
        <w:t xml:space="preserve"> </w:t>
      </w:r>
      <w:proofErr w:type="spellStart"/>
      <w:r w:rsidRPr="00CB1369">
        <w:rPr>
          <w:rFonts w:eastAsia="Arial"/>
        </w:rPr>
        <w:t>limit</w:t>
      </w:r>
      <w:proofErr w:type="spellEnd"/>
      <w:r w:rsidRPr="00CB1369">
        <w:rPr>
          <w:rFonts w:eastAsia="Arial"/>
        </w:rPr>
        <w:t xml:space="preserve"> </w:t>
      </w:r>
      <w:proofErr w:type="spellStart"/>
      <w:r w:rsidRPr="00CB1369">
        <w:rPr>
          <w:rFonts w:eastAsia="Arial"/>
        </w:rPr>
        <w:t>of</w:t>
      </w:r>
      <w:proofErr w:type="spellEnd"/>
      <w:r w:rsidRPr="00CB1369">
        <w:rPr>
          <w:rFonts w:eastAsia="Arial"/>
        </w:rPr>
        <w:t xml:space="preserve"> </w:t>
      </w:r>
      <w:proofErr w:type="spellStart"/>
      <w:r w:rsidRPr="00CB1369">
        <w:rPr>
          <w:rFonts w:eastAsia="Arial"/>
        </w:rPr>
        <w:t>quantification</w:t>
      </w:r>
      <w:proofErr w:type="spellEnd"/>
      <w:r w:rsidRPr="00CB1369">
        <w:rPr>
          <w:rFonts w:eastAsia="Arial"/>
        </w:rPr>
        <w:t>, LLOQ</w:t>
      </w:r>
      <w:r w:rsidRPr="002B5BC5">
        <w:rPr>
          <w:rFonts w:eastAsia="Arial"/>
        </w:rPr>
        <w:t>)</w:t>
      </w:r>
      <w:r w:rsidRPr="002B5BC5">
        <w:t xml:space="preserve"> praėjus 12 savaičių po gydymo pabaigos</w:t>
      </w:r>
      <w:r w:rsidRPr="002B5BC5">
        <w:rPr>
          <w:rFonts w:eastAsia="Arial"/>
        </w:rPr>
        <w:t>. Antrinės vertinamosios baigtys buvo: asmenų, kurių HCV RNR mažiau LLOQ, dalis 4 ir 24 savaites po gydymo pabaigimo (</w:t>
      </w:r>
      <w:r>
        <w:rPr>
          <w:rFonts w:eastAsia="Arial"/>
        </w:rPr>
        <w:t>SVR4</w:t>
      </w:r>
      <w:r w:rsidRPr="002B5BC5">
        <w:rPr>
          <w:rFonts w:eastAsia="Arial"/>
        </w:rPr>
        <w:t xml:space="preserve"> ir </w:t>
      </w:r>
      <w:r>
        <w:rPr>
          <w:rFonts w:eastAsia="Arial"/>
        </w:rPr>
        <w:t>SVR24</w:t>
      </w:r>
      <w:r w:rsidRPr="002B5BC5">
        <w:rPr>
          <w:rFonts w:eastAsia="Arial"/>
        </w:rPr>
        <w:t xml:space="preserve">); HCV RNR lygio pokytis nuo pradinio lygio 1-ąją dieną; tiriamųjų, kuriems nustatytas </w:t>
      </w:r>
      <w:proofErr w:type="spellStart"/>
      <w:r w:rsidRPr="002B5BC5">
        <w:rPr>
          <w:rFonts w:eastAsia="Arial"/>
        </w:rPr>
        <w:t>virusologinis</w:t>
      </w:r>
      <w:proofErr w:type="spellEnd"/>
      <w:r w:rsidRPr="002B5BC5">
        <w:rPr>
          <w:rFonts w:eastAsia="Arial"/>
        </w:rPr>
        <w:t xml:space="preserve"> nepakankamumas, dalis.</w:t>
      </w:r>
    </w:p>
    <w:p w14:paraId="158357A0" w14:textId="77777777" w:rsidR="00570D25" w:rsidRPr="002B5BC5" w:rsidRDefault="00570D25" w:rsidP="00570D25">
      <w:pPr>
        <w:pStyle w:val="Default"/>
        <w:ind w:firstLine="720"/>
        <w:jc w:val="both"/>
        <w:rPr>
          <w:rFonts w:ascii="Times New Roman" w:eastAsia="Arial" w:hAnsi="Times New Roman" w:cs="Times New Roman"/>
          <w:color w:val="000000" w:themeColor="text1"/>
        </w:rPr>
      </w:pPr>
      <w:r w:rsidRPr="002B5BC5">
        <w:rPr>
          <w:rFonts w:ascii="Times New Roman" w:eastAsia="Arial" w:hAnsi="Times New Roman" w:cs="Times New Roman"/>
          <w:color w:val="000000" w:themeColor="text1"/>
        </w:rPr>
        <w:t xml:space="preserve">POLARIS-1 tyrimo </w:t>
      </w:r>
      <w:r w:rsidRPr="002B5BC5">
        <w:rPr>
          <w:rFonts w:ascii="Times New Roman" w:eastAsia="Arial" w:hAnsi="Times New Roman" w:cs="Times New Roman"/>
          <w:color w:val="000000" w:themeColor="text1"/>
          <w:u w:val="single"/>
        </w:rPr>
        <w:t>pagrindinė</w:t>
      </w:r>
      <w:r w:rsidRPr="002B5BC5">
        <w:rPr>
          <w:rFonts w:ascii="Times New Roman" w:eastAsia="Arial" w:hAnsi="Times New Roman" w:cs="Times New Roman"/>
          <w:color w:val="000000" w:themeColor="text1"/>
        </w:rPr>
        <w:t xml:space="preserve"> (pirminė) veiksmingumo vertinamoji </w:t>
      </w:r>
      <w:r w:rsidRPr="002B5BC5">
        <w:rPr>
          <w:rFonts w:ascii="Times New Roman" w:eastAsia="Arial" w:hAnsi="Times New Roman" w:cs="Times New Roman"/>
          <w:color w:val="000000" w:themeColor="text1"/>
          <w:u w:val="single"/>
        </w:rPr>
        <w:t>baigtis</w:t>
      </w:r>
      <w:r w:rsidRPr="002B5BC5">
        <w:rPr>
          <w:rFonts w:ascii="Times New Roman" w:eastAsia="Arial" w:hAnsi="Times New Roman" w:cs="Times New Roman"/>
          <w:color w:val="000000" w:themeColor="text1"/>
        </w:rPr>
        <w:t xml:space="preserve"> buvo SVR12 (</w:t>
      </w:r>
      <w:proofErr w:type="spellStart"/>
      <w:r w:rsidRPr="002B5BC5">
        <w:rPr>
          <w:rFonts w:ascii="Times New Roman" w:eastAsia="Arial" w:hAnsi="Times New Roman" w:cs="Times New Roman"/>
          <w:color w:val="000000" w:themeColor="text1"/>
        </w:rPr>
        <w:t>t.y</w:t>
      </w:r>
      <w:proofErr w:type="spellEnd"/>
      <w:r w:rsidRPr="002B5BC5">
        <w:rPr>
          <w:rFonts w:ascii="Times New Roman" w:eastAsia="Arial" w:hAnsi="Times New Roman" w:cs="Times New Roman"/>
          <w:color w:val="000000" w:themeColor="text1"/>
        </w:rPr>
        <w:t xml:space="preserve">. HCV RNR mažiau nei LLOQ praėjus 12 savaičių po gydymo pabaigimo). SVR12 rodmens duomenų analizė rodo, kad tarp pacientų, kurie anksčiau buvo gydomi NS5A inhibitorių turinčiu deriniu, bendras ilgalaikio </w:t>
      </w:r>
      <w:proofErr w:type="spellStart"/>
      <w:r w:rsidRPr="002B5BC5">
        <w:rPr>
          <w:rFonts w:ascii="Times New Roman" w:eastAsia="Arial" w:hAnsi="Times New Roman" w:cs="Times New Roman"/>
          <w:color w:val="000000" w:themeColor="text1"/>
        </w:rPr>
        <w:t>virusologinio</w:t>
      </w:r>
      <w:proofErr w:type="spellEnd"/>
      <w:r w:rsidRPr="002B5BC5">
        <w:rPr>
          <w:rFonts w:ascii="Times New Roman" w:eastAsia="Arial" w:hAnsi="Times New Roman" w:cs="Times New Roman"/>
          <w:color w:val="000000" w:themeColor="text1"/>
        </w:rPr>
        <w:t xml:space="preserve"> atsako dažnis SOF/VEL/VOX grupėje buvo 96 proc. (95 proc. </w:t>
      </w:r>
      <w:proofErr w:type="spellStart"/>
      <w:r w:rsidRPr="002B5BC5">
        <w:rPr>
          <w:rFonts w:ascii="Times New Roman" w:eastAsia="Arial" w:hAnsi="Times New Roman" w:cs="Times New Roman"/>
          <w:color w:val="000000" w:themeColor="text1"/>
        </w:rPr>
        <w:t>pasikliautinasis</w:t>
      </w:r>
      <w:proofErr w:type="spellEnd"/>
      <w:r>
        <w:rPr>
          <w:rFonts w:ascii="Times New Roman" w:eastAsia="Arial" w:hAnsi="Times New Roman" w:cs="Times New Roman"/>
          <w:color w:val="000000" w:themeColor="text1"/>
        </w:rPr>
        <w:t xml:space="preserve"> intervalas [PI], 93–98 proc.)</w:t>
      </w:r>
      <w:r w:rsidRPr="002B5BC5">
        <w:rPr>
          <w:rFonts w:ascii="Times New Roman" w:eastAsia="Arial" w:hAnsi="Times New Roman" w:cs="Times New Roman"/>
          <w:color w:val="000000" w:themeColor="text1"/>
        </w:rPr>
        <w:t>. Lietuvai aktualių genotipų atvejai: Genotipas 1b – 100 proc.; Genotipas 3 – 95 proc.; Genotipas 1a – 96 proc.; Genotipas 2 – 100 proc.</w:t>
      </w:r>
    </w:p>
    <w:p w14:paraId="6AC55509" w14:textId="77777777" w:rsidR="00570D25" w:rsidRPr="002B5BC5" w:rsidRDefault="00570D25" w:rsidP="00570D25">
      <w:pPr>
        <w:tabs>
          <w:tab w:val="left" w:pos="426"/>
        </w:tabs>
        <w:jc w:val="both"/>
      </w:pPr>
      <w:r>
        <w:tab/>
      </w:r>
      <w:r>
        <w:tab/>
      </w:r>
      <w:r w:rsidRPr="002B5BC5">
        <w:t>Kitos vertinamosios baigtys buvo:</w:t>
      </w:r>
    </w:p>
    <w:p w14:paraId="2F5C3827" w14:textId="77777777" w:rsidR="00570D25" w:rsidRPr="002B5BC5" w:rsidRDefault="00570D25" w:rsidP="00570D25">
      <w:pPr>
        <w:tabs>
          <w:tab w:val="left" w:pos="426"/>
        </w:tabs>
        <w:jc w:val="both"/>
        <w:rPr>
          <w:rFonts w:eastAsia="Arial"/>
          <w:u w:val="single"/>
        </w:rPr>
      </w:pPr>
      <w:r w:rsidRPr="002B5BC5">
        <w:rPr>
          <w:u w:val="single"/>
        </w:rPr>
        <w:t xml:space="preserve">1. </w:t>
      </w:r>
      <w:r w:rsidRPr="002B5BC5">
        <w:rPr>
          <w:rFonts w:eastAsia="Arial"/>
          <w:u w:val="single"/>
        </w:rPr>
        <w:t>Stabilus virusinis atsakas 4 ir 24 savaites po gydymo pabaigimo (</w:t>
      </w:r>
      <w:r>
        <w:rPr>
          <w:rFonts w:eastAsia="Arial"/>
          <w:u w:val="single"/>
        </w:rPr>
        <w:t>SVR4</w:t>
      </w:r>
      <w:r w:rsidRPr="002B5BC5">
        <w:rPr>
          <w:rFonts w:eastAsia="Arial"/>
          <w:u w:val="single"/>
        </w:rPr>
        <w:t xml:space="preserve"> ir </w:t>
      </w:r>
      <w:r>
        <w:rPr>
          <w:rFonts w:eastAsia="Arial"/>
          <w:u w:val="single"/>
        </w:rPr>
        <w:t>SVR24</w:t>
      </w:r>
      <w:r w:rsidRPr="002B5BC5">
        <w:rPr>
          <w:rFonts w:eastAsia="Arial"/>
          <w:u w:val="single"/>
        </w:rPr>
        <w:t>).</w:t>
      </w:r>
    </w:p>
    <w:p w14:paraId="7FE2E9A2" w14:textId="77777777" w:rsidR="00570D25" w:rsidRPr="002B5BC5" w:rsidRDefault="00570D25" w:rsidP="00570D25">
      <w:pPr>
        <w:pStyle w:val="Default"/>
        <w:ind w:firstLine="720"/>
        <w:jc w:val="both"/>
        <w:rPr>
          <w:rFonts w:ascii="Times New Roman" w:eastAsia="Arial" w:hAnsi="Times New Roman" w:cs="Times New Roman"/>
          <w:color w:val="000000" w:themeColor="text1"/>
          <w:highlight w:val="green"/>
        </w:rPr>
      </w:pPr>
      <w:r w:rsidRPr="002B5BC5">
        <w:rPr>
          <w:rFonts w:ascii="Times New Roman" w:eastAsia="Arial" w:hAnsi="Times New Roman" w:cs="Times New Roman"/>
          <w:color w:val="000000" w:themeColor="text1"/>
        </w:rPr>
        <w:t xml:space="preserve">Ilgalaikio </w:t>
      </w:r>
      <w:proofErr w:type="spellStart"/>
      <w:r w:rsidRPr="002B5BC5">
        <w:rPr>
          <w:rFonts w:ascii="Times New Roman" w:eastAsia="Arial" w:hAnsi="Times New Roman" w:cs="Times New Roman"/>
          <w:color w:val="000000" w:themeColor="text1"/>
        </w:rPr>
        <w:t>virusologinio</w:t>
      </w:r>
      <w:proofErr w:type="spellEnd"/>
      <w:r w:rsidRPr="002B5BC5">
        <w:rPr>
          <w:rFonts w:ascii="Times New Roman" w:eastAsia="Arial" w:hAnsi="Times New Roman" w:cs="Times New Roman"/>
          <w:color w:val="000000" w:themeColor="text1"/>
        </w:rPr>
        <w:t xml:space="preserve"> atsako dažnis buvo 96 % (95 % PI, 90–99) tarp pacientų, sergančių 1a genotipo HCV infekcija, 100 % (95 % PI, 92–100) tarp pacientų, sergančių 1b genotipo infekcija, 100 % (95 % PI). , 48–100) tarp sergančiųjų 2 genotipo infekcija, 95 % (95 % PI, 87–99) tarp sergančiųjų 3 genotipu, 91 % (95 % PI, 71–99) tarp 4 genotipo infekcija ir 100 % (95 % PI, 54–100) tarp sergančiųjų 6 genotipo infekcija. Vieno paciento, sergančio 5 genotipo HCV infekcija, </w:t>
      </w:r>
      <w:proofErr w:type="spellStart"/>
      <w:r w:rsidRPr="002B5BC5">
        <w:rPr>
          <w:rFonts w:ascii="Times New Roman" w:eastAsia="Arial" w:hAnsi="Times New Roman" w:cs="Times New Roman"/>
          <w:color w:val="000000" w:themeColor="text1"/>
        </w:rPr>
        <w:t>virusologinis</w:t>
      </w:r>
      <w:proofErr w:type="spellEnd"/>
      <w:r w:rsidRPr="002B5BC5">
        <w:rPr>
          <w:rFonts w:ascii="Times New Roman" w:eastAsia="Arial" w:hAnsi="Times New Roman" w:cs="Times New Roman"/>
          <w:color w:val="000000" w:themeColor="text1"/>
        </w:rPr>
        <w:t xml:space="preserve"> atsakas buvo ilgalaikis. Ilgalaikio </w:t>
      </w:r>
      <w:proofErr w:type="spellStart"/>
      <w:r w:rsidRPr="002B5BC5">
        <w:rPr>
          <w:rFonts w:ascii="Times New Roman" w:eastAsia="Arial" w:hAnsi="Times New Roman" w:cs="Times New Roman"/>
          <w:color w:val="000000" w:themeColor="text1"/>
        </w:rPr>
        <w:t>virusologinio</w:t>
      </w:r>
      <w:proofErr w:type="spellEnd"/>
      <w:r w:rsidRPr="002B5BC5">
        <w:rPr>
          <w:rFonts w:ascii="Times New Roman" w:eastAsia="Arial" w:hAnsi="Times New Roman" w:cs="Times New Roman"/>
          <w:color w:val="000000" w:themeColor="text1"/>
        </w:rPr>
        <w:t xml:space="preserve"> atsako dažnis buvo 99 % (95 % PI, 95–100) tarp pacientų, kurie nesirgo ciroze, ir 93 % (95 % PI, 87–97) tarp ciroze sergančių pacientų. Iš 56 pacientų, sergančių 3 genotipo infekcija ir ciroze, 52 pacientams buvo pasiektas ilgalaikis </w:t>
      </w:r>
      <w:proofErr w:type="spellStart"/>
      <w:r w:rsidRPr="002B5BC5">
        <w:rPr>
          <w:rFonts w:ascii="Times New Roman" w:eastAsia="Arial" w:hAnsi="Times New Roman" w:cs="Times New Roman"/>
          <w:color w:val="000000" w:themeColor="text1"/>
        </w:rPr>
        <w:t>virusologinis</w:t>
      </w:r>
      <w:proofErr w:type="spellEnd"/>
      <w:r w:rsidRPr="002B5BC5">
        <w:rPr>
          <w:rFonts w:ascii="Times New Roman" w:eastAsia="Arial" w:hAnsi="Times New Roman" w:cs="Times New Roman"/>
          <w:color w:val="000000" w:themeColor="text1"/>
        </w:rPr>
        <w:t xml:space="preserve"> atsakas (93 %; 95 % PI, 83–98).</w:t>
      </w:r>
    </w:p>
    <w:p w14:paraId="3F29F844" w14:textId="77777777" w:rsidR="00570D25" w:rsidRPr="002B5BC5" w:rsidRDefault="00570D25" w:rsidP="00570D25">
      <w:pPr>
        <w:tabs>
          <w:tab w:val="left" w:pos="426"/>
        </w:tabs>
        <w:jc w:val="both"/>
        <w:rPr>
          <w:rFonts w:eastAsia="Arial"/>
          <w:u w:val="single"/>
        </w:rPr>
      </w:pPr>
      <w:r w:rsidRPr="002B5BC5">
        <w:rPr>
          <w:rFonts w:eastAsia="Arial"/>
          <w:u w:val="single"/>
        </w:rPr>
        <w:t>2. HCV RNR lygio pokytis nuo pradinio lygio 1-ąją dieną:</w:t>
      </w:r>
    </w:p>
    <w:p w14:paraId="482631D4" w14:textId="77777777" w:rsidR="00570D25" w:rsidRPr="002B5BC5" w:rsidRDefault="00570D25" w:rsidP="00570D25">
      <w:pPr>
        <w:tabs>
          <w:tab w:val="left" w:pos="426"/>
        </w:tabs>
        <w:jc w:val="both"/>
        <w:rPr>
          <w:rFonts w:eastAsia="Arial"/>
          <w:color w:val="000000" w:themeColor="text1"/>
        </w:rPr>
      </w:pPr>
      <w:r w:rsidRPr="002B5BC5">
        <w:rPr>
          <w:rFonts w:eastAsia="Arial"/>
          <w:color w:val="000000" w:themeColor="text1"/>
        </w:rPr>
        <w:tab/>
      </w:r>
      <w:r w:rsidRPr="002B5BC5">
        <w:rPr>
          <w:rFonts w:eastAsia="Arial"/>
          <w:color w:val="000000" w:themeColor="text1"/>
        </w:rPr>
        <w:tab/>
        <w:t xml:space="preserve">Tyrimo metu dinamikoje buvo registruojamas HCV RNR. Pacientams, kurie gavo  SOF/VEL/VOX derinį, HCV RNR buvo mažėjantis (12 sav. pokyčio vidurkis buvo -5,1±0,69), tuo metu </w:t>
      </w:r>
      <w:proofErr w:type="spellStart"/>
      <w:r w:rsidRPr="002B5BC5">
        <w:rPr>
          <w:rFonts w:eastAsia="Arial"/>
          <w:color w:val="000000" w:themeColor="text1"/>
        </w:rPr>
        <w:t>placebo</w:t>
      </w:r>
      <w:proofErr w:type="spellEnd"/>
      <w:r w:rsidRPr="002B5BC5">
        <w:rPr>
          <w:rFonts w:eastAsia="Arial"/>
          <w:color w:val="000000" w:themeColor="text1"/>
        </w:rPr>
        <w:t xml:space="preserve"> grupėje reikšmingo pokyčio palyginus su </w:t>
      </w:r>
      <w:proofErr w:type="spellStart"/>
      <w:r w:rsidRPr="002B5BC5">
        <w:rPr>
          <w:rFonts w:eastAsia="Arial"/>
          <w:color w:val="000000" w:themeColor="text1"/>
        </w:rPr>
        <w:t>placebu</w:t>
      </w:r>
      <w:proofErr w:type="spellEnd"/>
      <w:r w:rsidRPr="002B5BC5">
        <w:rPr>
          <w:rFonts w:eastAsia="Arial"/>
          <w:color w:val="000000" w:themeColor="text1"/>
        </w:rPr>
        <w:t xml:space="preserve"> nebuvo (12 sav. pokyčio vidurkis buvo 0,03±0,43).</w:t>
      </w:r>
    </w:p>
    <w:p w14:paraId="7C5265C8" w14:textId="77777777" w:rsidR="00570D25" w:rsidRPr="002B5BC5" w:rsidRDefault="00570D25" w:rsidP="00570D25">
      <w:pPr>
        <w:tabs>
          <w:tab w:val="left" w:pos="426"/>
        </w:tabs>
        <w:jc w:val="both"/>
        <w:rPr>
          <w:rFonts w:eastAsia="Arial"/>
          <w:u w:val="single"/>
        </w:rPr>
      </w:pPr>
      <w:r w:rsidRPr="002B5BC5">
        <w:rPr>
          <w:rFonts w:eastAsia="Arial"/>
          <w:u w:val="single"/>
        </w:rPr>
        <w:t xml:space="preserve">3. Tiriamųjų, kuriems nustatytas </w:t>
      </w:r>
      <w:proofErr w:type="spellStart"/>
      <w:r w:rsidRPr="002B5BC5">
        <w:rPr>
          <w:rFonts w:eastAsia="Arial"/>
          <w:u w:val="single"/>
        </w:rPr>
        <w:t>virusologinis</w:t>
      </w:r>
      <w:proofErr w:type="spellEnd"/>
      <w:r w:rsidRPr="002B5BC5">
        <w:rPr>
          <w:rFonts w:eastAsia="Arial"/>
          <w:u w:val="single"/>
        </w:rPr>
        <w:t xml:space="preserve"> nepakankamumas, dalis.</w:t>
      </w:r>
    </w:p>
    <w:p w14:paraId="0017ACB6" w14:textId="1C74759F" w:rsidR="00570D25" w:rsidRPr="002B5BC5" w:rsidRDefault="00570D25" w:rsidP="00570D25">
      <w:pPr>
        <w:tabs>
          <w:tab w:val="left" w:pos="426"/>
        </w:tabs>
        <w:jc w:val="both"/>
        <w:rPr>
          <w:rFonts w:eastAsia="Arial"/>
          <w:bCs/>
        </w:rPr>
      </w:pPr>
      <w:r w:rsidRPr="002B5BC5">
        <w:rPr>
          <w:rFonts w:eastAsia="Arial"/>
          <w:color w:val="000000" w:themeColor="text1"/>
        </w:rPr>
        <w:tab/>
      </w:r>
      <w:r w:rsidRPr="002B5BC5">
        <w:rPr>
          <w:rFonts w:eastAsia="Arial"/>
          <w:color w:val="000000" w:themeColor="text1"/>
        </w:rPr>
        <w:tab/>
        <w:t xml:space="preserve">Iš 263 pacientų, vartojusių SOF/VEL/VOX derinį, 10 pacientams nepastebėtas ilgalaikis </w:t>
      </w:r>
      <w:proofErr w:type="spellStart"/>
      <w:r w:rsidRPr="002B5BC5">
        <w:rPr>
          <w:rFonts w:eastAsia="Arial"/>
          <w:color w:val="000000" w:themeColor="text1"/>
        </w:rPr>
        <w:t>virusologinio</w:t>
      </w:r>
      <w:proofErr w:type="spellEnd"/>
      <w:r w:rsidRPr="002B5BC5">
        <w:rPr>
          <w:rFonts w:eastAsia="Arial"/>
          <w:color w:val="000000" w:themeColor="text1"/>
        </w:rPr>
        <w:t xml:space="preserve"> atsako. Iš šių 10-ies pacientų 7-iems pasireiškė </w:t>
      </w:r>
      <w:proofErr w:type="spellStart"/>
      <w:r w:rsidRPr="002B5BC5">
        <w:rPr>
          <w:rFonts w:eastAsia="Arial"/>
          <w:color w:val="000000" w:themeColor="text1"/>
        </w:rPr>
        <w:t>virusologinis</w:t>
      </w:r>
      <w:proofErr w:type="spellEnd"/>
      <w:r w:rsidRPr="002B5BC5">
        <w:rPr>
          <w:rFonts w:eastAsia="Arial"/>
          <w:color w:val="000000" w:themeColor="text1"/>
        </w:rPr>
        <w:t xml:space="preserve"> nepakankamumas </w:t>
      </w:r>
      <w:r w:rsidRPr="002B5BC5">
        <w:rPr>
          <w:rFonts w:eastAsia="Arial"/>
        </w:rPr>
        <w:t>(2 infekuoti 1 genotipo, 4 infekuoti 3 genotipo ir 1 infekuotas 4 genotipo virusu)</w:t>
      </w:r>
      <w:r w:rsidRPr="002B5BC5">
        <w:rPr>
          <w:rFonts w:eastAsia="Arial"/>
          <w:color w:val="000000" w:themeColor="text1"/>
        </w:rPr>
        <w:t xml:space="preserve">: 1 (&lt;1 %) </w:t>
      </w:r>
      <w:proofErr w:type="spellStart"/>
      <w:r w:rsidRPr="002B5BC5">
        <w:rPr>
          <w:rFonts w:eastAsia="Arial"/>
          <w:color w:val="000000" w:themeColor="text1"/>
        </w:rPr>
        <w:t>virusologinis</w:t>
      </w:r>
      <w:proofErr w:type="spellEnd"/>
      <w:r w:rsidRPr="002B5BC5">
        <w:rPr>
          <w:rFonts w:eastAsia="Arial"/>
          <w:color w:val="000000" w:themeColor="text1"/>
        </w:rPr>
        <w:t xml:space="preserve"> </w:t>
      </w:r>
      <w:r w:rsidRPr="002B5BC5">
        <w:rPr>
          <w:rFonts w:eastAsia="Arial"/>
        </w:rPr>
        <w:t>„rikošetas“</w:t>
      </w:r>
      <w:r w:rsidRPr="002B5BC5">
        <w:rPr>
          <w:rFonts w:eastAsia="Arial"/>
          <w:color w:val="000000" w:themeColor="text1"/>
        </w:rPr>
        <w:t xml:space="preserve"> pasireiškė gydymo metu </w:t>
      </w:r>
      <w:r w:rsidRPr="002B5BC5">
        <w:rPr>
          <w:rFonts w:eastAsia="Arial"/>
        </w:rPr>
        <w:t xml:space="preserve">(tuo atveju </w:t>
      </w:r>
      <w:proofErr w:type="spellStart"/>
      <w:r w:rsidRPr="002B5BC5">
        <w:rPr>
          <w:rFonts w:eastAsia="Arial"/>
        </w:rPr>
        <w:t>farmakokinetiniai</w:t>
      </w:r>
      <w:proofErr w:type="spellEnd"/>
      <w:r w:rsidRPr="002B5BC5">
        <w:rPr>
          <w:rFonts w:eastAsia="Arial"/>
        </w:rPr>
        <w:t xml:space="preserve"> duomenys parodė, kad nebuvo laikomasi gydymo reikalavimų)</w:t>
      </w:r>
      <w:r w:rsidRPr="002B5BC5">
        <w:rPr>
          <w:rFonts w:eastAsia="Arial"/>
          <w:color w:val="000000" w:themeColor="text1"/>
        </w:rPr>
        <w:t xml:space="preserve">, o 6 (2 %) pasireiškė </w:t>
      </w:r>
      <w:proofErr w:type="spellStart"/>
      <w:r w:rsidRPr="002B5BC5">
        <w:rPr>
          <w:rFonts w:eastAsia="Arial"/>
          <w:color w:val="000000" w:themeColor="text1"/>
        </w:rPr>
        <w:t>virusologinis</w:t>
      </w:r>
      <w:proofErr w:type="spellEnd"/>
      <w:r w:rsidRPr="002B5BC5">
        <w:rPr>
          <w:rFonts w:eastAsia="Arial"/>
          <w:color w:val="000000" w:themeColor="text1"/>
        </w:rPr>
        <w:t xml:space="preserve"> atkrytis pasibaigus gydymui</w:t>
      </w:r>
      <w:r w:rsidR="00325A21">
        <w:rPr>
          <w:rFonts w:eastAsia="Arial"/>
          <w:color w:val="000000" w:themeColor="text1"/>
        </w:rPr>
        <w:t>.</w:t>
      </w:r>
      <w:r w:rsidRPr="002B5BC5">
        <w:rPr>
          <w:rFonts w:eastAsia="Arial"/>
          <w:color w:val="000000" w:themeColor="text1"/>
        </w:rPr>
        <w:t xml:space="preserve"> </w:t>
      </w:r>
    </w:p>
    <w:p w14:paraId="274969C2" w14:textId="77777777" w:rsidR="00570D25" w:rsidRPr="002B5BC5" w:rsidRDefault="00570D25" w:rsidP="00570D25">
      <w:pPr>
        <w:spacing w:line="360" w:lineRule="auto"/>
        <w:rPr>
          <w:rFonts w:eastAsia="Arial"/>
          <w:b/>
          <w:highlight w:val="yellow"/>
        </w:rPr>
      </w:pPr>
    </w:p>
    <w:p w14:paraId="466AEE53" w14:textId="77777777" w:rsidR="00570D25" w:rsidRPr="007A56B9" w:rsidRDefault="00570D25" w:rsidP="00570D25">
      <w:pPr>
        <w:rPr>
          <w:rFonts w:eastAsia="Arial"/>
          <w:i/>
        </w:rPr>
      </w:pPr>
      <w:r>
        <w:rPr>
          <w:rFonts w:eastAsia="Arial"/>
          <w:i/>
        </w:rPr>
        <w:t>Net</w:t>
      </w:r>
      <w:r w:rsidRPr="007A56B9">
        <w:rPr>
          <w:rFonts w:eastAsia="Arial"/>
          <w:i/>
        </w:rPr>
        <w:t>iesioginis palyginimas</w:t>
      </w:r>
    </w:p>
    <w:p w14:paraId="0F45CC22" w14:textId="77777777" w:rsidR="00570D25" w:rsidRPr="002B5BC5" w:rsidRDefault="00570D25" w:rsidP="00570D25">
      <w:pPr>
        <w:spacing w:line="360" w:lineRule="auto"/>
        <w:rPr>
          <w:rFonts w:eastAsia="Arial"/>
          <w:b/>
          <w:highlight w:val="yellow"/>
        </w:rPr>
      </w:pPr>
    </w:p>
    <w:p w14:paraId="03B4F000" w14:textId="77777777" w:rsidR="00570D25" w:rsidRPr="002B5BC5" w:rsidRDefault="00570D25" w:rsidP="00570D25">
      <w:pPr>
        <w:tabs>
          <w:tab w:val="left" w:pos="284"/>
        </w:tabs>
        <w:jc w:val="both"/>
        <w:rPr>
          <w:rFonts w:eastAsia="Arial"/>
          <w:bCs/>
        </w:rPr>
      </w:pPr>
      <w:r w:rsidRPr="002B5BC5">
        <w:rPr>
          <w:rFonts w:eastAsia="Arial"/>
          <w:bCs/>
        </w:rPr>
        <w:tab/>
      </w:r>
      <w:r w:rsidRPr="002B5BC5">
        <w:rPr>
          <w:rFonts w:eastAsia="Arial"/>
          <w:bCs/>
        </w:rPr>
        <w:tab/>
        <w:t xml:space="preserve">Buvo atlikta sisteminė tyrimų, vertinančių veiksmingumą, saugumą ir toleravimo rezultatus, susijusius su farmakologinėmis intervencijomis gydant hepatito C virusu sergančius pacientus, apžvalga. Paieškos terminai buvo apibrėžti atsižvelgiant į ligos sritį, populiaciją (pvz., suaugę hepatito C virusu sergantys pacientai), dominančius rezultatus (pvz., nepageidaujamus reiškinius ir SVR) ir atitinkamus publikacijų tipus (pvz., </w:t>
      </w:r>
      <w:proofErr w:type="spellStart"/>
      <w:r w:rsidRPr="002B5BC5">
        <w:rPr>
          <w:rFonts w:eastAsia="Arial"/>
          <w:bCs/>
        </w:rPr>
        <w:t>randomizuoti</w:t>
      </w:r>
      <w:proofErr w:type="spellEnd"/>
      <w:r w:rsidRPr="002B5BC5">
        <w:rPr>
          <w:rFonts w:eastAsia="Arial"/>
          <w:bCs/>
        </w:rPr>
        <w:t xml:space="preserve"> klinikiniai tyrimai). Paieškos buvo atliktos naudojant šias elektronines duomenų bazes: </w:t>
      </w:r>
      <w:proofErr w:type="spellStart"/>
      <w:r w:rsidRPr="002B5BC5">
        <w:rPr>
          <w:rFonts w:eastAsia="Arial"/>
          <w:bCs/>
        </w:rPr>
        <w:t>PubMed</w:t>
      </w:r>
      <w:proofErr w:type="spellEnd"/>
      <w:r w:rsidRPr="002B5BC5">
        <w:rPr>
          <w:rFonts w:eastAsia="Arial"/>
          <w:bCs/>
        </w:rPr>
        <w:t>, EMBASE (</w:t>
      </w:r>
      <w:proofErr w:type="spellStart"/>
      <w:r w:rsidRPr="002B5BC5">
        <w:rPr>
          <w:rFonts w:eastAsia="Arial"/>
          <w:bCs/>
        </w:rPr>
        <w:t>Ovid</w:t>
      </w:r>
      <w:proofErr w:type="spellEnd"/>
      <w:r w:rsidRPr="002B5BC5">
        <w:rPr>
          <w:rFonts w:eastAsia="Arial"/>
          <w:bCs/>
        </w:rPr>
        <w:t xml:space="preserve">) ir CRD (Peržiūros ir sklaidos centro) duomenų bazes – </w:t>
      </w:r>
      <w:proofErr w:type="spellStart"/>
      <w:r w:rsidRPr="002B5BC5">
        <w:rPr>
          <w:rFonts w:eastAsia="Arial"/>
          <w:bCs/>
        </w:rPr>
        <w:t>t.y</w:t>
      </w:r>
      <w:proofErr w:type="spellEnd"/>
      <w:r w:rsidRPr="002B5BC5">
        <w:rPr>
          <w:rFonts w:eastAsia="Arial"/>
          <w:bCs/>
        </w:rPr>
        <w:t xml:space="preserve">. DARE (efektų apžvalgų santraukų duomenų bazė). </w:t>
      </w:r>
    </w:p>
    <w:p w14:paraId="4F67D397" w14:textId="77777777" w:rsidR="00570D25" w:rsidRPr="002B5BC5" w:rsidRDefault="00570D25" w:rsidP="00570D25">
      <w:pPr>
        <w:tabs>
          <w:tab w:val="left" w:pos="284"/>
        </w:tabs>
        <w:jc w:val="both"/>
        <w:rPr>
          <w:rFonts w:eastAsia="Arial"/>
          <w:bCs/>
        </w:rPr>
      </w:pPr>
      <w:r w:rsidRPr="002B5BC5">
        <w:rPr>
          <w:rFonts w:eastAsia="Arial"/>
          <w:bCs/>
        </w:rPr>
        <w:tab/>
      </w:r>
      <w:r w:rsidRPr="002B5BC5">
        <w:rPr>
          <w:rFonts w:eastAsia="Arial"/>
          <w:bCs/>
        </w:rPr>
        <w:tab/>
        <w:t xml:space="preserve">Dėl pacientų populiacijos skirtumų POLARIS tyrimuose ir paskelbtoje literatūroje, rezultatai buvo suskirstyti pagal anksčiau negydytą / anksčiau gydytą arba anksčiau negydytą TVAVP/gydytą TVAVP. Skirtumas tarp anksčiau negydytų ir anksčiau negydytų TVAVP yra susijęs su pacientais, kurie vartojo </w:t>
      </w:r>
      <w:proofErr w:type="spellStart"/>
      <w:r w:rsidRPr="002B5BC5">
        <w:rPr>
          <w:rFonts w:eastAsia="Arial"/>
          <w:bCs/>
        </w:rPr>
        <w:t>peg</w:t>
      </w:r>
      <w:proofErr w:type="spellEnd"/>
      <w:r w:rsidRPr="002B5BC5">
        <w:rPr>
          <w:rFonts w:eastAsia="Arial"/>
          <w:bCs/>
        </w:rPr>
        <w:t xml:space="preserve"> interferoną ir (arba) </w:t>
      </w:r>
      <w:proofErr w:type="spellStart"/>
      <w:r w:rsidRPr="002B5BC5">
        <w:rPr>
          <w:rFonts w:eastAsia="Arial"/>
          <w:bCs/>
        </w:rPr>
        <w:t>ribaviriną</w:t>
      </w:r>
      <w:proofErr w:type="spellEnd"/>
      <w:r w:rsidRPr="002B5BC5">
        <w:rPr>
          <w:rFonts w:eastAsia="Arial"/>
          <w:bCs/>
        </w:rPr>
        <w:t>. Anksčiau negydyti pacientai anksčiau nebuvo gydyti TVAVP, tačiau anksčiau gydyti pacientai gali būti anksčiau gydyti TVAVP.</w:t>
      </w:r>
    </w:p>
    <w:p w14:paraId="5D2D2C68" w14:textId="77777777" w:rsidR="00570D25" w:rsidRPr="002B5BC5" w:rsidRDefault="00570D25" w:rsidP="00570D25">
      <w:pPr>
        <w:tabs>
          <w:tab w:val="left" w:pos="492"/>
        </w:tabs>
        <w:jc w:val="both"/>
        <w:outlineLvl w:val="1"/>
        <w:rPr>
          <w:rFonts w:eastAsia="Arial"/>
          <w:bCs/>
        </w:rPr>
      </w:pPr>
      <w:r w:rsidRPr="002B5BC5">
        <w:rPr>
          <w:rFonts w:eastAsia="Arial"/>
          <w:bCs/>
        </w:rPr>
        <w:tab/>
      </w:r>
      <w:r w:rsidRPr="002B5BC5">
        <w:rPr>
          <w:rFonts w:eastAsia="Arial"/>
          <w:bCs/>
        </w:rPr>
        <w:tab/>
        <w:t xml:space="preserve">Šioje apžvalgoje daugiausia dėmesio buvo skiriama </w:t>
      </w:r>
      <w:r>
        <w:rPr>
          <w:rFonts w:eastAsia="Arial"/>
          <w:bCs/>
        </w:rPr>
        <w:t>SVR</w:t>
      </w:r>
      <w:r w:rsidRPr="002B5BC5">
        <w:rPr>
          <w:rFonts w:eastAsia="Arial"/>
          <w:bCs/>
        </w:rPr>
        <w:t xml:space="preserve"> vertinimui, kuris apibrėžiamas kaip HCV RNR &lt;25 TV/ml pasibaigus gydymui atitinkamai 12 savaitę (</w:t>
      </w:r>
      <w:r>
        <w:rPr>
          <w:rFonts w:eastAsia="Arial"/>
          <w:bCs/>
        </w:rPr>
        <w:t>SVR12</w:t>
      </w:r>
      <w:r w:rsidRPr="002B5BC5">
        <w:rPr>
          <w:rFonts w:eastAsia="Arial"/>
          <w:bCs/>
        </w:rPr>
        <w:t>) arba 24 savaitę (</w:t>
      </w:r>
      <w:r>
        <w:rPr>
          <w:rFonts w:eastAsia="Arial"/>
          <w:bCs/>
        </w:rPr>
        <w:t>SVR24</w:t>
      </w:r>
      <w:r w:rsidRPr="002B5BC5">
        <w:rPr>
          <w:rFonts w:eastAsia="Arial"/>
          <w:bCs/>
        </w:rPr>
        <w:t xml:space="preserve">). Iš viso apžvalgoje buvo nustatyti 108 tyrimai, kuriuose buvo pranešta apie </w:t>
      </w:r>
      <w:r>
        <w:rPr>
          <w:rFonts w:eastAsia="Arial"/>
          <w:bCs/>
        </w:rPr>
        <w:t>SVR12</w:t>
      </w:r>
      <w:r w:rsidRPr="002B5BC5">
        <w:rPr>
          <w:rFonts w:eastAsia="Arial"/>
          <w:bCs/>
        </w:rPr>
        <w:t xml:space="preserve">, </w:t>
      </w:r>
      <w:r>
        <w:rPr>
          <w:rFonts w:eastAsia="Arial"/>
          <w:bCs/>
        </w:rPr>
        <w:t>SVR24</w:t>
      </w:r>
      <w:r w:rsidRPr="002B5BC5">
        <w:rPr>
          <w:rFonts w:eastAsia="Arial"/>
          <w:bCs/>
        </w:rPr>
        <w:t xml:space="preserve"> arba abu </w:t>
      </w:r>
      <w:r w:rsidRPr="002B5BC5">
        <w:rPr>
          <w:rFonts w:eastAsia="Arial"/>
          <w:bCs/>
        </w:rPr>
        <w:lastRenderedPageBreak/>
        <w:t xml:space="preserve">aktualiems hepatito C viruso pogrupiams (1–6 hepatito C virusų genotipai, atskirai anksčiau negydytiems ir patyrusiems asmenims). </w:t>
      </w:r>
    </w:p>
    <w:p w14:paraId="290D88D8" w14:textId="77777777" w:rsidR="00570D25" w:rsidRPr="002B5BC5" w:rsidRDefault="00570D25" w:rsidP="00570D25">
      <w:pPr>
        <w:tabs>
          <w:tab w:val="left" w:pos="492"/>
        </w:tabs>
        <w:jc w:val="both"/>
        <w:outlineLvl w:val="1"/>
        <w:rPr>
          <w:rFonts w:eastAsia="Arial"/>
          <w:bCs/>
        </w:rPr>
      </w:pPr>
      <w:r>
        <w:rPr>
          <w:rFonts w:eastAsia="Arial"/>
          <w:bCs/>
        </w:rPr>
        <w:tab/>
      </w:r>
      <w:r>
        <w:rPr>
          <w:rFonts w:eastAsia="Arial"/>
          <w:bCs/>
        </w:rPr>
        <w:tab/>
      </w:r>
      <w:r w:rsidRPr="002B5BC5">
        <w:rPr>
          <w:rFonts w:eastAsia="Arial"/>
          <w:bCs/>
        </w:rPr>
        <w:t xml:space="preserve">Gydymo režimai apėmė </w:t>
      </w:r>
      <w:proofErr w:type="spellStart"/>
      <w:r w:rsidRPr="002B5BC5">
        <w:rPr>
          <w:rFonts w:eastAsia="Arial"/>
          <w:bCs/>
        </w:rPr>
        <w:t>ribaviriną</w:t>
      </w:r>
      <w:proofErr w:type="spellEnd"/>
      <w:r w:rsidRPr="002B5BC5">
        <w:rPr>
          <w:rFonts w:eastAsia="Arial"/>
          <w:bCs/>
        </w:rPr>
        <w:t xml:space="preserve"> 61 tyrime (pagal svorį arba standartinę dozę), interferoną 25 tyrimuose (daugiausia </w:t>
      </w:r>
      <w:proofErr w:type="spellStart"/>
      <w:r w:rsidRPr="002B5BC5">
        <w:rPr>
          <w:rFonts w:eastAsia="Arial"/>
          <w:bCs/>
        </w:rPr>
        <w:t>pegiliuotą</w:t>
      </w:r>
      <w:proofErr w:type="spellEnd"/>
      <w:r w:rsidRPr="002B5BC5">
        <w:rPr>
          <w:rFonts w:eastAsia="Arial"/>
          <w:bCs/>
        </w:rPr>
        <w:t xml:space="preserve"> interferoną alfa 2-a arba alfa 2-b), </w:t>
      </w:r>
      <w:proofErr w:type="spellStart"/>
      <w:r w:rsidRPr="002B5BC5">
        <w:rPr>
          <w:rFonts w:eastAsia="Arial"/>
          <w:bCs/>
        </w:rPr>
        <w:t>sofosbuvirą</w:t>
      </w:r>
      <w:proofErr w:type="spellEnd"/>
      <w:r w:rsidRPr="002B5BC5">
        <w:rPr>
          <w:rFonts w:eastAsia="Arial"/>
          <w:bCs/>
        </w:rPr>
        <w:t xml:space="preserve"> 31 tyrime, </w:t>
      </w:r>
      <w:proofErr w:type="spellStart"/>
      <w:r w:rsidRPr="002B5BC5">
        <w:rPr>
          <w:rFonts w:eastAsia="Arial"/>
          <w:bCs/>
        </w:rPr>
        <w:t>ombitasvirą</w:t>
      </w:r>
      <w:proofErr w:type="spellEnd"/>
      <w:r w:rsidRPr="002B5BC5">
        <w:rPr>
          <w:rFonts w:eastAsia="Arial"/>
          <w:bCs/>
        </w:rPr>
        <w:t xml:space="preserve"> 12 tyrimų, </w:t>
      </w:r>
      <w:proofErr w:type="spellStart"/>
      <w:r w:rsidRPr="002B5BC5">
        <w:rPr>
          <w:rFonts w:eastAsia="Arial"/>
          <w:bCs/>
        </w:rPr>
        <w:t>ledipasvirą</w:t>
      </w:r>
      <w:proofErr w:type="spellEnd"/>
      <w:r w:rsidRPr="002B5BC5">
        <w:rPr>
          <w:rFonts w:eastAsia="Arial"/>
          <w:bCs/>
        </w:rPr>
        <w:t xml:space="preserve"> 10 tyrimų. tyrimuose, </w:t>
      </w:r>
      <w:proofErr w:type="spellStart"/>
      <w:r w:rsidRPr="002B5BC5">
        <w:rPr>
          <w:rFonts w:eastAsia="Arial"/>
          <w:bCs/>
        </w:rPr>
        <w:t>dasabuviras</w:t>
      </w:r>
      <w:proofErr w:type="spellEnd"/>
      <w:r w:rsidRPr="002B5BC5">
        <w:rPr>
          <w:rFonts w:eastAsia="Arial"/>
          <w:bCs/>
        </w:rPr>
        <w:t xml:space="preserve"> – 9, </w:t>
      </w:r>
      <w:proofErr w:type="spellStart"/>
      <w:r w:rsidRPr="002B5BC5">
        <w:rPr>
          <w:rFonts w:eastAsia="Arial"/>
          <w:bCs/>
        </w:rPr>
        <w:t>paritapreviras</w:t>
      </w:r>
      <w:proofErr w:type="spellEnd"/>
      <w:r w:rsidRPr="002B5BC5">
        <w:rPr>
          <w:rFonts w:eastAsia="Arial"/>
          <w:bCs/>
        </w:rPr>
        <w:t xml:space="preserve"> – 7, </w:t>
      </w:r>
      <w:proofErr w:type="spellStart"/>
      <w:r w:rsidRPr="002B5BC5">
        <w:rPr>
          <w:rFonts w:eastAsia="Arial"/>
          <w:bCs/>
        </w:rPr>
        <w:t>grazopreviras</w:t>
      </w:r>
      <w:proofErr w:type="spellEnd"/>
      <w:r w:rsidRPr="002B5BC5">
        <w:rPr>
          <w:rFonts w:eastAsia="Arial"/>
          <w:bCs/>
        </w:rPr>
        <w:t xml:space="preserve"> – 7, </w:t>
      </w:r>
      <w:proofErr w:type="spellStart"/>
      <w:r w:rsidRPr="002B5BC5">
        <w:rPr>
          <w:rFonts w:eastAsia="Arial"/>
          <w:bCs/>
        </w:rPr>
        <w:t>simepreviras</w:t>
      </w:r>
      <w:proofErr w:type="spellEnd"/>
      <w:r w:rsidRPr="002B5BC5">
        <w:rPr>
          <w:rFonts w:eastAsia="Arial"/>
          <w:bCs/>
        </w:rPr>
        <w:t xml:space="preserve"> – 7, </w:t>
      </w:r>
      <w:proofErr w:type="spellStart"/>
      <w:r w:rsidRPr="002B5BC5">
        <w:rPr>
          <w:rFonts w:eastAsia="Arial"/>
          <w:bCs/>
        </w:rPr>
        <w:t>telapreviras</w:t>
      </w:r>
      <w:proofErr w:type="spellEnd"/>
      <w:r w:rsidRPr="002B5BC5">
        <w:rPr>
          <w:rFonts w:eastAsia="Arial"/>
          <w:bCs/>
        </w:rPr>
        <w:t xml:space="preserve"> – 6, </w:t>
      </w:r>
      <w:proofErr w:type="spellStart"/>
      <w:r w:rsidRPr="002B5BC5">
        <w:rPr>
          <w:rFonts w:eastAsia="Arial"/>
          <w:bCs/>
        </w:rPr>
        <w:t>elbasviras</w:t>
      </w:r>
      <w:proofErr w:type="spellEnd"/>
      <w:r w:rsidRPr="002B5BC5">
        <w:rPr>
          <w:rFonts w:eastAsia="Arial"/>
          <w:bCs/>
        </w:rPr>
        <w:t xml:space="preserve"> – 6, </w:t>
      </w:r>
      <w:proofErr w:type="spellStart"/>
      <w:r w:rsidRPr="002B5BC5">
        <w:rPr>
          <w:rFonts w:eastAsia="Arial"/>
          <w:bCs/>
        </w:rPr>
        <w:t>velpatasviras</w:t>
      </w:r>
      <w:proofErr w:type="spellEnd"/>
      <w:r w:rsidRPr="002B5BC5">
        <w:rPr>
          <w:rFonts w:eastAsia="Arial"/>
          <w:bCs/>
        </w:rPr>
        <w:t xml:space="preserve"> – 6, </w:t>
      </w:r>
      <w:proofErr w:type="spellStart"/>
      <w:r w:rsidRPr="002B5BC5">
        <w:rPr>
          <w:rFonts w:eastAsia="Arial"/>
          <w:bCs/>
        </w:rPr>
        <w:t>ritonaviras</w:t>
      </w:r>
      <w:proofErr w:type="spellEnd"/>
      <w:r w:rsidRPr="002B5BC5">
        <w:rPr>
          <w:rFonts w:eastAsia="Arial"/>
          <w:bCs/>
        </w:rPr>
        <w:t xml:space="preserve"> – 4, </w:t>
      </w:r>
      <w:proofErr w:type="spellStart"/>
      <w:r w:rsidRPr="002B5BC5">
        <w:rPr>
          <w:rFonts w:eastAsia="Arial"/>
          <w:bCs/>
        </w:rPr>
        <w:t>bocepreviras</w:t>
      </w:r>
      <w:proofErr w:type="spellEnd"/>
      <w:r w:rsidRPr="002B5BC5">
        <w:rPr>
          <w:rFonts w:eastAsia="Arial"/>
          <w:bCs/>
        </w:rPr>
        <w:t xml:space="preserve"> – 2, ir </w:t>
      </w:r>
      <w:proofErr w:type="spellStart"/>
      <w:r w:rsidRPr="002B5BC5">
        <w:rPr>
          <w:rFonts w:eastAsia="Arial"/>
          <w:bCs/>
        </w:rPr>
        <w:t>asunapreviras</w:t>
      </w:r>
      <w:proofErr w:type="spellEnd"/>
      <w:r w:rsidRPr="002B5BC5">
        <w:rPr>
          <w:rFonts w:eastAsia="Arial"/>
          <w:bCs/>
        </w:rPr>
        <w:t xml:space="preserve"> – 1.</w:t>
      </w:r>
    </w:p>
    <w:p w14:paraId="07479200" w14:textId="77777777" w:rsidR="00570D25" w:rsidRDefault="00570D25" w:rsidP="00570D25">
      <w:pPr>
        <w:tabs>
          <w:tab w:val="left" w:pos="492"/>
        </w:tabs>
        <w:jc w:val="both"/>
        <w:outlineLvl w:val="1"/>
      </w:pPr>
      <w:r w:rsidRPr="002B5BC5">
        <w:rPr>
          <w:rFonts w:eastAsia="Arial"/>
          <w:bCs/>
        </w:rPr>
        <w:tab/>
      </w:r>
      <w:r w:rsidRPr="002B5BC5">
        <w:rPr>
          <w:rFonts w:eastAsia="Arial"/>
          <w:bCs/>
        </w:rPr>
        <w:tab/>
      </w:r>
      <w:r>
        <w:rPr>
          <w:rFonts w:eastAsia="Arial"/>
          <w:bCs/>
        </w:rPr>
        <w:t>R</w:t>
      </w:r>
      <w:r w:rsidRPr="002B5BC5">
        <w:rPr>
          <w:rFonts w:eastAsia="Arial"/>
          <w:bCs/>
        </w:rPr>
        <w:t xml:space="preserve">ezultatų analizė </w:t>
      </w:r>
      <w:r>
        <w:rPr>
          <w:rFonts w:eastAsia="Arial"/>
          <w:bCs/>
        </w:rPr>
        <w:t>nebuvo atlikta</w:t>
      </w:r>
      <w:r w:rsidRPr="002B5BC5">
        <w:rPr>
          <w:rFonts w:eastAsia="Arial"/>
          <w:bCs/>
        </w:rPr>
        <w:t>, nes vertinama, kad nėra tinkamai parinkti atrankos kriterijai. Pareiškėjo siūlomos teikimo sąlygos -</w:t>
      </w:r>
      <w:r w:rsidRPr="002B5BC5">
        <w:t xml:space="preserve"> </w:t>
      </w:r>
      <w:r w:rsidRPr="002B5BC5">
        <w:rPr>
          <w:u w:val="single"/>
        </w:rPr>
        <w:t>skiriamas TVAVP gydytiems pacientams, kuriems gydymas nebuvo veiksmingas.</w:t>
      </w:r>
      <w:r w:rsidRPr="002B5BC5">
        <w:t xml:space="preserve"> Atlikta sisteminė literatūros apžvalga neatitinka šiuo metu Lietuvoje galiojančios lėtinio hepatito C gydymo tvarkos. </w:t>
      </w:r>
      <w:r w:rsidRPr="002B5BC5">
        <w:rPr>
          <w:rFonts w:eastAsia="Arial"/>
          <w:bCs/>
        </w:rPr>
        <w:t>Lietuvoje šiuo metu lėtiniam hepatitui C gydyti vartojami vaistai yra „</w:t>
      </w:r>
      <w:proofErr w:type="spellStart"/>
      <w:r w:rsidRPr="002B5BC5">
        <w:rPr>
          <w:rFonts w:eastAsia="Arial"/>
          <w:bCs/>
        </w:rPr>
        <w:t>Maviret</w:t>
      </w:r>
      <w:proofErr w:type="spellEnd"/>
      <w:r w:rsidRPr="002B5BC5">
        <w:rPr>
          <w:rFonts w:eastAsia="Arial"/>
          <w:bCs/>
        </w:rPr>
        <w:t>“ (</w:t>
      </w:r>
      <w:proofErr w:type="spellStart"/>
      <w:r w:rsidRPr="002B5BC5">
        <w:rPr>
          <w:rFonts w:eastAsia="Arial"/>
          <w:bCs/>
        </w:rPr>
        <w:t>glecapreviras</w:t>
      </w:r>
      <w:proofErr w:type="spellEnd"/>
      <w:r w:rsidRPr="002B5BC5">
        <w:rPr>
          <w:rFonts w:eastAsia="Arial"/>
          <w:bCs/>
        </w:rPr>
        <w:t>/</w:t>
      </w:r>
      <w:proofErr w:type="spellStart"/>
      <w:r w:rsidRPr="002B5BC5">
        <w:rPr>
          <w:rFonts w:eastAsia="Arial"/>
          <w:bCs/>
        </w:rPr>
        <w:t>pibrentasviras</w:t>
      </w:r>
      <w:proofErr w:type="spellEnd"/>
      <w:r w:rsidRPr="002B5BC5">
        <w:rPr>
          <w:rFonts w:eastAsia="Arial"/>
          <w:bCs/>
        </w:rPr>
        <w:t>) ir „</w:t>
      </w:r>
      <w:proofErr w:type="spellStart"/>
      <w:r w:rsidRPr="002B5BC5">
        <w:rPr>
          <w:rFonts w:eastAsia="Arial"/>
          <w:bCs/>
        </w:rPr>
        <w:t>Zepatier</w:t>
      </w:r>
      <w:proofErr w:type="spellEnd"/>
      <w:r w:rsidRPr="002B5BC5">
        <w:rPr>
          <w:rFonts w:eastAsia="Arial"/>
          <w:bCs/>
        </w:rPr>
        <w:t>“ (</w:t>
      </w:r>
      <w:proofErr w:type="spellStart"/>
      <w:r w:rsidRPr="002B5BC5">
        <w:rPr>
          <w:rFonts w:eastAsia="Arial"/>
          <w:bCs/>
        </w:rPr>
        <w:t>elbasviras</w:t>
      </w:r>
      <w:proofErr w:type="spellEnd"/>
      <w:r w:rsidRPr="002B5BC5">
        <w:rPr>
          <w:rFonts w:eastAsia="Arial"/>
          <w:bCs/>
        </w:rPr>
        <w:t>/</w:t>
      </w:r>
      <w:proofErr w:type="spellStart"/>
      <w:r w:rsidRPr="002B5BC5">
        <w:rPr>
          <w:rFonts w:eastAsia="Arial"/>
          <w:bCs/>
        </w:rPr>
        <w:t>grazopreviras</w:t>
      </w:r>
      <w:proofErr w:type="spellEnd"/>
      <w:r w:rsidRPr="002B5BC5">
        <w:rPr>
          <w:rFonts w:eastAsia="Arial"/>
          <w:bCs/>
        </w:rPr>
        <w:t xml:space="preserve">), todėl tik tokie, anksčiau vartoti vaistiniai preparatai, </w:t>
      </w:r>
      <w:r>
        <w:rPr>
          <w:rFonts w:eastAsia="Arial"/>
          <w:bCs/>
        </w:rPr>
        <w:t>gali</w:t>
      </w:r>
      <w:r w:rsidRPr="002B5BC5">
        <w:rPr>
          <w:rFonts w:eastAsia="Arial"/>
          <w:bCs/>
        </w:rPr>
        <w:t xml:space="preserve"> būti </w:t>
      </w:r>
      <w:r>
        <w:rPr>
          <w:rFonts w:eastAsia="Arial"/>
          <w:bCs/>
        </w:rPr>
        <w:t>laikomi tinkamu</w:t>
      </w:r>
      <w:r w:rsidRPr="002B5BC5">
        <w:rPr>
          <w:rFonts w:eastAsia="Arial"/>
          <w:bCs/>
        </w:rPr>
        <w:t xml:space="preserve"> atrankos </w:t>
      </w:r>
      <w:proofErr w:type="spellStart"/>
      <w:r w:rsidRPr="002B5BC5">
        <w:rPr>
          <w:rFonts w:eastAsia="Arial"/>
          <w:bCs/>
        </w:rPr>
        <w:t>kriterij</w:t>
      </w:r>
      <w:r>
        <w:rPr>
          <w:rFonts w:eastAsia="Arial"/>
          <w:bCs/>
        </w:rPr>
        <w:t>u</w:t>
      </w:r>
      <w:proofErr w:type="spellEnd"/>
      <w:r w:rsidRPr="002B5BC5">
        <w:rPr>
          <w:rFonts w:eastAsia="Arial"/>
          <w:bCs/>
        </w:rPr>
        <w:t>.</w:t>
      </w:r>
    </w:p>
    <w:p w14:paraId="5FB8C112" w14:textId="77777777" w:rsidR="00570D25" w:rsidRDefault="00570D25" w:rsidP="00570D25">
      <w:pPr>
        <w:tabs>
          <w:tab w:val="left" w:pos="492"/>
        </w:tabs>
        <w:jc w:val="both"/>
        <w:outlineLvl w:val="1"/>
      </w:pPr>
    </w:p>
    <w:p w14:paraId="4DD3BCC9" w14:textId="77777777" w:rsidR="00570D25" w:rsidRDefault="00570D25" w:rsidP="00570D25">
      <w:pPr>
        <w:ind w:firstLine="720"/>
        <w:jc w:val="both"/>
        <w:rPr>
          <w:rFonts w:eastAsia="Arial"/>
          <w:highlight w:val="yellow"/>
        </w:rPr>
      </w:pPr>
      <w:r>
        <w:t xml:space="preserve">Pareiškėjas buvo </w:t>
      </w:r>
      <w:r w:rsidRPr="002B5BC5">
        <w:t>prašomas pateikti papildomus tiesioginio palyginimo ir netiesioginio palyginimo klinikinių (atsitiktinių imčių a</w:t>
      </w:r>
      <w:r>
        <w:t>rba stebėjimo) tyrimų duomenis</w:t>
      </w:r>
      <w:r w:rsidRPr="002B5BC5">
        <w:t xml:space="preserve"> apie </w:t>
      </w:r>
      <w:proofErr w:type="spellStart"/>
      <w:r w:rsidRPr="002B5BC5">
        <w:t>sofosbuviro</w:t>
      </w:r>
      <w:proofErr w:type="spellEnd"/>
      <w:r w:rsidRPr="002B5BC5">
        <w:t xml:space="preserve">, </w:t>
      </w:r>
      <w:proofErr w:type="spellStart"/>
      <w:r w:rsidRPr="002B5BC5">
        <w:t>velpatasviro</w:t>
      </w:r>
      <w:proofErr w:type="spellEnd"/>
      <w:r w:rsidRPr="002B5BC5">
        <w:t xml:space="preserve"> ir </w:t>
      </w:r>
      <w:proofErr w:type="spellStart"/>
      <w:r w:rsidRPr="002B5BC5">
        <w:rPr>
          <w:bCs/>
        </w:rPr>
        <w:t>voksilapreviro</w:t>
      </w:r>
      <w:proofErr w:type="spellEnd"/>
      <w:r w:rsidRPr="002B5BC5">
        <w:t xml:space="preserve"> derinio veiksmingumą ir saugumą su tinkamu palyginamuoju gydymu Lietuvos pacientų populiacijai, </w:t>
      </w:r>
      <w:proofErr w:type="spellStart"/>
      <w:r w:rsidRPr="002B5BC5">
        <w:t>t.y</w:t>
      </w:r>
      <w:proofErr w:type="spellEnd"/>
      <w:r w:rsidRPr="002B5BC5">
        <w:t xml:space="preserve">. Lietuvoje labiausiai paplitusiais hepatito C viruso genotipų variantais pacientams, kurie anksčiau buvo gydyti </w:t>
      </w:r>
      <w:proofErr w:type="spellStart"/>
      <w:r w:rsidRPr="002B5BC5">
        <w:rPr>
          <w:i/>
        </w:rPr>
        <w:t>elbasviro</w:t>
      </w:r>
      <w:proofErr w:type="spellEnd"/>
      <w:r w:rsidRPr="002B5BC5">
        <w:rPr>
          <w:i/>
        </w:rPr>
        <w:t xml:space="preserve"> ir </w:t>
      </w:r>
      <w:proofErr w:type="spellStart"/>
      <w:r w:rsidRPr="002B5BC5">
        <w:rPr>
          <w:i/>
        </w:rPr>
        <w:t>grazopreviro</w:t>
      </w:r>
      <w:proofErr w:type="spellEnd"/>
      <w:r w:rsidRPr="002B5BC5">
        <w:t xml:space="preserve"> deriniu arba </w:t>
      </w:r>
      <w:proofErr w:type="spellStart"/>
      <w:r w:rsidRPr="002B5BC5">
        <w:rPr>
          <w:i/>
        </w:rPr>
        <w:t>glecapreviro</w:t>
      </w:r>
      <w:proofErr w:type="spellEnd"/>
      <w:r w:rsidRPr="002B5BC5">
        <w:rPr>
          <w:i/>
        </w:rPr>
        <w:t xml:space="preserve"> ir </w:t>
      </w:r>
      <w:proofErr w:type="spellStart"/>
      <w:r w:rsidRPr="002B5BC5">
        <w:rPr>
          <w:i/>
        </w:rPr>
        <w:t>pibrentasviro</w:t>
      </w:r>
      <w:proofErr w:type="spellEnd"/>
      <w:r w:rsidRPr="002B5BC5">
        <w:t xml:space="preserve"> deriniu.</w:t>
      </w:r>
    </w:p>
    <w:p w14:paraId="4EFE3E6A" w14:textId="77777777" w:rsidR="00570D25" w:rsidRDefault="00570D25" w:rsidP="00570D25">
      <w:pPr>
        <w:ind w:firstLine="720"/>
        <w:jc w:val="both"/>
        <w:rPr>
          <w:rFonts w:eastAsia="Arial"/>
        </w:rPr>
      </w:pPr>
      <w:r w:rsidRPr="00AA6D25">
        <w:rPr>
          <w:rFonts w:eastAsia="Arial"/>
        </w:rPr>
        <w:t>Pareiškėjas į nurodytą klausimą atsakė pateikdamas realios klinikinės praktikos duomenis aktualius Lietuvos populiacijai. Iš pateiktų dokumentų, Priedas Nr. 3 yra vertinamas, kaip atsakymas į pateiktą užklausą, kiti pateikti dokumentai papildomos informacijos nesuteikia ir į nurodytą klausimą neatsako. Priede Nr. 3 viso yra pateikti 3 tyrimai, du iš jų yra klinikiniai tyrimai, vienas iš jų yra realios klinikinės praktikos tyrimas.</w:t>
      </w:r>
    </w:p>
    <w:p w14:paraId="0AAD48B8" w14:textId="21358645" w:rsidR="00570D25" w:rsidRPr="001A6C07" w:rsidRDefault="00570D25" w:rsidP="00570D25">
      <w:pPr>
        <w:jc w:val="both"/>
        <w:rPr>
          <w:rFonts w:eastAsia="Arial"/>
        </w:rPr>
      </w:pPr>
      <w:r w:rsidRPr="00AA6D25">
        <w:rPr>
          <w:rFonts w:eastAsia="Arial"/>
        </w:rPr>
        <w:tab/>
      </w:r>
      <w:r>
        <w:rPr>
          <w:rFonts w:eastAsia="Arial"/>
        </w:rPr>
        <w:t>Pateiktų tyrimų</w:t>
      </w:r>
      <w:r w:rsidRPr="00AA6D25">
        <w:rPr>
          <w:rFonts w:eastAsia="Arial"/>
        </w:rPr>
        <w:t xml:space="preserve"> Tarnyba negali laikyti tinkamu tyrimu pagrįsti veiksmingumą ir saugumą, nes </w:t>
      </w:r>
      <w:r>
        <w:rPr>
          <w:rFonts w:eastAsia="Arial"/>
        </w:rPr>
        <w:t xml:space="preserve">vienas iš pateiktų tyrimų </w:t>
      </w:r>
      <w:r w:rsidRPr="00AA6D25">
        <w:rPr>
          <w:rFonts w:eastAsia="Arial"/>
        </w:rPr>
        <w:t xml:space="preserve">yra atviras, vienos šakos, </w:t>
      </w:r>
      <w:proofErr w:type="spellStart"/>
      <w:r w:rsidRPr="00AA6D25">
        <w:rPr>
          <w:rFonts w:eastAsia="Arial"/>
        </w:rPr>
        <w:t>placebu</w:t>
      </w:r>
      <w:proofErr w:type="spellEnd"/>
      <w:r w:rsidRPr="00AA6D25">
        <w:rPr>
          <w:rFonts w:eastAsia="Arial"/>
        </w:rPr>
        <w:t xml:space="preserve"> nekontroliuojamas klinikinis tyrimas (be palyginamojo gydymo), todėl vertinti palyginamąjį efektyvumą bei papildomos klinikinės naudos </w:t>
      </w:r>
      <w:r w:rsidR="00451168" w:rsidRPr="00AA6D25">
        <w:rPr>
          <w:rFonts w:eastAsia="Arial"/>
        </w:rPr>
        <w:t>suk</w:t>
      </w:r>
      <w:r w:rsidR="00451168">
        <w:rPr>
          <w:rFonts w:eastAsia="Arial"/>
        </w:rPr>
        <w:t>ūrimą</w:t>
      </w:r>
      <w:r>
        <w:rPr>
          <w:rFonts w:eastAsia="Arial"/>
        </w:rPr>
        <w:t xml:space="preserve"> pacientams yra netinkamas. Kiti tyrimai yra netinkami, nes k</w:t>
      </w:r>
      <w:r w:rsidRPr="00AA6D25">
        <w:rPr>
          <w:rFonts w:eastAsia="Arial"/>
        </w:rPr>
        <w:t>onferencijose skaitomų pranešimų ne</w:t>
      </w:r>
      <w:r>
        <w:rPr>
          <w:rFonts w:eastAsia="Arial"/>
        </w:rPr>
        <w:t>galima</w:t>
      </w:r>
      <w:r w:rsidRPr="00AA6D25">
        <w:rPr>
          <w:rFonts w:eastAsia="Arial"/>
        </w:rPr>
        <w:t xml:space="preserve"> laikyti svariais </w:t>
      </w:r>
      <w:proofErr w:type="spellStart"/>
      <w:r w:rsidRPr="00AA6D25">
        <w:rPr>
          <w:rFonts w:eastAsia="Arial"/>
        </w:rPr>
        <w:t>įrodymais</w:t>
      </w:r>
      <w:proofErr w:type="spellEnd"/>
      <w:r w:rsidRPr="00AA6D25">
        <w:rPr>
          <w:rFonts w:eastAsia="Arial"/>
        </w:rPr>
        <w:t xml:space="preserve">, kurie pagrįstų vaisto klinikinį veiksmingumą ir saugumą. Pareiškėjas nepateikė </w:t>
      </w:r>
      <w:r>
        <w:rPr>
          <w:rFonts w:eastAsia="Arial"/>
        </w:rPr>
        <w:t xml:space="preserve">papildomos </w:t>
      </w:r>
      <w:r w:rsidRPr="00AA6D25">
        <w:rPr>
          <w:rFonts w:eastAsia="Arial"/>
        </w:rPr>
        <w:t>informacijos, kuri paaiškintų tyrimo metodologiją, bei padėtų interpretuoti rezultatus.</w:t>
      </w:r>
    </w:p>
    <w:p w14:paraId="28D709D2" w14:textId="65DE017E" w:rsidR="008358C8" w:rsidRPr="006C4813" w:rsidRDefault="008358C8" w:rsidP="00570D25">
      <w:pPr>
        <w:tabs>
          <w:tab w:val="left" w:pos="426"/>
        </w:tabs>
        <w:spacing w:line="276" w:lineRule="auto"/>
        <w:jc w:val="both"/>
        <w:rPr>
          <w:b/>
          <w:bCs/>
          <w:caps/>
          <w:highlight w:val="yellow"/>
        </w:rPr>
      </w:pPr>
    </w:p>
    <w:p w14:paraId="2C6C2166" w14:textId="0BAFDFA5" w:rsidR="00C378B5" w:rsidRPr="00527C95" w:rsidRDefault="0092396E" w:rsidP="008358C8">
      <w:pPr>
        <w:tabs>
          <w:tab w:val="left" w:pos="567"/>
        </w:tabs>
        <w:rPr>
          <w:b/>
          <w:bCs/>
          <w:caps/>
          <w:lang w:val="en-GB"/>
        </w:rPr>
      </w:pPr>
      <w:r w:rsidRPr="00527C95">
        <w:rPr>
          <w:b/>
          <w:bCs/>
          <w:caps/>
        </w:rPr>
        <w:t xml:space="preserve">3.      </w:t>
      </w:r>
      <w:r w:rsidR="00CC7832" w:rsidRPr="00527C95">
        <w:rPr>
          <w:b/>
          <w:bCs/>
          <w:caps/>
        </w:rPr>
        <w:t xml:space="preserve">ekonominio vertinimo </w:t>
      </w:r>
      <w:r w:rsidR="002F0E4F" w:rsidRPr="00527C95">
        <w:rPr>
          <w:b/>
          <w:bCs/>
          <w:caps/>
        </w:rPr>
        <w:t>apibendrinimas</w:t>
      </w:r>
    </w:p>
    <w:p w14:paraId="733B947F" w14:textId="4FBCC8AB" w:rsidR="00052634" w:rsidRDefault="00052634" w:rsidP="00A93AA6">
      <w:pPr>
        <w:tabs>
          <w:tab w:val="left" w:pos="426"/>
        </w:tabs>
        <w:rPr>
          <w:b/>
          <w:bCs/>
          <w:caps/>
          <w:highlight w:val="yellow"/>
          <w:lang w:val="en-GB"/>
        </w:rPr>
      </w:pPr>
    </w:p>
    <w:p w14:paraId="78407052" w14:textId="77777777" w:rsidR="00527C95" w:rsidRDefault="00527C95" w:rsidP="00527C95">
      <w:pPr>
        <w:shd w:val="clear" w:color="auto" w:fill="FFFFFF"/>
        <w:spacing w:line="276" w:lineRule="auto"/>
        <w:ind w:firstLine="567"/>
        <w:jc w:val="both"/>
        <w:rPr>
          <w:iCs/>
          <w:lang w:eastAsia="lt-LT"/>
        </w:rPr>
      </w:pPr>
      <w:r w:rsidRPr="00AE4F3B">
        <w:rPr>
          <w:iCs/>
          <w:lang w:eastAsia="lt-LT"/>
        </w:rPr>
        <w:t xml:space="preserve">Vertinimui pateikta </w:t>
      </w:r>
      <w:proofErr w:type="spellStart"/>
      <w:r>
        <w:rPr>
          <w:iCs/>
          <w:lang w:eastAsia="lt-LT"/>
        </w:rPr>
        <w:t>Vosevi</w:t>
      </w:r>
      <w:proofErr w:type="spellEnd"/>
      <w:r>
        <w:rPr>
          <w:iCs/>
          <w:lang w:eastAsia="lt-LT"/>
        </w:rPr>
        <w:t xml:space="preserve"> (SOF/VEL/VOX) derinio kaštų naudingumo analizė, palyginus su standartine Lietuvos klinikine praktika – </w:t>
      </w:r>
      <w:proofErr w:type="spellStart"/>
      <w:r>
        <w:rPr>
          <w:iCs/>
          <w:lang w:eastAsia="lt-LT"/>
        </w:rPr>
        <w:t>placebu</w:t>
      </w:r>
      <w:proofErr w:type="spellEnd"/>
      <w:r>
        <w:rPr>
          <w:iCs/>
          <w:lang w:eastAsia="lt-LT"/>
        </w:rPr>
        <w:t xml:space="preserve">. Indikacija – </w:t>
      </w:r>
      <w:proofErr w:type="spellStart"/>
      <w:r>
        <w:rPr>
          <w:iCs/>
          <w:lang w:eastAsia="lt-LT"/>
        </w:rPr>
        <w:t>Vosevi</w:t>
      </w:r>
      <w:proofErr w:type="spellEnd"/>
      <w:r>
        <w:rPr>
          <w:iCs/>
          <w:lang w:eastAsia="lt-LT"/>
        </w:rPr>
        <w:t xml:space="preserve"> skirtas 12 metų ir vyresniems bei ne mažiau nei 30 kg sveriantiems pacientams lėtinio hepatito C viruso infekcijai gydyti, kai pacientas jau yra gydytas tiesiogiai veikiančiu antivirusiniu vaistiniu preparatu. Po pirminio išsamaus vertinimo Tarnyba kreipėsi į Pareiškėją nurodydama esminį prieštaravimą dėl analizėje nagrinėjamos populiacijos ir prašė atnaujinant analizę nagrinėti indikaciją atitinkančią populiaciją (pacientai, kurie anksčiau buvo gydyti </w:t>
      </w:r>
      <w:proofErr w:type="spellStart"/>
      <w:r>
        <w:rPr>
          <w:iCs/>
          <w:lang w:eastAsia="lt-LT"/>
        </w:rPr>
        <w:t>elbasviro</w:t>
      </w:r>
      <w:proofErr w:type="spellEnd"/>
      <w:r>
        <w:rPr>
          <w:iCs/>
          <w:lang w:eastAsia="lt-LT"/>
        </w:rPr>
        <w:t xml:space="preserve"> ir </w:t>
      </w:r>
      <w:proofErr w:type="spellStart"/>
      <w:r>
        <w:rPr>
          <w:iCs/>
          <w:lang w:eastAsia="lt-LT"/>
        </w:rPr>
        <w:t>grazopreviro</w:t>
      </w:r>
      <w:proofErr w:type="spellEnd"/>
      <w:r>
        <w:rPr>
          <w:iCs/>
          <w:lang w:eastAsia="lt-LT"/>
        </w:rPr>
        <w:t xml:space="preserve"> deriniu ar </w:t>
      </w:r>
      <w:proofErr w:type="spellStart"/>
      <w:r>
        <w:rPr>
          <w:iCs/>
          <w:lang w:eastAsia="lt-LT"/>
        </w:rPr>
        <w:t>glacepreviro</w:t>
      </w:r>
      <w:proofErr w:type="spellEnd"/>
      <w:r>
        <w:rPr>
          <w:iCs/>
          <w:lang w:eastAsia="lt-LT"/>
        </w:rPr>
        <w:t xml:space="preserve"> ir </w:t>
      </w:r>
      <w:proofErr w:type="spellStart"/>
      <w:r>
        <w:rPr>
          <w:iCs/>
          <w:lang w:eastAsia="lt-LT"/>
        </w:rPr>
        <w:t>pibrentasviro</w:t>
      </w:r>
      <w:proofErr w:type="spellEnd"/>
      <w:r>
        <w:rPr>
          <w:iCs/>
          <w:lang w:eastAsia="lt-LT"/>
        </w:rPr>
        <w:t xml:space="preserve"> deriniu), pateikus papildomus klinikinius duomenis, būtina atitinkamai atnaujinti ir </w:t>
      </w:r>
      <w:proofErr w:type="spellStart"/>
      <w:r>
        <w:rPr>
          <w:iCs/>
          <w:lang w:eastAsia="lt-LT"/>
        </w:rPr>
        <w:t>farmakoekonominę</w:t>
      </w:r>
      <w:proofErr w:type="spellEnd"/>
      <w:r>
        <w:rPr>
          <w:iCs/>
          <w:lang w:eastAsia="lt-LT"/>
        </w:rPr>
        <w:t xml:space="preserve"> analizę bei modelį. Papildomai Tarnyba pareiškėjui uždavė ir kitų klausimų, reikalingų priimti sprendimui. Pareiškėjas esminio prieštaravimo neišsprendė, nurodydamas, jog neturi klinikinių duomenų ir negali atnaujinti ekonominės analizės. Pareiškėjas taip pat nepateikė atsakymų ir į 11 kitų Tarnybai kilusių klausimų. Tarnyba į Pareiškėją kreipėsi dar kartą el. paštu, teiraudamasi, ar pateiktas galutinis atsakymų variantas. Pareiškėjas patvirtino, jog Tarnybai pateiktas tinkamas dokumentas.</w:t>
      </w:r>
    </w:p>
    <w:p w14:paraId="186B1DC4" w14:textId="57FDD96C" w:rsidR="00052634" w:rsidRPr="00527C95" w:rsidRDefault="00527C95" w:rsidP="00527C95">
      <w:pPr>
        <w:shd w:val="clear" w:color="auto" w:fill="FFFFFF"/>
        <w:spacing w:line="276" w:lineRule="auto"/>
        <w:ind w:firstLine="567"/>
        <w:jc w:val="both"/>
        <w:rPr>
          <w:iCs/>
          <w:lang w:eastAsia="lt-LT"/>
        </w:rPr>
      </w:pPr>
      <w:r>
        <w:rPr>
          <w:iCs/>
          <w:lang w:eastAsia="lt-LT"/>
        </w:rPr>
        <w:lastRenderedPageBreak/>
        <w:t xml:space="preserve">Dėl neišspręsto esminio prieštaravimo klinikinėje dalyje bei dėl neatnaujintos ekonominės analizės ir nagrinėjamos Lietuvos klinikinės praktikos neatitinkančios populiacijos, Paraiškos vertinimas nutraukiamas ir laikoma, jog duomenys apie kaštų naudingumą yra </w:t>
      </w:r>
      <w:r w:rsidRPr="00AE4F3B">
        <w:rPr>
          <w:b/>
          <w:i/>
          <w:iCs/>
          <w:lang w:eastAsia="lt-LT"/>
        </w:rPr>
        <w:t>netinkami vertinti</w:t>
      </w:r>
      <w:r>
        <w:rPr>
          <w:iCs/>
          <w:lang w:eastAsia="lt-LT"/>
        </w:rPr>
        <w:t xml:space="preserve">. </w:t>
      </w:r>
    </w:p>
    <w:p w14:paraId="5DBEB55C" w14:textId="77777777" w:rsidR="00527C95" w:rsidRPr="006C4813" w:rsidRDefault="00527C95" w:rsidP="00A93AA6">
      <w:pPr>
        <w:tabs>
          <w:tab w:val="left" w:pos="426"/>
        </w:tabs>
        <w:rPr>
          <w:b/>
          <w:bCs/>
          <w:caps/>
          <w:highlight w:val="yellow"/>
          <w:lang w:val="en-GB"/>
        </w:rPr>
      </w:pPr>
    </w:p>
    <w:p w14:paraId="4FC424F9" w14:textId="4E767245" w:rsidR="00C62B36" w:rsidRPr="006C4813" w:rsidRDefault="00C62B36" w:rsidP="00CC09D4">
      <w:pPr>
        <w:pStyle w:val="Sraopastraipa"/>
        <w:numPr>
          <w:ilvl w:val="0"/>
          <w:numId w:val="12"/>
        </w:numPr>
        <w:tabs>
          <w:tab w:val="left" w:pos="567"/>
        </w:tabs>
        <w:ind w:hanging="720"/>
        <w:rPr>
          <w:b/>
          <w:bCs/>
          <w:caps/>
        </w:rPr>
      </w:pPr>
      <w:r w:rsidRPr="006C4813">
        <w:rPr>
          <w:b/>
          <w:bCs/>
          <w:caps/>
        </w:rPr>
        <w:t xml:space="preserve">Pacientų organizacijų pateikti duomenys </w:t>
      </w:r>
    </w:p>
    <w:p w14:paraId="79BCFF40" w14:textId="7CA18275" w:rsidR="00937907" w:rsidRPr="006C4813" w:rsidRDefault="0020678E"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570D25">
            <w:rPr>
              <w:rStyle w:val="Style2"/>
              <w:rFonts w:ascii="MS Gothic" w:eastAsia="MS Gothic" w:hAnsi="MS Gothic" w:hint="eastAsia"/>
              <w:sz w:val="24"/>
            </w:rPr>
            <w:t>☐</w:t>
          </w:r>
        </w:sdtContent>
      </w:sdt>
      <w:r w:rsidR="00937907" w:rsidRPr="006C4813">
        <w:t xml:space="preserve"> Pacientų organizacijos pozicija pateikta. Žr. priedą.</w:t>
      </w:r>
    </w:p>
    <w:p w14:paraId="62992180" w14:textId="1080CACD" w:rsidR="00937907" w:rsidRPr="006C4813" w:rsidRDefault="0020678E"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570D25">
            <w:rPr>
              <w:rStyle w:val="Style2"/>
              <w:rFonts w:ascii="MS Gothic" w:eastAsia="MS Gothic" w:hAnsi="MS Gothic" w:hint="eastAsia"/>
              <w:sz w:val="24"/>
            </w:rPr>
            <w:t>☒</w:t>
          </w:r>
        </w:sdtContent>
      </w:sdt>
      <w:r w:rsidR="00937907" w:rsidRPr="006C4813">
        <w:t xml:space="preserve"> Pacientų organizacijos pozicija </w:t>
      </w:r>
      <w:r w:rsidR="00880A44" w:rsidRPr="006C4813">
        <w:t>ne</w:t>
      </w:r>
      <w:r w:rsidR="00937907" w:rsidRPr="006C4813">
        <w:t>pateikta.</w:t>
      </w:r>
    </w:p>
    <w:p w14:paraId="03E73D82" w14:textId="77777777" w:rsidR="00D417D2" w:rsidRPr="006C4813" w:rsidRDefault="00D417D2" w:rsidP="00937907">
      <w:pPr>
        <w:spacing w:after="120"/>
        <w:jc w:val="both"/>
      </w:pPr>
    </w:p>
    <w:p w14:paraId="3D3277FA" w14:textId="3CEEB2D2" w:rsidR="00C62B36" w:rsidRPr="006C4813" w:rsidRDefault="00C62B36" w:rsidP="00CC09D4">
      <w:pPr>
        <w:pStyle w:val="Sraopastraipa"/>
        <w:numPr>
          <w:ilvl w:val="0"/>
          <w:numId w:val="12"/>
        </w:numPr>
        <w:tabs>
          <w:tab w:val="left" w:pos="567"/>
        </w:tabs>
        <w:ind w:hanging="720"/>
        <w:rPr>
          <w:b/>
          <w:bCs/>
          <w:caps/>
        </w:rPr>
      </w:pPr>
      <w:r w:rsidRPr="006C4813">
        <w:rPr>
          <w:b/>
          <w:bCs/>
          <w:caps/>
        </w:rPr>
        <w:t>Gydytojų organizacijų pateikti duomenys</w:t>
      </w:r>
    </w:p>
    <w:p w14:paraId="389A346C" w14:textId="36A74A05" w:rsidR="00937907" w:rsidRPr="006C4813" w:rsidRDefault="0020678E"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570D25">
            <w:rPr>
              <w:rStyle w:val="Style2"/>
              <w:rFonts w:ascii="MS Gothic" w:eastAsia="MS Gothic" w:hAnsi="MS Gothic" w:hint="eastAsia"/>
              <w:sz w:val="24"/>
            </w:rPr>
            <w:t>☒</w:t>
          </w:r>
        </w:sdtContent>
      </w:sdt>
      <w:r w:rsidR="00662983" w:rsidRPr="006C4813">
        <w:t xml:space="preserve"> </w:t>
      </w:r>
      <w:r w:rsidR="00937907" w:rsidRPr="006C4813">
        <w:t xml:space="preserve">Gydytojų specialistų organizacijos pozicija pateikta. </w:t>
      </w:r>
      <w:r w:rsidR="00662983" w:rsidRPr="006C4813">
        <w:t>Žr. priedą</w:t>
      </w:r>
      <w:r w:rsidR="00937907" w:rsidRPr="006C4813">
        <w:t>.</w:t>
      </w:r>
    </w:p>
    <w:p w14:paraId="7EAD48C7" w14:textId="77777777" w:rsidR="00731BE9" w:rsidRPr="006C4813" w:rsidRDefault="0020678E" w:rsidP="00731BE9">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6C4813">
            <w:rPr>
              <w:rStyle w:val="Style2"/>
              <w:rFonts w:ascii="MS Gothic" w:eastAsia="MS Gothic" w:hAnsi="MS Gothic"/>
              <w:sz w:val="24"/>
            </w:rPr>
            <w:t>☐</w:t>
          </w:r>
        </w:sdtContent>
      </w:sdt>
      <w:r w:rsidR="00662983" w:rsidRPr="006C4813">
        <w:t xml:space="preserve"> </w:t>
      </w:r>
      <w:r w:rsidR="00937907" w:rsidRPr="006C4813">
        <w:t xml:space="preserve">Gydytojų specialistų organizacijos pozicija </w:t>
      </w:r>
      <w:r w:rsidR="00880A44" w:rsidRPr="006C4813">
        <w:t>ne</w:t>
      </w:r>
      <w:r w:rsidR="00937907" w:rsidRPr="006C4813">
        <w:t>pateikta.</w:t>
      </w:r>
    </w:p>
    <w:p w14:paraId="2A1FD457" w14:textId="77777777" w:rsidR="00080362" w:rsidRPr="006C4813" w:rsidRDefault="00080362" w:rsidP="00731BE9">
      <w:pPr>
        <w:spacing w:after="120"/>
        <w:jc w:val="both"/>
        <w:rPr>
          <w:highlight w:val="yellow"/>
        </w:rPr>
      </w:pPr>
    </w:p>
    <w:p w14:paraId="08D5B3B6" w14:textId="3BE0B3C0" w:rsidR="0061611B" w:rsidRPr="006C4813" w:rsidRDefault="002F0E4F" w:rsidP="0061611B">
      <w:pPr>
        <w:pStyle w:val="Sraopastraipa"/>
        <w:numPr>
          <w:ilvl w:val="0"/>
          <w:numId w:val="12"/>
        </w:numPr>
        <w:spacing w:after="120"/>
        <w:ind w:hanging="720"/>
        <w:jc w:val="both"/>
      </w:pPr>
      <w:r w:rsidRPr="006C4813">
        <w:rPr>
          <w:b/>
          <w:bCs/>
          <w:caps/>
        </w:rPr>
        <w:t xml:space="preserve">Išvada </w:t>
      </w:r>
    </w:p>
    <w:tbl>
      <w:tblPr>
        <w:tblStyle w:val="Lentelstinklelis"/>
        <w:tblW w:w="9629" w:type="dxa"/>
        <w:tblLook w:val="04A0" w:firstRow="1" w:lastRow="0" w:firstColumn="1" w:lastColumn="0" w:noHBand="0" w:noVBand="1"/>
      </w:tblPr>
      <w:tblGrid>
        <w:gridCol w:w="4957"/>
        <w:gridCol w:w="4672"/>
      </w:tblGrid>
      <w:tr w:rsidR="00B13D65" w:rsidRPr="006C4813" w14:paraId="25A2473E" w14:textId="77777777" w:rsidTr="00900770">
        <w:trPr>
          <w:trHeight w:val="510"/>
        </w:trPr>
        <w:tc>
          <w:tcPr>
            <w:tcW w:w="4957" w:type="dxa"/>
            <w:vAlign w:val="center"/>
          </w:tcPr>
          <w:p w14:paraId="7EFE6941" w14:textId="23B8BB6D" w:rsidR="00B13D65"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C4813">
              <w:rPr>
                <w:rStyle w:val="Style2"/>
                <w:rFonts w:eastAsia="MS Gothic"/>
                <w:b/>
                <w:bCs/>
                <w:sz w:val="24"/>
              </w:rPr>
              <w:t>Rekomenduojama kompensuoti</w:t>
            </w:r>
          </w:p>
        </w:tc>
        <w:tc>
          <w:tcPr>
            <w:tcW w:w="4672" w:type="dxa"/>
            <w:vAlign w:val="center"/>
          </w:tcPr>
          <w:p w14:paraId="330A1A5E" w14:textId="19247DC1" w:rsidR="00B13D65"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C4813">
              <w:rPr>
                <w:rStyle w:val="Style2"/>
                <w:rFonts w:eastAsia="MS Gothic"/>
                <w:b/>
                <w:bCs/>
                <w:sz w:val="24"/>
              </w:rPr>
              <w:t xml:space="preserve">Rekomenduojama nekompensuoti </w:t>
            </w:r>
          </w:p>
        </w:tc>
      </w:tr>
      <w:tr w:rsidR="00B13D65" w:rsidRPr="006C4813" w14:paraId="143A7356" w14:textId="77777777" w:rsidTr="00900770">
        <w:trPr>
          <w:trHeight w:val="510"/>
        </w:trPr>
        <w:tc>
          <w:tcPr>
            <w:tcW w:w="9629" w:type="dxa"/>
            <w:gridSpan w:val="2"/>
            <w:vAlign w:val="center"/>
          </w:tcPr>
          <w:p w14:paraId="0AF5D6B4" w14:textId="6D8B6C59"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Palyginamasis efektyvumas</w:t>
            </w:r>
          </w:p>
        </w:tc>
      </w:tr>
      <w:tr w:rsidR="00B13D65" w:rsidRPr="006C4813" w14:paraId="28A0C814" w14:textId="77777777" w:rsidTr="00900770">
        <w:tc>
          <w:tcPr>
            <w:tcW w:w="4957" w:type="dxa"/>
          </w:tcPr>
          <w:p w14:paraId="216769B5" w14:textId="6E07D798"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32.1. yra didesnis</w:t>
            </w:r>
          </w:p>
          <w:p w14:paraId="3B48F372"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93C514D" w:rsidR="00B13D65" w:rsidRPr="006C4813" w:rsidRDefault="0020678E" w:rsidP="00F8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527C95">
                  <w:rPr>
                    <w:rStyle w:val="Style2"/>
                    <w:rFonts w:ascii="MS Gothic" w:eastAsia="MS Gothic" w:hAnsi="MS Gothic" w:hint="eastAsia"/>
                    <w:sz w:val="24"/>
                  </w:rPr>
                  <w:t>☐</w:t>
                </w:r>
              </w:sdtContent>
            </w:sdt>
            <w:r w:rsidR="00B13D65" w:rsidRPr="006C4813">
              <w:t xml:space="preserve"> 32.1. iš esmės nesiskiria</w:t>
            </w:r>
          </w:p>
        </w:tc>
        <w:tc>
          <w:tcPr>
            <w:tcW w:w="4672" w:type="dxa"/>
          </w:tcPr>
          <w:p w14:paraId="507828D9" w14:textId="029A1B2C"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yra mažesnis</w:t>
            </w:r>
          </w:p>
          <w:p w14:paraId="7F95DEEC"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53F67A6" w:rsidR="00662983"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yra neįrodytas kaip toks pat</w:t>
            </w:r>
          </w:p>
          <w:p w14:paraId="35205E8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AF8F0D2"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6C4813">
                  <w:rPr>
                    <w:rStyle w:val="Style2"/>
                    <w:rFonts w:ascii="Segoe UI Symbol" w:eastAsia="MS Gothic" w:hAnsi="Segoe UI Symbol" w:cs="Segoe UI Symbol"/>
                    <w:sz w:val="24"/>
                  </w:rPr>
                  <w:t>☐</w:t>
                </w:r>
              </w:sdtContent>
            </w:sdt>
            <w:r w:rsidR="00662983" w:rsidRPr="006C4813">
              <w:t xml:space="preserve"> 33.1 </w:t>
            </w:r>
            <w:r w:rsidR="00B00959" w:rsidRPr="006C4813">
              <w:t xml:space="preserve">yra </w:t>
            </w:r>
            <w:r w:rsidR="00B13D65" w:rsidRPr="006C4813">
              <w:t>neįrodytas kaip didesnis</w:t>
            </w:r>
          </w:p>
          <w:p w14:paraId="512E653B"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0F379CE"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EndPr>
                <w:rPr>
                  <w:rStyle w:val="Style2"/>
                </w:rPr>
              </w:sdtEndPr>
              <w:sdtContent>
                <w:r w:rsidR="00570D25">
                  <w:rPr>
                    <w:rStyle w:val="Style2"/>
                    <w:rFonts w:ascii="MS Gothic" w:eastAsia="MS Gothic" w:hAnsi="MS Gothic" w:hint="eastAsia"/>
                    <w:sz w:val="24"/>
                  </w:rPr>
                  <w:t>☒</w:t>
                </w:r>
              </w:sdtContent>
            </w:sdt>
            <w:r w:rsidR="00B13D65" w:rsidRPr="006C4813">
              <w:t xml:space="preserve"> 33.1. pateikti duomenys apie palyginamąjį efektyvumą yra netinkami vertinti</w:t>
            </w:r>
          </w:p>
          <w:p w14:paraId="5DDAA96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C4813" w14:paraId="161CC3FE" w14:textId="77777777" w:rsidTr="00900770">
        <w:trPr>
          <w:trHeight w:val="510"/>
        </w:trPr>
        <w:tc>
          <w:tcPr>
            <w:tcW w:w="9629" w:type="dxa"/>
            <w:gridSpan w:val="2"/>
            <w:vAlign w:val="center"/>
          </w:tcPr>
          <w:p w14:paraId="1AB46894" w14:textId="3E765638"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Klinikinis veiksmingumas</w:t>
            </w:r>
          </w:p>
        </w:tc>
      </w:tr>
      <w:tr w:rsidR="00B13D65" w:rsidRPr="006C4813" w14:paraId="3C60570A" w14:textId="77777777" w:rsidTr="00900770">
        <w:tc>
          <w:tcPr>
            <w:tcW w:w="4957" w:type="dxa"/>
          </w:tcPr>
          <w:p w14:paraId="6897B306" w14:textId="25C4A3CF"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32.2. yra įvertintas kaip pagrindžiantis papildomos naudos pacientų sveikatai sukūrimą, lyginant su įprasta klinikine praktika</w:t>
            </w:r>
          </w:p>
          <w:p w14:paraId="71D5710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2C9442B0" w:rsidR="00B13D65" w:rsidRPr="006C4813" w:rsidRDefault="0020678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527C95">
                  <w:rPr>
                    <w:rStyle w:val="Style2"/>
                    <w:rFonts w:ascii="MS Gothic" w:eastAsia="MS Gothic" w:hAnsi="MS Gothic" w:hint="eastAsia"/>
                    <w:sz w:val="24"/>
                  </w:rPr>
                  <w:t>☐</w:t>
                </w:r>
              </w:sdtContent>
            </w:sdt>
            <w:r w:rsidR="00B13D65" w:rsidRPr="006C4813">
              <w:t xml:space="preserve"> 32.2. </w:t>
            </w:r>
            <w:r w:rsidR="00B00959" w:rsidRPr="006C4813">
              <w:t xml:space="preserve">yra </w:t>
            </w:r>
            <w:r w:rsidR="00B13D65" w:rsidRPr="006C4813">
              <w:t>įvertintas kaip pagrindžiantis nesiskiriančios naudos pacientų sveikatai sukūrimą, lyginant su įprasta klinikine praktika</w:t>
            </w:r>
          </w:p>
          <w:p w14:paraId="287AD233"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672" w:type="dxa"/>
          </w:tcPr>
          <w:p w14:paraId="74A2DECF" w14:textId="4BA710BD" w:rsidR="00662983" w:rsidRPr="006C4813" w:rsidRDefault="0020678E" w:rsidP="00662983">
            <w:pPr>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570D25">
                  <w:rPr>
                    <w:rStyle w:val="Style2"/>
                    <w:rFonts w:ascii="MS Gothic" w:eastAsia="MS Gothic" w:hAnsi="MS Gothic" w:hint="eastAsia"/>
                    <w:sz w:val="24"/>
                  </w:rPr>
                  <w:t>☒</w:t>
                </w:r>
              </w:sdtContent>
            </w:sdt>
            <w:r w:rsidR="00B13D65" w:rsidRPr="006C4813">
              <w:t xml:space="preserve"> 33.1. yra įvertintas kaip nepagrindžiantis papildomos </w:t>
            </w:r>
            <w:r w:rsidR="00662983" w:rsidRPr="006C4813">
              <w:t>naudos pacientų sveikatai sukūrimo, lyginant su</w:t>
            </w:r>
            <w:r w:rsidR="00122E01" w:rsidRPr="006C4813">
              <w:t xml:space="preserve"> </w:t>
            </w:r>
            <w:r w:rsidR="00662983" w:rsidRPr="006C4813">
              <w:t>įprasta klinikine praktika</w:t>
            </w:r>
          </w:p>
          <w:p w14:paraId="6C70BCFC" w14:textId="77777777" w:rsidR="00662983" w:rsidRPr="006C4813" w:rsidRDefault="00662983" w:rsidP="00BD1E5A">
            <w:pPr>
              <w:jc w:val="both"/>
            </w:pPr>
          </w:p>
          <w:p w14:paraId="0ADEC30D" w14:textId="17661DBD" w:rsidR="00B13D65" w:rsidRPr="006C4813" w:rsidRDefault="0020678E"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6C4813">
                  <w:rPr>
                    <w:rStyle w:val="Style2"/>
                    <w:rFonts w:ascii="Segoe UI Symbol" w:eastAsia="MS Gothic" w:hAnsi="Segoe UI Symbol" w:cs="Segoe UI Symbol"/>
                    <w:sz w:val="24"/>
                  </w:rPr>
                  <w:t>☐</w:t>
                </w:r>
              </w:sdtContent>
            </w:sdt>
            <w:r w:rsidR="00B13D65" w:rsidRPr="006C4813">
              <w:t xml:space="preserve"> </w:t>
            </w:r>
            <w:r w:rsidR="00662983" w:rsidRPr="006C4813">
              <w:t xml:space="preserve">33.1. </w:t>
            </w:r>
            <w:r w:rsidR="00B00959" w:rsidRPr="006C4813">
              <w:t xml:space="preserve">yra įvertintas kaip nepagrindžiantis </w:t>
            </w:r>
            <w:r w:rsidR="00B13D65" w:rsidRPr="006C4813">
              <w:t>nesiskiriančios naudos pacientų sveikatai sukūrimo, lyginant su įprasta klinikine praktika</w:t>
            </w:r>
          </w:p>
          <w:p w14:paraId="1EED790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00770" w:rsidRPr="006C4813" w14:paraId="461681A8" w14:textId="77777777" w:rsidTr="00900770">
        <w:tc>
          <w:tcPr>
            <w:tcW w:w="9629" w:type="dxa"/>
            <w:gridSpan w:val="2"/>
            <w:vAlign w:val="bottom"/>
          </w:tcPr>
          <w:p w14:paraId="6B67DE7E" w14:textId="77777777" w:rsidR="00900770" w:rsidRPr="00900770" w:rsidRDefault="00900770" w:rsidP="00900770">
            <w:pPr>
              <w:jc w:val="center"/>
              <w:rPr>
                <w:rStyle w:val="Style2"/>
                <w:b/>
                <w:sz w:val="10"/>
              </w:rPr>
            </w:pPr>
          </w:p>
          <w:p w14:paraId="22145728" w14:textId="01606DFB" w:rsidR="00900770" w:rsidRDefault="00900770" w:rsidP="00900770">
            <w:pPr>
              <w:jc w:val="center"/>
              <w:rPr>
                <w:rStyle w:val="Style2"/>
                <w:b/>
                <w:sz w:val="24"/>
              </w:rPr>
            </w:pPr>
            <w:r w:rsidRPr="00900770">
              <w:rPr>
                <w:rStyle w:val="Style2"/>
                <w:b/>
                <w:sz w:val="24"/>
              </w:rPr>
              <w:t>Kaštų naudingumas</w:t>
            </w:r>
          </w:p>
          <w:p w14:paraId="09CAD9E9" w14:textId="2D9AAE10" w:rsidR="00900770" w:rsidRPr="00900770" w:rsidRDefault="00900770" w:rsidP="00900770">
            <w:pPr>
              <w:rPr>
                <w:rStyle w:val="Style2"/>
                <w:b/>
                <w:sz w:val="12"/>
              </w:rPr>
            </w:pPr>
          </w:p>
        </w:tc>
      </w:tr>
      <w:tr w:rsidR="00900770" w:rsidRPr="00D05364" w14:paraId="7D7DEE6B" w14:textId="77777777" w:rsidTr="00900770">
        <w:tc>
          <w:tcPr>
            <w:tcW w:w="4957" w:type="dxa"/>
          </w:tcPr>
          <w:p w14:paraId="58FD848D" w14:textId="77777777" w:rsidR="00900770" w:rsidRPr="00D05364" w:rsidRDefault="0020678E"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EndPr>
                <w:rPr>
                  <w:rStyle w:val="Style2"/>
                </w:rPr>
              </w:sdtEndPr>
              <w:sdtContent>
                <w:r w:rsidR="00900770" w:rsidRPr="00D05364">
                  <w:rPr>
                    <w:rStyle w:val="Style2"/>
                    <w:rFonts w:ascii="MS Gothic" w:eastAsia="MS Gothic" w:hAnsi="MS Gothic"/>
                  </w:rPr>
                  <w:t>☐</w:t>
                </w:r>
              </w:sdtContent>
            </w:sdt>
            <w:r w:rsidR="00900770" w:rsidRPr="00D05364">
              <w:t xml:space="preserve"> 32.3. atitinka referencinę naudingumo vertę</w:t>
            </w:r>
          </w:p>
          <w:p w14:paraId="10D2F0CA" w14:textId="77777777" w:rsidR="00900770" w:rsidRPr="00D05364" w:rsidRDefault="00900770"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76C2783" w14:textId="77777777" w:rsidR="00900770" w:rsidRPr="00D05364" w:rsidRDefault="0020678E"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0"/>
                  <w14:checkedState w14:val="2612" w14:font="MS Gothic"/>
                  <w14:uncheckedState w14:val="2610" w14:font="MS Gothic"/>
                </w14:checkbox>
              </w:sdtPr>
              <w:sdtEndPr>
                <w:rPr>
                  <w:rStyle w:val="Style2"/>
                </w:rPr>
              </w:sdtEndPr>
              <w:sdtContent>
                <w:r w:rsidR="00900770" w:rsidRPr="00D05364">
                  <w:rPr>
                    <w:rStyle w:val="Style2"/>
                    <w:rFonts w:ascii="Segoe UI Symbol" w:eastAsia="MS Gothic" w:hAnsi="Segoe UI Symbol" w:cs="Segoe UI Symbol"/>
                  </w:rPr>
                  <w:t>☐</w:t>
                </w:r>
              </w:sdtContent>
            </w:sdt>
            <w:r w:rsidR="00900770" w:rsidRPr="00D05364">
              <w:t xml:space="preserve"> 32.3. gydymo juo kaštai yra mažesni ar tokie patys esant iš esmės nesiskiriančiam palyginamajam efektyvumui, lyginant su įprasta klinikine praktika</w:t>
            </w:r>
          </w:p>
          <w:p w14:paraId="5B3493EC" w14:textId="77777777" w:rsidR="00900770" w:rsidRPr="00D05364" w:rsidRDefault="00900770"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4672" w:type="dxa"/>
          </w:tcPr>
          <w:p w14:paraId="0B1B9B94" w14:textId="77777777" w:rsidR="00900770" w:rsidRPr="00D05364" w:rsidRDefault="0020678E"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EndPr>
                <w:rPr>
                  <w:rStyle w:val="Style2"/>
                </w:rPr>
              </w:sdtEndPr>
              <w:sdtContent>
                <w:r w:rsidR="00900770" w:rsidRPr="00D05364">
                  <w:rPr>
                    <w:rStyle w:val="Style2"/>
                    <w:rFonts w:ascii="Segoe UI Symbol" w:eastAsia="MS Gothic" w:hAnsi="Segoe UI Symbol" w:cs="Segoe UI Symbol"/>
                  </w:rPr>
                  <w:t>☐</w:t>
                </w:r>
              </w:sdtContent>
            </w:sdt>
            <w:r w:rsidR="00900770" w:rsidRPr="00D05364">
              <w:t xml:space="preserve"> 33.3. neatitinka referencinės naudingumo vertės Lietuvos Respublikoje</w:t>
            </w:r>
          </w:p>
          <w:p w14:paraId="3D2C443F" w14:textId="77777777" w:rsidR="00900770" w:rsidRPr="00D05364" w:rsidRDefault="00900770"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4309AA" w14:textId="77777777" w:rsidR="00900770" w:rsidRPr="00D05364" w:rsidRDefault="0020678E"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EndPr>
                <w:rPr>
                  <w:rStyle w:val="Style2"/>
                </w:rPr>
              </w:sdtEndPr>
              <w:sdtContent>
                <w:r w:rsidR="00900770" w:rsidRPr="00D05364">
                  <w:rPr>
                    <w:rStyle w:val="Style2"/>
                    <w:rFonts w:ascii="Segoe UI Symbol" w:eastAsia="MS Gothic" w:hAnsi="Segoe UI Symbol" w:cs="Segoe UI Symbol"/>
                  </w:rPr>
                  <w:t>☐</w:t>
                </w:r>
              </w:sdtContent>
            </w:sdt>
            <w:r w:rsidR="00900770" w:rsidRPr="00D05364">
              <w:t xml:space="preserve"> 33.3. gydymo juo kaštai yra didesni esant iš esmės nesiskiriančiam palyginamajam </w:t>
            </w:r>
            <w:r w:rsidR="00900770" w:rsidRPr="00D05364">
              <w:lastRenderedPageBreak/>
              <w:t>efektyvumui, lyginant su įprasta klinikine praktika</w:t>
            </w:r>
          </w:p>
          <w:p w14:paraId="34D6A45D" w14:textId="77777777" w:rsidR="00900770" w:rsidRPr="00D05364" w:rsidRDefault="00900770"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296C42F4" w14:textId="77777777" w:rsidR="00900770" w:rsidRPr="00D05364" w:rsidRDefault="0020678E"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rPr>
                <w:id w:val="-2008360022"/>
                <w15:color w:val="FFCC00"/>
                <w14:checkbox>
                  <w14:checked w14:val="1"/>
                  <w14:checkedState w14:val="2612" w14:font="MS Gothic"/>
                  <w14:uncheckedState w14:val="2610" w14:font="MS Gothic"/>
                </w14:checkbox>
              </w:sdtPr>
              <w:sdtEndPr>
                <w:rPr>
                  <w:rStyle w:val="Style2"/>
                </w:rPr>
              </w:sdtEndPr>
              <w:sdtContent>
                <w:r w:rsidR="00900770">
                  <w:rPr>
                    <w:rStyle w:val="Style2"/>
                    <w:rFonts w:ascii="MS Gothic" w:eastAsia="MS Gothic" w:hAnsi="MS Gothic" w:hint="eastAsia"/>
                  </w:rPr>
                  <w:t>☒</w:t>
                </w:r>
              </w:sdtContent>
            </w:sdt>
            <w:r w:rsidR="00900770">
              <w:t xml:space="preserve"> 33.3. </w:t>
            </w:r>
            <w:r w:rsidR="00900770" w:rsidRPr="00D05364">
              <w:t>pateikti duomenys apie kaštų naudingumą yra netinkami vertinti</w:t>
            </w:r>
          </w:p>
          <w:p w14:paraId="395142D6" w14:textId="77777777" w:rsidR="00900770" w:rsidRPr="00D05364" w:rsidRDefault="00900770" w:rsidP="00AB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0E0954DB" w14:textId="48C6B9E8" w:rsidR="004C7EAD" w:rsidRDefault="004C7EAD" w:rsidP="00FE19AA">
      <w:pPr>
        <w:ind w:firstLine="720"/>
      </w:pPr>
    </w:p>
    <w:p w14:paraId="0AD6DA3E" w14:textId="6F7F31A5" w:rsidR="00FE19AA" w:rsidRDefault="00FE19AA" w:rsidP="00FE19AA">
      <w:pPr>
        <w:ind w:firstLine="720"/>
      </w:pPr>
    </w:p>
    <w:p w14:paraId="7DA07ED3" w14:textId="77777777" w:rsidR="00FE19AA" w:rsidRDefault="00FE19AA" w:rsidP="00FE19AA">
      <w:pPr>
        <w:ind w:firstLine="720"/>
      </w:pPr>
    </w:p>
    <w:p w14:paraId="2EC96AC5" w14:textId="77777777" w:rsidR="00052634" w:rsidRPr="006C7458" w:rsidRDefault="00052634" w:rsidP="00381024"/>
    <w:p w14:paraId="3B2D1F25" w14:textId="3A80E19F" w:rsidR="000001B0" w:rsidRPr="006C7458" w:rsidRDefault="000001B0" w:rsidP="00CC09D4">
      <w:pPr>
        <w:pStyle w:val="Sraopastraipa"/>
        <w:numPr>
          <w:ilvl w:val="0"/>
          <w:numId w:val="12"/>
        </w:numPr>
        <w:ind w:left="567" w:hanging="567"/>
      </w:pPr>
      <w:r w:rsidRPr="006C7458">
        <w:rPr>
          <w:b/>
        </w:rPr>
        <w:t>REKOME</w:t>
      </w:r>
      <w:r w:rsidR="00D83182" w:rsidRPr="006C7458">
        <w:rPr>
          <w:b/>
        </w:rPr>
        <w:t>N</w:t>
      </w:r>
      <w:r w:rsidRPr="006C7458">
        <w:rPr>
          <w:b/>
        </w:rPr>
        <w:t>DACIJA</w:t>
      </w:r>
    </w:p>
    <w:p w14:paraId="54A39A0C" w14:textId="1AC238A3" w:rsidR="004F3B2B" w:rsidRPr="00B62292" w:rsidRDefault="004F3B2B" w:rsidP="004F3B2B">
      <w:pPr>
        <w:rPr>
          <w:i/>
          <w:highlight w:val="yellow"/>
        </w:rPr>
      </w:pPr>
    </w:p>
    <w:p w14:paraId="1AE97940" w14:textId="77777777" w:rsidR="00527C95" w:rsidRPr="00E33EFF" w:rsidRDefault="00527C95" w:rsidP="00F6083F">
      <w:pPr>
        <w:spacing w:line="360" w:lineRule="auto"/>
        <w:ind w:firstLine="720"/>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0B29EE7C" w14:textId="5FAAAAFD" w:rsidR="00527C95" w:rsidRPr="00527C95" w:rsidRDefault="00527C95" w:rsidP="00F6083F">
      <w:pPr>
        <w:spacing w:line="360" w:lineRule="auto"/>
        <w:jc w:val="both"/>
      </w:pPr>
      <w:r w:rsidRPr="00E33EFF">
        <w:t xml:space="preserve">34.4. rekomenduojama </w:t>
      </w:r>
      <w:r w:rsidRPr="00E33EFF">
        <w:rPr>
          <w:i/>
        </w:rPr>
        <w:t xml:space="preserve">nekompensuoti </w:t>
      </w:r>
      <w:r w:rsidRPr="00E33EFF">
        <w:t>vaistinio prepa</w:t>
      </w:r>
      <w:r>
        <w:t>rato pagal paraiškoje nurodytą indikaciją</w:t>
      </w:r>
      <w:r w:rsidRPr="00E33EFF">
        <w:t xml:space="preserve"> su skyrimo sąlygomis</w:t>
      </w:r>
      <w:r>
        <w:t>, netaikant PGS</w:t>
      </w:r>
      <w:r w:rsidRPr="00E33EFF">
        <w:t xml:space="preserve"> dėl vertinimo išvadų</w:t>
      </w:r>
      <w:r>
        <w:t xml:space="preserve">, nurodytų 33.1 papunktyje (žr. 5 skyrių), </w:t>
      </w:r>
      <w:r w:rsidRPr="00E33EFF">
        <w:t xml:space="preserve"> neatitikties </w:t>
      </w:r>
      <w:r w:rsidRPr="003D6208">
        <w:t>34.1 papunktyje išdėstytoms sąlygoms</w:t>
      </w:r>
      <w:r>
        <w:t>.</w:t>
      </w:r>
    </w:p>
    <w:p w14:paraId="4E7454EF" w14:textId="2221DF5B" w:rsidR="00DF1781" w:rsidRPr="006C1089" w:rsidRDefault="00DF1781" w:rsidP="006C1089">
      <w:pPr>
        <w:spacing w:line="360" w:lineRule="auto"/>
        <w:jc w:val="both"/>
      </w:pPr>
    </w:p>
    <w:p w14:paraId="5B0A3527" w14:textId="68FC3DFE" w:rsidR="00D04DB8" w:rsidRPr="00570D25" w:rsidRDefault="008358C8" w:rsidP="008358C8">
      <w:pPr>
        <w:pStyle w:val="Betarp"/>
        <w:spacing w:line="360" w:lineRule="auto"/>
        <w:rPr>
          <w:rFonts w:ascii="Times New Roman" w:hAnsi="Times New Roman"/>
          <w:sz w:val="24"/>
          <w:szCs w:val="24"/>
        </w:rPr>
      </w:pPr>
      <w:r w:rsidRPr="00570D25">
        <w:rPr>
          <w:rFonts w:ascii="Times New Roman" w:hAnsi="Times New Roman"/>
          <w:sz w:val="24"/>
          <w:szCs w:val="24"/>
        </w:rPr>
        <w:t xml:space="preserve"> </w:t>
      </w:r>
    </w:p>
    <w:sectPr w:rsidR="00D04DB8" w:rsidRPr="00570D25" w:rsidSect="005D30E1">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E9B7" w14:textId="77777777" w:rsidR="0020678E" w:rsidRDefault="0020678E">
      <w:r>
        <w:separator/>
      </w:r>
    </w:p>
  </w:endnote>
  <w:endnote w:type="continuationSeparator" w:id="0">
    <w:p w14:paraId="79B5FCFD" w14:textId="77777777" w:rsidR="0020678E" w:rsidRDefault="002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8923" w14:textId="77777777" w:rsidR="00293BDC" w:rsidRDefault="00293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2624" w14:textId="77777777" w:rsidR="00293BDC" w:rsidRDefault="00293B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309F66E" w:rsidR="00347FAA" w:rsidRDefault="00122E01">
    <w:pPr>
      <w:pStyle w:val="Porat"/>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85E4" w14:textId="77777777" w:rsidR="0020678E" w:rsidRDefault="0020678E">
      <w:r>
        <w:separator/>
      </w:r>
    </w:p>
  </w:footnote>
  <w:footnote w:type="continuationSeparator" w:id="0">
    <w:p w14:paraId="21C131E5" w14:textId="77777777" w:rsidR="0020678E" w:rsidRDefault="0020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DB01" w14:textId="78DB7DDC" w:rsidR="00347FAA" w:rsidRDefault="00122E01">
    <w:pPr>
      <w:pStyle w:val="Antrats"/>
    </w:pPr>
    <w:r>
      <w:rPr>
        <w:rStyle w:val="Puslapionumeri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872E" w14:textId="1778616D" w:rsidR="00347FAA" w:rsidRDefault="00122E01">
    <w:pPr>
      <w:pStyle w:val="Antrats"/>
    </w:pPr>
    <w:r>
      <w:rPr>
        <w:rStyle w:val="Puslapionumeri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003E59DC" w:rsidR="00347FAA" w:rsidRDefault="00122E01" w:rsidP="00FD793C">
    <w:pPr>
      <w:pStyle w:val="Antrats"/>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D21F9"/>
    <w:multiLevelType w:val="hybridMultilevel"/>
    <w:tmpl w:val="252678CC"/>
    <w:lvl w:ilvl="0" w:tplc="5FFCE39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A380FD3"/>
    <w:multiLevelType w:val="hybridMultilevel"/>
    <w:tmpl w:val="A1DC2302"/>
    <w:lvl w:ilvl="0" w:tplc="B2ECA4B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5"/>
  </w:num>
  <w:num w:numId="7">
    <w:abstractNumId w:val="3"/>
  </w:num>
  <w:num w:numId="8">
    <w:abstractNumId w:val="15"/>
  </w:num>
  <w:num w:numId="9">
    <w:abstractNumId w:val="0"/>
  </w:num>
  <w:num w:numId="10">
    <w:abstractNumId w:val="12"/>
  </w:num>
  <w:num w:numId="11">
    <w:abstractNumId w:val="14"/>
  </w:num>
  <w:num w:numId="12">
    <w:abstractNumId w:val="2"/>
  </w:num>
  <w:num w:numId="13">
    <w:abstractNumId w:val="16"/>
  </w:num>
  <w:num w:numId="14">
    <w:abstractNumId w:val="18"/>
  </w:num>
  <w:num w:numId="15">
    <w:abstractNumId w:val="4"/>
  </w:num>
  <w:num w:numId="16">
    <w:abstractNumId w:val="8"/>
  </w:num>
  <w:num w:numId="17">
    <w:abstractNumId w:val="10"/>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06FB"/>
    <w:rsid w:val="00003F5B"/>
    <w:rsid w:val="000114DD"/>
    <w:rsid w:val="000136F7"/>
    <w:rsid w:val="0002686C"/>
    <w:rsid w:val="00031D0E"/>
    <w:rsid w:val="000337E6"/>
    <w:rsid w:val="00033E81"/>
    <w:rsid w:val="0003402E"/>
    <w:rsid w:val="00034EAE"/>
    <w:rsid w:val="00042924"/>
    <w:rsid w:val="00052634"/>
    <w:rsid w:val="00053975"/>
    <w:rsid w:val="00057A2B"/>
    <w:rsid w:val="000606BE"/>
    <w:rsid w:val="000723FF"/>
    <w:rsid w:val="000729E0"/>
    <w:rsid w:val="000736B8"/>
    <w:rsid w:val="00080362"/>
    <w:rsid w:val="00080DF4"/>
    <w:rsid w:val="0008190F"/>
    <w:rsid w:val="00081D77"/>
    <w:rsid w:val="00081D9C"/>
    <w:rsid w:val="00082907"/>
    <w:rsid w:val="0008378D"/>
    <w:rsid w:val="00084EC2"/>
    <w:rsid w:val="000904CE"/>
    <w:rsid w:val="000908A5"/>
    <w:rsid w:val="00092805"/>
    <w:rsid w:val="000A00FE"/>
    <w:rsid w:val="000B4042"/>
    <w:rsid w:val="000C454C"/>
    <w:rsid w:val="000C5F5C"/>
    <w:rsid w:val="000D2FBE"/>
    <w:rsid w:val="000D5038"/>
    <w:rsid w:val="000D5171"/>
    <w:rsid w:val="000E143B"/>
    <w:rsid w:val="000E29D4"/>
    <w:rsid w:val="000E43C6"/>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369C"/>
    <w:rsid w:val="00175D57"/>
    <w:rsid w:val="00180C39"/>
    <w:rsid w:val="00180D51"/>
    <w:rsid w:val="00180D96"/>
    <w:rsid w:val="0018388A"/>
    <w:rsid w:val="00184BD3"/>
    <w:rsid w:val="001921F3"/>
    <w:rsid w:val="001B2535"/>
    <w:rsid w:val="001B3C5B"/>
    <w:rsid w:val="001B45CD"/>
    <w:rsid w:val="001C70A0"/>
    <w:rsid w:val="001D746F"/>
    <w:rsid w:val="001E0533"/>
    <w:rsid w:val="001E4BBB"/>
    <w:rsid w:val="001E6304"/>
    <w:rsid w:val="001F7919"/>
    <w:rsid w:val="0020381E"/>
    <w:rsid w:val="0020678E"/>
    <w:rsid w:val="00213471"/>
    <w:rsid w:val="00215906"/>
    <w:rsid w:val="0023073E"/>
    <w:rsid w:val="00230A64"/>
    <w:rsid w:val="00233D56"/>
    <w:rsid w:val="00241CD8"/>
    <w:rsid w:val="00244B09"/>
    <w:rsid w:val="002503D0"/>
    <w:rsid w:val="002519CB"/>
    <w:rsid w:val="00255939"/>
    <w:rsid w:val="0025697F"/>
    <w:rsid w:val="00260258"/>
    <w:rsid w:val="0026588E"/>
    <w:rsid w:val="00272428"/>
    <w:rsid w:val="00272948"/>
    <w:rsid w:val="002801C3"/>
    <w:rsid w:val="00281671"/>
    <w:rsid w:val="0028297D"/>
    <w:rsid w:val="00283F59"/>
    <w:rsid w:val="002908C1"/>
    <w:rsid w:val="00292392"/>
    <w:rsid w:val="00293BDC"/>
    <w:rsid w:val="002946C7"/>
    <w:rsid w:val="00294F05"/>
    <w:rsid w:val="00295C14"/>
    <w:rsid w:val="002A3179"/>
    <w:rsid w:val="002B3CC1"/>
    <w:rsid w:val="002C09E0"/>
    <w:rsid w:val="002C1BB1"/>
    <w:rsid w:val="002C1C4B"/>
    <w:rsid w:val="002C2786"/>
    <w:rsid w:val="002C3A10"/>
    <w:rsid w:val="002C4A90"/>
    <w:rsid w:val="002C4ED5"/>
    <w:rsid w:val="002D02EF"/>
    <w:rsid w:val="002D35E2"/>
    <w:rsid w:val="002D3CDB"/>
    <w:rsid w:val="002E0702"/>
    <w:rsid w:val="002E11BC"/>
    <w:rsid w:val="002E57AD"/>
    <w:rsid w:val="002E6F80"/>
    <w:rsid w:val="002F0E4F"/>
    <w:rsid w:val="002F1053"/>
    <w:rsid w:val="002F4171"/>
    <w:rsid w:val="0030593C"/>
    <w:rsid w:val="00316FA8"/>
    <w:rsid w:val="00317B0E"/>
    <w:rsid w:val="0032209C"/>
    <w:rsid w:val="00325A21"/>
    <w:rsid w:val="00345069"/>
    <w:rsid w:val="00347FAA"/>
    <w:rsid w:val="0035172D"/>
    <w:rsid w:val="0036187D"/>
    <w:rsid w:val="00364CF9"/>
    <w:rsid w:val="003668C8"/>
    <w:rsid w:val="00367EDB"/>
    <w:rsid w:val="003738DB"/>
    <w:rsid w:val="00381024"/>
    <w:rsid w:val="00385909"/>
    <w:rsid w:val="00386307"/>
    <w:rsid w:val="003874DE"/>
    <w:rsid w:val="00393E9F"/>
    <w:rsid w:val="00394001"/>
    <w:rsid w:val="0039696E"/>
    <w:rsid w:val="003A3C5C"/>
    <w:rsid w:val="003A54A6"/>
    <w:rsid w:val="003B211A"/>
    <w:rsid w:val="003B6ADA"/>
    <w:rsid w:val="003C141F"/>
    <w:rsid w:val="003C6B0E"/>
    <w:rsid w:val="003C7257"/>
    <w:rsid w:val="003C7E35"/>
    <w:rsid w:val="003D1E99"/>
    <w:rsid w:val="003D6208"/>
    <w:rsid w:val="003D75AC"/>
    <w:rsid w:val="003F1CE4"/>
    <w:rsid w:val="003F2CE7"/>
    <w:rsid w:val="0040276D"/>
    <w:rsid w:val="00404E8A"/>
    <w:rsid w:val="0040622F"/>
    <w:rsid w:val="0040738D"/>
    <w:rsid w:val="00413D17"/>
    <w:rsid w:val="00413F24"/>
    <w:rsid w:val="00422853"/>
    <w:rsid w:val="00423160"/>
    <w:rsid w:val="00426F08"/>
    <w:rsid w:val="00427EFA"/>
    <w:rsid w:val="004341D8"/>
    <w:rsid w:val="004349BC"/>
    <w:rsid w:val="004429E2"/>
    <w:rsid w:val="004468B4"/>
    <w:rsid w:val="00451168"/>
    <w:rsid w:val="004532C0"/>
    <w:rsid w:val="00453862"/>
    <w:rsid w:val="0045469B"/>
    <w:rsid w:val="00456E4C"/>
    <w:rsid w:val="00461338"/>
    <w:rsid w:val="004677DB"/>
    <w:rsid w:val="00467F02"/>
    <w:rsid w:val="00476256"/>
    <w:rsid w:val="00481245"/>
    <w:rsid w:val="0048630F"/>
    <w:rsid w:val="004947A1"/>
    <w:rsid w:val="0049482A"/>
    <w:rsid w:val="004979D3"/>
    <w:rsid w:val="004A00E7"/>
    <w:rsid w:val="004A3A61"/>
    <w:rsid w:val="004B3210"/>
    <w:rsid w:val="004B59BA"/>
    <w:rsid w:val="004B5A03"/>
    <w:rsid w:val="004C263A"/>
    <w:rsid w:val="004C7EAD"/>
    <w:rsid w:val="004D19E9"/>
    <w:rsid w:val="004D48A6"/>
    <w:rsid w:val="004D7B8F"/>
    <w:rsid w:val="004E05F8"/>
    <w:rsid w:val="004E59B7"/>
    <w:rsid w:val="004E6458"/>
    <w:rsid w:val="004E6E7D"/>
    <w:rsid w:val="004F1AAC"/>
    <w:rsid w:val="004F1AE2"/>
    <w:rsid w:val="004F34F0"/>
    <w:rsid w:val="004F3B2B"/>
    <w:rsid w:val="004F6050"/>
    <w:rsid w:val="005005EF"/>
    <w:rsid w:val="005015FA"/>
    <w:rsid w:val="00502124"/>
    <w:rsid w:val="005123C2"/>
    <w:rsid w:val="0052144B"/>
    <w:rsid w:val="00524066"/>
    <w:rsid w:val="00527C95"/>
    <w:rsid w:val="00534E11"/>
    <w:rsid w:val="005378D8"/>
    <w:rsid w:val="005400D9"/>
    <w:rsid w:val="00540F5C"/>
    <w:rsid w:val="005476A4"/>
    <w:rsid w:val="0055019B"/>
    <w:rsid w:val="00552448"/>
    <w:rsid w:val="00556E63"/>
    <w:rsid w:val="005601A4"/>
    <w:rsid w:val="00563D64"/>
    <w:rsid w:val="00566DBB"/>
    <w:rsid w:val="00570D25"/>
    <w:rsid w:val="005767DB"/>
    <w:rsid w:val="005815E6"/>
    <w:rsid w:val="0058712F"/>
    <w:rsid w:val="005976CE"/>
    <w:rsid w:val="005A23D4"/>
    <w:rsid w:val="005A2D1E"/>
    <w:rsid w:val="005A4ACE"/>
    <w:rsid w:val="005B3756"/>
    <w:rsid w:val="005C2910"/>
    <w:rsid w:val="005C493F"/>
    <w:rsid w:val="005C6BF7"/>
    <w:rsid w:val="005C71BF"/>
    <w:rsid w:val="005D002C"/>
    <w:rsid w:val="005D30E1"/>
    <w:rsid w:val="005D6555"/>
    <w:rsid w:val="005D78E8"/>
    <w:rsid w:val="005D7BDF"/>
    <w:rsid w:val="005E4870"/>
    <w:rsid w:val="005F0C52"/>
    <w:rsid w:val="005F71D9"/>
    <w:rsid w:val="005F7602"/>
    <w:rsid w:val="00605EF6"/>
    <w:rsid w:val="006062BE"/>
    <w:rsid w:val="00613143"/>
    <w:rsid w:val="00613501"/>
    <w:rsid w:val="0061611B"/>
    <w:rsid w:val="006166A8"/>
    <w:rsid w:val="006174A1"/>
    <w:rsid w:val="00621D6C"/>
    <w:rsid w:val="00623D7D"/>
    <w:rsid w:val="00633B49"/>
    <w:rsid w:val="0064265E"/>
    <w:rsid w:val="0064297F"/>
    <w:rsid w:val="00645102"/>
    <w:rsid w:val="00646CF3"/>
    <w:rsid w:val="00653D11"/>
    <w:rsid w:val="00662983"/>
    <w:rsid w:val="00662CBF"/>
    <w:rsid w:val="0066510D"/>
    <w:rsid w:val="006669FF"/>
    <w:rsid w:val="006834D3"/>
    <w:rsid w:val="00692625"/>
    <w:rsid w:val="00695CD3"/>
    <w:rsid w:val="006A38B6"/>
    <w:rsid w:val="006A4EA3"/>
    <w:rsid w:val="006A7B74"/>
    <w:rsid w:val="006B1987"/>
    <w:rsid w:val="006B2B86"/>
    <w:rsid w:val="006B5B71"/>
    <w:rsid w:val="006B6CB0"/>
    <w:rsid w:val="006C0296"/>
    <w:rsid w:val="006C1089"/>
    <w:rsid w:val="006C2B64"/>
    <w:rsid w:val="006C4813"/>
    <w:rsid w:val="006C7458"/>
    <w:rsid w:val="006D2BC9"/>
    <w:rsid w:val="006D4C85"/>
    <w:rsid w:val="006D66AC"/>
    <w:rsid w:val="006E33F6"/>
    <w:rsid w:val="006F1251"/>
    <w:rsid w:val="006F1C23"/>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7B7E"/>
    <w:rsid w:val="007656B2"/>
    <w:rsid w:val="0077016F"/>
    <w:rsid w:val="007713AD"/>
    <w:rsid w:val="00787925"/>
    <w:rsid w:val="007910E2"/>
    <w:rsid w:val="0079424A"/>
    <w:rsid w:val="00795DC5"/>
    <w:rsid w:val="00797153"/>
    <w:rsid w:val="007A21F7"/>
    <w:rsid w:val="007A2B68"/>
    <w:rsid w:val="007B09CB"/>
    <w:rsid w:val="007B0DDA"/>
    <w:rsid w:val="007B4CAA"/>
    <w:rsid w:val="007D3347"/>
    <w:rsid w:val="007E31D4"/>
    <w:rsid w:val="007E3EF8"/>
    <w:rsid w:val="007E5466"/>
    <w:rsid w:val="007F1949"/>
    <w:rsid w:val="007F2592"/>
    <w:rsid w:val="007F44FB"/>
    <w:rsid w:val="007F79BE"/>
    <w:rsid w:val="00800A08"/>
    <w:rsid w:val="00804625"/>
    <w:rsid w:val="00813885"/>
    <w:rsid w:val="00815145"/>
    <w:rsid w:val="00817A84"/>
    <w:rsid w:val="008225A4"/>
    <w:rsid w:val="00824B92"/>
    <w:rsid w:val="00826C5A"/>
    <w:rsid w:val="00826D5E"/>
    <w:rsid w:val="00832013"/>
    <w:rsid w:val="00832DB7"/>
    <w:rsid w:val="00834732"/>
    <w:rsid w:val="008358C8"/>
    <w:rsid w:val="00841AC4"/>
    <w:rsid w:val="0085200C"/>
    <w:rsid w:val="00852DFB"/>
    <w:rsid w:val="0085670A"/>
    <w:rsid w:val="00857C52"/>
    <w:rsid w:val="00857F9B"/>
    <w:rsid w:val="00860D5F"/>
    <w:rsid w:val="00863FBB"/>
    <w:rsid w:val="00880A44"/>
    <w:rsid w:val="0088345E"/>
    <w:rsid w:val="0088656F"/>
    <w:rsid w:val="0088667D"/>
    <w:rsid w:val="00890934"/>
    <w:rsid w:val="00891EF6"/>
    <w:rsid w:val="008A0303"/>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0F32"/>
    <w:rsid w:val="008F2ED5"/>
    <w:rsid w:val="00900626"/>
    <w:rsid w:val="00900770"/>
    <w:rsid w:val="0092297E"/>
    <w:rsid w:val="00923651"/>
    <w:rsid w:val="0092396E"/>
    <w:rsid w:val="00927B56"/>
    <w:rsid w:val="009341BF"/>
    <w:rsid w:val="009341F7"/>
    <w:rsid w:val="009352B3"/>
    <w:rsid w:val="00937907"/>
    <w:rsid w:val="00941739"/>
    <w:rsid w:val="00951573"/>
    <w:rsid w:val="00951853"/>
    <w:rsid w:val="00951DA6"/>
    <w:rsid w:val="00953044"/>
    <w:rsid w:val="00963003"/>
    <w:rsid w:val="00966EEF"/>
    <w:rsid w:val="00971B28"/>
    <w:rsid w:val="0098182B"/>
    <w:rsid w:val="00983471"/>
    <w:rsid w:val="009909AB"/>
    <w:rsid w:val="009956F9"/>
    <w:rsid w:val="009B37DB"/>
    <w:rsid w:val="009C7A8C"/>
    <w:rsid w:val="009D23F9"/>
    <w:rsid w:val="009D4FA8"/>
    <w:rsid w:val="009E15E7"/>
    <w:rsid w:val="009E44AE"/>
    <w:rsid w:val="009E6CD6"/>
    <w:rsid w:val="009F4D66"/>
    <w:rsid w:val="00A00C3C"/>
    <w:rsid w:val="00A01091"/>
    <w:rsid w:val="00A042B9"/>
    <w:rsid w:val="00A06DBB"/>
    <w:rsid w:val="00A13E4E"/>
    <w:rsid w:val="00A22ADF"/>
    <w:rsid w:val="00A23219"/>
    <w:rsid w:val="00A31E86"/>
    <w:rsid w:val="00A32861"/>
    <w:rsid w:val="00A354FB"/>
    <w:rsid w:val="00A54054"/>
    <w:rsid w:val="00A54D87"/>
    <w:rsid w:val="00A5553C"/>
    <w:rsid w:val="00A600CE"/>
    <w:rsid w:val="00A701C9"/>
    <w:rsid w:val="00A7706B"/>
    <w:rsid w:val="00A776A1"/>
    <w:rsid w:val="00A81785"/>
    <w:rsid w:val="00A84803"/>
    <w:rsid w:val="00A84C51"/>
    <w:rsid w:val="00A86F2B"/>
    <w:rsid w:val="00A91366"/>
    <w:rsid w:val="00A92D3A"/>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1667C"/>
    <w:rsid w:val="00B21805"/>
    <w:rsid w:val="00B22CF3"/>
    <w:rsid w:val="00B2555C"/>
    <w:rsid w:val="00B26AF6"/>
    <w:rsid w:val="00B3072E"/>
    <w:rsid w:val="00B36E15"/>
    <w:rsid w:val="00B37245"/>
    <w:rsid w:val="00B4017A"/>
    <w:rsid w:val="00B4468D"/>
    <w:rsid w:val="00B4474D"/>
    <w:rsid w:val="00B62292"/>
    <w:rsid w:val="00B64ECE"/>
    <w:rsid w:val="00B65FB4"/>
    <w:rsid w:val="00B67617"/>
    <w:rsid w:val="00B71C72"/>
    <w:rsid w:val="00B80666"/>
    <w:rsid w:val="00B81E92"/>
    <w:rsid w:val="00B87E4F"/>
    <w:rsid w:val="00B908D7"/>
    <w:rsid w:val="00B915AB"/>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2E0D"/>
    <w:rsid w:val="00BF3927"/>
    <w:rsid w:val="00BF3F8B"/>
    <w:rsid w:val="00BF4796"/>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67EC1"/>
    <w:rsid w:val="00C7012C"/>
    <w:rsid w:val="00C712EA"/>
    <w:rsid w:val="00C72C7C"/>
    <w:rsid w:val="00C74CA8"/>
    <w:rsid w:val="00C82B21"/>
    <w:rsid w:val="00C86102"/>
    <w:rsid w:val="00CA217D"/>
    <w:rsid w:val="00CC09D4"/>
    <w:rsid w:val="00CC668D"/>
    <w:rsid w:val="00CC7832"/>
    <w:rsid w:val="00CD04D7"/>
    <w:rsid w:val="00CD17BE"/>
    <w:rsid w:val="00CD79B3"/>
    <w:rsid w:val="00CE0B78"/>
    <w:rsid w:val="00CE48C2"/>
    <w:rsid w:val="00CF0C1C"/>
    <w:rsid w:val="00CF1F44"/>
    <w:rsid w:val="00CF27FD"/>
    <w:rsid w:val="00CF5F12"/>
    <w:rsid w:val="00D001A6"/>
    <w:rsid w:val="00D00D8F"/>
    <w:rsid w:val="00D04B0B"/>
    <w:rsid w:val="00D04DB8"/>
    <w:rsid w:val="00D150D6"/>
    <w:rsid w:val="00D21F3A"/>
    <w:rsid w:val="00D23808"/>
    <w:rsid w:val="00D279C5"/>
    <w:rsid w:val="00D3016A"/>
    <w:rsid w:val="00D417D2"/>
    <w:rsid w:val="00D42960"/>
    <w:rsid w:val="00D43BD7"/>
    <w:rsid w:val="00D4485B"/>
    <w:rsid w:val="00D46880"/>
    <w:rsid w:val="00D4708D"/>
    <w:rsid w:val="00D4744C"/>
    <w:rsid w:val="00D479FD"/>
    <w:rsid w:val="00D521DE"/>
    <w:rsid w:val="00D5470B"/>
    <w:rsid w:val="00D56378"/>
    <w:rsid w:val="00D63068"/>
    <w:rsid w:val="00D6498C"/>
    <w:rsid w:val="00D67C5A"/>
    <w:rsid w:val="00D76A70"/>
    <w:rsid w:val="00D83182"/>
    <w:rsid w:val="00D8521E"/>
    <w:rsid w:val="00D853DC"/>
    <w:rsid w:val="00D9291C"/>
    <w:rsid w:val="00D93A97"/>
    <w:rsid w:val="00D93AEE"/>
    <w:rsid w:val="00DB1F64"/>
    <w:rsid w:val="00DC1CC4"/>
    <w:rsid w:val="00DC2F53"/>
    <w:rsid w:val="00DC5BAC"/>
    <w:rsid w:val="00DC6816"/>
    <w:rsid w:val="00DC76C2"/>
    <w:rsid w:val="00DD1CF2"/>
    <w:rsid w:val="00DD6246"/>
    <w:rsid w:val="00DE4484"/>
    <w:rsid w:val="00DE5072"/>
    <w:rsid w:val="00DF1781"/>
    <w:rsid w:val="00DF41B7"/>
    <w:rsid w:val="00DF4A4A"/>
    <w:rsid w:val="00DF583C"/>
    <w:rsid w:val="00E03C3F"/>
    <w:rsid w:val="00E06FD7"/>
    <w:rsid w:val="00E07417"/>
    <w:rsid w:val="00E116E2"/>
    <w:rsid w:val="00E24D45"/>
    <w:rsid w:val="00E33DB8"/>
    <w:rsid w:val="00E33EFF"/>
    <w:rsid w:val="00E34387"/>
    <w:rsid w:val="00E348BA"/>
    <w:rsid w:val="00E369FE"/>
    <w:rsid w:val="00E3762A"/>
    <w:rsid w:val="00E37C6F"/>
    <w:rsid w:val="00E449B7"/>
    <w:rsid w:val="00E473F2"/>
    <w:rsid w:val="00E475F8"/>
    <w:rsid w:val="00E50A15"/>
    <w:rsid w:val="00E5102E"/>
    <w:rsid w:val="00E519E5"/>
    <w:rsid w:val="00E54504"/>
    <w:rsid w:val="00E5721C"/>
    <w:rsid w:val="00E619C6"/>
    <w:rsid w:val="00E745A1"/>
    <w:rsid w:val="00E749B6"/>
    <w:rsid w:val="00E81529"/>
    <w:rsid w:val="00E83A13"/>
    <w:rsid w:val="00E908DE"/>
    <w:rsid w:val="00E90F6F"/>
    <w:rsid w:val="00E91A39"/>
    <w:rsid w:val="00E93E19"/>
    <w:rsid w:val="00EB0F54"/>
    <w:rsid w:val="00EB6FC5"/>
    <w:rsid w:val="00EC2356"/>
    <w:rsid w:val="00EC2582"/>
    <w:rsid w:val="00EC337C"/>
    <w:rsid w:val="00EC54CA"/>
    <w:rsid w:val="00ED0CFF"/>
    <w:rsid w:val="00ED31D2"/>
    <w:rsid w:val="00EE0549"/>
    <w:rsid w:val="00EE0EAC"/>
    <w:rsid w:val="00EE3322"/>
    <w:rsid w:val="00EE33CB"/>
    <w:rsid w:val="00EE449A"/>
    <w:rsid w:val="00EF2CFE"/>
    <w:rsid w:val="00EF52BE"/>
    <w:rsid w:val="00F0061A"/>
    <w:rsid w:val="00F02834"/>
    <w:rsid w:val="00F04EEB"/>
    <w:rsid w:val="00F05467"/>
    <w:rsid w:val="00F055D2"/>
    <w:rsid w:val="00F07CD7"/>
    <w:rsid w:val="00F127E9"/>
    <w:rsid w:val="00F12952"/>
    <w:rsid w:val="00F12D8B"/>
    <w:rsid w:val="00F14B5D"/>
    <w:rsid w:val="00F259FC"/>
    <w:rsid w:val="00F36972"/>
    <w:rsid w:val="00F36CF1"/>
    <w:rsid w:val="00F42426"/>
    <w:rsid w:val="00F456BC"/>
    <w:rsid w:val="00F50666"/>
    <w:rsid w:val="00F5096F"/>
    <w:rsid w:val="00F6083F"/>
    <w:rsid w:val="00F70C9E"/>
    <w:rsid w:val="00F74A74"/>
    <w:rsid w:val="00F7572C"/>
    <w:rsid w:val="00F7785B"/>
    <w:rsid w:val="00F81664"/>
    <w:rsid w:val="00F83515"/>
    <w:rsid w:val="00F8382C"/>
    <w:rsid w:val="00F855D7"/>
    <w:rsid w:val="00F862B7"/>
    <w:rsid w:val="00F92035"/>
    <w:rsid w:val="00F92748"/>
    <w:rsid w:val="00FA2257"/>
    <w:rsid w:val="00FA4169"/>
    <w:rsid w:val="00FA7915"/>
    <w:rsid w:val="00FB0D41"/>
    <w:rsid w:val="00FB2030"/>
    <w:rsid w:val="00FD0E46"/>
    <w:rsid w:val="00FD1CF2"/>
    <w:rsid w:val="00FD3EDF"/>
    <w:rsid w:val="00FD4F5A"/>
    <w:rsid w:val="00FD793C"/>
    <w:rsid w:val="00FE0DA2"/>
    <w:rsid w:val="00FE0FD5"/>
    <w:rsid w:val="00FE19AA"/>
    <w:rsid w:val="00FE20E6"/>
    <w:rsid w:val="00FE3E3B"/>
    <w:rsid w:val="00FF3A06"/>
    <w:rsid w:val="00FF4032"/>
    <w:rsid w:val="00FF602D"/>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link w:val="Antrat1Diagrama"/>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paragraph" w:styleId="Antrat3">
    <w:name w:val="heading 3"/>
    <w:basedOn w:val="prastasis"/>
    <w:next w:val="prastasis"/>
    <w:link w:val="Antrat3Diagrama"/>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uiPriority w:val="99"/>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uiPriority w:val="99"/>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Use Case List Paragraph Diagrama"/>
    <w:link w:val="Sraopastraipa"/>
    <w:uiPriority w:val="34"/>
    <w:locked/>
    <w:rsid w:val="00D56378"/>
    <w:rPr>
      <w:sz w:val="24"/>
      <w:szCs w:val="24"/>
      <w:lang w:eastAsia="en-US"/>
    </w:rPr>
  </w:style>
  <w:style w:type="character" w:customStyle="1" w:styleId="Antrat3Diagrama">
    <w:name w:val="Antraštė 3 Diagrama"/>
    <w:basedOn w:val="Numatytasispastraiposriftas"/>
    <w:link w:val="Antrat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Numatytasispastraiposriftas"/>
    <w:rsid w:val="00B64ECE"/>
  </w:style>
  <w:style w:type="character" w:customStyle="1" w:styleId="label">
    <w:name w:val="label"/>
    <w:basedOn w:val="Numatytasispastraiposriftas"/>
    <w:rsid w:val="00B64ECE"/>
  </w:style>
  <w:style w:type="paragraph" w:styleId="Dokumentoinaostekstas">
    <w:name w:val="endnote text"/>
    <w:basedOn w:val="prastasis"/>
    <w:link w:val="DokumentoinaostekstasDiagrama"/>
    <w:semiHidden/>
    <w:unhideWhenUsed/>
    <w:rsid w:val="00A32861"/>
    <w:rPr>
      <w:sz w:val="20"/>
      <w:szCs w:val="20"/>
    </w:rPr>
  </w:style>
  <w:style w:type="character" w:customStyle="1" w:styleId="DokumentoinaostekstasDiagrama">
    <w:name w:val="Dokumento išnašos tekstas Diagrama"/>
    <w:basedOn w:val="Numatytasispastraiposriftas"/>
    <w:link w:val="Dokumentoinaostekstas"/>
    <w:semiHidden/>
    <w:rsid w:val="00A32861"/>
    <w:rPr>
      <w:lang w:eastAsia="en-US"/>
    </w:rPr>
  </w:style>
  <w:style w:type="character" w:styleId="Dokumentoinaosnumeris">
    <w:name w:val="endnote reference"/>
    <w:basedOn w:val="Numatytasispastraiposriftas"/>
    <w:semiHidden/>
    <w:unhideWhenUsed/>
    <w:rsid w:val="00A32861"/>
    <w:rPr>
      <w:vertAlign w:val="superscript"/>
    </w:rPr>
  </w:style>
  <w:style w:type="paragraph" w:styleId="Puslapioinaostekstas">
    <w:name w:val="footnote text"/>
    <w:basedOn w:val="prastasis"/>
    <w:link w:val="PuslapioinaostekstasDiagrama"/>
    <w:semiHidden/>
    <w:unhideWhenUsed/>
    <w:rsid w:val="00DD6246"/>
    <w:rPr>
      <w:sz w:val="20"/>
      <w:szCs w:val="20"/>
    </w:rPr>
  </w:style>
  <w:style w:type="character" w:customStyle="1" w:styleId="PuslapioinaostekstasDiagrama">
    <w:name w:val="Puslapio išnašos tekstas Diagrama"/>
    <w:basedOn w:val="Numatytasispastraiposriftas"/>
    <w:link w:val="Puslapioinaostekstas"/>
    <w:semiHidden/>
    <w:rsid w:val="00DD6246"/>
    <w:rPr>
      <w:lang w:eastAsia="en-US"/>
    </w:rPr>
  </w:style>
  <w:style w:type="character" w:styleId="Puslapioinaosnuoroda">
    <w:name w:val="footnote reference"/>
    <w:basedOn w:val="Numatytasispastraiposriftas"/>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 w:type="paragraph" w:styleId="prastasiniatinklio">
    <w:name w:val="Normal (Web)"/>
    <w:basedOn w:val="prastasis"/>
    <w:uiPriority w:val="99"/>
    <w:unhideWhenUsed/>
    <w:rsid w:val="008358C8"/>
    <w:pPr>
      <w:spacing w:before="100" w:beforeAutospacing="1" w:after="100" w:afterAutospacing="1"/>
    </w:pPr>
    <w:rPr>
      <w:lang w:eastAsia="lt-LT"/>
    </w:rPr>
  </w:style>
  <w:style w:type="character" w:customStyle="1" w:styleId="Antrat1Diagrama">
    <w:name w:val="Antraštė 1 Diagrama"/>
    <w:basedOn w:val="Numatytasispastraiposriftas"/>
    <w:link w:val="Antrat1"/>
    <w:rsid w:val="00570D25"/>
    <w:rPr>
      <w:b/>
      <w:bCs/>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064719310">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58B219B174D889C09F8183FB06D90"/>
        <w:category>
          <w:name w:val="General"/>
          <w:gallery w:val="placeholder"/>
        </w:category>
        <w:types>
          <w:type w:val="bbPlcHdr"/>
        </w:types>
        <w:behaviors>
          <w:behavior w:val="content"/>
        </w:behaviors>
        <w:guid w:val="{CE3951B8-00B8-4857-8C1C-FA0BAA8D8956}"/>
      </w:docPartPr>
      <w:docPartBody>
        <w:p w:rsidR="001327AA" w:rsidRDefault="00EF3144" w:rsidP="00EF3144">
          <w:pPr>
            <w:pStyle w:val="28558B219B174D889C09F8183FB06D90"/>
          </w:pPr>
          <w:r>
            <w:rPr>
              <w:rStyle w:val="Vietosrezervavimoenklotekstas"/>
            </w:rPr>
            <w:t>Įveskite reikiamus duomenis</w:t>
          </w:r>
          <w:r w:rsidRPr="003841AF">
            <w:rPr>
              <w:rStyle w:val="Vietosrezervavimoenklotekstas"/>
            </w:rPr>
            <w:t>.</w:t>
          </w:r>
        </w:p>
      </w:docPartBody>
    </w:docPart>
    <w:docPart>
      <w:docPartPr>
        <w:name w:val="B78E18AB7C33451C9A62D41AC05DB1B4"/>
        <w:category>
          <w:name w:val="General"/>
          <w:gallery w:val="placeholder"/>
        </w:category>
        <w:types>
          <w:type w:val="bbPlcHdr"/>
        </w:types>
        <w:behaviors>
          <w:behavior w:val="content"/>
        </w:behaviors>
        <w:guid w:val="{9D3CCDC1-1437-476C-93FC-674B6448E659}"/>
      </w:docPartPr>
      <w:docPartBody>
        <w:p w:rsidR="001327AA" w:rsidRDefault="00EF3144" w:rsidP="00EF3144">
          <w:pPr>
            <w:pStyle w:val="B78E18AB7C33451C9A62D41AC05DB1B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56C60"/>
    <w:rsid w:val="00061157"/>
    <w:rsid w:val="000937FE"/>
    <w:rsid w:val="000A110E"/>
    <w:rsid w:val="000A559A"/>
    <w:rsid w:val="000C572B"/>
    <w:rsid w:val="000D24D4"/>
    <w:rsid w:val="001327AA"/>
    <w:rsid w:val="001C1F11"/>
    <w:rsid w:val="001C35A9"/>
    <w:rsid w:val="001D5D71"/>
    <w:rsid w:val="002005FD"/>
    <w:rsid w:val="00237556"/>
    <w:rsid w:val="002627A7"/>
    <w:rsid w:val="00282D5B"/>
    <w:rsid w:val="00314A67"/>
    <w:rsid w:val="00330219"/>
    <w:rsid w:val="0034029B"/>
    <w:rsid w:val="0034696C"/>
    <w:rsid w:val="0039303B"/>
    <w:rsid w:val="003A2477"/>
    <w:rsid w:val="003A5FE7"/>
    <w:rsid w:val="00402A84"/>
    <w:rsid w:val="004144A3"/>
    <w:rsid w:val="004160E7"/>
    <w:rsid w:val="004416C6"/>
    <w:rsid w:val="004B00C0"/>
    <w:rsid w:val="004F5AB2"/>
    <w:rsid w:val="005074B9"/>
    <w:rsid w:val="005E40DD"/>
    <w:rsid w:val="00701D33"/>
    <w:rsid w:val="0070315A"/>
    <w:rsid w:val="0071258A"/>
    <w:rsid w:val="007219C1"/>
    <w:rsid w:val="0074217C"/>
    <w:rsid w:val="00751921"/>
    <w:rsid w:val="00753462"/>
    <w:rsid w:val="007537A8"/>
    <w:rsid w:val="00772325"/>
    <w:rsid w:val="00781450"/>
    <w:rsid w:val="007962A7"/>
    <w:rsid w:val="007A2FE0"/>
    <w:rsid w:val="007B6AFC"/>
    <w:rsid w:val="007C67C8"/>
    <w:rsid w:val="007C6D1D"/>
    <w:rsid w:val="008146D7"/>
    <w:rsid w:val="00850925"/>
    <w:rsid w:val="00866B4E"/>
    <w:rsid w:val="0090074D"/>
    <w:rsid w:val="0094513F"/>
    <w:rsid w:val="009B3BF0"/>
    <w:rsid w:val="009D5E5E"/>
    <w:rsid w:val="009D7AE2"/>
    <w:rsid w:val="009F1BB4"/>
    <w:rsid w:val="00A32DC8"/>
    <w:rsid w:val="00A647A3"/>
    <w:rsid w:val="00A8727A"/>
    <w:rsid w:val="00AB6ED4"/>
    <w:rsid w:val="00B037F5"/>
    <w:rsid w:val="00B14210"/>
    <w:rsid w:val="00B23DC0"/>
    <w:rsid w:val="00B44CAA"/>
    <w:rsid w:val="00B57317"/>
    <w:rsid w:val="00B67854"/>
    <w:rsid w:val="00B96656"/>
    <w:rsid w:val="00BC2CA0"/>
    <w:rsid w:val="00BE29C1"/>
    <w:rsid w:val="00C04D02"/>
    <w:rsid w:val="00C1221D"/>
    <w:rsid w:val="00C2401D"/>
    <w:rsid w:val="00C349B7"/>
    <w:rsid w:val="00C41CDF"/>
    <w:rsid w:val="00C53A68"/>
    <w:rsid w:val="00CA5BB4"/>
    <w:rsid w:val="00CB4BD1"/>
    <w:rsid w:val="00CE2DA9"/>
    <w:rsid w:val="00CE44BE"/>
    <w:rsid w:val="00D4356B"/>
    <w:rsid w:val="00D56C10"/>
    <w:rsid w:val="00D7162F"/>
    <w:rsid w:val="00E44A86"/>
    <w:rsid w:val="00E522EB"/>
    <w:rsid w:val="00E60827"/>
    <w:rsid w:val="00E73FF6"/>
    <w:rsid w:val="00EE79F5"/>
    <w:rsid w:val="00EF1933"/>
    <w:rsid w:val="00EF3144"/>
    <w:rsid w:val="00EF6E0C"/>
    <w:rsid w:val="00F55028"/>
    <w:rsid w:val="00F77BEF"/>
    <w:rsid w:val="00FB2D62"/>
    <w:rsid w:val="00FC755C"/>
    <w:rsid w:val="00FC78F4"/>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327AA"/>
    <w:rPr>
      <w:color w:val="808080"/>
    </w:rPr>
  </w:style>
  <w:style w:type="paragraph" w:customStyle="1" w:styleId="93F6B3B0F838E044AA3AB5E8293F9726">
    <w:name w:val="93F6B3B0F838E044AA3AB5E8293F9726"/>
    <w:rsid w:val="00282D5B"/>
    <w:pPr>
      <w:spacing w:after="0" w:line="240" w:lineRule="auto"/>
    </w:pPr>
    <w:rPr>
      <w:sz w:val="24"/>
      <w:szCs w:val="24"/>
      <w:lang w:val="en-GB" w:eastAsia="en-GB"/>
    </w:rPr>
  </w:style>
  <w:style w:type="paragraph" w:customStyle="1" w:styleId="28558B219B174D889C09F8183FB06D90">
    <w:name w:val="28558B219B174D889C09F8183FB06D90"/>
    <w:rsid w:val="00EF3144"/>
  </w:style>
  <w:style w:type="paragraph" w:customStyle="1" w:styleId="B78E18AB7C33451C9A62D41AC05DB1B4">
    <w:name w:val="B78E18AB7C33451C9A62D41AC05DB1B4"/>
    <w:rsid w:val="00EF3144"/>
  </w:style>
  <w:style w:type="paragraph" w:customStyle="1" w:styleId="D3CA2EF5B9B64AA5B0FB0516733EC404">
    <w:name w:val="D3CA2EF5B9B64AA5B0FB0516733EC404"/>
    <w:rsid w:val="001327AA"/>
  </w:style>
  <w:style w:type="paragraph" w:customStyle="1" w:styleId="DD9B7144D2424DC49928E8867000DEB4">
    <w:name w:val="DD9B7144D2424DC49928E8867000DEB4"/>
    <w:rsid w:val="00132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9F8E-120A-41C6-B860-9574B674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13835</Words>
  <Characters>7886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21678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2023-07-05T13:01:00Z</dcterms:created>
  <dcterms:modified xsi:type="dcterms:W3CDTF">2023-07-05T13:01:00Z</dcterms:modified>
</cp:coreProperties>
</file>