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D35FF0" w:rsidRDefault="005F7602" w:rsidP="002946C7">
      <w:pPr>
        <w:ind w:left="5529"/>
      </w:pPr>
    </w:p>
    <w:p w14:paraId="12FA4B9E" w14:textId="77777777" w:rsidR="001B3C5B" w:rsidRPr="00D35FF0" w:rsidRDefault="001B3C5B" w:rsidP="001B3C5B">
      <w:pPr>
        <w:ind w:left="6096"/>
      </w:pPr>
      <w:r w:rsidRPr="00D35FF0">
        <w:t>Forma patvirtinta</w:t>
      </w:r>
    </w:p>
    <w:p w14:paraId="7206970B" w14:textId="70E9BD2E" w:rsidR="004C263A" w:rsidRPr="00D35FF0" w:rsidRDefault="001B3C5B" w:rsidP="001B3C5B">
      <w:pPr>
        <w:ind w:left="6096"/>
      </w:pPr>
      <w:r w:rsidRPr="00D35FF0">
        <w:t>Valstybinės vaistų kontrolės tarnybos prie Lietuvos Respublikos sveikatos apsaugos ministerijos viršininko 2021 m</w:t>
      </w:r>
      <w:r w:rsidR="004C263A" w:rsidRPr="00D35FF0">
        <w:t xml:space="preserve">. lapkričio 12 </w:t>
      </w:r>
      <w:r w:rsidRPr="00D35FF0">
        <w:t>d. įsakymu Nr.</w:t>
      </w:r>
      <w:r w:rsidR="004C263A" w:rsidRPr="00D35FF0">
        <w:t xml:space="preserve"> (1.72E)1A-1418</w:t>
      </w:r>
    </w:p>
    <w:p w14:paraId="5B219AA6" w14:textId="520B9136" w:rsidR="001B3C5B" w:rsidRPr="00D35FF0" w:rsidRDefault="004C263A" w:rsidP="001B3C5B">
      <w:pPr>
        <w:ind w:left="6096"/>
      </w:pPr>
      <w:r w:rsidRPr="00D35FF0">
        <w:t>(Valstybinės vaistų kontrolės tarnybos prie Lietuvos Respublikos sveikatos apsaugos ministerijos viršininko 2022 m.                         d. įsakymo Nr.                    redakcija)</w:t>
      </w:r>
    </w:p>
    <w:p w14:paraId="3336BD74" w14:textId="77777777" w:rsidR="001B3C5B" w:rsidRPr="00D35FF0" w:rsidRDefault="001B3C5B" w:rsidP="00FA4169"/>
    <w:p w14:paraId="77AFB67E" w14:textId="16397257" w:rsidR="00613501" w:rsidRPr="00D35FF0" w:rsidRDefault="002F0E4F" w:rsidP="003B211A">
      <w:pPr>
        <w:jc w:val="center"/>
        <w:rPr>
          <w:b/>
          <w:bCs/>
          <w:caps/>
        </w:rPr>
      </w:pPr>
      <w:r w:rsidRPr="00D35FF0">
        <w:rPr>
          <w:b/>
        </w:rPr>
        <w:t xml:space="preserve">REKOMENDACIJA DĖL VAISTINIO PREPARATO </w:t>
      </w:r>
      <w:r w:rsidRPr="00D35FF0">
        <w:rPr>
          <w:b/>
          <w:bCs/>
          <w:caps/>
        </w:rPr>
        <w:t>Lietuvos Respublikos Sveikatos apsaugos ministerijos vaistinių preparatų ir medicinos pagalbos priemonių kompensavimo komisijai</w:t>
      </w:r>
    </w:p>
    <w:p w14:paraId="34E4395D" w14:textId="15FB10DF" w:rsidR="00B13D65" w:rsidRPr="00D35FF0" w:rsidRDefault="00B13D65" w:rsidP="003B211A">
      <w:pPr>
        <w:jc w:val="center"/>
        <w:rPr>
          <w:b/>
        </w:rPr>
      </w:pPr>
    </w:p>
    <w:p w14:paraId="0168C8BA" w14:textId="77777777" w:rsidR="0033769A" w:rsidRPr="00D35FF0" w:rsidRDefault="0033769A" w:rsidP="0033769A">
      <w:pPr>
        <w:jc w:val="center"/>
        <w:rPr>
          <w:b/>
        </w:rPr>
      </w:pPr>
      <w:proofErr w:type="spellStart"/>
      <w:r w:rsidRPr="00D35FF0">
        <w:rPr>
          <w:b/>
        </w:rPr>
        <w:t>Cosentyx</w:t>
      </w:r>
      <w:proofErr w:type="spellEnd"/>
      <w:r w:rsidRPr="00D35FF0">
        <w:rPr>
          <w:b/>
        </w:rPr>
        <w:t>, 150 mg, injekcinis tirpalas</w:t>
      </w:r>
    </w:p>
    <w:p w14:paraId="2BE92E4F" w14:textId="77777777" w:rsidR="0033769A" w:rsidRPr="00D35FF0" w:rsidRDefault="0033769A" w:rsidP="0033769A">
      <w:pPr>
        <w:jc w:val="center"/>
      </w:pPr>
    </w:p>
    <w:p w14:paraId="2BA26305" w14:textId="5D539C42" w:rsidR="0033769A" w:rsidRPr="00D35FF0" w:rsidRDefault="0033769A" w:rsidP="0033769A">
      <w:pPr>
        <w:jc w:val="center"/>
      </w:pPr>
      <w:proofErr w:type="spellStart"/>
      <w:r w:rsidRPr="00D35FF0">
        <w:t>Sekukinumabas</w:t>
      </w:r>
      <w:proofErr w:type="spellEnd"/>
    </w:p>
    <w:p w14:paraId="0FBD7F63" w14:textId="77777777" w:rsidR="0033769A" w:rsidRPr="00D35FF0" w:rsidRDefault="0033769A" w:rsidP="0033769A">
      <w:pPr>
        <w:jc w:val="center"/>
      </w:pPr>
    </w:p>
    <w:p w14:paraId="73CCBC83" w14:textId="77777777" w:rsidR="0033769A" w:rsidRPr="00D35FF0" w:rsidRDefault="0033769A" w:rsidP="0033769A">
      <w:pPr>
        <w:jc w:val="center"/>
        <w:rPr>
          <w:b/>
        </w:rPr>
      </w:pPr>
      <w:r w:rsidRPr="00D35FF0">
        <w:rPr>
          <w:b/>
        </w:rPr>
        <w:t>STV35</w:t>
      </w:r>
    </w:p>
    <w:p w14:paraId="453197C8" w14:textId="77777777" w:rsidR="00D4708D" w:rsidRPr="00D35FF0" w:rsidRDefault="00D4708D" w:rsidP="003B211A">
      <w:pPr>
        <w:jc w:val="center"/>
        <w:rPr>
          <w:b/>
        </w:rPr>
      </w:pPr>
    </w:p>
    <w:p w14:paraId="78C89D1C" w14:textId="0DEFFAA5" w:rsidR="00D4485B" w:rsidRPr="00D35FF0" w:rsidRDefault="00B13D65" w:rsidP="00CC09D4">
      <w:pPr>
        <w:pStyle w:val="Sraopastraipa"/>
        <w:numPr>
          <w:ilvl w:val="0"/>
          <w:numId w:val="12"/>
        </w:numPr>
        <w:tabs>
          <w:tab w:val="left" w:pos="567"/>
        </w:tabs>
        <w:ind w:left="567" w:hanging="567"/>
        <w:rPr>
          <w:b/>
          <w:bCs/>
          <w:caps/>
        </w:rPr>
      </w:pPr>
      <w:r w:rsidRPr="00D35FF0">
        <w:rPr>
          <w:b/>
          <w:bCs/>
          <w:caps/>
        </w:rPr>
        <w:t>Bendroji dalis</w:t>
      </w:r>
    </w:p>
    <w:p w14:paraId="04A7C7A7" w14:textId="77777777" w:rsidR="00B13D65" w:rsidRPr="00D35FF0"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D35FF0" w14:paraId="18A83EC2" w14:textId="77777777" w:rsidTr="00BE7489">
        <w:trPr>
          <w:trHeight w:val="538"/>
        </w:trPr>
        <w:tc>
          <w:tcPr>
            <w:tcW w:w="632" w:type="dxa"/>
          </w:tcPr>
          <w:p w14:paraId="0646FBEA" w14:textId="77777777" w:rsidR="00B13D65" w:rsidRPr="00D35FF0" w:rsidRDefault="00B13D65" w:rsidP="00824B92">
            <w:pPr>
              <w:rPr>
                <w:rFonts w:eastAsia="Arial"/>
              </w:rPr>
            </w:pPr>
            <w:r w:rsidRPr="00D35FF0">
              <w:rPr>
                <w:rFonts w:eastAsia="Arial"/>
              </w:rPr>
              <w:t>1.1</w:t>
            </w:r>
          </w:p>
        </w:tc>
        <w:tc>
          <w:tcPr>
            <w:tcW w:w="3694" w:type="dxa"/>
          </w:tcPr>
          <w:p w14:paraId="6C3AE864" w14:textId="77777777" w:rsidR="00B13D65" w:rsidRPr="00D35FF0" w:rsidRDefault="00B13D65" w:rsidP="00824B92">
            <w:pPr>
              <w:rPr>
                <w:rFonts w:eastAsia="Arial"/>
              </w:rPr>
            </w:pPr>
            <w:r w:rsidRPr="00D35FF0">
              <w:rPr>
                <w:rFonts w:eastAsia="Arial"/>
              </w:rPr>
              <w:t>Pareiškėjas</w:t>
            </w:r>
          </w:p>
          <w:p w14:paraId="2AF240DC" w14:textId="77777777" w:rsidR="00B13D65" w:rsidRPr="00D35FF0" w:rsidRDefault="00B13D65" w:rsidP="00824B92">
            <w:pPr>
              <w:rPr>
                <w:rFonts w:eastAsia="Arial"/>
              </w:rPr>
            </w:pPr>
          </w:p>
        </w:tc>
        <w:tc>
          <w:tcPr>
            <w:tcW w:w="5167" w:type="dxa"/>
          </w:tcPr>
          <w:p w14:paraId="2AAF0D91" w14:textId="2AC7AF7D" w:rsidR="00B13D65" w:rsidRPr="00D35FF0" w:rsidRDefault="00D16C6F" w:rsidP="00824B92">
            <w:pPr>
              <w:rPr>
                <w:rFonts w:eastAsia="Arial"/>
              </w:rPr>
            </w:pPr>
            <w:proofErr w:type="spellStart"/>
            <w:r w:rsidRPr="00D35FF0">
              <w:rPr>
                <w:color w:val="000000"/>
                <w:lang w:eastAsia="lt-LT"/>
              </w:rPr>
              <w:t>Novartis</w:t>
            </w:r>
            <w:proofErr w:type="spellEnd"/>
            <w:r w:rsidRPr="00D35FF0">
              <w:rPr>
                <w:color w:val="000000"/>
                <w:lang w:eastAsia="lt-LT"/>
              </w:rPr>
              <w:t xml:space="preserve"> </w:t>
            </w:r>
            <w:proofErr w:type="spellStart"/>
            <w:r w:rsidRPr="00D35FF0">
              <w:rPr>
                <w:color w:val="000000"/>
                <w:lang w:eastAsia="lt-LT"/>
              </w:rPr>
              <w:t>Europharm</w:t>
            </w:r>
            <w:proofErr w:type="spellEnd"/>
            <w:r w:rsidRPr="00D35FF0">
              <w:rPr>
                <w:color w:val="000000"/>
                <w:lang w:eastAsia="lt-LT"/>
              </w:rPr>
              <w:t xml:space="preserve"> </w:t>
            </w:r>
            <w:proofErr w:type="spellStart"/>
            <w:r w:rsidRPr="00D35FF0">
              <w:rPr>
                <w:color w:val="000000"/>
                <w:lang w:eastAsia="lt-LT"/>
              </w:rPr>
              <w:t>Limited</w:t>
            </w:r>
            <w:proofErr w:type="spellEnd"/>
            <w:r w:rsidRPr="00D35FF0">
              <w:rPr>
                <w:rFonts w:eastAsia="Arial"/>
              </w:rPr>
              <w:t xml:space="preserve"> </w:t>
            </w:r>
          </w:p>
        </w:tc>
      </w:tr>
      <w:tr w:rsidR="00B13D65" w:rsidRPr="00D35FF0" w14:paraId="31998B0D" w14:textId="77777777" w:rsidTr="00BE7489">
        <w:trPr>
          <w:trHeight w:val="538"/>
        </w:trPr>
        <w:tc>
          <w:tcPr>
            <w:tcW w:w="632" w:type="dxa"/>
          </w:tcPr>
          <w:p w14:paraId="2005EC67" w14:textId="662300D0" w:rsidR="00B13D65" w:rsidRPr="00D35FF0" w:rsidRDefault="002E0702" w:rsidP="00824B92">
            <w:pPr>
              <w:rPr>
                <w:rFonts w:eastAsia="Arial"/>
              </w:rPr>
            </w:pPr>
            <w:r w:rsidRPr="00D35FF0">
              <w:rPr>
                <w:rFonts w:eastAsia="Arial"/>
              </w:rPr>
              <w:t>1.2</w:t>
            </w:r>
          </w:p>
        </w:tc>
        <w:tc>
          <w:tcPr>
            <w:tcW w:w="3694" w:type="dxa"/>
          </w:tcPr>
          <w:p w14:paraId="1E4AE3B1" w14:textId="77777777" w:rsidR="00B13D65" w:rsidRPr="00D35FF0" w:rsidRDefault="00B13D65" w:rsidP="00824B92">
            <w:pPr>
              <w:rPr>
                <w:bCs/>
                <w:color w:val="000000"/>
                <w:lang w:eastAsia="lt-LT"/>
              </w:rPr>
            </w:pPr>
            <w:r w:rsidRPr="00D35FF0">
              <w:rPr>
                <w:bCs/>
                <w:color w:val="000000"/>
                <w:lang w:eastAsia="lt-LT"/>
              </w:rPr>
              <w:t xml:space="preserve">Registracijos data </w:t>
            </w:r>
          </w:p>
          <w:p w14:paraId="3A0DC096" w14:textId="77777777" w:rsidR="00B13D65" w:rsidRPr="00D35FF0" w:rsidRDefault="00B13D65" w:rsidP="00824B92">
            <w:pPr>
              <w:rPr>
                <w:bCs/>
                <w:color w:val="000000"/>
                <w:lang w:eastAsia="lt-LT"/>
              </w:rPr>
            </w:pPr>
          </w:p>
        </w:tc>
        <w:tc>
          <w:tcPr>
            <w:tcW w:w="5167" w:type="dxa"/>
          </w:tcPr>
          <w:p w14:paraId="3CA218AD" w14:textId="6ECA028F" w:rsidR="00B13D65" w:rsidRPr="00D35FF0" w:rsidRDefault="00F01DBF"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fullDate="2015-01-15T00:00:00Z">
                  <w:dateFormat w:val="yyyy 'm.' MMMM d 'd.'"/>
                  <w:lid w:val="lt-LT"/>
                  <w:storeMappedDataAs w:val="dateTime"/>
                  <w:calendar w:val="gregorian"/>
                </w:date>
              </w:sdtPr>
              <w:sdtEndPr>
                <w:rPr>
                  <w:sz w:val="24"/>
                </w:rPr>
              </w:sdtEndPr>
              <w:sdtContent>
                <w:r w:rsidR="00682675" w:rsidRPr="00D35FF0">
                  <w:t>2015 m. sausio 15 d.</w:t>
                </w:r>
              </w:sdtContent>
            </w:sdt>
          </w:p>
        </w:tc>
      </w:tr>
      <w:tr w:rsidR="00B13D65" w:rsidRPr="00D35FF0" w14:paraId="15968AE1" w14:textId="77777777" w:rsidTr="00BE7489">
        <w:trPr>
          <w:trHeight w:val="1500"/>
        </w:trPr>
        <w:tc>
          <w:tcPr>
            <w:tcW w:w="632" w:type="dxa"/>
          </w:tcPr>
          <w:p w14:paraId="6A784245" w14:textId="1E461489" w:rsidR="00B13D65" w:rsidRPr="00D35FF0" w:rsidRDefault="002E0702" w:rsidP="00824B92">
            <w:pPr>
              <w:rPr>
                <w:rFonts w:eastAsia="Arial"/>
              </w:rPr>
            </w:pPr>
            <w:r w:rsidRPr="00D35FF0">
              <w:rPr>
                <w:rFonts w:eastAsia="Arial"/>
              </w:rPr>
              <w:t>1.3</w:t>
            </w:r>
          </w:p>
        </w:tc>
        <w:tc>
          <w:tcPr>
            <w:tcW w:w="3694" w:type="dxa"/>
          </w:tcPr>
          <w:p w14:paraId="22933506" w14:textId="77777777" w:rsidR="00B13D65" w:rsidRPr="00D35FF0" w:rsidRDefault="00B13D65" w:rsidP="00824B92">
            <w:r w:rsidRPr="00D35FF0">
              <w:t xml:space="preserve">Paraiškos tipas </w:t>
            </w:r>
          </w:p>
          <w:p w14:paraId="0465E680" w14:textId="7F0A0714" w:rsidR="00B13D65" w:rsidRPr="00D35FF0" w:rsidRDefault="00B13D65" w:rsidP="00824B92">
            <w:r w:rsidRPr="00D35FF0">
              <w:t>(</w:t>
            </w:r>
            <w:r w:rsidR="00695CD3" w:rsidRPr="00D35FF0">
              <w:t xml:space="preserve">pagal </w:t>
            </w:r>
            <w:r w:rsidR="0039696E" w:rsidRPr="00D35FF0">
              <w:rPr>
                <w:color w:val="333333"/>
                <w:shd w:val="clear" w:color="auto" w:fill="FFFFFF"/>
              </w:rPr>
              <w:t>vaistinio preparato registracijos tipą, įtvirtintą</w:t>
            </w:r>
            <w:r w:rsidR="0039696E" w:rsidRPr="00D35FF0">
              <w:t xml:space="preserve"> </w:t>
            </w:r>
            <w:r w:rsidRPr="00D35FF0">
              <w:t>Direktyv</w:t>
            </w:r>
            <w:r w:rsidR="00695CD3" w:rsidRPr="00D35FF0">
              <w:t>os</w:t>
            </w:r>
            <w:r w:rsidRPr="00D35FF0">
              <w:t xml:space="preserve"> 2001/83/EB</w:t>
            </w:r>
            <w:r w:rsidR="00695CD3" w:rsidRPr="00D35FF0">
              <w:t xml:space="preserve"> </w:t>
            </w:r>
            <w:proofErr w:type="spellStart"/>
            <w:r w:rsidR="00695CD3" w:rsidRPr="00D35FF0">
              <w:t>straips</w:t>
            </w:r>
            <w:r w:rsidR="0039696E" w:rsidRPr="00D35FF0">
              <w:t>iuose</w:t>
            </w:r>
            <w:proofErr w:type="spellEnd"/>
            <w:r w:rsidRPr="00D35FF0">
              <w:t>)</w:t>
            </w:r>
          </w:p>
          <w:p w14:paraId="77089D80" w14:textId="6681D72A" w:rsidR="00B13D65" w:rsidRPr="00D35FF0" w:rsidRDefault="00B13D65" w:rsidP="00824B92">
            <w:pPr>
              <w:rPr>
                <w:bCs/>
                <w:color w:val="000000"/>
                <w:lang w:eastAsia="lt-LT"/>
              </w:rPr>
            </w:pPr>
          </w:p>
        </w:tc>
        <w:tc>
          <w:tcPr>
            <w:tcW w:w="5167" w:type="dxa"/>
          </w:tcPr>
          <w:p w14:paraId="208F40EC" w14:textId="32AFF4B8" w:rsidR="00B13D65" w:rsidRPr="00D35FF0" w:rsidRDefault="00F01DBF"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682675" w:rsidRPr="00D35FF0">
                  <w:rPr>
                    <w:rStyle w:val="Style2"/>
                    <w:rFonts w:ascii="MS Gothic" w:eastAsia="MS Gothic" w:hAnsi="MS Gothic"/>
                    <w:sz w:val="22"/>
                    <w:szCs w:val="22"/>
                  </w:rPr>
                  <w:t>☒</w:t>
                </w:r>
              </w:sdtContent>
            </w:sdt>
            <w:r w:rsidR="00B13D65" w:rsidRPr="00D35FF0">
              <w:rPr>
                <w:sz w:val="22"/>
                <w:szCs w:val="22"/>
              </w:rPr>
              <w:t xml:space="preserve">8.3 str. (pilna byla, pagrįsta savais tyrimais) </w:t>
            </w:r>
          </w:p>
          <w:p w14:paraId="32BA564E" w14:textId="3FDA3E01" w:rsidR="00B13D65" w:rsidRPr="00D35FF0" w:rsidRDefault="00F01DBF"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D35FF0">
                  <w:rPr>
                    <w:rStyle w:val="Style2"/>
                    <w:rFonts w:ascii="Segoe UI Symbol" w:eastAsia="MS Gothic" w:hAnsi="Segoe UI Symbol" w:cs="Segoe UI Symbol"/>
                    <w:sz w:val="22"/>
                    <w:szCs w:val="22"/>
                  </w:rPr>
                  <w:t>☐</w:t>
                </w:r>
              </w:sdtContent>
            </w:sdt>
            <w:r w:rsidR="00B13D65" w:rsidRPr="00D35FF0">
              <w:rPr>
                <w:sz w:val="22"/>
                <w:szCs w:val="22"/>
              </w:rPr>
              <w:t xml:space="preserve">10 a str. (pripažintas medicininis vartojimas) </w:t>
            </w:r>
          </w:p>
          <w:p w14:paraId="318DCD7F" w14:textId="32333E53" w:rsidR="00B13D65" w:rsidRPr="00D35FF0" w:rsidRDefault="00F01DBF"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D35FF0">
                  <w:rPr>
                    <w:rStyle w:val="Style2"/>
                    <w:rFonts w:ascii="Segoe UI Symbol" w:eastAsia="MS Gothic" w:hAnsi="Segoe UI Symbol" w:cs="Segoe UI Symbol"/>
                    <w:sz w:val="22"/>
                    <w:szCs w:val="22"/>
                  </w:rPr>
                  <w:t>☐</w:t>
                </w:r>
              </w:sdtContent>
            </w:sdt>
            <w:r w:rsidR="00B13D65" w:rsidRPr="00D35FF0">
              <w:rPr>
                <w:sz w:val="22"/>
                <w:szCs w:val="22"/>
              </w:rPr>
              <w:t>10.1 str. (</w:t>
            </w:r>
            <w:proofErr w:type="spellStart"/>
            <w:r w:rsidR="00B13D65" w:rsidRPr="00D35FF0">
              <w:rPr>
                <w:sz w:val="22"/>
                <w:szCs w:val="22"/>
              </w:rPr>
              <w:t>generinis</w:t>
            </w:r>
            <w:proofErr w:type="spellEnd"/>
            <w:r w:rsidR="00B13D65" w:rsidRPr="00D35FF0">
              <w:rPr>
                <w:sz w:val="22"/>
                <w:szCs w:val="22"/>
              </w:rPr>
              <w:t>)</w:t>
            </w:r>
          </w:p>
          <w:p w14:paraId="3B0A4F72" w14:textId="3F5FB073" w:rsidR="00B13D65" w:rsidRPr="00D35FF0" w:rsidRDefault="00F01DBF"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D35FF0">
                  <w:rPr>
                    <w:rStyle w:val="Style2"/>
                    <w:rFonts w:ascii="Segoe UI Symbol" w:eastAsia="MS Gothic" w:hAnsi="Segoe UI Symbol" w:cs="Segoe UI Symbol"/>
                    <w:sz w:val="22"/>
                    <w:szCs w:val="22"/>
                  </w:rPr>
                  <w:t>☐</w:t>
                </w:r>
              </w:sdtContent>
            </w:sdt>
            <w:r w:rsidR="00B13D65" w:rsidRPr="00D35FF0">
              <w:rPr>
                <w:sz w:val="22"/>
                <w:szCs w:val="22"/>
              </w:rPr>
              <w:t>10.3 str. (hibridinis)</w:t>
            </w:r>
          </w:p>
        </w:tc>
      </w:tr>
      <w:tr w:rsidR="00B13D65" w:rsidRPr="00D35FF0" w14:paraId="310E9662" w14:textId="77777777" w:rsidTr="00BE7489">
        <w:trPr>
          <w:trHeight w:val="1442"/>
        </w:trPr>
        <w:tc>
          <w:tcPr>
            <w:tcW w:w="632" w:type="dxa"/>
          </w:tcPr>
          <w:p w14:paraId="4B5A91A2" w14:textId="561B5E5F" w:rsidR="00B13D65" w:rsidRPr="00D35FF0" w:rsidRDefault="00B13D65" w:rsidP="00824B92">
            <w:pPr>
              <w:rPr>
                <w:rFonts w:eastAsia="Arial"/>
              </w:rPr>
            </w:pPr>
            <w:r w:rsidRPr="00D35FF0">
              <w:rPr>
                <w:rFonts w:eastAsia="Arial"/>
              </w:rPr>
              <w:t>1.</w:t>
            </w:r>
            <w:r w:rsidR="002E0702" w:rsidRPr="00D35FF0">
              <w:rPr>
                <w:rFonts w:eastAsia="Arial"/>
              </w:rPr>
              <w:t>4</w:t>
            </w:r>
          </w:p>
        </w:tc>
        <w:tc>
          <w:tcPr>
            <w:tcW w:w="3694" w:type="dxa"/>
          </w:tcPr>
          <w:p w14:paraId="6C91E105" w14:textId="77777777" w:rsidR="00B13D65" w:rsidRPr="00D35FF0" w:rsidRDefault="00B13D65" w:rsidP="00824B92">
            <w:pPr>
              <w:rPr>
                <w:bCs/>
                <w:color w:val="000000"/>
                <w:lang w:eastAsia="lt-LT"/>
              </w:rPr>
            </w:pPr>
            <w:r w:rsidRPr="00D35FF0">
              <w:rPr>
                <w:bCs/>
                <w:color w:val="000000"/>
                <w:lang w:eastAsia="lt-LT"/>
              </w:rPr>
              <w:t xml:space="preserve">Ar vaistinis preparatas įrašytas į Bendrijos retųjų vaistinių preparatų registrą? </w:t>
            </w:r>
          </w:p>
          <w:p w14:paraId="33726F9C" w14:textId="77777777" w:rsidR="00B13D65" w:rsidRPr="00D35FF0" w:rsidRDefault="00B13D65" w:rsidP="00824B92">
            <w:pPr>
              <w:rPr>
                <w:bCs/>
                <w:i/>
                <w:color w:val="000000"/>
                <w:lang w:eastAsia="lt-LT"/>
              </w:rPr>
            </w:pPr>
          </w:p>
          <w:p w14:paraId="483071A3" w14:textId="2123D870" w:rsidR="00B13D65" w:rsidRPr="00D35FF0" w:rsidRDefault="00B13D65" w:rsidP="00824B92">
            <w:pPr>
              <w:rPr>
                <w:bCs/>
                <w:color w:val="000000"/>
                <w:lang w:eastAsia="lt-LT"/>
              </w:rPr>
            </w:pPr>
          </w:p>
        </w:tc>
        <w:tc>
          <w:tcPr>
            <w:tcW w:w="5167" w:type="dxa"/>
          </w:tcPr>
          <w:p w14:paraId="05845C60" w14:textId="10CF4033" w:rsidR="00B13D65" w:rsidRPr="00D35FF0" w:rsidRDefault="00F01DBF"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D35FF0">
                  <w:rPr>
                    <w:rStyle w:val="Style2"/>
                    <w:rFonts w:ascii="MS Gothic" w:eastAsia="MS Gothic" w:hAnsi="MS Gothic"/>
                    <w:sz w:val="24"/>
                  </w:rPr>
                  <w:t>☐</w:t>
                </w:r>
              </w:sdtContent>
            </w:sdt>
            <w:r w:rsidR="00B13D65" w:rsidRPr="00D35FF0">
              <w:t xml:space="preserve"> Taip</w:t>
            </w:r>
          </w:p>
          <w:p w14:paraId="41D88067" w14:textId="0F7F8F16" w:rsidR="00B13D65" w:rsidRPr="00D35FF0" w:rsidRDefault="00F01DBF"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682675" w:rsidRPr="00D35FF0">
                  <w:rPr>
                    <w:rStyle w:val="Style2"/>
                    <w:rFonts w:ascii="MS Gothic" w:eastAsia="MS Gothic" w:hAnsi="MS Gothic"/>
                    <w:sz w:val="24"/>
                  </w:rPr>
                  <w:t>☒</w:t>
                </w:r>
              </w:sdtContent>
            </w:sdt>
            <w:r w:rsidR="00B13D65" w:rsidRPr="00D35FF0">
              <w:t xml:space="preserve"> Ne</w:t>
            </w:r>
          </w:p>
          <w:p w14:paraId="29C2CBBB" w14:textId="77777777" w:rsidR="00B13D65" w:rsidRPr="00D35FF0" w:rsidRDefault="00F01DBF"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D35FF0">
                  <w:rPr>
                    <w:rStyle w:val="Vietosrezervavimoenklotekstas"/>
                  </w:rPr>
                  <w:t>Click here to enter a date.</w:t>
                </w:r>
              </w:sdtContent>
            </w:sdt>
          </w:p>
        </w:tc>
      </w:tr>
      <w:tr w:rsidR="00D417D2" w:rsidRPr="00D35FF0" w14:paraId="7841E5F8" w14:textId="77777777" w:rsidTr="00BE7489">
        <w:trPr>
          <w:trHeight w:val="476"/>
        </w:trPr>
        <w:tc>
          <w:tcPr>
            <w:tcW w:w="632" w:type="dxa"/>
          </w:tcPr>
          <w:p w14:paraId="109D2861" w14:textId="73BF27DF" w:rsidR="00D417D2" w:rsidRPr="00D35FF0" w:rsidRDefault="00D417D2" w:rsidP="00824B92">
            <w:pPr>
              <w:rPr>
                <w:rFonts w:eastAsia="Arial"/>
              </w:rPr>
            </w:pPr>
            <w:r w:rsidRPr="00D35FF0">
              <w:rPr>
                <w:rFonts w:eastAsia="Arial"/>
              </w:rPr>
              <w:t>1.5</w:t>
            </w:r>
          </w:p>
        </w:tc>
        <w:tc>
          <w:tcPr>
            <w:tcW w:w="3694" w:type="dxa"/>
          </w:tcPr>
          <w:p w14:paraId="7822D63E" w14:textId="68C38334" w:rsidR="00D417D2" w:rsidRPr="00D35FF0" w:rsidRDefault="00D417D2" w:rsidP="00824B92">
            <w:pPr>
              <w:rPr>
                <w:bCs/>
                <w:color w:val="000000"/>
                <w:lang w:eastAsia="lt-LT"/>
              </w:rPr>
            </w:pPr>
            <w:r w:rsidRPr="00D35FF0">
              <w:t>STV paraiškos pobūdis</w:t>
            </w:r>
          </w:p>
        </w:tc>
        <w:tc>
          <w:tcPr>
            <w:tcW w:w="5167" w:type="dxa"/>
          </w:tcPr>
          <w:p w14:paraId="403461B9" w14:textId="421CBFAC" w:rsidR="00D417D2" w:rsidRPr="00D35FF0" w:rsidRDefault="00F01DBF"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682675" w:rsidRPr="00D35FF0">
                  <w:rPr>
                    <w:rStyle w:val="Style2"/>
                    <w:rFonts w:ascii="MS Gothic" w:eastAsia="MS Gothic" w:hAnsi="MS Gothic"/>
                    <w:sz w:val="24"/>
                  </w:rPr>
                  <w:t>☒</w:t>
                </w:r>
              </w:sdtContent>
            </w:sdt>
            <w:r w:rsidR="00D417D2" w:rsidRPr="00D35FF0">
              <w:t xml:space="preserve"> Pilna paraiška</w:t>
            </w:r>
          </w:p>
          <w:p w14:paraId="6B8213E3" w14:textId="3495CDF4" w:rsidR="00D417D2" w:rsidRPr="00D35FF0" w:rsidRDefault="00F01DBF"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D35FF0">
                  <w:rPr>
                    <w:rStyle w:val="Style2"/>
                    <w:rFonts w:ascii="MS Gothic" w:eastAsia="MS Gothic" w:hAnsi="MS Gothic"/>
                    <w:sz w:val="24"/>
                  </w:rPr>
                  <w:t>☐</w:t>
                </w:r>
              </w:sdtContent>
            </w:sdt>
            <w:r w:rsidR="00D417D2" w:rsidRPr="00D35FF0">
              <w:t xml:space="preserve"> Supaprastinta paraiška</w:t>
            </w:r>
          </w:p>
        </w:tc>
      </w:tr>
      <w:tr w:rsidR="00B13D65" w:rsidRPr="00D35FF0" w14:paraId="274D1DAF" w14:textId="77777777" w:rsidTr="00E0776D">
        <w:trPr>
          <w:trHeight w:val="557"/>
        </w:trPr>
        <w:tc>
          <w:tcPr>
            <w:tcW w:w="632" w:type="dxa"/>
          </w:tcPr>
          <w:p w14:paraId="17ABF217" w14:textId="14AC00D7" w:rsidR="00B13D65" w:rsidRPr="00D35FF0" w:rsidRDefault="00B13D65" w:rsidP="00824B92">
            <w:pPr>
              <w:rPr>
                <w:rFonts w:eastAsia="Arial"/>
              </w:rPr>
            </w:pPr>
            <w:r w:rsidRPr="00D35FF0">
              <w:rPr>
                <w:rFonts w:eastAsia="Arial"/>
              </w:rPr>
              <w:t>1.</w:t>
            </w:r>
            <w:r w:rsidR="00D417D2" w:rsidRPr="00D35FF0">
              <w:rPr>
                <w:rFonts w:eastAsia="Arial"/>
              </w:rPr>
              <w:t>6</w:t>
            </w:r>
          </w:p>
        </w:tc>
        <w:tc>
          <w:tcPr>
            <w:tcW w:w="3694" w:type="dxa"/>
          </w:tcPr>
          <w:p w14:paraId="4D49DBF5" w14:textId="77777777" w:rsidR="007656B2" w:rsidRPr="00D35FF0" w:rsidRDefault="00DE4484" w:rsidP="00824B92">
            <w:pPr>
              <w:rPr>
                <w:bCs/>
                <w:color w:val="000000"/>
                <w:lang w:eastAsia="lt-LT"/>
              </w:rPr>
            </w:pPr>
            <w:r w:rsidRPr="00D35FF0">
              <w:rPr>
                <w:bCs/>
                <w:color w:val="000000"/>
                <w:lang w:eastAsia="lt-LT"/>
              </w:rPr>
              <w:t>Par</w:t>
            </w:r>
            <w:r w:rsidR="007656B2" w:rsidRPr="00D35FF0">
              <w:rPr>
                <w:bCs/>
                <w:color w:val="000000"/>
                <w:lang w:eastAsia="lt-LT"/>
              </w:rPr>
              <w:t>eiškėjo t</w:t>
            </w:r>
            <w:r w:rsidR="00B13D65" w:rsidRPr="00D35FF0">
              <w:rPr>
                <w:bCs/>
                <w:color w:val="000000"/>
                <w:lang w:eastAsia="lt-LT"/>
              </w:rPr>
              <w:t>eikiama (-</w:t>
            </w:r>
            <w:proofErr w:type="spellStart"/>
            <w:r w:rsidR="00B13D65" w:rsidRPr="00D35FF0">
              <w:rPr>
                <w:bCs/>
                <w:color w:val="000000"/>
                <w:lang w:eastAsia="lt-LT"/>
              </w:rPr>
              <w:t>os</w:t>
            </w:r>
            <w:proofErr w:type="spellEnd"/>
            <w:r w:rsidR="00B13D65" w:rsidRPr="00D35FF0">
              <w:rPr>
                <w:bCs/>
                <w:color w:val="000000"/>
                <w:lang w:eastAsia="lt-LT"/>
              </w:rPr>
              <w:t>) kompensuoti vaistinio preparato indikacija (-</w:t>
            </w:r>
            <w:proofErr w:type="spellStart"/>
            <w:r w:rsidR="00B13D65" w:rsidRPr="00D35FF0">
              <w:rPr>
                <w:bCs/>
                <w:color w:val="000000"/>
                <w:lang w:eastAsia="lt-LT"/>
              </w:rPr>
              <w:t>os</w:t>
            </w:r>
            <w:proofErr w:type="spellEnd"/>
            <w:r w:rsidR="00B13D65" w:rsidRPr="00D35FF0">
              <w:rPr>
                <w:bCs/>
                <w:color w:val="000000"/>
                <w:lang w:eastAsia="lt-LT"/>
              </w:rPr>
              <w:t>)</w:t>
            </w:r>
          </w:p>
          <w:p w14:paraId="3FB07EE5" w14:textId="77777777" w:rsidR="00AE1322" w:rsidRPr="00D35FF0" w:rsidRDefault="00AE1322" w:rsidP="00824B92">
            <w:pPr>
              <w:rPr>
                <w:bCs/>
                <w:color w:val="000000"/>
                <w:lang w:eastAsia="lt-LT"/>
              </w:rPr>
            </w:pPr>
          </w:p>
          <w:p w14:paraId="3A6B054C" w14:textId="77777777" w:rsidR="00AE1322" w:rsidRPr="00D35FF0" w:rsidRDefault="00AE1322" w:rsidP="00824B92">
            <w:pPr>
              <w:rPr>
                <w:bCs/>
                <w:color w:val="000000"/>
                <w:lang w:eastAsia="lt-LT"/>
              </w:rPr>
            </w:pPr>
          </w:p>
          <w:p w14:paraId="7787E772" w14:textId="77777777" w:rsidR="00E0776D" w:rsidRPr="00D35FF0" w:rsidRDefault="00E0776D" w:rsidP="00824B92">
            <w:pPr>
              <w:rPr>
                <w:bCs/>
                <w:color w:val="000000"/>
                <w:lang w:eastAsia="lt-LT"/>
              </w:rPr>
            </w:pPr>
          </w:p>
          <w:p w14:paraId="750D981B" w14:textId="77777777" w:rsidR="00E0776D" w:rsidRPr="00D35FF0" w:rsidRDefault="00E0776D" w:rsidP="00824B92">
            <w:pPr>
              <w:rPr>
                <w:bCs/>
                <w:color w:val="000000"/>
                <w:lang w:eastAsia="lt-LT"/>
              </w:rPr>
            </w:pPr>
          </w:p>
          <w:p w14:paraId="4DB7BDC5" w14:textId="77777777" w:rsidR="00E0776D" w:rsidRPr="00D35FF0" w:rsidRDefault="00E0776D" w:rsidP="00824B92">
            <w:pPr>
              <w:rPr>
                <w:bCs/>
                <w:color w:val="000000"/>
                <w:lang w:eastAsia="lt-LT"/>
              </w:rPr>
            </w:pPr>
          </w:p>
          <w:p w14:paraId="723671A6" w14:textId="77777777" w:rsidR="00E0776D" w:rsidRPr="00D35FF0" w:rsidRDefault="00E0776D" w:rsidP="00824B92">
            <w:pPr>
              <w:rPr>
                <w:bCs/>
                <w:color w:val="000000"/>
                <w:lang w:eastAsia="lt-LT"/>
              </w:rPr>
            </w:pPr>
          </w:p>
          <w:p w14:paraId="433D522F" w14:textId="77777777" w:rsidR="00E0776D" w:rsidRPr="00D35FF0" w:rsidRDefault="00E0776D" w:rsidP="00824B92">
            <w:pPr>
              <w:rPr>
                <w:bCs/>
                <w:color w:val="000000"/>
                <w:lang w:eastAsia="lt-LT"/>
              </w:rPr>
            </w:pPr>
          </w:p>
          <w:p w14:paraId="09179B61" w14:textId="77777777" w:rsidR="00E0776D" w:rsidRPr="00D35FF0" w:rsidRDefault="00E0776D" w:rsidP="00824B92">
            <w:pPr>
              <w:rPr>
                <w:bCs/>
                <w:color w:val="000000"/>
                <w:lang w:eastAsia="lt-LT"/>
              </w:rPr>
            </w:pPr>
          </w:p>
          <w:p w14:paraId="61304553" w14:textId="77777777" w:rsidR="00E0776D" w:rsidRPr="00D35FF0" w:rsidRDefault="00E0776D" w:rsidP="00824B92">
            <w:pPr>
              <w:rPr>
                <w:bCs/>
                <w:color w:val="000000"/>
                <w:lang w:eastAsia="lt-LT"/>
              </w:rPr>
            </w:pPr>
          </w:p>
          <w:p w14:paraId="6B4FEEC1" w14:textId="56B7B890" w:rsidR="00B13D65" w:rsidRPr="00D35FF0" w:rsidRDefault="007656B2" w:rsidP="00824B92">
            <w:pPr>
              <w:rPr>
                <w:bCs/>
                <w:color w:val="000000"/>
                <w:lang w:eastAsia="lt-LT"/>
              </w:rPr>
            </w:pPr>
            <w:r w:rsidRPr="00D35FF0">
              <w:rPr>
                <w:bCs/>
                <w:color w:val="000000"/>
                <w:lang w:eastAsia="lt-LT"/>
              </w:rPr>
              <w:t>K</w:t>
            </w:r>
            <w:r w:rsidR="00B13D65" w:rsidRPr="00D35FF0">
              <w:rPr>
                <w:bCs/>
                <w:color w:val="000000"/>
                <w:lang w:eastAsia="lt-LT"/>
              </w:rPr>
              <w:t>odas</w:t>
            </w:r>
            <w:r w:rsidRPr="00D35FF0">
              <w:rPr>
                <w:bCs/>
                <w:color w:val="000000"/>
                <w:lang w:eastAsia="lt-LT"/>
              </w:rPr>
              <w:t xml:space="preserve"> pagal TLK-10 AM</w:t>
            </w:r>
          </w:p>
        </w:tc>
        <w:tc>
          <w:tcPr>
            <w:tcW w:w="5167" w:type="dxa"/>
          </w:tcPr>
          <w:p w14:paraId="5EE3E15A" w14:textId="77777777" w:rsidR="00E0776D" w:rsidRPr="00D35FF0" w:rsidRDefault="00E0776D" w:rsidP="00CB4038">
            <w:pPr>
              <w:spacing w:after="120"/>
              <w:jc w:val="both"/>
            </w:pPr>
            <w:proofErr w:type="spellStart"/>
            <w:r w:rsidRPr="00D35FF0">
              <w:lastRenderedPageBreak/>
              <w:t>Neradiografinis</w:t>
            </w:r>
            <w:proofErr w:type="spellEnd"/>
            <w:r w:rsidRPr="00D35FF0">
              <w:t xml:space="preserve"> ašinis </w:t>
            </w:r>
            <w:proofErr w:type="spellStart"/>
            <w:r w:rsidRPr="00D35FF0">
              <w:t>spondiloartritas</w:t>
            </w:r>
            <w:proofErr w:type="spellEnd"/>
            <w:r w:rsidRPr="00D35FF0">
              <w:t xml:space="preserve"> (</w:t>
            </w:r>
            <w:proofErr w:type="spellStart"/>
            <w:r w:rsidRPr="00D35FF0">
              <w:t>nr</w:t>
            </w:r>
            <w:proofErr w:type="spellEnd"/>
            <w:r w:rsidRPr="00D35FF0">
              <w:t>–</w:t>
            </w:r>
            <w:proofErr w:type="spellStart"/>
            <w:r w:rsidRPr="00D35FF0">
              <w:t>axSpA</w:t>
            </w:r>
            <w:proofErr w:type="spellEnd"/>
            <w:r w:rsidRPr="00D35FF0">
              <w:t>)</w:t>
            </w:r>
          </w:p>
          <w:p w14:paraId="33184AB8" w14:textId="77777777" w:rsidR="00B13D65" w:rsidRPr="00D35FF0" w:rsidRDefault="00E0776D" w:rsidP="00CB4038">
            <w:pPr>
              <w:jc w:val="both"/>
            </w:pPr>
            <w:proofErr w:type="spellStart"/>
            <w:r w:rsidRPr="00D35FF0">
              <w:t>Cosentyx</w:t>
            </w:r>
            <w:proofErr w:type="spellEnd"/>
            <w:r w:rsidRPr="00D35FF0">
              <w:t xml:space="preserve"> skirtas aktyviu </w:t>
            </w:r>
            <w:proofErr w:type="spellStart"/>
            <w:r w:rsidRPr="00D35FF0">
              <w:t>neradiografiniu</w:t>
            </w:r>
            <w:proofErr w:type="spellEnd"/>
            <w:r w:rsidRPr="00D35FF0">
              <w:t xml:space="preserve"> ašiniu </w:t>
            </w:r>
            <w:proofErr w:type="spellStart"/>
            <w:r w:rsidRPr="00D35FF0">
              <w:t>spondiloartritu</w:t>
            </w:r>
            <w:proofErr w:type="spellEnd"/>
            <w:r w:rsidRPr="00D35FF0">
              <w:t xml:space="preserve"> sergantiems suaugusiems pacientams gydyti, kai nustatoma objektyvių uždegimo požymių, kuriuos rodo padidėjęs C reaktyvinio baltymo (CRB) kiekis ir (arba) magnetinio rezonanso tomografijos (MRT) požymiai, bei kai pacientams gydymas </w:t>
            </w:r>
            <w:r w:rsidRPr="00D35FF0">
              <w:lastRenderedPageBreak/>
              <w:t>nesteroidiniais vaistais nuo uždegimo (NVNU) buvo nepakankamai veiksmingas.</w:t>
            </w:r>
          </w:p>
          <w:p w14:paraId="13F7DFB0" w14:textId="601C9422" w:rsidR="00E0776D" w:rsidRPr="00D35FF0" w:rsidRDefault="00E0776D" w:rsidP="00E0776D">
            <w:pPr>
              <w:rPr>
                <w:b/>
              </w:rPr>
            </w:pPr>
            <w:r w:rsidRPr="00D35FF0">
              <w:rPr>
                <w:b/>
              </w:rPr>
              <w:t>M46.8</w:t>
            </w:r>
          </w:p>
        </w:tc>
      </w:tr>
      <w:tr w:rsidR="00B13D65" w:rsidRPr="00D35FF0" w14:paraId="2F79DC08" w14:textId="77777777" w:rsidTr="00BE7489">
        <w:trPr>
          <w:trHeight w:val="378"/>
        </w:trPr>
        <w:tc>
          <w:tcPr>
            <w:tcW w:w="632" w:type="dxa"/>
          </w:tcPr>
          <w:p w14:paraId="547885A2" w14:textId="08AA8055" w:rsidR="00B13D65" w:rsidRPr="00D35FF0" w:rsidRDefault="00B13D65" w:rsidP="00824B92">
            <w:pPr>
              <w:rPr>
                <w:rFonts w:eastAsia="Arial"/>
              </w:rPr>
            </w:pPr>
            <w:r w:rsidRPr="00D35FF0">
              <w:rPr>
                <w:rFonts w:eastAsia="Arial"/>
              </w:rPr>
              <w:lastRenderedPageBreak/>
              <w:t>1.</w:t>
            </w:r>
            <w:r w:rsidR="002E0702" w:rsidRPr="00D35FF0">
              <w:rPr>
                <w:rFonts w:eastAsia="Arial"/>
              </w:rPr>
              <w:t>6</w:t>
            </w:r>
          </w:p>
        </w:tc>
        <w:tc>
          <w:tcPr>
            <w:tcW w:w="3694" w:type="dxa"/>
          </w:tcPr>
          <w:p w14:paraId="2EAB877F" w14:textId="39A36941" w:rsidR="00B13D65" w:rsidRPr="00D35FF0" w:rsidRDefault="007656B2" w:rsidP="00824B92">
            <w:pPr>
              <w:rPr>
                <w:bCs/>
                <w:color w:val="000000"/>
                <w:u w:val="single"/>
                <w:lang w:eastAsia="lt-LT"/>
              </w:rPr>
            </w:pPr>
            <w:r w:rsidRPr="00D35FF0">
              <w:rPr>
                <w:bCs/>
                <w:color w:val="000000"/>
                <w:lang w:eastAsia="lt-LT"/>
              </w:rPr>
              <w:t>Pareiškėjo t</w:t>
            </w:r>
            <w:r w:rsidR="00B13D65" w:rsidRPr="00D35FF0">
              <w:rPr>
                <w:bCs/>
                <w:color w:val="000000"/>
                <w:lang w:eastAsia="lt-LT"/>
              </w:rPr>
              <w:t>eikiamos skyrimo sąlygos</w:t>
            </w:r>
            <w:r w:rsidR="005B3756" w:rsidRPr="00D35FF0">
              <w:rPr>
                <w:bCs/>
                <w:color w:val="000000"/>
                <w:lang w:eastAsia="lt-LT"/>
              </w:rPr>
              <w:t xml:space="preserve"> </w:t>
            </w:r>
          </w:p>
        </w:tc>
        <w:tc>
          <w:tcPr>
            <w:tcW w:w="5167" w:type="dxa"/>
          </w:tcPr>
          <w:p w14:paraId="0579DF58" w14:textId="77777777" w:rsidR="00B13D65" w:rsidRPr="00D35FF0" w:rsidRDefault="00B13D65" w:rsidP="00824B92"/>
        </w:tc>
      </w:tr>
      <w:tr w:rsidR="00B13D65" w:rsidRPr="00D35FF0" w14:paraId="3B125269" w14:textId="77777777" w:rsidTr="00BE7489">
        <w:trPr>
          <w:trHeight w:val="378"/>
        </w:trPr>
        <w:tc>
          <w:tcPr>
            <w:tcW w:w="632" w:type="dxa"/>
          </w:tcPr>
          <w:p w14:paraId="0058E11F" w14:textId="77777777" w:rsidR="00B13D65" w:rsidRPr="00D35FF0" w:rsidRDefault="00B13D65" w:rsidP="00824B92">
            <w:pPr>
              <w:rPr>
                <w:rFonts w:eastAsia="Arial"/>
              </w:rPr>
            </w:pPr>
            <w:r w:rsidRPr="00D35FF0">
              <w:rPr>
                <w:rFonts w:eastAsia="Arial"/>
              </w:rPr>
              <w:t>1.7</w:t>
            </w:r>
          </w:p>
        </w:tc>
        <w:tc>
          <w:tcPr>
            <w:tcW w:w="3694" w:type="dxa"/>
          </w:tcPr>
          <w:p w14:paraId="738E1926" w14:textId="77777777" w:rsidR="00B13D65" w:rsidRPr="00D35FF0" w:rsidRDefault="007656B2" w:rsidP="00824B92">
            <w:pPr>
              <w:rPr>
                <w:bCs/>
                <w:color w:val="000000"/>
                <w:lang w:eastAsia="lt-LT"/>
              </w:rPr>
            </w:pPr>
            <w:r w:rsidRPr="00D35FF0">
              <w:rPr>
                <w:bCs/>
                <w:color w:val="000000"/>
                <w:lang w:eastAsia="lt-LT"/>
              </w:rPr>
              <w:t>Pareiškėjo teikiamas p</w:t>
            </w:r>
            <w:r w:rsidR="00B13D65" w:rsidRPr="00D35FF0">
              <w:rPr>
                <w:bCs/>
                <w:color w:val="000000"/>
                <w:lang w:eastAsia="lt-LT"/>
              </w:rPr>
              <w:t>alyginamasis</w:t>
            </w:r>
            <w:r w:rsidR="005B3756" w:rsidRPr="00D35FF0">
              <w:rPr>
                <w:bCs/>
                <w:color w:val="000000"/>
                <w:lang w:eastAsia="lt-LT"/>
              </w:rPr>
              <w:t xml:space="preserve"> </w:t>
            </w:r>
            <w:r w:rsidR="00B13D65" w:rsidRPr="00D35FF0">
              <w:rPr>
                <w:bCs/>
                <w:color w:val="000000"/>
                <w:lang w:eastAsia="lt-LT"/>
              </w:rPr>
              <w:t xml:space="preserve">gydymas </w:t>
            </w:r>
          </w:p>
          <w:p w14:paraId="61EC5BBD" w14:textId="7A8BD8B4" w:rsidR="009F4D66" w:rsidRPr="00D35FF0" w:rsidRDefault="009F4D66" w:rsidP="00824B92">
            <w:pPr>
              <w:rPr>
                <w:bCs/>
                <w:color w:val="000000"/>
                <w:lang w:eastAsia="lt-LT"/>
              </w:rPr>
            </w:pPr>
          </w:p>
          <w:p w14:paraId="62057D94" w14:textId="77777777" w:rsidR="00413F24" w:rsidRPr="00D35FF0" w:rsidRDefault="00413F24" w:rsidP="00824B92">
            <w:pPr>
              <w:rPr>
                <w:bCs/>
                <w:color w:val="000000"/>
                <w:lang w:eastAsia="lt-LT"/>
              </w:rPr>
            </w:pPr>
          </w:p>
          <w:p w14:paraId="6CC1022E" w14:textId="2B6BCEE1" w:rsidR="009F4D66" w:rsidRPr="00D35FF0" w:rsidRDefault="009F4D66" w:rsidP="00824B92">
            <w:pPr>
              <w:rPr>
                <w:bCs/>
                <w:color w:val="000000"/>
                <w:lang w:eastAsia="lt-LT"/>
              </w:rPr>
            </w:pPr>
          </w:p>
        </w:tc>
        <w:tc>
          <w:tcPr>
            <w:tcW w:w="5167" w:type="dxa"/>
          </w:tcPr>
          <w:p w14:paraId="1F113AC0" w14:textId="0DCCA796" w:rsidR="009F4D66" w:rsidRPr="00D35FF0" w:rsidRDefault="00F01DBF" w:rsidP="00824B92">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9F4D66" w:rsidRPr="00D35FF0">
                  <w:rPr>
                    <w:rStyle w:val="Style2"/>
                    <w:rFonts w:ascii="MS Gothic" w:eastAsia="MS Gothic" w:hAnsi="MS Gothic"/>
                    <w:sz w:val="24"/>
                  </w:rPr>
                  <w:t>☐</w:t>
                </w:r>
              </w:sdtContent>
            </w:sdt>
            <w:r w:rsidR="009F4D66" w:rsidRPr="00D35FF0">
              <w:t xml:space="preserve"> Tinkamas</w:t>
            </w:r>
          </w:p>
          <w:p w14:paraId="7F45EF98" w14:textId="77777777" w:rsidR="005302CA" w:rsidRPr="00D35FF0" w:rsidRDefault="005302CA" w:rsidP="00824B92"/>
          <w:p w14:paraId="41B44044" w14:textId="173B8A5F" w:rsidR="00B13D65" w:rsidRPr="00D35FF0" w:rsidRDefault="00F01DBF" w:rsidP="00824B92">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4E04C8" w:rsidRPr="00D35FF0">
                  <w:rPr>
                    <w:rStyle w:val="Style2"/>
                    <w:rFonts w:ascii="MS Gothic" w:eastAsia="MS Gothic" w:hAnsi="MS Gothic"/>
                    <w:sz w:val="24"/>
                  </w:rPr>
                  <w:t>☒</w:t>
                </w:r>
              </w:sdtContent>
            </w:sdt>
            <w:r w:rsidR="009F4D66" w:rsidRPr="00D35FF0">
              <w:t xml:space="preserve"> Netinkama</w:t>
            </w:r>
            <w:r w:rsidR="00855720" w:rsidRPr="00D35FF0">
              <w:t>s</w:t>
            </w:r>
          </w:p>
        </w:tc>
      </w:tr>
    </w:tbl>
    <w:p w14:paraId="108176F7" w14:textId="640C6F75" w:rsidR="00F70C9E" w:rsidRPr="00D35FF0" w:rsidRDefault="00F70C9E" w:rsidP="00E03C3F">
      <w:pPr>
        <w:pStyle w:val="Sraopastraipa"/>
        <w:tabs>
          <w:tab w:val="left" w:pos="426"/>
        </w:tabs>
        <w:ind w:left="0"/>
        <w:rPr>
          <w:b/>
          <w:bCs/>
          <w:caps/>
        </w:rPr>
      </w:pPr>
    </w:p>
    <w:p w14:paraId="2871CA7F" w14:textId="2370BDDB" w:rsidR="00F70C9E" w:rsidRPr="00D35FF0" w:rsidRDefault="00F70C9E" w:rsidP="00880A44">
      <w:pPr>
        <w:spacing w:line="276" w:lineRule="auto"/>
        <w:jc w:val="both"/>
        <w:rPr>
          <w:rFonts w:eastAsia="Arial"/>
          <w:b/>
        </w:rPr>
      </w:pPr>
      <w:r w:rsidRPr="00D35FF0">
        <w:rPr>
          <w:rFonts w:eastAsia="Arial"/>
          <w:b/>
        </w:rPr>
        <w:t xml:space="preserve">1.8 Kitų </w:t>
      </w:r>
      <w:r w:rsidR="00DF583C" w:rsidRPr="00D35FF0">
        <w:rPr>
          <w:rFonts w:eastAsia="Arial"/>
          <w:b/>
        </w:rPr>
        <w:t xml:space="preserve">valstybių </w:t>
      </w:r>
      <w:r w:rsidRPr="00D35FF0">
        <w:rPr>
          <w:rFonts w:eastAsia="Arial"/>
          <w:b/>
        </w:rPr>
        <w:t xml:space="preserve">atsakingų institucijų atlikto </w:t>
      </w:r>
      <w:r w:rsidR="00DF583C" w:rsidRPr="00D35FF0">
        <w:rPr>
          <w:rFonts w:eastAsia="Arial"/>
          <w:b/>
        </w:rPr>
        <w:t>Sveikatos technologijų vertinimo (toliau – STV)</w:t>
      </w:r>
      <w:r w:rsidRPr="00D35FF0">
        <w:rPr>
          <w:rFonts w:eastAsia="Arial"/>
          <w:b/>
        </w:rPr>
        <w:t xml:space="preserve"> išvados</w:t>
      </w:r>
    </w:p>
    <w:p w14:paraId="30721FDD" w14:textId="77777777" w:rsidR="00F70C9E" w:rsidRPr="00D35FF0"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D35FF0" w14:paraId="7E72828B" w14:textId="77777777" w:rsidTr="00BE7489">
        <w:trPr>
          <w:trHeight w:val="924"/>
        </w:trPr>
        <w:tc>
          <w:tcPr>
            <w:tcW w:w="2855" w:type="dxa"/>
          </w:tcPr>
          <w:p w14:paraId="253D1DD4" w14:textId="5B2616C0" w:rsidR="00F70C9E" w:rsidRPr="00D35FF0" w:rsidRDefault="00F70C9E" w:rsidP="00824B92">
            <w:pPr>
              <w:rPr>
                <w:rFonts w:eastAsia="Arial"/>
              </w:rPr>
            </w:pPr>
            <w:r w:rsidRPr="00D35FF0">
              <w:rPr>
                <w:rFonts w:eastAsia="Arial"/>
              </w:rPr>
              <w:t>ST</w:t>
            </w:r>
            <w:r w:rsidR="00DF583C" w:rsidRPr="00D35FF0">
              <w:rPr>
                <w:rFonts w:eastAsia="Arial"/>
              </w:rPr>
              <w:t>V</w:t>
            </w:r>
            <w:r w:rsidRPr="00D35FF0">
              <w:rPr>
                <w:rFonts w:eastAsia="Arial"/>
              </w:rPr>
              <w:t xml:space="preserve"> agentūros pavadinimas, šalis</w:t>
            </w:r>
          </w:p>
        </w:tc>
        <w:tc>
          <w:tcPr>
            <w:tcW w:w="1851" w:type="dxa"/>
          </w:tcPr>
          <w:p w14:paraId="34AE1EDD" w14:textId="77777777" w:rsidR="00F70C9E" w:rsidRPr="00D35FF0" w:rsidRDefault="00F70C9E" w:rsidP="00824B92">
            <w:pPr>
              <w:rPr>
                <w:rFonts w:eastAsia="Arial"/>
              </w:rPr>
            </w:pPr>
            <w:r w:rsidRPr="00D35FF0">
              <w:rPr>
                <w:rFonts w:eastAsia="Arial"/>
              </w:rPr>
              <w:t>STV vertinimas atliktas</w:t>
            </w:r>
          </w:p>
        </w:tc>
        <w:tc>
          <w:tcPr>
            <w:tcW w:w="2244" w:type="dxa"/>
          </w:tcPr>
          <w:p w14:paraId="16E2DDC1" w14:textId="77777777" w:rsidR="00F70C9E" w:rsidRPr="00D35FF0" w:rsidRDefault="00F70C9E" w:rsidP="00824B92">
            <w:pPr>
              <w:rPr>
                <w:rFonts w:eastAsia="Arial"/>
              </w:rPr>
            </w:pPr>
            <w:r w:rsidRPr="00D35FF0">
              <w:rPr>
                <w:rFonts w:eastAsia="Arial"/>
              </w:rPr>
              <w:t>Klinikinio vertinimo išvada</w:t>
            </w:r>
          </w:p>
        </w:tc>
        <w:tc>
          <w:tcPr>
            <w:tcW w:w="2543" w:type="dxa"/>
          </w:tcPr>
          <w:p w14:paraId="1861E3F2" w14:textId="74803B5B" w:rsidR="00F70C9E" w:rsidRPr="00D35FF0" w:rsidRDefault="00F70C9E" w:rsidP="00824B92">
            <w:pPr>
              <w:rPr>
                <w:rFonts w:eastAsia="Arial"/>
              </w:rPr>
            </w:pPr>
            <w:proofErr w:type="spellStart"/>
            <w:r w:rsidRPr="00D35FF0">
              <w:rPr>
                <w:rFonts w:eastAsia="Arial"/>
              </w:rPr>
              <w:t>Farmako</w:t>
            </w:r>
            <w:r w:rsidR="00CA217D" w:rsidRPr="00D35FF0">
              <w:rPr>
                <w:rFonts w:eastAsia="Arial"/>
              </w:rPr>
              <w:t>e</w:t>
            </w:r>
            <w:r w:rsidR="00476256" w:rsidRPr="00D35FF0">
              <w:rPr>
                <w:rFonts w:eastAsia="Arial"/>
              </w:rPr>
              <w:t>ko</w:t>
            </w:r>
            <w:r w:rsidRPr="00D35FF0">
              <w:rPr>
                <w:rFonts w:eastAsia="Arial"/>
              </w:rPr>
              <w:t>nominio</w:t>
            </w:r>
            <w:proofErr w:type="spellEnd"/>
            <w:r w:rsidRPr="00D35FF0">
              <w:rPr>
                <w:rFonts w:eastAsia="Arial"/>
              </w:rPr>
              <w:t xml:space="preserve"> vertinimo išvada</w:t>
            </w:r>
          </w:p>
        </w:tc>
      </w:tr>
      <w:tr w:rsidR="0035039D" w:rsidRPr="00D35FF0" w14:paraId="129FA8F6" w14:textId="77777777" w:rsidTr="00070FE9">
        <w:trPr>
          <w:trHeight w:val="841"/>
        </w:trPr>
        <w:tc>
          <w:tcPr>
            <w:tcW w:w="2855" w:type="dxa"/>
          </w:tcPr>
          <w:p w14:paraId="0A070137" w14:textId="77777777" w:rsidR="0035039D" w:rsidRPr="00D35FF0" w:rsidRDefault="0035039D" w:rsidP="00824B92">
            <w:pPr>
              <w:rPr>
                <w:bCs/>
              </w:rPr>
            </w:pPr>
            <w:r w:rsidRPr="00D35FF0">
              <w:rPr>
                <w:bCs/>
              </w:rPr>
              <w:t>Nacionalinis sveikatos ir klinikinės kompetencijos institutas, Didžioji Britanija</w:t>
            </w:r>
          </w:p>
          <w:p w14:paraId="49C6520D" w14:textId="77777777" w:rsidR="0035039D" w:rsidRPr="00D35FF0" w:rsidRDefault="0035039D" w:rsidP="00824B92">
            <w:pPr>
              <w:rPr>
                <w:rFonts w:eastAsia="Arial"/>
              </w:rPr>
            </w:pPr>
            <w:r w:rsidRPr="00D35FF0">
              <w:rPr>
                <w:rFonts w:eastAsia="Arial"/>
              </w:rPr>
              <w:t xml:space="preserve">(angl. </w:t>
            </w:r>
            <w:proofErr w:type="spellStart"/>
            <w:r w:rsidRPr="00D35FF0">
              <w:rPr>
                <w:rFonts w:eastAsia="Arial"/>
                <w:i/>
              </w:rPr>
              <w:t>National</w:t>
            </w:r>
            <w:proofErr w:type="spellEnd"/>
            <w:r w:rsidRPr="00D35FF0">
              <w:rPr>
                <w:rFonts w:eastAsia="Arial"/>
                <w:i/>
              </w:rPr>
              <w:t xml:space="preserve"> Institute </w:t>
            </w:r>
            <w:proofErr w:type="spellStart"/>
            <w:r w:rsidRPr="00D35FF0">
              <w:rPr>
                <w:rFonts w:eastAsia="Arial"/>
                <w:i/>
              </w:rPr>
              <w:t>for</w:t>
            </w:r>
            <w:proofErr w:type="spellEnd"/>
            <w:r w:rsidRPr="00D35FF0">
              <w:rPr>
                <w:rFonts w:eastAsia="Arial"/>
                <w:i/>
              </w:rPr>
              <w:t xml:space="preserve"> </w:t>
            </w:r>
            <w:proofErr w:type="spellStart"/>
            <w:r w:rsidRPr="00D35FF0">
              <w:rPr>
                <w:rFonts w:eastAsia="Arial"/>
                <w:i/>
              </w:rPr>
              <w:t>Health</w:t>
            </w:r>
            <w:proofErr w:type="spellEnd"/>
            <w:r w:rsidRPr="00D35FF0">
              <w:rPr>
                <w:rFonts w:eastAsia="Arial"/>
                <w:i/>
              </w:rPr>
              <w:t xml:space="preserve"> </w:t>
            </w:r>
            <w:proofErr w:type="spellStart"/>
            <w:r w:rsidRPr="00D35FF0">
              <w:rPr>
                <w:rFonts w:eastAsia="Arial"/>
                <w:i/>
              </w:rPr>
              <w:t>and</w:t>
            </w:r>
            <w:proofErr w:type="spellEnd"/>
            <w:r w:rsidRPr="00D35FF0">
              <w:rPr>
                <w:rFonts w:eastAsia="Arial"/>
                <w:i/>
              </w:rPr>
              <w:t xml:space="preserve"> Care  </w:t>
            </w:r>
            <w:proofErr w:type="spellStart"/>
            <w:r w:rsidRPr="00D35FF0">
              <w:rPr>
                <w:rFonts w:eastAsia="Arial"/>
                <w:i/>
              </w:rPr>
              <w:t>Excellence</w:t>
            </w:r>
            <w:proofErr w:type="spellEnd"/>
            <w:r w:rsidRPr="00D35FF0">
              <w:rPr>
                <w:rFonts w:eastAsia="Arial"/>
                <w:i/>
              </w:rPr>
              <w:t>, NICE</w:t>
            </w:r>
            <w:r w:rsidRPr="00D35FF0">
              <w:rPr>
                <w:rFonts w:eastAsia="Arial"/>
              </w:rPr>
              <w:t>)</w:t>
            </w:r>
          </w:p>
        </w:tc>
        <w:tc>
          <w:tcPr>
            <w:tcW w:w="1851" w:type="dxa"/>
          </w:tcPr>
          <w:p w14:paraId="5846A9F8" w14:textId="23ECA459" w:rsidR="0035039D" w:rsidRPr="00D35FF0" w:rsidRDefault="00F01DBF" w:rsidP="00824B92">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35039D" w:rsidRPr="00D35FF0">
                  <w:rPr>
                    <w:rStyle w:val="Style2"/>
                    <w:rFonts w:ascii="MS Gothic" w:eastAsia="MS Gothic" w:hAnsi="MS Gothic"/>
                    <w:sz w:val="24"/>
                  </w:rPr>
                  <w:t>☒</w:t>
                </w:r>
              </w:sdtContent>
            </w:sdt>
            <w:r w:rsidR="0035039D" w:rsidRPr="00D35FF0">
              <w:t xml:space="preserve"> Taip</w:t>
            </w:r>
          </w:p>
          <w:p w14:paraId="29F3627E" w14:textId="77777777" w:rsidR="0035039D" w:rsidRPr="00D35FF0" w:rsidRDefault="00F01DBF" w:rsidP="00824B92">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35039D" w:rsidRPr="00D35FF0">
                  <w:rPr>
                    <w:rStyle w:val="Style2"/>
                    <w:rFonts w:ascii="Segoe UI Symbol" w:eastAsia="MS Gothic" w:hAnsi="Segoe UI Symbol" w:cs="Segoe UI Symbol"/>
                    <w:sz w:val="24"/>
                  </w:rPr>
                  <w:t>☐</w:t>
                </w:r>
              </w:sdtContent>
            </w:sdt>
            <w:r w:rsidR="0035039D" w:rsidRPr="00D35FF0">
              <w:t xml:space="preserve"> Ne</w:t>
            </w:r>
          </w:p>
          <w:p w14:paraId="7916359D" w14:textId="06B6FDA0" w:rsidR="0035039D" w:rsidRPr="00D35FF0" w:rsidRDefault="00F01DBF" w:rsidP="00824B92">
            <w:pPr>
              <w:rPr>
                <w:rFonts w:eastAsia="Arial"/>
              </w:rPr>
            </w:pPr>
            <w:sdt>
              <w:sdtPr>
                <w:alias w:val="Nurodykite konkrečią dieną"/>
                <w:tag w:val="Nurodykite pradžios datą"/>
                <w:id w:val="922837954"/>
                <w:placeholder>
                  <w:docPart w:val="98C5AC5F07E84B9183F88E3FE04048DE"/>
                </w:placeholder>
                <w15:color w:val="FFCC99"/>
                <w:date w:fullDate="2021-07-21T00:00:00Z">
                  <w:dateFormat w:val="yyyy 'm.' MMMM d 'd.'"/>
                  <w:lid w:val="lt-LT"/>
                  <w:storeMappedDataAs w:val="dateTime"/>
                  <w:calendar w:val="gregorian"/>
                </w:date>
              </w:sdtPr>
              <w:sdtEndPr/>
              <w:sdtContent>
                <w:r w:rsidR="0035039D" w:rsidRPr="00D35FF0">
                  <w:t>2021 m. liepos 21 d.</w:t>
                </w:r>
              </w:sdtContent>
            </w:sdt>
          </w:p>
        </w:tc>
        <w:tc>
          <w:tcPr>
            <w:tcW w:w="4787" w:type="dxa"/>
            <w:gridSpan w:val="2"/>
          </w:tcPr>
          <w:p w14:paraId="1D10280C" w14:textId="6294ACF2" w:rsidR="0035039D" w:rsidRPr="00D35FF0" w:rsidRDefault="0035039D" w:rsidP="00BD7955">
            <w:pPr>
              <w:jc w:val="both"/>
              <w:rPr>
                <w:rFonts w:eastAsia="Arial"/>
              </w:rPr>
            </w:pPr>
            <w:proofErr w:type="spellStart"/>
            <w:r w:rsidRPr="00D35FF0">
              <w:rPr>
                <w:rFonts w:eastAsia="Arial"/>
              </w:rPr>
              <w:t>Sekukinu</w:t>
            </w:r>
            <w:r w:rsidR="000916A9" w:rsidRPr="00D35FF0">
              <w:rPr>
                <w:rFonts w:eastAsia="Arial"/>
              </w:rPr>
              <w:t>ma</w:t>
            </w:r>
            <w:r w:rsidRPr="00D35FF0">
              <w:rPr>
                <w:rFonts w:eastAsia="Arial"/>
              </w:rPr>
              <w:t>bas</w:t>
            </w:r>
            <w:proofErr w:type="spellEnd"/>
            <w:r w:rsidRPr="00D35FF0">
              <w:rPr>
                <w:rFonts w:eastAsia="Arial"/>
              </w:rPr>
              <w:t xml:space="preserve"> rekomenduojamas kaip </w:t>
            </w:r>
            <w:r w:rsidR="000916A9" w:rsidRPr="00D35FF0">
              <w:rPr>
                <w:rFonts w:eastAsia="Arial"/>
              </w:rPr>
              <w:t xml:space="preserve">gydymo </w:t>
            </w:r>
            <w:r w:rsidRPr="00D35FF0">
              <w:rPr>
                <w:rFonts w:eastAsia="Arial"/>
              </w:rPr>
              <w:t xml:space="preserve">pasirinkimas, </w:t>
            </w:r>
            <w:r w:rsidRPr="00D35FF0">
              <w:t xml:space="preserve">aktyviu </w:t>
            </w:r>
            <w:proofErr w:type="spellStart"/>
            <w:r w:rsidRPr="00D35FF0">
              <w:t>neradiografiniu</w:t>
            </w:r>
            <w:proofErr w:type="spellEnd"/>
            <w:r w:rsidRPr="00D35FF0">
              <w:t xml:space="preserve"> ašiniu </w:t>
            </w:r>
            <w:proofErr w:type="spellStart"/>
            <w:r w:rsidRPr="00D35FF0">
              <w:t>spondiloartritu</w:t>
            </w:r>
            <w:proofErr w:type="spellEnd"/>
            <w:r w:rsidRPr="00D35FF0">
              <w:t xml:space="preserve"> sergan</w:t>
            </w:r>
            <w:r w:rsidR="000916A9" w:rsidRPr="00D35FF0">
              <w:t>tiems</w:t>
            </w:r>
            <w:r w:rsidRPr="00D35FF0">
              <w:t xml:space="preserve"> suaugusi</w:t>
            </w:r>
            <w:r w:rsidR="000916A9" w:rsidRPr="00D35FF0">
              <w:t>esiems</w:t>
            </w:r>
            <w:r w:rsidRPr="00D35FF0">
              <w:t>, kuriems nustatomi objektyvūs uždegimo požymiai (padidėjęs C reaktyvinio baltymo (CRB) kiekis arba magnetinio rezonanso tomografijos (MRT) požymiai, bei kai gydymas nesteroidiniais vaistais nuo uždegimo (NVNU) buvo nepakankamai veiksmingas</w:t>
            </w:r>
            <w:r w:rsidR="00404221" w:rsidRPr="00D35FF0">
              <w:t>,</w:t>
            </w:r>
            <w:r w:rsidRPr="00D35FF0">
              <w:t xml:space="preserve"> su sąlyga:</w:t>
            </w:r>
          </w:p>
          <w:p w14:paraId="615EDDE4" w14:textId="6FBE35FF" w:rsidR="0035039D" w:rsidRPr="00D35FF0" w:rsidRDefault="0035039D" w:rsidP="00D35FF0">
            <w:pPr>
              <w:pStyle w:val="Sraopastraipa"/>
              <w:numPr>
                <w:ilvl w:val="0"/>
                <w:numId w:val="15"/>
              </w:numPr>
              <w:ind w:left="279" w:hanging="279"/>
              <w:jc w:val="both"/>
              <w:rPr>
                <w:rFonts w:eastAsia="Arial"/>
              </w:rPr>
            </w:pPr>
            <w:r w:rsidRPr="00D35FF0">
              <w:rPr>
                <w:rFonts w:eastAsia="Arial"/>
              </w:rPr>
              <w:t xml:space="preserve">TNFα inhibitoriai netinka arba nepakankamai kontroliuoja ligą bei kompanija tieks </w:t>
            </w:r>
            <w:proofErr w:type="spellStart"/>
            <w:r w:rsidRPr="00D35FF0">
              <w:rPr>
                <w:rFonts w:eastAsia="Arial"/>
              </w:rPr>
              <w:t>sekukinumabą</w:t>
            </w:r>
            <w:proofErr w:type="spellEnd"/>
            <w:r w:rsidRPr="00D35FF0">
              <w:rPr>
                <w:rFonts w:eastAsia="Arial"/>
              </w:rPr>
              <w:t xml:space="preserve"> pagal komercinį susitarimą</w:t>
            </w:r>
          </w:p>
          <w:p w14:paraId="5709D8B0" w14:textId="7DD961A1" w:rsidR="0035039D" w:rsidRPr="00D35FF0" w:rsidRDefault="0035039D" w:rsidP="00BD7955">
            <w:pPr>
              <w:jc w:val="both"/>
              <w:rPr>
                <w:rFonts w:eastAsia="Arial"/>
              </w:rPr>
            </w:pPr>
            <w:r w:rsidRPr="00D35FF0">
              <w:rPr>
                <w:rFonts w:eastAsia="Arial"/>
              </w:rPr>
              <w:t xml:space="preserve">Gydymas </w:t>
            </w:r>
            <w:proofErr w:type="spellStart"/>
            <w:r w:rsidRPr="00D35FF0">
              <w:rPr>
                <w:rFonts w:eastAsia="Arial"/>
              </w:rPr>
              <w:t>sekukinumabu</w:t>
            </w:r>
            <w:proofErr w:type="spellEnd"/>
            <w:r w:rsidRPr="00D35FF0">
              <w:rPr>
                <w:rFonts w:eastAsia="Arial"/>
              </w:rPr>
              <w:t xml:space="preserve"> vertinamas po 16 gydymo savaičių. Gydymas tęsiamas, kai yra aiškūs įrodymai:</w:t>
            </w:r>
          </w:p>
          <w:p w14:paraId="178360B1" w14:textId="32E58E67" w:rsidR="0035039D" w:rsidRPr="00D35FF0" w:rsidRDefault="0035039D" w:rsidP="00BD7955">
            <w:pPr>
              <w:jc w:val="both"/>
              <w:rPr>
                <w:rFonts w:eastAsia="Arial"/>
              </w:rPr>
            </w:pPr>
            <w:r w:rsidRPr="00D35FF0">
              <w:rPr>
                <w:rFonts w:eastAsia="Arial"/>
              </w:rPr>
              <w:t>- BASDAI</w:t>
            </w:r>
            <w:r w:rsidR="000916A9" w:rsidRPr="00D35FF0">
              <w:rPr>
                <w:rStyle w:val="Puslapioinaosnuoroda"/>
                <w:rFonts w:eastAsia="Arial"/>
              </w:rPr>
              <w:footnoteReference w:id="1"/>
            </w:r>
            <w:r w:rsidRPr="00D35FF0">
              <w:rPr>
                <w:rFonts w:eastAsia="Arial"/>
              </w:rPr>
              <w:t xml:space="preserve"> sa</w:t>
            </w:r>
            <w:r w:rsidR="000916A9" w:rsidRPr="00D35FF0">
              <w:rPr>
                <w:rFonts w:eastAsia="Arial"/>
              </w:rPr>
              <w:t>n</w:t>
            </w:r>
            <w:r w:rsidRPr="00D35FF0">
              <w:rPr>
                <w:rFonts w:eastAsia="Arial"/>
              </w:rPr>
              <w:t xml:space="preserve">tykis sumažėjo 50 proc. nuo </w:t>
            </w:r>
            <w:r w:rsidR="00404221" w:rsidRPr="00D35FF0">
              <w:rPr>
                <w:rFonts w:eastAsia="Arial"/>
              </w:rPr>
              <w:t>gydymo pradžios arba ≥ 2 vienetais bei stuburo skausmas sumažėjo ≥ 2 cm pagal VAS (vizualinio analogo skalę);</w:t>
            </w:r>
          </w:p>
          <w:p w14:paraId="68AD6547" w14:textId="47318231" w:rsidR="00404221" w:rsidRPr="00D35FF0" w:rsidRDefault="00404221" w:rsidP="00BD7955">
            <w:pPr>
              <w:jc w:val="both"/>
              <w:rPr>
                <w:rFonts w:eastAsia="Arial"/>
              </w:rPr>
            </w:pPr>
            <w:r w:rsidRPr="00D35FF0">
              <w:rPr>
                <w:rFonts w:eastAsia="Arial"/>
              </w:rPr>
              <w:t>- Atkreipti dėmesį į bet kokį bendravimo sunkumą, arba fizinį, psichologinį, jautrumo ar pažinties neįgalumą, kuris gali įtakoti atsakymus į BASDAI ir VAS klausimynus, bei atitinkamai pritaikyti.</w:t>
            </w:r>
          </w:p>
          <w:p w14:paraId="786FE2AA" w14:textId="21E0E62E" w:rsidR="0035039D" w:rsidRPr="00D35FF0" w:rsidRDefault="00404221" w:rsidP="00BD7955">
            <w:pPr>
              <w:jc w:val="both"/>
              <w:rPr>
                <w:rFonts w:eastAsia="Arial"/>
              </w:rPr>
            </w:pPr>
            <w:r w:rsidRPr="00D35FF0">
              <w:rPr>
                <w:rFonts w:eastAsia="Arial"/>
                <w:i/>
              </w:rPr>
              <w:t>Pastaba iš rekomendacijų</w:t>
            </w:r>
          </w:p>
          <w:p w14:paraId="67430EE7" w14:textId="2B94CE8D" w:rsidR="0035039D" w:rsidRPr="00D35FF0" w:rsidRDefault="00404221" w:rsidP="000916A9">
            <w:pPr>
              <w:jc w:val="both"/>
              <w:rPr>
                <w:rFonts w:eastAsia="Arial"/>
              </w:rPr>
            </w:pPr>
            <w:r w:rsidRPr="00D35FF0">
              <w:t xml:space="preserve">Klinikinio tyrimo įrodymai byloja, kad </w:t>
            </w:r>
            <w:proofErr w:type="spellStart"/>
            <w:r w:rsidRPr="00D35FF0">
              <w:t>sekukinumabas</w:t>
            </w:r>
            <w:proofErr w:type="spellEnd"/>
            <w:r w:rsidRPr="00D35FF0">
              <w:t xml:space="preserve"> efektyvus, palyginus su </w:t>
            </w:r>
            <w:proofErr w:type="spellStart"/>
            <w:r w:rsidRPr="00D35FF0">
              <w:t>placebu</w:t>
            </w:r>
            <w:proofErr w:type="spellEnd"/>
            <w:r w:rsidRPr="00D35FF0">
              <w:t xml:space="preserve">. Nėra tiesioginio efektyvumo palyginimo </w:t>
            </w:r>
            <w:proofErr w:type="spellStart"/>
            <w:r w:rsidRPr="00D35FF0">
              <w:t>sekukinumabo</w:t>
            </w:r>
            <w:proofErr w:type="spellEnd"/>
            <w:r w:rsidRPr="00D35FF0">
              <w:t xml:space="preserve"> su </w:t>
            </w:r>
            <w:r w:rsidRPr="00D35FF0">
              <w:rPr>
                <w:rFonts w:eastAsia="Arial"/>
              </w:rPr>
              <w:t xml:space="preserve">TNFα inhibitoriais, gydant </w:t>
            </w:r>
            <w:r w:rsidRPr="00D35FF0">
              <w:t xml:space="preserve">aktyviu </w:t>
            </w:r>
            <w:proofErr w:type="spellStart"/>
            <w:r w:rsidRPr="00D35FF0">
              <w:t>neradiografiniu</w:t>
            </w:r>
            <w:proofErr w:type="spellEnd"/>
            <w:r w:rsidRPr="00D35FF0">
              <w:t xml:space="preserve"> </w:t>
            </w:r>
            <w:r w:rsidRPr="00D35FF0">
              <w:lastRenderedPageBreak/>
              <w:t xml:space="preserve">ašiniu </w:t>
            </w:r>
            <w:proofErr w:type="spellStart"/>
            <w:r w:rsidRPr="00D35FF0">
              <w:t>spondiloartritu</w:t>
            </w:r>
            <w:proofErr w:type="spellEnd"/>
            <w:r w:rsidRPr="00D35FF0">
              <w:t xml:space="preserve"> sergančius suaugusius pacientus</w:t>
            </w:r>
            <w:r w:rsidR="00BD7955" w:rsidRPr="00D35FF0">
              <w:t>. T</w:t>
            </w:r>
            <w:r w:rsidRPr="00D35FF0">
              <w:t xml:space="preserve">ačiau netiesioginis palyginimas  rodo, kad </w:t>
            </w:r>
            <w:proofErr w:type="spellStart"/>
            <w:r w:rsidRPr="00D35FF0">
              <w:t>sekukinumbas</w:t>
            </w:r>
            <w:proofErr w:type="spellEnd"/>
            <w:r w:rsidRPr="00D35FF0">
              <w:t xml:space="preserve"> galimai mažiau efektyvesnis</w:t>
            </w:r>
            <w:r w:rsidR="00BD7955" w:rsidRPr="00D35FF0">
              <w:t xml:space="preserve"> nei </w:t>
            </w:r>
            <w:r w:rsidR="00BD7955" w:rsidRPr="00D35FF0">
              <w:rPr>
                <w:rFonts w:eastAsia="Arial"/>
              </w:rPr>
              <w:t xml:space="preserve">TNFα inhibitoriai, bet tai aiškiai neįrodyta. </w:t>
            </w:r>
          </w:p>
        </w:tc>
      </w:tr>
      <w:tr w:rsidR="00457408" w:rsidRPr="00D35FF0" w14:paraId="1CC31474" w14:textId="77777777" w:rsidTr="00C42139">
        <w:trPr>
          <w:trHeight w:val="1547"/>
        </w:trPr>
        <w:tc>
          <w:tcPr>
            <w:tcW w:w="2855" w:type="dxa"/>
          </w:tcPr>
          <w:p w14:paraId="12218E35" w14:textId="77777777" w:rsidR="00457408" w:rsidRPr="00D35FF0" w:rsidRDefault="00457408" w:rsidP="00824B92">
            <w:pPr>
              <w:rPr>
                <w:rFonts w:eastAsia="Arial"/>
              </w:rPr>
            </w:pPr>
            <w:r w:rsidRPr="00D35FF0">
              <w:rPr>
                <w:rFonts w:eastAsia="Arial"/>
              </w:rPr>
              <w:lastRenderedPageBreak/>
              <w:t>Kanados sveikatos technologijų agentūra</w:t>
            </w:r>
          </w:p>
          <w:p w14:paraId="2C593A82" w14:textId="77777777" w:rsidR="00457408" w:rsidRPr="00D35FF0" w:rsidRDefault="00457408" w:rsidP="00824B92">
            <w:pPr>
              <w:rPr>
                <w:rFonts w:eastAsia="Arial"/>
              </w:rPr>
            </w:pPr>
            <w:r w:rsidRPr="00D35FF0">
              <w:rPr>
                <w:rFonts w:eastAsia="Arial"/>
              </w:rPr>
              <w:t xml:space="preserve">(angl. </w:t>
            </w:r>
            <w:proofErr w:type="spellStart"/>
            <w:r w:rsidRPr="00D35FF0">
              <w:rPr>
                <w:rFonts w:eastAsia="Arial"/>
                <w:i/>
              </w:rPr>
              <w:t>Canadian</w:t>
            </w:r>
            <w:proofErr w:type="spellEnd"/>
            <w:r w:rsidRPr="00D35FF0">
              <w:rPr>
                <w:rFonts w:eastAsia="Arial"/>
                <w:i/>
              </w:rPr>
              <w:t xml:space="preserve"> </w:t>
            </w:r>
            <w:proofErr w:type="spellStart"/>
            <w:r w:rsidRPr="00D35FF0">
              <w:rPr>
                <w:rFonts w:eastAsia="Arial"/>
                <w:i/>
              </w:rPr>
              <w:t>health</w:t>
            </w:r>
            <w:proofErr w:type="spellEnd"/>
            <w:r w:rsidRPr="00D35FF0">
              <w:rPr>
                <w:rFonts w:eastAsia="Arial"/>
                <w:i/>
              </w:rPr>
              <w:t xml:space="preserve"> </w:t>
            </w:r>
            <w:proofErr w:type="spellStart"/>
            <w:r w:rsidRPr="00D35FF0">
              <w:rPr>
                <w:rFonts w:eastAsia="Arial"/>
                <w:i/>
              </w:rPr>
              <w:t>Technology</w:t>
            </w:r>
            <w:proofErr w:type="spellEnd"/>
            <w:r w:rsidRPr="00D35FF0">
              <w:rPr>
                <w:rFonts w:eastAsia="Arial"/>
                <w:i/>
              </w:rPr>
              <w:t xml:space="preserve"> </w:t>
            </w:r>
            <w:proofErr w:type="spellStart"/>
            <w:r w:rsidRPr="00D35FF0">
              <w:rPr>
                <w:rFonts w:eastAsia="Arial"/>
                <w:i/>
              </w:rPr>
              <w:t>Assessment</w:t>
            </w:r>
            <w:proofErr w:type="spellEnd"/>
            <w:r w:rsidRPr="00D35FF0">
              <w:rPr>
                <w:rFonts w:eastAsia="Arial"/>
                <w:i/>
              </w:rPr>
              <w:t xml:space="preserve"> </w:t>
            </w:r>
            <w:proofErr w:type="spellStart"/>
            <w:r w:rsidRPr="00D35FF0">
              <w:rPr>
                <w:rFonts w:eastAsia="Arial"/>
                <w:i/>
              </w:rPr>
              <w:t>agency</w:t>
            </w:r>
            <w:proofErr w:type="spellEnd"/>
            <w:r w:rsidRPr="00D35FF0">
              <w:rPr>
                <w:rFonts w:eastAsia="Arial"/>
                <w:i/>
              </w:rPr>
              <w:t>, CADTH</w:t>
            </w:r>
            <w:r w:rsidRPr="00D35FF0">
              <w:rPr>
                <w:rFonts w:eastAsia="Arial"/>
              </w:rPr>
              <w:t>)</w:t>
            </w:r>
          </w:p>
        </w:tc>
        <w:tc>
          <w:tcPr>
            <w:tcW w:w="1851" w:type="dxa"/>
          </w:tcPr>
          <w:p w14:paraId="762649FE" w14:textId="77777777" w:rsidR="00457408" w:rsidRPr="00D35FF0" w:rsidRDefault="00F01DBF" w:rsidP="00824B92">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457408" w:rsidRPr="00D35FF0">
                  <w:rPr>
                    <w:rStyle w:val="Style2"/>
                    <w:rFonts w:ascii="Segoe UI Symbol" w:eastAsia="MS Gothic" w:hAnsi="Segoe UI Symbol" w:cs="Segoe UI Symbol"/>
                    <w:sz w:val="24"/>
                  </w:rPr>
                  <w:t>☐</w:t>
                </w:r>
              </w:sdtContent>
            </w:sdt>
            <w:r w:rsidR="00457408" w:rsidRPr="00D35FF0">
              <w:t xml:space="preserve"> Taip</w:t>
            </w:r>
          </w:p>
          <w:p w14:paraId="35F17B07" w14:textId="51BB1660" w:rsidR="00457408" w:rsidRPr="00D35FF0" w:rsidRDefault="00F01DBF" w:rsidP="00824B92">
            <w:sdt>
              <w:sdtPr>
                <w:rPr>
                  <w:rStyle w:val="Style2"/>
                  <w:sz w:val="24"/>
                </w:rPr>
                <w:id w:val="594442222"/>
                <w15:color w:val="FFCC00"/>
                <w14:checkbox>
                  <w14:checked w14:val="1"/>
                  <w14:checkedState w14:val="2612" w14:font="MS Gothic"/>
                  <w14:uncheckedState w14:val="2610" w14:font="MS Gothic"/>
                </w14:checkbox>
              </w:sdtPr>
              <w:sdtEndPr>
                <w:rPr>
                  <w:rStyle w:val="Style2"/>
                </w:rPr>
              </w:sdtEndPr>
              <w:sdtContent>
                <w:r w:rsidR="00457408" w:rsidRPr="00D35FF0">
                  <w:rPr>
                    <w:rStyle w:val="Style2"/>
                    <w:rFonts w:ascii="MS Gothic" w:eastAsia="MS Gothic" w:hAnsi="MS Gothic"/>
                    <w:sz w:val="24"/>
                  </w:rPr>
                  <w:t>☒</w:t>
                </w:r>
              </w:sdtContent>
            </w:sdt>
            <w:r w:rsidR="00457408" w:rsidRPr="00D35FF0">
              <w:t xml:space="preserve"> Ne</w:t>
            </w:r>
          </w:p>
          <w:p w14:paraId="0C0988CC" w14:textId="77777777" w:rsidR="00457408" w:rsidRPr="00D35FF0" w:rsidRDefault="00F01DBF" w:rsidP="00824B92">
            <w:pPr>
              <w:rPr>
                <w:rFonts w:eastAsia="Arial"/>
              </w:rPr>
            </w:pPr>
            <w:sdt>
              <w:sdtPr>
                <w:alias w:val="Nurodykite konkrečią dieną"/>
                <w:tag w:val="Nurodykite pradžios datą"/>
                <w:id w:val="1072468416"/>
                <w:placeholder>
                  <w:docPart w:val="275776653012462084C793A0DD0DB2D8"/>
                </w:placeholder>
                <w:showingPlcHdr/>
                <w15:color w:val="FFCC99"/>
                <w:date w:fullDate="2022-05-18T00:00:00Z">
                  <w:dateFormat w:val="yyyy 'm.' MMMM d 'd.'"/>
                  <w:lid w:val="lt-LT"/>
                  <w:storeMappedDataAs w:val="dateTime"/>
                  <w:calendar w:val="gregorian"/>
                </w:date>
              </w:sdtPr>
              <w:sdtEndPr/>
              <w:sdtContent>
                <w:r w:rsidR="00457408" w:rsidRPr="00D35FF0">
                  <w:rPr>
                    <w:rStyle w:val="Vietosrezervavimoenklotekstas"/>
                  </w:rPr>
                  <w:t>Click here to enter a date.</w:t>
                </w:r>
              </w:sdtContent>
            </w:sdt>
          </w:p>
        </w:tc>
        <w:tc>
          <w:tcPr>
            <w:tcW w:w="4787" w:type="dxa"/>
            <w:gridSpan w:val="2"/>
          </w:tcPr>
          <w:p w14:paraId="5C8CB330" w14:textId="65FE4660" w:rsidR="00457408" w:rsidRPr="00D35FF0" w:rsidRDefault="00FE7C73" w:rsidP="008E0140">
            <w:pPr>
              <w:rPr>
                <w:rFonts w:eastAsia="Arial"/>
              </w:rPr>
            </w:pPr>
            <w:r w:rsidRPr="00D35FF0">
              <w:t>N</w:t>
            </w:r>
            <w:r w:rsidR="00457408" w:rsidRPr="00D35FF0">
              <w:t>ekompensuojamas</w:t>
            </w:r>
            <w:r w:rsidRPr="00D35FF0">
              <w:t xml:space="preserve"> </w:t>
            </w:r>
            <w:proofErr w:type="spellStart"/>
            <w:r w:rsidRPr="00D35FF0">
              <w:t>neradiografiniam</w:t>
            </w:r>
            <w:proofErr w:type="spellEnd"/>
            <w:r w:rsidRPr="00D35FF0">
              <w:t xml:space="preserve"> ašiniam </w:t>
            </w:r>
            <w:proofErr w:type="spellStart"/>
            <w:r w:rsidRPr="00D35FF0">
              <w:t>spondiloartritui</w:t>
            </w:r>
            <w:proofErr w:type="spellEnd"/>
            <w:r w:rsidRPr="00D35FF0">
              <w:t xml:space="preserve"> (</w:t>
            </w:r>
            <w:proofErr w:type="spellStart"/>
            <w:r w:rsidR="008E0140" w:rsidRPr="00D35FF0">
              <w:t>N</w:t>
            </w:r>
            <w:r w:rsidRPr="00D35FF0">
              <w:t>r-aSpA</w:t>
            </w:r>
            <w:proofErr w:type="spellEnd"/>
            <w:r w:rsidRPr="00D35FF0">
              <w:t>) gydyti (M46.8)</w:t>
            </w:r>
          </w:p>
        </w:tc>
      </w:tr>
      <w:tr w:rsidR="00FE7C73" w:rsidRPr="00D35FF0" w14:paraId="21C94D47" w14:textId="77777777" w:rsidTr="00152790">
        <w:trPr>
          <w:trHeight w:val="2160"/>
        </w:trPr>
        <w:tc>
          <w:tcPr>
            <w:tcW w:w="2855" w:type="dxa"/>
          </w:tcPr>
          <w:p w14:paraId="02F45BB8" w14:textId="77777777" w:rsidR="00FE7C73" w:rsidRPr="00D35FF0" w:rsidRDefault="00FE7C73" w:rsidP="00FE7C73">
            <w:pPr>
              <w:rPr>
                <w:rFonts w:eastAsia="Arial"/>
              </w:rPr>
            </w:pPr>
            <w:r w:rsidRPr="00D35FF0">
              <w:rPr>
                <w:rFonts w:eastAsia="Arial"/>
              </w:rPr>
              <w:t xml:space="preserve">Nacionalinis </w:t>
            </w:r>
            <w:proofErr w:type="spellStart"/>
            <w:r w:rsidRPr="00D35FF0">
              <w:rPr>
                <w:rFonts w:eastAsia="Arial"/>
              </w:rPr>
              <w:t>farmakoekonomikos</w:t>
            </w:r>
            <w:proofErr w:type="spellEnd"/>
            <w:r w:rsidRPr="00D35FF0">
              <w:rPr>
                <w:rFonts w:eastAsia="Arial"/>
              </w:rPr>
              <w:t xml:space="preserve"> centras, Airija</w:t>
            </w:r>
          </w:p>
          <w:p w14:paraId="736F5072" w14:textId="77777777" w:rsidR="00FE7C73" w:rsidRPr="00D35FF0" w:rsidRDefault="00FE7C73" w:rsidP="00FE7C73">
            <w:pPr>
              <w:rPr>
                <w:rFonts w:eastAsia="Arial"/>
              </w:rPr>
            </w:pPr>
            <w:r w:rsidRPr="00D35FF0">
              <w:rPr>
                <w:rFonts w:eastAsia="Arial"/>
              </w:rPr>
              <w:t>(angl.</w:t>
            </w:r>
            <w:r w:rsidRPr="00D35FF0">
              <w:rPr>
                <w:rFonts w:eastAsia="Arial"/>
                <w:i/>
              </w:rPr>
              <w:t xml:space="preserve"> </w:t>
            </w:r>
            <w:proofErr w:type="spellStart"/>
            <w:r w:rsidRPr="00D35FF0">
              <w:rPr>
                <w:rFonts w:eastAsia="Arial"/>
                <w:i/>
              </w:rPr>
              <w:t>National</w:t>
            </w:r>
            <w:proofErr w:type="spellEnd"/>
            <w:r w:rsidRPr="00D35FF0">
              <w:rPr>
                <w:rFonts w:eastAsia="Arial"/>
                <w:i/>
              </w:rPr>
              <w:t xml:space="preserve"> Centre </w:t>
            </w:r>
            <w:proofErr w:type="spellStart"/>
            <w:r w:rsidRPr="00D35FF0">
              <w:rPr>
                <w:rFonts w:eastAsia="Arial"/>
                <w:i/>
              </w:rPr>
              <w:t>for</w:t>
            </w:r>
            <w:proofErr w:type="spellEnd"/>
            <w:r w:rsidRPr="00D35FF0">
              <w:rPr>
                <w:rFonts w:eastAsia="Arial"/>
                <w:i/>
              </w:rPr>
              <w:t xml:space="preserve"> </w:t>
            </w:r>
            <w:proofErr w:type="spellStart"/>
            <w:r w:rsidRPr="00D35FF0">
              <w:rPr>
                <w:rFonts w:eastAsia="Arial"/>
                <w:i/>
              </w:rPr>
              <w:t>Pharmacoeconomics</w:t>
            </w:r>
            <w:proofErr w:type="spellEnd"/>
            <w:r w:rsidRPr="00D35FF0">
              <w:rPr>
                <w:rFonts w:eastAsia="Arial"/>
                <w:i/>
              </w:rPr>
              <w:t>, NCPE</w:t>
            </w:r>
            <w:r w:rsidRPr="00D35FF0">
              <w:rPr>
                <w:rFonts w:eastAsia="Arial"/>
              </w:rPr>
              <w:t>)</w:t>
            </w:r>
          </w:p>
        </w:tc>
        <w:tc>
          <w:tcPr>
            <w:tcW w:w="1851" w:type="dxa"/>
          </w:tcPr>
          <w:p w14:paraId="106E24DF" w14:textId="77777777" w:rsidR="00FE7C73" w:rsidRPr="00D35FF0" w:rsidRDefault="00F01DBF" w:rsidP="00FE7C73">
            <w:sdt>
              <w:sdtPr>
                <w:rPr>
                  <w:rStyle w:val="Style2"/>
                  <w:sz w:val="24"/>
                </w:rPr>
                <w:id w:val="-1888403732"/>
                <w15:color w:val="FFCC00"/>
                <w14:checkbox>
                  <w14:checked w14:val="0"/>
                  <w14:checkedState w14:val="2612" w14:font="MS Gothic"/>
                  <w14:uncheckedState w14:val="2610" w14:font="MS Gothic"/>
                </w14:checkbox>
              </w:sdtPr>
              <w:sdtEndPr>
                <w:rPr>
                  <w:rStyle w:val="Style2"/>
                </w:rPr>
              </w:sdtEndPr>
              <w:sdtContent>
                <w:r w:rsidR="00FE7C73" w:rsidRPr="00D35FF0">
                  <w:rPr>
                    <w:rStyle w:val="Style2"/>
                    <w:rFonts w:ascii="Segoe UI Symbol" w:eastAsia="MS Gothic" w:hAnsi="Segoe UI Symbol" w:cs="Segoe UI Symbol"/>
                    <w:sz w:val="24"/>
                  </w:rPr>
                  <w:t>☐</w:t>
                </w:r>
              </w:sdtContent>
            </w:sdt>
            <w:r w:rsidR="00FE7C73" w:rsidRPr="00D35FF0">
              <w:t xml:space="preserve"> Taip</w:t>
            </w:r>
          </w:p>
          <w:p w14:paraId="6C89485D" w14:textId="4F4750B7" w:rsidR="00FE7C73" w:rsidRPr="00D35FF0" w:rsidRDefault="00F01DBF" w:rsidP="00FE7C73">
            <w:sdt>
              <w:sdtPr>
                <w:rPr>
                  <w:rStyle w:val="Style2"/>
                  <w:sz w:val="24"/>
                </w:rPr>
                <w:id w:val="1092201793"/>
                <w15:color w:val="FFCC00"/>
                <w14:checkbox>
                  <w14:checked w14:val="1"/>
                  <w14:checkedState w14:val="2612" w14:font="MS Gothic"/>
                  <w14:uncheckedState w14:val="2610" w14:font="MS Gothic"/>
                </w14:checkbox>
              </w:sdtPr>
              <w:sdtEndPr>
                <w:rPr>
                  <w:rStyle w:val="Style2"/>
                </w:rPr>
              </w:sdtEndPr>
              <w:sdtContent>
                <w:r w:rsidR="00FE7C73" w:rsidRPr="00D35FF0">
                  <w:rPr>
                    <w:rStyle w:val="Style2"/>
                    <w:rFonts w:ascii="MS Gothic" w:eastAsia="MS Gothic" w:hAnsi="MS Gothic"/>
                    <w:sz w:val="24"/>
                  </w:rPr>
                  <w:t>☒</w:t>
                </w:r>
              </w:sdtContent>
            </w:sdt>
            <w:r w:rsidR="00FE7C73" w:rsidRPr="00D35FF0">
              <w:t xml:space="preserve"> Ne</w:t>
            </w:r>
          </w:p>
          <w:p w14:paraId="69AA1151" w14:textId="77777777" w:rsidR="00FE7C73" w:rsidRPr="00D35FF0" w:rsidRDefault="00F01DBF" w:rsidP="00FE7C73">
            <w:pPr>
              <w:rPr>
                <w:rFonts w:eastAsia="Arial"/>
              </w:rPr>
            </w:pPr>
            <w:sdt>
              <w:sdtPr>
                <w:alias w:val="Nurodykite konkrečią dieną"/>
                <w:tag w:val="Nurodykite pradžios datą"/>
                <w:id w:val="-198323198"/>
                <w:placeholder>
                  <w:docPart w:val="5F54170DA62F43E4A29373DA04B0CF6C"/>
                </w:placeholder>
                <w:showingPlcHdr/>
                <w15:color w:val="FFCC99"/>
                <w:date w:fullDate="2022-05-18T00:00:00Z">
                  <w:dateFormat w:val="yyyy 'm.' MMMM d 'd.'"/>
                  <w:lid w:val="lt-LT"/>
                  <w:storeMappedDataAs w:val="dateTime"/>
                  <w:calendar w:val="gregorian"/>
                </w:date>
              </w:sdtPr>
              <w:sdtEndPr/>
              <w:sdtContent>
                <w:r w:rsidR="00FE7C73" w:rsidRPr="00D35FF0">
                  <w:rPr>
                    <w:rStyle w:val="Vietosrezervavimoenklotekstas"/>
                  </w:rPr>
                  <w:t>Click here to enter a date.</w:t>
                </w:r>
              </w:sdtContent>
            </w:sdt>
          </w:p>
        </w:tc>
        <w:tc>
          <w:tcPr>
            <w:tcW w:w="4787" w:type="dxa"/>
            <w:gridSpan w:val="2"/>
          </w:tcPr>
          <w:p w14:paraId="60651AFD" w14:textId="463DC323" w:rsidR="00FE7C73" w:rsidRPr="00D35FF0" w:rsidRDefault="00FE7C73" w:rsidP="008E0140">
            <w:pPr>
              <w:rPr>
                <w:rFonts w:eastAsia="Arial"/>
              </w:rPr>
            </w:pPr>
            <w:r w:rsidRPr="00D35FF0">
              <w:t xml:space="preserve">Nekompensuojamas </w:t>
            </w:r>
            <w:proofErr w:type="spellStart"/>
            <w:r w:rsidRPr="00D35FF0">
              <w:t>neradiografiniam</w:t>
            </w:r>
            <w:proofErr w:type="spellEnd"/>
            <w:r w:rsidRPr="00D35FF0">
              <w:t xml:space="preserve"> ašiniam </w:t>
            </w:r>
            <w:proofErr w:type="spellStart"/>
            <w:r w:rsidRPr="00D35FF0">
              <w:t>spondiloartritui</w:t>
            </w:r>
            <w:proofErr w:type="spellEnd"/>
            <w:r w:rsidRPr="00D35FF0">
              <w:t xml:space="preserve"> (</w:t>
            </w:r>
            <w:proofErr w:type="spellStart"/>
            <w:r w:rsidR="008E0140" w:rsidRPr="00D35FF0">
              <w:t>N</w:t>
            </w:r>
            <w:r w:rsidRPr="00D35FF0">
              <w:t>r-aSpA</w:t>
            </w:r>
            <w:proofErr w:type="spellEnd"/>
            <w:r w:rsidRPr="00D35FF0">
              <w:t>) gydyti (M46.8)</w:t>
            </w:r>
          </w:p>
        </w:tc>
      </w:tr>
    </w:tbl>
    <w:p w14:paraId="2EB7FD31" w14:textId="461F6B0E" w:rsidR="007A2B68" w:rsidRPr="00D35FF0" w:rsidRDefault="007A2B68" w:rsidP="00E03C3F">
      <w:pPr>
        <w:pStyle w:val="Sraopastraipa"/>
        <w:tabs>
          <w:tab w:val="left" w:pos="426"/>
        </w:tabs>
        <w:ind w:left="0"/>
        <w:rPr>
          <w:b/>
          <w:bCs/>
          <w:caps/>
        </w:rPr>
      </w:pPr>
    </w:p>
    <w:p w14:paraId="5055E8A8" w14:textId="22340B76" w:rsidR="002E6F80" w:rsidRPr="00D35FF0" w:rsidRDefault="007A2B68" w:rsidP="00CB4038">
      <w:pPr>
        <w:rPr>
          <w:b/>
          <w:bCs/>
          <w:caps/>
        </w:rPr>
      </w:pPr>
      <w:r w:rsidRPr="00D35FF0">
        <w:rPr>
          <w:b/>
          <w:bCs/>
          <w:caps/>
        </w:rPr>
        <w:br w:type="page"/>
      </w:r>
      <w:r w:rsidR="00CC7832" w:rsidRPr="00D35FF0">
        <w:rPr>
          <w:b/>
          <w:bCs/>
          <w:caps/>
        </w:rPr>
        <w:lastRenderedPageBreak/>
        <w:t>Klinikinio vertinimo a</w:t>
      </w:r>
      <w:r w:rsidR="00D4485B" w:rsidRPr="00D35FF0">
        <w:rPr>
          <w:b/>
          <w:bCs/>
          <w:caps/>
        </w:rPr>
        <w:t>pibendrinimas</w:t>
      </w:r>
    </w:p>
    <w:p w14:paraId="67463961" w14:textId="77D9A6DB" w:rsidR="006D7D80" w:rsidRPr="00D35FF0" w:rsidRDefault="006D7D80" w:rsidP="009F1B3C">
      <w:pPr>
        <w:spacing w:after="120"/>
        <w:jc w:val="both"/>
        <w:rPr>
          <w:color w:val="000000"/>
          <w:lang w:eastAsia="lt-LT"/>
        </w:rPr>
      </w:pPr>
    </w:p>
    <w:p w14:paraId="74BBCFD5" w14:textId="210533F6" w:rsidR="00AB2D20" w:rsidRPr="00D35FF0" w:rsidRDefault="006D7D80" w:rsidP="006D7D80">
      <w:pPr>
        <w:tabs>
          <w:tab w:val="left" w:pos="426"/>
        </w:tabs>
        <w:jc w:val="both"/>
        <w:rPr>
          <w:color w:val="000000"/>
          <w:lang w:eastAsia="lt-LT"/>
        </w:rPr>
      </w:pPr>
      <w:r w:rsidRPr="00D35FF0">
        <w:rPr>
          <w:color w:val="000000"/>
          <w:lang w:eastAsia="lt-LT"/>
        </w:rPr>
        <w:tab/>
      </w:r>
      <w:r w:rsidR="00AB2D20" w:rsidRPr="00D35FF0">
        <w:rPr>
          <w:color w:val="000000"/>
          <w:lang w:eastAsia="lt-LT"/>
        </w:rPr>
        <w:tab/>
      </w:r>
      <w:proofErr w:type="spellStart"/>
      <w:r w:rsidR="00300EC2" w:rsidRPr="00D35FF0">
        <w:rPr>
          <w:color w:val="000000"/>
          <w:lang w:eastAsia="lt-LT"/>
        </w:rPr>
        <w:t>N</w:t>
      </w:r>
      <w:r w:rsidR="00300EC2" w:rsidRPr="00D35FF0">
        <w:t>eradiografinis</w:t>
      </w:r>
      <w:proofErr w:type="spellEnd"/>
      <w:r w:rsidR="00300EC2" w:rsidRPr="00D35FF0">
        <w:t xml:space="preserve"> ašinis </w:t>
      </w:r>
      <w:proofErr w:type="spellStart"/>
      <w:r w:rsidR="00300EC2" w:rsidRPr="00D35FF0">
        <w:t>spondiloartritas</w:t>
      </w:r>
      <w:proofErr w:type="spellEnd"/>
      <w:r w:rsidR="00300EC2" w:rsidRPr="00D35FF0">
        <w:t xml:space="preserve"> (</w:t>
      </w:r>
      <w:proofErr w:type="spellStart"/>
      <w:r w:rsidRPr="00D35FF0">
        <w:rPr>
          <w:color w:val="000000"/>
          <w:lang w:eastAsia="lt-LT"/>
        </w:rPr>
        <w:t>Nr-axSpA</w:t>
      </w:r>
      <w:proofErr w:type="spellEnd"/>
      <w:r w:rsidR="00300EC2" w:rsidRPr="00D35FF0">
        <w:rPr>
          <w:color w:val="000000"/>
          <w:lang w:eastAsia="lt-LT"/>
        </w:rPr>
        <w:t>)</w:t>
      </w:r>
      <w:r w:rsidRPr="00D35FF0">
        <w:rPr>
          <w:color w:val="000000"/>
          <w:lang w:eastAsia="lt-LT"/>
        </w:rPr>
        <w:t xml:space="preserve"> – tai lėtinė uždegiminė liga, pažeidžianti </w:t>
      </w:r>
      <w:proofErr w:type="spellStart"/>
      <w:r w:rsidR="00D35FF0">
        <w:rPr>
          <w:color w:val="000000"/>
          <w:lang w:eastAsia="lt-LT"/>
        </w:rPr>
        <w:t>kryžmeninius</w:t>
      </w:r>
      <w:proofErr w:type="spellEnd"/>
      <w:r w:rsidR="00D35FF0">
        <w:rPr>
          <w:color w:val="000000"/>
          <w:lang w:eastAsia="lt-LT"/>
        </w:rPr>
        <w:t xml:space="preserve"> klubo </w:t>
      </w:r>
      <w:r w:rsidRPr="00D35FF0">
        <w:rPr>
          <w:color w:val="000000"/>
          <w:lang w:eastAsia="lt-LT"/>
        </w:rPr>
        <w:t xml:space="preserve">sąnarius ir stuburą, o kai kuriais atvejais – ir periferinius sąnarius arba vidaus organus (akis, žarnyną, širdį). Pagrindinis ašinio </w:t>
      </w:r>
      <w:proofErr w:type="spellStart"/>
      <w:r w:rsidRPr="00D35FF0">
        <w:rPr>
          <w:color w:val="000000"/>
          <w:lang w:eastAsia="lt-LT"/>
        </w:rPr>
        <w:t>spondiloartrito</w:t>
      </w:r>
      <w:proofErr w:type="spellEnd"/>
      <w:r w:rsidRPr="00D35FF0">
        <w:rPr>
          <w:color w:val="000000"/>
          <w:lang w:eastAsia="lt-LT"/>
        </w:rPr>
        <w:t xml:space="preserve"> požymis – </w:t>
      </w:r>
      <w:proofErr w:type="spellStart"/>
      <w:r w:rsidR="00D35FF0">
        <w:rPr>
          <w:color w:val="000000"/>
          <w:lang w:eastAsia="lt-LT"/>
        </w:rPr>
        <w:t>kryžmeninių</w:t>
      </w:r>
      <w:proofErr w:type="spellEnd"/>
      <w:r w:rsidR="00D35FF0">
        <w:rPr>
          <w:color w:val="000000"/>
          <w:lang w:eastAsia="lt-LT"/>
        </w:rPr>
        <w:t xml:space="preserve"> klubo</w:t>
      </w:r>
      <w:r w:rsidRPr="00D35FF0">
        <w:rPr>
          <w:color w:val="000000"/>
          <w:lang w:eastAsia="lt-LT"/>
        </w:rPr>
        <w:t xml:space="preserve"> sąnarių bei stuburo uždegimas, sukeliantys nugaros skausmą ir sąstingį. Daliai </w:t>
      </w:r>
      <w:r w:rsidR="00455A2F" w:rsidRPr="00D35FF0">
        <w:rPr>
          <w:color w:val="000000"/>
          <w:lang w:eastAsia="lt-LT"/>
        </w:rPr>
        <w:t>sergančiųjų</w:t>
      </w:r>
      <w:r w:rsidRPr="00D35FF0">
        <w:rPr>
          <w:color w:val="000000"/>
          <w:lang w:eastAsia="lt-LT"/>
        </w:rPr>
        <w:t xml:space="preserve"> vėliau išsivysto osifikacija. Sunkiais atvejais formuojasi </w:t>
      </w:r>
      <w:proofErr w:type="spellStart"/>
      <w:r w:rsidR="00D35FF0">
        <w:rPr>
          <w:color w:val="000000"/>
          <w:lang w:eastAsia="lt-LT"/>
        </w:rPr>
        <w:t>kryžmeninių</w:t>
      </w:r>
      <w:proofErr w:type="spellEnd"/>
      <w:r w:rsidR="00D35FF0">
        <w:rPr>
          <w:color w:val="000000"/>
          <w:lang w:eastAsia="lt-LT"/>
        </w:rPr>
        <w:t xml:space="preserve"> klubo</w:t>
      </w:r>
      <w:r w:rsidRPr="00D35FF0">
        <w:rPr>
          <w:color w:val="000000"/>
          <w:lang w:eastAsia="lt-LT"/>
        </w:rPr>
        <w:t xml:space="preserve"> ir stuburo sąnarių </w:t>
      </w:r>
      <w:proofErr w:type="spellStart"/>
      <w:r w:rsidRPr="00D35FF0">
        <w:rPr>
          <w:color w:val="000000"/>
          <w:lang w:eastAsia="lt-LT"/>
        </w:rPr>
        <w:t>ankilozė</w:t>
      </w:r>
      <w:proofErr w:type="spellEnd"/>
      <w:r w:rsidRPr="00D35FF0">
        <w:rPr>
          <w:color w:val="000000"/>
          <w:lang w:eastAsia="lt-LT"/>
        </w:rPr>
        <w:t xml:space="preserve">, </w:t>
      </w:r>
      <w:proofErr w:type="spellStart"/>
      <w:r w:rsidRPr="00D35FF0">
        <w:rPr>
          <w:color w:val="000000"/>
          <w:lang w:eastAsia="lt-LT"/>
        </w:rPr>
        <w:t>sindesmofitai</w:t>
      </w:r>
      <w:proofErr w:type="spellEnd"/>
      <w:r w:rsidRPr="00D35FF0">
        <w:rPr>
          <w:color w:val="000000"/>
          <w:lang w:eastAsia="lt-LT"/>
        </w:rPr>
        <w:t xml:space="preserve">, stuburo raiščių </w:t>
      </w:r>
      <w:proofErr w:type="spellStart"/>
      <w:r w:rsidRPr="00D35FF0">
        <w:rPr>
          <w:color w:val="000000"/>
          <w:lang w:eastAsia="lt-LT"/>
        </w:rPr>
        <w:t>kalcifikacija</w:t>
      </w:r>
      <w:proofErr w:type="spellEnd"/>
      <w:r w:rsidRPr="00D35FF0">
        <w:rPr>
          <w:color w:val="000000"/>
          <w:lang w:eastAsia="lt-LT"/>
        </w:rPr>
        <w:t xml:space="preserve">, sukeliantys visišką stuburo </w:t>
      </w:r>
      <w:proofErr w:type="spellStart"/>
      <w:r w:rsidRPr="00D35FF0">
        <w:rPr>
          <w:color w:val="000000"/>
          <w:lang w:eastAsia="lt-LT"/>
        </w:rPr>
        <w:t>nejudrumą</w:t>
      </w:r>
      <w:proofErr w:type="spellEnd"/>
      <w:r w:rsidRPr="00D35FF0">
        <w:rPr>
          <w:color w:val="000000"/>
          <w:lang w:eastAsia="lt-LT"/>
        </w:rPr>
        <w:t xml:space="preserve">. </w:t>
      </w:r>
      <w:proofErr w:type="spellStart"/>
      <w:r w:rsidRPr="00D35FF0">
        <w:rPr>
          <w:color w:val="000000"/>
          <w:lang w:eastAsia="lt-LT"/>
        </w:rPr>
        <w:t>Nr-axSpA</w:t>
      </w:r>
      <w:proofErr w:type="spellEnd"/>
      <w:r w:rsidRPr="00D35FF0">
        <w:rPr>
          <w:color w:val="000000"/>
          <w:lang w:eastAsia="lt-LT"/>
        </w:rPr>
        <w:t xml:space="preserve"> ir </w:t>
      </w:r>
      <w:proofErr w:type="spellStart"/>
      <w:r w:rsidR="005A041A" w:rsidRPr="00D35FF0">
        <w:rPr>
          <w:color w:val="000000"/>
          <w:lang w:eastAsia="lt-LT"/>
        </w:rPr>
        <w:t>Ankilozinis</w:t>
      </w:r>
      <w:proofErr w:type="spellEnd"/>
      <w:r w:rsidR="005A041A" w:rsidRPr="00D35FF0">
        <w:rPr>
          <w:color w:val="000000"/>
          <w:lang w:eastAsia="lt-LT"/>
        </w:rPr>
        <w:t xml:space="preserve"> </w:t>
      </w:r>
      <w:proofErr w:type="spellStart"/>
      <w:r w:rsidR="005A041A" w:rsidRPr="00D35FF0">
        <w:rPr>
          <w:color w:val="000000"/>
          <w:lang w:eastAsia="lt-LT"/>
        </w:rPr>
        <w:t>spondilitas</w:t>
      </w:r>
      <w:proofErr w:type="spellEnd"/>
      <w:r w:rsidR="005A041A" w:rsidRPr="00D35FF0">
        <w:rPr>
          <w:color w:val="000000"/>
          <w:lang w:eastAsia="lt-LT"/>
        </w:rPr>
        <w:t xml:space="preserve"> (</w:t>
      </w:r>
      <w:r w:rsidRPr="00D35FF0">
        <w:rPr>
          <w:color w:val="000000"/>
          <w:lang w:eastAsia="lt-LT"/>
        </w:rPr>
        <w:t>AS</w:t>
      </w:r>
      <w:r w:rsidR="005A041A" w:rsidRPr="00D35FF0">
        <w:rPr>
          <w:color w:val="000000"/>
          <w:lang w:eastAsia="lt-LT"/>
        </w:rPr>
        <w:t>)</w:t>
      </w:r>
      <w:r w:rsidRPr="00D35FF0">
        <w:rPr>
          <w:color w:val="000000"/>
          <w:lang w:eastAsia="lt-LT"/>
        </w:rPr>
        <w:t xml:space="preserve"> sergantieji nežymiai skiriasi ligos sukeliama negalia, amžiumi, HLA-B27 antigeno paplitimu. Tačiau tarp sergančiųjų </w:t>
      </w:r>
      <w:proofErr w:type="spellStart"/>
      <w:r w:rsidR="004C2DE5" w:rsidRPr="00D35FF0">
        <w:rPr>
          <w:color w:val="000000"/>
          <w:lang w:eastAsia="lt-LT"/>
        </w:rPr>
        <w:t>N</w:t>
      </w:r>
      <w:r w:rsidRPr="00D35FF0">
        <w:rPr>
          <w:color w:val="000000"/>
          <w:lang w:eastAsia="lt-LT"/>
        </w:rPr>
        <w:t>r-axSpA</w:t>
      </w:r>
      <w:proofErr w:type="spellEnd"/>
      <w:r w:rsidRPr="00D35FF0">
        <w:rPr>
          <w:color w:val="000000"/>
          <w:lang w:eastAsia="lt-LT"/>
        </w:rPr>
        <w:t xml:space="preserve"> didesnė dalis moterų, o padidėjęs CRB dažniau nustatomas sergantiesiems </w:t>
      </w:r>
      <w:proofErr w:type="spellStart"/>
      <w:r w:rsidRPr="00D35FF0">
        <w:rPr>
          <w:color w:val="000000"/>
          <w:lang w:eastAsia="lt-LT"/>
        </w:rPr>
        <w:t>ankiloziniu</w:t>
      </w:r>
      <w:proofErr w:type="spellEnd"/>
      <w:r w:rsidRPr="00D35FF0">
        <w:rPr>
          <w:color w:val="000000"/>
          <w:lang w:eastAsia="lt-LT"/>
        </w:rPr>
        <w:t xml:space="preserve"> </w:t>
      </w:r>
      <w:proofErr w:type="spellStart"/>
      <w:r w:rsidRPr="00D35FF0">
        <w:rPr>
          <w:color w:val="000000"/>
          <w:lang w:eastAsia="lt-LT"/>
        </w:rPr>
        <w:t>spondiloartritu</w:t>
      </w:r>
      <w:proofErr w:type="spellEnd"/>
      <w:r w:rsidRPr="00D35FF0">
        <w:rPr>
          <w:color w:val="000000"/>
          <w:lang w:eastAsia="lt-LT"/>
        </w:rPr>
        <w:t xml:space="preserve">. Ne visais atvejais </w:t>
      </w:r>
      <w:proofErr w:type="spellStart"/>
      <w:r w:rsidR="00D35FF0">
        <w:rPr>
          <w:color w:val="000000"/>
          <w:lang w:eastAsia="lt-LT"/>
        </w:rPr>
        <w:t>kryžmeniniuose</w:t>
      </w:r>
      <w:proofErr w:type="spellEnd"/>
      <w:r w:rsidR="00D35FF0">
        <w:rPr>
          <w:color w:val="000000"/>
          <w:lang w:eastAsia="lt-LT"/>
        </w:rPr>
        <w:t xml:space="preserve"> klubo </w:t>
      </w:r>
      <w:r w:rsidRPr="00D35FF0">
        <w:rPr>
          <w:color w:val="000000"/>
          <w:lang w:eastAsia="lt-LT"/>
        </w:rPr>
        <w:t xml:space="preserve">sąnariuose prasidėjęs </w:t>
      </w:r>
      <w:r w:rsidR="004C2DE5" w:rsidRPr="00D35FF0">
        <w:rPr>
          <w:color w:val="000000"/>
          <w:lang w:eastAsia="lt-LT"/>
        </w:rPr>
        <w:t>uždegimas progresuoja, sukeldama</w:t>
      </w:r>
      <w:r w:rsidRPr="00D35FF0">
        <w:rPr>
          <w:color w:val="000000"/>
          <w:lang w:eastAsia="lt-LT"/>
        </w:rPr>
        <w:t>s minėtus struktūrinius pokyčius. Žinoma, kad vyrišk</w:t>
      </w:r>
      <w:r w:rsidR="00722889">
        <w:rPr>
          <w:color w:val="000000"/>
          <w:lang w:eastAsia="lt-LT"/>
        </w:rPr>
        <w:t>a</w:t>
      </w:r>
      <w:r w:rsidRPr="00D35FF0">
        <w:rPr>
          <w:color w:val="000000"/>
          <w:lang w:eastAsia="lt-LT"/>
        </w:rPr>
        <w:t xml:space="preserve"> lytis, aukštas CRB, rūkymas yra struktūrinių pokyčių progresavimo rizikos veiksniai.</w:t>
      </w:r>
    </w:p>
    <w:p w14:paraId="4635ACAB" w14:textId="45FE3E70" w:rsidR="00300EC2" w:rsidRPr="00D35FF0" w:rsidRDefault="00AB2D20" w:rsidP="006D7D80">
      <w:pPr>
        <w:tabs>
          <w:tab w:val="left" w:pos="426"/>
        </w:tabs>
        <w:jc w:val="both"/>
        <w:rPr>
          <w:color w:val="000000"/>
          <w:lang w:eastAsia="lt-LT"/>
        </w:rPr>
      </w:pPr>
      <w:r w:rsidRPr="00D35FF0">
        <w:rPr>
          <w:color w:val="000000"/>
          <w:lang w:eastAsia="lt-LT"/>
        </w:rPr>
        <w:tab/>
      </w:r>
      <w:proofErr w:type="spellStart"/>
      <w:r w:rsidRPr="00D35FF0">
        <w:rPr>
          <w:color w:val="000000"/>
          <w:lang w:eastAsia="lt-LT"/>
        </w:rPr>
        <w:t>Spondiloartrito</w:t>
      </w:r>
      <w:proofErr w:type="spellEnd"/>
      <w:r w:rsidRPr="00D35FF0">
        <w:rPr>
          <w:color w:val="000000"/>
          <w:lang w:eastAsia="lt-LT"/>
        </w:rPr>
        <w:t xml:space="preserve"> vertinimo tarptautinė draugija  (angl. </w:t>
      </w:r>
      <w:proofErr w:type="spellStart"/>
      <w:r w:rsidRPr="00D35FF0">
        <w:rPr>
          <w:i/>
          <w:color w:val="000000"/>
          <w:lang w:eastAsia="lt-LT"/>
        </w:rPr>
        <w:t>Assessment</w:t>
      </w:r>
      <w:proofErr w:type="spellEnd"/>
      <w:r w:rsidRPr="00D35FF0">
        <w:rPr>
          <w:i/>
          <w:color w:val="000000"/>
          <w:lang w:eastAsia="lt-LT"/>
        </w:rPr>
        <w:t xml:space="preserve"> </w:t>
      </w:r>
      <w:proofErr w:type="spellStart"/>
      <w:r w:rsidRPr="00D35FF0">
        <w:rPr>
          <w:i/>
          <w:color w:val="000000"/>
          <w:lang w:eastAsia="lt-LT"/>
        </w:rPr>
        <w:t>of</w:t>
      </w:r>
      <w:proofErr w:type="spellEnd"/>
      <w:r w:rsidRPr="00D35FF0">
        <w:rPr>
          <w:i/>
          <w:color w:val="000000"/>
          <w:lang w:eastAsia="lt-LT"/>
        </w:rPr>
        <w:t xml:space="preserve"> </w:t>
      </w:r>
      <w:proofErr w:type="spellStart"/>
      <w:r w:rsidRPr="00D35FF0">
        <w:rPr>
          <w:i/>
          <w:color w:val="000000"/>
          <w:lang w:eastAsia="lt-LT"/>
        </w:rPr>
        <w:t>SpondyloArthritis</w:t>
      </w:r>
      <w:proofErr w:type="spellEnd"/>
      <w:r w:rsidRPr="00D35FF0">
        <w:rPr>
          <w:i/>
          <w:color w:val="000000"/>
          <w:lang w:eastAsia="lt-LT"/>
        </w:rPr>
        <w:t xml:space="preserve"> </w:t>
      </w:r>
      <w:proofErr w:type="spellStart"/>
      <w:r w:rsidRPr="00D35FF0">
        <w:rPr>
          <w:i/>
          <w:color w:val="000000"/>
          <w:lang w:eastAsia="lt-LT"/>
        </w:rPr>
        <w:t>international</w:t>
      </w:r>
      <w:proofErr w:type="spellEnd"/>
      <w:r w:rsidRPr="00D35FF0">
        <w:rPr>
          <w:i/>
          <w:color w:val="000000"/>
          <w:lang w:eastAsia="lt-LT"/>
        </w:rPr>
        <w:t xml:space="preserve"> </w:t>
      </w:r>
      <w:proofErr w:type="spellStart"/>
      <w:r w:rsidRPr="00D35FF0">
        <w:rPr>
          <w:i/>
          <w:color w:val="000000"/>
          <w:lang w:eastAsia="lt-LT"/>
        </w:rPr>
        <w:t>Society</w:t>
      </w:r>
      <w:proofErr w:type="spellEnd"/>
      <w:r w:rsidR="00D35FF0">
        <w:rPr>
          <w:i/>
          <w:color w:val="000000"/>
          <w:lang w:eastAsia="lt-LT"/>
        </w:rPr>
        <w:t>,</w:t>
      </w:r>
      <w:r w:rsidR="002651B0">
        <w:rPr>
          <w:color w:val="000000"/>
          <w:lang w:eastAsia="lt-LT"/>
        </w:rPr>
        <w:t xml:space="preserve"> ASAS</w:t>
      </w:r>
      <w:r w:rsidRPr="00D35FF0">
        <w:rPr>
          <w:color w:val="000000"/>
          <w:lang w:eastAsia="lt-LT"/>
        </w:rPr>
        <w:t xml:space="preserve">) </w:t>
      </w:r>
      <w:r w:rsidR="00300EC2" w:rsidRPr="00D35FF0">
        <w:rPr>
          <w:color w:val="000000"/>
          <w:lang w:eastAsia="lt-LT"/>
        </w:rPr>
        <w:t xml:space="preserve">siūlo, atsižvelgiant į vyraujančias klinikines išraiškas, skirstyti </w:t>
      </w:r>
      <w:proofErr w:type="spellStart"/>
      <w:r w:rsidR="00300EC2" w:rsidRPr="00D35FF0">
        <w:rPr>
          <w:color w:val="000000"/>
          <w:lang w:eastAsia="lt-LT"/>
        </w:rPr>
        <w:t>spondiloartritą</w:t>
      </w:r>
      <w:proofErr w:type="spellEnd"/>
      <w:r w:rsidR="00300EC2" w:rsidRPr="00D35FF0">
        <w:rPr>
          <w:color w:val="000000"/>
          <w:lang w:eastAsia="lt-LT"/>
        </w:rPr>
        <w:t xml:space="preserve"> į ašinį </w:t>
      </w:r>
      <w:proofErr w:type="spellStart"/>
      <w:r w:rsidR="00300EC2" w:rsidRPr="00D35FF0">
        <w:rPr>
          <w:color w:val="000000"/>
          <w:lang w:eastAsia="lt-LT"/>
        </w:rPr>
        <w:t>spondiloartritą</w:t>
      </w:r>
      <w:proofErr w:type="spellEnd"/>
      <w:r w:rsidR="00300EC2" w:rsidRPr="00D35FF0">
        <w:rPr>
          <w:color w:val="000000"/>
          <w:lang w:eastAsia="lt-LT"/>
        </w:rPr>
        <w:t xml:space="preserve"> (vyrauja </w:t>
      </w:r>
      <w:proofErr w:type="spellStart"/>
      <w:r w:rsidR="00D35FF0">
        <w:rPr>
          <w:color w:val="000000"/>
          <w:lang w:eastAsia="lt-LT"/>
        </w:rPr>
        <w:t>kryžmeninių</w:t>
      </w:r>
      <w:proofErr w:type="spellEnd"/>
      <w:r w:rsidR="00D35FF0">
        <w:rPr>
          <w:color w:val="000000"/>
          <w:lang w:eastAsia="lt-LT"/>
        </w:rPr>
        <w:t xml:space="preserve"> klubo</w:t>
      </w:r>
      <w:r w:rsidR="00300EC2" w:rsidRPr="00D35FF0">
        <w:rPr>
          <w:color w:val="000000"/>
          <w:lang w:eastAsia="lt-LT"/>
        </w:rPr>
        <w:t xml:space="preserve"> sąnarių ir stuburo uždegimas) bei periferinį </w:t>
      </w:r>
      <w:proofErr w:type="spellStart"/>
      <w:r w:rsidR="00300EC2" w:rsidRPr="00D35FF0">
        <w:rPr>
          <w:color w:val="000000"/>
          <w:lang w:eastAsia="lt-LT"/>
        </w:rPr>
        <w:t>spondiloartritą</w:t>
      </w:r>
      <w:proofErr w:type="spellEnd"/>
      <w:r w:rsidR="00300EC2" w:rsidRPr="00D35FF0">
        <w:rPr>
          <w:color w:val="000000"/>
          <w:lang w:eastAsia="lt-LT"/>
        </w:rPr>
        <w:t xml:space="preserve"> (vyrauja periferinis artritas, </w:t>
      </w:r>
      <w:proofErr w:type="spellStart"/>
      <w:r w:rsidR="00300EC2" w:rsidRPr="00D35FF0">
        <w:rPr>
          <w:color w:val="000000"/>
          <w:lang w:eastAsia="lt-LT"/>
        </w:rPr>
        <w:t>entezitas</w:t>
      </w:r>
      <w:proofErr w:type="spellEnd"/>
      <w:r w:rsidR="00300EC2" w:rsidRPr="00D35FF0">
        <w:rPr>
          <w:color w:val="000000"/>
          <w:lang w:eastAsia="lt-LT"/>
        </w:rPr>
        <w:t xml:space="preserve">, </w:t>
      </w:r>
      <w:proofErr w:type="spellStart"/>
      <w:r w:rsidR="00300EC2" w:rsidRPr="00D35FF0">
        <w:rPr>
          <w:color w:val="000000"/>
          <w:lang w:eastAsia="lt-LT"/>
        </w:rPr>
        <w:t>daktilitas</w:t>
      </w:r>
      <w:proofErr w:type="spellEnd"/>
      <w:r w:rsidR="00300EC2" w:rsidRPr="00D35FF0">
        <w:rPr>
          <w:color w:val="000000"/>
          <w:lang w:eastAsia="lt-LT"/>
        </w:rPr>
        <w:t>).</w:t>
      </w:r>
    </w:p>
    <w:p w14:paraId="17F71577" w14:textId="32BB9C97" w:rsidR="00300EC2" w:rsidRPr="00D35FF0" w:rsidRDefault="00D35FF0" w:rsidP="006D7D80">
      <w:pPr>
        <w:tabs>
          <w:tab w:val="left" w:pos="426"/>
        </w:tabs>
        <w:jc w:val="both"/>
        <w:rPr>
          <w:color w:val="000000"/>
          <w:lang w:eastAsia="lt-LT"/>
        </w:rPr>
      </w:pPr>
      <w:r>
        <w:rPr>
          <w:color w:val="000000"/>
          <w:lang w:eastAsia="lt-LT"/>
        </w:rPr>
        <w:tab/>
      </w:r>
      <w:r w:rsidR="00300EC2" w:rsidRPr="00D35FF0">
        <w:rPr>
          <w:color w:val="000000"/>
          <w:lang w:eastAsia="lt-LT"/>
        </w:rPr>
        <w:t xml:space="preserve">Lietuvos </w:t>
      </w:r>
      <w:proofErr w:type="spellStart"/>
      <w:r w:rsidR="00300EC2" w:rsidRPr="00D35FF0">
        <w:rPr>
          <w:color w:val="000000"/>
          <w:lang w:eastAsia="lt-LT"/>
        </w:rPr>
        <w:t>reumatologų</w:t>
      </w:r>
      <w:proofErr w:type="spellEnd"/>
      <w:r w:rsidR="00300EC2" w:rsidRPr="00D35FF0">
        <w:rPr>
          <w:color w:val="000000"/>
          <w:lang w:eastAsia="lt-LT"/>
        </w:rPr>
        <w:t xml:space="preserve"> asociacijos ir SAM sutarimu naudojimas </w:t>
      </w:r>
      <w:proofErr w:type="spellStart"/>
      <w:r w:rsidR="00300EC2" w:rsidRPr="00D35FF0">
        <w:rPr>
          <w:color w:val="000000"/>
          <w:lang w:eastAsia="lt-LT"/>
        </w:rPr>
        <w:t>n</w:t>
      </w:r>
      <w:r w:rsidR="00300EC2" w:rsidRPr="00D35FF0">
        <w:t>eradiografiniam</w:t>
      </w:r>
      <w:proofErr w:type="spellEnd"/>
      <w:r w:rsidR="00300EC2" w:rsidRPr="00D35FF0">
        <w:t xml:space="preserve"> </w:t>
      </w:r>
      <w:proofErr w:type="spellStart"/>
      <w:r w:rsidR="00300EC2" w:rsidRPr="00D35FF0">
        <w:t>ašiniui</w:t>
      </w:r>
      <w:proofErr w:type="spellEnd"/>
      <w:r w:rsidR="00300EC2" w:rsidRPr="00D35FF0">
        <w:t xml:space="preserve"> </w:t>
      </w:r>
      <w:proofErr w:type="spellStart"/>
      <w:r w:rsidR="00300EC2" w:rsidRPr="00D35FF0">
        <w:t>spondiloartritui</w:t>
      </w:r>
      <w:proofErr w:type="spellEnd"/>
      <w:r w:rsidR="00300EC2" w:rsidRPr="00D35FF0">
        <w:t xml:space="preserve"> (</w:t>
      </w:r>
      <w:proofErr w:type="spellStart"/>
      <w:r w:rsidR="003D5BB9" w:rsidRPr="00D35FF0">
        <w:t>N</w:t>
      </w:r>
      <w:r w:rsidR="00300EC2" w:rsidRPr="00D35FF0">
        <w:t>r</w:t>
      </w:r>
      <w:proofErr w:type="spellEnd"/>
      <w:r w:rsidR="00300EC2" w:rsidRPr="00D35FF0">
        <w:t>–</w:t>
      </w:r>
      <w:proofErr w:type="spellStart"/>
      <w:r w:rsidR="00300EC2" w:rsidRPr="00D35FF0">
        <w:t>axSpA</w:t>
      </w:r>
      <w:proofErr w:type="spellEnd"/>
      <w:r w:rsidR="00300EC2" w:rsidRPr="00D35FF0">
        <w:t>) kodu</w:t>
      </w:r>
      <w:r w:rsidR="003D5BB9" w:rsidRPr="00D35FF0">
        <w:t>o</w:t>
      </w:r>
      <w:r w:rsidR="00300EC2" w:rsidRPr="00D35FF0">
        <w:t xml:space="preserve">ti naudojamas </w:t>
      </w:r>
      <w:r w:rsidR="00300EC2" w:rsidRPr="00D35FF0">
        <w:rPr>
          <w:color w:val="000000"/>
          <w:lang w:eastAsia="lt-LT"/>
        </w:rPr>
        <w:t>TLK kodas M</w:t>
      </w:r>
      <w:r w:rsidR="003D5BB9" w:rsidRPr="00D35FF0">
        <w:rPr>
          <w:color w:val="000000"/>
          <w:lang w:eastAsia="lt-LT"/>
        </w:rPr>
        <w:t xml:space="preserve"> </w:t>
      </w:r>
      <w:r w:rsidR="00300EC2" w:rsidRPr="00D35FF0">
        <w:rPr>
          <w:color w:val="000000"/>
          <w:lang w:eastAsia="lt-LT"/>
        </w:rPr>
        <w:t xml:space="preserve">46.8 Kitos patikslintos uždegiminės </w:t>
      </w:r>
      <w:proofErr w:type="spellStart"/>
      <w:r w:rsidR="00300EC2" w:rsidRPr="00D35FF0">
        <w:rPr>
          <w:color w:val="000000"/>
          <w:lang w:eastAsia="lt-LT"/>
        </w:rPr>
        <w:t>spondilopatijos</w:t>
      </w:r>
      <w:proofErr w:type="spellEnd"/>
      <w:r w:rsidR="00300EC2" w:rsidRPr="00D35FF0">
        <w:rPr>
          <w:color w:val="000000"/>
          <w:lang w:eastAsia="lt-LT"/>
        </w:rPr>
        <w:t>.</w:t>
      </w:r>
    </w:p>
    <w:p w14:paraId="7D64C0F9" w14:textId="1E608177" w:rsidR="006D7D80" w:rsidRPr="00D35FF0" w:rsidRDefault="006D7D80" w:rsidP="006D7D80">
      <w:pPr>
        <w:tabs>
          <w:tab w:val="left" w:pos="426"/>
        </w:tabs>
        <w:jc w:val="both"/>
        <w:rPr>
          <w:color w:val="000000"/>
          <w:lang w:eastAsia="lt-LT"/>
        </w:rPr>
      </w:pPr>
      <w:r w:rsidRPr="00D35FF0">
        <w:rPr>
          <w:color w:val="000000"/>
          <w:lang w:eastAsia="lt-LT"/>
        </w:rPr>
        <w:tab/>
        <w:t xml:space="preserve">Manoma, kad </w:t>
      </w:r>
      <w:proofErr w:type="spellStart"/>
      <w:r w:rsidRPr="00D35FF0">
        <w:rPr>
          <w:color w:val="000000"/>
          <w:lang w:eastAsia="lt-LT"/>
        </w:rPr>
        <w:t>Nr-axSpA</w:t>
      </w:r>
      <w:proofErr w:type="spellEnd"/>
      <w:r w:rsidRPr="00D35FF0">
        <w:rPr>
          <w:color w:val="000000"/>
          <w:lang w:eastAsia="lt-LT"/>
        </w:rPr>
        <w:t xml:space="preserve"> paplitimas Europoje yra apie 0,25 proc., apie 10 – 40 proc. pacientų, sergančių šia liga progresuoja į AS per 2–10 metų, o per gyvenimą AS progresavim</w:t>
      </w:r>
      <w:r w:rsidR="00300EC2" w:rsidRPr="00D35FF0">
        <w:rPr>
          <w:color w:val="000000"/>
          <w:lang w:eastAsia="lt-LT"/>
        </w:rPr>
        <w:t>o</w:t>
      </w:r>
      <w:r w:rsidRPr="00D35FF0">
        <w:rPr>
          <w:color w:val="000000"/>
          <w:lang w:eastAsia="lt-LT"/>
        </w:rPr>
        <w:t xml:space="preserve"> tikimybė </w:t>
      </w:r>
      <w:proofErr w:type="spellStart"/>
      <w:r w:rsidRPr="00D35FF0">
        <w:rPr>
          <w:color w:val="000000"/>
          <w:lang w:eastAsia="lt-LT"/>
        </w:rPr>
        <w:t>Nr-axSpA</w:t>
      </w:r>
      <w:proofErr w:type="spellEnd"/>
      <w:r w:rsidRPr="00D35FF0">
        <w:rPr>
          <w:color w:val="000000"/>
          <w:lang w:eastAsia="lt-LT"/>
        </w:rPr>
        <w:t xml:space="preserve"> sergantiems pacientams yra apie 50 proc. Remiantis Paraiškos duomenimis, 2020 metų pabaigoje bendrai Vilniaus, Kauno ir Klaipėdos universitetinėse ligoninėse buvo gydomi 102 </w:t>
      </w:r>
      <w:proofErr w:type="spellStart"/>
      <w:r w:rsidRPr="00D35FF0">
        <w:rPr>
          <w:color w:val="000000"/>
          <w:lang w:eastAsia="lt-LT"/>
        </w:rPr>
        <w:t>Nr-axSpA</w:t>
      </w:r>
      <w:proofErr w:type="spellEnd"/>
      <w:r w:rsidRPr="00D35FF0">
        <w:rPr>
          <w:color w:val="000000"/>
          <w:lang w:eastAsia="lt-LT"/>
        </w:rPr>
        <w:t xml:space="preserve"> sergantys pacientai. </w:t>
      </w:r>
    </w:p>
    <w:p w14:paraId="043BE879" w14:textId="5D90439C" w:rsidR="005A041A" w:rsidRPr="00D35FF0" w:rsidRDefault="006D7D80" w:rsidP="006D7D80">
      <w:pPr>
        <w:tabs>
          <w:tab w:val="left" w:pos="426"/>
        </w:tabs>
        <w:jc w:val="both"/>
        <w:rPr>
          <w:color w:val="000000"/>
          <w:lang w:eastAsia="lt-LT"/>
        </w:rPr>
      </w:pPr>
      <w:r w:rsidRPr="00D35FF0">
        <w:rPr>
          <w:color w:val="000000"/>
          <w:lang w:eastAsia="lt-LT"/>
        </w:rPr>
        <w:tab/>
        <w:t xml:space="preserve">Pagrindinis gydymo tikslas – sumažinti skausmą, kiek galima ilgiau išlaikyti normalų stuburo ir sąnarių judrumą, stabdyti ligos progresavimą. Lietuvoje šiuo metu </w:t>
      </w:r>
      <w:proofErr w:type="spellStart"/>
      <w:r w:rsidR="005A041A" w:rsidRPr="00D35FF0">
        <w:rPr>
          <w:color w:val="000000"/>
          <w:lang w:eastAsia="lt-LT"/>
        </w:rPr>
        <w:t>N</w:t>
      </w:r>
      <w:r w:rsidRPr="00D35FF0">
        <w:rPr>
          <w:color w:val="000000"/>
          <w:lang w:eastAsia="lt-LT"/>
        </w:rPr>
        <w:t>r-axSpA</w:t>
      </w:r>
      <w:proofErr w:type="spellEnd"/>
      <w:r w:rsidRPr="00D35FF0">
        <w:rPr>
          <w:color w:val="000000"/>
          <w:lang w:eastAsia="lt-LT"/>
        </w:rPr>
        <w:t xml:space="preserve"> gyd</w:t>
      </w:r>
      <w:r w:rsidR="004C2DE5" w:rsidRPr="00D35FF0">
        <w:rPr>
          <w:color w:val="000000"/>
          <w:lang w:eastAsia="lt-LT"/>
        </w:rPr>
        <w:t>omas</w:t>
      </w:r>
      <w:r w:rsidR="00E4434F" w:rsidRPr="00D35FF0">
        <w:rPr>
          <w:color w:val="000000"/>
          <w:lang w:eastAsia="lt-LT"/>
        </w:rPr>
        <w:t xml:space="preserve"> vadovaujantis</w:t>
      </w:r>
      <w:r w:rsidR="004C2DE5" w:rsidRPr="00D35FF0">
        <w:rPr>
          <w:color w:val="000000"/>
          <w:lang w:eastAsia="lt-LT"/>
        </w:rPr>
        <w:t xml:space="preserve"> </w:t>
      </w:r>
      <w:r w:rsidRPr="00D35FF0">
        <w:rPr>
          <w:color w:val="000000"/>
          <w:lang w:eastAsia="lt-LT"/>
        </w:rPr>
        <w:t>L</w:t>
      </w:r>
      <w:r w:rsidR="005A041A" w:rsidRPr="00D35FF0">
        <w:rPr>
          <w:color w:val="000000"/>
          <w:lang w:eastAsia="lt-LT"/>
        </w:rPr>
        <w:t xml:space="preserve">ietuvos respublikos </w:t>
      </w:r>
      <w:r w:rsidRPr="00D35FF0">
        <w:rPr>
          <w:color w:val="000000"/>
          <w:lang w:eastAsia="lt-LT"/>
        </w:rPr>
        <w:t>S</w:t>
      </w:r>
      <w:r w:rsidR="005A041A" w:rsidRPr="00D35FF0">
        <w:rPr>
          <w:color w:val="000000"/>
          <w:lang w:eastAsia="lt-LT"/>
        </w:rPr>
        <w:t xml:space="preserve">veikatos apsaugos </w:t>
      </w:r>
      <w:r w:rsidRPr="00D35FF0">
        <w:rPr>
          <w:color w:val="000000"/>
          <w:lang w:eastAsia="lt-LT"/>
        </w:rPr>
        <w:t xml:space="preserve"> ministro </w:t>
      </w:r>
      <w:r w:rsidR="00E4434F" w:rsidRPr="00D35FF0">
        <w:rPr>
          <w:color w:val="000000"/>
          <w:lang w:eastAsia="lt-LT"/>
        </w:rPr>
        <w:t xml:space="preserve">2018 m. vasario 15 d. </w:t>
      </w:r>
      <w:r w:rsidRPr="00D35FF0">
        <w:rPr>
          <w:color w:val="000000"/>
          <w:lang w:eastAsia="lt-LT"/>
        </w:rPr>
        <w:t>įsakym</w:t>
      </w:r>
      <w:r w:rsidR="00E4434F" w:rsidRPr="00D35FF0">
        <w:rPr>
          <w:color w:val="000000"/>
          <w:lang w:eastAsia="lt-LT"/>
        </w:rPr>
        <w:t>u</w:t>
      </w:r>
      <w:r w:rsidRPr="00D35FF0">
        <w:rPr>
          <w:color w:val="000000"/>
          <w:lang w:eastAsia="lt-LT"/>
        </w:rPr>
        <w:t xml:space="preserve"> Nr. V–180 „</w:t>
      </w:r>
      <w:proofErr w:type="spellStart"/>
      <w:r w:rsidRPr="00D35FF0">
        <w:rPr>
          <w:color w:val="000000"/>
          <w:lang w:eastAsia="lt-LT"/>
        </w:rPr>
        <w:t>Ankilozinio</w:t>
      </w:r>
      <w:proofErr w:type="spellEnd"/>
      <w:r w:rsidRPr="00D35FF0">
        <w:rPr>
          <w:color w:val="000000"/>
          <w:lang w:eastAsia="lt-LT"/>
        </w:rPr>
        <w:t xml:space="preserve"> </w:t>
      </w:r>
      <w:proofErr w:type="spellStart"/>
      <w:r w:rsidRPr="00D35FF0">
        <w:rPr>
          <w:color w:val="000000"/>
          <w:lang w:eastAsia="lt-LT"/>
        </w:rPr>
        <w:t>spondilito</w:t>
      </w:r>
      <w:proofErr w:type="spellEnd"/>
      <w:r w:rsidRPr="00D35FF0">
        <w:rPr>
          <w:color w:val="000000"/>
          <w:lang w:eastAsia="lt-LT"/>
        </w:rPr>
        <w:t xml:space="preserve"> ir kitos patikslintos uždegiminės </w:t>
      </w:r>
      <w:proofErr w:type="spellStart"/>
      <w:r w:rsidRPr="00D35FF0">
        <w:rPr>
          <w:color w:val="000000"/>
          <w:lang w:eastAsia="lt-LT"/>
        </w:rPr>
        <w:t>spondilopatijos</w:t>
      </w:r>
      <w:proofErr w:type="spellEnd"/>
      <w:r w:rsidRPr="00D35FF0">
        <w:rPr>
          <w:color w:val="000000"/>
          <w:lang w:eastAsia="lt-LT"/>
        </w:rPr>
        <w:t xml:space="preserve"> (</w:t>
      </w:r>
      <w:proofErr w:type="spellStart"/>
      <w:r w:rsidR="005A041A" w:rsidRPr="00D35FF0">
        <w:rPr>
          <w:color w:val="000000"/>
          <w:lang w:eastAsia="lt-LT"/>
        </w:rPr>
        <w:t>N</w:t>
      </w:r>
      <w:r w:rsidRPr="00D35FF0">
        <w:rPr>
          <w:color w:val="000000"/>
          <w:lang w:eastAsia="lt-LT"/>
        </w:rPr>
        <w:t>r-axSpA</w:t>
      </w:r>
      <w:proofErr w:type="spellEnd"/>
      <w:r w:rsidRPr="00D35FF0">
        <w:rPr>
          <w:color w:val="000000"/>
          <w:lang w:eastAsia="lt-LT"/>
        </w:rPr>
        <w:t>) gydymo vaistais, kurių įsigijimo išlaidos apmokomos privalomojo sveikatos draudimo fondo biudžeto lėšomis”, tvarkos apraš</w:t>
      </w:r>
      <w:r w:rsidR="00E4434F" w:rsidRPr="00D35FF0">
        <w:rPr>
          <w:color w:val="000000"/>
          <w:lang w:eastAsia="lt-LT"/>
        </w:rPr>
        <w:t>u (toliau- Aprašas)</w:t>
      </w:r>
      <w:r w:rsidR="005A041A" w:rsidRPr="00D35FF0">
        <w:rPr>
          <w:color w:val="000000"/>
          <w:lang w:eastAsia="lt-LT"/>
        </w:rPr>
        <w:t>.</w:t>
      </w:r>
    </w:p>
    <w:p w14:paraId="1D4C08CB" w14:textId="50581F28" w:rsidR="006D7D80" w:rsidRPr="00D35FF0" w:rsidRDefault="006D7D80" w:rsidP="006D7D80">
      <w:pPr>
        <w:tabs>
          <w:tab w:val="left" w:pos="426"/>
        </w:tabs>
        <w:jc w:val="both"/>
        <w:rPr>
          <w:color w:val="000000"/>
          <w:lang w:eastAsia="lt-LT"/>
        </w:rPr>
      </w:pPr>
    </w:p>
    <w:p w14:paraId="08FA22CD" w14:textId="77777777" w:rsidR="006D7D80" w:rsidRPr="00D35FF0" w:rsidRDefault="006D7D80" w:rsidP="006D7D80">
      <w:pPr>
        <w:tabs>
          <w:tab w:val="left" w:pos="426"/>
        </w:tabs>
        <w:jc w:val="both"/>
        <w:rPr>
          <w:color w:val="000000"/>
          <w:lang w:eastAsia="lt-LT"/>
        </w:rPr>
      </w:pPr>
      <w:r w:rsidRPr="00D35FF0">
        <w:rPr>
          <w:noProof/>
          <w:lang w:eastAsia="lt-LT"/>
        </w:rPr>
        <w:drawing>
          <wp:inline distT="0" distB="0" distL="0" distR="0" wp14:anchorId="36623268" wp14:editId="188B5A84">
            <wp:extent cx="5659629"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5351" cy="881831"/>
                    </a:xfrm>
                    <a:prstGeom prst="rect">
                      <a:avLst/>
                    </a:prstGeom>
                  </pic:spPr>
                </pic:pic>
              </a:graphicData>
            </a:graphic>
          </wp:inline>
        </w:drawing>
      </w:r>
    </w:p>
    <w:p w14:paraId="148F9ADF" w14:textId="77777777" w:rsidR="005A041A" w:rsidRPr="00D35FF0" w:rsidRDefault="005A041A" w:rsidP="006D7D80">
      <w:pPr>
        <w:ind w:firstLine="720"/>
        <w:jc w:val="both"/>
        <w:rPr>
          <w:color w:val="000000"/>
          <w:lang w:eastAsia="lt-LT"/>
        </w:rPr>
      </w:pPr>
    </w:p>
    <w:p w14:paraId="7F15B7C9" w14:textId="30E4A73B" w:rsidR="006D7D80" w:rsidRPr="004E41B0" w:rsidRDefault="006D7D80" w:rsidP="00D35FF0">
      <w:pPr>
        <w:ind w:firstLine="426"/>
        <w:jc w:val="both"/>
      </w:pPr>
      <w:r w:rsidRPr="00D35FF0">
        <w:rPr>
          <w:color w:val="000000"/>
          <w:lang w:eastAsia="lt-LT"/>
        </w:rPr>
        <w:t>Gyvenimo prognozė daugeliu atvejų yra palanki, būna ilgalaikės remisijos. Ligos eiga labai įvairi</w:t>
      </w:r>
      <w:r w:rsidR="005A041A" w:rsidRPr="00D35FF0">
        <w:rPr>
          <w:color w:val="000000"/>
          <w:lang w:eastAsia="lt-LT"/>
        </w:rPr>
        <w:t>.</w:t>
      </w:r>
      <w:r w:rsidR="00E53D53" w:rsidRPr="00D35FF0">
        <w:rPr>
          <w:color w:val="000000"/>
          <w:lang w:eastAsia="lt-LT"/>
        </w:rPr>
        <w:t xml:space="preserve"> </w:t>
      </w:r>
      <w:r w:rsidR="005A041A" w:rsidRPr="00D35FF0">
        <w:rPr>
          <w:color w:val="000000"/>
          <w:lang w:eastAsia="lt-LT"/>
        </w:rPr>
        <w:t>V</w:t>
      </w:r>
      <w:r w:rsidRPr="00D35FF0">
        <w:rPr>
          <w:color w:val="000000"/>
          <w:lang w:eastAsia="lt-LT"/>
        </w:rPr>
        <w:t>ieniems pacientams pažeidžiami tik</w:t>
      </w:r>
      <w:r w:rsidR="00D35FF0">
        <w:rPr>
          <w:color w:val="000000"/>
          <w:lang w:eastAsia="lt-LT"/>
        </w:rPr>
        <w:t xml:space="preserve"> </w:t>
      </w:r>
      <w:proofErr w:type="spellStart"/>
      <w:r w:rsidR="00D35FF0">
        <w:rPr>
          <w:color w:val="000000"/>
          <w:lang w:eastAsia="lt-LT"/>
        </w:rPr>
        <w:t>kryžmeniniai</w:t>
      </w:r>
      <w:proofErr w:type="spellEnd"/>
      <w:r w:rsidR="00D35FF0">
        <w:rPr>
          <w:color w:val="000000"/>
          <w:lang w:eastAsia="lt-LT"/>
        </w:rPr>
        <w:t xml:space="preserve"> klubo</w:t>
      </w:r>
      <w:r w:rsidRPr="00D35FF0">
        <w:rPr>
          <w:color w:val="000000"/>
          <w:lang w:eastAsia="lt-LT"/>
        </w:rPr>
        <w:t xml:space="preserve"> sąnariai, kitiems – visas stuburas ir vidaus organai. Kuo jaunesniame amžiuje prasideda liga, tuo blogesnė jos prognozė. </w:t>
      </w:r>
      <w:r w:rsidRPr="00D35FF0">
        <w:t xml:space="preserve">Gydymo tikslas turi būti pasiektas per 6 mėnesius nuo gydymo pradžios, tačiau jei po 3 mėnesių nuo gydymo pradžios </w:t>
      </w:r>
      <w:r w:rsidRPr="004E41B0">
        <w:t xml:space="preserve">nėra gydymo </w:t>
      </w:r>
      <w:r w:rsidR="005A041A" w:rsidRPr="004E41B0">
        <w:t xml:space="preserve">poveikio </w:t>
      </w:r>
      <w:r w:rsidRPr="004E41B0">
        <w:t>(esant ašinei formai – po 1 mėnesio), gydymas turi būti koreguojamas.</w:t>
      </w:r>
    </w:p>
    <w:p w14:paraId="03067C33" w14:textId="472E8DDE" w:rsidR="00D35FF0" w:rsidRDefault="00E4434F" w:rsidP="00D35FF0">
      <w:pPr>
        <w:tabs>
          <w:tab w:val="left" w:pos="709"/>
          <w:tab w:val="left" w:pos="851"/>
        </w:tabs>
        <w:ind w:firstLine="426"/>
        <w:jc w:val="both"/>
        <w:rPr>
          <w:color w:val="000000"/>
        </w:rPr>
      </w:pPr>
      <w:r w:rsidRPr="004E41B0">
        <w:t>Vadovaujantis A</w:t>
      </w:r>
      <w:r w:rsidR="006D7D80" w:rsidRPr="004E41B0">
        <w:t>prašo 10 punkt</w:t>
      </w:r>
      <w:r w:rsidRPr="004E41B0">
        <w:t xml:space="preserve">u, </w:t>
      </w:r>
      <w:r w:rsidR="006D7D80" w:rsidRPr="004E41B0">
        <w:t xml:space="preserve">„ Gydant </w:t>
      </w:r>
      <w:proofErr w:type="spellStart"/>
      <w:r w:rsidRPr="004E41B0">
        <w:t>N</w:t>
      </w:r>
      <w:r w:rsidR="006D7D80" w:rsidRPr="004E41B0">
        <w:t>r</w:t>
      </w:r>
      <w:proofErr w:type="spellEnd"/>
      <w:r w:rsidR="006D7D80" w:rsidRPr="004E41B0">
        <w:t>–</w:t>
      </w:r>
      <w:proofErr w:type="spellStart"/>
      <w:r w:rsidR="006D7D80" w:rsidRPr="004E41B0">
        <w:t>aSpA</w:t>
      </w:r>
      <w:proofErr w:type="spellEnd"/>
      <w:r w:rsidR="006D7D80" w:rsidRPr="004E41B0">
        <w:t xml:space="preserve"> skiriamas </w:t>
      </w:r>
      <w:r w:rsidR="006D7D80" w:rsidRPr="004E41B0">
        <w:rPr>
          <w:b/>
        </w:rPr>
        <w:t xml:space="preserve">TNFα blokatorius, kuris pagal vaistinio preparato charakteristikų santrauką turi indikaciją </w:t>
      </w:r>
      <w:proofErr w:type="spellStart"/>
      <w:r w:rsidR="006D7D80" w:rsidRPr="004E41B0">
        <w:rPr>
          <w:b/>
        </w:rPr>
        <w:t>nr</w:t>
      </w:r>
      <w:proofErr w:type="spellEnd"/>
      <w:r w:rsidR="006D7D80" w:rsidRPr="004E41B0">
        <w:rPr>
          <w:b/>
        </w:rPr>
        <w:t>–</w:t>
      </w:r>
      <w:proofErr w:type="spellStart"/>
      <w:r w:rsidR="006D7D80" w:rsidRPr="004E41B0">
        <w:rPr>
          <w:b/>
        </w:rPr>
        <w:t>aSpA</w:t>
      </w:r>
      <w:proofErr w:type="spellEnd"/>
      <w:r w:rsidR="006D7D80" w:rsidRPr="004E41B0">
        <w:rPr>
          <w:b/>
        </w:rPr>
        <w:t xml:space="preserve"> gydymui</w:t>
      </w:r>
      <w:r w:rsidR="00D35FF0" w:rsidRPr="004E41B0">
        <w:rPr>
          <w:b/>
        </w:rPr>
        <w:t xml:space="preserve"> </w:t>
      </w:r>
      <w:r w:rsidR="00D35FF0" w:rsidRPr="004E41B0">
        <w:t>&lt;...&gt;</w:t>
      </w:r>
      <w:r w:rsidR="002E07F8" w:rsidRPr="004E41B0">
        <w:t>“</w:t>
      </w:r>
      <w:r w:rsidR="002E07F8" w:rsidRPr="004E41B0">
        <w:rPr>
          <w:b/>
        </w:rPr>
        <w:t xml:space="preserve">. </w:t>
      </w:r>
      <w:r w:rsidR="002E07F8" w:rsidRPr="004E41B0">
        <w:t>Šią registruotą indikaciją turi du TNFα blokatorius, kurie kompensuojami Lietuvoj</w:t>
      </w:r>
      <w:r w:rsidR="00D35FF0" w:rsidRPr="004E41B0">
        <w:t>e:</w:t>
      </w:r>
      <w:r w:rsidR="002E07F8" w:rsidRPr="004E41B0">
        <w:rPr>
          <w:b/>
        </w:rPr>
        <w:t xml:space="preserve"> </w:t>
      </w:r>
      <w:proofErr w:type="spellStart"/>
      <w:r w:rsidR="002E07F8" w:rsidRPr="004E41B0">
        <w:rPr>
          <w:color w:val="000000"/>
        </w:rPr>
        <w:t>adalimumabas</w:t>
      </w:r>
      <w:proofErr w:type="spellEnd"/>
      <w:r w:rsidR="002E07F8" w:rsidRPr="004E41B0">
        <w:rPr>
          <w:color w:val="000000"/>
        </w:rPr>
        <w:t xml:space="preserve"> ir </w:t>
      </w:r>
      <w:proofErr w:type="spellStart"/>
      <w:r w:rsidR="00131D89" w:rsidRPr="004E41B0">
        <w:rPr>
          <w:color w:val="000000"/>
        </w:rPr>
        <w:t>etanerceptas</w:t>
      </w:r>
      <w:proofErr w:type="spellEnd"/>
      <w:r w:rsidR="00B944E4" w:rsidRPr="004E41B0">
        <w:rPr>
          <w:color w:val="000000"/>
        </w:rPr>
        <w:t xml:space="preserve"> (</w:t>
      </w:r>
      <w:r w:rsidR="00D35FF0" w:rsidRPr="004E41B0">
        <w:rPr>
          <w:color w:val="000000"/>
        </w:rPr>
        <w:t xml:space="preserve">žr. </w:t>
      </w:r>
      <w:r w:rsidR="00B944E4" w:rsidRPr="004E41B0">
        <w:rPr>
          <w:color w:val="000000"/>
        </w:rPr>
        <w:t>Aprašo 9 punkt</w:t>
      </w:r>
      <w:r w:rsidR="00D35FF0" w:rsidRPr="004E41B0">
        <w:rPr>
          <w:color w:val="000000"/>
        </w:rPr>
        <w:t>ą</w:t>
      </w:r>
      <w:r w:rsidR="00B944E4" w:rsidRPr="004E41B0">
        <w:rPr>
          <w:color w:val="000000"/>
        </w:rPr>
        <w:t>).</w:t>
      </w:r>
    </w:p>
    <w:p w14:paraId="56B047E3" w14:textId="033E2B0E" w:rsidR="004A61A6" w:rsidRPr="00D35FF0" w:rsidRDefault="00414EE1" w:rsidP="00D35FF0">
      <w:pPr>
        <w:tabs>
          <w:tab w:val="left" w:pos="709"/>
          <w:tab w:val="left" w:pos="851"/>
        </w:tabs>
        <w:ind w:firstLine="426"/>
        <w:jc w:val="both"/>
        <w:rPr>
          <w:color w:val="000000"/>
        </w:rPr>
      </w:pPr>
      <w:r w:rsidRPr="00D35FF0">
        <w:rPr>
          <w:rFonts w:eastAsia="Arial"/>
        </w:rPr>
        <w:t xml:space="preserve">Remiantis Paraiškos duomenimis, </w:t>
      </w:r>
      <w:proofErr w:type="spellStart"/>
      <w:r w:rsidRPr="00D35FF0">
        <w:rPr>
          <w:rFonts w:eastAsia="Arial"/>
        </w:rPr>
        <w:t>sekukinumabo</w:t>
      </w:r>
      <w:proofErr w:type="spellEnd"/>
      <w:r w:rsidRPr="00D35FF0">
        <w:rPr>
          <w:rFonts w:eastAsia="Arial"/>
        </w:rPr>
        <w:t xml:space="preserve"> siūloma kompensuoti indikacij</w:t>
      </w:r>
      <w:r w:rsidR="00E53D53" w:rsidRPr="00D35FF0">
        <w:rPr>
          <w:rFonts w:eastAsia="Arial"/>
        </w:rPr>
        <w:t xml:space="preserve">a yra </w:t>
      </w:r>
      <w:r w:rsidR="00E4434F" w:rsidRPr="00D35FF0">
        <w:rPr>
          <w:rFonts w:eastAsia="Arial"/>
        </w:rPr>
        <w:t>„</w:t>
      </w:r>
      <w:proofErr w:type="spellStart"/>
      <w:r w:rsidR="004A61A6" w:rsidRPr="00D35FF0">
        <w:t>Cosentyx</w:t>
      </w:r>
      <w:proofErr w:type="spellEnd"/>
      <w:r w:rsidR="004A61A6" w:rsidRPr="00D35FF0">
        <w:t xml:space="preserve"> skirtas aktyviu </w:t>
      </w:r>
      <w:proofErr w:type="spellStart"/>
      <w:r w:rsidR="004A61A6" w:rsidRPr="00D35FF0">
        <w:t>neradiografiniu</w:t>
      </w:r>
      <w:proofErr w:type="spellEnd"/>
      <w:r w:rsidR="004A61A6" w:rsidRPr="00D35FF0">
        <w:t xml:space="preserve"> ašiniu </w:t>
      </w:r>
      <w:proofErr w:type="spellStart"/>
      <w:r w:rsidR="004A61A6" w:rsidRPr="00D35FF0">
        <w:t>spondiloartritu</w:t>
      </w:r>
      <w:proofErr w:type="spellEnd"/>
      <w:r w:rsidR="004A61A6" w:rsidRPr="00D35FF0">
        <w:t xml:space="preserve"> sergantiems suaugusiems pacientams gydyti, </w:t>
      </w:r>
      <w:r w:rsidRPr="00D35FF0">
        <w:rPr>
          <w:rFonts w:eastAsia="Arial"/>
        </w:rPr>
        <w:t xml:space="preserve">kai nustatoma objektyvių uždegimo požymių, kuriuos rodo padidėjęs C reaktyvinio baltymo (CRB) kiekis ir (arba) magnetinio rezonanso tomografijos (MRT) požymiai, bei kai pacientams gydymas </w:t>
      </w:r>
      <w:r w:rsidRPr="00D35FF0">
        <w:rPr>
          <w:rFonts w:eastAsia="Arial"/>
        </w:rPr>
        <w:lastRenderedPageBreak/>
        <w:t>nesteroidiniais vaistais nuo uždegimo (NVNU) buvo nepakankamai veiksmingas</w:t>
      </w:r>
      <w:r w:rsidR="004A61A6" w:rsidRPr="00D35FF0">
        <w:rPr>
          <w:rFonts w:eastAsia="Arial"/>
        </w:rPr>
        <w:t>“</w:t>
      </w:r>
      <w:r w:rsidRPr="00D35FF0">
        <w:rPr>
          <w:rFonts w:eastAsia="Arial"/>
        </w:rPr>
        <w:t>, tačiau nenurodytas gydymo eiliškumas. Vadovaujantis patarėjų tarybos nuomone, išdėstyta 2020 m. lapkričio mėn. 27 d. susirinkime „</w:t>
      </w:r>
      <w:proofErr w:type="spellStart"/>
      <w:r w:rsidRPr="00D35FF0">
        <w:rPr>
          <w:rFonts w:eastAsia="Arial"/>
        </w:rPr>
        <w:t>Neradiogr</w:t>
      </w:r>
      <w:r w:rsidR="003D6FE6" w:rsidRPr="00D35FF0">
        <w:rPr>
          <w:rFonts w:eastAsia="Arial"/>
        </w:rPr>
        <w:t>afinio</w:t>
      </w:r>
      <w:proofErr w:type="spellEnd"/>
      <w:r w:rsidR="003D6FE6" w:rsidRPr="00D35FF0">
        <w:rPr>
          <w:rFonts w:eastAsia="Arial"/>
        </w:rPr>
        <w:t xml:space="preserve"> ašinio </w:t>
      </w:r>
      <w:proofErr w:type="spellStart"/>
      <w:r w:rsidR="003D6FE6" w:rsidRPr="00D35FF0">
        <w:rPr>
          <w:rFonts w:eastAsia="Arial"/>
        </w:rPr>
        <w:t>spondiloartrito</w:t>
      </w:r>
      <w:proofErr w:type="spellEnd"/>
      <w:r w:rsidR="003D6FE6" w:rsidRPr="00D35FF0">
        <w:rPr>
          <w:rFonts w:eastAsia="Arial"/>
        </w:rPr>
        <w:t xml:space="preserve"> (</w:t>
      </w:r>
      <w:proofErr w:type="spellStart"/>
      <w:r w:rsidR="003D6FE6" w:rsidRPr="00D35FF0">
        <w:rPr>
          <w:rFonts w:eastAsia="Arial"/>
        </w:rPr>
        <w:t>N</w:t>
      </w:r>
      <w:r w:rsidRPr="00D35FF0">
        <w:rPr>
          <w:rFonts w:eastAsia="Arial"/>
        </w:rPr>
        <w:t>r-aSpA</w:t>
      </w:r>
      <w:proofErr w:type="spellEnd"/>
      <w:r w:rsidRPr="00D35FF0">
        <w:rPr>
          <w:rFonts w:eastAsia="Arial"/>
        </w:rPr>
        <w:t xml:space="preserve">) diagnostikos ir gydymo aktualijos Lietuvoje” </w:t>
      </w:r>
      <w:proofErr w:type="spellStart"/>
      <w:r w:rsidRPr="00D35FF0">
        <w:rPr>
          <w:rFonts w:eastAsia="Arial"/>
        </w:rPr>
        <w:t>sekukinumabas</w:t>
      </w:r>
      <w:proofErr w:type="spellEnd"/>
      <w:r w:rsidRPr="00D35FF0">
        <w:rPr>
          <w:rFonts w:eastAsia="Arial"/>
        </w:rPr>
        <w:t xml:space="preserve"> „turėtų būti svarstomas kaip antros eilės pasirenkamas vaistas. Apraše dėl antros eilės vaisto kompensavimo nereikėtų daug pakeitimų, kadangi nauja indikacija yra beveik tokiai pačiai ligai</w:t>
      </w:r>
      <w:r w:rsidR="003D6FE6" w:rsidRPr="00D35FF0">
        <w:rPr>
          <w:rFonts w:eastAsia="Arial"/>
        </w:rPr>
        <w:t xml:space="preserve">, o ir gydymo algoritmai AS ir </w:t>
      </w:r>
      <w:proofErr w:type="spellStart"/>
      <w:r w:rsidR="003D6FE6" w:rsidRPr="00D35FF0">
        <w:rPr>
          <w:rFonts w:eastAsia="Arial"/>
        </w:rPr>
        <w:t>N</w:t>
      </w:r>
      <w:r w:rsidRPr="00D35FF0">
        <w:rPr>
          <w:rFonts w:eastAsia="Arial"/>
        </w:rPr>
        <w:t>r-aSpA</w:t>
      </w:r>
      <w:proofErr w:type="spellEnd"/>
      <w:r w:rsidRPr="00D35FF0">
        <w:rPr>
          <w:rFonts w:eastAsia="Arial"/>
        </w:rPr>
        <w:t xml:space="preserve"> gydyti yra tokie pat.“ </w:t>
      </w:r>
    </w:p>
    <w:p w14:paraId="3D67C2F5" w14:textId="7511808D" w:rsidR="00C01444" w:rsidRPr="00D35FF0" w:rsidRDefault="00414EE1" w:rsidP="009F1B3C">
      <w:pPr>
        <w:ind w:firstLine="720"/>
        <w:jc w:val="both"/>
        <w:rPr>
          <w:rFonts w:eastAsia="Arial"/>
        </w:rPr>
      </w:pPr>
      <w:r w:rsidRPr="00D35FF0">
        <w:rPr>
          <w:rFonts w:eastAsia="Arial"/>
        </w:rPr>
        <w:t>Tarnyba</w:t>
      </w:r>
      <w:r w:rsidR="004A61A6" w:rsidRPr="00D35FF0">
        <w:rPr>
          <w:rFonts w:eastAsia="Arial"/>
        </w:rPr>
        <w:t xml:space="preserve">, vadovaudamasi Lietuvos respublikos Sveikatos apsaugos ministro </w:t>
      </w:r>
      <w:r w:rsidR="004A61A6" w:rsidRPr="00D35FF0">
        <w:rPr>
          <w:color w:val="000000"/>
        </w:rPr>
        <w:t>2002 m. balandžio 5 d. </w:t>
      </w:r>
      <w:r w:rsidR="004A61A6" w:rsidRPr="00D35FF0">
        <w:rPr>
          <w:rFonts w:eastAsia="Arial"/>
        </w:rPr>
        <w:t xml:space="preserve">įsakymu Nr. 159 „Dėl </w:t>
      </w:r>
      <w:r w:rsidR="004A61A6" w:rsidRPr="00D35FF0">
        <w:rPr>
          <w:bCs/>
          <w:color w:val="000000"/>
        </w:rPr>
        <w:t>vaistinių preparatų ir medicinos pagalbos priemonių įrašymo į kompensavimo sąrašus ir jų keitimo tvarkos aprašo patvirtinimo</w:t>
      </w:r>
      <w:r w:rsidR="004A61A6" w:rsidRPr="00D35FF0">
        <w:rPr>
          <w:rFonts w:eastAsia="Arial"/>
        </w:rPr>
        <w:t xml:space="preserve">“ </w:t>
      </w:r>
      <w:r w:rsidR="00C01444" w:rsidRPr="00D35FF0">
        <w:rPr>
          <w:rFonts w:eastAsia="Arial"/>
        </w:rPr>
        <w:t xml:space="preserve">(toliau – Aprašas) </w:t>
      </w:r>
      <w:r w:rsidR="004A61A6" w:rsidRPr="00D35FF0">
        <w:rPr>
          <w:rFonts w:eastAsia="Arial"/>
        </w:rPr>
        <w:t>25 punktu, 2022 m. liepos 29 d. kreipėsi į pareiškėją, ir papr</w:t>
      </w:r>
      <w:r w:rsidR="00C01444" w:rsidRPr="00D35FF0">
        <w:rPr>
          <w:rFonts w:eastAsia="Arial"/>
        </w:rPr>
        <w:t>a</w:t>
      </w:r>
      <w:r w:rsidR="004A61A6" w:rsidRPr="00D35FF0">
        <w:rPr>
          <w:rFonts w:eastAsia="Arial"/>
        </w:rPr>
        <w:t xml:space="preserve">šė </w:t>
      </w:r>
      <w:r w:rsidRPr="00D35FF0">
        <w:rPr>
          <w:rFonts w:eastAsia="Arial"/>
        </w:rPr>
        <w:t xml:space="preserve">nurodyti, koks numatomo gydymo </w:t>
      </w:r>
      <w:proofErr w:type="spellStart"/>
      <w:r w:rsidRPr="00D35FF0">
        <w:rPr>
          <w:rFonts w:eastAsia="Arial"/>
        </w:rPr>
        <w:t>sekukinumabu</w:t>
      </w:r>
      <w:proofErr w:type="spellEnd"/>
      <w:r w:rsidRPr="00D35FF0">
        <w:rPr>
          <w:rFonts w:eastAsia="Arial"/>
        </w:rPr>
        <w:t xml:space="preserve"> eiliškumas, t. y. ar vaistinis preparatas skirtas pirmos ar antros eilės gydymui. </w:t>
      </w:r>
    </w:p>
    <w:p w14:paraId="1A273EAB" w14:textId="4C0D70F6" w:rsidR="008631C1" w:rsidRPr="00D35FF0" w:rsidRDefault="00EC2EA7" w:rsidP="009F1B3C">
      <w:pPr>
        <w:ind w:firstLine="720"/>
        <w:jc w:val="both"/>
        <w:rPr>
          <w:rFonts w:eastAsia="Arial"/>
        </w:rPr>
      </w:pPr>
      <w:r w:rsidRPr="00D35FF0">
        <w:rPr>
          <w:rFonts w:eastAsia="Arial"/>
        </w:rPr>
        <w:t>Per a</w:t>
      </w:r>
      <w:r w:rsidR="00C01444" w:rsidRPr="00D35FF0">
        <w:rPr>
          <w:rFonts w:eastAsia="Arial"/>
        </w:rPr>
        <w:t xml:space="preserve">prašo 25.1 papunktyje nustatytą terminą </w:t>
      </w:r>
      <w:r w:rsidRPr="00D35FF0">
        <w:rPr>
          <w:rFonts w:eastAsia="Arial"/>
        </w:rPr>
        <w:t xml:space="preserve">pareiškėjui nepateikus prašomos informacijos, </w:t>
      </w:r>
      <w:r w:rsidR="00C01444" w:rsidRPr="00D35FF0">
        <w:rPr>
          <w:rFonts w:eastAsia="Arial"/>
        </w:rPr>
        <w:t xml:space="preserve">neįmanoma atlikti vaistinio preparato </w:t>
      </w:r>
      <w:proofErr w:type="spellStart"/>
      <w:r w:rsidR="00C01444" w:rsidRPr="00D35FF0">
        <w:rPr>
          <w:rFonts w:eastAsia="Arial"/>
        </w:rPr>
        <w:t>Cosentyx</w:t>
      </w:r>
      <w:proofErr w:type="spellEnd"/>
      <w:r w:rsidR="00C01444" w:rsidRPr="00D35FF0">
        <w:rPr>
          <w:rFonts w:eastAsia="Arial"/>
        </w:rPr>
        <w:t xml:space="preserve"> palygin</w:t>
      </w:r>
      <w:r w:rsidR="00D60FAF" w:rsidRPr="00D35FF0">
        <w:rPr>
          <w:rFonts w:eastAsia="Arial"/>
        </w:rPr>
        <w:t>amojo</w:t>
      </w:r>
      <w:r w:rsidR="00C01444" w:rsidRPr="00D35FF0">
        <w:rPr>
          <w:rFonts w:eastAsia="Arial"/>
        </w:rPr>
        <w:t xml:space="preserve"> efektyvumo ir klinikinio veiksmingumo </w:t>
      </w:r>
      <w:r w:rsidRPr="00D35FF0">
        <w:rPr>
          <w:rFonts w:eastAsia="Arial"/>
        </w:rPr>
        <w:t xml:space="preserve">vertinimo </w:t>
      </w:r>
      <w:r w:rsidR="00C01444" w:rsidRPr="00D35FF0">
        <w:rPr>
          <w:rFonts w:eastAsia="Arial"/>
        </w:rPr>
        <w:t>paraiškoje teikiamai indikacijai.</w:t>
      </w:r>
      <w:r w:rsidR="00414EE1" w:rsidRPr="00D35FF0">
        <w:rPr>
          <w:rFonts w:eastAsia="Arial"/>
        </w:rPr>
        <w:t xml:space="preserve"> </w:t>
      </w:r>
    </w:p>
    <w:p w14:paraId="09D2A10E" w14:textId="640B00D6" w:rsidR="00414EE1" w:rsidRPr="00D35FF0" w:rsidRDefault="00C01444" w:rsidP="009F1B3C">
      <w:pPr>
        <w:ind w:firstLine="720"/>
        <w:jc w:val="both"/>
        <w:rPr>
          <w:rFonts w:eastAsia="Arial"/>
        </w:rPr>
      </w:pPr>
      <w:r w:rsidRPr="00D35FF0">
        <w:rPr>
          <w:rFonts w:eastAsia="Arial"/>
        </w:rPr>
        <w:t xml:space="preserve">Atsižvelgiat į aukščiau išdėstytą ir vadovaujantis </w:t>
      </w:r>
      <w:r w:rsidR="004B793F" w:rsidRPr="00D35FF0">
        <w:rPr>
          <w:rFonts w:eastAsia="Arial"/>
        </w:rPr>
        <w:t xml:space="preserve">Aprašo 26 punktu, daroma </w:t>
      </w:r>
      <w:r w:rsidR="008631C1" w:rsidRPr="00D35FF0">
        <w:rPr>
          <w:rFonts w:eastAsia="Arial"/>
        </w:rPr>
        <w:t>išvad</w:t>
      </w:r>
      <w:r w:rsidR="004B793F" w:rsidRPr="00D35FF0">
        <w:rPr>
          <w:rFonts w:eastAsia="Arial"/>
        </w:rPr>
        <w:t>a</w:t>
      </w:r>
      <w:r w:rsidR="008631C1" w:rsidRPr="00D35FF0">
        <w:rPr>
          <w:rFonts w:eastAsia="Arial"/>
        </w:rPr>
        <w:t xml:space="preserve">, kad </w:t>
      </w:r>
      <w:r w:rsidR="008631C1" w:rsidRPr="00D35FF0">
        <w:t xml:space="preserve">pateikti duomenys apie palyginamąjį efektyvumą yra netinkami vertinti, </w:t>
      </w:r>
      <w:r w:rsidR="004B793F" w:rsidRPr="00D35FF0">
        <w:t xml:space="preserve">o </w:t>
      </w:r>
      <w:r w:rsidR="008631C1" w:rsidRPr="00D35FF0">
        <w:t>klinikinis veiksmingumas yra įvertintas kaip nepagrindžiantis papildomos naudos pacientų sveikatai sukūrimo, lyginant su įprasta klinikine praktika</w:t>
      </w:r>
      <w:r w:rsidR="002651B0">
        <w:t>.</w:t>
      </w:r>
    </w:p>
    <w:p w14:paraId="25F89291" w14:textId="13A215CF" w:rsidR="00D4485B" w:rsidRPr="00D35FF0" w:rsidRDefault="00D4485B" w:rsidP="00A93AA6">
      <w:pPr>
        <w:pStyle w:val="Sraopastraipa"/>
        <w:tabs>
          <w:tab w:val="left" w:pos="426"/>
        </w:tabs>
        <w:ind w:left="0"/>
        <w:rPr>
          <w:b/>
          <w:bCs/>
          <w:caps/>
        </w:rPr>
      </w:pPr>
    </w:p>
    <w:p w14:paraId="4C2B6AE8" w14:textId="77777777" w:rsidR="00E4434F" w:rsidRPr="00D35FF0" w:rsidRDefault="00E4434F" w:rsidP="00A93AA6">
      <w:pPr>
        <w:pStyle w:val="Sraopastraipa"/>
        <w:tabs>
          <w:tab w:val="left" w:pos="426"/>
        </w:tabs>
        <w:ind w:left="0"/>
        <w:rPr>
          <w:b/>
          <w:bCs/>
          <w:caps/>
        </w:rPr>
      </w:pPr>
    </w:p>
    <w:p w14:paraId="7DE09EB5" w14:textId="69E9DD74" w:rsidR="00E03C3F" w:rsidRPr="00D35FF0" w:rsidRDefault="00CC7832" w:rsidP="00CC09D4">
      <w:pPr>
        <w:pStyle w:val="Sraopastraipa"/>
        <w:numPr>
          <w:ilvl w:val="0"/>
          <w:numId w:val="12"/>
        </w:numPr>
        <w:tabs>
          <w:tab w:val="left" w:pos="567"/>
        </w:tabs>
        <w:ind w:hanging="720"/>
        <w:rPr>
          <w:b/>
          <w:bCs/>
          <w:caps/>
        </w:rPr>
      </w:pPr>
      <w:r w:rsidRPr="00D35FF0">
        <w:rPr>
          <w:b/>
          <w:bCs/>
          <w:caps/>
        </w:rPr>
        <w:t xml:space="preserve">ekonominio vertinimo </w:t>
      </w:r>
      <w:r w:rsidR="002F0E4F" w:rsidRPr="00D35FF0">
        <w:rPr>
          <w:b/>
          <w:bCs/>
          <w:caps/>
        </w:rPr>
        <w:t>apibendrinimas</w:t>
      </w:r>
    </w:p>
    <w:p w14:paraId="51649CB6" w14:textId="00CDE145" w:rsidR="00CD13F5" w:rsidRPr="00D35FF0" w:rsidRDefault="00CD13F5" w:rsidP="00CD13F5">
      <w:pPr>
        <w:tabs>
          <w:tab w:val="left" w:pos="284"/>
        </w:tabs>
        <w:rPr>
          <w:i/>
          <w:sz w:val="22"/>
          <w:szCs w:val="22"/>
        </w:rPr>
      </w:pPr>
    </w:p>
    <w:p w14:paraId="1BDCCC7C" w14:textId="77777777" w:rsidR="00CD13F5" w:rsidRPr="00D35FF0" w:rsidRDefault="00CD13F5" w:rsidP="00CD13F5">
      <w:pPr>
        <w:spacing w:line="280" w:lineRule="atLeast"/>
        <w:ind w:firstLine="720"/>
        <w:jc w:val="both"/>
      </w:pPr>
      <w:r w:rsidRPr="00D35FF0">
        <w:rPr>
          <w:bCs/>
          <w:lang w:eastAsia="lt-LT"/>
        </w:rPr>
        <w:t xml:space="preserve">Pareiškėjas </w:t>
      </w:r>
      <w:proofErr w:type="spellStart"/>
      <w:r w:rsidRPr="00D35FF0">
        <w:rPr>
          <w:bCs/>
          <w:lang w:eastAsia="lt-LT"/>
        </w:rPr>
        <w:t>farmakoekonominiam</w:t>
      </w:r>
      <w:proofErr w:type="spellEnd"/>
      <w:r w:rsidRPr="00D35FF0">
        <w:rPr>
          <w:bCs/>
          <w:lang w:eastAsia="lt-LT"/>
        </w:rPr>
        <w:t xml:space="preserve"> vertinimui pateikė pirminę ir antrinę atvejo analizes priklausomai nuo vertinamos populiacijos. Pirminėje atvejo analizėje, kuri Pareiškėjo taikoma kaip pagrindinė, analizuojami pacientai, </w:t>
      </w:r>
      <w:r w:rsidRPr="00D35FF0">
        <w:rPr>
          <w:rFonts w:eastAsia="Arial"/>
        </w:rPr>
        <w:t>kuriems</w:t>
      </w:r>
      <w:r w:rsidRPr="00D35FF0">
        <w:t xml:space="preserve"> prieš tai buvo nepakankamai veiksmingas gydymas bent dviem </w:t>
      </w:r>
      <w:r w:rsidRPr="00D35FF0">
        <w:rPr>
          <w:rFonts w:eastAsia="Arial"/>
        </w:rPr>
        <w:t xml:space="preserve">nesteroidiniais vaistais nuo uždegimo (NVNU)) (negydyti biologiniais vaistiniais preparatais). Antrinėje analizėje įtraukta visa pacientų populiacija, </w:t>
      </w:r>
      <w:proofErr w:type="spellStart"/>
      <w:r w:rsidRPr="00D35FF0">
        <w:rPr>
          <w:rFonts w:eastAsia="Arial"/>
        </w:rPr>
        <w:t>t.y</w:t>
      </w:r>
      <w:proofErr w:type="spellEnd"/>
      <w:r w:rsidRPr="00D35FF0">
        <w:rPr>
          <w:rFonts w:eastAsia="Arial"/>
        </w:rPr>
        <w:t xml:space="preserve">. ir pacientai, kuriems anksčiau </w:t>
      </w:r>
      <w:r w:rsidRPr="00D35FF0">
        <w:t xml:space="preserve">buvo skirtas gydymas TNFα inhibitoriais ir šių preparatų vartojimas buvo nutrauktas arba dėl veiksmingumo stokos, arba dėl jų </w:t>
      </w:r>
      <w:proofErr w:type="spellStart"/>
      <w:r w:rsidRPr="00D35FF0">
        <w:t>netoleravimo</w:t>
      </w:r>
      <w:proofErr w:type="spellEnd"/>
      <w:r w:rsidRPr="00D35FF0">
        <w:t xml:space="preserve"> (vadinamieji „nepakankamo atsako TNFα inhibitoriams“ pacientai).</w:t>
      </w:r>
    </w:p>
    <w:p w14:paraId="009D66C6" w14:textId="77777777" w:rsidR="00CD13F5" w:rsidRPr="00D35FF0" w:rsidRDefault="00CD13F5" w:rsidP="00CD13F5">
      <w:pPr>
        <w:spacing w:line="280" w:lineRule="atLeast"/>
        <w:ind w:firstLine="720"/>
        <w:jc w:val="both"/>
      </w:pPr>
      <w:r w:rsidRPr="00D35FF0">
        <w:t xml:space="preserve">Pareiškėjas pateikė kaštų naudingumo analizę (toliau – KNA) lyginant </w:t>
      </w:r>
      <w:proofErr w:type="spellStart"/>
      <w:r w:rsidRPr="00D35FF0">
        <w:t>sekukinumabą</w:t>
      </w:r>
      <w:proofErr w:type="spellEnd"/>
      <w:r w:rsidRPr="00D35FF0">
        <w:t xml:space="preserve"> su įprastine gydymo praktika (palaikomasis gydymas) ir kaštų mažinimo analizę (toliau – KMA) </w:t>
      </w:r>
      <w:proofErr w:type="spellStart"/>
      <w:r w:rsidRPr="00D35FF0">
        <w:t>sekukinumabą</w:t>
      </w:r>
      <w:proofErr w:type="spellEnd"/>
      <w:r w:rsidRPr="00D35FF0">
        <w:t xml:space="preserve"> lyginant su ADA ir ETA (</w:t>
      </w:r>
      <w:proofErr w:type="spellStart"/>
      <w:r w:rsidRPr="00D35FF0">
        <w:rPr>
          <w:rFonts w:eastAsia="Arial"/>
        </w:rPr>
        <w:t>etanerceptu</w:t>
      </w:r>
      <w:proofErr w:type="spellEnd"/>
      <w:r w:rsidRPr="00D35FF0">
        <w:rPr>
          <w:rFonts w:eastAsia="Arial"/>
        </w:rPr>
        <w:t xml:space="preserve">, </w:t>
      </w:r>
      <w:proofErr w:type="spellStart"/>
      <w:r w:rsidRPr="00D35FF0">
        <w:rPr>
          <w:rFonts w:eastAsia="Arial"/>
        </w:rPr>
        <w:t>adalimumabu</w:t>
      </w:r>
      <w:proofErr w:type="spellEnd"/>
      <w:r w:rsidRPr="00D35FF0">
        <w:rPr>
          <w:rFonts w:eastAsia="Arial"/>
        </w:rPr>
        <w:t xml:space="preserve">, </w:t>
      </w:r>
      <w:proofErr w:type="spellStart"/>
      <w:r w:rsidRPr="00D35FF0">
        <w:rPr>
          <w:rFonts w:eastAsia="Arial"/>
        </w:rPr>
        <w:t>golimumabu</w:t>
      </w:r>
      <w:proofErr w:type="spellEnd"/>
      <w:r w:rsidRPr="00D35FF0">
        <w:rPr>
          <w:rFonts w:eastAsia="Arial"/>
        </w:rPr>
        <w:t xml:space="preserve"> ir </w:t>
      </w:r>
      <w:proofErr w:type="spellStart"/>
      <w:r w:rsidRPr="00D35FF0">
        <w:rPr>
          <w:rFonts w:eastAsia="Arial"/>
        </w:rPr>
        <w:t>cetrolizumabu</w:t>
      </w:r>
      <w:proofErr w:type="spellEnd"/>
      <w:r w:rsidRPr="00D35FF0">
        <w:rPr>
          <w:rFonts w:eastAsia="Arial"/>
        </w:rPr>
        <w:t>)</w:t>
      </w:r>
      <w:r w:rsidRPr="00D35FF0">
        <w:t xml:space="preserve">. KNA klinikiniams </w:t>
      </w:r>
      <w:proofErr w:type="spellStart"/>
      <w:r w:rsidRPr="00D35FF0">
        <w:t>įrodymams</w:t>
      </w:r>
      <w:proofErr w:type="spellEnd"/>
      <w:r w:rsidRPr="00D35FF0">
        <w:t xml:space="preserve"> pagrįsti Pareiškėjas pateikė tiesioginio palyginimo PREVENT klinikinį tyrimą (</w:t>
      </w:r>
      <w:r w:rsidRPr="00D35FF0">
        <w:rPr>
          <w:rFonts w:eastAsia="Arial"/>
        </w:rPr>
        <w:t xml:space="preserve">atsitiktinių imčių, dvigubai koduotas, </w:t>
      </w:r>
      <w:proofErr w:type="spellStart"/>
      <w:r w:rsidRPr="00D35FF0">
        <w:rPr>
          <w:rFonts w:eastAsia="Arial"/>
        </w:rPr>
        <w:t>placebu</w:t>
      </w:r>
      <w:proofErr w:type="spellEnd"/>
      <w:r w:rsidRPr="00D35FF0">
        <w:rPr>
          <w:rFonts w:eastAsia="Arial"/>
        </w:rPr>
        <w:t xml:space="preserve"> kontroliuojamas 2 metų trukmės III fazės klinikinis tyrimas, pratęstas iki 2 metų pacientams, kuriems nustatytas </w:t>
      </w:r>
      <w:proofErr w:type="spellStart"/>
      <w:r w:rsidRPr="00D35FF0">
        <w:rPr>
          <w:rFonts w:eastAsia="Arial"/>
        </w:rPr>
        <w:t>nr</w:t>
      </w:r>
      <w:proofErr w:type="spellEnd"/>
      <w:r w:rsidRPr="00D35FF0">
        <w:rPr>
          <w:rFonts w:eastAsia="Arial"/>
        </w:rPr>
        <w:t>–</w:t>
      </w:r>
      <w:proofErr w:type="spellStart"/>
      <w:r w:rsidRPr="00D35FF0">
        <w:rPr>
          <w:rFonts w:eastAsia="Arial"/>
        </w:rPr>
        <w:t>aSpA</w:t>
      </w:r>
      <w:proofErr w:type="spellEnd"/>
      <w:r w:rsidRPr="00D35FF0">
        <w:rPr>
          <w:rFonts w:eastAsia="Arial"/>
        </w:rPr>
        <w:t>)</w:t>
      </w:r>
      <w:r w:rsidRPr="00D35FF0">
        <w:t xml:space="preserve">, kuriame </w:t>
      </w:r>
      <w:proofErr w:type="spellStart"/>
      <w:r w:rsidRPr="00D35FF0">
        <w:t>sekukinumabas</w:t>
      </w:r>
      <w:proofErr w:type="spellEnd"/>
      <w:r w:rsidRPr="00D35FF0">
        <w:t xml:space="preserve"> lygintas su </w:t>
      </w:r>
      <w:proofErr w:type="spellStart"/>
      <w:r w:rsidRPr="00D35FF0">
        <w:t>placebu</w:t>
      </w:r>
      <w:proofErr w:type="spellEnd"/>
      <w:r w:rsidRPr="00D35FF0">
        <w:t xml:space="preserve">. KMA klinikinio veiksmingumo duomenys </w:t>
      </w:r>
      <w:proofErr w:type="spellStart"/>
      <w:r w:rsidRPr="00D35FF0">
        <w:t>sekukinumabą</w:t>
      </w:r>
      <w:proofErr w:type="spellEnd"/>
      <w:r w:rsidRPr="00D35FF0">
        <w:t xml:space="preserve"> lyginant su ADA ir ETA KMA įtraukti iš netiesioginio palyginimo tinklinės meta-analizės.</w:t>
      </w:r>
    </w:p>
    <w:p w14:paraId="317C7679" w14:textId="77777777" w:rsidR="00CD13F5" w:rsidRPr="00D35FF0" w:rsidRDefault="00CD13F5" w:rsidP="00CD13F5">
      <w:pPr>
        <w:pStyle w:val="Sraopastraipa"/>
        <w:tabs>
          <w:tab w:val="left" w:pos="567"/>
          <w:tab w:val="left" w:pos="1134"/>
          <w:tab w:val="left" w:pos="1701"/>
          <w:tab w:val="left" w:pos="2268"/>
        </w:tabs>
        <w:spacing w:after="160" w:line="259" w:lineRule="auto"/>
        <w:ind w:left="0"/>
        <w:jc w:val="both"/>
        <w:rPr>
          <w:b/>
        </w:rPr>
      </w:pPr>
      <w:r w:rsidRPr="00D35FF0">
        <w:tab/>
      </w:r>
      <w:r w:rsidRPr="00D35FF0">
        <w:rPr>
          <w:rFonts w:eastAsia="Arial"/>
          <w:color w:val="000000"/>
        </w:rPr>
        <w:t>Lietuvos klinikinėje praktikoje, pacientams pagal Pareiškėjo nurodytą indikacijos sąlygą, kai</w:t>
      </w:r>
      <w:r w:rsidRPr="00D35FF0">
        <w:t xml:space="preserve"> prieš tai buvo nepakankamai veiksmingas gydymas</w:t>
      </w:r>
      <w:r w:rsidRPr="00D35FF0">
        <w:rPr>
          <w:u w:val="single"/>
        </w:rPr>
        <w:t xml:space="preserve"> bent dviem </w:t>
      </w:r>
      <w:r w:rsidRPr="00D35FF0">
        <w:rPr>
          <w:rFonts w:eastAsia="Arial"/>
          <w:color w:val="000000"/>
          <w:u w:val="single"/>
        </w:rPr>
        <w:t xml:space="preserve">nesteroidiniais vaistais nuo uždegimo (NVNU)) </w:t>
      </w:r>
      <w:r w:rsidRPr="00D35FF0">
        <w:rPr>
          <w:rFonts w:eastAsia="Arial"/>
          <w:color w:val="000000"/>
        </w:rPr>
        <w:t xml:space="preserve">yra skiriamas biologinis gydymas, </w:t>
      </w:r>
      <w:proofErr w:type="spellStart"/>
      <w:r w:rsidRPr="00D35FF0">
        <w:rPr>
          <w:rFonts w:eastAsia="Arial"/>
          <w:color w:val="000000"/>
        </w:rPr>
        <w:t>t.y</w:t>
      </w:r>
      <w:proofErr w:type="spellEnd"/>
      <w:r w:rsidRPr="00D35FF0">
        <w:rPr>
          <w:rFonts w:eastAsia="Arial"/>
          <w:color w:val="000000"/>
        </w:rPr>
        <w:t>.</w:t>
      </w:r>
      <w:r w:rsidRPr="00D35FF0">
        <w:t xml:space="preserve"> TNFα blokatoriumi pagal mažiausią VLK skelbiamą metinę gydymo kainą. Tarnyba vertina, kad pareiškėjo pateikta įprastinė atvejo analizė, kuri yra pagrįsta tiesioginio palyginimo su </w:t>
      </w:r>
      <w:proofErr w:type="spellStart"/>
      <w:r w:rsidRPr="00D35FF0">
        <w:t>placebu</w:t>
      </w:r>
      <w:proofErr w:type="spellEnd"/>
      <w:r w:rsidRPr="00D35FF0">
        <w:t xml:space="preserve"> PREVENT klinikinio tyrimo duomenimis, neatitinka Lietuvos klinikinės praktikos ir yra netinkama analizei. Standartiniu </w:t>
      </w:r>
      <w:proofErr w:type="spellStart"/>
      <w:r w:rsidRPr="00D35FF0">
        <w:t>nr-aSpA</w:t>
      </w:r>
      <w:proofErr w:type="spellEnd"/>
      <w:r w:rsidRPr="00D35FF0">
        <w:t xml:space="preserve"> gydymu yra laikomas gydymas biologiniais vaistiniais preparatais ir </w:t>
      </w:r>
      <w:proofErr w:type="spellStart"/>
      <w:r w:rsidRPr="00D35FF0">
        <w:t>nr-aSpA</w:t>
      </w:r>
      <w:proofErr w:type="spellEnd"/>
      <w:r w:rsidRPr="00D35FF0">
        <w:t xml:space="preserve"> gydymui Lietuvoje yra kompensuojami TNFα inhibitoriai: </w:t>
      </w:r>
      <w:proofErr w:type="spellStart"/>
      <w:r w:rsidRPr="00D35FF0">
        <w:t>adalimumbas</w:t>
      </w:r>
      <w:proofErr w:type="spellEnd"/>
      <w:r w:rsidRPr="00D35FF0">
        <w:t xml:space="preserve"> (ADA) ir </w:t>
      </w:r>
      <w:proofErr w:type="spellStart"/>
      <w:r w:rsidRPr="00D35FF0">
        <w:t>etanerceptas</w:t>
      </w:r>
      <w:proofErr w:type="spellEnd"/>
      <w:r w:rsidRPr="00D35FF0">
        <w:t xml:space="preserve"> (ETA).</w:t>
      </w:r>
    </w:p>
    <w:p w14:paraId="0ED9D0CF" w14:textId="77777777" w:rsidR="00CD13F5" w:rsidRPr="00D35FF0" w:rsidRDefault="00CD13F5" w:rsidP="00CD13F5">
      <w:pPr>
        <w:pStyle w:val="Sraopastraipa"/>
        <w:tabs>
          <w:tab w:val="left" w:pos="567"/>
          <w:tab w:val="left" w:pos="1134"/>
          <w:tab w:val="left" w:pos="1701"/>
          <w:tab w:val="left" w:pos="2268"/>
        </w:tabs>
        <w:spacing w:after="160" w:line="259" w:lineRule="auto"/>
        <w:ind w:left="0"/>
        <w:jc w:val="both"/>
      </w:pPr>
      <w:r w:rsidRPr="00D35FF0">
        <w:rPr>
          <w:b/>
        </w:rPr>
        <w:tab/>
      </w:r>
      <w:r w:rsidRPr="00D35FF0">
        <w:t xml:space="preserve">Vertinant, kad </w:t>
      </w:r>
      <w:proofErr w:type="spellStart"/>
      <w:r w:rsidRPr="00D35FF0">
        <w:t>sekukinumabas</w:t>
      </w:r>
      <w:proofErr w:type="spellEnd"/>
      <w:r w:rsidRPr="00D35FF0">
        <w:t xml:space="preserve"> būtų skiriamas </w:t>
      </w:r>
      <w:r w:rsidRPr="00D35FF0">
        <w:rPr>
          <w:u w:val="single"/>
        </w:rPr>
        <w:t>kai prieš tai buvo nepakankamai veiksmingas gydymas TNF-alfa blokatoriais</w:t>
      </w:r>
      <w:r w:rsidRPr="00D35FF0">
        <w:rPr>
          <w:rFonts w:eastAsia="Arial"/>
          <w:color w:val="000000"/>
          <w:u w:val="single"/>
        </w:rPr>
        <w:t xml:space="preserve"> </w:t>
      </w:r>
      <w:r w:rsidRPr="00D35FF0">
        <w:rPr>
          <w:rFonts w:eastAsia="Arial"/>
          <w:color w:val="000000"/>
        </w:rPr>
        <w:t>(ADA, ETA)</w:t>
      </w:r>
      <w:r w:rsidRPr="00D35FF0">
        <w:t>,</w:t>
      </w:r>
      <w:r w:rsidRPr="00D35FF0">
        <w:rPr>
          <w:sz w:val="22"/>
        </w:rPr>
        <w:t xml:space="preserve"> </w:t>
      </w:r>
      <w:r w:rsidRPr="00D35FF0">
        <w:t>(Pareiškėjo pateikta antrinė kaštų analizė, kurioje analizuojami biologinį gydymą gavę pacientai) įtraukta</w:t>
      </w:r>
      <w:r w:rsidRPr="00D35FF0">
        <w:rPr>
          <w:rFonts w:eastAsia="Arial"/>
          <w:color w:val="000000"/>
        </w:rPr>
        <w:t xml:space="preserve"> tiriamoji populiacija nėra tinkama, kadangi </w:t>
      </w:r>
      <w:r w:rsidRPr="00D35FF0">
        <w:t xml:space="preserve">PREVENT tyrimo duomenimis tik mažai daliai pacientų buvo skirtas gydymas TNFα inhibitoriais (9,7 proc.). Tarnyba vertina, kad analizuojamas pogrupis yra per mažos imties bei dėl nepakankamos tyrimo galios neatspindi pacientų populiacijos, kuriems yra skiriamas gydymas TNFα inhibitoriais. </w:t>
      </w:r>
      <w:r w:rsidRPr="00D35FF0">
        <w:lastRenderedPageBreak/>
        <w:t xml:space="preserve">Tarnybai iš anksčiau pateiktų vertinimų ir literatūroje pasiekiamos informacijos yra žinoma, kad biologinį gydymą gavusių pacientų atsakas skiriasi lyginant su pacientais, kurie nebuvo gydyti biologiniais vaistiniais preparatais, todėl vertinama, kad efektas šiam į analizę įtrauktam pogrupiui yra neaiškus. Neaiškus gydymo efektas lieka ir pacientų pogrupiui, kuriems TNFα inhibitoriai (ADA, ETA) </w:t>
      </w:r>
      <w:proofErr w:type="spellStart"/>
      <w:r w:rsidRPr="00D35FF0">
        <w:t>kontraindikuotini</w:t>
      </w:r>
      <w:proofErr w:type="spellEnd"/>
      <w:r w:rsidRPr="00D35FF0">
        <w:t>.</w:t>
      </w:r>
    </w:p>
    <w:p w14:paraId="552C53CD" w14:textId="77777777" w:rsidR="00CD13F5" w:rsidRPr="00D35FF0" w:rsidRDefault="00CD13F5" w:rsidP="00CD13F5">
      <w:pPr>
        <w:pStyle w:val="Sraopastraipa"/>
        <w:tabs>
          <w:tab w:val="left" w:pos="567"/>
          <w:tab w:val="left" w:pos="1134"/>
          <w:tab w:val="left" w:pos="1701"/>
          <w:tab w:val="left" w:pos="2268"/>
        </w:tabs>
        <w:ind w:left="0"/>
        <w:jc w:val="both"/>
      </w:pPr>
      <w:r w:rsidRPr="00D35FF0">
        <w:rPr>
          <w:b/>
          <w:bCs/>
          <w:color w:val="000000"/>
          <w:lang w:eastAsia="lt-LT"/>
        </w:rPr>
        <w:tab/>
      </w:r>
      <w:r w:rsidRPr="00D35FF0">
        <w:rPr>
          <w:bCs/>
          <w:color w:val="000000"/>
          <w:lang w:eastAsia="lt-LT"/>
        </w:rPr>
        <w:t xml:space="preserve">Tarnybai yra žinomos </w:t>
      </w:r>
      <w:proofErr w:type="spellStart"/>
      <w:r w:rsidRPr="00D35FF0">
        <w:rPr>
          <w:bCs/>
          <w:color w:val="000000"/>
          <w:lang w:eastAsia="lt-LT"/>
        </w:rPr>
        <w:t>adalimumabo</w:t>
      </w:r>
      <w:proofErr w:type="spellEnd"/>
      <w:r w:rsidRPr="00D35FF0">
        <w:rPr>
          <w:bCs/>
          <w:color w:val="000000"/>
          <w:lang w:eastAsia="lt-LT"/>
        </w:rPr>
        <w:t xml:space="preserve"> ir </w:t>
      </w:r>
      <w:proofErr w:type="spellStart"/>
      <w:r w:rsidRPr="00D35FF0">
        <w:rPr>
          <w:bCs/>
          <w:color w:val="000000"/>
          <w:lang w:eastAsia="lt-LT"/>
        </w:rPr>
        <w:t>etanercepto</w:t>
      </w:r>
      <w:proofErr w:type="spellEnd"/>
      <w:r w:rsidRPr="00D35FF0">
        <w:rPr>
          <w:bCs/>
          <w:color w:val="000000"/>
          <w:lang w:eastAsia="lt-LT"/>
        </w:rPr>
        <w:t xml:space="preserve"> Lietuvai taikomos kainos nuolaidos. Valstybinė ligonių kasa pateikė duomenis (2022 m. liepos 22 d.), kurie ADA ir ETA biologiškai panašūs vaistiniai preparatai yra skiriami dažniausiai (pagal faktinius duomenis) ir yra pigiausi vertinant pagal metinius gydymo kaštus, kuriuos </w:t>
      </w:r>
      <w:proofErr w:type="spellStart"/>
      <w:r w:rsidRPr="00D35FF0">
        <w:rPr>
          <w:bCs/>
          <w:color w:val="000000"/>
          <w:lang w:eastAsia="lt-LT"/>
        </w:rPr>
        <w:t>sekukinumabas</w:t>
      </w:r>
      <w:proofErr w:type="spellEnd"/>
      <w:r w:rsidRPr="00D35FF0">
        <w:rPr>
          <w:bCs/>
          <w:color w:val="000000"/>
          <w:lang w:eastAsia="lt-LT"/>
        </w:rPr>
        <w:t xml:space="preserve"> siektų pakeisti </w:t>
      </w:r>
      <w:proofErr w:type="spellStart"/>
      <w:r w:rsidRPr="00D35FF0">
        <w:t>nr-aSpA</w:t>
      </w:r>
      <w:proofErr w:type="spellEnd"/>
      <w:r w:rsidRPr="00D35FF0">
        <w:t xml:space="preserve"> gydymui. Vertinant Pareiškėjo pateiktą kaštų mažinimo analizę, kurioje </w:t>
      </w:r>
      <w:proofErr w:type="spellStart"/>
      <w:r w:rsidRPr="00D35FF0">
        <w:t>sekukinumabas</w:t>
      </w:r>
      <w:proofErr w:type="spellEnd"/>
      <w:r w:rsidRPr="00D35FF0">
        <w:t xml:space="preserve"> lyginamas su </w:t>
      </w:r>
      <w:proofErr w:type="spellStart"/>
      <w:r w:rsidRPr="00D35FF0">
        <w:t>adalimumabu</w:t>
      </w:r>
      <w:proofErr w:type="spellEnd"/>
      <w:r w:rsidRPr="00D35FF0">
        <w:t xml:space="preserve"> ir </w:t>
      </w:r>
      <w:proofErr w:type="spellStart"/>
      <w:r w:rsidRPr="00D35FF0">
        <w:t>etanerceptu</w:t>
      </w:r>
      <w:proofErr w:type="spellEnd"/>
      <w:r w:rsidRPr="00D35FF0">
        <w:t xml:space="preserve"> (tinkamais palyginamaisiais), pritaikius palyginamųjų Lietuvai taikomas kainos nuolaidas, gydymo </w:t>
      </w:r>
      <w:proofErr w:type="spellStart"/>
      <w:r w:rsidRPr="00D35FF0">
        <w:t>sekukinumabu</w:t>
      </w:r>
      <w:proofErr w:type="spellEnd"/>
      <w:r w:rsidRPr="00D35FF0">
        <w:t xml:space="preserve"> kaštai yra brangiausi. </w:t>
      </w:r>
    </w:p>
    <w:p w14:paraId="2097C351" w14:textId="77777777" w:rsidR="00CD13F5" w:rsidRPr="00D35FF0" w:rsidRDefault="00CD13F5" w:rsidP="00CD13F5">
      <w:pPr>
        <w:ind w:firstLine="360"/>
        <w:jc w:val="both"/>
        <w:rPr>
          <w:rFonts w:eastAsia="Arial"/>
          <w:color w:val="000000"/>
        </w:rPr>
      </w:pPr>
      <w:r w:rsidRPr="00D35FF0">
        <w:rPr>
          <w:rFonts w:eastAsia="Arial"/>
        </w:rPr>
        <w:t xml:space="preserve">Tarnyba, vadovaudamasi Lietuvos respublikos Sveikatos apsaugos ministro </w:t>
      </w:r>
      <w:r w:rsidRPr="00D35FF0">
        <w:rPr>
          <w:color w:val="000000"/>
        </w:rPr>
        <w:t>2002 m. balandžio 5 d. </w:t>
      </w:r>
      <w:r w:rsidRPr="00D35FF0">
        <w:rPr>
          <w:rFonts w:eastAsia="Arial"/>
        </w:rPr>
        <w:t xml:space="preserve">įsakymu Nr. 159 „Dėl </w:t>
      </w:r>
      <w:r w:rsidRPr="00D35FF0">
        <w:rPr>
          <w:bCs/>
          <w:color w:val="000000"/>
        </w:rPr>
        <w:t>vaistinių preparatų ir medicinos pagalbos priemonių įrašymo į kompensavimo sąrašus ir jų keitimo tvarkos aprašo patvirtinimo</w:t>
      </w:r>
      <w:r w:rsidRPr="00D35FF0">
        <w:rPr>
          <w:rFonts w:eastAsia="Arial"/>
        </w:rPr>
        <w:t xml:space="preserve">“ (toliau – Aprašas) 25 punktu, 2022 m. liepos 29 d. kreipėsi į pareiškėją, ir paprašė atsakyti į klausimus dėl numatomo gydymo </w:t>
      </w:r>
      <w:proofErr w:type="spellStart"/>
      <w:r w:rsidRPr="00D35FF0">
        <w:rPr>
          <w:rFonts w:eastAsia="Arial"/>
        </w:rPr>
        <w:t>sekukinumabu</w:t>
      </w:r>
      <w:proofErr w:type="spellEnd"/>
      <w:r w:rsidRPr="00D35FF0">
        <w:rPr>
          <w:rFonts w:eastAsia="Arial"/>
        </w:rPr>
        <w:t xml:space="preserve"> eiliškumo ir kitų su eiliškumu susijusių klausimų (populiacijos, palyginamojo, modeliavimo prielaidų pagrindimo)</w:t>
      </w:r>
      <w:r w:rsidRPr="00D35FF0">
        <w:t xml:space="preserve">. Pareiškėjas taip pat buvo prašomas pateikti </w:t>
      </w:r>
      <w:r w:rsidRPr="00D35FF0">
        <w:rPr>
          <w:rFonts w:eastAsia="Arial"/>
          <w:color w:val="000000"/>
        </w:rPr>
        <w:t xml:space="preserve">informaciją apie Lietuvai taikomos </w:t>
      </w:r>
      <w:proofErr w:type="spellStart"/>
      <w:r w:rsidRPr="00D35FF0">
        <w:rPr>
          <w:rFonts w:eastAsia="Arial"/>
          <w:color w:val="000000"/>
        </w:rPr>
        <w:t>sekukinumabo</w:t>
      </w:r>
      <w:proofErr w:type="spellEnd"/>
      <w:r w:rsidRPr="00D35FF0">
        <w:rPr>
          <w:rFonts w:eastAsia="Arial"/>
          <w:color w:val="000000"/>
        </w:rPr>
        <w:t xml:space="preserve"> kainos nuolaidos dydį (jei tokia būtų taikoma).  </w:t>
      </w:r>
    </w:p>
    <w:p w14:paraId="792CC281" w14:textId="77777777" w:rsidR="00CD13F5" w:rsidRPr="00D35FF0" w:rsidRDefault="00CD13F5" w:rsidP="00CD13F5">
      <w:pPr>
        <w:pStyle w:val="Sraopastraipa"/>
        <w:tabs>
          <w:tab w:val="left" w:pos="567"/>
          <w:tab w:val="left" w:pos="1134"/>
          <w:tab w:val="left" w:pos="1701"/>
          <w:tab w:val="left" w:pos="2268"/>
        </w:tabs>
        <w:spacing w:after="160" w:line="259" w:lineRule="auto"/>
        <w:ind w:left="0"/>
        <w:jc w:val="both"/>
      </w:pPr>
      <w:r w:rsidRPr="00D35FF0">
        <w:tab/>
      </w:r>
      <w:r w:rsidRPr="00D35FF0">
        <w:rPr>
          <w:rFonts w:eastAsia="Arial"/>
        </w:rPr>
        <w:t xml:space="preserve">Per Aprašo 25.1 papunktyje nustatytą terminą pareiškėjui nepateikus prašomos informacijos, </w:t>
      </w:r>
      <w:r w:rsidRPr="00D35FF0">
        <w:t xml:space="preserve">lieka neišspręsti klausimai dėl ekonominės paraiškos dalies, </w:t>
      </w:r>
      <w:proofErr w:type="spellStart"/>
      <w:r w:rsidRPr="00D35FF0">
        <w:t>t.y</w:t>
      </w:r>
      <w:proofErr w:type="spellEnd"/>
      <w:r w:rsidRPr="00D35FF0">
        <w:t xml:space="preserve">., neaišku, kurioje gydymo eilėje būtų skiriamas </w:t>
      </w:r>
      <w:proofErr w:type="spellStart"/>
      <w:r w:rsidRPr="00D35FF0">
        <w:t>sekukinumabas</w:t>
      </w:r>
      <w:proofErr w:type="spellEnd"/>
      <w:r w:rsidRPr="00D35FF0">
        <w:t xml:space="preserve"> ir nuo to priklauso vertinamos populiacijos, palyginamųjų vaistinių preparatų, klinikinių duomenų pagrindimo, modeliavimo, </w:t>
      </w:r>
      <w:proofErr w:type="spellStart"/>
      <w:r w:rsidRPr="00D35FF0">
        <w:t>ekstrapoliavimo</w:t>
      </w:r>
      <w:proofErr w:type="spellEnd"/>
      <w:r w:rsidRPr="00D35FF0">
        <w:t xml:space="preserve"> prielaidų ir kitų analizės veiksnių tinkamumas ir pagrindimas.</w:t>
      </w:r>
    </w:p>
    <w:p w14:paraId="452EC506" w14:textId="77777777" w:rsidR="00CD13F5" w:rsidRPr="00D35FF0" w:rsidRDefault="00CD13F5" w:rsidP="00CD13F5">
      <w:pPr>
        <w:pStyle w:val="Sraopastraipa"/>
        <w:tabs>
          <w:tab w:val="left" w:pos="567"/>
          <w:tab w:val="left" w:pos="1134"/>
          <w:tab w:val="left" w:pos="1701"/>
          <w:tab w:val="left" w:pos="2268"/>
        </w:tabs>
        <w:spacing w:after="160" w:line="259" w:lineRule="auto"/>
        <w:ind w:left="0"/>
        <w:jc w:val="both"/>
      </w:pPr>
      <w:r w:rsidRPr="00D35FF0">
        <w:rPr>
          <w:rFonts w:eastAsia="Arial"/>
        </w:rPr>
        <w:tab/>
        <w:t xml:space="preserve">Atsižvelgiat į aukščiau išdėstytą ir vadovaujantis Aprašo 26 punktu, daroma išvada, kad </w:t>
      </w:r>
      <w:r w:rsidRPr="00D35FF0">
        <w:rPr>
          <w:iCs/>
          <w:lang w:eastAsia="lt-LT"/>
        </w:rPr>
        <w:t>pareiškėjo pateikta kaštų analizė nėra tinkama kaštų naudingumui ar mažinimui įvertinti.</w:t>
      </w:r>
    </w:p>
    <w:p w14:paraId="2E496241" w14:textId="77777777" w:rsidR="00CD13F5" w:rsidRPr="00D35FF0" w:rsidRDefault="00CD13F5" w:rsidP="00CD13F5">
      <w:pPr>
        <w:tabs>
          <w:tab w:val="left" w:pos="426"/>
        </w:tabs>
        <w:rPr>
          <w:b/>
          <w:bCs/>
          <w:caps/>
        </w:rPr>
      </w:pPr>
    </w:p>
    <w:p w14:paraId="504B20BE" w14:textId="77777777" w:rsidR="00CD13F5" w:rsidRPr="00D35FF0" w:rsidRDefault="00CD13F5" w:rsidP="00CD13F5">
      <w:pPr>
        <w:pStyle w:val="Sraopastraipa"/>
        <w:numPr>
          <w:ilvl w:val="0"/>
          <w:numId w:val="12"/>
        </w:numPr>
        <w:tabs>
          <w:tab w:val="left" w:pos="567"/>
        </w:tabs>
        <w:ind w:hanging="720"/>
        <w:rPr>
          <w:b/>
          <w:bCs/>
          <w:caps/>
        </w:rPr>
      </w:pPr>
      <w:r w:rsidRPr="00D35FF0">
        <w:rPr>
          <w:b/>
          <w:bCs/>
          <w:caps/>
        </w:rPr>
        <w:t xml:space="preserve">Pacientų organizacijų pateikti duomenys </w:t>
      </w:r>
    </w:p>
    <w:p w14:paraId="6D33FDA6" w14:textId="77777777" w:rsidR="00CD13F5" w:rsidRPr="00D35FF0" w:rsidRDefault="00F01DBF" w:rsidP="00CD13F5">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CD13F5" w:rsidRPr="00D35FF0">
            <w:rPr>
              <w:rStyle w:val="Style2"/>
              <w:rFonts w:ascii="MS Gothic" w:eastAsia="MS Gothic" w:hAnsi="MS Gothic"/>
              <w:sz w:val="24"/>
            </w:rPr>
            <w:t>☒</w:t>
          </w:r>
        </w:sdtContent>
      </w:sdt>
      <w:r w:rsidR="00CD13F5" w:rsidRPr="00D35FF0">
        <w:t xml:space="preserve"> Pacientų organizacijos pozicija pateikta. Žr. priedą.</w:t>
      </w:r>
    </w:p>
    <w:p w14:paraId="7E96C755" w14:textId="77777777" w:rsidR="00CD13F5" w:rsidRPr="00D35FF0" w:rsidRDefault="00F01DBF" w:rsidP="00CD13F5">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MS Gothic" w:eastAsia="MS Gothic" w:hAnsi="MS Gothic"/>
              <w:sz w:val="24"/>
            </w:rPr>
            <w:t>☐</w:t>
          </w:r>
        </w:sdtContent>
      </w:sdt>
      <w:r w:rsidR="00CD13F5" w:rsidRPr="00D35FF0">
        <w:t xml:space="preserve"> Pacientų organizacijos pozicija nepateikta.</w:t>
      </w:r>
    </w:p>
    <w:p w14:paraId="7969F5CC" w14:textId="77777777" w:rsidR="00CD13F5" w:rsidRPr="00D35FF0" w:rsidRDefault="00CD13F5" w:rsidP="00CD13F5">
      <w:pPr>
        <w:spacing w:after="120"/>
        <w:jc w:val="both"/>
      </w:pPr>
    </w:p>
    <w:p w14:paraId="71077EEE" w14:textId="77777777" w:rsidR="00CD13F5" w:rsidRPr="00D35FF0" w:rsidRDefault="00CD13F5" w:rsidP="00CD13F5">
      <w:pPr>
        <w:pStyle w:val="Sraopastraipa"/>
        <w:numPr>
          <w:ilvl w:val="0"/>
          <w:numId w:val="12"/>
        </w:numPr>
        <w:tabs>
          <w:tab w:val="left" w:pos="567"/>
        </w:tabs>
        <w:ind w:hanging="720"/>
        <w:rPr>
          <w:b/>
          <w:bCs/>
          <w:caps/>
        </w:rPr>
      </w:pPr>
      <w:r w:rsidRPr="00D35FF0">
        <w:rPr>
          <w:b/>
          <w:bCs/>
          <w:caps/>
        </w:rPr>
        <w:t>Gydytojų organizacijų pateikti duomenys</w:t>
      </w:r>
    </w:p>
    <w:p w14:paraId="479D58FC" w14:textId="745002A5" w:rsidR="00CD13F5" w:rsidRPr="00D35FF0" w:rsidRDefault="00F01DBF" w:rsidP="00CD13F5">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090B9D">
            <w:rPr>
              <w:rStyle w:val="Style2"/>
              <w:rFonts w:ascii="MS Gothic" w:eastAsia="MS Gothic" w:hAnsi="MS Gothic" w:hint="eastAsia"/>
              <w:sz w:val="24"/>
            </w:rPr>
            <w:t>☒</w:t>
          </w:r>
        </w:sdtContent>
      </w:sdt>
      <w:r w:rsidR="00CD13F5" w:rsidRPr="00D35FF0">
        <w:t xml:space="preserve"> Gydytojų specialistų organizacijos pozicija pateikta. Žr. priedą.</w:t>
      </w:r>
    </w:p>
    <w:p w14:paraId="7A6BA45E" w14:textId="699B1701" w:rsidR="00CD13F5" w:rsidRPr="00D35FF0" w:rsidRDefault="00F01DBF" w:rsidP="00CD13F5">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090B9D">
            <w:rPr>
              <w:rStyle w:val="Style2"/>
              <w:rFonts w:ascii="MS Gothic" w:eastAsia="MS Gothic" w:hAnsi="MS Gothic" w:hint="eastAsia"/>
              <w:sz w:val="24"/>
            </w:rPr>
            <w:t>☐</w:t>
          </w:r>
        </w:sdtContent>
      </w:sdt>
      <w:r w:rsidR="00CD13F5" w:rsidRPr="00D35FF0">
        <w:t xml:space="preserve"> Gydytojų specialistų organizacijos pozicija nepateikta.</w:t>
      </w:r>
    </w:p>
    <w:p w14:paraId="0E8DAEC6" w14:textId="77777777" w:rsidR="00CD13F5" w:rsidRPr="00D35FF0" w:rsidRDefault="00CD13F5" w:rsidP="00CD13F5">
      <w:pPr>
        <w:spacing w:after="120"/>
        <w:jc w:val="both"/>
      </w:pPr>
    </w:p>
    <w:p w14:paraId="6C76A8E2" w14:textId="77777777" w:rsidR="00CD13F5" w:rsidRPr="00D35FF0" w:rsidRDefault="00CD13F5" w:rsidP="00CD13F5">
      <w:pPr>
        <w:pStyle w:val="Sraopastraipa"/>
        <w:numPr>
          <w:ilvl w:val="0"/>
          <w:numId w:val="12"/>
        </w:numPr>
        <w:tabs>
          <w:tab w:val="left" w:pos="567"/>
        </w:tabs>
        <w:ind w:hanging="720"/>
        <w:rPr>
          <w:b/>
          <w:bCs/>
          <w:caps/>
        </w:rPr>
      </w:pPr>
      <w:r w:rsidRPr="00D35FF0">
        <w:rPr>
          <w:b/>
          <w:bCs/>
          <w:caps/>
        </w:rPr>
        <w:t xml:space="preserve">Išvada </w:t>
      </w:r>
    </w:p>
    <w:p w14:paraId="1F39E6D5" w14:textId="77777777" w:rsidR="00CD13F5" w:rsidRPr="00D35FF0" w:rsidRDefault="00CD13F5" w:rsidP="00CD13F5">
      <w:pPr>
        <w:rPr>
          <w:i/>
          <w:color w:val="00B050"/>
          <w:szCs w:val="22"/>
        </w:rPr>
      </w:pPr>
    </w:p>
    <w:tbl>
      <w:tblPr>
        <w:tblStyle w:val="Lentelstinklelis"/>
        <w:tblW w:w="0" w:type="auto"/>
        <w:tblLook w:val="04A0" w:firstRow="1" w:lastRow="0" w:firstColumn="1" w:lastColumn="0" w:noHBand="0" w:noVBand="1"/>
      </w:tblPr>
      <w:tblGrid>
        <w:gridCol w:w="4815"/>
        <w:gridCol w:w="4814"/>
      </w:tblGrid>
      <w:tr w:rsidR="00CD13F5" w:rsidRPr="00D35FF0" w14:paraId="1C28B054" w14:textId="77777777" w:rsidTr="009F7324">
        <w:trPr>
          <w:trHeight w:val="510"/>
        </w:trPr>
        <w:tc>
          <w:tcPr>
            <w:tcW w:w="4815" w:type="dxa"/>
            <w:vAlign w:val="center"/>
          </w:tcPr>
          <w:p w14:paraId="0B592F42"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D35FF0">
              <w:rPr>
                <w:rStyle w:val="Style2"/>
                <w:rFonts w:eastAsia="MS Gothic"/>
                <w:b/>
                <w:bCs/>
                <w:sz w:val="24"/>
              </w:rPr>
              <w:t>Rekomenduojama kompensuoti</w:t>
            </w:r>
          </w:p>
        </w:tc>
        <w:tc>
          <w:tcPr>
            <w:tcW w:w="4814" w:type="dxa"/>
            <w:vAlign w:val="center"/>
          </w:tcPr>
          <w:p w14:paraId="77769B17"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D35FF0">
              <w:rPr>
                <w:rStyle w:val="Style2"/>
                <w:rFonts w:eastAsia="MS Gothic"/>
                <w:b/>
                <w:bCs/>
                <w:sz w:val="24"/>
              </w:rPr>
              <w:t xml:space="preserve">Rekomenduojama nekompensuoti </w:t>
            </w:r>
          </w:p>
        </w:tc>
      </w:tr>
      <w:tr w:rsidR="00CD13F5" w:rsidRPr="00D35FF0" w14:paraId="2A2BD62C" w14:textId="77777777" w:rsidTr="009F7324">
        <w:trPr>
          <w:trHeight w:val="510"/>
        </w:trPr>
        <w:tc>
          <w:tcPr>
            <w:tcW w:w="9629" w:type="dxa"/>
            <w:gridSpan w:val="2"/>
            <w:vAlign w:val="center"/>
          </w:tcPr>
          <w:p w14:paraId="60013A70"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D35FF0">
              <w:rPr>
                <w:rStyle w:val="Style2"/>
                <w:rFonts w:eastAsia="MS Gothic"/>
                <w:b/>
                <w:bCs/>
                <w:sz w:val="24"/>
              </w:rPr>
              <w:t>Palyginamasis efektyvumas</w:t>
            </w:r>
          </w:p>
        </w:tc>
      </w:tr>
      <w:tr w:rsidR="00CD13F5" w:rsidRPr="00D35FF0" w14:paraId="45D43B3B" w14:textId="77777777" w:rsidTr="009F7324">
        <w:tc>
          <w:tcPr>
            <w:tcW w:w="4815" w:type="dxa"/>
          </w:tcPr>
          <w:p w14:paraId="6EC416A5"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32.1. yra didesnis</w:t>
            </w:r>
          </w:p>
          <w:p w14:paraId="73A5AEC6"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2EE56E"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247E69"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31246A1"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32.1. iš esmės nesiskiria</w:t>
            </w:r>
          </w:p>
        </w:tc>
        <w:tc>
          <w:tcPr>
            <w:tcW w:w="4814" w:type="dxa"/>
          </w:tcPr>
          <w:p w14:paraId="7F2C6913"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33.1. yra mažesnis, lyginant su įprasta klinikine praktika</w:t>
            </w:r>
          </w:p>
          <w:p w14:paraId="65C7EEE4"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49DBC"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33.1. yra neįrodytas kaip toks pat, lyginant su įprasta klinikine praktika</w:t>
            </w:r>
          </w:p>
          <w:p w14:paraId="11C40746"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57B0F8"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33.1 yra neįrodytas kaip didesnis, lyginant su įprasta klinikine praktika</w:t>
            </w:r>
          </w:p>
          <w:p w14:paraId="472CD7D6"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60F9FF"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EndPr>
                <w:rPr>
                  <w:rStyle w:val="Style2"/>
                </w:rPr>
              </w:sdtEndPr>
              <w:sdtContent>
                <w:r w:rsidR="00CD13F5" w:rsidRPr="00D35FF0">
                  <w:rPr>
                    <w:rStyle w:val="Style2"/>
                    <w:rFonts w:ascii="MS Gothic" w:eastAsia="MS Gothic" w:hAnsi="MS Gothic"/>
                    <w:sz w:val="24"/>
                  </w:rPr>
                  <w:t>☒</w:t>
                </w:r>
              </w:sdtContent>
            </w:sdt>
            <w:r w:rsidR="00CD13F5" w:rsidRPr="00D35FF0">
              <w:t xml:space="preserve"> 33.1. pateikti duomenys apie palyginamąjį efektyvumą yra netinkami vertinti</w:t>
            </w:r>
          </w:p>
          <w:p w14:paraId="09636988"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CD13F5" w:rsidRPr="00D35FF0" w14:paraId="32C34B5A" w14:textId="77777777" w:rsidTr="009F7324">
        <w:trPr>
          <w:trHeight w:val="510"/>
        </w:trPr>
        <w:tc>
          <w:tcPr>
            <w:tcW w:w="9629" w:type="dxa"/>
            <w:gridSpan w:val="2"/>
            <w:vAlign w:val="center"/>
          </w:tcPr>
          <w:p w14:paraId="79F12271"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D35FF0">
              <w:rPr>
                <w:rStyle w:val="Style2"/>
                <w:rFonts w:eastAsia="MS Gothic"/>
                <w:b/>
                <w:bCs/>
                <w:sz w:val="24"/>
              </w:rPr>
              <w:lastRenderedPageBreak/>
              <w:t>Klinikinis veiksmingumas</w:t>
            </w:r>
          </w:p>
        </w:tc>
      </w:tr>
      <w:tr w:rsidR="00CD13F5" w:rsidRPr="00D35FF0" w14:paraId="2EC7A5A8" w14:textId="77777777" w:rsidTr="009F7324">
        <w:tc>
          <w:tcPr>
            <w:tcW w:w="4815" w:type="dxa"/>
          </w:tcPr>
          <w:p w14:paraId="092E90BE"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32.2. yra įvertintas kaip pagrindžiantis papildomos naudos pacientų sveikatai sukūrimą, lyginant su įprasta klinikine praktika</w:t>
            </w:r>
          </w:p>
          <w:p w14:paraId="5A7382B8"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C6AA171"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32.2. yra įvertintas kaip pagrindžiantis nesiskiriančios naudos pacientų sveikatai sukūrimą, lyginant su įprasta klinikine praktika</w:t>
            </w:r>
          </w:p>
          <w:p w14:paraId="41C0224D"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02F0AAEF" w14:textId="77777777" w:rsidR="00CD13F5" w:rsidRPr="00D35FF0" w:rsidRDefault="00F01DBF" w:rsidP="009F7324">
            <w:pPr>
              <w:jc w:val="both"/>
            </w:pPr>
            <w:sdt>
              <w:sdtPr>
                <w:rPr>
                  <w:rStyle w:val="Style2"/>
                  <w:sz w:val="24"/>
                </w:rPr>
                <w:id w:val="-1034573056"/>
                <w15:color w:val="FFCC00"/>
                <w14:checkbox>
                  <w14:checked w14:val="1"/>
                  <w14:checkedState w14:val="2612" w14:font="MS Gothic"/>
                  <w14:uncheckedState w14:val="2610" w14:font="MS Gothic"/>
                </w14:checkbox>
              </w:sdtPr>
              <w:sdtEndPr>
                <w:rPr>
                  <w:rStyle w:val="Style2"/>
                </w:rPr>
              </w:sdtEndPr>
              <w:sdtContent>
                <w:r w:rsidR="00CD13F5" w:rsidRPr="00D35FF0">
                  <w:rPr>
                    <w:rStyle w:val="Style2"/>
                    <w:rFonts w:ascii="MS Gothic" w:eastAsia="MS Gothic" w:hAnsi="MS Gothic"/>
                    <w:sz w:val="24"/>
                  </w:rPr>
                  <w:t>☒</w:t>
                </w:r>
              </w:sdtContent>
            </w:sdt>
            <w:r w:rsidR="00CD13F5" w:rsidRPr="00D35FF0">
              <w:t xml:space="preserve"> 33.1. yra įvertintas kaip nepagrindžiantis papildomos naudos pacientų sveikatai sukūrimo, lyginant su  įprasta klinikine praktika</w:t>
            </w:r>
          </w:p>
          <w:p w14:paraId="65DA46D3" w14:textId="77777777" w:rsidR="00CD13F5" w:rsidRPr="00D35FF0" w:rsidRDefault="00CD13F5" w:rsidP="009F7324">
            <w:pPr>
              <w:jc w:val="both"/>
            </w:pPr>
          </w:p>
          <w:p w14:paraId="01DBE8BF" w14:textId="77777777" w:rsidR="00CD13F5" w:rsidRPr="00D35FF0" w:rsidRDefault="00F01DBF" w:rsidP="009F7324">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33.1. yra įvertintas kaip nepagrindžiantis nesiskiriančios naudos pacientų sveikatai sukūrimo, lyginant su įprasta klinikine praktika</w:t>
            </w:r>
          </w:p>
          <w:p w14:paraId="6C7C9491"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5C6CD4"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CD13F5" w:rsidRPr="00D35FF0" w14:paraId="566E7A74" w14:textId="77777777" w:rsidTr="009F7324">
        <w:trPr>
          <w:trHeight w:val="510"/>
        </w:trPr>
        <w:tc>
          <w:tcPr>
            <w:tcW w:w="9629" w:type="dxa"/>
            <w:gridSpan w:val="2"/>
            <w:vAlign w:val="center"/>
          </w:tcPr>
          <w:p w14:paraId="3C2AF10E"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D35FF0">
              <w:rPr>
                <w:rStyle w:val="Style2"/>
                <w:rFonts w:eastAsia="MS Gothic"/>
                <w:b/>
                <w:bCs/>
                <w:sz w:val="24"/>
              </w:rPr>
              <w:t>Kaštų naudingumas</w:t>
            </w:r>
          </w:p>
        </w:tc>
      </w:tr>
      <w:tr w:rsidR="00CD13F5" w:rsidRPr="00D35FF0" w14:paraId="61A298E8" w14:textId="77777777" w:rsidTr="009F7324">
        <w:tc>
          <w:tcPr>
            <w:tcW w:w="4815" w:type="dxa"/>
          </w:tcPr>
          <w:p w14:paraId="675CA235"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MS Gothic" w:eastAsia="MS Gothic" w:hAnsi="MS Gothic"/>
                    <w:sz w:val="24"/>
                  </w:rPr>
                  <w:t>☐</w:t>
                </w:r>
              </w:sdtContent>
            </w:sdt>
            <w:r w:rsidR="00CD13F5" w:rsidRPr="00D35FF0">
              <w:t xml:space="preserve"> 32.3. atitinka referencinę naudingumo vertę, &lt;taikant PGS&gt; &lt;netaikant PGS&gt;</w:t>
            </w:r>
          </w:p>
          <w:p w14:paraId="67C7C4EF"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DB046D"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32.3. gydymo juo kaštai yra mažesni ar tokie patys esant iš esmės nesiskiriančiam palyginamajam efektyvumui, &lt;taikant PGS&gt; &lt;netaikant PGS&gt;, lyginant su įprasta klinikine praktika</w:t>
            </w:r>
          </w:p>
          <w:p w14:paraId="6E45B03F"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02875B66"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33.3. neatitinka referencinės naudingumo vertės Lietuvos Respublikoje</w:t>
            </w:r>
          </w:p>
          <w:p w14:paraId="1DCA0AEF"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B12331D"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CD13F5" w:rsidRPr="00D35FF0">
                  <w:rPr>
                    <w:rStyle w:val="Style2"/>
                    <w:rFonts w:ascii="Segoe UI Symbol" w:eastAsia="MS Gothic" w:hAnsi="Segoe UI Symbol" w:cs="Segoe UI Symbol"/>
                    <w:sz w:val="24"/>
                  </w:rPr>
                  <w:t>☐</w:t>
                </w:r>
              </w:sdtContent>
            </w:sdt>
            <w:r w:rsidR="00CD13F5" w:rsidRPr="00D35FF0">
              <w:t xml:space="preserve"> 33.3. gydymo juo kaštai yra didesni esant iš esmės nesiskiriančiam palyginamajam efektyvumui, &lt;taikant PGS&gt; &lt;netaikant PGS&gt;, lyginant su įprasta klinikine praktika</w:t>
            </w:r>
          </w:p>
          <w:p w14:paraId="343FCA89"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E49ABEF" w14:textId="77777777" w:rsidR="00CD13F5" w:rsidRPr="00D35FF0" w:rsidRDefault="00F01DBF"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EndPr>
                <w:rPr>
                  <w:rStyle w:val="Style2"/>
                </w:rPr>
              </w:sdtEndPr>
              <w:sdtContent>
                <w:r w:rsidR="00CD13F5" w:rsidRPr="00D35FF0">
                  <w:rPr>
                    <w:rStyle w:val="Style2"/>
                    <w:rFonts w:ascii="MS Gothic" w:eastAsia="MS Gothic" w:hAnsi="MS Gothic"/>
                    <w:sz w:val="24"/>
                  </w:rPr>
                  <w:t>☒</w:t>
                </w:r>
              </w:sdtContent>
            </w:sdt>
            <w:r w:rsidR="00CD13F5" w:rsidRPr="00D35FF0">
              <w:t xml:space="preserve"> 33.3. pateikti duomenys apie kaštų naudingumą yra netinkami vertinti</w:t>
            </w:r>
          </w:p>
          <w:p w14:paraId="3B55B236" w14:textId="77777777" w:rsidR="00CD13F5" w:rsidRPr="00D35FF0" w:rsidRDefault="00CD13F5" w:rsidP="009F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35D0ED93" w14:textId="77777777" w:rsidR="00CD13F5" w:rsidRPr="00D35FF0" w:rsidRDefault="00CD13F5" w:rsidP="00CD13F5"/>
    <w:p w14:paraId="2B36EC75" w14:textId="77777777" w:rsidR="00CD13F5" w:rsidRPr="00D35FF0" w:rsidRDefault="00CD13F5" w:rsidP="00CD13F5"/>
    <w:p w14:paraId="751A05FD" w14:textId="0B99AB94" w:rsidR="00CD13F5" w:rsidRPr="00E14B58" w:rsidRDefault="00CD13F5" w:rsidP="00CD13F5">
      <w:pPr>
        <w:pStyle w:val="Sraopastraipa"/>
        <w:numPr>
          <w:ilvl w:val="0"/>
          <w:numId w:val="12"/>
        </w:numPr>
        <w:ind w:left="567" w:hanging="567"/>
      </w:pPr>
      <w:r w:rsidRPr="00D35FF0">
        <w:rPr>
          <w:b/>
        </w:rPr>
        <w:t>REKOMENDACIJA</w:t>
      </w:r>
    </w:p>
    <w:p w14:paraId="215805DD" w14:textId="77777777" w:rsidR="00E14B58" w:rsidRPr="00D35FF0" w:rsidRDefault="00E14B58" w:rsidP="00E14B58">
      <w:pPr>
        <w:pStyle w:val="Sraopastraipa"/>
        <w:ind w:left="567"/>
      </w:pPr>
      <w:bookmarkStart w:id="0" w:name="_GoBack"/>
      <w:bookmarkEnd w:id="0"/>
    </w:p>
    <w:p w14:paraId="6C00E993" w14:textId="2A4ADD58" w:rsidR="00CD13F5" w:rsidRPr="00D35FF0" w:rsidRDefault="00CD13F5" w:rsidP="00680E4E">
      <w:pPr>
        <w:ind w:firstLine="567"/>
        <w:jc w:val="both"/>
        <w:rPr>
          <w:i/>
        </w:rPr>
      </w:pPr>
      <w:r w:rsidRPr="00D35FF0">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rsidR="00D61124">
        <w:t xml:space="preserve"> punktu </w:t>
      </w:r>
      <w:r w:rsidRPr="00D35FF0">
        <w:t xml:space="preserve">34.4. rekomenduojama </w:t>
      </w:r>
      <w:r w:rsidRPr="00D35FF0">
        <w:rPr>
          <w:i/>
        </w:rPr>
        <w:t xml:space="preserve">nekompensuoti </w:t>
      </w:r>
      <w:r w:rsidRPr="00D35FF0">
        <w:t xml:space="preserve">vaistinio preparato pagal paraiškoje nurodytą indikaciją: </w:t>
      </w:r>
      <w:r w:rsidRPr="00D35FF0">
        <w:rPr>
          <w:i/>
        </w:rPr>
        <w:t>„</w:t>
      </w:r>
      <w:proofErr w:type="spellStart"/>
      <w:r w:rsidRPr="00D35FF0">
        <w:rPr>
          <w:i/>
        </w:rPr>
        <w:t>Cosentyx</w:t>
      </w:r>
      <w:proofErr w:type="spellEnd"/>
      <w:r w:rsidRPr="00D35FF0">
        <w:rPr>
          <w:i/>
        </w:rPr>
        <w:t xml:space="preserve"> skirtas aktyviu </w:t>
      </w:r>
      <w:proofErr w:type="spellStart"/>
      <w:r w:rsidRPr="00D35FF0">
        <w:rPr>
          <w:i/>
        </w:rPr>
        <w:t>neradiografiniu</w:t>
      </w:r>
      <w:proofErr w:type="spellEnd"/>
      <w:r w:rsidRPr="00D35FF0">
        <w:rPr>
          <w:i/>
        </w:rPr>
        <w:t xml:space="preserve"> ašiniu </w:t>
      </w:r>
      <w:proofErr w:type="spellStart"/>
      <w:r w:rsidRPr="00D35FF0">
        <w:rPr>
          <w:i/>
        </w:rPr>
        <w:t>spondiloartritu</w:t>
      </w:r>
      <w:proofErr w:type="spellEnd"/>
      <w:r w:rsidRPr="00D35FF0">
        <w:rPr>
          <w:i/>
        </w:rPr>
        <w:t xml:space="preserve"> sergantiems suaugusiems pacientams gydyti, kai nustatoma objektyvių uždegimo požymių, kuriuos rodo padidėjęs C reaktyvinio baltymo (CRB) kiekis ir (arba) magnetinio rezonanso tomografijos (MRT) požymiai, bei kai pacientams gydymas nesteroidiniais vaistais nuo uždegimo (NVNU) buvo nepakankamai veiksmingas“ </w:t>
      </w:r>
      <w:r w:rsidRPr="00D35FF0">
        <w:t>dėl vertinimo išvadų, nurodytų 33.1</w:t>
      </w:r>
      <w:r w:rsidR="00000DC3">
        <w:t xml:space="preserve"> ir 33.3</w:t>
      </w:r>
      <w:r w:rsidRPr="00D35FF0">
        <w:t xml:space="preserve"> papun</w:t>
      </w:r>
      <w:r w:rsidR="00000DC3">
        <w:t>kčiuose</w:t>
      </w:r>
      <w:r w:rsidRPr="00D35FF0">
        <w:t>, neatitikties 34.1 papunktyje išdėstytoms sąlygoms.</w:t>
      </w:r>
    </w:p>
    <w:p w14:paraId="6872404F" w14:textId="36313FE0" w:rsidR="00C76C0A" w:rsidRPr="00D35FF0" w:rsidRDefault="00C76C0A" w:rsidP="00CD13F5">
      <w:pPr>
        <w:spacing w:line="280" w:lineRule="atLeast"/>
        <w:ind w:firstLine="720"/>
        <w:jc w:val="both"/>
        <w:rPr>
          <w:i/>
        </w:rPr>
      </w:pPr>
    </w:p>
    <w:sectPr w:rsidR="00C76C0A" w:rsidRPr="00D35FF0" w:rsidSect="005D30E1">
      <w:headerReference w:type="even" r:id="rId9"/>
      <w:head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5933" w16cex:dateUtc="2022-07-01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3EA7" w16cid:durableId="26695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91F31" w14:textId="77777777" w:rsidR="00F01DBF" w:rsidRDefault="00F01DBF">
      <w:r>
        <w:separator/>
      </w:r>
    </w:p>
  </w:endnote>
  <w:endnote w:type="continuationSeparator" w:id="0">
    <w:p w14:paraId="5B741C64" w14:textId="77777777" w:rsidR="00F01DBF" w:rsidRDefault="00F0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3C00E" w14:textId="77777777" w:rsidR="00F01DBF" w:rsidRDefault="00F01DBF">
      <w:r>
        <w:separator/>
      </w:r>
    </w:p>
  </w:footnote>
  <w:footnote w:type="continuationSeparator" w:id="0">
    <w:p w14:paraId="70474330" w14:textId="77777777" w:rsidR="00F01DBF" w:rsidRDefault="00F01DBF">
      <w:r>
        <w:continuationSeparator/>
      </w:r>
    </w:p>
  </w:footnote>
  <w:footnote w:id="1">
    <w:p w14:paraId="5F57D638" w14:textId="7B080244" w:rsidR="000916A9" w:rsidRPr="009F1B3C" w:rsidRDefault="000916A9">
      <w:pPr>
        <w:pStyle w:val="Puslapioinaostekstas"/>
        <w:rPr>
          <w:lang w:val="en-US"/>
        </w:rPr>
      </w:pPr>
      <w:r>
        <w:rPr>
          <w:rStyle w:val="Puslapioinaosnuoroda"/>
        </w:rPr>
        <w:footnoteRef/>
      </w:r>
      <w:r>
        <w:t xml:space="preserve"> </w:t>
      </w:r>
      <w:proofErr w:type="spellStart"/>
      <w:r w:rsidR="00A0504D">
        <w:rPr>
          <w:color w:val="000000"/>
        </w:rPr>
        <w:t>Bath</w:t>
      </w:r>
      <w:proofErr w:type="spellEnd"/>
      <w:r w:rsidR="00A0504D">
        <w:rPr>
          <w:color w:val="000000"/>
        </w:rPr>
        <w:t xml:space="preserve"> </w:t>
      </w:r>
      <w:proofErr w:type="spellStart"/>
      <w:r w:rsidR="00A0504D">
        <w:rPr>
          <w:color w:val="000000"/>
        </w:rPr>
        <w:t>ankilozinio</w:t>
      </w:r>
      <w:proofErr w:type="spellEnd"/>
      <w:r w:rsidR="00A0504D">
        <w:rPr>
          <w:color w:val="000000"/>
        </w:rPr>
        <w:t xml:space="preserve"> </w:t>
      </w:r>
      <w:proofErr w:type="spellStart"/>
      <w:r w:rsidR="00A0504D">
        <w:rPr>
          <w:color w:val="000000"/>
        </w:rPr>
        <w:t>spondilito</w:t>
      </w:r>
      <w:proofErr w:type="spellEnd"/>
      <w:r w:rsidR="00A0504D">
        <w:rPr>
          <w:color w:val="000000"/>
        </w:rPr>
        <w:t xml:space="preserve"> ligos aktyvumo indeksas (angl. </w:t>
      </w:r>
      <w:proofErr w:type="spellStart"/>
      <w:r w:rsidR="00A0504D">
        <w:rPr>
          <w:i/>
          <w:iCs/>
          <w:color w:val="000000"/>
        </w:rPr>
        <w:t>Bath</w:t>
      </w:r>
      <w:proofErr w:type="spellEnd"/>
      <w:r w:rsidR="00A0504D">
        <w:rPr>
          <w:i/>
          <w:iCs/>
          <w:color w:val="000000"/>
        </w:rPr>
        <w:t xml:space="preserve"> </w:t>
      </w:r>
      <w:proofErr w:type="spellStart"/>
      <w:r w:rsidR="00A0504D">
        <w:rPr>
          <w:i/>
          <w:iCs/>
          <w:color w:val="000000"/>
        </w:rPr>
        <w:t>Akylosing</w:t>
      </w:r>
      <w:proofErr w:type="spellEnd"/>
      <w:r w:rsidR="00A0504D">
        <w:rPr>
          <w:i/>
          <w:iCs/>
          <w:color w:val="000000"/>
        </w:rPr>
        <w:t xml:space="preserve"> </w:t>
      </w:r>
      <w:proofErr w:type="spellStart"/>
      <w:r w:rsidR="00A0504D">
        <w:rPr>
          <w:i/>
          <w:iCs/>
          <w:color w:val="000000"/>
        </w:rPr>
        <w:t>Spondilitis</w:t>
      </w:r>
      <w:proofErr w:type="spellEnd"/>
      <w:r w:rsidR="00A0504D">
        <w:rPr>
          <w:i/>
          <w:iCs/>
          <w:color w:val="000000"/>
        </w:rPr>
        <w:t xml:space="preserve"> </w:t>
      </w:r>
      <w:proofErr w:type="spellStart"/>
      <w:r w:rsidR="00A0504D">
        <w:rPr>
          <w:i/>
          <w:iCs/>
          <w:color w:val="000000"/>
        </w:rPr>
        <w:t>Disease</w:t>
      </w:r>
      <w:proofErr w:type="spellEnd"/>
      <w:r w:rsidR="00A0504D">
        <w:rPr>
          <w:i/>
          <w:iCs/>
          <w:color w:val="000000"/>
        </w:rPr>
        <w:t xml:space="preserve"> </w:t>
      </w:r>
      <w:proofErr w:type="spellStart"/>
      <w:r w:rsidR="00A0504D">
        <w:rPr>
          <w:i/>
          <w:iCs/>
          <w:color w:val="000000"/>
        </w:rPr>
        <w:t>Actyvity</w:t>
      </w:r>
      <w:proofErr w:type="spellEnd"/>
      <w:r w:rsidR="00A0504D">
        <w:rPr>
          <w:i/>
          <w:iCs/>
          <w:color w:val="000000"/>
        </w:rPr>
        <w:t xml:space="preserve"> </w:t>
      </w:r>
      <w:proofErr w:type="spellStart"/>
      <w:r w:rsidR="00A0504D">
        <w:rPr>
          <w:i/>
          <w:iCs/>
          <w:color w:val="000000"/>
        </w:rPr>
        <w:t>Index</w:t>
      </w:r>
      <w:proofErr w:type="spellEnd"/>
      <w:r w:rsidR="00A0504D">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5E19A042"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4B58">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093CA9"/>
    <w:multiLevelType w:val="hybridMultilevel"/>
    <w:tmpl w:val="DF683C72"/>
    <w:lvl w:ilvl="0" w:tplc="6750D22E">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9D71FA"/>
    <w:multiLevelType w:val="hybridMultilevel"/>
    <w:tmpl w:val="ABD0C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2949B9"/>
    <w:multiLevelType w:val="hybridMultilevel"/>
    <w:tmpl w:val="B0B80226"/>
    <w:lvl w:ilvl="0" w:tplc="DEC4A94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4"/>
  </w:num>
  <w:num w:numId="7">
    <w:abstractNumId w:val="3"/>
  </w:num>
  <w:num w:numId="8">
    <w:abstractNumId w:val="14"/>
  </w:num>
  <w:num w:numId="9">
    <w:abstractNumId w:val="0"/>
  </w:num>
  <w:num w:numId="10">
    <w:abstractNumId w:val="9"/>
  </w:num>
  <w:num w:numId="11">
    <w:abstractNumId w:val="12"/>
  </w:num>
  <w:num w:numId="12">
    <w:abstractNumId w:val="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0DC3"/>
    <w:rsid w:val="00003F5B"/>
    <w:rsid w:val="000114DD"/>
    <w:rsid w:val="000136F7"/>
    <w:rsid w:val="0002686C"/>
    <w:rsid w:val="00031D0E"/>
    <w:rsid w:val="000337E6"/>
    <w:rsid w:val="0003402E"/>
    <w:rsid w:val="00034EAE"/>
    <w:rsid w:val="00042924"/>
    <w:rsid w:val="00053975"/>
    <w:rsid w:val="000540A4"/>
    <w:rsid w:val="00057A2B"/>
    <w:rsid w:val="000606BE"/>
    <w:rsid w:val="00070FE9"/>
    <w:rsid w:val="000723FF"/>
    <w:rsid w:val="000736B8"/>
    <w:rsid w:val="0008190F"/>
    <w:rsid w:val="00081D9C"/>
    <w:rsid w:val="00082907"/>
    <w:rsid w:val="0008378D"/>
    <w:rsid w:val="000908A5"/>
    <w:rsid w:val="00090B9D"/>
    <w:rsid w:val="000916A9"/>
    <w:rsid w:val="00092805"/>
    <w:rsid w:val="000A3457"/>
    <w:rsid w:val="000C454C"/>
    <w:rsid w:val="000D5038"/>
    <w:rsid w:val="000E29D4"/>
    <w:rsid w:val="000F3540"/>
    <w:rsid w:val="00100491"/>
    <w:rsid w:val="00104E2E"/>
    <w:rsid w:val="00107287"/>
    <w:rsid w:val="00107FE5"/>
    <w:rsid w:val="00117406"/>
    <w:rsid w:val="00121EF0"/>
    <w:rsid w:val="00124A9E"/>
    <w:rsid w:val="00130703"/>
    <w:rsid w:val="0013153F"/>
    <w:rsid w:val="00131D89"/>
    <w:rsid w:val="001408B8"/>
    <w:rsid w:val="001517E2"/>
    <w:rsid w:val="001521D9"/>
    <w:rsid w:val="001554E2"/>
    <w:rsid w:val="00164146"/>
    <w:rsid w:val="0017369C"/>
    <w:rsid w:val="00175D57"/>
    <w:rsid w:val="00180C39"/>
    <w:rsid w:val="00180D96"/>
    <w:rsid w:val="00184BD3"/>
    <w:rsid w:val="001921F3"/>
    <w:rsid w:val="001B3C5B"/>
    <w:rsid w:val="001D38C0"/>
    <w:rsid w:val="001D746F"/>
    <w:rsid w:val="001E4BBB"/>
    <w:rsid w:val="001E6304"/>
    <w:rsid w:val="0020381E"/>
    <w:rsid w:val="0020525C"/>
    <w:rsid w:val="00213471"/>
    <w:rsid w:val="00215906"/>
    <w:rsid w:val="002247F4"/>
    <w:rsid w:val="00237EAF"/>
    <w:rsid w:val="00241CD8"/>
    <w:rsid w:val="00244B09"/>
    <w:rsid w:val="002519CB"/>
    <w:rsid w:val="0025697F"/>
    <w:rsid w:val="00260258"/>
    <w:rsid w:val="002651B0"/>
    <w:rsid w:val="0026588E"/>
    <w:rsid w:val="00272428"/>
    <w:rsid w:val="00272948"/>
    <w:rsid w:val="002857AC"/>
    <w:rsid w:val="00292392"/>
    <w:rsid w:val="002946C7"/>
    <w:rsid w:val="00296974"/>
    <w:rsid w:val="002B3CC1"/>
    <w:rsid w:val="002C09E0"/>
    <w:rsid w:val="002C1BB1"/>
    <w:rsid w:val="002C2786"/>
    <w:rsid w:val="002C3A10"/>
    <w:rsid w:val="002C4A90"/>
    <w:rsid w:val="002C4ED5"/>
    <w:rsid w:val="002D02EF"/>
    <w:rsid w:val="002E0702"/>
    <w:rsid w:val="002E07F8"/>
    <w:rsid w:val="002E57AD"/>
    <w:rsid w:val="002E6F80"/>
    <w:rsid w:val="002F0E4F"/>
    <w:rsid w:val="002F1053"/>
    <w:rsid w:val="00300EC2"/>
    <w:rsid w:val="00317B0E"/>
    <w:rsid w:val="0033769A"/>
    <w:rsid w:val="00347FAA"/>
    <w:rsid w:val="0035039D"/>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5BB9"/>
    <w:rsid w:val="003D6208"/>
    <w:rsid w:val="003D6FE6"/>
    <w:rsid w:val="00404221"/>
    <w:rsid w:val="00404E8A"/>
    <w:rsid w:val="0040622F"/>
    <w:rsid w:val="00413F24"/>
    <w:rsid w:val="00414EE1"/>
    <w:rsid w:val="00420199"/>
    <w:rsid w:val="00422853"/>
    <w:rsid w:val="00423160"/>
    <w:rsid w:val="00453862"/>
    <w:rsid w:val="0045469B"/>
    <w:rsid w:val="00455A2F"/>
    <w:rsid w:val="00457408"/>
    <w:rsid w:val="00461338"/>
    <w:rsid w:val="004677DB"/>
    <w:rsid w:val="00471FEF"/>
    <w:rsid w:val="00476256"/>
    <w:rsid w:val="0048630F"/>
    <w:rsid w:val="004947A1"/>
    <w:rsid w:val="0049482A"/>
    <w:rsid w:val="004979D3"/>
    <w:rsid w:val="004A00E7"/>
    <w:rsid w:val="004A3A61"/>
    <w:rsid w:val="004A61A6"/>
    <w:rsid w:val="004B59BA"/>
    <w:rsid w:val="004B5A03"/>
    <w:rsid w:val="004B793F"/>
    <w:rsid w:val="004C263A"/>
    <w:rsid w:val="004C2DE5"/>
    <w:rsid w:val="004D48A6"/>
    <w:rsid w:val="004D7B8F"/>
    <w:rsid w:val="004E04C8"/>
    <w:rsid w:val="004E41B0"/>
    <w:rsid w:val="004E6458"/>
    <w:rsid w:val="004E6E7D"/>
    <w:rsid w:val="004F1AAC"/>
    <w:rsid w:val="004F1AE2"/>
    <w:rsid w:val="004F34F0"/>
    <w:rsid w:val="004F3B2B"/>
    <w:rsid w:val="004F3E75"/>
    <w:rsid w:val="004F45D6"/>
    <w:rsid w:val="004F6050"/>
    <w:rsid w:val="005005EF"/>
    <w:rsid w:val="005123C2"/>
    <w:rsid w:val="0052144B"/>
    <w:rsid w:val="00524066"/>
    <w:rsid w:val="005302CA"/>
    <w:rsid w:val="005340FD"/>
    <w:rsid w:val="00534E11"/>
    <w:rsid w:val="005378D8"/>
    <w:rsid w:val="005400D9"/>
    <w:rsid w:val="0054395B"/>
    <w:rsid w:val="005476A4"/>
    <w:rsid w:val="0055019B"/>
    <w:rsid w:val="00556E63"/>
    <w:rsid w:val="005601A4"/>
    <w:rsid w:val="00566DBB"/>
    <w:rsid w:val="00572FF5"/>
    <w:rsid w:val="00573438"/>
    <w:rsid w:val="005767DB"/>
    <w:rsid w:val="005815E6"/>
    <w:rsid w:val="0058712F"/>
    <w:rsid w:val="005976CE"/>
    <w:rsid w:val="005A041A"/>
    <w:rsid w:val="005A23D4"/>
    <w:rsid w:val="005A2D1E"/>
    <w:rsid w:val="005B3756"/>
    <w:rsid w:val="005C493F"/>
    <w:rsid w:val="005C6BF7"/>
    <w:rsid w:val="005C71BF"/>
    <w:rsid w:val="005D002C"/>
    <w:rsid w:val="005D30E1"/>
    <w:rsid w:val="005D6555"/>
    <w:rsid w:val="005D796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776CC"/>
    <w:rsid w:val="00680E4E"/>
    <w:rsid w:val="00682675"/>
    <w:rsid w:val="006834D3"/>
    <w:rsid w:val="00692625"/>
    <w:rsid w:val="00695CD3"/>
    <w:rsid w:val="006A38B6"/>
    <w:rsid w:val="006B1987"/>
    <w:rsid w:val="006B5B71"/>
    <w:rsid w:val="006B6CB0"/>
    <w:rsid w:val="006C0296"/>
    <w:rsid w:val="006C2B64"/>
    <w:rsid w:val="006D4C85"/>
    <w:rsid w:val="006D66AC"/>
    <w:rsid w:val="006D7D80"/>
    <w:rsid w:val="006E33F6"/>
    <w:rsid w:val="006F1251"/>
    <w:rsid w:val="006F1C23"/>
    <w:rsid w:val="00702C18"/>
    <w:rsid w:val="00703166"/>
    <w:rsid w:val="007127F3"/>
    <w:rsid w:val="007206D7"/>
    <w:rsid w:val="00722889"/>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5720"/>
    <w:rsid w:val="00857C52"/>
    <w:rsid w:val="00860D5F"/>
    <w:rsid w:val="008631C1"/>
    <w:rsid w:val="00880A44"/>
    <w:rsid w:val="0088345E"/>
    <w:rsid w:val="0088656F"/>
    <w:rsid w:val="00891EF6"/>
    <w:rsid w:val="008A0303"/>
    <w:rsid w:val="008A5FDD"/>
    <w:rsid w:val="008A61AD"/>
    <w:rsid w:val="008C25FD"/>
    <w:rsid w:val="008C3947"/>
    <w:rsid w:val="008E0140"/>
    <w:rsid w:val="008E1F2B"/>
    <w:rsid w:val="008E473B"/>
    <w:rsid w:val="008E51A6"/>
    <w:rsid w:val="008E7329"/>
    <w:rsid w:val="008F2ED5"/>
    <w:rsid w:val="0092297E"/>
    <w:rsid w:val="00923651"/>
    <w:rsid w:val="00927B56"/>
    <w:rsid w:val="009341BF"/>
    <w:rsid w:val="00935303"/>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1B3C"/>
    <w:rsid w:val="009F4D66"/>
    <w:rsid w:val="00A00C3C"/>
    <w:rsid w:val="00A01091"/>
    <w:rsid w:val="00A042B9"/>
    <w:rsid w:val="00A0504D"/>
    <w:rsid w:val="00A06C43"/>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B2D20"/>
    <w:rsid w:val="00AC26FC"/>
    <w:rsid w:val="00AC4A99"/>
    <w:rsid w:val="00AC64D2"/>
    <w:rsid w:val="00AD02E7"/>
    <w:rsid w:val="00AE0FE8"/>
    <w:rsid w:val="00AE1322"/>
    <w:rsid w:val="00AF27EB"/>
    <w:rsid w:val="00AF60D5"/>
    <w:rsid w:val="00B00959"/>
    <w:rsid w:val="00B04171"/>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4E4"/>
    <w:rsid w:val="00B94CB5"/>
    <w:rsid w:val="00BA0DD9"/>
    <w:rsid w:val="00BA5DBC"/>
    <w:rsid w:val="00BB6312"/>
    <w:rsid w:val="00BC4D06"/>
    <w:rsid w:val="00BD585E"/>
    <w:rsid w:val="00BD6919"/>
    <w:rsid w:val="00BD7955"/>
    <w:rsid w:val="00BE1EA7"/>
    <w:rsid w:val="00BE7489"/>
    <w:rsid w:val="00BF2E0D"/>
    <w:rsid w:val="00BF3927"/>
    <w:rsid w:val="00BF3F8B"/>
    <w:rsid w:val="00BF76DA"/>
    <w:rsid w:val="00C01444"/>
    <w:rsid w:val="00C07C7B"/>
    <w:rsid w:val="00C16245"/>
    <w:rsid w:val="00C22DC5"/>
    <w:rsid w:val="00C24479"/>
    <w:rsid w:val="00C273F2"/>
    <w:rsid w:val="00C37B53"/>
    <w:rsid w:val="00C517D2"/>
    <w:rsid w:val="00C51DAB"/>
    <w:rsid w:val="00C5772E"/>
    <w:rsid w:val="00C62B36"/>
    <w:rsid w:val="00C7012C"/>
    <w:rsid w:val="00C712EA"/>
    <w:rsid w:val="00C76C0A"/>
    <w:rsid w:val="00C9222E"/>
    <w:rsid w:val="00CA217D"/>
    <w:rsid w:val="00CB4038"/>
    <w:rsid w:val="00CC09D4"/>
    <w:rsid w:val="00CC668D"/>
    <w:rsid w:val="00CC7832"/>
    <w:rsid w:val="00CD13F5"/>
    <w:rsid w:val="00CF0C1C"/>
    <w:rsid w:val="00CF27FD"/>
    <w:rsid w:val="00CF5F12"/>
    <w:rsid w:val="00D00D8F"/>
    <w:rsid w:val="00D16C6F"/>
    <w:rsid w:val="00D2173C"/>
    <w:rsid w:val="00D21F3A"/>
    <w:rsid w:val="00D23808"/>
    <w:rsid w:val="00D3016A"/>
    <w:rsid w:val="00D35FF0"/>
    <w:rsid w:val="00D417D2"/>
    <w:rsid w:val="00D42960"/>
    <w:rsid w:val="00D43BD7"/>
    <w:rsid w:val="00D4485B"/>
    <w:rsid w:val="00D4708D"/>
    <w:rsid w:val="00D4744C"/>
    <w:rsid w:val="00D50412"/>
    <w:rsid w:val="00D521DE"/>
    <w:rsid w:val="00D5470B"/>
    <w:rsid w:val="00D60784"/>
    <w:rsid w:val="00D60FAF"/>
    <w:rsid w:val="00D61124"/>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0776D"/>
    <w:rsid w:val="00E14B58"/>
    <w:rsid w:val="00E24D45"/>
    <w:rsid w:val="00E32930"/>
    <w:rsid w:val="00E33DB8"/>
    <w:rsid w:val="00E33EFF"/>
    <w:rsid w:val="00E34387"/>
    <w:rsid w:val="00E348BA"/>
    <w:rsid w:val="00E369FE"/>
    <w:rsid w:val="00E37C6F"/>
    <w:rsid w:val="00E4434F"/>
    <w:rsid w:val="00E475F8"/>
    <w:rsid w:val="00E5102E"/>
    <w:rsid w:val="00E53D53"/>
    <w:rsid w:val="00E5721C"/>
    <w:rsid w:val="00E619C6"/>
    <w:rsid w:val="00E745A1"/>
    <w:rsid w:val="00E81529"/>
    <w:rsid w:val="00E83A13"/>
    <w:rsid w:val="00EB2606"/>
    <w:rsid w:val="00EB6FC5"/>
    <w:rsid w:val="00EC2356"/>
    <w:rsid w:val="00EC2582"/>
    <w:rsid w:val="00EC2EA7"/>
    <w:rsid w:val="00EC323A"/>
    <w:rsid w:val="00EC337C"/>
    <w:rsid w:val="00ED0CFF"/>
    <w:rsid w:val="00ED31D2"/>
    <w:rsid w:val="00EE0EAC"/>
    <w:rsid w:val="00EE3322"/>
    <w:rsid w:val="00EE33CB"/>
    <w:rsid w:val="00F0061A"/>
    <w:rsid w:val="00F01DBF"/>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E7C73"/>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Table Legend,Bullets Points,Table Header Row,Bullet Paragraph,Bullet Point,Dairy Paragraphe,Bullet List"/>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styleId="Dokumentoinaostekstas">
    <w:name w:val="endnote text"/>
    <w:basedOn w:val="prastasis"/>
    <w:link w:val="DokumentoinaostekstasDiagrama"/>
    <w:uiPriority w:val="99"/>
    <w:semiHidden/>
    <w:unhideWhenUsed/>
    <w:rsid w:val="00C51DA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1DAB"/>
    <w:rPr>
      <w:lang w:eastAsia="en-US"/>
    </w:rPr>
  </w:style>
  <w:style w:type="character" w:styleId="Dokumentoinaosnumeris">
    <w:name w:val="endnote reference"/>
    <w:basedOn w:val="Numatytasispastraiposriftas"/>
    <w:uiPriority w:val="99"/>
    <w:semiHidden/>
    <w:unhideWhenUsed/>
    <w:rsid w:val="00C51DAB"/>
    <w:rPr>
      <w:vertAlign w:val="superscript"/>
    </w:rPr>
  </w:style>
  <w:style w:type="character" w:customStyle="1" w:styleId="SraopastraipaDiagrama">
    <w:name w:val="Sąrašo pastraipa Diagrama"/>
    <w:aliases w:val="Table Legend Diagrama,Bullets Points Diagrama,Table Header Row Diagrama,Bullet Paragraph Diagrama,Bullet Point Diagrama,Dairy Paragraphe Diagrama,Bullet List Diagrama"/>
    <w:link w:val="Sraopastraipa"/>
    <w:uiPriority w:val="34"/>
    <w:rsid w:val="00C51DAB"/>
    <w:rPr>
      <w:sz w:val="24"/>
      <w:szCs w:val="24"/>
      <w:lang w:eastAsia="en-US"/>
    </w:rPr>
  </w:style>
  <w:style w:type="paragraph" w:styleId="Puslapioinaostekstas">
    <w:name w:val="footnote text"/>
    <w:basedOn w:val="prastasis"/>
    <w:link w:val="PuslapioinaostekstasDiagrama"/>
    <w:semiHidden/>
    <w:unhideWhenUsed/>
    <w:rsid w:val="000916A9"/>
    <w:rPr>
      <w:sz w:val="20"/>
      <w:szCs w:val="20"/>
    </w:rPr>
  </w:style>
  <w:style w:type="character" w:customStyle="1" w:styleId="PuslapioinaostekstasDiagrama">
    <w:name w:val="Puslapio išnašos tekstas Diagrama"/>
    <w:basedOn w:val="Numatytasispastraiposriftas"/>
    <w:link w:val="Puslapioinaostekstas"/>
    <w:semiHidden/>
    <w:rsid w:val="000916A9"/>
    <w:rPr>
      <w:lang w:eastAsia="en-US"/>
    </w:rPr>
  </w:style>
  <w:style w:type="character" w:styleId="Puslapioinaosnuoroda">
    <w:name w:val="footnote reference"/>
    <w:basedOn w:val="Numatytasispastraiposriftas"/>
    <w:semiHidden/>
    <w:unhideWhenUsed/>
    <w:rsid w:val="00091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98C5AC5F07E84B9183F88E3FE04048DE"/>
        <w:category>
          <w:name w:val="General"/>
          <w:gallery w:val="placeholder"/>
        </w:category>
        <w:types>
          <w:type w:val="bbPlcHdr"/>
        </w:types>
        <w:behaviors>
          <w:behavior w:val="content"/>
        </w:behaviors>
        <w:guid w:val="{6EE4E15C-284A-4550-AFF5-4D1FC836450D}"/>
      </w:docPartPr>
      <w:docPartBody>
        <w:p w:rsidR="00A9777F" w:rsidRDefault="00911C43" w:rsidP="00911C43">
          <w:pPr>
            <w:pStyle w:val="98C5AC5F07E84B9183F88E3FE04048DE"/>
          </w:pPr>
          <w:r>
            <w:rPr>
              <w:rStyle w:val="Vietosrezervavimoenklotekstas"/>
            </w:rPr>
            <w:t>Click here to enter a date.</w:t>
          </w:r>
        </w:p>
      </w:docPartBody>
    </w:docPart>
    <w:docPart>
      <w:docPartPr>
        <w:name w:val="275776653012462084C793A0DD0DB2D8"/>
        <w:category>
          <w:name w:val="General"/>
          <w:gallery w:val="placeholder"/>
        </w:category>
        <w:types>
          <w:type w:val="bbPlcHdr"/>
        </w:types>
        <w:behaviors>
          <w:behavior w:val="content"/>
        </w:behaviors>
        <w:guid w:val="{FAEB086D-EFC7-4EE0-AA25-CB3DECCB3FA0}"/>
      </w:docPartPr>
      <w:docPartBody>
        <w:p w:rsidR="00A9777F" w:rsidRDefault="00911C43" w:rsidP="00911C43">
          <w:pPr>
            <w:pStyle w:val="275776653012462084C793A0DD0DB2D8"/>
          </w:pPr>
          <w:r>
            <w:rPr>
              <w:rStyle w:val="Vietosrezervavimoenklotekstas"/>
            </w:rPr>
            <w:t>Click here to enter a date.</w:t>
          </w:r>
        </w:p>
      </w:docPartBody>
    </w:docPart>
    <w:docPart>
      <w:docPartPr>
        <w:name w:val="5F54170DA62F43E4A29373DA04B0CF6C"/>
        <w:category>
          <w:name w:val="General"/>
          <w:gallery w:val="placeholder"/>
        </w:category>
        <w:types>
          <w:type w:val="bbPlcHdr"/>
        </w:types>
        <w:behaviors>
          <w:behavior w:val="content"/>
        </w:behaviors>
        <w:guid w:val="{E569F1B5-7003-454B-9A7F-18AC39F78E9F}"/>
      </w:docPartPr>
      <w:docPartBody>
        <w:p w:rsidR="00A9777F" w:rsidRDefault="00911C43" w:rsidP="00911C43">
          <w:pPr>
            <w:pStyle w:val="5F54170DA62F43E4A29373DA04B0CF6C"/>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37556"/>
    <w:rsid w:val="0029409F"/>
    <w:rsid w:val="002B1548"/>
    <w:rsid w:val="0039303B"/>
    <w:rsid w:val="004144A3"/>
    <w:rsid w:val="004160E7"/>
    <w:rsid w:val="004416C6"/>
    <w:rsid w:val="004F5AB2"/>
    <w:rsid w:val="005074B9"/>
    <w:rsid w:val="005E40DD"/>
    <w:rsid w:val="00600AF0"/>
    <w:rsid w:val="00671871"/>
    <w:rsid w:val="007219C1"/>
    <w:rsid w:val="00736ABD"/>
    <w:rsid w:val="00753462"/>
    <w:rsid w:val="00766109"/>
    <w:rsid w:val="00772325"/>
    <w:rsid w:val="007A2FE0"/>
    <w:rsid w:val="007C6D1D"/>
    <w:rsid w:val="0082382A"/>
    <w:rsid w:val="0090074D"/>
    <w:rsid w:val="00911C43"/>
    <w:rsid w:val="00967926"/>
    <w:rsid w:val="00970978"/>
    <w:rsid w:val="009743F8"/>
    <w:rsid w:val="009B3BF0"/>
    <w:rsid w:val="009D5E5E"/>
    <w:rsid w:val="009F1BB4"/>
    <w:rsid w:val="00A6631B"/>
    <w:rsid w:val="00A9777F"/>
    <w:rsid w:val="00AB6ED4"/>
    <w:rsid w:val="00B14210"/>
    <w:rsid w:val="00B23DC0"/>
    <w:rsid w:val="00B96656"/>
    <w:rsid w:val="00BE29C1"/>
    <w:rsid w:val="00C06A35"/>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11C43"/>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98C5AC5F07E84B9183F88E3FE04048DE">
    <w:name w:val="98C5AC5F07E84B9183F88E3FE04048DE"/>
    <w:rsid w:val="00911C43"/>
  </w:style>
  <w:style w:type="paragraph" w:customStyle="1" w:styleId="275776653012462084C793A0DD0DB2D8">
    <w:name w:val="275776653012462084C793A0DD0DB2D8"/>
    <w:rsid w:val="00911C43"/>
  </w:style>
  <w:style w:type="paragraph" w:customStyle="1" w:styleId="FFDC3D88549B442D92697C4B6E5C25E4">
    <w:name w:val="FFDC3D88549B442D92697C4B6E5C25E4"/>
    <w:rsid w:val="00911C43"/>
  </w:style>
  <w:style w:type="paragraph" w:customStyle="1" w:styleId="5F54170DA62F43E4A29373DA04B0CF6C">
    <w:name w:val="5F54170DA62F43E4A29373DA04B0CF6C"/>
    <w:rsid w:val="00911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73374-5FAE-4ECC-ABB4-BEF81034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2</TotalTime>
  <Pages>7</Pages>
  <Words>11036</Words>
  <Characters>6291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17293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Rugilė Pilvinienė</cp:lastModifiedBy>
  <cp:revision>3</cp:revision>
  <cp:lastPrinted>2015-11-17T07:39:00Z</cp:lastPrinted>
  <dcterms:created xsi:type="dcterms:W3CDTF">2022-11-17T15:54:00Z</dcterms:created>
  <dcterms:modified xsi:type="dcterms:W3CDTF">2022-11-18T07:51:00Z</dcterms:modified>
</cp:coreProperties>
</file>