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5EB3" w14:textId="1955ADE3" w:rsidR="005F7602" w:rsidRPr="005F41F0" w:rsidRDefault="005F7602" w:rsidP="002946C7">
      <w:pPr>
        <w:ind w:left="5529"/>
      </w:pPr>
    </w:p>
    <w:p w14:paraId="12FA4B9E" w14:textId="77777777" w:rsidR="001B3C5B" w:rsidRPr="005F41F0" w:rsidRDefault="001B3C5B" w:rsidP="001B3C5B">
      <w:pPr>
        <w:ind w:left="6096"/>
      </w:pPr>
      <w:r w:rsidRPr="005F41F0">
        <w:t>Forma patvirtinta</w:t>
      </w:r>
    </w:p>
    <w:p w14:paraId="7206970B" w14:textId="70E9BD2E" w:rsidR="004C263A" w:rsidRPr="005F41F0" w:rsidRDefault="001B3C5B" w:rsidP="001B3C5B">
      <w:pPr>
        <w:ind w:left="6096"/>
      </w:pPr>
      <w:r w:rsidRPr="005F41F0">
        <w:t>Valstybinės vaistų kontrolės tarnybos prie Lietuvos Respublikos sveikatos apsaugos ministerijos viršininko 2021 m</w:t>
      </w:r>
      <w:r w:rsidR="004C263A" w:rsidRPr="005F41F0">
        <w:t xml:space="preserve">. lapkričio 12 </w:t>
      </w:r>
      <w:r w:rsidRPr="005F41F0">
        <w:t>d. įsakymu Nr.</w:t>
      </w:r>
      <w:r w:rsidR="004C263A" w:rsidRPr="005F41F0">
        <w:t xml:space="preserve"> (1.72E)1A-1418</w:t>
      </w:r>
    </w:p>
    <w:p w14:paraId="5B219AA6" w14:textId="520B9136" w:rsidR="001B3C5B" w:rsidRPr="005F41F0" w:rsidRDefault="004C263A" w:rsidP="001B3C5B">
      <w:pPr>
        <w:ind w:left="6096"/>
      </w:pPr>
      <w:r w:rsidRPr="005F41F0">
        <w:t>(Valstybinės vaistų kontrolės tarnybos prie Lietuvos Respublikos sveikatos apsaugos ministerijos viršininko 2022 m.                         d. įsakymo Nr.                    redakcija)</w:t>
      </w:r>
    </w:p>
    <w:p w14:paraId="3336BD74" w14:textId="77777777" w:rsidR="001B3C5B" w:rsidRPr="005F41F0" w:rsidRDefault="001B3C5B" w:rsidP="00FA4169"/>
    <w:p w14:paraId="77AFB67E" w14:textId="16397257" w:rsidR="00613501" w:rsidRPr="005F41F0" w:rsidRDefault="002F0E4F" w:rsidP="003B211A">
      <w:pPr>
        <w:jc w:val="center"/>
        <w:rPr>
          <w:b/>
          <w:bCs/>
          <w:caps/>
        </w:rPr>
      </w:pPr>
      <w:r w:rsidRPr="005F41F0">
        <w:rPr>
          <w:b/>
        </w:rPr>
        <w:t xml:space="preserve">REKOMENDACIJA DĖL VAISTINIO PREPARATO </w:t>
      </w:r>
      <w:r w:rsidRPr="005F41F0">
        <w:rPr>
          <w:b/>
          <w:bCs/>
          <w:caps/>
        </w:rPr>
        <w:t>Lietuvos Respublikos Sveikatos apsaugos ministerijos vaistinių preparatų ir medicinos pagalbos priemonių kompensavimo komisijai</w:t>
      </w:r>
    </w:p>
    <w:p w14:paraId="34E4395D" w14:textId="623D0445" w:rsidR="00B13D65" w:rsidRPr="005F41F0" w:rsidRDefault="00B13D65" w:rsidP="003B211A">
      <w:pPr>
        <w:jc w:val="center"/>
        <w:rPr>
          <w:b/>
        </w:rPr>
      </w:pPr>
    </w:p>
    <w:p w14:paraId="6508B27E" w14:textId="2C1E0869" w:rsidR="00A05CD4" w:rsidRPr="005F41F0" w:rsidRDefault="00A05CD4" w:rsidP="00A05CD4">
      <w:pPr>
        <w:jc w:val="center"/>
        <w:rPr>
          <w:b/>
        </w:rPr>
      </w:pPr>
      <w:r w:rsidRPr="005F41F0">
        <w:rPr>
          <w:b/>
        </w:rPr>
        <w:t>Xeljanz</w:t>
      </w:r>
      <w:r w:rsidR="005F41F0" w:rsidRPr="005F41F0">
        <w:rPr>
          <w:b/>
        </w:rPr>
        <w:t xml:space="preserve"> </w:t>
      </w:r>
      <w:r w:rsidRPr="005F41F0">
        <w:rPr>
          <w:b/>
        </w:rPr>
        <w:t>5mg plėvele dengta tabletė</w:t>
      </w:r>
    </w:p>
    <w:p w14:paraId="19B475E0" w14:textId="77777777" w:rsidR="00A05CD4" w:rsidRPr="005F41F0" w:rsidRDefault="00A05CD4" w:rsidP="00A05CD4">
      <w:pPr>
        <w:jc w:val="center"/>
      </w:pPr>
    </w:p>
    <w:p w14:paraId="3B1ACDA5" w14:textId="0D7A41B2" w:rsidR="00A05CD4" w:rsidRPr="005F41F0" w:rsidRDefault="00A05CD4" w:rsidP="00A05CD4">
      <w:pPr>
        <w:jc w:val="center"/>
      </w:pPr>
      <w:r w:rsidRPr="005F41F0">
        <w:rPr>
          <w:b/>
        </w:rPr>
        <w:t>Tofacitinibas</w:t>
      </w:r>
      <w:r w:rsidRPr="005F41F0">
        <w:rPr>
          <w:noProof/>
        </w:rPr>
        <w:t xml:space="preserve"> </w:t>
      </w:r>
    </w:p>
    <w:p w14:paraId="0E50006C" w14:textId="77777777" w:rsidR="00A05CD4" w:rsidRPr="005F41F0" w:rsidRDefault="00A05CD4" w:rsidP="00A05CD4">
      <w:pPr>
        <w:jc w:val="center"/>
      </w:pPr>
    </w:p>
    <w:p w14:paraId="2E2CDBAB" w14:textId="6BC49E65" w:rsidR="00A05CD4" w:rsidRPr="005F41F0" w:rsidRDefault="00A05CD4" w:rsidP="00A05CD4">
      <w:pPr>
        <w:jc w:val="center"/>
        <w:rPr>
          <w:b/>
        </w:rPr>
      </w:pPr>
      <w:r w:rsidRPr="005F41F0">
        <w:rPr>
          <w:b/>
        </w:rPr>
        <w:t>STV-120</w:t>
      </w:r>
    </w:p>
    <w:p w14:paraId="33D987A0" w14:textId="77777777" w:rsidR="001A0642" w:rsidRPr="005F41F0" w:rsidRDefault="001A0642" w:rsidP="003B211A">
      <w:pPr>
        <w:jc w:val="center"/>
        <w:rPr>
          <w:b/>
        </w:rPr>
      </w:pPr>
    </w:p>
    <w:p w14:paraId="78C89D1C" w14:textId="0DA88316" w:rsidR="00D4485B" w:rsidRPr="005F41F0" w:rsidRDefault="00B13D65" w:rsidP="00937907">
      <w:pPr>
        <w:pStyle w:val="Sraopastraipa"/>
        <w:numPr>
          <w:ilvl w:val="0"/>
          <w:numId w:val="12"/>
        </w:numPr>
        <w:tabs>
          <w:tab w:val="left" w:pos="284"/>
        </w:tabs>
        <w:rPr>
          <w:b/>
          <w:bCs/>
          <w:caps/>
        </w:rPr>
      </w:pPr>
      <w:r w:rsidRPr="005F41F0">
        <w:rPr>
          <w:b/>
          <w:bCs/>
          <w:caps/>
        </w:rPr>
        <w:t>Bendroji dalis</w:t>
      </w:r>
    </w:p>
    <w:p w14:paraId="04A7C7A7" w14:textId="77777777" w:rsidR="00B13D65" w:rsidRPr="005F41F0" w:rsidRDefault="00B13D65" w:rsidP="00E03C3F">
      <w:pPr>
        <w:pStyle w:val="Sraopastraipa"/>
        <w:tabs>
          <w:tab w:val="left" w:pos="284"/>
        </w:tabs>
        <w:ind w:left="0"/>
        <w:rPr>
          <w:b/>
          <w:bCs/>
          <w:caps/>
        </w:rPr>
      </w:pPr>
    </w:p>
    <w:tbl>
      <w:tblPr>
        <w:tblStyle w:val="Lentelstinklelis"/>
        <w:tblW w:w="9918" w:type="dxa"/>
        <w:tblLook w:val="04A0" w:firstRow="1" w:lastRow="0" w:firstColumn="1" w:lastColumn="0" w:noHBand="0" w:noVBand="1"/>
      </w:tblPr>
      <w:tblGrid>
        <w:gridCol w:w="705"/>
        <w:gridCol w:w="4117"/>
        <w:gridCol w:w="5096"/>
      </w:tblGrid>
      <w:tr w:rsidR="00542CF2" w:rsidRPr="005F41F0" w14:paraId="1FCF8040" w14:textId="77777777" w:rsidTr="000C7F15">
        <w:trPr>
          <w:trHeight w:val="342"/>
        </w:trPr>
        <w:tc>
          <w:tcPr>
            <w:tcW w:w="705" w:type="dxa"/>
          </w:tcPr>
          <w:p w14:paraId="7AFEF288" w14:textId="77777777" w:rsidR="00542CF2" w:rsidRPr="005F41F0" w:rsidRDefault="00542CF2" w:rsidP="000C7F15">
            <w:pPr>
              <w:tabs>
                <w:tab w:val="left" w:pos="284"/>
              </w:tabs>
              <w:spacing w:line="280" w:lineRule="atLeast"/>
              <w:rPr>
                <w:rFonts w:eastAsia="Arial"/>
                <w:b/>
              </w:rPr>
            </w:pPr>
            <w:r w:rsidRPr="005F41F0">
              <w:rPr>
                <w:rFonts w:eastAsia="Arial"/>
                <w:b/>
              </w:rPr>
              <w:t>1.1</w:t>
            </w:r>
          </w:p>
        </w:tc>
        <w:tc>
          <w:tcPr>
            <w:tcW w:w="4117" w:type="dxa"/>
          </w:tcPr>
          <w:p w14:paraId="21AB4BB0" w14:textId="77777777" w:rsidR="00542CF2" w:rsidRPr="005F41F0" w:rsidRDefault="00542CF2" w:rsidP="000C7F15">
            <w:pPr>
              <w:tabs>
                <w:tab w:val="left" w:pos="284"/>
              </w:tabs>
              <w:spacing w:line="280" w:lineRule="atLeast"/>
              <w:rPr>
                <w:b/>
                <w:bCs/>
                <w:color w:val="000000"/>
                <w:lang w:eastAsia="lt-LT"/>
              </w:rPr>
            </w:pPr>
            <w:r w:rsidRPr="005F41F0">
              <w:rPr>
                <w:b/>
                <w:bCs/>
                <w:color w:val="000000"/>
                <w:lang w:eastAsia="lt-LT"/>
              </w:rPr>
              <w:t>Pareiškėjas</w:t>
            </w:r>
          </w:p>
        </w:tc>
        <w:tc>
          <w:tcPr>
            <w:tcW w:w="5096" w:type="dxa"/>
          </w:tcPr>
          <w:p w14:paraId="43835137" w14:textId="77777777" w:rsidR="00542CF2" w:rsidRPr="005F41F0" w:rsidRDefault="00542CF2" w:rsidP="000C7F15">
            <w:pPr>
              <w:pStyle w:val="Sraopastraipa"/>
              <w:spacing w:after="120"/>
              <w:ind w:left="0"/>
              <w:contextualSpacing w:val="0"/>
              <w:jc w:val="both"/>
            </w:pPr>
            <w:r w:rsidRPr="005F41F0">
              <w:rPr>
                <w:rFonts w:eastAsia="Arial"/>
                <w:sz w:val="22"/>
                <w:szCs w:val="22"/>
              </w:rPr>
              <w:t>Pfizer Europe MA EEIG</w:t>
            </w:r>
          </w:p>
        </w:tc>
      </w:tr>
      <w:tr w:rsidR="00542CF2" w:rsidRPr="005F41F0" w14:paraId="0E651200" w14:textId="77777777" w:rsidTr="000C7F15">
        <w:trPr>
          <w:trHeight w:val="479"/>
        </w:trPr>
        <w:tc>
          <w:tcPr>
            <w:tcW w:w="705" w:type="dxa"/>
          </w:tcPr>
          <w:p w14:paraId="7677E5D9" w14:textId="77777777" w:rsidR="00542CF2" w:rsidRPr="005F41F0" w:rsidRDefault="00542CF2" w:rsidP="000C7F15">
            <w:pPr>
              <w:tabs>
                <w:tab w:val="left" w:pos="284"/>
              </w:tabs>
              <w:spacing w:line="280" w:lineRule="atLeast"/>
              <w:rPr>
                <w:rFonts w:eastAsia="Arial"/>
                <w:b/>
              </w:rPr>
            </w:pPr>
            <w:r w:rsidRPr="005F41F0">
              <w:rPr>
                <w:rFonts w:eastAsia="Arial"/>
                <w:b/>
              </w:rPr>
              <w:t>1.2</w:t>
            </w:r>
          </w:p>
        </w:tc>
        <w:tc>
          <w:tcPr>
            <w:tcW w:w="4117" w:type="dxa"/>
          </w:tcPr>
          <w:p w14:paraId="70B9A46C" w14:textId="77777777" w:rsidR="00542CF2" w:rsidRPr="005F41F0" w:rsidRDefault="00542CF2" w:rsidP="000C7F15">
            <w:pPr>
              <w:tabs>
                <w:tab w:val="left" w:pos="284"/>
              </w:tabs>
              <w:spacing w:line="280" w:lineRule="atLeast"/>
              <w:rPr>
                <w:b/>
                <w:bCs/>
                <w:color w:val="000000"/>
                <w:lang w:eastAsia="lt-LT"/>
              </w:rPr>
            </w:pPr>
            <w:r w:rsidRPr="005F41F0">
              <w:rPr>
                <w:b/>
                <w:bCs/>
                <w:color w:val="000000"/>
                <w:lang w:eastAsia="lt-LT"/>
              </w:rPr>
              <w:t>Registracijos data (EVA)</w:t>
            </w:r>
          </w:p>
          <w:p w14:paraId="1CE5C756" w14:textId="77777777" w:rsidR="00542CF2" w:rsidRPr="005F41F0" w:rsidRDefault="00542CF2" w:rsidP="000C7F15">
            <w:pPr>
              <w:tabs>
                <w:tab w:val="left" w:pos="284"/>
              </w:tabs>
              <w:spacing w:line="280" w:lineRule="atLeast"/>
              <w:rPr>
                <w:bCs/>
                <w:color w:val="000000"/>
                <w:lang w:eastAsia="lt-LT"/>
              </w:rPr>
            </w:pPr>
          </w:p>
        </w:tc>
        <w:tc>
          <w:tcPr>
            <w:tcW w:w="5096" w:type="dxa"/>
          </w:tcPr>
          <w:p w14:paraId="361CEAB6" w14:textId="77777777" w:rsidR="00542CF2" w:rsidRPr="005F41F0" w:rsidRDefault="00D51E3A" w:rsidP="000C7F15">
            <w:pPr>
              <w:pStyle w:val="Sraopastraipa"/>
              <w:spacing w:after="120"/>
              <w:ind w:left="0"/>
              <w:contextualSpacing w:val="0"/>
              <w:jc w:val="both"/>
              <w:rPr>
                <w:rStyle w:val="Style2"/>
              </w:rPr>
            </w:pPr>
            <w:sdt>
              <w:sdtPr>
                <w:rPr>
                  <w:color w:val="333333"/>
                  <w:sz w:val="32"/>
                  <w:shd w:val="clear" w:color="auto" w:fill="FFFFFF"/>
                </w:rPr>
                <w:alias w:val="Nurodykite konkrečią dieną"/>
                <w:tag w:val="Nurodykite pradžios datą"/>
                <w:id w:val="423238108"/>
                <w:placeholder>
                  <w:docPart w:val="67FBF5E54DA0402B934DBAE7CA6BC89F"/>
                </w:placeholder>
                <w15:color w:val="FFCC99"/>
                <w:date>
                  <w:dateFormat w:val="yyyy 'm.' MMMM d 'd.'"/>
                  <w:lid w:val="lt-LT"/>
                  <w:storeMappedDataAs w:val="dateTime"/>
                  <w:calendar w:val="gregorian"/>
                </w:date>
              </w:sdtPr>
              <w:sdtEndPr/>
              <w:sdtContent>
                <w:r w:rsidR="00542CF2" w:rsidRPr="005F41F0">
                  <w:rPr>
                    <w:color w:val="333333"/>
                    <w:shd w:val="clear" w:color="auto" w:fill="FFFFFF"/>
                  </w:rPr>
                  <w:t>2017 m. kovo 22 d.</w:t>
                </w:r>
              </w:sdtContent>
            </w:sdt>
          </w:p>
        </w:tc>
      </w:tr>
      <w:tr w:rsidR="00542CF2" w:rsidRPr="005F41F0" w14:paraId="6981B857" w14:textId="77777777" w:rsidTr="000C7F15">
        <w:trPr>
          <w:trHeight w:val="1328"/>
        </w:trPr>
        <w:tc>
          <w:tcPr>
            <w:tcW w:w="705" w:type="dxa"/>
          </w:tcPr>
          <w:p w14:paraId="56704139" w14:textId="77777777" w:rsidR="00542CF2" w:rsidRPr="005F41F0" w:rsidRDefault="00542CF2" w:rsidP="000C7F15">
            <w:pPr>
              <w:tabs>
                <w:tab w:val="left" w:pos="284"/>
              </w:tabs>
              <w:spacing w:line="280" w:lineRule="atLeast"/>
              <w:rPr>
                <w:rFonts w:eastAsia="Arial"/>
                <w:b/>
              </w:rPr>
            </w:pPr>
            <w:r w:rsidRPr="005F41F0">
              <w:rPr>
                <w:rFonts w:eastAsia="Arial"/>
                <w:b/>
              </w:rPr>
              <w:t>1.3</w:t>
            </w:r>
          </w:p>
        </w:tc>
        <w:tc>
          <w:tcPr>
            <w:tcW w:w="4117" w:type="dxa"/>
          </w:tcPr>
          <w:p w14:paraId="2B82FC87" w14:textId="77777777" w:rsidR="00542CF2" w:rsidRPr="005F41F0" w:rsidRDefault="00542CF2" w:rsidP="000C7F15">
            <w:pPr>
              <w:pStyle w:val="Betarp"/>
              <w:rPr>
                <w:rFonts w:ascii="Times New Roman" w:hAnsi="Times New Roman"/>
                <w:b/>
                <w:sz w:val="24"/>
                <w:szCs w:val="24"/>
              </w:rPr>
            </w:pPr>
            <w:r w:rsidRPr="005F41F0">
              <w:rPr>
                <w:rFonts w:ascii="Times New Roman" w:hAnsi="Times New Roman"/>
                <w:b/>
                <w:sz w:val="24"/>
                <w:szCs w:val="24"/>
              </w:rPr>
              <w:t xml:space="preserve">Paraiškos tipas </w:t>
            </w:r>
          </w:p>
          <w:p w14:paraId="5B1E9232" w14:textId="77777777" w:rsidR="00542CF2" w:rsidRPr="005F41F0" w:rsidRDefault="00542CF2" w:rsidP="000C7F15">
            <w:pPr>
              <w:rPr>
                <w:b/>
              </w:rPr>
            </w:pPr>
            <w:r w:rsidRPr="005F41F0">
              <w:rPr>
                <w:b/>
              </w:rPr>
              <w:t xml:space="preserve">(pagal </w:t>
            </w:r>
            <w:r w:rsidRPr="005F41F0">
              <w:rPr>
                <w:b/>
                <w:shd w:val="clear" w:color="auto" w:fill="FFFFFF"/>
              </w:rPr>
              <w:t>vaistinio preparato registracijos tipą, įtvirtintą</w:t>
            </w:r>
            <w:r w:rsidRPr="005F41F0">
              <w:rPr>
                <w:b/>
              </w:rPr>
              <w:t xml:space="preserve"> Direktyvos 2001/83/EB straipsniuose)</w:t>
            </w:r>
          </w:p>
          <w:p w14:paraId="3EDB691F" w14:textId="77777777" w:rsidR="00542CF2" w:rsidRPr="005F41F0" w:rsidRDefault="00542CF2" w:rsidP="000C7F15">
            <w:pPr>
              <w:tabs>
                <w:tab w:val="left" w:pos="284"/>
              </w:tabs>
              <w:spacing w:line="280" w:lineRule="atLeast"/>
              <w:rPr>
                <w:b/>
                <w:bCs/>
                <w:color w:val="000000"/>
                <w:lang w:eastAsia="lt-LT"/>
              </w:rPr>
            </w:pPr>
          </w:p>
        </w:tc>
        <w:tc>
          <w:tcPr>
            <w:tcW w:w="5096" w:type="dxa"/>
          </w:tcPr>
          <w:p w14:paraId="025CA5C1" w14:textId="77777777" w:rsidR="00542CF2" w:rsidRPr="005F41F0" w:rsidRDefault="00D51E3A" w:rsidP="000C7F15">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542CF2" w:rsidRPr="005F41F0">
                  <w:rPr>
                    <w:rStyle w:val="Style2"/>
                    <w:rFonts w:ascii="MS Gothic" w:eastAsia="MS Gothic" w:hAnsi="MS Gothic"/>
                  </w:rPr>
                  <w:t>☒</w:t>
                </w:r>
              </w:sdtContent>
            </w:sdt>
            <w:r w:rsidR="00542CF2" w:rsidRPr="005F41F0">
              <w:t xml:space="preserve"> 8.3 str. (pilna byla, pagrįsta savais tyrimais) </w:t>
            </w:r>
          </w:p>
          <w:p w14:paraId="374F8846" w14:textId="77777777" w:rsidR="00542CF2" w:rsidRPr="005F41F0" w:rsidRDefault="00D51E3A" w:rsidP="000C7F15">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542CF2" w:rsidRPr="005F41F0">
                  <w:rPr>
                    <w:rStyle w:val="Style2"/>
                    <w:rFonts w:ascii="Segoe UI Symbol" w:eastAsia="MS Gothic" w:hAnsi="Segoe UI Symbol" w:cs="Segoe UI Symbol"/>
                  </w:rPr>
                  <w:t>☐</w:t>
                </w:r>
              </w:sdtContent>
            </w:sdt>
            <w:r w:rsidR="00542CF2" w:rsidRPr="005F41F0">
              <w:t xml:space="preserve"> 10 a str. (pripažintas medicininis vartojimas) </w:t>
            </w:r>
          </w:p>
          <w:p w14:paraId="012BB0E4" w14:textId="77777777" w:rsidR="00542CF2" w:rsidRPr="005F41F0" w:rsidRDefault="00D51E3A" w:rsidP="000C7F15">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542CF2" w:rsidRPr="005F41F0">
                  <w:rPr>
                    <w:rStyle w:val="Style2"/>
                    <w:rFonts w:ascii="MS Gothic" w:eastAsia="MS Gothic" w:hAnsi="MS Gothic"/>
                  </w:rPr>
                  <w:t>☐</w:t>
                </w:r>
              </w:sdtContent>
            </w:sdt>
            <w:r w:rsidR="00542CF2" w:rsidRPr="005F41F0">
              <w:t xml:space="preserve"> 10.1 str. (generinis)</w:t>
            </w:r>
          </w:p>
          <w:p w14:paraId="042DBB93" w14:textId="77777777" w:rsidR="00542CF2" w:rsidRPr="005F41F0" w:rsidRDefault="00D51E3A" w:rsidP="000C7F15">
            <w:pPr>
              <w:rPr>
                <w:rStyle w:val="Style2"/>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542CF2" w:rsidRPr="005F41F0">
                  <w:rPr>
                    <w:rStyle w:val="Style2"/>
                    <w:rFonts w:ascii="Segoe UI Symbol" w:eastAsia="MS Gothic" w:hAnsi="Segoe UI Symbol" w:cs="Segoe UI Symbol"/>
                  </w:rPr>
                  <w:t>☐</w:t>
                </w:r>
              </w:sdtContent>
            </w:sdt>
            <w:r w:rsidR="00542CF2" w:rsidRPr="005F41F0">
              <w:t xml:space="preserve"> 10.3 str. (hibridinis)</w:t>
            </w:r>
          </w:p>
        </w:tc>
      </w:tr>
      <w:tr w:rsidR="00542CF2" w:rsidRPr="005F41F0" w14:paraId="27DA62D9" w14:textId="77777777" w:rsidTr="000C7F15">
        <w:trPr>
          <w:trHeight w:val="1109"/>
        </w:trPr>
        <w:tc>
          <w:tcPr>
            <w:tcW w:w="705" w:type="dxa"/>
          </w:tcPr>
          <w:p w14:paraId="3089C0F3" w14:textId="77777777" w:rsidR="00542CF2" w:rsidRPr="005F41F0" w:rsidRDefault="00542CF2" w:rsidP="000C7F15">
            <w:pPr>
              <w:tabs>
                <w:tab w:val="left" w:pos="284"/>
              </w:tabs>
              <w:spacing w:line="280" w:lineRule="atLeast"/>
              <w:rPr>
                <w:rFonts w:eastAsia="Arial"/>
                <w:b/>
              </w:rPr>
            </w:pPr>
            <w:r w:rsidRPr="005F41F0">
              <w:rPr>
                <w:rFonts w:eastAsia="Arial"/>
                <w:b/>
              </w:rPr>
              <w:t>1.4</w:t>
            </w:r>
          </w:p>
        </w:tc>
        <w:tc>
          <w:tcPr>
            <w:tcW w:w="4117" w:type="dxa"/>
          </w:tcPr>
          <w:p w14:paraId="2FBBEE9D" w14:textId="77777777" w:rsidR="00542CF2" w:rsidRPr="005F41F0" w:rsidRDefault="00542CF2" w:rsidP="000C7F15">
            <w:pPr>
              <w:tabs>
                <w:tab w:val="left" w:pos="284"/>
              </w:tabs>
              <w:spacing w:line="280" w:lineRule="atLeast"/>
              <w:rPr>
                <w:b/>
                <w:bCs/>
                <w:color w:val="000000"/>
                <w:lang w:eastAsia="lt-LT"/>
              </w:rPr>
            </w:pPr>
            <w:r w:rsidRPr="005F41F0">
              <w:rPr>
                <w:b/>
                <w:bCs/>
                <w:color w:val="000000"/>
                <w:lang w:eastAsia="lt-LT"/>
              </w:rPr>
              <w:t>Ar vaistinis preparatas įrašytas į Bendrijos retųjų vaistinių preparatų registrą?</w:t>
            </w:r>
          </w:p>
          <w:p w14:paraId="57BDC9B0" w14:textId="77777777" w:rsidR="00542CF2" w:rsidRPr="005F41F0" w:rsidRDefault="00542CF2" w:rsidP="000C7F15">
            <w:pPr>
              <w:tabs>
                <w:tab w:val="left" w:pos="284"/>
              </w:tabs>
              <w:spacing w:line="280" w:lineRule="atLeast"/>
              <w:rPr>
                <w:bCs/>
                <w:i/>
                <w:color w:val="000000"/>
                <w:lang w:eastAsia="lt-LT"/>
              </w:rPr>
            </w:pPr>
          </w:p>
          <w:p w14:paraId="26EF37CF" w14:textId="77777777" w:rsidR="00542CF2" w:rsidRPr="005F41F0" w:rsidRDefault="00542CF2" w:rsidP="000C7F15">
            <w:pPr>
              <w:tabs>
                <w:tab w:val="left" w:pos="284"/>
              </w:tabs>
              <w:spacing w:line="280" w:lineRule="atLeast"/>
              <w:jc w:val="both"/>
              <w:rPr>
                <w:b/>
                <w:bCs/>
                <w:color w:val="000000"/>
                <w:sz w:val="22"/>
                <w:szCs w:val="22"/>
                <w:lang w:eastAsia="lt-LT"/>
              </w:rPr>
            </w:pPr>
          </w:p>
        </w:tc>
        <w:tc>
          <w:tcPr>
            <w:tcW w:w="5096" w:type="dxa"/>
          </w:tcPr>
          <w:p w14:paraId="423CD5FE" w14:textId="77777777" w:rsidR="00542CF2" w:rsidRPr="005F41F0" w:rsidRDefault="00D51E3A" w:rsidP="000C7F15">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542CF2" w:rsidRPr="005F41F0">
                  <w:rPr>
                    <w:rStyle w:val="Style2"/>
                    <w:rFonts w:ascii="Segoe UI Symbol" w:eastAsia="MS Gothic" w:hAnsi="Segoe UI Symbol" w:cs="Segoe UI Symbol"/>
                  </w:rPr>
                  <w:t>☐</w:t>
                </w:r>
              </w:sdtContent>
            </w:sdt>
            <w:r w:rsidR="00542CF2" w:rsidRPr="005F41F0">
              <w:t xml:space="preserve"> Taip</w:t>
            </w:r>
          </w:p>
          <w:p w14:paraId="32EA4A4A" w14:textId="77777777" w:rsidR="00542CF2" w:rsidRPr="005F41F0" w:rsidRDefault="00D51E3A" w:rsidP="000C7F15">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542CF2" w:rsidRPr="005F41F0">
                  <w:rPr>
                    <w:rStyle w:val="Style2"/>
                    <w:rFonts w:ascii="MS Gothic" w:eastAsia="MS Gothic" w:hAnsi="MS Gothic"/>
                  </w:rPr>
                  <w:t>☒</w:t>
                </w:r>
              </w:sdtContent>
            </w:sdt>
            <w:r w:rsidR="00542CF2" w:rsidRPr="005F41F0">
              <w:t xml:space="preserve"> Ne</w:t>
            </w:r>
          </w:p>
          <w:p w14:paraId="6130CAA1" w14:textId="77777777" w:rsidR="00542CF2" w:rsidRPr="005F41F0" w:rsidRDefault="00D51E3A" w:rsidP="000C7F15">
            <w:pPr>
              <w:rPr>
                <w:rFonts w:eastAsia="Arial"/>
                <w:b/>
              </w:rPr>
            </w:pPr>
            <w:sdt>
              <w:sdtPr>
                <w:alias w:val="Nurodykite konkrečią dieną"/>
                <w:tag w:val="Nurodykite pradžios datą"/>
                <w:id w:val="693498901"/>
                <w:placeholder>
                  <w:docPart w:val="EC21AD0B45574B2094BA6649C47E6527"/>
                </w:placeholder>
                <w15:color w:val="FFCC99"/>
                <w:date w:fullDate="2022-05-18T00:00:00Z">
                  <w:dateFormat w:val="yyyy 'm.' MMMM d 'd.'"/>
                  <w:lid w:val="lt-LT"/>
                  <w:storeMappedDataAs w:val="dateTime"/>
                  <w:calendar w:val="gregorian"/>
                </w:date>
              </w:sdtPr>
              <w:sdtEndPr/>
              <w:sdtContent>
                <w:r w:rsidR="00542CF2" w:rsidRPr="005F41F0">
                  <w:t>2022 m. gegužės 18 d.</w:t>
                </w:r>
              </w:sdtContent>
            </w:sdt>
          </w:p>
        </w:tc>
      </w:tr>
      <w:tr w:rsidR="00542CF2" w:rsidRPr="005F41F0" w14:paraId="1CEAE1FD" w14:textId="77777777" w:rsidTr="000C7F15">
        <w:trPr>
          <w:trHeight w:val="958"/>
        </w:trPr>
        <w:tc>
          <w:tcPr>
            <w:tcW w:w="705" w:type="dxa"/>
            <w:tcBorders>
              <w:bottom w:val="single" w:sz="4" w:space="0" w:color="auto"/>
            </w:tcBorders>
          </w:tcPr>
          <w:p w14:paraId="000EE8F1" w14:textId="77777777" w:rsidR="00542CF2" w:rsidRPr="005F41F0" w:rsidRDefault="00542CF2" w:rsidP="000C7F15">
            <w:pPr>
              <w:tabs>
                <w:tab w:val="left" w:pos="284"/>
              </w:tabs>
              <w:spacing w:line="280" w:lineRule="atLeast"/>
              <w:rPr>
                <w:rFonts w:eastAsia="Arial"/>
                <w:b/>
              </w:rPr>
            </w:pPr>
            <w:r w:rsidRPr="005F41F0">
              <w:rPr>
                <w:rFonts w:eastAsia="Arial"/>
                <w:b/>
              </w:rPr>
              <w:t>1.5</w:t>
            </w:r>
          </w:p>
        </w:tc>
        <w:tc>
          <w:tcPr>
            <w:tcW w:w="4117" w:type="dxa"/>
            <w:tcBorders>
              <w:bottom w:val="single" w:sz="4" w:space="0" w:color="auto"/>
            </w:tcBorders>
          </w:tcPr>
          <w:p w14:paraId="570B0B50" w14:textId="77777777" w:rsidR="00542CF2" w:rsidRPr="005F41F0" w:rsidRDefault="00542CF2" w:rsidP="000C7F15">
            <w:pPr>
              <w:tabs>
                <w:tab w:val="left" w:pos="284"/>
              </w:tabs>
              <w:spacing w:line="280" w:lineRule="atLeast"/>
              <w:rPr>
                <w:b/>
                <w:bCs/>
                <w:color w:val="000000"/>
                <w:lang w:eastAsia="lt-LT"/>
              </w:rPr>
            </w:pPr>
            <w:r w:rsidRPr="005F41F0">
              <w:rPr>
                <w:b/>
                <w:bCs/>
                <w:color w:val="000000"/>
                <w:lang w:eastAsia="lt-LT"/>
              </w:rPr>
              <w:t>Pareiškėjo teikiama (-os) kompensuoti preparato indikacija (-os)</w:t>
            </w:r>
          </w:p>
          <w:p w14:paraId="5DBDEAE2" w14:textId="77777777" w:rsidR="00542CF2" w:rsidRPr="005F41F0" w:rsidRDefault="00542CF2" w:rsidP="000C7F15">
            <w:pPr>
              <w:tabs>
                <w:tab w:val="left" w:pos="284"/>
              </w:tabs>
              <w:spacing w:line="280" w:lineRule="atLeast"/>
              <w:rPr>
                <w:b/>
                <w:bCs/>
                <w:color w:val="000000"/>
                <w:lang w:eastAsia="lt-LT"/>
              </w:rPr>
            </w:pPr>
            <w:r w:rsidRPr="005F41F0">
              <w:rPr>
                <w:b/>
                <w:bCs/>
                <w:color w:val="000000"/>
                <w:lang w:eastAsia="lt-LT"/>
              </w:rPr>
              <w:t xml:space="preserve">Kodas pagal TLK-10 AM  </w:t>
            </w:r>
          </w:p>
        </w:tc>
        <w:tc>
          <w:tcPr>
            <w:tcW w:w="5096" w:type="dxa"/>
            <w:tcBorders>
              <w:bottom w:val="single" w:sz="4" w:space="0" w:color="auto"/>
            </w:tcBorders>
          </w:tcPr>
          <w:p w14:paraId="59E8BA04" w14:textId="77777777" w:rsidR="00542CF2" w:rsidRPr="005F41F0" w:rsidRDefault="00542CF2" w:rsidP="000C7F15">
            <w:pPr>
              <w:pStyle w:val="Sraopastraipa"/>
              <w:spacing w:after="120"/>
              <w:ind w:left="0"/>
              <w:contextualSpacing w:val="0"/>
              <w:jc w:val="both"/>
            </w:pPr>
            <w:r w:rsidRPr="005F41F0">
              <w:t>Ankilozinis spondilitas</w:t>
            </w:r>
          </w:p>
          <w:p w14:paraId="50350418" w14:textId="77777777" w:rsidR="00542CF2" w:rsidRPr="005F41F0" w:rsidRDefault="00542CF2" w:rsidP="000C7F15">
            <w:pPr>
              <w:jc w:val="both"/>
            </w:pPr>
            <w:r w:rsidRPr="005F41F0">
              <w:t>TLK-10-AM – M45</w:t>
            </w:r>
          </w:p>
        </w:tc>
      </w:tr>
      <w:tr w:rsidR="00542CF2" w:rsidRPr="005F41F0" w14:paraId="67FB59F8" w14:textId="77777777" w:rsidTr="000C7F15">
        <w:trPr>
          <w:trHeight w:val="479"/>
        </w:trPr>
        <w:tc>
          <w:tcPr>
            <w:tcW w:w="705" w:type="dxa"/>
            <w:tcBorders>
              <w:top w:val="single" w:sz="4" w:space="0" w:color="auto"/>
              <w:left w:val="single" w:sz="4" w:space="0" w:color="auto"/>
              <w:bottom w:val="single" w:sz="4" w:space="0" w:color="auto"/>
              <w:right w:val="single" w:sz="4" w:space="0" w:color="auto"/>
            </w:tcBorders>
          </w:tcPr>
          <w:p w14:paraId="79EC7582" w14:textId="77777777" w:rsidR="00542CF2" w:rsidRPr="005F41F0" w:rsidRDefault="00542CF2" w:rsidP="000C7F15">
            <w:pPr>
              <w:tabs>
                <w:tab w:val="left" w:pos="284"/>
              </w:tabs>
              <w:spacing w:line="280" w:lineRule="atLeast"/>
              <w:rPr>
                <w:rFonts w:eastAsia="Arial"/>
                <w:b/>
              </w:rPr>
            </w:pPr>
            <w:r w:rsidRPr="005F41F0">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7F64EAD1" w14:textId="77777777" w:rsidR="00542CF2" w:rsidRPr="005F41F0" w:rsidRDefault="00542CF2" w:rsidP="000C7F15">
            <w:pPr>
              <w:tabs>
                <w:tab w:val="left" w:pos="284"/>
              </w:tabs>
              <w:spacing w:line="280" w:lineRule="atLeast"/>
              <w:rPr>
                <w:bCs/>
                <w:color w:val="000000"/>
                <w:u w:val="single"/>
                <w:lang w:eastAsia="lt-LT"/>
              </w:rPr>
            </w:pPr>
            <w:r w:rsidRPr="005F41F0">
              <w:rPr>
                <w:b/>
                <w:bCs/>
                <w:color w:val="000000"/>
                <w:lang w:eastAsia="lt-LT"/>
              </w:rPr>
              <w:t xml:space="preserve">Teikiamos skyrimo sąlygos </w:t>
            </w:r>
          </w:p>
        </w:tc>
        <w:tc>
          <w:tcPr>
            <w:tcW w:w="5096" w:type="dxa"/>
            <w:tcBorders>
              <w:top w:val="single" w:sz="4" w:space="0" w:color="auto"/>
              <w:left w:val="single" w:sz="4" w:space="0" w:color="auto"/>
              <w:bottom w:val="single" w:sz="4" w:space="0" w:color="auto"/>
              <w:right w:val="single" w:sz="4" w:space="0" w:color="auto"/>
            </w:tcBorders>
          </w:tcPr>
          <w:p w14:paraId="5D915806" w14:textId="77777777" w:rsidR="00542CF2" w:rsidRPr="005F41F0" w:rsidRDefault="00542CF2" w:rsidP="000C7F15">
            <w:r w:rsidRPr="005F41F0">
              <w:t xml:space="preserve">Tofacitinibas skirtas gydyti suaugusiems pacientams, sergantiems aktyviu ankiloziniu spondilitu (AS), kurių atsakas į įprastinį gydymą yra nepakankamas. </w:t>
            </w:r>
          </w:p>
          <w:p w14:paraId="2BEAC103" w14:textId="77777777" w:rsidR="00542CF2" w:rsidRPr="005F41F0" w:rsidRDefault="00542CF2" w:rsidP="000C7F15">
            <w:pPr>
              <w:spacing w:line="276" w:lineRule="auto"/>
              <w:jc w:val="both"/>
            </w:pPr>
          </w:p>
        </w:tc>
      </w:tr>
      <w:tr w:rsidR="00542CF2" w:rsidRPr="005F41F0" w14:paraId="2D215A68" w14:textId="77777777" w:rsidTr="000C7F15">
        <w:trPr>
          <w:trHeight w:val="479"/>
        </w:trPr>
        <w:tc>
          <w:tcPr>
            <w:tcW w:w="705" w:type="dxa"/>
            <w:tcBorders>
              <w:top w:val="single" w:sz="4" w:space="0" w:color="auto"/>
              <w:left w:val="single" w:sz="4" w:space="0" w:color="auto"/>
              <w:bottom w:val="single" w:sz="4" w:space="0" w:color="auto"/>
              <w:right w:val="single" w:sz="4" w:space="0" w:color="auto"/>
            </w:tcBorders>
          </w:tcPr>
          <w:p w14:paraId="30B75CAE" w14:textId="77777777" w:rsidR="00542CF2" w:rsidRPr="005F41F0" w:rsidRDefault="00542CF2" w:rsidP="000C7F15">
            <w:pPr>
              <w:tabs>
                <w:tab w:val="left" w:pos="284"/>
              </w:tabs>
              <w:spacing w:line="280" w:lineRule="atLeast"/>
              <w:rPr>
                <w:rFonts w:eastAsia="Arial"/>
                <w:b/>
              </w:rPr>
            </w:pPr>
            <w:r w:rsidRPr="005F41F0">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056B5409" w14:textId="77777777" w:rsidR="00542CF2" w:rsidRPr="005F41F0" w:rsidRDefault="00542CF2" w:rsidP="000C7F15">
            <w:pPr>
              <w:tabs>
                <w:tab w:val="left" w:pos="284"/>
              </w:tabs>
              <w:spacing w:line="280" w:lineRule="atLeast"/>
              <w:rPr>
                <w:bCs/>
                <w:color w:val="000000"/>
                <w:lang w:eastAsia="lt-LT"/>
              </w:rPr>
            </w:pPr>
            <w:r w:rsidRPr="005F41F0">
              <w:rPr>
                <w:b/>
              </w:rPr>
              <w:t>Palyginamasis gydymas</w:t>
            </w:r>
          </w:p>
        </w:tc>
        <w:tc>
          <w:tcPr>
            <w:tcW w:w="5096" w:type="dxa"/>
            <w:tcBorders>
              <w:top w:val="single" w:sz="4" w:space="0" w:color="auto"/>
              <w:left w:val="single" w:sz="4" w:space="0" w:color="auto"/>
              <w:bottom w:val="single" w:sz="4" w:space="0" w:color="auto"/>
              <w:right w:val="single" w:sz="4" w:space="0" w:color="auto"/>
            </w:tcBorders>
          </w:tcPr>
          <w:p w14:paraId="01838210" w14:textId="77777777" w:rsidR="00542CF2" w:rsidRPr="005F41F0" w:rsidRDefault="00542CF2" w:rsidP="000C7F15">
            <w:pPr>
              <w:rPr>
                <w:rStyle w:val="Style2"/>
                <w:sz w:val="24"/>
              </w:rPr>
            </w:pPr>
            <w:r w:rsidRPr="005F41F0">
              <w:rPr>
                <w:rStyle w:val="Style2"/>
                <w:sz w:val="24"/>
              </w:rPr>
              <w:t>Adalimumabas</w:t>
            </w:r>
          </w:p>
        </w:tc>
      </w:tr>
    </w:tbl>
    <w:p w14:paraId="2ACFCA02" w14:textId="6E01D2C5" w:rsidR="008B2311" w:rsidRPr="005F41F0" w:rsidRDefault="008B2311" w:rsidP="00E03C3F">
      <w:pPr>
        <w:pStyle w:val="Sraopastraipa"/>
        <w:tabs>
          <w:tab w:val="left" w:pos="426"/>
        </w:tabs>
        <w:ind w:left="0"/>
        <w:rPr>
          <w:b/>
          <w:bCs/>
          <w:caps/>
        </w:rPr>
      </w:pPr>
    </w:p>
    <w:p w14:paraId="1948C8BA" w14:textId="77777777" w:rsidR="008B2311" w:rsidRPr="005F41F0" w:rsidRDefault="008B2311" w:rsidP="00E03C3F">
      <w:pPr>
        <w:pStyle w:val="Sraopastraipa"/>
        <w:tabs>
          <w:tab w:val="left" w:pos="426"/>
        </w:tabs>
        <w:ind w:left="0"/>
        <w:rPr>
          <w:b/>
          <w:bCs/>
          <w:caps/>
        </w:rPr>
      </w:pPr>
    </w:p>
    <w:p w14:paraId="2871CA7F" w14:textId="2370BDDB" w:rsidR="00F70C9E" w:rsidRPr="005F41F0" w:rsidRDefault="00F70C9E" w:rsidP="00880A44">
      <w:pPr>
        <w:spacing w:line="276" w:lineRule="auto"/>
        <w:jc w:val="both"/>
        <w:rPr>
          <w:rFonts w:eastAsia="Arial"/>
          <w:b/>
        </w:rPr>
      </w:pPr>
      <w:r w:rsidRPr="005F41F0">
        <w:rPr>
          <w:rFonts w:eastAsia="Arial"/>
          <w:b/>
        </w:rPr>
        <w:lastRenderedPageBreak/>
        <w:t xml:space="preserve">1.8 Kitų </w:t>
      </w:r>
      <w:r w:rsidR="00DF583C" w:rsidRPr="005F41F0">
        <w:rPr>
          <w:rFonts w:eastAsia="Arial"/>
          <w:b/>
        </w:rPr>
        <w:t xml:space="preserve">valstybių </w:t>
      </w:r>
      <w:r w:rsidRPr="005F41F0">
        <w:rPr>
          <w:rFonts w:eastAsia="Arial"/>
          <w:b/>
        </w:rPr>
        <w:t xml:space="preserve">atsakingų institucijų atlikto </w:t>
      </w:r>
      <w:r w:rsidR="00DF583C" w:rsidRPr="005F41F0">
        <w:rPr>
          <w:rFonts w:eastAsia="Arial"/>
          <w:b/>
        </w:rPr>
        <w:t>Sveikatos technologijų vertinimo (toliau – STV)</w:t>
      </w:r>
      <w:r w:rsidRPr="005F41F0">
        <w:rPr>
          <w:rFonts w:eastAsia="Arial"/>
          <w:b/>
        </w:rPr>
        <w:t xml:space="preserve"> išvados</w:t>
      </w:r>
    </w:p>
    <w:p w14:paraId="30721FDD" w14:textId="77777777" w:rsidR="00F70C9E" w:rsidRPr="005F41F0" w:rsidRDefault="00F70C9E" w:rsidP="00F70C9E">
      <w:pPr>
        <w:spacing w:line="276" w:lineRule="auto"/>
        <w:rPr>
          <w:rFonts w:eastAsia="Arial"/>
        </w:rPr>
      </w:pPr>
    </w:p>
    <w:tbl>
      <w:tblPr>
        <w:tblStyle w:val="Lentelstinklelis"/>
        <w:tblW w:w="9895" w:type="dxa"/>
        <w:tblLook w:val="04A0" w:firstRow="1" w:lastRow="0" w:firstColumn="1" w:lastColumn="0" w:noHBand="0" w:noVBand="1"/>
      </w:tblPr>
      <w:tblGrid>
        <w:gridCol w:w="2927"/>
        <w:gridCol w:w="1915"/>
        <w:gridCol w:w="2587"/>
        <w:gridCol w:w="2466"/>
      </w:tblGrid>
      <w:tr w:rsidR="00A05CD4" w:rsidRPr="005F41F0" w14:paraId="1B370CD6" w14:textId="77777777" w:rsidTr="00A05CD4">
        <w:trPr>
          <w:trHeight w:val="924"/>
        </w:trPr>
        <w:tc>
          <w:tcPr>
            <w:tcW w:w="2927" w:type="dxa"/>
          </w:tcPr>
          <w:p w14:paraId="0CF750C4" w14:textId="77777777" w:rsidR="00A05CD4" w:rsidRPr="005F41F0" w:rsidRDefault="00A05CD4" w:rsidP="008A27C1">
            <w:pPr>
              <w:spacing w:line="276" w:lineRule="auto"/>
              <w:rPr>
                <w:rFonts w:eastAsia="Arial"/>
              </w:rPr>
            </w:pPr>
            <w:r w:rsidRPr="005F41F0">
              <w:rPr>
                <w:rFonts w:eastAsia="Arial"/>
              </w:rPr>
              <w:t>STV agentūros pavadinimas, šalis</w:t>
            </w:r>
          </w:p>
        </w:tc>
        <w:tc>
          <w:tcPr>
            <w:tcW w:w="1915" w:type="dxa"/>
          </w:tcPr>
          <w:p w14:paraId="06E21E30" w14:textId="77777777" w:rsidR="00A05CD4" w:rsidRPr="005F41F0" w:rsidRDefault="00A05CD4" w:rsidP="008A27C1">
            <w:pPr>
              <w:spacing w:line="276" w:lineRule="auto"/>
              <w:rPr>
                <w:rFonts w:eastAsia="Arial"/>
              </w:rPr>
            </w:pPr>
            <w:r w:rsidRPr="005F41F0">
              <w:rPr>
                <w:rFonts w:eastAsia="Arial"/>
              </w:rPr>
              <w:t>STV vertinimas atliktas</w:t>
            </w:r>
          </w:p>
        </w:tc>
        <w:tc>
          <w:tcPr>
            <w:tcW w:w="2587" w:type="dxa"/>
          </w:tcPr>
          <w:p w14:paraId="2BACC6A5" w14:textId="77777777" w:rsidR="00A05CD4" w:rsidRPr="005F41F0" w:rsidRDefault="00A05CD4" w:rsidP="008A27C1">
            <w:pPr>
              <w:spacing w:line="276" w:lineRule="auto"/>
              <w:rPr>
                <w:rFonts w:eastAsia="Arial"/>
              </w:rPr>
            </w:pPr>
            <w:r w:rsidRPr="005F41F0">
              <w:rPr>
                <w:rFonts w:eastAsia="Arial"/>
              </w:rPr>
              <w:t>Klinikinio vertinimo išvada</w:t>
            </w:r>
          </w:p>
        </w:tc>
        <w:tc>
          <w:tcPr>
            <w:tcW w:w="2466" w:type="dxa"/>
          </w:tcPr>
          <w:p w14:paraId="1E4D6C0E" w14:textId="77777777" w:rsidR="00A05CD4" w:rsidRPr="005F41F0" w:rsidRDefault="00A05CD4" w:rsidP="008A27C1">
            <w:pPr>
              <w:spacing w:line="276" w:lineRule="auto"/>
              <w:rPr>
                <w:rFonts w:eastAsia="Arial"/>
              </w:rPr>
            </w:pPr>
            <w:r w:rsidRPr="005F41F0">
              <w:rPr>
                <w:rFonts w:eastAsia="Arial"/>
              </w:rPr>
              <w:t>Farmakoekonominio vertinimo išvada</w:t>
            </w:r>
          </w:p>
        </w:tc>
      </w:tr>
      <w:tr w:rsidR="00A05CD4" w:rsidRPr="005F41F0" w14:paraId="57C05DDE" w14:textId="77777777" w:rsidTr="00A05CD4">
        <w:trPr>
          <w:trHeight w:val="1765"/>
        </w:trPr>
        <w:tc>
          <w:tcPr>
            <w:tcW w:w="2927" w:type="dxa"/>
          </w:tcPr>
          <w:p w14:paraId="29F4269D" w14:textId="77777777" w:rsidR="00A05CD4" w:rsidRPr="005F41F0" w:rsidRDefault="00A05CD4" w:rsidP="008A27C1">
            <w:pPr>
              <w:autoSpaceDE w:val="0"/>
              <w:autoSpaceDN w:val="0"/>
              <w:adjustRightInd w:val="0"/>
              <w:rPr>
                <w:bCs/>
              </w:rPr>
            </w:pPr>
            <w:r w:rsidRPr="005F41F0">
              <w:rPr>
                <w:bCs/>
              </w:rPr>
              <w:t>Nacionalinis sveikatos ir klinikinės kompetencijos institutas, Didžioji Britanija</w:t>
            </w:r>
          </w:p>
          <w:p w14:paraId="167A29B5" w14:textId="77777777" w:rsidR="00A05CD4" w:rsidRPr="005F41F0" w:rsidRDefault="00A05CD4" w:rsidP="008A27C1">
            <w:pPr>
              <w:spacing w:line="276" w:lineRule="auto"/>
              <w:rPr>
                <w:rFonts w:eastAsia="Arial"/>
              </w:rPr>
            </w:pPr>
            <w:r w:rsidRPr="005F41F0">
              <w:rPr>
                <w:rFonts w:eastAsia="Arial"/>
              </w:rPr>
              <w:t xml:space="preserve">(angl. </w:t>
            </w:r>
            <w:r w:rsidRPr="005F41F0">
              <w:rPr>
                <w:rFonts w:eastAsia="Arial"/>
                <w:i/>
              </w:rPr>
              <w:t>National Institute for Health and Care Excellence, NICE</w:t>
            </w:r>
            <w:r w:rsidRPr="005F41F0">
              <w:rPr>
                <w:rFonts w:eastAsia="Arial"/>
              </w:rPr>
              <w:t>)</w:t>
            </w:r>
          </w:p>
        </w:tc>
        <w:tc>
          <w:tcPr>
            <w:tcW w:w="1915" w:type="dxa"/>
          </w:tcPr>
          <w:p w14:paraId="679EC1F8" w14:textId="77777777" w:rsidR="00A05CD4" w:rsidRPr="005F41F0" w:rsidRDefault="00D51E3A" w:rsidP="008A27C1">
            <w:sdt>
              <w:sdtPr>
                <w:rPr>
                  <w:rStyle w:val="Style2"/>
                </w:rPr>
                <w:id w:val="1558205022"/>
                <w15:color w:val="FFCC00"/>
                <w14:checkbox>
                  <w14:checked w14:val="0"/>
                  <w14:checkedState w14:val="2612" w14:font="MS Gothic"/>
                  <w14:uncheckedState w14:val="2610" w14:font="MS Gothic"/>
                </w14:checkbox>
              </w:sdtPr>
              <w:sdtEndPr>
                <w:rPr>
                  <w:rStyle w:val="Style2"/>
                </w:rPr>
              </w:sdtEndPr>
              <w:sdtContent>
                <w:r w:rsidR="00A05CD4" w:rsidRPr="005F41F0">
                  <w:rPr>
                    <w:rStyle w:val="Style2"/>
                    <w:rFonts w:ascii="MS Gothic" w:eastAsia="MS Gothic" w:hAnsi="MS Gothic"/>
                  </w:rPr>
                  <w:t>☐</w:t>
                </w:r>
              </w:sdtContent>
            </w:sdt>
            <w:r w:rsidR="00A05CD4" w:rsidRPr="005F41F0">
              <w:t xml:space="preserve"> Taip</w:t>
            </w:r>
          </w:p>
          <w:p w14:paraId="5084304B" w14:textId="77777777" w:rsidR="00A05CD4" w:rsidRPr="005F41F0" w:rsidRDefault="00D51E3A" w:rsidP="008A27C1">
            <w:sdt>
              <w:sdtPr>
                <w:rPr>
                  <w:rStyle w:val="Style2"/>
                </w:rPr>
                <w:id w:val="866029625"/>
                <w15:color w:val="FFCC00"/>
                <w14:checkbox>
                  <w14:checked w14:val="1"/>
                  <w14:checkedState w14:val="2612" w14:font="MS Gothic"/>
                  <w14:uncheckedState w14:val="2610" w14:font="MS Gothic"/>
                </w14:checkbox>
              </w:sdtPr>
              <w:sdtEndPr>
                <w:rPr>
                  <w:rStyle w:val="Style2"/>
                </w:rPr>
              </w:sdtEndPr>
              <w:sdtContent>
                <w:r w:rsidR="00A05CD4" w:rsidRPr="005F41F0">
                  <w:rPr>
                    <w:rStyle w:val="Style2"/>
                    <w:rFonts w:ascii="MS Gothic" w:eastAsia="MS Gothic" w:hAnsi="MS Gothic"/>
                  </w:rPr>
                  <w:t>☒</w:t>
                </w:r>
              </w:sdtContent>
            </w:sdt>
            <w:r w:rsidR="00A05CD4" w:rsidRPr="005F41F0">
              <w:t xml:space="preserve"> Ne</w:t>
            </w:r>
          </w:p>
          <w:p w14:paraId="7A3D87FB" w14:textId="77777777" w:rsidR="00A05CD4" w:rsidRPr="005F41F0" w:rsidRDefault="00D51E3A" w:rsidP="008A27C1">
            <w:pPr>
              <w:rPr>
                <w:rFonts w:eastAsia="Arial"/>
              </w:rPr>
            </w:pPr>
            <w:sdt>
              <w:sdtPr>
                <w:alias w:val="Nurodykite konkrečią dieną"/>
                <w:tag w:val="Nurodykite pradžios datą"/>
                <w:id w:val="922837954"/>
                <w:placeholder>
                  <w:docPart w:val="B6759AA55088449382AA21598E5156BE"/>
                </w:placeholder>
                <w:showingPlcHdr/>
                <w15:color w:val="FFCC99"/>
                <w:date w:fullDate="2022-09-30T00:00:00Z">
                  <w:dateFormat w:val="yyyy 'm.' MMMM d 'd.'"/>
                  <w:lid w:val="lt-LT"/>
                  <w:storeMappedDataAs w:val="dateTime"/>
                  <w:calendar w:val="gregorian"/>
                </w:date>
              </w:sdtPr>
              <w:sdtEndPr/>
              <w:sdtContent>
                <w:r w:rsidR="00A05CD4" w:rsidRPr="005F41F0">
                  <w:rPr>
                    <w:rStyle w:val="Vietosrezervavimoenklotekstas"/>
                  </w:rPr>
                  <w:t>Click here to enter a date.</w:t>
                </w:r>
              </w:sdtContent>
            </w:sdt>
          </w:p>
        </w:tc>
        <w:tc>
          <w:tcPr>
            <w:tcW w:w="2587" w:type="dxa"/>
          </w:tcPr>
          <w:p w14:paraId="2596A71D" w14:textId="77777777" w:rsidR="00A05CD4" w:rsidRPr="005F41F0" w:rsidRDefault="00A05CD4" w:rsidP="008A27C1">
            <w:r w:rsidRPr="005F41F0">
              <w:t>Vertinimas šiuo metu atliekamas.</w:t>
            </w:r>
          </w:p>
          <w:p w14:paraId="1F95D1FD" w14:textId="77777777" w:rsidR="00A05CD4" w:rsidRPr="005F41F0" w:rsidRDefault="00A05CD4" w:rsidP="008A27C1">
            <w:pPr>
              <w:spacing w:line="276" w:lineRule="auto"/>
              <w:rPr>
                <w:rFonts w:eastAsia="Arial"/>
              </w:rPr>
            </w:pPr>
          </w:p>
        </w:tc>
        <w:tc>
          <w:tcPr>
            <w:tcW w:w="2466" w:type="dxa"/>
          </w:tcPr>
          <w:p w14:paraId="51A59134" w14:textId="77777777" w:rsidR="00A05CD4" w:rsidRPr="005F41F0" w:rsidRDefault="00A05CD4" w:rsidP="008A27C1">
            <w:pPr>
              <w:spacing w:line="276" w:lineRule="auto"/>
              <w:rPr>
                <w:rFonts w:eastAsia="Arial"/>
              </w:rPr>
            </w:pPr>
          </w:p>
        </w:tc>
      </w:tr>
      <w:tr w:rsidR="00A05CD4" w:rsidRPr="005F41F0" w14:paraId="5CC05E47" w14:textId="77777777" w:rsidTr="00A05CD4">
        <w:trPr>
          <w:trHeight w:val="1547"/>
        </w:trPr>
        <w:tc>
          <w:tcPr>
            <w:tcW w:w="2927" w:type="dxa"/>
          </w:tcPr>
          <w:p w14:paraId="09DDEFA9" w14:textId="77777777" w:rsidR="00A05CD4" w:rsidRPr="005F41F0" w:rsidRDefault="00A05CD4" w:rsidP="008A27C1">
            <w:pPr>
              <w:spacing w:line="276" w:lineRule="auto"/>
              <w:rPr>
                <w:rFonts w:eastAsia="Arial"/>
              </w:rPr>
            </w:pPr>
            <w:r w:rsidRPr="005F41F0">
              <w:rPr>
                <w:rFonts w:eastAsia="Arial"/>
              </w:rPr>
              <w:t>Kanados sveikatos technologijų agentūra</w:t>
            </w:r>
          </w:p>
          <w:p w14:paraId="223FC9FD" w14:textId="77777777" w:rsidR="00A05CD4" w:rsidRPr="005F41F0" w:rsidRDefault="00A05CD4" w:rsidP="008A27C1">
            <w:pPr>
              <w:spacing w:line="276" w:lineRule="auto"/>
              <w:rPr>
                <w:rFonts w:eastAsia="Arial"/>
              </w:rPr>
            </w:pPr>
            <w:r w:rsidRPr="005F41F0">
              <w:rPr>
                <w:rFonts w:eastAsia="Arial"/>
              </w:rPr>
              <w:t xml:space="preserve">(angl. </w:t>
            </w:r>
            <w:r w:rsidRPr="005F41F0">
              <w:rPr>
                <w:rFonts w:eastAsia="Arial"/>
                <w:i/>
              </w:rPr>
              <w:t>Canadian health Technology Assessment agency, CADTH</w:t>
            </w:r>
            <w:r w:rsidRPr="005F41F0">
              <w:rPr>
                <w:rFonts w:eastAsia="Arial"/>
              </w:rPr>
              <w:t>)</w:t>
            </w:r>
          </w:p>
        </w:tc>
        <w:tc>
          <w:tcPr>
            <w:tcW w:w="1915" w:type="dxa"/>
          </w:tcPr>
          <w:p w14:paraId="0434AD1B" w14:textId="77777777" w:rsidR="00A05CD4" w:rsidRPr="005F41F0" w:rsidRDefault="00D51E3A" w:rsidP="008A27C1">
            <w:sdt>
              <w:sdtPr>
                <w:rPr>
                  <w:rStyle w:val="Style2"/>
                </w:rPr>
                <w:id w:val="-372539057"/>
                <w15:color w:val="FFCC00"/>
                <w14:checkbox>
                  <w14:checked w14:val="0"/>
                  <w14:checkedState w14:val="2612" w14:font="MS Gothic"/>
                  <w14:uncheckedState w14:val="2610" w14:font="MS Gothic"/>
                </w14:checkbox>
              </w:sdtPr>
              <w:sdtEndPr>
                <w:rPr>
                  <w:rStyle w:val="Style2"/>
                </w:rPr>
              </w:sdtEndPr>
              <w:sdtContent>
                <w:r w:rsidR="00A05CD4" w:rsidRPr="005F41F0">
                  <w:rPr>
                    <w:rStyle w:val="Style2"/>
                    <w:rFonts w:ascii="Segoe UI Symbol" w:eastAsia="MS Gothic" w:hAnsi="Segoe UI Symbol" w:cs="Segoe UI Symbol"/>
                  </w:rPr>
                  <w:t>☐</w:t>
                </w:r>
              </w:sdtContent>
            </w:sdt>
            <w:r w:rsidR="00A05CD4" w:rsidRPr="005F41F0">
              <w:t xml:space="preserve"> Taip</w:t>
            </w:r>
          </w:p>
          <w:p w14:paraId="73E18F24" w14:textId="77777777" w:rsidR="00A05CD4" w:rsidRPr="005F41F0" w:rsidRDefault="00D51E3A" w:rsidP="008A27C1">
            <w:sdt>
              <w:sdtPr>
                <w:rPr>
                  <w:rStyle w:val="Style2"/>
                </w:rPr>
                <w:id w:val="594442222"/>
                <w15:color w:val="FFCC00"/>
                <w14:checkbox>
                  <w14:checked w14:val="1"/>
                  <w14:checkedState w14:val="2612" w14:font="MS Gothic"/>
                  <w14:uncheckedState w14:val="2610" w14:font="MS Gothic"/>
                </w14:checkbox>
              </w:sdtPr>
              <w:sdtEndPr>
                <w:rPr>
                  <w:rStyle w:val="Style2"/>
                </w:rPr>
              </w:sdtEndPr>
              <w:sdtContent>
                <w:r w:rsidR="00A05CD4" w:rsidRPr="005F41F0">
                  <w:rPr>
                    <w:rStyle w:val="Style2"/>
                    <w:rFonts w:ascii="MS Gothic" w:eastAsia="MS Gothic" w:hAnsi="MS Gothic"/>
                  </w:rPr>
                  <w:t>☒</w:t>
                </w:r>
              </w:sdtContent>
            </w:sdt>
            <w:r w:rsidR="00A05CD4" w:rsidRPr="005F41F0">
              <w:t xml:space="preserve"> Ne</w:t>
            </w:r>
          </w:p>
          <w:p w14:paraId="2F3D49F8" w14:textId="77777777" w:rsidR="00A05CD4" w:rsidRPr="005F41F0" w:rsidRDefault="00D51E3A" w:rsidP="008A27C1">
            <w:pPr>
              <w:spacing w:line="276" w:lineRule="auto"/>
              <w:rPr>
                <w:rFonts w:eastAsia="Arial"/>
              </w:rPr>
            </w:pPr>
            <w:sdt>
              <w:sdtPr>
                <w:alias w:val="Nurodykite konkrečią dieną"/>
                <w:tag w:val="Nurodykite pradžios datą"/>
                <w:id w:val="1072468416"/>
                <w:placeholder>
                  <w:docPart w:val="0ADD05976550484B9EADF18316D1A1B1"/>
                </w:placeholder>
                <w:showingPlcHdr/>
                <w15:color w:val="FFCC99"/>
                <w:date w:fullDate="2022-05-18T00:00:00Z">
                  <w:dateFormat w:val="yyyy 'm.' MMMM d 'd.'"/>
                  <w:lid w:val="lt-LT"/>
                  <w:storeMappedDataAs w:val="dateTime"/>
                  <w:calendar w:val="gregorian"/>
                </w:date>
              </w:sdtPr>
              <w:sdtEndPr/>
              <w:sdtContent>
                <w:r w:rsidR="00A05CD4" w:rsidRPr="005F41F0">
                  <w:rPr>
                    <w:rStyle w:val="Vietosrezervavimoenklotekstas"/>
                  </w:rPr>
                  <w:t>Click here to enter a date.</w:t>
                </w:r>
              </w:sdtContent>
            </w:sdt>
          </w:p>
        </w:tc>
        <w:tc>
          <w:tcPr>
            <w:tcW w:w="2587" w:type="dxa"/>
          </w:tcPr>
          <w:p w14:paraId="5D4B8C87" w14:textId="77777777" w:rsidR="00A05CD4" w:rsidRPr="005F41F0" w:rsidRDefault="00A05CD4" w:rsidP="008A27C1">
            <w:pPr>
              <w:spacing w:line="276" w:lineRule="auto"/>
              <w:rPr>
                <w:rFonts w:eastAsia="Arial"/>
              </w:rPr>
            </w:pPr>
          </w:p>
        </w:tc>
        <w:tc>
          <w:tcPr>
            <w:tcW w:w="2466" w:type="dxa"/>
          </w:tcPr>
          <w:p w14:paraId="365B044A" w14:textId="77777777" w:rsidR="00A05CD4" w:rsidRPr="005F41F0" w:rsidRDefault="00A05CD4" w:rsidP="008A27C1">
            <w:pPr>
              <w:spacing w:line="276" w:lineRule="auto"/>
              <w:rPr>
                <w:rFonts w:eastAsia="Arial"/>
              </w:rPr>
            </w:pPr>
          </w:p>
        </w:tc>
      </w:tr>
      <w:tr w:rsidR="00A05CD4" w:rsidRPr="005F41F0" w14:paraId="5422024F" w14:textId="77777777" w:rsidTr="00A05CD4">
        <w:trPr>
          <w:trHeight w:val="1927"/>
        </w:trPr>
        <w:tc>
          <w:tcPr>
            <w:tcW w:w="2927" w:type="dxa"/>
          </w:tcPr>
          <w:p w14:paraId="5AEDAA00" w14:textId="77777777" w:rsidR="00A05CD4" w:rsidRPr="005F41F0" w:rsidRDefault="00A05CD4" w:rsidP="008A27C1">
            <w:pPr>
              <w:spacing w:line="276" w:lineRule="auto"/>
              <w:rPr>
                <w:rFonts w:eastAsia="Arial"/>
              </w:rPr>
            </w:pPr>
            <w:r w:rsidRPr="005F41F0">
              <w:rPr>
                <w:rFonts w:eastAsia="Arial"/>
              </w:rPr>
              <w:t>Nacionalinis farmakoekonomikos centras, Airija</w:t>
            </w:r>
          </w:p>
          <w:p w14:paraId="6A9FA487" w14:textId="77777777" w:rsidR="00A05CD4" w:rsidRPr="005F41F0" w:rsidRDefault="00A05CD4" w:rsidP="008A27C1">
            <w:pPr>
              <w:spacing w:line="276" w:lineRule="auto"/>
              <w:rPr>
                <w:rFonts w:eastAsia="Arial"/>
              </w:rPr>
            </w:pPr>
            <w:r w:rsidRPr="005F41F0">
              <w:rPr>
                <w:rFonts w:eastAsia="Arial"/>
              </w:rPr>
              <w:t>(angl.</w:t>
            </w:r>
            <w:r w:rsidRPr="005F41F0">
              <w:rPr>
                <w:rFonts w:eastAsia="Arial"/>
                <w:i/>
              </w:rPr>
              <w:t xml:space="preserve"> National Centre for Pharmacoeconomics, NCPE</w:t>
            </w:r>
            <w:r w:rsidRPr="005F41F0">
              <w:rPr>
                <w:rFonts w:eastAsia="Arial"/>
              </w:rPr>
              <w:t>)</w:t>
            </w:r>
          </w:p>
        </w:tc>
        <w:tc>
          <w:tcPr>
            <w:tcW w:w="1915" w:type="dxa"/>
          </w:tcPr>
          <w:p w14:paraId="0977C9C7" w14:textId="77777777" w:rsidR="00A05CD4" w:rsidRPr="005F41F0" w:rsidRDefault="00D51E3A" w:rsidP="008A27C1">
            <w:sdt>
              <w:sdtPr>
                <w:rPr>
                  <w:rStyle w:val="Style2"/>
                </w:rPr>
                <w:id w:val="-1888403732"/>
                <w15:color w:val="FFCC00"/>
                <w14:checkbox>
                  <w14:checked w14:val="1"/>
                  <w14:checkedState w14:val="2612" w14:font="MS Gothic"/>
                  <w14:uncheckedState w14:val="2610" w14:font="MS Gothic"/>
                </w14:checkbox>
              </w:sdtPr>
              <w:sdtEndPr>
                <w:rPr>
                  <w:rStyle w:val="Style2"/>
                </w:rPr>
              </w:sdtEndPr>
              <w:sdtContent>
                <w:r w:rsidR="00A05CD4" w:rsidRPr="005F41F0">
                  <w:rPr>
                    <w:rStyle w:val="Style2"/>
                    <w:rFonts w:ascii="MS Gothic" w:eastAsia="MS Gothic" w:hAnsi="MS Gothic"/>
                  </w:rPr>
                  <w:t>☒</w:t>
                </w:r>
              </w:sdtContent>
            </w:sdt>
            <w:r w:rsidR="00A05CD4" w:rsidRPr="005F41F0">
              <w:t xml:space="preserve"> Taip</w:t>
            </w:r>
          </w:p>
          <w:p w14:paraId="53849F00" w14:textId="77777777" w:rsidR="00A05CD4" w:rsidRPr="005F41F0" w:rsidRDefault="00D51E3A" w:rsidP="008A27C1">
            <w:sdt>
              <w:sdtPr>
                <w:rPr>
                  <w:rStyle w:val="Style2"/>
                </w:rPr>
                <w:id w:val="1092201793"/>
                <w15:color w:val="FFCC00"/>
                <w14:checkbox>
                  <w14:checked w14:val="0"/>
                  <w14:checkedState w14:val="2612" w14:font="MS Gothic"/>
                  <w14:uncheckedState w14:val="2610" w14:font="MS Gothic"/>
                </w14:checkbox>
              </w:sdtPr>
              <w:sdtEndPr>
                <w:rPr>
                  <w:rStyle w:val="Style2"/>
                </w:rPr>
              </w:sdtEndPr>
              <w:sdtContent>
                <w:r w:rsidR="00A05CD4" w:rsidRPr="005F41F0">
                  <w:rPr>
                    <w:rStyle w:val="Style2"/>
                    <w:rFonts w:ascii="MS Gothic" w:eastAsia="MS Gothic" w:hAnsi="MS Gothic"/>
                  </w:rPr>
                  <w:t>☐</w:t>
                </w:r>
              </w:sdtContent>
            </w:sdt>
            <w:r w:rsidR="00A05CD4" w:rsidRPr="005F41F0">
              <w:t xml:space="preserve"> Ne</w:t>
            </w:r>
          </w:p>
          <w:p w14:paraId="21D49653" w14:textId="77777777" w:rsidR="00A05CD4" w:rsidRPr="005F41F0" w:rsidRDefault="00D51E3A" w:rsidP="008A27C1">
            <w:pPr>
              <w:spacing w:line="276" w:lineRule="auto"/>
              <w:rPr>
                <w:rFonts w:eastAsia="Arial"/>
              </w:rPr>
            </w:pPr>
            <w:sdt>
              <w:sdtPr>
                <w:alias w:val="Nurodykite konkrečią dieną"/>
                <w:tag w:val="Nurodykite pradžios datą"/>
                <w:id w:val="-198323198"/>
                <w:placeholder>
                  <w:docPart w:val="7496B9F487904F8DAA04BAAF7EBBCF24"/>
                </w:placeholder>
                <w15:color w:val="FFCC99"/>
                <w:date w:fullDate="2022-03-08T00:00:00Z">
                  <w:dateFormat w:val="yyyy 'm.' MMMM d 'd.'"/>
                  <w:lid w:val="lt-LT"/>
                  <w:storeMappedDataAs w:val="dateTime"/>
                  <w:calendar w:val="gregorian"/>
                </w:date>
              </w:sdtPr>
              <w:sdtEndPr/>
              <w:sdtContent>
                <w:r w:rsidR="00A05CD4" w:rsidRPr="005F41F0">
                  <w:t>2022 m. kovo 8 d.</w:t>
                </w:r>
              </w:sdtContent>
            </w:sdt>
          </w:p>
        </w:tc>
        <w:tc>
          <w:tcPr>
            <w:tcW w:w="2587" w:type="dxa"/>
          </w:tcPr>
          <w:p w14:paraId="7397A107" w14:textId="77777777" w:rsidR="00A05CD4" w:rsidRPr="005F41F0" w:rsidRDefault="00A05CD4" w:rsidP="008A27C1">
            <w:pPr>
              <w:spacing w:line="276" w:lineRule="auto"/>
              <w:rPr>
                <w:rFonts w:eastAsia="Arial"/>
              </w:rPr>
            </w:pPr>
            <w:r w:rsidRPr="005F41F0">
              <w:rPr>
                <w:rFonts w:eastAsia="Arial"/>
              </w:rPr>
              <w:t>Pilnas vertinimas nerekomenduojamas. NCPE rekomenduoja nesvarstyti tofacitinibo kompensavimo už pateiktą kainą.</w:t>
            </w:r>
          </w:p>
        </w:tc>
        <w:tc>
          <w:tcPr>
            <w:tcW w:w="2466" w:type="dxa"/>
          </w:tcPr>
          <w:p w14:paraId="1B097033" w14:textId="77777777" w:rsidR="00A05CD4" w:rsidRPr="005F41F0" w:rsidRDefault="00A05CD4" w:rsidP="008A27C1">
            <w:pPr>
              <w:spacing w:line="276" w:lineRule="auto"/>
              <w:rPr>
                <w:rFonts w:eastAsia="Arial"/>
              </w:rPr>
            </w:pPr>
          </w:p>
        </w:tc>
      </w:tr>
      <w:tr w:rsidR="00A05CD4" w:rsidRPr="005F41F0" w14:paraId="52506ACB" w14:textId="77777777" w:rsidTr="00A05CD4">
        <w:trPr>
          <w:trHeight w:val="690"/>
        </w:trPr>
        <w:tc>
          <w:tcPr>
            <w:tcW w:w="2927" w:type="dxa"/>
          </w:tcPr>
          <w:p w14:paraId="37BF69DD" w14:textId="77777777" w:rsidR="00A05CD4" w:rsidRPr="005F41F0" w:rsidRDefault="00A05CD4" w:rsidP="008A27C1">
            <w:pPr>
              <w:spacing w:line="276" w:lineRule="auto"/>
              <w:rPr>
                <w:rFonts w:eastAsia="Arial"/>
              </w:rPr>
            </w:pPr>
            <w:r w:rsidRPr="005F41F0">
              <w:rPr>
                <w:rFonts w:eastAsia="Arial"/>
              </w:rPr>
              <w:t>Nyderlandai, Nacionalinis sveikatos priežiūros institutas</w:t>
            </w:r>
          </w:p>
          <w:p w14:paraId="454D22F8" w14:textId="77777777" w:rsidR="00A05CD4" w:rsidRPr="005F41F0" w:rsidRDefault="00A05CD4" w:rsidP="008A27C1">
            <w:pPr>
              <w:spacing w:line="276" w:lineRule="auto"/>
              <w:rPr>
                <w:rFonts w:eastAsia="Arial"/>
              </w:rPr>
            </w:pPr>
            <w:r w:rsidRPr="005F41F0">
              <w:rPr>
                <w:rFonts w:eastAsia="Arial"/>
              </w:rPr>
              <w:t>(ang. National Health Care Institute)</w:t>
            </w:r>
          </w:p>
          <w:p w14:paraId="3B435C36" w14:textId="77777777" w:rsidR="00A05CD4" w:rsidRPr="005F41F0" w:rsidRDefault="00A05CD4" w:rsidP="008A27C1">
            <w:pPr>
              <w:spacing w:line="276" w:lineRule="auto"/>
              <w:rPr>
                <w:rFonts w:eastAsia="Arial"/>
              </w:rPr>
            </w:pPr>
          </w:p>
        </w:tc>
        <w:tc>
          <w:tcPr>
            <w:tcW w:w="1915" w:type="dxa"/>
          </w:tcPr>
          <w:p w14:paraId="22354E79" w14:textId="77777777" w:rsidR="00A05CD4" w:rsidRPr="005F41F0" w:rsidRDefault="00D51E3A" w:rsidP="008A27C1">
            <w:sdt>
              <w:sdtPr>
                <w:id w:val="1634437882"/>
                <w15:color w:val="FFCC00"/>
                <w14:checkbox>
                  <w14:checked w14:val="1"/>
                  <w14:checkedState w14:val="2612" w14:font="MS Gothic"/>
                  <w14:uncheckedState w14:val="2610" w14:font="MS Gothic"/>
                </w14:checkbox>
              </w:sdtPr>
              <w:sdtEndPr/>
              <w:sdtContent>
                <w:r w:rsidR="00A05CD4" w:rsidRPr="005F41F0">
                  <w:rPr>
                    <w:rFonts w:ascii="Segoe UI Symbol" w:hAnsi="Segoe UI Symbol" w:cs="Segoe UI Symbol"/>
                  </w:rPr>
                  <w:t>☒</w:t>
                </w:r>
              </w:sdtContent>
            </w:sdt>
            <w:r w:rsidR="00A05CD4" w:rsidRPr="005F41F0">
              <w:t xml:space="preserve"> Taip</w:t>
            </w:r>
          </w:p>
          <w:p w14:paraId="72103D0A" w14:textId="77777777" w:rsidR="00A05CD4" w:rsidRPr="005F41F0" w:rsidRDefault="00D51E3A" w:rsidP="008A27C1">
            <w:sdt>
              <w:sdtPr>
                <w:id w:val="85655384"/>
                <w15:color w:val="FFCC00"/>
                <w14:checkbox>
                  <w14:checked w14:val="0"/>
                  <w14:checkedState w14:val="2612" w14:font="MS Gothic"/>
                  <w14:uncheckedState w14:val="2610" w14:font="MS Gothic"/>
                </w14:checkbox>
              </w:sdtPr>
              <w:sdtEndPr/>
              <w:sdtContent>
                <w:r w:rsidR="00A05CD4" w:rsidRPr="005F41F0">
                  <w:rPr>
                    <w:rFonts w:ascii="Segoe UI Symbol" w:hAnsi="Segoe UI Symbol" w:cs="Segoe UI Symbol"/>
                  </w:rPr>
                  <w:t>☐</w:t>
                </w:r>
              </w:sdtContent>
            </w:sdt>
            <w:r w:rsidR="00A05CD4" w:rsidRPr="005F41F0">
              <w:t xml:space="preserve"> Ne</w:t>
            </w:r>
          </w:p>
          <w:p w14:paraId="7402949A" w14:textId="77777777" w:rsidR="00A05CD4" w:rsidRPr="005F41F0" w:rsidRDefault="00D51E3A" w:rsidP="008A27C1">
            <w:pPr>
              <w:pStyle w:val="Sraopastraipa"/>
              <w:spacing w:after="120"/>
              <w:ind w:left="0"/>
              <w:contextualSpacing w:val="0"/>
              <w:jc w:val="both"/>
            </w:pPr>
            <w:sdt>
              <w:sdtPr>
                <w:alias w:val="Nurodykite konkrečią dieną"/>
                <w:tag w:val="Nurodykite pradžios datą"/>
                <w:id w:val="1004862963"/>
                <w:placeholder>
                  <w:docPart w:val="F27804D4988F4DB58CFD8ED62F6C440A"/>
                </w:placeholder>
                <w15:color w:val="FFCC99"/>
                <w:date w:fullDate="2022-06-07T00:00:00Z">
                  <w:dateFormat w:val="yyyy 'm.' MMMM d 'd.'"/>
                  <w:lid w:val="lt-LT"/>
                  <w:storeMappedDataAs w:val="dateTime"/>
                  <w:calendar w:val="gregorian"/>
                </w:date>
              </w:sdtPr>
              <w:sdtEndPr/>
              <w:sdtContent>
                <w:r w:rsidR="00A05CD4" w:rsidRPr="005F41F0">
                  <w:t>2022 m. birželio 7 d.</w:t>
                </w:r>
              </w:sdtContent>
            </w:sdt>
          </w:p>
        </w:tc>
        <w:tc>
          <w:tcPr>
            <w:tcW w:w="2587" w:type="dxa"/>
          </w:tcPr>
          <w:p w14:paraId="220BCE69" w14:textId="77777777" w:rsidR="00A05CD4" w:rsidRPr="005F41F0" w:rsidRDefault="00A05CD4" w:rsidP="008A27C1">
            <w:pPr>
              <w:spacing w:line="276" w:lineRule="auto"/>
              <w:rPr>
                <w:rFonts w:eastAsia="Arial"/>
              </w:rPr>
            </w:pPr>
            <w:r w:rsidRPr="005F41F0">
              <w:rPr>
                <w:rFonts w:eastAsia="Arial"/>
              </w:rPr>
              <w:t>Rekomenduojamas suaugusiems pacientams, sergantiems aktyviu ankilozuojančiu spondilitu (AS), kurių atsakas į įprastinį gydymą buvo nepakankamas.</w:t>
            </w:r>
          </w:p>
        </w:tc>
        <w:tc>
          <w:tcPr>
            <w:tcW w:w="2466" w:type="dxa"/>
          </w:tcPr>
          <w:p w14:paraId="39FA4C5D" w14:textId="77777777" w:rsidR="00A05CD4" w:rsidRPr="005F41F0" w:rsidRDefault="00A05CD4" w:rsidP="008A27C1">
            <w:pPr>
              <w:spacing w:line="276" w:lineRule="auto"/>
              <w:rPr>
                <w:rFonts w:eastAsia="Arial"/>
              </w:rPr>
            </w:pPr>
          </w:p>
        </w:tc>
      </w:tr>
      <w:tr w:rsidR="00A05CD4" w:rsidRPr="005F41F0" w14:paraId="25B23DE9" w14:textId="77777777" w:rsidTr="00A05CD4">
        <w:trPr>
          <w:trHeight w:val="690"/>
        </w:trPr>
        <w:tc>
          <w:tcPr>
            <w:tcW w:w="2927" w:type="dxa"/>
          </w:tcPr>
          <w:p w14:paraId="721DD3DF" w14:textId="77777777" w:rsidR="00A05CD4" w:rsidRPr="005F41F0" w:rsidRDefault="00A05CD4" w:rsidP="008A27C1">
            <w:pPr>
              <w:spacing w:line="276" w:lineRule="auto"/>
              <w:rPr>
                <w:rFonts w:eastAsia="Arial"/>
              </w:rPr>
            </w:pPr>
            <w:r w:rsidRPr="005F41F0">
              <w:rPr>
                <w:rFonts w:eastAsia="Arial"/>
              </w:rPr>
              <w:t>Vokietija, Federal Joint Committee</w:t>
            </w:r>
          </w:p>
        </w:tc>
        <w:tc>
          <w:tcPr>
            <w:tcW w:w="1915" w:type="dxa"/>
          </w:tcPr>
          <w:p w14:paraId="7D5601F4" w14:textId="77777777" w:rsidR="00A05CD4" w:rsidRPr="005F41F0" w:rsidRDefault="00D51E3A" w:rsidP="008A27C1">
            <w:sdt>
              <w:sdtPr>
                <w:id w:val="-1286500862"/>
                <w15:color w:val="FFCC00"/>
                <w14:checkbox>
                  <w14:checked w14:val="1"/>
                  <w14:checkedState w14:val="2612" w14:font="MS Gothic"/>
                  <w14:uncheckedState w14:val="2610" w14:font="MS Gothic"/>
                </w14:checkbox>
              </w:sdtPr>
              <w:sdtEndPr/>
              <w:sdtContent>
                <w:r w:rsidR="00A05CD4" w:rsidRPr="005F41F0">
                  <w:rPr>
                    <w:rFonts w:ascii="Segoe UI Symbol" w:hAnsi="Segoe UI Symbol" w:cs="Segoe UI Symbol"/>
                  </w:rPr>
                  <w:t>☒</w:t>
                </w:r>
              </w:sdtContent>
            </w:sdt>
            <w:r w:rsidR="00A05CD4" w:rsidRPr="005F41F0">
              <w:t xml:space="preserve"> Taip</w:t>
            </w:r>
          </w:p>
          <w:p w14:paraId="6795D5DD" w14:textId="77777777" w:rsidR="00A05CD4" w:rsidRPr="005F41F0" w:rsidRDefault="00D51E3A" w:rsidP="008A27C1">
            <w:sdt>
              <w:sdtPr>
                <w:id w:val="1059976119"/>
                <w15:color w:val="FFCC00"/>
                <w14:checkbox>
                  <w14:checked w14:val="0"/>
                  <w14:checkedState w14:val="2612" w14:font="MS Gothic"/>
                  <w14:uncheckedState w14:val="2610" w14:font="MS Gothic"/>
                </w14:checkbox>
              </w:sdtPr>
              <w:sdtEndPr/>
              <w:sdtContent>
                <w:r w:rsidR="00A05CD4" w:rsidRPr="005F41F0">
                  <w:rPr>
                    <w:rFonts w:ascii="Segoe UI Symbol" w:hAnsi="Segoe UI Symbol" w:cs="Segoe UI Symbol"/>
                  </w:rPr>
                  <w:t>☐</w:t>
                </w:r>
              </w:sdtContent>
            </w:sdt>
            <w:r w:rsidR="00A05CD4" w:rsidRPr="005F41F0">
              <w:t xml:space="preserve"> Ne</w:t>
            </w:r>
          </w:p>
          <w:p w14:paraId="7A3A7299" w14:textId="77777777" w:rsidR="00A05CD4" w:rsidRPr="005F41F0" w:rsidRDefault="00D51E3A" w:rsidP="008A27C1">
            <w:sdt>
              <w:sdtPr>
                <w:alias w:val="Nurodykite konkrečią dieną"/>
                <w:tag w:val="Nurodykite pradžios datą"/>
                <w:id w:val="336966489"/>
                <w:placeholder>
                  <w:docPart w:val="6BBC30C33F3242C0BC54F77B48E91553"/>
                </w:placeholder>
                <w15:color w:val="FFCC99"/>
                <w:date>
                  <w:dateFormat w:val="yyyy 'm.' MMMM d 'd.'"/>
                  <w:lid w:val="lt-LT"/>
                  <w:storeMappedDataAs w:val="dateTime"/>
                  <w:calendar w:val="gregorian"/>
                </w:date>
              </w:sdtPr>
              <w:sdtEndPr/>
              <w:sdtContent>
                <w:r w:rsidR="00A05CD4" w:rsidRPr="005F41F0">
                  <w:t>2022 m. birželio 16 d.</w:t>
                </w:r>
              </w:sdtContent>
            </w:sdt>
          </w:p>
        </w:tc>
        <w:tc>
          <w:tcPr>
            <w:tcW w:w="2587" w:type="dxa"/>
          </w:tcPr>
          <w:p w14:paraId="2F4B4654" w14:textId="77777777" w:rsidR="00A05CD4" w:rsidRPr="005F41F0" w:rsidRDefault="00A05CD4" w:rsidP="008A27C1">
            <w:pPr>
              <w:spacing w:line="276" w:lineRule="auto"/>
              <w:rPr>
                <w:rFonts w:eastAsia="Arial"/>
              </w:rPr>
            </w:pPr>
            <w:r w:rsidRPr="005F41F0">
              <w:rPr>
                <w:rFonts w:eastAsia="Arial"/>
              </w:rPr>
              <w:t>Tofacitinibas skirtas suaugusių pacientų, sergančių aktyviu ankilozuojančiu spondilitu (AS), gydymui, kurių atsakas į įprastinį gydymą buvo nepakankamas ir kurie yra tinkami gydyti tofacitinibu.</w:t>
            </w:r>
          </w:p>
        </w:tc>
        <w:tc>
          <w:tcPr>
            <w:tcW w:w="2466" w:type="dxa"/>
          </w:tcPr>
          <w:p w14:paraId="75D5C9F9" w14:textId="77777777" w:rsidR="00A05CD4" w:rsidRPr="005F41F0" w:rsidRDefault="00A05CD4" w:rsidP="008A27C1">
            <w:pPr>
              <w:spacing w:line="276" w:lineRule="auto"/>
              <w:rPr>
                <w:rFonts w:eastAsia="Arial"/>
              </w:rPr>
            </w:pPr>
          </w:p>
        </w:tc>
      </w:tr>
    </w:tbl>
    <w:p w14:paraId="2EB7FD31" w14:textId="69A0F277" w:rsidR="00F70C9E" w:rsidRPr="005F41F0" w:rsidRDefault="00F70C9E" w:rsidP="00E03C3F">
      <w:pPr>
        <w:pStyle w:val="Sraopastraipa"/>
        <w:tabs>
          <w:tab w:val="left" w:pos="426"/>
        </w:tabs>
        <w:ind w:left="0"/>
        <w:rPr>
          <w:b/>
          <w:bCs/>
          <w:caps/>
        </w:rPr>
      </w:pPr>
    </w:p>
    <w:p w14:paraId="5E82BD7C" w14:textId="7B1E81E3" w:rsidR="008651E2" w:rsidRPr="005F41F0" w:rsidRDefault="008651E2" w:rsidP="00E03C3F">
      <w:pPr>
        <w:pStyle w:val="Sraopastraipa"/>
        <w:tabs>
          <w:tab w:val="left" w:pos="426"/>
        </w:tabs>
        <w:ind w:left="0"/>
        <w:rPr>
          <w:b/>
          <w:bCs/>
          <w:caps/>
        </w:rPr>
      </w:pPr>
    </w:p>
    <w:p w14:paraId="5C69E364" w14:textId="17D14F8F" w:rsidR="00A05CD4" w:rsidRPr="005F41F0" w:rsidRDefault="00A05CD4" w:rsidP="00E03C3F">
      <w:pPr>
        <w:pStyle w:val="Sraopastraipa"/>
        <w:tabs>
          <w:tab w:val="left" w:pos="426"/>
        </w:tabs>
        <w:ind w:left="0"/>
        <w:rPr>
          <w:b/>
          <w:bCs/>
          <w:caps/>
        </w:rPr>
      </w:pPr>
    </w:p>
    <w:p w14:paraId="53E5D46D" w14:textId="7B672523" w:rsidR="00A05CD4" w:rsidRPr="005F41F0" w:rsidRDefault="00A05CD4" w:rsidP="00E03C3F">
      <w:pPr>
        <w:pStyle w:val="Sraopastraipa"/>
        <w:tabs>
          <w:tab w:val="left" w:pos="426"/>
        </w:tabs>
        <w:ind w:left="0"/>
        <w:rPr>
          <w:b/>
          <w:bCs/>
          <w:caps/>
        </w:rPr>
      </w:pPr>
    </w:p>
    <w:p w14:paraId="3F08A49A" w14:textId="77777777" w:rsidR="00A05CD4" w:rsidRPr="005F41F0" w:rsidRDefault="00A05CD4" w:rsidP="00E03C3F">
      <w:pPr>
        <w:pStyle w:val="Sraopastraipa"/>
        <w:tabs>
          <w:tab w:val="left" w:pos="426"/>
        </w:tabs>
        <w:ind w:left="0"/>
        <w:rPr>
          <w:b/>
          <w:bCs/>
          <w:caps/>
        </w:rPr>
      </w:pPr>
    </w:p>
    <w:p w14:paraId="1A180D6B" w14:textId="77777777" w:rsidR="009E4F03" w:rsidRPr="005F41F0" w:rsidRDefault="009E4F03" w:rsidP="009E4F03">
      <w:pPr>
        <w:pStyle w:val="Sraopastraipa"/>
        <w:numPr>
          <w:ilvl w:val="0"/>
          <w:numId w:val="12"/>
        </w:numPr>
        <w:tabs>
          <w:tab w:val="left" w:pos="284"/>
        </w:tabs>
        <w:rPr>
          <w:b/>
          <w:bCs/>
          <w:caps/>
        </w:rPr>
      </w:pPr>
      <w:r w:rsidRPr="005F41F0">
        <w:rPr>
          <w:b/>
          <w:bCs/>
          <w:caps/>
        </w:rPr>
        <w:lastRenderedPageBreak/>
        <w:t>Klinikinio vertinimo apibendrinimas</w:t>
      </w:r>
    </w:p>
    <w:p w14:paraId="27C77559" w14:textId="77777777" w:rsidR="009E4F03" w:rsidRPr="005F41F0" w:rsidRDefault="009E4F03" w:rsidP="009E4F03">
      <w:pPr>
        <w:pStyle w:val="Sraopastraipa"/>
        <w:tabs>
          <w:tab w:val="left" w:pos="426"/>
        </w:tabs>
        <w:ind w:left="0"/>
      </w:pPr>
    </w:p>
    <w:p w14:paraId="29EDA901" w14:textId="77777777" w:rsidR="009E4F03" w:rsidRPr="005F41F0" w:rsidRDefault="009E4F03" w:rsidP="009E4F03">
      <w:pPr>
        <w:ind w:firstLine="709"/>
        <w:jc w:val="both"/>
      </w:pPr>
      <w:r w:rsidRPr="005F41F0">
        <w:t xml:space="preserve">Ankilozinis spondilitas (AS) – lėtinė uždegiminė reumatinė liga, pažeidžianti sakroileinius (kryžmeninius klubo) sąnarius, stuburą, kai kuriais atvejais periferinius sąnarius ir ekstraartikulinius organus, turinti didelę įtaką gyvenimo kokybei. AS įtariamas įvertinus subjektyvius (lėtinis nugaros skausmas, uždegimo kilmės skausmas, bendroji savijauta, funkcijos sutrikimas) ir objektyvius (stuburo judesių ribotumas, sąnarių patinimas ir skausmingumas, ekstraartikuliniai požymiai) klinikinius simptomus. </w:t>
      </w:r>
    </w:p>
    <w:p w14:paraId="1D7964C1" w14:textId="77777777" w:rsidR="009E4F03" w:rsidRPr="005F41F0" w:rsidRDefault="009E4F03" w:rsidP="009E4F03">
      <w:pPr>
        <w:ind w:firstLine="709"/>
        <w:jc w:val="both"/>
      </w:pPr>
      <w:r w:rsidRPr="005F41F0">
        <w:t>Pagal vyraujančius klinikinius simptomus AS skirstomas į ašinį spondiloartritą (aSpA) ir periferinį spondiloartritą (pSpA), pagal stadijas į neradiografinį ašinį spondiloartritą (nr-aSpA, tais atvejais dar nėra pakitimų rentgenogramose) ir ankilozinį spondilitą. AS yra neradiografinio ašinio spondiloartrito progresavimo pasekmė.</w:t>
      </w:r>
    </w:p>
    <w:p w14:paraId="551B0E56" w14:textId="76BFADA2" w:rsidR="009E4F03" w:rsidRPr="005F41F0" w:rsidRDefault="009E4F03" w:rsidP="009E4F03">
      <w:pPr>
        <w:ind w:firstLine="645"/>
        <w:jc w:val="both"/>
      </w:pPr>
      <w:r w:rsidRPr="005F41F0">
        <w:t xml:space="preserve">AS gydomas tradiciniais sisteminiais </w:t>
      </w:r>
      <w:r w:rsidR="005F41F0" w:rsidRPr="005F41F0">
        <w:t>vaistiniais preparatais</w:t>
      </w:r>
      <w:r w:rsidRPr="005F41F0">
        <w:t xml:space="preserve"> (metotreksatu, ciklosporinu), kurie derinami su biologine terapija TNF alfa inhibitoriais – etanerceptu, adalimumabu, infliksimabu ar  IL-17A inhibitoriumi sekukinumabu. Aktyvia liga sergantis pacientas reumatologo apžiūrimas kas 1–3 mėnesius, o mažai aktyvia ar neaktyvia liga, kai nėra nepalankių prognozės veiksnių – kas 6–12 mėnesių, o skiriant bLMV – kas 2–4 mėnesius.</w:t>
      </w:r>
    </w:p>
    <w:p w14:paraId="0A01EB5D" w14:textId="77777777" w:rsidR="009E4F03" w:rsidRPr="005F41F0" w:rsidRDefault="009E4F03" w:rsidP="009E4F03">
      <w:pPr>
        <w:ind w:firstLine="645"/>
        <w:jc w:val="both"/>
        <w:rPr>
          <w:color w:val="000000"/>
        </w:rPr>
      </w:pPr>
      <w:r w:rsidRPr="005F41F0">
        <w:t xml:space="preserve">Remiantis 2018 m. vasario 15 d. SAM įsakymu V-180 „Dėl </w:t>
      </w:r>
      <w:r w:rsidRPr="005F41F0">
        <w:rPr>
          <w:color w:val="000000"/>
        </w:rPr>
        <w:t>Ankilozinio spondilito ir kitos patikslintos uždegiminės spondilopatijos (neradiografinio ašinio spondiloartrito) gydymo vaistais, kurių įsigijimo išlaidos apmokamos Privalomojo sveikatos draudimo fondo biudžeto lėšomis, tvarkos aprašo patvirtinimo“</w:t>
      </w:r>
      <w:r w:rsidRPr="005F41F0">
        <w:t xml:space="preserve"> nustatyta gydymo tvarka, šiuo metu biologinių ligą modifikuojančių vaistų eiliškumas yra toks:</w:t>
      </w:r>
    </w:p>
    <w:tbl>
      <w:tblPr>
        <w:tblW w:w="4959" w:type="pct"/>
        <w:tblCellMar>
          <w:left w:w="0" w:type="dxa"/>
          <w:right w:w="0" w:type="dxa"/>
        </w:tblCellMar>
        <w:tblLook w:val="04A0" w:firstRow="1" w:lastRow="0" w:firstColumn="1" w:lastColumn="0" w:noHBand="0" w:noVBand="1"/>
      </w:tblPr>
      <w:tblGrid>
        <w:gridCol w:w="2957"/>
        <w:gridCol w:w="3339"/>
        <w:gridCol w:w="3244"/>
      </w:tblGrid>
      <w:tr w:rsidR="009E4F03" w:rsidRPr="005F41F0" w14:paraId="506FA966" w14:textId="77777777" w:rsidTr="000C7F15">
        <w:trPr>
          <w:trHeight w:val="363"/>
        </w:trPr>
        <w:tc>
          <w:tcPr>
            <w:tcW w:w="15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AEF467" w14:textId="77777777" w:rsidR="009E4F03" w:rsidRPr="005F41F0" w:rsidRDefault="009E4F03" w:rsidP="000C7F15">
            <w:pPr>
              <w:spacing w:line="252" w:lineRule="atLeast"/>
              <w:jc w:val="center"/>
              <w:rPr>
                <w:sz w:val="21"/>
              </w:rPr>
            </w:pPr>
            <w:r w:rsidRPr="005F41F0">
              <w:rPr>
                <w:color w:val="000000"/>
                <w:sz w:val="21"/>
              </w:rPr>
              <w:t>Skyrimo sąlygos</w:t>
            </w:r>
          </w:p>
        </w:tc>
        <w:tc>
          <w:tcPr>
            <w:tcW w:w="17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0E2CDF1" w14:textId="77777777" w:rsidR="009E4F03" w:rsidRPr="005F41F0" w:rsidRDefault="009E4F03" w:rsidP="000C7F15">
            <w:pPr>
              <w:spacing w:line="252" w:lineRule="atLeast"/>
              <w:jc w:val="center"/>
              <w:rPr>
                <w:sz w:val="21"/>
              </w:rPr>
            </w:pPr>
            <w:r w:rsidRPr="005F41F0">
              <w:rPr>
                <w:color w:val="000000"/>
                <w:sz w:val="21"/>
              </w:rPr>
              <w:t>Pirmaeilis vaistinis preparatas *</w:t>
            </w:r>
          </w:p>
        </w:tc>
        <w:tc>
          <w:tcPr>
            <w:tcW w:w="17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80344B6" w14:textId="77777777" w:rsidR="009E4F03" w:rsidRPr="005F41F0" w:rsidRDefault="009E4F03" w:rsidP="000C7F15">
            <w:pPr>
              <w:spacing w:line="252" w:lineRule="atLeast"/>
              <w:jc w:val="center"/>
              <w:rPr>
                <w:sz w:val="21"/>
              </w:rPr>
            </w:pPr>
            <w:r w:rsidRPr="005F41F0">
              <w:rPr>
                <w:color w:val="000000"/>
                <w:sz w:val="21"/>
              </w:rPr>
              <w:t>Antraeilis ir tolesnis vaistiniai preparatai*</w:t>
            </w:r>
          </w:p>
        </w:tc>
      </w:tr>
      <w:tr w:rsidR="009E4F03" w:rsidRPr="005F41F0" w14:paraId="4F672373" w14:textId="77777777" w:rsidTr="000C7F15">
        <w:trPr>
          <w:trHeight w:val="188"/>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C284A2" w14:textId="77777777" w:rsidR="009E4F03" w:rsidRPr="005F41F0" w:rsidRDefault="009E4F03" w:rsidP="000C7F15">
            <w:pPr>
              <w:spacing w:line="252" w:lineRule="atLeast"/>
              <w:jc w:val="center"/>
              <w:rPr>
                <w:sz w:val="21"/>
              </w:rPr>
            </w:pPr>
            <w:r w:rsidRPr="005F41F0">
              <w:rPr>
                <w:color w:val="000000"/>
                <w:sz w:val="21"/>
              </w:rPr>
              <w:t>Ankilozinis spondilitas (M45)</w:t>
            </w:r>
          </w:p>
        </w:tc>
      </w:tr>
      <w:tr w:rsidR="009E4F03" w:rsidRPr="005F41F0" w14:paraId="0D3525E6" w14:textId="77777777" w:rsidTr="000C7F15">
        <w:trPr>
          <w:trHeight w:val="552"/>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C7E27F" w14:textId="77777777" w:rsidR="009E4F03" w:rsidRPr="005F41F0" w:rsidRDefault="009E4F03" w:rsidP="000C7F15">
            <w:pPr>
              <w:spacing w:line="252" w:lineRule="atLeast"/>
              <w:rPr>
                <w:sz w:val="21"/>
              </w:rPr>
            </w:pPr>
            <w:r w:rsidRPr="005F41F0">
              <w:rPr>
                <w:color w:val="000000"/>
                <w:sz w:val="21"/>
              </w:rPr>
              <w:t>Nėra apribojimų skirti vaistinį preparatą, kurio gydymo kaina yra mažiausia</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0948F550" w14:textId="77777777" w:rsidR="009E4F03" w:rsidRPr="005F41F0" w:rsidRDefault="009E4F03" w:rsidP="000C7F15">
            <w:pPr>
              <w:spacing w:line="252" w:lineRule="atLeast"/>
              <w:rPr>
                <w:sz w:val="21"/>
              </w:rPr>
            </w:pPr>
            <w:r w:rsidRPr="005F41F0">
              <w:rPr>
                <w:color w:val="000000"/>
                <w:sz w:val="21"/>
              </w:rPr>
              <w:t>TNFα blokatorius</w:t>
            </w:r>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4EF7A300" w14:textId="77777777" w:rsidR="009E4F03" w:rsidRPr="005F41F0" w:rsidRDefault="009E4F03" w:rsidP="000C7F15">
            <w:pPr>
              <w:spacing w:line="252" w:lineRule="atLeast"/>
              <w:rPr>
                <w:sz w:val="21"/>
              </w:rPr>
            </w:pPr>
            <w:r w:rsidRPr="005F41F0">
              <w:rPr>
                <w:color w:val="000000"/>
                <w:sz w:val="21"/>
              </w:rPr>
              <w:t>TNαF blokatorius, sekukinumabas</w:t>
            </w:r>
          </w:p>
        </w:tc>
      </w:tr>
      <w:tr w:rsidR="009E4F03" w:rsidRPr="005F41F0" w14:paraId="3759F5EA" w14:textId="77777777" w:rsidTr="000C7F15">
        <w:trPr>
          <w:trHeight w:val="552"/>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FB9570" w14:textId="77777777" w:rsidR="009E4F03" w:rsidRPr="005F41F0" w:rsidRDefault="009E4F03" w:rsidP="000C7F15">
            <w:pPr>
              <w:spacing w:line="252" w:lineRule="atLeast"/>
              <w:rPr>
                <w:sz w:val="21"/>
              </w:rPr>
            </w:pPr>
            <w:r w:rsidRPr="005F41F0">
              <w:rPr>
                <w:color w:val="000000"/>
                <w:sz w:val="21"/>
              </w:rPr>
              <w:t>Pažeistas žarnynas</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30A0BBF6" w14:textId="77777777" w:rsidR="009E4F03" w:rsidRPr="005F41F0" w:rsidRDefault="009E4F03" w:rsidP="000C7F15">
            <w:pPr>
              <w:spacing w:line="252" w:lineRule="atLeast"/>
              <w:rPr>
                <w:sz w:val="21"/>
              </w:rPr>
            </w:pPr>
            <w:r w:rsidRPr="005F41F0">
              <w:rPr>
                <w:color w:val="000000"/>
                <w:sz w:val="21"/>
              </w:rPr>
              <w:t>Adalimumabas, infliksimabas</w:t>
            </w:r>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215790C7" w14:textId="77777777" w:rsidR="009E4F03" w:rsidRPr="005F41F0" w:rsidRDefault="009E4F03" w:rsidP="000C7F15">
            <w:pPr>
              <w:spacing w:line="252" w:lineRule="atLeast"/>
              <w:rPr>
                <w:sz w:val="21"/>
              </w:rPr>
            </w:pPr>
            <w:r w:rsidRPr="005F41F0">
              <w:rPr>
                <w:color w:val="000000"/>
                <w:sz w:val="21"/>
              </w:rPr>
              <w:t>Kitas TNFα blokatorius: adalimumabas arba infliksimabas, kuris nebuvo skirtas</w:t>
            </w:r>
          </w:p>
        </w:tc>
      </w:tr>
      <w:tr w:rsidR="009E4F03" w:rsidRPr="005F41F0" w14:paraId="245700D5" w14:textId="77777777" w:rsidTr="000C7F15">
        <w:trPr>
          <w:trHeight w:val="552"/>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3BE0C3" w14:textId="77777777" w:rsidR="009E4F03" w:rsidRPr="005F41F0" w:rsidRDefault="009E4F03" w:rsidP="000C7F15">
            <w:pPr>
              <w:spacing w:line="252" w:lineRule="atLeast"/>
              <w:rPr>
                <w:sz w:val="21"/>
              </w:rPr>
            </w:pPr>
            <w:r w:rsidRPr="005F41F0">
              <w:rPr>
                <w:color w:val="000000"/>
                <w:sz w:val="21"/>
              </w:rPr>
              <w:t>Pažeistos akys</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412A48A5" w14:textId="77777777" w:rsidR="009E4F03" w:rsidRPr="005F41F0" w:rsidRDefault="009E4F03" w:rsidP="000C7F15">
            <w:pPr>
              <w:spacing w:line="252" w:lineRule="atLeast"/>
              <w:rPr>
                <w:sz w:val="21"/>
              </w:rPr>
            </w:pPr>
            <w:r w:rsidRPr="005F41F0">
              <w:rPr>
                <w:color w:val="000000"/>
                <w:sz w:val="21"/>
              </w:rPr>
              <w:t>Adalimumabas, infliksimabas</w:t>
            </w:r>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0E31B770" w14:textId="77777777" w:rsidR="009E4F03" w:rsidRPr="005F41F0" w:rsidRDefault="009E4F03" w:rsidP="000C7F15">
            <w:pPr>
              <w:spacing w:line="252" w:lineRule="atLeast"/>
              <w:rPr>
                <w:sz w:val="21"/>
              </w:rPr>
            </w:pPr>
            <w:r w:rsidRPr="005F41F0">
              <w:rPr>
                <w:color w:val="000000"/>
                <w:sz w:val="21"/>
              </w:rPr>
              <w:t>Kitas TNFα blokatorius: adalimumabas arba infliksimabas, kuris nebuvo skirtas</w:t>
            </w:r>
          </w:p>
        </w:tc>
      </w:tr>
      <w:tr w:rsidR="009E4F03" w:rsidRPr="005F41F0" w14:paraId="0A128497" w14:textId="77777777" w:rsidTr="000C7F15">
        <w:trPr>
          <w:trHeight w:val="363"/>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8C7A73F" w14:textId="77777777" w:rsidR="009E4F03" w:rsidRPr="005F41F0" w:rsidRDefault="009E4F03" w:rsidP="000C7F15">
            <w:pPr>
              <w:spacing w:line="252" w:lineRule="atLeast"/>
              <w:rPr>
                <w:sz w:val="21"/>
              </w:rPr>
            </w:pPr>
            <w:r w:rsidRPr="005F41F0">
              <w:rPr>
                <w:color w:val="000000"/>
                <w:sz w:val="21"/>
              </w:rPr>
              <w:t>Pacientas yra sirgęs tuberkulioze</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5E67FABF" w14:textId="77777777" w:rsidR="009E4F03" w:rsidRPr="005F41F0" w:rsidRDefault="009E4F03" w:rsidP="000C7F15">
            <w:pPr>
              <w:spacing w:line="252" w:lineRule="atLeast"/>
              <w:rPr>
                <w:sz w:val="21"/>
              </w:rPr>
            </w:pPr>
            <w:r w:rsidRPr="005F41F0">
              <w:rPr>
                <w:color w:val="000000"/>
                <w:sz w:val="21"/>
              </w:rPr>
              <w:t>Etanerceptas, sekukinumabas</w:t>
            </w:r>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560B4994" w14:textId="77777777" w:rsidR="009E4F03" w:rsidRPr="005F41F0" w:rsidRDefault="009E4F03" w:rsidP="000C7F15">
            <w:pPr>
              <w:spacing w:line="252" w:lineRule="atLeast"/>
              <w:rPr>
                <w:sz w:val="21"/>
              </w:rPr>
            </w:pPr>
            <w:r w:rsidRPr="005F41F0">
              <w:rPr>
                <w:color w:val="000000"/>
                <w:sz w:val="21"/>
              </w:rPr>
              <w:t>Kitas TNFα blokatorius, sekukinumabas</w:t>
            </w:r>
          </w:p>
        </w:tc>
      </w:tr>
      <w:tr w:rsidR="009E4F03" w:rsidRPr="005F41F0" w14:paraId="73B171C1" w14:textId="77777777" w:rsidTr="000C7F15">
        <w:trPr>
          <w:trHeight w:val="726"/>
        </w:trPr>
        <w:tc>
          <w:tcPr>
            <w:tcW w:w="15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7555D3" w14:textId="77777777" w:rsidR="009E4F03" w:rsidRPr="005F41F0" w:rsidRDefault="009E4F03" w:rsidP="000C7F15">
            <w:pPr>
              <w:spacing w:line="252" w:lineRule="atLeast"/>
              <w:rPr>
                <w:sz w:val="21"/>
              </w:rPr>
            </w:pPr>
            <w:r w:rsidRPr="005F41F0">
              <w:rPr>
                <w:color w:val="000000"/>
                <w:sz w:val="21"/>
              </w:rPr>
              <w:t>Alergija vienam iš TNF blokatorių</w:t>
            </w:r>
          </w:p>
        </w:tc>
        <w:tc>
          <w:tcPr>
            <w:tcW w:w="1750" w:type="pct"/>
            <w:tcBorders>
              <w:top w:val="nil"/>
              <w:left w:val="nil"/>
              <w:bottom w:val="single" w:sz="8" w:space="0" w:color="000000"/>
              <w:right w:val="single" w:sz="8" w:space="0" w:color="000000"/>
            </w:tcBorders>
            <w:tcMar>
              <w:top w:w="0" w:type="dxa"/>
              <w:left w:w="108" w:type="dxa"/>
              <w:bottom w:w="0" w:type="dxa"/>
              <w:right w:w="108" w:type="dxa"/>
            </w:tcMar>
            <w:hideMark/>
          </w:tcPr>
          <w:p w14:paraId="476A1F46" w14:textId="77777777" w:rsidR="009E4F03" w:rsidRPr="005F41F0" w:rsidRDefault="009E4F03" w:rsidP="000C7F15">
            <w:pPr>
              <w:spacing w:line="252" w:lineRule="atLeast"/>
              <w:rPr>
                <w:sz w:val="21"/>
              </w:rPr>
            </w:pPr>
            <w:r w:rsidRPr="005F41F0">
              <w:rPr>
                <w:color w:val="000000"/>
                <w:sz w:val="21"/>
              </w:rPr>
              <w:t>Kitas TNFα blokatorius (ne      -mabas, jei buvo -mabas, arba ne -ceptas, jei buvo -ceptas)</w:t>
            </w:r>
          </w:p>
        </w:tc>
        <w:tc>
          <w:tcPr>
            <w:tcW w:w="1700" w:type="pct"/>
            <w:tcBorders>
              <w:top w:val="nil"/>
              <w:left w:val="nil"/>
              <w:bottom w:val="single" w:sz="8" w:space="0" w:color="000000"/>
              <w:right w:val="single" w:sz="8" w:space="0" w:color="000000"/>
            </w:tcBorders>
            <w:tcMar>
              <w:top w:w="0" w:type="dxa"/>
              <w:left w:w="108" w:type="dxa"/>
              <w:bottom w:w="0" w:type="dxa"/>
              <w:right w:w="108" w:type="dxa"/>
            </w:tcMar>
            <w:hideMark/>
          </w:tcPr>
          <w:p w14:paraId="4D3E8CEE" w14:textId="77777777" w:rsidR="009E4F03" w:rsidRPr="005F41F0" w:rsidRDefault="009E4F03" w:rsidP="000C7F15">
            <w:pPr>
              <w:spacing w:line="252" w:lineRule="atLeast"/>
              <w:rPr>
                <w:sz w:val="21"/>
              </w:rPr>
            </w:pPr>
            <w:r w:rsidRPr="005F41F0">
              <w:rPr>
                <w:color w:val="000000"/>
                <w:sz w:val="21"/>
              </w:rPr>
              <w:t>Kitas TNFα blokatorius (ne    -mabas, jei buvo -mabas, arba ne -ceptas, jei buvo   -ceptas), sekukinumabas</w:t>
            </w:r>
          </w:p>
        </w:tc>
      </w:tr>
    </w:tbl>
    <w:p w14:paraId="7965FD82" w14:textId="77777777" w:rsidR="009E4F03" w:rsidRPr="005F41F0" w:rsidRDefault="009E4F03" w:rsidP="009E4F03">
      <w:pPr>
        <w:spacing w:line="276" w:lineRule="auto"/>
        <w:jc w:val="both"/>
      </w:pPr>
    </w:p>
    <w:p w14:paraId="58BB62EE" w14:textId="77777777" w:rsidR="009E4F03" w:rsidRPr="005F41F0" w:rsidRDefault="009E4F03" w:rsidP="009E4F03">
      <w:pPr>
        <w:spacing w:line="276" w:lineRule="auto"/>
        <w:ind w:firstLine="709"/>
        <w:jc w:val="both"/>
        <w:rPr>
          <w:rFonts w:eastAsia="Arial"/>
        </w:rPr>
      </w:pPr>
      <w:r w:rsidRPr="005F41F0">
        <w:rPr>
          <w:color w:val="000000"/>
        </w:rPr>
        <w:t>Tinkamas palyginamasis vaistinis preparatas yra naviko (angl. tumor) nekrozės faktoriaus alfa TNFα inhibitorius (TNFi) adalimumabas.</w:t>
      </w:r>
    </w:p>
    <w:p w14:paraId="27CF244C" w14:textId="77777777" w:rsidR="009E4F03" w:rsidRPr="005F41F0" w:rsidRDefault="009E4F03" w:rsidP="009E4F03">
      <w:pPr>
        <w:spacing w:line="276" w:lineRule="auto"/>
        <w:ind w:firstLine="709"/>
        <w:jc w:val="both"/>
        <w:rPr>
          <w:rFonts w:eastAsia="Arial"/>
        </w:rPr>
      </w:pPr>
      <w:r w:rsidRPr="005F41F0">
        <w:rPr>
          <w:rFonts w:eastAsia="Arial"/>
        </w:rPr>
        <w:t>Paraiškoje pateikti du tiesioginiai palyginamieji tyrimai, kuriuose tofacitinibas buvo lygintas su placebu, todėl šie tyrimai laikomi neaktualiais Lietuvos klinikinei praktikai, nes tinkamas palyginamasis gydymas yra adalimumabas.</w:t>
      </w:r>
    </w:p>
    <w:p w14:paraId="50B0374C" w14:textId="77777777" w:rsidR="009E4F03" w:rsidRPr="005F41F0" w:rsidRDefault="009E4F03" w:rsidP="009E4F03">
      <w:pPr>
        <w:spacing w:line="276" w:lineRule="auto"/>
        <w:ind w:firstLine="709"/>
        <w:jc w:val="both"/>
        <w:rPr>
          <w:rFonts w:eastAsia="Arial"/>
        </w:rPr>
      </w:pPr>
      <w:r w:rsidRPr="005F41F0">
        <w:rPr>
          <w:rFonts w:eastAsia="Arial"/>
        </w:rPr>
        <w:t xml:space="preserve">Pateiktas netiesioginis palyginamasis tyrimas – metaanalizė, kurios tikslas buvo palyginti 5 mg du kartus per parą vartojamo tofacitinibo ir 40 mg adalimumabo veiksmingumą ir saugumą, skiriant gydymą kartą per dvi savaites (Q2W), gydant pacientus, kuriems patvirtinta AS diagnozė po netinkamo atsako į gydymą NVNU. </w:t>
      </w:r>
    </w:p>
    <w:p w14:paraId="13464796" w14:textId="3DBD1DAD" w:rsidR="009E4F03" w:rsidRPr="005F41F0" w:rsidRDefault="001D7BAA" w:rsidP="009E4F03">
      <w:pPr>
        <w:spacing w:line="276" w:lineRule="auto"/>
        <w:ind w:firstLine="709"/>
        <w:jc w:val="both"/>
        <w:rPr>
          <w:rFonts w:eastAsiaTheme="minorHAnsi"/>
          <w:color w:val="000000"/>
          <w:lang w:eastAsia="lt-LT"/>
        </w:rPr>
      </w:pPr>
      <w:r w:rsidRPr="005F41F0">
        <w:rPr>
          <w:rFonts w:eastAsia="Arial"/>
        </w:rPr>
        <w:t>Tarn</w:t>
      </w:r>
      <w:r w:rsidR="009E4F03" w:rsidRPr="005F41F0">
        <w:rPr>
          <w:rFonts w:eastAsia="Arial"/>
        </w:rPr>
        <w:t xml:space="preserve">yba </w:t>
      </w:r>
      <w:r w:rsidR="009E4F03" w:rsidRPr="005F41F0">
        <w:rPr>
          <w:rFonts w:eastAsiaTheme="minorHAnsi"/>
          <w:color w:val="000000"/>
          <w:lang w:eastAsia="lt-LT"/>
        </w:rPr>
        <w:t xml:space="preserve">vertino, kad toks tofacitinibo vartojimas (tik po neveiksmingo NVNU gydymo ir derinyje su tsLMV) yra laikomas neaktualiu Lietuvos klinikinei praktikai, nes pagal 2018 m. vasario </w:t>
      </w:r>
      <w:r w:rsidR="009E4F03" w:rsidRPr="005F41F0">
        <w:rPr>
          <w:rFonts w:eastAsiaTheme="minorHAnsi"/>
          <w:color w:val="000000"/>
          <w:lang w:eastAsia="lt-LT"/>
        </w:rPr>
        <w:lastRenderedPageBreak/>
        <w:t xml:space="preserve">15 d. SAM įsakymu V-180 „Dėl Ankilozinio spondilito ir kitos patikslintos uždegiminės spondilopatijos (neradiografinio ašinio spondiloartrito) gydymo vaistais, kurių įsigijimo išlaidos apmokamos Privalomojo sveikatos draudimo fondo biudžeto lėšomis, tvarkos aprašo patvirtinimo“ nustatytą gydymo tvarką AS gydymas pradedamas NVNU, jei jie neveiksmingi - tradiciniais sisteminiais </w:t>
      </w:r>
      <w:r w:rsidR="005F41F0" w:rsidRPr="005F41F0">
        <w:rPr>
          <w:rFonts w:eastAsiaTheme="minorHAnsi"/>
          <w:color w:val="000000"/>
          <w:lang w:eastAsia="lt-LT"/>
        </w:rPr>
        <w:t xml:space="preserve">vaistiniais preparatais </w:t>
      </w:r>
      <w:r w:rsidR="009E4F03" w:rsidRPr="005F41F0">
        <w:rPr>
          <w:rFonts w:eastAsiaTheme="minorHAnsi"/>
          <w:color w:val="000000"/>
          <w:lang w:eastAsia="lt-LT"/>
        </w:rPr>
        <w:t>(metotreksatu, ciklosporinu) ir jei toks gydymas yra neveiksmingas, tik tuomet skiriama biologine terapija TNF alfa inhibitoriais.</w:t>
      </w:r>
    </w:p>
    <w:p w14:paraId="0A350B54" w14:textId="7206C8C6" w:rsidR="009E4F03" w:rsidRPr="005F41F0" w:rsidRDefault="001D7BAA" w:rsidP="009E4F03">
      <w:pPr>
        <w:spacing w:line="276" w:lineRule="auto"/>
        <w:ind w:firstLine="709"/>
        <w:jc w:val="both"/>
        <w:rPr>
          <w:rFonts w:eastAsia="Arial"/>
        </w:rPr>
      </w:pPr>
      <w:r w:rsidRPr="005F41F0">
        <w:rPr>
          <w:rFonts w:eastAsia="Arial"/>
        </w:rPr>
        <w:t>Parei</w:t>
      </w:r>
      <w:r w:rsidR="009E4F03" w:rsidRPr="005F41F0">
        <w:rPr>
          <w:rFonts w:eastAsia="Arial"/>
        </w:rPr>
        <w:t>škėjas, po pateiktų klausimų, pateikė atsakymus ir papildomą informaciją:</w:t>
      </w:r>
    </w:p>
    <w:p w14:paraId="30005415" w14:textId="77777777" w:rsidR="009E4F03" w:rsidRPr="005F41F0" w:rsidRDefault="009E4F03" w:rsidP="009E4F03">
      <w:pPr>
        <w:pStyle w:val="Betarp"/>
        <w:numPr>
          <w:ilvl w:val="0"/>
          <w:numId w:val="17"/>
        </w:numPr>
        <w:jc w:val="both"/>
        <w:rPr>
          <w:rFonts w:ascii="Times New Roman" w:hAnsi="Times New Roman"/>
          <w:color w:val="000000" w:themeColor="text1"/>
          <w:sz w:val="24"/>
          <w:szCs w:val="24"/>
        </w:rPr>
      </w:pPr>
      <w:r w:rsidRPr="005F41F0">
        <w:rPr>
          <w:rFonts w:ascii="Times New Roman" w:hAnsi="Times New Roman"/>
          <w:color w:val="000000" w:themeColor="text1"/>
          <w:sz w:val="24"/>
          <w:szCs w:val="24"/>
        </w:rPr>
        <w:t>Pareiškėjas pateikdamas atsakymą, nurodė, kad šiuo metu nėra atliktų tiesioginio palyginimo tyrimų tarp tofacitinibo ir adalimumabo, dėl šios priežasties, buvo pateiktas netiesioginis palyginamasis tyrimas, siekiant įrodyti, kad tofacitinibas yra ne mažiau efektyvus nei adalimumabas.</w:t>
      </w:r>
    </w:p>
    <w:p w14:paraId="17A676CF" w14:textId="77777777" w:rsidR="009E4F03" w:rsidRPr="005F41F0" w:rsidRDefault="009E4F03" w:rsidP="009E4F03">
      <w:pPr>
        <w:pStyle w:val="Betarp"/>
        <w:numPr>
          <w:ilvl w:val="0"/>
          <w:numId w:val="17"/>
        </w:numPr>
        <w:jc w:val="both"/>
        <w:rPr>
          <w:rFonts w:ascii="Times New Roman" w:hAnsi="Times New Roman"/>
          <w:color w:val="000000" w:themeColor="text1"/>
          <w:sz w:val="24"/>
          <w:szCs w:val="24"/>
        </w:rPr>
      </w:pPr>
      <w:r w:rsidRPr="005F41F0">
        <w:rPr>
          <w:rFonts w:ascii="Times New Roman" w:hAnsi="Times New Roman"/>
          <w:color w:val="000000" w:themeColor="text1"/>
          <w:sz w:val="24"/>
          <w:szCs w:val="24"/>
        </w:rPr>
        <w:t>Pareiškėjas pateikė papildomą informaciją:</w:t>
      </w:r>
    </w:p>
    <w:p w14:paraId="68289A1F" w14:textId="14F463BE" w:rsidR="009E4F03" w:rsidRPr="005F41F0" w:rsidRDefault="009E4F03" w:rsidP="009E4F03">
      <w:pPr>
        <w:pStyle w:val="Betarp"/>
        <w:numPr>
          <w:ilvl w:val="1"/>
          <w:numId w:val="17"/>
        </w:numPr>
        <w:jc w:val="both"/>
        <w:rPr>
          <w:rFonts w:ascii="Times New Roman" w:hAnsi="Times New Roman"/>
          <w:color w:val="000000" w:themeColor="text1"/>
          <w:sz w:val="24"/>
          <w:szCs w:val="24"/>
        </w:rPr>
      </w:pPr>
      <w:r w:rsidRPr="005F41F0">
        <w:rPr>
          <w:rFonts w:ascii="Times New Roman" w:hAnsi="Times New Roman"/>
          <w:color w:val="000000" w:themeColor="text1"/>
          <w:sz w:val="24"/>
          <w:szCs w:val="24"/>
        </w:rPr>
        <w:t xml:space="preserve">Lietuvos reumatologų asociacijos paskelbtą „Ankilozinio spondilito diagnostikos ir gydymo aprašą“, kuriame yra aprašytas TNF alfa inhibitorių skyrimas, šiai ligai gydyti. Iš jame pateiktos informacijos, galima spręsti, kad esant nepakankamai efektyviam gydymui NVNU ir/arba sisteminiais </w:t>
      </w:r>
      <w:r w:rsidR="005F41F0" w:rsidRPr="005F41F0">
        <w:rPr>
          <w:rFonts w:ascii="Times New Roman" w:hAnsi="Times New Roman"/>
          <w:color w:val="000000" w:themeColor="text1"/>
          <w:sz w:val="24"/>
          <w:szCs w:val="24"/>
        </w:rPr>
        <w:t>vaistiniais preparatais</w:t>
      </w:r>
      <w:r w:rsidRPr="005F41F0">
        <w:rPr>
          <w:rFonts w:ascii="Times New Roman" w:hAnsi="Times New Roman"/>
          <w:color w:val="000000" w:themeColor="text1"/>
          <w:sz w:val="24"/>
          <w:szCs w:val="24"/>
        </w:rPr>
        <w:t xml:space="preserve"> (sulfasalazinu ar metotreksatu) pradedamas gydymas TNF alfa inhibitoriais pridedant juos prie jau taikomo gydymo (t.y. nenutraukiant prieš tai skirtų vaistų). Todėl į metaanalizė įtrauktų tyrimų populiacijų įtraukimo kriterijai atitinta šiuo metu Lietuvoje taikomą gydymo praktiką.</w:t>
      </w:r>
    </w:p>
    <w:p w14:paraId="78AD7691" w14:textId="067A9CAD" w:rsidR="009E4F03" w:rsidRPr="005F41F0" w:rsidRDefault="009E4F03" w:rsidP="009E4F03">
      <w:pPr>
        <w:pStyle w:val="Betarp"/>
        <w:numPr>
          <w:ilvl w:val="1"/>
          <w:numId w:val="17"/>
        </w:numPr>
        <w:jc w:val="both"/>
        <w:rPr>
          <w:rFonts w:ascii="Times New Roman" w:hAnsi="Times New Roman"/>
          <w:color w:val="000000" w:themeColor="text1"/>
          <w:sz w:val="24"/>
          <w:szCs w:val="24"/>
        </w:rPr>
      </w:pPr>
      <w:r w:rsidRPr="005F41F0">
        <w:rPr>
          <w:rFonts w:ascii="Times New Roman" w:hAnsi="Times New Roman"/>
          <w:color w:val="000000" w:themeColor="text1"/>
          <w:sz w:val="24"/>
          <w:szCs w:val="24"/>
        </w:rPr>
        <w:t>Taip pat pateikta informacija apie metotreksato naudojimą kartu su tofacitinibu. Tiek tofacitinibas, tiek adalimumabas gali būti rutin</w:t>
      </w:r>
      <w:r w:rsidR="001D7BAA" w:rsidRPr="005F41F0">
        <w:rPr>
          <w:rFonts w:ascii="Times New Roman" w:hAnsi="Times New Roman"/>
          <w:color w:val="000000" w:themeColor="text1"/>
          <w:sz w:val="24"/>
          <w:szCs w:val="24"/>
        </w:rPr>
        <w:t>iškai skiriami su anksčiau varto</w:t>
      </w:r>
      <w:r w:rsidRPr="005F41F0">
        <w:rPr>
          <w:rFonts w:ascii="Times New Roman" w:hAnsi="Times New Roman"/>
          <w:color w:val="000000" w:themeColor="text1"/>
          <w:sz w:val="24"/>
          <w:szCs w:val="24"/>
        </w:rPr>
        <w:t>tais įprastinės terapijos preparatais. Tofacitinibo registraciniame tyrime buvo įtraukti pacientai, kurie kartu vartojo metotreksatą arba sulfasalaziną, todėl jo vartojimas kartu su metotreksatu nėra ribojamas ar negalimas.</w:t>
      </w:r>
    </w:p>
    <w:p w14:paraId="31AA9AAD" w14:textId="77777777" w:rsidR="009E4F03" w:rsidRPr="005F41F0" w:rsidRDefault="009E4F03" w:rsidP="009E4F03">
      <w:pPr>
        <w:pStyle w:val="Betarp"/>
        <w:jc w:val="both"/>
        <w:rPr>
          <w:rFonts w:ascii="Times New Roman" w:hAnsi="Times New Roman"/>
          <w:color w:val="000000" w:themeColor="text1"/>
          <w:sz w:val="24"/>
          <w:szCs w:val="24"/>
        </w:rPr>
      </w:pPr>
    </w:p>
    <w:p w14:paraId="78FCBE61" w14:textId="77777777" w:rsidR="009E4F03" w:rsidRPr="005F41F0" w:rsidRDefault="009E4F03" w:rsidP="009E4F03">
      <w:pPr>
        <w:pStyle w:val="Betarp"/>
        <w:spacing w:line="276" w:lineRule="auto"/>
        <w:ind w:firstLine="709"/>
        <w:jc w:val="both"/>
        <w:rPr>
          <w:rFonts w:ascii="Times New Roman" w:hAnsi="Times New Roman"/>
          <w:color w:val="000000" w:themeColor="text1"/>
          <w:sz w:val="24"/>
          <w:szCs w:val="24"/>
        </w:rPr>
      </w:pPr>
      <w:r w:rsidRPr="005F41F0">
        <w:rPr>
          <w:rFonts w:ascii="Times New Roman" w:hAnsi="Times New Roman"/>
          <w:color w:val="000000" w:themeColor="text1"/>
          <w:sz w:val="24"/>
          <w:szCs w:val="24"/>
        </w:rPr>
        <w:t>Įvertinus pateiktą pareiškėjo informaciją su pagrindine paraiška ir po pateiktų klausimų, Tarnyba mano, kad pareiškėjo pateiktas netiesioginis palyginamasis tyrimas (metaanalizė) gali būti laikoma aktualia Lietuvos klinikinei praktikai.</w:t>
      </w:r>
    </w:p>
    <w:p w14:paraId="231511B3" w14:textId="2ADBB8D8" w:rsidR="005F41F0" w:rsidRPr="005F41F0" w:rsidRDefault="005F41F0" w:rsidP="005F41F0">
      <w:pPr>
        <w:pStyle w:val="Betarp"/>
        <w:spacing w:line="276" w:lineRule="auto"/>
        <w:ind w:firstLine="709"/>
        <w:jc w:val="both"/>
        <w:rPr>
          <w:rFonts w:ascii="Times New Roman" w:hAnsi="Times New Roman"/>
          <w:color w:val="000000" w:themeColor="text1"/>
          <w:sz w:val="24"/>
          <w:szCs w:val="24"/>
        </w:rPr>
      </w:pPr>
      <w:r w:rsidRPr="005F41F0">
        <w:rPr>
          <w:rFonts w:ascii="Times New Roman" w:hAnsi="Times New Roman"/>
          <w:color w:val="000000" w:themeColor="text1"/>
          <w:sz w:val="24"/>
          <w:szCs w:val="24"/>
        </w:rPr>
        <w:t>Pateiktame netiesioginiame palyginamajame tyrime (tyrimas aprašytas vertinimo protokolo 3.2 skyriuje) yra aprašyti rezultatai, kurie įrodo, kad tofacitinibas yra ne mažiau efektyvus nei adalimumabas, skiriant jį pacientams, sergantiems ankiloziniu spondilitu, kurių atsakas į įprastinį gydymą yra nepakankamas. Todėl daroma išvada, kad tofacitinibo palyginamasis efektyvumas iš esmės nesiskiria nuo adalimumabo, o tofacitinibo klinikinis veiksmingumas yra įvertintas kaip pagrindžiantis nesiskiriančios naudos pacientų sveikatai sukūrimą, palyginus su adalimumabu.</w:t>
      </w:r>
    </w:p>
    <w:p w14:paraId="4A4EFFF9" w14:textId="77777777" w:rsidR="005F41F0" w:rsidRPr="005F41F0" w:rsidRDefault="005F41F0" w:rsidP="005F41F0">
      <w:pPr>
        <w:pStyle w:val="Betarp"/>
        <w:spacing w:line="276" w:lineRule="auto"/>
        <w:ind w:firstLine="709"/>
        <w:jc w:val="both"/>
        <w:rPr>
          <w:rFonts w:ascii="Times New Roman" w:hAnsi="Times New Roman"/>
          <w:color w:val="000000" w:themeColor="text1"/>
          <w:sz w:val="24"/>
          <w:szCs w:val="24"/>
        </w:rPr>
      </w:pPr>
    </w:p>
    <w:p w14:paraId="7DE09EB5" w14:textId="04C72FFD" w:rsidR="00E03C3F" w:rsidRPr="005F41F0" w:rsidRDefault="00CC7832" w:rsidP="00937907">
      <w:pPr>
        <w:pStyle w:val="Sraopastraipa"/>
        <w:numPr>
          <w:ilvl w:val="0"/>
          <w:numId w:val="12"/>
        </w:numPr>
        <w:tabs>
          <w:tab w:val="left" w:pos="426"/>
        </w:tabs>
        <w:rPr>
          <w:b/>
          <w:bCs/>
          <w:caps/>
        </w:rPr>
      </w:pPr>
      <w:r w:rsidRPr="005F41F0">
        <w:rPr>
          <w:b/>
          <w:bCs/>
          <w:caps/>
        </w:rPr>
        <w:t xml:space="preserve">Farmakoekonominio vertinimo </w:t>
      </w:r>
      <w:r w:rsidR="002F0E4F" w:rsidRPr="005F41F0">
        <w:rPr>
          <w:b/>
          <w:bCs/>
          <w:caps/>
        </w:rPr>
        <w:t>apibendrinimas</w:t>
      </w:r>
    </w:p>
    <w:p w14:paraId="1A900598" w14:textId="65638B29" w:rsidR="00C62B36" w:rsidRPr="005F41F0" w:rsidRDefault="00C62B36" w:rsidP="00A93AA6">
      <w:pPr>
        <w:tabs>
          <w:tab w:val="left" w:pos="426"/>
        </w:tabs>
        <w:rPr>
          <w:i/>
          <w:color w:val="000000" w:themeColor="text1"/>
          <w:sz w:val="22"/>
          <w:szCs w:val="22"/>
        </w:rPr>
      </w:pPr>
    </w:p>
    <w:p w14:paraId="559AF7DE" w14:textId="68DF4C55" w:rsidR="00505A9E" w:rsidRPr="005F41F0" w:rsidRDefault="00216CE2" w:rsidP="00505A9E">
      <w:pPr>
        <w:shd w:val="clear" w:color="auto" w:fill="FFFFFF"/>
        <w:spacing w:line="276" w:lineRule="auto"/>
        <w:ind w:firstLine="720"/>
        <w:jc w:val="both"/>
        <w:rPr>
          <w:iCs/>
          <w:lang w:eastAsia="lt-LT"/>
        </w:rPr>
      </w:pPr>
      <w:r w:rsidRPr="005F41F0">
        <w:tab/>
      </w:r>
      <w:r w:rsidR="00505A9E" w:rsidRPr="005F41F0">
        <w:rPr>
          <w:iCs/>
          <w:lang w:eastAsia="lt-LT"/>
        </w:rPr>
        <w:t>Pareiškėjas ekonominėje analizėje pateikia tofacitinibo ir palyginamojo adalimumabo vaistinių preparatų įsigijimo kaštus vienerių metų laikotarpiu (sekantys metai nesiskiria). Kiti kaštai analizėje neįtraukiami, taikant prielaidas, kad skirtumų tarp palyginamųjų patiriamų kaštų nėra (lentelė 3).</w:t>
      </w:r>
    </w:p>
    <w:p w14:paraId="3523DD9C" w14:textId="77777777" w:rsidR="00505A9E" w:rsidRPr="005F41F0" w:rsidRDefault="00505A9E" w:rsidP="00505A9E">
      <w:pPr>
        <w:shd w:val="clear" w:color="auto" w:fill="FFFFFF"/>
        <w:spacing w:line="276" w:lineRule="auto"/>
        <w:rPr>
          <w:i/>
          <w:iCs/>
          <w:color w:val="00B050"/>
          <w:lang w:eastAsia="lt-LT"/>
        </w:rPr>
      </w:pPr>
    </w:p>
    <w:p w14:paraId="3BF97AF8" w14:textId="1A08B2F1" w:rsidR="00505A9E" w:rsidRPr="005F41F0" w:rsidRDefault="00505A9E" w:rsidP="00505A9E">
      <w:pPr>
        <w:jc w:val="center"/>
      </w:pPr>
      <w:r w:rsidRPr="005F41F0">
        <w:t>Lentelė 3. Ekonominėje analizėje neįtraukiami kaštai ir pagrindimas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677"/>
        <w:gridCol w:w="1828"/>
        <w:gridCol w:w="3889"/>
      </w:tblGrid>
      <w:tr w:rsidR="00505A9E" w:rsidRPr="005F41F0" w14:paraId="76B587D6" w14:textId="77777777" w:rsidTr="00505A9E">
        <w:trPr>
          <w:trHeight w:val="242"/>
        </w:trPr>
        <w:tc>
          <w:tcPr>
            <w:tcW w:w="2245" w:type="dxa"/>
            <w:shd w:val="clear" w:color="auto" w:fill="auto"/>
          </w:tcPr>
          <w:p w14:paraId="6CEF5901" w14:textId="77777777" w:rsidR="00505A9E" w:rsidRPr="005F41F0" w:rsidRDefault="00505A9E" w:rsidP="008A27C1"/>
        </w:tc>
        <w:tc>
          <w:tcPr>
            <w:tcW w:w="1677" w:type="dxa"/>
            <w:shd w:val="clear" w:color="auto" w:fill="auto"/>
          </w:tcPr>
          <w:p w14:paraId="35365E32" w14:textId="77777777" w:rsidR="00505A9E" w:rsidRPr="005F41F0" w:rsidRDefault="00505A9E" w:rsidP="008A27C1">
            <w:r w:rsidRPr="005F41F0">
              <w:rPr>
                <w:b/>
                <w:bCs/>
              </w:rPr>
              <w:t>Tofacitinibas</w:t>
            </w:r>
          </w:p>
        </w:tc>
        <w:tc>
          <w:tcPr>
            <w:tcW w:w="1828" w:type="dxa"/>
            <w:shd w:val="clear" w:color="auto" w:fill="auto"/>
          </w:tcPr>
          <w:p w14:paraId="01C86E1F" w14:textId="77777777" w:rsidR="00505A9E" w:rsidRPr="005F41F0" w:rsidRDefault="00505A9E" w:rsidP="008A27C1">
            <w:r w:rsidRPr="005F41F0">
              <w:rPr>
                <w:b/>
                <w:bCs/>
              </w:rPr>
              <w:t>Adalimumabas</w:t>
            </w:r>
          </w:p>
        </w:tc>
        <w:tc>
          <w:tcPr>
            <w:tcW w:w="3889" w:type="dxa"/>
            <w:shd w:val="clear" w:color="auto" w:fill="auto"/>
          </w:tcPr>
          <w:p w14:paraId="01355975" w14:textId="77777777" w:rsidR="00505A9E" w:rsidRPr="005F41F0" w:rsidRDefault="00505A9E" w:rsidP="008A27C1">
            <w:r w:rsidRPr="005F41F0">
              <w:rPr>
                <w:b/>
                <w:bCs/>
              </w:rPr>
              <w:t>Pastabos</w:t>
            </w:r>
          </w:p>
        </w:tc>
      </w:tr>
      <w:tr w:rsidR="00505A9E" w:rsidRPr="005F41F0" w14:paraId="7007998C" w14:textId="77777777" w:rsidTr="00505A9E">
        <w:trPr>
          <w:trHeight w:val="485"/>
        </w:trPr>
        <w:tc>
          <w:tcPr>
            <w:tcW w:w="2245" w:type="dxa"/>
            <w:shd w:val="clear" w:color="auto" w:fill="auto"/>
          </w:tcPr>
          <w:p w14:paraId="2D2925A2" w14:textId="77777777" w:rsidR="00505A9E" w:rsidRPr="005F41F0" w:rsidRDefault="00505A9E" w:rsidP="008A27C1">
            <w:r w:rsidRPr="005F41F0">
              <w:t>Vaistų skyrimo kaštai</w:t>
            </w:r>
          </w:p>
        </w:tc>
        <w:tc>
          <w:tcPr>
            <w:tcW w:w="1677" w:type="dxa"/>
            <w:shd w:val="clear" w:color="auto" w:fill="auto"/>
          </w:tcPr>
          <w:p w14:paraId="1E95791E" w14:textId="77777777" w:rsidR="00505A9E" w:rsidRPr="005F41F0" w:rsidRDefault="00505A9E" w:rsidP="008A27C1">
            <w:r w:rsidRPr="005F41F0">
              <w:t>Vartojamas per burną</w:t>
            </w:r>
          </w:p>
        </w:tc>
        <w:tc>
          <w:tcPr>
            <w:tcW w:w="1828" w:type="dxa"/>
            <w:shd w:val="clear" w:color="auto" w:fill="auto"/>
          </w:tcPr>
          <w:p w14:paraId="67542F64" w14:textId="77777777" w:rsidR="00505A9E" w:rsidRPr="005F41F0" w:rsidRDefault="00505A9E" w:rsidP="008A27C1">
            <w:r w:rsidRPr="005F41F0">
              <w:t>Injekuojamas į poodį</w:t>
            </w:r>
          </w:p>
        </w:tc>
        <w:tc>
          <w:tcPr>
            <w:tcW w:w="3889" w:type="dxa"/>
            <w:shd w:val="clear" w:color="auto" w:fill="auto"/>
          </w:tcPr>
          <w:p w14:paraId="23AAF1B6" w14:textId="77777777" w:rsidR="00505A9E" w:rsidRPr="005F41F0" w:rsidRDefault="00505A9E" w:rsidP="008A27C1">
            <w:r w:rsidRPr="005F41F0">
              <w:t xml:space="preserve">Nereikalauja papildomų kaštų. </w:t>
            </w:r>
          </w:p>
        </w:tc>
      </w:tr>
      <w:tr w:rsidR="00505A9E" w:rsidRPr="005F41F0" w14:paraId="77DE7AE8" w14:textId="77777777" w:rsidTr="00505A9E">
        <w:trPr>
          <w:trHeight w:val="494"/>
        </w:trPr>
        <w:tc>
          <w:tcPr>
            <w:tcW w:w="2245" w:type="dxa"/>
            <w:shd w:val="clear" w:color="auto" w:fill="auto"/>
          </w:tcPr>
          <w:p w14:paraId="6E9A862B" w14:textId="77777777" w:rsidR="00505A9E" w:rsidRPr="005F41F0" w:rsidRDefault="00505A9E" w:rsidP="008A27C1">
            <w:r w:rsidRPr="005F41F0">
              <w:t>Stebėjimo kaštai</w:t>
            </w:r>
          </w:p>
        </w:tc>
        <w:tc>
          <w:tcPr>
            <w:tcW w:w="3505" w:type="dxa"/>
            <w:gridSpan w:val="2"/>
            <w:shd w:val="clear" w:color="auto" w:fill="auto"/>
          </w:tcPr>
          <w:p w14:paraId="391A18A2" w14:textId="77777777" w:rsidR="00505A9E" w:rsidRPr="005F41F0" w:rsidRDefault="00505A9E" w:rsidP="008A27C1">
            <w:r w:rsidRPr="005F41F0">
              <w:t>NMA parodė panašų efektyvumą vertinant BASDAI ir BASFI</w:t>
            </w:r>
          </w:p>
        </w:tc>
        <w:tc>
          <w:tcPr>
            <w:tcW w:w="3889" w:type="dxa"/>
            <w:shd w:val="clear" w:color="auto" w:fill="auto"/>
          </w:tcPr>
          <w:p w14:paraId="392FBFD1" w14:textId="77777777" w:rsidR="00505A9E" w:rsidRPr="005F41F0" w:rsidRDefault="00505A9E" w:rsidP="008A27C1">
            <w:r w:rsidRPr="005F41F0">
              <w:t xml:space="preserve">Nevertinta, nes laikoma, kad nesiskirs. </w:t>
            </w:r>
          </w:p>
        </w:tc>
      </w:tr>
      <w:tr w:rsidR="00505A9E" w:rsidRPr="005F41F0" w14:paraId="34BF31D2" w14:textId="77777777" w:rsidTr="00505A9E">
        <w:trPr>
          <w:trHeight w:val="727"/>
        </w:trPr>
        <w:tc>
          <w:tcPr>
            <w:tcW w:w="2245" w:type="dxa"/>
            <w:shd w:val="clear" w:color="auto" w:fill="auto"/>
          </w:tcPr>
          <w:p w14:paraId="2D1E0926" w14:textId="77777777" w:rsidR="00505A9E" w:rsidRPr="005F41F0" w:rsidRDefault="00505A9E" w:rsidP="008A27C1">
            <w:r w:rsidRPr="005F41F0">
              <w:lastRenderedPageBreak/>
              <w:t>Nepageidaujamų reiškinių valdymo kaštai</w:t>
            </w:r>
          </w:p>
        </w:tc>
        <w:tc>
          <w:tcPr>
            <w:tcW w:w="3505" w:type="dxa"/>
            <w:gridSpan w:val="2"/>
            <w:shd w:val="clear" w:color="auto" w:fill="auto"/>
          </w:tcPr>
          <w:p w14:paraId="7451BBD0" w14:textId="77777777" w:rsidR="00505A9E" w:rsidRPr="005F41F0" w:rsidRDefault="00505A9E" w:rsidP="008A27C1">
            <w:r w:rsidRPr="005F41F0">
              <w:t>Saugumo charakteristikos panašios</w:t>
            </w:r>
          </w:p>
        </w:tc>
        <w:tc>
          <w:tcPr>
            <w:tcW w:w="3889" w:type="dxa"/>
            <w:shd w:val="clear" w:color="auto" w:fill="auto"/>
          </w:tcPr>
          <w:p w14:paraId="7E9EFF90" w14:textId="77777777" w:rsidR="00505A9E" w:rsidRPr="005F41F0" w:rsidRDefault="00505A9E" w:rsidP="008A27C1">
            <w:r w:rsidRPr="005F41F0">
              <w:t>Nevertinta, nes saugumo charakteristikos pagal NMA rezultatus nesiskiria.</w:t>
            </w:r>
          </w:p>
        </w:tc>
      </w:tr>
      <w:tr w:rsidR="00505A9E" w:rsidRPr="005F41F0" w14:paraId="3DD31D9F" w14:textId="77777777" w:rsidTr="00505A9E">
        <w:trPr>
          <w:trHeight w:val="970"/>
        </w:trPr>
        <w:tc>
          <w:tcPr>
            <w:tcW w:w="2245" w:type="dxa"/>
            <w:shd w:val="clear" w:color="auto" w:fill="auto"/>
          </w:tcPr>
          <w:p w14:paraId="25E71E88" w14:textId="77777777" w:rsidR="00505A9E" w:rsidRPr="005F41F0" w:rsidRDefault="00505A9E" w:rsidP="008A27C1">
            <w:r w:rsidRPr="005F41F0">
              <w:t>Gydymo kaštai</w:t>
            </w:r>
          </w:p>
        </w:tc>
        <w:tc>
          <w:tcPr>
            <w:tcW w:w="3505" w:type="dxa"/>
            <w:gridSpan w:val="2"/>
            <w:shd w:val="clear" w:color="auto" w:fill="auto"/>
          </w:tcPr>
          <w:p w14:paraId="2E8B07B2" w14:textId="77777777" w:rsidR="00505A9E" w:rsidRPr="005F41F0" w:rsidRDefault="00505A9E" w:rsidP="008A27C1">
            <w:r w:rsidRPr="005F41F0">
              <w:t>Modeliavimas neteikiamas</w:t>
            </w:r>
          </w:p>
        </w:tc>
        <w:tc>
          <w:tcPr>
            <w:tcW w:w="3889" w:type="dxa"/>
            <w:shd w:val="clear" w:color="auto" w:fill="auto"/>
          </w:tcPr>
          <w:p w14:paraId="26B30BA9" w14:textId="77777777" w:rsidR="00505A9E" w:rsidRPr="005F41F0" w:rsidRDefault="00505A9E" w:rsidP="008A27C1">
            <w:r w:rsidRPr="005F41F0">
              <w:t>Taikoma prielaida remiantis klinikiniais duomenimis, kad kaštai nesiskirs, kadangi terapinė nauda panaši.</w:t>
            </w:r>
          </w:p>
        </w:tc>
      </w:tr>
    </w:tbl>
    <w:p w14:paraId="672444AF" w14:textId="77777777" w:rsidR="00505A9E" w:rsidRPr="005F41F0" w:rsidRDefault="00505A9E" w:rsidP="00505A9E">
      <w:pPr>
        <w:shd w:val="clear" w:color="auto" w:fill="FFFFFF"/>
        <w:spacing w:line="276" w:lineRule="auto"/>
        <w:rPr>
          <w:i/>
          <w:iCs/>
          <w:color w:val="00B050"/>
          <w:lang w:eastAsia="lt-LT"/>
        </w:rPr>
      </w:pPr>
    </w:p>
    <w:p w14:paraId="756BEB4D" w14:textId="61088E49" w:rsidR="00505A9E" w:rsidRPr="005F41F0" w:rsidRDefault="00505A9E" w:rsidP="00505A9E">
      <w:pPr>
        <w:spacing w:line="276" w:lineRule="auto"/>
        <w:ind w:firstLine="720"/>
        <w:jc w:val="both"/>
      </w:pPr>
      <w:r w:rsidRPr="005F41F0">
        <w:t>Pareiškėjas ekonominėje analizėje nepateikia modeliavimo, įtraukiami tik vaistinių preparatų įsigijimo kaštai. Laikoma, kad prielaidos, jog sveikatai sukuriama nauda tarp palyginamųjų panaši, pagrindimui turi būti teikiamas pilnas modeliavimas. Tarnyba šiuo atveju, sutinka vertinti supaprastintą analizę, kai nėra taikomas modeliavimas dėl ankstesnės ankilozinio spondilito kaštų analizės modelių vertinimo praktikos, kuri parodė, kad biologinės terapijos vaistinių sukuriami kokybiški gyvenimo metai (QALYS) panašūs. Remiantis literatūros duomenis, skirtumai tarp palyginamųjų vaistinių preparatų sukeliamų nepageidaujamų reiškinių – maži, remiantis ankilozinio spondilito tvarkos aprašu, matyti, kad biologinių vaistinių preparatų skyrimas, efektyvumo vertinimas ir gydymo algoritmai sutampa, todėl Tarnyba sutinka, kad esminių skirtumų susijusių su kitais kaštais (skyrimo, stebėsenos ir kt.)) nėra ir nėra tikslinga juos įtraukti ekonominėje analizėje.</w:t>
      </w:r>
    </w:p>
    <w:p w14:paraId="27960962" w14:textId="00B7DF80" w:rsidR="00505A9E" w:rsidRPr="005F41F0" w:rsidRDefault="00505A9E" w:rsidP="00505A9E">
      <w:pPr>
        <w:spacing w:line="276" w:lineRule="auto"/>
        <w:ind w:firstLine="720"/>
        <w:jc w:val="both"/>
      </w:pPr>
    </w:p>
    <w:p w14:paraId="18A87E91" w14:textId="4CD52890" w:rsidR="00505A9E" w:rsidRPr="005F41F0" w:rsidRDefault="00505A9E" w:rsidP="00505A9E">
      <w:pPr>
        <w:spacing w:line="276" w:lineRule="auto"/>
        <w:ind w:firstLine="720"/>
        <w:jc w:val="center"/>
        <w:rPr>
          <w:rFonts w:eastAsia="Arial"/>
          <w:b/>
        </w:rPr>
      </w:pPr>
      <w:r w:rsidRPr="005F41F0">
        <w:rPr>
          <w:rFonts w:eastAsia="Arial"/>
          <w:b/>
        </w:rPr>
        <w:t>Pagrindinis ekonominės analizės rezultatas</w:t>
      </w:r>
    </w:p>
    <w:tbl>
      <w:tblPr>
        <w:tblW w:w="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1656"/>
        <w:gridCol w:w="1670"/>
      </w:tblGrid>
      <w:tr w:rsidR="00505A9E" w:rsidRPr="005F41F0" w14:paraId="734AFED4" w14:textId="77777777" w:rsidTr="008A27C1">
        <w:trPr>
          <w:trHeight w:val="300"/>
          <w:jc w:val="center"/>
        </w:trPr>
        <w:tc>
          <w:tcPr>
            <w:tcW w:w="2495" w:type="dxa"/>
            <w:tcBorders>
              <w:top w:val="single" w:sz="12" w:space="0" w:color="auto"/>
              <w:left w:val="single" w:sz="12" w:space="0" w:color="auto"/>
            </w:tcBorders>
            <w:shd w:val="clear" w:color="auto" w:fill="auto"/>
            <w:noWrap/>
            <w:vAlign w:val="bottom"/>
            <w:hideMark/>
          </w:tcPr>
          <w:p w14:paraId="130C30A2" w14:textId="77777777" w:rsidR="00505A9E" w:rsidRPr="005F41F0" w:rsidRDefault="00505A9E" w:rsidP="008A27C1">
            <w:pPr>
              <w:jc w:val="center"/>
              <w:rPr>
                <w:lang w:eastAsia="lt-LT"/>
              </w:rPr>
            </w:pPr>
          </w:p>
        </w:tc>
        <w:tc>
          <w:tcPr>
            <w:tcW w:w="1656" w:type="dxa"/>
            <w:tcBorders>
              <w:top w:val="single" w:sz="12" w:space="0" w:color="auto"/>
            </w:tcBorders>
            <w:shd w:val="clear" w:color="auto" w:fill="auto"/>
            <w:noWrap/>
            <w:vAlign w:val="center"/>
            <w:hideMark/>
          </w:tcPr>
          <w:p w14:paraId="55B273EB" w14:textId="77777777" w:rsidR="00505A9E" w:rsidRPr="005F41F0" w:rsidRDefault="00505A9E" w:rsidP="008A27C1">
            <w:pPr>
              <w:jc w:val="center"/>
              <w:rPr>
                <w:lang w:eastAsia="lt-LT"/>
              </w:rPr>
            </w:pPr>
            <w:r w:rsidRPr="005F41F0">
              <w:rPr>
                <w:lang w:eastAsia="lt-LT"/>
              </w:rPr>
              <w:t>Tofacitinibas</w:t>
            </w:r>
          </w:p>
        </w:tc>
        <w:tc>
          <w:tcPr>
            <w:tcW w:w="1670" w:type="dxa"/>
            <w:tcBorders>
              <w:top w:val="single" w:sz="12" w:space="0" w:color="auto"/>
              <w:right w:val="single" w:sz="12" w:space="0" w:color="auto"/>
            </w:tcBorders>
            <w:shd w:val="clear" w:color="auto" w:fill="auto"/>
            <w:noWrap/>
            <w:vAlign w:val="center"/>
            <w:hideMark/>
          </w:tcPr>
          <w:p w14:paraId="3A15D9A2" w14:textId="77777777" w:rsidR="00505A9E" w:rsidRPr="005F41F0" w:rsidRDefault="00505A9E" w:rsidP="008A27C1">
            <w:pPr>
              <w:jc w:val="center"/>
              <w:rPr>
                <w:lang w:eastAsia="lt-LT"/>
              </w:rPr>
            </w:pPr>
            <w:r w:rsidRPr="005F41F0">
              <w:rPr>
                <w:lang w:eastAsia="lt-LT"/>
              </w:rPr>
              <w:t>Adalimumabas</w:t>
            </w:r>
          </w:p>
        </w:tc>
      </w:tr>
      <w:tr w:rsidR="00505A9E" w:rsidRPr="005F41F0" w14:paraId="38A7BE38" w14:textId="77777777" w:rsidTr="008A27C1">
        <w:trPr>
          <w:trHeight w:val="300"/>
          <w:jc w:val="center"/>
        </w:trPr>
        <w:tc>
          <w:tcPr>
            <w:tcW w:w="2495" w:type="dxa"/>
            <w:tcBorders>
              <w:left w:val="single" w:sz="12" w:space="0" w:color="auto"/>
            </w:tcBorders>
            <w:shd w:val="clear" w:color="auto" w:fill="auto"/>
            <w:noWrap/>
            <w:vAlign w:val="bottom"/>
            <w:hideMark/>
          </w:tcPr>
          <w:p w14:paraId="1F1F0932" w14:textId="77777777" w:rsidR="00505A9E" w:rsidRPr="005F41F0" w:rsidRDefault="00505A9E" w:rsidP="008A27C1">
            <w:pPr>
              <w:jc w:val="center"/>
              <w:rPr>
                <w:lang w:eastAsia="lt-LT"/>
              </w:rPr>
            </w:pPr>
            <w:r w:rsidRPr="005F41F0">
              <w:rPr>
                <w:lang w:eastAsia="lt-LT"/>
              </w:rPr>
              <w:t>Pakuočių per metus</w:t>
            </w:r>
          </w:p>
        </w:tc>
        <w:tc>
          <w:tcPr>
            <w:tcW w:w="1656" w:type="dxa"/>
            <w:shd w:val="clear" w:color="auto" w:fill="auto"/>
            <w:noWrap/>
            <w:vAlign w:val="center"/>
            <w:hideMark/>
          </w:tcPr>
          <w:p w14:paraId="04B09883" w14:textId="77777777" w:rsidR="00505A9E" w:rsidRPr="005F41F0" w:rsidRDefault="00505A9E" w:rsidP="008A27C1">
            <w:pPr>
              <w:jc w:val="center"/>
              <w:rPr>
                <w:lang w:eastAsia="lt-LT"/>
              </w:rPr>
            </w:pPr>
            <w:r w:rsidRPr="005F41F0">
              <w:rPr>
                <w:lang w:eastAsia="lt-LT"/>
              </w:rPr>
              <w:t>13,0</w:t>
            </w:r>
          </w:p>
        </w:tc>
        <w:tc>
          <w:tcPr>
            <w:tcW w:w="1670" w:type="dxa"/>
            <w:tcBorders>
              <w:right w:val="single" w:sz="12" w:space="0" w:color="auto"/>
            </w:tcBorders>
            <w:shd w:val="clear" w:color="auto" w:fill="auto"/>
            <w:noWrap/>
            <w:vAlign w:val="center"/>
            <w:hideMark/>
          </w:tcPr>
          <w:p w14:paraId="05D788CC" w14:textId="77777777" w:rsidR="00505A9E" w:rsidRPr="005F41F0" w:rsidRDefault="00505A9E" w:rsidP="008A27C1">
            <w:pPr>
              <w:jc w:val="center"/>
              <w:rPr>
                <w:lang w:eastAsia="lt-LT"/>
              </w:rPr>
            </w:pPr>
            <w:r w:rsidRPr="005F41F0">
              <w:rPr>
                <w:lang w:eastAsia="lt-LT"/>
              </w:rPr>
              <w:t>26,1</w:t>
            </w:r>
          </w:p>
        </w:tc>
      </w:tr>
      <w:tr w:rsidR="00505A9E" w:rsidRPr="005F41F0" w14:paraId="254B2414" w14:textId="77777777" w:rsidTr="008A27C1">
        <w:trPr>
          <w:trHeight w:val="300"/>
          <w:jc w:val="center"/>
        </w:trPr>
        <w:tc>
          <w:tcPr>
            <w:tcW w:w="2495" w:type="dxa"/>
            <w:tcBorders>
              <w:left w:val="single" w:sz="12" w:space="0" w:color="auto"/>
            </w:tcBorders>
            <w:shd w:val="clear" w:color="auto" w:fill="auto"/>
            <w:noWrap/>
            <w:vAlign w:val="bottom"/>
            <w:hideMark/>
          </w:tcPr>
          <w:p w14:paraId="16394875" w14:textId="77777777" w:rsidR="00505A9E" w:rsidRPr="005F41F0" w:rsidRDefault="00505A9E" w:rsidP="008A27C1">
            <w:pPr>
              <w:jc w:val="center"/>
              <w:rPr>
                <w:lang w:eastAsia="lt-LT"/>
              </w:rPr>
            </w:pPr>
            <w:r w:rsidRPr="005F41F0">
              <w:rPr>
                <w:lang w:eastAsia="lt-LT"/>
              </w:rPr>
              <w:t>Kaina</w:t>
            </w:r>
          </w:p>
        </w:tc>
        <w:tc>
          <w:tcPr>
            <w:tcW w:w="1656" w:type="dxa"/>
            <w:shd w:val="clear" w:color="auto" w:fill="auto"/>
            <w:noWrap/>
            <w:vAlign w:val="center"/>
            <w:hideMark/>
          </w:tcPr>
          <w:p w14:paraId="2E9D6960" w14:textId="2CACD0B7" w:rsidR="00505A9E" w:rsidRPr="00201127" w:rsidRDefault="00AB573B" w:rsidP="008A27C1">
            <w:pPr>
              <w:jc w:val="center"/>
              <w:rPr>
                <w:lang w:eastAsia="lt-LT"/>
              </w:rPr>
            </w:pPr>
            <w:r w:rsidRPr="00201127">
              <w:rPr>
                <w:lang w:eastAsia="lt-LT"/>
              </w:rPr>
              <w:t>***</w:t>
            </w:r>
          </w:p>
        </w:tc>
        <w:tc>
          <w:tcPr>
            <w:tcW w:w="1670" w:type="dxa"/>
            <w:tcBorders>
              <w:right w:val="single" w:sz="12" w:space="0" w:color="auto"/>
            </w:tcBorders>
            <w:shd w:val="clear" w:color="auto" w:fill="auto"/>
            <w:noWrap/>
            <w:vAlign w:val="center"/>
            <w:hideMark/>
          </w:tcPr>
          <w:p w14:paraId="67E05C8B" w14:textId="5E49D2CB" w:rsidR="00505A9E" w:rsidRPr="005F41F0" w:rsidRDefault="008F412D" w:rsidP="008A27C1">
            <w:pPr>
              <w:jc w:val="center"/>
              <w:rPr>
                <w:lang w:eastAsia="lt-LT"/>
              </w:rPr>
            </w:pPr>
            <w:r w:rsidRPr="005F41F0">
              <w:rPr>
                <w:lang w:eastAsia="lt-LT"/>
              </w:rPr>
              <w:t>***</w:t>
            </w:r>
          </w:p>
        </w:tc>
      </w:tr>
      <w:tr w:rsidR="00505A9E" w:rsidRPr="005F41F0" w14:paraId="2DAAC6E1" w14:textId="77777777" w:rsidTr="008A27C1">
        <w:trPr>
          <w:trHeight w:val="300"/>
          <w:jc w:val="center"/>
        </w:trPr>
        <w:tc>
          <w:tcPr>
            <w:tcW w:w="2495" w:type="dxa"/>
            <w:tcBorders>
              <w:left w:val="single" w:sz="12" w:space="0" w:color="auto"/>
            </w:tcBorders>
            <w:shd w:val="clear" w:color="auto" w:fill="auto"/>
            <w:noWrap/>
            <w:vAlign w:val="bottom"/>
            <w:hideMark/>
          </w:tcPr>
          <w:p w14:paraId="4EB3D61A" w14:textId="77777777" w:rsidR="00505A9E" w:rsidRPr="005F41F0" w:rsidRDefault="00505A9E" w:rsidP="008A27C1">
            <w:pPr>
              <w:jc w:val="center"/>
              <w:rPr>
                <w:lang w:eastAsia="lt-LT"/>
              </w:rPr>
            </w:pPr>
            <w:r w:rsidRPr="005F41F0">
              <w:rPr>
                <w:lang w:eastAsia="lt-LT"/>
              </w:rPr>
              <w:t>Gydymo kaina per m.</w:t>
            </w:r>
          </w:p>
        </w:tc>
        <w:tc>
          <w:tcPr>
            <w:tcW w:w="1656" w:type="dxa"/>
            <w:shd w:val="clear" w:color="auto" w:fill="auto"/>
            <w:noWrap/>
            <w:vAlign w:val="center"/>
            <w:hideMark/>
          </w:tcPr>
          <w:p w14:paraId="64297E2E" w14:textId="7CCFD378" w:rsidR="00505A9E" w:rsidRPr="00201127" w:rsidRDefault="00AB573B" w:rsidP="008A27C1">
            <w:pPr>
              <w:jc w:val="center"/>
              <w:rPr>
                <w:lang w:eastAsia="lt-LT"/>
              </w:rPr>
            </w:pPr>
            <w:r w:rsidRPr="00201127">
              <w:rPr>
                <w:color w:val="000000"/>
              </w:rPr>
              <w:t>***</w:t>
            </w:r>
          </w:p>
        </w:tc>
        <w:tc>
          <w:tcPr>
            <w:tcW w:w="1670" w:type="dxa"/>
            <w:tcBorders>
              <w:right w:val="single" w:sz="12" w:space="0" w:color="auto"/>
            </w:tcBorders>
            <w:shd w:val="clear" w:color="auto" w:fill="auto"/>
            <w:noWrap/>
            <w:vAlign w:val="center"/>
            <w:hideMark/>
          </w:tcPr>
          <w:p w14:paraId="26DAA9A4" w14:textId="2078CECC" w:rsidR="00505A9E" w:rsidRPr="005F41F0" w:rsidRDefault="008F412D" w:rsidP="008A27C1">
            <w:pPr>
              <w:jc w:val="center"/>
              <w:rPr>
                <w:lang w:eastAsia="lt-LT"/>
              </w:rPr>
            </w:pPr>
            <w:r w:rsidRPr="005F41F0">
              <w:t>***</w:t>
            </w:r>
            <w:bookmarkStart w:id="0" w:name="_GoBack"/>
            <w:bookmarkEnd w:id="0"/>
          </w:p>
        </w:tc>
      </w:tr>
      <w:tr w:rsidR="00505A9E" w:rsidRPr="005F41F0" w14:paraId="252FB077" w14:textId="77777777" w:rsidTr="008A27C1">
        <w:trPr>
          <w:trHeight w:val="300"/>
          <w:jc w:val="center"/>
        </w:trPr>
        <w:tc>
          <w:tcPr>
            <w:tcW w:w="2495" w:type="dxa"/>
            <w:tcBorders>
              <w:left w:val="single" w:sz="12" w:space="0" w:color="auto"/>
              <w:bottom w:val="single" w:sz="12" w:space="0" w:color="auto"/>
            </w:tcBorders>
            <w:shd w:val="clear" w:color="auto" w:fill="auto"/>
            <w:noWrap/>
            <w:vAlign w:val="bottom"/>
            <w:hideMark/>
          </w:tcPr>
          <w:p w14:paraId="0B9C7876" w14:textId="77777777" w:rsidR="00505A9E" w:rsidRPr="005F41F0" w:rsidRDefault="00505A9E" w:rsidP="008A27C1">
            <w:pPr>
              <w:jc w:val="center"/>
              <w:rPr>
                <w:b/>
                <w:lang w:eastAsia="lt-LT"/>
              </w:rPr>
            </w:pPr>
            <w:r w:rsidRPr="005F41F0">
              <w:rPr>
                <w:b/>
                <w:lang w:eastAsia="lt-LT"/>
              </w:rPr>
              <w:t>Skirtumas</w:t>
            </w:r>
          </w:p>
        </w:tc>
        <w:tc>
          <w:tcPr>
            <w:tcW w:w="3326" w:type="dxa"/>
            <w:gridSpan w:val="2"/>
            <w:tcBorders>
              <w:bottom w:val="single" w:sz="12" w:space="0" w:color="auto"/>
              <w:right w:val="single" w:sz="12" w:space="0" w:color="auto"/>
            </w:tcBorders>
            <w:shd w:val="clear" w:color="auto" w:fill="auto"/>
            <w:noWrap/>
            <w:vAlign w:val="center"/>
            <w:hideMark/>
          </w:tcPr>
          <w:p w14:paraId="0CC60EBA" w14:textId="155C2474" w:rsidR="00505A9E" w:rsidRPr="005F41F0" w:rsidRDefault="008F412D" w:rsidP="008A27C1">
            <w:pPr>
              <w:jc w:val="center"/>
              <w:rPr>
                <w:b/>
                <w:u w:val="single"/>
                <w:lang w:eastAsia="lt-LT"/>
              </w:rPr>
            </w:pPr>
            <w:r w:rsidRPr="005F41F0">
              <w:rPr>
                <w:b/>
                <w:bCs/>
                <w:u w:val="single"/>
              </w:rPr>
              <w:t>***</w:t>
            </w:r>
            <w:r w:rsidR="00505A9E" w:rsidRPr="005F41F0">
              <w:rPr>
                <w:b/>
                <w:bCs/>
                <w:u w:val="single"/>
              </w:rPr>
              <w:t xml:space="preserve"> Eur.</w:t>
            </w:r>
            <w:r w:rsidR="00505A9E" w:rsidRPr="005F41F0">
              <w:t> </w:t>
            </w:r>
          </w:p>
        </w:tc>
      </w:tr>
    </w:tbl>
    <w:p w14:paraId="4633B0E0" w14:textId="1883707B" w:rsidR="00505A9E" w:rsidRPr="005F41F0" w:rsidRDefault="004D7CCF" w:rsidP="00505A9E">
      <w:pPr>
        <w:spacing w:line="276" w:lineRule="auto"/>
        <w:ind w:firstLine="720"/>
        <w:jc w:val="both"/>
        <w:rPr>
          <w:sz w:val="20"/>
          <w:szCs w:val="20"/>
        </w:rPr>
      </w:pPr>
      <w:r w:rsidRPr="005F41F0">
        <w:rPr>
          <w:sz w:val="20"/>
          <w:szCs w:val="20"/>
        </w:rPr>
        <w:t>*Kadangi adalimumabo kaina su nuolaida konfidenciali, skaičiavimai pateikiami tik Kompensavimo komisijai</w:t>
      </w:r>
    </w:p>
    <w:p w14:paraId="2FA903A3" w14:textId="77777777" w:rsidR="004D7CCF" w:rsidRPr="005F41F0" w:rsidRDefault="004D7CCF" w:rsidP="00505A9E">
      <w:pPr>
        <w:spacing w:line="276" w:lineRule="auto"/>
        <w:ind w:firstLine="720"/>
        <w:jc w:val="both"/>
      </w:pPr>
    </w:p>
    <w:p w14:paraId="59B1C74D" w14:textId="4506D516" w:rsidR="00505A9E" w:rsidRPr="005F41F0" w:rsidRDefault="00505A9E" w:rsidP="00505A9E">
      <w:pPr>
        <w:spacing w:line="276" w:lineRule="auto"/>
        <w:ind w:firstLine="720"/>
        <w:jc w:val="both"/>
      </w:pPr>
      <w:r w:rsidRPr="005F41F0">
        <w:t>Vertinant vaistinių preparatų įsigijimo kaštus vienerių metų laikotarpiu, palyginamiesiems pritaikius kainų nuolaidas (PGS), tofacitinibo įsigijimo kaštai didesni nei adalimumabo. Kaštų mažinimas nėra pasiekiamas.</w:t>
      </w:r>
      <w:r w:rsidR="004D7CCF" w:rsidRPr="005F41F0">
        <w:t xml:space="preserve"> </w:t>
      </w:r>
    </w:p>
    <w:p w14:paraId="5C5D38CC" w14:textId="77777777" w:rsidR="005648CF" w:rsidRPr="005F41F0" w:rsidRDefault="005648CF" w:rsidP="00A93AA6">
      <w:pPr>
        <w:tabs>
          <w:tab w:val="left" w:pos="426"/>
        </w:tabs>
        <w:rPr>
          <w:b/>
          <w:bCs/>
          <w:caps/>
        </w:rPr>
      </w:pPr>
    </w:p>
    <w:p w14:paraId="4FC424F9" w14:textId="4E767245" w:rsidR="00C62B36" w:rsidRPr="005F41F0" w:rsidRDefault="00C62B36" w:rsidP="00937907">
      <w:pPr>
        <w:pStyle w:val="Sraopastraipa"/>
        <w:numPr>
          <w:ilvl w:val="0"/>
          <w:numId w:val="12"/>
        </w:numPr>
        <w:tabs>
          <w:tab w:val="left" w:pos="284"/>
        </w:tabs>
        <w:rPr>
          <w:b/>
          <w:bCs/>
          <w:caps/>
        </w:rPr>
      </w:pPr>
      <w:r w:rsidRPr="005F41F0">
        <w:rPr>
          <w:b/>
          <w:bCs/>
          <w:caps/>
        </w:rPr>
        <w:t xml:space="preserve">Pacientų organizacijų pateikti duomenys </w:t>
      </w:r>
    </w:p>
    <w:p w14:paraId="79BCFF40" w14:textId="1992DF4A" w:rsidR="00937907" w:rsidRPr="005F41F0" w:rsidRDefault="00D51E3A"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EndPr>
          <w:rPr>
            <w:rStyle w:val="Style2"/>
          </w:rPr>
        </w:sdtEndPr>
        <w:sdtContent>
          <w:r w:rsidR="00937907" w:rsidRPr="005F41F0">
            <w:rPr>
              <w:rStyle w:val="Style2"/>
              <w:rFonts w:ascii="MS Gothic" w:eastAsia="MS Gothic" w:hAnsi="MS Gothic"/>
            </w:rPr>
            <w:t>☐</w:t>
          </w:r>
        </w:sdtContent>
      </w:sdt>
      <w:r w:rsidR="00937907" w:rsidRPr="005F41F0">
        <w:t xml:space="preserve"> Pacientų organizacijos pozicija pateikta. Žr. priedą.</w:t>
      </w:r>
    </w:p>
    <w:p w14:paraId="62992180" w14:textId="2F285823" w:rsidR="00937907" w:rsidRPr="005F41F0" w:rsidRDefault="00D51E3A"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EndPr>
          <w:rPr>
            <w:rStyle w:val="Style2"/>
          </w:rPr>
        </w:sdtEndPr>
        <w:sdtContent>
          <w:r w:rsidR="00B35176" w:rsidRPr="005F41F0">
            <w:rPr>
              <w:rStyle w:val="Style2"/>
              <w:rFonts w:ascii="MS Gothic" w:eastAsia="MS Gothic" w:hAnsi="MS Gothic"/>
            </w:rPr>
            <w:t>☒</w:t>
          </w:r>
        </w:sdtContent>
      </w:sdt>
      <w:r w:rsidR="00937907" w:rsidRPr="005F41F0">
        <w:t xml:space="preserve"> Pacientų organizacijos pozicija </w:t>
      </w:r>
      <w:r w:rsidR="00880A44" w:rsidRPr="005F41F0">
        <w:t>ne</w:t>
      </w:r>
      <w:r w:rsidR="00937907" w:rsidRPr="005F41F0">
        <w:t>pateikta.</w:t>
      </w:r>
    </w:p>
    <w:p w14:paraId="3D3277FA" w14:textId="3CEEB2D2" w:rsidR="00C62B36" w:rsidRPr="005F41F0" w:rsidRDefault="00C62B36" w:rsidP="00937907">
      <w:pPr>
        <w:pStyle w:val="Sraopastraipa"/>
        <w:numPr>
          <w:ilvl w:val="0"/>
          <w:numId w:val="12"/>
        </w:numPr>
        <w:tabs>
          <w:tab w:val="left" w:pos="426"/>
        </w:tabs>
        <w:rPr>
          <w:b/>
          <w:bCs/>
          <w:caps/>
        </w:rPr>
      </w:pPr>
      <w:r w:rsidRPr="005F41F0">
        <w:rPr>
          <w:b/>
          <w:bCs/>
          <w:caps/>
        </w:rPr>
        <w:t>Gydytojų organizacijų pateikti duomenys</w:t>
      </w:r>
    </w:p>
    <w:p w14:paraId="389A346C" w14:textId="202997B9" w:rsidR="00937907" w:rsidRPr="005F41F0" w:rsidRDefault="00D51E3A" w:rsidP="00662983">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EndPr>
          <w:rPr>
            <w:rStyle w:val="Style2"/>
          </w:rPr>
        </w:sdtEndPr>
        <w:sdtContent>
          <w:r w:rsidR="00A05CD4" w:rsidRPr="005F41F0">
            <w:rPr>
              <w:rStyle w:val="Style2"/>
              <w:rFonts w:ascii="MS Gothic" w:eastAsia="MS Gothic" w:hAnsi="MS Gothic"/>
            </w:rPr>
            <w:t>☐</w:t>
          </w:r>
        </w:sdtContent>
      </w:sdt>
      <w:r w:rsidR="00662983" w:rsidRPr="005F41F0">
        <w:t xml:space="preserve"> </w:t>
      </w:r>
      <w:r w:rsidR="00937907" w:rsidRPr="005F41F0">
        <w:t xml:space="preserve">Gydytojų specialistų organizacijos pozicija pateikta. </w:t>
      </w:r>
      <w:r w:rsidR="00662983" w:rsidRPr="005F41F0">
        <w:t>Žr. priedą</w:t>
      </w:r>
      <w:r w:rsidR="00937907" w:rsidRPr="005F41F0">
        <w:t>.</w:t>
      </w:r>
    </w:p>
    <w:p w14:paraId="5D8CC48C" w14:textId="69866DFE" w:rsidR="00662983" w:rsidRPr="005F41F0" w:rsidRDefault="00D51E3A" w:rsidP="00662983">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EndPr>
          <w:rPr>
            <w:rStyle w:val="Style2"/>
          </w:rPr>
        </w:sdtEndPr>
        <w:sdtContent>
          <w:r w:rsidR="00A05CD4" w:rsidRPr="005F41F0">
            <w:rPr>
              <w:rStyle w:val="Style2"/>
              <w:rFonts w:ascii="MS Gothic" w:eastAsia="MS Gothic" w:hAnsi="MS Gothic"/>
            </w:rPr>
            <w:t>☒</w:t>
          </w:r>
        </w:sdtContent>
      </w:sdt>
      <w:r w:rsidR="00662983" w:rsidRPr="005F41F0">
        <w:t xml:space="preserve"> </w:t>
      </w:r>
      <w:r w:rsidR="00937907" w:rsidRPr="005F41F0">
        <w:t xml:space="preserve">Gydytojų specialistų organizacijos pozicija </w:t>
      </w:r>
      <w:r w:rsidR="00880A44" w:rsidRPr="005F41F0">
        <w:t>ne</w:t>
      </w:r>
      <w:r w:rsidR="00937907" w:rsidRPr="005F41F0">
        <w:t>pateikta.</w:t>
      </w:r>
    </w:p>
    <w:p w14:paraId="78F23ECB" w14:textId="23A3A002" w:rsidR="002F0E4F" w:rsidRPr="005F41F0" w:rsidRDefault="002F0E4F" w:rsidP="00937907">
      <w:pPr>
        <w:pStyle w:val="Sraopastraipa"/>
        <w:numPr>
          <w:ilvl w:val="0"/>
          <w:numId w:val="12"/>
        </w:numPr>
        <w:tabs>
          <w:tab w:val="left" w:pos="426"/>
        </w:tabs>
        <w:rPr>
          <w:b/>
          <w:bCs/>
          <w:caps/>
        </w:rPr>
      </w:pPr>
      <w:r w:rsidRPr="005F41F0">
        <w:rPr>
          <w:b/>
          <w:bCs/>
          <w:caps/>
        </w:rPr>
        <w:t xml:space="preserve">Išvada </w:t>
      </w:r>
    </w:p>
    <w:p w14:paraId="573E407F" w14:textId="77777777" w:rsidR="00797153" w:rsidRPr="005F41F0" w:rsidRDefault="00797153" w:rsidP="00797153">
      <w:pPr>
        <w:tabs>
          <w:tab w:val="left" w:pos="426"/>
        </w:tabs>
        <w:rPr>
          <w:b/>
          <w:bCs/>
          <w:caps/>
        </w:rPr>
      </w:pPr>
    </w:p>
    <w:tbl>
      <w:tblPr>
        <w:tblStyle w:val="Lentelstinklelis"/>
        <w:tblW w:w="0" w:type="auto"/>
        <w:tblLook w:val="04A0" w:firstRow="1" w:lastRow="0" w:firstColumn="1" w:lastColumn="0" w:noHBand="0" w:noVBand="1"/>
      </w:tblPr>
      <w:tblGrid>
        <w:gridCol w:w="4815"/>
        <w:gridCol w:w="4814"/>
      </w:tblGrid>
      <w:tr w:rsidR="00B13D65" w:rsidRPr="005F41F0" w14:paraId="25A2473E" w14:textId="77777777" w:rsidTr="00BD1E5A">
        <w:tc>
          <w:tcPr>
            <w:tcW w:w="4981" w:type="dxa"/>
          </w:tcPr>
          <w:p w14:paraId="7EFE6941" w14:textId="23B8BB6D" w:rsidR="00B13D65"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5F41F0">
              <w:rPr>
                <w:rStyle w:val="Style2"/>
                <w:rFonts w:eastAsia="MS Gothic"/>
                <w:b/>
                <w:bCs/>
                <w:sz w:val="24"/>
              </w:rPr>
              <w:t>Rekomenduojama kompensuoti</w:t>
            </w:r>
          </w:p>
        </w:tc>
        <w:tc>
          <w:tcPr>
            <w:tcW w:w="4981" w:type="dxa"/>
          </w:tcPr>
          <w:p w14:paraId="330A1A5E" w14:textId="19247DC1" w:rsidR="00B13D65"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5F41F0">
              <w:rPr>
                <w:rStyle w:val="Style2"/>
                <w:rFonts w:eastAsia="MS Gothic"/>
                <w:b/>
                <w:bCs/>
                <w:sz w:val="24"/>
              </w:rPr>
              <w:t xml:space="preserve">Rekomenduojama nekompensuoti </w:t>
            </w:r>
          </w:p>
        </w:tc>
      </w:tr>
      <w:tr w:rsidR="00B13D65" w:rsidRPr="005F41F0" w14:paraId="143A7356" w14:textId="77777777" w:rsidTr="00BD1E5A">
        <w:tc>
          <w:tcPr>
            <w:tcW w:w="9962" w:type="dxa"/>
            <w:gridSpan w:val="2"/>
          </w:tcPr>
          <w:p w14:paraId="5D93D240"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F41F0">
              <w:rPr>
                <w:rStyle w:val="Style2"/>
                <w:rFonts w:eastAsia="MS Gothic"/>
                <w:b/>
                <w:bCs/>
                <w:sz w:val="24"/>
              </w:rPr>
              <w:t>Palyginamasis efektyvumas</w:t>
            </w:r>
          </w:p>
          <w:p w14:paraId="0AF5D6B4"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5F41F0" w14:paraId="28A0C814" w14:textId="77777777" w:rsidTr="00BD1E5A">
        <w:tc>
          <w:tcPr>
            <w:tcW w:w="4981" w:type="dxa"/>
          </w:tcPr>
          <w:p w14:paraId="216769B5" w14:textId="1B919F91"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EndPr>
                <w:rPr>
                  <w:rStyle w:val="Style2"/>
                </w:rPr>
              </w:sdtEndPr>
              <w:sdtContent>
                <w:r w:rsidR="00B13D65" w:rsidRPr="005F41F0">
                  <w:rPr>
                    <w:rStyle w:val="Style2"/>
                    <w:rFonts w:ascii="Segoe UI Symbol" w:eastAsia="MS Gothic" w:hAnsi="Segoe UI Symbol" w:cs="Segoe UI Symbol"/>
                    <w:sz w:val="24"/>
                  </w:rPr>
                  <w:t>☐</w:t>
                </w:r>
              </w:sdtContent>
            </w:sdt>
            <w:r w:rsidR="00B13D65" w:rsidRPr="005F41F0">
              <w:t xml:space="preserve"> 32.1. yra didesnis</w:t>
            </w:r>
          </w:p>
          <w:p w14:paraId="3B48F372" w14:textId="77777777" w:rsidR="00662983"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885712E" w:rsidR="00B13D65" w:rsidRPr="005F41F0" w:rsidRDefault="00D51E3A"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EndPr>
                <w:rPr>
                  <w:rStyle w:val="Style2"/>
                </w:rPr>
              </w:sdtEndPr>
              <w:sdtContent>
                <w:r w:rsidR="00D2102A" w:rsidRPr="005F41F0">
                  <w:rPr>
                    <w:rStyle w:val="Style2"/>
                    <w:rFonts w:ascii="MS Gothic" w:eastAsia="MS Gothic" w:hAnsi="MS Gothic"/>
                    <w:sz w:val="24"/>
                  </w:rPr>
                  <w:t>☒</w:t>
                </w:r>
              </w:sdtContent>
            </w:sdt>
            <w:r w:rsidR="00B13D65" w:rsidRPr="005F41F0">
              <w:t xml:space="preserve"> 32.1. iš esmės nesiskiria</w:t>
            </w:r>
          </w:p>
        </w:tc>
        <w:tc>
          <w:tcPr>
            <w:tcW w:w="4981" w:type="dxa"/>
          </w:tcPr>
          <w:p w14:paraId="507828D9" w14:textId="09AE523F"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5F41F0">
                  <w:rPr>
                    <w:rStyle w:val="Style2"/>
                    <w:rFonts w:ascii="Segoe UI Symbol" w:eastAsia="MS Gothic" w:hAnsi="Segoe UI Symbol" w:cs="Segoe UI Symbol"/>
                    <w:sz w:val="24"/>
                  </w:rPr>
                  <w:t>☐</w:t>
                </w:r>
              </w:sdtContent>
            </w:sdt>
            <w:r w:rsidR="00B13D65" w:rsidRPr="005F41F0">
              <w:t xml:space="preserve"> 33.1. yra mažesnis</w:t>
            </w:r>
          </w:p>
          <w:p w14:paraId="7F95DEEC" w14:textId="77777777" w:rsidR="00662983"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5F41F0">
                  <w:rPr>
                    <w:rStyle w:val="Style2"/>
                    <w:rFonts w:ascii="Segoe UI Symbol" w:eastAsia="MS Gothic" w:hAnsi="Segoe UI Symbol" w:cs="Segoe UI Symbol"/>
                    <w:sz w:val="24"/>
                  </w:rPr>
                  <w:t>☐</w:t>
                </w:r>
              </w:sdtContent>
            </w:sdt>
            <w:r w:rsidR="00B13D65" w:rsidRPr="005F41F0">
              <w:t xml:space="preserve"> 33.1. yra neįrodytas kaip toks pat</w:t>
            </w:r>
          </w:p>
          <w:p w14:paraId="35205E85" w14:textId="77777777" w:rsidR="00662983"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5F41F0">
                  <w:rPr>
                    <w:rStyle w:val="Style2"/>
                    <w:rFonts w:ascii="Segoe UI Symbol" w:eastAsia="MS Gothic" w:hAnsi="Segoe UI Symbol" w:cs="Segoe UI Symbol"/>
                    <w:sz w:val="24"/>
                  </w:rPr>
                  <w:t>☐</w:t>
                </w:r>
              </w:sdtContent>
            </w:sdt>
            <w:r w:rsidR="00662983" w:rsidRPr="005F41F0">
              <w:t xml:space="preserve"> 33.1 </w:t>
            </w:r>
            <w:r w:rsidR="00B13D65" w:rsidRPr="005F41F0">
              <w:t>neįrodytas kaip didesnis</w:t>
            </w:r>
          </w:p>
          <w:p w14:paraId="512E653B" w14:textId="77777777" w:rsidR="00662983"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5F41F0">
                  <w:rPr>
                    <w:rStyle w:val="Style2"/>
                    <w:rFonts w:ascii="Segoe UI Symbol" w:eastAsia="MS Gothic" w:hAnsi="Segoe UI Symbol" w:cs="Segoe UI Symbol"/>
                    <w:sz w:val="24"/>
                  </w:rPr>
                  <w:t>☐</w:t>
                </w:r>
              </w:sdtContent>
            </w:sdt>
            <w:r w:rsidR="00B13D65" w:rsidRPr="005F41F0">
              <w:t xml:space="preserve"> 33.1. pateikti duomenys apie palyginamąjį efektyvumą yra netinkami vertinti</w:t>
            </w:r>
          </w:p>
          <w:p w14:paraId="5DDAA961"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5F41F0" w14:paraId="161CC3FE" w14:textId="77777777" w:rsidTr="00BD1E5A">
        <w:tc>
          <w:tcPr>
            <w:tcW w:w="9962" w:type="dxa"/>
            <w:gridSpan w:val="2"/>
          </w:tcPr>
          <w:p w14:paraId="3B2878F0"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F41F0">
              <w:rPr>
                <w:rStyle w:val="Style2"/>
                <w:rFonts w:eastAsia="MS Gothic"/>
                <w:b/>
                <w:bCs/>
                <w:sz w:val="24"/>
              </w:rPr>
              <w:lastRenderedPageBreak/>
              <w:t>Klinikinis veiksmingumas</w:t>
            </w:r>
          </w:p>
          <w:p w14:paraId="1AB46894"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5F41F0" w14:paraId="3C60570A" w14:textId="77777777" w:rsidTr="00BD1E5A">
        <w:tc>
          <w:tcPr>
            <w:tcW w:w="4981" w:type="dxa"/>
          </w:tcPr>
          <w:p w14:paraId="6897B306" w14:textId="70C15EA4"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EndPr>
                <w:rPr>
                  <w:rStyle w:val="Style2"/>
                </w:rPr>
              </w:sdtEndPr>
              <w:sdtContent>
                <w:r w:rsidR="00B13D65" w:rsidRPr="005F41F0">
                  <w:rPr>
                    <w:rStyle w:val="Style2"/>
                    <w:rFonts w:ascii="Segoe UI Symbol" w:eastAsia="MS Gothic" w:hAnsi="Segoe UI Symbol" w:cs="Segoe UI Symbol"/>
                    <w:sz w:val="24"/>
                  </w:rPr>
                  <w:t>☐</w:t>
                </w:r>
              </w:sdtContent>
            </w:sdt>
            <w:r w:rsidR="00B13D65" w:rsidRPr="005F41F0">
              <w:t xml:space="preserve"> 32.2. yra įvertintas kaip pagrindžiantis papildomos naudos pacientų sveikatai sukūrimą, lyginant su įprasta klinikine praktika</w:t>
            </w:r>
          </w:p>
          <w:p w14:paraId="71D57105" w14:textId="77777777" w:rsidR="00662983"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BBA234"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EndPr>
                <w:rPr>
                  <w:rStyle w:val="Style2"/>
                </w:rPr>
              </w:sdtEndPr>
              <w:sdtContent>
                <w:r w:rsidR="00D2102A" w:rsidRPr="005F41F0">
                  <w:rPr>
                    <w:rStyle w:val="Style2"/>
                    <w:rFonts w:ascii="MS Gothic" w:eastAsia="MS Gothic" w:hAnsi="MS Gothic"/>
                    <w:sz w:val="24"/>
                  </w:rPr>
                  <w:t>☒</w:t>
                </w:r>
              </w:sdtContent>
            </w:sdt>
            <w:r w:rsidR="00B13D65" w:rsidRPr="005F41F0">
              <w:t xml:space="preserve"> 32.2. įvertintas kaip pagrindžiantis nesiskiriančios naudos pacientų sveikatai sukūrimą, lyginant su įprasta klinikine praktika</w:t>
            </w:r>
          </w:p>
          <w:p w14:paraId="287AD233"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74A2DECF" w14:textId="77777777" w:rsidR="00662983" w:rsidRPr="005F41F0" w:rsidRDefault="00D51E3A"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5F41F0">
                  <w:rPr>
                    <w:rStyle w:val="Style2"/>
                    <w:rFonts w:ascii="Segoe UI Symbol" w:eastAsia="MS Gothic" w:hAnsi="Segoe UI Symbol" w:cs="Segoe UI Symbol"/>
                    <w:sz w:val="24"/>
                  </w:rPr>
                  <w:t>☐</w:t>
                </w:r>
              </w:sdtContent>
            </w:sdt>
            <w:r w:rsidR="00B13D65" w:rsidRPr="005F41F0">
              <w:t xml:space="preserve"> 33.1. yra įvertintas kaip nepagrindžiantis papildomos </w:t>
            </w:r>
            <w:r w:rsidR="00662983" w:rsidRPr="005F41F0">
              <w:t>naudos pacientų sveikatai sukūrimo, lyginant su  įprasta klinikine praktika.</w:t>
            </w:r>
          </w:p>
          <w:p w14:paraId="6C70BCFC" w14:textId="77777777" w:rsidR="00662983" w:rsidRPr="005F41F0" w:rsidRDefault="00662983" w:rsidP="00BD1E5A">
            <w:pPr>
              <w:jc w:val="both"/>
            </w:pPr>
          </w:p>
          <w:p w14:paraId="0ADEC30D" w14:textId="25150412" w:rsidR="00B13D65" w:rsidRPr="005F41F0" w:rsidRDefault="00D51E3A"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5F41F0">
                  <w:rPr>
                    <w:rStyle w:val="Style2"/>
                    <w:rFonts w:ascii="Segoe UI Symbol" w:eastAsia="MS Gothic" w:hAnsi="Segoe UI Symbol" w:cs="Segoe UI Symbol"/>
                    <w:sz w:val="24"/>
                  </w:rPr>
                  <w:t>☐</w:t>
                </w:r>
              </w:sdtContent>
            </w:sdt>
            <w:r w:rsidR="00B13D65" w:rsidRPr="005F41F0">
              <w:t xml:space="preserve"> </w:t>
            </w:r>
            <w:r w:rsidR="00662983" w:rsidRPr="005F41F0">
              <w:t xml:space="preserve">33.1. </w:t>
            </w:r>
            <w:r w:rsidR="00B13D65" w:rsidRPr="005F41F0">
              <w:t>nesiskiriančios naudos pacientų sveikatai sukūrimo, lyginant su įprasta klinikine praktika.</w:t>
            </w:r>
          </w:p>
          <w:p w14:paraId="1EED7901"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5F41F0" w14:paraId="1C75AE76" w14:textId="77777777" w:rsidTr="00BD1E5A">
        <w:tc>
          <w:tcPr>
            <w:tcW w:w="9962" w:type="dxa"/>
            <w:gridSpan w:val="2"/>
          </w:tcPr>
          <w:p w14:paraId="56F7FA3E"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5F41F0">
              <w:rPr>
                <w:rStyle w:val="Style2"/>
                <w:rFonts w:eastAsia="MS Gothic"/>
                <w:b/>
                <w:bCs/>
                <w:sz w:val="24"/>
              </w:rPr>
              <w:t>Kaštų naudingumas</w:t>
            </w:r>
          </w:p>
          <w:p w14:paraId="0247EDAD"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5F41F0" w14:paraId="7091A05B" w14:textId="77777777" w:rsidTr="00BD1E5A">
        <w:tc>
          <w:tcPr>
            <w:tcW w:w="4981" w:type="dxa"/>
          </w:tcPr>
          <w:p w14:paraId="69B2A994" w14:textId="1275FD5A"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5F41F0">
                  <w:rPr>
                    <w:rStyle w:val="Style2"/>
                    <w:rFonts w:ascii="MS Gothic" w:eastAsia="MS Gothic" w:hAnsi="MS Gothic"/>
                    <w:sz w:val="24"/>
                  </w:rPr>
                  <w:t>☐</w:t>
                </w:r>
              </w:sdtContent>
            </w:sdt>
            <w:r w:rsidR="00B13D65" w:rsidRPr="005F41F0">
              <w:t xml:space="preserve"> 32.3. atitink</w:t>
            </w:r>
            <w:r w:rsidR="0081174A" w:rsidRPr="005F41F0">
              <w:t>a referencinę naudingumo vertę;</w:t>
            </w:r>
          </w:p>
          <w:p w14:paraId="3F76F153" w14:textId="77777777" w:rsidR="00662983"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5E4BD1E" w14:textId="2AA9711D" w:rsidR="00B13D65" w:rsidRPr="005F41F0" w:rsidRDefault="00D51E3A" w:rsidP="0074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A05CD4" w:rsidRPr="005F41F0">
                  <w:rPr>
                    <w:rStyle w:val="Style2"/>
                    <w:rFonts w:ascii="MS Gothic" w:eastAsia="MS Gothic" w:hAnsi="MS Gothic"/>
                    <w:sz w:val="24"/>
                  </w:rPr>
                  <w:t>☐</w:t>
                </w:r>
              </w:sdtContent>
            </w:sdt>
            <w:r w:rsidR="00B13D65" w:rsidRPr="005F41F0">
              <w:t xml:space="preserve"> 32.3. </w:t>
            </w:r>
            <w:r w:rsidR="005648CF" w:rsidRPr="005F41F0">
              <w:t>gydymo juo kaštai yra mažesni ar tokie patys esant iš esmės nesiskiriančiam palyginamajam efektyvumui, taikant PGS.</w:t>
            </w:r>
          </w:p>
        </w:tc>
        <w:tc>
          <w:tcPr>
            <w:tcW w:w="4981" w:type="dxa"/>
          </w:tcPr>
          <w:p w14:paraId="53380063" w14:textId="07F023EC"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EndPr>
                <w:rPr>
                  <w:rStyle w:val="Style2"/>
                </w:rPr>
              </w:sdtEndPr>
              <w:sdtContent>
                <w:r w:rsidR="00B13D65" w:rsidRPr="005F41F0">
                  <w:rPr>
                    <w:rStyle w:val="Style2"/>
                    <w:rFonts w:ascii="Segoe UI Symbol" w:eastAsia="MS Gothic" w:hAnsi="Segoe UI Symbol" w:cs="Segoe UI Symbol"/>
                    <w:sz w:val="24"/>
                  </w:rPr>
                  <w:t>☐</w:t>
                </w:r>
              </w:sdtContent>
            </w:sdt>
            <w:r w:rsidR="00B13D65" w:rsidRPr="005F41F0">
              <w:t xml:space="preserve"> 33.3. neatitinka referencinės naudingumo vertės Lietuvos Respublikoje;</w:t>
            </w:r>
          </w:p>
          <w:p w14:paraId="229ED51A" w14:textId="77777777" w:rsidR="00662983"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629B52FA"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1"/>
                  <w14:checkedState w14:val="2612" w14:font="MS Gothic"/>
                  <w14:uncheckedState w14:val="2610" w14:font="MS Gothic"/>
                </w14:checkbox>
              </w:sdtPr>
              <w:sdtEndPr>
                <w:rPr>
                  <w:rStyle w:val="Style2"/>
                </w:rPr>
              </w:sdtEndPr>
              <w:sdtContent>
                <w:r w:rsidR="00A05CD4" w:rsidRPr="005F41F0">
                  <w:rPr>
                    <w:rStyle w:val="Style2"/>
                    <w:rFonts w:ascii="MS Gothic" w:eastAsia="MS Gothic" w:hAnsi="MS Gothic"/>
                    <w:sz w:val="24"/>
                  </w:rPr>
                  <w:t>☒</w:t>
                </w:r>
              </w:sdtContent>
            </w:sdt>
            <w:r w:rsidR="00B13D65" w:rsidRPr="005F41F0">
              <w:t xml:space="preserve"> 33.3. gydymo juo kaštai yra didesni esant iš esmės nesiskirian</w:t>
            </w:r>
            <w:r w:rsidR="0081174A" w:rsidRPr="005F41F0">
              <w:t>čiam palyginamajam efektyvumui;</w:t>
            </w:r>
          </w:p>
          <w:p w14:paraId="4A9C7D2A" w14:textId="77777777" w:rsidR="00662983" w:rsidRPr="005F41F0"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5F41F0" w:rsidRDefault="00D51E3A"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5F41F0">
                  <w:rPr>
                    <w:rStyle w:val="Style2"/>
                    <w:rFonts w:ascii="Segoe UI Symbol" w:eastAsia="MS Gothic" w:hAnsi="Segoe UI Symbol" w:cs="Segoe UI Symbol"/>
                    <w:sz w:val="24"/>
                  </w:rPr>
                  <w:t>☐</w:t>
                </w:r>
              </w:sdtContent>
            </w:sdt>
            <w:r w:rsidR="00B13D65" w:rsidRPr="005F41F0">
              <w:t xml:space="preserve"> 33.3. pateikti duomenys apie kaštų na</w:t>
            </w:r>
            <w:r w:rsidR="00662983" w:rsidRPr="005F41F0">
              <w:t>udingumą yra netinkami vertinti</w:t>
            </w:r>
          </w:p>
          <w:p w14:paraId="470A48A4" w14:textId="77777777" w:rsidR="00B13D65" w:rsidRPr="005F41F0"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E54D44C" w14:textId="77777777" w:rsidR="0055060B" w:rsidRPr="005F41F0" w:rsidRDefault="0055060B" w:rsidP="0055060B">
      <w:pPr>
        <w:rPr>
          <w:b/>
        </w:rPr>
      </w:pPr>
    </w:p>
    <w:p w14:paraId="4761590D" w14:textId="77777777" w:rsidR="0055060B" w:rsidRPr="005F41F0" w:rsidRDefault="0055060B" w:rsidP="0055060B">
      <w:pPr>
        <w:pStyle w:val="Sraopastraipa"/>
        <w:numPr>
          <w:ilvl w:val="0"/>
          <w:numId w:val="12"/>
        </w:numPr>
        <w:ind w:left="567" w:hanging="567"/>
        <w:rPr>
          <w:b/>
        </w:rPr>
      </w:pPr>
      <w:r w:rsidRPr="005F41F0">
        <w:rPr>
          <w:b/>
        </w:rPr>
        <w:t>REKOMENDACIJA</w:t>
      </w:r>
    </w:p>
    <w:p w14:paraId="7CA221DC" w14:textId="77777777" w:rsidR="0055060B" w:rsidRPr="005F41F0" w:rsidRDefault="0055060B" w:rsidP="0055060B">
      <w:pPr>
        <w:rPr>
          <w:i/>
          <w:color w:val="000000" w:themeColor="text1"/>
        </w:rPr>
      </w:pPr>
    </w:p>
    <w:p w14:paraId="31637CD4" w14:textId="77777777" w:rsidR="00A05CD4" w:rsidRPr="005F41F0" w:rsidRDefault="00A05CD4" w:rsidP="00A05CD4">
      <w:pPr>
        <w:spacing w:line="276" w:lineRule="auto"/>
        <w:ind w:firstLine="567"/>
        <w:jc w:val="both"/>
        <w:rPr>
          <w:color w:val="000000" w:themeColor="text1"/>
        </w:rPr>
      </w:pPr>
      <w:r w:rsidRPr="005F41F0">
        <w:t>Vadovaujantis</w:t>
      </w:r>
      <w:r w:rsidRPr="005F41F0">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50B89AAB" w14:textId="7BA85F22" w:rsidR="00A05CD4" w:rsidRPr="005F41F0" w:rsidRDefault="00A05CD4" w:rsidP="00A05CD4">
      <w:pPr>
        <w:spacing w:line="276" w:lineRule="auto"/>
        <w:jc w:val="both"/>
        <w:rPr>
          <w:color w:val="000000" w:themeColor="text1"/>
        </w:rPr>
      </w:pPr>
      <w:r w:rsidRPr="005F41F0">
        <w:rPr>
          <w:color w:val="000000"/>
        </w:rPr>
        <w:t>34.4.</w:t>
      </w:r>
      <w:r w:rsidRPr="005F41F0">
        <w:rPr>
          <w:color w:val="000000" w:themeColor="text1"/>
        </w:rPr>
        <w:t xml:space="preserve"> </w:t>
      </w:r>
      <w:r w:rsidRPr="005F41F0">
        <w:t xml:space="preserve">rekomenduojama </w:t>
      </w:r>
      <w:r w:rsidRPr="005F41F0">
        <w:rPr>
          <w:i/>
        </w:rPr>
        <w:t xml:space="preserve">nekompensuoti </w:t>
      </w:r>
      <w:r w:rsidRPr="005F41F0">
        <w:t xml:space="preserve">vaistinio preparato pagal paraiškoje nurodytą indikaciją ankiloziniam spondilitui, </w:t>
      </w:r>
      <w:r w:rsidR="0028392A" w:rsidRPr="005F41F0">
        <w:t>su skyrimo sąlygomis</w:t>
      </w:r>
      <w:r w:rsidRPr="005F41F0">
        <w:t>, taikant PGS, dėl iš esmės nesiskiriančio gydymo efektyvumo ir sukuriamos naudos pacientų sveikatai, lyginant su įprasta klinikine praktika (adalimumabu) ir didesnių gydymo kaštų (kaštų mažinimas nepasiekiamas).</w:t>
      </w:r>
    </w:p>
    <w:p w14:paraId="5512812A" w14:textId="77777777" w:rsidR="00A05CD4" w:rsidRPr="005F41F0" w:rsidRDefault="00A05CD4" w:rsidP="00A05CD4">
      <w:pPr>
        <w:pStyle w:val="prastasiniatinklio"/>
        <w:spacing w:after="0" w:afterAutospacing="0" w:line="276" w:lineRule="auto"/>
        <w:ind w:firstLine="567"/>
        <w:jc w:val="both"/>
        <w:rPr>
          <w:b/>
          <w:lang w:val="lt-LT"/>
        </w:rPr>
      </w:pPr>
      <w:r w:rsidRPr="005F41F0">
        <w:rPr>
          <w:b/>
          <w:lang w:val="lt-LT"/>
        </w:rPr>
        <w:t>Papildomas siūlymas</w:t>
      </w:r>
    </w:p>
    <w:p w14:paraId="0A37B34E" w14:textId="5EADD618" w:rsidR="00B2515B" w:rsidRPr="005F41F0" w:rsidRDefault="005F41F0" w:rsidP="00B2515B">
      <w:pPr>
        <w:pStyle w:val="prastasiniatinklio"/>
        <w:spacing w:after="0" w:afterAutospacing="0" w:line="276" w:lineRule="auto"/>
        <w:ind w:firstLine="567"/>
        <w:jc w:val="both"/>
        <w:rPr>
          <w:lang w:val="lt-LT"/>
        </w:rPr>
      </w:pPr>
      <w:r>
        <w:rPr>
          <w:lang w:val="lt-LT"/>
        </w:rPr>
        <w:t>R</w:t>
      </w:r>
      <w:r w:rsidRPr="00E353DB">
        <w:rPr>
          <w:lang w:val="lt-LT"/>
        </w:rPr>
        <w:t>emiantis Vaistinių preparatų ir medicinos pagalbos priemonių įrašymo į kompensavimo sąrašus ir jų keitimo tvarkos aprašo, patvirtinto Lietuvos Respublikos sveikatos apsaugos ministro 2002 m. balandžio 5 d. įsakymu Nr. 159 „Dėl Vaistinių preparatų ir medicinos pagalbos priemonių įrašymo į kompensavimo sąrašus ir jų keitimo tvarkos aprašo patvirtinimo“ 35 punktu,  teikia</w:t>
      </w:r>
      <w:r>
        <w:rPr>
          <w:lang w:val="lt-LT"/>
        </w:rPr>
        <w:t>me</w:t>
      </w:r>
      <w:r w:rsidRPr="00E353DB">
        <w:rPr>
          <w:lang w:val="lt-LT"/>
        </w:rPr>
        <w:t xml:space="preserve"> papildomas pastabas ir pasiūlymus, susijusius su Paraiškos vertinimu. Atsižvelgiant, kad pagal klinikinius duomenis </w:t>
      </w:r>
      <w:r w:rsidRPr="00E353DB">
        <w:rPr>
          <w:bCs/>
          <w:lang w:val="lt-LT"/>
        </w:rPr>
        <w:t xml:space="preserve">tofacitinibo </w:t>
      </w:r>
      <w:r w:rsidRPr="00E353DB">
        <w:rPr>
          <w:rFonts w:eastAsia="Arial"/>
          <w:lang w:val="lt-LT"/>
        </w:rPr>
        <w:t xml:space="preserve">palyginamasis efektyvumas iš esmės </w:t>
      </w:r>
      <w:r w:rsidRPr="00E353DB">
        <w:rPr>
          <w:rFonts w:eastAsia="Arial"/>
          <w:lang w:val="lt-LT"/>
        </w:rPr>
        <w:lastRenderedPageBreak/>
        <w:t xml:space="preserve">nesiskiria ir klinikinis veiksmingumas </w:t>
      </w:r>
      <w:r w:rsidRPr="00E353DB">
        <w:rPr>
          <w:lang w:val="lt-LT"/>
        </w:rPr>
        <w:t xml:space="preserve">yra įvertintas kaip pagrindžiantis nesiskiriančios naudos pacientų sveikatai sukūrimą lyginant su įprasta klinikine praktika, rekomenduojama kompensuoti </w:t>
      </w:r>
      <w:r w:rsidRPr="00E353DB">
        <w:rPr>
          <w:rFonts w:eastAsia="Arial"/>
          <w:lang w:val="lt-LT"/>
        </w:rPr>
        <w:t xml:space="preserve">vaistinį preparatą pagal kompensavimui teikiamą indikacijos dalį su sąlyga, kad </w:t>
      </w:r>
      <w:r w:rsidRPr="00E353DB">
        <w:rPr>
          <w:rFonts w:eastAsia="Arial"/>
          <w:u w:val="single"/>
          <w:lang w:val="lt-LT"/>
        </w:rPr>
        <w:t>tofacitinibo PSDF biudžeto išlaidos ankilozinio spondilito gydymui bus ne</w:t>
      </w:r>
      <w:r>
        <w:rPr>
          <w:rFonts w:eastAsia="Arial"/>
          <w:u w:val="single"/>
          <w:lang w:val="lt-LT"/>
        </w:rPr>
        <w:t xml:space="preserve"> </w:t>
      </w:r>
      <w:r w:rsidRPr="00E353DB">
        <w:rPr>
          <w:rFonts w:eastAsia="Arial"/>
          <w:u w:val="single"/>
          <w:lang w:val="lt-LT"/>
        </w:rPr>
        <w:t xml:space="preserve">didesnės </w:t>
      </w:r>
      <w:r>
        <w:rPr>
          <w:rFonts w:eastAsia="Arial"/>
          <w:u w:val="single"/>
          <w:lang w:val="lt-LT"/>
        </w:rPr>
        <w:t>už</w:t>
      </w:r>
      <w:r w:rsidRPr="00E353DB">
        <w:rPr>
          <w:rFonts w:eastAsia="Arial"/>
          <w:u w:val="single"/>
          <w:lang w:val="lt-LT"/>
        </w:rPr>
        <w:t xml:space="preserve"> adalimumabo</w:t>
      </w:r>
      <w:r>
        <w:rPr>
          <w:rFonts w:eastAsia="Arial"/>
          <w:u w:val="single"/>
          <w:lang w:val="lt-LT"/>
        </w:rPr>
        <w:t xml:space="preserve">. </w:t>
      </w:r>
      <w:r w:rsidRPr="00690966">
        <w:rPr>
          <w:rFonts w:eastAsia="Arial"/>
          <w:lang w:val="lt-LT"/>
        </w:rPr>
        <w:t xml:space="preserve">Jei pareiškėjas sutiks su šia sąlyga, </w:t>
      </w:r>
      <w:r>
        <w:rPr>
          <w:rFonts w:eastAsia="Arial"/>
          <w:lang w:val="lt-LT"/>
        </w:rPr>
        <w:t xml:space="preserve">atsižvelgiant į tai, kad </w:t>
      </w:r>
      <w:r w:rsidRPr="00E353DB">
        <w:rPr>
          <w:lang w:val="lt-LT"/>
        </w:rPr>
        <w:t>ekonominėje analizėje</w:t>
      </w:r>
      <w:r>
        <w:rPr>
          <w:lang w:val="lt-LT"/>
        </w:rPr>
        <w:t xml:space="preserve"> modeliavimas neatliekamas</w:t>
      </w:r>
      <w:r w:rsidRPr="00E353DB">
        <w:rPr>
          <w:lang w:val="lt-LT"/>
        </w:rPr>
        <w:t xml:space="preserve">, </w:t>
      </w:r>
      <w:r>
        <w:rPr>
          <w:rFonts w:eastAsia="Arial"/>
          <w:lang w:val="lt-LT"/>
        </w:rPr>
        <w:t xml:space="preserve">kartotinai </w:t>
      </w:r>
      <w:r w:rsidRPr="00690966">
        <w:rPr>
          <w:rFonts w:eastAsia="Arial"/>
          <w:lang w:val="lt-LT"/>
        </w:rPr>
        <w:t>farmakoekono</w:t>
      </w:r>
      <w:r>
        <w:rPr>
          <w:rFonts w:eastAsia="Arial"/>
          <w:lang w:val="lt-LT"/>
        </w:rPr>
        <w:t>nio</w:t>
      </w:r>
      <w:r w:rsidRPr="00690966">
        <w:rPr>
          <w:rFonts w:eastAsia="Arial"/>
          <w:lang w:val="lt-LT"/>
        </w:rPr>
        <w:t xml:space="preserve"> vertinim</w:t>
      </w:r>
      <w:r>
        <w:rPr>
          <w:rFonts w:eastAsia="Arial"/>
          <w:lang w:val="lt-LT"/>
        </w:rPr>
        <w:t>o atlikti nereikia</w:t>
      </w:r>
    </w:p>
    <w:p w14:paraId="4675BD1C" w14:textId="77777777" w:rsidR="0055060B" w:rsidRPr="005F41F0" w:rsidRDefault="0055060B" w:rsidP="0055060B"/>
    <w:p w14:paraId="2DE4B8C2" w14:textId="77777777" w:rsidR="0055060B" w:rsidRPr="005F41F0" w:rsidRDefault="0055060B" w:rsidP="0055060B">
      <w:pPr>
        <w:tabs>
          <w:tab w:val="left" w:pos="567"/>
        </w:tabs>
        <w:ind w:left="567" w:hanging="567"/>
        <w:jc w:val="both"/>
        <w:rPr>
          <w:b/>
          <w:color w:val="000000"/>
          <w:lang w:eastAsia="lt-LT"/>
        </w:rPr>
      </w:pPr>
      <w:r w:rsidRPr="005F41F0">
        <w:rPr>
          <w:b/>
          <w:color w:val="000000"/>
          <w:lang w:eastAsia="lt-LT"/>
        </w:rPr>
        <w:t>8.</w:t>
      </w:r>
      <w:r w:rsidRPr="005F41F0">
        <w:rPr>
          <w:b/>
          <w:color w:val="000000"/>
          <w:lang w:eastAsia="lt-LT"/>
        </w:rPr>
        <w:tab/>
        <w:t xml:space="preserve">SIŪLOMOS KOMPENSUOTI TERAPINĖS INDIKACIJOS IR SKYRIMO SĄLYGOS </w:t>
      </w:r>
    </w:p>
    <w:p w14:paraId="04411EAD" w14:textId="341E2E17" w:rsidR="004A3A61" w:rsidRPr="005F41F0" w:rsidRDefault="004A3A61" w:rsidP="00272461">
      <w:pPr>
        <w:spacing w:line="276" w:lineRule="auto"/>
        <w:jc w:val="both"/>
        <w:rPr>
          <w:i/>
          <w:iCs/>
        </w:rPr>
      </w:pPr>
    </w:p>
    <w:p w14:paraId="10D81CE4" w14:textId="77777777" w:rsidR="009E4F03" w:rsidRPr="005F41F0" w:rsidRDefault="009E4F03" w:rsidP="009E4F03">
      <w:pPr>
        <w:pStyle w:val="Betarp"/>
        <w:rPr>
          <w:rFonts w:ascii="Times New Roman" w:hAnsi="Times New Roman"/>
          <w:b/>
          <w:sz w:val="24"/>
          <w:szCs w:val="24"/>
          <w:lang w:eastAsia="lt-LT"/>
        </w:rPr>
      </w:pPr>
      <w:r w:rsidRPr="005F41F0">
        <w:rPr>
          <w:rFonts w:ascii="Times New Roman" w:hAnsi="Times New Roman"/>
          <w:b/>
          <w:sz w:val="24"/>
          <w:szCs w:val="24"/>
          <w:lang w:eastAsia="lt-LT"/>
        </w:rPr>
        <w:t>Terapinės indikacijos</w:t>
      </w:r>
    </w:p>
    <w:p w14:paraId="4DD90163" w14:textId="77777777" w:rsidR="009E4F03" w:rsidRPr="005F41F0" w:rsidRDefault="00D51E3A" w:rsidP="009E4F03">
      <w:pPr>
        <w:pStyle w:val="Betarp"/>
        <w:spacing w:line="276" w:lineRule="auto"/>
        <w:rPr>
          <w:rFonts w:ascii="Times New Roman" w:hAnsi="Times New Roman"/>
          <w:sz w:val="24"/>
          <w:szCs w:val="24"/>
        </w:rPr>
      </w:pPr>
      <w:sdt>
        <w:sdtPr>
          <w:rPr>
            <w:rStyle w:val="Style2"/>
            <w:rFonts w:ascii="Times New Roman" w:hAnsi="Times New Roman"/>
            <w:sz w:val="24"/>
            <w:szCs w:val="24"/>
          </w:rPr>
          <w:id w:val="-154227290"/>
          <w15:color w:val="FFCC00"/>
          <w14:checkbox>
            <w14:checked w14:val="1"/>
            <w14:checkedState w14:val="2612" w14:font="MS Gothic"/>
            <w14:uncheckedState w14:val="2610" w14:font="MS Gothic"/>
          </w14:checkbox>
        </w:sdtPr>
        <w:sdtEndPr>
          <w:rPr>
            <w:rStyle w:val="Style2"/>
          </w:rPr>
        </w:sdtEndPr>
        <w:sdtContent>
          <w:r w:rsidR="009E4F03" w:rsidRPr="005F41F0">
            <w:rPr>
              <w:rStyle w:val="Style2"/>
              <w:rFonts w:ascii="MS Gothic" w:eastAsia="MS Gothic" w:hAnsi="MS Gothic"/>
              <w:sz w:val="24"/>
              <w:szCs w:val="24"/>
            </w:rPr>
            <w:t>☒</w:t>
          </w:r>
        </w:sdtContent>
      </w:sdt>
      <w:r w:rsidR="009E4F03" w:rsidRPr="005F41F0">
        <w:rPr>
          <w:rFonts w:ascii="Times New Roman" w:hAnsi="Times New Roman"/>
          <w:sz w:val="24"/>
          <w:szCs w:val="24"/>
        </w:rPr>
        <w:t xml:space="preserve"> Siūloma kompensuoti Pareiškėjo teikiamą indikaciją be pakeitimų.</w:t>
      </w:r>
    </w:p>
    <w:p w14:paraId="19171366" w14:textId="77777777" w:rsidR="009E4F03" w:rsidRPr="005F41F0" w:rsidRDefault="009E4F03" w:rsidP="009E4F03">
      <w:pPr>
        <w:pStyle w:val="Betarp"/>
        <w:spacing w:line="276" w:lineRule="auto"/>
        <w:rPr>
          <w:rFonts w:ascii="Times New Roman" w:hAnsi="Times New Roman"/>
          <w:sz w:val="24"/>
          <w:szCs w:val="24"/>
        </w:rPr>
      </w:pPr>
    </w:p>
    <w:p w14:paraId="25500121" w14:textId="77777777" w:rsidR="009E4F03" w:rsidRPr="005F41F0" w:rsidRDefault="009E4F03" w:rsidP="009E4F03">
      <w:pPr>
        <w:spacing w:line="276" w:lineRule="auto"/>
      </w:pPr>
      <w:r w:rsidRPr="005F41F0">
        <w:t xml:space="preserve">Tofacitinibas skirtas gydyti suaugusiems pacientams, sergantiems aktyviu ankiloziniu spondilitu (AS), kurių atsakas į įprastinį gydymą yra nepakankamas. </w:t>
      </w:r>
    </w:p>
    <w:p w14:paraId="094816FF" w14:textId="77777777" w:rsidR="009E4F03" w:rsidRPr="005F41F0" w:rsidRDefault="009E4F03" w:rsidP="009E4F03">
      <w:pPr>
        <w:pStyle w:val="Betarp"/>
        <w:spacing w:line="276" w:lineRule="auto"/>
        <w:rPr>
          <w:rFonts w:ascii="Times New Roman" w:hAnsi="Times New Roman"/>
          <w:sz w:val="24"/>
          <w:szCs w:val="24"/>
        </w:rPr>
      </w:pPr>
    </w:p>
    <w:p w14:paraId="2DA6FD78" w14:textId="77777777" w:rsidR="009E4F03" w:rsidRPr="005F41F0" w:rsidRDefault="009E4F03" w:rsidP="009E4F03">
      <w:pPr>
        <w:pStyle w:val="Betarp"/>
        <w:rPr>
          <w:rFonts w:ascii="Times New Roman" w:hAnsi="Times New Roman"/>
          <w:b/>
          <w:sz w:val="24"/>
          <w:szCs w:val="24"/>
        </w:rPr>
      </w:pPr>
      <w:r w:rsidRPr="005F41F0">
        <w:rPr>
          <w:rFonts w:ascii="Times New Roman" w:hAnsi="Times New Roman"/>
          <w:b/>
          <w:sz w:val="24"/>
          <w:szCs w:val="24"/>
        </w:rPr>
        <w:t>Skyrimo sąlygos</w:t>
      </w:r>
    </w:p>
    <w:p w14:paraId="7A56AD59" w14:textId="77777777" w:rsidR="009E4F03" w:rsidRPr="005F41F0" w:rsidRDefault="00D51E3A" w:rsidP="009E4F03">
      <w:pPr>
        <w:pStyle w:val="Betarp"/>
        <w:rPr>
          <w:rFonts w:ascii="Times New Roman" w:hAnsi="Times New Roman"/>
          <w:sz w:val="24"/>
          <w:szCs w:val="24"/>
        </w:rPr>
      </w:pPr>
      <w:sdt>
        <w:sdtPr>
          <w:rPr>
            <w:rStyle w:val="Style2"/>
            <w:rFonts w:ascii="Times New Roman" w:hAnsi="Times New Roman"/>
            <w:sz w:val="24"/>
            <w:szCs w:val="24"/>
          </w:rPr>
          <w:id w:val="169305347"/>
          <w15:color w:val="FFCC00"/>
          <w14:checkbox>
            <w14:checked w14:val="1"/>
            <w14:checkedState w14:val="2612" w14:font="MS Gothic"/>
            <w14:uncheckedState w14:val="2610" w14:font="MS Gothic"/>
          </w14:checkbox>
        </w:sdtPr>
        <w:sdtEndPr>
          <w:rPr>
            <w:rStyle w:val="Style2"/>
          </w:rPr>
        </w:sdtEndPr>
        <w:sdtContent>
          <w:r w:rsidR="009E4F03" w:rsidRPr="005F41F0">
            <w:rPr>
              <w:rStyle w:val="Style2"/>
              <w:rFonts w:ascii="MS Gothic" w:eastAsia="MS Gothic" w:hAnsi="MS Gothic"/>
              <w:sz w:val="24"/>
              <w:szCs w:val="24"/>
            </w:rPr>
            <w:t>☒</w:t>
          </w:r>
        </w:sdtContent>
      </w:sdt>
      <w:r w:rsidR="009E4F03" w:rsidRPr="005F41F0">
        <w:rPr>
          <w:rFonts w:ascii="Times New Roman" w:hAnsi="Times New Roman"/>
          <w:sz w:val="24"/>
          <w:szCs w:val="24"/>
        </w:rPr>
        <w:t xml:space="preserve"> Pareiškėjo siūlomos skyrimo sąlygos priimtinos. </w:t>
      </w:r>
    </w:p>
    <w:p w14:paraId="6A45177B" w14:textId="77777777" w:rsidR="009E4F03" w:rsidRPr="005F41F0" w:rsidRDefault="009E4F03" w:rsidP="009E4F03">
      <w:pPr>
        <w:pStyle w:val="Betarp"/>
        <w:rPr>
          <w:rFonts w:ascii="Times New Roman" w:hAnsi="Times New Roman"/>
          <w:sz w:val="24"/>
          <w:szCs w:val="24"/>
        </w:rPr>
      </w:pPr>
      <w:r w:rsidRPr="005F41F0">
        <w:rPr>
          <w:rFonts w:ascii="Times New Roman" w:hAnsi="Times New Roman"/>
          <w:sz w:val="24"/>
          <w:szCs w:val="24"/>
        </w:rPr>
        <w:t xml:space="preserve"> </w:t>
      </w:r>
    </w:p>
    <w:p w14:paraId="77A2B61A" w14:textId="77777777" w:rsidR="009E4F03" w:rsidRPr="005F41F0" w:rsidRDefault="009E4F03" w:rsidP="009E4F03">
      <w:pPr>
        <w:pStyle w:val="Betarp"/>
        <w:rPr>
          <w:rFonts w:ascii="Times New Roman" w:hAnsi="Times New Roman"/>
          <w:sz w:val="24"/>
          <w:szCs w:val="24"/>
        </w:rPr>
      </w:pPr>
      <w:r w:rsidRPr="005F41F0">
        <w:rPr>
          <w:rFonts w:ascii="Times New Roman" w:hAnsi="Times New Roman"/>
          <w:sz w:val="24"/>
          <w:szCs w:val="24"/>
        </w:rPr>
        <w:t>Tofacitinibas skirtas gydyti suaugusiems pacientams, sergantiems aktyviu ankiloziniu spondilitu (AS), kurių atsakas į įprastinį gydymą yra nepakankamas.</w:t>
      </w:r>
    </w:p>
    <w:p w14:paraId="00238513" w14:textId="78E9F335" w:rsidR="000915AB" w:rsidRPr="005F41F0" w:rsidRDefault="000915AB" w:rsidP="00A05CD4">
      <w:pPr>
        <w:pStyle w:val="Betarp"/>
        <w:spacing w:line="276" w:lineRule="auto"/>
        <w:rPr>
          <w:rFonts w:ascii="Times New Roman" w:hAnsi="Times New Roman"/>
          <w:sz w:val="24"/>
          <w:szCs w:val="24"/>
        </w:rPr>
      </w:pPr>
    </w:p>
    <w:sectPr w:rsidR="000915AB" w:rsidRPr="005F41F0" w:rsidSect="005D30E1">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18579" w14:textId="77777777" w:rsidR="00D51E3A" w:rsidRDefault="00D51E3A">
      <w:r>
        <w:separator/>
      </w:r>
    </w:p>
  </w:endnote>
  <w:endnote w:type="continuationSeparator" w:id="0">
    <w:p w14:paraId="605B1487" w14:textId="77777777" w:rsidR="00D51E3A" w:rsidRDefault="00D5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15601" w14:textId="77777777" w:rsidR="00FD07FC" w:rsidRDefault="00FD07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3F98" w14:textId="77777777" w:rsidR="00FD07FC" w:rsidRDefault="00FD07F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7E507" w14:textId="77777777" w:rsidR="00D51E3A" w:rsidRDefault="00D51E3A">
      <w:r>
        <w:separator/>
      </w:r>
    </w:p>
  </w:footnote>
  <w:footnote w:type="continuationSeparator" w:id="0">
    <w:p w14:paraId="65644615" w14:textId="77777777" w:rsidR="00D51E3A" w:rsidRDefault="00D51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D5F9" w14:textId="452F724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1127">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73B1625"/>
    <w:multiLevelType w:val="hybridMultilevel"/>
    <w:tmpl w:val="5B00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A4342D"/>
    <w:multiLevelType w:val="hybridMultilevel"/>
    <w:tmpl w:val="75A810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A1538D"/>
    <w:multiLevelType w:val="hybridMultilevel"/>
    <w:tmpl w:val="2F7C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D5D5412"/>
    <w:multiLevelType w:val="hybridMultilevel"/>
    <w:tmpl w:val="59A0DE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FE12046"/>
    <w:multiLevelType w:val="hybridMultilevel"/>
    <w:tmpl w:val="AF527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9"/>
  </w:num>
  <w:num w:numId="5">
    <w:abstractNumId w:val="7"/>
  </w:num>
  <w:num w:numId="6">
    <w:abstractNumId w:val="6"/>
  </w:num>
  <w:num w:numId="7">
    <w:abstractNumId w:val="5"/>
  </w:num>
  <w:num w:numId="8">
    <w:abstractNumId w:val="15"/>
  </w:num>
  <w:num w:numId="9">
    <w:abstractNumId w:val="0"/>
  </w:num>
  <w:num w:numId="10">
    <w:abstractNumId w:val="11"/>
  </w:num>
  <w:num w:numId="11">
    <w:abstractNumId w:val="13"/>
  </w:num>
  <w:num w:numId="12">
    <w:abstractNumId w:val="3"/>
  </w:num>
  <w:num w:numId="13">
    <w:abstractNumId w:val="1"/>
  </w:num>
  <w:num w:numId="14">
    <w:abstractNumId w:val="12"/>
  </w:num>
  <w:num w:numId="15">
    <w:abstractNumId w:val="16"/>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E7"/>
    <w:rsid w:val="00003F5B"/>
    <w:rsid w:val="000114DD"/>
    <w:rsid w:val="000136F7"/>
    <w:rsid w:val="0002686C"/>
    <w:rsid w:val="00031D0E"/>
    <w:rsid w:val="000337E6"/>
    <w:rsid w:val="0003402E"/>
    <w:rsid w:val="00034EAE"/>
    <w:rsid w:val="000606BE"/>
    <w:rsid w:val="000736B8"/>
    <w:rsid w:val="0008190F"/>
    <w:rsid w:val="00081D9C"/>
    <w:rsid w:val="00082907"/>
    <w:rsid w:val="0008378D"/>
    <w:rsid w:val="000908A5"/>
    <w:rsid w:val="000915AB"/>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21D9"/>
    <w:rsid w:val="001554E2"/>
    <w:rsid w:val="00164146"/>
    <w:rsid w:val="0017369C"/>
    <w:rsid w:val="00180C39"/>
    <w:rsid w:val="00180D96"/>
    <w:rsid w:val="001921F3"/>
    <w:rsid w:val="001A0642"/>
    <w:rsid w:val="001B2165"/>
    <w:rsid w:val="001B3C5B"/>
    <w:rsid w:val="001D7BAA"/>
    <w:rsid w:val="001E4BBB"/>
    <w:rsid w:val="001E6304"/>
    <w:rsid w:val="00201127"/>
    <w:rsid w:val="0020381E"/>
    <w:rsid w:val="00213471"/>
    <w:rsid w:val="00214F6C"/>
    <w:rsid w:val="00215906"/>
    <w:rsid w:val="00216CE2"/>
    <w:rsid w:val="002463C1"/>
    <w:rsid w:val="0025697F"/>
    <w:rsid w:val="00260258"/>
    <w:rsid w:val="00272428"/>
    <w:rsid w:val="00272461"/>
    <w:rsid w:val="00272948"/>
    <w:rsid w:val="0028392A"/>
    <w:rsid w:val="002946C7"/>
    <w:rsid w:val="002A6B73"/>
    <w:rsid w:val="002B3CC1"/>
    <w:rsid w:val="002C09E0"/>
    <w:rsid w:val="002C3A10"/>
    <w:rsid w:val="002C4A90"/>
    <w:rsid w:val="002D02EF"/>
    <w:rsid w:val="002E0702"/>
    <w:rsid w:val="002E6F80"/>
    <w:rsid w:val="002F0E4F"/>
    <w:rsid w:val="002F1053"/>
    <w:rsid w:val="00306D00"/>
    <w:rsid w:val="00317B0E"/>
    <w:rsid w:val="00347FAA"/>
    <w:rsid w:val="0035172D"/>
    <w:rsid w:val="0036187D"/>
    <w:rsid w:val="00381024"/>
    <w:rsid w:val="00386307"/>
    <w:rsid w:val="003874DE"/>
    <w:rsid w:val="00390F3E"/>
    <w:rsid w:val="00393E9F"/>
    <w:rsid w:val="0039696E"/>
    <w:rsid w:val="003B211A"/>
    <w:rsid w:val="003C12B3"/>
    <w:rsid w:val="003C141F"/>
    <w:rsid w:val="003C3D98"/>
    <w:rsid w:val="003C6B0E"/>
    <w:rsid w:val="003C7257"/>
    <w:rsid w:val="003C7E35"/>
    <w:rsid w:val="003E5FCD"/>
    <w:rsid w:val="003E68D9"/>
    <w:rsid w:val="00404E8A"/>
    <w:rsid w:val="0040622F"/>
    <w:rsid w:val="00417DCF"/>
    <w:rsid w:val="00423160"/>
    <w:rsid w:val="00432D48"/>
    <w:rsid w:val="00453862"/>
    <w:rsid w:val="00461338"/>
    <w:rsid w:val="004677DB"/>
    <w:rsid w:val="0048630F"/>
    <w:rsid w:val="00491592"/>
    <w:rsid w:val="004947A1"/>
    <w:rsid w:val="0049482A"/>
    <w:rsid w:val="004979D3"/>
    <w:rsid w:val="004A00E7"/>
    <w:rsid w:val="004A3A61"/>
    <w:rsid w:val="004B59BA"/>
    <w:rsid w:val="004C263A"/>
    <w:rsid w:val="004D0106"/>
    <w:rsid w:val="004D1E73"/>
    <w:rsid w:val="004D7B8F"/>
    <w:rsid w:val="004D7CCF"/>
    <w:rsid w:val="004E6458"/>
    <w:rsid w:val="004E6E7D"/>
    <w:rsid w:val="004F1AAC"/>
    <w:rsid w:val="004F1AE2"/>
    <w:rsid w:val="004F34F0"/>
    <w:rsid w:val="005005EF"/>
    <w:rsid w:val="00505A9E"/>
    <w:rsid w:val="005270F1"/>
    <w:rsid w:val="00534E11"/>
    <w:rsid w:val="005400D9"/>
    <w:rsid w:val="00542CF2"/>
    <w:rsid w:val="005476A4"/>
    <w:rsid w:val="0055019B"/>
    <w:rsid w:val="0055060B"/>
    <w:rsid w:val="00556E63"/>
    <w:rsid w:val="005601A4"/>
    <w:rsid w:val="0056430D"/>
    <w:rsid w:val="005648CF"/>
    <w:rsid w:val="00566DBB"/>
    <w:rsid w:val="005976CE"/>
    <w:rsid w:val="005A23D4"/>
    <w:rsid w:val="005A2D1E"/>
    <w:rsid w:val="005C493F"/>
    <w:rsid w:val="005C6BF7"/>
    <w:rsid w:val="005C71BF"/>
    <w:rsid w:val="005D002C"/>
    <w:rsid w:val="005D30E1"/>
    <w:rsid w:val="005D6555"/>
    <w:rsid w:val="005D7BDF"/>
    <w:rsid w:val="005F41F0"/>
    <w:rsid w:val="005F71D9"/>
    <w:rsid w:val="005F7602"/>
    <w:rsid w:val="006108BA"/>
    <w:rsid w:val="00613501"/>
    <w:rsid w:val="006166A8"/>
    <w:rsid w:val="006174A1"/>
    <w:rsid w:val="00633B49"/>
    <w:rsid w:val="00636A50"/>
    <w:rsid w:val="0064297F"/>
    <w:rsid w:val="00646CF3"/>
    <w:rsid w:val="00662983"/>
    <w:rsid w:val="006661F8"/>
    <w:rsid w:val="006705B8"/>
    <w:rsid w:val="006834D3"/>
    <w:rsid w:val="00692625"/>
    <w:rsid w:val="00695CD3"/>
    <w:rsid w:val="006A38B6"/>
    <w:rsid w:val="006B1987"/>
    <w:rsid w:val="006B5B71"/>
    <w:rsid w:val="006B6CB0"/>
    <w:rsid w:val="006C2B64"/>
    <w:rsid w:val="006D4C85"/>
    <w:rsid w:val="006E33F6"/>
    <w:rsid w:val="006F1251"/>
    <w:rsid w:val="006F1C23"/>
    <w:rsid w:val="006F3037"/>
    <w:rsid w:val="00703166"/>
    <w:rsid w:val="007127F3"/>
    <w:rsid w:val="007301CF"/>
    <w:rsid w:val="007316FB"/>
    <w:rsid w:val="00737E2D"/>
    <w:rsid w:val="00742033"/>
    <w:rsid w:val="007424D5"/>
    <w:rsid w:val="007523DD"/>
    <w:rsid w:val="00757B7E"/>
    <w:rsid w:val="00771743"/>
    <w:rsid w:val="00795DC5"/>
    <w:rsid w:val="00797153"/>
    <w:rsid w:val="007B0DDA"/>
    <w:rsid w:val="007D6482"/>
    <w:rsid w:val="007E5466"/>
    <w:rsid w:val="007F1949"/>
    <w:rsid w:val="00802956"/>
    <w:rsid w:val="008075B7"/>
    <w:rsid w:val="0081174A"/>
    <w:rsid w:val="00817A84"/>
    <w:rsid w:val="008225A4"/>
    <w:rsid w:val="00826D5E"/>
    <w:rsid w:val="00832013"/>
    <w:rsid w:val="00834732"/>
    <w:rsid w:val="00834C35"/>
    <w:rsid w:val="00843554"/>
    <w:rsid w:val="0085200C"/>
    <w:rsid w:val="00857C52"/>
    <w:rsid w:val="008651E2"/>
    <w:rsid w:val="00880A44"/>
    <w:rsid w:val="0088345E"/>
    <w:rsid w:val="0088656F"/>
    <w:rsid w:val="008A0303"/>
    <w:rsid w:val="008A5FDD"/>
    <w:rsid w:val="008B2311"/>
    <w:rsid w:val="008C223C"/>
    <w:rsid w:val="008C3947"/>
    <w:rsid w:val="008E7329"/>
    <w:rsid w:val="008F2ED5"/>
    <w:rsid w:val="008F412D"/>
    <w:rsid w:val="009145D2"/>
    <w:rsid w:val="00916202"/>
    <w:rsid w:val="0092297E"/>
    <w:rsid w:val="0093069F"/>
    <w:rsid w:val="009341BF"/>
    <w:rsid w:val="00937907"/>
    <w:rsid w:val="00941739"/>
    <w:rsid w:val="00951573"/>
    <w:rsid w:val="00963003"/>
    <w:rsid w:val="00983471"/>
    <w:rsid w:val="009909AB"/>
    <w:rsid w:val="009B37DB"/>
    <w:rsid w:val="009C7A8C"/>
    <w:rsid w:val="009D23F9"/>
    <w:rsid w:val="009D4FA8"/>
    <w:rsid w:val="009E4F03"/>
    <w:rsid w:val="009E6CD6"/>
    <w:rsid w:val="00A00C3C"/>
    <w:rsid w:val="00A01091"/>
    <w:rsid w:val="00A05CD4"/>
    <w:rsid w:val="00A06DBB"/>
    <w:rsid w:val="00A31E86"/>
    <w:rsid w:val="00A54D87"/>
    <w:rsid w:val="00A5553C"/>
    <w:rsid w:val="00A71554"/>
    <w:rsid w:val="00A81785"/>
    <w:rsid w:val="00A84803"/>
    <w:rsid w:val="00A84C51"/>
    <w:rsid w:val="00A86F2B"/>
    <w:rsid w:val="00A91366"/>
    <w:rsid w:val="00A93AA6"/>
    <w:rsid w:val="00AA4E48"/>
    <w:rsid w:val="00AA6202"/>
    <w:rsid w:val="00AB573B"/>
    <w:rsid w:val="00AC4A99"/>
    <w:rsid w:val="00AC64D2"/>
    <w:rsid w:val="00AE0FE8"/>
    <w:rsid w:val="00AF60D5"/>
    <w:rsid w:val="00B04415"/>
    <w:rsid w:val="00B11D60"/>
    <w:rsid w:val="00B11E4B"/>
    <w:rsid w:val="00B13D65"/>
    <w:rsid w:val="00B15903"/>
    <w:rsid w:val="00B22497"/>
    <w:rsid w:val="00B2515B"/>
    <w:rsid w:val="00B35176"/>
    <w:rsid w:val="00B351ED"/>
    <w:rsid w:val="00B37245"/>
    <w:rsid w:val="00B4017A"/>
    <w:rsid w:val="00B4468D"/>
    <w:rsid w:val="00B71C72"/>
    <w:rsid w:val="00B81E92"/>
    <w:rsid w:val="00B93B30"/>
    <w:rsid w:val="00B94CB5"/>
    <w:rsid w:val="00BA0DD9"/>
    <w:rsid w:val="00BB6312"/>
    <w:rsid w:val="00BC4D06"/>
    <w:rsid w:val="00BD585E"/>
    <w:rsid w:val="00BF26A2"/>
    <w:rsid w:val="00BF2E0D"/>
    <w:rsid w:val="00BF3F8B"/>
    <w:rsid w:val="00BF76DA"/>
    <w:rsid w:val="00C07C7B"/>
    <w:rsid w:val="00C24479"/>
    <w:rsid w:val="00C37B53"/>
    <w:rsid w:val="00C517D2"/>
    <w:rsid w:val="00C62B36"/>
    <w:rsid w:val="00C638D6"/>
    <w:rsid w:val="00C7012C"/>
    <w:rsid w:val="00C96915"/>
    <w:rsid w:val="00CA38BC"/>
    <w:rsid w:val="00CB1C5E"/>
    <w:rsid w:val="00CC416B"/>
    <w:rsid w:val="00CC668D"/>
    <w:rsid w:val="00CC7832"/>
    <w:rsid w:val="00CF0C1C"/>
    <w:rsid w:val="00CF1FFA"/>
    <w:rsid w:val="00D1611D"/>
    <w:rsid w:val="00D2102A"/>
    <w:rsid w:val="00D23808"/>
    <w:rsid w:val="00D2781D"/>
    <w:rsid w:val="00D3016A"/>
    <w:rsid w:val="00D317D4"/>
    <w:rsid w:val="00D31A86"/>
    <w:rsid w:val="00D42960"/>
    <w:rsid w:val="00D43BD7"/>
    <w:rsid w:val="00D4485B"/>
    <w:rsid w:val="00D4708D"/>
    <w:rsid w:val="00D4744C"/>
    <w:rsid w:val="00D51E3A"/>
    <w:rsid w:val="00D63068"/>
    <w:rsid w:val="00D6498C"/>
    <w:rsid w:val="00D8521E"/>
    <w:rsid w:val="00D9291C"/>
    <w:rsid w:val="00D93A97"/>
    <w:rsid w:val="00DB0A92"/>
    <w:rsid w:val="00DB1F64"/>
    <w:rsid w:val="00DC2F53"/>
    <w:rsid w:val="00DC6816"/>
    <w:rsid w:val="00DC76C2"/>
    <w:rsid w:val="00DD1CF2"/>
    <w:rsid w:val="00DF41B7"/>
    <w:rsid w:val="00DF4A4A"/>
    <w:rsid w:val="00DF583C"/>
    <w:rsid w:val="00E03C3F"/>
    <w:rsid w:val="00E24D45"/>
    <w:rsid w:val="00E33DB8"/>
    <w:rsid w:val="00E34387"/>
    <w:rsid w:val="00E369FE"/>
    <w:rsid w:val="00E37C6F"/>
    <w:rsid w:val="00E475F8"/>
    <w:rsid w:val="00E5102E"/>
    <w:rsid w:val="00E5721C"/>
    <w:rsid w:val="00E619C6"/>
    <w:rsid w:val="00E745A1"/>
    <w:rsid w:val="00E81529"/>
    <w:rsid w:val="00E83A13"/>
    <w:rsid w:val="00E84FAD"/>
    <w:rsid w:val="00EC2356"/>
    <w:rsid w:val="00EC2582"/>
    <w:rsid w:val="00EC337C"/>
    <w:rsid w:val="00ED0CFF"/>
    <w:rsid w:val="00ED31D2"/>
    <w:rsid w:val="00EE0ACF"/>
    <w:rsid w:val="00EE0EAC"/>
    <w:rsid w:val="00EE33CB"/>
    <w:rsid w:val="00F0061A"/>
    <w:rsid w:val="00F02834"/>
    <w:rsid w:val="00F07CD7"/>
    <w:rsid w:val="00F127E9"/>
    <w:rsid w:val="00F174C8"/>
    <w:rsid w:val="00F3220E"/>
    <w:rsid w:val="00F36972"/>
    <w:rsid w:val="00F42426"/>
    <w:rsid w:val="00F456BC"/>
    <w:rsid w:val="00F50666"/>
    <w:rsid w:val="00F60C95"/>
    <w:rsid w:val="00F70C9E"/>
    <w:rsid w:val="00F74A74"/>
    <w:rsid w:val="00F8382C"/>
    <w:rsid w:val="00F855D7"/>
    <w:rsid w:val="00F92035"/>
    <w:rsid w:val="00F92748"/>
    <w:rsid w:val="00F953C7"/>
    <w:rsid w:val="00FA4169"/>
    <w:rsid w:val="00FB0D41"/>
    <w:rsid w:val="00FB2030"/>
    <w:rsid w:val="00FD07FC"/>
    <w:rsid w:val="00FD1CF2"/>
    <w:rsid w:val="00FD3EDF"/>
    <w:rsid w:val="00FD793C"/>
    <w:rsid w:val="00FE20E6"/>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Use Case List Paragraph,List Paragraph1,Body Bullet,Table Number Paragraph,Ref,B1,bu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locked/>
    <w:rsid w:val="0055060B"/>
    <w:rPr>
      <w:sz w:val="24"/>
      <w:szCs w:val="24"/>
      <w:lang w:eastAsia="en-US"/>
    </w:rPr>
  </w:style>
  <w:style w:type="paragraph" w:styleId="Dokumentoinaostekstas">
    <w:name w:val="endnote text"/>
    <w:basedOn w:val="prastasis"/>
    <w:link w:val="DokumentoinaostekstasDiagrama"/>
    <w:semiHidden/>
    <w:unhideWhenUsed/>
    <w:rsid w:val="0055060B"/>
    <w:rPr>
      <w:sz w:val="20"/>
      <w:szCs w:val="20"/>
    </w:rPr>
  </w:style>
  <w:style w:type="character" w:customStyle="1" w:styleId="DokumentoinaostekstasDiagrama">
    <w:name w:val="Dokumento išnašos tekstas Diagrama"/>
    <w:basedOn w:val="Numatytasispastraiposriftas"/>
    <w:link w:val="Dokumentoinaostekstas"/>
    <w:semiHidden/>
    <w:rsid w:val="0055060B"/>
    <w:rPr>
      <w:lang w:eastAsia="en-US"/>
    </w:rPr>
  </w:style>
  <w:style w:type="character" w:styleId="Dokumentoinaosnumeris">
    <w:name w:val="endnote reference"/>
    <w:basedOn w:val="Numatytasispastraiposriftas"/>
    <w:semiHidden/>
    <w:unhideWhenUsed/>
    <w:rsid w:val="0055060B"/>
    <w:rPr>
      <w:vertAlign w:val="superscript"/>
    </w:rPr>
  </w:style>
  <w:style w:type="paragraph" w:styleId="HTMLiankstoformatuotas">
    <w:name w:val="HTML Preformatted"/>
    <w:basedOn w:val="prastasis"/>
    <w:link w:val="HTMLiankstoformatuotasDiagrama"/>
    <w:uiPriority w:val="99"/>
    <w:unhideWhenUsed/>
    <w:rsid w:val="00865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rsid w:val="008651E2"/>
    <w:rPr>
      <w:rFonts w:ascii="Courier New" w:hAnsi="Courier New" w:cs="Courier New"/>
      <w:lang w:eastAsia="en-GB"/>
    </w:rPr>
  </w:style>
  <w:style w:type="character" w:customStyle="1" w:styleId="y2iqfc">
    <w:name w:val="y2iqfc"/>
    <w:basedOn w:val="Numatytasispastraiposriftas"/>
    <w:rsid w:val="008651E2"/>
  </w:style>
  <w:style w:type="paragraph" w:styleId="prastasiniatinklio">
    <w:name w:val="Normal (Web)"/>
    <w:basedOn w:val="prastasis"/>
    <w:uiPriority w:val="99"/>
    <w:unhideWhenUsed/>
    <w:rsid w:val="003C12B3"/>
    <w:pPr>
      <w:spacing w:before="100" w:beforeAutospacing="1" w:after="100" w:afterAutospacing="1"/>
    </w:pPr>
    <w:rPr>
      <w:lang w:val="en-US"/>
    </w:rPr>
  </w:style>
  <w:style w:type="paragraph" w:customStyle="1" w:styleId="Tekstas">
    <w:name w:val="Tekstas"/>
    <w:basedOn w:val="prastasis"/>
    <w:link w:val="TekstasChar"/>
    <w:qFormat/>
    <w:rsid w:val="00D317D4"/>
    <w:pPr>
      <w:spacing w:after="120"/>
      <w:jc w:val="both"/>
    </w:pPr>
  </w:style>
  <w:style w:type="character" w:customStyle="1" w:styleId="TekstasChar">
    <w:name w:val="Tekstas Char"/>
    <w:link w:val="Tekstas"/>
    <w:rsid w:val="00D317D4"/>
    <w:rPr>
      <w:sz w:val="24"/>
      <w:szCs w:val="24"/>
      <w:lang w:eastAsia="en-US"/>
    </w:rPr>
  </w:style>
  <w:style w:type="paragraph" w:styleId="Pataisymai">
    <w:name w:val="Revision"/>
    <w:hidden/>
    <w:uiPriority w:val="99"/>
    <w:semiHidden/>
    <w:rsid w:val="00CC41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03905">
      <w:bodyDiv w:val="1"/>
      <w:marLeft w:val="0"/>
      <w:marRight w:val="0"/>
      <w:marTop w:val="0"/>
      <w:marBottom w:val="0"/>
      <w:divBdr>
        <w:top w:val="none" w:sz="0" w:space="0" w:color="auto"/>
        <w:left w:val="none" w:sz="0" w:space="0" w:color="auto"/>
        <w:bottom w:val="none" w:sz="0" w:space="0" w:color="auto"/>
        <w:right w:val="none" w:sz="0" w:space="0" w:color="auto"/>
      </w:divBdr>
    </w:div>
    <w:div w:id="136710298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759AA55088449382AA21598E5156BE"/>
        <w:category>
          <w:name w:val="General"/>
          <w:gallery w:val="placeholder"/>
        </w:category>
        <w:types>
          <w:type w:val="bbPlcHdr"/>
        </w:types>
        <w:behaviors>
          <w:behavior w:val="content"/>
        </w:behaviors>
        <w:guid w:val="{8A794AE6-38DE-4645-B5B4-6004966F92A3}"/>
      </w:docPartPr>
      <w:docPartBody>
        <w:p w:rsidR="0043679B" w:rsidRDefault="00BE633F" w:rsidP="00BE633F">
          <w:pPr>
            <w:pStyle w:val="B6759AA55088449382AA21598E5156BE"/>
          </w:pPr>
          <w:r>
            <w:rPr>
              <w:rStyle w:val="Vietosrezervavimoenklotekstas"/>
            </w:rPr>
            <w:t>Click here to enter a date.</w:t>
          </w:r>
        </w:p>
      </w:docPartBody>
    </w:docPart>
    <w:docPart>
      <w:docPartPr>
        <w:name w:val="0ADD05976550484B9EADF18316D1A1B1"/>
        <w:category>
          <w:name w:val="General"/>
          <w:gallery w:val="placeholder"/>
        </w:category>
        <w:types>
          <w:type w:val="bbPlcHdr"/>
        </w:types>
        <w:behaviors>
          <w:behavior w:val="content"/>
        </w:behaviors>
        <w:guid w:val="{6AA61BC9-D433-4AA3-8E06-C8C76F8D475B}"/>
      </w:docPartPr>
      <w:docPartBody>
        <w:p w:rsidR="0043679B" w:rsidRDefault="00BE633F" w:rsidP="00BE633F">
          <w:pPr>
            <w:pStyle w:val="0ADD05976550484B9EADF18316D1A1B1"/>
          </w:pPr>
          <w:r>
            <w:rPr>
              <w:rStyle w:val="Vietosrezervavimoenklotekstas"/>
            </w:rPr>
            <w:t>Click here to enter a date.</w:t>
          </w:r>
        </w:p>
      </w:docPartBody>
    </w:docPart>
    <w:docPart>
      <w:docPartPr>
        <w:name w:val="7496B9F487904F8DAA04BAAF7EBBCF24"/>
        <w:category>
          <w:name w:val="General"/>
          <w:gallery w:val="placeholder"/>
        </w:category>
        <w:types>
          <w:type w:val="bbPlcHdr"/>
        </w:types>
        <w:behaviors>
          <w:behavior w:val="content"/>
        </w:behaviors>
        <w:guid w:val="{C09C0C8B-8A08-463D-A89B-BC9F3C5502C1}"/>
      </w:docPartPr>
      <w:docPartBody>
        <w:p w:rsidR="0043679B" w:rsidRDefault="00BE633F" w:rsidP="00BE633F">
          <w:pPr>
            <w:pStyle w:val="7496B9F487904F8DAA04BAAF7EBBCF24"/>
          </w:pPr>
          <w:r>
            <w:rPr>
              <w:rStyle w:val="Vietosrezervavimoenklotekstas"/>
            </w:rPr>
            <w:t>Click here to enter a date.</w:t>
          </w:r>
        </w:p>
      </w:docPartBody>
    </w:docPart>
    <w:docPart>
      <w:docPartPr>
        <w:name w:val="F27804D4988F4DB58CFD8ED62F6C440A"/>
        <w:category>
          <w:name w:val="General"/>
          <w:gallery w:val="placeholder"/>
        </w:category>
        <w:types>
          <w:type w:val="bbPlcHdr"/>
        </w:types>
        <w:behaviors>
          <w:behavior w:val="content"/>
        </w:behaviors>
        <w:guid w:val="{5A2266BB-21AC-49CA-9BCA-B1971BC1C0DB}"/>
      </w:docPartPr>
      <w:docPartBody>
        <w:p w:rsidR="0043679B" w:rsidRDefault="00BE633F" w:rsidP="00BE633F">
          <w:pPr>
            <w:pStyle w:val="F27804D4988F4DB58CFD8ED62F6C440A"/>
          </w:pPr>
          <w:r>
            <w:rPr>
              <w:rStyle w:val="Vietosrezervavimoenklotekstas"/>
            </w:rPr>
            <w:t>Click here to enter a date.</w:t>
          </w:r>
        </w:p>
      </w:docPartBody>
    </w:docPart>
    <w:docPart>
      <w:docPartPr>
        <w:name w:val="6BBC30C33F3242C0BC54F77B48E91553"/>
        <w:category>
          <w:name w:val="General"/>
          <w:gallery w:val="placeholder"/>
        </w:category>
        <w:types>
          <w:type w:val="bbPlcHdr"/>
        </w:types>
        <w:behaviors>
          <w:behavior w:val="content"/>
        </w:behaviors>
        <w:guid w:val="{2BF5A74B-37DA-427F-B19F-0483E0824824}"/>
      </w:docPartPr>
      <w:docPartBody>
        <w:p w:rsidR="0043679B" w:rsidRDefault="00BE633F" w:rsidP="00BE633F">
          <w:pPr>
            <w:pStyle w:val="6BBC30C33F3242C0BC54F77B48E91553"/>
          </w:pPr>
          <w:r>
            <w:rPr>
              <w:rStyle w:val="Vietosrezervavimoenklotekstas"/>
            </w:rPr>
            <w:t>Click here to enter a date.</w:t>
          </w:r>
        </w:p>
      </w:docPartBody>
    </w:docPart>
    <w:docPart>
      <w:docPartPr>
        <w:name w:val="67FBF5E54DA0402B934DBAE7CA6BC89F"/>
        <w:category>
          <w:name w:val="General"/>
          <w:gallery w:val="placeholder"/>
        </w:category>
        <w:types>
          <w:type w:val="bbPlcHdr"/>
        </w:types>
        <w:behaviors>
          <w:behavior w:val="content"/>
        </w:behaviors>
        <w:guid w:val="{15EFC10F-0E73-4E87-AB51-461437A826FD}"/>
      </w:docPartPr>
      <w:docPartBody>
        <w:p w:rsidR="00B90F0E" w:rsidRDefault="00FC1CD5" w:rsidP="00FC1CD5">
          <w:pPr>
            <w:pStyle w:val="67FBF5E54DA0402B934DBAE7CA6BC89F"/>
          </w:pPr>
          <w:r>
            <w:rPr>
              <w:rStyle w:val="Vietosrezervavimoenklotekstas"/>
            </w:rPr>
            <w:t>Click here to enter a date.</w:t>
          </w:r>
        </w:p>
      </w:docPartBody>
    </w:docPart>
    <w:docPart>
      <w:docPartPr>
        <w:name w:val="EC21AD0B45574B2094BA6649C47E6527"/>
        <w:category>
          <w:name w:val="General"/>
          <w:gallery w:val="placeholder"/>
        </w:category>
        <w:types>
          <w:type w:val="bbPlcHdr"/>
        </w:types>
        <w:behaviors>
          <w:behavior w:val="content"/>
        </w:behaviors>
        <w:guid w:val="{13BEC584-D772-4ACF-B8C1-7138C01CFF2C}"/>
      </w:docPartPr>
      <w:docPartBody>
        <w:p w:rsidR="00B90F0E" w:rsidRDefault="00FC1CD5" w:rsidP="00FC1CD5">
          <w:pPr>
            <w:pStyle w:val="EC21AD0B45574B2094BA6649C47E6527"/>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DD"/>
    <w:rsid w:val="000937FE"/>
    <w:rsid w:val="000A559A"/>
    <w:rsid w:val="00106A56"/>
    <w:rsid w:val="001227E4"/>
    <w:rsid w:val="00220729"/>
    <w:rsid w:val="002F3422"/>
    <w:rsid w:val="003A2F2A"/>
    <w:rsid w:val="003C1AE1"/>
    <w:rsid w:val="004144A3"/>
    <w:rsid w:val="004160E7"/>
    <w:rsid w:val="0043679B"/>
    <w:rsid w:val="005074B9"/>
    <w:rsid w:val="00575662"/>
    <w:rsid w:val="005E40DD"/>
    <w:rsid w:val="00667936"/>
    <w:rsid w:val="007C6D1D"/>
    <w:rsid w:val="007D17CA"/>
    <w:rsid w:val="00843AE5"/>
    <w:rsid w:val="008C49D4"/>
    <w:rsid w:val="00936288"/>
    <w:rsid w:val="0096442F"/>
    <w:rsid w:val="009B3BF0"/>
    <w:rsid w:val="009D5E5E"/>
    <w:rsid w:val="00A04012"/>
    <w:rsid w:val="00B23DC0"/>
    <w:rsid w:val="00B90F0E"/>
    <w:rsid w:val="00BE633F"/>
    <w:rsid w:val="00CB4BD1"/>
    <w:rsid w:val="00CC33BC"/>
    <w:rsid w:val="00CE2DA9"/>
    <w:rsid w:val="00CE44BE"/>
    <w:rsid w:val="00CE49F2"/>
    <w:rsid w:val="00E44A86"/>
    <w:rsid w:val="00EC1F4B"/>
    <w:rsid w:val="00EF6E0C"/>
    <w:rsid w:val="00F64D17"/>
    <w:rsid w:val="00FC1CD5"/>
    <w:rsid w:val="00FE0D46"/>
    <w:rsid w:val="00FE2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C1CD5"/>
    <w:rPr>
      <w:color w:val="808080"/>
    </w:rPr>
  </w:style>
  <w:style w:type="paragraph" w:customStyle="1" w:styleId="B6759AA55088449382AA21598E5156BE">
    <w:name w:val="B6759AA55088449382AA21598E5156BE"/>
    <w:rsid w:val="00BE633F"/>
  </w:style>
  <w:style w:type="paragraph" w:customStyle="1" w:styleId="0ADD05976550484B9EADF18316D1A1B1">
    <w:name w:val="0ADD05976550484B9EADF18316D1A1B1"/>
    <w:rsid w:val="00BE633F"/>
  </w:style>
  <w:style w:type="paragraph" w:customStyle="1" w:styleId="7496B9F487904F8DAA04BAAF7EBBCF24">
    <w:name w:val="7496B9F487904F8DAA04BAAF7EBBCF24"/>
    <w:rsid w:val="00BE633F"/>
  </w:style>
  <w:style w:type="paragraph" w:customStyle="1" w:styleId="F27804D4988F4DB58CFD8ED62F6C440A">
    <w:name w:val="F27804D4988F4DB58CFD8ED62F6C440A"/>
    <w:rsid w:val="00BE633F"/>
  </w:style>
  <w:style w:type="paragraph" w:customStyle="1" w:styleId="6BBC30C33F3242C0BC54F77B48E91553">
    <w:name w:val="6BBC30C33F3242C0BC54F77B48E91553"/>
    <w:rsid w:val="00BE633F"/>
  </w:style>
  <w:style w:type="paragraph" w:customStyle="1" w:styleId="67FBF5E54DA0402B934DBAE7CA6BC89F">
    <w:name w:val="67FBF5E54DA0402B934DBAE7CA6BC89F"/>
    <w:rsid w:val="00FC1CD5"/>
  </w:style>
  <w:style w:type="paragraph" w:customStyle="1" w:styleId="EC21AD0B45574B2094BA6649C47E6527">
    <w:name w:val="EC21AD0B45574B2094BA6649C47E6527"/>
    <w:rsid w:val="00FC1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9825</Words>
  <Characters>5601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2023-08-11T07:45:00Z</dcterms:created>
  <dcterms:modified xsi:type="dcterms:W3CDTF">2023-08-11T11:48:00Z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2023-08-11T07:45:26Z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5a61a1b9-7013-49a7-9bfd-9ed6a5d0ca07</vt:lpwstr>
  </property>
  <property fmtid="{D5CDD505-2E9C-101B-9397-08002B2CF9AE}" pid="8" name="MSIP_Label_68f72598-90ab-4748-9618-88402b5e95d2_ContentBits">
    <vt:lpwstr>0</vt:lpwstr>
  </property>
</Properties>
</file>