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79588DEC" w14:textId="77777777" w:rsidR="00BB72F9" w:rsidRPr="00467ED9" w:rsidRDefault="00BB72F9" w:rsidP="00BB72F9">
      <w:pPr>
        <w:spacing w:line="280" w:lineRule="atLeast"/>
        <w:jc w:val="center"/>
        <w:rPr>
          <w:rFonts w:eastAsia="Arial"/>
          <w:color w:val="000000"/>
          <w:highlight w:val="yellow"/>
        </w:rPr>
      </w:pPr>
    </w:p>
    <w:p w14:paraId="55499703" w14:textId="77777777" w:rsidR="00BB72F9" w:rsidRPr="00467ED9" w:rsidRDefault="00BB72F9" w:rsidP="00BB72F9">
      <w:pPr>
        <w:pStyle w:val="Default"/>
        <w:jc w:val="center"/>
        <w:outlineLvl w:val="0"/>
        <w:rPr>
          <w:rFonts w:ascii="Times New Roman" w:hAnsi="Times New Roman" w:cs="Times New Roman"/>
          <w:b/>
          <w:szCs w:val="20"/>
        </w:rPr>
      </w:pPr>
      <w:r w:rsidRPr="00467ED9">
        <w:rPr>
          <w:rFonts w:ascii="Times New Roman" w:hAnsi="Times New Roman" w:cs="Times New Roman"/>
          <w:b/>
          <w:szCs w:val="20"/>
        </w:rPr>
        <w:t xml:space="preserve">Forxiga </w:t>
      </w:r>
      <w:r w:rsidRPr="00467ED9">
        <w:rPr>
          <w:rFonts w:ascii="Times New Roman" w:hAnsi="Times New Roman" w:cs="Times New Roman"/>
          <w:b/>
        </w:rPr>
        <w:t>10 mg plėvele dengtos tabletės</w:t>
      </w:r>
    </w:p>
    <w:p w14:paraId="033326BC" w14:textId="77777777" w:rsidR="00BB72F9" w:rsidRPr="00467ED9" w:rsidRDefault="00BB72F9" w:rsidP="00BB72F9">
      <w:pPr>
        <w:jc w:val="center"/>
        <w:rPr>
          <w:highlight w:val="yellow"/>
        </w:rPr>
      </w:pPr>
    </w:p>
    <w:p w14:paraId="5C61A933" w14:textId="77777777" w:rsidR="00BB72F9" w:rsidRDefault="00BB72F9" w:rsidP="00BB72F9">
      <w:pPr>
        <w:jc w:val="center"/>
        <w:rPr>
          <w:b/>
          <w:color w:val="000000"/>
        </w:rPr>
      </w:pPr>
      <w:r w:rsidRPr="00467ED9">
        <w:rPr>
          <w:b/>
          <w:color w:val="000000"/>
        </w:rPr>
        <w:t>Dapagliflozinas</w:t>
      </w:r>
    </w:p>
    <w:p w14:paraId="29A4FE7F" w14:textId="77777777" w:rsidR="00BB72F9" w:rsidRPr="00467ED9" w:rsidRDefault="00BB72F9" w:rsidP="00BB72F9">
      <w:pPr>
        <w:jc w:val="center"/>
        <w:rPr>
          <w:highlight w:val="yellow"/>
        </w:rPr>
      </w:pPr>
    </w:p>
    <w:p w14:paraId="39C40702" w14:textId="77777777" w:rsidR="00BB72F9" w:rsidRPr="00467ED9" w:rsidRDefault="00BB72F9" w:rsidP="00BB72F9">
      <w:pPr>
        <w:jc w:val="center"/>
        <w:outlineLvl w:val="0"/>
        <w:rPr>
          <w:b/>
        </w:rPr>
      </w:pPr>
      <w:r w:rsidRPr="00467ED9">
        <w:rPr>
          <w:b/>
        </w:rPr>
        <w:t>STV-</w:t>
      </w:r>
      <w:r>
        <w:rPr>
          <w:b/>
        </w:rPr>
        <w:t>135</w:t>
      </w:r>
    </w:p>
    <w:p w14:paraId="304DAC66" w14:textId="77777777" w:rsidR="00BB72F9" w:rsidRPr="00467ED9" w:rsidRDefault="00BB72F9" w:rsidP="00BB72F9">
      <w:pPr>
        <w:spacing w:line="280" w:lineRule="atLeast"/>
        <w:rPr>
          <w:rFonts w:eastAsia="Arial"/>
          <w:highlight w:val="yellow"/>
        </w:rPr>
      </w:pPr>
    </w:p>
    <w:p w14:paraId="2EDB8246" w14:textId="77777777" w:rsidR="00BB72F9" w:rsidRPr="00467ED9" w:rsidRDefault="00BB72F9" w:rsidP="00BB72F9">
      <w:pPr>
        <w:tabs>
          <w:tab w:val="left" w:pos="284"/>
        </w:tabs>
        <w:spacing w:line="280" w:lineRule="atLeast"/>
        <w:jc w:val="center"/>
        <w:outlineLvl w:val="0"/>
        <w:rPr>
          <w:rFonts w:eastAsia="Arial"/>
          <w:b/>
        </w:rPr>
      </w:pPr>
      <w:r w:rsidRPr="00467ED9">
        <w:rPr>
          <w:rFonts w:eastAsia="Arial"/>
          <w:b/>
        </w:rPr>
        <w:t>I. BENDROJI DALIS</w:t>
      </w:r>
    </w:p>
    <w:p w14:paraId="36217A44" w14:textId="77777777" w:rsidR="00BB72F9" w:rsidRPr="00467ED9" w:rsidRDefault="00BB72F9" w:rsidP="00BB72F9">
      <w:pPr>
        <w:spacing w:line="280" w:lineRule="atLeast"/>
        <w:rPr>
          <w:rFonts w:eastAsia="Arial"/>
          <w:highlight w:val="yellow"/>
        </w:rPr>
      </w:pPr>
    </w:p>
    <w:tbl>
      <w:tblPr>
        <w:tblStyle w:val="TableGrid"/>
        <w:tblW w:w="9918" w:type="dxa"/>
        <w:tblLook w:val="04A0" w:firstRow="1" w:lastRow="0" w:firstColumn="1" w:lastColumn="0" w:noHBand="0" w:noVBand="1"/>
      </w:tblPr>
      <w:tblGrid>
        <w:gridCol w:w="705"/>
        <w:gridCol w:w="4117"/>
        <w:gridCol w:w="5096"/>
      </w:tblGrid>
      <w:tr w:rsidR="00BB72F9" w:rsidRPr="00467ED9" w14:paraId="236C64C0" w14:textId="77777777" w:rsidTr="00782016">
        <w:trPr>
          <w:trHeight w:val="342"/>
        </w:trPr>
        <w:tc>
          <w:tcPr>
            <w:tcW w:w="705" w:type="dxa"/>
          </w:tcPr>
          <w:p w14:paraId="3D5C5D71" w14:textId="77777777" w:rsidR="00BB72F9" w:rsidRPr="00E7241C" w:rsidRDefault="00BB72F9" w:rsidP="00782016">
            <w:pPr>
              <w:tabs>
                <w:tab w:val="left" w:pos="284"/>
              </w:tabs>
              <w:spacing w:line="280" w:lineRule="atLeast"/>
              <w:rPr>
                <w:rFonts w:eastAsia="Arial"/>
                <w:b/>
              </w:rPr>
            </w:pPr>
            <w:bookmarkStart w:id="0" w:name="_Hlk146871901"/>
            <w:r w:rsidRPr="00E7241C">
              <w:rPr>
                <w:rFonts w:eastAsia="Arial"/>
                <w:b/>
              </w:rPr>
              <w:t>1.1</w:t>
            </w:r>
          </w:p>
        </w:tc>
        <w:tc>
          <w:tcPr>
            <w:tcW w:w="4117" w:type="dxa"/>
          </w:tcPr>
          <w:p w14:paraId="1B79909E"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Pareiškėjas</w:t>
            </w:r>
          </w:p>
        </w:tc>
        <w:tc>
          <w:tcPr>
            <w:tcW w:w="5096" w:type="dxa"/>
          </w:tcPr>
          <w:p w14:paraId="21ADCBB3" w14:textId="77777777" w:rsidR="00BB72F9" w:rsidRPr="00E7241C" w:rsidRDefault="00BB72F9" w:rsidP="00782016">
            <w:pPr>
              <w:pStyle w:val="Default"/>
              <w:jc w:val="both"/>
              <w:rPr>
                <w:rFonts w:ascii="Times New Roman" w:hAnsi="Times New Roman" w:cs="Times New Roman"/>
              </w:rPr>
            </w:pPr>
            <w:r w:rsidRPr="00E7241C">
              <w:rPr>
                <w:rFonts w:ascii="Times New Roman" w:hAnsi="Times New Roman" w:cs="Times New Roman"/>
              </w:rPr>
              <w:t>AstraZeneca AB</w:t>
            </w:r>
          </w:p>
        </w:tc>
      </w:tr>
      <w:tr w:rsidR="00BB72F9" w:rsidRPr="00467ED9" w14:paraId="704EC4E2" w14:textId="77777777" w:rsidTr="00782016">
        <w:trPr>
          <w:trHeight w:val="90"/>
        </w:trPr>
        <w:tc>
          <w:tcPr>
            <w:tcW w:w="705" w:type="dxa"/>
          </w:tcPr>
          <w:p w14:paraId="1061E19C" w14:textId="77777777" w:rsidR="00BB72F9" w:rsidRPr="00E7241C" w:rsidRDefault="00BB72F9" w:rsidP="00782016">
            <w:pPr>
              <w:tabs>
                <w:tab w:val="left" w:pos="284"/>
              </w:tabs>
              <w:spacing w:line="280" w:lineRule="atLeast"/>
              <w:rPr>
                <w:rFonts w:eastAsia="Arial"/>
                <w:b/>
              </w:rPr>
            </w:pPr>
            <w:r w:rsidRPr="00E7241C">
              <w:rPr>
                <w:rFonts w:eastAsia="Arial"/>
                <w:b/>
              </w:rPr>
              <w:t>1.2</w:t>
            </w:r>
          </w:p>
        </w:tc>
        <w:tc>
          <w:tcPr>
            <w:tcW w:w="4117" w:type="dxa"/>
          </w:tcPr>
          <w:p w14:paraId="1618D892"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Registracijos data (EVA)</w:t>
            </w:r>
          </w:p>
        </w:tc>
        <w:tc>
          <w:tcPr>
            <w:tcW w:w="5096" w:type="dxa"/>
          </w:tcPr>
          <w:p w14:paraId="523903AC" w14:textId="77777777" w:rsidR="00BB72F9" w:rsidRPr="00E7241C" w:rsidRDefault="002B44F5" w:rsidP="00782016">
            <w:pPr>
              <w:pStyle w:val="ListParagraph"/>
              <w:spacing w:after="120"/>
              <w:ind w:left="0"/>
              <w:contextualSpacing w:val="0"/>
              <w:jc w:val="both"/>
              <w:rPr>
                <w:rStyle w:val="Style2"/>
              </w:rPr>
            </w:pPr>
            <w:sdt>
              <w:sdtPr>
                <w:rPr>
                  <w:sz w:val="32"/>
                </w:rPr>
                <w:alias w:val="Nurodykite konkrečią dieną"/>
                <w:tag w:val="Nurodykite pradžios datą"/>
                <w:id w:val="423238108"/>
                <w:placeholder>
                  <w:docPart w:val="9DFBB7EFEA6241ABBC1E9096234C94D7"/>
                </w:placeholder>
                <w:date>
                  <w:dateFormat w:val="yyyy 'm.' MMMM d 'd.'"/>
                  <w:lid w:val="lt-LT"/>
                  <w:storeMappedDataAs w:val="dateTime"/>
                  <w:calendar w:val="gregorian"/>
                </w:date>
              </w:sdtPr>
              <w:sdtEndPr/>
              <w:sdtContent>
                <w:r w:rsidR="00BB72F9" w:rsidRPr="00E7241C">
                  <w:t>2012 m. lapkričio 11 d.</w:t>
                </w:r>
              </w:sdtContent>
            </w:sdt>
          </w:p>
        </w:tc>
      </w:tr>
      <w:tr w:rsidR="00BB72F9" w:rsidRPr="00467ED9" w14:paraId="58148565" w14:textId="77777777" w:rsidTr="00782016">
        <w:trPr>
          <w:trHeight w:val="1328"/>
        </w:trPr>
        <w:tc>
          <w:tcPr>
            <w:tcW w:w="705" w:type="dxa"/>
          </w:tcPr>
          <w:p w14:paraId="18E4056B" w14:textId="77777777" w:rsidR="00BB72F9" w:rsidRPr="00E7241C" w:rsidRDefault="00BB72F9" w:rsidP="00782016">
            <w:pPr>
              <w:tabs>
                <w:tab w:val="left" w:pos="284"/>
              </w:tabs>
              <w:spacing w:line="280" w:lineRule="atLeast"/>
              <w:rPr>
                <w:rFonts w:eastAsia="Arial"/>
                <w:b/>
              </w:rPr>
            </w:pPr>
            <w:r w:rsidRPr="00E7241C">
              <w:rPr>
                <w:rFonts w:eastAsia="Arial"/>
                <w:b/>
              </w:rPr>
              <w:t>1.3</w:t>
            </w:r>
          </w:p>
        </w:tc>
        <w:tc>
          <w:tcPr>
            <w:tcW w:w="4117" w:type="dxa"/>
            <w:shd w:val="clear" w:color="auto" w:fill="auto"/>
          </w:tcPr>
          <w:p w14:paraId="7EB0A253" w14:textId="77777777" w:rsidR="00BB72F9" w:rsidRPr="00E7241C" w:rsidRDefault="00BB72F9" w:rsidP="00782016">
            <w:pPr>
              <w:pStyle w:val="NoSpacing"/>
              <w:rPr>
                <w:rFonts w:ascii="Times New Roman" w:hAnsi="Times New Roman"/>
                <w:b/>
                <w:sz w:val="24"/>
                <w:szCs w:val="24"/>
              </w:rPr>
            </w:pPr>
            <w:r w:rsidRPr="00E7241C">
              <w:rPr>
                <w:rFonts w:ascii="Times New Roman" w:hAnsi="Times New Roman"/>
                <w:b/>
                <w:sz w:val="24"/>
                <w:szCs w:val="24"/>
              </w:rPr>
              <w:t xml:space="preserve">Paraiškos tipas </w:t>
            </w:r>
          </w:p>
          <w:p w14:paraId="59503CCB" w14:textId="77777777" w:rsidR="00BB72F9" w:rsidRPr="00E7241C" w:rsidRDefault="00BB72F9" w:rsidP="00782016">
            <w:pPr>
              <w:rPr>
                <w:b/>
              </w:rPr>
            </w:pPr>
            <w:r w:rsidRPr="00E7241C">
              <w:rPr>
                <w:b/>
              </w:rPr>
              <w:t>(pagal</w:t>
            </w:r>
            <w:r w:rsidRPr="00E7241C">
              <w:rPr>
                <w:b/>
                <w:shd w:val="clear" w:color="auto" w:fill="FFFFFF"/>
              </w:rPr>
              <w:t>vaistinio preparato registracijos tipą, įtvirtintą</w:t>
            </w:r>
            <w:r w:rsidRPr="00E7241C">
              <w:rPr>
                <w:b/>
              </w:rPr>
              <w:t xml:space="preserve"> Direktyvos 2001/83/EB straipsniuose)</w:t>
            </w:r>
          </w:p>
          <w:p w14:paraId="76390E49" w14:textId="77777777" w:rsidR="00BB72F9" w:rsidRPr="00E7241C" w:rsidRDefault="00BB72F9" w:rsidP="00782016">
            <w:pPr>
              <w:tabs>
                <w:tab w:val="left" w:pos="284"/>
              </w:tabs>
              <w:spacing w:line="280" w:lineRule="atLeast"/>
              <w:rPr>
                <w:b/>
                <w:bCs/>
                <w:color w:val="000000"/>
                <w:lang w:eastAsia="lt-LT"/>
              </w:rPr>
            </w:pPr>
          </w:p>
        </w:tc>
        <w:tc>
          <w:tcPr>
            <w:tcW w:w="5096" w:type="dxa"/>
            <w:shd w:val="clear" w:color="auto" w:fill="auto"/>
          </w:tcPr>
          <w:p w14:paraId="05E5FEDC" w14:textId="77777777" w:rsidR="00BB72F9" w:rsidRPr="00E7241C" w:rsidRDefault="00BB72F9" w:rsidP="00782016">
            <w:r w:rsidRPr="00E7241C">
              <w:rPr>
                <w:rStyle w:val="Style2"/>
                <w:rFonts w:ascii="MS Mincho" w:eastAsia="MS Mincho" w:hAnsi="MS Mincho" w:cs="MS Mincho"/>
              </w:rPr>
              <w:t>☒</w:t>
            </w:r>
            <w:r w:rsidRPr="00E7241C">
              <w:t xml:space="preserve"> 8.3 str. (pilna byla, pagrįsta savais tyrimais) </w:t>
            </w:r>
          </w:p>
          <w:p w14:paraId="636EE69B" w14:textId="77777777" w:rsidR="00BB72F9" w:rsidRPr="00E7241C" w:rsidRDefault="00BB72F9" w:rsidP="00782016">
            <w:r w:rsidRPr="00E7241C">
              <w:rPr>
                <w:rStyle w:val="Style2"/>
                <w:rFonts w:ascii="MS Mincho" w:eastAsia="MS Mincho" w:hAnsi="MS Mincho" w:cs="MS Mincho"/>
              </w:rPr>
              <w:t>☐</w:t>
            </w:r>
            <w:r w:rsidRPr="00E7241C">
              <w:t xml:space="preserve"> 10 a str. (pripažintas medicininis vartojimas) </w:t>
            </w:r>
          </w:p>
          <w:p w14:paraId="3091BA5A" w14:textId="77777777" w:rsidR="00BB72F9" w:rsidRPr="00E7241C" w:rsidRDefault="00BB72F9" w:rsidP="00782016">
            <w:r w:rsidRPr="00E7241C">
              <w:rPr>
                <w:rStyle w:val="Style2"/>
                <w:rFonts w:ascii="MS Mincho" w:eastAsia="MS Mincho" w:hAnsi="MS Mincho" w:cs="MS Mincho"/>
              </w:rPr>
              <w:t>☐</w:t>
            </w:r>
            <w:r w:rsidRPr="00E7241C">
              <w:t xml:space="preserve"> 10.1 str. (generinis)</w:t>
            </w:r>
          </w:p>
          <w:p w14:paraId="61A6D3B4" w14:textId="77777777" w:rsidR="00BB72F9" w:rsidRPr="00E7241C" w:rsidRDefault="00BB72F9" w:rsidP="00782016">
            <w:pPr>
              <w:rPr>
                <w:rStyle w:val="Style2"/>
              </w:rPr>
            </w:pPr>
            <w:r w:rsidRPr="00E7241C">
              <w:rPr>
                <w:rStyle w:val="Style2"/>
                <w:rFonts w:ascii="MS Mincho" w:eastAsia="MS Mincho" w:hAnsi="MS Mincho" w:cs="MS Mincho"/>
              </w:rPr>
              <w:t>☐</w:t>
            </w:r>
            <w:r w:rsidRPr="00E7241C">
              <w:t xml:space="preserve"> 10.3 str. (hibridinis)</w:t>
            </w:r>
          </w:p>
        </w:tc>
      </w:tr>
      <w:tr w:rsidR="00BB72F9" w:rsidRPr="00467ED9" w14:paraId="6BA22B67" w14:textId="77777777" w:rsidTr="00782016">
        <w:trPr>
          <w:trHeight w:val="90"/>
        </w:trPr>
        <w:tc>
          <w:tcPr>
            <w:tcW w:w="705" w:type="dxa"/>
          </w:tcPr>
          <w:p w14:paraId="264E47D6" w14:textId="77777777" w:rsidR="00BB72F9" w:rsidRPr="00E7241C" w:rsidRDefault="00BB72F9" w:rsidP="00782016">
            <w:pPr>
              <w:tabs>
                <w:tab w:val="left" w:pos="284"/>
              </w:tabs>
              <w:spacing w:line="280" w:lineRule="atLeast"/>
              <w:rPr>
                <w:rFonts w:eastAsia="Arial"/>
                <w:b/>
              </w:rPr>
            </w:pPr>
            <w:r w:rsidRPr="00E7241C">
              <w:rPr>
                <w:rFonts w:eastAsia="Arial"/>
                <w:b/>
              </w:rPr>
              <w:t>1.4</w:t>
            </w:r>
          </w:p>
        </w:tc>
        <w:tc>
          <w:tcPr>
            <w:tcW w:w="4117" w:type="dxa"/>
          </w:tcPr>
          <w:p w14:paraId="2426B5E9" w14:textId="77777777" w:rsidR="00BB72F9" w:rsidRPr="00E7241C" w:rsidRDefault="00BB72F9" w:rsidP="00782016">
            <w:pPr>
              <w:tabs>
                <w:tab w:val="left" w:pos="284"/>
              </w:tabs>
              <w:spacing w:line="280" w:lineRule="atLeast"/>
              <w:rPr>
                <w:b/>
                <w:bCs/>
                <w:lang w:eastAsia="lt-LT"/>
              </w:rPr>
            </w:pPr>
            <w:r w:rsidRPr="00E7241C">
              <w:rPr>
                <w:b/>
                <w:bCs/>
                <w:lang w:eastAsia="lt-LT"/>
              </w:rPr>
              <w:t>Ar vaistinis preparatas įrašytas į Bendrijos retųjų vaistinių preparatų registrą?</w:t>
            </w:r>
          </w:p>
          <w:p w14:paraId="7C1D64F6" w14:textId="77777777" w:rsidR="00BB72F9" w:rsidRPr="00E7241C" w:rsidRDefault="00BB72F9" w:rsidP="00782016">
            <w:pPr>
              <w:tabs>
                <w:tab w:val="left" w:pos="284"/>
              </w:tabs>
              <w:spacing w:line="280" w:lineRule="atLeast"/>
              <w:rPr>
                <w:bCs/>
                <w:i/>
                <w:lang w:eastAsia="lt-LT"/>
              </w:rPr>
            </w:pPr>
          </w:p>
          <w:p w14:paraId="0EB72FD9" w14:textId="77777777" w:rsidR="00BB72F9" w:rsidRPr="00E7241C" w:rsidRDefault="00BB72F9" w:rsidP="00782016">
            <w:pPr>
              <w:tabs>
                <w:tab w:val="left" w:pos="284"/>
              </w:tabs>
              <w:spacing w:line="280" w:lineRule="atLeast"/>
              <w:jc w:val="both"/>
              <w:rPr>
                <w:b/>
                <w:bCs/>
                <w:color w:val="000000"/>
                <w:lang w:eastAsia="lt-LT"/>
              </w:rPr>
            </w:pPr>
            <w:r w:rsidRPr="00E7241C">
              <w:rPr>
                <w:bCs/>
                <w:i/>
                <w:lang w:eastAsia="lt-LT"/>
              </w:rPr>
              <w:t>Jei taip, nurodykite įrašymo datą ir numerį</w:t>
            </w:r>
          </w:p>
        </w:tc>
        <w:tc>
          <w:tcPr>
            <w:tcW w:w="5096" w:type="dxa"/>
          </w:tcPr>
          <w:p w14:paraId="24B362B0" w14:textId="77777777" w:rsidR="00BB72F9" w:rsidRPr="00E7241C" w:rsidRDefault="00BB72F9" w:rsidP="00782016">
            <w:r w:rsidRPr="00E7241C">
              <w:rPr>
                <w:rStyle w:val="Style2"/>
                <w:rFonts w:ascii="MS Mincho" w:eastAsia="MS Mincho" w:hAnsi="MS Mincho" w:cs="MS Mincho"/>
              </w:rPr>
              <w:t>☐</w:t>
            </w:r>
            <w:r w:rsidRPr="00E7241C">
              <w:t xml:space="preserve"> Taip</w:t>
            </w:r>
          </w:p>
          <w:p w14:paraId="10DDBF06" w14:textId="77777777" w:rsidR="00BB72F9" w:rsidRPr="00E7241C" w:rsidRDefault="00BB72F9" w:rsidP="00782016">
            <w:r w:rsidRPr="00E7241C">
              <w:rPr>
                <w:rStyle w:val="Style2"/>
                <w:rFonts w:ascii="MS Mincho" w:eastAsia="MS Mincho" w:hAnsi="MS Mincho" w:cs="MS Mincho"/>
              </w:rPr>
              <w:t>☒</w:t>
            </w:r>
            <w:r w:rsidRPr="00E7241C">
              <w:t xml:space="preserve"> Ne</w:t>
            </w:r>
          </w:p>
          <w:p w14:paraId="25F60ECA" w14:textId="77777777" w:rsidR="00BB72F9" w:rsidRPr="00E7241C" w:rsidRDefault="002B44F5" w:rsidP="00782016">
            <w:pPr>
              <w:rPr>
                <w:rFonts w:eastAsia="Arial"/>
                <w:b/>
              </w:rPr>
            </w:pPr>
            <w:sdt>
              <w:sdtPr>
                <w:alias w:val="Nurodykite konkrečią dieną"/>
                <w:tag w:val="Nurodykite pradžios datą"/>
                <w:id w:val="693498901"/>
                <w:showingPlcHdr/>
                <w15:color w:val="FFCC99"/>
                <w:date w:fullDate="2022-05-18T00:00:00Z">
                  <w:dateFormat w:val="yyyy 'm.' MMMM d 'd.'"/>
                  <w:lid w:val="lt-LT"/>
                  <w:storeMappedDataAs w:val="dateTime"/>
                  <w:calendar w:val="gregorian"/>
                </w:date>
              </w:sdtPr>
              <w:sdtEndPr/>
              <w:sdtContent>
                <w:r w:rsidR="00BB72F9" w:rsidRPr="00E7241C">
                  <w:rPr>
                    <w:rStyle w:val="PlaceholderText"/>
                  </w:rPr>
                  <w:t>Click here to enter a date.</w:t>
                </w:r>
              </w:sdtContent>
            </w:sdt>
          </w:p>
        </w:tc>
      </w:tr>
      <w:tr w:rsidR="00BB72F9" w:rsidRPr="00467ED9" w14:paraId="7414E1BA" w14:textId="77777777" w:rsidTr="00782016">
        <w:trPr>
          <w:trHeight w:val="90"/>
        </w:trPr>
        <w:tc>
          <w:tcPr>
            <w:tcW w:w="705" w:type="dxa"/>
            <w:tcBorders>
              <w:bottom w:val="single" w:sz="4" w:space="0" w:color="auto"/>
            </w:tcBorders>
          </w:tcPr>
          <w:p w14:paraId="47680E52" w14:textId="77777777" w:rsidR="00BB72F9" w:rsidRPr="00E7241C" w:rsidRDefault="00BB72F9" w:rsidP="00782016">
            <w:pPr>
              <w:tabs>
                <w:tab w:val="left" w:pos="284"/>
              </w:tabs>
              <w:spacing w:line="280" w:lineRule="atLeast"/>
              <w:rPr>
                <w:rFonts w:eastAsia="Arial"/>
                <w:b/>
              </w:rPr>
            </w:pPr>
            <w:r w:rsidRPr="00E7241C">
              <w:rPr>
                <w:rFonts w:eastAsia="Arial"/>
                <w:b/>
              </w:rPr>
              <w:t>1.5</w:t>
            </w:r>
          </w:p>
        </w:tc>
        <w:tc>
          <w:tcPr>
            <w:tcW w:w="4117" w:type="dxa"/>
            <w:tcBorders>
              <w:bottom w:val="single" w:sz="4" w:space="0" w:color="auto"/>
            </w:tcBorders>
          </w:tcPr>
          <w:p w14:paraId="7DFA3C06"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Pareiškėjo teikiama (-os) kompensuoti preparato indikacija (-os)</w:t>
            </w:r>
          </w:p>
          <w:p w14:paraId="03DDA307" w14:textId="77777777" w:rsidR="00BB72F9" w:rsidRPr="00E7241C" w:rsidRDefault="00BB72F9" w:rsidP="00782016">
            <w:pPr>
              <w:tabs>
                <w:tab w:val="left" w:pos="284"/>
              </w:tabs>
              <w:spacing w:line="280" w:lineRule="atLeast"/>
              <w:rPr>
                <w:b/>
                <w:bCs/>
                <w:color w:val="000000"/>
                <w:lang w:eastAsia="lt-LT"/>
              </w:rPr>
            </w:pPr>
            <w:r w:rsidRPr="00E7241C">
              <w:rPr>
                <w:b/>
                <w:bCs/>
                <w:color w:val="000000"/>
                <w:lang w:eastAsia="lt-LT"/>
              </w:rPr>
              <w:t xml:space="preserve">Kodas pagal TLK-10 AM </w:t>
            </w:r>
          </w:p>
        </w:tc>
        <w:tc>
          <w:tcPr>
            <w:tcW w:w="5096" w:type="dxa"/>
            <w:tcBorders>
              <w:bottom w:val="single" w:sz="4" w:space="0" w:color="auto"/>
            </w:tcBorders>
          </w:tcPr>
          <w:p w14:paraId="68C3E5EF" w14:textId="77777777" w:rsidR="00BB72F9" w:rsidRDefault="00BB72F9" w:rsidP="00782016">
            <w:pPr>
              <w:pStyle w:val="Default"/>
              <w:jc w:val="both"/>
              <w:rPr>
                <w:rFonts w:ascii="Times New Roman" w:hAnsi="Times New Roman" w:cs="Times New Roman"/>
              </w:rPr>
            </w:pPr>
            <w:r w:rsidRPr="00F54753">
              <w:rPr>
                <w:rFonts w:ascii="Times New Roman" w:hAnsi="Times New Roman" w:cs="Times New Roman"/>
              </w:rPr>
              <w:t>Forxiga skiriama gydyti suaugusiesiems, sergantiems simptominiu lėtiniu širdies nepakankamumu su išsaugota išstūmimo frakcija (&gt;40%).</w:t>
            </w:r>
          </w:p>
          <w:p w14:paraId="3E58E9FA" w14:textId="77777777" w:rsidR="00BB72F9" w:rsidRPr="00E7241C" w:rsidRDefault="00BB72F9" w:rsidP="00782016">
            <w:pPr>
              <w:pStyle w:val="Default"/>
              <w:jc w:val="both"/>
              <w:rPr>
                <w:rFonts w:ascii="Times New Roman" w:hAnsi="Times New Roman" w:cs="Times New Roman"/>
              </w:rPr>
            </w:pPr>
            <w:r w:rsidRPr="00E7241C">
              <w:rPr>
                <w:rFonts w:ascii="Times New Roman" w:hAnsi="Times New Roman" w:cs="Times New Roman"/>
              </w:rPr>
              <w:t>TLK kodas – I50.</w:t>
            </w:r>
          </w:p>
        </w:tc>
      </w:tr>
      <w:tr w:rsidR="00BB72F9" w:rsidRPr="00E7241C" w14:paraId="52C814AB"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tcPr>
          <w:p w14:paraId="60248877" w14:textId="77777777" w:rsidR="00BB72F9" w:rsidRPr="00E7241C" w:rsidRDefault="00BB72F9" w:rsidP="00782016">
            <w:pPr>
              <w:tabs>
                <w:tab w:val="left" w:pos="284"/>
              </w:tabs>
              <w:spacing w:line="280" w:lineRule="atLeast"/>
              <w:rPr>
                <w:rFonts w:eastAsia="Arial"/>
                <w:b/>
              </w:rPr>
            </w:pPr>
            <w:r w:rsidRPr="00E7241C">
              <w:rPr>
                <w:rFonts w:eastAsia="Arial"/>
                <w:b/>
              </w:rPr>
              <w:t>1.6</w:t>
            </w:r>
          </w:p>
        </w:tc>
        <w:tc>
          <w:tcPr>
            <w:tcW w:w="4117" w:type="dxa"/>
            <w:tcBorders>
              <w:top w:val="single" w:sz="4" w:space="0" w:color="auto"/>
              <w:left w:val="single" w:sz="4" w:space="0" w:color="auto"/>
              <w:bottom w:val="single" w:sz="4" w:space="0" w:color="auto"/>
              <w:right w:val="single" w:sz="4" w:space="0" w:color="auto"/>
            </w:tcBorders>
          </w:tcPr>
          <w:p w14:paraId="74942CA5" w14:textId="77777777" w:rsidR="00BB72F9" w:rsidRPr="00E7241C" w:rsidRDefault="00BB72F9" w:rsidP="00782016">
            <w:pPr>
              <w:tabs>
                <w:tab w:val="left" w:pos="284"/>
              </w:tabs>
              <w:spacing w:line="280" w:lineRule="atLeast"/>
              <w:rPr>
                <w:bCs/>
                <w:color w:val="000000"/>
                <w:u w:val="single"/>
                <w:lang w:eastAsia="lt-LT"/>
              </w:rPr>
            </w:pPr>
            <w:r w:rsidRPr="00E7241C">
              <w:rPr>
                <w:b/>
                <w:bCs/>
                <w:color w:val="000000"/>
                <w:lang w:eastAsia="lt-LT"/>
              </w:rPr>
              <w:t xml:space="preserve">Pareiškėjo teikiamos skyrimo sąlygos </w:t>
            </w:r>
          </w:p>
        </w:tc>
        <w:tc>
          <w:tcPr>
            <w:tcW w:w="5096" w:type="dxa"/>
            <w:tcBorders>
              <w:top w:val="single" w:sz="4" w:space="0" w:color="auto"/>
              <w:left w:val="single" w:sz="4" w:space="0" w:color="auto"/>
              <w:bottom w:val="single" w:sz="4" w:space="0" w:color="auto"/>
              <w:right w:val="single" w:sz="4" w:space="0" w:color="auto"/>
            </w:tcBorders>
          </w:tcPr>
          <w:p w14:paraId="7381B9F6" w14:textId="77777777" w:rsidR="00BB72F9" w:rsidRPr="00E7241C" w:rsidRDefault="00BB72F9" w:rsidP="00782016">
            <w:pPr>
              <w:pStyle w:val="Default"/>
              <w:jc w:val="both"/>
              <w:rPr>
                <w:rFonts w:ascii="Times New Roman" w:hAnsi="Times New Roman" w:cs="Times New Roman"/>
              </w:rPr>
            </w:pPr>
            <w:r w:rsidRPr="00F54753">
              <w:rPr>
                <w:rFonts w:ascii="Times New Roman" w:hAnsi="Times New Roman" w:cs="Times New Roman"/>
              </w:rPr>
              <w:t>Širdies nepakankamumas su išsaugota išstūmimo frakcija (&gt;40%).</w:t>
            </w:r>
          </w:p>
        </w:tc>
      </w:tr>
      <w:tr w:rsidR="00BB72F9" w:rsidRPr="00E7241C" w14:paraId="114486EC"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tcPr>
          <w:p w14:paraId="60CDB92A" w14:textId="77777777" w:rsidR="00BB72F9" w:rsidRPr="00E7241C" w:rsidRDefault="00BB72F9" w:rsidP="00782016">
            <w:pPr>
              <w:tabs>
                <w:tab w:val="left" w:pos="284"/>
              </w:tabs>
              <w:spacing w:line="280" w:lineRule="atLeast"/>
              <w:rPr>
                <w:rFonts w:eastAsia="Arial"/>
                <w:b/>
              </w:rPr>
            </w:pPr>
            <w:r w:rsidRPr="00E7241C">
              <w:rPr>
                <w:rFonts w:eastAsia="Arial"/>
                <w:b/>
              </w:rPr>
              <w:t>1.7</w:t>
            </w:r>
          </w:p>
        </w:tc>
        <w:tc>
          <w:tcPr>
            <w:tcW w:w="4117" w:type="dxa"/>
            <w:tcBorders>
              <w:top w:val="single" w:sz="4" w:space="0" w:color="auto"/>
              <w:left w:val="single" w:sz="4" w:space="0" w:color="auto"/>
              <w:bottom w:val="single" w:sz="4" w:space="0" w:color="auto"/>
              <w:right w:val="single" w:sz="4" w:space="0" w:color="auto"/>
            </w:tcBorders>
          </w:tcPr>
          <w:p w14:paraId="4F456051" w14:textId="77777777" w:rsidR="00BB72F9" w:rsidRPr="00E7241C" w:rsidRDefault="00BB72F9" w:rsidP="00782016">
            <w:pPr>
              <w:tabs>
                <w:tab w:val="left" w:pos="284"/>
              </w:tabs>
              <w:spacing w:line="280" w:lineRule="atLeast"/>
              <w:rPr>
                <w:b/>
                <w:bCs/>
                <w:color w:val="000000"/>
                <w:lang w:eastAsia="lt-LT"/>
              </w:rPr>
            </w:pPr>
            <w:r w:rsidRPr="00E7241C">
              <w:rPr>
                <w:b/>
              </w:rPr>
              <w:t>STV paraiškos pobūdis</w:t>
            </w:r>
          </w:p>
        </w:tc>
        <w:tc>
          <w:tcPr>
            <w:tcW w:w="5096" w:type="dxa"/>
            <w:tcBorders>
              <w:top w:val="single" w:sz="4" w:space="0" w:color="auto"/>
              <w:left w:val="single" w:sz="4" w:space="0" w:color="auto"/>
              <w:bottom w:val="single" w:sz="4" w:space="0" w:color="auto"/>
              <w:right w:val="single" w:sz="4" w:space="0" w:color="auto"/>
            </w:tcBorders>
          </w:tcPr>
          <w:p w14:paraId="338CD805" w14:textId="77777777" w:rsidR="00BB72F9" w:rsidRPr="00E7241C" w:rsidRDefault="00BB72F9" w:rsidP="00782016">
            <w:r w:rsidRPr="00E7241C">
              <w:rPr>
                <w:rStyle w:val="Style2"/>
                <w:rFonts w:ascii="MS Mincho" w:eastAsia="MS Mincho" w:hAnsi="MS Mincho" w:cs="MS Mincho"/>
              </w:rPr>
              <w:t>☒</w:t>
            </w:r>
            <w:r w:rsidRPr="00E7241C">
              <w:t xml:space="preserve"> Pilna paraiška</w:t>
            </w:r>
          </w:p>
          <w:p w14:paraId="3D48146E" w14:textId="77777777" w:rsidR="00BB72F9" w:rsidRPr="00E7241C" w:rsidRDefault="00BB72F9" w:rsidP="00782016">
            <w:pPr>
              <w:rPr>
                <w:rStyle w:val="Style2"/>
              </w:rPr>
            </w:pPr>
            <w:r w:rsidRPr="00E7241C">
              <w:rPr>
                <w:rStyle w:val="Style2"/>
                <w:rFonts w:ascii="MS Mincho" w:eastAsia="MS Mincho" w:hAnsi="MS Mincho" w:cs="MS Mincho"/>
              </w:rPr>
              <w:t>☐</w:t>
            </w:r>
            <w:r w:rsidRPr="00E7241C">
              <w:t xml:space="preserve"> Supaprastinta paraiška</w:t>
            </w:r>
          </w:p>
        </w:tc>
      </w:tr>
      <w:tr w:rsidR="00BB72F9" w:rsidRPr="00E7241C" w14:paraId="0C7D075F"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shd w:val="clear" w:color="auto" w:fill="auto"/>
          </w:tcPr>
          <w:p w14:paraId="0CF8BFBD" w14:textId="77777777" w:rsidR="00BB72F9" w:rsidRPr="00E7241C" w:rsidRDefault="00BB72F9" w:rsidP="00782016">
            <w:pPr>
              <w:tabs>
                <w:tab w:val="left" w:pos="284"/>
              </w:tabs>
              <w:spacing w:line="280" w:lineRule="atLeast"/>
              <w:rPr>
                <w:rFonts w:eastAsia="Arial"/>
                <w:b/>
              </w:rPr>
            </w:pPr>
            <w:r w:rsidRPr="00E7241C">
              <w:rPr>
                <w:rFonts w:eastAsia="Arial"/>
                <w:b/>
              </w:rPr>
              <w:lastRenderedPageBreak/>
              <w:t>1.8</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3DE06B62" w14:textId="77777777" w:rsidR="00BB72F9" w:rsidRPr="00E7241C" w:rsidRDefault="00BB72F9" w:rsidP="00782016">
            <w:pPr>
              <w:tabs>
                <w:tab w:val="left" w:pos="284"/>
              </w:tabs>
              <w:spacing w:line="280" w:lineRule="atLeast"/>
              <w:rPr>
                <w:b/>
                <w:bCs/>
                <w:color w:val="000000"/>
                <w:lang w:eastAsia="lt-LT"/>
              </w:rPr>
            </w:pPr>
            <w:r w:rsidRPr="00E7241C">
              <w:rPr>
                <w:b/>
                <w:bCs/>
                <w:lang w:eastAsia="lt-LT"/>
              </w:rPr>
              <w:t xml:space="preserve">Klinikinių tyrimų tipas </w:t>
            </w:r>
          </w:p>
        </w:tc>
        <w:tc>
          <w:tcPr>
            <w:tcW w:w="5096" w:type="dxa"/>
            <w:tcBorders>
              <w:top w:val="single" w:sz="4" w:space="0" w:color="auto"/>
              <w:left w:val="single" w:sz="4" w:space="0" w:color="auto"/>
              <w:bottom w:val="single" w:sz="4" w:space="0" w:color="auto"/>
              <w:right w:val="single" w:sz="4" w:space="0" w:color="auto"/>
            </w:tcBorders>
            <w:shd w:val="clear" w:color="auto" w:fill="auto"/>
          </w:tcPr>
          <w:p w14:paraId="65847181" w14:textId="77777777" w:rsidR="00BB72F9" w:rsidRPr="00E7241C" w:rsidRDefault="00BB72F9" w:rsidP="00782016">
            <w:r w:rsidRPr="00E7241C">
              <w:rPr>
                <w:rStyle w:val="Style2"/>
                <w:rFonts w:ascii="MS Mincho" w:eastAsia="MS Mincho" w:hAnsi="MS Mincho" w:cs="MS Mincho"/>
              </w:rPr>
              <w:t>☒</w:t>
            </w:r>
            <w:r w:rsidRPr="00E7241C">
              <w:t xml:space="preserve"> Tiesioginis palyginimas</w:t>
            </w:r>
          </w:p>
          <w:p w14:paraId="25035913" w14:textId="77777777" w:rsidR="00BB72F9" w:rsidRPr="00E7241C" w:rsidRDefault="00BB72F9" w:rsidP="00782016">
            <w:r w:rsidRPr="00E7241C">
              <w:rPr>
                <w:rFonts w:ascii="MS Mincho" w:eastAsia="MS Mincho" w:hAnsi="MS Mincho" w:cs="MS Mincho"/>
              </w:rPr>
              <w:t>☐</w:t>
            </w:r>
            <w:r w:rsidRPr="00E7241C">
              <w:t xml:space="preserve"> Netiesioginis palyginimas</w:t>
            </w:r>
          </w:p>
        </w:tc>
      </w:tr>
      <w:tr w:rsidR="00BB72F9" w:rsidRPr="00467ED9" w14:paraId="00A728C6" w14:textId="77777777" w:rsidTr="00782016">
        <w:trPr>
          <w:trHeight w:val="479"/>
        </w:trPr>
        <w:tc>
          <w:tcPr>
            <w:tcW w:w="705" w:type="dxa"/>
            <w:tcBorders>
              <w:top w:val="single" w:sz="4" w:space="0" w:color="auto"/>
              <w:left w:val="single" w:sz="4" w:space="0" w:color="auto"/>
              <w:bottom w:val="single" w:sz="4" w:space="0" w:color="auto"/>
              <w:right w:val="single" w:sz="4" w:space="0" w:color="auto"/>
            </w:tcBorders>
            <w:shd w:val="clear" w:color="auto" w:fill="auto"/>
          </w:tcPr>
          <w:p w14:paraId="33907658" w14:textId="77777777" w:rsidR="00BB72F9" w:rsidRPr="00281B11" w:rsidRDefault="00BB72F9" w:rsidP="00782016">
            <w:pPr>
              <w:tabs>
                <w:tab w:val="left" w:pos="284"/>
              </w:tabs>
              <w:spacing w:line="280" w:lineRule="atLeast"/>
              <w:rPr>
                <w:rFonts w:eastAsia="Arial"/>
                <w:b/>
              </w:rPr>
            </w:pPr>
            <w:r w:rsidRPr="00281B11">
              <w:rPr>
                <w:rFonts w:eastAsia="Arial"/>
                <w:b/>
              </w:rPr>
              <w:t>1.9</w:t>
            </w:r>
          </w:p>
        </w:tc>
        <w:tc>
          <w:tcPr>
            <w:tcW w:w="4117" w:type="dxa"/>
            <w:tcBorders>
              <w:top w:val="single" w:sz="4" w:space="0" w:color="auto"/>
              <w:left w:val="single" w:sz="4" w:space="0" w:color="auto"/>
              <w:bottom w:val="single" w:sz="4" w:space="0" w:color="auto"/>
              <w:right w:val="single" w:sz="4" w:space="0" w:color="auto"/>
            </w:tcBorders>
            <w:shd w:val="clear" w:color="auto" w:fill="auto"/>
          </w:tcPr>
          <w:p w14:paraId="4818D59A" w14:textId="77777777" w:rsidR="00BB72F9" w:rsidRPr="00281B11" w:rsidRDefault="00BB72F9" w:rsidP="00782016">
            <w:pPr>
              <w:tabs>
                <w:tab w:val="left" w:pos="284"/>
              </w:tabs>
              <w:spacing w:line="280" w:lineRule="atLeast"/>
              <w:rPr>
                <w:b/>
                <w:bCs/>
                <w:color w:val="000000"/>
                <w:lang w:eastAsia="lt-LT"/>
              </w:rPr>
            </w:pPr>
            <w:r w:rsidRPr="00281B11">
              <w:rPr>
                <w:b/>
                <w:bCs/>
                <w:lang w:eastAsia="lt-LT"/>
              </w:rPr>
              <w:t>Ekonominės analizės rūšis</w:t>
            </w:r>
          </w:p>
        </w:tc>
        <w:tc>
          <w:tcPr>
            <w:tcW w:w="5096" w:type="dxa"/>
            <w:tcBorders>
              <w:top w:val="single" w:sz="4" w:space="0" w:color="auto"/>
              <w:left w:val="single" w:sz="4" w:space="0" w:color="auto"/>
              <w:bottom w:val="single" w:sz="4" w:space="0" w:color="auto"/>
              <w:right w:val="single" w:sz="4" w:space="0" w:color="auto"/>
            </w:tcBorders>
            <w:shd w:val="clear" w:color="auto" w:fill="auto"/>
          </w:tcPr>
          <w:p w14:paraId="7BC7414B" w14:textId="77777777" w:rsidR="00BB72F9" w:rsidRPr="00A847B9" w:rsidRDefault="00BB72F9" w:rsidP="00782016">
            <w:r w:rsidRPr="00A847B9">
              <w:rPr>
                <w:rStyle w:val="Style2"/>
                <w:rFonts w:ascii="MS Mincho" w:eastAsia="MS Mincho" w:hAnsi="MS Mincho" w:cs="MS Mincho"/>
              </w:rPr>
              <w:t>☒</w:t>
            </w:r>
            <w:r w:rsidRPr="00A847B9">
              <w:t xml:space="preserve"> Kaštų naudingumo analizė</w:t>
            </w:r>
          </w:p>
          <w:p w14:paraId="2620DDF9" w14:textId="77777777" w:rsidR="00BB72F9" w:rsidRPr="00A847B9" w:rsidRDefault="00BB72F9" w:rsidP="00782016">
            <w:r w:rsidRPr="00A847B9">
              <w:rPr>
                <w:rStyle w:val="Style2"/>
                <w:rFonts w:ascii="MS Mincho" w:eastAsia="MS Mincho" w:hAnsi="MS Mincho" w:cs="MS Mincho"/>
              </w:rPr>
              <w:t>☐</w:t>
            </w:r>
            <w:r w:rsidRPr="00A847B9">
              <w:t xml:space="preserve"> Kaštų mažinimo analizė</w:t>
            </w:r>
          </w:p>
          <w:p w14:paraId="55F05985" w14:textId="77777777" w:rsidR="00BB72F9" w:rsidRPr="00467ED9" w:rsidRDefault="00BB72F9" w:rsidP="00782016">
            <w:pPr>
              <w:rPr>
                <w:highlight w:val="yellow"/>
              </w:rPr>
            </w:pPr>
            <w:r w:rsidRPr="00A847B9">
              <w:rPr>
                <w:rStyle w:val="Style2"/>
                <w:rFonts w:ascii="MS Mincho" w:eastAsia="MS Mincho" w:hAnsi="MS Mincho" w:cs="MS Mincho"/>
              </w:rPr>
              <w:t>☐</w:t>
            </w:r>
            <w:r w:rsidRPr="00A847B9">
              <w:t xml:space="preserve"> Kita: </w:t>
            </w:r>
            <w:sdt>
              <w:sdtPr>
                <w:alias w:val="Įrašykite"/>
                <w:tag w:val="Įrašykite"/>
                <w:id w:val="-16472040"/>
                <w15:color w:val="FFCC99"/>
              </w:sdtPr>
              <w:sdtEndPr/>
              <w:sdtContent>
                <w:r w:rsidRPr="00A847B9">
                  <w:t>_________________</w:t>
                </w:r>
              </w:sdtContent>
            </w:sdt>
            <w:r w:rsidRPr="00A847B9">
              <w:t xml:space="preserve"> </w:t>
            </w:r>
          </w:p>
        </w:tc>
      </w:tr>
      <w:bookmarkEnd w:id="0"/>
    </w:tbl>
    <w:p w14:paraId="27D3E529" w14:textId="77777777" w:rsidR="00BB72F9" w:rsidRPr="00467ED9" w:rsidRDefault="00BB72F9" w:rsidP="00BB72F9">
      <w:pPr>
        <w:spacing w:line="276" w:lineRule="auto"/>
        <w:rPr>
          <w:rFonts w:eastAsia="Arial"/>
          <w:highlight w:val="yellow"/>
        </w:rPr>
      </w:pPr>
    </w:p>
    <w:p w14:paraId="070B1656" w14:textId="77777777" w:rsidR="00BB72F9" w:rsidRPr="00E7241C" w:rsidRDefault="00BB72F9" w:rsidP="00BB72F9">
      <w:pPr>
        <w:spacing w:line="276" w:lineRule="auto"/>
        <w:rPr>
          <w:rFonts w:eastAsia="Arial"/>
          <w:b/>
        </w:rPr>
      </w:pPr>
      <w:r w:rsidRPr="00E7241C">
        <w:rPr>
          <w:rFonts w:eastAsia="Arial"/>
          <w:b/>
        </w:rPr>
        <w:t>1.10 Kitų valstybių atsakingų institucijų atlikto Sveikatos technologijų vertinimo (toliau – STV)</w:t>
      </w:r>
      <w:r>
        <w:rPr>
          <w:rFonts w:eastAsia="Arial"/>
          <w:b/>
        </w:rPr>
        <w:t xml:space="preserve"> </w:t>
      </w:r>
      <w:r w:rsidRPr="00E7241C">
        <w:rPr>
          <w:rFonts w:eastAsia="Arial"/>
          <w:b/>
        </w:rPr>
        <w:t>vertinimo išvados</w:t>
      </w:r>
    </w:p>
    <w:p w14:paraId="4F64A850" w14:textId="77777777" w:rsidR="00BB72F9" w:rsidRPr="00467ED9" w:rsidRDefault="00BB72F9" w:rsidP="00BB72F9">
      <w:pPr>
        <w:spacing w:line="276" w:lineRule="auto"/>
        <w:rPr>
          <w:rFonts w:eastAsia="Arial"/>
          <w:highlight w:val="yellow"/>
        </w:rPr>
      </w:pPr>
    </w:p>
    <w:tbl>
      <w:tblPr>
        <w:tblStyle w:val="TableGrid"/>
        <w:tblW w:w="9918" w:type="dxa"/>
        <w:tblLook w:val="04A0" w:firstRow="1" w:lastRow="0" w:firstColumn="1" w:lastColumn="0" w:noHBand="0" w:noVBand="1"/>
      </w:tblPr>
      <w:tblGrid>
        <w:gridCol w:w="2632"/>
        <w:gridCol w:w="2133"/>
        <w:gridCol w:w="2694"/>
        <w:gridCol w:w="2459"/>
      </w:tblGrid>
      <w:tr w:rsidR="00BB72F9" w:rsidRPr="00F54753" w14:paraId="3A8FF348" w14:textId="77777777" w:rsidTr="00782016">
        <w:trPr>
          <w:trHeight w:val="924"/>
        </w:trPr>
        <w:tc>
          <w:tcPr>
            <w:tcW w:w="2632" w:type="dxa"/>
          </w:tcPr>
          <w:p w14:paraId="6399D6B2" w14:textId="77777777" w:rsidR="00BB72F9" w:rsidRPr="00F54753" w:rsidRDefault="00BB72F9" w:rsidP="00782016">
            <w:pPr>
              <w:spacing w:line="276" w:lineRule="auto"/>
              <w:rPr>
                <w:rFonts w:eastAsia="Arial"/>
              </w:rPr>
            </w:pPr>
            <w:r w:rsidRPr="00F54753">
              <w:rPr>
                <w:rFonts w:eastAsia="Arial"/>
              </w:rPr>
              <w:t>STV agentūros pavadinimas, šalis</w:t>
            </w:r>
          </w:p>
        </w:tc>
        <w:tc>
          <w:tcPr>
            <w:tcW w:w="2133" w:type="dxa"/>
          </w:tcPr>
          <w:p w14:paraId="1FCE53B7" w14:textId="77777777" w:rsidR="00BB72F9" w:rsidRPr="00F54753" w:rsidRDefault="00BB72F9" w:rsidP="00782016">
            <w:pPr>
              <w:spacing w:line="276" w:lineRule="auto"/>
              <w:rPr>
                <w:rFonts w:eastAsia="Arial"/>
              </w:rPr>
            </w:pPr>
            <w:r w:rsidRPr="00F54753">
              <w:rPr>
                <w:rFonts w:eastAsia="Arial"/>
              </w:rPr>
              <w:t>STV vertinimas atliktas</w:t>
            </w:r>
          </w:p>
        </w:tc>
        <w:tc>
          <w:tcPr>
            <w:tcW w:w="2694" w:type="dxa"/>
          </w:tcPr>
          <w:p w14:paraId="496E6048" w14:textId="77777777" w:rsidR="00BB72F9" w:rsidRPr="00F54753" w:rsidRDefault="00BB72F9" w:rsidP="00782016">
            <w:pPr>
              <w:spacing w:line="276" w:lineRule="auto"/>
              <w:rPr>
                <w:rFonts w:eastAsia="Arial"/>
              </w:rPr>
            </w:pPr>
            <w:r w:rsidRPr="00F54753">
              <w:rPr>
                <w:rFonts w:eastAsia="Arial"/>
              </w:rPr>
              <w:t>Klinikinio vertinimo išvada</w:t>
            </w:r>
          </w:p>
        </w:tc>
        <w:tc>
          <w:tcPr>
            <w:tcW w:w="2459" w:type="dxa"/>
          </w:tcPr>
          <w:p w14:paraId="2A708AF7" w14:textId="77777777" w:rsidR="00BB72F9" w:rsidRPr="00F54753" w:rsidRDefault="00BB72F9" w:rsidP="00782016">
            <w:pPr>
              <w:spacing w:line="276" w:lineRule="auto"/>
              <w:rPr>
                <w:rFonts w:eastAsia="Arial"/>
              </w:rPr>
            </w:pPr>
            <w:r w:rsidRPr="00F54753">
              <w:rPr>
                <w:rFonts w:eastAsia="Arial"/>
              </w:rPr>
              <w:t>Ekonominio vertinimo išvada</w:t>
            </w:r>
          </w:p>
        </w:tc>
      </w:tr>
      <w:tr w:rsidR="00BB72F9" w:rsidRPr="00F54753" w14:paraId="2E7C7867" w14:textId="77777777" w:rsidTr="00782016">
        <w:trPr>
          <w:trHeight w:val="97"/>
        </w:trPr>
        <w:tc>
          <w:tcPr>
            <w:tcW w:w="2632" w:type="dxa"/>
            <w:shd w:val="clear" w:color="auto" w:fill="auto"/>
          </w:tcPr>
          <w:p w14:paraId="3F74EAEC" w14:textId="77777777" w:rsidR="00BB72F9" w:rsidRPr="00F17FB1" w:rsidRDefault="00BB72F9" w:rsidP="00782016">
            <w:pPr>
              <w:autoSpaceDE w:val="0"/>
              <w:autoSpaceDN w:val="0"/>
              <w:adjustRightInd w:val="0"/>
              <w:rPr>
                <w:bCs/>
              </w:rPr>
            </w:pPr>
            <w:r w:rsidRPr="00F17FB1">
              <w:rPr>
                <w:bCs/>
              </w:rPr>
              <w:t>Nacionalinis sveikatos ir klinikinės kompetencijos institutas, Didžioji Britanija</w:t>
            </w:r>
          </w:p>
          <w:p w14:paraId="03652A71" w14:textId="77777777" w:rsidR="00BB72F9" w:rsidRPr="00F17FB1" w:rsidRDefault="00BB72F9" w:rsidP="00782016">
            <w:pPr>
              <w:spacing w:line="276" w:lineRule="auto"/>
              <w:rPr>
                <w:rFonts w:eastAsia="Arial"/>
              </w:rPr>
            </w:pPr>
            <w:r w:rsidRPr="00F17FB1">
              <w:rPr>
                <w:rFonts w:eastAsia="Arial"/>
              </w:rPr>
              <w:t xml:space="preserve">(angl. </w:t>
            </w:r>
            <w:r w:rsidRPr="00F17FB1">
              <w:rPr>
                <w:rFonts w:eastAsia="Arial"/>
                <w:i/>
              </w:rPr>
              <w:t>National Institute for Health and Care Excellence, NICE</w:t>
            </w:r>
            <w:r w:rsidRPr="00F17FB1">
              <w:rPr>
                <w:rFonts w:eastAsia="Arial"/>
              </w:rPr>
              <w:t>)</w:t>
            </w:r>
          </w:p>
        </w:tc>
        <w:tc>
          <w:tcPr>
            <w:tcW w:w="2133" w:type="dxa"/>
            <w:shd w:val="clear" w:color="auto" w:fill="auto"/>
          </w:tcPr>
          <w:p w14:paraId="5B19E832" w14:textId="77777777" w:rsidR="00BB72F9" w:rsidRPr="00F17FB1" w:rsidRDefault="00BB72F9" w:rsidP="00782016">
            <w:r w:rsidRPr="00F17FB1">
              <w:rPr>
                <w:rStyle w:val="Style2"/>
                <w:rFonts w:ascii="MS Gothic" w:eastAsia="MS Gothic" w:hAnsi="MS Gothic" w:hint="eastAsia"/>
              </w:rPr>
              <w:t>☒</w:t>
            </w:r>
            <w:r>
              <w:rPr>
                <w:rStyle w:val="Style2"/>
                <w:rFonts w:ascii="MS Gothic" w:eastAsia="MS Gothic" w:hAnsi="MS Gothic" w:hint="eastAsia"/>
              </w:rPr>
              <w:t xml:space="preserve"> </w:t>
            </w:r>
            <w:r w:rsidRPr="00F17FB1">
              <w:t>Taip</w:t>
            </w:r>
          </w:p>
          <w:p w14:paraId="0BEDBA62" w14:textId="77777777" w:rsidR="00BB72F9" w:rsidRPr="00F17FB1" w:rsidRDefault="00BB72F9" w:rsidP="00782016">
            <w:r w:rsidRPr="00F17FB1">
              <w:rPr>
                <w:rStyle w:val="Style2"/>
                <w:rFonts w:ascii="MS Gothic" w:eastAsia="MS Gothic" w:hAnsi="MS Gothic" w:hint="eastAsia"/>
              </w:rPr>
              <w:t>☐</w:t>
            </w:r>
            <w:r w:rsidRPr="00F17FB1">
              <w:t xml:space="preserve"> </w:t>
            </w:r>
            <w:r>
              <w:t>Ne</w:t>
            </w:r>
          </w:p>
          <w:p w14:paraId="3A13EA83" w14:textId="77777777" w:rsidR="00BB72F9" w:rsidRPr="00F17FB1" w:rsidRDefault="002B44F5" w:rsidP="00782016">
            <w:pPr>
              <w:rPr>
                <w:rFonts w:eastAsia="Arial"/>
              </w:rPr>
            </w:pPr>
            <w:sdt>
              <w:sdtPr>
                <w:alias w:val="Nurodykite konkrečią dieną"/>
                <w:tag w:val="Nurodykite pradžios datą"/>
                <w:id w:val="922837954"/>
                <w15:color w:val="FFCC99"/>
                <w:date w:fullDate="2023-06-21T00:00:00Z">
                  <w:dateFormat w:val="yyyy 'm.' MMMM d 'd.'"/>
                  <w:lid w:val="lt-LT"/>
                  <w:storeMappedDataAs w:val="dateTime"/>
                  <w:calendar w:val="gregorian"/>
                </w:date>
              </w:sdtPr>
              <w:sdtEndPr/>
              <w:sdtContent>
                <w:r w:rsidR="00BB72F9">
                  <w:t>2023 m. birželio 21 d.</w:t>
                </w:r>
              </w:sdtContent>
            </w:sdt>
          </w:p>
        </w:tc>
        <w:tc>
          <w:tcPr>
            <w:tcW w:w="2694" w:type="dxa"/>
            <w:shd w:val="clear" w:color="auto" w:fill="auto"/>
          </w:tcPr>
          <w:p w14:paraId="2918842D" w14:textId="77777777" w:rsidR="00BB72F9" w:rsidRPr="00F17FB1" w:rsidRDefault="00BB72F9" w:rsidP="00782016">
            <w:pPr>
              <w:pStyle w:val="Default"/>
              <w:jc w:val="both"/>
              <w:rPr>
                <w:rFonts w:ascii="Times New Roman" w:hAnsi="Times New Roman" w:cs="Times New Roman"/>
                <w:szCs w:val="20"/>
              </w:rPr>
            </w:pPr>
            <w:r>
              <w:rPr>
                <w:rFonts w:ascii="Times New Roman" w:hAnsi="Times New Roman" w:cs="Times New Roman"/>
                <w:szCs w:val="20"/>
              </w:rPr>
              <w:t>D</w:t>
            </w:r>
            <w:r w:rsidRPr="00AA674E">
              <w:rPr>
                <w:rFonts w:ascii="Times New Roman" w:hAnsi="Times New Roman" w:cs="Times New Roman"/>
                <w:szCs w:val="20"/>
              </w:rPr>
              <w:t>apagliflozinas rekomenduojamas suaugusiųjų simptominiam lėtiniam širdies nepakankamumui, kai išstūmimo frakcija išlieka arba šiek tiek sumažėjusi, gydyti.</w:t>
            </w:r>
          </w:p>
        </w:tc>
        <w:tc>
          <w:tcPr>
            <w:tcW w:w="2459" w:type="dxa"/>
          </w:tcPr>
          <w:p w14:paraId="2C936AFF" w14:textId="52CC06E5" w:rsidR="00BB72F9" w:rsidRPr="00F54753" w:rsidRDefault="00D52608" w:rsidP="00782016">
            <w:pPr>
              <w:spacing w:line="276" w:lineRule="auto"/>
              <w:rPr>
                <w:rFonts w:eastAsia="Arial"/>
                <w:highlight w:val="yellow"/>
              </w:rPr>
            </w:pPr>
            <w:r w:rsidRPr="00312449">
              <w:rPr>
                <w:rFonts w:eastAsia="Arial"/>
              </w:rPr>
              <w:t>Laikoma, jog dapagliflozinas yra kaštams efektyvus, pagal NICE nustatytą slenkstį</w:t>
            </w:r>
          </w:p>
        </w:tc>
      </w:tr>
      <w:tr w:rsidR="00BB72F9" w:rsidRPr="00F54753" w14:paraId="2287743B" w14:textId="77777777" w:rsidTr="00782016">
        <w:trPr>
          <w:trHeight w:val="97"/>
        </w:trPr>
        <w:tc>
          <w:tcPr>
            <w:tcW w:w="2632" w:type="dxa"/>
          </w:tcPr>
          <w:p w14:paraId="7823D0FF" w14:textId="77777777" w:rsidR="00BB72F9" w:rsidRPr="00F17FB1" w:rsidRDefault="00BB72F9" w:rsidP="00782016">
            <w:pPr>
              <w:spacing w:line="276" w:lineRule="auto"/>
              <w:rPr>
                <w:rFonts w:eastAsia="Arial"/>
              </w:rPr>
            </w:pPr>
            <w:r w:rsidRPr="00F17FB1">
              <w:rPr>
                <w:rFonts w:eastAsia="Arial"/>
              </w:rPr>
              <w:t>Kanados sveikatos technologijų agentūra</w:t>
            </w:r>
          </w:p>
          <w:p w14:paraId="1115AEB7" w14:textId="77777777" w:rsidR="00BB72F9" w:rsidRPr="00F17FB1" w:rsidRDefault="00BB72F9" w:rsidP="00782016">
            <w:pPr>
              <w:autoSpaceDE w:val="0"/>
              <w:autoSpaceDN w:val="0"/>
              <w:adjustRightInd w:val="0"/>
              <w:rPr>
                <w:bCs/>
              </w:rPr>
            </w:pPr>
            <w:r w:rsidRPr="00F17FB1">
              <w:rPr>
                <w:rFonts w:eastAsia="Arial"/>
              </w:rPr>
              <w:t xml:space="preserve">(angl. </w:t>
            </w:r>
            <w:r w:rsidRPr="00F17FB1">
              <w:rPr>
                <w:rFonts w:eastAsia="Arial"/>
                <w:i/>
              </w:rPr>
              <w:t>Canadian health Technology Assessment agency, CADTH</w:t>
            </w:r>
            <w:r w:rsidRPr="00F17FB1">
              <w:rPr>
                <w:rFonts w:eastAsia="Arial"/>
              </w:rPr>
              <w:t>)</w:t>
            </w:r>
          </w:p>
        </w:tc>
        <w:tc>
          <w:tcPr>
            <w:tcW w:w="2133" w:type="dxa"/>
          </w:tcPr>
          <w:p w14:paraId="07DC6180" w14:textId="77777777" w:rsidR="00BB72F9" w:rsidRPr="00F17FB1" w:rsidRDefault="00BB72F9" w:rsidP="00782016">
            <w:r w:rsidRPr="00F17FB1">
              <w:rPr>
                <w:rStyle w:val="Style2"/>
                <w:rFonts w:ascii="MS Gothic" w:eastAsia="MS Gothic" w:hAnsi="MS Gothic" w:hint="eastAsia"/>
              </w:rPr>
              <w:t>☐</w:t>
            </w:r>
            <w:r w:rsidRPr="00F17FB1">
              <w:t xml:space="preserve"> Taip</w:t>
            </w:r>
          </w:p>
          <w:p w14:paraId="2C9515C3" w14:textId="77777777" w:rsidR="00BB72F9" w:rsidRPr="00F17FB1" w:rsidRDefault="00BB72F9" w:rsidP="00782016">
            <w:r w:rsidRPr="00F17FB1">
              <w:rPr>
                <w:rStyle w:val="Style2"/>
                <w:rFonts w:ascii="MS Gothic" w:eastAsia="MS Gothic" w:hAnsi="MS Gothic" w:hint="eastAsia"/>
              </w:rPr>
              <w:t>☒</w:t>
            </w:r>
            <w:r w:rsidRPr="00F17FB1">
              <w:t xml:space="preserve"> Ne</w:t>
            </w:r>
          </w:p>
          <w:p w14:paraId="6E709E66" w14:textId="77777777" w:rsidR="00BB72F9" w:rsidRPr="00F17FB1" w:rsidRDefault="002B44F5" w:rsidP="00782016">
            <w:pPr>
              <w:rPr>
                <w:rStyle w:val="Style2"/>
                <w:rFonts w:ascii="MS Gothic" w:eastAsia="MS Gothic" w:hAnsi="MS Gothic"/>
              </w:rPr>
            </w:pPr>
            <w:sdt>
              <w:sdtPr>
                <w:rPr>
                  <w:sz w:val="32"/>
                </w:rPr>
                <w:alias w:val="Nurodykite konkrečią dieną"/>
                <w:tag w:val="Nurodykite pradžios datą"/>
                <w:id w:val="1386605124"/>
                <w:showingPlcHdr/>
                <w15:color w:val="FFCC99"/>
                <w:date>
                  <w:dateFormat w:val="yyyy 'm.' MMMM d 'd.'"/>
                  <w:lid w:val="lt-LT"/>
                  <w:storeMappedDataAs w:val="dateTime"/>
                  <w:calendar w:val="gregorian"/>
                </w:date>
              </w:sdtPr>
              <w:sdtEndPr>
                <w:rPr>
                  <w:sz w:val="24"/>
                </w:rPr>
              </w:sdtEndPr>
              <w:sdtContent>
                <w:r w:rsidR="00BB72F9" w:rsidRPr="00F17FB1">
                  <w:t xml:space="preserve">     </w:t>
                </w:r>
              </w:sdtContent>
            </w:sdt>
          </w:p>
        </w:tc>
        <w:tc>
          <w:tcPr>
            <w:tcW w:w="2694" w:type="dxa"/>
          </w:tcPr>
          <w:p w14:paraId="7179909C" w14:textId="77777777" w:rsidR="00BB72F9" w:rsidRPr="00F17FB1" w:rsidRDefault="00BB72F9" w:rsidP="00782016">
            <w:pPr>
              <w:pStyle w:val="Default"/>
              <w:jc w:val="both"/>
              <w:rPr>
                <w:rFonts w:ascii="Times New Roman" w:hAnsi="Times New Roman" w:cs="Times New Roman"/>
                <w:szCs w:val="20"/>
              </w:rPr>
            </w:pPr>
          </w:p>
        </w:tc>
        <w:tc>
          <w:tcPr>
            <w:tcW w:w="2459" w:type="dxa"/>
          </w:tcPr>
          <w:p w14:paraId="5FAD9DB1" w14:textId="77777777" w:rsidR="00BB72F9" w:rsidRPr="00F54753" w:rsidRDefault="00BB72F9" w:rsidP="00782016">
            <w:pPr>
              <w:spacing w:line="276" w:lineRule="auto"/>
              <w:rPr>
                <w:rFonts w:eastAsia="Arial"/>
                <w:highlight w:val="yellow"/>
              </w:rPr>
            </w:pPr>
          </w:p>
        </w:tc>
      </w:tr>
      <w:tr w:rsidR="00BB72F9" w:rsidRPr="00467ED9" w14:paraId="65231E24" w14:textId="77777777" w:rsidTr="00782016">
        <w:trPr>
          <w:trHeight w:val="1556"/>
        </w:trPr>
        <w:tc>
          <w:tcPr>
            <w:tcW w:w="2632" w:type="dxa"/>
          </w:tcPr>
          <w:p w14:paraId="4182C89C" w14:textId="77777777" w:rsidR="00BB72F9" w:rsidRPr="00F17FB1" w:rsidRDefault="00BB72F9" w:rsidP="00782016">
            <w:pPr>
              <w:spacing w:line="276" w:lineRule="auto"/>
              <w:rPr>
                <w:rFonts w:eastAsia="Arial"/>
              </w:rPr>
            </w:pPr>
            <w:r w:rsidRPr="00F17FB1">
              <w:rPr>
                <w:rFonts w:eastAsia="Arial"/>
              </w:rPr>
              <w:t>Nacionalinis farmakoekonomikos centras, Airija</w:t>
            </w:r>
          </w:p>
          <w:p w14:paraId="5156E5F5" w14:textId="77777777" w:rsidR="00BB72F9" w:rsidRPr="00F17FB1" w:rsidRDefault="00BB72F9" w:rsidP="00782016">
            <w:pPr>
              <w:spacing w:line="276" w:lineRule="auto"/>
              <w:rPr>
                <w:rFonts w:eastAsia="Arial"/>
              </w:rPr>
            </w:pPr>
            <w:r w:rsidRPr="00F17FB1">
              <w:rPr>
                <w:rFonts w:eastAsia="Arial"/>
              </w:rPr>
              <w:t>(angl.</w:t>
            </w:r>
            <w:r w:rsidRPr="00F17FB1">
              <w:rPr>
                <w:rFonts w:eastAsia="Arial"/>
                <w:i/>
              </w:rPr>
              <w:t xml:space="preserve"> National Centre for Pharmacoeconomics, NCPE</w:t>
            </w:r>
            <w:r w:rsidRPr="00F17FB1">
              <w:rPr>
                <w:rFonts w:eastAsia="Arial"/>
              </w:rPr>
              <w:t>)</w:t>
            </w:r>
          </w:p>
        </w:tc>
        <w:tc>
          <w:tcPr>
            <w:tcW w:w="2133" w:type="dxa"/>
          </w:tcPr>
          <w:p w14:paraId="0DC0C751" w14:textId="77777777" w:rsidR="00BB72F9" w:rsidRPr="00F17FB1" w:rsidRDefault="00BB72F9" w:rsidP="00782016">
            <w:r w:rsidRPr="00F17FB1">
              <w:rPr>
                <w:rStyle w:val="Style2"/>
                <w:rFonts w:ascii="MS Gothic" w:eastAsia="MS Gothic" w:hAnsi="MS Gothic" w:hint="eastAsia"/>
              </w:rPr>
              <w:t>☐</w:t>
            </w:r>
            <w:r w:rsidRPr="00F17FB1">
              <w:t xml:space="preserve"> Taip</w:t>
            </w:r>
          </w:p>
          <w:p w14:paraId="37AB23B3" w14:textId="77777777" w:rsidR="00BB72F9" w:rsidRPr="00F17FB1" w:rsidRDefault="00BB72F9" w:rsidP="00782016">
            <w:r w:rsidRPr="00F17FB1">
              <w:rPr>
                <w:rStyle w:val="Style2"/>
                <w:rFonts w:ascii="MS Gothic" w:eastAsia="MS Gothic" w:hAnsi="MS Gothic" w:hint="eastAsia"/>
              </w:rPr>
              <w:t>☒</w:t>
            </w:r>
            <w:r w:rsidRPr="00F17FB1">
              <w:t xml:space="preserve"> Ne</w:t>
            </w:r>
          </w:p>
          <w:p w14:paraId="3B85697D" w14:textId="77777777" w:rsidR="00BB72F9" w:rsidRPr="00F54753" w:rsidRDefault="002B44F5" w:rsidP="00782016">
            <w:pPr>
              <w:spacing w:line="276" w:lineRule="auto"/>
              <w:rPr>
                <w:highlight w:val="yellow"/>
              </w:rPr>
            </w:pPr>
            <w:sdt>
              <w:sdtPr>
                <w:alias w:val="Nurodykite konkrečią dieną"/>
                <w:tag w:val="Nurodykite pradžios datą"/>
                <w:id w:val="-1342466213"/>
                <w:showingPlcHdr/>
                <w15:color w:val="FFCC99"/>
                <w:date>
                  <w:dateFormat w:val="yyyy 'm.' MMMM d 'd.'"/>
                  <w:lid w:val="lt-LT"/>
                  <w:storeMappedDataAs w:val="dateTime"/>
                  <w:calendar w:val="gregorian"/>
                </w:date>
              </w:sdtPr>
              <w:sdtEndPr/>
              <w:sdtContent>
                <w:r w:rsidR="00BB72F9" w:rsidRPr="00F17FB1">
                  <w:t xml:space="preserve">     </w:t>
                </w:r>
              </w:sdtContent>
            </w:sdt>
          </w:p>
        </w:tc>
        <w:tc>
          <w:tcPr>
            <w:tcW w:w="2694" w:type="dxa"/>
          </w:tcPr>
          <w:p w14:paraId="082CA3A0" w14:textId="77777777" w:rsidR="00BB72F9" w:rsidRPr="00F54753" w:rsidRDefault="00BB72F9" w:rsidP="00782016">
            <w:pPr>
              <w:spacing w:line="276" w:lineRule="auto"/>
              <w:jc w:val="both"/>
              <w:rPr>
                <w:rFonts w:eastAsia="Arial"/>
                <w:highlight w:val="yellow"/>
              </w:rPr>
            </w:pPr>
          </w:p>
        </w:tc>
        <w:tc>
          <w:tcPr>
            <w:tcW w:w="2459" w:type="dxa"/>
          </w:tcPr>
          <w:p w14:paraId="338DE1FB" w14:textId="77777777" w:rsidR="00BB72F9" w:rsidRPr="00F54753" w:rsidRDefault="00BB72F9" w:rsidP="00782016">
            <w:pPr>
              <w:spacing w:line="276" w:lineRule="auto"/>
              <w:jc w:val="both"/>
              <w:rPr>
                <w:rFonts w:eastAsia="Arial"/>
                <w:highlight w:val="yellow"/>
              </w:rPr>
            </w:pPr>
          </w:p>
        </w:tc>
      </w:tr>
    </w:tbl>
    <w:p w14:paraId="0F48419E" w14:textId="77777777" w:rsidR="00BB72F9" w:rsidRPr="00467ED9" w:rsidRDefault="00BB72F9" w:rsidP="00BB72F9">
      <w:pPr>
        <w:spacing w:line="276" w:lineRule="auto"/>
        <w:rPr>
          <w:rFonts w:eastAsia="Arial"/>
          <w:highlight w:val="yellow"/>
        </w:rPr>
      </w:pPr>
    </w:p>
    <w:p w14:paraId="73290081" w14:textId="77777777" w:rsidR="007A2B68" w:rsidRDefault="007A2B68">
      <w:pPr>
        <w:rPr>
          <w:b/>
          <w:bCs/>
          <w:caps/>
        </w:rPr>
      </w:pPr>
      <w:r>
        <w:rPr>
          <w:b/>
          <w:bCs/>
          <w:caps/>
        </w:rPr>
        <w:br w:type="page"/>
      </w:r>
    </w:p>
    <w:p w14:paraId="5055E8A8" w14:textId="471A9757" w:rsidR="002E6F80" w:rsidRPr="00E33EFF" w:rsidRDefault="00CC7832" w:rsidP="00CC09D4">
      <w:pPr>
        <w:pStyle w:val="ListParagraph"/>
        <w:numPr>
          <w:ilvl w:val="0"/>
          <w:numId w:val="12"/>
        </w:numPr>
        <w:tabs>
          <w:tab w:val="left" w:pos="567"/>
        </w:tabs>
        <w:ind w:hanging="720"/>
        <w:rPr>
          <w:b/>
          <w:bCs/>
          <w:caps/>
        </w:rPr>
      </w:pPr>
      <w:r w:rsidRPr="00E33EFF">
        <w:rPr>
          <w:b/>
          <w:bCs/>
          <w:caps/>
        </w:rPr>
        <w:lastRenderedPageBreak/>
        <w:t>Klinikinio vertinimo a</w:t>
      </w:r>
      <w:r w:rsidR="00D4485B" w:rsidRPr="00E33EFF">
        <w:rPr>
          <w:b/>
          <w:bCs/>
          <w:caps/>
        </w:rPr>
        <w:t>pibendrinimas</w:t>
      </w:r>
    </w:p>
    <w:p w14:paraId="2A77BF59" w14:textId="77777777" w:rsidR="00BB72F9" w:rsidRDefault="00BB72F9" w:rsidP="00BB72F9">
      <w:pPr>
        <w:ind w:firstLine="720"/>
        <w:jc w:val="both"/>
        <w:rPr>
          <w:rFonts w:eastAsia="Arial"/>
        </w:rPr>
      </w:pPr>
    </w:p>
    <w:p w14:paraId="56A034EA" w14:textId="69DBA5E2" w:rsidR="00BB72F9" w:rsidRPr="007808AD" w:rsidRDefault="00BB72F9" w:rsidP="00BB72F9">
      <w:pPr>
        <w:ind w:firstLine="720"/>
        <w:jc w:val="both"/>
        <w:rPr>
          <w:rFonts w:eastAsia="Arial"/>
        </w:rPr>
      </w:pPr>
      <w:r w:rsidRPr="007808AD">
        <w:rPr>
          <w:rFonts w:eastAsia="Arial"/>
        </w:rPr>
        <w:t xml:space="preserve">Širdies nepakankamumas (ŠN) (TLK-10-AM kodas I50) yra klinikinis sindromas, kuriam būdingi tipiniai simptomai (pvz., dusulys, kulkšnių edema, nuovargis) ir požymiai (pvz., padidėjęs jungo venų spaudimas, karkalai plaučiuose ir periferinės edemos). Juos sukelia širdies struktūros ir/ar funkcijos sutrikimas, lemiantis sistolinio tūrio sumažėjimą ir spaudimo širdies ertmėse padidėjimą ramybėje ar krūvio metu. </w:t>
      </w:r>
    </w:p>
    <w:p w14:paraId="5B1ADB0F" w14:textId="77777777" w:rsidR="00BB72F9" w:rsidRPr="007808AD" w:rsidRDefault="00BB72F9" w:rsidP="00BB72F9">
      <w:pPr>
        <w:ind w:firstLine="720"/>
        <w:jc w:val="both"/>
        <w:rPr>
          <w:rFonts w:eastAsia="Arial"/>
        </w:rPr>
      </w:pPr>
      <w:r w:rsidRPr="007808AD">
        <w:rPr>
          <w:rFonts w:eastAsia="Arial"/>
        </w:rPr>
        <w:t xml:space="preserve">ŠN skirstomas į tipus pagal kairiojo skilvelio išstūmimo frakcijos (KSIF) sumažėjimą: </w:t>
      </w:r>
    </w:p>
    <w:p w14:paraId="3052B76D" w14:textId="77777777" w:rsidR="00BB72F9" w:rsidRPr="007808AD" w:rsidRDefault="00BB72F9" w:rsidP="00BB72F9">
      <w:pPr>
        <w:pStyle w:val="ListParagraph"/>
        <w:numPr>
          <w:ilvl w:val="0"/>
          <w:numId w:val="14"/>
        </w:numPr>
        <w:jc w:val="both"/>
        <w:rPr>
          <w:rFonts w:eastAsia="Arial"/>
        </w:rPr>
      </w:pPr>
      <w:r w:rsidRPr="007808AD">
        <w:rPr>
          <w:rFonts w:eastAsia="Arial"/>
        </w:rPr>
        <w:t>ŠN su sumažėjusia KSIF (angl. reduced ejection fraction, HFrEF) kai KSIF yra &lt;40 proc.;</w:t>
      </w:r>
    </w:p>
    <w:p w14:paraId="7053966E" w14:textId="77777777" w:rsidR="00BB72F9" w:rsidRPr="007808AD" w:rsidRDefault="00BB72F9" w:rsidP="00BB72F9">
      <w:pPr>
        <w:pStyle w:val="ListParagraph"/>
        <w:numPr>
          <w:ilvl w:val="0"/>
          <w:numId w:val="14"/>
        </w:numPr>
        <w:jc w:val="both"/>
        <w:rPr>
          <w:rFonts w:eastAsia="Arial"/>
        </w:rPr>
      </w:pPr>
      <w:r w:rsidRPr="007808AD">
        <w:rPr>
          <w:rFonts w:eastAsia="Arial"/>
        </w:rPr>
        <w:t xml:space="preserve">ŠN su vidutiniškai sumažėjusia KSIF (angl. mildly reduced ejection fraction, HFmrEF) kai KSIF yra tarp 40 proc. ir 49 proc.; </w:t>
      </w:r>
    </w:p>
    <w:p w14:paraId="51BEDEE3" w14:textId="77777777" w:rsidR="00BB72F9" w:rsidRPr="007808AD" w:rsidRDefault="00BB72F9" w:rsidP="00BB72F9">
      <w:pPr>
        <w:pStyle w:val="ListParagraph"/>
        <w:numPr>
          <w:ilvl w:val="0"/>
          <w:numId w:val="14"/>
        </w:numPr>
        <w:jc w:val="both"/>
        <w:rPr>
          <w:rFonts w:eastAsia="Arial"/>
        </w:rPr>
      </w:pPr>
      <w:r w:rsidRPr="007808AD">
        <w:rPr>
          <w:rFonts w:eastAsia="Arial"/>
        </w:rPr>
        <w:t>ŠN su išlikusia KSIF (angl. preserved ejection fraction, HFpEF), kai KSIF ≥50 proc.</w:t>
      </w:r>
    </w:p>
    <w:p w14:paraId="22799E15" w14:textId="77777777" w:rsidR="00BB72F9" w:rsidRPr="007808AD" w:rsidRDefault="00BB72F9" w:rsidP="00BB72F9">
      <w:pPr>
        <w:ind w:firstLine="720"/>
        <w:jc w:val="both"/>
        <w:rPr>
          <w:rFonts w:eastAsia="Arial"/>
        </w:rPr>
      </w:pPr>
      <w:r w:rsidRPr="007808AD">
        <w:rPr>
          <w:rFonts w:eastAsia="Arial"/>
        </w:rPr>
        <w:t>ŠN yra svarbi hospitalizacijos ir mirtingumo priežastis visame pasaulyje, paveikianti nuo 1% iki 3% suaugusių gyventojų. Lietuvoje ŠN paplitimas populiacijoje – 2%, virš 65 m. &gt; 10%. Lietuvoje ŠN 2022 m. sirgo apie 125 tūkst. gyventojų.</w:t>
      </w:r>
    </w:p>
    <w:p w14:paraId="2EB24985" w14:textId="77777777" w:rsidR="00BB72F9" w:rsidRPr="007808AD" w:rsidRDefault="00BB72F9" w:rsidP="00BB72F9">
      <w:pPr>
        <w:ind w:firstLine="720"/>
        <w:jc w:val="both"/>
        <w:rPr>
          <w:rFonts w:eastAsia="Arial"/>
        </w:rPr>
      </w:pPr>
      <w:r w:rsidRPr="007808AD">
        <w:rPr>
          <w:rFonts w:eastAsia="Arial"/>
        </w:rPr>
        <w:t>ŠN gydymo tikslai yra pagerinti pacientų klinikinę būklę, funkcinį pajėgumą ir gyvenimo kokybę, išvengti hospitalizavimo ir sumažinti mirštamumą. Hospitalizacijos dėl ŠN išvengimas ir funkcinio pajėgumo gerinimas teikia didžiausią naudą po padidėjusio mirtingumo suvaldymo.</w:t>
      </w:r>
    </w:p>
    <w:p w14:paraId="08BB4E82" w14:textId="77777777" w:rsidR="00BB72F9" w:rsidRPr="007808AD" w:rsidRDefault="00BB72F9" w:rsidP="00BB72F9">
      <w:pPr>
        <w:ind w:firstLine="720"/>
        <w:jc w:val="both"/>
        <w:rPr>
          <w:rFonts w:eastAsia="Arial"/>
        </w:rPr>
      </w:pPr>
      <w:r w:rsidRPr="007808AD">
        <w:rPr>
          <w:rFonts w:eastAsia="Arial"/>
        </w:rPr>
        <w:t>Dauguma dabartinių terapijų nepagerina HFpEF pacientų išeičių. Todėl atitinkamai HFpEF pacientų būklės valdymas fokusuojasi į lydinčių susirgimų, tokių kaip cukrinis diabetas (CD), arterinė hipertenzija (AH), vainikinių arterijų ligos (VAL) gydymą. Tokiems pacientams gali būti skiriami diuretikai, nors tai didina nepageidaujamų reiškinių riziką. Tai rodo naujų vaistų poreikį pacientams, kuriems diagnozuotas HFpEF. Iki šiol klinikiniais tyrimais nebuvo įrodyto statistiškai reikšmingai efektyvaus medikamentinio gydymo pacientams su HFpEF. Šiuo metu tokiems pacientams skirtų efektyvių medikamentų nėra LR SAM patvirtintame kompensuojamųjų vaistų sąraše.</w:t>
      </w:r>
    </w:p>
    <w:p w14:paraId="14BF86E1" w14:textId="77777777" w:rsidR="00BB72F9" w:rsidRPr="007808AD" w:rsidRDefault="00BB72F9" w:rsidP="00BB72F9">
      <w:pPr>
        <w:ind w:firstLine="720"/>
        <w:jc w:val="both"/>
        <w:rPr>
          <w:rFonts w:eastAsia="Arial"/>
        </w:rPr>
      </w:pPr>
      <w:r w:rsidRPr="007808AD">
        <w:rPr>
          <w:rFonts w:eastAsia="Arial"/>
        </w:rPr>
        <w:t>Pacientai su ŠN ir LVEF &gt;40% turi reikšmingą hospitalizacijos ar neatidėliotinos pagalbos dėl su ŠN susijusių priežasčių riziką. Tokių pacientų prognozė yra bloga, 5-ių metų išgyvenamumas po hospitalizacijos dėl ŠN yra tik 25%, kas yra blogesnis rodiklis nei kai kurių onkologinių susirgimų. Simptomatika, dažni stacionarizavimai į ligoninę ir bloga prognozė reiškia blogą su sveikata susijusią gyvenimo kokybę (angl. health-related quality of life; HRQoL) šiem pacientam. Su HFpEF susijusi HRQoL našta yra panaši ar didesnė nei pacientams, kurie nėra HFpEF. Pacientai su HFpEF turi didesnių fizinių ribojimų, dažnesni ir sunkesni simptomai bei didesni socialiniai ribojimai nustatyti pagal Kanzaso kardiomiopatijos klausimyną (angl. Kansas City Cardiomyopathy Questionnaire; KCCQ) lyginant su pacientais sergančiais HFmrEF ar HFrEF.</w:t>
      </w:r>
    </w:p>
    <w:p w14:paraId="12A61B51" w14:textId="77777777" w:rsidR="00BB72F9" w:rsidRPr="007808AD" w:rsidRDefault="00BB72F9" w:rsidP="00BB72F9">
      <w:pPr>
        <w:ind w:firstLine="720"/>
        <w:jc w:val="both"/>
      </w:pPr>
      <w:r w:rsidRPr="007808AD">
        <w:t>Dapagliflozinas yra labai stipraus (Ki – 0,55 nM), selektyvaus ir laikino veikimo SGLT2 inhibitorius. Dapagliflozinui slopinant SGLT2, proksimaliniuose inkstų kanalėliuose iš glomerulų filtrato reabsorbuojama mažiau gliukozės ir kartu mažiau natrio, todėl gliukozė šalinama su šlapimu, pasireiškia osmosinė diurezė. Dėl to veikiant dapagliflozinui daugiau natrio pasiekia distalinius kanalėlius; manoma, kad tai nulemia grįžtamojo ryšio tarp kanalėlių ir glomerulų veiklos sustiprėjimą bei spaudimo glomeruluose sumažėjimą. Dėl šių pokyčių ir osmosinės diurezės sumažėja skysčių perteklius, kraujospūdis, prieškrūvis ir pokrūvis, o tai gali palankiai veikti širdies remodeliavimo procesą.</w:t>
      </w:r>
    </w:p>
    <w:p w14:paraId="0972A109" w14:textId="77777777" w:rsidR="00BB72F9" w:rsidRPr="007808AD" w:rsidRDefault="00BB72F9" w:rsidP="00BB72F9">
      <w:pPr>
        <w:ind w:firstLine="720"/>
        <w:jc w:val="both"/>
      </w:pPr>
      <w:r w:rsidRPr="007808AD">
        <w:t xml:space="preserve">Dapagliflozinui slopinant SGLT2, proksimaliniuose inkstų kanalėliuose iš glomerulų filtrato reabsorbuojama mažiau gliukozės ir kartu mažiau natrio, todėl gliukozė šalinama su šlapimu, pasireiškia osmosinė diurezė. Dėl to veikiant dapagliflozinui daugiau natrio pasiekia distalinius kanalėlius; tai nulemia grįžtamojo ryšio tarp kanalėlių ir glomerulų veiklos sustiprėjimą bei spaudimo glomeruluose sumažėjimą. Dėl šių pokyčių ir osmosinės diurezės sumažėja skysčių perteklius, kraujospūdis, prieškrūvis ir pokrūvis, o tai gali palankiai veikti širdies remodeliavimo procesą, diastolinę funkciją ir padėti išsaugoti inkstų funkciją. Palankus dapagliflozino poveikis širdies ir inkstų veiklai priklauso ne vien nuo gliukozės koncentracijos kraujyje sumažėjimo. Tyrimų </w:t>
      </w:r>
      <w:r w:rsidRPr="007808AD">
        <w:lastRenderedPageBreak/>
        <w:t xml:space="preserve">duomenimis, jis pasireiškia ir nesergant cukriniu diabetu. Be to, padidėja hematokritas ir sumažėja kūno svoris. </w:t>
      </w:r>
    </w:p>
    <w:p w14:paraId="0D988900" w14:textId="77777777" w:rsidR="00BB72F9" w:rsidRPr="007808AD" w:rsidRDefault="00BB72F9" w:rsidP="00BB72F9">
      <w:pPr>
        <w:ind w:firstLine="720"/>
        <w:jc w:val="both"/>
        <w:rPr>
          <w:color w:val="000000"/>
          <w:lang w:eastAsia="lt-LT"/>
        </w:rPr>
      </w:pPr>
      <w:r w:rsidRPr="007808AD">
        <w:t>Dapagliflozinas mažina gliukozės reabsorbciją inkstuose ir nulemia jos išskyrimą su šlapimu, todėl mažina gliukozės koncentraciją plazmoje nevalgius ir po valgio. Šis gliukozės išskyrimas (gliukurezinis poveikis) pastebimas po pirmos dozės, tęsiasi visą 24 val. vartojimo intervalą ir išlieka kol taikomas gydymas. Tokiu būdu inkstų pašalinamas gliukozės kiekis priklauso nuo jos koncentracijos kraujyje ir glomerulų filtracijos greičio. Dėl to žmonėms, kurių kraujyje gliukozės koncentracija normali, dapagliflozino sukeliamos hipoglikemijos tikimybė yra maža. Dapagliflozinas netrikdo normalios endogeninės gliukozės gamybos reaguojant į hipoglikemiją, jo poveikis nepriklauso nuo insulino sekrecijos ir insulino veikimo. Dapagliflozino klinikinių tyrimų metu pagerėjimas taip pat nustatytas tiriant beta ląstelių funkcijos homeostazės vertinimo modeliu (beta ląstelių HOMA).</w:t>
      </w:r>
    </w:p>
    <w:p w14:paraId="2FCC775A" w14:textId="77777777" w:rsidR="00BB72F9" w:rsidRPr="007808AD" w:rsidRDefault="00BB72F9" w:rsidP="00BB72F9">
      <w:pPr>
        <w:ind w:firstLine="720"/>
        <w:jc w:val="both"/>
        <w:rPr>
          <w:rFonts w:eastAsia="Arial"/>
        </w:rPr>
      </w:pPr>
      <w:r w:rsidRPr="007808AD">
        <w:rPr>
          <w:color w:val="000000"/>
          <w:lang w:eastAsia="lt-LT"/>
        </w:rPr>
        <w:t>Paraiškoje teikiama indikacija „</w:t>
      </w:r>
      <w:r w:rsidRPr="007808AD">
        <w:t>Forxiga skiriama gydyti suaugusiesiems, sergantiems simptominiu lėtiniu širdies nepakankamumu su išsaugota išstūmimo frakcija (&gt;40%)“</w:t>
      </w:r>
      <w:r w:rsidRPr="007808AD">
        <w:rPr>
          <w:rFonts w:eastAsia="Arial"/>
        </w:rPr>
        <w:t xml:space="preserve">. Dapagliflozinas būtų skiriamas ŠN sergantiems pacientams su </w:t>
      </w:r>
      <w:r w:rsidRPr="007808AD">
        <w:t xml:space="preserve">išsaugota </w:t>
      </w:r>
      <w:r w:rsidRPr="007808AD">
        <w:rPr>
          <w:rFonts w:eastAsia="Arial"/>
        </w:rPr>
        <w:t>KSIF (&gt;40 proc.), t.y. HFmrEF ir HFpEF pacientams, kurie šiuo metu negauna jokio patogenezinio gydymo. SGLT2 inhibitorių skyrimas ŠN sergantiems pacientams, kai KSIF &gt;40 proc., nėra nurodytas tarptautinėse Europos Kardiologų draugijos (angl. European Society of Cardiology, ESC) 202</w:t>
      </w:r>
      <w:r w:rsidRPr="007808AD">
        <w:rPr>
          <w:rFonts w:eastAsia="Arial"/>
          <w:lang w:val="en-US"/>
        </w:rPr>
        <w:t>1</w:t>
      </w:r>
      <w:r w:rsidRPr="007808AD">
        <w:rPr>
          <w:rFonts w:eastAsia="Arial"/>
        </w:rPr>
        <w:t xml:space="preserve"> m. ŠN gydymo gairėse, kurios rekomenduoja simptomų korekcijai skirti diuretikų grupės preparatus (Paveikslas 1). Reikia paminėti, kad šios gairės buvo paskelbtos dar prieš pristatant DELIVER klinikinio tyrimo rezultatus. 2023 m. Europos Kardiologų Draugija pristatė 2021 m. gairių atnaujinimą, kuriame SGLT2 inhibitoriai tapo IA klasės rekomendacija.</w:t>
      </w:r>
    </w:p>
    <w:p w14:paraId="520B93EE" w14:textId="77777777" w:rsidR="00BB72F9" w:rsidRPr="007808AD" w:rsidRDefault="00BB72F9" w:rsidP="00BB72F9">
      <w:pPr>
        <w:ind w:firstLine="720"/>
        <w:jc w:val="both"/>
      </w:pPr>
      <w:r w:rsidRPr="007808AD">
        <w:rPr>
          <w:color w:val="000000"/>
          <w:lang w:eastAsia="lt-LT"/>
        </w:rPr>
        <w:t xml:space="preserve">2022 m. </w:t>
      </w:r>
      <w:r w:rsidRPr="007808AD">
        <w:rPr>
          <w:rFonts w:eastAsia="Arial"/>
        </w:rPr>
        <w:t>AHA/ACC/HFSA</w:t>
      </w:r>
      <w:r w:rsidRPr="007808AD">
        <w:rPr>
          <w:color w:val="000000"/>
          <w:lang w:eastAsia="lt-LT"/>
        </w:rPr>
        <w:t xml:space="preserve"> gairės</w:t>
      </w:r>
      <w:r w:rsidRPr="007808AD">
        <w:t xml:space="preserve"> nurodo, kad SGLT2 inhibitoriai turi IIA klasės rekomendaciją ir šios grupės vaistų skyrimas būtų naudingas siekiant sumažinti hospitalizacijų dažnį dėl ŠN ir mirtis nuo širdies ir kraujagyslių ligų</w:t>
      </w:r>
      <w:r w:rsidRPr="007808AD">
        <w:rPr>
          <w:i/>
          <w:iCs/>
        </w:rPr>
        <w:t xml:space="preserve">. </w:t>
      </w:r>
    </w:p>
    <w:p w14:paraId="2137024E" w14:textId="77777777" w:rsidR="00BB72F9" w:rsidRPr="007808AD" w:rsidRDefault="00BB72F9" w:rsidP="00BB72F9">
      <w:pPr>
        <w:tabs>
          <w:tab w:val="left" w:pos="426"/>
        </w:tabs>
        <w:jc w:val="both"/>
        <w:rPr>
          <w:rFonts w:eastAsia="Arial"/>
        </w:rPr>
      </w:pPr>
      <w:r w:rsidRPr="007808AD">
        <w:rPr>
          <w:bCs/>
          <w:color w:val="00B050"/>
          <w:lang w:eastAsia="lt-LT"/>
        </w:rPr>
        <w:tab/>
      </w:r>
      <w:r w:rsidRPr="007808AD">
        <w:rPr>
          <w:bCs/>
          <w:color w:val="00B050"/>
          <w:lang w:eastAsia="lt-LT"/>
        </w:rPr>
        <w:tab/>
      </w:r>
      <w:r w:rsidRPr="007808AD">
        <w:rPr>
          <w:bCs/>
          <w:lang w:eastAsia="lt-LT"/>
        </w:rPr>
        <w:t>Pagal Lietuvos Respublikos sveikatos apsaugos ministro 2002 m. balandžio 5 d. įsakymą Nr. V-159 „Dė</w:t>
      </w:r>
      <w:r w:rsidRPr="007808AD">
        <w:rPr>
          <w:bCs/>
        </w:rPr>
        <w:t xml:space="preserve">l vaistinių preparatų ir medicinos pagalbos priemonių įrašymo į kompensavimo sąrašus ir jų keitimo tvarkos aprašo patvirtinimo“ (116-119 pp.) tinkamas palyginamasis gydymas – placebas. </w:t>
      </w:r>
    </w:p>
    <w:p w14:paraId="438F21C4" w14:textId="77777777" w:rsidR="00BB72F9" w:rsidRPr="007808AD" w:rsidRDefault="00BB72F9" w:rsidP="00BB72F9">
      <w:pPr>
        <w:jc w:val="both"/>
        <w:rPr>
          <w:rFonts w:eastAsia="Arial"/>
          <w:i/>
          <w:sz w:val="22"/>
          <w:szCs w:val="22"/>
        </w:rPr>
      </w:pPr>
    </w:p>
    <w:p w14:paraId="650F2A5A" w14:textId="77777777" w:rsidR="00BB72F9" w:rsidRDefault="00BB72F9" w:rsidP="00BB72F9">
      <w:pPr>
        <w:tabs>
          <w:tab w:val="left" w:pos="492"/>
        </w:tabs>
        <w:jc w:val="both"/>
        <w:outlineLvl w:val="0"/>
        <w:rPr>
          <w:i/>
          <w:iCs/>
        </w:rPr>
      </w:pPr>
      <w:r w:rsidRPr="007808AD">
        <w:rPr>
          <w:i/>
          <w:iCs/>
        </w:rPr>
        <w:t>Tiesioginis palyginimas</w:t>
      </w:r>
    </w:p>
    <w:p w14:paraId="11D8A9D9" w14:textId="77777777" w:rsidR="00BB72F9" w:rsidRPr="007808AD" w:rsidRDefault="00BB72F9" w:rsidP="00BB72F9">
      <w:pPr>
        <w:tabs>
          <w:tab w:val="left" w:pos="492"/>
        </w:tabs>
        <w:jc w:val="both"/>
        <w:outlineLvl w:val="0"/>
        <w:rPr>
          <w:i/>
          <w:iCs/>
        </w:rPr>
      </w:pPr>
    </w:p>
    <w:p w14:paraId="3FF89391" w14:textId="77777777" w:rsidR="00BB72F9" w:rsidRPr="007808AD" w:rsidRDefault="00BB72F9" w:rsidP="00BB72F9">
      <w:pPr>
        <w:tabs>
          <w:tab w:val="left" w:pos="492"/>
        </w:tabs>
        <w:jc w:val="both"/>
        <w:outlineLvl w:val="0"/>
        <w:rPr>
          <w:szCs w:val="20"/>
        </w:rPr>
      </w:pPr>
      <w:r w:rsidRPr="007808AD">
        <w:tab/>
      </w:r>
      <w:r w:rsidRPr="007808AD">
        <w:tab/>
        <w:t>DELIVER – daugiacentris, atsitiktinių imčių, dvigubai aklas, kontroliuotas placebu III fazės klinikinis tyrimas, kuriame dalyvavo 40 metų ir vyresni pacientai, sirgę NYHA II-IV klasės širdies nepakankamumu su LVEF &gt; 40 %, kuriems buvo rasta širdies struktūros pažeidimą rodančių duomenų.</w:t>
      </w:r>
    </w:p>
    <w:p w14:paraId="3E42022F" w14:textId="77777777" w:rsidR="00BB72F9" w:rsidRPr="007808AD" w:rsidRDefault="00BB72F9" w:rsidP="00BB72F9">
      <w:pPr>
        <w:tabs>
          <w:tab w:val="left" w:pos="492"/>
        </w:tabs>
        <w:jc w:val="both"/>
        <w:outlineLvl w:val="1"/>
        <w:rPr>
          <w:rFonts w:eastAsia="Arial"/>
        </w:rPr>
      </w:pPr>
      <w:r w:rsidRPr="007808AD">
        <w:rPr>
          <w:rFonts w:eastAsia="Arial"/>
        </w:rPr>
        <w:tab/>
      </w:r>
      <w:r w:rsidRPr="007808AD">
        <w:rPr>
          <w:rFonts w:eastAsia="Arial"/>
        </w:rPr>
        <w:tab/>
        <w:t xml:space="preserve">Į tyrimą buvo įtraukti 40 metų ir vyresni pacientai, </w:t>
      </w:r>
      <w:r w:rsidRPr="00012D05">
        <w:rPr>
          <w:rFonts w:eastAsia="Arial"/>
        </w:rPr>
        <w:t xml:space="preserve">kuriems </w:t>
      </w:r>
      <w:r w:rsidRPr="00012D05">
        <w:rPr>
          <w:rFonts w:eastAsia="Arial"/>
          <w:bCs/>
        </w:rPr>
        <w:t xml:space="preserve">buvo nustatytas II-IV </w:t>
      </w:r>
      <w:r w:rsidRPr="00012D05">
        <w:rPr>
          <w:bCs/>
        </w:rPr>
        <w:t>funkcinės klasės pagal NYHA HFpEF</w:t>
      </w:r>
      <w:r w:rsidRPr="00012D05">
        <w:t xml:space="preserve">. </w:t>
      </w:r>
      <w:r w:rsidRPr="00012D05">
        <w:rPr>
          <w:rFonts w:eastAsia="Arial"/>
        </w:rPr>
        <w:t>Pacientų nušalinimo kriterijai buvo</w:t>
      </w:r>
      <w:r w:rsidRPr="007808AD">
        <w:rPr>
          <w:rFonts w:eastAsia="Arial"/>
        </w:rPr>
        <w:t xml:space="preserve"> tinkamai parinkti. Pacientų, dalyvavusių tyrime, populiacija atitinka Pareiškėjo siūlomą kompensuoti indikaciją ir skyrimo sąlygas Lietuvoje. </w:t>
      </w:r>
    </w:p>
    <w:p w14:paraId="055A9D1E" w14:textId="77777777" w:rsidR="00BB72F9" w:rsidRPr="007808AD" w:rsidRDefault="00BB72F9" w:rsidP="00BB72F9">
      <w:pPr>
        <w:tabs>
          <w:tab w:val="left" w:pos="426"/>
        </w:tabs>
        <w:jc w:val="both"/>
      </w:pPr>
      <w:r w:rsidRPr="007808AD">
        <w:rPr>
          <w:rFonts w:eastAsia="Arial"/>
          <w:b/>
        </w:rPr>
        <w:tab/>
      </w:r>
      <w:r w:rsidRPr="007808AD">
        <w:rPr>
          <w:rFonts w:eastAsia="Arial"/>
          <w:b/>
        </w:rPr>
        <w:tab/>
      </w:r>
      <w:r w:rsidRPr="007808AD">
        <w:t>Iš viso 6263 pacientai atsitiktine tvarka santykiu 1:1 buvo suskirstyti į grupes, kuriai buvo paskirtas dapagliflozinas (N</w:t>
      </w:r>
      <w:r w:rsidRPr="007808AD">
        <w:rPr>
          <w:lang w:val="en-US"/>
        </w:rPr>
        <w:t>=</w:t>
      </w:r>
      <w:r w:rsidRPr="007808AD">
        <w:t>3131) arba placebo (N=3132). Kontroliniai vizitai pavaizduoti tyrimo schemoje. Buvo skiriama fiksuota 10 mg dapagliflozino dozė, kuri buvo skiriama vartoti per burną. Randomizacija buvo stratifikuota pagal gretutinės ligos – 2 tipo CD – buvimą.</w:t>
      </w:r>
    </w:p>
    <w:p w14:paraId="004A4BCA" w14:textId="77777777" w:rsidR="00BB72F9" w:rsidRPr="007808AD" w:rsidRDefault="00BB72F9" w:rsidP="00BB72F9">
      <w:pPr>
        <w:tabs>
          <w:tab w:val="left" w:pos="426"/>
        </w:tabs>
        <w:jc w:val="both"/>
        <w:rPr>
          <w:rFonts w:eastAsia="Arial"/>
        </w:rPr>
      </w:pPr>
      <w:r w:rsidRPr="007808AD">
        <w:rPr>
          <w:rFonts w:eastAsia="Arial"/>
        </w:rPr>
        <w:tab/>
      </w:r>
      <w:r w:rsidRPr="007808AD">
        <w:rPr>
          <w:rFonts w:eastAsia="Arial"/>
        </w:rPr>
        <w:tab/>
        <w:t xml:space="preserve">Tyrimo </w:t>
      </w:r>
      <w:r w:rsidRPr="007808AD">
        <w:rPr>
          <w:rFonts w:eastAsia="Arial"/>
          <w:u w:val="single"/>
        </w:rPr>
        <w:t>pagrindinė</w:t>
      </w:r>
      <w:r w:rsidRPr="007808AD">
        <w:rPr>
          <w:rFonts w:eastAsia="Arial"/>
        </w:rPr>
        <w:t xml:space="preserve"> (pirminė) veiksmingumo vertinamoji </w:t>
      </w:r>
      <w:r w:rsidRPr="007808AD">
        <w:rPr>
          <w:rFonts w:eastAsia="Arial"/>
          <w:u w:val="single"/>
        </w:rPr>
        <w:t>baigtis</w:t>
      </w:r>
      <w:r w:rsidRPr="007808AD">
        <w:rPr>
          <w:rFonts w:eastAsia="Arial"/>
        </w:rPr>
        <w:t xml:space="preserve"> buvo laikas iki vienos iš sudėtinių vertinamųjų baigčių: 1. Mirties nuo širdies ir kraujagyslių ligų; 2. Hospitalizavimo dėl ŠN; 3. Skubaus vizito dėl ŠN.</w:t>
      </w:r>
    </w:p>
    <w:p w14:paraId="3D4A273A" w14:textId="77777777" w:rsidR="00BB72F9" w:rsidRPr="007808AD" w:rsidRDefault="00BB72F9" w:rsidP="00BB72F9">
      <w:pPr>
        <w:pStyle w:val="Default"/>
        <w:ind w:firstLine="720"/>
        <w:jc w:val="both"/>
        <w:rPr>
          <w:rFonts w:ascii="Times New Roman" w:hAnsi="Times New Roman" w:cs="Times New Roman"/>
        </w:rPr>
      </w:pPr>
      <w:r w:rsidRPr="007808AD">
        <w:rPr>
          <w:rFonts w:ascii="Times New Roman" w:hAnsi="Times New Roman" w:cs="Times New Roman"/>
        </w:rPr>
        <w:t xml:space="preserve">Tirtų pacientų amžiaus mediana buvo 72 metai, 56 proc. buvo vyrai. Pirminio vizito metu Dapagliflozino grupėje pacientų NYHA funkcinės klasės pasiskirstė taip: 73,9 proc. pacientų buvo nustatyta NYHA II klasė, 25,8 proc. – NYHA III klasė ir 0,3 proc. – NYHA IV klasė. Dapaglifloziną vartojusių grupėje KSIF pasiskirstė taip: ≤49 proc. pacientai: 34,1 proc. pacientų, 50-59 proc. – 36,2 proc., ≥60 proc. – 29,7 proc. Beveik 40,6 proc. pacientų, gavusių gydymą dapagliflozinu, buvo anksčiau stacionarizuoti dėl ŠN, 56,1 proc. turėjo PV/PP (iš jų 42,4 proc. PV/PP turėjo atrankos </w:t>
      </w:r>
      <w:r w:rsidRPr="007808AD">
        <w:rPr>
          <w:rFonts w:ascii="Times New Roman" w:hAnsi="Times New Roman" w:cs="Times New Roman"/>
        </w:rPr>
        <w:lastRenderedPageBreak/>
        <w:t>metu), 44,7 proc. 2 tipo CD diagnozuotas remiantis įtraukimo ir randomizacijos metu rasta HbA1c koncentracija ≥ 6,5 proc., 88 proc. pacientų turėjo AH, aGFG mediana buvo 61 ml/min./1,73 m</w:t>
      </w:r>
      <w:r w:rsidRPr="007808AD">
        <w:rPr>
          <w:rFonts w:ascii="Times New Roman" w:hAnsi="Times New Roman" w:cs="Times New Roman"/>
          <w:vertAlign w:val="superscript"/>
        </w:rPr>
        <w:t>2</w:t>
      </w:r>
      <w:r w:rsidRPr="007808AD">
        <w:rPr>
          <w:rFonts w:ascii="Times New Roman" w:hAnsi="Times New Roman" w:cs="Times New Roman"/>
        </w:rPr>
        <w:t>, 48,4 proc. pacientų aGFG buvo &lt;60 ml/min./1,73 m</w:t>
      </w:r>
      <w:r w:rsidRPr="007808AD">
        <w:rPr>
          <w:rFonts w:ascii="Times New Roman" w:hAnsi="Times New Roman" w:cs="Times New Roman"/>
          <w:vertAlign w:val="superscript"/>
        </w:rPr>
        <w:t>2</w:t>
      </w:r>
      <w:r w:rsidRPr="007808AD">
        <w:rPr>
          <w:rFonts w:ascii="Times New Roman" w:hAnsi="Times New Roman" w:cs="Times New Roman"/>
        </w:rPr>
        <w:t xml:space="preserve">. Pacientams taikytas gydymas dėl gretutinių ligų. Bendrai tyrime 78 proc. vartojo AKFI, ARB arba ARNI grupės vaistus, 82,8 proc. – BAB, 42,8 proc. MRA, 76,7 proc. – diuretiką. </w:t>
      </w:r>
    </w:p>
    <w:p w14:paraId="60CFA14E" w14:textId="77777777" w:rsidR="00BB72F9" w:rsidRPr="007808AD" w:rsidRDefault="00BB72F9" w:rsidP="00BB72F9">
      <w:pPr>
        <w:pStyle w:val="Default"/>
        <w:ind w:firstLine="720"/>
        <w:jc w:val="both"/>
        <w:rPr>
          <w:rFonts w:ascii="Times New Roman" w:hAnsi="Times New Roman" w:cs="Times New Roman"/>
        </w:rPr>
      </w:pPr>
      <w:r w:rsidRPr="007808AD">
        <w:rPr>
          <w:rFonts w:ascii="Times New Roman" w:hAnsi="Times New Roman" w:cs="Times New Roman"/>
        </w:rPr>
        <w:t>Vertinama, kad tyrime dalyvavę pacientai atitinka įprastą klinikinę praktiką Lietuvoje. Nepaisant to, kad didžioji dalis pacientų vartojo vaistus, kurie yra skiriami pacientams, kurie serga HFrEF ŠN gydymui, vertinama, kad įtraukti pacientai turi gretutinių ligų, kuriems šių grupių vaistai yra indikuotini. Taip pat paminėtina, kad esant subalansuotoms įtraukiamų pacientų charakteristikoms, vertinama, kad tyrimas tinkamas vertinti Dapagliflozino naudą.</w:t>
      </w:r>
    </w:p>
    <w:p w14:paraId="186C0F45" w14:textId="77777777" w:rsidR="00BB72F9" w:rsidRPr="007808AD" w:rsidRDefault="00BB72F9" w:rsidP="00BB72F9">
      <w:pPr>
        <w:pStyle w:val="Default"/>
        <w:ind w:firstLine="720"/>
        <w:jc w:val="both"/>
        <w:rPr>
          <w:rFonts w:ascii="Times New Roman" w:hAnsi="Times New Roman" w:cs="Times New Roman"/>
        </w:rPr>
      </w:pPr>
      <w:r w:rsidRPr="007808AD">
        <w:rPr>
          <w:rFonts w:ascii="Times New Roman" w:hAnsi="Times New Roman" w:cs="Times New Roman"/>
        </w:rPr>
        <w:t>Bendroje populiacijoje pirminė baigtis pasireiškė 512 pacientų (16,4 proc.) dapagliflozino grupėje ir 610 pacientų (19,5 proc.) placebo grupėje. Pirminės baigties analizė rodo, kad dapagliflozinas geriau už placebą apsaugojo nuo pagrindinės sudėtinės vertinamosios baigties, kurią sudarė mirtys nuo širdies ir kraujagyslių ligų bei hospitalizacijos ir skubūs vizitai dėl ŠN (rizikos santykis [RS] = 0,82, 95 proc. PI – nuo 0,73 iki 0,92; p&lt;0,001). Šis poveikis pasireiškė anksti ir išliko viso tyrimo metu.</w:t>
      </w:r>
    </w:p>
    <w:p w14:paraId="04928D0E" w14:textId="4EDF770A" w:rsidR="00BB72F9" w:rsidRPr="007808AD" w:rsidRDefault="00BB72F9" w:rsidP="00BB72F9">
      <w:pPr>
        <w:pStyle w:val="Default"/>
        <w:ind w:firstLine="720"/>
        <w:jc w:val="both"/>
        <w:rPr>
          <w:rFonts w:ascii="Times New Roman" w:hAnsi="Times New Roman" w:cs="Times New Roman"/>
        </w:rPr>
      </w:pPr>
      <w:r w:rsidRPr="007808AD">
        <w:rPr>
          <w:rFonts w:ascii="Times New Roman" w:hAnsi="Times New Roman" w:cs="Times New Roman"/>
        </w:rPr>
        <w:t>Didžiausią įtaką pirminei sudėtinei baigčiai turėjo stacionarizavimas dėl ŠN (RS=0,79, 95 proc. PI 0,69; 0,91) ar skubus vizitas pas gydytoją dėl ŠN paūmėjimo (RS=0,77, 95 proc. PI 0,67; 0,89), tačiau mirtys nuo širdies ir kraujagyslių ligų neturėjo statistinio reikšmingo skirtumo tarp šių grupių (</w:t>
      </w:r>
      <w:r w:rsidR="00764D07">
        <w:rPr>
          <w:rFonts w:ascii="Times New Roman" w:hAnsi="Times New Roman" w:cs="Times New Roman"/>
        </w:rPr>
        <w:t>***</w:t>
      </w:r>
      <w:r w:rsidRPr="007808AD">
        <w:rPr>
          <w:rFonts w:ascii="Times New Roman" w:hAnsi="Times New Roman" w:cs="Times New Roman"/>
        </w:rPr>
        <w:t>). Kitos vertinamosios baigtys buvo:</w:t>
      </w:r>
    </w:p>
    <w:p w14:paraId="053A1467" w14:textId="77777777" w:rsidR="00BB72F9" w:rsidRPr="007808AD" w:rsidRDefault="00BB72F9" w:rsidP="00BB72F9">
      <w:pPr>
        <w:ind w:firstLine="720"/>
        <w:jc w:val="both"/>
      </w:pPr>
      <w:r w:rsidRPr="007808AD">
        <w:rPr>
          <w:rFonts w:eastAsia="Arial"/>
          <w:color w:val="000000" w:themeColor="text1"/>
        </w:rPr>
        <w:t>Analizuojant pacientų pogrupius (pvz., sudarytus pagal amžių, lytį, rasę, NYHA funkcinę klasę, KSIF, NT-proBNP lygį įtraukimo metu, aterinį kraujo spaudimą, inkstų f-jos rodiklius, gretutines ligas) nustatyta, kad d</w:t>
      </w:r>
      <w:r w:rsidRPr="007808AD">
        <w:t>apagliflozinas sumažino pagrindinės sudėtinės vertinamosios baigties (kardiovaskulinių mirčių ir širdies nepakankamumo pasunkėjimo) atvejų riziką tiek cukriniu diabetu sirgusiems (RS = 0,83, 95 proc. PI – nuo 0,70 iki 0,97), tiek juo nesirgusiems (0,81, 95 proc. PI – nuo 0,68 iki 0,96) pacientams. Dapagliflozino poveikio pagrindinei baigčiai pranašumas prieš placebą nustatytas LVEF  50-59 proc. ir ≥ 60 proc. pogrupiuose, tendencija buvo matyta ir KSIF 40-49 proc. pogrupyje. Jis nuosekliai atsikartojo ir kituose pagrindiniuose pogrupiuose, sudarytuose, pvz., pagal amžių, lytį, NYHA klasę, PV/PP buvimą.</w:t>
      </w:r>
    </w:p>
    <w:p w14:paraId="202D5D61" w14:textId="77777777" w:rsidR="00BB72F9" w:rsidRPr="007808AD" w:rsidRDefault="00BB72F9" w:rsidP="00BB72F9">
      <w:pPr>
        <w:tabs>
          <w:tab w:val="left" w:pos="426"/>
        </w:tabs>
        <w:jc w:val="both"/>
        <w:outlineLvl w:val="0"/>
      </w:pPr>
      <w:r w:rsidRPr="007808AD">
        <w:tab/>
      </w:r>
      <w:r w:rsidRPr="007808AD">
        <w:tab/>
        <w:t>Pacientų pranešta baigtis – ŠN simptomai. Dapagliflozino gydomasis poveikis ŠN simptomams vertintas pagal Kanzaso kardiomiopatijos klausimyno bendrąjį simptomų rodiklį (angl. Questionnaire Total Symptom Score of the Kansas City Cardiomyopathy Questionnaire, KCCQ-TSS), į kurį įtrauktas ŠN simptomų (nuovargio, periferinės edemos, dusulio ir ortopnėjos) pasireiškimo dažnis ir sunkumas. Šio rodiklio diapazonas yra nuo 0 iki 100, didesnis rodiklis rodo geresnę sveikatos būklę (mažesnį simptomų pasireiškimą).</w:t>
      </w:r>
    </w:p>
    <w:p w14:paraId="0764214B" w14:textId="77777777" w:rsidR="00BB72F9" w:rsidRPr="007808AD" w:rsidRDefault="00BB72F9" w:rsidP="00BB72F9">
      <w:pPr>
        <w:tabs>
          <w:tab w:val="left" w:pos="426"/>
        </w:tabs>
        <w:jc w:val="both"/>
        <w:outlineLvl w:val="0"/>
      </w:pPr>
      <w:r w:rsidRPr="007808AD">
        <w:tab/>
      </w:r>
      <w:r w:rsidRPr="007808AD">
        <w:tab/>
        <w:t>Dapagliflozinas, palyginus su placebu, statistiškai reikšmingai palengvino širdies nepakankamumo simptomus įvertinus pagal KCCQ-TSS pokytį per pirmuosius 8 mėnesius (palankaus poveikis tikimybės santykis – 1,11 [95 proc. PI 1,03; 1,21], p = 0,0086). Įtakos šiems duomenims turėjo simptomų pasireiškimo suretėjimas ir simptomų palengvėjimas. Placebo koreguotas vidutinis pokytis tarp buvo 2,4 balo (95 proc. PI 1,5; 3,4)</w:t>
      </w:r>
    </w:p>
    <w:p w14:paraId="0276B8CF" w14:textId="275DDF90" w:rsidR="00BB72F9" w:rsidRDefault="00BB72F9" w:rsidP="00BB72F9">
      <w:pPr>
        <w:pStyle w:val="ListParagraph"/>
        <w:tabs>
          <w:tab w:val="left" w:pos="426"/>
        </w:tabs>
        <w:ind w:left="0"/>
        <w:jc w:val="both"/>
      </w:pPr>
      <w:r w:rsidRPr="007808AD">
        <w:tab/>
      </w:r>
      <w:r w:rsidRPr="007808AD">
        <w:tab/>
        <w:t>Nagrinėjant į gydymą reagavusių pacientų duomenis nustatyta, kad per pirmuosius 8 mėnesius vidutiniškai (≥ 5 balai) arba smarkiai (≥ 14 balų) pablogėjo mažesnės dapagliflozino grupės pacientų dalies KCCQ-TSS rodiklis negu placebo. Vidutinį pablogėjimą patyrė 24,1 % dapaglifloziną ir 29,1 % placebą vartojusių pacientų (šansų santykis [ŠS] – 0,78 [95 proc. PI – 0,64, 0,95]), o didelį pablogėjimą – atitinkamai 13,5 % ir 18,4 % pacientų (ŠS 0,70 [95 % PI – 0,55, 0,88]). Pacientų, kurių būklė šiek tiek ar vidutiniškai (≥ 13 balų) arba labai (≥ 17 balų) pagerėjo, dalis tarp gydymo grupių nesiskyrė.</w:t>
      </w:r>
    </w:p>
    <w:p w14:paraId="6C3F443D" w14:textId="77777777" w:rsidR="00BB72F9" w:rsidRPr="00E33EFF" w:rsidRDefault="00BB72F9" w:rsidP="00BB72F9">
      <w:pPr>
        <w:pStyle w:val="ListParagraph"/>
        <w:tabs>
          <w:tab w:val="left" w:pos="426"/>
        </w:tabs>
        <w:ind w:left="0"/>
        <w:jc w:val="both"/>
        <w:rPr>
          <w:b/>
          <w:bCs/>
          <w:caps/>
        </w:rPr>
      </w:pPr>
    </w:p>
    <w:p w14:paraId="7DE09EB5" w14:textId="69E9DD74" w:rsidR="00E03C3F" w:rsidRPr="00E33EFF" w:rsidRDefault="00CC7832" w:rsidP="00BB72F9">
      <w:pPr>
        <w:pStyle w:val="ListParagraph"/>
        <w:numPr>
          <w:ilvl w:val="0"/>
          <w:numId w:val="12"/>
        </w:numPr>
        <w:tabs>
          <w:tab w:val="left" w:pos="567"/>
        </w:tabs>
        <w:ind w:hanging="720"/>
        <w:jc w:val="both"/>
        <w:rPr>
          <w:b/>
          <w:bCs/>
          <w:caps/>
        </w:rPr>
      </w:pPr>
      <w:r w:rsidRPr="00E33EFF">
        <w:rPr>
          <w:b/>
          <w:bCs/>
          <w:caps/>
        </w:rPr>
        <w:t xml:space="preserve">ekonominio vertinimo </w:t>
      </w:r>
      <w:r w:rsidR="002F0E4F" w:rsidRPr="00E33EFF">
        <w:rPr>
          <w:b/>
          <w:bCs/>
          <w:caps/>
        </w:rPr>
        <w:t>apibendrinimas</w:t>
      </w:r>
    </w:p>
    <w:p w14:paraId="1A900598" w14:textId="25F85729" w:rsidR="00C62B36" w:rsidRDefault="00C62B36" w:rsidP="00BB72F9">
      <w:pPr>
        <w:tabs>
          <w:tab w:val="left" w:pos="284"/>
        </w:tabs>
        <w:jc w:val="both"/>
        <w:rPr>
          <w:i/>
          <w:color w:val="00B050"/>
          <w:sz w:val="22"/>
          <w:szCs w:val="22"/>
        </w:rPr>
      </w:pPr>
    </w:p>
    <w:p w14:paraId="72D9160D" w14:textId="77777777" w:rsidR="004277F5" w:rsidRDefault="004277F5" w:rsidP="004277F5">
      <w:pPr>
        <w:shd w:val="clear" w:color="auto" w:fill="FFFFFF"/>
        <w:spacing w:line="276" w:lineRule="auto"/>
        <w:jc w:val="both"/>
        <w:rPr>
          <w:iCs/>
          <w:lang w:eastAsia="lt-LT"/>
        </w:rPr>
      </w:pPr>
      <w:r>
        <w:rPr>
          <w:iCs/>
          <w:lang w:eastAsia="lt-LT"/>
        </w:rPr>
        <w:t xml:space="preserve">Vertinimui pateikta kaštų naudingumo analizė, nagrinėjant pacientus, sergančius lėtiniu širdies nepakankamumu su &gt;40 proc. išmetimo frakcija. Nagrinėjamas dapagliflozino veiksmingumas šiai </w:t>
      </w:r>
      <w:r>
        <w:rPr>
          <w:iCs/>
          <w:lang w:eastAsia="lt-LT"/>
        </w:rPr>
        <w:lastRenderedPageBreak/>
        <w:t>pacientų populiacijai, palyginus su standartine klinikine praktika. Analizė atliekama iš PSDF biudžeto mokėtojo perspektyvos įtraukiami tik tiesiogiai su sveikatos priežiūra susiję kaštai. Taikoma viso gyvenimo laiko perspektyva, taikoma laiko perspektyva yra tinkama.</w:t>
      </w:r>
    </w:p>
    <w:p w14:paraId="0D2FD32F" w14:textId="77777777" w:rsidR="004277F5" w:rsidRDefault="004277F5" w:rsidP="004277F5">
      <w:pPr>
        <w:shd w:val="clear" w:color="auto" w:fill="FFFFFF"/>
        <w:spacing w:line="276" w:lineRule="auto"/>
        <w:jc w:val="both"/>
        <w:rPr>
          <w:iCs/>
          <w:lang w:eastAsia="lt-LT"/>
        </w:rPr>
      </w:pPr>
    </w:p>
    <w:p w14:paraId="7EC55942" w14:textId="77777777" w:rsidR="004277F5" w:rsidRPr="009A62B3" w:rsidRDefault="004277F5" w:rsidP="004277F5">
      <w:pPr>
        <w:tabs>
          <w:tab w:val="left" w:pos="567"/>
        </w:tabs>
        <w:jc w:val="both"/>
        <w:rPr>
          <w:bCs/>
          <w:color w:val="000000"/>
          <w:lang w:eastAsia="lt-LT"/>
        </w:rPr>
      </w:pPr>
      <w:r w:rsidRPr="009A62B3">
        <w:rPr>
          <w:bCs/>
          <w:color w:val="000000"/>
          <w:lang w:eastAsia="lt-LT"/>
        </w:rPr>
        <w:t>Tarnyba atliko ekonominės analizės rezultato perskaičiavimą, pakoregavus šias prielaidas:</w:t>
      </w:r>
    </w:p>
    <w:p w14:paraId="73FE391A" w14:textId="77777777" w:rsidR="004277F5" w:rsidRPr="009A62B3" w:rsidRDefault="004277F5" w:rsidP="004277F5">
      <w:pPr>
        <w:tabs>
          <w:tab w:val="left" w:pos="567"/>
        </w:tabs>
        <w:jc w:val="both"/>
        <w:rPr>
          <w:bCs/>
          <w:color w:val="000000"/>
          <w:lang w:eastAsia="lt-LT"/>
        </w:rPr>
      </w:pPr>
    </w:p>
    <w:p w14:paraId="7AE18BA9" w14:textId="5249A20D" w:rsidR="004277F5" w:rsidRPr="004E6C29" w:rsidRDefault="009B45F5" w:rsidP="004277F5">
      <w:pPr>
        <w:pStyle w:val="ListParagraph"/>
        <w:numPr>
          <w:ilvl w:val="0"/>
          <w:numId w:val="13"/>
        </w:numPr>
        <w:tabs>
          <w:tab w:val="left" w:pos="567"/>
        </w:tabs>
        <w:jc w:val="both"/>
        <w:rPr>
          <w:bCs/>
          <w:color w:val="000000"/>
          <w:lang w:eastAsia="lt-LT"/>
        </w:rPr>
      </w:pPr>
      <w:r w:rsidRPr="004E6C29">
        <w:rPr>
          <w:bCs/>
          <w:color w:val="000000"/>
          <w:lang w:eastAsia="lt-LT"/>
        </w:rPr>
        <w:t>***</w:t>
      </w:r>
    </w:p>
    <w:p w14:paraId="39B7BDEB" w14:textId="3A7A9221" w:rsidR="004277F5" w:rsidRPr="004E6C29" w:rsidRDefault="009B45F5" w:rsidP="004277F5">
      <w:pPr>
        <w:pStyle w:val="ListParagraph"/>
        <w:numPr>
          <w:ilvl w:val="0"/>
          <w:numId w:val="13"/>
        </w:numPr>
        <w:tabs>
          <w:tab w:val="left" w:pos="567"/>
        </w:tabs>
        <w:jc w:val="both"/>
        <w:rPr>
          <w:bCs/>
          <w:color w:val="000000"/>
          <w:lang w:eastAsia="lt-LT"/>
        </w:rPr>
      </w:pPr>
      <w:r w:rsidRPr="004E6C29">
        <w:rPr>
          <w:bCs/>
          <w:color w:val="000000"/>
          <w:lang w:eastAsia="lt-LT"/>
        </w:rPr>
        <w:t>***</w:t>
      </w:r>
    </w:p>
    <w:p w14:paraId="58FDAD06" w14:textId="70509818" w:rsidR="004277F5" w:rsidRPr="004E6C29" w:rsidRDefault="009B45F5" w:rsidP="004277F5">
      <w:pPr>
        <w:pStyle w:val="ListParagraph"/>
        <w:numPr>
          <w:ilvl w:val="0"/>
          <w:numId w:val="13"/>
        </w:numPr>
        <w:tabs>
          <w:tab w:val="left" w:pos="567"/>
        </w:tabs>
        <w:jc w:val="both"/>
        <w:rPr>
          <w:bCs/>
          <w:color w:val="000000"/>
          <w:lang w:eastAsia="lt-LT"/>
        </w:rPr>
      </w:pPr>
      <w:r w:rsidRPr="004E6C29">
        <w:rPr>
          <w:bCs/>
          <w:color w:val="000000"/>
          <w:lang w:eastAsia="lt-LT"/>
        </w:rPr>
        <w:t>***</w:t>
      </w:r>
    </w:p>
    <w:p w14:paraId="16E3920E" w14:textId="77777777" w:rsidR="004277F5" w:rsidRPr="009A62B3" w:rsidRDefault="004277F5" w:rsidP="004277F5">
      <w:pPr>
        <w:pStyle w:val="ListParagraph"/>
        <w:tabs>
          <w:tab w:val="left" w:pos="567"/>
        </w:tabs>
        <w:jc w:val="both"/>
        <w:rPr>
          <w:bCs/>
          <w:color w:val="000000"/>
          <w:lang w:eastAsia="lt-LT"/>
        </w:rPr>
      </w:pPr>
    </w:p>
    <w:p w14:paraId="3366D284" w14:textId="571335B0" w:rsidR="004277F5" w:rsidRPr="009C223A" w:rsidRDefault="004277F5" w:rsidP="004277F5">
      <w:pPr>
        <w:shd w:val="clear" w:color="auto" w:fill="FFFFFF"/>
        <w:spacing w:line="276" w:lineRule="auto"/>
        <w:rPr>
          <w:iCs/>
          <w:lang w:eastAsia="lt-LT"/>
        </w:rPr>
      </w:pPr>
      <w:r w:rsidRPr="009A62B3">
        <w:rPr>
          <w:iCs/>
          <w:lang w:eastAsia="lt-LT"/>
        </w:rPr>
        <w:t xml:space="preserve">Pateikus analizės rezultatą, nustatyta, </w:t>
      </w:r>
      <w:r w:rsidR="00042475">
        <w:rPr>
          <w:iCs/>
          <w:lang w:eastAsia="lt-LT"/>
        </w:rPr>
        <w:t>***</w:t>
      </w:r>
      <w:r w:rsidR="002B44F5">
        <w:rPr>
          <w:iCs/>
          <w:lang w:eastAsia="lt-LT"/>
        </w:rPr>
        <w:t>***</w:t>
      </w:r>
      <w:r>
        <w:rPr>
          <w:iCs/>
          <w:lang w:eastAsia="lt-LT"/>
        </w:rPr>
        <w:t>.</w:t>
      </w:r>
    </w:p>
    <w:p w14:paraId="31992AC5" w14:textId="77777777" w:rsidR="004277F5" w:rsidRPr="00E33EFF" w:rsidRDefault="004277F5" w:rsidP="004277F5">
      <w:pPr>
        <w:tabs>
          <w:tab w:val="left" w:pos="284"/>
        </w:tabs>
        <w:rPr>
          <w:b/>
          <w:bCs/>
          <w:caps/>
        </w:rPr>
      </w:pPr>
    </w:p>
    <w:p w14:paraId="174D84D7" w14:textId="2A98EE7C" w:rsidR="0035172D" w:rsidRPr="00E33EFF" w:rsidRDefault="0035172D" w:rsidP="00A93AA6">
      <w:pPr>
        <w:tabs>
          <w:tab w:val="left" w:pos="426"/>
        </w:tabs>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4277F5">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9" w:type="dxa"/>
            <w:tcBorders>
              <w:right w:val="single" w:sz="4" w:space="0" w:color="auto"/>
            </w:tcBorders>
          </w:tcPr>
          <w:p w14:paraId="1CACF0B4" w14:textId="52B86164" w:rsidR="00BA5DBC" w:rsidRPr="004E6C29" w:rsidRDefault="004E6C29" w:rsidP="00BA5DBC">
            <w:pPr>
              <w:tabs>
                <w:tab w:val="left" w:pos="567"/>
              </w:tabs>
              <w:jc w:val="both"/>
              <w:rPr>
                <w:i/>
                <w:iCs/>
                <w:lang w:eastAsia="lt-LT"/>
              </w:rPr>
            </w:pPr>
            <w:r w:rsidRPr="004E6C29">
              <w:rPr>
                <w:i/>
                <w:iCs/>
                <w:lang w:eastAsia="lt-LT"/>
              </w:rPr>
              <w:t>***</w:t>
            </w:r>
          </w:p>
        </w:tc>
      </w:tr>
      <w:tr w:rsidR="00BA5DBC" w:rsidRPr="00E33EFF" w14:paraId="20ADA742" w14:textId="77777777" w:rsidTr="004277F5">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9" w:type="dxa"/>
            <w:tcBorders>
              <w:right w:val="single" w:sz="4" w:space="0" w:color="auto"/>
            </w:tcBorders>
          </w:tcPr>
          <w:p w14:paraId="02E4DAE1" w14:textId="51E8B0FD" w:rsidR="00BA5DBC" w:rsidRPr="004E6C29" w:rsidRDefault="004E6C29" w:rsidP="00BA5DBC">
            <w:pPr>
              <w:tabs>
                <w:tab w:val="left" w:pos="567"/>
              </w:tabs>
              <w:jc w:val="both"/>
              <w:rPr>
                <w:i/>
                <w:iCs/>
                <w:lang w:eastAsia="lt-LT"/>
              </w:rPr>
            </w:pPr>
            <w:r w:rsidRPr="004E6C29">
              <w:rPr>
                <w:i/>
                <w:iCs/>
                <w:lang w:eastAsia="lt-LT"/>
              </w:rPr>
              <w:t>***</w:t>
            </w:r>
          </w:p>
        </w:tc>
      </w:tr>
      <w:tr w:rsidR="009E44AE" w:rsidRPr="00E33EFF" w14:paraId="250DE960" w14:textId="77777777" w:rsidTr="004277F5">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9" w:type="dxa"/>
            <w:tcBorders>
              <w:right w:val="single" w:sz="4" w:space="0" w:color="auto"/>
            </w:tcBorders>
          </w:tcPr>
          <w:p w14:paraId="4275320D" w14:textId="450A8D15" w:rsidR="009E44AE" w:rsidRPr="004E6C29" w:rsidRDefault="004E6C29" w:rsidP="009E44AE">
            <w:pPr>
              <w:tabs>
                <w:tab w:val="left" w:pos="567"/>
              </w:tabs>
              <w:jc w:val="both"/>
              <w:rPr>
                <w:i/>
                <w:iCs/>
                <w:lang w:eastAsia="lt-LT"/>
              </w:rPr>
            </w:pPr>
            <w:r w:rsidRPr="004E6C29">
              <w:rPr>
                <w:i/>
                <w:iCs/>
                <w:lang w:eastAsia="lt-LT"/>
              </w:rPr>
              <w:t>***</w:t>
            </w:r>
          </w:p>
        </w:tc>
      </w:tr>
      <w:tr w:rsidR="009E44AE" w:rsidRPr="00E33EFF" w14:paraId="2C4C68BA" w14:textId="77777777" w:rsidTr="004277F5">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31DAA72E" w14:textId="672D206E" w:rsidR="009E44AE" w:rsidRPr="004E6C29" w:rsidRDefault="004E6C29" w:rsidP="009E44AE">
            <w:pPr>
              <w:tabs>
                <w:tab w:val="left" w:pos="567"/>
              </w:tabs>
              <w:jc w:val="both"/>
              <w:rPr>
                <w:i/>
                <w:iCs/>
                <w:lang w:eastAsia="lt-LT"/>
              </w:rPr>
            </w:pPr>
            <w:r w:rsidRPr="004E6C29">
              <w:rPr>
                <w:i/>
                <w:iCs/>
                <w:lang w:eastAsia="lt-LT"/>
              </w:rPr>
              <w:t>***</w:t>
            </w:r>
          </w:p>
        </w:tc>
      </w:tr>
    </w:tbl>
    <w:p w14:paraId="5FC8C737" w14:textId="18321576"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004277F5">
        <w:rPr>
          <w:iCs/>
          <w:sz w:val="20"/>
          <w:lang w:eastAsia="lt-LT"/>
        </w:rPr>
        <w:t>;</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77777777" w:rsidR="0035172D" w:rsidRPr="00E33EFF" w:rsidRDefault="0035172D" w:rsidP="00A93AA6">
      <w:pPr>
        <w:tabs>
          <w:tab w:val="left" w:pos="426"/>
        </w:tabs>
        <w:rPr>
          <w:b/>
          <w:bCs/>
          <w:caps/>
        </w:rPr>
      </w:pPr>
    </w:p>
    <w:p w14:paraId="4FC424F9" w14:textId="4E76724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2B44F5"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25547735" w:rsidR="00937907" w:rsidRPr="00E33EFF" w:rsidRDefault="002B44F5"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BB72F9">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9A62B3" w:rsidRDefault="00C62B36" w:rsidP="00CC09D4">
      <w:pPr>
        <w:pStyle w:val="ListParagraph"/>
        <w:numPr>
          <w:ilvl w:val="0"/>
          <w:numId w:val="12"/>
        </w:numPr>
        <w:tabs>
          <w:tab w:val="left" w:pos="567"/>
        </w:tabs>
        <w:ind w:hanging="720"/>
        <w:rPr>
          <w:b/>
          <w:bCs/>
          <w:caps/>
        </w:rPr>
      </w:pPr>
      <w:r w:rsidRPr="009A62B3">
        <w:rPr>
          <w:b/>
          <w:bCs/>
          <w:caps/>
        </w:rPr>
        <w:t>Gydytojų organizacijų pateikti duomenys</w:t>
      </w:r>
    </w:p>
    <w:p w14:paraId="389A346C" w14:textId="7B8FF3D6" w:rsidR="00937907" w:rsidRPr="009A62B3" w:rsidRDefault="002B44F5"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BB72F9" w:rsidRPr="009A62B3">
            <w:rPr>
              <w:rStyle w:val="Style2"/>
              <w:rFonts w:ascii="MS Gothic" w:eastAsia="MS Gothic" w:hAnsi="MS Gothic" w:hint="eastAsia"/>
              <w:sz w:val="24"/>
            </w:rPr>
            <w:t>☐</w:t>
          </w:r>
        </w:sdtContent>
      </w:sdt>
      <w:r w:rsidR="00662983" w:rsidRPr="009A62B3">
        <w:t xml:space="preserve"> </w:t>
      </w:r>
      <w:r w:rsidR="00937907" w:rsidRPr="009A62B3">
        <w:t xml:space="preserve">Gydytojų specialistų organizacijos pozicija pateikta. </w:t>
      </w:r>
      <w:r w:rsidR="00662983" w:rsidRPr="009A62B3">
        <w:t>Žr. priedą</w:t>
      </w:r>
      <w:r w:rsidR="00937907" w:rsidRPr="009A62B3">
        <w:t>.</w:t>
      </w:r>
    </w:p>
    <w:p w14:paraId="5D8CC48C" w14:textId="2AADD684" w:rsidR="00662983" w:rsidRPr="00E33EFF" w:rsidRDefault="002B44F5"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9A62B3">
            <w:rPr>
              <w:rStyle w:val="Style2"/>
              <w:rFonts w:ascii="MS Gothic" w:eastAsia="MS Gothic" w:hAnsi="MS Gothic" w:hint="eastAsia"/>
              <w:sz w:val="24"/>
            </w:rPr>
            <w:t>☒</w:t>
          </w:r>
        </w:sdtContent>
      </w:sdt>
      <w:r w:rsidR="00662983" w:rsidRPr="009A62B3">
        <w:t xml:space="preserve"> </w:t>
      </w:r>
      <w:r w:rsidR="00937907" w:rsidRPr="009A62B3">
        <w:t xml:space="preserve">Gydytojų specialistų organizacijos pozicija </w:t>
      </w:r>
      <w:r w:rsidR="00880A44" w:rsidRPr="009A62B3">
        <w:t>ne</w:t>
      </w:r>
      <w:r w:rsidR="00937907" w:rsidRPr="009A62B3">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0901279C" w:rsidR="0061611B" w:rsidRPr="00E33EFF" w:rsidRDefault="0061611B" w:rsidP="0061611B">
      <w:pPr>
        <w:rPr>
          <w:i/>
          <w:color w:val="00B050"/>
          <w:szCs w:val="22"/>
        </w:rPr>
      </w:pPr>
    </w:p>
    <w:tbl>
      <w:tblPr>
        <w:tblStyle w:val="TableGrid"/>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6ED0A98C"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EndPr>
                <w:rPr>
                  <w:rStyle w:val="Style2"/>
                </w:rPr>
              </w:sdtEndPr>
              <w:sdtContent>
                <w:r w:rsidR="00BB72F9">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2B44F5"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Klinikinis veiksmingumas</w:t>
            </w:r>
          </w:p>
        </w:tc>
      </w:tr>
      <w:tr w:rsidR="00B13D65" w:rsidRPr="00E33EFF" w14:paraId="3C60570A" w14:textId="77777777" w:rsidTr="0061611B">
        <w:tc>
          <w:tcPr>
            <w:tcW w:w="4815" w:type="dxa"/>
          </w:tcPr>
          <w:p w14:paraId="6897B306" w14:textId="267420DF"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EndPr>
                <w:rPr>
                  <w:rStyle w:val="Style2"/>
                </w:rPr>
              </w:sdtEndPr>
              <w:sdtContent>
                <w:r w:rsidR="00BB72F9">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2B44F5" w:rsidP="00662983">
            <w:pPr>
              <w:jc w:val="both"/>
            </w:pPr>
            <w:sdt>
              <w:sdtPr>
                <w:rPr>
                  <w:rStyle w:val="Style2"/>
                  <w:sz w:val="24"/>
                </w:rPr>
                <w:id w:val="-1034573056"/>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2B44F5" w:rsidP="00BD1E5A">
            <w:pPr>
              <w:jc w:val="both"/>
            </w:pPr>
            <w:sdt>
              <w:sdtPr>
                <w:rPr>
                  <w:rStyle w:val="Style2"/>
                  <w:sz w:val="24"/>
                </w:rPr>
                <w:id w:val="1289549109"/>
                <w15:color w:val="FFCC00"/>
                <w14:checkbox>
                  <w14:checked w14:val="0"/>
                  <w14:checkedState w14:val="2612" w14:font="MS Gothic"/>
                  <w14:uncheckedState w14:val="2610" w14:font="MS Gothic"/>
                </w14:checkbox>
              </w:sdtPr>
              <w:sdtEndPr>
                <w:rPr>
                  <w:rStyle w:val="Style2"/>
                </w:rPr>
              </w:sdtEnd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Kaštų naudingumas</w:t>
            </w:r>
          </w:p>
        </w:tc>
      </w:tr>
      <w:tr w:rsidR="00B13D65" w:rsidRPr="00E33EFF" w14:paraId="7091A05B" w14:textId="77777777" w:rsidTr="0061611B">
        <w:tc>
          <w:tcPr>
            <w:tcW w:w="4815" w:type="dxa"/>
          </w:tcPr>
          <w:p w14:paraId="69B2A994" w14:textId="1B6502FD"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0"/>
                  <w14:checkedState w14:val="2612" w14:font="MS Gothic"/>
                  <w14:uncheckedState w14:val="2610" w14:font="MS Gothic"/>
                </w14:checkbox>
              </w:sdtPr>
              <w:sdtEndPr>
                <w:rPr>
                  <w:rStyle w:val="Style2"/>
                </w:rPr>
              </w:sdtEndPr>
              <w:sdtContent>
                <w:r w:rsidR="00A06DBB" w:rsidRPr="00E33EFF">
                  <w:rPr>
                    <w:rStyle w:val="Style2"/>
                    <w:rFonts w:ascii="MS Gothic" w:eastAsia="MS Gothic" w:hAnsi="MS Gothic" w:hint="eastAsia"/>
                    <w:sz w:val="24"/>
                  </w:rPr>
                  <w:t>☐</w:t>
                </w:r>
              </w:sdtContent>
            </w:sdt>
            <w:r w:rsidR="00B13D65" w:rsidRPr="00E33EFF">
              <w:t xml:space="preserve"> 32.3. atitinka referencinę naudingumo vertę, </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67DB0EB1"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nesiskiriančiam palyginamajam efektyvumui, </w:t>
            </w:r>
            <w:r w:rsidR="00B00959" w:rsidRPr="00E33EFF">
              <w:t>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42C0CCED"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1"/>
                  <w14:checkedState w14:val="2612" w14:font="MS Gothic"/>
                  <w14:uncheckedState w14:val="2610" w14:font="MS Gothic"/>
                </w14:checkbox>
              </w:sdtPr>
              <w:sdtEndPr>
                <w:rPr>
                  <w:rStyle w:val="Style2"/>
                </w:rPr>
              </w:sdtEndPr>
              <w:sdtContent>
                <w:r w:rsidR="001F439B">
                  <w:rPr>
                    <w:rStyle w:val="Style2"/>
                    <w:rFonts w:ascii="MS Gothic" w:eastAsia="MS Gothic" w:hAnsi="MS Gothic" w:hint="eastAsia"/>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0F302887"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nesiskiriančiam palyginamajam efektyvumui, </w:t>
            </w:r>
            <w:r w:rsidR="00B00959" w:rsidRPr="00E33EFF">
              <w:t>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2B44F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EndPr>
                <w:rPr>
                  <w:rStyle w:val="Style2"/>
                </w:rPr>
              </w:sdtEnd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65ACA3C5" w14:textId="76C604A1" w:rsidR="004A3A61" w:rsidRPr="00E33EFF" w:rsidRDefault="004A3A61"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00098A62" w14:textId="38D0DC82" w:rsidR="003D6208" w:rsidRPr="00D52608" w:rsidRDefault="004F3B2B" w:rsidP="003D6208">
      <w:pPr>
        <w:jc w:val="both"/>
      </w:pPr>
      <w:r w:rsidRPr="00D52608">
        <w:t xml:space="preserve">Vadovaujantis </w:t>
      </w:r>
      <w:r w:rsidR="00F259FC" w:rsidRPr="00D52608">
        <w:t xml:space="preserve">Vaistinių preparatų ir medicinos pagalbos priemonių įrašymo į kompensavimo sąrašus ir jų keitimo tvarkos aprašo, patvirtinto </w:t>
      </w:r>
      <w:r w:rsidRPr="00D52608">
        <w:t>Lietuvos Respublikos sveikatos apsaugos ministro 2002 m. balandžio 5 d. įsakymu Nr. V-159 „Dėl vaistinių preparatų ir medicinos pagalbos priemonių įrašymo į kompensavimo sąrašus ir jų keitimo tvarkos aprašo patvirtinimo“</w:t>
      </w:r>
      <w:r w:rsidR="00F259FC" w:rsidRPr="00D52608">
        <w:t>,</w:t>
      </w:r>
      <w:r w:rsidRPr="00D52608">
        <w:t xml:space="preserve"> punktu 34.4. rekomenduojama </w:t>
      </w:r>
      <w:r w:rsidRPr="00D52608">
        <w:rPr>
          <w:i/>
        </w:rPr>
        <w:t xml:space="preserve">nekompensuoti </w:t>
      </w:r>
      <w:r w:rsidRPr="00D52608">
        <w:t>vaistinio prepa</w:t>
      </w:r>
      <w:r w:rsidR="00D52608" w:rsidRPr="00D52608">
        <w:t xml:space="preserve">rato pagal paraiškoje nurodytą </w:t>
      </w:r>
      <w:r w:rsidRPr="00D52608">
        <w:t>indikaciją</w:t>
      </w:r>
      <w:r w:rsidR="00D52608" w:rsidRPr="00D52608">
        <w:t xml:space="preserve"> </w:t>
      </w:r>
      <w:r w:rsidRPr="00D52608">
        <w:t>su skyrimo sąlygomis</w:t>
      </w:r>
      <w:r w:rsidR="004277F5" w:rsidRPr="00D52608">
        <w:t>, netaikant PGS</w:t>
      </w:r>
      <w:r w:rsidRPr="00D52608">
        <w:t xml:space="preserve"> dėl vertinimo išvadų</w:t>
      </w:r>
      <w:r w:rsidR="004277F5" w:rsidRPr="00D52608">
        <w:t xml:space="preserve">, nurodytų </w:t>
      </w:r>
      <w:r w:rsidR="00613143" w:rsidRPr="00D52608">
        <w:t>33.3</w:t>
      </w:r>
      <w:r w:rsidR="004277F5" w:rsidRPr="00D52608">
        <w:t xml:space="preserve"> </w:t>
      </w:r>
      <w:r w:rsidR="00613143" w:rsidRPr="00D52608">
        <w:t>papunk</w:t>
      </w:r>
      <w:r w:rsidR="00E348BA" w:rsidRPr="00D52608">
        <w:t xml:space="preserve">tyje (žr. 6 skyrių), </w:t>
      </w:r>
      <w:r w:rsidRPr="00D52608">
        <w:t>neatitikties 34.1 papunktyje išdėstyt</w:t>
      </w:r>
      <w:r w:rsidR="00CF27FD" w:rsidRPr="00D52608">
        <w:t>oms</w:t>
      </w:r>
      <w:r w:rsidRPr="00D52608">
        <w:t xml:space="preserve"> sąlyg</w:t>
      </w:r>
      <w:r w:rsidR="00CF27FD" w:rsidRPr="00D52608">
        <w:t>oms</w:t>
      </w:r>
      <w:r w:rsidR="00BF3927" w:rsidRPr="00D52608">
        <w:t>.</w:t>
      </w:r>
    </w:p>
    <w:p w14:paraId="133F3893" w14:textId="77777777" w:rsidR="004277F5" w:rsidRPr="00D52608" w:rsidRDefault="004277F5" w:rsidP="004277F5">
      <w:pPr>
        <w:rPr>
          <w:rFonts w:eastAsia="Arial"/>
        </w:rPr>
      </w:pPr>
    </w:p>
    <w:p w14:paraId="7B6A156C" w14:textId="77777777" w:rsidR="004277F5" w:rsidRPr="00D52608" w:rsidRDefault="004277F5" w:rsidP="004277F5">
      <w:pPr>
        <w:shd w:val="clear" w:color="auto" w:fill="FFFFFF"/>
        <w:spacing w:line="276" w:lineRule="auto"/>
        <w:jc w:val="both"/>
        <w:rPr>
          <w:bCs/>
          <w:i/>
        </w:rPr>
      </w:pPr>
      <w:r w:rsidRPr="00D52608">
        <w:rPr>
          <w:bCs/>
          <w:i/>
        </w:rPr>
        <w:t>Papildomos pastabos ir pasiūlymai</w:t>
      </w:r>
    </w:p>
    <w:p w14:paraId="2FC4CF04" w14:textId="329F57BD" w:rsidR="004277F5" w:rsidRDefault="004277F5" w:rsidP="004277F5">
      <w:pPr>
        <w:jc w:val="both"/>
        <w:rPr>
          <w:color w:val="000000"/>
        </w:rPr>
      </w:pPr>
      <w:r w:rsidRPr="00D52608">
        <w:rPr>
          <w:bCs/>
        </w:rPr>
        <w:t>Atsižvelgiant į dapagliflozino sukuriamą papildomą naudą sveikatai, Tarnyba</w:t>
      </w:r>
      <w:r w:rsidRPr="00D52608" w:rsidDel="008074EB">
        <w:rPr>
          <w:bCs/>
        </w:rPr>
        <w:t xml:space="preserve"> </w:t>
      </w:r>
      <w:r w:rsidR="00F9362C">
        <w:rPr>
          <w:bCs/>
        </w:rPr>
        <w:t>vadovaud</w:t>
      </w:r>
      <w:r w:rsidRPr="00D52608">
        <w:rPr>
          <w:bCs/>
        </w:rPr>
        <w:t xml:space="preserve">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9362C">
        <w:rPr>
          <w:bCs/>
          <w:i/>
        </w:rPr>
        <w:t>kompensuoti</w:t>
      </w:r>
      <w:r w:rsidRPr="00D52608">
        <w:rPr>
          <w:bCs/>
        </w:rPr>
        <w:t xml:space="preserve"> vaistinį preparatą dapagliflozinas (Forxiga) nurodytoms indikacijoms, su sąlyga </w:t>
      </w:r>
      <w:r w:rsidR="00A845A9">
        <w:rPr>
          <w:bCs/>
        </w:rPr>
        <w:t>****</w:t>
      </w:r>
    </w:p>
    <w:p w14:paraId="06BC01EE" w14:textId="42A3C263" w:rsidR="000723FF" w:rsidRPr="00BB72F9" w:rsidRDefault="004277F5" w:rsidP="00381024">
      <w:pPr>
        <w:rPr>
          <w:rFonts w:eastAsia="Arial"/>
        </w:rPr>
      </w:pPr>
      <w:r>
        <w:rPr>
          <w:rFonts w:eastAsia="Arial"/>
        </w:rPr>
        <w:t xml:space="preserve"> </w:t>
      </w:r>
    </w:p>
    <w:p w14:paraId="18B4292E" w14:textId="4E860458" w:rsidR="000723FF" w:rsidRPr="00BB72F9" w:rsidRDefault="000723FF" w:rsidP="005459CA">
      <w:pPr>
        <w:pStyle w:val="ListParagraph"/>
        <w:numPr>
          <w:ilvl w:val="0"/>
          <w:numId w:val="12"/>
        </w:numPr>
        <w:tabs>
          <w:tab w:val="left" w:pos="567"/>
        </w:tabs>
        <w:ind w:hanging="720"/>
        <w:jc w:val="both"/>
        <w:rPr>
          <w:b/>
          <w:color w:val="000000"/>
          <w:lang w:eastAsia="lt-LT"/>
        </w:rPr>
      </w:pPr>
      <w:r w:rsidRPr="00BB72F9">
        <w:rPr>
          <w:b/>
          <w:color w:val="000000"/>
          <w:lang w:eastAsia="lt-LT"/>
        </w:rPr>
        <w:t>SIŪLOMOS KOMPENSUOTI TERAPINĖS INDIKACIJOS IR SKYRIMO SĄLYGOS</w:t>
      </w:r>
    </w:p>
    <w:p w14:paraId="188E4FF0" w14:textId="77777777" w:rsidR="00BB72F9" w:rsidRPr="00236D49" w:rsidRDefault="00BB72F9" w:rsidP="00BB72F9">
      <w:pPr>
        <w:tabs>
          <w:tab w:val="left" w:pos="426"/>
        </w:tabs>
        <w:spacing w:line="360" w:lineRule="auto"/>
        <w:jc w:val="both"/>
        <w:rPr>
          <w:b/>
          <w:color w:val="000000"/>
          <w:highlight w:val="yellow"/>
          <w:lang w:eastAsia="lt-LT"/>
        </w:rPr>
      </w:pPr>
    </w:p>
    <w:p w14:paraId="269D5E1D" w14:textId="77777777" w:rsidR="00BB72F9" w:rsidRPr="0036605C" w:rsidRDefault="00BB72F9" w:rsidP="00BB72F9">
      <w:pPr>
        <w:pStyle w:val="NoSpacing"/>
        <w:spacing w:line="360" w:lineRule="auto"/>
        <w:outlineLvl w:val="0"/>
        <w:rPr>
          <w:rFonts w:ascii="Times New Roman" w:hAnsi="Times New Roman"/>
          <w:b/>
          <w:sz w:val="24"/>
          <w:szCs w:val="24"/>
          <w:lang w:eastAsia="lt-LT"/>
        </w:rPr>
      </w:pPr>
      <w:r w:rsidRPr="0036605C">
        <w:rPr>
          <w:rFonts w:ascii="Times New Roman" w:hAnsi="Times New Roman"/>
          <w:b/>
          <w:sz w:val="24"/>
          <w:szCs w:val="24"/>
          <w:lang w:eastAsia="lt-LT"/>
        </w:rPr>
        <w:t>Terapinės indikacijos</w:t>
      </w:r>
    </w:p>
    <w:p w14:paraId="7E3053A6" w14:textId="77777777" w:rsidR="00BB72F9" w:rsidRPr="0036605C" w:rsidRDefault="00BB72F9" w:rsidP="00BB72F9">
      <w:pPr>
        <w:pStyle w:val="NoSpacing"/>
        <w:spacing w:line="360" w:lineRule="auto"/>
        <w:rPr>
          <w:rFonts w:ascii="Times New Roman" w:hAnsi="Times New Roman"/>
          <w:sz w:val="24"/>
          <w:szCs w:val="24"/>
        </w:rPr>
      </w:pPr>
      <w:r w:rsidRPr="0036605C">
        <w:rPr>
          <w:rStyle w:val="Style2"/>
          <w:rFonts w:ascii="MS Gothic" w:eastAsia="MS Gothic" w:hAnsi="MS Gothic" w:hint="eastAsia"/>
          <w:sz w:val="24"/>
          <w:szCs w:val="24"/>
        </w:rPr>
        <w:t>☒</w:t>
      </w:r>
      <w:r w:rsidRPr="0036605C">
        <w:t xml:space="preserve"> </w:t>
      </w:r>
      <w:r w:rsidRPr="0036605C">
        <w:rPr>
          <w:rFonts w:ascii="Times New Roman" w:hAnsi="Times New Roman"/>
          <w:sz w:val="24"/>
          <w:szCs w:val="24"/>
        </w:rPr>
        <w:t>Siūloma kompensuoti Pareiškėjo teikiamą indikaciją be pakeitimų:</w:t>
      </w:r>
    </w:p>
    <w:p w14:paraId="1F0614B2" w14:textId="77777777" w:rsidR="00BB72F9" w:rsidRPr="0036605C" w:rsidRDefault="002B44F5" w:rsidP="00BB72F9">
      <w:pPr>
        <w:pStyle w:val="NoSpacing"/>
        <w:spacing w:line="360" w:lineRule="auto"/>
        <w:rPr>
          <w:rFonts w:ascii="Times New Roman" w:hAnsi="Times New Roman"/>
          <w:sz w:val="24"/>
          <w:szCs w:val="24"/>
        </w:rPr>
      </w:pPr>
      <w:sdt>
        <w:sdtPr>
          <w:rPr>
            <w:rStyle w:val="Style2"/>
            <w:rFonts w:ascii="Times New Roman" w:hAnsi="Times New Roman"/>
            <w:sz w:val="24"/>
            <w:szCs w:val="24"/>
          </w:rPr>
          <w:id w:val="1467245146"/>
        </w:sdtPr>
        <w:sdtEndPr>
          <w:rPr>
            <w:rStyle w:val="Style2"/>
          </w:rPr>
        </w:sdtEndPr>
        <w:sdtContent>
          <w:r w:rsidR="00BB72F9" w:rsidRPr="0036605C">
            <w:rPr>
              <w:rStyle w:val="Style2"/>
              <w:rFonts w:ascii="Segoe UI Symbol" w:eastAsia="MS Gothic" w:hAnsi="Segoe UI Symbol" w:cs="Segoe UI Symbol"/>
              <w:sz w:val="24"/>
              <w:szCs w:val="24"/>
            </w:rPr>
            <w:t>☐</w:t>
          </w:r>
        </w:sdtContent>
      </w:sdt>
      <w:r w:rsidR="00BB72F9" w:rsidRPr="0036605C">
        <w:rPr>
          <w:rStyle w:val="Style2"/>
          <w:rFonts w:ascii="Times New Roman" w:hAnsi="Times New Roman"/>
          <w:sz w:val="24"/>
          <w:szCs w:val="24"/>
        </w:rPr>
        <w:t xml:space="preserve"> </w:t>
      </w:r>
      <w:r w:rsidR="00BB72F9" w:rsidRPr="0036605C">
        <w:rPr>
          <w:rFonts w:ascii="Times New Roman" w:hAnsi="Times New Roman"/>
          <w:sz w:val="24"/>
          <w:szCs w:val="24"/>
        </w:rPr>
        <w:t>Siūloma kompensuoti Pareiškėjo teikiamą indikaciją su pakeitimais.</w:t>
      </w:r>
    </w:p>
    <w:p w14:paraId="4754C136" w14:textId="77777777" w:rsidR="00BB72F9" w:rsidRPr="00704DE9" w:rsidRDefault="00BB72F9" w:rsidP="00BB72F9">
      <w:pPr>
        <w:pStyle w:val="NoSpacing"/>
        <w:spacing w:line="360" w:lineRule="auto"/>
        <w:rPr>
          <w:rFonts w:ascii="Times New Roman" w:hAnsi="Times New Roman"/>
          <w:sz w:val="24"/>
          <w:szCs w:val="24"/>
        </w:rPr>
      </w:pPr>
    </w:p>
    <w:p w14:paraId="19851893" w14:textId="77777777" w:rsidR="00BB72F9" w:rsidRPr="00704DE9" w:rsidRDefault="00BB72F9" w:rsidP="00BB72F9">
      <w:pPr>
        <w:pStyle w:val="NoSpacing"/>
        <w:spacing w:line="360" w:lineRule="auto"/>
        <w:outlineLvl w:val="0"/>
        <w:rPr>
          <w:rFonts w:ascii="Times New Roman" w:hAnsi="Times New Roman"/>
          <w:b/>
          <w:sz w:val="24"/>
          <w:szCs w:val="24"/>
        </w:rPr>
      </w:pPr>
      <w:r w:rsidRPr="00704DE9">
        <w:rPr>
          <w:rFonts w:ascii="Times New Roman" w:hAnsi="Times New Roman"/>
          <w:b/>
          <w:sz w:val="24"/>
          <w:szCs w:val="24"/>
        </w:rPr>
        <w:lastRenderedPageBreak/>
        <w:t>Skyrimo sąlygos</w:t>
      </w:r>
    </w:p>
    <w:p w14:paraId="220C7EB8" w14:textId="3310AC28" w:rsidR="00BB72F9" w:rsidRPr="00704DE9" w:rsidRDefault="002B44F5" w:rsidP="00BB72F9">
      <w:pPr>
        <w:pStyle w:val="NoSpacing"/>
        <w:spacing w:line="360" w:lineRule="auto"/>
        <w:rPr>
          <w:rFonts w:ascii="Times New Roman" w:hAnsi="Times New Roman"/>
          <w:sz w:val="24"/>
          <w:szCs w:val="24"/>
        </w:rPr>
      </w:pPr>
      <w:sdt>
        <w:sdtPr>
          <w:rPr>
            <w:rStyle w:val="Style2"/>
            <w:rFonts w:ascii="Times New Roman" w:hAnsi="Times New Roman"/>
            <w:sz w:val="24"/>
            <w:szCs w:val="24"/>
          </w:rPr>
          <w:id w:val="1823936883"/>
        </w:sdtPr>
        <w:sdtEndPr>
          <w:rPr>
            <w:rStyle w:val="Style2"/>
          </w:rPr>
        </w:sdtEndPr>
        <w:sdtContent>
          <w:sdt>
            <w:sdtPr>
              <w:rPr>
                <w:rStyle w:val="Style2"/>
                <w:rFonts w:ascii="Times New Roman" w:hAnsi="Times New Roman"/>
                <w:sz w:val="24"/>
                <w:szCs w:val="24"/>
              </w:rPr>
              <w:id w:val="556439402"/>
            </w:sdtPr>
            <w:sdtEndPr>
              <w:rPr>
                <w:rStyle w:val="Style2"/>
              </w:rPr>
            </w:sdtEndPr>
            <w:sdtContent>
              <w:sdt>
                <w:sdtPr>
                  <w:rPr>
                    <w:rStyle w:val="Style2"/>
                    <w:rFonts w:ascii="Times New Roman" w:hAnsi="Times New Roman"/>
                    <w:sz w:val="24"/>
                    <w:szCs w:val="24"/>
                  </w:rPr>
                  <w:id w:val="936866999"/>
                </w:sdtPr>
                <w:sdtEndPr>
                  <w:rPr>
                    <w:rStyle w:val="Style2"/>
                  </w:rPr>
                </w:sdtEndPr>
                <w:sdtContent>
                  <w:sdt>
                    <w:sdtPr>
                      <w:rPr>
                        <w:rStyle w:val="Style2"/>
                        <w:rFonts w:ascii="Times New Roman" w:hAnsi="Times New Roman"/>
                        <w:sz w:val="24"/>
                        <w:szCs w:val="24"/>
                      </w:rPr>
                      <w:id w:val="-1335306381"/>
                    </w:sdtPr>
                    <w:sdtEndPr>
                      <w:rPr>
                        <w:rStyle w:val="Style2"/>
                      </w:rPr>
                    </w:sdtEndPr>
                    <w:sdtContent>
                      <w:sdt>
                        <w:sdtPr>
                          <w:rPr>
                            <w:rStyle w:val="Style2"/>
                            <w:rFonts w:ascii="Times New Roman" w:hAnsi="Times New Roman"/>
                            <w:sz w:val="24"/>
                            <w:szCs w:val="24"/>
                          </w:rPr>
                          <w:id w:val="-399141192"/>
                        </w:sdtPr>
                        <w:sdtEndPr>
                          <w:rPr>
                            <w:rStyle w:val="Style2"/>
                          </w:rPr>
                        </w:sdtEndPr>
                        <w:sdtContent>
                          <w:r w:rsidR="000D1B59" w:rsidRPr="0036605C">
                            <w:rPr>
                              <w:rStyle w:val="Style2"/>
                              <w:rFonts w:ascii="Segoe UI Symbol" w:eastAsia="MS Gothic" w:hAnsi="Segoe UI Symbol" w:cs="Segoe UI Symbol"/>
                              <w:sz w:val="24"/>
                              <w:szCs w:val="24"/>
                            </w:rPr>
                            <w:t>☐</w:t>
                          </w:r>
                        </w:sdtContent>
                      </w:sdt>
                    </w:sdtContent>
                  </w:sdt>
                  <w:r w:rsidR="000D1B59">
                    <w:rPr>
                      <w:rStyle w:val="Style2"/>
                      <w:rFonts w:ascii="Times New Roman" w:hAnsi="Times New Roman"/>
                      <w:sz w:val="24"/>
                      <w:szCs w:val="24"/>
                    </w:rPr>
                    <w:t xml:space="preserve"> </w:t>
                  </w:r>
                </w:sdtContent>
              </w:sdt>
            </w:sdtContent>
          </w:sdt>
        </w:sdtContent>
      </w:sdt>
      <w:r w:rsidR="00BB72F9" w:rsidRPr="00704DE9">
        <w:rPr>
          <w:rFonts w:ascii="Times New Roman" w:hAnsi="Times New Roman"/>
          <w:sz w:val="24"/>
          <w:szCs w:val="24"/>
        </w:rPr>
        <w:t xml:space="preserve">Pareiškėjo siūlomos skyrimo sąlygos priimtinos. </w:t>
      </w:r>
    </w:p>
    <w:p w14:paraId="54661EFA" w14:textId="626FDDF5" w:rsidR="00BB72F9" w:rsidRDefault="002B44F5" w:rsidP="00BB72F9">
      <w:pPr>
        <w:pStyle w:val="NoSpacing"/>
        <w:spacing w:line="360" w:lineRule="auto"/>
        <w:rPr>
          <w:rFonts w:ascii="Times New Roman" w:hAnsi="Times New Roman"/>
          <w:sz w:val="24"/>
          <w:szCs w:val="24"/>
        </w:rPr>
      </w:pPr>
      <w:sdt>
        <w:sdtPr>
          <w:rPr>
            <w:rStyle w:val="Style2"/>
            <w:rFonts w:ascii="Times New Roman" w:hAnsi="Times New Roman"/>
            <w:sz w:val="24"/>
            <w:szCs w:val="24"/>
          </w:rPr>
          <w:id w:val="-1566022825"/>
        </w:sdtPr>
        <w:sdtEndPr>
          <w:rPr>
            <w:rStyle w:val="Style2"/>
          </w:rPr>
        </w:sdtEndPr>
        <w:sdtContent>
          <w:r w:rsidR="00F650F0" w:rsidRPr="00704DE9">
            <w:rPr>
              <w:rStyle w:val="Style2"/>
              <w:rFonts w:ascii="MS Gothic" w:eastAsia="MS Gothic" w:hAnsi="MS Gothic" w:hint="eastAsia"/>
              <w:sz w:val="24"/>
              <w:szCs w:val="24"/>
            </w:rPr>
            <w:t>☒</w:t>
          </w:r>
        </w:sdtContent>
      </w:sdt>
      <w:r w:rsidR="00F650F0" w:rsidRPr="00704DE9">
        <w:rPr>
          <w:rFonts w:ascii="Times New Roman" w:hAnsi="Times New Roman"/>
          <w:sz w:val="24"/>
          <w:szCs w:val="24"/>
        </w:rPr>
        <w:t xml:space="preserve"> </w:t>
      </w:r>
      <w:r w:rsidR="00BB72F9" w:rsidRPr="00704DE9">
        <w:rPr>
          <w:rFonts w:ascii="Times New Roman" w:hAnsi="Times New Roman"/>
          <w:sz w:val="24"/>
          <w:szCs w:val="24"/>
        </w:rPr>
        <w:t>Pareiškėjo siūlomos skyrimo sąlygos nepriimtinos.</w:t>
      </w:r>
    </w:p>
    <w:p w14:paraId="0E6A321B" w14:textId="7182436C" w:rsidR="000D1B59" w:rsidRPr="000D1B59" w:rsidRDefault="000D1B59" w:rsidP="00BB72F9">
      <w:pPr>
        <w:pStyle w:val="NoSpacing"/>
        <w:spacing w:line="360" w:lineRule="auto"/>
        <w:rPr>
          <w:rFonts w:ascii="Times New Roman" w:hAnsi="Times New Roman"/>
          <w:i/>
          <w:iCs/>
          <w:sz w:val="24"/>
          <w:szCs w:val="24"/>
        </w:rPr>
      </w:pPr>
      <w:r w:rsidRPr="000D1B59">
        <w:rPr>
          <w:rFonts w:ascii="Times New Roman" w:hAnsi="Times New Roman"/>
          <w:i/>
          <w:iCs/>
          <w:sz w:val="24"/>
          <w:szCs w:val="24"/>
        </w:rPr>
        <w:t>Siūlomos skyrimo sąlygos</w:t>
      </w:r>
    </w:p>
    <w:p w14:paraId="6CBF3742" w14:textId="02702597" w:rsidR="00BB72F9" w:rsidRPr="00704DE9" w:rsidRDefault="000D1B59" w:rsidP="000D1B59">
      <w:pPr>
        <w:spacing w:line="360" w:lineRule="auto"/>
        <w:jc w:val="both"/>
      </w:pPr>
      <w:r w:rsidRPr="000D1B59">
        <w:t>Skiriamas gydyti suaugusiesiems, sergantiems simptominiu lėtiniu širdies nepakankamumu</w:t>
      </w:r>
      <w:r>
        <w:t xml:space="preserve"> </w:t>
      </w:r>
      <w:r w:rsidRPr="000D1B59">
        <w:t>su išlikusia išstūmimo frakcija (&gt;40 proc.), esant II-IV NYHA funkcinei klasei.</w:t>
      </w:r>
    </w:p>
    <w:p w14:paraId="7CDFF220" w14:textId="58191D98" w:rsidR="000723FF" w:rsidRPr="000723FF" w:rsidRDefault="000723FF" w:rsidP="00BB72F9">
      <w:pPr>
        <w:rPr>
          <w:b/>
        </w:rPr>
      </w:pPr>
    </w:p>
    <w:sectPr w:rsidR="000723FF" w:rsidRPr="000723FF" w:rsidSect="005D30E1">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85D6E" w14:textId="77777777" w:rsidR="003F21B5" w:rsidRDefault="003F21B5">
      <w:r>
        <w:separator/>
      </w:r>
    </w:p>
  </w:endnote>
  <w:endnote w:type="continuationSeparator" w:id="0">
    <w:p w14:paraId="43565224" w14:textId="77777777" w:rsidR="003F21B5" w:rsidRDefault="003F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76B13" w14:textId="77777777" w:rsidR="00702DBB" w:rsidRDefault="00702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937D8" w14:textId="77777777" w:rsidR="00702DBB" w:rsidRDefault="00702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4306B" w14:textId="77777777" w:rsidR="003F21B5" w:rsidRDefault="003F21B5">
      <w:r>
        <w:separator/>
      </w:r>
    </w:p>
  </w:footnote>
  <w:footnote w:type="continuationSeparator" w:id="0">
    <w:p w14:paraId="23BB54DC" w14:textId="77777777" w:rsidR="003F21B5" w:rsidRDefault="003F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447014EF"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F439B">
      <w:rPr>
        <w:rStyle w:val="PageNumber"/>
        <w:noProof/>
      </w:rPr>
      <w:t>7</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915085"/>
    <w:multiLevelType w:val="hybridMultilevel"/>
    <w:tmpl w:val="A636D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08A4E1B"/>
    <w:multiLevelType w:val="hybridMultilevel"/>
    <w:tmpl w:val="65280FA4"/>
    <w:lvl w:ilvl="0" w:tplc="0D9A428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25964142">
    <w:abstractNumId w:val="8"/>
  </w:num>
  <w:num w:numId="2" w16cid:durableId="10496685">
    <w:abstractNumId w:val="1"/>
  </w:num>
  <w:num w:numId="3" w16cid:durableId="955408494">
    <w:abstractNumId w:val="10"/>
  </w:num>
  <w:num w:numId="4" w16cid:durableId="513884316">
    <w:abstractNumId w:val="9"/>
  </w:num>
  <w:num w:numId="5" w16cid:durableId="2094355215">
    <w:abstractNumId w:val="7"/>
  </w:num>
  <w:num w:numId="6" w16cid:durableId="1662925535">
    <w:abstractNumId w:val="6"/>
  </w:num>
  <w:num w:numId="7" w16cid:durableId="1044213439">
    <w:abstractNumId w:val="4"/>
  </w:num>
  <w:num w:numId="8" w16cid:durableId="2055158853">
    <w:abstractNumId w:val="13"/>
  </w:num>
  <w:num w:numId="9" w16cid:durableId="377584040">
    <w:abstractNumId w:val="0"/>
  </w:num>
  <w:num w:numId="10" w16cid:durableId="2091348935">
    <w:abstractNumId w:val="11"/>
  </w:num>
  <w:num w:numId="11" w16cid:durableId="1069886577">
    <w:abstractNumId w:val="12"/>
  </w:num>
  <w:num w:numId="12" w16cid:durableId="1965504465">
    <w:abstractNumId w:val="2"/>
  </w:num>
  <w:num w:numId="13" w16cid:durableId="1107968166">
    <w:abstractNumId w:val="5"/>
  </w:num>
  <w:num w:numId="14" w16cid:durableId="1799908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2D05"/>
    <w:rsid w:val="000136F7"/>
    <w:rsid w:val="0002686C"/>
    <w:rsid w:val="00031D0E"/>
    <w:rsid w:val="000337E6"/>
    <w:rsid w:val="0003402E"/>
    <w:rsid w:val="00034EAE"/>
    <w:rsid w:val="00042475"/>
    <w:rsid w:val="00042924"/>
    <w:rsid w:val="00051F59"/>
    <w:rsid w:val="00053975"/>
    <w:rsid w:val="00057A2B"/>
    <w:rsid w:val="000606BE"/>
    <w:rsid w:val="000723FF"/>
    <w:rsid w:val="000736B8"/>
    <w:rsid w:val="0008190F"/>
    <w:rsid w:val="00081D9C"/>
    <w:rsid w:val="00082907"/>
    <w:rsid w:val="0008378D"/>
    <w:rsid w:val="000908A5"/>
    <w:rsid w:val="00092805"/>
    <w:rsid w:val="00097167"/>
    <w:rsid w:val="000C454C"/>
    <w:rsid w:val="000D1B59"/>
    <w:rsid w:val="000D5038"/>
    <w:rsid w:val="000E29D4"/>
    <w:rsid w:val="000F3540"/>
    <w:rsid w:val="00100491"/>
    <w:rsid w:val="001033BB"/>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C39"/>
    <w:rsid w:val="00180D96"/>
    <w:rsid w:val="00184BD3"/>
    <w:rsid w:val="001921F3"/>
    <w:rsid w:val="001B3C5B"/>
    <w:rsid w:val="001D746F"/>
    <w:rsid w:val="001E4BBB"/>
    <w:rsid w:val="001E6304"/>
    <w:rsid w:val="001F439B"/>
    <w:rsid w:val="0020381E"/>
    <w:rsid w:val="00213471"/>
    <w:rsid w:val="00215906"/>
    <w:rsid w:val="00241CD8"/>
    <w:rsid w:val="00244B09"/>
    <w:rsid w:val="002519CB"/>
    <w:rsid w:val="0025697F"/>
    <w:rsid w:val="00260258"/>
    <w:rsid w:val="0026588E"/>
    <w:rsid w:val="00272428"/>
    <w:rsid w:val="00272948"/>
    <w:rsid w:val="00292392"/>
    <w:rsid w:val="002946C7"/>
    <w:rsid w:val="002B3CC1"/>
    <w:rsid w:val="002B44F5"/>
    <w:rsid w:val="002C09E0"/>
    <w:rsid w:val="002C1BB1"/>
    <w:rsid w:val="002C2786"/>
    <w:rsid w:val="002C3A10"/>
    <w:rsid w:val="002C4A90"/>
    <w:rsid w:val="002C4ED5"/>
    <w:rsid w:val="002D02EF"/>
    <w:rsid w:val="002E0702"/>
    <w:rsid w:val="002E57AD"/>
    <w:rsid w:val="002E6F80"/>
    <w:rsid w:val="002F0E4F"/>
    <w:rsid w:val="002F1053"/>
    <w:rsid w:val="00317B0E"/>
    <w:rsid w:val="00347FAA"/>
    <w:rsid w:val="0035172D"/>
    <w:rsid w:val="0036187D"/>
    <w:rsid w:val="00367EDB"/>
    <w:rsid w:val="00381024"/>
    <w:rsid w:val="00386307"/>
    <w:rsid w:val="003874DE"/>
    <w:rsid w:val="00393E9F"/>
    <w:rsid w:val="0039696E"/>
    <w:rsid w:val="003B211A"/>
    <w:rsid w:val="003C141F"/>
    <w:rsid w:val="003C6B0E"/>
    <w:rsid w:val="003C7257"/>
    <w:rsid w:val="003C7E35"/>
    <w:rsid w:val="003D1E99"/>
    <w:rsid w:val="003D6208"/>
    <w:rsid w:val="003F21B5"/>
    <w:rsid w:val="00404E8A"/>
    <w:rsid w:val="0040622F"/>
    <w:rsid w:val="00413F24"/>
    <w:rsid w:val="00422853"/>
    <w:rsid w:val="00423160"/>
    <w:rsid w:val="004277F5"/>
    <w:rsid w:val="00453862"/>
    <w:rsid w:val="0045469B"/>
    <w:rsid w:val="00461338"/>
    <w:rsid w:val="004677DB"/>
    <w:rsid w:val="00476256"/>
    <w:rsid w:val="0048630F"/>
    <w:rsid w:val="004947A1"/>
    <w:rsid w:val="0049482A"/>
    <w:rsid w:val="004979D3"/>
    <w:rsid w:val="004A00E7"/>
    <w:rsid w:val="004A3A61"/>
    <w:rsid w:val="004B59BA"/>
    <w:rsid w:val="004B5A03"/>
    <w:rsid w:val="004C263A"/>
    <w:rsid w:val="004D48A6"/>
    <w:rsid w:val="004D7B8F"/>
    <w:rsid w:val="004E6458"/>
    <w:rsid w:val="004E6C29"/>
    <w:rsid w:val="004E6E7D"/>
    <w:rsid w:val="004F1AAC"/>
    <w:rsid w:val="004F1AE2"/>
    <w:rsid w:val="004F34F0"/>
    <w:rsid w:val="004F3B2B"/>
    <w:rsid w:val="004F6050"/>
    <w:rsid w:val="005005EF"/>
    <w:rsid w:val="005123C2"/>
    <w:rsid w:val="0052144B"/>
    <w:rsid w:val="00524066"/>
    <w:rsid w:val="00534E11"/>
    <w:rsid w:val="005378D8"/>
    <w:rsid w:val="005400D9"/>
    <w:rsid w:val="005459CA"/>
    <w:rsid w:val="005476A4"/>
    <w:rsid w:val="0055019B"/>
    <w:rsid w:val="00556E63"/>
    <w:rsid w:val="005601A4"/>
    <w:rsid w:val="00566DBB"/>
    <w:rsid w:val="005767DB"/>
    <w:rsid w:val="005815E6"/>
    <w:rsid w:val="00582347"/>
    <w:rsid w:val="0058712F"/>
    <w:rsid w:val="005976CE"/>
    <w:rsid w:val="005A23D4"/>
    <w:rsid w:val="005A2D1E"/>
    <w:rsid w:val="005B3756"/>
    <w:rsid w:val="005C493F"/>
    <w:rsid w:val="005C6BF7"/>
    <w:rsid w:val="005C71BF"/>
    <w:rsid w:val="005D002C"/>
    <w:rsid w:val="005D023E"/>
    <w:rsid w:val="005D30E1"/>
    <w:rsid w:val="005D6555"/>
    <w:rsid w:val="005D7BDF"/>
    <w:rsid w:val="005E4870"/>
    <w:rsid w:val="005F71D9"/>
    <w:rsid w:val="005F7602"/>
    <w:rsid w:val="006062BE"/>
    <w:rsid w:val="00613143"/>
    <w:rsid w:val="00613501"/>
    <w:rsid w:val="0061611B"/>
    <w:rsid w:val="006166A8"/>
    <w:rsid w:val="006174A1"/>
    <w:rsid w:val="00621D6C"/>
    <w:rsid w:val="00630FD2"/>
    <w:rsid w:val="00633B49"/>
    <w:rsid w:val="0064297F"/>
    <w:rsid w:val="00645102"/>
    <w:rsid w:val="00646CF3"/>
    <w:rsid w:val="00653D11"/>
    <w:rsid w:val="00662983"/>
    <w:rsid w:val="0066671B"/>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2C18"/>
    <w:rsid w:val="00702DBB"/>
    <w:rsid w:val="00703166"/>
    <w:rsid w:val="007127F3"/>
    <w:rsid w:val="007301CF"/>
    <w:rsid w:val="007316FB"/>
    <w:rsid w:val="007374D0"/>
    <w:rsid w:val="00737E2D"/>
    <w:rsid w:val="007424D5"/>
    <w:rsid w:val="00750A88"/>
    <w:rsid w:val="007523DD"/>
    <w:rsid w:val="00757B7E"/>
    <w:rsid w:val="00764D07"/>
    <w:rsid w:val="007656B2"/>
    <w:rsid w:val="0077016F"/>
    <w:rsid w:val="007713AD"/>
    <w:rsid w:val="00795DC5"/>
    <w:rsid w:val="00797153"/>
    <w:rsid w:val="007A21F7"/>
    <w:rsid w:val="007A2B68"/>
    <w:rsid w:val="007B0DDA"/>
    <w:rsid w:val="007D3347"/>
    <w:rsid w:val="007E5466"/>
    <w:rsid w:val="007F1949"/>
    <w:rsid w:val="007F2592"/>
    <w:rsid w:val="00800A08"/>
    <w:rsid w:val="00817A84"/>
    <w:rsid w:val="008225A4"/>
    <w:rsid w:val="00824B92"/>
    <w:rsid w:val="00826D5E"/>
    <w:rsid w:val="00832013"/>
    <w:rsid w:val="00832DB7"/>
    <w:rsid w:val="00834732"/>
    <w:rsid w:val="0085200C"/>
    <w:rsid w:val="00857C52"/>
    <w:rsid w:val="00860D5F"/>
    <w:rsid w:val="00880A44"/>
    <w:rsid w:val="0088345E"/>
    <w:rsid w:val="0088656F"/>
    <w:rsid w:val="00891EF6"/>
    <w:rsid w:val="008A0303"/>
    <w:rsid w:val="008A5FDD"/>
    <w:rsid w:val="008C3947"/>
    <w:rsid w:val="008E473B"/>
    <w:rsid w:val="008E51A6"/>
    <w:rsid w:val="008E7329"/>
    <w:rsid w:val="008F2ED5"/>
    <w:rsid w:val="0092297E"/>
    <w:rsid w:val="00923651"/>
    <w:rsid w:val="00927B56"/>
    <w:rsid w:val="009341BF"/>
    <w:rsid w:val="00937907"/>
    <w:rsid w:val="00941739"/>
    <w:rsid w:val="00951573"/>
    <w:rsid w:val="00963003"/>
    <w:rsid w:val="00966EEF"/>
    <w:rsid w:val="00971B28"/>
    <w:rsid w:val="00983471"/>
    <w:rsid w:val="009909AB"/>
    <w:rsid w:val="009A3B7C"/>
    <w:rsid w:val="009A62B3"/>
    <w:rsid w:val="009B37DB"/>
    <w:rsid w:val="009B45F5"/>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5A9"/>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60D5"/>
    <w:rsid w:val="00B00959"/>
    <w:rsid w:val="00B04415"/>
    <w:rsid w:val="00B06509"/>
    <w:rsid w:val="00B11D60"/>
    <w:rsid w:val="00B13D65"/>
    <w:rsid w:val="00B21805"/>
    <w:rsid w:val="00B3072E"/>
    <w:rsid w:val="00B36E15"/>
    <w:rsid w:val="00B37245"/>
    <w:rsid w:val="00B4017A"/>
    <w:rsid w:val="00B4468D"/>
    <w:rsid w:val="00B71C72"/>
    <w:rsid w:val="00B81E92"/>
    <w:rsid w:val="00B908D7"/>
    <w:rsid w:val="00B915AB"/>
    <w:rsid w:val="00B935E8"/>
    <w:rsid w:val="00B93B30"/>
    <w:rsid w:val="00B94CB5"/>
    <w:rsid w:val="00BA0DD9"/>
    <w:rsid w:val="00BA5DBC"/>
    <w:rsid w:val="00BB6312"/>
    <w:rsid w:val="00BB72F9"/>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46B7B"/>
    <w:rsid w:val="00C517D2"/>
    <w:rsid w:val="00C5772E"/>
    <w:rsid w:val="00C62B36"/>
    <w:rsid w:val="00C7012C"/>
    <w:rsid w:val="00C712EA"/>
    <w:rsid w:val="00CA217D"/>
    <w:rsid w:val="00CC09D4"/>
    <w:rsid w:val="00CC668D"/>
    <w:rsid w:val="00CC7832"/>
    <w:rsid w:val="00CF0C1C"/>
    <w:rsid w:val="00CF27FD"/>
    <w:rsid w:val="00CF5F12"/>
    <w:rsid w:val="00D00D8F"/>
    <w:rsid w:val="00D21F3A"/>
    <w:rsid w:val="00D23808"/>
    <w:rsid w:val="00D3016A"/>
    <w:rsid w:val="00D417D2"/>
    <w:rsid w:val="00D42960"/>
    <w:rsid w:val="00D43BD7"/>
    <w:rsid w:val="00D4485B"/>
    <w:rsid w:val="00D4708D"/>
    <w:rsid w:val="00D4744C"/>
    <w:rsid w:val="00D521DE"/>
    <w:rsid w:val="00D52608"/>
    <w:rsid w:val="00D5470B"/>
    <w:rsid w:val="00D57FAF"/>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50666"/>
    <w:rsid w:val="00F6497E"/>
    <w:rsid w:val="00F650F0"/>
    <w:rsid w:val="00F70C9E"/>
    <w:rsid w:val="00F74A74"/>
    <w:rsid w:val="00F7572C"/>
    <w:rsid w:val="00F8382C"/>
    <w:rsid w:val="00F855D7"/>
    <w:rsid w:val="00F90EBE"/>
    <w:rsid w:val="00F92035"/>
    <w:rsid w:val="00F92748"/>
    <w:rsid w:val="00F9362C"/>
    <w:rsid w:val="00FA4169"/>
    <w:rsid w:val="00FB0D41"/>
    <w:rsid w:val="00FB2030"/>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Use Case List Paragraph,List Paragraph1,Body Bullet,Table Number Paragraph,Colorful List - Accent 11,List Paragraph 1,Ref,B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Use Case List Paragraph Char,List Paragraph1 Char,Body Bullet Char,Ref Char"/>
    <w:link w:val="ListParagraph"/>
    <w:uiPriority w:val="34"/>
    <w:rsid w:val="004277F5"/>
    <w:rPr>
      <w:sz w:val="24"/>
      <w:szCs w:val="24"/>
      <w:lang w:eastAsia="en-US"/>
    </w:rPr>
  </w:style>
  <w:style w:type="paragraph" w:customStyle="1" w:styleId="Default">
    <w:name w:val="Default"/>
    <w:rsid w:val="00BB72F9"/>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FBB7EFEA6241ABBC1E9096234C94D7"/>
        <w:category>
          <w:name w:val="General"/>
          <w:gallery w:val="placeholder"/>
        </w:category>
        <w:types>
          <w:type w:val="bbPlcHdr"/>
        </w:types>
        <w:behaviors>
          <w:behavior w:val="content"/>
        </w:behaviors>
        <w:guid w:val="{3E645C99-08E0-45B3-8E38-909EF37FE5A1}"/>
      </w:docPartPr>
      <w:docPartBody>
        <w:p w:rsidR="002D13D9" w:rsidRDefault="00BA330D" w:rsidP="00BA330D">
          <w:pPr>
            <w:pStyle w:val="9DFBB7EFEA6241ABBC1E9096234C94D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C35A9"/>
    <w:rsid w:val="00237556"/>
    <w:rsid w:val="002D13D9"/>
    <w:rsid w:val="00343F94"/>
    <w:rsid w:val="0039303B"/>
    <w:rsid w:val="003B11FB"/>
    <w:rsid w:val="004144A3"/>
    <w:rsid w:val="004160E7"/>
    <w:rsid w:val="004416C6"/>
    <w:rsid w:val="004F5AB2"/>
    <w:rsid w:val="005074B9"/>
    <w:rsid w:val="005E40DD"/>
    <w:rsid w:val="007219C1"/>
    <w:rsid w:val="00753462"/>
    <w:rsid w:val="00772325"/>
    <w:rsid w:val="00793DCF"/>
    <w:rsid w:val="007A2FE0"/>
    <w:rsid w:val="007B74EA"/>
    <w:rsid w:val="007C6D1D"/>
    <w:rsid w:val="00825C48"/>
    <w:rsid w:val="0090074D"/>
    <w:rsid w:val="009134F6"/>
    <w:rsid w:val="00996DB5"/>
    <w:rsid w:val="009B3BF0"/>
    <w:rsid w:val="009D5E5E"/>
    <w:rsid w:val="009F1BB4"/>
    <w:rsid w:val="00AB6ED4"/>
    <w:rsid w:val="00B14210"/>
    <w:rsid w:val="00B23DC0"/>
    <w:rsid w:val="00B96656"/>
    <w:rsid w:val="00BA330D"/>
    <w:rsid w:val="00BE29C1"/>
    <w:rsid w:val="00C2401D"/>
    <w:rsid w:val="00C53A68"/>
    <w:rsid w:val="00CA5BB4"/>
    <w:rsid w:val="00CB4BD1"/>
    <w:rsid w:val="00CE2DA9"/>
    <w:rsid w:val="00CE44BE"/>
    <w:rsid w:val="00D4356B"/>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A330D"/>
    <w:rPr>
      <w:color w:val="808080"/>
    </w:rPr>
  </w:style>
  <w:style w:type="paragraph" w:customStyle="1" w:styleId="9DFBB7EFEA6241ABBC1E9096234C94D7">
    <w:name w:val="9DFBB7EFEA6241ABBC1E9096234C94D7"/>
    <w:rsid w:val="00BA330D"/>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FFF7C-C9D0-4618-A9C5-611BB9578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2519</Words>
  <Characters>17359</Characters>
  <Application>Microsoft Office Word</Application>
  <DocSecurity>0</DocSecurity>
  <Lines>144</Lines>
  <Paragraphs>39</Paragraphs>
  <ScaleCrop>false</ScaleCrop>
  <Company/>
  <LinksUpToDate>false</LinksUpToDate>
  <CharactersWithSpaces>19839</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2023-10-20T13:14:00Z</dcterms:created>
  <dcterms:modified xsi:type="dcterms:W3CDTF">2023-11-09T16:46:00Z</dcterms:modified>
</cp:coreProperties>
</file>