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521135">
      <w:pPr>
        <w:spacing w:line="276" w:lineRule="auto"/>
        <w:jc w:val="center"/>
        <w:rPr>
          <w:b/>
        </w:rPr>
      </w:pPr>
    </w:p>
    <w:p w14:paraId="291A8985" w14:textId="4B723E58" w:rsidR="00521135" w:rsidRDefault="00521135" w:rsidP="00521135">
      <w:pPr>
        <w:spacing w:line="276" w:lineRule="auto"/>
        <w:jc w:val="center"/>
        <w:rPr>
          <w:b/>
        </w:rPr>
      </w:pPr>
      <w:proofErr w:type="spellStart"/>
      <w:r w:rsidRPr="003C20CA">
        <w:rPr>
          <w:b/>
        </w:rPr>
        <w:t>Piqray</w:t>
      </w:r>
      <w:proofErr w:type="spellEnd"/>
      <w:r w:rsidRPr="003C20CA">
        <w:rPr>
          <w:b/>
        </w:rPr>
        <w:t xml:space="preserve"> 50/150</w:t>
      </w:r>
      <w:r>
        <w:rPr>
          <w:b/>
        </w:rPr>
        <w:t>/200 mg plėvele dengtos tabletės</w:t>
      </w:r>
    </w:p>
    <w:p w14:paraId="78CEA17D" w14:textId="77777777" w:rsidR="00521135" w:rsidRPr="003C20CA" w:rsidRDefault="00521135" w:rsidP="00521135">
      <w:pPr>
        <w:spacing w:line="276" w:lineRule="auto"/>
        <w:jc w:val="center"/>
        <w:rPr>
          <w:b/>
        </w:rPr>
      </w:pPr>
    </w:p>
    <w:p w14:paraId="7A1A7A32" w14:textId="76EAE55B" w:rsidR="00521135" w:rsidRDefault="00521135" w:rsidP="00521135">
      <w:pPr>
        <w:spacing w:line="276" w:lineRule="auto"/>
        <w:jc w:val="center"/>
        <w:rPr>
          <w:b/>
          <w:bCs/>
        </w:rPr>
      </w:pPr>
      <w:proofErr w:type="spellStart"/>
      <w:r w:rsidRPr="005863F4">
        <w:rPr>
          <w:b/>
          <w:bCs/>
        </w:rPr>
        <w:t>Alpelisibas</w:t>
      </w:r>
      <w:proofErr w:type="spellEnd"/>
    </w:p>
    <w:p w14:paraId="2C6DDADB" w14:textId="77777777" w:rsidR="00521135" w:rsidRPr="005863F4" w:rsidRDefault="00521135" w:rsidP="00521135">
      <w:pPr>
        <w:spacing w:line="276" w:lineRule="auto"/>
        <w:jc w:val="center"/>
        <w:rPr>
          <w:b/>
          <w:bCs/>
        </w:rPr>
      </w:pPr>
    </w:p>
    <w:p w14:paraId="64CEC9EC" w14:textId="77777777" w:rsidR="00521135" w:rsidRPr="003C20CA" w:rsidRDefault="00521135" w:rsidP="00521135">
      <w:pPr>
        <w:spacing w:line="276" w:lineRule="auto"/>
        <w:jc w:val="center"/>
        <w:rPr>
          <w:b/>
        </w:rPr>
      </w:pPr>
      <w:r w:rsidRPr="003C20CA">
        <w:rPr>
          <w:b/>
        </w:rPr>
        <w:t>STV-70</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907D60" w:rsidRPr="00E33EFF" w14:paraId="18A83EC2" w14:textId="77777777" w:rsidTr="00907D60">
        <w:trPr>
          <w:trHeight w:val="96"/>
        </w:trPr>
        <w:tc>
          <w:tcPr>
            <w:tcW w:w="632" w:type="dxa"/>
          </w:tcPr>
          <w:p w14:paraId="0646FBEA" w14:textId="7944CE82" w:rsidR="00907D60" w:rsidRPr="00E33EFF" w:rsidRDefault="00907D60" w:rsidP="00907D60">
            <w:pPr>
              <w:rPr>
                <w:rFonts w:eastAsia="Arial"/>
              </w:rPr>
            </w:pPr>
            <w:r w:rsidRPr="00EB6BD0">
              <w:rPr>
                <w:rFonts w:eastAsia="Arial"/>
                <w:b/>
              </w:rPr>
              <w:t>1.1</w:t>
            </w:r>
          </w:p>
        </w:tc>
        <w:tc>
          <w:tcPr>
            <w:tcW w:w="3694" w:type="dxa"/>
          </w:tcPr>
          <w:p w14:paraId="2AF240DC" w14:textId="5FB34D15" w:rsidR="00907D60" w:rsidRPr="00751BA3" w:rsidRDefault="00907D60" w:rsidP="00907D60">
            <w:pPr>
              <w:rPr>
                <w:rFonts w:eastAsia="Arial"/>
              </w:rPr>
            </w:pPr>
            <w:r w:rsidRPr="00751BA3">
              <w:rPr>
                <w:bCs/>
                <w:color w:val="000000"/>
                <w:lang w:eastAsia="lt-LT"/>
              </w:rPr>
              <w:t>Pareiškėjas</w:t>
            </w:r>
          </w:p>
        </w:tc>
        <w:tc>
          <w:tcPr>
            <w:tcW w:w="5167" w:type="dxa"/>
          </w:tcPr>
          <w:p w14:paraId="2AAF0D91" w14:textId="7CA10235" w:rsidR="00907D60" w:rsidRPr="00751BA3" w:rsidRDefault="00907D60" w:rsidP="00907D60">
            <w:pPr>
              <w:rPr>
                <w:rFonts w:eastAsia="Arial"/>
              </w:rPr>
            </w:pPr>
            <w:proofErr w:type="spellStart"/>
            <w:r w:rsidRPr="00751BA3">
              <w:rPr>
                <w:shd w:val="clear" w:color="auto" w:fill="FFFFFF"/>
              </w:rPr>
              <w:t>Novartis</w:t>
            </w:r>
            <w:proofErr w:type="spellEnd"/>
            <w:r w:rsidRPr="00751BA3">
              <w:rPr>
                <w:shd w:val="clear" w:color="auto" w:fill="FFFFFF"/>
              </w:rPr>
              <w:t xml:space="preserve"> </w:t>
            </w:r>
            <w:proofErr w:type="spellStart"/>
            <w:r w:rsidRPr="00751BA3">
              <w:rPr>
                <w:shd w:val="clear" w:color="auto" w:fill="FFFFFF"/>
              </w:rPr>
              <w:t>Europharm</w:t>
            </w:r>
            <w:proofErr w:type="spellEnd"/>
            <w:r w:rsidRPr="00751BA3">
              <w:rPr>
                <w:shd w:val="clear" w:color="auto" w:fill="FFFFFF"/>
              </w:rPr>
              <w:t xml:space="preserve"> Ltd., Airija</w:t>
            </w:r>
          </w:p>
        </w:tc>
      </w:tr>
      <w:tr w:rsidR="00907D60" w:rsidRPr="00E33EFF" w14:paraId="31998B0D" w14:textId="77777777" w:rsidTr="00907D60">
        <w:trPr>
          <w:trHeight w:val="96"/>
        </w:trPr>
        <w:tc>
          <w:tcPr>
            <w:tcW w:w="632" w:type="dxa"/>
          </w:tcPr>
          <w:p w14:paraId="2005EC67" w14:textId="40F200E1" w:rsidR="00907D60" w:rsidRPr="00E33EFF" w:rsidRDefault="00907D60" w:rsidP="00907D60">
            <w:pPr>
              <w:rPr>
                <w:rFonts w:eastAsia="Arial"/>
              </w:rPr>
            </w:pPr>
            <w:r w:rsidRPr="00EB6BD0">
              <w:rPr>
                <w:rFonts w:eastAsia="Arial"/>
                <w:b/>
              </w:rPr>
              <w:t>1.2</w:t>
            </w:r>
          </w:p>
        </w:tc>
        <w:tc>
          <w:tcPr>
            <w:tcW w:w="3694" w:type="dxa"/>
          </w:tcPr>
          <w:p w14:paraId="3A0DC096" w14:textId="3EC32831" w:rsidR="00907D60" w:rsidRPr="00751BA3" w:rsidRDefault="00907D60" w:rsidP="00907D60">
            <w:pPr>
              <w:tabs>
                <w:tab w:val="left" w:pos="284"/>
              </w:tabs>
              <w:spacing w:line="276" w:lineRule="auto"/>
              <w:rPr>
                <w:bCs/>
                <w:color w:val="000000"/>
                <w:lang w:eastAsia="lt-LT"/>
              </w:rPr>
            </w:pPr>
            <w:r w:rsidRPr="00751BA3">
              <w:rPr>
                <w:bCs/>
                <w:color w:val="000000"/>
                <w:lang w:eastAsia="lt-LT"/>
              </w:rPr>
              <w:t>Registracijos data (EVA)</w:t>
            </w:r>
          </w:p>
        </w:tc>
        <w:tc>
          <w:tcPr>
            <w:tcW w:w="5167" w:type="dxa"/>
          </w:tcPr>
          <w:p w14:paraId="3CA218AD" w14:textId="125815F0" w:rsidR="00907D60" w:rsidRPr="00751BA3" w:rsidRDefault="00000000" w:rsidP="00907D60">
            <w:pPr>
              <w:rPr>
                <w:rStyle w:val="Style2"/>
                <w:sz w:val="24"/>
              </w:rPr>
            </w:pPr>
            <w:sdt>
              <w:sdtPr>
                <w:rPr>
                  <w:sz w:val="32"/>
                </w:rPr>
                <w:alias w:val="Nurodykite konkrečią dieną"/>
                <w:tag w:val="Nurodykite pradžios datą"/>
                <w:id w:val="423238108"/>
                <w:placeholder>
                  <w:docPart w:val="D9C17413471D40758ED79B56D564A233"/>
                </w:placeholder>
                <w15:color w:val="FFCC99"/>
                <w:date>
                  <w:dateFormat w:val="yyyy 'm.' MMMM d 'd.'"/>
                  <w:lid w:val="lt-LT"/>
                  <w:storeMappedDataAs w:val="dateTime"/>
                  <w:calendar w:val="gregorian"/>
                </w:date>
              </w:sdtPr>
              <w:sdtEndPr>
                <w:rPr>
                  <w:sz w:val="24"/>
                </w:rPr>
              </w:sdtEndPr>
              <w:sdtContent>
                <w:r w:rsidR="00907D60" w:rsidRPr="00751BA3">
                  <w:t>2020 m. liepos 27 d.</w:t>
                </w:r>
              </w:sdtContent>
            </w:sdt>
          </w:p>
        </w:tc>
      </w:tr>
      <w:tr w:rsidR="00907D60" w:rsidRPr="00E33EFF" w14:paraId="15968AE1" w14:textId="77777777" w:rsidTr="00907D60">
        <w:trPr>
          <w:trHeight w:val="146"/>
        </w:trPr>
        <w:tc>
          <w:tcPr>
            <w:tcW w:w="632" w:type="dxa"/>
          </w:tcPr>
          <w:p w14:paraId="6A784245" w14:textId="7650B602" w:rsidR="00907D60" w:rsidRPr="00E33EFF" w:rsidRDefault="00907D60" w:rsidP="00907D60">
            <w:pPr>
              <w:rPr>
                <w:rFonts w:eastAsia="Arial"/>
              </w:rPr>
            </w:pPr>
            <w:r w:rsidRPr="00EB6BD0">
              <w:rPr>
                <w:rFonts w:eastAsia="Arial"/>
                <w:b/>
              </w:rPr>
              <w:t>1.3</w:t>
            </w:r>
          </w:p>
        </w:tc>
        <w:tc>
          <w:tcPr>
            <w:tcW w:w="3694" w:type="dxa"/>
          </w:tcPr>
          <w:p w14:paraId="1163532E" w14:textId="77777777" w:rsidR="00907D60" w:rsidRPr="00751BA3" w:rsidRDefault="00907D60" w:rsidP="00907D60">
            <w:pPr>
              <w:pStyle w:val="Betarp"/>
              <w:spacing w:line="276" w:lineRule="auto"/>
              <w:rPr>
                <w:rFonts w:ascii="Times New Roman" w:hAnsi="Times New Roman"/>
                <w:sz w:val="24"/>
                <w:szCs w:val="24"/>
              </w:rPr>
            </w:pPr>
            <w:r w:rsidRPr="00751BA3">
              <w:rPr>
                <w:rFonts w:ascii="Times New Roman" w:hAnsi="Times New Roman"/>
                <w:sz w:val="24"/>
                <w:szCs w:val="24"/>
              </w:rPr>
              <w:t xml:space="preserve">Paraiškos tipas </w:t>
            </w:r>
          </w:p>
          <w:p w14:paraId="2A7AC748" w14:textId="77777777" w:rsidR="00907D60" w:rsidRPr="00751BA3" w:rsidRDefault="00907D60" w:rsidP="00907D60">
            <w:pPr>
              <w:spacing w:line="276" w:lineRule="auto"/>
            </w:pPr>
            <w:r w:rsidRPr="00751BA3">
              <w:t xml:space="preserve">(pagal </w:t>
            </w:r>
            <w:r w:rsidRPr="00751BA3">
              <w:rPr>
                <w:shd w:val="clear" w:color="auto" w:fill="FFFFFF"/>
              </w:rPr>
              <w:t>vaistinio preparato registracijos tipą, įtvirtintą</w:t>
            </w:r>
            <w:r w:rsidRPr="00751BA3">
              <w:t xml:space="preserve"> Direktyvos 2001/83/EB straipsniuose)</w:t>
            </w:r>
          </w:p>
          <w:p w14:paraId="77089D80" w14:textId="6681D72A" w:rsidR="00907D60" w:rsidRPr="00751BA3" w:rsidRDefault="00907D60" w:rsidP="00907D60">
            <w:pPr>
              <w:rPr>
                <w:bCs/>
                <w:color w:val="000000"/>
                <w:lang w:eastAsia="lt-LT"/>
              </w:rPr>
            </w:pPr>
          </w:p>
        </w:tc>
        <w:tc>
          <w:tcPr>
            <w:tcW w:w="5167" w:type="dxa"/>
          </w:tcPr>
          <w:p w14:paraId="69DFC5C0" w14:textId="29230CA9" w:rsidR="00907D60" w:rsidRPr="00751BA3" w:rsidRDefault="00000000" w:rsidP="00907D60">
            <w:pPr>
              <w:spacing w:line="276" w:lineRule="auto"/>
            </w:pPr>
            <w:sdt>
              <w:sdtPr>
                <w:rPr>
                  <w:rStyle w:val="Style2"/>
                  <w:sz w:val="24"/>
                </w:rPr>
                <w:id w:val="-366596377"/>
                <w15:color w:val="FFCC00"/>
                <w14:checkbox>
                  <w14:checked w14:val="1"/>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8.3 str. (pilna byla, pagrįsta savais tyrimais) </w:t>
            </w:r>
          </w:p>
          <w:p w14:paraId="48B24D70" w14:textId="253D82C7" w:rsidR="00907D60" w:rsidRPr="00751BA3" w:rsidRDefault="00000000" w:rsidP="00907D60">
            <w:pPr>
              <w:spacing w:line="276" w:lineRule="auto"/>
            </w:pPr>
            <w:sdt>
              <w:sdtPr>
                <w:rPr>
                  <w:rStyle w:val="Style2"/>
                  <w:sz w:val="24"/>
                </w:rPr>
                <w:id w:val="675462298"/>
                <w15:color w:val="FFCC00"/>
                <w14:checkbox>
                  <w14:checked w14:val="0"/>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10 a str. (pripažintas medicininis vartojimas) </w:t>
            </w:r>
          </w:p>
          <w:p w14:paraId="7B5190BC" w14:textId="607715DE" w:rsidR="00907D60" w:rsidRPr="00751BA3" w:rsidRDefault="00000000" w:rsidP="00907D60">
            <w:pPr>
              <w:spacing w:line="276" w:lineRule="auto"/>
            </w:pPr>
            <w:sdt>
              <w:sdtPr>
                <w:rPr>
                  <w:rStyle w:val="Style2"/>
                  <w:sz w:val="24"/>
                </w:rPr>
                <w:id w:val="-1290435890"/>
                <w15:color w:val="FFCC00"/>
                <w14:checkbox>
                  <w14:checked w14:val="0"/>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10.1 str. (</w:t>
            </w:r>
            <w:proofErr w:type="spellStart"/>
            <w:r w:rsidR="00907D60" w:rsidRPr="00751BA3">
              <w:t>generinis</w:t>
            </w:r>
            <w:proofErr w:type="spellEnd"/>
            <w:r w:rsidR="00907D60" w:rsidRPr="00751BA3">
              <w:t>)</w:t>
            </w:r>
          </w:p>
          <w:p w14:paraId="3B0A4F72" w14:textId="506FEEC2" w:rsidR="00907D60" w:rsidRPr="00751BA3" w:rsidRDefault="00000000" w:rsidP="00907D60">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10.3 str. (hibridinis)</w:t>
            </w:r>
          </w:p>
        </w:tc>
      </w:tr>
      <w:tr w:rsidR="00907D60" w:rsidRPr="00E33EFF" w14:paraId="310E9662" w14:textId="77777777" w:rsidTr="00907D60">
        <w:trPr>
          <w:trHeight w:val="96"/>
        </w:trPr>
        <w:tc>
          <w:tcPr>
            <w:tcW w:w="632" w:type="dxa"/>
          </w:tcPr>
          <w:p w14:paraId="4B5A91A2" w14:textId="29A45FC9" w:rsidR="00907D60" w:rsidRPr="00E33EFF" w:rsidRDefault="00907D60" w:rsidP="00907D60">
            <w:pPr>
              <w:rPr>
                <w:rFonts w:eastAsia="Arial"/>
              </w:rPr>
            </w:pPr>
            <w:r w:rsidRPr="00EB6BD0">
              <w:rPr>
                <w:rFonts w:eastAsia="Arial"/>
                <w:b/>
              </w:rPr>
              <w:t>1.4</w:t>
            </w:r>
          </w:p>
        </w:tc>
        <w:tc>
          <w:tcPr>
            <w:tcW w:w="3694" w:type="dxa"/>
          </w:tcPr>
          <w:p w14:paraId="483071A3" w14:textId="43678B29" w:rsidR="00907D60" w:rsidRPr="00751BA3" w:rsidRDefault="00907D60" w:rsidP="00907D60">
            <w:pPr>
              <w:rPr>
                <w:bCs/>
                <w:color w:val="000000"/>
                <w:lang w:eastAsia="lt-LT"/>
              </w:rPr>
            </w:pPr>
            <w:r w:rsidRPr="00751BA3">
              <w:rPr>
                <w:bCs/>
                <w:color w:val="000000"/>
                <w:lang w:eastAsia="lt-LT"/>
              </w:rPr>
              <w:t>Ar vaistinis preparatas įrašytas į Bendrijos retųjų vaistinių preparatų registrą?</w:t>
            </w:r>
          </w:p>
        </w:tc>
        <w:tc>
          <w:tcPr>
            <w:tcW w:w="5167" w:type="dxa"/>
          </w:tcPr>
          <w:p w14:paraId="55A0079D" w14:textId="79E32857" w:rsidR="00907D60" w:rsidRPr="00751BA3" w:rsidRDefault="00000000" w:rsidP="00907D60">
            <w:pPr>
              <w:spacing w:line="276" w:lineRule="auto"/>
            </w:pPr>
            <w:sdt>
              <w:sdtPr>
                <w:rPr>
                  <w:rStyle w:val="Style2"/>
                  <w:sz w:val="24"/>
                </w:rPr>
                <w:id w:val="2024432173"/>
                <w15:color w:val="FFCC00"/>
                <w14:checkbox>
                  <w14:checked w14:val="0"/>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Taip</w:t>
            </w:r>
          </w:p>
          <w:p w14:paraId="29C2CBBB" w14:textId="7751001A" w:rsidR="00907D60" w:rsidRPr="00751BA3" w:rsidRDefault="00000000" w:rsidP="00907D60">
            <w:pPr>
              <w:rPr>
                <w:rFonts w:eastAsia="Arial"/>
              </w:rPr>
            </w:pPr>
            <w:sdt>
              <w:sdtPr>
                <w:rPr>
                  <w:rStyle w:val="Style2"/>
                  <w:sz w:val="24"/>
                </w:rPr>
                <w:id w:val="-970507926"/>
                <w15:color w:val="FFCC00"/>
                <w14:checkbox>
                  <w14:checked w14:val="1"/>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907D60" w:rsidRPr="00751BA3">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5A5B8080" w:rsidR="00D417D2" w:rsidRPr="00751BA3" w:rsidRDefault="00000000" w:rsidP="00824B92">
            <w:sdt>
              <w:sdtPr>
                <w:rPr>
                  <w:rStyle w:val="Style2"/>
                  <w:sz w:val="24"/>
                </w:rPr>
                <w:id w:val="-468433535"/>
                <w15:color w:val="FFCC00"/>
                <w14:checkbox>
                  <w14:checked w14:val="0"/>
                  <w14:checkedState w14:val="2612" w14:font="MS Gothic"/>
                  <w14:uncheckedState w14:val="2610" w14:font="MS Gothic"/>
                </w14:checkbox>
              </w:sdtPr>
              <w:sdtContent>
                <w:r w:rsidR="00907D60" w:rsidRPr="00751BA3">
                  <w:rPr>
                    <w:rStyle w:val="Style2"/>
                    <w:rFonts w:ascii="Segoe UI Symbol" w:eastAsia="MS Gothic" w:hAnsi="Segoe UI Symbol" w:cs="Segoe UI Symbol"/>
                    <w:sz w:val="24"/>
                  </w:rPr>
                  <w:t>☐</w:t>
                </w:r>
              </w:sdtContent>
            </w:sdt>
            <w:r w:rsidR="00D417D2" w:rsidRPr="00751BA3">
              <w:t xml:space="preserve"> Pilna paraiška</w:t>
            </w:r>
          </w:p>
          <w:p w14:paraId="6B8213E3" w14:textId="3495CDF4" w:rsidR="00D417D2" w:rsidRPr="00751BA3"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751BA3">
                  <w:rPr>
                    <w:rStyle w:val="Style2"/>
                    <w:rFonts w:ascii="Segoe UI Symbol" w:eastAsia="MS Gothic" w:hAnsi="Segoe UI Symbol" w:cs="Segoe UI Symbol"/>
                    <w:sz w:val="24"/>
                  </w:rPr>
                  <w:t>☐</w:t>
                </w:r>
              </w:sdtContent>
            </w:sdt>
            <w:r w:rsidR="00D417D2" w:rsidRPr="00751BA3">
              <w:t xml:space="preserve"> Supaprastinta paraiška</w:t>
            </w:r>
          </w:p>
        </w:tc>
      </w:tr>
      <w:tr w:rsidR="00751BA3" w:rsidRPr="00E33EFF" w14:paraId="274D1DAF" w14:textId="77777777" w:rsidTr="00BE7489">
        <w:trPr>
          <w:trHeight w:val="1922"/>
        </w:trPr>
        <w:tc>
          <w:tcPr>
            <w:tcW w:w="632" w:type="dxa"/>
          </w:tcPr>
          <w:p w14:paraId="17ABF217" w14:textId="14AC00D7" w:rsidR="00751BA3" w:rsidRPr="00E33EFF" w:rsidRDefault="00751BA3" w:rsidP="00751BA3">
            <w:pPr>
              <w:rPr>
                <w:rFonts w:eastAsia="Arial"/>
              </w:rPr>
            </w:pPr>
            <w:r w:rsidRPr="00E33EFF">
              <w:rPr>
                <w:rFonts w:eastAsia="Arial"/>
              </w:rPr>
              <w:t>1.6</w:t>
            </w:r>
          </w:p>
        </w:tc>
        <w:tc>
          <w:tcPr>
            <w:tcW w:w="3694" w:type="dxa"/>
          </w:tcPr>
          <w:p w14:paraId="388B6172" w14:textId="77777777" w:rsidR="00751BA3" w:rsidRPr="00EB6BD0" w:rsidRDefault="00751BA3" w:rsidP="00751BA3">
            <w:pPr>
              <w:tabs>
                <w:tab w:val="left" w:pos="284"/>
              </w:tabs>
              <w:spacing w:line="276" w:lineRule="auto"/>
              <w:rPr>
                <w:b/>
                <w:bCs/>
                <w:color w:val="000000"/>
                <w:lang w:eastAsia="lt-LT"/>
              </w:rPr>
            </w:pPr>
            <w:r w:rsidRPr="00EB6BD0">
              <w:rPr>
                <w:b/>
                <w:bCs/>
                <w:color w:val="000000"/>
                <w:lang w:eastAsia="lt-LT"/>
              </w:rPr>
              <w:t>Pareiškėjo teikiama (-</w:t>
            </w:r>
            <w:proofErr w:type="spellStart"/>
            <w:r w:rsidRPr="00EB6BD0">
              <w:rPr>
                <w:b/>
                <w:bCs/>
                <w:color w:val="000000"/>
                <w:lang w:eastAsia="lt-LT"/>
              </w:rPr>
              <w:t>os</w:t>
            </w:r>
            <w:proofErr w:type="spellEnd"/>
            <w:r w:rsidRPr="00EB6BD0">
              <w:rPr>
                <w:b/>
                <w:bCs/>
                <w:color w:val="000000"/>
                <w:lang w:eastAsia="lt-LT"/>
              </w:rPr>
              <w:t>) kompensuoti preparato indikacija (-</w:t>
            </w:r>
            <w:proofErr w:type="spellStart"/>
            <w:r w:rsidRPr="00EB6BD0">
              <w:rPr>
                <w:b/>
                <w:bCs/>
                <w:color w:val="000000"/>
                <w:lang w:eastAsia="lt-LT"/>
              </w:rPr>
              <w:t>os</w:t>
            </w:r>
            <w:proofErr w:type="spellEnd"/>
            <w:r w:rsidRPr="00EB6BD0">
              <w:rPr>
                <w:b/>
                <w:bCs/>
                <w:color w:val="000000"/>
                <w:lang w:eastAsia="lt-LT"/>
              </w:rPr>
              <w:t>)</w:t>
            </w:r>
          </w:p>
          <w:p w14:paraId="6B4FEEC1" w14:textId="56262296" w:rsidR="00751BA3" w:rsidRPr="00E33EFF" w:rsidRDefault="00751BA3" w:rsidP="00751BA3">
            <w:pPr>
              <w:rPr>
                <w:bCs/>
                <w:color w:val="000000"/>
                <w:lang w:eastAsia="lt-LT"/>
              </w:rPr>
            </w:pPr>
            <w:r w:rsidRPr="00EB6BD0">
              <w:rPr>
                <w:b/>
                <w:bCs/>
                <w:color w:val="000000"/>
                <w:lang w:eastAsia="lt-LT"/>
              </w:rPr>
              <w:t xml:space="preserve">Kodas pagal TLK-10 AM </w:t>
            </w:r>
          </w:p>
        </w:tc>
        <w:tc>
          <w:tcPr>
            <w:tcW w:w="5167" w:type="dxa"/>
          </w:tcPr>
          <w:p w14:paraId="607CED03" w14:textId="77777777" w:rsidR="00751BA3" w:rsidRPr="00751BA3" w:rsidRDefault="00751BA3" w:rsidP="00751BA3">
            <w:pPr>
              <w:pStyle w:val="Sraopastraipa"/>
              <w:spacing w:after="120" w:line="276" w:lineRule="auto"/>
              <w:ind w:left="0"/>
              <w:contextualSpacing w:val="0"/>
              <w:jc w:val="both"/>
            </w:pPr>
            <w:proofErr w:type="spellStart"/>
            <w:r w:rsidRPr="00751BA3">
              <w:t>Piqray</w:t>
            </w:r>
            <w:proofErr w:type="spellEnd"/>
            <w:r w:rsidRPr="00751BA3">
              <w:t xml:space="preserve"> skirtas moterų po menopauzės ir vyrų lokaliai progresavusio arba </w:t>
            </w:r>
            <w:proofErr w:type="spellStart"/>
            <w:r w:rsidRPr="00751BA3">
              <w:t>metastazavusio</w:t>
            </w:r>
            <w:proofErr w:type="spellEnd"/>
            <w:r w:rsidRPr="00751BA3">
              <w:t xml:space="preserve"> krūties vėžio gydymui derinyje su </w:t>
            </w:r>
            <w:proofErr w:type="spellStart"/>
            <w:r w:rsidRPr="00751BA3">
              <w:t>fulvestrantu</w:t>
            </w:r>
            <w:proofErr w:type="spellEnd"/>
            <w:r w:rsidRPr="00751BA3">
              <w:t xml:space="preserve">, kai nustatoma hormonų receptorių (HR) ir nenustatoma žmogaus epidermio augimo faktoriaus receptoriaus 2 (angl. </w:t>
            </w:r>
            <w:proofErr w:type="spellStart"/>
            <w:r w:rsidRPr="00751BA3">
              <w:t>human</w:t>
            </w:r>
            <w:proofErr w:type="spellEnd"/>
            <w:r w:rsidRPr="00751BA3">
              <w:t xml:space="preserve"> </w:t>
            </w:r>
            <w:proofErr w:type="spellStart"/>
            <w:r w:rsidRPr="00751BA3">
              <w:t>epidermal</w:t>
            </w:r>
            <w:proofErr w:type="spellEnd"/>
            <w:r w:rsidRPr="00751BA3">
              <w:t xml:space="preserve"> </w:t>
            </w:r>
            <w:proofErr w:type="spellStart"/>
            <w:r w:rsidRPr="00751BA3">
              <w:t>growth</w:t>
            </w:r>
            <w:proofErr w:type="spellEnd"/>
            <w:r w:rsidRPr="00751BA3">
              <w:t xml:space="preserve"> </w:t>
            </w:r>
            <w:proofErr w:type="spellStart"/>
            <w:r w:rsidRPr="00751BA3">
              <w:t>factor</w:t>
            </w:r>
            <w:proofErr w:type="spellEnd"/>
            <w:r w:rsidRPr="00751BA3">
              <w:t xml:space="preserve"> </w:t>
            </w:r>
            <w:proofErr w:type="spellStart"/>
            <w:r w:rsidRPr="00751BA3">
              <w:t>receptor</w:t>
            </w:r>
            <w:proofErr w:type="spellEnd"/>
            <w:r w:rsidRPr="00751BA3">
              <w:t xml:space="preserve"> 2 – HER2) rodmens bei kai nustatoma PIK3CA mutacija, po to, kai liga progresavo po anksčiau skirtos endokrininės terapijos kaip </w:t>
            </w:r>
            <w:proofErr w:type="spellStart"/>
            <w:r w:rsidRPr="00751BA3">
              <w:t>monoterapijos</w:t>
            </w:r>
            <w:proofErr w:type="spellEnd"/>
            <w:r w:rsidRPr="00751BA3">
              <w:t>.</w:t>
            </w:r>
          </w:p>
          <w:p w14:paraId="13F7DFB0" w14:textId="339D76B7" w:rsidR="00751BA3" w:rsidRPr="00751BA3" w:rsidRDefault="00751BA3" w:rsidP="00751BA3">
            <w:r w:rsidRPr="00751BA3">
              <w:t>TLK-50 AM kodas – C50</w:t>
            </w:r>
          </w:p>
        </w:tc>
      </w:tr>
      <w:tr w:rsidR="00751BA3" w:rsidRPr="00E33EFF" w14:paraId="2F79DC08" w14:textId="77777777" w:rsidTr="00BE7489">
        <w:trPr>
          <w:trHeight w:val="378"/>
        </w:trPr>
        <w:tc>
          <w:tcPr>
            <w:tcW w:w="632" w:type="dxa"/>
          </w:tcPr>
          <w:p w14:paraId="547885A2" w14:textId="08AA8055" w:rsidR="00751BA3" w:rsidRPr="00E33EFF" w:rsidRDefault="00751BA3" w:rsidP="00751BA3">
            <w:pPr>
              <w:rPr>
                <w:rFonts w:eastAsia="Arial"/>
              </w:rPr>
            </w:pPr>
            <w:r w:rsidRPr="00E33EFF">
              <w:rPr>
                <w:rFonts w:eastAsia="Arial"/>
              </w:rPr>
              <w:lastRenderedPageBreak/>
              <w:t>1.6</w:t>
            </w:r>
          </w:p>
        </w:tc>
        <w:tc>
          <w:tcPr>
            <w:tcW w:w="3694" w:type="dxa"/>
          </w:tcPr>
          <w:p w14:paraId="2EAB877F" w14:textId="1B3C592F" w:rsidR="00751BA3" w:rsidRPr="00E33EFF" w:rsidRDefault="00751BA3" w:rsidP="00751BA3">
            <w:pPr>
              <w:rPr>
                <w:bCs/>
                <w:color w:val="000000"/>
                <w:u w:val="single"/>
                <w:lang w:eastAsia="lt-LT"/>
              </w:rPr>
            </w:pPr>
            <w:r w:rsidRPr="00EB6BD0">
              <w:rPr>
                <w:b/>
                <w:bCs/>
                <w:color w:val="000000"/>
                <w:lang w:eastAsia="lt-LT"/>
              </w:rPr>
              <w:t xml:space="preserve">Pareiškėjo teikiamos skyrimo sąlygos </w:t>
            </w:r>
          </w:p>
        </w:tc>
        <w:tc>
          <w:tcPr>
            <w:tcW w:w="5167" w:type="dxa"/>
          </w:tcPr>
          <w:p w14:paraId="0579DF58" w14:textId="75362F58" w:rsidR="00751BA3" w:rsidRPr="00751BA3" w:rsidRDefault="00751BA3" w:rsidP="00751BA3">
            <w:r w:rsidRPr="00751BA3">
              <w:rPr>
                <w:rFonts w:eastAsia="Arial"/>
                <w:color w:val="000000"/>
              </w:rPr>
              <w:t>Netaikoma. Skirti pagal registruotą indikaciją.</w:t>
            </w:r>
          </w:p>
        </w:tc>
      </w:tr>
      <w:tr w:rsidR="00B13D65" w:rsidRPr="00E33EFF" w14:paraId="3B125269" w14:textId="77777777" w:rsidTr="00751BA3">
        <w:trPr>
          <w:trHeight w:val="77"/>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6CC1022E" w14:textId="1D2562C3" w:rsidR="009F4D66"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tc>
        <w:tc>
          <w:tcPr>
            <w:tcW w:w="5167" w:type="dxa"/>
          </w:tcPr>
          <w:p w14:paraId="1F113AC0" w14:textId="1523B224" w:rsidR="009F4D66" w:rsidRPr="00751BA3"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751BA3" w:rsidRPr="00751BA3">
                  <w:rPr>
                    <w:rStyle w:val="Style2"/>
                    <w:rFonts w:ascii="Segoe UI Symbol" w:eastAsia="MS Gothic" w:hAnsi="Segoe UI Symbol" w:cs="Segoe UI Symbol"/>
                    <w:sz w:val="24"/>
                  </w:rPr>
                  <w:t>☒</w:t>
                </w:r>
              </w:sdtContent>
            </w:sdt>
            <w:r w:rsidR="009F4D66" w:rsidRPr="00751BA3">
              <w:t xml:space="preserve"> Tinkamas</w:t>
            </w:r>
          </w:p>
          <w:p w14:paraId="41B44044" w14:textId="199BD9DF" w:rsidR="00B13D65" w:rsidRPr="00751BA3"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751BA3">
                  <w:rPr>
                    <w:rStyle w:val="Style2"/>
                    <w:rFonts w:ascii="Segoe UI Symbol" w:eastAsia="MS Gothic" w:hAnsi="Segoe UI Symbol" w:cs="Segoe UI Symbol"/>
                    <w:sz w:val="24"/>
                  </w:rPr>
                  <w:t>☐</w:t>
                </w:r>
              </w:sdtContent>
            </w:sdt>
            <w:r w:rsidR="009F4D66" w:rsidRPr="00751BA3">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454DFDDE" w14:textId="77777777" w:rsidR="00907D60" w:rsidRPr="00EB6BD0" w:rsidRDefault="00907D60" w:rsidP="00907D60">
      <w:pPr>
        <w:spacing w:line="276" w:lineRule="auto"/>
        <w:rPr>
          <w:rFonts w:eastAsia="Arial"/>
        </w:rPr>
      </w:pPr>
    </w:p>
    <w:tbl>
      <w:tblPr>
        <w:tblStyle w:val="Lentelstinklelis"/>
        <w:tblW w:w="9588" w:type="dxa"/>
        <w:tblLook w:val="04A0" w:firstRow="1" w:lastRow="0" w:firstColumn="1" w:lastColumn="0" w:noHBand="0" w:noVBand="1"/>
      </w:tblPr>
      <w:tblGrid>
        <w:gridCol w:w="2927"/>
        <w:gridCol w:w="1915"/>
        <w:gridCol w:w="2351"/>
        <w:gridCol w:w="2395"/>
      </w:tblGrid>
      <w:tr w:rsidR="00907D60" w:rsidRPr="00EB6BD0" w14:paraId="60FA71F2" w14:textId="77777777" w:rsidTr="00751BA3">
        <w:trPr>
          <w:trHeight w:val="924"/>
        </w:trPr>
        <w:tc>
          <w:tcPr>
            <w:tcW w:w="2927" w:type="dxa"/>
          </w:tcPr>
          <w:p w14:paraId="5C110CCE" w14:textId="77777777" w:rsidR="00907D60" w:rsidRPr="00EB6BD0" w:rsidRDefault="00907D60" w:rsidP="008215CC">
            <w:pPr>
              <w:spacing w:line="276" w:lineRule="auto"/>
              <w:rPr>
                <w:rFonts w:eastAsia="Arial"/>
              </w:rPr>
            </w:pPr>
            <w:r w:rsidRPr="00EB6BD0">
              <w:rPr>
                <w:rFonts w:eastAsia="Arial"/>
              </w:rPr>
              <w:t>STV agentūros pavadinimas, šalis</w:t>
            </w:r>
          </w:p>
        </w:tc>
        <w:tc>
          <w:tcPr>
            <w:tcW w:w="1915" w:type="dxa"/>
          </w:tcPr>
          <w:p w14:paraId="15252EE7" w14:textId="77777777" w:rsidR="00907D60" w:rsidRPr="00EB6BD0" w:rsidRDefault="00907D60" w:rsidP="008215CC">
            <w:pPr>
              <w:spacing w:line="276" w:lineRule="auto"/>
              <w:rPr>
                <w:rFonts w:eastAsia="Arial"/>
              </w:rPr>
            </w:pPr>
            <w:r w:rsidRPr="00EB6BD0">
              <w:rPr>
                <w:rFonts w:eastAsia="Arial"/>
              </w:rPr>
              <w:t>STV vertinimas atliktas</w:t>
            </w:r>
          </w:p>
        </w:tc>
        <w:tc>
          <w:tcPr>
            <w:tcW w:w="2351" w:type="dxa"/>
          </w:tcPr>
          <w:p w14:paraId="4E851541" w14:textId="77777777" w:rsidR="00907D60" w:rsidRPr="00EB6BD0" w:rsidRDefault="00907D60" w:rsidP="008215CC">
            <w:pPr>
              <w:spacing w:line="276" w:lineRule="auto"/>
              <w:rPr>
                <w:rFonts w:eastAsia="Arial"/>
              </w:rPr>
            </w:pPr>
            <w:r w:rsidRPr="00EB6BD0">
              <w:rPr>
                <w:rFonts w:eastAsia="Arial"/>
              </w:rPr>
              <w:t>Klinikinio vertinimo išvada</w:t>
            </w:r>
          </w:p>
        </w:tc>
        <w:tc>
          <w:tcPr>
            <w:tcW w:w="2395" w:type="dxa"/>
          </w:tcPr>
          <w:p w14:paraId="628D4770" w14:textId="77777777" w:rsidR="00907D60" w:rsidRPr="00EB6BD0" w:rsidRDefault="00907D60" w:rsidP="008215CC">
            <w:pPr>
              <w:spacing w:line="276" w:lineRule="auto"/>
              <w:rPr>
                <w:rFonts w:eastAsia="Arial"/>
              </w:rPr>
            </w:pPr>
            <w:proofErr w:type="spellStart"/>
            <w:r w:rsidRPr="00EB6BD0">
              <w:rPr>
                <w:rFonts w:eastAsia="Arial"/>
              </w:rPr>
              <w:t>Farmakoekonominio</w:t>
            </w:r>
            <w:proofErr w:type="spellEnd"/>
            <w:r w:rsidRPr="00EB6BD0">
              <w:rPr>
                <w:rFonts w:eastAsia="Arial"/>
              </w:rPr>
              <w:t xml:space="preserve"> vertinimo išvada</w:t>
            </w:r>
          </w:p>
        </w:tc>
      </w:tr>
      <w:tr w:rsidR="00907D60" w:rsidRPr="00EB6BD0" w14:paraId="3530AA8D" w14:textId="77777777" w:rsidTr="00751BA3">
        <w:trPr>
          <w:trHeight w:val="1765"/>
        </w:trPr>
        <w:tc>
          <w:tcPr>
            <w:tcW w:w="2927" w:type="dxa"/>
          </w:tcPr>
          <w:p w14:paraId="02F23E17" w14:textId="77777777" w:rsidR="00907D60" w:rsidRPr="00EB6BD0" w:rsidRDefault="00907D60" w:rsidP="008215CC">
            <w:pPr>
              <w:autoSpaceDE w:val="0"/>
              <w:autoSpaceDN w:val="0"/>
              <w:adjustRightInd w:val="0"/>
              <w:spacing w:line="276" w:lineRule="auto"/>
              <w:rPr>
                <w:bCs/>
              </w:rPr>
            </w:pPr>
            <w:r w:rsidRPr="00EB6BD0">
              <w:rPr>
                <w:bCs/>
              </w:rPr>
              <w:t>Nacionalinis sveikatos ir klinikinės kompetencijos institutas, Didžioji Britanija</w:t>
            </w:r>
          </w:p>
          <w:p w14:paraId="22449E6C" w14:textId="77777777" w:rsidR="00907D60" w:rsidRPr="00EB6BD0" w:rsidRDefault="00907D60" w:rsidP="008215CC">
            <w:pPr>
              <w:spacing w:line="276" w:lineRule="auto"/>
              <w:rPr>
                <w:rFonts w:eastAsia="Arial"/>
              </w:rPr>
            </w:pPr>
            <w:r w:rsidRPr="00EB6BD0">
              <w:rPr>
                <w:rFonts w:eastAsia="Arial"/>
              </w:rPr>
              <w:t xml:space="preserve">(angl. </w:t>
            </w:r>
            <w:proofErr w:type="spellStart"/>
            <w:r w:rsidRPr="00EB6BD0">
              <w:rPr>
                <w:rFonts w:eastAsia="Arial"/>
                <w:i/>
              </w:rPr>
              <w:t>National</w:t>
            </w:r>
            <w:proofErr w:type="spellEnd"/>
            <w:r w:rsidRPr="00EB6BD0">
              <w:rPr>
                <w:rFonts w:eastAsia="Arial"/>
                <w:i/>
              </w:rPr>
              <w:t xml:space="preserve"> Institute </w:t>
            </w:r>
            <w:proofErr w:type="spellStart"/>
            <w:r w:rsidRPr="00EB6BD0">
              <w:rPr>
                <w:rFonts w:eastAsia="Arial"/>
                <w:i/>
              </w:rPr>
              <w:t>for</w:t>
            </w:r>
            <w:proofErr w:type="spellEnd"/>
            <w:r w:rsidRPr="00EB6BD0">
              <w:rPr>
                <w:rFonts w:eastAsia="Arial"/>
                <w:i/>
              </w:rPr>
              <w:t xml:space="preserve"> </w:t>
            </w:r>
            <w:proofErr w:type="spellStart"/>
            <w:r w:rsidRPr="00EB6BD0">
              <w:rPr>
                <w:rFonts w:eastAsia="Arial"/>
                <w:i/>
              </w:rPr>
              <w:t>Health</w:t>
            </w:r>
            <w:proofErr w:type="spellEnd"/>
            <w:r w:rsidRPr="00EB6BD0">
              <w:rPr>
                <w:rFonts w:eastAsia="Arial"/>
                <w:i/>
              </w:rPr>
              <w:t xml:space="preserve"> </w:t>
            </w:r>
            <w:proofErr w:type="spellStart"/>
            <w:r w:rsidRPr="00EB6BD0">
              <w:rPr>
                <w:rFonts w:eastAsia="Arial"/>
                <w:i/>
              </w:rPr>
              <w:t>and</w:t>
            </w:r>
            <w:proofErr w:type="spellEnd"/>
            <w:r w:rsidRPr="00EB6BD0">
              <w:rPr>
                <w:rFonts w:eastAsia="Arial"/>
                <w:i/>
              </w:rPr>
              <w:t xml:space="preserve"> Care </w:t>
            </w:r>
            <w:proofErr w:type="spellStart"/>
            <w:r w:rsidRPr="00EB6BD0">
              <w:rPr>
                <w:rFonts w:eastAsia="Arial"/>
                <w:i/>
              </w:rPr>
              <w:t>Excellence</w:t>
            </w:r>
            <w:proofErr w:type="spellEnd"/>
            <w:r w:rsidRPr="00EB6BD0">
              <w:rPr>
                <w:rFonts w:eastAsia="Arial"/>
                <w:i/>
              </w:rPr>
              <w:t>, NICE</w:t>
            </w:r>
            <w:r w:rsidRPr="00EB6BD0">
              <w:rPr>
                <w:rFonts w:eastAsia="Arial"/>
              </w:rPr>
              <w:t>)</w:t>
            </w:r>
          </w:p>
        </w:tc>
        <w:tc>
          <w:tcPr>
            <w:tcW w:w="1915" w:type="dxa"/>
          </w:tcPr>
          <w:p w14:paraId="3D7E5334" w14:textId="77777777" w:rsidR="00907D60" w:rsidRPr="00EB6BD0" w:rsidRDefault="00000000" w:rsidP="008215CC">
            <w:pPr>
              <w:spacing w:line="276" w:lineRule="auto"/>
            </w:pPr>
            <w:sdt>
              <w:sdtPr>
                <w:rPr>
                  <w:rStyle w:val="Style2"/>
                </w:rPr>
                <w:id w:val="1558205022"/>
                <w15:color w:val="FFCC00"/>
                <w14:checkbox>
                  <w14:checked w14:val="1"/>
                  <w14:checkedState w14:val="2612" w14:font="MS Gothic"/>
                  <w14:uncheckedState w14:val="2610" w14:font="MS Gothic"/>
                </w14:checkbox>
              </w:sdtPr>
              <w:sdtContent>
                <w:r w:rsidR="00907D60" w:rsidRPr="00EB6BD0">
                  <w:rPr>
                    <w:rStyle w:val="Style2"/>
                    <w:rFonts w:ascii="MS Gothic" w:eastAsia="MS Gothic" w:hAnsi="MS Gothic"/>
                  </w:rPr>
                  <w:t>☒</w:t>
                </w:r>
              </w:sdtContent>
            </w:sdt>
            <w:r w:rsidR="00907D60" w:rsidRPr="00EB6BD0">
              <w:t xml:space="preserve"> Taip</w:t>
            </w:r>
          </w:p>
          <w:p w14:paraId="324AC4B0" w14:textId="77777777" w:rsidR="00907D60" w:rsidRPr="00EB6BD0" w:rsidRDefault="00000000" w:rsidP="008215CC">
            <w:pPr>
              <w:spacing w:line="276" w:lineRule="auto"/>
            </w:pPr>
            <w:sdt>
              <w:sdtPr>
                <w:rPr>
                  <w:rStyle w:val="Style2"/>
                </w:rPr>
                <w:id w:val="866029625"/>
                <w15:color w:val="FFCC00"/>
                <w14:checkbox>
                  <w14:checked w14:val="0"/>
                  <w14:checkedState w14:val="2612" w14:font="MS Gothic"/>
                  <w14:uncheckedState w14:val="2610" w14:font="MS Gothic"/>
                </w14:checkbox>
              </w:sdtPr>
              <w:sdtContent>
                <w:r w:rsidR="00907D60" w:rsidRPr="00EB6BD0">
                  <w:rPr>
                    <w:rStyle w:val="Style2"/>
                    <w:rFonts w:ascii="MS Gothic" w:eastAsia="MS Gothic" w:hAnsi="MS Gothic"/>
                  </w:rPr>
                  <w:t>☐</w:t>
                </w:r>
              </w:sdtContent>
            </w:sdt>
            <w:r w:rsidR="00907D60" w:rsidRPr="00EB6BD0">
              <w:t xml:space="preserve"> Ne</w:t>
            </w:r>
          </w:p>
          <w:p w14:paraId="796862C2" w14:textId="77777777" w:rsidR="00907D60" w:rsidRPr="00EB6BD0" w:rsidRDefault="00000000" w:rsidP="008215CC">
            <w:pPr>
              <w:spacing w:line="276" w:lineRule="auto"/>
              <w:rPr>
                <w:rFonts w:eastAsia="Arial"/>
              </w:rPr>
            </w:pPr>
            <w:sdt>
              <w:sdtPr>
                <w:alias w:val="Nurodykite konkrečią dieną"/>
                <w:tag w:val="Nurodykite pradžios datą"/>
                <w:id w:val="922837954"/>
                <w:placeholder>
                  <w:docPart w:val="5A51498F150F49F1A4708530C67F9775"/>
                </w:placeholder>
                <w15:color w:val="FFCC99"/>
                <w:date w:fullDate="2022-08-10T00:00:00Z">
                  <w:dateFormat w:val="yyyy 'm.' MMMM d 'd.'"/>
                  <w:lid w:val="lt-LT"/>
                  <w:storeMappedDataAs w:val="dateTime"/>
                  <w:calendar w:val="gregorian"/>
                </w:date>
              </w:sdtPr>
              <w:sdtContent>
                <w:r w:rsidR="00907D60" w:rsidRPr="00EB6BD0">
                  <w:t>2022 m. rugpjūčio 10 d.</w:t>
                </w:r>
              </w:sdtContent>
            </w:sdt>
          </w:p>
        </w:tc>
        <w:tc>
          <w:tcPr>
            <w:tcW w:w="4746" w:type="dxa"/>
            <w:gridSpan w:val="2"/>
          </w:tcPr>
          <w:p w14:paraId="34A1AFFA" w14:textId="77777777" w:rsidR="00907D60" w:rsidRPr="00EB6BD0" w:rsidRDefault="00907D60" w:rsidP="008215CC">
            <w:pPr>
              <w:pStyle w:val="Sraopastraipa"/>
              <w:spacing w:after="120" w:line="276" w:lineRule="auto"/>
              <w:ind w:left="0"/>
              <w:contextualSpacing w:val="0"/>
              <w:jc w:val="both"/>
            </w:pPr>
            <w:proofErr w:type="spellStart"/>
            <w:r w:rsidRPr="00EB6BD0">
              <w:t>Alpelisibo</w:t>
            </w:r>
            <w:proofErr w:type="spellEnd"/>
            <w:r w:rsidRPr="00EB6BD0">
              <w:t xml:space="preserve"> ir </w:t>
            </w:r>
            <w:proofErr w:type="spellStart"/>
            <w:r w:rsidRPr="00EB6BD0">
              <w:t>fulvestranto</w:t>
            </w:r>
            <w:proofErr w:type="spellEnd"/>
            <w:r w:rsidRPr="00EB6BD0">
              <w:t xml:space="preserve"> derinys </w:t>
            </w:r>
            <w:r w:rsidRPr="00EB6BD0">
              <w:rPr>
                <w:b/>
                <w:bCs/>
              </w:rPr>
              <w:t>rekomenduojamas</w:t>
            </w:r>
            <w:r w:rsidRPr="00EB6BD0">
              <w:t xml:space="preserve"> kaip galimas variantas lokaliai progresavusio arba </w:t>
            </w:r>
            <w:proofErr w:type="spellStart"/>
            <w:r w:rsidRPr="00EB6BD0">
              <w:t>metastazavusio</w:t>
            </w:r>
            <w:proofErr w:type="spellEnd"/>
            <w:r w:rsidRPr="00EB6BD0">
              <w:t xml:space="preserve"> krūties vėžio gydymui suaugusiems, kai nustatoma hormonų receptorių (HR) ir nenustatoma žmogaus epidermio augimo faktoriaus receptoriaus 2 rodmens bei kai nustatoma PIK3CA mutacija, tik, kai:</w:t>
            </w:r>
          </w:p>
          <w:p w14:paraId="39E8DB45" w14:textId="77777777" w:rsidR="00907D60" w:rsidRPr="00EB6BD0" w:rsidRDefault="00907D60" w:rsidP="00907D60">
            <w:pPr>
              <w:pStyle w:val="Sraopastraipa"/>
              <w:numPr>
                <w:ilvl w:val="0"/>
                <w:numId w:val="13"/>
              </w:numPr>
              <w:spacing w:after="120" w:line="276" w:lineRule="auto"/>
              <w:contextualSpacing w:val="0"/>
              <w:jc w:val="both"/>
              <w:rPr>
                <w:rFonts w:eastAsia="Arial"/>
              </w:rPr>
            </w:pPr>
            <w:r w:rsidRPr="00EB6BD0">
              <w:t xml:space="preserve">po to, kai liga progresavo po anksčiau skirtos CDK4/6 inhibitorių ir </w:t>
            </w:r>
            <w:proofErr w:type="spellStart"/>
            <w:r w:rsidRPr="00EB6BD0">
              <w:t>aromatazės</w:t>
            </w:r>
            <w:proofErr w:type="spellEnd"/>
            <w:r w:rsidRPr="00EB6BD0">
              <w:t xml:space="preserve"> inhibitorių terapijos.</w:t>
            </w:r>
          </w:p>
        </w:tc>
      </w:tr>
      <w:tr w:rsidR="00907D60" w:rsidRPr="00EB6BD0" w14:paraId="056F75AC" w14:textId="77777777" w:rsidTr="00751BA3">
        <w:trPr>
          <w:trHeight w:val="1547"/>
        </w:trPr>
        <w:tc>
          <w:tcPr>
            <w:tcW w:w="2927" w:type="dxa"/>
          </w:tcPr>
          <w:p w14:paraId="270BBDD0" w14:textId="77777777" w:rsidR="00907D60" w:rsidRPr="00EB6BD0" w:rsidRDefault="00907D60" w:rsidP="008215CC">
            <w:pPr>
              <w:spacing w:line="276" w:lineRule="auto"/>
              <w:rPr>
                <w:rFonts w:eastAsia="Arial"/>
              </w:rPr>
            </w:pPr>
            <w:r w:rsidRPr="00EB6BD0">
              <w:rPr>
                <w:rFonts w:eastAsia="Arial"/>
              </w:rPr>
              <w:t>Kanados sveikatos technologijų agentūra</w:t>
            </w:r>
          </w:p>
          <w:p w14:paraId="087D9F32" w14:textId="77777777" w:rsidR="00907D60" w:rsidRPr="00EB6BD0" w:rsidRDefault="00907D60" w:rsidP="008215CC">
            <w:pPr>
              <w:spacing w:line="276" w:lineRule="auto"/>
              <w:rPr>
                <w:rFonts w:eastAsia="Arial"/>
              </w:rPr>
            </w:pPr>
            <w:r w:rsidRPr="00EB6BD0">
              <w:rPr>
                <w:rFonts w:eastAsia="Arial"/>
              </w:rPr>
              <w:t xml:space="preserve">(angl. </w:t>
            </w:r>
            <w:proofErr w:type="spellStart"/>
            <w:r w:rsidRPr="00EB6BD0">
              <w:rPr>
                <w:rFonts w:eastAsia="Arial"/>
                <w:i/>
              </w:rPr>
              <w:t>Canadian</w:t>
            </w:r>
            <w:proofErr w:type="spellEnd"/>
            <w:r w:rsidRPr="00EB6BD0">
              <w:rPr>
                <w:rFonts w:eastAsia="Arial"/>
                <w:i/>
              </w:rPr>
              <w:t xml:space="preserve"> </w:t>
            </w:r>
            <w:proofErr w:type="spellStart"/>
            <w:r w:rsidRPr="00EB6BD0">
              <w:rPr>
                <w:rFonts w:eastAsia="Arial"/>
                <w:i/>
              </w:rPr>
              <w:t>health</w:t>
            </w:r>
            <w:proofErr w:type="spellEnd"/>
            <w:r w:rsidRPr="00EB6BD0">
              <w:rPr>
                <w:rFonts w:eastAsia="Arial"/>
                <w:i/>
              </w:rPr>
              <w:t xml:space="preserve"> </w:t>
            </w:r>
            <w:proofErr w:type="spellStart"/>
            <w:r w:rsidRPr="00EB6BD0">
              <w:rPr>
                <w:rFonts w:eastAsia="Arial"/>
                <w:i/>
              </w:rPr>
              <w:t>Technology</w:t>
            </w:r>
            <w:proofErr w:type="spellEnd"/>
            <w:r w:rsidRPr="00EB6BD0">
              <w:rPr>
                <w:rFonts w:eastAsia="Arial"/>
                <w:i/>
              </w:rPr>
              <w:t xml:space="preserve"> </w:t>
            </w:r>
            <w:proofErr w:type="spellStart"/>
            <w:r w:rsidRPr="00EB6BD0">
              <w:rPr>
                <w:rFonts w:eastAsia="Arial"/>
                <w:i/>
              </w:rPr>
              <w:t>Assessment</w:t>
            </w:r>
            <w:proofErr w:type="spellEnd"/>
            <w:r w:rsidRPr="00EB6BD0">
              <w:rPr>
                <w:rFonts w:eastAsia="Arial"/>
                <w:i/>
              </w:rPr>
              <w:t xml:space="preserve"> </w:t>
            </w:r>
            <w:proofErr w:type="spellStart"/>
            <w:r w:rsidRPr="00EB6BD0">
              <w:rPr>
                <w:rFonts w:eastAsia="Arial"/>
                <w:i/>
              </w:rPr>
              <w:t>agency</w:t>
            </w:r>
            <w:proofErr w:type="spellEnd"/>
            <w:r w:rsidRPr="00EB6BD0">
              <w:rPr>
                <w:rFonts w:eastAsia="Arial"/>
                <w:i/>
              </w:rPr>
              <w:t>, CADTH</w:t>
            </w:r>
            <w:r w:rsidRPr="00EB6BD0">
              <w:rPr>
                <w:rFonts w:eastAsia="Arial"/>
              </w:rPr>
              <w:t>)</w:t>
            </w:r>
          </w:p>
        </w:tc>
        <w:tc>
          <w:tcPr>
            <w:tcW w:w="1915" w:type="dxa"/>
          </w:tcPr>
          <w:p w14:paraId="5650F158" w14:textId="77777777" w:rsidR="00907D60" w:rsidRPr="00EB6BD0" w:rsidRDefault="00000000" w:rsidP="008215CC">
            <w:pPr>
              <w:spacing w:line="276" w:lineRule="auto"/>
            </w:pPr>
            <w:sdt>
              <w:sdtPr>
                <w:rPr>
                  <w:rStyle w:val="Style2"/>
                </w:rPr>
                <w:id w:val="-372539057"/>
                <w15:color w:val="FFCC00"/>
                <w14:checkbox>
                  <w14:checked w14:val="1"/>
                  <w14:checkedState w14:val="2612" w14:font="MS Gothic"/>
                  <w14:uncheckedState w14:val="2610" w14:font="MS Gothic"/>
                </w14:checkbox>
              </w:sdtPr>
              <w:sdtContent>
                <w:r w:rsidR="00907D60" w:rsidRPr="00EB6BD0">
                  <w:rPr>
                    <w:rStyle w:val="Style2"/>
                    <w:rFonts w:ascii="MS Gothic" w:eastAsia="MS Gothic" w:hAnsi="MS Gothic"/>
                  </w:rPr>
                  <w:t>☒</w:t>
                </w:r>
              </w:sdtContent>
            </w:sdt>
            <w:r w:rsidR="00907D60" w:rsidRPr="00EB6BD0">
              <w:t xml:space="preserve"> Taip</w:t>
            </w:r>
          </w:p>
          <w:p w14:paraId="7A478EF0" w14:textId="77777777" w:rsidR="00907D60" w:rsidRPr="00EB6BD0" w:rsidRDefault="00000000" w:rsidP="008215CC">
            <w:pPr>
              <w:spacing w:line="276" w:lineRule="auto"/>
            </w:pPr>
            <w:sdt>
              <w:sdtPr>
                <w:rPr>
                  <w:rStyle w:val="Style2"/>
                </w:rPr>
                <w:id w:val="594442222"/>
                <w15:color w:val="FFCC00"/>
                <w14:checkbox>
                  <w14:checked w14:val="0"/>
                  <w14:checkedState w14:val="2612" w14:font="MS Gothic"/>
                  <w14:uncheckedState w14:val="2610" w14:font="MS Gothic"/>
                </w14:checkbox>
              </w:sdtPr>
              <w:sdtContent>
                <w:r w:rsidR="00907D60" w:rsidRPr="00EB6BD0">
                  <w:rPr>
                    <w:rStyle w:val="Style2"/>
                    <w:rFonts w:ascii="MS Gothic" w:eastAsia="MS Gothic" w:hAnsi="MS Gothic"/>
                  </w:rPr>
                  <w:t>☐</w:t>
                </w:r>
              </w:sdtContent>
            </w:sdt>
            <w:r w:rsidR="00907D60" w:rsidRPr="00EB6BD0">
              <w:t xml:space="preserve"> Ne</w:t>
            </w:r>
          </w:p>
          <w:p w14:paraId="26438274" w14:textId="77777777" w:rsidR="00907D60" w:rsidRPr="00EB6BD0" w:rsidRDefault="00000000" w:rsidP="008215CC">
            <w:pPr>
              <w:spacing w:line="276" w:lineRule="auto"/>
              <w:rPr>
                <w:rFonts w:eastAsia="Arial"/>
              </w:rPr>
            </w:pPr>
            <w:sdt>
              <w:sdtPr>
                <w:alias w:val="Nurodykite konkrečią dieną"/>
                <w:tag w:val="Nurodykite pradžios datą"/>
                <w:id w:val="1072468416"/>
                <w:placeholder>
                  <w:docPart w:val="0E4791AFE22041E484343BE748EC78D8"/>
                </w:placeholder>
                <w15:color w:val="FFCC99"/>
                <w:date w:fullDate="2022-01-26T00:00:00Z">
                  <w:dateFormat w:val="yyyy 'm.' MMMM d 'd.'"/>
                  <w:lid w:val="lt-LT"/>
                  <w:storeMappedDataAs w:val="dateTime"/>
                  <w:calendar w:val="gregorian"/>
                </w:date>
              </w:sdtPr>
              <w:sdtContent>
                <w:r w:rsidR="00907D60" w:rsidRPr="00EB6BD0">
                  <w:t>2022 m. sausio 26 d.</w:t>
                </w:r>
              </w:sdtContent>
            </w:sdt>
          </w:p>
        </w:tc>
        <w:tc>
          <w:tcPr>
            <w:tcW w:w="4746" w:type="dxa"/>
            <w:gridSpan w:val="2"/>
          </w:tcPr>
          <w:p w14:paraId="06F059F6" w14:textId="77777777" w:rsidR="00907D60" w:rsidRPr="00EB6BD0" w:rsidRDefault="00907D60" w:rsidP="008215CC">
            <w:pPr>
              <w:pStyle w:val="Sraopastraipa"/>
              <w:spacing w:after="120" w:line="276" w:lineRule="auto"/>
              <w:ind w:left="0"/>
              <w:contextualSpacing w:val="0"/>
              <w:jc w:val="both"/>
            </w:pPr>
            <w:proofErr w:type="spellStart"/>
            <w:r w:rsidRPr="00EB6BD0">
              <w:t>Alpelisibo</w:t>
            </w:r>
            <w:proofErr w:type="spellEnd"/>
            <w:r w:rsidRPr="00EB6BD0">
              <w:t xml:space="preserve"> ir </w:t>
            </w:r>
            <w:proofErr w:type="spellStart"/>
            <w:r w:rsidRPr="00EB6BD0">
              <w:t>fulvestranto</w:t>
            </w:r>
            <w:proofErr w:type="spellEnd"/>
            <w:r w:rsidRPr="00EB6BD0">
              <w:t xml:space="preserve"> derinys </w:t>
            </w:r>
            <w:r w:rsidRPr="00EB6BD0">
              <w:rPr>
                <w:b/>
                <w:bCs/>
              </w:rPr>
              <w:t xml:space="preserve">negali būti kompensuojamas </w:t>
            </w:r>
            <w:r w:rsidRPr="00EB6BD0">
              <w:t xml:space="preserve">lokaliai progresavusio arba </w:t>
            </w:r>
            <w:proofErr w:type="spellStart"/>
            <w:r w:rsidRPr="00EB6BD0">
              <w:t>metastazavusio</w:t>
            </w:r>
            <w:proofErr w:type="spellEnd"/>
            <w:r w:rsidRPr="00EB6BD0">
              <w:t xml:space="preserve"> krūties vėžio gydymui suaugusiems, kai nustatoma hormonų receptorių (HR) ir nenustatoma žmogaus epidermio augimo faktoriaus receptoriaus 2 rodmens bei kai nustatoma PIK3CA mutacija, nes:</w:t>
            </w:r>
          </w:p>
          <w:p w14:paraId="4DB7E039" w14:textId="77777777" w:rsidR="00907D60" w:rsidRPr="00EB6BD0" w:rsidRDefault="00907D60" w:rsidP="00907D60">
            <w:pPr>
              <w:pStyle w:val="Sraopastraipa"/>
              <w:numPr>
                <w:ilvl w:val="0"/>
                <w:numId w:val="13"/>
              </w:numPr>
              <w:spacing w:after="120" w:line="276" w:lineRule="auto"/>
              <w:contextualSpacing w:val="0"/>
              <w:jc w:val="both"/>
            </w:pPr>
            <w:r w:rsidRPr="00EB6BD0">
              <w:t xml:space="preserve">Nėra pakankamai patikimų klinikinių įrodymų, kad būtų galima įrodyti </w:t>
            </w:r>
            <w:proofErr w:type="spellStart"/>
            <w:r w:rsidRPr="00EB6BD0">
              <w:t>Piqray</w:t>
            </w:r>
            <w:proofErr w:type="spellEnd"/>
            <w:r w:rsidRPr="00EB6BD0">
              <w:t xml:space="preserve"> pridėjimo prie gydymo </w:t>
            </w:r>
            <w:proofErr w:type="spellStart"/>
            <w:r w:rsidRPr="00EB6BD0">
              <w:t>fulvestrantu</w:t>
            </w:r>
            <w:proofErr w:type="spellEnd"/>
            <w:r w:rsidRPr="00EB6BD0">
              <w:t xml:space="preserve"> naudą atitinkamai pacientų grupei.</w:t>
            </w:r>
          </w:p>
          <w:p w14:paraId="2221CAD8" w14:textId="77777777" w:rsidR="00907D60" w:rsidRPr="00EB6BD0" w:rsidRDefault="00907D60" w:rsidP="00907D60">
            <w:pPr>
              <w:pStyle w:val="Sraopastraipa"/>
              <w:numPr>
                <w:ilvl w:val="0"/>
                <w:numId w:val="13"/>
              </w:numPr>
              <w:spacing w:after="120" w:line="276" w:lineRule="auto"/>
              <w:contextualSpacing w:val="0"/>
              <w:jc w:val="both"/>
            </w:pPr>
            <w:r w:rsidRPr="00EB6BD0">
              <w:t xml:space="preserve">Neaišku, ar </w:t>
            </w:r>
            <w:proofErr w:type="spellStart"/>
            <w:r w:rsidRPr="00EB6BD0">
              <w:t>Piqray</w:t>
            </w:r>
            <w:proofErr w:type="spellEnd"/>
            <w:r w:rsidRPr="00EB6BD0">
              <w:t xml:space="preserve"> atitinka pacientų nustatytus poreikius, įskaitant ligos progresavimo atidėjimą, bendro išgyvenamumo pailginimą ir gyvenimo kokybės palaikymą ar gerinimą. Pacientai taip pat nurodė, kad svarbu turėti gydymą su minimaliu šalutiniu poveikiu, tačiau daugelis pacientų, dalyvavusių tyrimuose, nutraukė gydymą </w:t>
            </w:r>
            <w:proofErr w:type="spellStart"/>
            <w:r w:rsidRPr="00EB6BD0">
              <w:t>Piqray</w:t>
            </w:r>
            <w:proofErr w:type="spellEnd"/>
            <w:r w:rsidRPr="00EB6BD0">
              <w:t xml:space="preserve"> dėl šalutinio poveikio.</w:t>
            </w:r>
          </w:p>
        </w:tc>
      </w:tr>
      <w:tr w:rsidR="00907D60" w:rsidRPr="00EB6BD0" w14:paraId="2A44E77E" w14:textId="77777777" w:rsidTr="00751BA3">
        <w:trPr>
          <w:trHeight w:val="1927"/>
        </w:trPr>
        <w:tc>
          <w:tcPr>
            <w:tcW w:w="2927" w:type="dxa"/>
          </w:tcPr>
          <w:p w14:paraId="2001F99D" w14:textId="77777777" w:rsidR="00907D60" w:rsidRPr="00EB6BD0" w:rsidRDefault="00907D60" w:rsidP="008215CC">
            <w:pPr>
              <w:spacing w:line="276" w:lineRule="auto"/>
              <w:rPr>
                <w:rFonts w:eastAsia="Arial"/>
              </w:rPr>
            </w:pPr>
            <w:r w:rsidRPr="00EB6BD0">
              <w:rPr>
                <w:rFonts w:eastAsia="Arial"/>
              </w:rPr>
              <w:lastRenderedPageBreak/>
              <w:t xml:space="preserve">Nacionalinis </w:t>
            </w:r>
            <w:proofErr w:type="spellStart"/>
            <w:r w:rsidRPr="00EB6BD0">
              <w:rPr>
                <w:rFonts w:eastAsia="Arial"/>
              </w:rPr>
              <w:t>farmakoekonomikos</w:t>
            </w:r>
            <w:proofErr w:type="spellEnd"/>
            <w:r w:rsidRPr="00EB6BD0">
              <w:rPr>
                <w:rFonts w:eastAsia="Arial"/>
              </w:rPr>
              <w:t xml:space="preserve"> centras, Airija</w:t>
            </w:r>
          </w:p>
          <w:p w14:paraId="06D1C35F" w14:textId="77777777" w:rsidR="00907D60" w:rsidRPr="00EB6BD0" w:rsidRDefault="00907D60" w:rsidP="008215CC">
            <w:pPr>
              <w:spacing w:line="276" w:lineRule="auto"/>
              <w:rPr>
                <w:rFonts w:eastAsia="Arial"/>
              </w:rPr>
            </w:pPr>
            <w:r w:rsidRPr="00EB6BD0">
              <w:rPr>
                <w:rFonts w:eastAsia="Arial"/>
              </w:rPr>
              <w:t>(angl.</w:t>
            </w:r>
            <w:r w:rsidRPr="00EB6BD0">
              <w:rPr>
                <w:rFonts w:eastAsia="Arial"/>
                <w:i/>
              </w:rPr>
              <w:t xml:space="preserve"> </w:t>
            </w:r>
            <w:proofErr w:type="spellStart"/>
            <w:r w:rsidRPr="00EB6BD0">
              <w:rPr>
                <w:rFonts w:eastAsia="Arial"/>
                <w:i/>
              </w:rPr>
              <w:t>National</w:t>
            </w:r>
            <w:proofErr w:type="spellEnd"/>
            <w:r w:rsidRPr="00EB6BD0">
              <w:rPr>
                <w:rFonts w:eastAsia="Arial"/>
                <w:i/>
              </w:rPr>
              <w:t xml:space="preserve"> Centre </w:t>
            </w:r>
            <w:proofErr w:type="spellStart"/>
            <w:r w:rsidRPr="00EB6BD0">
              <w:rPr>
                <w:rFonts w:eastAsia="Arial"/>
                <w:i/>
              </w:rPr>
              <w:t>for</w:t>
            </w:r>
            <w:proofErr w:type="spellEnd"/>
            <w:r w:rsidRPr="00EB6BD0">
              <w:rPr>
                <w:rFonts w:eastAsia="Arial"/>
                <w:i/>
              </w:rPr>
              <w:t xml:space="preserve"> </w:t>
            </w:r>
            <w:proofErr w:type="spellStart"/>
            <w:r w:rsidRPr="00EB6BD0">
              <w:rPr>
                <w:rFonts w:eastAsia="Arial"/>
                <w:i/>
              </w:rPr>
              <w:t>Pharmacoeconomics</w:t>
            </w:r>
            <w:proofErr w:type="spellEnd"/>
            <w:r w:rsidRPr="00EB6BD0">
              <w:rPr>
                <w:rFonts w:eastAsia="Arial"/>
                <w:i/>
              </w:rPr>
              <w:t>, NCPE</w:t>
            </w:r>
            <w:r w:rsidRPr="00EB6BD0">
              <w:rPr>
                <w:rFonts w:eastAsia="Arial"/>
              </w:rPr>
              <w:t>)</w:t>
            </w:r>
          </w:p>
        </w:tc>
        <w:tc>
          <w:tcPr>
            <w:tcW w:w="1915" w:type="dxa"/>
          </w:tcPr>
          <w:p w14:paraId="3840C3FE" w14:textId="77777777" w:rsidR="00907D60" w:rsidRPr="00EB6BD0" w:rsidRDefault="00000000" w:rsidP="008215CC">
            <w:pPr>
              <w:spacing w:line="276" w:lineRule="auto"/>
            </w:pPr>
            <w:sdt>
              <w:sdtPr>
                <w:rPr>
                  <w:rStyle w:val="Style2"/>
                </w:rPr>
                <w:id w:val="-1888403732"/>
                <w15:color w:val="FFCC00"/>
                <w14:checkbox>
                  <w14:checked w14:val="1"/>
                  <w14:checkedState w14:val="2612" w14:font="MS Gothic"/>
                  <w14:uncheckedState w14:val="2610" w14:font="MS Gothic"/>
                </w14:checkbox>
              </w:sdtPr>
              <w:sdtContent>
                <w:r w:rsidR="00907D60" w:rsidRPr="00EB6BD0">
                  <w:rPr>
                    <w:rStyle w:val="Style2"/>
                    <w:rFonts w:ascii="MS Gothic" w:eastAsia="MS Gothic" w:hAnsi="MS Gothic"/>
                  </w:rPr>
                  <w:t>☒</w:t>
                </w:r>
              </w:sdtContent>
            </w:sdt>
            <w:r w:rsidR="00907D60" w:rsidRPr="00EB6BD0">
              <w:t xml:space="preserve"> Taip</w:t>
            </w:r>
          </w:p>
          <w:p w14:paraId="27ABAEC2" w14:textId="77777777" w:rsidR="00907D60" w:rsidRPr="00EB6BD0" w:rsidRDefault="00000000" w:rsidP="008215CC">
            <w:pPr>
              <w:spacing w:line="276" w:lineRule="auto"/>
            </w:pPr>
            <w:sdt>
              <w:sdtPr>
                <w:rPr>
                  <w:rStyle w:val="Style2"/>
                </w:rPr>
                <w:id w:val="1092201793"/>
                <w15:color w:val="FFCC00"/>
                <w14:checkbox>
                  <w14:checked w14:val="0"/>
                  <w14:checkedState w14:val="2612" w14:font="MS Gothic"/>
                  <w14:uncheckedState w14:val="2610" w14:font="MS Gothic"/>
                </w14:checkbox>
              </w:sdtPr>
              <w:sdtContent>
                <w:r w:rsidR="00907D60" w:rsidRPr="00EB6BD0">
                  <w:rPr>
                    <w:rStyle w:val="Style2"/>
                    <w:rFonts w:ascii="Segoe UI Symbol" w:eastAsia="MS Gothic" w:hAnsi="Segoe UI Symbol" w:cs="Segoe UI Symbol"/>
                  </w:rPr>
                  <w:t>☐</w:t>
                </w:r>
              </w:sdtContent>
            </w:sdt>
            <w:r w:rsidR="00907D60" w:rsidRPr="00EB6BD0">
              <w:t xml:space="preserve"> Ne</w:t>
            </w:r>
          </w:p>
          <w:p w14:paraId="005C06E5" w14:textId="77777777" w:rsidR="00907D60" w:rsidRPr="00EB6BD0" w:rsidRDefault="00000000" w:rsidP="008215CC">
            <w:pPr>
              <w:spacing w:line="276" w:lineRule="auto"/>
              <w:rPr>
                <w:rFonts w:eastAsia="Arial"/>
              </w:rPr>
            </w:pPr>
            <w:sdt>
              <w:sdtPr>
                <w:alias w:val="Nurodykite konkrečią dieną"/>
                <w:tag w:val="Nurodykite pradžios datą"/>
                <w:id w:val="-198323198"/>
                <w:placeholder>
                  <w:docPart w:val="A58BB328FED8486CB7E9F2AADCD5E14A"/>
                </w:placeholder>
                <w15:color w:val="FFCC99"/>
                <w:date w:fullDate="2021-12-21T00:00:00Z">
                  <w:dateFormat w:val="yyyy 'm.' MMMM d 'd.'"/>
                  <w:lid w:val="lt-LT"/>
                  <w:storeMappedDataAs w:val="dateTime"/>
                  <w:calendar w:val="gregorian"/>
                </w:date>
              </w:sdtPr>
              <w:sdtContent>
                <w:r w:rsidR="00907D60" w:rsidRPr="00EB6BD0">
                  <w:t>2021 m. gruodžio 21 d.</w:t>
                </w:r>
              </w:sdtContent>
            </w:sdt>
          </w:p>
        </w:tc>
        <w:tc>
          <w:tcPr>
            <w:tcW w:w="4746" w:type="dxa"/>
            <w:gridSpan w:val="2"/>
          </w:tcPr>
          <w:p w14:paraId="65813E6E" w14:textId="77777777" w:rsidR="00907D60" w:rsidRPr="00EB6BD0" w:rsidRDefault="00907D60" w:rsidP="008215CC">
            <w:pPr>
              <w:spacing w:line="276" w:lineRule="auto"/>
              <w:jc w:val="both"/>
              <w:rPr>
                <w:rFonts w:eastAsia="Arial"/>
              </w:rPr>
            </w:pPr>
            <w:r w:rsidRPr="00EB6BD0">
              <w:rPr>
                <w:rFonts w:eastAsia="Arial"/>
              </w:rPr>
              <w:t xml:space="preserve">NCPE nurodo, kad nėra aišku, ar </w:t>
            </w:r>
            <w:proofErr w:type="spellStart"/>
            <w:r w:rsidRPr="00EB6BD0">
              <w:rPr>
                <w:rFonts w:eastAsia="Arial"/>
              </w:rPr>
              <w:t>alpelisibas</w:t>
            </w:r>
            <w:proofErr w:type="spellEnd"/>
            <w:r w:rsidRPr="00EB6BD0">
              <w:rPr>
                <w:rFonts w:eastAsia="Arial"/>
              </w:rPr>
              <w:t xml:space="preserve"> veikia taip gerai ar geriau nei kiti būdai valdyti šią būklę, o vaisto kainos ir kokybės santykis yra labai prastas, todėl </w:t>
            </w:r>
            <w:r w:rsidRPr="00EB6BD0">
              <w:rPr>
                <w:rFonts w:eastAsia="Arial"/>
                <w:b/>
                <w:bCs/>
              </w:rPr>
              <w:t>nerekomenduoja</w:t>
            </w:r>
            <w:r w:rsidRPr="00EB6BD0">
              <w:rPr>
                <w:rFonts w:eastAsia="Arial"/>
              </w:rPr>
              <w:t xml:space="preserve"> </w:t>
            </w:r>
            <w:proofErr w:type="spellStart"/>
            <w:r w:rsidRPr="00EB6BD0">
              <w:rPr>
                <w:rFonts w:eastAsia="Arial"/>
              </w:rPr>
              <w:t>Piqray</w:t>
            </w:r>
            <w:proofErr w:type="spellEnd"/>
            <w:r w:rsidRPr="00EB6BD0">
              <w:rPr>
                <w:rFonts w:eastAsia="Arial"/>
              </w:rPr>
              <w:t xml:space="preserve"> kompensuoti pagal nurodytą indikaciją.</w:t>
            </w:r>
          </w:p>
        </w:tc>
      </w:tr>
    </w:tbl>
    <w:p w14:paraId="73290081" w14:textId="111495CC"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46239301" w:rsidR="00D4485B" w:rsidRDefault="00D4485B" w:rsidP="00A93AA6">
      <w:pPr>
        <w:pStyle w:val="Sraopastraipa"/>
        <w:tabs>
          <w:tab w:val="left" w:pos="426"/>
        </w:tabs>
        <w:ind w:left="0"/>
        <w:rPr>
          <w:b/>
          <w:bCs/>
          <w:caps/>
        </w:rPr>
      </w:pPr>
    </w:p>
    <w:p w14:paraId="0F98A70F" w14:textId="467E5435" w:rsidR="00F36261" w:rsidRDefault="00F36261" w:rsidP="00F36261">
      <w:pPr>
        <w:tabs>
          <w:tab w:val="left" w:pos="426"/>
        </w:tabs>
        <w:spacing w:line="276" w:lineRule="auto"/>
        <w:jc w:val="both"/>
        <w:rPr>
          <w:szCs w:val="20"/>
        </w:rPr>
      </w:pPr>
      <w:r>
        <w:tab/>
      </w:r>
      <w:r>
        <w:tab/>
      </w:r>
      <w:proofErr w:type="spellStart"/>
      <w:r>
        <w:t>Alpelisibas</w:t>
      </w:r>
      <w:proofErr w:type="spellEnd"/>
      <w:r>
        <w:t xml:space="preserve"> laikomas </w:t>
      </w:r>
      <w:proofErr w:type="spellStart"/>
      <w:r>
        <w:t>antinavikiniu</w:t>
      </w:r>
      <w:proofErr w:type="spellEnd"/>
      <w:r>
        <w:t xml:space="preserve"> vaistiniu preparatu, priskiriamas kitų </w:t>
      </w:r>
      <w:proofErr w:type="spellStart"/>
      <w:r>
        <w:t>antinavikinių</w:t>
      </w:r>
      <w:proofErr w:type="spellEnd"/>
      <w:r>
        <w:t xml:space="preserve"> preparatų grupei, ATC kodas – L01M03.</w:t>
      </w:r>
    </w:p>
    <w:p w14:paraId="3565FA96" w14:textId="77777777" w:rsidR="00F36261" w:rsidRDefault="00F36261" w:rsidP="00F36261">
      <w:pPr>
        <w:tabs>
          <w:tab w:val="left" w:pos="426"/>
        </w:tabs>
        <w:spacing w:line="276" w:lineRule="auto"/>
        <w:jc w:val="both"/>
      </w:pPr>
      <w:r>
        <w:tab/>
      </w:r>
      <w:r>
        <w:tab/>
      </w:r>
      <w:proofErr w:type="spellStart"/>
      <w:r>
        <w:t>Alpelisibas</w:t>
      </w:r>
      <w:proofErr w:type="spellEnd"/>
      <w:r>
        <w:t xml:space="preserve"> yra α-specifinis I klasės fosfatidilinozitol-3-kinazės (PI3Kα) inhibitorius. </w:t>
      </w:r>
      <w:proofErr w:type="spellStart"/>
      <w:r>
        <w:rPr>
          <w:i/>
          <w:iCs/>
        </w:rPr>
        <w:t>In</w:t>
      </w:r>
      <w:proofErr w:type="spellEnd"/>
      <w:r>
        <w:rPr>
          <w:i/>
          <w:iCs/>
        </w:rPr>
        <w:t xml:space="preserve"> </w:t>
      </w:r>
      <w:proofErr w:type="spellStart"/>
      <w:r>
        <w:rPr>
          <w:i/>
          <w:iCs/>
        </w:rPr>
        <w:t>vitro</w:t>
      </w:r>
      <w:proofErr w:type="spellEnd"/>
      <w:r>
        <w:t xml:space="preserve"> ir </w:t>
      </w:r>
      <w:proofErr w:type="spellStart"/>
      <w:r>
        <w:rPr>
          <w:i/>
          <w:iCs/>
        </w:rPr>
        <w:t>in</w:t>
      </w:r>
      <w:proofErr w:type="spellEnd"/>
      <w:r>
        <w:rPr>
          <w:i/>
          <w:iCs/>
        </w:rPr>
        <w:t xml:space="preserve"> </w:t>
      </w:r>
      <w:proofErr w:type="spellStart"/>
      <w:r>
        <w:rPr>
          <w:i/>
          <w:iCs/>
        </w:rPr>
        <w:t>vivo</w:t>
      </w:r>
      <w:proofErr w:type="spellEnd"/>
      <w:r>
        <w:t xml:space="preserve"> modeliuose nustatyta, kad aktyvinančios mutacijos gene, kuris koduoja </w:t>
      </w:r>
      <w:proofErr w:type="spellStart"/>
      <w:r>
        <w:t>katalizuojantį</w:t>
      </w:r>
      <w:proofErr w:type="spellEnd"/>
      <w:r>
        <w:t xml:space="preserve"> PI3K α-</w:t>
      </w:r>
      <w:proofErr w:type="spellStart"/>
      <w:r>
        <w:t>subvienetą</w:t>
      </w:r>
      <w:proofErr w:type="spellEnd"/>
      <w:r>
        <w:t xml:space="preserve"> (PIK3CA), lemia PI3Kα ir AKT signalų perdavimo mechanizmo suaktyvinimą, ląstelių transformaciją bei navikų atsiradimą. </w:t>
      </w:r>
    </w:p>
    <w:p w14:paraId="304455B6" w14:textId="77777777" w:rsidR="00293EA1" w:rsidRDefault="00751BA3" w:rsidP="00751BA3">
      <w:pPr>
        <w:tabs>
          <w:tab w:val="left" w:pos="426"/>
        </w:tabs>
        <w:spacing w:line="276" w:lineRule="auto"/>
        <w:jc w:val="both"/>
      </w:pPr>
      <w:r>
        <w:tab/>
      </w:r>
      <w:r w:rsidR="00F36261">
        <w:tab/>
      </w:r>
      <w:r w:rsidRPr="00EB6BD0">
        <w:t xml:space="preserve">Tyrimų su KV ląstelių linijomis metu nustatyta, kad </w:t>
      </w:r>
      <w:proofErr w:type="spellStart"/>
      <w:r w:rsidRPr="00EB6BD0">
        <w:t>alpelisibas</w:t>
      </w:r>
      <w:proofErr w:type="spellEnd"/>
      <w:r w:rsidRPr="00EB6BD0">
        <w:t xml:space="preserve"> slopina PI3K taikinių (įskaitant AKT) </w:t>
      </w:r>
      <w:proofErr w:type="spellStart"/>
      <w:r w:rsidRPr="00EB6BD0">
        <w:t>fosforilinimą</w:t>
      </w:r>
      <w:proofErr w:type="spellEnd"/>
      <w:r w:rsidRPr="00EB6BD0">
        <w:t xml:space="preserve"> bei pasižymi poveikiu prieš ląstelių linijas, turinčias PIK3CA mutaciją.</w:t>
      </w:r>
      <w:r>
        <w:t xml:space="preserve"> </w:t>
      </w:r>
    </w:p>
    <w:p w14:paraId="1CA6FE8B" w14:textId="2739CB95" w:rsidR="00293EA1" w:rsidRDefault="00293EA1" w:rsidP="00751BA3">
      <w:pPr>
        <w:tabs>
          <w:tab w:val="left" w:pos="426"/>
        </w:tabs>
        <w:spacing w:line="276" w:lineRule="auto"/>
        <w:jc w:val="both"/>
      </w:pPr>
      <w:r>
        <w:tab/>
      </w:r>
      <w:r>
        <w:tab/>
        <w:t xml:space="preserve">Patvirtintose ir kompensavimui teikiamose vaistinio preparato </w:t>
      </w:r>
      <w:proofErr w:type="spellStart"/>
      <w:r w:rsidRPr="00A5019F">
        <w:t>Piqray</w:t>
      </w:r>
      <w:proofErr w:type="spellEnd"/>
      <w:r w:rsidRPr="00A5019F">
        <w:t xml:space="preserve"> terapinė</w:t>
      </w:r>
      <w:r>
        <w:t>se</w:t>
      </w:r>
      <w:r w:rsidRPr="00A5019F">
        <w:t xml:space="preserve"> indikacij</w:t>
      </w:r>
      <w:r>
        <w:t>ose</w:t>
      </w:r>
      <w:r w:rsidRPr="00A5019F">
        <w:t xml:space="preserve"> </w:t>
      </w:r>
      <w:r w:rsidR="00E16DBD">
        <w:t>nurodyta</w:t>
      </w:r>
      <w:r w:rsidRPr="00A5019F">
        <w:t>, kad šis vaistinis preparatas skiriamas</w:t>
      </w:r>
      <w:r>
        <w:t xml:space="preserve"> </w:t>
      </w:r>
      <w:r w:rsidRPr="00A5019F">
        <w:t xml:space="preserve">moterų po menopauzės ir vyrų lokaliai progresavusio arba </w:t>
      </w:r>
      <w:proofErr w:type="spellStart"/>
      <w:r w:rsidRPr="00A5019F">
        <w:t>metastazavusio</w:t>
      </w:r>
      <w:proofErr w:type="spellEnd"/>
      <w:r w:rsidRPr="00A5019F">
        <w:t xml:space="preserve"> krūties vėžys</w:t>
      </w:r>
      <w:r>
        <w:t xml:space="preserve"> gydymui</w:t>
      </w:r>
      <w:r w:rsidRPr="00A5019F">
        <w:t xml:space="preserve">, </w:t>
      </w:r>
      <w:r w:rsidRPr="00AE6CA5">
        <w:t xml:space="preserve">kai </w:t>
      </w:r>
      <w:r w:rsidRPr="00AE6CA5">
        <w:rPr>
          <w:b/>
        </w:rPr>
        <w:t>nustatyta</w:t>
      </w:r>
      <w:r w:rsidRPr="00AE6CA5">
        <w:t xml:space="preserve"> HR ir </w:t>
      </w:r>
      <w:r w:rsidRPr="00AE6CA5">
        <w:rPr>
          <w:b/>
        </w:rPr>
        <w:t>nenustatyta</w:t>
      </w:r>
      <w:r w:rsidRPr="00AE6CA5">
        <w:t xml:space="preserve"> HER2 ir </w:t>
      </w:r>
      <w:r w:rsidRPr="00AE6CA5">
        <w:rPr>
          <w:b/>
        </w:rPr>
        <w:t>nustatyta</w:t>
      </w:r>
      <w:r w:rsidRPr="00AE6CA5">
        <w:t xml:space="preserve"> PIK3CA mutacija</w:t>
      </w:r>
      <w:r w:rsidRPr="00A5019F">
        <w:t xml:space="preserve">, po to kai liga progresavo </w:t>
      </w:r>
      <w:r>
        <w:t xml:space="preserve">po </w:t>
      </w:r>
      <w:r w:rsidRPr="00A5019F">
        <w:t xml:space="preserve">anksčiau skirtos endokrininės, terapijos kaip </w:t>
      </w:r>
      <w:proofErr w:type="spellStart"/>
      <w:r w:rsidRPr="00E16DBD">
        <w:rPr>
          <w:b/>
        </w:rPr>
        <w:t>monoterapijos</w:t>
      </w:r>
      <w:proofErr w:type="spellEnd"/>
      <w:r w:rsidRPr="00E16DBD">
        <w:rPr>
          <w:b/>
        </w:rPr>
        <w:t>.</w:t>
      </w:r>
      <w:r>
        <w:t xml:space="preserve"> Pažymėtina, kad didžioji dalis (~94 proc.) pacientų vertinimui pateiktame klinikiniame tyrime SOLAR-1 buvo gydomi </w:t>
      </w:r>
      <w:proofErr w:type="spellStart"/>
      <w:r>
        <w:t>monoterapija</w:t>
      </w:r>
      <w:proofErr w:type="spellEnd"/>
      <w:r>
        <w:t xml:space="preserve"> </w:t>
      </w:r>
      <w:proofErr w:type="spellStart"/>
      <w:r>
        <w:t>aromatazės</w:t>
      </w:r>
      <w:proofErr w:type="spellEnd"/>
      <w:r>
        <w:t xml:space="preserve"> inhibitoriumi ir tik nedidelei daliai (</w:t>
      </w:r>
      <w:r>
        <w:rPr>
          <w:lang w:val="en-US"/>
        </w:rPr>
        <w:t>~6 proc.</w:t>
      </w:r>
      <w:r>
        <w:t xml:space="preserve">) pacientų buvo taikytas gydymas </w:t>
      </w:r>
      <w:proofErr w:type="spellStart"/>
      <w:r>
        <w:t>aromatazės</w:t>
      </w:r>
      <w:proofErr w:type="spellEnd"/>
      <w:r>
        <w:t xml:space="preserve"> inhibitoriaus ir CD4/6 inhibitoriaus deriniu.</w:t>
      </w:r>
    </w:p>
    <w:p w14:paraId="348B2407" w14:textId="385D318A" w:rsidR="00293EA1" w:rsidRPr="00AE6CA5" w:rsidRDefault="00D75512" w:rsidP="00293EA1">
      <w:pPr>
        <w:spacing w:line="276" w:lineRule="auto"/>
        <w:ind w:firstLine="720"/>
        <w:jc w:val="both"/>
      </w:pPr>
      <w:r>
        <w:rPr>
          <w:bCs/>
          <w:lang w:eastAsia="lt-LT"/>
        </w:rPr>
        <w:t xml:space="preserve">Vadovaujantis </w:t>
      </w:r>
      <w:r w:rsidR="00751BA3" w:rsidRPr="00EB6BD0">
        <w:rPr>
          <w:bCs/>
          <w:lang w:eastAsia="lt-LT"/>
        </w:rPr>
        <w:t>Lietuvos Respublikos sveikatos apsaugos ministro 2002 m. balandžio 5 d. įsakymą Nr. V-159 „Dė</w:t>
      </w:r>
      <w:r w:rsidR="00751BA3" w:rsidRPr="00EB6BD0">
        <w:rPr>
          <w:bCs/>
        </w:rPr>
        <w:t>l vaistinių preparatų ir medicinos pagalbos priemonių įrašymo į kompensavimo sąrašus ir jų keitimo tvarkos aprašo patvirtinimo“ 116-119 p</w:t>
      </w:r>
      <w:r>
        <w:rPr>
          <w:bCs/>
        </w:rPr>
        <w:t xml:space="preserve">unktais, šiuo metu </w:t>
      </w:r>
      <w:r w:rsidR="00751BA3" w:rsidRPr="00EB6BD0">
        <w:rPr>
          <w:bCs/>
        </w:rPr>
        <w:t xml:space="preserve">tinkamas palyginamasis gydymas </w:t>
      </w:r>
      <w:r>
        <w:rPr>
          <w:bCs/>
        </w:rPr>
        <w:t>yra</w:t>
      </w:r>
      <w:r w:rsidR="00751BA3" w:rsidRPr="00EB6BD0">
        <w:rPr>
          <w:bCs/>
        </w:rPr>
        <w:t xml:space="preserve"> </w:t>
      </w:r>
      <w:proofErr w:type="spellStart"/>
      <w:r w:rsidR="00751BA3" w:rsidRPr="00EB6BD0">
        <w:rPr>
          <w:bCs/>
          <w:iCs/>
        </w:rPr>
        <w:t>fulvestrantas</w:t>
      </w:r>
      <w:proofErr w:type="spellEnd"/>
      <w:r w:rsidR="00751BA3" w:rsidRPr="00EB6BD0">
        <w:rPr>
          <w:bCs/>
        </w:rPr>
        <w:t>.</w:t>
      </w:r>
      <w:r w:rsidR="00751BA3">
        <w:rPr>
          <w:bCs/>
        </w:rPr>
        <w:t xml:space="preserve"> </w:t>
      </w:r>
      <w:r w:rsidR="00751BA3">
        <w:t>Tačiau remiantis įprastine klinikine praktika Lietuvoje</w:t>
      </w:r>
      <w:r>
        <w:t>,</w:t>
      </w:r>
      <w:r w:rsidR="00751BA3">
        <w:t xml:space="preserve"> prieš tai pacient</w:t>
      </w:r>
      <w:r w:rsidR="00E554AB">
        <w:t>ai</w:t>
      </w:r>
      <w:r w:rsidR="00751BA3">
        <w:t xml:space="preserve"> turėtų būti gydomi CDK4/6 </w:t>
      </w:r>
      <w:r w:rsidR="00751BA3" w:rsidRPr="00E16DBD">
        <w:t>inhibitoria</w:t>
      </w:r>
      <w:r w:rsidRPr="00E16DBD">
        <w:t>i</w:t>
      </w:r>
      <w:r w:rsidR="00751BA3" w:rsidRPr="00E16DBD">
        <w:t xml:space="preserve">s </w:t>
      </w:r>
      <w:r w:rsidRPr="00E16DBD">
        <w:t>(</w:t>
      </w:r>
      <w:proofErr w:type="spellStart"/>
      <w:r w:rsidRPr="00E16DBD">
        <w:t>abemaciklibu</w:t>
      </w:r>
      <w:proofErr w:type="spellEnd"/>
      <w:r w:rsidRPr="00E16DBD">
        <w:t xml:space="preserve">, </w:t>
      </w:r>
      <w:proofErr w:type="spellStart"/>
      <w:r w:rsidRPr="00E16DBD">
        <w:t>palbociklibu</w:t>
      </w:r>
      <w:proofErr w:type="spellEnd"/>
      <w:r w:rsidRPr="00E16DBD">
        <w:t xml:space="preserve"> ar </w:t>
      </w:r>
      <w:proofErr w:type="spellStart"/>
      <w:r w:rsidRPr="00E16DBD">
        <w:t>ribociklibu</w:t>
      </w:r>
      <w:proofErr w:type="spellEnd"/>
      <w:r w:rsidRPr="00E16DBD">
        <w:t xml:space="preserve">) </w:t>
      </w:r>
      <w:r w:rsidR="00751BA3" w:rsidRPr="00E16DBD">
        <w:t xml:space="preserve">derinyje su </w:t>
      </w:r>
      <w:r w:rsidR="00E554AB" w:rsidRPr="00E16DBD">
        <w:t>endokrinine terapija (</w:t>
      </w:r>
      <w:r w:rsidR="00751BA3" w:rsidRPr="00E16DBD">
        <w:t>ET</w:t>
      </w:r>
      <w:r w:rsidR="00E554AB" w:rsidRPr="00E16DBD">
        <w:t>)</w:t>
      </w:r>
      <w:r w:rsidR="00751BA3" w:rsidRPr="00E16DBD">
        <w:t xml:space="preserve"> (</w:t>
      </w:r>
      <w:proofErr w:type="spellStart"/>
      <w:r w:rsidR="00751BA3" w:rsidRPr="00E16DBD">
        <w:t>t.y</w:t>
      </w:r>
      <w:proofErr w:type="spellEnd"/>
      <w:r w:rsidR="00751BA3" w:rsidRPr="00E16DBD">
        <w:t xml:space="preserve">. </w:t>
      </w:r>
      <w:proofErr w:type="spellStart"/>
      <w:r w:rsidR="00751BA3" w:rsidRPr="00E16DBD">
        <w:t>aromatazės</w:t>
      </w:r>
      <w:proofErr w:type="spellEnd"/>
      <w:r w:rsidR="00751BA3" w:rsidRPr="00E16DBD">
        <w:t xml:space="preserve"> inhibitoriumi</w:t>
      </w:r>
      <w:r w:rsidR="00751BA3">
        <w:t>)</w:t>
      </w:r>
      <w:r w:rsidR="00E554AB">
        <w:t>.</w:t>
      </w:r>
      <w:r w:rsidR="00293EA1">
        <w:t xml:space="preserve"> </w:t>
      </w:r>
      <w:r w:rsidR="00293EA1" w:rsidRPr="00AE6CA5">
        <w:t>Šios išvados buvo prieita, remiantis:</w:t>
      </w:r>
    </w:p>
    <w:p w14:paraId="68CE12AE" w14:textId="4534B13A" w:rsidR="00293EA1" w:rsidRPr="00AE6CA5" w:rsidRDefault="00293EA1" w:rsidP="00293EA1">
      <w:pPr>
        <w:pStyle w:val="Sraopastraipa"/>
        <w:numPr>
          <w:ilvl w:val="0"/>
          <w:numId w:val="14"/>
        </w:numPr>
        <w:tabs>
          <w:tab w:val="left" w:pos="426"/>
        </w:tabs>
        <w:spacing w:line="276" w:lineRule="auto"/>
        <w:jc w:val="both"/>
      </w:pPr>
      <w:r w:rsidRPr="00AE6CA5">
        <w:t>2011 m. liepos 22 d. Nr. V-713 Lietuvos Respublikos Sveikatos apsaugos ministro įsakymu „Dėl krūties piktybinio naviko ambulatorinio gydymo kompensuojamaisiais vaistais tvarkos aprašo patvirtinimo“</w:t>
      </w:r>
      <w:r w:rsidR="00E16DBD">
        <w:t xml:space="preserve"> informacija</w:t>
      </w:r>
      <w:r w:rsidRPr="00AE6CA5">
        <w:t xml:space="preserve">; </w:t>
      </w:r>
    </w:p>
    <w:p w14:paraId="44AF8BBB" w14:textId="03034AB2" w:rsidR="00293EA1" w:rsidRPr="00AE6CA5" w:rsidRDefault="00293EA1" w:rsidP="00293EA1">
      <w:pPr>
        <w:pStyle w:val="Sraopastraipa"/>
        <w:numPr>
          <w:ilvl w:val="0"/>
          <w:numId w:val="14"/>
        </w:numPr>
        <w:spacing w:line="276" w:lineRule="auto"/>
        <w:jc w:val="both"/>
      </w:pPr>
      <w:r w:rsidRPr="00AE6CA5">
        <w:t>2000 m. sausio 28 d. Nr. 49 Lietuvos Respublikos Sveikatos apsaugos ministro įsakymu „Dėl kompensuojamųjų vaistų sąrašų patvirtinimo“</w:t>
      </w:r>
      <w:r w:rsidR="00E16DBD">
        <w:t xml:space="preserve"> informacija</w:t>
      </w:r>
      <w:r w:rsidRPr="00AE6CA5">
        <w:t>;</w:t>
      </w:r>
    </w:p>
    <w:p w14:paraId="1D905BB4" w14:textId="3B23B26F" w:rsidR="00293EA1" w:rsidRPr="00AE6CA5" w:rsidRDefault="00293EA1" w:rsidP="00293EA1">
      <w:pPr>
        <w:pStyle w:val="Sraopastraipa"/>
        <w:numPr>
          <w:ilvl w:val="0"/>
          <w:numId w:val="14"/>
        </w:numPr>
        <w:spacing w:line="276" w:lineRule="auto"/>
        <w:jc w:val="both"/>
      </w:pPr>
      <w:r w:rsidRPr="00AE6CA5">
        <w:t xml:space="preserve">Europos medicininės onkologijos draugijos (angl. </w:t>
      </w:r>
      <w:proofErr w:type="spellStart"/>
      <w:r w:rsidRPr="00AE6CA5">
        <w:rPr>
          <w:i/>
        </w:rPr>
        <w:t>European</w:t>
      </w:r>
      <w:proofErr w:type="spellEnd"/>
      <w:r w:rsidRPr="00AE6CA5">
        <w:rPr>
          <w:i/>
        </w:rPr>
        <w:t xml:space="preserve"> </w:t>
      </w:r>
      <w:proofErr w:type="spellStart"/>
      <w:r w:rsidRPr="00AE6CA5">
        <w:rPr>
          <w:i/>
        </w:rPr>
        <w:t>Society</w:t>
      </w:r>
      <w:proofErr w:type="spellEnd"/>
      <w:r w:rsidRPr="00AE6CA5">
        <w:rPr>
          <w:i/>
        </w:rPr>
        <w:t xml:space="preserve"> </w:t>
      </w:r>
      <w:proofErr w:type="spellStart"/>
      <w:r w:rsidRPr="00AE6CA5">
        <w:rPr>
          <w:i/>
        </w:rPr>
        <w:t>of</w:t>
      </w:r>
      <w:proofErr w:type="spellEnd"/>
      <w:r w:rsidRPr="00AE6CA5">
        <w:rPr>
          <w:i/>
        </w:rPr>
        <w:t xml:space="preserve"> </w:t>
      </w:r>
      <w:proofErr w:type="spellStart"/>
      <w:r w:rsidRPr="00AE6CA5">
        <w:rPr>
          <w:i/>
        </w:rPr>
        <w:t>Medical</w:t>
      </w:r>
      <w:proofErr w:type="spellEnd"/>
      <w:r w:rsidRPr="00AE6CA5">
        <w:rPr>
          <w:i/>
        </w:rPr>
        <w:t xml:space="preserve"> </w:t>
      </w:r>
      <w:proofErr w:type="spellStart"/>
      <w:r w:rsidRPr="00AE6CA5">
        <w:rPr>
          <w:i/>
        </w:rPr>
        <w:t>Oncology</w:t>
      </w:r>
      <w:proofErr w:type="spellEnd"/>
      <w:r w:rsidRPr="00AE6CA5">
        <w:rPr>
          <w:i/>
        </w:rPr>
        <w:t>, ESMO</w:t>
      </w:r>
      <w:r w:rsidRPr="00AE6CA5">
        <w:t xml:space="preserve">) </w:t>
      </w:r>
      <w:proofErr w:type="spellStart"/>
      <w:r w:rsidRPr="00AE6CA5">
        <w:t>metastazavusio</w:t>
      </w:r>
      <w:proofErr w:type="spellEnd"/>
      <w:r w:rsidRPr="00AE6CA5">
        <w:t xml:space="preserve"> krūties vėžio gydymo rekomendacijomis, paskelbtomis 2021 m. </w:t>
      </w:r>
    </w:p>
    <w:p w14:paraId="461AC8E7" w14:textId="351737ED" w:rsidR="00293EA1" w:rsidRPr="00AE6CA5" w:rsidRDefault="00293EA1" w:rsidP="00293EA1">
      <w:pPr>
        <w:spacing w:line="276" w:lineRule="auto"/>
        <w:ind w:firstLine="709"/>
        <w:jc w:val="both"/>
        <w:rPr>
          <w:iCs/>
        </w:rPr>
      </w:pPr>
      <w:r w:rsidRPr="00AE6CA5">
        <w:rPr>
          <w:iCs/>
        </w:rPr>
        <w:t>Vadovaujantis pirmiau paminėtų dokumentų informacija, vaistinio preparato terapinėse indikacijose apibrėžtas gydymas (</w:t>
      </w:r>
      <w:proofErr w:type="spellStart"/>
      <w:r w:rsidRPr="00AE6CA5">
        <w:rPr>
          <w:iCs/>
        </w:rPr>
        <w:t>endrokrininė</w:t>
      </w:r>
      <w:proofErr w:type="spellEnd"/>
      <w:r w:rsidRPr="00AE6CA5">
        <w:rPr>
          <w:iCs/>
        </w:rPr>
        <w:t xml:space="preserve"> </w:t>
      </w:r>
      <w:proofErr w:type="spellStart"/>
      <w:r w:rsidRPr="00AE6CA5">
        <w:rPr>
          <w:iCs/>
        </w:rPr>
        <w:t>monoterapija</w:t>
      </w:r>
      <w:proofErr w:type="spellEnd"/>
      <w:r w:rsidRPr="00AE6CA5">
        <w:rPr>
          <w:iCs/>
        </w:rPr>
        <w:t xml:space="preserve">), po kurio indikacijose nurodyti </w:t>
      </w:r>
      <w:r w:rsidRPr="00AE6CA5">
        <w:t xml:space="preserve">pacientai </w:t>
      </w:r>
      <w:r w:rsidRPr="00AE6CA5">
        <w:rPr>
          <w:iCs/>
        </w:rPr>
        <w:t xml:space="preserve">turėtų būti gydomi </w:t>
      </w:r>
      <w:proofErr w:type="spellStart"/>
      <w:r w:rsidRPr="00AE6CA5">
        <w:rPr>
          <w:iCs/>
        </w:rPr>
        <w:t>alpelisibo</w:t>
      </w:r>
      <w:proofErr w:type="spellEnd"/>
      <w:r w:rsidRPr="00AE6CA5">
        <w:rPr>
          <w:iCs/>
        </w:rPr>
        <w:t xml:space="preserve"> ir </w:t>
      </w:r>
      <w:proofErr w:type="spellStart"/>
      <w:r w:rsidRPr="00AE6CA5">
        <w:rPr>
          <w:iCs/>
        </w:rPr>
        <w:t>fulvestranto</w:t>
      </w:r>
      <w:proofErr w:type="spellEnd"/>
      <w:r w:rsidRPr="00AE6CA5">
        <w:rPr>
          <w:iCs/>
        </w:rPr>
        <w:t xml:space="preserve"> deriniu</w:t>
      </w:r>
      <w:r w:rsidR="00E16DBD">
        <w:rPr>
          <w:iCs/>
        </w:rPr>
        <w:t>,</w:t>
      </w:r>
      <w:r w:rsidRPr="00AE6CA5">
        <w:rPr>
          <w:iCs/>
        </w:rPr>
        <w:t xml:space="preserve"> Lietuvos klinikinėje praktikoje netaikomas.</w:t>
      </w:r>
    </w:p>
    <w:p w14:paraId="7C8A7DA1" w14:textId="6A506B45" w:rsidR="00F36261" w:rsidRPr="00E16DBD" w:rsidRDefault="00F36261" w:rsidP="00F36261">
      <w:pPr>
        <w:tabs>
          <w:tab w:val="left" w:pos="426"/>
        </w:tabs>
        <w:spacing w:line="276" w:lineRule="auto"/>
        <w:jc w:val="both"/>
      </w:pPr>
      <w:r>
        <w:tab/>
      </w:r>
      <w:r w:rsidR="00D75512">
        <w:tab/>
      </w:r>
      <w:r>
        <w:t>Atlikus detalų vertinimą p</w:t>
      </w:r>
      <w:r w:rsidRPr="00A5019F">
        <w:t xml:space="preserve">areiškėjo </w:t>
      </w:r>
      <w:r>
        <w:t>buvo p</w:t>
      </w:r>
      <w:r w:rsidR="00E16DBD">
        <w:t>ap</w:t>
      </w:r>
      <w:r>
        <w:t>raš</w:t>
      </w:r>
      <w:r w:rsidR="00E16DBD">
        <w:t>yta</w:t>
      </w:r>
      <w:r>
        <w:t xml:space="preserve"> </w:t>
      </w:r>
      <w:r w:rsidRPr="00A5019F">
        <w:t xml:space="preserve">pateikti objektyviais duomenimis pagrįstą informaciją iš specializuotos tretinio lygio gydymo įstaigos (ar įstaigų), įrodančią, kad Lietuvoje pacientai, sergantys lokaliai progresavusiu arba </w:t>
      </w:r>
      <w:proofErr w:type="spellStart"/>
      <w:r w:rsidRPr="00A5019F">
        <w:t>metastazavusiu</w:t>
      </w:r>
      <w:proofErr w:type="spellEnd"/>
      <w:r w:rsidRPr="00A5019F">
        <w:t xml:space="preserve"> krūties vėžiu, kai </w:t>
      </w:r>
      <w:r w:rsidRPr="00E16DBD">
        <w:rPr>
          <w:b/>
        </w:rPr>
        <w:t>nustatyta</w:t>
      </w:r>
      <w:r w:rsidRPr="00A5019F">
        <w:t xml:space="preserve"> HR ir </w:t>
      </w:r>
      <w:r w:rsidRPr="00E16DBD">
        <w:rPr>
          <w:b/>
        </w:rPr>
        <w:lastRenderedPageBreak/>
        <w:t>nenustatyta</w:t>
      </w:r>
      <w:r w:rsidRPr="00A5019F">
        <w:t xml:space="preserve"> HER2 ir </w:t>
      </w:r>
      <w:r w:rsidRPr="00E16DBD">
        <w:rPr>
          <w:b/>
        </w:rPr>
        <w:t>nustatyta</w:t>
      </w:r>
      <w:r w:rsidRPr="00A5019F">
        <w:t xml:space="preserve"> PIK3CA mutacija (</w:t>
      </w:r>
      <w:proofErr w:type="spellStart"/>
      <w:r w:rsidRPr="00A5019F">
        <w:t>t.y</w:t>
      </w:r>
      <w:proofErr w:type="spellEnd"/>
      <w:r w:rsidRPr="00A5019F">
        <w:t xml:space="preserve">. populiacija, kuriai turės būti skiriamas </w:t>
      </w:r>
      <w:proofErr w:type="spellStart"/>
      <w:r w:rsidRPr="00A5019F">
        <w:t>alpelisibo</w:t>
      </w:r>
      <w:proofErr w:type="spellEnd"/>
      <w:r w:rsidRPr="00A5019F">
        <w:t xml:space="preserve"> ir </w:t>
      </w:r>
      <w:proofErr w:type="spellStart"/>
      <w:r w:rsidRPr="00A5019F">
        <w:t>fulvestranto</w:t>
      </w:r>
      <w:proofErr w:type="spellEnd"/>
      <w:r w:rsidRPr="00A5019F">
        <w:t xml:space="preserve"> derinys), šiuo metu yra gydomi taikant endokrininę </w:t>
      </w:r>
      <w:proofErr w:type="spellStart"/>
      <w:r w:rsidRPr="00A5019F">
        <w:t>monoterapiją</w:t>
      </w:r>
      <w:proofErr w:type="spellEnd"/>
      <w:r>
        <w:t xml:space="preserve">, </w:t>
      </w:r>
      <w:r w:rsidRPr="00A5019F">
        <w:t xml:space="preserve">tačiau </w:t>
      </w:r>
      <w:r w:rsidRPr="00E16DBD">
        <w:t xml:space="preserve">tokių duomenų atsakyme į trūkumų raštą Pareiškėjas nepateikė. </w:t>
      </w:r>
    </w:p>
    <w:p w14:paraId="30755C1F" w14:textId="3F62CA20" w:rsidR="00751BA3" w:rsidRDefault="00751BA3" w:rsidP="00E16DBD">
      <w:pPr>
        <w:tabs>
          <w:tab w:val="left" w:pos="426"/>
        </w:tabs>
        <w:spacing w:line="276" w:lineRule="auto"/>
        <w:jc w:val="both"/>
      </w:pPr>
      <w:r w:rsidRPr="00E16DBD">
        <w:tab/>
      </w:r>
      <w:r w:rsidR="00E16DBD" w:rsidRPr="00E16DBD">
        <w:tab/>
        <w:t>Apibendrinat, a</w:t>
      </w:r>
      <w:r w:rsidR="00D75512" w:rsidRPr="00E16DBD">
        <w:t xml:space="preserve">tlikus sveikatos technologijos vertinimą nustatyta, kad pacientų populiacija, nurodyta patvirtintose ir kompensavimui teikiamose vaistinio preparato </w:t>
      </w:r>
      <w:proofErr w:type="spellStart"/>
      <w:r w:rsidR="00D75512" w:rsidRPr="00E16DBD">
        <w:t>Piqray</w:t>
      </w:r>
      <w:proofErr w:type="spellEnd"/>
      <w:r w:rsidR="00D75512" w:rsidRPr="00E16DBD">
        <w:t xml:space="preserve"> </w:t>
      </w:r>
      <w:r w:rsidR="00E16DBD" w:rsidRPr="00E16DBD">
        <w:t xml:space="preserve">terapinėse </w:t>
      </w:r>
      <w:r w:rsidR="00D75512" w:rsidRPr="00E16DBD">
        <w:t>indikacijose, neatitinka Lietuvos pacientų populiacijos</w:t>
      </w:r>
      <w:r w:rsidR="00E16DBD" w:rsidRPr="00E16DBD">
        <w:t xml:space="preserve">, todėl </w:t>
      </w:r>
      <w:r w:rsidR="00D75512" w:rsidRPr="00E16DBD">
        <w:t>pateikti klinikini</w:t>
      </w:r>
      <w:r w:rsidR="00E16DBD" w:rsidRPr="00E16DBD">
        <w:t>ų tyrimų duomenys</w:t>
      </w:r>
      <w:r w:rsidR="00D75512" w:rsidRPr="00E16DBD">
        <w:t xml:space="preserve"> </w:t>
      </w:r>
      <w:proofErr w:type="spellStart"/>
      <w:r w:rsidR="00D75512" w:rsidRPr="00E16DBD">
        <w:t>duomenys</w:t>
      </w:r>
      <w:proofErr w:type="spellEnd"/>
      <w:r w:rsidR="00D75512" w:rsidRPr="00E16DBD">
        <w:t xml:space="preserve"> neleidžia įvertinti palyginamojo efektyvumo bei klinikinės naudos Lietuvos pacient</w:t>
      </w:r>
      <w:r w:rsidR="00E16DBD" w:rsidRPr="00E16DBD">
        <w:t xml:space="preserve">ų </w:t>
      </w:r>
      <w:proofErr w:type="spellStart"/>
      <w:r w:rsidR="00E16DBD" w:rsidRPr="00E16DBD">
        <w:t>sveikaitai</w:t>
      </w:r>
      <w:proofErr w:type="spellEnd"/>
      <w:r w:rsidR="00E16DBD" w:rsidRPr="00E16DBD">
        <w:t xml:space="preserve"> ir laikomi netinkamais vertinti</w:t>
      </w:r>
      <w:r w:rsidR="00D75512" w:rsidRPr="00E16DBD">
        <w:t>.</w:t>
      </w:r>
    </w:p>
    <w:p w14:paraId="3957AE51" w14:textId="77777777" w:rsidR="00E16DBD" w:rsidRPr="00E33EFF" w:rsidRDefault="00E16DBD" w:rsidP="00E16DBD">
      <w:pPr>
        <w:tabs>
          <w:tab w:val="left" w:pos="426"/>
        </w:tabs>
        <w:spacing w:line="276" w:lineRule="auto"/>
        <w:jc w:val="both"/>
        <w:rPr>
          <w:b/>
          <w:bCs/>
          <w:caps/>
        </w:rPr>
      </w:pPr>
    </w:p>
    <w:p w14:paraId="7DE09EB5" w14:textId="761D7F70" w:rsidR="00E03C3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64AEEEBC" w14:textId="13DCF513" w:rsidR="00BF0D50" w:rsidRDefault="00BF0D50" w:rsidP="00BF0D50">
      <w:pPr>
        <w:tabs>
          <w:tab w:val="left" w:pos="567"/>
        </w:tabs>
        <w:rPr>
          <w:b/>
          <w:bCs/>
          <w:caps/>
        </w:rPr>
      </w:pPr>
    </w:p>
    <w:p w14:paraId="3EB44492" w14:textId="7650B4D6" w:rsidR="00BF0D50" w:rsidRDefault="00BF0D50" w:rsidP="00BF0D50">
      <w:pPr>
        <w:tabs>
          <w:tab w:val="left" w:pos="360"/>
        </w:tabs>
        <w:spacing w:line="276" w:lineRule="auto"/>
        <w:jc w:val="both"/>
        <w:rPr>
          <w:lang w:eastAsia="en-GB"/>
        </w:rPr>
      </w:pPr>
      <w:r>
        <w:rPr>
          <w:lang w:eastAsia="en-GB"/>
        </w:rPr>
        <w:tab/>
      </w:r>
      <w:r w:rsidRPr="00EC7FB6">
        <w:rPr>
          <w:lang w:eastAsia="en-GB"/>
        </w:rPr>
        <w:t>Atsižvelgiant į tai, kad nustatytas esminis prieštaravimas dėl klinikinės paraiškos dalies (</w:t>
      </w:r>
      <w:r>
        <w:rPr>
          <w:lang w:eastAsia="en-GB"/>
        </w:rPr>
        <w:t>netinkama populiacija, netinkamas palyginamasis</w:t>
      </w:r>
      <w:r w:rsidRPr="00EC7FB6">
        <w:rPr>
          <w:lang w:eastAsia="en-GB"/>
        </w:rPr>
        <w:t>)</w:t>
      </w:r>
      <w:r>
        <w:rPr>
          <w:lang w:eastAsia="en-GB"/>
        </w:rPr>
        <w:t xml:space="preserve"> </w:t>
      </w:r>
      <w:r w:rsidRPr="00EC7FB6">
        <w:rPr>
          <w:lang w:eastAsia="en-GB"/>
        </w:rPr>
        <w:t xml:space="preserve">ir </w:t>
      </w:r>
      <w:r>
        <w:rPr>
          <w:lang w:eastAsia="en-GB"/>
        </w:rPr>
        <w:t xml:space="preserve">po Pareiškėjo pateiktų atsakymų laikoma, kad </w:t>
      </w:r>
      <w:proofErr w:type="spellStart"/>
      <w:r>
        <w:rPr>
          <w:lang w:eastAsia="en-GB"/>
        </w:rPr>
        <w:t>a</w:t>
      </w:r>
      <w:r w:rsidRPr="00EB6BD0">
        <w:t>lpelisibo</w:t>
      </w:r>
      <w:proofErr w:type="spellEnd"/>
      <w:r w:rsidRPr="00EB6BD0">
        <w:t xml:space="preserve"> ir </w:t>
      </w:r>
      <w:proofErr w:type="spellStart"/>
      <w:r w:rsidRPr="00EB6BD0">
        <w:t>fulvestranto</w:t>
      </w:r>
      <w:proofErr w:type="spellEnd"/>
      <w:r w:rsidRPr="00EB6BD0">
        <w:t xml:space="preserve"> derinys </w:t>
      </w:r>
      <w:r w:rsidRPr="00EB6BD0">
        <w:rPr>
          <w:b/>
          <w:bCs/>
        </w:rPr>
        <w:t xml:space="preserve">negali būti kompensuojamas </w:t>
      </w:r>
      <w:r w:rsidRPr="00EB6BD0">
        <w:t xml:space="preserve">lokaliai progresavusio arba </w:t>
      </w:r>
      <w:proofErr w:type="spellStart"/>
      <w:r w:rsidRPr="00EB6BD0">
        <w:t>metastazavusio</w:t>
      </w:r>
      <w:proofErr w:type="spellEnd"/>
      <w:r w:rsidRPr="00EB6BD0">
        <w:t xml:space="preserve"> krūties vėžio gydymui suaugusiems, kai nustatoma hormonų receptorių (HR) ir nenustatoma žmogaus epidermio augimo faktoriaus receptoriaus 2 rodmens bei kai nustatoma PIK3CA mutacija</w:t>
      </w:r>
      <w:r>
        <w:t xml:space="preserve"> dėl esminių paraiškos trūkumų </w:t>
      </w:r>
      <w:r w:rsidR="00491157">
        <w:t>(detalizuojamų</w:t>
      </w:r>
      <w:r>
        <w:t xml:space="preserve"> klinikinėje dalyje</w:t>
      </w:r>
      <w:r w:rsidR="00491157">
        <w:t>)</w:t>
      </w:r>
      <w:r>
        <w:t xml:space="preserve">, </w:t>
      </w:r>
      <w:r w:rsidRPr="00EC7FB6">
        <w:rPr>
          <w:lang w:eastAsia="en-GB"/>
        </w:rPr>
        <w:t xml:space="preserve">vadovaujantis </w:t>
      </w:r>
      <w:r w:rsidRPr="00EC7FB6">
        <w:t>Lietuvos Respublikos sveikatos apsaugos ministro 2002 m. balandžio 5 d. įsakymu Nr. 159 „Dėl vaistinių preparatų ir medicinos pagalbos priemonių įrašymo į kompensavimo sąrašus ir jų keitimo tvarkos aprašo patvirtinimo“ (toliau – Tvarkos aprašas)</w:t>
      </w:r>
      <w:r w:rsidRPr="002D09F4">
        <w:rPr>
          <w:color w:val="000000"/>
          <w:lang w:eastAsia="ru-RU"/>
        </w:rPr>
        <w:t xml:space="preserve"> 17</w:t>
      </w:r>
      <w:r w:rsidRPr="002D09F4">
        <w:rPr>
          <w:color w:val="000000"/>
          <w:vertAlign w:val="superscript"/>
          <w:lang w:eastAsia="ru-RU"/>
        </w:rPr>
        <w:t>1</w:t>
      </w:r>
      <w:r w:rsidRPr="002D09F4">
        <w:rPr>
          <w:color w:val="000000"/>
          <w:lang w:eastAsia="ru-RU"/>
        </w:rPr>
        <w:t xml:space="preserve"> punktu „Jei atlikus išsamų </w:t>
      </w:r>
      <w:r w:rsidRPr="00EC7FB6">
        <w:rPr>
          <w:lang w:eastAsia="ru-RU"/>
        </w:rPr>
        <w:t xml:space="preserve">klinikinį vertinimą nustatoma, kad Paraiškoje pateiktas palyginamasis gydymas yra netinkamas arba klinikinės dalies vertinimo išvada atitinka Aprašo 33.1 papunktį, </w:t>
      </w:r>
      <w:r w:rsidRPr="00EC7FB6">
        <w:t>tai laikoma esminiu Paraiškos trūkumu ir</w:t>
      </w:r>
      <w:r w:rsidRPr="00EC7FB6">
        <w:rPr>
          <w:lang w:eastAsia="ru-RU"/>
        </w:rPr>
        <w:t xml:space="preserve"> ekonominis </w:t>
      </w:r>
      <w:r>
        <w:rPr>
          <w:lang w:eastAsia="ru-RU"/>
        </w:rPr>
        <w:t xml:space="preserve">vertinimas neatliekamas“, </w:t>
      </w:r>
      <w:r w:rsidR="00491157">
        <w:rPr>
          <w:lang w:eastAsia="ru-RU"/>
        </w:rPr>
        <w:t>Pareiškėjui neatnaujinus</w:t>
      </w:r>
      <w:r w:rsidR="00491157" w:rsidRPr="00BF0D50">
        <w:rPr>
          <w:lang w:eastAsia="ru-RU"/>
        </w:rPr>
        <w:t xml:space="preserve"> </w:t>
      </w:r>
      <w:proofErr w:type="spellStart"/>
      <w:r w:rsidR="00491157" w:rsidRPr="00EC7FB6">
        <w:rPr>
          <w:lang w:eastAsia="ru-RU"/>
        </w:rPr>
        <w:t>farmakoekonomin</w:t>
      </w:r>
      <w:r w:rsidR="00491157">
        <w:rPr>
          <w:lang w:eastAsia="ru-RU"/>
        </w:rPr>
        <w:t>ės</w:t>
      </w:r>
      <w:proofErr w:type="spellEnd"/>
      <w:r w:rsidR="00491157">
        <w:rPr>
          <w:lang w:eastAsia="ru-RU"/>
        </w:rPr>
        <w:t xml:space="preserve"> analizės</w:t>
      </w:r>
      <w:r w:rsidR="00491157" w:rsidRPr="00EC7FB6">
        <w:rPr>
          <w:lang w:eastAsia="ru-RU"/>
        </w:rPr>
        <w:t xml:space="preserve"> </w:t>
      </w:r>
      <w:r w:rsidRPr="00EC7FB6">
        <w:rPr>
          <w:lang w:eastAsia="ru-RU"/>
        </w:rPr>
        <w:t>dėl aukščiau nurodytų trūkumų</w:t>
      </w:r>
      <w:r w:rsidR="00910086">
        <w:rPr>
          <w:lang w:eastAsia="ru-RU"/>
        </w:rPr>
        <w:t xml:space="preserve">, </w:t>
      </w:r>
      <w:r w:rsidR="00491157">
        <w:rPr>
          <w:lang w:eastAsia="ru-RU"/>
        </w:rPr>
        <w:t xml:space="preserve">ekonominis </w:t>
      </w:r>
      <w:r w:rsidR="00910086">
        <w:rPr>
          <w:lang w:eastAsia="ru-RU"/>
        </w:rPr>
        <w:t>vertinimas nėra atliekamas.</w:t>
      </w:r>
    </w:p>
    <w:p w14:paraId="7D22A46D" w14:textId="1CC97B29" w:rsidR="00BF0D50" w:rsidRPr="00BF0D50" w:rsidRDefault="00BF0D50" w:rsidP="00BF0D50">
      <w:pPr>
        <w:tabs>
          <w:tab w:val="left" w:pos="567"/>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44015D41"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521135">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3EB5D021"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521135">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047AE2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907D60">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8BF8C0B" w:rsidR="00B13D65" w:rsidRPr="00E33EFF" w:rsidRDefault="00000000" w:rsidP="00BD1E5A">
            <w:pPr>
              <w:jc w:val="both"/>
            </w:pPr>
            <w:sdt>
              <w:sdtPr>
                <w:rPr>
                  <w:rStyle w:val="Style2"/>
                  <w:sz w:val="24"/>
                </w:rPr>
                <w:id w:val="1289549109"/>
                <w15:color w:val="FFCC00"/>
                <w14:checkbox>
                  <w14:checked w14:val="1"/>
                  <w14:checkedState w14:val="2612" w14:font="MS Gothic"/>
                  <w14:uncheckedState w14:val="2610" w14:font="MS Gothic"/>
                </w14:checkbox>
              </w:sdtPr>
              <w:sdtContent>
                <w:r w:rsidR="00907D60">
                  <w:rPr>
                    <w:rStyle w:val="Style2"/>
                    <w:rFonts w:ascii="MS Gothic" w:eastAsia="MS Gothic" w:hAnsi="MS Gothic" w:hint="eastAsia"/>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2ED18851"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w:t>
            </w:r>
            <w:r w:rsidR="00521135">
              <w:t>a referencinę naudingumo vertę</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63BDDFA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w:t>
            </w:r>
            <w:r w:rsidR="00521135">
              <w:t>čiam palyginamajam efektyvumui</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47AD8D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w:t>
            </w:r>
            <w:r w:rsidR="00521135">
              <w:t>čiam palyginamajam efektyvumui</w:t>
            </w:r>
            <w:r w:rsidR="00B00959" w:rsidRPr="00E33EFF">
              <w:t xml:space="preserve">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FDADD3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Content>
                <w:r w:rsidR="00521135">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2325210" w14:textId="78E60477" w:rsidR="004F3B2B" w:rsidRPr="0073780A" w:rsidRDefault="004F3B2B" w:rsidP="0073780A">
      <w:pPr>
        <w:spacing w:line="276" w:lineRule="auto"/>
        <w:ind w:firstLine="360"/>
        <w:jc w:val="both"/>
      </w:pPr>
      <w:r w:rsidRPr="0073780A">
        <w:t xml:space="preserve">Vadovaujantis </w:t>
      </w:r>
      <w:r w:rsidR="00F259FC" w:rsidRPr="0073780A">
        <w:t xml:space="preserve">Vaistinių preparatų ir medicinos pagalbos priemonių įrašymo į kompensavimo sąrašus ir jų keitimo tvarkos aprašo, patvirtinto </w:t>
      </w:r>
      <w:r w:rsidRPr="0073780A">
        <w:t>Lietuvos Respublikos sveikatos apsaugos ministro 2002 m. balandžio 5 d. įsakymu Nr. V-159 „Dėl vaistinių preparatų ir medicinos pagalbos priemonių įrašymo į kompensavimo sąrašus ir jų keitimo tvarkos aprašo patvirtinimo“</w:t>
      </w:r>
      <w:r w:rsidR="00F259FC" w:rsidRPr="0073780A">
        <w:t>,</w:t>
      </w:r>
      <w:r w:rsidRPr="0073780A">
        <w:t xml:space="preserve"> punktu </w:t>
      </w:r>
    </w:p>
    <w:p w14:paraId="274D20B0" w14:textId="4FDC7BF3" w:rsidR="004F3B2B" w:rsidRPr="0073780A" w:rsidRDefault="004F3B2B" w:rsidP="0073780A">
      <w:pPr>
        <w:spacing w:line="276" w:lineRule="auto"/>
        <w:jc w:val="both"/>
      </w:pPr>
      <w:r w:rsidRPr="0073780A">
        <w:t xml:space="preserve">34.4. rekomenduojama </w:t>
      </w:r>
      <w:r w:rsidRPr="0073780A">
        <w:rPr>
          <w:i/>
        </w:rPr>
        <w:t xml:space="preserve">nekompensuoti </w:t>
      </w:r>
      <w:r w:rsidRPr="0073780A">
        <w:t>vaistinio prepa</w:t>
      </w:r>
      <w:r w:rsidR="0073780A" w:rsidRPr="0073780A">
        <w:t>rato pagal paraiškoje nurodytą indikaciją</w:t>
      </w:r>
      <w:r w:rsidRPr="0073780A">
        <w:t xml:space="preserve"> be skyrimo sąlygų </w:t>
      </w:r>
      <w:r w:rsidR="00CD020D">
        <w:t xml:space="preserve">netaikant PGS </w:t>
      </w:r>
      <w:r w:rsidRPr="0073780A">
        <w:t>vertinimo išvadų</w:t>
      </w:r>
      <w:r w:rsidR="0073780A" w:rsidRPr="0073780A">
        <w:t>, nurodytų 33.1 ir 33.3 papunkčiuose</w:t>
      </w:r>
      <w:r w:rsidR="00E348BA" w:rsidRPr="0073780A">
        <w:t xml:space="preserve"> (žr. 6 skyrių), </w:t>
      </w:r>
      <w:r w:rsidR="0073780A" w:rsidRPr="0073780A">
        <w:t>neatitikties</w:t>
      </w:r>
      <w:r w:rsidR="00BF11E9">
        <w:t xml:space="preserve"> </w:t>
      </w:r>
      <w:r w:rsidR="00BF11E9" w:rsidRPr="003D6208">
        <w:t>34.1 papunktyje išdėstytoms sąlygoms</w:t>
      </w:r>
      <w:r w:rsidR="0073780A" w:rsidRPr="0073780A">
        <w:t>.</w:t>
      </w:r>
    </w:p>
    <w:sectPr w:rsidR="004F3B2B" w:rsidRPr="0073780A"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0F31" w14:textId="77777777" w:rsidR="004B06D4" w:rsidRDefault="004B06D4">
      <w:r>
        <w:separator/>
      </w:r>
    </w:p>
  </w:endnote>
  <w:endnote w:type="continuationSeparator" w:id="0">
    <w:p w14:paraId="74B02D09" w14:textId="77777777" w:rsidR="004B06D4" w:rsidRDefault="004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EB31" w14:textId="77777777" w:rsidR="004B06D4" w:rsidRDefault="004B06D4">
      <w:r>
        <w:separator/>
      </w:r>
    </w:p>
  </w:footnote>
  <w:footnote w:type="continuationSeparator" w:id="0">
    <w:p w14:paraId="09BC5F36" w14:textId="77777777" w:rsidR="004B06D4" w:rsidRDefault="004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6FE0A481"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11E9">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D44014"/>
    <w:multiLevelType w:val="hybridMultilevel"/>
    <w:tmpl w:val="11A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55400A"/>
    <w:multiLevelType w:val="hybridMultilevel"/>
    <w:tmpl w:val="E668A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6746230">
    <w:abstractNumId w:val="6"/>
  </w:num>
  <w:num w:numId="2" w16cid:durableId="1193765189">
    <w:abstractNumId w:val="1"/>
  </w:num>
  <w:num w:numId="3" w16cid:durableId="1823355186">
    <w:abstractNumId w:val="8"/>
  </w:num>
  <w:num w:numId="4" w16cid:durableId="944842734">
    <w:abstractNumId w:val="7"/>
  </w:num>
  <w:num w:numId="5" w16cid:durableId="1416827807">
    <w:abstractNumId w:val="5"/>
  </w:num>
  <w:num w:numId="6" w16cid:durableId="1888101101">
    <w:abstractNumId w:val="4"/>
  </w:num>
  <w:num w:numId="7" w16cid:durableId="2105957180">
    <w:abstractNumId w:val="3"/>
  </w:num>
  <w:num w:numId="8" w16cid:durableId="1075205476">
    <w:abstractNumId w:val="12"/>
  </w:num>
  <w:num w:numId="9" w16cid:durableId="1654947075">
    <w:abstractNumId w:val="0"/>
  </w:num>
  <w:num w:numId="10" w16cid:durableId="1615358354">
    <w:abstractNumId w:val="9"/>
  </w:num>
  <w:num w:numId="11" w16cid:durableId="1615552924">
    <w:abstractNumId w:val="10"/>
  </w:num>
  <w:num w:numId="12" w16cid:durableId="954410385">
    <w:abstractNumId w:val="2"/>
  </w:num>
  <w:num w:numId="13" w16cid:durableId="1514757995">
    <w:abstractNumId w:val="11"/>
  </w:num>
  <w:num w:numId="14" w16cid:durableId="43988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3EA1"/>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5FE1"/>
    <w:rsid w:val="00317B0E"/>
    <w:rsid w:val="00347FAA"/>
    <w:rsid w:val="0035172D"/>
    <w:rsid w:val="0036187D"/>
    <w:rsid w:val="00367EDB"/>
    <w:rsid w:val="00380EA1"/>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1157"/>
    <w:rsid w:val="004947A1"/>
    <w:rsid w:val="0049482A"/>
    <w:rsid w:val="004979D3"/>
    <w:rsid w:val="004A00E7"/>
    <w:rsid w:val="004A3A61"/>
    <w:rsid w:val="004B06D4"/>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135"/>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000E"/>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80A"/>
    <w:rsid w:val="00737E2D"/>
    <w:rsid w:val="007424D5"/>
    <w:rsid w:val="00750A88"/>
    <w:rsid w:val="00751BA3"/>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23BB"/>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D11A1"/>
    <w:rsid w:val="008E473B"/>
    <w:rsid w:val="008E51A6"/>
    <w:rsid w:val="008E7329"/>
    <w:rsid w:val="008F2ED5"/>
    <w:rsid w:val="00907D60"/>
    <w:rsid w:val="00910086"/>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33459"/>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0D50"/>
    <w:rsid w:val="00BF11E9"/>
    <w:rsid w:val="00BF2E0D"/>
    <w:rsid w:val="00BF3927"/>
    <w:rsid w:val="00BF3F8B"/>
    <w:rsid w:val="00BF76DA"/>
    <w:rsid w:val="00C07C7B"/>
    <w:rsid w:val="00C1418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D020D"/>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5512"/>
    <w:rsid w:val="00D76A70"/>
    <w:rsid w:val="00D83182"/>
    <w:rsid w:val="00D8521E"/>
    <w:rsid w:val="00D9291C"/>
    <w:rsid w:val="00D93A97"/>
    <w:rsid w:val="00DA1B89"/>
    <w:rsid w:val="00DB1F64"/>
    <w:rsid w:val="00DC2F53"/>
    <w:rsid w:val="00DC5BAC"/>
    <w:rsid w:val="00DC6816"/>
    <w:rsid w:val="00DC76C2"/>
    <w:rsid w:val="00DD1CF2"/>
    <w:rsid w:val="00DE4484"/>
    <w:rsid w:val="00DF41B7"/>
    <w:rsid w:val="00DF4A4A"/>
    <w:rsid w:val="00DF583C"/>
    <w:rsid w:val="00E03C3F"/>
    <w:rsid w:val="00E06FD7"/>
    <w:rsid w:val="00E07417"/>
    <w:rsid w:val="00E16DBD"/>
    <w:rsid w:val="00E24D45"/>
    <w:rsid w:val="00E33DB8"/>
    <w:rsid w:val="00E33EFF"/>
    <w:rsid w:val="00E34387"/>
    <w:rsid w:val="00E348BA"/>
    <w:rsid w:val="00E369FE"/>
    <w:rsid w:val="00E37C6F"/>
    <w:rsid w:val="00E475F8"/>
    <w:rsid w:val="00E5102E"/>
    <w:rsid w:val="00E554AB"/>
    <w:rsid w:val="00E5721C"/>
    <w:rsid w:val="00E619C6"/>
    <w:rsid w:val="00E745A1"/>
    <w:rsid w:val="00E81529"/>
    <w:rsid w:val="00E83A13"/>
    <w:rsid w:val="00E83C86"/>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261"/>
    <w:rsid w:val="00F36972"/>
    <w:rsid w:val="00F42426"/>
    <w:rsid w:val="00F456BC"/>
    <w:rsid w:val="00F50666"/>
    <w:rsid w:val="00F70C9E"/>
    <w:rsid w:val="00F72BC9"/>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Use Case List Paragraph Diagrama"/>
    <w:link w:val="Sraopastraipa"/>
    <w:uiPriority w:val="34"/>
    <w:rsid w:val="00907D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9684">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08965301">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1498F150F49F1A4708530C67F9775"/>
        <w:category>
          <w:name w:val="General"/>
          <w:gallery w:val="placeholder"/>
        </w:category>
        <w:types>
          <w:type w:val="bbPlcHdr"/>
        </w:types>
        <w:behaviors>
          <w:behavior w:val="content"/>
        </w:behaviors>
        <w:guid w:val="{452EC102-FD1B-433D-B4E1-2FD052388627}"/>
      </w:docPartPr>
      <w:docPartBody>
        <w:p w:rsidR="00AC7DC1" w:rsidRDefault="00FE4850" w:rsidP="00FE4850">
          <w:pPr>
            <w:pStyle w:val="5A51498F150F49F1A4708530C67F9775"/>
          </w:pPr>
          <w:r>
            <w:rPr>
              <w:rStyle w:val="Vietosrezervavimoenklotekstas"/>
            </w:rPr>
            <w:t>Click here to enter a date.</w:t>
          </w:r>
        </w:p>
      </w:docPartBody>
    </w:docPart>
    <w:docPart>
      <w:docPartPr>
        <w:name w:val="0E4791AFE22041E484343BE748EC78D8"/>
        <w:category>
          <w:name w:val="General"/>
          <w:gallery w:val="placeholder"/>
        </w:category>
        <w:types>
          <w:type w:val="bbPlcHdr"/>
        </w:types>
        <w:behaviors>
          <w:behavior w:val="content"/>
        </w:behaviors>
        <w:guid w:val="{4D4DC7E7-2797-42F4-A164-05E83AFA318B}"/>
      </w:docPartPr>
      <w:docPartBody>
        <w:p w:rsidR="00AC7DC1" w:rsidRDefault="00FE4850" w:rsidP="00FE4850">
          <w:pPr>
            <w:pStyle w:val="0E4791AFE22041E484343BE748EC78D8"/>
          </w:pPr>
          <w:r>
            <w:rPr>
              <w:rStyle w:val="Vietosrezervavimoenklotekstas"/>
            </w:rPr>
            <w:t>Click here to enter a date.</w:t>
          </w:r>
        </w:p>
      </w:docPartBody>
    </w:docPart>
    <w:docPart>
      <w:docPartPr>
        <w:name w:val="A58BB328FED8486CB7E9F2AADCD5E14A"/>
        <w:category>
          <w:name w:val="General"/>
          <w:gallery w:val="placeholder"/>
        </w:category>
        <w:types>
          <w:type w:val="bbPlcHdr"/>
        </w:types>
        <w:behaviors>
          <w:behavior w:val="content"/>
        </w:behaviors>
        <w:guid w:val="{83472F38-BE2B-48F8-82F8-A4F96A96C7BC}"/>
      </w:docPartPr>
      <w:docPartBody>
        <w:p w:rsidR="00AC7DC1" w:rsidRDefault="00FE4850" w:rsidP="00FE4850">
          <w:pPr>
            <w:pStyle w:val="A58BB328FED8486CB7E9F2AADCD5E14A"/>
          </w:pPr>
          <w:r>
            <w:rPr>
              <w:rStyle w:val="Vietosrezervavimoenklotekstas"/>
            </w:rPr>
            <w:t>Click here to enter a date.</w:t>
          </w:r>
        </w:p>
      </w:docPartBody>
    </w:docPart>
    <w:docPart>
      <w:docPartPr>
        <w:name w:val="D9C17413471D40758ED79B56D564A233"/>
        <w:category>
          <w:name w:val="General"/>
          <w:gallery w:val="placeholder"/>
        </w:category>
        <w:types>
          <w:type w:val="bbPlcHdr"/>
        </w:types>
        <w:behaviors>
          <w:behavior w:val="content"/>
        </w:behaviors>
        <w:guid w:val="{59000C13-AD5D-47A2-BFAE-609D4D7A3B18}"/>
      </w:docPartPr>
      <w:docPartBody>
        <w:p w:rsidR="00AC7DC1" w:rsidRDefault="00FE4850" w:rsidP="00FE4850">
          <w:pPr>
            <w:pStyle w:val="D9C17413471D40758ED79B56D564A23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1C4D2F"/>
    <w:rsid w:val="00237556"/>
    <w:rsid w:val="0039303B"/>
    <w:rsid w:val="004144A3"/>
    <w:rsid w:val="004160E7"/>
    <w:rsid w:val="004416C6"/>
    <w:rsid w:val="004B5689"/>
    <w:rsid w:val="004F5AB2"/>
    <w:rsid w:val="005074B9"/>
    <w:rsid w:val="005E40DD"/>
    <w:rsid w:val="007219C1"/>
    <w:rsid w:val="00753462"/>
    <w:rsid w:val="00772325"/>
    <w:rsid w:val="007A2FE0"/>
    <w:rsid w:val="007C6D1D"/>
    <w:rsid w:val="008354CC"/>
    <w:rsid w:val="0090074D"/>
    <w:rsid w:val="009105B6"/>
    <w:rsid w:val="009B3BF0"/>
    <w:rsid w:val="009D5E5E"/>
    <w:rsid w:val="009F1BB4"/>
    <w:rsid w:val="00AB6ED4"/>
    <w:rsid w:val="00AC7DC1"/>
    <w:rsid w:val="00B14210"/>
    <w:rsid w:val="00B23DC0"/>
    <w:rsid w:val="00B96656"/>
    <w:rsid w:val="00BE29C1"/>
    <w:rsid w:val="00C2401D"/>
    <w:rsid w:val="00C53A68"/>
    <w:rsid w:val="00C738E2"/>
    <w:rsid w:val="00CA5BB4"/>
    <w:rsid w:val="00CB4BD1"/>
    <w:rsid w:val="00CE2DA9"/>
    <w:rsid w:val="00CE44BE"/>
    <w:rsid w:val="00D4356B"/>
    <w:rsid w:val="00D5719B"/>
    <w:rsid w:val="00D7162F"/>
    <w:rsid w:val="00E44A86"/>
    <w:rsid w:val="00E522EB"/>
    <w:rsid w:val="00E60827"/>
    <w:rsid w:val="00E73FF6"/>
    <w:rsid w:val="00EF6E0C"/>
    <w:rsid w:val="00F55028"/>
    <w:rsid w:val="00F77BEF"/>
    <w:rsid w:val="00FC755C"/>
    <w:rsid w:val="00FE0D46"/>
    <w:rsid w:val="00FE4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E4850"/>
    <w:rPr>
      <w:color w:val="808080"/>
    </w:rPr>
  </w:style>
  <w:style w:type="paragraph" w:customStyle="1" w:styleId="5A51498F150F49F1A4708530C67F9775">
    <w:name w:val="5A51498F150F49F1A4708530C67F9775"/>
    <w:rsid w:val="00FE4850"/>
  </w:style>
  <w:style w:type="paragraph" w:customStyle="1" w:styleId="0E4791AFE22041E484343BE748EC78D8">
    <w:name w:val="0E4791AFE22041E484343BE748EC78D8"/>
    <w:rsid w:val="00FE4850"/>
  </w:style>
  <w:style w:type="paragraph" w:customStyle="1" w:styleId="A58BB328FED8486CB7E9F2AADCD5E14A">
    <w:name w:val="A58BB328FED8486CB7E9F2AADCD5E14A"/>
    <w:rsid w:val="00FE4850"/>
  </w:style>
  <w:style w:type="paragraph" w:customStyle="1" w:styleId="D9C17413471D40758ED79B56D564A233">
    <w:name w:val="D9C17413471D40758ED79B56D564A233"/>
    <w:rsid w:val="00FE4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0ECC-EA34-4C92-A676-77B2DEDA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7346</Words>
  <Characters>4188</Characters>
  <Application>Microsoft Office Word</Application>
  <DocSecurity>0</DocSecurity>
  <Lines>34</Lines>
  <Paragraphs>23</Paragraphs>
  <ScaleCrop>false</ScaleCrop>
  <Company/>
  <LinksUpToDate>false</LinksUpToDate>
  <CharactersWithSpaces>11511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2023-12-22T06:49:00Z</dcterms:created>
  <dcterms:modified xsi:type="dcterms:W3CDTF">2023-12-22T06:49:00Z</dcterms:modified>
</cp:coreProperties>
</file>