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Pr="00964286"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Default="004C263A" w:rsidP="001B3C5B">
      <w:pPr>
        <w:ind w:left="6096"/>
      </w:pPr>
      <w:r w:rsidRPr="00E33EFF">
        <w:t>(Valstybinės vaistų kontrolės tarnybos prie Lietuvos Respublikos sveikatos apsaugos ministerijos viršininko 2022 m.                         d. įsakymo Nr.                    redakcija)</w:t>
      </w:r>
    </w:p>
    <w:p w14:paraId="45DD017B" w14:textId="77777777" w:rsidR="00171488" w:rsidRPr="00D874B3" w:rsidRDefault="00171488" w:rsidP="007C2705"/>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66E729B3" w14:textId="4F8875F5" w:rsidR="00534D9C" w:rsidRPr="00D05364" w:rsidRDefault="00534D9C" w:rsidP="00534D9C">
      <w:pPr>
        <w:jc w:val="center"/>
        <w:rPr>
          <w:b/>
        </w:rPr>
      </w:pPr>
      <w:proofErr w:type="spellStart"/>
      <w:r>
        <w:rPr>
          <w:b/>
        </w:rPr>
        <w:t>Tagrisso</w:t>
      </w:r>
      <w:proofErr w:type="spellEnd"/>
      <w:r>
        <w:rPr>
          <w:b/>
        </w:rPr>
        <w:t xml:space="preserve"> </w:t>
      </w:r>
      <w:r>
        <w:rPr>
          <w:b/>
          <w:lang w:val="en-US"/>
        </w:rPr>
        <w:t xml:space="preserve">40, 80 mg </w:t>
      </w:r>
      <w:proofErr w:type="spellStart"/>
      <w:r>
        <w:rPr>
          <w:b/>
          <w:lang w:val="en-US"/>
        </w:rPr>
        <w:t>pl</w:t>
      </w:r>
      <w:r>
        <w:rPr>
          <w:b/>
        </w:rPr>
        <w:t>ėvele</w:t>
      </w:r>
      <w:proofErr w:type="spellEnd"/>
      <w:r>
        <w:rPr>
          <w:b/>
        </w:rPr>
        <w:t xml:space="preserve"> dengtos tabletės</w:t>
      </w:r>
    </w:p>
    <w:p w14:paraId="4D37AB91" w14:textId="77777777" w:rsidR="00534D9C" w:rsidRPr="00D05364" w:rsidRDefault="00534D9C" w:rsidP="00534D9C">
      <w:pPr>
        <w:jc w:val="center"/>
      </w:pPr>
    </w:p>
    <w:p w14:paraId="6BBDB6F6" w14:textId="77777777" w:rsidR="00534D9C" w:rsidRPr="00D05364" w:rsidRDefault="00534D9C" w:rsidP="00534D9C">
      <w:pPr>
        <w:jc w:val="center"/>
      </w:pPr>
      <w:r w:rsidRPr="00D05364">
        <w:t>(</w:t>
      </w:r>
      <w:proofErr w:type="spellStart"/>
      <w:r>
        <w:rPr>
          <w:b/>
        </w:rPr>
        <w:t>Osimetinibas</w:t>
      </w:r>
      <w:proofErr w:type="spellEnd"/>
      <w:r w:rsidRPr="00D05364">
        <w:t>)</w:t>
      </w:r>
    </w:p>
    <w:p w14:paraId="6820DAAD" w14:textId="77777777" w:rsidR="00534D9C" w:rsidRPr="00D05364" w:rsidRDefault="00534D9C" w:rsidP="00534D9C">
      <w:pPr>
        <w:jc w:val="center"/>
      </w:pPr>
    </w:p>
    <w:p w14:paraId="4F71FA7C" w14:textId="77777777" w:rsidR="00534D9C" w:rsidRPr="00603060" w:rsidRDefault="00534D9C" w:rsidP="00534D9C">
      <w:pPr>
        <w:jc w:val="center"/>
        <w:rPr>
          <w:b/>
          <w:lang w:val="en-US"/>
        </w:rPr>
      </w:pPr>
      <w:r w:rsidRPr="0047265F">
        <w:rPr>
          <w:b/>
        </w:rPr>
        <w:t>STV-9</w:t>
      </w:r>
      <w:r w:rsidRPr="0047265F">
        <w:rPr>
          <w:b/>
          <w:lang w:val="en-US"/>
        </w:rPr>
        <w:t>8</w:t>
      </w:r>
    </w:p>
    <w:p w14:paraId="169E0322" w14:textId="2A50E001" w:rsidR="00CB56BF" w:rsidRDefault="00CB56BF" w:rsidP="003B211A">
      <w:pPr>
        <w:jc w:val="center"/>
        <w:rPr>
          <w:b/>
        </w:rP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31357FE3">
        <w:trPr>
          <w:trHeight w:val="314"/>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2AF240DC" w14:textId="15734F1E" w:rsidR="00B13D65" w:rsidRPr="00E33EFF" w:rsidRDefault="00B13D65" w:rsidP="00824B92">
            <w:pPr>
              <w:rPr>
                <w:rFonts w:eastAsia="Arial"/>
              </w:rPr>
            </w:pPr>
            <w:r w:rsidRPr="00E33EFF">
              <w:rPr>
                <w:rFonts w:eastAsia="Arial"/>
              </w:rPr>
              <w:t>Pareiškėjas</w:t>
            </w:r>
          </w:p>
        </w:tc>
        <w:tc>
          <w:tcPr>
            <w:tcW w:w="5167" w:type="dxa"/>
          </w:tcPr>
          <w:p w14:paraId="2AAF0D91" w14:textId="14B16D5D" w:rsidR="00B13D65" w:rsidRPr="00B87B84" w:rsidRDefault="00534D9C" w:rsidP="00824B92">
            <w:pPr>
              <w:rPr>
                <w:lang w:val="en-US"/>
              </w:rPr>
            </w:pPr>
            <w:r w:rsidRPr="001E6C39">
              <w:rPr>
                <w:lang w:val="en-US"/>
              </w:rPr>
              <w:t xml:space="preserve">UAB „AstraZeneca </w:t>
            </w:r>
            <w:proofErr w:type="spellStart"/>
            <w:r w:rsidRPr="001E6C39">
              <w:rPr>
                <w:lang w:val="en-US"/>
              </w:rPr>
              <w:t>Lietuva</w:t>
            </w:r>
            <w:proofErr w:type="spellEnd"/>
            <w:r w:rsidRPr="001E6C39">
              <w:rPr>
                <w:lang w:val="en-US"/>
              </w:rPr>
              <w:t>“</w:t>
            </w:r>
          </w:p>
        </w:tc>
      </w:tr>
      <w:tr w:rsidR="00B13D65" w:rsidRPr="00E33EFF" w14:paraId="31998B0D" w14:textId="77777777" w:rsidTr="31357FE3">
        <w:trPr>
          <w:trHeight w:val="156"/>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3A0DC096" w14:textId="6369A966" w:rsidR="00B13D65" w:rsidRPr="004B001C" w:rsidRDefault="00B13D65" w:rsidP="00824B92">
            <w:pPr>
              <w:rPr>
                <w:bCs/>
                <w:color w:val="000000"/>
                <w:lang w:eastAsia="lt-LT"/>
              </w:rPr>
            </w:pPr>
            <w:r w:rsidRPr="00E33EFF">
              <w:rPr>
                <w:bCs/>
                <w:color w:val="000000"/>
                <w:lang w:eastAsia="lt-LT"/>
              </w:rPr>
              <w:t xml:space="preserve">Registracijos data </w:t>
            </w:r>
          </w:p>
        </w:tc>
        <w:tc>
          <w:tcPr>
            <w:tcW w:w="5167" w:type="dxa"/>
          </w:tcPr>
          <w:p w14:paraId="3CA218AD" w14:textId="7A714EA5" w:rsidR="00B13D65" w:rsidRPr="009F6B35" w:rsidRDefault="0069721F" w:rsidP="00824B92">
            <w:pPr>
              <w:rPr>
                <w:rStyle w:val="Style2"/>
                <w:sz w:val="24"/>
              </w:rPr>
            </w:pPr>
            <w:sdt>
              <w:sdtPr>
                <w:rPr>
                  <w:sz w:val="32"/>
                  <w:shd w:val="clear" w:color="auto" w:fill="FFFFFF"/>
                </w:rPr>
                <w:alias w:val="Nurodykite konkrečią dieną"/>
                <w:tag w:val="Nurodykite pradžios datą"/>
                <w:id w:val="423238108"/>
                <w:placeholder>
                  <w:docPart w:val="EA1B4C5CCF95B043934E57A4B9984E0B"/>
                </w:placeholder>
                <w15:color w:val="FFCC99"/>
                <w:date w:fullDate="2016-02-02T00:00:00Z">
                  <w:dateFormat w:val="yyyy 'm.' MMMM d 'd.'"/>
                  <w:lid w:val="lt-LT"/>
                  <w:storeMappedDataAs w:val="dateTime"/>
                  <w:calendar w:val="gregorian"/>
                </w:date>
              </w:sdtPr>
              <w:sdtEndPr/>
              <w:sdtContent>
                <w:r w:rsidR="00534D9C" w:rsidRPr="003D6EB4">
                  <w:rPr>
                    <w:shd w:val="clear" w:color="auto" w:fill="FFFFFF"/>
                  </w:rPr>
                  <w:t>2016 m. vasario 2 d.</w:t>
                </w:r>
              </w:sdtContent>
            </w:sdt>
          </w:p>
        </w:tc>
      </w:tr>
      <w:tr w:rsidR="00B13D65" w:rsidRPr="00E33EFF" w14:paraId="15968AE1" w14:textId="77777777" w:rsidTr="31357FE3">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77089D80" w14:textId="6681D72A" w:rsidR="00B13D65" w:rsidRPr="00E33EFF" w:rsidRDefault="00B13D65" w:rsidP="00824B92">
            <w:pPr>
              <w:rPr>
                <w:bCs/>
                <w:color w:val="000000"/>
                <w:lang w:eastAsia="lt-LT"/>
              </w:rPr>
            </w:pPr>
          </w:p>
        </w:tc>
        <w:tc>
          <w:tcPr>
            <w:tcW w:w="5167" w:type="dxa"/>
          </w:tcPr>
          <w:p w14:paraId="208F40EC" w14:textId="69E70B6C" w:rsidR="00B13D65" w:rsidRPr="006870F1" w:rsidRDefault="0069721F" w:rsidP="00824B92">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9A5B40" w:rsidRPr="006870F1">
                  <w:rPr>
                    <w:rStyle w:val="Style2"/>
                    <w:rFonts w:ascii="Segoe UI Symbol" w:eastAsia="MS Gothic" w:hAnsi="Segoe UI Symbol" w:cs="Segoe UI Symbol"/>
                    <w:sz w:val="24"/>
                  </w:rPr>
                  <w:t>☒</w:t>
                </w:r>
              </w:sdtContent>
            </w:sdt>
            <w:r w:rsidR="00B13D65" w:rsidRPr="006870F1">
              <w:t xml:space="preserve">8.3 str. (pilna byla, pagrįsta savais tyrimais) </w:t>
            </w:r>
          </w:p>
          <w:p w14:paraId="32BA564E" w14:textId="3FDA3E01" w:rsidR="00B13D65" w:rsidRPr="006870F1" w:rsidRDefault="0069721F" w:rsidP="00824B92">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CC7832" w:rsidRPr="006870F1">
                  <w:rPr>
                    <w:rStyle w:val="Style2"/>
                    <w:rFonts w:ascii="Segoe UI Symbol" w:eastAsia="MS Gothic" w:hAnsi="Segoe UI Symbol" w:cs="Segoe UI Symbol"/>
                    <w:sz w:val="24"/>
                  </w:rPr>
                  <w:t>☐</w:t>
                </w:r>
              </w:sdtContent>
            </w:sdt>
            <w:r w:rsidR="00B13D65" w:rsidRPr="006870F1">
              <w:t xml:space="preserve">10 a str. (pripažintas medicininis vartojimas) </w:t>
            </w:r>
          </w:p>
          <w:p w14:paraId="318DCD7F" w14:textId="32333E53" w:rsidR="00B13D65" w:rsidRPr="006870F1" w:rsidRDefault="0069721F" w:rsidP="00824B92">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CC7832" w:rsidRPr="006870F1">
                  <w:rPr>
                    <w:rStyle w:val="Style2"/>
                    <w:rFonts w:ascii="Segoe UI Symbol" w:eastAsia="MS Gothic" w:hAnsi="Segoe UI Symbol" w:cs="Segoe UI Symbol"/>
                    <w:sz w:val="24"/>
                  </w:rPr>
                  <w:t>☐</w:t>
                </w:r>
              </w:sdtContent>
            </w:sdt>
            <w:r w:rsidR="00B13D65" w:rsidRPr="006870F1">
              <w:t>10.1 str. (</w:t>
            </w:r>
            <w:proofErr w:type="spellStart"/>
            <w:r w:rsidR="00B13D65" w:rsidRPr="006870F1">
              <w:t>generinis</w:t>
            </w:r>
            <w:proofErr w:type="spellEnd"/>
            <w:r w:rsidR="00B13D65" w:rsidRPr="006870F1">
              <w:t>)</w:t>
            </w:r>
          </w:p>
          <w:p w14:paraId="3B0A4F72" w14:textId="3F5FB073" w:rsidR="00B13D65" w:rsidRPr="00E33EFF" w:rsidRDefault="0069721F"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CC7832" w:rsidRPr="006870F1">
                  <w:rPr>
                    <w:rStyle w:val="Style2"/>
                    <w:rFonts w:ascii="Segoe UI Symbol" w:eastAsia="MS Gothic" w:hAnsi="Segoe UI Symbol" w:cs="Segoe UI Symbol"/>
                    <w:sz w:val="24"/>
                  </w:rPr>
                  <w:t>☐</w:t>
                </w:r>
              </w:sdtContent>
            </w:sdt>
            <w:r w:rsidR="00B13D65" w:rsidRPr="006870F1">
              <w:t>10.3 str. (hibridinis)</w:t>
            </w:r>
          </w:p>
        </w:tc>
      </w:tr>
      <w:tr w:rsidR="00B13D65" w:rsidRPr="00E33EFF" w14:paraId="310E9662" w14:textId="77777777" w:rsidTr="00B87B84">
        <w:trPr>
          <w:trHeight w:val="1035"/>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483071A3" w14:textId="2CB03165"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05845C60" w14:textId="7060881F" w:rsidR="00B13D65" w:rsidRPr="00E33EFF" w:rsidRDefault="0069721F"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4B001C">
                  <w:rPr>
                    <w:rStyle w:val="Style2"/>
                    <w:rFonts w:ascii="MS Gothic" w:eastAsia="MS Gothic" w:hAnsi="MS Gothic" w:hint="eastAsia"/>
                    <w:sz w:val="24"/>
                  </w:rPr>
                  <w:t>☐</w:t>
                </w:r>
              </w:sdtContent>
            </w:sdt>
            <w:r w:rsidR="00B13D65" w:rsidRPr="00E33EFF">
              <w:t xml:space="preserve"> Taip</w:t>
            </w:r>
          </w:p>
          <w:p w14:paraId="41D88067" w14:textId="50ED090B" w:rsidR="00B13D65" w:rsidRPr="00E33EFF" w:rsidRDefault="0069721F"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4B001C">
                  <w:rPr>
                    <w:rStyle w:val="Style2"/>
                    <w:rFonts w:ascii="MS Gothic" w:eastAsia="MS Gothic" w:hAnsi="MS Gothic" w:hint="eastAsia"/>
                    <w:sz w:val="24"/>
                  </w:rPr>
                  <w:t>☒</w:t>
                </w:r>
              </w:sdtContent>
            </w:sdt>
            <w:r w:rsidR="00B13D65" w:rsidRPr="00E33EFF">
              <w:t xml:space="preserve"> Ne</w:t>
            </w:r>
          </w:p>
          <w:p w14:paraId="29C2CBBB" w14:textId="37BE5F4A" w:rsidR="00B13D65" w:rsidRPr="00E33EFF" w:rsidRDefault="00B13D65" w:rsidP="31357FE3"/>
        </w:tc>
      </w:tr>
      <w:tr w:rsidR="00D417D2" w:rsidRPr="00E33EFF" w14:paraId="7841E5F8" w14:textId="77777777" w:rsidTr="31357FE3">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0E3D3DB9" w:rsidR="00D417D2" w:rsidRPr="00E33EFF" w:rsidRDefault="0069721F"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45326F">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69721F"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31357FE3">
        <w:trPr>
          <w:trHeight w:val="1545"/>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13473BFF" w14:textId="77777777" w:rsidR="00D2043F" w:rsidRDefault="00D2043F" w:rsidP="00824B92">
            <w:pPr>
              <w:rPr>
                <w:bCs/>
                <w:color w:val="000000"/>
                <w:lang w:eastAsia="lt-LT"/>
              </w:rPr>
            </w:pPr>
          </w:p>
          <w:p w14:paraId="41586E85" w14:textId="77777777" w:rsidR="006B47FE" w:rsidRDefault="006B47FE" w:rsidP="00824B92">
            <w:pPr>
              <w:rPr>
                <w:bCs/>
                <w:color w:val="000000"/>
                <w:lang w:eastAsia="lt-LT"/>
              </w:rPr>
            </w:pPr>
          </w:p>
          <w:p w14:paraId="6B4FEEC1" w14:textId="219E39D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0199CB48" w14:textId="77777777" w:rsidR="000F7F85" w:rsidRDefault="000F7F85" w:rsidP="000F7F85">
            <w:pPr>
              <w:pStyle w:val="Sraopastraipa"/>
              <w:spacing w:after="120"/>
              <w:ind w:left="0"/>
              <w:contextualSpacing w:val="0"/>
              <w:jc w:val="both"/>
              <w:rPr>
                <w:color w:val="000000"/>
              </w:rPr>
            </w:pPr>
            <w:r w:rsidRPr="002C34DB">
              <w:rPr>
                <w:color w:val="000000"/>
              </w:rPr>
              <w:t xml:space="preserve">TAGRISSO monoterapija suaugusių pacientų IB-IIIA stadijų </w:t>
            </w:r>
            <w:proofErr w:type="spellStart"/>
            <w:r w:rsidRPr="002C34DB">
              <w:rPr>
                <w:color w:val="000000"/>
              </w:rPr>
              <w:t>nesmulkialąstelinio</w:t>
            </w:r>
            <w:proofErr w:type="spellEnd"/>
            <w:r w:rsidRPr="002C34DB">
              <w:rPr>
                <w:color w:val="000000"/>
              </w:rPr>
              <w:t xml:space="preserve"> plaučių vėžio (angl. </w:t>
            </w:r>
            <w:proofErr w:type="spellStart"/>
            <w:r w:rsidRPr="002C34DB">
              <w:rPr>
                <w:i/>
                <w:iCs/>
                <w:color w:val="000000"/>
              </w:rPr>
              <w:t>non-small</w:t>
            </w:r>
            <w:proofErr w:type="spellEnd"/>
            <w:r w:rsidRPr="002C34DB">
              <w:rPr>
                <w:i/>
                <w:iCs/>
                <w:color w:val="000000"/>
              </w:rPr>
              <w:t xml:space="preserve"> </w:t>
            </w:r>
            <w:proofErr w:type="spellStart"/>
            <w:r w:rsidRPr="002C34DB">
              <w:rPr>
                <w:i/>
                <w:iCs/>
                <w:color w:val="000000"/>
              </w:rPr>
              <w:t>cell</w:t>
            </w:r>
            <w:proofErr w:type="spellEnd"/>
            <w:r w:rsidRPr="002C34DB">
              <w:rPr>
                <w:i/>
                <w:iCs/>
                <w:color w:val="000000"/>
              </w:rPr>
              <w:t xml:space="preserve"> </w:t>
            </w:r>
            <w:proofErr w:type="spellStart"/>
            <w:r w:rsidRPr="002C34DB">
              <w:rPr>
                <w:i/>
                <w:iCs/>
                <w:color w:val="000000"/>
              </w:rPr>
              <w:t>lung</w:t>
            </w:r>
            <w:proofErr w:type="spellEnd"/>
            <w:r w:rsidRPr="002C34DB">
              <w:rPr>
                <w:i/>
                <w:iCs/>
                <w:color w:val="000000"/>
              </w:rPr>
              <w:t xml:space="preserve"> </w:t>
            </w:r>
            <w:proofErr w:type="spellStart"/>
            <w:r w:rsidRPr="002C34DB">
              <w:rPr>
                <w:i/>
                <w:iCs/>
                <w:color w:val="000000"/>
              </w:rPr>
              <w:t>cancer</w:t>
            </w:r>
            <w:proofErr w:type="spellEnd"/>
            <w:r w:rsidRPr="002C34DB">
              <w:rPr>
                <w:color w:val="000000"/>
              </w:rPr>
              <w:t xml:space="preserve">, NSCLC), turinčio epidermio augimo faktoriaus receptorių (angl. </w:t>
            </w:r>
            <w:proofErr w:type="spellStart"/>
            <w:r w:rsidRPr="002C34DB">
              <w:rPr>
                <w:i/>
                <w:iCs/>
                <w:color w:val="000000"/>
              </w:rPr>
              <w:t>epidermal</w:t>
            </w:r>
            <w:proofErr w:type="spellEnd"/>
            <w:r w:rsidRPr="002C34DB">
              <w:rPr>
                <w:i/>
                <w:iCs/>
                <w:color w:val="000000"/>
              </w:rPr>
              <w:t xml:space="preserve"> </w:t>
            </w:r>
            <w:proofErr w:type="spellStart"/>
            <w:r w:rsidRPr="002C34DB">
              <w:rPr>
                <w:i/>
                <w:iCs/>
                <w:color w:val="000000"/>
              </w:rPr>
              <w:t>growth</w:t>
            </w:r>
            <w:proofErr w:type="spellEnd"/>
            <w:r w:rsidRPr="002C34DB">
              <w:rPr>
                <w:i/>
                <w:iCs/>
                <w:color w:val="000000"/>
              </w:rPr>
              <w:t xml:space="preserve"> </w:t>
            </w:r>
            <w:proofErr w:type="spellStart"/>
            <w:r w:rsidRPr="002C34DB">
              <w:rPr>
                <w:i/>
                <w:iCs/>
                <w:color w:val="000000"/>
              </w:rPr>
              <w:t>factor</w:t>
            </w:r>
            <w:proofErr w:type="spellEnd"/>
            <w:r w:rsidRPr="002C34DB">
              <w:rPr>
                <w:i/>
                <w:iCs/>
                <w:color w:val="000000"/>
              </w:rPr>
              <w:t xml:space="preserve"> </w:t>
            </w:r>
            <w:proofErr w:type="spellStart"/>
            <w:r w:rsidRPr="002C34DB">
              <w:rPr>
                <w:i/>
                <w:iCs/>
                <w:color w:val="000000"/>
              </w:rPr>
              <w:t>receptor</w:t>
            </w:r>
            <w:proofErr w:type="spellEnd"/>
            <w:r w:rsidRPr="002C34DB">
              <w:rPr>
                <w:color w:val="000000"/>
              </w:rPr>
              <w:t xml:space="preserve">, EGFR) 19 </w:t>
            </w:r>
            <w:proofErr w:type="spellStart"/>
            <w:r w:rsidRPr="002C34DB">
              <w:rPr>
                <w:color w:val="000000"/>
              </w:rPr>
              <w:t>egzono</w:t>
            </w:r>
            <w:proofErr w:type="spellEnd"/>
            <w:r w:rsidRPr="002C34DB">
              <w:rPr>
                <w:color w:val="000000"/>
              </w:rPr>
              <w:t xml:space="preserve"> </w:t>
            </w:r>
            <w:proofErr w:type="spellStart"/>
            <w:r w:rsidRPr="002C34DB">
              <w:rPr>
                <w:color w:val="000000"/>
              </w:rPr>
              <w:t>delecijas</w:t>
            </w:r>
            <w:proofErr w:type="spellEnd"/>
            <w:r w:rsidRPr="002C34DB">
              <w:rPr>
                <w:color w:val="000000"/>
              </w:rPr>
              <w:t xml:space="preserve"> arba 21 </w:t>
            </w:r>
            <w:proofErr w:type="spellStart"/>
            <w:r w:rsidRPr="002C34DB">
              <w:rPr>
                <w:color w:val="000000"/>
              </w:rPr>
              <w:t>egzono</w:t>
            </w:r>
            <w:proofErr w:type="spellEnd"/>
            <w:r w:rsidRPr="002C34DB">
              <w:rPr>
                <w:color w:val="000000"/>
              </w:rPr>
              <w:t xml:space="preserve"> (L858R) substitucijos mutacijas, adjuvantiniam gydymui po visiškos naviko </w:t>
            </w:r>
            <w:proofErr w:type="spellStart"/>
            <w:r w:rsidRPr="002C34DB">
              <w:rPr>
                <w:color w:val="000000"/>
              </w:rPr>
              <w:t>rezekcijos</w:t>
            </w:r>
            <w:proofErr w:type="spellEnd"/>
            <w:r>
              <w:rPr>
                <w:color w:val="000000"/>
              </w:rPr>
              <w:t xml:space="preserve">; </w:t>
            </w:r>
          </w:p>
          <w:p w14:paraId="13F7DFB0" w14:textId="04184D32" w:rsidR="00B13D65" w:rsidRPr="00B87B84" w:rsidRDefault="000F7F85" w:rsidP="000F7F85">
            <w:pPr>
              <w:pStyle w:val="Sraopastraipa"/>
              <w:spacing w:after="120"/>
              <w:ind w:left="0"/>
              <w:contextualSpacing w:val="0"/>
              <w:jc w:val="both"/>
              <w:rPr>
                <w:lang w:val="en-US"/>
              </w:rPr>
            </w:pPr>
            <w:r>
              <w:rPr>
                <w:color w:val="000000"/>
              </w:rPr>
              <w:t>TLK-10 AM C34.</w:t>
            </w:r>
          </w:p>
        </w:tc>
      </w:tr>
      <w:tr w:rsidR="00B13D65" w:rsidRPr="00E33EFF" w14:paraId="2F79DC08" w14:textId="77777777" w:rsidTr="31357FE3">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9C5586">
              <w:rPr>
                <w:color w:val="000000"/>
                <w:lang w:eastAsia="lt-LT"/>
              </w:rPr>
              <w:t>Pareiškėjo t</w:t>
            </w:r>
            <w:r w:rsidR="00B13D65" w:rsidRPr="009C5586">
              <w:rPr>
                <w:color w:val="000000"/>
                <w:lang w:eastAsia="lt-LT"/>
              </w:rPr>
              <w:t>eikiamos skyrimo sąlygos</w:t>
            </w:r>
            <w:r w:rsidR="005B3756" w:rsidRPr="00E33EFF">
              <w:rPr>
                <w:bCs/>
                <w:color w:val="000000"/>
                <w:lang w:eastAsia="lt-LT"/>
              </w:rPr>
              <w:t xml:space="preserve"> </w:t>
            </w:r>
          </w:p>
        </w:tc>
        <w:tc>
          <w:tcPr>
            <w:tcW w:w="5167" w:type="dxa"/>
          </w:tcPr>
          <w:p w14:paraId="0579DF58" w14:textId="77656A14" w:rsidR="00B13D65" w:rsidRPr="00B87B84" w:rsidRDefault="00B87B84" w:rsidP="00286873">
            <w:pPr>
              <w:jc w:val="both"/>
            </w:pPr>
            <w:proofErr w:type="spellStart"/>
            <w:r>
              <w:rPr>
                <w:lang w:val="en-US"/>
              </w:rPr>
              <w:t>Pagal</w:t>
            </w:r>
            <w:proofErr w:type="spellEnd"/>
            <w:r>
              <w:rPr>
                <w:lang w:val="en-US"/>
              </w:rPr>
              <w:t xml:space="preserve"> </w:t>
            </w:r>
            <w:proofErr w:type="spellStart"/>
            <w:r>
              <w:rPr>
                <w:lang w:val="en-US"/>
              </w:rPr>
              <w:t>registruot</w:t>
            </w:r>
            <w:proofErr w:type="spellEnd"/>
            <w:r>
              <w:t xml:space="preserve">ą </w:t>
            </w:r>
            <w:r w:rsidR="006B47FE">
              <w:t xml:space="preserve">terapinę </w:t>
            </w:r>
            <w:r>
              <w:t>indikaciją.</w:t>
            </w:r>
          </w:p>
        </w:tc>
      </w:tr>
      <w:tr w:rsidR="00B13D65" w:rsidRPr="00E33EFF" w14:paraId="3B125269" w14:textId="77777777" w:rsidTr="31357FE3">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428A2F47"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6CC1022E" w14:textId="32929E9A" w:rsidR="009F4D66" w:rsidRPr="00E33EFF" w:rsidRDefault="000A3A69" w:rsidP="00534D9C">
            <w:pPr>
              <w:rPr>
                <w:bCs/>
                <w:color w:val="000000"/>
                <w:lang w:eastAsia="lt-LT"/>
              </w:rPr>
            </w:pPr>
            <w:r>
              <w:rPr>
                <w:bCs/>
                <w:color w:val="000000"/>
                <w:lang w:eastAsia="lt-LT"/>
              </w:rPr>
              <w:t xml:space="preserve">Tiesioginis palyginimas su </w:t>
            </w:r>
            <w:r w:rsidR="00534D9C">
              <w:rPr>
                <w:bCs/>
                <w:color w:val="000000"/>
                <w:lang w:eastAsia="lt-LT"/>
              </w:rPr>
              <w:t>placebu, kadangi šiuo metu taikoma stebėjimo ir laukimo taktika.</w:t>
            </w:r>
          </w:p>
        </w:tc>
        <w:tc>
          <w:tcPr>
            <w:tcW w:w="5167" w:type="dxa"/>
          </w:tcPr>
          <w:p w14:paraId="1F113AC0" w14:textId="2CF14144" w:rsidR="009F4D66" w:rsidRPr="00E33EFF" w:rsidRDefault="0069721F"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A67196">
                  <w:rPr>
                    <w:rStyle w:val="Style2"/>
                    <w:rFonts w:ascii="MS Gothic" w:eastAsia="MS Gothic" w:hAnsi="MS Gothic" w:hint="eastAsia"/>
                    <w:sz w:val="24"/>
                  </w:rPr>
                  <w:t>☒</w:t>
                </w:r>
              </w:sdtContent>
            </w:sdt>
            <w:r w:rsidR="009F4D66" w:rsidRPr="00E33EFF">
              <w:t xml:space="preserve"> Tinkamas</w:t>
            </w:r>
          </w:p>
          <w:p w14:paraId="41B44044" w14:textId="3E662AB8" w:rsidR="00B13D65" w:rsidRPr="00E33EFF" w:rsidRDefault="0069721F"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A67196">
                  <w:rPr>
                    <w:rStyle w:val="Style2"/>
                    <w:rFonts w:ascii="MS Gothic" w:eastAsia="MS Gothic" w:hAnsi="MS Gothic" w:hint="eastAsia"/>
                    <w:sz w:val="24"/>
                  </w:rPr>
                  <w:t>☐</w:t>
                </w:r>
              </w:sdtContent>
            </w:sdt>
            <w:r w:rsidR="009F4D66" w:rsidRPr="00E33EFF">
              <w:t xml:space="preserve"> Netinkama</w:t>
            </w:r>
            <w:r w:rsidR="009F6B35">
              <w:t>s</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0F7F85" w:rsidRPr="00D05364" w14:paraId="50880935" w14:textId="77777777" w:rsidTr="007F5411">
        <w:trPr>
          <w:trHeight w:val="924"/>
        </w:trPr>
        <w:tc>
          <w:tcPr>
            <w:tcW w:w="2927" w:type="dxa"/>
          </w:tcPr>
          <w:p w14:paraId="04F1A11A" w14:textId="77777777" w:rsidR="000F7F85" w:rsidRPr="00D05364" w:rsidRDefault="000F7F85" w:rsidP="007F5411">
            <w:pPr>
              <w:spacing w:line="276" w:lineRule="auto"/>
              <w:rPr>
                <w:rFonts w:eastAsia="Arial"/>
              </w:rPr>
            </w:pPr>
            <w:r w:rsidRPr="00D05364">
              <w:rPr>
                <w:rFonts w:eastAsia="Arial"/>
              </w:rPr>
              <w:t>STV agentūros pavadinimas, šalis</w:t>
            </w:r>
          </w:p>
        </w:tc>
        <w:tc>
          <w:tcPr>
            <w:tcW w:w="1915" w:type="dxa"/>
          </w:tcPr>
          <w:p w14:paraId="44BE15EC" w14:textId="77777777" w:rsidR="000F7F85" w:rsidRPr="00D05364" w:rsidRDefault="000F7F85" w:rsidP="007F5411">
            <w:pPr>
              <w:spacing w:line="276" w:lineRule="auto"/>
              <w:rPr>
                <w:rFonts w:eastAsia="Arial"/>
              </w:rPr>
            </w:pPr>
            <w:r w:rsidRPr="00D05364">
              <w:rPr>
                <w:rFonts w:eastAsia="Arial"/>
              </w:rPr>
              <w:t>STV vertinimas atliktas</w:t>
            </w:r>
          </w:p>
        </w:tc>
        <w:tc>
          <w:tcPr>
            <w:tcW w:w="2351" w:type="dxa"/>
          </w:tcPr>
          <w:p w14:paraId="4B5BD068" w14:textId="77777777" w:rsidR="000F7F85" w:rsidRPr="00D05364" w:rsidRDefault="000F7F85" w:rsidP="007F5411">
            <w:pPr>
              <w:spacing w:line="276" w:lineRule="auto"/>
              <w:rPr>
                <w:rFonts w:eastAsia="Arial"/>
              </w:rPr>
            </w:pPr>
            <w:r w:rsidRPr="00D05364">
              <w:rPr>
                <w:rFonts w:eastAsia="Arial"/>
              </w:rPr>
              <w:t>Klinikinio vertinimo išvada</w:t>
            </w:r>
          </w:p>
        </w:tc>
        <w:tc>
          <w:tcPr>
            <w:tcW w:w="2725" w:type="dxa"/>
          </w:tcPr>
          <w:p w14:paraId="1C56FF2C" w14:textId="77777777" w:rsidR="000F7F85" w:rsidRPr="00D05364" w:rsidRDefault="000F7F85" w:rsidP="007F5411">
            <w:pPr>
              <w:spacing w:line="276" w:lineRule="auto"/>
              <w:rPr>
                <w:rFonts w:eastAsia="Arial"/>
              </w:rPr>
            </w:pPr>
            <w:r w:rsidRPr="00D05364">
              <w:rPr>
                <w:rFonts w:eastAsia="Arial"/>
              </w:rPr>
              <w:t>Farmakoekonominio vertinimo išvada</w:t>
            </w:r>
          </w:p>
        </w:tc>
      </w:tr>
      <w:tr w:rsidR="000F7F85" w:rsidRPr="00D05364" w14:paraId="75EE99FA" w14:textId="77777777" w:rsidTr="007F5411">
        <w:trPr>
          <w:trHeight w:val="1765"/>
        </w:trPr>
        <w:tc>
          <w:tcPr>
            <w:tcW w:w="2927" w:type="dxa"/>
          </w:tcPr>
          <w:p w14:paraId="0DD62860" w14:textId="77777777" w:rsidR="000F7F85" w:rsidRPr="00D05364" w:rsidRDefault="000F7F85" w:rsidP="007F5411">
            <w:pPr>
              <w:autoSpaceDE w:val="0"/>
              <w:autoSpaceDN w:val="0"/>
              <w:adjustRightInd w:val="0"/>
              <w:rPr>
                <w:bCs/>
              </w:rPr>
            </w:pPr>
            <w:r w:rsidRPr="00D05364">
              <w:rPr>
                <w:bCs/>
              </w:rPr>
              <w:t>Nacionalinis sveikatos ir klinikinės kompetencijos institutas, Didžioji Britanija</w:t>
            </w:r>
          </w:p>
          <w:p w14:paraId="6BD7907D" w14:textId="77777777" w:rsidR="000F7F85" w:rsidRPr="00D05364" w:rsidRDefault="000F7F85" w:rsidP="007F5411">
            <w:pPr>
              <w:spacing w:line="276" w:lineRule="auto"/>
              <w:rPr>
                <w:rFonts w:eastAsia="Arial"/>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915" w:type="dxa"/>
          </w:tcPr>
          <w:p w14:paraId="47CEEC4B" w14:textId="083714E5" w:rsidR="000F7F85" w:rsidRPr="00D05364" w:rsidRDefault="0069721F" w:rsidP="007F5411">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5B47BC">
                  <w:rPr>
                    <w:rStyle w:val="Style2"/>
                    <w:rFonts w:ascii="MS Gothic" w:eastAsia="MS Gothic" w:hAnsi="MS Gothic" w:hint="eastAsia"/>
                  </w:rPr>
                  <w:t>☒</w:t>
                </w:r>
              </w:sdtContent>
            </w:sdt>
            <w:r w:rsidR="000F7F85" w:rsidRPr="00D05364">
              <w:t xml:space="preserve"> Taip</w:t>
            </w:r>
          </w:p>
          <w:p w14:paraId="684BCDD7" w14:textId="7E12752E" w:rsidR="000F7F85" w:rsidRPr="00D05364" w:rsidRDefault="0069721F" w:rsidP="007F5411">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5B47BC">
                  <w:rPr>
                    <w:rStyle w:val="Style2"/>
                    <w:rFonts w:ascii="MS Gothic" w:eastAsia="MS Gothic" w:hAnsi="MS Gothic" w:hint="eastAsia"/>
                  </w:rPr>
                  <w:t>☐</w:t>
                </w:r>
              </w:sdtContent>
            </w:sdt>
            <w:r w:rsidR="000F7F85" w:rsidRPr="00D05364">
              <w:t xml:space="preserve"> Ne</w:t>
            </w:r>
          </w:p>
          <w:p w14:paraId="3F248DB8" w14:textId="4045E054" w:rsidR="000F7F85" w:rsidRPr="005B47BC" w:rsidRDefault="005B47BC" w:rsidP="007F5411">
            <w:pPr>
              <w:rPr>
                <w:rFonts w:eastAsia="Arial"/>
                <w:lang w:val="en-US"/>
              </w:rPr>
            </w:pPr>
            <w:r>
              <w:rPr>
                <w:rFonts w:eastAsia="Arial"/>
                <w:lang w:val="en-US"/>
              </w:rPr>
              <w:t xml:space="preserve">2022 m. </w:t>
            </w:r>
            <w:proofErr w:type="spellStart"/>
            <w:r>
              <w:rPr>
                <w:rFonts w:eastAsia="Arial"/>
                <w:lang w:val="en-US"/>
              </w:rPr>
              <w:t>sausio</w:t>
            </w:r>
            <w:proofErr w:type="spellEnd"/>
            <w:r>
              <w:rPr>
                <w:rFonts w:eastAsia="Arial"/>
                <w:lang w:val="en-US"/>
              </w:rPr>
              <w:t xml:space="preserve"> 19 d.</w:t>
            </w:r>
          </w:p>
        </w:tc>
        <w:tc>
          <w:tcPr>
            <w:tcW w:w="2351" w:type="dxa"/>
          </w:tcPr>
          <w:p w14:paraId="60CB7F6F" w14:textId="77777777" w:rsidR="00823C7D" w:rsidRPr="0028324C" w:rsidRDefault="00823C7D" w:rsidP="007F5411">
            <w:pPr>
              <w:spacing w:line="276" w:lineRule="auto"/>
              <w:rPr>
                <w:sz w:val="22"/>
                <w:szCs w:val="22"/>
              </w:rPr>
            </w:pPr>
            <w:r w:rsidRPr="0028324C">
              <w:rPr>
                <w:sz w:val="22"/>
                <w:szCs w:val="22"/>
              </w:rPr>
              <w:t xml:space="preserve">Rekomenduojama kompensuoti, jeigu: </w:t>
            </w:r>
          </w:p>
          <w:p w14:paraId="0DEFAAA0" w14:textId="77777777" w:rsidR="00823C7D" w:rsidRPr="0028324C" w:rsidRDefault="00823C7D" w:rsidP="007F5411">
            <w:pPr>
              <w:spacing w:line="276" w:lineRule="auto"/>
              <w:rPr>
                <w:sz w:val="22"/>
                <w:szCs w:val="22"/>
              </w:rPr>
            </w:pPr>
            <w:r w:rsidRPr="0028324C">
              <w:rPr>
                <w:sz w:val="22"/>
                <w:szCs w:val="22"/>
              </w:rPr>
              <w:t xml:space="preserve">-gydymas osimertinibu būtų sustabdytas po </w:t>
            </w:r>
            <w:r w:rsidRPr="0028324C">
              <w:rPr>
                <w:sz w:val="22"/>
                <w:szCs w:val="22"/>
                <w:lang w:val="en-US"/>
              </w:rPr>
              <w:t xml:space="preserve">3 </w:t>
            </w:r>
            <w:r w:rsidRPr="0028324C">
              <w:rPr>
                <w:sz w:val="22"/>
                <w:szCs w:val="22"/>
              </w:rPr>
              <w:t>metų ar anksčiau, jeigu atsiranda ligos progresija ar toksiškumas;</w:t>
            </w:r>
          </w:p>
          <w:p w14:paraId="785D92CC" w14:textId="0D6753AB" w:rsidR="000F7F85" w:rsidRPr="008F728B" w:rsidRDefault="00823C7D" w:rsidP="00823C7D">
            <w:pPr>
              <w:spacing w:line="276" w:lineRule="auto"/>
              <w:rPr>
                <w:rFonts w:eastAsia="Arial"/>
              </w:rPr>
            </w:pPr>
            <w:r w:rsidRPr="0028324C">
              <w:rPr>
                <w:sz w:val="22"/>
                <w:szCs w:val="22"/>
              </w:rPr>
              <w:t xml:space="preserve">- kompanija pateiks komercinį susitarimą. </w:t>
            </w:r>
          </w:p>
        </w:tc>
        <w:tc>
          <w:tcPr>
            <w:tcW w:w="2725" w:type="dxa"/>
          </w:tcPr>
          <w:p w14:paraId="17FBEB82" w14:textId="77777777" w:rsidR="0028324C" w:rsidRPr="00F1504D" w:rsidRDefault="0028324C" w:rsidP="0028324C">
            <w:pPr>
              <w:spacing w:line="276" w:lineRule="auto"/>
              <w:rPr>
                <w:rFonts w:eastAsia="Arial"/>
                <w:sz w:val="22"/>
                <w:szCs w:val="22"/>
              </w:rPr>
            </w:pPr>
            <w:r w:rsidRPr="00F1504D">
              <w:rPr>
                <w:rFonts w:eastAsia="Arial"/>
                <w:sz w:val="22"/>
                <w:szCs w:val="22"/>
              </w:rPr>
              <w:t>Kaštų naudingumas yra neapibrėžtas. Tikėtina, kad vaisto kaštų naudingumas yra išlaikomas, bet tam patvirtinti reikia daugiau duomenų, kurie sumažintų analizės neapibrėžtumą.</w:t>
            </w:r>
          </w:p>
          <w:p w14:paraId="38D59CD6" w14:textId="36869100" w:rsidR="000F7F85" w:rsidRPr="00D05364" w:rsidRDefault="0028324C" w:rsidP="0028324C">
            <w:pPr>
              <w:spacing w:line="276" w:lineRule="auto"/>
              <w:rPr>
                <w:rFonts w:eastAsia="Arial"/>
              </w:rPr>
            </w:pPr>
            <w:r w:rsidRPr="00F1504D">
              <w:rPr>
                <w:rFonts w:eastAsia="Arial"/>
                <w:sz w:val="22"/>
                <w:szCs w:val="22"/>
              </w:rPr>
              <w:t xml:space="preserve">Rekomenduojama vaistą kompensuoti Vėžio vaistų fondo (angl. </w:t>
            </w:r>
            <w:proofErr w:type="spellStart"/>
            <w:r w:rsidRPr="00F1504D">
              <w:rPr>
                <w:rFonts w:eastAsia="Arial"/>
                <w:sz w:val="22"/>
                <w:szCs w:val="22"/>
              </w:rPr>
              <w:t>Cancer</w:t>
            </w:r>
            <w:proofErr w:type="spellEnd"/>
            <w:r w:rsidRPr="00F1504D">
              <w:rPr>
                <w:rFonts w:eastAsia="Arial"/>
                <w:sz w:val="22"/>
                <w:szCs w:val="22"/>
              </w:rPr>
              <w:t xml:space="preserve"> </w:t>
            </w:r>
            <w:proofErr w:type="spellStart"/>
            <w:r w:rsidRPr="00F1504D">
              <w:rPr>
                <w:rFonts w:eastAsia="Arial"/>
                <w:sz w:val="22"/>
                <w:szCs w:val="22"/>
              </w:rPr>
              <w:t>Drugs</w:t>
            </w:r>
            <w:proofErr w:type="spellEnd"/>
            <w:r w:rsidRPr="00F1504D">
              <w:rPr>
                <w:rFonts w:eastAsia="Arial"/>
                <w:sz w:val="22"/>
                <w:szCs w:val="22"/>
              </w:rPr>
              <w:t xml:space="preserve"> </w:t>
            </w:r>
            <w:proofErr w:type="spellStart"/>
            <w:r w:rsidRPr="00F1504D">
              <w:rPr>
                <w:rFonts w:eastAsia="Arial"/>
                <w:sz w:val="22"/>
                <w:szCs w:val="22"/>
              </w:rPr>
              <w:t>Fund</w:t>
            </w:r>
            <w:proofErr w:type="spellEnd"/>
            <w:r w:rsidRPr="00F1504D">
              <w:rPr>
                <w:rFonts w:eastAsia="Arial"/>
                <w:sz w:val="22"/>
                <w:szCs w:val="22"/>
              </w:rPr>
              <w:t>) lėšomis.</w:t>
            </w:r>
          </w:p>
        </w:tc>
      </w:tr>
      <w:tr w:rsidR="000F7F85" w:rsidRPr="00D05364" w14:paraId="05CF7622" w14:textId="77777777" w:rsidTr="007F5411">
        <w:trPr>
          <w:trHeight w:val="1547"/>
        </w:trPr>
        <w:tc>
          <w:tcPr>
            <w:tcW w:w="2927" w:type="dxa"/>
          </w:tcPr>
          <w:p w14:paraId="5D95FCA9" w14:textId="77777777" w:rsidR="000F7F85" w:rsidRPr="00D05364" w:rsidRDefault="000F7F85" w:rsidP="007F5411">
            <w:pPr>
              <w:spacing w:line="276" w:lineRule="auto"/>
              <w:rPr>
                <w:rFonts w:eastAsia="Arial"/>
              </w:rPr>
            </w:pPr>
            <w:r w:rsidRPr="00D05364">
              <w:rPr>
                <w:rFonts w:eastAsia="Arial"/>
              </w:rPr>
              <w:t>Kanados sveikatos technologijų agentūra</w:t>
            </w:r>
          </w:p>
          <w:p w14:paraId="5E0ACE83" w14:textId="77777777" w:rsidR="000F7F85" w:rsidRPr="00D05364" w:rsidRDefault="000F7F85" w:rsidP="007F5411">
            <w:pPr>
              <w:spacing w:line="276" w:lineRule="auto"/>
              <w:rPr>
                <w:rFonts w:eastAsia="Arial"/>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915" w:type="dxa"/>
          </w:tcPr>
          <w:p w14:paraId="5FA15FBD" w14:textId="77777777" w:rsidR="000F7F85" w:rsidRPr="00D05364" w:rsidRDefault="0069721F" w:rsidP="007F5411">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0F7F85">
                  <w:rPr>
                    <w:rStyle w:val="Style2"/>
                    <w:rFonts w:ascii="MS Gothic" w:eastAsia="MS Gothic" w:hAnsi="MS Gothic" w:hint="eastAsia"/>
                  </w:rPr>
                  <w:t>☒</w:t>
                </w:r>
              </w:sdtContent>
            </w:sdt>
            <w:r w:rsidR="000F7F85" w:rsidRPr="00D05364">
              <w:t xml:space="preserve"> Taip</w:t>
            </w:r>
          </w:p>
          <w:p w14:paraId="4CE2C1EE" w14:textId="77777777" w:rsidR="000F7F85" w:rsidRPr="00D05364" w:rsidRDefault="0069721F" w:rsidP="007F5411">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0F7F85" w:rsidRPr="00D05364">
                  <w:rPr>
                    <w:rStyle w:val="Style2"/>
                    <w:rFonts w:ascii="Segoe UI Symbol" w:eastAsia="MS Gothic" w:hAnsi="Segoe UI Symbol" w:cs="Segoe UI Symbol"/>
                  </w:rPr>
                  <w:t>☐</w:t>
                </w:r>
              </w:sdtContent>
            </w:sdt>
            <w:r w:rsidR="000F7F85" w:rsidRPr="00D05364">
              <w:t xml:space="preserve"> Ne</w:t>
            </w:r>
          </w:p>
          <w:p w14:paraId="3236B35C" w14:textId="77777777" w:rsidR="000F7F85" w:rsidRPr="00D05364" w:rsidRDefault="0069721F" w:rsidP="007F5411">
            <w:pPr>
              <w:spacing w:line="276" w:lineRule="auto"/>
              <w:rPr>
                <w:rFonts w:eastAsia="Arial"/>
              </w:rPr>
            </w:pPr>
            <w:sdt>
              <w:sdtPr>
                <w:alias w:val="Nurodykite konkrečią dieną"/>
                <w:tag w:val="Nurodykite pradžios datą"/>
                <w:id w:val="1072468416"/>
                <w:placeholder>
                  <w:docPart w:val="D180983D3E1B7043B64BDE945D646BD8"/>
                </w:placeholder>
                <w15:color w:val="FFCC99"/>
                <w:date w:fullDate="2022-03-04T00:00:00Z">
                  <w:dateFormat w:val="yyyy 'm.' MMMM d 'd.'"/>
                  <w:lid w:val="lt-LT"/>
                  <w:storeMappedDataAs w:val="dateTime"/>
                  <w:calendar w:val="gregorian"/>
                </w:date>
              </w:sdtPr>
              <w:sdtEndPr/>
              <w:sdtContent>
                <w:r w:rsidR="000F7F85">
                  <w:t>2022 m. kovo 4 d.</w:t>
                </w:r>
              </w:sdtContent>
            </w:sdt>
          </w:p>
        </w:tc>
        <w:tc>
          <w:tcPr>
            <w:tcW w:w="2351" w:type="dxa"/>
            <w:shd w:val="clear" w:color="auto" w:fill="auto"/>
          </w:tcPr>
          <w:p w14:paraId="778B9979" w14:textId="77777777" w:rsidR="000F7F85" w:rsidRPr="0028324C" w:rsidRDefault="000F7F85" w:rsidP="000F7F85">
            <w:pPr>
              <w:pStyle w:val="HTMLiankstoformatuotas"/>
              <w:shd w:val="clear" w:color="auto" w:fill="FFFFFF" w:themeFill="background1"/>
              <w:rPr>
                <w:rStyle w:val="y2iqfc"/>
                <w:rFonts w:ascii="Times New Roman" w:hAnsi="Times New Roman" w:cs="Times New Roman"/>
                <w:color w:val="000000" w:themeColor="text1"/>
                <w:sz w:val="22"/>
                <w:szCs w:val="22"/>
              </w:rPr>
            </w:pPr>
            <w:proofErr w:type="spellStart"/>
            <w:r w:rsidRPr="0028324C">
              <w:rPr>
                <w:rStyle w:val="y2iqfc"/>
                <w:rFonts w:ascii="Times New Roman" w:hAnsi="Times New Roman" w:cs="Times New Roman"/>
                <w:color w:val="000000" w:themeColor="text1"/>
                <w:sz w:val="22"/>
                <w:szCs w:val="22"/>
              </w:rPr>
              <w:t>Tagrisso</w:t>
            </w:r>
            <w:proofErr w:type="spellEnd"/>
            <w:r w:rsidRPr="0028324C">
              <w:rPr>
                <w:rStyle w:val="y2iqfc"/>
                <w:rFonts w:ascii="Times New Roman" w:hAnsi="Times New Roman" w:cs="Times New Roman"/>
                <w:color w:val="000000" w:themeColor="text1"/>
                <w:sz w:val="22"/>
                <w:szCs w:val="22"/>
              </w:rPr>
              <w:t xml:space="preserve"> turi būti skiriamas tik suaugusiems (≥ 18 metų) pacientams, kuriems baigtas</w:t>
            </w:r>
          </w:p>
          <w:p w14:paraId="418BBAFB" w14:textId="77777777" w:rsidR="000F7F85" w:rsidRPr="0028324C" w:rsidRDefault="000F7F85" w:rsidP="000F7F85">
            <w:pPr>
              <w:pStyle w:val="HTMLiankstoformatuotas"/>
              <w:shd w:val="clear" w:color="auto" w:fill="FFFFFF" w:themeFill="background1"/>
              <w:rPr>
                <w:rStyle w:val="y2iqfc"/>
                <w:rFonts w:ascii="Times New Roman" w:hAnsi="Times New Roman" w:cs="Times New Roman"/>
                <w:color w:val="000000" w:themeColor="text1"/>
                <w:sz w:val="22"/>
                <w:szCs w:val="22"/>
              </w:rPr>
            </w:pPr>
            <w:r w:rsidRPr="0028324C">
              <w:rPr>
                <w:rStyle w:val="y2iqfc"/>
                <w:rFonts w:ascii="Times New Roman" w:hAnsi="Times New Roman" w:cs="Times New Roman"/>
                <w:color w:val="000000" w:themeColor="text1"/>
                <w:sz w:val="22"/>
                <w:szCs w:val="22"/>
              </w:rPr>
              <w:t xml:space="preserve">chirurginis IB-IIIA stadijos gydymas arba atlikta IIA -IIIB  stadijos </w:t>
            </w:r>
            <w:proofErr w:type="spellStart"/>
            <w:r w:rsidRPr="0028324C">
              <w:rPr>
                <w:rStyle w:val="y2iqfc"/>
                <w:rFonts w:ascii="Times New Roman" w:hAnsi="Times New Roman" w:cs="Times New Roman"/>
                <w:color w:val="000000" w:themeColor="text1"/>
                <w:sz w:val="22"/>
                <w:szCs w:val="22"/>
              </w:rPr>
              <w:t>rezekcija</w:t>
            </w:r>
            <w:proofErr w:type="spellEnd"/>
            <w:r w:rsidRPr="0028324C">
              <w:rPr>
                <w:rStyle w:val="y2iqfc"/>
                <w:rFonts w:ascii="Times New Roman" w:hAnsi="Times New Roman" w:cs="Times New Roman"/>
                <w:color w:val="000000" w:themeColor="text1"/>
                <w:sz w:val="22"/>
                <w:szCs w:val="22"/>
              </w:rPr>
              <w:t xml:space="preserve"> su chemoterapija arba be jos. Pacientai turėtų pradėti gydymą </w:t>
            </w:r>
            <w:proofErr w:type="spellStart"/>
            <w:r w:rsidRPr="0028324C">
              <w:rPr>
                <w:rStyle w:val="y2iqfc"/>
                <w:rFonts w:ascii="Times New Roman" w:hAnsi="Times New Roman" w:cs="Times New Roman"/>
                <w:color w:val="000000" w:themeColor="text1"/>
                <w:sz w:val="22"/>
                <w:szCs w:val="22"/>
              </w:rPr>
              <w:t>Tagrisso</w:t>
            </w:r>
            <w:proofErr w:type="spellEnd"/>
            <w:r w:rsidRPr="0028324C">
              <w:rPr>
                <w:rStyle w:val="y2iqfc"/>
                <w:rFonts w:ascii="Times New Roman" w:hAnsi="Times New Roman" w:cs="Times New Roman"/>
                <w:color w:val="000000" w:themeColor="text1"/>
                <w:sz w:val="22"/>
                <w:szCs w:val="22"/>
              </w:rPr>
              <w:t xml:space="preserve"> per 10 savaičių po operacijos, jei nebuvo atlikta chemoterapija</w:t>
            </w:r>
          </w:p>
          <w:p w14:paraId="28910B1F" w14:textId="77777777" w:rsidR="000F7F85" w:rsidRPr="0028324C" w:rsidRDefault="000F7F85" w:rsidP="000F7F85">
            <w:pPr>
              <w:pStyle w:val="HTMLiankstoformatuotas"/>
              <w:shd w:val="clear" w:color="auto" w:fill="FFFFFF" w:themeFill="background1"/>
              <w:rPr>
                <w:rFonts w:ascii="Times New Roman" w:hAnsi="Times New Roman" w:cs="Times New Roman"/>
                <w:color w:val="000000" w:themeColor="text1"/>
                <w:sz w:val="22"/>
                <w:szCs w:val="22"/>
              </w:rPr>
            </w:pPr>
            <w:r w:rsidRPr="0028324C">
              <w:rPr>
                <w:rStyle w:val="y2iqfc"/>
                <w:rFonts w:ascii="Times New Roman" w:hAnsi="Times New Roman" w:cs="Times New Roman"/>
                <w:color w:val="000000" w:themeColor="text1"/>
                <w:sz w:val="22"/>
                <w:szCs w:val="22"/>
              </w:rPr>
              <w:t>po operacijos arba per 26 savaites, jei po operacijos buvo taikyta chemoterapija.</w:t>
            </w:r>
          </w:p>
          <w:p w14:paraId="5F64793B" w14:textId="77777777" w:rsidR="000F7F85" w:rsidRPr="005844B5" w:rsidRDefault="000F7F85" w:rsidP="007F5411">
            <w:pPr>
              <w:spacing w:line="276" w:lineRule="auto"/>
              <w:rPr>
                <w:rFonts w:eastAsia="Arial"/>
                <w:sz w:val="20"/>
                <w:szCs w:val="20"/>
              </w:rPr>
            </w:pPr>
          </w:p>
        </w:tc>
        <w:tc>
          <w:tcPr>
            <w:tcW w:w="2725" w:type="dxa"/>
            <w:shd w:val="clear" w:color="auto" w:fill="auto"/>
          </w:tcPr>
          <w:p w14:paraId="6B129F8C" w14:textId="77777777" w:rsidR="0028324C" w:rsidRPr="00F1504D" w:rsidRDefault="0028324C" w:rsidP="0028324C">
            <w:pPr>
              <w:pStyle w:val="HTMLiankstoformatuotas"/>
              <w:shd w:val="clear" w:color="auto" w:fill="FFFFFF" w:themeFill="background1"/>
              <w:spacing w:line="276" w:lineRule="auto"/>
              <w:rPr>
                <w:rStyle w:val="y2iqfc"/>
                <w:rFonts w:ascii="Times New Roman" w:hAnsi="Times New Roman" w:cs="Times New Roman"/>
                <w:color w:val="202124"/>
                <w:sz w:val="22"/>
                <w:szCs w:val="22"/>
              </w:rPr>
            </w:pPr>
            <w:r w:rsidRPr="00F1504D">
              <w:rPr>
                <w:rStyle w:val="y2iqfc"/>
                <w:rFonts w:ascii="Times New Roman" w:hAnsi="Times New Roman" w:cs="Times New Roman"/>
                <w:color w:val="202124"/>
                <w:sz w:val="22"/>
                <w:szCs w:val="22"/>
              </w:rPr>
              <w:t xml:space="preserve">Remiantis CADTH atliktu sveikatos ekonominiu vertinimu, </w:t>
            </w:r>
            <w:proofErr w:type="spellStart"/>
            <w:r w:rsidRPr="00F1504D">
              <w:rPr>
                <w:rStyle w:val="y2iqfc"/>
                <w:rFonts w:ascii="Times New Roman" w:hAnsi="Times New Roman" w:cs="Times New Roman"/>
                <w:color w:val="202124"/>
                <w:sz w:val="22"/>
                <w:szCs w:val="22"/>
              </w:rPr>
              <w:t>Tagrisso</w:t>
            </w:r>
            <w:proofErr w:type="spellEnd"/>
            <w:r w:rsidRPr="00F1504D">
              <w:rPr>
                <w:rStyle w:val="y2iqfc"/>
                <w:rFonts w:ascii="Times New Roman" w:hAnsi="Times New Roman" w:cs="Times New Roman"/>
                <w:color w:val="202124"/>
                <w:sz w:val="22"/>
                <w:szCs w:val="22"/>
              </w:rPr>
              <w:t xml:space="preserve"> nesukuria</w:t>
            </w:r>
          </w:p>
          <w:p w14:paraId="447FA94E" w14:textId="77777777" w:rsidR="0028324C" w:rsidRPr="00F1504D" w:rsidRDefault="0028324C" w:rsidP="0028324C">
            <w:pPr>
              <w:pStyle w:val="HTMLiankstoformatuotas"/>
              <w:shd w:val="clear" w:color="auto" w:fill="FFFFFF" w:themeFill="background1"/>
              <w:spacing w:line="276" w:lineRule="auto"/>
              <w:rPr>
                <w:rStyle w:val="y2iqfc"/>
                <w:rFonts w:ascii="Times New Roman" w:hAnsi="Times New Roman" w:cs="Times New Roman"/>
                <w:color w:val="202124"/>
                <w:sz w:val="22"/>
                <w:szCs w:val="22"/>
              </w:rPr>
            </w:pPr>
            <w:r w:rsidRPr="00F1504D">
              <w:rPr>
                <w:rStyle w:val="y2iqfc"/>
                <w:rFonts w:ascii="Times New Roman" w:hAnsi="Times New Roman" w:cs="Times New Roman"/>
                <w:color w:val="202124"/>
                <w:sz w:val="22"/>
                <w:szCs w:val="22"/>
              </w:rPr>
              <w:t>geros vertės sveikatos priežiūros sistemai už pateikiamą kainą, todėl reikalaujama 82 % sumažinti kainą tam, kad būtų pagerintas kaštų efektyvumas.</w:t>
            </w:r>
          </w:p>
          <w:p w14:paraId="67B4CE27" w14:textId="77777777" w:rsidR="000F7F85" w:rsidRPr="00373505" w:rsidRDefault="000F7F85" w:rsidP="00373505">
            <w:pPr>
              <w:rPr>
                <w:rFonts w:eastAsia="Arial"/>
              </w:rPr>
            </w:pPr>
          </w:p>
          <w:p w14:paraId="581DAF00" w14:textId="77777777" w:rsidR="000F7F85" w:rsidRPr="008B7E35" w:rsidRDefault="000F7F85" w:rsidP="005B47BC">
            <w:pPr>
              <w:rPr>
                <w:rFonts w:eastAsia="Arial"/>
                <w:sz w:val="20"/>
                <w:szCs w:val="20"/>
              </w:rPr>
            </w:pPr>
          </w:p>
        </w:tc>
      </w:tr>
      <w:tr w:rsidR="000F7F85" w:rsidRPr="00D05364" w14:paraId="38F434DB" w14:textId="77777777" w:rsidTr="007F5411">
        <w:trPr>
          <w:trHeight w:val="1927"/>
        </w:trPr>
        <w:tc>
          <w:tcPr>
            <w:tcW w:w="2927" w:type="dxa"/>
          </w:tcPr>
          <w:p w14:paraId="02F3B5BF" w14:textId="77777777" w:rsidR="000F7F85" w:rsidRPr="00D05364" w:rsidRDefault="000F7F85" w:rsidP="007F5411">
            <w:pPr>
              <w:spacing w:line="276" w:lineRule="auto"/>
              <w:rPr>
                <w:rFonts w:eastAsia="Arial"/>
              </w:rPr>
            </w:pPr>
            <w:r w:rsidRPr="00D05364">
              <w:rPr>
                <w:rFonts w:eastAsia="Arial"/>
              </w:rPr>
              <w:lastRenderedPageBreak/>
              <w:t xml:space="preserve">Nacionalinis </w:t>
            </w:r>
            <w:proofErr w:type="spellStart"/>
            <w:r w:rsidRPr="00D05364">
              <w:rPr>
                <w:rFonts w:eastAsia="Arial"/>
              </w:rPr>
              <w:t>farmakoekonomikos</w:t>
            </w:r>
            <w:proofErr w:type="spellEnd"/>
            <w:r w:rsidRPr="00D05364">
              <w:rPr>
                <w:rFonts w:eastAsia="Arial"/>
              </w:rPr>
              <w:t xml:space="preserve"> centras, Airija</w:t>
            </w:r>
          </w:p>
          <w:p w14:paraId="5A900720" w14:textId="77777777" w:rsidR="000F7F85" w:rsidRPr="00D05364" w:rsidRDefault="000F7F85" w:rsidP="007F5411">
            <w:pPr>
              <w:spacing w:line="276" w:lineRule="auto"/>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915" w:type="dxa"/>
          </w:tcPr>
          <w:p w14:paraId="626E2CF1" w14:textId="77777777" w:rsidR="000F7F85" w:rsidRPr="00D05364" w:rsidRDefault="0069721F" w:rsidP="007F5411">
            <w:sdt>
              <w:sdtPr>
                <w:rPr>
                  <w:rStyle w:val="Style2"/>
                </w:rPr>
                <w:id w:val="-1888403732"/>
                <w15:color w:val="FFCC00"/>
                <w14:checkbox>
                  <w14:checked w14:val="0"/>
                  <w14:checkedState w14:val="2612" w14:font="MS Gothic"/>
                  <w14:uncheckedState w14:val="2610" w14:font="MS Gothic"/>
                </w14:checkbox>
              </w:sdtPr>
              <w:sdtEndPr>
                <w:rPr>
                  <w:rStyle w:val="Style2"/>
                </w:rPr>
              </w:sdtEndPr>
              <w:sdtContent>
                <w:r w:rsidR="000F7F85">
                  <w:rPr>
                    <w:rStyle w:val="Style2"/>
                    <w:rFonts w:ascii="MS Gothic" w:eastAsia="MS Gothic" w:hAnsi="MS Gothic" w:hint="eastAsia"/>
                  </w:rPr>
                  <w:t>☐</w:t>
                </w:r>
              </w:sdtContent>
            </w:sdt>
            <w:r w:rsidR="000F7F85" w:rsidRPr="00D05364">
              <w:t xml:space="preserve"> Taip</w:t>
            </w:r>
          </w:p>
          <w:p w14:paraId="37BF13FC" w14:textId="77777777" w:rsidR="000F7F85" w:rsidRPr="00D05364" w:rsidRDefault="0069721F" w:rsidP="007F5411">
            <w:sdt>
              <w:sdtPr>
                <w:rPr>
                  <w:rStyle w:val="Style2"/>
                </w:rPr>
                <w:id w:val="1092201793"/>
                <w15:color w:val="FFCC00"/>
                <w14:checkbox>
                  <w14:checked w14:val="1"/>
                  <w14:checkedState w14:val="2612" w14:font="MS Gothic"/>
                  <w14:uncheckedState w14:val="2610" w14:font="MS Gothic"/>
                </w14:checkbox>
              </w:sdtPr>
              <w:sdtEndPr>
                <w:rPr>
                  <w:rStyle w:val="Style2"/>
                </w:rPr>
              </w:sdtEndPr>
              <w:sdtContent>
                <w:r w:rsidR="000F7F85">
                  <w:rPr>
                    <w:rStyle w:val="Style2"/>
                    <w:rFonts w:ascii="MS Gothic" w:eastAsia="MS Gothic" w:hAnsi="MS Gothic" w:hint="eastAsia"/>
                  </w:rPr>
                  <w:t>☒</w:t>
                </w:r>
              </w:sdtContent>
            </w:sdt>
            <w:r w:rsidR="000F7F85" w:rsidRPr="00D05364">
              <w:t xml:space="preserve"> Ne</w:t>
            </w:r>
          </w:p>
          <w:p w14:paraId="386E7CBE" w14:textId="77777777" w:rsidR="000F7F85" w:rsidRPr="00D05364" w:rsidRDefault="000F7F85" w:rsidP="007F5411">
            <w:pPr>
              <w:spacing w:line="276" w:lineRule="auto"/>
              <w:rPr>
                <w:rFonts w:eastAsia="Arial"/>
              </w:rPr>
            </w:pPr>
          </w:p>
        </w:tc>
        <w:tc>
          <w:tcPr>
            <w:tcW w:w="2351" w:type="dxa"/>
            <w:shd w:val="clear" w:color="auto" w:fill="auto"/>
          </w:tcPr>
          <w:p w14:paraId="01B468D5" w14:textId="77777777" w:rsidR="000F7F85" w:rsidRPr="005304FE" w:rsidRDefault="000F7F85" w:rsidP="007F5411">
            <w:pPr>
              <w:spacing w:line="276" w:lineRule="auto"/>
              <w:rPr>
                <w:rFonts w:eastAsia="Arial"/>
              </w:rPr>
            </w:pPr>
            <w:r w:rsidRPr="005304FE">
              <w:rPr>
                <w:rFonts w:eastAsia="Arial"/>
              </w:rPr>
              <w:t>Vertinimas vyksta.</w:t>
            </w:r>
          </w:p>
        </w:tc>
        <w:tc>
          <w:tcPr>
            <w:tcW w:w="2725" w:type="dxa"/>
            <w:shd w:val="clear" w:color="auto" w:fill="auto"/>
          </w:tcPr>
          <w:p w14:paraId="012664C3" w14:textId="77777777" w:rsidR="000F7F85" w:rsidRPr="005304FE" w:rsidRDefault="000F7F85" w:rsidP="007F5411">
            <w:pPr>
              <w:spacing w:line="276" w:lineRule="auto"/>
              <w:rPr>
                <w:rFonts w:eastAsia="Arial"/>
              </w:rPr>
            </w:pPr>
            <w:r w:rsidRPr="005304FE">
              <w:rPr>
                <w:rFonts w:eastAsia="Arial"/>
              </w:rPr>
              <w:t>Vertinimas vyksta.</w:t>
            </w:r>
          </w:p>
        </w:tc>
      </w:tr>
      <w:tr w:rsidR="000F7F85" w:rsidRPr="00D05364" w14:paraId="0D5A40C9" w14:textId="77777777" w:rsidTr="007F5411">
        <w:trPr>
          <w:trHeight w:val="690"/>
        </w:trPr>
        <w:tc>
          <w:tcPr>
            <w:tcW w:w="2927" w:type="dxa"/>
          </w:tcPr>
          <w:p w14:paraId="0B9C7FE3" w14:textId="77777777" w:rsidR="000F7F85" w:rsidRPr="005304FE" w:rsidRDefault="000F7F85" w:rsidP="007F5411">
            <w:pPr>
              <w:spacing w:line="276" w:lineRule="auto"/>
              <w:rPr>
                <w:rFonts w:eastAsia="Arial"/>
              </w:rPr>
            </w:pPr>
            <w:r w:rsidRPr="00D05364">
              <w:rPr>
                <w:rFonts w:eastAsia="Arial"/>
              </w:rPr>
              <w:t>Kita</w:t>
            </w:r>
            <w:r w:rsidRPr="00D05364">
              <w:rPr>
                <w:rFonts w:eastAsia="Arial"/>
                <w:i/>
                <w:color w:val="00B050"/>
              </w:rPr>
              <w:t xml:space="preserve"> </w:t>
            </w:r>
          </w:p>
          <w:p w14:paraId="0DE2CF08" w14:textId="77777777" w:rsidR="000F7F85" w:rsidRPr="00D05364" w:rsidRDefault="000F7F85" w:rsidP="007F5411">
            <w:pPr>
              <w:spacing w:line="276" w:lineRule="auto"/>
              <w:rPr>
                <w:rFonts w:eastAsia="Arial"/>
              </w:rPr>
            </w:pPr>
          </w:p>
        </w:tc>
        <w:tc>
          <w:tcPr>
            <w:tcW w:w="1915" w:type="dxa"/>
          </w:tcPr>
          <w:p w14:paraId="512D15C9" w14:textId="77777777" w:rsidR="000F7F85" w:rsidRPr="00D05364" w:rsidRDefault="000F7F85" w:rsidP="007F5411">
            <w:pPr>
              <w:pStyle w:val="Sraopastraipa"/>
              <w:spacing w:after="120"/>
              <w:ind w:left="0"/>
              <w:contextualSpacing w:val="0"/>
              <w:jc w:val="both"/>
              <w:rPr>
                <w:rStyle w:val="Style2"/>
              </w:rPr>
            </w:pPr>
            <w:r>
              <w:rPr>
                <w:rStyle w:val="Style2"/>
              </w:rPr>
              <w:t>-</w:t>
            </w:r>
          </w:p>
        </w:tc>
        <w:tc>
          <w:tcPr>
            <w:tcW w:w="2351" w:type="dxa"/>
          </w:tcPr>
          <w:p w14:paraId="49A99C7B" w14:textId="77777777" w:rsidR="000F7F85" w:rsidRPr="00D05364" w:rsidRDefault="000F7F85" w:rsidP="007F5411">
            <w:pPr>
              <w:spacing w:line="276" w:lineRule="auto"/>
              <w:rPr>
                <w:rFonts w:eastAsia="Arial"/>
              </w:rPr>
            </w:pPr>
            <w:r>
              <w:rPr>
                <w:rFonts w:eastAsia="Arial"/>
              </w:rPr>
              <w:t>-</w:t>
            </w:r>
          </w:p>
        </w:tc>
        <w:tc>
          <w:tcPr>
            <w:tcW w:w="2725" w:type="dxa"/>
          </w:tcPr>
          <w:p w14:paraId="0AE4FA12" w14:textId="77777777" w:rsidR="000F7F85" w:rsidRPr="00D05364" w:rsidRDefault="000F7F85" w:rsidP="007F5411">
            <w:pPr>
              <w:spacing w:line="276" w:lineRule="auto"/>
              <w:rPr>
                <w:rFonts w:eastAsia="Arial"/>
              </w:rPr>
            </w:pPr>
            <w:r>
              <w:rPr>
                <w:rFonts w:eastAsia="Arial"/>
              </w:rPr>
              <w:t>-</w:t>
            </w:r>
          </w:p>
        </w:tc>
      </w:tr>
    </w:tbl>
    <w:p w14:paraId="2EB7FD31" w14:textId="4D2A8479" w:rsidR="007A2B68" w:rsidRPr="00B87B84" w:rsidRDefault="007A2B68" w:rsidP="00E03C3F">
      <w:pPr>
        <w:pStyle w:val="Sraopastraipa"/>
        <w:tabs>
          <w:tab w:val="left" w:pos="426"/>
        </w:tabs>
        <w:ind w:left="0"/>
        <w:rPr>
          <w:b/>
          <w:bCs/>
          <w:caps/>
        </w:rPr>
      </w:pPr>
    </w:p>
    <w:p w14:paraId="5055E8A8" w14:textId="2059109B" w:rsidR="002E6F80" w:rsidRDefault="00CC7832" w:rsidP="00B87B84">
      <w:pPr>
        <w:pStyle w:val="Sraopastraipa"/>
        <w:numPr>
          <w:ilvl w:val="0"/>
          <w:numId w:val="12"/>
        </w:numPr>
        <w:rPr>
          <w:b/>
          <w:bCs/>
          <w:caps/>
        </w:rPr>
      </w:pPr>
      <w:r w:rsidRPr="00B87B84">
        <w:rPr>
          <w:b/>
          <w:bCs/>
          <w:caps/>
        </w:rPr>
        <w:t>Klinikinio vertinimo a</w:t>
      </w:r>
      <w:r w:rsidR="00D4485B" w:rsidRPr="00B87B84">
        <w:rPr>
          <w:b/>
          <w:bCs/>
          <w:caps/>
        </w:rPr>
        <w:t>pibendrinimas</w:t>
      </w:r>
    </w:p>
    <w:p w14:paraId="13DED59D" w14:textId="72882B8B" w:rsidR="00235D6C" w:rsidRDefault="00235D6C" w:rsidP="00235D6C">
      <w:pPr>
        <w:rPr>
          <w:b/>
          <w:bCs/>
          <w:caps/>
        </w:rPr>
      </w:pPr>
    </w:p>
    <w:p w14:paraId="01457D3C" w14:textId="77777777" w:rsidR="00235D6C" w:rsidRPr="00426017" w:rsidRDefault="00235D6C" w:rsidP="00235D6C">
      <w:pPr>
        <w:spacing w:line="276" w:lineRule="auto"/>
        <w:ind w:firstLine="645"/>
        <w:jc w:val="both"/>
        <w:rPr>
          <w:color w:val="000000"/>
        </w:rPr>
      </w:pPr>
      <w:r w:rsidRPr="00426017">
        <w:rPr>
          <w:color w:val="000000"/>
        </w:rPr>
        <w:t>Plaučių vėžys (broncho ir plaučio piktybinis navikas, ligos kodas pagal TLK-10-AM C34)</w:t>
      </w:r>
      <w:r>
        <w:rPr>
          <w:color w:val="000000"/>
        </w:rPr>
        <w:t xml:space="preserve"> -</w:t>
      </w:r>
      <w:r w:rsidRPr="00426017">
        <w:rPr>
          <w:color w:val="000000"/>
        </w:rPr>
        <w:t xml:space="preserve"> tai plaučių piktybinis navikas. Plaučių vėžys yra nekontroliuojamas ląstelių dauginimasis plaučių audiniuose. Tai gali sąlygoti vėžinio audinio metastazę į gretimus organus. Plaučių vėžys yra dažniausia mirties nuo vėžio priežastis.</w:t>
      </w:r>
    </w:p>
    <w:p w14:paraId="61E21F5E" w14:textId="77777777" w:rsidR="00235D6C" w:rsidRPr="00426017" w:rsidRDefault="00235D6C" w:rsidP="00235D6C">
      <w:pPr>
        <w:spacing w:line="276" w:lineRule="auto"/>
        <w:ind w:firstLine="645"/>
        <w:jc w:val="both"/>
        <w:rPr>
          <w:rFonts w:eastAsia="Arial"/>
          <w:color w:val="000000"/>
        </w:rPr>
      </w:pPr>
      <w:r w:rsidRPr="00426017">
        <w:t>Lietuvoje Higienos instituto sveikatos statistinių duomenų portalo duomenimis 2020 m. buvo 4113 sergantys bronchų ir plaučių vėžiu (C34; ligotumas) ir 1229 mirė nuo trachėjos, bronchų ir plaučių vėžio (C33-C34).</w:t>
      </w:r>
      <w:r>
        <w:t xml:space="preserve"> </w:t>
      </w:r>
      <w:r w:rsidRPr="00426017">
        <w:t xml:space="preserve">Duomenys apie sergamumą šiuo metu nepateikiami. </w:t>
      </w:r>
      <w:r w:rsidRPr="00426017">
        <w:rPr>
          <w:rFonts w:eastAsia="Arial"/>
          <w:color w:val="000000"/>
        </w:rPr>
        <w:t xml:space="preserve">Tikėtina, kad Lietuvoje kasmet atitinkančių tikslinę gydymo osimertinibu grupę susidarytų iki 45 pacientų. Atsižvelgiant į tai, kad šis gydymas taptų vieninteliu gydymo pasirinkimu pacientams po visiškos naviko </w:t>
      </w:r>
      <w:proofErr w:type="spellStart"/>
      <w:r w:rsidRPr="00426017">
        <w:rPr>
          <w:rFonts w:eastAsia="Arial"/>
          <w:color w:val="000000"/>
        </w:rPr>
        <w:t>rezekcijos</w:t>
      </w:r>
      <w:proofErr w:type="spellEnd"/>
      <w:r w:rsidRPr="00426017">
        <w:rPr>
          <w:rFonts w:eastAsia="Arial"/>
          <w:color w:val="000000"/>
        </w:rPr>
        <w:t xml:space="preserve">, </w:t>
      </w:r>
      <w:proofErr w:type="spellStart"/>
      <w:r w:rsidRPr="00426017">
        <w:rPr>
          <w:rFonts w:eastAsia="Arial"/>
          <w:color w:val="000000"/>
        </w:rPr>
        <w:t>osimertinibas</w:t>
      </w:r>
      <w:proofErr w:type="spellEnd"/>
      <w:r w:rsidRPr="00426017">
        <w:rPr>
          <w:rFonts w:eastAsia="Arial"/>
          <w:color w:val="000000"/>
        </w:rPr>
        <w:t xml:space="preserve"> būtų skiriamas </w:t>
      </w:r>
      <w:r>
        <w:rPr>
          <w:rFonts w:eastAsia="Arial"/>
          <w:color w:val="000000"/>
        </w:rPr>
        <w:t>33-72</w:t>
      </w:r>
      <w:r w:rsidRPr="00426017">
        <w:rPr>
          <w:rFonts w:eastAsia="Arial"/>
          <w:color w:val="000000"/>
        </w:rPr>
        <w:t xml:space="preserve"> pacientams per metus.</w:t>
      </w:r>
    </w:p>
    <w:p w14:paraId="6CFB5700" w14:textId="22EF23A9" w:rsidR="00235D6C" w:rsidRDefault="00235D6C" w:rsidP="00235D6C">
      <w:pPr>
        <w:spacing w:line="276" w:lineRule="auto"/>
        <w:ind w:firstLine="567"/>
        <w:jc w:val="both"/>
      </w:pPr>
      <w:r>
        <w:rPr>
          <w:b/>
          <w:bCs/>
          <w:caps/>
        </w:rPr>
        <w:tab/>
      </w:r>
      <w:r w:rsidRPr="00260CD5">
        <w:rPr>
          <w:color w:val="000000"/>
        </w:rPr>
        <w:t xml:space="preserve">Atlikus naviko </w:t>
      </w:r>
      <w:proofErr w:type="spellStart"/>
      <w:r w:rsidRPr="00260CD5">
        <w:rPr>
          <w:color w:val="000000"/>
        </w:rPr>
        <w:t>rezekcijos</w:t>
      </w:r>
      <w:proofErr w:type="spellEnd"/>
      <w:r w:rsidRPr="00260CD5">
        <w:rPr>
          <w:color w:val="000000"/>
        </w:rPr>
        <w:t xml:space="preserve"> operaciją, po kurios daliai pacientų gali būti skiriamas </w:t>
      </w:r>
      <w:proofErr w:type="spellStart"/>
      <w:r w:rsidRPr="00260CD5">
        <w:rPr>
          <w:color w:val="000000"/>
        </w:rPr>
        <w:t>adjuvantinis</w:t>
      </w:r>
      <w:proofErr w:type="spellEnd"/>
      <w:r w:rsidRPr="00260CD5">
        <w:rPr>
          <w:color w:val="000000"/>
        </w:rPr>
        <w:t xml:space="preserve"> gydymas </w:t>
      </w:r>
      <w:proofErr w:type="spellStart"/>
      <w:r w:rsidRPr="00260CD5">
        <w:rPr>
          <w:color w:val="000000"/>
        </w:rPr>
        <w:t>chemoterpija</w:t>
      </w:r>
      <w:proofErr w:type="spellEnd"/>
      <w:r w:rsidRPr="00260CD5">
        <w:rPr>
          <w:color w:val="000000"/>
        </w:rPr>
        <w:t xml:space="preserve"> iki 4 kursų, pacientams nėra skiriamas joks tolimesnis gydymas iki ligos progresijos ir yra vykdomas tik aktyvus jų sveikatos būklės stebėjimas. Dėl šios priežasties, adjuvantinis gydymas osimertinibu yra lyginamas su aktyviu stebėjimu (AS)</w:t>
      </w:r>
      <w:r>
        <w:rPr>
          <w:color w:val="000000"/>
        </w:rPr>
        <w:t xml:space="preserve"> - </w:t>
      </w:r>
      <w:r w:rsidRPr="00260CD5">
        <w:rPr>
          <w:color w:val="000000"/>
        </w:rPr>
        <w:t xml:space="preserve">dabartine klinikine praktika. </w:t>
      </w:r>
      <w:r w:rsidRPr="00DA2B84">
        <w:t>Pagal plaučių vėžio ambulatorinio gydymo, kurio išlaidos kompensuojamos iš privalomojo sveikatos draudimo fondo biudžeto, tvarkos apraš</w:t>
      </w:r>
      <w:r>
        <w:t>ą, n</w:t>
      </w:r>
      <w:r w:rsidRPr="00C03036">
        <w:t xml:space="preserve">ustačius lokaliai išplitusio ar </w:t>
      </w:r>
      <w:proofErr w:type="spellStart"/>
      <w:r w:rsidRPr="00C03036">
        <w:t>metastazavusio</w:t>
      </w:r>
      <w:proofErr w:type="spellEnd"/>
      <w:r w:rsidRPr="00C03036">
        <w:t xml:space="preserve"> nesmulkiųjų ląstelių plaučių vėžio </w:t>
      </w:r>
      <w:proofErr w:type="spellStart"/>
      <w:r w:rsidRPr="00C03036">
        <w:t>adenokarcinomos</w:t>
      </w:r>
      <w:proofErr w:type="spellEnd"/>
      <w:r w:rsidRPr="00C03036">
        <w:t>, didelių ląstelių ar nepatikslintos nesmulkiųjų ląstelių plaučių karcinomos histologinius tipus, ištiriamos epidermio augimo faktoriaus receptorių (EA</w:t>
      </w:r>
      <w:r>
        <w:t>G</w:t>
      </w:r>
      <w:r w:rsidRPr="00C03036">
        <w:t xml:space="preserve">R) </w:t>
      </w:r>
      <w:proofErr w:type="spellStart"/>
      <w:r w:rsidRPr="00C03036">
        <w:t>tirozinkinazę</w:t>
      </w:r>
      <w:proofErr w:type="spellEnd"/>
      <w:r w:rsidRPr="00C03036">
        <w:t xml:space="preserve"> aktyvinančios mutacijos.</w:t>
      </w:r>
      <w:r>
        <w:t xml:space="preserve"> Diagnostinis tyrimas, reikalingas atrinkti pacientus, kuriems galėtų būti skiriamas gydymas osimertinibu, jau yra atliekamas Lietuvos klinikinėje praktikoje ir yra aprašytas plaučių vėžio gydymo tvarkos apraše. Dėl šios priežasties gydymas osimertinibu nekeistų esamos diagnostikos praktikos. Jokių kitų papildomų ir specifinių tyrimų atlikti  nereikia.</w:t>
      </w:r>
    </w:p>
    <w:p w14:paraId="36563059" w14:textId="609A9B36" w:rsidR="00F312CB" w:rsidRPr="0001292E" w:rsidRDefault="00F312CB" w:rsidP="00F312CB">
      <w:pPr>
        <w:tabs>
          <w:tab w:val="left" w:pos="426"/>
        </w:tabs>
        <w:spacing w:line="276" w:lineRule="auto"/>
        <w:jc w:val="both"/>
        <w:rPr>
          <w:bCs/>
          <w:iCs/>
          <w:color w:val="000000" w:themeColor="text1"/>
          <w:lang w:val="en-US" w:eastAsia="lt-LT"/>
        </w:rPr>
      </w:pPr>
      <w:r>
        <w:rPr>
          <w:color w:val="000000" w:themeColor="text1"/>
        </w:rPr>
        <w:tab/>
      </w:r>
      <w:r w:rsidRPr="0001292E">
        <w:rPr>
          <w:color w:val="000000" w:themeColor="text1"/>
        </w:rPr>
        <w:t xml:space="preserve">Palyginamajam efektyvumui ir klinikiniam veiksmingumui įvertinti pateikta klinikinis tyrimas ADAURA. </w:t>
      </w:r>
      <w:r w:rsidRPr="0001292E">
        <w:rPr>
          <w:rStyle w:val="y2iqfc"/>
          <w:color w:val="000000" w:themeColor="text1"/>
        </w:rPr>
        <w:t xml:space="preserve">Tai III fazės, dvigubai aklas, atsitiktinių imčių, placebu kontroliuojamas, skirtas įvertinti osimertinibo veiksmingumą ir saugumą lyginant su placebu pacientams, sergantiems IB-IIIA stadijos NSLPV su patvirtinta bendra jautrinančia EGFR mutacija (Ex19del) ir (arba) L858R, kuriems buvo atlikta visiška naviko </w:t>
      </w:r>
      <w:proofErr w:type="spellStart"/>
      <w:r w:rsidRPr="0001292E">
        <w:rPr>
          <w:rStyle w:val="y2iqfc"/>
          <w:color w:val="000000" w:themeColor="text1"/>
        </w:rPr>
        <w:t>rezekcija</w:t>
      </w:r>
      <w:proofErr w:type="spellEnd"/>
      <w:r w:rsidRPr="0001292E">
        <w:rPr>
          <w:rStyle w:val="y2iqfc"/>
          <w:color w:val="000000" w:themeColor="text1"/>
        </w:rPr>
        <w:t xml:space="preserve">, naudojant pooperacinę </w:t>
      </w:r>
      <w:proofErr w:type="spellStart"/>
      <w:r w:rsidRPr="0001292E">
        <w:rPr>
          <w:rStyle w:val="y2iqfc"/>
          <w:color w:val="000000" w:themeColor="text1"/>
        </w:rPr>
        <w:t>adjuvantinę</w:t>
      </w:r>
      <w:proofErr w:type="spellEnd"/>
      <w:r w:rsidRPr="0001292E">
        <w:rPr>
          <w:rStyle w:val="y2iqfc"/>
          <w:color w:val="000000" w:themeColor="text1"/>
        </w:rPr>
        <w:t xml:space="preserve"> chemoterapiją arba be jos. Visiems pacientams taikomas gydymas, kol liga atsinaujins arba baigsis 3 metų (156 savaičių) gydymo laikotarpis. Tyrimo metu buvo skiriama osimertinibo 80 mg vieną kartą per parą. Pradinė dozė gali būti sumažinta iki 40 mg vieną kartą per parą, jei atsiranda kliniškai reikšmingų arba nepriimtinų nepageidaujamų reakcijų. Kita grupė pacientų gavo placebą, tokiu pat intervalu, kaip ir osimertinibo grupėje. </w:t>
      </w:r>
      <w:r w:rsidRPr="0001292E">
        <w:rPr>
          <w:rFonts w:eastAsia="Arial"/>
          <w:iCs/>
          <w:color w:val="000000" w:themeColor="text1"/>
        </w:rPr>
        <w:t xml:space="preserve">Gydymo osimertinibu trukmės mediana buvo </w:t>
      </w:r>
      <w:r w:rsidRPr="0001292E">
        <w:rPr>
          <w:rStyle w:val="y2iqfc"/>
          <w:color w:val="000000" w:themeColor="text1"/>
        </w:rPr>
        <w:t xml:space="preserve">22,5 mėn., o placebu 18,7 mėn. Pirminė vertinamoji baigtis buvo </w:t>
      </w:r>
      <w:r w:rsidRPr="0001292E">
        <w:rPr>
          <w:color w:val="000000" w:themeColor="text1"/>
        </w:rPr>
        <w:t xml:space="preserve">išgyvenamumas be ligos II-IIIA stadijos pacientams): nustatyta, jog po 24 mėn. osimertinibo grupėje išgyveno be ligos 90 %  pacientų, o placebo grupėje tokių pacientų </w:t>
      </w:r>
      <w:r w:rsidRPr="0001292E">
        <w:rPr>
          <w:color w:val="000000" w:themeColor="text1"/>
        </w:rPr>
        <w:lastRenderedPageBreak/>
        <w:t xml:space="preserve">buvo 44 %, RS 0,17 (99,06 %, PI 0,11 – 0,26; p&lt;0,001). Išgyvenamumo be ligos dažnis, praėjus 24 mėn. bendrojoje populiacijoje (IB-IIIA stadijos pacientų) osimertinibo šakoje buvo 89% ir 52% placebo šakoje, RS 0,2 (99,12 % PI 0,14 – 0,3; p&lt;0,001). Svarbiausios antrinės vertinamosios baigtys buvo bendrasis išgyvenamumas bei su sveikata susijusi gyvenimo kokybė, vertinta naudojant </w:t>
      </w:r>
      <w:r w:rsidRPr="0001292E">
        <w:rPr>
          <w:rStyle w:val="y2iqfc"/>
          <w:color w:val="000000" w:themeColor="text1"/>
        </w:rPr>
        <w:t xml:space="preserve">SF-36 klausimyną. </w:t>
      </w:r>
      <w:r w:rsidRPr="0001292E">
        <w:rPr>
          <w:color w:val="000000" w:themeColor="text1"/>
        </w:rPr>
        <w:t xml:space="preserve">Bendro išgyvenamumo duomenys nebrandūs, statistiškai reikšmingai nesiskyrė, iš viso per 24 mėn. bendrojoje tyrimo populiacijoje osimertinibo grupėje mirė </w:t>
      </w:r>
      <w:r w:rsidR="0069721F">
        <w:rPr>
          <w:color w:val="000000" w:themeColor="text1"/>
        </w:rPr>
        <w:t>x pacientai, placebo grupėje x</w:t>
      </w:r>
      <w:bookmarkStart w:id="0" w:name="_GoBack"/>
      <w:bookmarkEnd w:id="0"/>
      <w:r w:rsidRPr="0001292E">
        <w:rPr>
          <w:color w:val="000000" w:themeColor="text1"/>
        </w:rPr>
        <w:t xml:space="preserve"> pacientų. Su sveikata susijusios gyvenimo kokybės rezultatai statistiškai reikšmingai nesiskyrė tarp osimertinibo ir placebo grupių.</w:t>
      </w:r>
      <w:r w:rsidRPr="0001292E">
        <w:rPr>
          <w:bCs/>
          <w:iCs/>
          <w:color w:val="000000" w:themeColor="text1"/>
          <w:lang w:eastAsia="lt-LT"/>
        </w:rPr>
        <w:t xml:space="preserve"> 2022 m. rugsėjo mėn. publikuoti duomenys, kur pateikta atnaujinta osimertinibo efektyvumo informacija. Vidutinė stebėjimo trukmės mediana osimertinibo grupėje buvo 44,2 mėn., o placebo grupėje 19,6 mėn. Išgyvenamumas be ligos II-IIIA stadijos pacientams osimertinibo grupėje buvo </w:t>
      </w:r>
      <w:r w:rsidRPr="0001292E">
        <w:rPr>
          <w:bCs/>
          <w:iCs/>
          <w:color w:val="000000" w:themeColor="text1"/>
          <w:lang w:val="en-US" w:eastAsia="lt-LT"/>
        </w:rPr>
        <w:t xml:space="preserve">65,8 </w:t>
      </w:r>
      <w:r w:rsidRPr="0001292E">
        <w:rPr>
          <w:bCs/>
          <w:iCs/>
          <w:color w:val="000000" w:themeColor="text1"/>
          <w:lang w:eastAsia="lt-LT"/>
        </w:rPr>
        <w:t>mėn. (</w:t>
      </w:r>
      <w:r w:rsidRPr="0001292E">
        <w:rPr>
          <w:bCs/>
          <w:iCs/>
          <w:color w:val="000000" w:themeColor="text1"/>
          <w:lang w:val="en-US" w:eastAsia="lt-LT"/>
        </w:rPr>
        <w:t xml:space="preserve">95 % PI 54,4 – NE), o placebo </w:t>
      </w:r>
      <w:proofErr w:type="spellStart"/>
      <w:r w:rsidRPr="0001292E">
        <w:rPr>
          <w:bCs/>
          <w:iCs/>
          <w:color w:val="000000" w:themeColor="text1"/>
          <w:lang w:val="en-US" w:eastAsia="lt-LT"/>
        </w:rPr>
        <w:t>grup</w:t>
      </w:r>
      <w:r w:rsidRPr="0001292E">
        <w:rPr>
          <w:bCs/>
          <w:iCs/>
          <w:color w:val="000000" w:themeColor="text1"/>
          <w:lang w:eastAsia="lt-LT"/>
        </w:rPr>
        <w:t>ėje</w:t>
      </w:r>
      <w:proofErr w:type="spellEnd"/>
      <w:r w:rsidRPr="0001292E">
        <w:rPr>
          <w:bCs/>
          <w:iCs/>
          <w:color w:val="000000" w:themeColor="text1"/>
          <w:lang w:eastAsia="lt-LT"/>
        </w:rPr>
        <w:t xml:space="preserve"> buvo </w:t>
      </w:r>
      <w:r w:rsidRPr="0001292E">
        <w:rPr>
          <w:bCs/>
          <w:iCs/>
          <w:color w:val="000000" w:themeColor="text1"/>
          <w:lang w:val="en-US" w:eastAsia="lt-LT"/>
        </w:rPr>
        <w:t xml:space="preserve">21,9 </w:t>
      </w:r>
      <w:r w:rsidRPr="0001292E">
        <w:rPr>
          <w:bCs/>
          <w:iCs/>
          <w:color w:val="000000" w:themeColor="text1"/>
          <w:lang w:eastAsia="lt-LT"/>
        </w:rPr>
        <w:t>mėn. (</w:t>
      </w:r>
      <w:r w:rsidRPr="0001292E">
        <w:rPr>
          <w:bCs/>
          <w:iCs/>
          <w:color w:val="000000" w:themeColor="text1"/>
          <w:lang w:val="en-US" w:eastAsia="lt-LT"/>
        </w:rPr>
        <w:t>95 % PI 16,6 – 27,5), RS 0,23 (PI 95 %, PI 0,18 – 0,3). I</w:t>
      </w:r>
      <w:proofErr w:type="spellStart"/>
      <w:r w:rsidRPr="0001292E">
        <w:rPr>
          <w:bCs/>
          <w:iCs/>
          <w:color w:val="000000" w:themeColor="text1"/>
          <w:lang w:eastAsia="lt-LT"/>
        </w:rPr>
        <w:t>šgyvenamumo</w:t>
      </w:r>
      <w:proofErr w:type="spellEnd"/>
      <w:r w:rsidRPr="0001292E">
        <w:rPr>
          <w:bCs/>
          <w:iCs/>
          <w:color w:val="000000" w:themeColor="text1"/>
          <w:lang w:eastAsia="lt-LT"/>
        </w:rPr>
        <w:t xml:space="preserve"> be ligos bendroje populiacijoje (IB-IIIA stadijos pacientai) osimertinibo grupėje buvo </w:t>
      </w:r>
      <w:r w:rsidRPr="0001292E">
        <w:rPr>
          <w:bCs/>
          <w:iCs/>
          <w:color w:val="000000" w:themeColor="text1"/>
          <w:lang w:val="en-US" w:eastAsia="lt-LT"/>
        </w:rPr>
        <w:t xml:space="preserve">65,8 </w:t>
      </w:r>
      <w:r w:rsidRPr="0001292E">
        <w:rPr>
          <w:bCs/>
          <w:iCs/>
          <w:color w:val="000000" w:themeColor="text1"/>
          <w:lang w:eastAsia="lt-LT"/>
        </w:rPr>
        <w:t>mėn. (</w:t>
      </w:r>
      <w:r w:rsidRPr="0001292E">
        <w:rPr>
          <w:bCs/>
          <w:iCs/>
          <w:color w:val="000000" w:themeColor="text1"/>
          <w:lang w:val="en-US" w:eastAsia="lt-LT"/>
        </w:rPr>
        <w:t xml:space="preserve">95 % PI 61,7 – NE), o placebo </w:t>
      </w:r>
      <w:proofErr w:type="spellStart"/>
      <w:r w:rsidRPr="0001292E">
        <w:rPr>
          <w:bCs/>
          <w:iCs/>
          <w:color w:val="000000" w:themeColor="text1"/>
          <w:lang w:val="en-US" w:eastAsia="lt-LT"/>
        </w:rPr>
        <w:t>grup</w:t>
      </w:r>
      <w:r w:rsidRPr="0001292E">
        <w:rPr>
          <w:bCs/>
          <w:iCs/>
          <w:color w:val="000000" w:themeColor="text1"/>
          <w:lang w:eastAsia="lt-LT"/>
        </w:rPr>
        <w:t>ėje</w:t>
      </w:r>
      <w:proofErr w:type="spellEnd"/>
      <w:r w:rsidRPr="0001292E">
        <w:rPr>
          <w:bCs/>
          <w:iCs/>
          <w:color w:val="000000" w:themeColor="text1"/>
          <w:lang w:eastAsia="lt-LT"/>
        </w:rPr>
        <w:t xml:space="preserve"> buvo </w:t>
      </w:r>
      <w:r w:rsidRPr="0001292E">
        <w:rPr>
          <w:bCs/>
          <w:iCs/>
          <w:color w:val="000000" w:themeColor="text1"/>
          <w:lang w:val="en-US" w:eastAsia="lt-LT"/>
        </w:rPr>
        <w:t xml:space="preserve">28,1 </w:t>
      </w:r>
      <w:r w:rsidRPr="0001292E">
        <w:rPr>
          <w:bCs/>
          <w:iCs/>
          <w:color w:val="000000" w:themeColor="text1"/>
          <w:lang w:eastAsia="lt-LT"/>
        </w:rPr>
        <w:t>mėn. (</w:t>
      </w:r>
      <w:r w:rsidRPr="0001292E">
        <w:rPr>
          <w:bCs/>
          <w:iCs/>
          <w:color w:val="000000" w:themeColor="text1"/>
          <w:lang w:val="en-US" w:eastAsia="lt-LT"/>
        </w:rPr>
        <w:t>95 % PI 22,1 – 35,0), RS 0,27 (PI 95 %, PI 0,21 – 0,34).</w:t>
      </w:r>
    </w:p>
    <w:p w14:paraId="4B37CA3C" w14:textId="7BC49C81" w:rsidR="00F312CB" w:rsidRPr="00235D6C" w:rsidRDefault="00F312CB" w:rsidP="00F312CB">
      <w:pPr>
        <w:spacing w:line="276" w:lineRule="auto"/>
        <w:ind w:firstLine="567"/>
        <w:jc w:val="both"/>
        <w:rPr>
          <w:color w:val="000000"/>
        </w:rPr>
      </w:pPr>
      <w:r w:rsidRPr="0001292E">
        <w:rPr>
          <w:bCs/>
          <w:iCs/>
          <w:color w:val="000000" w:themeColor="text1"/>
          <w:lang w:val="en-US" w:eastAsia="lt-LT"/>
        </w:rPr>
        <w:tab/>
      </w:r>
      <w:proofErr w:type="spellStart"/>
      <w:r w:rsidRPr="0001292E">
        <w:rPr>
          <w:bCs/>
          <w:iCs/>
          <w:color w:val="000000" w:themeColor="text1"/>
          <w:lang w:val="en-US" w:eastAsia="lt-LT"/>
        </w:rPr>
        <w:t>Vertinant</w:t>
      </w:r>
      <w:proofErr w:type="spellEnd"/>
      <w:r w:rsidRPr="0001292E">
        <w:rPr>
          <w:bCs/>
          <w:iCs/>
          <w:color w:val="000000" w:themeColor="text1"/>
          <w:lang w:val="en-US" w:eastAsia="lt-LT"/>
        </w:rPr>
        <w:t xml:space="preserve"> </w:t>
      </w:r>
      <w:proofErr w:type="spellStart"/>
      <w:r w:rsidRPr="0001292E">
        <w:rPr>
          <w:bCs/>
          <w:iCs/>
          <w:color w:val="000000" w:themeColor="text1"/>
          <w:lang w:val="en-US" w:eastAsia="lt-LT"/>
        </w:rPr>
        <w:t>osimertinibo</w:t>
      </w:r>
      <w:proofErr w:type="spellEnd"/>
      <w:r w:rsidRPr="0001292E">
        <w:rPr>
          <w:bCs/>
          <w:iCs/>
          <w:color w:val="000000" w:themeColor="text1"/>
          <w:lang w:val="en-US" w:eastAsia="lt-LT"/>
        </w:rPr>
        <w:t xml:space="preserve"> </w:t>
      </w:r>
      <w:proofErr w:type="spellStart"/>
      <w:r w:rsidRPr="0001292E">
        <w:rPr>
          <w:bCs/>
          <w:iCs/>
          <w:color w:val="000000" w:themeColor="text1"/>
          <w:lang w:val="en-US" w:eastAsia="lt-LT"/>
        </w:rPr>
        <w:t>saugum</w:t>
      </w:r>
      <w:proofErr w:type="spellEnd"/>
      <w:r w:rsidRPr="0001292E">
        <w:rPr>
          <w:bCs/>
          <w:iCs/>
          <w:color w:val="000000" w:themeColor="text1"/>
          <w:lang w:eastAsia="lt-LT"/>
        </w:rPr>
        <w:t xml:space="preserve">ą, </w:t>
      </w:r>
      <w:r w:rsidRPr="0001292E">
        <w:rPr>
          <w:rStyle w:val="y2iqfc"/>
          <w:color w:val="000000" w:themeColor="text1"/>
        </w:rPr>
        <w:t xml:space="preserve">nepageidaujamos reakcijos pasireiškė 329 pacientams (98 %) osimertinibo grupėje ir 306 pacientams (89 %) placebo grupėje. Bet kokios priežasties nepageidaujamos reakcijos, įskaitant ≥3 laipsnio, pasireiškė didesnei daliai pacientų osimertinibo grupėje (20,2 %), palyginti su placebo grupe (13,4 %). Tačiau dauguma nepageidaujamų reakcijų osimertinibo grupėje buvo nesunkios arba vidutinio sunkumo, todėl gydymas nebuvo nutrauktas. Dažniausiai praneštos nepageidaujamos reakcijos  (&gt; 10 % tyrimo pacientų) osimertinibo grupėje buvo viduriavimas, </w:t>
      </w:r>
      <w:proofErr w:type="spellStart"/>
      <w:r w:rsidRPr="0001292E">
        <w:rPr>
          <w:rStyle w:val="y2iqfc"/>
          <w:color w:val="000000" w:themeColor="text1"/>
        </w:rPr>
        <w:t>paronichija</w:t>
      </w:r>
      <w:proofErr w:type="spellEnd"/>
      <w:r w:rsidRPr="0001292E">
        <w:rPr>
          <w:rStyle w:val="y2iqfc"/>
          <w:color w:val="000000" w:themeColor="text1"/>
        </w:rPr>
        <w:t>, odos sausumas, niežulys, kosulys ir stomatitas. Dažniausios nepageidaujamos reakcijos, apie kurias pranešta placebo grupėje, buvo viduriavimas ir kosulys</w:t>
      </w:r>
      <w:r>
        <w:rPr>
          <w:rStyle w:val="y2iqfc"/>
          <w:color w:val="000000" w:themeColor="text1"/>
        </w:rPr>
        <w:t>.</w:t>
      </w:r>
    </w:p>
    <w:p w14:paraId="69D278DA" w14:textId="7843B6B5" w:rsidR="008B5F43" w:rsidRPr="00DC0109" w:rsidRDefault="008B5F43" w:rsidP="66B2306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4826E5DF" w:rsidR="00C62B36" w:rsidRPr="000A3A69" w:rsidRDefault="00C62B36" w:rsidP="00A93AA6">
      <w:pPr>
        <w:tabs>
          <w:tab w:val="left" w:pos="426"/>
        </w:tabs>
        <w:rPr>
          <w:i/>
          <w:sz w:val="22"/>
          <w:szCs w:val="22"/>
        </w:rPr>
      </w:pPr>
    </w:p>
    <w:p w14:paraId="3D9628E8" w14:textId="77777777" w:rsidR="006B650F" w:rsidRPr="00DF3ED5" w:rsidRDefault="006B650F" w:rsidP="006B650F">
      <w:pPr>
        <w:pStyle w:val="VVKT"/>
        <w:spacing w:after="0"/>
        <w:ind w:firstLine="567"/>
        <w:jc w:val="both"/>
      </w:pPr>
      <w:bookmarkStart w:id="1" w:name="_Hlk125042709"/>
      <w:r w:rsidRPr="00DF3ED5">
        <w:t xml:space="preserve">Analizėje yra vertinamas osimertinibo skyrimas ankstyvos stadijos EGFR mutaciją turintiems NSCLC pacientams, kuriems buvo atlikta visiška naviko </w:t>
      </w:r>
      <w:proofErr w:type="spellStart"/>
      <w:r w:rsidRPr="00DF3ED5">
        <w:t>rezekcija</w:t>
      </w:r>
      <w:proofErr w:type="spellEnd"/>
      <w:r w:rsidRPr="00DF3ED5">
        <w:t xml:space="preserve">. Ši populiacija atitinka bendrąją pacientų populiaciją (angl. </w:t>
      </w:r>
      <w:proofErr w:type="spellStart"/>
      <w:r w:rsidRPr="00DF3ED5">
        <w:rPr>
          <w:i/>
          <w:iCs/>
        </w:rPr>
        <w:t>intention</w:t>
      </w:r>
      <w:proofErr w:type="spellEnd"/>
      <w:r w:rsidRPr="00DF3ED5">
        <w:rPr>
          <w:i/>
          <w:iCs/>
        </w:rPr>
        <w:t>-to-</w:t>
      </w:r>
      <w:proofErr w:type="spellStart"/>
      <w:r w:rsidRPr="00DF3ED5">
        <w:rPr>
          <w:i/>
          <w:iCs/>
        </w:rPr>
        <w:t>treat</w:t>
      </w:r>
      <w:proofErr w:type="spellEnd"/>
      <w:r w:rsidRPr="00DF3ED5">
        <w:rPr>
          <w:i/>
          <w:iCs/>
        </w:rPr>
        <w:t>)</w:t>
      </w:r>
      <w:r w:rsidRPr="00DF3ED5">
        <w:t xml:space="preserve">, kuri buvo įtraukta į klinikinį tyrimą ADAURA. </w:t>
      </w:r>
      <w:r w:rsidRPr="00DF3ED5">
        <w:rPr>
          <w:rFonts w:eastAsia="Arial"/>
          <w:bCs/>
          <w:szCs w:val="22"/>
        </w:rPr>
        <w:t xml:space="preserve">Ekonominėje analizėje pateiktas palyginamasis gydymas atitinka įprastą Lietuvos Respublikos klinikinę praktiką. </w:t>
      </w:r>
      <w:r w:rsidRPr="00DF3ED5">
        <w:rPr>
          <w:rFonts w:eastAsia="Arial"/>
          <w:bCs/>
          <w:i/>
          <w:iCs/>
          <w:color w:val="00B050"/>
        </w:rPr>
        <w:t xml:space="preserve"> </w:t>
      </w:r>
    </w:p>
    <w:p w14:paraId="44AC21ED" w14:textId="77777777" w:rsidR="006B650F" w:rsidRPr="00DF3ED5" w:rsidRDefault="006B650F" w:rsidP="006B650F">
      <w:pPr>
        <w:pStyle w:val="VVKT"/>
        <w:spacing w:after="0"/>
        <w:jc w:val="both"/>
        <w:rPr>
          <w:lang w:eastAsia="lt-LT"/>
        </w:rPr>
      </w:pPr>
      <w:r w:rsidRPr="00DF3ED5">
        <w:rPr>
          <w:lang w:eastAsia="lt-LT"/>
        </w:rPr>
        <w:tab/>
        <w:t xml:space="preserve">Analizėje taikomas modeliavimas. Taikomas dalinis Markovo modelis, sudarytas Microsoft Office priemonėmis. Modeliuojamos penkios ligos būklės (DF- būklė nesant ligos, DM1 – distalinių metastazių pirmaeilio gydymo būklė, DM2 – distalinių metastazių antros eilės gydymas, LRR – vietinis, regioninis ligos atsinaujinimas, DF- mirties būklė). Modelyje taikoma ciklo trukmė 4,35 savaitės (30,44 dienos). Pritaikyta vidurio ciklo korekcija. Akivaizdžių analizės struktūros trūkumų nėra. Pasirinkta analizės struktūra yra tinkama osimertinibo kaštų naudingumo analizei atlikti. </w:t>
      </w:r>
      <w:r w:rsidRPr="00DF3ED5">
        <w:rPr>
          <w:bCs/>
          <w:iCs/>
          <w:lang w:eastAsia="lt-LT"/>
        </w:rPr>
        <w:t xml:space="preserve">Atsižvelgiant į tai, kad analizėje laiko perspektyva yra ilgesnė nei klinikinio tyrimo stebėjimo laikotarpis, ekonominėje analizėje taikomi duomenų ekstrapoliavimo metodai. Vertinamas šių parametrinių funkcijų tinkamumas: </w:t>
      </w:r>
      <w:proofErr w:type="spellStart"/>
      <w:r w:rsidRPr="00E3449C">
        <w:rPr>
          <w:bCs/>
          <w:i/>
          <w:iCs/>
          <w:lang w:eastAsia="lt-LT"/>
        </w:rPr>
        <w:t>exponential</w:t>
      </w:r>
      <w:proofErr w:type="spellEnd"/>
      <w:r w:rsidRPr="00E3449C">
        <w:rPr>
          <w:bCs/>
          <w:i/>
          <w:iCs/>
          <w:lang w:eastAsia="lt-LT"/>
        </w:rPr>
        <w:t xml:space="preserve">, </w:t>
      </w:r>
      <w:proofErr w:type="spellStart"/>
      <w:r w:rsidRPr="00E3449C">
        <w:rPr>
          <w:bCs/>
          <w:i/>
          <w:iCs/>
          <w:lang w:eastAsia="lt-LT"/>
        </w:rPr>
        <w:t>Weibull</w:t>
      </w:r>
      <w:proofErr w:type="spellEnd"/>
      <w:r w:rsidRPr="00E3449C">
        <w:rPr>
          <w:bCs/>
          <w:i/>
          <w:iCs/>
          <w:lang w:eastAsia="lt-LT"/>
        </w:rPr>
        <w:t xml:space="preserve">, </w:t>
      </w:r>
      <w:proofErr w:type="spellStart"/>
      <w:r w:rsidRPr="00E3449C">
        <w:rPr>
          <w:bCs/>
          <w:i/>
          <w:iCs/>
          <w:lang w:eastAsia="lt-LT"/>
        </w:rPr>
        <w:t>log-logistic</w:t>
      </w:r>
      <w:proofErr w:type="spellEnd"/>
      <w:r w:rsidRPr="00E3449C">
        <w:rPr>
          <w:bCs/>
          <w:i/>
          <w:iCs/>
          <w:lang w:eastAsia="lt-LT"/>
        </w:rPr>
        <w:t xml:space="preserve">, </w:t>
      </w:r>
      <w:proofErr w:type="spellStart"/>
      <w:r w:rsidRPr="00E3449C">
        <w:rPr>
          <w:bCs/>
          <w:i/>
          <w:iCs/>
          <w:lang w:eastAsia="lt-LT"/>
        </w:rPr>
        <w:t>lognormal</w:t>
      </w:r>
      <w:proofErr w:type="spellEnd"/>
      <w:r w:rsidRPr="00E3449C">
        <w:rPr>
          <w:bCs/>
          <w:i/>
          <w:iCs/>
          <w:lang w:eastAsia="lt-LT"/>
        </w:rPr>
        <w:t xml:space="preserve">, </w:t>
      </w:r>
      <w:proofErr w:type="spellStart"/>
      <w:r w:rsidRPr="00E3449C">
        <w:rPr>
          <w:bCs/>
          <w:i/>
          <w:iCs/>
          <w:lang w:eastAsia="lt-LT"/>
        </w:rPr>
        <w:t>generalised</w:t>
      </w:r>
      <w:proofErr w:type="spellEnd"/>
      <w:r w:rsidRPr="00E3449C">
        <w:rPr>
          <w:bCs/>
          <w:i/>
          <w:iCs/>
          <w:lang w:eastAsia="lt-LT"/>
        </w:rPr>
        <w:t xml:space="preserve"> </w:t>
      </w:r>
      <w:proofErr w:type="spellStart"/>
      <w:r w:rsidRPr="00E3449C">
        <w:rPr>
          <w:bCs/>
          <w:i/>
          <w:iCs/>
          <w:lang w:eastAsia="lt-LT"/>
        </w:rPr>
        <w:t>Gamma</w:t>
      </w:r>
      <w:proofErr w:type="spellEnd"/>
      <w:r w:rsidRPr="00E3449C">
        <w:rPr>
          <w:bCs/>
          <w:i/>
          <w:iCs/>
          <w:lang w:eastAsia="lt-LT"/>
        </w:rPr>
        <w:t xml:space="preserve"> ir </w:t>
      </w:r>
      <w:proofErr w:type="spellStart"/>
      <w:r w:rsidRPr="00E3449C">
        <w:rPr>
          <w:bCs/>
          <w:i/>
          <w:iCs/>
          <w:lang w:eastAsia="lt-LT"/>
        </w:rPr>
        <w:t>Gompertz</w:t>
      </w:r>
      <w:proofErr w:type="spellEnd"/>
      <w:r w:rsidRPr="00DF3ED5">
        <w:rPr>
          <w:bCs/>
          <w:iCs/>
          <w:lang w:eastAsia="lt-LT"/>
        </w:rPr>
        <w:t>. Parametrinių funkcijų tinkamumo vertinimas atliekamas vertinant kreivių panašumą vizualiai, taip pat atsižvelgiant į AIC ir BIC kriterijus.</w:t>
      </w:r>
    </w:p>
    <w:p w14:paraId="1A9E4C2E" w14:textId="77777777" w:rsidR="006B650F" w:rsidRDefault="006B650F" w:rsidP="006B650F">
      <w:pPr>
        <w:pStyle w:val="VVKT"/>
        <w:spacing w:after="0"/>
        <w:jc w:val="both"/>
      </w:pPr>
      <w:r w:rsidRPr="00DF3ED5">
        <w:rPr>
          <w:lang w:eastAsia="lt-LT"/>
        </w:rPr>
        <w:tab/>
      </w:r>
      <w:r w:rsidRPr="00DF3ED5">
        <w:t xml:space="preserve">Pareiškėjo taikomos prielaidos, vertinant efektyvumo skirtumus tarp siūlomo ir palyginamojo gydymo ilgajame laikotarpyje yra nepakankamai pagrįstos. Modeliuojamas bendrojo išgyvenamumo (BI) skirtumas tarp palyginamųjų gydymų kelia abejonių dėl to, kad BI rezultatai analizėje yra išvestiniai, t. y. gauti taikant išvestines prielaidas, o atliekant klinikinį tyrimą ADAURA, gauti BI duomenys buvo nebrandūs. Todėl numatomas BI rezultatas yra neapibrėžtas. Išvestinę BI rezultato </w:t>
      </w:r>
      <w:r w:rsidRPr="00DF3ED5">
        <w:lastRenderedPageBreak/>
        <w:t>reikšmę reikšminga dalimi lemia analizėje taikomos pasveikimo ir gydomojo poveikio mažėjimo prielaidos, kurių pasirinkimas pateiktoje ekonominėje analizėje laikomas nepakankamai pagrįstu.</w:t>
      </w:r>
    </w:p>
    <w:p w14:paraId="45DD3456" w14:textId="77777777" w:rsidR="006B650F" w:rsidRPr="00DF3ED5" w:rsidRDefault="006B650F" w:rsidP="006B650F">
      <w:pPr>
        <w:pStyle w:val="VVKT"/>
        <w:spacing w:after="0"/>
        <w:ind w:firstLine="720"/>
        <w:jc w:val="both"/>
      </w:pPr>
      <w:r w:rsidRPr="00DF3ED5">
        <w:t xml:space="preserve">Tarnybos vertinimu, gyvenimo kokybės įverčiai ekonominėje analizėje yra neapibrėžti ir tai gali įtakoti analizės rezultatus. </w:t>
      </w:r>
    </w:p>
    <w:p w14:paraId="522DA6DA" w14:textId="77777777" w:rsidR="006B650F" w:rsidRDefault="006B650F" w:rsidP="006B650F">
      <w:pPr>
        <w:pStyle w:val="VVKT"/>
        <w:spacing w:after="0"/>
        <w:jc w:val="both"/>
      </w:pPr>
      <w:r w:rsidRPr="00DF3ED5">
        <w:tab/>
        <w:t xml:space="preserve">Tarnybos vertinimu, ekonominėje analizėje būdingas reikšmingas tolimesnio gydymo prielaidų neapibrėžtumas,  galintis reikšmingai įtakoti analizės rezultatus. Taikomų tolimesnio gydymo prielaidų pasirinkimas nėra aiškus, pvz. nėra aišku, kodėl pirmos eilės metastazinės ligos gydymo pasirinkimas iš esmės skiriasi priklausomai nuo to, koks buvo adjuvantinis gydymas iki ligos progresijos, arba kodėl santykinai nedidelė dalis pacientų, kuriems liga progresuoja, būtų gydoma kitais TKI inhibitoriais. Taip pat kelia abejonių prielaida dėl pakartotinio gydymo osimertinibu ligai progresuojant (pakartotinis gydymas galimas tik nuo 5 metų. </w:t>
      </w:r>
    </w:p>
    <w:p w14:paraId="3C66CA58" w14:textId="77777777" w:rsidR="006B650F" w:rsidRPr="00DF3ED5" w:rsidRDefault="006B650F" w:rsidP="006B650F">
      <w:pPr>
        <w:pStyle w:val="VVKT"/>
        <w:spacing w:after="0"/>
        <w:jc w:val="both"/>
      </w:pPr>
      <w:r>
        <w:tab/>
        <w:t>Tarnyba apie esminius analizės trūkumus informavo pareiškėją raštu. Pareiškėjas su trūkumais sutiko ir kiekvienos neapibrėžtos prielaidos, dėl kurios buvo iškelti klausimai, atveju pasiūlė alternatyvius scenarijus. Tarnyba, atlikdama pagrindinio atvejo analizės rezultatų perskaičiavimą, siekė sumažinti analizės neapibrėžtumą ir pritaikė konservatyvesnes</w:t>
      </w:r>
      <w:r w:rsidRPr="00250492">
        <w:t xml:space="preserve"> </w:t>
      </w:r>
      <w:r>
        <w:t xml:space="preserve">ICER atžvilgiu, pareiškėjo pasiūlytas prielaidas (atlikti parametrų pakeitimai aprašyti protokolo 15 skyriuje). Šios atliktos analizės rezultatas rodo, kad osimertinibo kaštų naudingumas neatitinka referencinės naudingumo vertės. </w:t>
      </w:r>
      <w:r w:rsidRPr="00DF3ED5">
        <w:t>Atlikta jautrumo analizė</w:t>
      </w:r>
      <w:r>
        <w:t xml:space="preserve"> (</w:t>
      </w:r>
      <w:proofErr w:type="spellStart"/>
      <w:r>
        <w:t>deterministinė</w:t>
      </w:r>
      <w:proofErr w:type="spellEnd"/>
      <w:r>
        <w:t xml:space="preserve"> vienpusė bei scenarijų)</w:t>
      </w:r>
      <w:r w:rsidRPr="00DF3ED5">
        <w:t xml:space="preserve"> rodo reikšmingą gyvenimo kokybės įverčių neapibrėžtumo įtaką analizės rezultatams</w:t>
      </w:r>
      <w:r>
        <w:t xml:space="preserve"> (egzistuoja reali tikimybė, kad inkrementinė kaštų naudingumo vertė didėja). </w:t>
      </w:r>
    </w:p>
    <w:bookmarkEnd w:id="1"/>
    <w:p w14:paraId="797DD312" w14:textId="6B175FBC" w:rsidR="00E93FB2" w:rsidRDefault="00E93FB2" w:rsidP="00E93FB2">
      <w:pPr>
        <w:tabs>
          <w:tab w:val="left" w:pos="567"/>
        </w:tabs>
        <w:spacing w:line="276" w:lineRule="auto"/>
        <w:jc w:val="both"/>
        <w:rPr>
          <w:lang w:eastAsia="lt-LT"/>
        </w:rPr>
      </w:pPr>
    </w:p>
    <w:p w14:paraId="1E5E113C" w14:textId="77777777" w:rsidR="00E93FB2" w:rsidRPr="0035172D" w:rsidRDefault="00E93FB2" w:rsidP="00E93FB2">
      <w:pPr>
        <w:tabs>
          <w:tab w:val="left" w:pos="426"/>
        </w:tabs>
        <w:rPr>
          <w:b/>
          <w:lang w:eastAsia="lt-LT"/>
        </w:rPr>
      </w:pPr>
      <w:r w:rsidRPr="0035172D">
        <w:rPr>
          <w:b/>
          <w:lang w:eastAsia="lt-LT"/>
        </w:rPr>
        <w:t>Ekonominės analizės rezultatas</w:t>
      </w:r>
    </w:p>
    <w:p w14:paraId="19C7FEA5" w14:textId="77777777" w:rsidR="00E93FB2" w:rsidRDefault="00E93FB2" w:rsidP="00E93FB2">
      <w:pPr>
        <w:tabs>
          <w:tab w:val="left" w:pos="426"/>
        </w:tabs>
        <w:rPr>
          <w:lang w:eastAsia="lt-LT"/>
        </w:rPr>
      </w:pPr>
    </w:p>
    <w:tbl>
      <w:tblPr>
        <w:tblStyle w:val="Lentelstinklelis"/>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96"/>
        <w:gridCol w:w="5513"/>
      </w:tblGrid>
      <w:tr w:rsidR="00E93FB2" w:rsidRPr="0035172D" w14:paraId="6DE87099" w14:textId="77777777" w:rsidTr="00DB141E">
        <w:tc>
          <w:tcPr>
            <w:tcW w:w="9609" w:type="dxa"/>
            <w:gridSpan w:val="2"/>
            <w:tcBorders>
              <w:top w:val="single" w:sz="12" w:space="0" w:color="auto"/>
            </w:tcBorders>
          </w:tcPr>
          <w:p w14:paraId="2880BD3C" w14:textId="77777777" w:rsidR="00E93FB2" w:rsidRPr="00F70C9E" w:rsidRDefault="00E93FB2" w:rsidP="00DB141E">
            <w:pPr>
              <w:tabs>
                <w:tab w:val="left" w:pos="567"/>
              </w:tabs>
              <w:jc w:val="center"/>
              <w:rPr>
                <w:b/>
                <w:bCs/>
                <w:sz w:val="26"/>
                <w:szCs w:val="26"/>
                <w:lang w:eastAsia="lt-LT"/>
              </w:rPr>
            </w:pPr>
            <w:bookmarkStart w:id="2" w:name="_Hlk126582402"/>
            <w:r w:rsidRPr="00F70C9E">
              <w:rPr>
                <w:b/>
                <w:bCs/>
                <w:sz w:val="26"/>
                <w:szCs w:val="26"/>
                <w:lang w:eastAsia="lt-LT"/>
              </w:rPr>
              <w:t>Rezultatai</w:t>
            </w:r>
          </w:p>
        </w:tc>
      </w:tr>
      <w:tr w:rsidR="00E93FB2" w:rsidRPr="0035172D" w14:paraId="08C50B65" w14:textId="77777777" w:rsidTr="00DB141E">
        <w:tc>
          <w:tcPr>
            <w:tcW w:w="4096" w:type="dxa"/>
          </w:tcPr>
          <w:p w14:paraId="09349A91" w14:textId="77777777" w:rsidR="00E93FB2" w:rsidRPr="00F70C9E" w:rsidRDefault="00E93FB2" w:rsidP="00E93FB2">
            <w:pPr>
              <w:tabs>
                <w:tab w:val="left" w:pos="567"/>
              </w:tabs>
              <w:jc w:val="right"/>
              <w:rPr>
                <w:iCs/>
                <w:lang w:eastAsia="lt-LT"/>
              </w:rPr>
            </w:pPr>
            <w:r w:rsidRPr="00F70C9E">
              <w:rPr>
                <w:iCs/>
                <w:lang w:eastAsia="lt-LT"/>
              </w:rPr>
              <w:t>ICER už LY</w:t>
            </w:r>
          </w:p>
        </w:tc>
        <w:tc>
          <w:tcPr>
            <w:tcW w:w="5513" w:type="dxa"/>
          </w:tcPr>
          <w:p w14:paraId="421A5F41" w14:textId="531DE64D" w:rsidR="00E93FB2" w:rsidRPr="00F70C9E" w:rsidRDefault="00420E12" w:rsidP="00E93FB2">
            <w:pPr>
              <w:tabs>
                <w:tab w:val="left" w:pos="567"/>
              </w:tabs>
              <w:jc w:val="center"/>
              <w:rPr>
                <w:i/>
                <w:iCs/>
                <w:lang w:eastAsia="lt-LT"/>
              </w:rPr>
            </w:pPr>
            <w:r>
              <w:t>*****</w:t>
            </w:r>
          </w:p>
        </w:tc>
      </w:tr>
      <w:tr w:rsidR="00E93FB2" w:rsidRPr="0035172D" w14:paraId="2562671D" w14:textId="77777777" w:rsidTr="00DB141E">
        <w:tc>
          <w:tcPr>
            <w:tcW w:w="4096" w:type="dxa"/>
          </w:tcPr>
          <w:p w14:paraId="0A52DFD0" w14:textId="77777777" w:rsidR="00E93FB2" w:rsidRPr="00F70C9E" w:rsidRDefault="00E93FB2" w:rsidP="00E93FB2">
            <w:pPr>
              <w:tabs>
                <w:tab w:val="left" w:pos="567"/>
              </w:tabs>
              <w:jc w:val="right"/>
              <w:rPr>
                <w:iCs/>
                <w:lang w:eastAsia="lt-LT"/>
              </w:rPr>
            </w:pPr>
            <w:r w:rsidRPr="00F70C9E">
              <w:rPr>
                <w:iCs/>
                <w:lang w:eastAsia="lt-LT"/>
              </w:rPr>
              <w:t>ICER už QALY</w:t>
            </w:r>
          </w:p>
        </w:tc>
        <w:tc>
          <w:tcPr>
            <w:tcW w:w="5513" w:type="dxa"/>
          </w:tcPr>
          <w:p w14:paraId="2860D1EE" w14:textId="7E7B4AAA" w:rsidR="00E93FB2" w:rsidRPr="00F70C9E" w:rsidRDefault="00420E12" w:rsidP="00E93FB2">
            <w:pPr>
              <w:tabs>
                <w:tab w:val="left" w:pos="567"/>
              </w:tabs>
              <w:jc w:val="center"/>
              <w:rPr>
                <w:i/>
                <w:iCs/>
                <w:lang w:eastAsia="lt-LT"/>
              </w:rPr>
            </w:pPr>
            <w:r>
              <w:t>*****</w:t>
            </w:r>
          </w:p>
        </w:tc>
      </w:tr>
      <w:tr w:rsidR="00E93FB2" w:rsidRPr="00884E65" w14:paraId="3789FE87" w14:textId="77777777" w:rsidTr="00DB141E">
        <w:tc>
          <w:tcPr>
            <w:tcW w:w="4096" w:type="dxa"/>
          </w:tcPr>
          <w:p w14:paraId="4B1A7A3C" w14:textId="77777777" w:rsidR="00E93FB2" w:rsidRPr="00F70C9E" w:rsidRDefault="00E93FB2" w:rsidP="00E93FB2">
            <w:pPr>
              <w:tabs>
                <w:tab w:val="left" w:pos="567"/>
              </w:tabs>
              <w:jc w:val="right"/>
              <w:rPr>
                <w:iCs/>
                <w:lang w:eastAsia="lt-LT"/>
              </w:rPr>
            </w:pPr>
            <w:r w:rsidRPr="00F70C9E">
              <w:rPr>
                <w:iCs/>
                <w:lang w:eastAsia="lt-LT"/>
              </w:rPr>
              <w:t>Referentinė kaštų naudingumo vertė</w:t>
            </w:r>
          </w:p>
        </w:tc>
        <w:tc>
          <w:tcPr>
            <w:tcW w:w="5513" w:type="dxa"/>
          </w:tcPr>
          <w:p w14:paraId="51D01A33" w14:textId="07ED299D" w:rsidR="00E93FB2" w:rsidRPr="00F70C9E" w:rsidRDefault="00420E12" w:rsidP="00E93FB2">
            <w:pPr>
              <w:tabs>
                <w:tab w:val="left" w:pos="567"/>
              </w:tabs>
              <w:jc w:val="center"/>
              <w:rPr>
                <w:i/>
                <w:iCs/>
                <w:lang w:eastAsia="lt-LT"/>
              </w:rPr>
            </w:pPr>
            <w:r>
              <w:t>*****</w:t>
            </w:r>
          </w:p>
        </w:tc>
      </w:tr>
    </w:tbl>
    <w:bookmarkEnd w:id="2"/>
    <w:p w14:paraId="43F65F61" w14:textId="77777777" w:rsidR="00E93FB2" w:rsidRPr="00E5102E" w:rsidRDefault="00E93FB2" w:rsidP="00E93FB2">
      <w:pPr>
        <w:tabs>
          <w:tab w:val="left" w:pos="567"/>
        </w:tabs>
        <w:jc w:val="both"/>
        <w:rPr>
          <w:iCs/>
          <w:sz w:val="20"/>
          <w:lang w:eastAsia="lt-LT"/>
        </w:rPr>
      </w:pPr>
      <w:r w:rsidRPr="00C37B53">
        <w:rPr>
          <w:iCs/>
          <w:sz w:val="20"/>
          <w:lang w:eastAsia="lt-LT"/>
        </w:rPr>
        <w:t>ICER – (</w:t>
      </w:r>
      <w:r w:rsidRPr="00C37B53">
        <w:rPr>
          <w:i/>
          <w:sz w:val="20"/>
          <w:lang w:eastAsia="lt-LT"/>
        </w:rPr>
        <w:t xml:space="preserve">angl. </w:t>
      </w:r>
      <w:proofErr w:type="spellStart"/>
      <w:r w:rsidRPr="00C37B53">
        <w:rPr>
          <w:i/>
          <w:sz w:val="20"/>
          <w:lang w:eastAsia="lt-LT"/>
        </w:rPr>
        <w:t>incremental</w:t>
      </w:r>
      <w:proofErr w:type="spellEnd"/>
      <w:r w:rsidRPr="00C37B53">
        <w:rPr>
          <w:i/>
          <w:sz w:val="20"/>
          <w:lang w:eastAsia="lt-LT"/>
        </w:rPr>
        <w:t xml:space="preserve"> </w:t>
      </w:r>
      <w:proofErr w:type="spellStart"/>
      <w:r w:rsidRPr="00C37B53">
        <w:rPr>
          <w:i/>
          <w:sz w:val="20"/>
          <w:lang w:eastAsia="lt-LT"/>
        </w:rPr>
        <w:t>cost-effectiveness</w:t>
      </w:r>
      <w:proofErr w:type="spellEnd"/>
      <w:r w:rsidRPr="00C37B53">
        <w:rPr>
          <w:i/>
          <w:sz w:val="20"/>
          <w:lang w:eastAsia="lt-LT"/>
        </w:rPr>
        <w:t xml:space="preserve"> </w:t>
      </w:r>
      <w:proofErr w:type="spellStart"/>
      <w:r w:rsidRPr="00C37B53">
        <w:rPr>
          <w:i/>
          <w:sz w:val="20"/>
          <w:lang w:eastAsia="lt-LT"/>
        </w:rPr>
        <w:t>ratio</w:t>
      </w:r>
      <w:proofErr w:type="spellEnd"/>
      <w:r w:rsidRPr="00C37B53">
        <w:rPr>
          <w:iCs/>
          <w:sz w:val="20"/>
          <w:lang w:eastAsia="lt-LT"/>
        </w:rPr>
        <w:t xml:space="preserve">) </w:t>
      </w:r>
      <w:proofErr w:type="spellStart"/>
      <w:r w:rsidRPr="00C37B53">
        <w:rPr>
          <w:iCs/>
          <w:sz w:val="20"/>
          <w:lang w:eastAsia="lt-LT"/>
        </w:rPr>
        <w:t>inkrementinis</w:t>
      </w:r>
      <w:proofErr w:type="spellEnd"/>
      <w:r w:rsidRPr="00C37B53">
        <w:rPr>
          <w:iCs/>
          <w:sz w:val="20"/>
          <w:lang w:eastAsia="lt-LT"/>
        </w:rPr>
        <w:t xml:space="preserve"> kaštų naudingumo koeficientas; LY – (</w:t>
      </w:r>
      <w:r w:rsidRPr="00C37B53">
        <w:rPr>
          <w:i/>
          <w:sz w:val="20"/>
          <w:lang w:eastAsia="lt-LT"/>
        </w:rPr>
        <w:t xml:space="preserve">angl. </w:t>
      </w:r>
      <w:proofErr w:type="spellStart"/>
      <w:r w:rsidRPr="00C37B53">
        <w:rPr>
          <w:i/>
          <w:sz w:val="20"/>
          <w:lang w:eastAsia="lt-LT"/>
        </w:rPr>
        <w:t>life</w:t>
      </w:r>
      <w:proofErr w:type="spellEnd"/>
      <w:r w:rsidRPr="00C37B53">
        <w:rPr>
          <w:i/>
          <w:sz w:val="20"/>
          <w:lang w:eastAsia="lt-LT"/>
        </w:rPr>
        <w:t xml:space="preserve"> </w:t>
      </w:r>
      <w:proofErr w:type="spellStart"/>
      <w:r w:rsidRPr="00C37B53">
        <w:rPr>
          <w:i/>
          <w:sz w:val="20"/>
          <w:lang w:eastAsia="lt-LT"/>
        </w:rPr>
        <w:t>years</w:t>
      </w:r>
      <w:proofErr w:type="spellEnd"/>
      <w:r w:rsidRPr="00C37B53">
        <w:rPr>
          <w:iCs/>
          <w:sz w:val="20"/>
          <w:lang w:eastAsia="lt-LT"/>
        </w:rPr>
        <w:t>) gyvenimo metai; QALY- (</w:t>
      </w:r>
      <w:r w:rsidRPr="00C37B53">
        <w:rPr>
          <w:i/>
          <w:sz w:val="20"/>
          <w:lang w:eastAsia="lt-LT"/>
        </w:rPr>
        <w:t xml:space="preserve">angl. </w:t>
      </w:r>
      <w:proofErr w:type="spellStart"/>
      <w:r w:rsidRPr="00C37B53">
        <w:rPr>
          <w:i/>
          <w:sz w:val="20"/>
          <w:lang w:eastAsia="lt-LT"/>
        </w:rPr>
        <w:t>quality</w:t>
      </w:r>
      <w:proofErr w:type="spellEnd"/>
      <w:r w:rsidRPr="00C37B53">
        <w:rPr>
          <w:i/>
          <w:sz w:val="20"/>
          <w:lang w:eastAsia="lt-LT"/>
        </w:rPr>
        <w:t xml:space="preserve"> </w:t>
      </w:r>
      <w:proofErr w:type="spellStart"/>
      <w:r w:rsidRPr="00C37B53">
        <w:rPr>
          <w:i/>
          <w:sz w:val="20"/>
          <w:lang w:eastAsia="lt-LT"/>
        </w:rPr>
        <w:t>adjusted</w:t>
      </w:r>
      <w:proofErr w:type="spellEnd"/>
      <w:r w:rsidRPr="00C37B53">
        <w:rPr>
          <w:i/>
          <w:sz w:val="20"/>
          <w:lang w:eastAsia="lt-LT"/>
        </w:rPr>
        <w:t xml:space="preserve"> </w:t>
      </w:r>
      <w:proofErr w:type="spellStart"/>
      <w:r w:rsidRPr="00C37B53">
        <w:rPr>
          <w:i/>
          <w:sz w:val="20"/>
          <w:lang w:eastAsia="lt-LT"/>
        </w:rPr>
        <w:t>life</w:t>
      </w:r>
      <w:proofErr w:type="spellEnd"/>
      <w:r w:rsidRPr="00C37B53">
        <w:rPr>
          <w:i/>
          <w:sz w:val="20"/>
          <w:lang w:eastAsia="lt-LT"/>
        </w:rPr>
        <w:t xml:space="preserve"> </w:t>
      </w:r>
      <w:proofErr w:type="spellStart"/>
      <w:r w:rsidRPr="00C37B53">
        <w:rPr>
          <w:i/>
          <w:sz w:val="20"/>
          <w:lang w:eastAsia="lt-LT"/>
        </w:rPr>
        <w:t>years</w:t>
      </w:r>
      <w:proofErr w:type="spellEnd"/>
      <w:r w:rsidRPr="00C37B53">
        <w:rPr>
          <w:i/>
          <w:sz w:val="20"/>
          <w:lang w:eastAsia="lt-LT"/>
        </w:rPr>
        <w:t xml:space="preserve">) </w:t>
      </w:r>
      <w:r w:rsidRPr="00C37B53">
        <w:rPr>
          <w:iCs/>
          <w:sz w:val="20"/>
          <w:lang w:eastAsia="lt-LT"/>
        </w:rPr>
        <w:t>kokybiški gyvenimo metai.</w:t>
      </w:r>
    </w:p>
    <w:p w14:paraId="0BE332B6" w14:textId="77777777" w:rsidR="00AC005F" w:rsidRDefault="00AC005F" w:rsidP="00A93AA6">
      <w:pPr>
        <w:tabs>
          <w:tab w:val="left" w:pos="426"/>
        </w:tabs>
        <w:rPr>
          <w:b/>
          <w:bCs/>
          <w:caps/>
        </w:rPr>
      </w:pPr>
    </w:p>
    <w:p w14:paraId="353A005F" w14:textId="77777777" w:rsidR="005E4A4C" w:rsidRPr="00E33EFF" w:rsidRDefault="005E4A4C" w:rsidP="00A93AA6">
      <w:pPr>
        <w:tabs>
          <w:tab w:val="left" w:pos="426"/>
        </w:tabs>
        <w:rPr>
          <w:b/>
          <w:bCs/>
          <w:caps/>
        </w:rPr>
      </w:pPr>
    </w:p>
    <w:p w14:paraId="4FC424F9" w14:textId="4E767245" w:rsidR="00C62B36" w:rsidRPr="00ED38A5" w:rsidRDefault="00C62B36" w:rsidP="00CC09D4">
      <w:pPr>
        <w:pStyle w:val="Sraopastraipa"/>
        <w:numPr>
          <w:ilvl w:val="0"/>
          <w:numId w:val="12"/>
        </w:numPr>
        <w:tabs>
          <w:tab w:val="left" w:pos="567"/>
        </w:tabs>
        <w:ind w:hanging="720"/>
        <w:rPr>
          <w:b/>
          <w:bCs/>
          <w:caps/>
        </w:rPr>
      </w:pPr>
      <w:r w:rsidRPr="00ED38A5">
        <w:rPr>
          <w:b/>
          <w:bCs/>
          <w:caps/>
        </w:rPr>
        <w:t xml:space="preserve">Pacientų organizacijų pateikti duomenys </w:t>
      </w:r>
    </w:p>
    <w:p w14:paraId="79BCFF40" w14:textId="6BB02EC5" w:rsidR="00937907" w:rsidRPr="00ED38A5" w:rsidRDefault="0069721F"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28324C">
            <w:rPr>
              <w:rStyle w:val="Style2"/>
              <w:rFonts w:ascii="MS Gothic" w:eastAsia="MS Gothic" w:hAnsi="MS Gothic" w:hint="eastAsia"/>
              <w:sz w:val="24"/>
            </w:rPr>
            <w:t>☐</w:t>
          </w:r>
        </w:sdtContent>
      </w:sdt>
      <w:r w:rsidR="00937907" w:rsidRPr="00ED38A5">
        <w:t xml:space="preserve"> Pacientų organizacijos pozicija pateikta. Žr. priedą.</w:t>
      </w:r>
    </w:p>
    <w:p w14:paraId="62992180" w14:textId="2A9C0C38" w:rsidR="00937907" w:rsidRPr="00ED38A5" w:rsidRDefault="0069721F"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3F2983">
            <w:rPr>
              <w:rStyle w:val="Style2"/>
              <w:rFonts w:ascii="MS Gothic" w:eastAsia="MS Gothic" w:hAnsi="MS Gothic" w:hint="eastAsia"/>
              <w:sz w:val="24"/>
            </w:rPr>
            <w:t>☒</w:t>
          </w:r>
        </w:sdtContent>
      </w:sdt>
      <w:r w:rsidR="00937907" w:rsidRPr="00ED38A5">
        <w:t xml:space="preserve"> Pacientų organizacijos pozicija </w:t>
      </w:r>
      <w:r w:rsidR="00880A44" w:rsidRPr="00ED38A5">
        <w:t>ne</w:t>
      </w:r>
      <w:r w:rsidR="00937907" w:rsidRPr="00ED38A5">
        <w:t>pateikta.</w:t>
      </w:r>
      <w:r w:rsidR="005B47BC">
        <w:t xml:space="preserve"> </w:t>
      </w:r>
      <w:r w:rsidR="005B47BC" w:rsidRPr="00ED38A5">
        <w:t>Žr. priedą</w:t>
      </w:r>
      <w:r w:rsidR="005B47BC">
        <w:t>.</w:t>
      </w:r>
    </w:p>
    <w:p w14:paraId="03E73D82" w14:textId="77777777" w:rsidR="00D417D2" w:rsidRPr="00ED38A5" w:rsidRDefault="00D417D2" w:rsidP="00937907">
      <w:pPr>
        <w:spacing w:after="120"/>
        <w:jc w:val="both"/>
      </w:pPr>
    </w:p>
    <w:p w14:paraId="3D3277FA" w14:textId="3CEEB2D2" w:rsidR="00C62B36" w:rsidRPr="00ED38A5" w:rsidRDefault="00C62B36" w:rsidP="00CC09D4">
      <w:pPr>
        <w:pStyle w:val="Sraopastraipa"/>
        <w:numPr>
          <w:ilvl w:val="0"/>
          <w:numId w:val="12"/>
        </w:numPr>
        <w:tabs>
          <w:tab w:val="left" w:pos="567"/>
        </w:tabs>
        <w:ind w:hanging="720"/>
        <w:rPr>
          <w:b/>
          <w:bCs/>
          <w:caps/>
        </w:rPr>
      </w:pPr>
      <w:r w:rsidRPr="00ED38A5">
        <w:rPr>
          <w:b/>
          <w:bCs/>
          <w:caps/>
        </w:rPr>
        <w:t>Gydytojų organizacijų pateikti duomenys</w:t>
      </w:r>
    </w:p>
    <w:p w14:paraId="389A346C" w14:textId="45FFE76A" w:rsidR="00937907" w:rsidRPr="00ED38A5" w:rsidRDefault="0069721F" w:rsidP="00662983">
      <w:pPr>
        <w:spacing w:after="120"/>
        <w:jc w:val="both"/>
        <w:rPr>
          <w:lang w:val="en-US"/>
        </w:rPr>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EC4133" w:rsidRPr="00ED38A5">
            <w:rPr>
              <w:rStyle w:val="Style2"/>
              <w:rFonts w:ascii="MS Gothic" w:eastAsia="MS Gothic" w:hAnsi="MS Gothic" w:hint="eastAsia"/>
              <w:sz w:val="24"/>
            </w:rPr>
            <w:t>☒</w:t>
          </w:r>
        </w:sdtContent>
      </w:sdt>
      <w:r w:rsidR="00662983" w:rsidRPr="00ED38A5">
        <w:t xml:space="preserve"> </w:t>
      </w:r>
      <w:r w:rsidR="005B47BC" w:rsidRPr="005B47BC">
        <w:t>Gydytojų speci</w:t>
      </w:r>
      <w:r w:rsidR="005B47BC">
        <w:t xml:space="preserve">alistų organizacijos pozicija </w:t>
      </w:r>
      <w:r w:rsidR="005B47BC" w:rsidRPr="005B47BC">
        <w:t>pateikta.</w:t>
      </w:r>
      <w:r w:rsidR="005B47BC">
        <w:t xml:space="preserve"> </w:t>
      </w:r>
    </w:p>
    <w:p w14:paraId="5D8CC48C" w14:textId="0EBEF682" w:rsidR="00662983" w:rsidRPr="00E33EFF" w:rsidRDefault="0069721F"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EC4133" w:rsidRPr="00ED38A5">
            <w:rPr>
              <w:rStyle w:val="Style2"/>
              <w:rFonts w:ascii="MS Gothic" w:eastAsia="MS Gothic" w:hAnsi="MS Gothic" w:hint="eastAsia"/>
              <w:sz w:val="24"/>
            </w:rPr>
            <w:t>☐</w:t>
          </w:r>
        </w:sdtContent>
      </w:sdt>
      <w:r w:rsidR="00662983" w:rsidRPr="00ED38A5">
        <w:t xml:space="preserve"> </w:t>
      </w:r>
      <w:r w:rsidR="00937907" w:rsidRPr="00ED38A5">
        <w:t xml:space="preserve">Gydytojų specialistų organizacijos pozicija </w:t>
      </w:r>
      <w:r w:rsidR="00880A44" w:rsidRPr="00ED38A5">
        <w:t>ne</w:t>
      </w:r>
      <w:r w:rsidR="00937907" w:rsidRPr="00ED38A5">
        <w:t>pateikta.</w:t>
      </w:r>
    </w:p>
    <w:p w14:paraId="186B6FDA" w14:textId="42B443B1" w:rsidR="00093A6A" w:rsidRDefault="00093A6A" w:rsidP="00662983">
      <w:pPr>
        <w:spacing w:after="120"/>
        <w:jc w:val="both"/>
      </w:pPr>
    </w:p>
    <w:p w14:paraId="1895B7E4" w14:textId="42BC7075" w:rsidR="00E93FB2" w:rsidRDefault="00E93FB2" w:rsidP="00662983">
      <w:pPr>
        <w:spacing w:after="120"/>
        <w:jc w:val="both"/>
      </w:pPr>
    </w:p>
    <w:p w14:paraId="52330F0C" w14:textId="2E3D2066" w:rsidR="00E93FB2" w:rsidRDefault="00E93FB2" w:rsidP="00662983">
      <w:pPr>
        <w:spacing w:after="120"/>
        <w:jc w:val="both"/>
      </w:pPr>
    </w:p>
    <w:p w14:paraId="7A10AC43" w14:textId="4B7C54E9" w:rsidR="006B650F" w:rsidRDefault="006B650F" w:rsidP="00662983">
      <w:pPr>
        <w:spacing w:after="120"/>
        <w:jc w:val="both"/>
      </w:pPr>
    </w:p>
    <w:p w14:paraId="7BD25D16" w14:textId="77777777" w:rsidR="006B650F" w:rsidRDefault="006B650F" w:rsidP="00662983">
      <w:pPr>
        <w:spacing w:after="120"/>
        <w:jc w:val="both"/>
      </w:pPr>
    </w:p>
    <w:p w14:paraId="0806B8C8" w14:textId="77777777" w:rsidR="00E93FB2" w:rsidRPr="00E33EFF" w:rsidRDefault="00E93FB2"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lastRenderedPageBreak/>
        <w:t xml:space="preserve">Išvada </w:t>
      </w:r>
    </w:p>
    <w:p w14:paraId="08D5B3B6" w14:textId="4B19EB3F"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670DAB73" w:rsidR="00B13D65" w:rsidRPr="00E33EFF" w:rsidRDefault="0069721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235D6C">
                  <w:rPr>
                    <w:rStyle w:val="Style2"/>
                    <w:rFonts w:ascii="MS Gothic" w:eastAsia="MS Gothic" w:hAnsi="MS Gothic" w:hint="eastAsia"/>
                    <w:sz w:val="24"/>
                  </w:rPr>
                  <w:t>☒</w:t>
                </w:r>
              </w:sdtContent>
            </w:sdt>
            <w:r w:rsidR="00B13D65" w:rsidRPr="00E33EFF">
              <w:t xml:space="preserve"> 32.1. yra didesnis</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6EA4C5F" w:rsidR="00B13D65" w:rsidRPr="00E33EFF" w:rsidRDefault="0069721F"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235D6C">
                  <w:rPr>
                    <w:rStyle w:val="Style2"/>
                    <w:rFonts w:ascii="MS Gothic" w:eastAsia="MS Gothic" w:hAnsi="MS Gothic" w:hint="eastAsia"/>
                    <w:sz w:val="24"/>
                  </w:rPr>
                  <w:t>☐</w:t>
                </w:r>
              </w:sdtContent>
            </w:sdt>
            <w:r w:rsidR="00B13D65" w:rsidRPr="00E33EFF">
              <w:t xml:space="preserve"> 32.1. iš esmės nesiskiria</w:t>
            </w:r>
          </w:p>
        </w:tc>
        <w:tc>
          <w:tcPr>
            <w:tcW w:w="4814" w:type="dxa"/>
          </w:tcPr>
          <w:p w14:paraId="507828D9" w14:textId="795AE382" w:rsidR="00B13D65" w:rsidRPr="00E33EFF" w:rsidRDefault="0069721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205E85" w14:textId="3300F0A7" w:rsidR="00662983" w:rsidRDefault="0069721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461D0A96" w14:textId="77777777" w:rsidR="008514DF" w:rsidRPr="00E33EFF" w:rsidRDefault="008514D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183D5E20" w:rsidR="00B13D65" w:rsidRPr="00E33EFF" w:rsidRDefault="0069721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5FED5325" w:rsidR="00B13D65" w:rsidRPr="00E33EFF" w:rsidRDefault="0069721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627D2D">
                  <w:rPr>
                    <w:rStyle w:val="Style2"/>
                    <w:rFonts w:ascii="MS Gothic" w:eastAsia="MS Gothic" w:hAnsi="MS Gothic" w:hint="eastAsia"/>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5B66F187" w:rsidR="00B13D65" w:rsidRPr="00E33EFF" w:rsidRDefault="0069721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5B47BC">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7425A8FC" w:rsidR="00B13D65" w:rsidRPr="00E33EFF" w:rsidRDefault="0069721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5B47BC">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415361C0" w:rsidR="00662983" w:rsidRPr="00E33EFF" w:rsidRDefault="0069721F"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627D2D">
                  <w:rPr>
                    <w:rStyle w:val="Style2"/>
                    <w:rFonts w:ascii="MS Gothic" w:eastAsia="MS Gothic" w:hAnsi="MS Gothic" w:hint="eastAsia"/>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69721F"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05516DF4" w:rsidR="00B13D65" w:rsidRPr="00093A6A" w:rsidRDefault="0069721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093A6A">
                  <w:rPr>
                    <w:rStyle w:val="Style2"/>
                    <w:rFonts w:ascii="MS Gothic" w:eastAsia="MS Gothic" w:hAnsi="MS Gothic"/>
                    <w:sz w:val="24"/>
                  </w:rPr>
                  <w:t>☐</w:t>
                </w:r>
              </w:sdtContent>
            </w:sdt>
            <w:r w:rsidR="00B13D65" w:rsidRPr="00093A6A">
              <w:t xml:space="preserve"> 32.3. atitinka referencinę naudingumo vertę</w:t>
            </w:r>
          </w:p>
          <w:p w14:paraId="3F76F153" w14:textId="77777777" w:rsidR="00662983" w:rsidRPr="00093A6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5BC2AC4E" w:rsidR="00B13D65" w:rsidRPr="00E33EFF" w:rsidRDefault="0069721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E93FB2">
                  <w:rPr>
                    <w:rStyle w:val="Style2"/>
                    <w:rFonts w:ascii="MS Gothic" w:eastAsia="MS Gothic" w:hAnsi="MS Gothic" w:hint="eastAsia"/>
                    <w:sz w:val="24"/>
                  </w:rPr>
                  <w:t>☐</w:t>
                </w:r>
              </w:sdtContent>
            </w:sdt>
            <w:r w:rsidR="00B13D65" w:rsidRPr="00093A6A">
              <w:t xml:space="preserve"> 32.3. gydymo juo kaštai yra mažesni ar tokie patys esant iš esmės nesiskiriančiam palyginamajam efektyvumui,</w:t>
            </w:r>
            <w:r w:rsidR="00093A6A" w:rsidRPr="00093A6A">
              <w:t xml:space="preserve"> </w:t>
            </w:r>
            <w:r w:rsidR="00B00959" w:rsidRPr="00093A6A">
              <w:t>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31DE4C0B" w:rsidR="00B13D65" w:rsidRPr="00E33EFF" w:rsidRDefault="0069721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EndPr>
                <w:rPr>
                  <w:rStyle w:val="Style2"/>
                </w:rPr>
              </w:sdtEndPr>
              <w:sdtContent>
                <w:r w:rsidR="00E93FB2">
                  <w:rPr>
                    <w:rStyle w:val="Style2"/>
                    <w:rFonts w:ascii="MS Gothic" w:eastAsia="MS Gothic" w:hAnsi="MS Gothic" w:hint="eastAsia"/>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6E684DA2" w:rsidR="00B13D65" w:rsidRPr="00E33EFF" w:rsidRDefault="0069721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F82712">
                  <w:rPr>
                    <w:rStyle w:val="Style2"/>
                    <w:rFonts w:ascii="MS Gothic" w:eastAsia="MS Gothic" w:hAnsi="MS Gothic" w:hint="eastAsia"/>
                    <w:sz w:val="24"/>
                  </w:rPr>
                  <w:t>☐</w:t>
                </w:r>
              </w:sdtContent>
            </w:sdt>
            <w:r w:rsidR="00B13D65" w:rsidRPr="00E33EFF">
              <w:t xml:space="preserve"> 33.3. gydymo juo kaštai yra didesni esant iš esmės nesiskiriančiam palyginamajam </w:t>
            </w:r>
            <w:r w:rsidR="00B13D65" w:rsidRPr="00093A6A">
              <w:t xml:space="preserve">efektyvumui, </w:t>
            </w:r>
            <w:r w:rsidR="00B00959" w:rsidRPr="00093A6A">
              <w:t>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38AAD610" w:rsidR="00B13D65" w:rsidRPr="00E33EFF" w:rsidRDefault="0069721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381904">
                  <w:rPr>
                    <w:rStyle w:val="Style2"/>
                    <w:rFonts w:ascii="MS Gothic" w:eastAsia="MS Gothic" w:hAnsi="MS Gothic" w:hint="eastAsia"/>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30C71F6" w14:textId="2F7C9E72" w:rsidR="006929B9" w:rsidRPr="007567F2" w:rsidRDefault="006929B9" w:rsidP="00381024">
      <w:pPr>
        <w:rPr>
          <w:lang w:val="en-US"/>
        </w:rPr>
      </w:pPr>
    </w:p>
    <w:p w14:paraId="5AD7381B" w14:textId="77777777" w:rsidR="006929B9" w:rsidRPr="00E33EFF" w:rsidRDefault="006929B9" w:rsidP="00381024"/>
    <w:p w14:paraId="3B2D1F25" w14:textId="6510F3C9" w:rsidR="000001B0" w:rsidRPr="00363ADE"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56655703" w14:textId="49F844A1" w:rsidR="00363ADE" w:rsidRDefault="00363ADE" w:rsidP="00363ADE"/>
    <w:p w14:paraId="7CDFF220" w14:textId="22DD604E" w:rsidR="000723FF" w:rsidRDefault="00E93FB2" w:rsidP="006B650F">
      <w:pPr>
        <w:pStyle w:val="VVKT"/>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 34.4. rekomenduojama </w:t>
      </w:r>
      <w:r w:rsidRPr="00E33EFF">
        <w:rPr>
          <w:i/>
        </w:rPr>
        <w:t xml:space="preserve">nekompensuoti </w:t>
      </w:r>
      <w:r w:rsidRPr="00E33EFF">
        <w:t>vaistinio preparato pagal paraiškoje nurodytą indikaciją be skyrimo sąlygų</w:t>
      </w:r>
      <w:r>
        <w:t xml:space="preserve">, </w:t>
      </w:r>
      <w:r w:rsidRPr="00E33EFF">
        <w:t>netaikant PGS dėl vertinimo išvadų</w:t>
      </w:r>
      <w:r>
        <w:t xml:space="preserve">, nurodytų 33.3 papunktyje (žr. 8 ir 17 skyrius), </w:t>
      </w:r>
      <w:r w:rsidRPr="00E33EFF">
        <w:t xml:space="preserve"> neatitikties </w:t>
      </w:r>
      <w:r w:rsidRPr="003D6208">
        <w:t>34.1 papunktyje išdėstytoms sąlygoms</w:t>
      </w:r>
      <w:r>
        <w:t>.</w:t>
      </w:r>
    </w:p>
    <w:p w14:paraId="21C459B2" w14:textId="24513D8C" w:rsidR="006B650F" w:rsidRPr="00923434" w:rsidRDefault="00923434" w:rsidP="00923434">
      <w:pPr>
        <w:shd w:val="clear" w:color="auto" w:fill="FFFFFF"/>
        <w:spacing w:line="276" w:lineRule="auto"/>
        <w:jc w:val="both"/>
        <w:rPr>
          <w:bCs/>
          <w:i/>
        </w:rPr>
      </w:pPr>
      <w:r w:rsidRPr="00FE303B">
        <w:rPr>
          <w:bCs/>
          <w:i/>
        </w:rPr>
        <w:lastRenderedPageBreak/>
        <w:t>Papildom</w:t>
      </w:r>
      <w:r>
        <w:rPr>
          <w:bCs/>
          <w:i/>
        </w:rPr>
        <w:t>os</w:t>
      </w:r>
      <w:r w:rsidRPr="00FE303B">
        <w:rPr>
          <w:bCs/>
          <w:i/>
        </w:rPr>
        <w:t xml:space="preserve"> pastabos ir pasiūlymai</w:t>
      </w:r>
    </w:p>
    <w:p w14:paraId="708614A4" w14:textId="1F53E921" w:rsidR="00923434" w:rsidRPr="00F70B25" w:rsidRDefault="00923434" w:rsidP="00923434">
      <w:pPr>
        <w:pStyle w:val="paragraph"/>
        <w:spacing w:before="0" w:beforeAutospacing="0" w:after="0" w:afterAutospacing="0" w:line="276" w:lineRule="auto"/>
        <w:ind w:firstLine="555"/>
        <w:jc w:val="both"/>
        <w:textAlignment w:val="baseline"/>
        <w:rPr>
          <w:rFonts w:eastAsia="Calibri"/>
        </w:rPr>
      </w:pPr>
      <w:r w:rsidRPr="00706ED5">
        <w:rPr>
          <w:rStyle w:val="normaltextrun"/>
        </w:rPr>
        <w:t xml:space="preserve">Atsižvelgiant į </w:t>
      </w:r>
      <w:r>
        <w:rPr>
          <w:rStyle w:val="normaltextrun"/>
        </w:rPr>
        <w:t>ribotas</w:t>
      </w:r>
      <w:r>
        <w:rPr>
          <w:rStyle w:val="normaltextrun"/>
          <w:rFonts w:eastAsia="Calibri"/>
        </w:rPr>
        <w:t xml:space="preserve"> </w:t>
      </w:r>
      <w:r w:rsidRPr="00F70B25">
        <w:rPr>
          <w:rStyle w:val="normaltextrun"/>
          <w:rFonts w:eastAsia="Calibri"/>
        </w:rPr>
        <w:t>ankstyvos stadijos EGFR mutaciją turin</w:t>
      </w:r>
      <w:r>
        <w:rPr>
          <w:rStyle w:val="normaltextrun"/>
          <w:rFonts w:eastAsia="Calibri"/>
        </w:rPr>
        <w:t>čių</w:t>
      </w:r>
      <w:r w:rsidRPr="00F70B25">
        <w:rPr>
          <w:rStyle w:val="normaltextrun"/>
          <w:rFonts w:eastAsia="Calibri"/>
        </w:rPr>
        <w:t xml:space="preserve"> NSCLC pacient</w:t>
      </w:r>
      <w:r>
        <w:rPr>
          <w:rStyle w:val="normaltextrun"/>
          <w:rFonts w:eastAsia="Calibri"/>
        </w:rPr>
        <w:t>ų</w:t>
      </w:r>
      <w:r w:rsidRPr="00F70B25">
        <w:rPr>
          <w:rStyle w:val="normaltextrun"/>
          <w:rFonts w:eastAsia="Calibri"/>
        </w:rPr>
        <w:t xml:space="preserve">, kuriems buvo atlikta visiška naviko </w:t>
      </w:r>
      <w:proofErr w:type="spellStart"/>
      <w:r w:rsidRPr="00F70B25">
        <w:rPr>
          <w:rStyle w:val="normaltextrun"/>
          <w:rFonts w:eastAsia="Calibri"/>
        </w:rPr>
        <w:t>rezekcija</w:t>
      </w:r>
      <w:proofErr w:type="spellEnd"/>
      <w:r>
        <w:rPr>
          <w:rStyle w:val="normaltextrun"/>
          <w:rFonts w:eastAsia="Calibri"/>
        </w:rPr>
        <w:t xml:space="preserve">, </w:t>
      </w:r>
      <w:proofErr w:type="spellStart"/>
      <w:r w:rsidR="001A24FB">
        <w:rPr>
          <w:rStyle w:val="normaltextrun"/>
          <w:rFonts w:eastAsia="Calibri"/>
        </w:rPr>
        <w:t>adjuvantines</w:t>
      </w:r>
      <w:proofErr w:type="spellEnd"/>
      <w:r w:rsidR="001A24FB">
        <w:rPr>
          <w:rStyle w:val="normaltextrun"/>
          <w:rFonts w:eastAsia="Calibri"/>
        </w:rPr>
        <w:t xml:space="preserve"> </w:t>
      </w:r>
      <w:r>
        <w:rPr>
          <w:rStyle w:val="normaltextrun"/>
          <w:rFonts w:eastAsia="Calibri"/>
        </w:rPr>
        <w:t>gydymo galimybes ir siekį sumažinti ligos atsinaujinimo dažnį ir</w:t>
      </w:r>
      <w:r w:rsidR="00E3449C">
        <w:rPr>
          <w:rStyle w:val="normaltextrun"/>
          <w:rFonts w:eastAsia="Calibri"/>
        </w:rPr>
        <w:t xml:space="preserve"> (</w:t>
      </w:r>
      <w:r>
        <w:rPr>
          <w:rStyle w:val="normaltextrun"/>
          <w:rFonts w:eastAsia="Calibri"/>
        </w:rPr>
        <w:t>ar</w:t>
      </w:r>
      <w:r w:rsidR="00E3449C">
        <w:rPr>
          <w:rStyle w:val="normaltextrun"/>
          <w:rFonts w:eastAsia="Calibri"/>
        </w:rPr>
        <w:t>)</w:t>
      </w:r>
      <w:r>
        <w:rPr>
          <w:rStyle w:val="normaltextrun"/>
          <w:rFonts w:eastAsia="Calibri"/>
        </w:rPr>
        <w:t xml:space="preserve"> atitolinti</w:t>
      </w:r>
      <w:r w:rsidR="001A24FB">
        <w:rPr>
          <w:rStyle w:val="normaltextrun"/>
          <w:rFonts w:eastAsia="Calibri"/>
        </w:rPr>
        <w:t xml:space="preserve"> ligos progresavimą</w:t>
      </w:r>
      <w:r>
        <w:rPr>
          <w:rStyle w:val="normaltextrun"/>
          <w:rFonts w:eastAsia="Calibri"/>
        </w:rPr>
        <w:t xml:space="preserve">, </w:t>
      </w:r>
      <w:r w:rsidRPr="00706ED5">
        <w:rPr>
          <w:rStyle w:val="normaltextrun"/>
        </w:rPr>
        <w:t>Tarnyba</w:t>
      </w:r>
      <w:r>
        <w:rPr>
          <w:rStyle w:val="normaltextrun"/>
        </w:rPr>
        <w:t>,</w:t>
      </w:r>
      <w:r w:rsidRPr="00706ED5">
        <w:rPr>
          <w:rStyle w:val="normaltextrun"/>
        </w:rPr>
        <w:t xml:space="preserve"> vadovaudamasi</w:t>
      </w:r>
      <w:r w:rsidRPr="00706ED5">
        <w:rPr>
          <w:bCs/>
        </w:rPr>
        <w:t xml:space="preserve"> </w:t>
      </w:r>
      <w:r>
        <w:rPr>
          <w:bCs/>
        </w:rPr>
        <w:t xml:space="preserve">Vaistinių preparatų ir medicinos pagalbos priemonių įrašymo į kompensavimo sąrašus ir jų keitimo tvarkos aprašo, patvirtinto Lietuvos Respublikos sveikatos apsaugos ministro </w:t>
      </w:r>
      <w:r>
        <w:t xml:space="preserve">2002 m. balandžio 5 d. įsakymu Nr. 159 „Dėl Vaistinių preparatų ir medicinos pagalbos priemonių įrašymo į kompensavimo sąrašus ir jų keitimo tvarkos aprašo patvirtinimo“ 35 punktu, </w:t>
      </w:r>
      <w:r w:rsidRPr="00706ED5">
        <w:rPr>
          <w:rStyle w:val="normaltextrun"/>
        </w:rPr>
        <w:t xml:space="preserve">siūlo kompensuoti vaistinį preparatą </w:t>
      </w:r>
      <w:proofErr w:type="spellStart"/>
      <w:r>
        <w:rPr>
          <w:rStyle w:val="normaltextrun"/>
          <w:rFonts w:eastAsia="Calibri"/>
        </w:rPr>
        <w:t>Tagrisso</w:t>
      </w:r>
      <w:proofErr w:type="spellEnd"/>
      <w:r>
        <w:rPr>
          <w:rStyle w:val="normaltextrun"/>
        </w:rPr>
        <w:t xml:space="preserve"> </w:t>
      </w:r>
      <w:r w:rsidRPr="00706ED5">
        <w:rPr>
          <w:rStyle w:val="normaltextrun"/>
        </w:rPr>
        <w:t>su sąlyga, jog kaštų naudingum</w:t>
      </w:r>
      <w:r>
        <w:rPr>
          <w:rStyle w:val="normaltextrun"/>
          <w:rFonts w:eastAsia="Calibri"/>
        </w:rPr>
        <w:t>as bus pagerintas</w:t>
      </w:r>
      <w:r w:rsidRPr="00706ED5">
        <w:rPr>
          <w:rStyle w:val="normaltextrun"/>
        </w:rPr>
        <w:t xml:space="preserve"> </w:t>
      </w:r>
      <w:r>
        <w:rPr>
          <w:rStyle w:val="normaltextrun"/>
        </w:rPr>
        <w:t xml:space="preserve">sumažinus vaistinio preparato </w:t>
      </w:r>
      <w:proofErr w:type="spellStart"/>
      <w:r>
        <w:rPr>
          <w:rStyle w:val="normaltextrun"/>
          <w:rFonts w:eastAsia="Calibri"/>
        </w:rPr>
        <w:t>Tagrisso</w:t>
      </w:r>
      <w:proofErr w:type="spellEnd"/>
      <w:r>
        <w:rPr>
          <w:rStyle w:val="normaltextrun"/>
        </w:rPr>
        <w:t xml:space="preserve"> kainą tiek, kad </w:t>
      </w:r>
      <w:r w:rsidRPr="002D7707">
        <w:rPr>
          <w:rStyle w:val="normaltextrun"/>
        </w:rPr>
        <w:t>ICER rezultat</w:t>
      </w:r>
      <w:r>
        <w:rPr>
          <w:rStyle w:val="normaltextrun"/>
          <w:rFonts w:eastAsia="Calibri"/>
        </w:rPr>
        <w:t xml:space="preserve">as jautrumo analizėje testuojant gyvenimo kokybės įverčių įtaką ir alternatyvaus gyvenimo kokybės šaltinio atveju (scenarijų analizėje) neviršytų referencinės kaštų naudingumo vertės. </w:t>
      </w:r>
      <w:r>
        <w:rPr>
          <w:lang w:eastAsia="lt-LT"/>
        </w:rPr>
        <w:t xml:space="preserve">Tarnyba rekomenduoja derėtis su pareiškėju dėl vaistinio preparato </w:t>
      </w:r>
      <w:proofErr w:type="spellStart"/>
      <w:r>
        <w:rPr>
          <w:lang w:eastAsia="lt-LT"/>
        </w:rPr>
        <w:t>Tagrisso</w:t>
      </w:r>
      <w:proofErr w:type="spellEnd"/>
      <w:r>
        <w:rPr>
          <w:lang w:eastAsia="lt-LT"/>
        </w:rPr>
        <w:t xml:space="preserve"> (</w:t>
      </w:r>
      <w:proofErr w:type="spellStart"/>
      <w:r>
        <w:rPr>
          <w:lang w:eastAsia="lt-LT"/>
        </w:rPr>
        <w:t>osimertinibas</w:t>
      </w:r>
      <w:proofErr w:type="spellEnd"/>
      <w:r>
        <w:rPr>
          <w:lang w:eastAsia="lt-LT"/>
        </w:rPr>
        <w:t>) kainos sumažinimo.</w:t>
      </w:r>
    </w:p>
    <w:p w14:paraId="32F19B8F" w14:textId="77777777" w:rsidR="006B650F" w:rsidRPr="005B47BC" w:rsidRDefault="006B650F" w:rsidP="006B650F">
      <w:pPr>
        <w:pStyle w:val="VVKT"/>
        <w:jc w:val="both"/>
      </w:pPr>
    </w:p>
    <w:sectPr w:rsidR="006B650F" w:rsidRPr="005B47BC"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D9770" w14:textId="77777777" w:rsidR="009B0FF8" w:rsidRDefault="009B0FF8">
      <w:r>
        <w:separator/>
      </w:r>
    </w:p>
  </w:endnote>
  <w:endnote w:type="continuationSeparator" w:id="0">
    <w:p w14:paraId="06F44B21" w14:textId="77777777" w:rsidR="009B0FF8" w:rsidRDefault="009B0FF8">
      <w:r>
        <w:continuationSeparator/>
      </w:r>
    </w:p>
  </w:endnote>
  <w:endnote w:type="continuationNotice" w:id="1">
    <w:p w14:paraId="573BC37E" w14:textId="77777777" w:rsidR="009B0FF8" w:rsidRDefault="009B0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B9139" w14:textId="77777777" w:rsidR="009B0FF8" w:rsidRDefault="009B0FF8">
      <w:r>
        <w:separator/>
      </w:r>
    </w:p>
  </w:footnote>
  <w:footnote w:type="continuationSeparator" w:id="0">
    <w:p w14:paraId="0FBE3F06" w14:textId="77777777" w:rsidR="009B0FF8" w:rsidRDefault="009B0FF8">
      <w:r>
        <w:continuationSeparator/>
      </w:r>
    </w:p>
  </w:footnote>
  <w:footnote w:type="continuationNotice" w:id="1">
    <w:p w14:paraId="457E2CE7" w14:textId="77777777" w:rsidR="009B0FF8" w:rsidRDefault="009B0F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60582F4F"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721F">
      <w:rPr>
        <w:rStyle w:val="Puslapionumeris"/>
        <w:noProof/>
      </w:rPr>
      <w:t>5</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3158EE"/>
    <w:multiLevelType w:val="hybridMultilevel"/>
    <w:tmpl w:val="E1B21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21E75"/>
    <w:multiLevelType w:val="hybridMultilevel"/>
    <w:tmpl w:val="499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B7D08"/>
    <w:multiLevelType w:val="hybridMultilevel"/>
    <w:tmpl w:val="0DC6D344"/>
    <w:lvl w:ilvl="0" w:tplc="7938C79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B5286D"/>
    <w:multiLevelType w:val="hybridMultilevel"/>
    <w:tmpl w:val="1BACDAC8"/>
    <w:lvl w:ilvl="0" w:tplc="5B38CC2A">
      <w:start w:val="1"/>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8" w15:restartNumberingAfterBreak="0">
    <w:nsid w:val="1EC47D73"/>
    <w:multiLevelType w:val="hybridMultilevel"/>
    <w:tmpl w:val="06F2E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D040A3"/>
    <w:multiLevelType w:val="hybridMultilevel"/>
    <w:tmpl w:val="E0DA95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1505AA"/>
    <w:multiLevelType w:val="hybridMultilevel"/>
    <w:tmpl w:val="F9106AB2"/>
    <w:lvl w:ilvl="0" w:tplc="9A82F144">
      <w:start w:val="1"/>
      <w:numFmt w:val="bullet"/>
      <w:lvlText w:val=""/>
      <w:lvlJc w:val="left"/>
      <w:pPr>
        <w:ind w:left="785" w:hanging="360"/>
      </w:pPr>
      <w:rPr>
        <w:rFonts w:ascii="Symbol" w:hAnsi="Symbol" w:hint="default"/>
        <w:strike w:val="0"/>
      </w:rPr>
    </w:lvl>
    <w:lvl w:ilvl="1" w:tplc="9CAC1EB8">
      <w:start w:val="1"/>
      <w:numFmt w:val="bullet"/>
      <w:lvlText w:val="o"/>
      <w:lvlJc w:val="left"/>
      <w:pPr>
        <w:ind w:left="2149" w:hanging="360"/>
      </w:pPr>
      <w:rPr>
        <w:rFonts w:ascii="Courier New" w:hAnsi="Courier New" w:cs="Courier New" w:hint="default"/>
        <w:strike w:val="0"/>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89C6719"/>
    <w:multiLevelType w:val="multilevel"/>
    <w:tmpl w:val="11B2533C"/>
    <w:lvl w:ilvl="0">
      <w:start w:val="1"/>
      <w:numFmt w:val="bullet"/>
      <w:pStyle w:val="Head2"/>
      <w:lvlText w:val="●"/>
      <w:lvlJc w:val="left"/>
      <w:pPr>
        <w:ind w:left="720" w:hanging="360"/>
      </w:pPr>
      <w:rPr>
        <w:rFonts w:ascii="Noto Sans Symbols" w:eastAsia="Noto Sans Symbols" w:hAnsi="Noto Sans Symbols" w:cs="Noto Sans Symbols"/>
      </w:rPr>
    </w:lvl>
    <w:lvl w:ilvl="1">
      <w:start w:val="1"/>
      <w:numFmt w:val="bullet"/>
      <w:pStyle w:val="Head3"/>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4"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7D2182"/>
    <w:multiLevelType w:val="hybridMultilevel"/>
    <w:tmpl w:val="EAF45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86546"/>
    <w:multiLevelType w:val="hybridMultilevel"/>
    <w:tmpl w:val="E662D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90123B"/>
    <w:multiLevelType w:val="hybridMultilevel"/>
    <w:tmpl w:val="2598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836E22"/>
    <w:multiLevelType w:val="hybridMultilevel"/>
    <w:tmpl w:val="CD2EE7F2"/>
    <w:lvl w:ilvl="0" w:tplc="08090001">
      <w:start w:val="1"/>
      <w:numFmt w:val="bullet"/>
      <w:lvlText w:val=""/>
      <w:lvlJc w:val="left"/>
      <w:pPr>
        <w:ind w:left="2869" w:hanging="360"/>
      </w:pPr>
      <w:rPr>
        <w:rFonts w:ascii="Symbol" w:hAnsi="Symbol" w:hint="default"/>
      </w:rPr>
    </w:lvl>
    <w:lvl w:ilvl="1" w:tplc="08090003" w:tentative="1">
      <w:start w:val="1"/>
      <w:numFmt w:val="bullet"/>
      <w:lvlText w:val="o"/>
      <w:lvlJc w:val="left"/>
      <w:pPr>
        <w:ind w:left="3589" w:hanging="360"/>
      </w:pPr>
      <w:rPr>
        <w:rFonts w:ascii="Courier New" w:hAnsi="Courier New" w:cs="Courier New" w:hint="default"/>
      </w:rPr>
    </w:lvl>
    <w:lvl w:ilvl="2" w:tplc="08090005" w:tentative="1">
      <w:start w:val="1"/>
      <w:numFmt w:val="bullet"/>
      <w:lvlText w:val=""/>
      <w:lvlJc w:val="left"/>
      <w:pPr>
        <w:ind w:left="4309" w:hanging="360"/>
      </w:pPr>
      <w:rPr>
        <w:rFonts w:ascii="Wingdings" w:hAnsi="Wingdings" w:hint="default"/>
      </w:rPr>
    </w:lvl>
    <w:lvl w:ilvl="3" w:tplc="08090001" w:tentative="1">
      <w:start w:val="1"/>
      <w:numFmt w:val="bullet"/>
      <w:lvlText w:val=""/>
      <w:lvlJc w:val="left"/>
      <w:pPr>
        <w:ind w:left="5029" w:hanging="360"/>
      </w:pPr>
      <w:rPr>
        <w:rFonts w:ascii="Symbol" w:hAnsi="Symbol" w:hint="default"/>
      </w:rPr>
    </w:lvl>
    <w:lvl w:ilvl="4" w:tplc="08090003" w:tentative="1">
      <w:start w:val="1"/>
      <w:numFmt w:val="bullet"/>
      <w:lvlText w:val="o"/>
      <w:lvlJc w:val="left"/>
      <w:pPr>
        <w:ind w:left="5749" w:hanging="360"/>
      </w:pPr>
      <w:rPr>
        <w:rFonts w:ascii="Courier New" w:hAnsi="Courier New" w:cs="Courier New" w:hint="default"/>
      </w:rPr>
    </w:lvl>
    <w:lvl w:ilvl="5" w:tplc="08090005" w:tentative="1">
      <w:start w:val="1"/>
      <w:numFmt w:val="bullet"/>
      <w:lvlText w:val=""/>
      <w:lvlJc w:val="left"/>
      <w:pPr>
        <w:ind w:left="6469" w:hanging="360"/>
      </w:pPr>
      <w:rPr>
        <w:rFonts w:ascii="Wingdings" w:hAnsi="Wingdings" w:hint="default"/>
      </w:rPr>
    </w:lvl>
    <w:lvl w:ilvl="6" w:tplc="08090001" w:tentative="1">
      <w:start w:val="1"/>
      <w:numFmt w:val="bullet"/>
      <w:lvlText w:val=""/>
      <w:lvlJc w:val="left"/>
      <w:pPr>
        <w:ind w:left="7189" w:hanging="360"/>
      </w:pPr>
      <w:rPr>
        <w:rFonts w:ascii="Symbol" w:hAnsi="Symbol" w:hint="default"/>
      </w:rPr>
    </w:lvl>
    <w:lvl w:ilvl="7" w:tplc="08090003" w:tentative="1">
      <w:start w:val="1"/>
      <w:numFmt w:val="bullet"/>
      <w:lvlText w:val="o"/>
      <w:lvlJc w:val="left"/>
      <w:pPr>
        <w:ind w:left="7909" w:hanging="360"/>
      </w:pPr>
      <w:rPr>
        <w:rFonts w:ascii="Courier New" w:hAnsi="Courier New" w:cs="Courier New" w:hint="default"/>
      </w:rPr>
    </w:lvl>
    <w:lvl w:ilvl="8" w:tplc="08090005" w:tentative="1">
      <w:start w:val="1"/>
      <w:numFmt w:val="bullet"/>
      <w:lvlText w:val=""/>
      <w:lvlJc w:val="left"/>
      <w:pPr>
        <w:ind w:left="8629" w:hanging="360"/>
      </w:pPr>
      <w:rPr>
        <w:rFonts w:ascii="Wingdings" w:hAnsi="Wingdings" w:hint="default"/>
      </w:rPr>
    </w:lvl>
  </w:abstractNum>
  <w:abstractNum w:abstractNumId="24" w15:restartNumberingAfterBreak="0">
    <w:nsid w:val="79866489"/>
    <w:multiLevelType w:val="hybridMultilevel"/>
    <w:tmpl w:val="381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C01C3"/>
    <w:multiLevelType w:val="multilevel"/>
    <w:tmpl w:val="ABA69FF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4"/>
  </w:num>
  <w:num w:numId="3">
    <w:abstractNumId w:val="16"/>
  </w:num>
  <w:num w:numId="4">
    <w:abstractNumId w:val="15"/>
  </w:num>
  <w:num w:numId="5">
    <w:abstractNumId w:val="13"/>
  </w:num>
  <w:num w:numId="6">
    <w:abstractNumId w:val="12"/>
  </w:num>
  <w:num w:numId="7">
    <w:abstractNumId w:val="7"/>
  </w:num>
  <w:num w:numId="8">
    <w:abstractNumId w:val="22"/>
  </w:num>
  <w:num w:numId="9">
    <w:abstractNumId w:val="0"/>
  </w:num>
  <w:num w:numId="10">
    <w:abstractNumId w:val="17"/>
  </w:num>
  <w:num w:numId="11">
    <w:abstractNumId w:val="20"/>
  </w:num>
  <w:num w:numId="12">
    <w:abstractNumId w:val="5"/>
  </w:num>
  <w:num w:numId="13">
    <w:abstractNumId w:val="9"/>
  </w:num>
  <w:num w:numId="14">
    <w:abstractNumId w:val="25"/>
  </w:num>
  <w:num w:numId="15">
    <w:abstractNumId w:val="21"/>
  </w:num>
  <w:num w:numId="16">
    <w:abstractNumId w:val="1"/>
  </w:num>
  <w:num w:numId="17">
    <w:abstractNumId w:val="19"/>
  </w:num>
  <w:num w:numId="18">
    <w:abstractNumId w:val="3"/>
  </w:num>
  <w:num w:numId="19">
    <w:abstractNumId w:val="11"/>
  </w:num>
  <w:num w:numId="20">
    <w:abstractNumId w:val="24"/>
  </w:num>
  <w:num w:numId="21">
    <w:abstractNumId w:val="8"/>
  </w:num>
  <w:num w:numId="22">
    <w:abstractNumId w:val="10"/>
  </w:num>
  <w:num w:numId="23">
    <w:abstractNumId w:val="23"/>
  </w:num>
  <w:num w:numId="24">
    <w:abstractNumId w:val="6"/>
  </w:num>
  <w:num w:numId="25">
    <w:abstractNumId w:val="1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137A"/>
    <w:rsid w:val="00002B30"/>
    <w:rsid w:val="00003EAA"/>
    <w:rsid w:val="00003F5B"/>
    <w:rsid w:val="0000653D"/>
    <w:rsid w:val="000114DD"/>
    <w:rsid w:val="000136F7"/>
    <w:rsid w:val="0002686C"/>
    <w:rsid w:val="0002715E"/>
    <w:rsid w:val="0003157B"/>
    <w:rsid w:val="00031D0E"/>
    <w:rsid w:val="000337E6"/>
    <w:rsid w:val="0003402E"/>
    <w:rsid w:val="00034EAE"/>
    <w:rsid w:val="0004158E"/>
    <w:rsid w:val="00042924"/>
    <w:rsid w:val="00043B68"/>
    <w:rsid w:val="00044028"/>
    <w:rsid w:val="00053975"/>
    <w:rsid w:val="00057A2B"/>
    <w:rsid w:val="000606BE"/>
    <w:rsid w:val="000632EF"/>
    <w:rsid w:val="00064C3F"/>
    <w:rsid w:val="000673C0"/>
    <w:rsid w:val="00067CB1"/>
    <w:rsid w:val="000723FF"/>
    <w:rsid w:val="000736B8"/>
    <w:rsid w:val="00074D36"/>
    <w:rsid w:val="0008190F"/>
    <w:rsid w:val="00081D9C"/>
    <w:rsid w:val="0008213F"/>
    <w:rsid w:val="00082907"/>
    <w:rsid w:val="0008378D"/>
    <w:rsid w:val="000908A5"/>
    <w:rsid w:val="0009136E"/>
    <w:rsid w:val="00092805"/>
    <w:rsid w:val="00093A6A"/>
    <w:rsid w:val="00093CBB"/>
    <w:rsid w:val="00094192"/>
    <w:rsid w:val="00096C64"/>
    <w:rsid w:val="000A03C9"/>
    <w:rsid w:val="000A2387"/>
    <w:rsid w:val="000A3A69"/>
    <w:rsid w:val="000A7ABC"/>
    <w:rsid w:val="000A7B01"/>
    <w:rsid w:val="000B3083"/>
    <w:rsid w:val="000B3F68"/>
    <w:rsid w:val="000C3121"/>
    <w:rsid w:val="000C454C"/>
    <w:rsid w:val="000D5038"/>
    <w:rsid w:val="000D5A96"/>
    <w:rsid w:val="000E29D4"/>
    <w:rsid w:val="000E2F1C"/>
    <w:rsid w:val="000E30ED"/>
    <w:rsid w:val="000E5CD8"/>
    <w:rsid w:val="000F0FC3"/>
    <w:rsid w:val="000F3445"/>
    <w:rsid w:val="000F3540"/>
    <w:rsid w:val="000F530D"/>
    <w:rsid w:val="000F71A5"/>
    <w:rsid w:val="000F7F85"/>
    <w:rsid w:val="00100491"/>
    <w:rsid w:val="00104294"/>
    <w:rsid w:val="00104E2E"/>
    <w:rsid w:val="001055F8"/>
    <w:rsid w:val="00107287"/>
    <w:rsid w:val="001142FC"/>
    <w:rsid w:val="00114506"/>
    <w:rsid w:val="00117406"/>
    <w:rsid w:val="00121EF0"/>
    <w:rsid w:val="00122115"/>
    <w:rsid w:val="00124A9E"/>
    <w:rsid w:val="00124E1B"/>
    <w:rsid w:val="001261AB"/>
    <w:rsid w:val="00130703"/>
    <w:rsid w:val="0013153F"/>
    <w:rsid w:val="001317EF"/>
    <w:rsid w:val="00132E4F"/>
    <w:rsid w:val="00134CA8"/>
    <w:rsid w:val="001408B8"/>
    <w:rsid w:val="00141E68"/>
    <w:rsid w:val="001517E2"/>
    <w:rsid w:val="001521D9"/>
    <w:rsid w:val="0015418E"/>
    <w:rsid w:val="001544C1"/>
    <w:rsid w:val="001554E2"/>
    <w:rsid w:val="00164146"/>
    <w:rsid w:val="00167B65"/>
    <w:rsid w:val="00171488"/>
    <w:rsid w:val="0017369C"/>
    <w:rsid w:val="0017430E"/>
    <w:rsid w:val="00175D57"/>
    <w:rsid w:val="00180C39"/>
    <w:rsid w:val="00180D96"/>
    <w:rsid w:val="00183187"/>
    <w:rsid w:val="00184BD3"/>
    <w:rsid w:val="001921F3"/>
    <w:rsid w:val="001A051D"/>
    <w:rsid w:val="001A24FB"/>
    <w:rsid w:val="001A3E3D"/>
    <w:rsid w:val="001B3C5B"/>
    <w:rsid w:val="001B40D2"/>
    <w:rsid w:val="001D0BF9"/>
    <w:rsid w:val="001D3F77"/>
    <w:rsid w:val="001D583C"/>
    <w:rsid w:val="001D746F"/>
    <w:rsid w:val="001E394D"/>
    <w:rsid w:val="001E4AB0"/>
    <w:rsid w:val="001E4BBB"/>
    <w:rsid w:val="001E5B2C"/>
    <w:rsid w:val="001E6304"/>
    <w:rsid w:val="001F2041"/>
    <w:rsid w:val="001F6F9F"/>
    <w:rsid w:val="0020381E"/>
    <w:rsid w:val="00206990"/>
    <w:rsid w:val="0021319A"/>
    <w:rsid w:val="00213471"/>
    <w:rsid w:val="00213FED"/>
    <w:rsid w:val="00214B93"/>
    <w:rsid w:val="00215906"/>
    <w:rsid w:val="00217699"/>
    <w:rsid w:val="00222F0B"/>
    <w:rsid w:val="00235D6C"/>
    <w:rsid w:val="00241CD8"/>
    <w:rsid w:val="0024363A"/>
    <w:rsid w:val="00244B09"/>
    <w:rsid w:val="00246F4D"/>
    <w:rsid w:val="002519CB"/>
    <w:rsid w:val="0025697F"/>
    <w:rsid w:val="00260258"/>
    <w:rsid w:val="0026588E"/>
    <w:rsid w:val="002673E4"/>
    <w:rsid w:val="002702B3"/>
    <w:rsid w:val="00272428"/>
    <w:rsid w:val="00272948"/>
    <w:rsid w:val="002829B2"/>
    <w:rsid w:val="0028324C"/>
    <w:rsid w:val="00285CBD"/>
    <w:rsid w:val="00286873"/>
    <w:rsid w:val="00292392"/>
    <w:rsid w:val="002946C7"/>
    <w:rsid w:val="002B2F17"/>
    <w:rsid w:val="002B3CC1"/>
    <w:rsid w:val="002B3D8F"/>
    <w:rsid w:val="002B6C8B"/>
    <w:rsid w:val="002B7C18"/>
    <w:rsid w:val="002C09E0"/>
    <w:rsid w:val="002C1424"/>
    <w:rsid w:val="002C1BB1"/>
    <w:rsid w:val="002C2786"/>
    <w:rsid w:val="002C370B"/>
    <w:rsid w:val="002C3A10"/>
    <w:rsid w:val="002C4A90"/>
    <w:rsid w:val="002C4ED5"/>
    <w:rsid w:val="002C71D8"/>
    <w:rsid w:val="002D02EF"/>
    <w:rsid w:val="002D3F93"/>
    <w:rsid w:val="002D6560"/>
    <w:rsid w:val="002D7116"/>
    <w:rsid w:val="002E0109"/>
    <w:rsid w:val="002E0702"/>
    <w:rsid w:val="002E2F32"/>
    <w:rsid w:val="002E57AD"/>
    <w:rsid w:val="002E6F80"/>
    <w:rsid w:val="002F0E4F"/>
    <w:rsid w:val="002F1053"/>
    <w:rsid w:val="002F705D"/>
    <w:rsid w:val="002F7D36"/>
    <w:rsid w:val="003035A6"/>
    <w:rsid w:val="0030445B"/>
    <w:rsid w:val="00317B0E"/>
    <w:rsid w:val="0032523A"/>
    <w:rsid w:val="00325937"/>
    <w:rsid w:val="00330612"/>
    <w:rsid w:val="0033140A"/>
    <w:rsid w:val="00347FAA"/>
    <w:rsid w:val="0035172D"/>
    <w:rsid w:val="003578EE"/>
    <w:rsid w:val="003606B5"/>
    <w:rsid w:val="0036187D"/>
    <w:rsid w:val="00363ADE"/>
    <w:rsid w:val="00366394"/>
    <w:rsid w:val="00367957"/>
    <w:rsid w:val="00367EDB"/>
    <w:rsid w:val="00373505"/>
    <w:rsid w:val="00381024"/>
    <w:rsid w:val="00381904"/>
    <w:rsid w:val="00381EBB"/>
    <w:rsid w:val="00384168"/>
    <w:rsid w:val="00386307"/>
    <w:rsid w:val="003874DE"/>
    <w:rsid w:val="00387D17"/>
    <w:rsid w:val="00392ABE"/>
    <w:rsid w:val="00393E9F"/>
    <w:rsid w:val="00393EB5"/>
    <w:rsid w:val="0039696E"/>
    <w:rsid w:val="003A1151"/>
    <w:rsid w:val="003A1E8B"/>
    <w:rsid w:val="003A759F"/>
    <w:rsid w:val="003B211A"/>
    <w:rsid w:val="003B7BC0"/>
    <w:rsid w:val="003C0CAB"/>
    <w:rsid w:val="003C141F"/>
    <w:rsid w:val="003C3AE0"/>
    <w:rsid w:val="003C6B0E"/>
    <w:rsid w:val="003C6B59"/>
    <w:rsid w:val="003C7257"/>
    <w:rsid w:val="003C7E35"/>
    <w:rsid w:val="003D096A"/>
    <w:rsid w:val="003D1E99"/>
    <w:rsid w:val="003D6208"/>
    <w:rsid w:val="003D6EB4"/>
    <w:rsid w:val="003D7D5B"/>
    <w:rsid w:val="003F2983"/>
    <w:rsid w:val="003F341B"/>
    <w:rsid w:val="003F4BE2"/>
    <w:rsid w:val="00404E8A"/>
    <w:rsid w:val="0040622F"/>
    <w:rsid w:val="00412578"/>
    <w:rsid w:val="00413F24"/>
    <w:rsid w:val="00414022"/>
    <w:rsid w:val="004144A3"/>
    <w:rsid w:val="00420E12"/>
    <w:rsid w:val="00422853"/>
    <w:rsid w:val="00423160"/>
    <w:rsid w:val="004232B5"/>
    <w:rsid w:val="00450033"/>
    <w:rsid w:val="00450E42"/>
    <w:rsid w:val="0045326F"/>
    <w:rsid w:val="00453862"/>
    <w:rsid w:val="0045469B"/>
    <w:rsid w:val="00461338"/>
    <w:rsid w:val="004635DB"/>
    <w:rsid w:val="00463F0B"/>
    <w:rsid w:val="00466F87"/>
    <w:rsid w:val="004677DB"/>
    <w:rsid w:val="004713AD"/>
    <w:rsid w:val="00476256"/>
    <w:rsid w:val="0048172B"/>
    <w:rsid w:val="004859B7"/>
    <w:rsid w:val="0048630F"/>
    <w:rsid w:val="004938A6"/>
    <w:rsid w:val="004947A1"/>
    <w:rsid w:val="0049482A"/>
    <w:rsid w:val="004979D3"/>
    <w:rsid w:val="004A00E7"/>
    <w:rsid w:val="004A3A61"/>
    <w:rsid w:val="004A6F9B"/>
    <w:rsid w:val="004A751A"/>
    <w:rsid w:val="004B001C"/>
    <w:rsid w:val="004B25D6"/>
    <w:rsid w:val="004B542F"/>
    <w:rsid w:val="004B59BA"/>
    <w:rsid w:val="004B5A03"/>
    <w:rsid w:val="004C263A"/>
    <w:rsid w:val="004D43D5"/>
    <w:rsid w:val="004D48A6"/>
    <w:rsid w:val="004D7B8F"/>
    <w:rsid w:val="004E5A99"/>
    <w:rsid w:val="004E6458"/>
    <w:rsid w:val="004E6E7D"/>
    <w:rsid w:val="004F0B29"/>
    <w:rsid w:val="004F1AAC"/>
    <w:rsid w:val="004F1AE2"/>
    <w:rsid w:val="004F34F0"/>
    <w:rsid w:val="004F3B2B"/>
    <w:rsid w:val="004F6050"/>
    <w:rsid w:val="004F7410"/>
    <w:rsid w:val="005005EF"/>
    <w:rsid w:val="00503AA3"/>
    <w:rsid w:val="005111F9"/>
    <w:rsid w:val="005123C2"/>
    <w:rsid w:val="005123C3"/>
    <w:rsid w:val="00513E95"/>
    <w:rsid w:val="00515F01"/>
    <w:rsid w:val="0052144B"/>
    <w:rsid w:val="00524066"/>
    <w:rsid w:val="005268A3"/>
    <w:rsid w:val="0053222F"/>
    <w:rsid w:val="00534351"/>
    <w:rsid w:val="00534D9C"/>
    <w:rsid w:val="00534E11"/>
    <w:rsid w:val="005378D8"/>
    <w:rsid w:val="005400D9"/>
    <w:rsid w:val="00541EF4"/>
    <w:rsid w:val="00542A47"/>
    <w:rsid w:val="00545325"/>
    <w:rsid w:val="005476A4"/>
    <w:rsid w:val="00547A75"/>
    <w:rsid w:val="0055019B"/>
    <w:rsid w:val="00551B65"/>
    <w:rsid w:val="00551FC4"/>
    <w:rsid w:val="005530A3"/>
    <w:rsid w:val="005550A2"/>
    <w:rsid w:val="00556E63"/>
    <w:rsid w:val="005601A4"/>
    <w:rsid w:val="00564647"/>
    <w:rsid w:val="00566DBB"/>
    <w:rsid w:val="00570C0F"/>
    <w:rsid w:val="005767DB"/>
    <w:rsid w:val="005815E6"/>
    <w:rsid w:val="0058712F"/>
    <w:rsid w:val="00590502"/>
    <w:rsid w:val="00594574"/>
    <w:rsid w:val="005976CE"/>
    <w:rsid w:val="005A23D4"/>
    <w:rsid w:val="005A2D1E"/>
    <w:rsid w:val="005A7157"/>
    <w:rsid w:val="005B3756"/>
    <w:rsid w:val="005B47BC"/>
    <w:rsid w:val="005B6DDD"/>
    <w:rsid w:val="005C038E"/>
    <w:rsid w:val="005C493F"/>
    <w:rsid w:val="005C4A75"/>
    <w:rsid w:val="005C6BF7"/>
    <w:rsid w:val="005C71BF"/>
    <w:rsid w:val="005C7688"/>
    <w:rsid w:val="005D002C"/>
    <w:rsid w:val="005D1FDB"/>
    <w:rsid w:val="005D30E1"/>
    <w:rsid w:val="005D56D7"/>
    <w:rsid w:val="005D6555"/>
    <w:rsid w:val="005D7BDF"/>
    <w:rsid w:val="005E40DD"/>
    <w:rsid w:val="005E4870"/>
    <w:rsid w:val="005E4A4C"/>
    <w:rsid w:val="005F0862"/>
    <w:rsid w:val="005F595B"/>
    <w:rsid w:val="005F71D9"/>
    <w:rsid w:val="005F7602"/>
    <w:rsid w:val="006062BE"/>
    <w:rsid w:val="00610B56"/>
    <w:rsid w:val="00613143"/>
    <w:rsid w:val="00613501"/>
    <w:rsid w:val="006147EF"/>
    <w:rsid w:val="0061611B"/>
    <w:rsid w:val="006166A8"/>
    <w:rsid w:val="006174A1"/>
    <w:rsid w:val="00621D6C"/>
    <w:rsid w:val="00623589"/>
    <w:rsid w:val="00625BF8"/>
    <w:rsid w:val="00627D2D"/>
    <w:rsid w:val="00630348"/>
    <w:rsid w:val="00633B49"/>
    <w:rsid w:val="00636C72"/>
    <w:rsid w:val="00637257"/>
    <w:rsid w:val="00641676"/>
    <w:rsid w:val="0064297F"/>
    <w:rsid w:val="00645102"/>
    <w:rsid w:val="00646CF3"/>
    <w:rsid w:val="00650B99"/>
    <w:rsid w:val="0065119B"/>
    <w:rsid w:val="00653904"/>
    <w:rsid w:val="00653D11"/>
    <w:rsid w:val="006541C0"/>
    <w:rsid w:val="00662983"/>
    <w:rsid w:val="00667249"/>
    <w:rsid w:val="00671C3D"/>
    <w:rsid w:val="00673331"/>
    <w:rsid w:val="006833E9"/>
    <w:rsid w:val="006834D3"/>
    <w:rsid w:val="00686223"/>
    <w:rsid w:val="006870F1"/>
    <w:rsid w:val="00692625"/>
    <w:rsid w:val="006929B9"/>
    <w:rsid w:val="00695CD3"/>
    <w:rsid w:val="0069721F"/>
    <w:rsid w:val="006A07F4"/>
    <w:rsid w:val="006A38B6"/>
    <w:rsid w:val="006B0FF7"/>
    <w:rsid w:val="006B1544"/>
    <w:rsid w:val="006B1987"/>
    <w:rsid w:val="006B4145"/>
    <w:rsid w:val="006B41EE"/>
    <w:rsid w:val="006B47FE"/>
    <w:rsid w:val="006B563B"/>
    <w:rsid w:val="006B5B71"/>
    <w:rsid w:val="006B650F"/>
    <w:rsid w:val="006B6CB0"/>
    <w:rsid w:val="006C0296"/>
    <w:rsid w:val="006C2B64"/>
    <w:rsid w:val="006C37D2"/>
    <w:rsid w:val="006C4075"/>
    <w:rsid w:val="006C79F3"/>
    <w:rsid w:val="006D4C85"/>
    <w:rsid w:val="006D66AC"/>
    <w:rsid w:val="006E1C60"/>
    <w:rsid w:val="006E33F6"/>
    <w:rsid w:val="006E647F"/>
    <w:rsid w:val="006F0B24"/>
    <w:rsid w:val="006F1251"/>
    <w:rsid w:val="006F1C23"/>
    <w:rsid w:val="006F3C13"/>
    <w:rsid w:val="00702C18"/>
    <w:rsid w:val="00703166"/>
    <w:rsid w:val="0070421A"/>
    <w:rsid w:val="007055A1"/>
    <w:rsid w:val="007127F3"/>
    <w:rsid w:val="00712D11"/>
    <w:rsid w:val="00712E51"/>
    <w:rsid w:val="00715D1D"/>
    <w:rsid w:val="00715EEB"/>
    <w:rsid w:val="00716FFB"/>
    <w:rsid w:val="007216ED"/>
    <w:rsid w:val="00721E63"/>
    <w:rsid w:val="007301CF"/>
    <w:rsid w:val="007316FB"/>
    <w:rsid w:val="007374D0"/>
    <w:rsid w:val="00737E2D"/>
    <w:rsid w:val="00741347"/>
    <w:rsid w:val="00741B08"/>
    <w:rsid w:val="007424D5"/>
    <w:rsid w:val="00744F45"/>
    <w:rsid w:val="00750A88"/>
    <w:rsid w:val="007523DD"/>
    <w:rsid w:val="007567F2"/>
    <w:rsid w:val="00757B7E"/>
    <w:rsid w:val="007601ED"/>
    <w:rsid w:val="00764260"/>
    <w:rsid w:val="007656B2"/>
    <w:rsid w:val="00766761"/>
    <w:rsid w:val="0077016F"/>
    <w:rsid w:val="007713AD"/>
    <w:rsid w:val="0077368E"/>
    <w:rsid w:val="00775C5C"/>
    <w:rsid w:val="00784629"/>
    <w:rsid w:val="00794E27"/>
    <w:rsid w:val="00795DC5"/>
    <w:rsid w:val="00796D2F"/>
    <w:rsid w:val="00797153"/>
    <w:rsid w:val="007979BF"/>
    <w:rsid w:val="007A21F7"/>
    <w:rsid w:val="007A2B68"/>
    <w:rsid w:val="007A52E5"/>
    <w:rsid w:val="007B0DDA"/>
    <w:rsid w:val="007B4A62"/>
    <w:rsid w:val="007B711D"/>
    <w:rsid w:val="007C2705"/>
    <w:rsid w:val="007D3347"/>
    <w:rsid w:val="007E3E05"/>
    <w:rsid w:val="007E5466"/>
    <w:rsid w:val="007F1737"/>
    <w:rsid w:val="007F1949"/>
    <w:rsid w:val="007F2592"/>
    <w:rsid w:val="00800A08"/>
    <w:rsid w:val="00801F73"/>
    <w:rsid w:val="008035F9"/>
    <w:rsid w:val="00812374"/>
    <w:rsid w:val="008166B0"/>
    <w:rsid w:val="00817A84"/>
    <w:rsid w:val="0082119E"/>
    <w:rsid w:val="008225A4"/>
    <w:rsid w:val="00823357"/>
    <w:rsid w:val="00823C7D"/>
    <w:rsid w:val="00823CE0"/>
    <w:rsid w:val="00824B92"/>
    <w:rsid w:val="00826D5E"/>
    <w:rsid w:val="0082736A"/>
    <w:rsid w:val="00832013"/>
    <w:rsid w:val="0083250F"/>
    <w:rsid w:val="00832DB7"/>
    <w:rsid w:val="00833BCD"/>
    <w:rsid w:val="00834732"/>
    <w:rsid w:val="00842AAA"/>
    <w:rsid w:val="00842D82"/>
    <w:rsid w:val="00845F60"/>
    <w:rsid w:val="00847AC0"/>
    <w:rsid w:val="008514DF"/>
    <w:rsid w:val="0085200C"/>
    <w:rsid w:val="00854A6C"/>
    <w:rsid w:val="00857C52"/>
    <w:rsid w:val="00860D5F"/>
    <w:rsid w:val="00863458"/>
    <w:rsid w:val="008647D7"/>
    <w:rsid w:val="00865926"/>
    <w:rsid w:val="00880A44"/>
    <w:rsid w:val="0088345E"/>
    <w:rsid w:val="0088656F"/>
    <w:rsid w:val="00890443"/>
    <w:rsid w:val="00891EF6"/>
    <w:rsid w:val="008A0303"/>
    <w:rsid w:val="008A5B23"/>
    <w:rsid w:val="008A5FDD"/>
    <w:rsid w:val="008B25B3"/>
    <w:rsid w:val="008B5F43"/>
    <w:rsid w:val="008C04D7"/>
    <w:rsid w:val="008C3947"/>
    <w:rsid w:val="008C454D"/>
    <w:rsid w:val="008D6BCF"/>
    <w:rsid w:val="008E4656"/>
    <w:rsid w:val="008E473B"/>
    <w:rsid w:val="008E51A6"/>
    <w:rsid w:val="008E7329"/>
    <w:rsid w:val="008E75B9"/>
    <w:rsid w:val="008F053A"/>
    <w:rsid w:val="008F2ED5"/>
    <w:rsid w:val="00904334"/>
    <w:rsid w:val="0090549F"/>
    <w:rsid w:val="0092129A"/>
    <w:rsid w:val="00921E3E"/>
    <w:rsid w:val="0092297E"/>
    <w:rsid w:val="00923434"/>
    <w:rsid w:val="00923651"/>
    <w:rsid w:val="00927B56"/>
    <w:rsid w:val="00931AAC"/>
    <w:rsid w:val="00932F3D"/>
    <w:rsid w:val="009341BF"/>
    <w:rsid w:val="00936A9D"/>
    <w:rsid w:val="00937907"/>
    <w:rsid w:val="00941739"/>
    <w:rsid w:val="009478A9"/>
    <w:rsid w:val="00950ADD"/>
    <w:rsid w:val="00951573"/>
    <w:rsid w:val="00951820"/>
    <w:rsid w:val="00955F02"/>
    <w:rsid w:val="00957CBE"/>
    <w:rsid w:val="00957ED0"/>
    <w:rsid w:val="00963003"/>
    <w:rsid w:val="00964286"/>
    <w:rsid w:val="00966AC3"/>
    <w:rsid w:val="00966EEF"/>
    <w:rsid w:val="00971B28"/>
    <w:rsid w:val="00973D51"/>
    <w:rsid w:val="0097702A"/>
    <w:rsid w:val="00977A3B"/>
    <w:rsid w:val="0098228E"/>
    <w:rsid w:val="00983471"/>
    <w:rsid w:val="00983A03"/>
    <w:rsid w:val="009909AB"/>
    <w:rsid w:val="0099144D"/>
    <w:rsid w:val="00991541"/>
    <w:rsid w:val="00992A92"/>
    <w:rsid w:val="009A114D"/>
    <w:rsid w:val="009A179F"/>
    <w:rsid w:val="009A3023"/>
    <w:rsid w:val="009A3D1F"/>
    <w:rsid w:val="009A4F25"/>
    <w:rsid w:val="009A50A3"/>
    <w:rsid w:val="009A5B40"/>
    <w:rsid w:val="009A7928"/>
    <w:rsid w:val="009B0FF8"/>
    <w:rsid w:val="009B31D9"/>
    <w:rsid w:val="009B37DB"/>
    <w:rsid w:val="009C13E0"/>
    <w:rsid w:val="009C5586"/>
    <w:rsid w:val="009C7230"/>
    <w:rsid w:val="009C7A8C"/>
    <w:rsid w:val="009D23F9"/>
    <w:rsid w:val="009D33E7"/>
    <w:rsid w:val="009D4FA8"/>
    <w:rsid w:val="009E08BF"/>
    <w:rsid w:val="009E1AC7"/>
    <w:rsid w:val="009E29F2"/>
    <w:rsid w:val="009E44AE"/>
    <w:rsid w:val="009E6CD6"/>
    <w:rsid w:val="009F4863"/>
    <w:rsid w:val="009F4D66"/>
    <w:rsid w:val="009F64BE"/>
    <w:rsid w:val="009F6B35"/>
    <w:rsid w:val="00A00C3C"/>
    <w:rsid w:val="00A01091"/>
    <w:rsid w:val="00A042B9"/>
    <w:rsid w:val="00A06DBB"/>
    <w:rsid w:val="00A16CC8"/>
    <w:rsid w:val="00A20346"/>
    <w:rsid w:val="00A22ADF"/>
    <w:rsid w:val="00A23A4D"/>
    <w:rsid w:val="00A25044"/>
    <w:rsid w:val="00A2707B"/>
    <w:rsid w:val="00A31E86"/>
    <w:rsid w:val="00A347F1"/>
    <w:rsid w:val="00A348D3"/>
    <w:rsid w:val="00A36B7E"/>
    <w:rsid w:val="00A473AA"/>
    <w:rsid w:val="00A477CE"/>
    <w:rsid w:val="00A47FD5"/>
    <w:rsid w:val="00A54A3B"/>
    <w:rsid w:val="00A54D87"/>
    <w:rsid w:val="00A5553C"/>
    <w:rsid w:val="00A62314"/>
    <w:rsid w:val="00A67196"/>
    <w:rsid w:val="00A67DE2"/>
    <w:rsid w:val="00A701C9"/>
    <w:rsid w:val="00A762AD"/>
    <w:rsid w:val="00A81785"/>
    <w:rsid w:val="00A84803"/>
    <w:rsid w:val="00A84C51"/>
    <w:rsid w:val="00A86D55"/>
    <w:rsid w:val="00A86F2B"/>
    <w:rsid w:val="00A91366"/>
    <w:rsid w:val="00A918F3"/>
    <w:rsid w:val="00A91C99"/>
    <w:rsid w:val="00A93AA6"/>
    <w:rsid w:val="00A944DF"/>
    <w:rsid w:val="00A959B7"/>
    <w:rsid w:val="00A9663D"/>
    <w:rsid w:val="00AA4E48"/>
    <w:rsid w:val="00AA5104"/>
    <w:rsid w:val="00AA6202"/>
    <w:rsid w:val="00AA756E"/>
    <w:rsid w:val="00AA7B57"/>
    <w:rsid w:val="00AB1C66"/>
    <w:rsid w:val="00AB5681"/>
    <w:rsid w:val="00AC005F"/>
    <w:rsid w:val="00AC26FC"/>
    <w:rsid w:val="00AC2BC7"/>
    <w:rsid w:val="00AC4A99"/>
    <w:rsid w:val="00AC64D2"/>
    <w:rsid w:val="00AD0174"/>
    <w:rsid w:val="00AD02E7"/>
    <w:rsid w:val="00AD1CF5"/>
    <w:rsid w:val="00AE0FE8"/>
    <w:rsid w:val="00AE1322"/>
    <w:rsid w:val="00AE3198"/>
    <w:rsid w:val="00AE382D"/>
    <w:rsid w:val="00AF1051"/>
    <w:rsid w:val="00AF16E5"/>
    <w:rsid w:val="00AF37D7"/>
    <w:rsid w:val="00AF60D5"/>
    <w:rsid w:val="00B00959"/>
    <w:rsid w:val="00B04415"/>
    <w:rsid w:val="00B06509"/>
    <w:rsid w:val="00B06B60"/>
    <w:rsid w:val="00B10B9E"/>
    <w:rsid w:val="00B11C76"/>
    <w:rsid w:val="00B11D60"/>
    <w:rsid w:val="00B13D65"/>
    <w:rsid w:val="00B17797"/>
    <w:rsid w:val="00B21805"/>
    <w:rsid w:val="00B21A5D"/>
    <w:rsid w:val="00B258A1"/>
    <w:rsid w:val="00B3072E"/>
    <w:rsid w:val="00B36E15"/>
    <w:rsid w:val="00B37245"/>
    <w:rsid w:val="00B4017A"/>
    <w:rsid w:val="00B4468D"/>
    <w:rsid w:val="00B44B25"/>
    <w:rsid w:val="00B706BC"/>
    <w:rsid w:val="00B71C72"/>
    <w:rsid w:val="00B81E92"/>
    <w:rsid w:val="00B870CE"/>
    <w:rsid w:val="00B87619"/>
    <w:rsid w:val="00B87B84"/>
    <w:rsid w:val="00B87F6A"/>
    <w:rsid w:val="00B87FB3"/>
    <w:rsid w:val="00B905DC"/>
    <w:rsid w:val="00B908D7"/>
    <w:rsid w:val="00B915AB"/>
    <w:rsid w:val="00B925AC"/>
    <w:rsid w:val="00B935E8"/>
    <w:rsid w:val="00B93B30"/>
    <w:rsid w:val="00B94CB5"/>
    <w:rsid w:val="00B96272"/>
    <w:rsid w:val="00B9735E"/>
    <w:rsid w:val="00BA0DD9"/>
    <w:rsid w:val="00BA19F0"/>
    <w:rsid w:val="00BA5DBC"/>
    <w:rsid w:val="00BA5FC9"/>
    <w:rsid w:val="00BB2CE4"/>
    <w:rsid w:val="00BB3FE7"/>
    <w:rsid w:val="00BB6312"/>
    <w:rsid w:val="00BC4BEA"/>
    <w:rsid w:val="00BC4D06"/>
    <w:rsid w:val="00BD0300"/>
    <w:rsid w:val="00BD585E"/>
    <w:rsid w:val="00BD5919"/>
    <w:rsid w:val="00BD6919"/>
    <w:rsid w:val="00BE153D"/>
    <w:rsid w:val="00BE1EA7"/>
    <w:rsid w:val="00BE320B"/>
    <w:rsid w:val="00BE6606"/>
    <w:rsid w:val="00BE7489"/>
    <w:rsid w:val="00BF2E0D"/>
    <w:rsid w:val="00BF36AB"/>
    <w:rsid w:val="00BF3927"/>
    <w:rsid w:val="00BF3F8B"/>
    <w:rsid w:val="00BF76DA"/>
    <w:rsid w:val="00C04112"/>
    <w:rsid w:val="00C0601C"/>
    <w:rsid w:val="00C06201"/>
    <w:rsid w:val="00C07C7B"/>
    <w:rsid w:val="00C10B64"/>
    <w:rsid w:val="00C11BAE"/>
    <w:rsid w:val="00C16245"/>
    <w:rsid w:val="00C16C40"/>
    <w:rsid w:val="00C210B4"/>
    <w:rsid w:val="00C22DC5"/>
    <w:rsid w:val="00C24479"/>
    <w:rsid w:val="00C273F2"/>
    <w:rsid w:val="00C31812"/>
    <w:rsid w:val="00C37B53"/>
    <w:rsid w:val="00C406C2"/>
    <w:rsid w:val="00C41C6B"/>
    <w:rsid w:val="00C439DB"/>
    <w:rsid w:val="00C50D1E"/>
    <w:rsid w:val="00C517D2"/>
    <w:rsid w:val="00C51A47"/>
    <w:rsid w:val="00C542F0"/>
    <w:rsid w:val="00C54E33"/>
    <w:rsid w:val="00C5772E"/>
    <w:rsid w:val="00C62740"/>
    <w:rsid w:val="00C62B36"/>
    <w:rsid w:val="00C63931"/>
    <w:rsid w:val="00C63D1B"/>
    <w:rsid w:val="00C7012C"/>
    <w:rsid w:val="00C712EA"/>
    <w:rsid w:val="00C7255C"/>
    <w:rsid w:val="00C849C5"/>
    <w:rsid w:val="00C8594E"/>
    <w:rsid w:val="00C93E77"/>
    <w:rsid w:val="00C93EE2"/>
    <w:rsid w:val="00C96CE4"/>
    <w:rsid w:val="00CA217D"/>
    <w:rsid w:val="00CA3AFD"/>
    <w:rsid w:val="00CA3E47"/>
    <w:rsid w:val="00CB56BF"/>
    <w:rsid w:val="00CB744C"/>
    <w:rsid w:val="00CC05F1"/>
    <w:rsid w:val="00CC09D4"/>
    <w:rsid w:val="00CC34AF"/>
    <w:rsid w:val="00CC4872"/>
    <w:rsid w:val="00CC668D"/>
    <w:rsid w:val="00CC7832"/>
    <w:rsid w:val="00CD09CB"/>
    <w:rsid w:val="00CD0B3D"/>
    <w:rsid w:val="00CD1F32"/>
    <w:rsid w:val="00CD1F72"/>
    <w:rsid w:val="00CD26AE"/>
    <w:rsid w:val="00CE08D6"/>
    <w:rsid w:val="00CF0408"/>
    <w:rsid w:val="00CF0C1C"/>
    <w:rsid w:val="00CF20D4"/>
    <w:rsid w:val="00CF27FD"/>
    <w:rsid w:val="00CF5F12"/>
    <w:rsid w:val="00D00D8F"/>
    <w:rsid w:val="00D12DE9"/>
    <w:rsid w:val="00D13D66"/>
    <w:rsid w:val="00D16345"/>
    <w:rsid w:val="00D2043F"/>
    <w:rsid w:val="00D214E7"/>
    <w:rsid w:val="00D21C59"/>
    <w:rsid w:val="00D21F3A"/>
    <w:rsid w:val="00D23808"/>
    <w:rsid w:val="00D3016A"/>
    <w:rsid w:val="00D417D2"/>
    <w:rsid w:val="00D42960"/>
    <w:rsid w:val="00D43BD7"/>
    <w:rsid w:val="00D443E3"/>
    <w:rsid w:val="00D4485B"/>
    <w:rsid w:val="00D4708D"/>
    <w:rsid w:val="00D4744C"/>
    <w:rsid w:val="00D521DE"/>
    <w:rsid w:val="00D52F1C"/>
    <w:rsid w:val="00D5470B"/>
    <w:rsid w:val="00D54D68"/>
    <w:rsid w:val="00D57AB7"/>
    <w:rsid w:val="00D6104C"/>
    <w:rsid w:val="00D63068"/>
    <w:rsid w:val="00D6498C"/>
    <w:rsid w:val="00D6547B"/>
    <w:rsid w:val="00D65B3B"/>
    <w:rsid w:val="00D73BB4"/>
    <w:rsid w:val="00D76A70"/>
    <w:rsid w:val="00D83182"/>
    <w:rsid w:val="00D8521E"/>
    <w:rsid w:val="00D874B3"/>
    <w:rsid w:val="00D9291C"/>
    <w:rsid w:val="00D93A97"/>
    <w:rsid w:val="00D94394"/>
    <w:rsid w:val="00D97FEA"/>
    <w:rsid w:val="00DA2145"/>
    <w:rsid w:val="00DA2565"/>
    <w:rsid w:val="00DA6F01"/>
    <w:rsid w:val="00DB1616"/>
    <w:rsid w:val="00DB1F64"/>
    <w:rsid w:val="00DB72FF"/>
    <w:rsid w:val="00DC0109"/>
    <w:rsid w:val="00DC2F53"/>
    <w:rsid w:val="00DC5BAC"/>
    <w:rsid w:val="00DC6816"/>
    <w:rsid w:val="00DC76C2"/>
    <w:rsid w:val="00DC7ECF"/>
    <w:rsid w:val="00DD1CF2"/>
    <w:rsid w:val="00DD2C93"/>
    <w:rsid w:val="00DD33DC"/>
    <w:rsid w:val="00DD5A80"/>
    <w:rsid w:val="00DE22C8"/>
    <w:rsid w:val="00DE4484"/>
    <w:rsid w:val="00DE5DFC"/>
    <w:rsid w:val="00DE6ACC"/>
    <w:rsid w:val="00DF41B7"/>
    <w:rsid w:val="00DF439F"/>
    <w:rsid w:val="00DF4A4A"/>
    <w:rsid w:val="00DF583C"/>
    <w:rsid w:val="00E033CD"/>
    <w:rsid w:val="00E03C3F"/>
    <w:rsid w:val="00E03D36"/>
    <w:rsid w:val="00E056A4"/>
    <w:rsid w:val="00E06FD7"/>
    <w:rsid w:val="00E07417"/>
    <w:rsid w:val="00E170E1"/>
    <w:rsid w:val="00E24D45"/>
    <w:rsid w:val="00E30534"/>
    <w:rsid w:val="00E33DB8"/>
    <w:rsid w:val="00E33EFF"/>
    <w:rsid w:val="00E34387"/>
    <w:rsid w:val="00E3449C"/>
    <w:rsid w:val="00E348BA"/>
    <w:rsid w:val="00E3684C"/>
    <w:rsid w:val="00E369FE"/>
    <w:rsid w:val="00E37C6F"/>
    <w:rsid w:val="00E43449"/>
    <w:rsid w:val="00E45447"/>
    <w:rsid w:val="00E45575"/>
    <w:rsid w:val="00E475F8"/>
    <w:rsid w:val="00E500BB"/>
    <w:rsid w:val="00E5102E"/>
    <w:rsid w:val="00E5305E"/>
    <w:rsid w:val="00E5721C"/>
    <w:rsid w:val="00E60827"/>
    <w:rsid w:val="00E619C6"/>
    <w:rsid w:val="00E745A1"/>
    <w:rsid w:val="00E8102A"/>
    <w:rsid w:val="00E81529"/>
    <w:rsid w:val="00E83A13"/>
    <w:rsid w:val="00E9126B"/>
    <w:rsid w:val="00E93FB2"/>
    <w:rsid w:val="00EA1155"/>
    <w:rsid w:val="00EA14DC"/>
    <w:rsid w:val="00EA35D8"/>
    <w:rsid w:val="00EA6CBB"/>
    <w:rsid w:val="00EA7410"/>
    <w:rsid w:val="00EB2CA6"/>
    <w:rsid w:val="00EB6FC5"/>
    <w:rsid w:val="00EC1511"/>
    <w:rsid w:val="00EC2356"/>
    <w:rsid w:val="00EC2582"/>
    <w:rsid w:val="00EC337C"/>
    <w:rsid w:val="00EC4133"/>
    <w:rsid w:val="00ED0CFF"/>
    <w:rsid w:val="00ED243F"/>
    <w:rsid w:val="00ED31D2"/>
    <w:rsid w:val="00ED38A5"/>
    <w:rsid w:val="00EE05A8"/>
    <w:rsid w:val="00EE0EAC"/>
    <w:rsid w:val="00EE3322"/>
    <w:rsid w:val="00EE33CB"/>
    <w:rsid w:val="00EF2973"/>
    <w:rsid w:val="00EF7DD3"/>
    <w:rsid w:val="00F0061A"/>
    <w:rsid w:val="00F02834"/>
    <w:rsid w:val="00F04EEB"/>
    <w:rsid w:val="00F05467"/>
    <w:rsid w:val="00F055D2"/>
    <w:rsid w:val="00F05BC7"/>
    <w:rsid w:val="00F07CD7"/>
    <w:rsid w:val="00F127E9"/>
    <w:rsid w:val="00F14B5D"/>
    <w:rsid w:val="00F259FC"/>
    <w:rsid w:val="00F2756B"/>
    <w:rsid w:val="00F312CB"/>
    <w:rsid w:val="00F3143C"/>
    <w:rsid w:val="00F31E3E"/>
    <w:rsid w:val="00F36972"/>
    <w:rsid w:val="00F400FE"/>
    <w:rsid w:val="00F42426"/>
    <w:rsid w:val="00F456BC"/>
    <w:rsid w:val="00F50666"/>
    <w:rsid w:val="00F53151"/>
    <w:rsid w:val="00F54682"/>
    <w:rsid w:val="00F55522"/>
    <w:rsid w:val="00F55668"/>
    <w:rsid w:val="00F67D3C"/>
    <w:rsid w:val="00F70C9E"/>
    <w:rsid w:val="00F74A74"/>
    <w:rsid w:val="00F7572C"/>
    <w:rsid w:val="00F82712"/>
    <w:rsid w:val="00F8382C"/>
    <w:rsid w:val="00F839BD"/>
    <w:rsid w:val="00F8539F"/>
    <w:rsid w:val="00F855D7"/>
    <w:rsid w:val="00F900FC"/>
    <w:rsid w:val="00F92035"/>
    <w:rsid w:val="00F92748"/>
    <w:rsid w:val="00F92A24"/>
    <w:rsid w:val="00FA4169"/>
    <w:rsid w:val="00FB0D41"/>
    <w:rsid w:val="00FB2030"/>
    <w:rsid w:val="00FB388C"/>
    <w:rsid w:val="00FC0D45"/>
    <w:rsid w:val="00FC37CC"/>
    <w:rsid w:val="00FC50CC"/>
    <w:rsid w:val="00FC76AB"/>
    <w:rsid w:val="00FD0E46"/>
    <w:rsid w:val="00FD1CF2"/>
    <w:rsid w:val="00FD3EDF"/>
    <w:rsid w:val="00FD492C"/>
    <w:rsid w:val="00FD4B60"/>
    <w:rsid w:val="00FD793C"/>
    <w:rsid w:val="00FE0FD5"/>
    <w:rsid w:val="00FE20E6"/>
    <w:rsid w:val="00FE231B"/>
    <w:rsid w:val="00FE3E3B"/>
    <w:rsid w:val="00FE63F5"/>
    <w:rsid w:val="00FE659C"/>
    <w:rsid w:val="00FE6709"/>
    <w:rsid w:val="00FE6D31"/>
    <w:rsid w:val="00FF00D2"/>
    <w:rsid w:val="00FF3FB1"/>
    <w:rsid w:val="00FF4032"/>
    <w:rsid w:val="00FF6469"/>
    <w:rsid w:val="00FF7E4A"/>
    <w:rsid w:val="2042B827"/>
    <w:rsid w:val="31357FE3"/>
    <w:rsid w:val="3B251BD8"/>
    <w:rsid w:val="4A6A60F2"/>
    <w:rsid w:val="57A7D712"/>
    <w:rsid w:val="66B23060"/>
    <w:rsid w:val="6EB88CC3"/>
    <w:rsid w:val="73DA16C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6A9D"/>
    <w:rPr>
      <w:sz w:val="24"/>
      <w:szCs w:val="24"/>
      <w:lang w:eastAsia="en-GB"/>
    </w:rPr>
  </w:style>
  <w:style w:type="paragraph" w:styleId="Antrat1">
    <w:name w:val="heading 1"/>
    <w:basedOn w:val="prastasis"/>
    <w:next w:val="prastasis"/>
    <w:uiPriority w:val="9"/>
    <w:qFormat/>
    <w:rsid w:val="00A84C51"/>
    <w:pPr>
      <w:keepNext/>
      <w:jc w:val="center"/>
      <w:outlineLvl w:val="0"/>
    </w:pPr>
    <w:rPr>
      <w:b/>
      <w:bCs/>
      <w:caps/>
      <w:lang w:eastAsia="en-US"/>
    </w:rPr>
  </w:style>
  <w:style w:type="paragraph" w:styleId="Antrat2">
    <w:name w:val="heading 2"/>
    <w:basedOn w:val="prastasis"/>
    <w:next w:val="prastasis"/>
    <w:uiPriority w:val="9"/>
    <w:qFormat/>
    <w:rsid w:val="00A84C51"/>
    <w:pPr>
      <w:keepNext/>
      <w:jc w:val="center"/>
      <w:outlineLvl w:val="1"/>
    </w:pPr>
    <w:rPr>
      <w:b/>
      <w:bCs/>
      <w:caps/>
      <w:sz w:val="28"/>
      <w:lang w:eastAsia="en-US"/>
    </w:rPr>
  </w:style>
  <w:style w:type="paragraph" w:styleId="Antrat3">
    <w:name w:val="heading 3"/>
    <w:basedOn w:val="Antrat1"/>
    <w:next w:val="prastasis"/>
    <w:link w:val="Antrat3Diagrama"/>
    <w:uiPriority w:val="9"/>
    <w:semiHidden/>
    <w:unhideWhenUsed/>
    <w:qFormat/>
    <w:rsid w:val="002D7116"/>
    <w:pPr>
      <w:keepNext w:val="0"/>
      <w:spacing w:line="280" w:lineRule="atLeast"/>
      <w:ind w:left="2160" w:hanging="360"/>
      <w:contextualSpacing/>
      <w:jc w:val="left"/>
      <w:outlineLvl w:val="2"/>
    </w:pPr>
    <w:rPr>
      <w:rFonts w:eastAsia="Arial"/>
      <w:bCs w:val="0"/>
      <w:caps w:val="0"/>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rPr>
      <w:lang w:eastAsia="en-US"/>
    </w:rPr>
  </w:style>
  <w:style w:type="paragraph" w:styleId="Porat">
    <w:name w:val="footer"/>
    <w:basedOn w:val="prastasis"/>
    <w:link w:val="PoratDiagrama"/>
    <w:rsid w:val="00A84C51"/>
    <w:pPr>
      <w:tabs>
        <w:tab w:val="center" w:pos="4986"/>
        <w:tab w:val="right" w:pos="9972"/>
      </w:tabs>
    </w:pPr>
    <w:rPr>
      <w:lang w:eastAsia="en-US"/>
    </w:r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lang w:eastAsia="en-US"/>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lang w:eastAsia="en-US"/>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tyl moj,Akapit z listą11,aotm_załączniki,Akapit z listą1,List Paragraph1,Bullet1,Table Legend,Dot pt,F5 List Paragraph,No Spacing1,List Paragraph Char Char Char,Indicator Text,Colorful List - Accent 11,Numbered Para 1,Bullet 1"/>
    <w:basedOn w:val="prastasis"/>
    <w:link w:val="SraopastraipaDiagrama"/>
    <w:uiPriority w:val="34"/>
    <w:qFormat/>
    <w:rsid w:val="00104E2E"/>
    <w:pPr>
      <w:ind w:left="720"/>
      <w:contextualSpacing/>
    </w:pPr>
    <w:rPr>
      <w:lang w:eastAsia="en-US"/>
    </w:r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styleId="Grietas">
    <w:name w:val="Strong"/>
    <w:basedOn w:val="Numatytasispastraiposriftas"/>
    <w:uiPriority w:val="22"/>
    <w:qFormat/>
    <w:rsid w:val="00BB3FE7"/>
    <w:rPr>
      <w:b/>
      <w:bCs/>
    </w:rPr>
  </w:style>
  <w:style w:type="character" w:styleId="Emfaz">
    <w:name w:val="Emphasis"/>
    <w:basedOn w:val="Numatytasispastraiposriftas"/>
    <w:qFormat/>
    <w:rsid w:val="001317EF"/>
    <w:rPr>
      <w:i/>
      <w:iCs/>
    </w:rPr>
  </w:style>
  <w:style w:type="character" w:customStyle="1" w:styleId="SraopastraipaDiagrama">
    <w:name w:val="Sąrašo pastraipa Diagrama"/>
    <w:aliases w:val="Styl moj Diagrama,Akapit z listą11 Diagrama,aotm_załączniki Diagrama,Akapit z listą1 Diagrama,List Paragraph1 Diagrama,Bullet1 Diagrama,Table Legend Diagrama,Dot pt Diagrama,F5 List Paragraph Diagrama,No Spacing1 Diagrama"/>
    <w:link w:val="Sraopastraipa"/>
    <w:uiPriority w:val="34"/>
    <w:qFormat/>
    <w:locked/>
    <w:rsid w:val="00CD1F72"/>
    <w:rPr>
      <w:sz w:val="24"/>
      <w:szCs w:val="24"/>
      <w:lang w:eastAsia="en-US"/>
    </w:rPr>
  </w:style>
  <w:style w:type="character" w:customStyle="1" w:styleId="Antrat3Diagrama">
    <w:name w:val="Antraštė 3 Diagrama"/>
    <w:basedOn w:val="Numatytasispastraiposriftas"/>
    <w:link w:val="Antrat3"/>
    <w:uiPriority w:val="9"/>
    <w:semiHidden/>
    <w:rsid w:val="002D7116"/>
    <w:rPr>
      <w:rFonts w:eastAsia="Arial"/>
      <w:b/>
      <w:sz w:val="24"/>
      <w:szCs w:val="24"/>
      <w:lang w:eastAsia="en-GB"/>
    </w:rPr>
  </w:style>
  <w:style w:type="paragraph" w:styleId="HTMLiankstoformatuotas">
    <w:name w:val="HTML Preformatted"/>
    <w:basedOn w:val="prastasis"/>
    <w:link w:val="HTMLiankstoformatuotasDiagrama"/>
    <w:uiPriority w:val="99"/>
    <w:unhideWhenUsed/>
    <w:rsid w:val="00D13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13D66"/>
    <w:rPr>
      <w:rFonts w:ascii="Courier New" w:hAnsi="Courier New" w:cs="Courier New"/>
      <w:lang w:eastAsia="en-GB"/>
    </w:rPr>
  </w:style>
  <w:style w:type="character" w:customStyle="1" w:styleId="y2iqfc">
    <w:name w:val="y2iqfc"/>
    <w:basedOn w:val="Numatytasispastraiposriftas"/>
    <w:rsid w:val="00D13D66"/>
  </w:style>
  <w:style w:type="character" w:customStyle="1" w:styleId="normaltextrun">
    <w:name w:val="normaltextrun"/>
    <w:basedOn w:val="Numatytasispastraiposriftas"/>
    <w:rsid w:val="0033140A"/>
  </w:style>
  <w:style w:type="paragraph" w:customStyle="1" w:styleId="paragraph">
    <w:name w:val="paragraph"/>
    <w:basedOn w:val="prastasis"/>
    <w:rsid w:val="00964286"/>
    <w:pPr>
      <w:spacing w:before="100" w:beforeAutospacing="1" w:after="100" w:afterAutospacing="1"/>
    </w:pPr>
  </w:style>
  <w:style w:type="character" w:customStyle="1" w:styleId="eop">
    <w:name w:val="eop"/>
    <w:basedOn w:val="Numatytasispastraiposriftas"/>
    <w:rsid w:val="00964286"/>
  </w:style>
  <w:style w:type="character" w:customStyle="1" w:styleId="tabchar">
    <w:name w:val="tabchar"/>
    <w:basedOn w:val="Numatytasispastraiposriftas"/>
    <w:rsid w:val="00964286"/>
  </w:style>
  <w:style w:type="paragraph" w:customStyle="1" w:styleId="Head2">
    <w:name w:val="Head 2"/>
    <w:basedOn w:val="Antrat1"/>
    <w:link w:val="Head2Char"/>
    <w:qFormat/>
    <w:rsid w:val="00C41C6B"/>
    <w:pPr>
      <w:keepNext w:val="0"/>
      <w:widowControl w:val="0"/>
      <w:numPr>
        <w:numId w:val="19"/>
      </w:numPr>
      <w:overflowPunct w:val="0"/>
      <w:autoSpaceDE w:val="0"/>
      <w:autoSpaceDN w:val="0"/>
      <w:adjustRightInd w:val="0"/>
      <w:contextualSpacing/>
      <w:jc w:val="both"/>
      <w:textAlignment w:val="baseline"/>
    </w:pPr>
    <w:rPr>
      <w:bCs w:val="0"/>
      <w:caps w:val="0"/>
      <w:kern w:val="28"/>
      <w:lang w:eastAsia="en-GB"/>
    </w:rPr>
  </w:style>
  <w:style w:type="paragraph" w:customStyle="1" w:styleId="Head3">
    <w:name w:val="Head 3"/>
    <w:basedOn w:val="Antrat1"/>
    <w:qFormat/>
    <w:rsid w:val="00C41C6B"/>
    <w:pPr>
      <w:keepNext w:val="0"/>
      <w:widowControl w:val="0"/>
      <w:numPr>
        <w:ilvl w:val="1"/>
        <w:numId w:val="19"/>
      </w:numPr>
      <w:overflowPunct w:val="0"/>
      <w:autoSpaceDE w:val="0"/>
      <w:autoSpaceDN w:val="0"/>
      <w:adjustRightInd w:val="0"/>
      <w:ind w:left="567" w:hanging="573"/>
      <w:contextualSpacing/>
      <w:jc w:val="both"/>
      <w:textAlignment w:val="baseline"/>
    </w:pPr>
    <w:rPr>
      <w:bCs w:val="0"/>
      <w:caps w:val="0"/>
      <w:kern w:val="28"/>
      <w:lang w:eastAsia="en-GB"/>
    </w:rPr>
  </w:style>
  <w:style w:type="character" w:customStyle="1" w:styleId="Head2Char">
    <w:name w:val="Head 2 Char"/>
    <w:basedOn w:val="Numatytasispastraiposriftas"/>
    <w:link w:val="Head2"/>
    <w:rsid w:val="00C41C6B"/>
    <w:rPr>
      <w:b/>
      <w:kern w:val="28"/>
      <w:sz w:val="24"/>
      <w:szCs w:val="24"/>
      <w:lang w:eastAsia="en-GB"/>
    </w:rPr>
  </w:style>
  <w:style w:type="paragraph" w:styleId="Z-Formospabaiga">
    <w:name w:val="HTML Bottom of Form"/>
    <w:basedOn w:val="prastasis"/>
    <w:next w:val="prastasis"/>
    <w:link w:val="Z-FormospabaigaDiagrama"/>
    <w:hidden/>
    <w:uiPriority w:val="99"/>
    <w:semiHidden/>
    <w:unhideWhenUsed/>
    <w:rsid w:val="00114506"/>
    <w:pPr>
      <w:pBdr>
        <w:top w:val="single" w:sz="6" w:space="1" w:color="auto"/>
      </w:pBdr>
      <w:spacing w:line="276" w:lineRule="auto"/>
      <w:jc w:val="center"/>
    </w:pPr>
    <w:rPr>
      <w:rFonts w:ascii="Arial" w:eastAsia="Arial" w:hAnsi="Arial" w:cs="Arial"/>
      <w:vanish/>
      <w:sz w:val="16"/>
      <w:szCs w:val="16"/>
    </w:rPr>
  </w:style>
  <w:style w:type="character" w:customStyle="1" w:styleId="Z-FormospabaigaDiagrama">
    <w:name w:val="Z-Formos pabaiga Diagrama"/>
    <w:basedOn w:val="Numatytasispastraiposriftas"/>
    <w:link w:val="Z-Formospabaiga"/>
    <w:uiPriority w:val="99"/>
    <w:semiHidden/>
    <w:rsid w:val="00114506"/>
    <w:rPr>
      <w:rFonts w:ascii="Arial" w:eastAsia="Arial" w:hAnsi="Arial" w:cs="Arial"/>
      <w:vanish/>
      <w:sz w:val="16"/>
      <w:szCs w:val="16"/>
      <w:lang w:eastAsia="en-GB"/>
    </w:rPr>
  </w:style>
  <w:style w:type="paragraph" w:styleId="prastasiniatinklio">
    <w:name w:val="Normal (Web)"/>
    <w:basedOn w:val="prastasis"/>
    <w:uiPriority w:val="99"/>
    <w:unhideWhenUsed/>
    <w:rsid w:val="00AB1C66"/>
    <w:pPr>
      <w:spacing w:before="100" w:beforeAutospacing="1" w:after="100" w:afterAutospacing="1"/>
    </w:pPr>
    <w:rPr>
      <w:lang w:eastAsia="lt-LT"/>
    </w:rPr>
  </w:style>
  <w:style w:type="paragraph" w:customStyle="1" w:styleId="Tekstas">
    <w:name w:val="Tekstas"/>
    <w:basedOn w:val="prastasis"/>
    <w:qFormat/>
    <w:rsid w:val="00B87B84"/>
    <w:pPr>
      <w:spacing w:after="120"/>
      <w:jc w:val="both"/>
    </w:pPr>
    <w:rPr>
      <w:lang w:eastAsia="lt-LT"/>
    </w:rPr>
  </w:style>
  <w:style w:type="paragraph" w:styleId="Antrat">
    <w:name w:val="caption"/>
    <w:aliases w:val="Tables and Figures,NICE Caption,- H17,Caption 3,TableCaption,Table caption,Char1,c,fig cadre,Caption Char Char,Caption Char Char Char Char,fig cadre Char2,Caption Char2,fig cadre Char Char,Char,SMC Caption,AW Caption,IB Caption,Medical Caption"/>
    <w:basedOn w:val="prastasis"/>
    <w:next w:val="prastasis"/>
    <w:link w:val="AntratDiagrama"/>
    <w:unhideWhenUsed/>
    <w:qFormat/>
    <w:rsid w:val="00C93EE2"/>
    <w:pPr>
      <w:keepNext/>
      <w:spacing w:after="60"/>
      <w:jc w:val="both"/>
    </w:pPr>
    <w:rPr>
      <w:bCs/>
      <w:color w:val="365F91" w:themeColor="accent1" w:themeShade="BF"/>
      <w:sz w:val="23"/>
      <w:szCs w:val="18"/>
      <w:lang w:eastAsia="lt-LT"/>
    </w:rPr>
  </w:style>
  <w:style w:type="character" w:customStyle="1" w:styleId="AntratDiagrama">
    <w:name w:val="Antraštė Diagrama"/>
    <w:aliases w:val="Tables and Figures Diagrama,NICE Caption Diagrama,- H17 Diagrama,Caption 3 Diagrama,TableCaption Diagrama,Table caption Diagrama,Char1 Diagrama,c Diagrama,fig cadre Diagrama,Caption Char Char Diagrama,fig cadre Char2 Diagrama"/>
    <w:basedOn w:val="Numatytasispastraiposriftas"/>
    <w:link w:val="Antrat"/>
    <w:rsid w:val="00C93EE2"/>
    <w:rPr>
      <w:bCs/>
      <w:color w:val="365F91" w:themeColor="accent1" w:themeShade="BF"/>
      <w:sz w:val="23"/>
      <w:szCs w:val="18"/>
    </w:rPr>
  </w:style>
  <w:style w:type="paragraph" w:customStyle="1" w:styleId="VVKT">
    <w:name w:val="VVKT"/>
    <w:link w:val="VVKTChar"/>
    <w:qFormat/>
    <w:rsid w:val="00F82712"/>
    <w:pPr>
      <w:widowControl w:val="0"/>
      <w:spacing w:after="60" w:line="276" w:lineRule="auto"/>
      <w:ind w:firstLine="576"/>
    </w:pPr>
    <w:rPr>
      <w:sz w:val="24"/>
      <w:lang w:eastAsia="en-US"/>
    </w:rPr>
  </w:style>
  <w:style w:type="character" w:customStyle="1" w:styleId="VVKTChar">
    <w:name w:val="VVKT Char"/>
    <w:link w:val="VVKT"/>
    <w:rsid w:val="00F8271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1519">
      <w:bodyDiv w:val="1"/>
      <w:marLeft w:val="0"/>
      <w:marRight w:val="0"/>
      <w:marTop w:val="0"/>
      <w:marBottom w:val="0"/>
      <w:divBdr>
        <w:top w:val="none" w:sz="0" w:space="0" w:color="auto"/>
        <w:left w:val="none" w:sz="0" w:space="0" w:color="auto"/>
        <w:bottom w:val="none" w:sz="0" w:space="0" w:color="auto"/>
        <w:right w:val="none" w:sz="0" w:space="0" w:color="auto"/>
      </w:divBdr>
    </w:div>
    <w:div w:id="723528670">
      <w:bodyDiv w:val="1"/>
      <w:marLeft w:val="0"/>
      <w:marRight w:val="0"/>
      <w:marTop w:val="0"/>
      <w:marBottom w:val="0"/>
      <w:divBdr>
        <w:top w:val="none" w:sz="0" w:space="0" w:color="auto"/>
        <w:left w:val="none" w:sz="0" w:space="0" w:color="auto"/>
        <w:bottom w:val="none" w:sz="0" w:space="0" w:color="auto"/>
        <w:right w:val="none" w:sz="0" w:space="0" w:color="auto"/>
      </w:divBdr>
    </w:div>
    <w:div w:id="888764114">
      <w:bodyDiv w:val="1"/>
      <w:marLeft w:val="0"/>
      <w:marRight w:val="0"/>
      <w:marTop w:val="0"/>
      <w:marBottom w:val="0"/>
      <w:divBdr>
        <w:top w:val="none" w:sz="0" w:space="0" w:color="auto"/>
        <w:left w:val="none" w:sz="0" w:space="0" w:color="auto"/>
        <w:bottom w:val="none" w:sz="0" w:space="0" w:color="auto"/>
        <w:right w:val="none" w:sz="0" w:space="0" w:color="auto"/>
      </w:divBdr>
    </w:div>
    <w:div w:id="962617311">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446657043">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849102165">
      <w:bodyDiv w:val="1"/>
      <w:marLeft w:val="0"/>
      <w:marRight w:val="0"/>
      <w:marTop w:val="0"/>
      <w:marBottom w:val="0"/>
      <w:divBdr>
        <w:top w:val="none" w:sz="0" w:space="0" w:color="auto"/>
        <w:left w:val="none" w:sz="0" w:space="0" w:color="auto"/>
        <w:bottom w:val="none" w:sz="0" w:space="0" w:color="auto"/>
        <w:right w:val="none" w:sz="0" w:space="0" w:color="auto"/>
      </w:divBdr>
      <w:divsChild>
        <w:div w:id="1890605878">
          <w:marLeft w:val="0"/>
          <w:marRight w:val="0"/>
          <w:marTop w:val="300"/>
          <w:marBottom w:val="0"/>
          <w:divBdr>
            <w:top w:val="none" w:sz="0" w:space="0" w:color="auto"/>
            <w:left w:val="none" w:sz="0" w:space="0" w:color="auto"/>
            <w:bottom w:val="none" w:sz="0" w:space="0" w:color="auto"/>
            <w:right w:val="none" w:sz="0" w:space="0" w:color="auto"/>
          </w:divBdr>
          <w:divsChild>
            <w:div w:id="1264337994">
              <w:marLeft w:val="0"/>
              <w:marRight w:val="0"/>
              <w:marTop w:val="0"/>
              <w:marBottom w:val="0"/>
              <w:divBdr>
                <w:top w:val="none" w:sz="0" w:space="0" w:color="auto"/>
                <w:left w:val="none" w:sz="0" w:space="0" w:color="auto"/>
                <w:bottom w:val="none" w:sz="0" w:space="0" w:color="auto"/>
                <w:right w:val="none" w:sz="0" w:space="0" w:color="auto"/>
              </w:divBdr>
            </w:div>
          </w:divsChild>
        </w:div>
        <w:div w:id="587740550">
          <w:marLeft w:val="1500"/>
          <w:marRight w:val="0"/>
          <w:marTop w:val="0"/>
          <w:marBottom w:val="0"/>
          <w:divBdr>
            <w:top w:val="none" w:sz="0" w:space="0" w:color="auto"/>
            <w:left w:val="none" w:sz="0" w:space="0" w:color="auto"/>
            <w:bottom w:val="none" w:sz="0" w:space="0" w:color="auto"/>
            <w:right w:val="none" w:sz="0" w:space="0" w:color="auto"/>
          </w:divBdr>
          <w:divsChild>
            <w:div w:id="392657205">
              <w:marLeft w:val="0"/>
              <w:marRight w:val="0"/>
              <w:marTop w:val="0"/>
              <w:marBottom w:val="0"/>
              <w:divBdr>
                <w:top w:val="none" w:sz="0" w:space="0" w:color="auto"/>
                <w:left w:val="none" w:sz="0" w:space="0" w:color="auto"/>
                <w:bottom w:val="none" w:sz="0" w:space="0" w:color="auto"/>
                <w:right w:val="none" w:sz="0" w:space="0" w:color="auto"/>
              </w:divBdr>
              <w:divsChild>
                <w:div w:id="1029531432">
                  <w:marLeft w:val="0"/>
                  <w:marRight w:val="0"/>
                  <w:marTop w:val="0"/>
                  <w:marBottom w:val="60"/>
                  <w:divBdr>
                    <w:top w:val="none" w:sz="0" w:space="0" w:color="auto"/>
                    <w:left w:val="none" w:sz="0" w:space="0" w:color="auto"/>
                    <w:bottom w:val="none" w:sz="0" w:space="0" w:color="auto"/>
                    <w:right w:val="none" w:sz="0" w:space="0" w:color="auto"/>
                  </w:divBdr>
                  <w:divsChild>
                    <w:div w:id="152201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1B4C5CCF95B043934E57A4B9984E0B"/>
        <w:category>
          <w:name w:val="General"/>
          <w:gallery w:val="placeholder"/>
        </w:category>
        <w:types>
          <w:type w:val="bbPlcHdr"/>
        </w:types>
        <w:behaviors>
          <w:behavior w:val="content"/>
        </w:behaviors>
        <w:guid w:val="{F302948F-B32E-634B-A849-5AB3C74AD77F}"/>
      </w:docPartPr>
      <w:docPartBody>
        <w:p w:rsidR="00E93D01" w:rsidRDefault="00F3435D" w:rsidP="00F3435D">
          <w:pPr>
            <w:pStyle w:val="EA1B4C5CCF95B043934E57A4B9984E0B"/>
          </w:pPr>
          <w:r>
            <w:rPr>
              <w:rStyle w:val="Vietosrezervavimoenklotekstas"/>
            </w:rPr>
            <w:t>Click here to enter a date.</w:t>
          </w:r>
        </w:p>
      </w:docPartBody>
    </w:docPart>
    <w:docPart>
      <w:docPartPr>
        <w:name w:val="D180983D3E1B7043B64BDE945D646BD8"/>
        <w:category>
          <w:name w:val="General"/>
          <w:gallery w:val="placeholder"/>
        </w:category>
        <w:types>
          <w:type w:val="bbPlcHdr"/>
        </w:types>
        <w:behaviors>
          <w:behavior w:val="content"/>
        </w:behaviors>
        <w:guid w:val="{02390894-1909-1541-8F5E-0DE58E745BBC}"/>
      </w:docPartPr>
      <w:docPartBody>
        <w:p w:rsidR="00E93D01" w:rsidRDefault="00F3435D" w:rsidP="00F3435D">
          <w:pPr>
            <w:pStyle w:val="D180983D3E1B7043B64BDE945D646BD8"/>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352CB"/>
    <w:rsid w:val="00057142"/>
    <w:rsid w:val="00061157"/>
    <w:rsid w:val="000738A4"/>
    <w:rsid w:val="000937FE"/>
    <w:rsid w:val="00097290"/>
    <w:rsid w:val="000A559A"/>
    <w:rsid w:val="000B0F37"/>
    <w:rsid w:val="000D24D4"/>
    <w:rsid w:val="00104DD4"/>
    <w:rsid w:val="00160497"/>
    <w:rsid w:val="001C35A9"/>
    <w:rsid w:val="00237556"/>
    <w:rsid w:val="002C589F"/>
    <w:rsid w:val="002E2EF8"/>
    <w:rsid w:val="0039303B"/>
    <w:rsid w:val="003C4CC5"/>
    <w:rsid w:val="004144A3"/>
    <w:rsid w:val="004160E7"/>
    <w:rsid w:val="004416C6"/>
    <w:rsid w:val="004B375D"/>
    <w:rsid w:val="004F5AB2"/>
    <w:rsid w:val="005074B9"/>
    <w:rsid w:val="00582BA0"/>
    <w:rsid w:val="005E40DD"/>
    <w:rsid w:val="006E3C0A"/>
    <w:rsid w:val="00712847"/>
    <w:rsid w:val="007219C1"/>
    <w:rsid w:val="00753462"/>
    <w:rsid w:val="00772325"/>
    <w:rsid w:val="007A2FE0"/>
    <w:rsid w:val="007C6D1D"/>
    <w:rsid w:val="007E3B55"/>
    <w:rsid w:val="0090074D"/>
    <w:rsid w:val="00972F31"/>
    <w:rsid w:val="009B28D3"/>
    <w:rsid w:val="009B3BF0"/>
    <w:rsid w:val="009D5E5E"/>
    <w:rsid w:val="009F1BB4"/>
    <w:rsid w:val="00AA4DF5"/>
    <w:rsid w:val="00AB6ED4"/>
    <w:rsid w:val="00B14210"/>
    <w:rsid w:val="00B23DC0"/>
    <w:rsid w:val="00B529BE"/>
    <w:rsid w:val="00B96656"/>
    <w:rsid w:val="00BD6185"/>
    <w:rsid w:val="00BE29C1"/>
    <w:rsid w:val="00C2401D"/>
    <w:rsid w:val="00C53A68"/>
    <w:rsid w:val="00C74871"/>
    <w:rsid w:val="00CA5BB4"/>
    <w:rsid w:val="00CB4BD1"/>
    <w:rsid w:val="00CE2DA9"/>
    <w:rsid w:val="00CE44BE"/>
    <w:rsid w:val="00D4356B"/>
    <w:rsid w:val="00D56BFB"/>
    <w:rsid w:val="00D66EF1"/>
    <w:rsid w:val="00D7162F"/>
    <w:rsid w:val="00DE4057"/>
    <w:rsid w:val="00E26D3F"/>
    <w:rsid w:val="00E44A86"/>
    <w:rsid w:val="00E47C2E"/>
    <w:rsid w:val="00E522EB"/>
    <w:rsid w:val="00E60827"/>
    <w:rsid w:val="00E71B68"/>
    <w:rsid w:val="00E73FF6"/>
    <w:rsid w:val="00E93D01"/>
    <w:rsid w:val="00EB735D"/>
    <w:rsid w:val="00EF6E0C"/>
    <w:rsid w:val="00F3435D"/>
    <w:rsid w:val="00F55028"/>
    <w:rsid w:val="00F77BEF"/>
    <w:rsid w:val="00FC755C"/>
    <w:rsid w:val="00FD499F"/>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3435D"/>
    <w:rPr>
      <w:color w:val="808080"/>
    </w:rPr>
  </w:style>
  <w:style w:type="paragraph" w:customStyle="1" w:styleId="EA1B4C5CCF95B043934E57A4B9984E0B">
    <w:name w:val="EA1B4C5CCF95B043934E57A4B9984E0B"/>
    <w:rsid w:val="00F3435D"/>
    <w:pPr>
      <w:spacing w:after="0" w:line="240" w:lineRule="auto"/>
    </w:pPr>
    <w:rPr>
      <w:sz w:val="24"/>
      <w:szCs w:val="24"/>
      <w:lang w:eastAsia="en-GB"/>
    </w:rPr>
  </w:style>
  <w:style w:type="paragraph" w:customStyle="1" w:styleId="D180983D3E1B7043B64BDE945D646BD8">
    <w:name w:val="D180983D3E1B7043B64BDE945D646BD8"/>
    <w:rsid w:val="00F3435D"/>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52905-7E05-4C4F-A358-8DBEEE11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2032</Words>
  <Characters>14455</Characters>
  <Application>Microsoft Office Word</Application>
  <DocSecurity>0</DocSecurity>
  <Lines>120</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2023-02-04T19:41:00Z</dcterms:created>
  <dcterms:modified xsi:type="dcterms:W3CDTF">2023-02-13T13:12:00Z</dcterms:modified>
</cp:coreProperties>
</file>