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33595B" w:rsidRDefault="005F7602" w:rsidP="0033595B">
      <w:pPr>
        <w:spacing w:line="276" w:lineRule="auto"/>
        <w:ind w:left="5529"/>
      </w:pPr>
    </w:p>
    <w:p w14:paraId="12FA4B9E" w14:textId="77777777" w:rsidR="001B3C5B" w:rsidRPr="0033595B" w:rsidRDefault="001B3C5B" w:rsidP="0033595B">
      <w:pPr>
        <w:spacing w:line="276" w:lineRule="auto"/>
        <w:ind w:left="6096"/>
      </w:pPr>
      <w:r w:rsidRPr="0033595B">
        <w:t>Forma patvirtinta</w:t>
      </w:r>
    </w:p>
    <w:p w14:paraId="7206970B" w14:textId="70E9BD2E" w:rsidR="004C263A" w:rsidRPr="0033595B" w:rsidRDefault="001B3C5B" w:rsidP="0033595B">
      <w:pPr>
        <w:spacing w:line="276" w:lineRule="auto"/>
        <w:ind w:left="6096"/>
      </w:pPr>
      <w:r w:rsidRPr="0033595B">
        <w:t>Valstybinės vaistų kontrolės tarnybos prie Lietuvos Respublikos sveikatos apsaugos ministerijos viršininko 2021 m</w:t>
      </w:r>
      <w:r w:rsidR="004C263A" w:rsidRPr="0033595B">
        <w:t xml:space="preserve">. lapkričio 12 </w:t>
      </w:r>
      <w:r w:rsidRPr="0033595B">
        <w:t>d. įsakymu Nr.</w:t>
      </w:r>
      <w:r w:rsidR="004C263A" w:rsidRPr="0033595B">
        <w:t xml:space="preserve"> (1.72E)1A-1418</w:t>
      </w:r>
    </w:p>
    <w:p w14:paraId="5B219AA6" w14:textId="520B9136" w:rsidR="001B3C5B" w:rsidRPr="0033595B" w:rsidRDefault="004C263A" w:rsidP="0033595B">
      <w:pPr>
        <w:spacing w:line="276" w:lineRule="auto"/>
        <w:ind w:left="6096"/>
      </w:pPr>
      <w:r w:rsidRPr="0033595B">
        <w:t>(Valstybinės vaistų kontrolės tarnybos prie Lietuvos Respublikos sveikatos apsaugos ministerijos viršininko 2022 m.                         d. įsakymo Nr.                    redakcija)</w:t>
      </w:r>
    </w:p>
    <w:p w14:paraId="3336BD74" w14:textId="77777777" w:rsidR="001B3C5B" w:rsidRPr="0033595B" w:rsidRDefault="001B3C5B" w:rsidP="0033595B">
      <w:pPr>
        <w:spacing w:line="276" w:lineRule="auto"/>
      </w:pPr>
    </w:p>
    <w:p w14:paraId="77AFB67E" w14:textId="16397257" w:rsidR="00613501" w:rsidRPr="0033595B" w:rsidRDefault="002F0E4F" w:rsidP="0033595B">
      <w:pPr>
        <w:spacing w:line="276" w:lineRule="auto"/>
        <w:jc w:val="center"/>
        <w:rPr>
          <w:b/>
          <w:bCs/>
          <w:caps/>
        </w:rPr>
      </w:pPr>
      <w:r w:rsidRPr="0033595B">
        <w:rPr>
          <w:b/>
        </w:rPr>
        <w:t xml:space="preserve">REKOMENDACIJA DĖL VAISTINIO PREPARATO </w:t>
      </w:r>
      <w:r w:rsidRPr="0033595B">
        <w:rPr>
          <w:b/>
          <w:bCs/>
          <w:caps/>
        </w:rPr>
        <w:t>Lietuvos Respublikos Sveikatos apsaugos ministerijos vaistinių preparatų ir medicinos pagalbos priemonių kompensavimo komisijai</w:t>
      </w:r>
    </w:p>
    <w:p w14:paraId="34E4395D" w14:textId="15FB10DF" w:rsidR="00B13D65" w:rsidRPr="0033595B" w:rsidRDefault="00B13D65" w:rsidP="0033595B">
      <w:pPr>
        <w:spacing w:line="276" w:lineRule="auto"/>
        <w:jc w:val="center"/>
        <w:rPr>
          <w:b/>
        </w:rPr>
      </w:pPr>
    </w:p>
    <w:p w14:paraId="58531B1D" w14:textId="30112552" w:rsidR="0033595B" w:rsidRPr="0033595B" w:rsidRDefault="0033595B" w:rsidP="0033595B">
      <w:pPr>
        <w:spacing w:line="276" w:lineRule="auto"/>
        <w:jc w:val="center"/>
        <w:rPr>
          <w:b/>
          <w:sz w:val="26"/>
          <w:szCs w:val="26"/>
        </w:rPr>
      </w:pPr>
      <w:proofErr w:type="spellStart"/>
      <w:r w:rsidRPr="0033595B">
        <w:rPr>
          <w:b/>
          <w:sz w:val="26"/>
          <w:szCs w:val="26"/>
        </w:rPr>
        <w:t>Kaftrio</w:t>
      </w:r>
      <w:proofErr w:type="spellEnd"/>
      <w:r w:rsidRPr="0033595B">
        <w:rPr>
          <w:b/>
          <w:sz w:val="26"/>
          <w:szCs w:val="26"/>
        </w:rPr>
        <w:t xml:space="preserve"> + </w:t>
      </w:r>
      <w:proofErr w:type="spellStart"/>
      <w:r w:rsidRPr="0033595B">
        <w:rPr>
          <w:b/>
          <w:sz w:val="26"/>
          <w:szCs w:val="26"/>
        </w:rPr>
        <w:t>Kalydeco</w:t>
      </w:r>
      <w:proofErr w:type="spellEnd"/>
    </w:p>
    <w:p w14:paraId="1CD1771C" w14:textId="77777777" w:rsidR="0033595B" w:rsidRPr="0033595B" w:rsidRDefault="0033595B" w:rsidP="0033595B">
      <w:pPr>
        <w:spacing w:line="276" w:lineRule="auto"/>
        <w:jc w:val="center"/>
        <w:rPr>
          <w:sz w:val="26"/>
          <w:szCs w:val="26"/>
        </w:rPr>
      </w:pPr>
    </w:p>
    <w:p w14:paraId="1C8C922A" w14:textId="5F44162F" w:rsidR="0033595B" w:rsidRPr="0033595B" w:rsidRDefault="00D739EF" w:rsidP="0033595B">
      <w:pPr>
        <w:spacing w:line="276" w:lineRule="auto"/>
        <w:jc w:val="center"/>
        <w:rPr>
          <w:b/>
          <w:sz w:val="26"/>
          <w:szCs w:val="26"/>
        </w:rPr>
      </w:pPr>
      <w:proofErr w:type="spellStart"/>
      <w:r w:rsidRPr="0033595B">
        <w:rPr>
          <w:b/>
          <w:sz w:val="26"/>
          <w:szCs w:val="26"/>
        </w:rPr>
        <w:t>Ivakaftoras</w:t>
      </w:r>
      <w:proofErr w:type="spellEnd"/>
      <w:r w:rsidRPr="0033595B">
        <w:rPr>
          <w:b/>
          <w:sz w:val="26"/>
          <w:szCs w:val="26"/>
        </w:rPr>
        <w:t>/</w:t>
      </w:r>
      <w:proofErr w:type="spellStart"/>
      <w:r w:rsidRPr="0033595B">
        <w:rPr>
          <w:b/>
          <w:sz w:val="26"/>
          <w:szCs w:val="26"/>
        </w:rPr>
        <w:t>Tezakaftoras</w:t>
      </w:r>
      <w:proofErr w:type="spellEnd"/>
      <w:r w:rsidRPr="0033595B">
        <w:rPr>
          <w:b/>
          <w:sz w:val="26"/>
          <w:szCs w:val="26"/>
        </w:rPr>
        <w:t>/</w:t>
      </w:r>
      <w:proofErr w:type="spellStart"/>
      <w:r w:rsidRPr="0033595B">
        <w:rPr>
          <w:b/>
          <w:sz w:val="26"/>
          <w:szCs w:val="26"/>
        </w:rPr>
        <w:t>Eleksakaftoras</w:t>
      </w:r>
      <w:proofErr w:type="spellEnd"/>
      <w:r w:rsidRPr="0033595B">
        <w:rPr>
          <w:b/>
          <w:sz w:val="26"/>
          <w:szCs w:val="26"/>
        </w:rPr>
        <w:t xml:space="preserve"> 75/50/100 mg </w:t>
      </w:r>
      <w:r w:rsidR="0033595B" w:rsidRPr="0033595B">
        <w:rPr>
          <w:b/>
          <w:sz w:val="26"/>
          <w:szCs w:val="26"/>
        </w:rPr>
        <w:t>plėvele dengtos tabletės</w:t>
      </w:r>
    </w:p>
    <w:p w14:paraId="5553ED59" w14:textId="57D0147F" w:rsidR="00D739EF" w:rsidRPr="0033595B" w:rsidRDefault="00D739EF" w:rsidP="0033595B">
      <w:pPr>
        <w:spacing w:line="276" w:lineRule="auto"/>
        <w:jc w:val="center"/>
        <w:rPr>
          <w:b/>
          <w:sz w:val="26"/>
          <w:szCs w:val="26"/>
        </w:rPr>
      </w:pPr>
      <w:proofErr w:type="spellStart"/>
      <w:r w:rsidRPr="0033595B">
        <w:rPr>
          <w:b/>
          <w:sz w:val="26"/>
          <w:szCs w:val="26"/>
        </w:rPr>
        <w:t>Ivakaftoras</w:t>
      </w:r>
      <w:proofErr w:type="spellEnd"/>
      <w:r w:rsidRPr="0033595B">
        <w:rPr>
          <w:b/>
          <w:sz w:val="26"/>
          <w:szCs w:val="26"/>
        </w:rPr>
        <w:t xml:space="preserve"> 150 mg plėvele dengtos tabletės</w:t>
      </w:r>
    </w:p>
    <w:p w14:paraId="52564235" w14:textId="77777777" w:rsidR="00D739EF" w:rsidRPr="0033595B" w:rsidRDefault="00D739EF" w:rsidP="0033595B">
      <w:pPr>
        <w:spacing w:line="276" w:lineRule="auto"/>
        <w:rPr>
          <w:sz w:val="26"/>
          <w:szCs w:val="26"/>
        </w:rPr>
      </w:pPr>
    </w:p>
    <w:p w14:paraId="5236C3D2" w14:textId="77777777" w:rsidR="00D739EF" w:rsidRPr="0033595B" w:rsidRDefault="00D739EF" w:rsidP="0033595B">
      <w:pPr>
        <w:spacing w:line="276" w:lineRule="auto"/>
        <w:jc w:val="center"/>
        <w:rPr>
          <w:b/>
        </w:rPr>
      </w:pPr>
      <w:r w:rsidRPr="0033595B">
        <w:rPr>
          <w:b/>
        </w:rPr>
        <w:t>STV-86</w:t>
      </w:r>
    </w:p>
    <w:p w14:paraId="453197C8" w14:textId="4146D486" w:rsidR="00D4708D" w:rsidRPr="0033595B" w:rsidRDefault="00D4708D" w:rsidP="0033595B">
      <w:pPr>
        <w:spacing w:line="276" w:lineRule="auto"/>
        <w:jc w:val="center"/>
        <w:rPr>
          <w:b/>
          <w:sz w:val="26"/>
          <w:szCs w:val="26"/>
        </w:rPr>
      </w:pPr>
    </w:p>
    <w:p w14:paraId="1987A5B5" w14:textId="77777777" w:rsidR="00CE12C2" w:rsidRPr="0033595B" w:rsidRDefault="00CE12C2" w:rsidP="0033595B">
      <w:pPr>
        <w:spacing w:line="276" w:lineRule="auto"/>
        <w:jc w:val="center"/>
        <w:rPr>
          <w:b/>
        </w:rPr>
      </w:pPr>
    </w:p>
    <w:p w14:paraId="78C89D1C" w14:textId="095241E9" w:rsidR="00D4485B" w:rsidRPr="0033595B" w:rsidRDefault="00B13D65" w:rsidP="0033595B">
      <w:pPr>
        <w:pStyle w:val="Sraopastraipa"/>
        <w:numPr>
          <w:ilvl w:val="0"/>
          <w:numId w:val="12"/>
        </w:numPr>
        <w:tabs>
          <w:tab w:val="left" w:pos="284"/>
        </w:tabs>
        <w:spacing w:line="276" w:lineRule="auto"/>
        <w:rPr>
          <w:b/>
          <w:bCs/>
          <w:caps/>
        </w:rPr>
      </w:pPr>
      <w:r w:rsidRPr="0033595B">
        <w:rPr>
          <w:b/>
          <w:bCs/>
          <w:caps/>
        </w:rPr>
        <w:t>Bendroji dalis</w:t>
      </w:r>
    </w:p>
    <w:p w14:paraId="108176F7" w14:textId="19C05FA3" w:rsidR="00F70C9E" w:rsidRPr="0033595B" w:rsidRDefault="00F70C9E" w:rsidP="0033595B">
      <w:pPr>
        <w:pStyle w:val="Sraopastraipa"/>
        <w:tabs>
          <w:tab w:val="left" w:pos="426"/>
        </w:tabs>
        <w:spacing w:line="276" w:lineRule="auto"/>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1E451D" w:rsidRPr="000203E1" w14:paraId="7C8CDC14" w14:textId="77777777" w:rsidTr="001E451D">
        <w:trPr>
          <w:trHeight w:val="538"/>
        </w:trPr>
        <w:tc>
          <w:tcPr>
            <w:tcW w:w="632" w:type="dxa"/>
            <w:vAlign w:val="center"/>
          </w:tcPr>
          <w:p w14:paraId="5CC3BFC6" w14:textId="77777777" w:rsidR="001E451D" w:rsidRPr="000203E1" w:rsidRDefault="001E451D" w:rsidP="001E451D">
            <w:pPr>
              <w:rPr>
                <w:rFonts w:eastAsia="Arial"/>
              </w:rPr>
            </w:pPr>
            <w:r w:rsidRPr="000203E1">
              <w:rPr>
                <w:rFonts w:eastAsia="Arial"/>
              </w:rPr>
              <w:t>1.1</w:t>
            </w:r>
          </w:p>
        </w:tc>
        <w:tc>
          <w:tcPr>
            <w:tcW w:w="3694" w:type="dxa"/>
            <w:vAlign w:val="center"/>
          </w:tcPr>
          <w:p w14:paraId="25986D86" w14:textId="7B062580" w:rsidR="001E451D" w:rsidRPr="000203E1" w:rsidRDefault="001E451D" w:rsidP="001E451D">
            <w:pPr>
              <w:rPr>
                <w:rFonts w:eastAsia="Arial"/>
              </w:rPr>
            </w:pPr>
            <w:r w:rsidRPr="000203E1">
              <w:rPr>
                <w:rFonts w:eastAsia="Arial"/>
              </w:rPr>
              <w:t>Pareiškėjas</w:t>
            </w:r>
          </w:p>
        </w:tc>
        <w:tc>
          <w:tcPr>
            <w:tcW w:w="5167" w:type="dxa"/>
            <w:vAlign w:val="center"/>
          </w:tcPr>
          <w:p w14:paraId="35619B3A" w14:textId="72D88A26" w:rsidR="001E451D" w:rsidRPr="000203E1" w:rsidRDefault="001E451D" w:rsidP="001E451D">
            <w:pPr>
              <w:rPr>
                <w:rFonts w:eastAsia="Arial"/>
              </w:rPr>
            </w:pPr>
            <w:r w:rsidRPr="0033595B">
              <w:t>UAB „</w:t>
            </w:r>
            <w:proofErr w:type="spellStart"/>
            <w:r w:rsidRPr="0033595B">
              <w:t>Medison</w:t>
            </w:r>
            <w:proofErr w:type="spellEnd"/>
            <w:r w:rsidRPr="0033595B">
              <w:t xml:space="preserve"> </w:t>
            </w:r>
            <w:proofErr w:type="spellStart"/>
            <w:r w:rsidRPr="0033595B">
              <w:t>Pharma</w:t>
            </w:r>
            <w:proofErr w:type="spellEnd"/>
            <w:r w:rsidRPr="0033595B">
              <w:t xml:space="preserve"> Lithuania“</w:t>
            </w:r>
          </w:p>
        </w:tc>
      </w:tr>
      <w:tr w:rsidR="001E451D" w:rsidRPr="000203E1" w14:paraId="1808B234" w14:textId="77777777" w:rsidTr="001E451D">
        <w:trPr>
          <w:trHeight w:val="538"/>
        </w:trPr>
        <w:tc>
          <w:tcPr>
            <w:tcW w:w="632" w:type="dxa"/>
            <w:vAlign w:val="center"/>
          </w:tcPr>
          <w:p w14:paraId="42E3ED91" w14:textId="77777777" w:rsidR="001E451D" w:rsidRPr="000203E1" w:rsidRDefault="001E451D" w:rsidP="001E451D">
            <w:pPr>
              <w:rPr>
                <w:rFonts w:eastAsia="Arial"/>
              </w:rPr>
            </w:pPr>
            <w:r w:rsidRPr="000203E1">
              <w:rPr>
                <w:rFonts w:eastAsia="Arial"/>
              </w:rPr>
              <w:t>1.2</w:t>
            </w:r>
          </w:p>
        </w:tc>
        <w:tc>
          <w:tcPr>
            <w:tcW w:w="3694" w:type="dxa"/>
            <w:vAlign w:val="center"/>
          </w:tcPr>
          <w:p w14:paraId="35DE7AE7" w14:textId="245F672E" w:rsidR="001E451D" w:rsidRPr="000203E1" w:rsidRDefault="001E451D" w:rsidP="001E451D">
            <w:pPr>
              <w:rPr>
                <w:bCs/>
                <w:lang w:eastAsia="lt-LT"/>
              </w:rPr>
            </w:pPr>
            <w:r w:rsidRPr="000203E1">
              <w:rPr>
                <w:bCs/>
                <w:lang w:eastAsia="lt-LT"/>
              </w:rPr>
              <w:t xml:space="preserve">Registracijos data </w:t>
            </w:r>
          </w:p>
        </w:tc>
        <w:tc>
          <w:tcPr>
            <w:tcW w:w="5167" w:type="dxa"/>
            <w:vAlign w:val="center"/>
          </w:tcPr>
          <w:p w14:paraId="331DC483" w14:textId="3344AF47" w:rsidR="001E451D" w:rsidRPr="000203E1" w:rsidRDefault="009B5E18" w:rsidP="001E451D">
            <w:pPr>
              <w:rPr>
                <w:rStyle w:val="Style2"/>
              </w:rPr>
            </w:pPr>
            <w:sdt>
              <w:sdtPr>
                <w:rPr>
                  <w:sz w:val="32"/>
                </w:rPr>
                <w:alias w:val="Nurodykite konkrečią dieną"/>
                <w:tag w:val="Nurodykite pradžios datą"/>
                <w:id w:val="605612581"/>
                <w:placeholder>
                  <w:docPart w:val="C9B0AED09C9A4E93AAD22FBF555E6AC0"/>
                </w:placeholder>
                <w:date>
                  <w:dateFormat w:val="yyyy 'm.' MMMM d 'd.'"/>
                  <w:lid w:val="lt-LT"/>
                  <w:storeMappedDataAs w:val="dateTime"/>
                  <w:calendar w:val="gregorian"/>
                </w:date>
              </w:sdtPr>
              <w:sdtEndPr/>
              <w:sdtContent>
                <w:proofErr w:type="spellStart"/>
                <w:r w:rsidR="001E451D" w:rsidRPr="0033595B">
                  <w:t>Kalydeco</w:t>
                </w:r>
                <w:proofErr w:type="spellEnd"/>
                <w:r w:rsidR="001E451D" w:rsidRPr="0033595B">
                  <w:t xml:space="preserve"> – 2012 m. liepos 23 d., </w:t>
                </w:r>
                <w:proofErr w:type="spellStart"/>
                <w:r w:rsidR="001E451D" w:rsidRPr="0033595B">
                  <w:t>Kaftrio</w:t>
                </w:r>
                <w:proofErr w:type="spellEnd"/>
                <w:r w:rsidR="001E451D" w:rsidRPr="0033595B">
                  <w:t xml:space="preserve"> – 2020 m. rugpjūčio 21 d.</w:t>
                </w:r>
              </w:sdtContent>
            </w:sdt>
          </w:p>
        </w:tc>
      </w:tr>
      <w:tr w:rsidR="001E451D" w:rsidRPr="000203E1" w14:paraId="5B83DAFA" w14:textId="77777777" w:rsidTr="001E451D">
        <w:trPr>
          <w:trHeight w:val="1500"/>
        </w:trPr>
        <w:tc>
          <w:tcPr>
            <w:tcW w:w="632" w:type="dxa"/>
            <w:vAlign w:val="center"/>
          </w:tcPr>
          <w:p w14:paraId="20A93BDA" w14:textId="77777777" w:rsidR="001E451D" w:rsidRPr="000203E1" w:rsidRDefault="001E451D" w:rsidP="001E451D">
            <w:pPr>
              <w:rPr>
                <w:rFonts w:eastAsia="Arial"/>
              </w:rPr>
            </w:pPr>
            <w:r w:rsidRPr="000203E1">
              <w:rPr>
                <w:rFonts w:eastAsia="Arial"/>
              </w:rPr>
              <w:t>1.3</w:t>
            </w:r>
          </w:p>
        </w:tc>
        <w:tc>
          <w:tcPr>
            <w:tcW w:w="3694" w:type="dxa"/>
            <w:vAlign w:val="center"/>
          </w:tcPr>
          <w:p w14:paraId="1769CE33" w14:textId="77777777" w:rsidR="001E451D" w:rsidRPr="000203E1" w:rsidRDefault="001E451D" w:rsidP="001E451D">
            <w:r w:rsidRPr="000203E1">
              <w:t xml:space="preserve">Paraiškos tipas </w:t>
            </w:r>
          </w:p>
          <w:p w14:paraId="27FFEA28" w14:textId="35D99EE1" w:rsidR="001E451D" w:rsidRPr="001E451D" w:rsidRDefault="001E451D" w:rsidP="001E451D">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tc>
        <w:tc>
          <w:tcPr>
            <w:tcW w:w="5167" w:type="dxa"/>
            <w:vAlign w:val="center"/>
          </w:tcPr>
          <w:p w14:paraId="1FC6D162" w14:textId="5F52E5C6" w:rsidR="001E451D" w:rsidRPr="000203E1" w:rsidRDefault="009B5E18" w:rsidP="001E451D">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1E451D">
                  <w:rPr>
                    <w:rStyle w:val="Style2"/>
                    <w:rFonts w:ascii="MS Gothic" w:eastAsia="MS Gothic" w:hAnsi="MS Gothic" w:hint="eastAsia"/>
                    <w:sz w:val="22"/>
                    <w:szCs w:val="22"/>
                  </w:rPr>
                  <w:t>☒</w:t>
                </w:r>
              </w:sdtContent>
            </w:sdt>
            <w:r w:rsidR="001E451D" w:rsidRPr="000203E1">
              <w:rPr>
                <w:sz w:val="22"/>
                <w:szCs w:val="22"/>
              </w:rPr>
              <w:t xml:space="preserve">8.3 str. (pilna byla, pagrįsta savais tyrimais) </w:t>
            </w:r>
          </w:p>
          <w:p w14:paraId="295B4FB4" w14:textId="77777777" w:rsidR="001E451D" w:rsidRPr="000203E1" w:rsidRDefault="009B5E18" w:rsidP="001E451D">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1E451D" w:rsidRPr="000203E1">
                  <w:rPr>
                    <w:rStyle w:val="Style2"/>
                    <w:rFonts w:ascii="Segoe UI Symbol" w:eastAsia="MS Gothic" w:hAnsi="Segoe UI Symbol" w:cs="Segoe UI Symbol"/>
                    <w:sz w:val="22"/>
                    <w:szCs w:val="22"/>
                  </w:rPr>
                  <w:t>☐</w:t>
                </w:r>
              </w:sdtContent>
            </w:sdt>
            <w:r w:rsidR="001E451D" w:rsidRPr="000203E1">
              <w:rPr>
                <w:sz w:val="22"/>
                <w:szCs w:val="22"/>
              </w:rPr>
              <w:t xml:space="preserve">10 a str. (pripažintas medicininis vartojimas) </w:t>
            </w:r>
          </w:p>
          <w:p w14:paraId="2F0D8196" w14:textId="77777777" w:rsidR="001E451D" w:rsidRPr="000203E1" w:rsidRDefault="009B5E18" w:rsidP="001E451D">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1E451D" w:rsidRPr="000203E1">
                  <w:rPr>
                    <w:rStyle w:val="Style2"/>
                    <w:rFonts w:ascii="Segoe UI Symbol" w:eastAsia="MS Gothic" w:hAnsi="Segoe UI Symbol" w:cs="Segoe UI Symbol"/>
                    <w:sz w:val="22"/>
                    <w:szCs w:val="22"/>
                  </w:rPr>
                  <w:t>☐</w:t>
                </w:r>
              </w:sdtContent>
            </w:sdt>
            <w:r w:rsidR="001E451D" w:rsidRPr="000203E1">
              <w:rPr>
                <w:sz w:val="22"/>
                <w:szCs w:val="22"/>
              </w:rPr>
              <w:t>10.1 str. (</w:t>
            </w:r>
            <w:proofErr w:type="spellStart"/>
            <w:r w:rsidR="001E451D" w:rsidRPr="000203E1">
              <w:rPr>
                <w:sz w:val="22"/>
                <w:szCs w:val="22"/>
              </w:rPr>
              <w:t>generinis</w:t>
            </w:r>
            <w:proofErr w:type="spellEnd"/>
            <w:r w:rsidR="001E451D" w:rsidRPr="000203E1">
              <w:rPr>
                <w:sz w:val="22"/>
                <w:szCs w:val="22"/>
              </w:rPr>
              <w:t>)</w:t>
            </w:r>
          </w:p>
          <w:p w14:paraId="34311F20" w14:textId="77777777" w:rsidR="001E451D" w:rsidRPr="000203E1" w:rsidRDefault="009B5E18" w:rsidP="001E451D">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1E451D" w:rsidRPr="000203E1">
                  <w:rPr>
                    <w:rStyle w:val="Style2"/>
                    <w:rFonts w:ascii="Segoe UI Symbol" w:eastAsia="MS Gothic" w:hAnsi="Segoe UI Symbol" w:cs="Segoe UI Symbol"/>
                    <w:sz w:val="22"/>
                    <w:szCs w:val="22"/>
                  </w:rPr>
                  <w:t>☐</w:t>
                </w:r>
              </w:sdtContent>
            </w:sdt>
            <w:r w:rsidR="001E451D" w:rsidRPr="000203E1">
              <w:rPr>
                <w:sz w:val="22"/>
                <w:szCs w:val="22"/>
              </w:rPr>
              <w:t>10.3 str. (hibridinis)</w:t>
            </w:r>
          </w:p>
        </w:tc>
      </w:tr>
      <w:tr w:rsidR="001E451D" w:rsidRPr="000203E1" w14:paraId="29980E90" w14:textId="77777777" w:rsidTr="001E451D">
        <w:trPr>
          <w:trHeight w:val="1442"/>
        </w:trPr>
        <w:tc>
          <w:tcPr>
            <w:tcW w:w="632" w:type="dxa"/>
            <w:vAlign w:val="center"/>
          </w:tcPr>
          <w:p w14:paraId="6C74862E" w14:textId="77777777" w:rsidR="001E451D" w:rsidRPr="000203E1" w:rsidRDefault="001E451D" w:rsidP="001E451D">
            <w:pPr>
              <w:rPr>
                <w:rFonts w:eastAsia="Arial"/>
              </w:rPr>
            </w:pPr>
            <w:r w:rsidRPr="000203E1">
              <w:rPr>
                <w:rFonts w:eastAsia="Arial"/>
              </w:rPr>
              <w:t>1.4</w:t>
            </w:r>
          </w:p>
        </w:tc>
        <w:tc>
          <w:tcPr>
            <w:tcW w:w="3694" w:type="dxa"/>
            <w:vAlign w:val="center"/>
          </w:tcPr>
          <w:p w14:paraId="32D86A4E" w14:textId="0DDD9B56" w:rsidR="001E451D" w:rsidRPr="000203E1" w:rsidRDefault="001E451D" w:rsidP="001E451D">
            <w:pPr>
              <w:rPr>
                <w:bCs/>
                <w:lang w:eastAsia="lt-LT"/>
              </w:rPr>
            </w:pPr>
            <w:r w:rsidRPr="000203E1">
              <w:rPr>
                <w:bCs/>
                <w:lang w:eastAsia="lt-LT"/>
              </w:rPr>
              <w:t xml:space="preserve">Ar vaistinis preparatas įrašytas į Bendrijos retųjų vaistinių preparatų registrą? </w:t>
            </w:r>
          </w:p>
        </w:tc>
        <w:tc>
          <w:tcPr>
            <w:tcW w:w="5167" w:type="dxa"/>
            <w:vAlign w:val="center"/>
          </w:tcPr>
          <w:p w14:paraId="3372EDE8" w14:textId="00B337FB" w:rsidR="001E451D" w:rsidRPr="000203E1" w:rsidRDefault="009B5E18" w:rsidP="001E451D">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1E451D">
                  <w:rPr>
                    <w:rStyle w:val="Style2"/>
                    <w:rFonts w:ascii="MS Gothic" w:eastAsia="MS Gothic" w:hAnsi="MS Gothic" w:hint="eastAsia"/>
                    <w:sz w:val="24"/>
                  </w:rPr>
                  <w:t>☒</w:t>
                </w:r>
              </w:sdtContent>
            </w:sdt>
            <w:r w:rsidR="001E451D" w:rsidRPr="000203E1">
              <w:t xml:space="preserve"> Taip</w:t>
            </w:r>
          </w:p>
          <w:p w14:paraId="5B1DA044" w14:textId="77777777" w:rsidR="001E451D" w:rsidRPr="000203E1" w:rsidRDefault="009B5E18" w:rsidP="001E451D">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1E451D" w:rsidRPr="000203E1">
                  <w:rPr>
                    <w:rStyle w:val="Style2"/>
                    <w:rFonts w:ascii="MS Gothic" w:eastAsia="MS Gothic" w:hAnsi="MS Gothic" w:hint="eastAsia"/>
                    <w:sz w:val="24"/>
                  </w:rPr>
                  <w:t>☐</w:t>
                </w:r>
              </w:sdtContent>
            </w:sdt>
            <w:r w:rsidR="001E451D" w:rsidRPr="000203E1">
              <w:t xml:space="preserve"> Ne</w:t>
            </w:r>
          </w:p>
          <w:p w14:paraId="1A9A3961" w14:textId="16F551D4" w:rsidR="001E451D" w:rsidRPr="000203E1" w:rsidRDefault="009B5E18" w:rsidP="001E451D">
            <w:pPr>
              <w:rPr>
                <w:rFonts w:eastAsia="Arial"/>
              </w:rPr>
            </w:pPr>
            <w:sdt>
              <w:sdtPr>
                <w:alias w:val="Nurodykite konkrečią dieną"/>
                <w:tag w:val="Nurodykite pradžios datą"/>
                <w:id w:val="693498901"/>
                <w:placeholder>
                  <w:docPart w:val="83C88364427544498F1663313E286F4C"/>
                </w:placeholder>
                <w15:color w:val="FFCC99"/>
                <w:date>
                  <w:dateFormat w:val="yyyy 'm.' MMMM d 'd.'"/>
                  <w:lid w:val="lt-LT"/>
                  <w:storeMappedDataAs w:val="dateTime"/>
                  <w:calendar w:val="gregorian"/>
                </w:date>
              </w:sdtPr>
              <w:sdtEndPr/>
              <w:sdtContent>
                <w:proofErr w:type="spellStart"/>
                <w:r w:rsidR="001E451D">
                  <w:t>Kalydeco</w:t>
                </w:r>
                <w:proofErr w:type="spellEnd"/>
                <w:r w:rsidR="001E451D">
                  <w:t xml:space="preserve"> – 2008 m. liepos 8 d., </w:t>
                </w:r>
                <w:proofErr w:type="spellStart"/>
                <w:r w:rsidR="001E451D">
                  <w:t>Kaftrio</w:t>
                </w:r>
                <w:proofErr w:type="spellEnd"/>
                <w:r w:rsidR="001E451D">
                  <w:t xml:space="preserve"> – 2018 m. gruodžio 14 d.</w:t>
                </w:r>
              </w:sdtContent>
            </w:sdt>
          </w:p>
        </w:tc>
      </w:tr>
      <w:tr w:rsidR="001E451D" w:rsidRPr="000203E1" w14:paraId="17B89E47" w14:textId="77777777" w:rsidTr="001E451D">
        <w:trPr>
          <w:trHeight w:val="476"/>
        </w:trPr>
        <w:tc>
          <w:tcPr>
            <w:tcW w:w="632" w:type="dxa"/>
            <w:vAlign w:val="center"/>
          </w:tcPr>
          <w:p w14:paraId="4973795D" w14:textId="77777777" w:rsidR="001E451D" w:rsidRPr="000203E1" w:rsidRDefault="001E451D" w:rsidP="001E451D">
            <w:pPr>
              <w:rPr>
                <w:rFonts w:eastAsia="Arial"/>
              </w:rPr>
            </w:pPr>
            <w:r w:rsidRPr="000203E1">
              <w:rPr>
                <w:rFonts w:eastAsia="Arial"/>
              </w:rPr>
              <w:t>1.5</w:t>
            </w:r>
          </w:p>
        </w:tc>
        <w:tc>
          <w:tcPr>
            <w:tcW w:w="3694" w:type="dxa"/>
            <w:vAlign w:val="center"/>
          </w:tcPr>
          <w:p w14:paraId="6E03B076" w14:textId="77777777" w:rsidR="001E451D" w:rsidRPr="000203E1" w:rsidRDefault="001E451D" w:rsidP="001E451D">
            <w:pPr>
              <w:rPr>
                <w:bCs/>
                <w:lang w:eastAsia="lt-LT"/>
              </w:rPr>
            </w:pPr>
            <w:r w:rsidRPr="000203E1">
              <w:t>STV paraiškos pobūdis</w:t>
            </w:r>
          </w:p>
        </w:tc>
        <w:tc>
          <w:tcPr>
            <w:tcW w:w="5167" w:type="dxa"/>
            <w:vAlign w:val="center"/>
          </w:tcPr>
          <w:p w14:paraId="1E958A3E" w14:textId="02E3943A" w:rsidR="001E451D" w:rsidRPr="000203E1" w:rsidRDefault="009B5E18" w:rsidP="001E451D">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1E451D">
                  <w:rPr>
                    <w:rStyle w:val="Style2"/>
                    <w:rFonts w:ascii="MS Gothic" w:eastAsia="MS Gothic" w:hAnsi="MS Gothic" w:hint="eastAsia"/>
                    <w:sz w:val="24"/>
                  </w:rPr>
                  <w:t>☒</w:t>
                </w:r>
              </w:sdtContent>
            </w:sdt>
            <w:r w:rsidR="001E451D" w:rsidRPr="000203E1">
              <w:t xml:space="preserve"> Pilna paraiška</w:t>
            </w:r>
          </w:p>
          <w:p w14:paraId="69E52B3C" w14:textId="77777777" w:rsidR="001E451D" w:rsidRPr="000203E1" w:rsidRDefault="009B5E18" w:rsidP="001E451D">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1E451D" w:rsidRPr="000203E1">
                  <w:rPr>
                    <w:rStyle w:val="Style2"/>
                    <w:rFonts w:ascii="MS Gothic" w:eastAsia="MS Gothic" w:hAnsi="MS Gothic" w:hint="eastAsia"/>
                    <w:sz w:val="24"/>
                  </w:rPr>
                  <w:t>☐</w:t>
                </w:r>
              </w:sdtContent>
            </w:sdt>
            <w:r w:rsidR="001E451D" w:rsidRPr="000203E1">
              <w:t xml:space="preserve"> Supaprastinta paraiška</w:t>
            </w:r>
          </w:p>
        </w:tc>
      </w:tr>
      <w:tr w:rsidR="001E451D" w:rsidRPr="000203E1" w14:paraId="50CE83BA" w14:textId="77777777" w:rsidTr="001E451D">
        <w:trPr>
          <w:trHeight w:val="1922"/>
        </w:trPr>
        <w:tc>
          <w:tcPr>
            <w:tcW w:w="632" w:type="dxa"/>
            <w:vAlign w:val="center"/>
          </w:tcPr>
          <w:p w14:paraId="209CB87A" w14:textId="77777777" w:rsidR="001E451D" w:rsidRPr="000203E1" w:rsidRDefault="001E451D" w:rsidP="001E451D">
            <w:pPr>
              <w:rPr>
                <w:rFonts w:eastAsia="Arial"/>
              </w:rPr>
            </w:pPr>
            <w:r w:rsidRPr="000203E1">
              <w:rPr>
                <w:rFonts w:eastAsia="Arial"/>
              </w:rPr>
              <w:lastRenderedPageBreak/>
              <w:t>1.6</w:t>
            </w:r>
          </w:p>
        </w:tc>
        <w:tc>
          <w:tcPr>
            <w:tcW w:w="3694" w:type="dxa"/>
            <w:vAlign w:val="center"/>
          </w:tcPr>
          <w:p w14:paraId="375DDA04" w14:textId="77777777" w:rsidR="001E451D" w:rsidRPr="000203E1" w:rsidRDefault="001E451D" w:rsidP="001E451D">
            <w:pPr>
              <w:rPr>
                <w:bCs/>
                <w:lang w:eastAsia="lt-LT"/>
              </w:rPr>
            </w:pPr>
            <w:r w:rsidRPr="000203E1">
              <w:rPr>
                <w:bCs/>
                <w:lang w:eastAsia="lt-LT"/>
              </w:rPr>
              <w:t>Pareiškėjo teikiama (-</w:t>
            </w:r>
            <w:proofErr w:type="spellStart"/>
            <w:r w:rsidRPr="000203E1">
              <w:rPr>
                <w:bCs/>
                <w:lang w:eastAsia="lt-LT"/>
              </w:rPr>
              <w:t>os</w:t>
            </w:r>
            <w:proofErr w:type="spellEnd"/>
            <w:r w:rsidRPr="000203E1">
              <w:rPr>
                <w:bCs/>
                <w:lang w:eastAsia="lt-LT"/>
              </w:rPr>
              <w:t>) kompensuoti vaistinio preparato indikacija (-</w:t>
            </w:r>
            <w:proofErr w:type="spellStart"/>
            <w:r w:rsidRPr="000203E1">
              <w:rPr>
                <w:bCs/>
                <w:lang w:eastAsia="lt-LT"/>
              </w:rPr>
              <w:t>os</w:t>
            </w:r>
            <w:proofErr w:type="spellEnd"/>
            <w:r w:rsidRPr="000203E1">
              <w:rPr>
                <w:bCs/>
                <w:lang w:eastAsia="lt-LT"/>
              </w:rPr>
              <w:t>)</w:t>
            </w:r>
          </w:p>
          <w:p w14:paraId="2681A00D" w14:textId="77777777" w:rsidR="001E451D" w:rsidRPr="000203E1" w:rsidRDefault="001E451D" w:rsidP="001E451D">
            <w:pPr>
              <w:rPr>
                <w:bCs/>
                <w:lang w:eastAsia="lt-LT"/>
              </w:rPr>
            </w:pPr>
            <w:r w:rsidRPr="000203E1">
              <w:rPr>
                <w:bCs/>
                <w:lang w:eastAsia="lt-LT"/>
              </w:rPr>
              <w:t>Kodas pagal TLK-10 AM</w:t>
            </w:r>
          </w:p>
        </w:tc>
        <w:tc>
          <w:tcPr>
            <w:tcW w:w="5167" w:type="dxa"/>
            <w:vAlign w:val="center"/>
          </w:tcPr>
          <w:p w14:paraId="2E6232CC" w14:textId="77777777" w:rsidR="001E451D" w:rsidRPr="0033595B" w:rsidRDefault="001E451D" w:rsidP="001E451D">
            <w:pPr>
              <w:pStyle w:val="Sraopastraipa"/>
              <w:spacing w:after="120" w:line="276" w:lineRule="auto"/>
              <w:ind w:left="0"/>
            </w:pPr>
            <w:r w:rsidRPr="0033595B">
              <w:t>6 metų ir vyresni pacientai, sergantys cistine fibroze (CF), kuriems yra bent viena CFTR geno F508del mutacija.</w:t>
            </w:r>
          </w:p>
          <w:p w14:paraId="40928A40" w14:textId="0843817F" w:rsidR="001E451D" w:rsidRPr="000203E1" w:rsidRDefault="001E451D" w:rsidP="001E451D">
            <w:r w:rsidRPr="0033595B">
              <w:t>TLK-10 AM: E84</w:t>
            </w:r>
          </w:p>
        </w:tc>
      </w:tr>
      <w:tr w:rsidR="001E451D" w:rsidRPr="000203E1" w14:paraId="7DBC2ED4" w14:textId="77777777" w:rsidTr="001E451D">
        <w:trPr>
          <w:trHeight w:val="378"/>
        </w:trPr>
        <w:tc>
          <w:tcPr>
            <w:tcW w:w="632" w:type="dxa"/>
            <w:vAlign w:val="center"/>
          </w:tcPr>
          <w:p w14:paraId="1DA0658B" w14:textId="77777777" w:rsidR="001E451D" w:rsidRPr="000203E1" w:rsidRDefault="001E451D" w:rsidP="001E451D">
            <w:pPr>
              <w:rPr>
                <w:rFonts w:eastAsia="Arial"/>
              </w:rPr>
            </w:pPr>
            <w:r w:rsidRPr="000203E1">
              <w:rPr>
                <w:rFonts w:eastAsia="Arial"/>
              </w:rPr>
              <w:t>1.</w:t>
            </w:r>
            <w:r>
              <w:rPr>
                <w:rFonts w:eastAsia="Arial"/>
              </w:rPr>
              <w:t>7</w:t>
            </w:r>
          </w:p>
        </w:tc>
        <w:tc>
          <w:tcPr>
            <w:tcW w:w="3694" w:type="dxa"/>
            <w:vAlign w:val="center"/>
          </w:tcPr>
          <w:p w14:paraId="2D643959" w14:textId="77777777" w:rsidR="001E451D" w:rsidRPr="000203E1" w:rsidRDefault="001E451D" w:rsidP="001E451D">
            <w:pPr>
              <w:rPr>
                <w:bCs/>
                <w:u w:val="single"/>
                <w:lang w:eastAsia="lt-LT"/>
              </w:rPr>
            </w:pPr>
            <w:r w:rsidRPr="000203E1">
              <w:rPr>
                <w:bCs/>
                <w:lang w:eastAsia="lt-LT"/>
              </w:rPr>
              <w:t xml:space="preserve">Pareiškėjo teikiamos skyrimo sąlygos </w:t>
            </w:r>
          </w:p>
        </w:tc>
        <w:tc>
          <w:tcPr>
            <w:tcW w:w="5167" w:type="dxa"/>
            <w:vAlign w:val="center"/>
          </w:tcPr>
          <w:p w14:paraId="78F8D97B" w14:textId="7BB6C41E" w:rsidR="001E451D" w:rsidRPr="000203E1" w:rsidRDefault="001E451D" w:rsidP="001E451D">
            <w:r>
              <w:t>Nesiūlomos</w:t>
            </w:r>
          </w:p>
        </w:tc>
      </w:tr>
      <w:tr w:rsidR="001E451D" w:rsidRPr="000203E1" w14:paraId="44DFDAFF" w14:textId="77777777" w:rsidTr="001E451D">
        <w:trPr>
          <w:trHeight w:val="378"/>
        </w:trPr>
        <w:tc>
          <w:tcPr>
            <w:tcW w:w="632" w:type="dxa"/>
            <w:vAlign w:val="center"/>
          </w:tcPr>
          <w:p w14:paraId="375D71A1" w14:textId="77777777" w:rsidR="001E451D" w:rsidRPr="000203E1" w:rsidRDefault="001E451D" w:rsidP="001E451D">
            <w:pPr>
              <w:rPr>
                <w:rFonts w:eastAsia="Arial"/>
              </w:rPr>
            </w:pPr>
            <w:r w:rsidRPr="000203E1">
              <w:rPr>
                <w:rFonts w:eastAsia="Arial"/>
              </w:rPr>
              <w:t>1.</w:t>
            </w:r>
            <w:r>
              <w:rPr>
                <w:rFonts w:eastAsia="Arial"/>
              </w:rPr>
              <w:t>8</w:t>
            </w:r>
          </w:p>
        </w:tc>
        <w:tc>
          <w:tcPr>
            <w:tcW w:w="3694" w:type="dxa"/>
            <w:vAlign w:val="center"/>
          </w:tcPr>
          <w:p w14:paraId="661A1063" w14:textId="2C7F229B" w:rsidR="001E451D" w:rsidRPr="000203E1" w:rsidRDefault="001E451D" w:rsidP="001E451D">
            <w:pPr>
              <w:rPr>
                <w:bCs/>
                <w:lang w:eastAsia="lt-LT"/>
              </w:rPr>
            </w:pPr>
            <w:r w:rsidRPr="000203E1">
              <w:rPr>
                <w:bCs/>
                <w:lang w:eastAsia="lt-LT"/>
              </w:rPr>
              <w:t xml:space="preserve">Pareiškėjo teikiamas palyginamasis gydymas </w:t>
            </w:r>
            <w:r>
              <w:rPr>
                <w:bCs/>
                <w:lang w:eastAsia="lt-LT"/>
              </w:rPr>
              <w:t>(</w:t>
            </w:r>
            <w:r>
              <w:rPr>
                <w:bCs/>
              </w:rPr>
              <w:t>s</w:t>
            </w:r>
            <w:r w:rsidRPr="0033595B">
              <w:t xml:space="preserve">imptominis gydymas (antibiotikai, </w:t>
            </w:r>
            <w:proofErr w:type="spellStart"/>
            <w:r w:rsidRPr="0033595B">
              <w:t>mukolitikai</w:t>
            </w:r>
            <w:proofErr w:type="spellEnd"/>
            <w:r w:rsidRPr="0033595B">
              <w:t>, pakaitinė fermentų terapija, bronchus plečiantys vaistai)</w:t>
            </w:r>
          </w:p>
        </w:tc>
        <w:tc>
          <w:tcPr>
            <w:tcW w:w="5167" w:type="dxa"/>
            <w:vAlign w:val="center"/>
          </w:tcPr>
          <w:p w14:paraId="10F38B32" w14:textId="7AC2ADA9" w:rsidR="001E451D" w:rsidRPr="000203E1" w:rsidRDefault="009B5E18" w:rsidP="001E451D">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1E451D">
                  <w:rPr>
                    <w:rStyle w:val="Style2"/>
                    <w:rFonts w:ascii="MS Gothic" w:eastAsia="MS Gothic" w:hAnsi="MS Gothic" w:hint="eastAsia"/>
                    <w:sz w:val="24"/>
                  </w:rPr>
                  <w:t>☒</w:t>
                </w:r>
              </w:sdtContent>
            </w:sdt>
            <w:r w:rsidR="001E451D" w:rsidRPr="000203E1">
              <w:t xml:space="preserve"> Tinkamas</w:t>
            </w:r>
          </w:p>
          <w:p w14:paraId="6A2FBFD9" w14:textId="77777777" w:rsidR="001E451D" w:rsidRPr="000203E1" w:rsidRDefault="009B5E18" w:rsidP="001E451D">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1E451D" w:rsidRPr="000203E1">
                  <w:rPr>
                    <w:rStyle w:val="Style2"/>
                    <w:rFonts w:ascii="MS Gothic" w:eastAsia="MS Gothic" w:hAnsi="MS Gothic" w:hint="eastAsia"/>
                    <w:sz w:val="24"/>
                  </w:rPr>
                  <w:t>☐</w:t>
                </w:r>
              </w:sdtContent>
            </w:sdt>
            <w:r w:rsidR="001E451D" w:rsidRPr="000203E1">
              <w:t xml:space="preserve"> Netinkama</w:t>
            </w:r>
          </w:p>
        </w:tc>
      </w:tr>
    </w:tbl>
    <w:p w14:paraId="6FD59D56" w14:textId="77777777" w:rsidR="001E451D" w:rsidRPr="0033595B" w:rsidRDefault="001E451D" w:rsidP="0033595B">
      <w:pPr>
        <w:pStyle w:val="Sraopastraipa"/>
        <w:tabs>
          <w:tab w:val="left" w:pos="426"/>
        </w:tabs>
        <w:spacing w:line="276" w:lineRule="auto"/>
        <w:ind w:left="0"/>
        <w:rPr>
          <w:b/>
          <w:bCs/>
          <w:caps/>
        </w:rPr>
      </w:pPr>
    </w:p>
    <w:p w14:paraId="2871CA7F" w14:textId="108BDB9B" w:rsidR="00F70C9E" w:rsidRPr="0033595B" w:rsidRDefault="00F70C9E" w:rsidP="0033595B">
      <w:pPr>
        <w:spacing w:line="276" w:lineRule="auto"/>
        <w:jc w:val="both"/>
        <w:rPr>
          <w:rFonts w:eastAsia="Arial"/>
          <w:b/>
        </w:rPr>
      </w:pPr>
      <w:r w:rsidRPr="0033595B">
        <w:rPr>
          <w:rFonts w:eastAsia="Arial"/>
          <w:b/>
        </w:rPr>
        <w:t>1.</w:t>
      </w:r>
      <w:r w:rsidR="001E451D">
        <w:rPr>
          <w:rFonts w:eastAsia="Arial"/>
          <w:b/>
        </w:rPr>
        <w:t>9</w:t>
      </w:r>
      <w:r w:rsidRPr="0033595B">
        <w:rPr>
          <w:rFonts w:eastAsia="Arial"/>
          <w:b/>
        </w:rPr>
        <w:t xml:space="preserve"> Kitų </w:t>
      </w:r>
      <w:r w:rsidR="00DF583C" w:rsidRPr="0033595B">
        <w:rPr>
          <w:rFonts w:eastAsia="Arial"/>
          <w:b/>
        </w:rPr>
        <w:t xml:space="preserve">valstybių </w:t>
      </w:r>
      <w:r w:rsidRPr="0033595B">
        <w:rPr>
          <w:rFonts w:eastAsia="Arial"/>
          <w:b/>
        </w:rPr>
        <w:t xml:space="preserve">atsakingų institucijų atlikto </w:t>
      </w:r>
      <w:r w:rsidR="00DF583C" w:rsidRPr="0033595B">
        <w:rPr>
          <w:rFonts w:eastAsia="Arial"/>
          <w:b/>
        </w:rPr>
        <w:t>Sveikatos technologijų vertinimo (toliau – STV)</w:t>
      </w:r>
      <w:r w:rsidRPr="0033595B">
        <w:rPr>
          <w:rFonts w:eastAsia="Arial"/>
          <w:b/>
        </w:rPr>
        <w:t xml:space="preserve"> išvados</w:t>
      </w:r>
    </w:p>
    <w:p w14:paraId="30721FDD" w14:textId="77777777" w:rsidR="00F70C9E" w:rsidRPr="0033595B" w:rsidRDefault="00F70C9E" w:rsidP="0033595B">
      <w:pPr>
        <w:spacing w:line="276" w:lineRule="auto"/>
        <w:rPr>
          <w:rFonts w:eastAsia="Arial"/>
        </w:rPr>
      </w:pPr>
    </w:p>
    <w:tbl>
      <w:tblPr>
        <w:tblStyle w:val="Lentelstinklelis"/>
        <w:tblW w:w="9918" w:type="dxa"/>
        <w:tblLook w:val="04A0" w:firstRow="1" w:lastRow="0" w:firstColumn="1" w:lastColumn="0" w:noHBand="0" w:noVBand="1"/>
      </w:tblPr>
      <w:tblGrid>
        <w:gridCol w:w="2816"/>
        <w:gridCol w:w="1796"/>
        <w:gridCol w:w="3090"/>
        <w:gridCol w:w="2216"/>
      </w:tblGrid>
      <w:tr w:rsidR="00D739EF" w:rsidRPr="0033595B" w14:paraId="50A98ABB" w14:textId="77777777" w:rsidTr="00C76645">
        <w:trPr>
          <w:trHeight w:val="924"/>
        </w:trPr>
        <w:tc>
          <w:tcPr>
            <w:tcW w:w="2816" w:type="dxa"/>
          </w:tcPr>
          <w:p w14:paraId="36C76448" w14:textId="165F050B" w:rsidR="00D739EF" w:rsidRPr="0033595B" w:rsidRDefault="00D739EF" w:rsidP="0033595B">
            <w:pPr>
              <w:spacing w:line="276" w:lineRule="auto"/>
              <w:rPr>
                <w:rFonts w:eastAsia="Arial"/>
              </w:rPr>
            </w:pPr>
            <w:bookmarkStart w:id="0" w:name="_Hlk131248150"/>
            <w:r w:rsidRPr="0033595B">
              <w:rPr>
                <w:rFonts w:eastAsia="Arial"/>
              </w:rPr>
              <w:t>STV agentūros pavadinimas, šalis</w:t>
            </w:r>
          </w:p>
        </w:tc>
        <w:tc>
          <w:tcPr>
            <w:tcW w:w="1796" w:type="dxa"/>
          </w:tcPr>
          <w:p w14:paraId="1A5EEBDC" w14:textId="04A04112" w:rsidR="00D739EF" w:rsidRPr="0033595B" w:rsidRDefault="00D739EF" w:rsidP="0033595B">
            <w:pPr>
              <w:spacing w:line="276" w:lineRule="auto"/>
              <w:rPr>
                <w:rFonts w:eastAsia="Arial"/>
              </w:rPr>
            </w:pPr>
            <w:r w:rsidRPr="0033595B">
              <w:rPr>
                <w:rFonts w:eastAsia="Arial"/>
              </w:rPr>
              <w:t>STV vertinimas atliktas</w:t>
            </w:r>
          </w:p>
        </w:tc>
        <w:tc>
          <w:tcPr>
            <w:tcW w:w="3090" w:type="dxa"/>
          </w:tcPr>
          <w:p w14:paraId="468B1842" w14:textId="29126834" w:rsidR="00D739EF" w:rsidRPr="0033595B" w:rsidRDefault="00D739EF" w:rsidP="0033595B">
            <w:pPr>
              <w:spacing w:line="276" w:lineRule="auto"/>
              <w:rPr>
                <w:rFonts w:eastAsia="Arial"/>
              </w:rPr>
            </w:pPr>
            <w:r w:rsidRPr="0033595B">
              <w:rPr>
                <w:rFonts w:eastAsia="Arial"/>
              </w:rPr>
              <w:t>Klinikinio vertinimo išvada</w:t>
            </w:r>
          </w:p>
        </w:tc>
        <w:tc>
          <w:tcPr>
            <w:tcW w:w="2216" w:type="dxa"/>
          </w:tcPr>
          <w:p w14:paraId="612E84CD" w14:textId="7072B125" w:rsidR="00D739EF" w:rsidRPr="0033595B" w:rsidRDefault="00D739EF" w:rsidP="0033595B">
            <w:pPr>
              <w:spacing w:line="276" w:lineRule="auto"/>
              <w:rPr>
                <w:rFonts w:eastAsia="Arial"/>
              </w:rPr>
            </w:pPr>
            <w:proofErr w:type="spellStart"/>
            <w:r w:rsidRPr="0033595B">
              <w:rPr>
                <w:rFonts w:eastAsia="Arial"/>
              </w:rPr>
              <w:t>Farmakoekonominio</w:t>
            </w:r>
            <w:proofErr w:type="spellEnd"/>
            <w:r w:rsidRPr="0033595B">
              <w:rPr>
                <w:rFonts w:eastAsia="Arial"/>
              </w:rPr>
              <w:t xml:space="preserve"> vertinimo išvada</w:t>
            </w:r>
          </w:p>
        </w:tc>
      </w:tr>
      <w:tr w:rsidR="00D739EF" w:rsidRPr="0033595B" w14:paraId="25B8E10F" w14:textId="77777777" w:rsidTr="00865240">
        <w:trPr>
          <w:trHeight w:val="1765"/>
        </w:trPr>
        <w:tc>
          <w:tcPr>
            <w:tcW w:w="2816" w:type="dxa"/>
          </w:tcPr>
          <w:p w14:paraId="36F0671B" w14:textId="77777777" w:rsidR="00D739EF" w:rsidRPr="0033595B" w:rsidRDefault="00D739EF" w:rsidP="0033595B">
            <w:pPr>
              <w:autoSpaceDE w:val="0"/>
              <w:autoSpaceDN w:val="0"/>
              <w:adjustRightInd w:val="0"/>
              <w:spacing w:line="276" w:lineRule="auto"/>
              <w:rPr>
                <w:bCs/>
              </w:rPr>
            </w:pPr>
            <w:r w:rsidRPr="0033595B">
              <w:rPr>
                <w:bCs/>
              </w:rPr>
              <w:t>Nacionalinis sveikatos ir klinikinės kompetencijos institutas, Didžioji Britanija</w:t>
            </w:r>
          </w:p>
          <w:p w14:paraId="0302793D" w14:textId="3FB04C74" w:rsidR="00D739EF" w:rsidRPr="0033595B" w:rsidRDefault="00D739EF" w:rsidP="0033595B">
            <w:pPr>
              <w:spacing w:line="276" w:lineRule="auto"/>
              <w:rPr>
                <w:rFonts w:eastAsia="Arial"/>
              </w:rPr>
            </w:pPr>
            <w:r w:rsidRPr="0033595B">
              <w:rPr>
                <w:rFonts w:eastAsia="Arial"/>
              </w:rPr>
              <w:t xml:space="preserve">(angl. </w:t>
            </w:r>
            <w:proofErr w:type="spellStart"/>
            <w:r w:rsidRPr="0033595B">
              <w:rPr>
                <w:rFonts w:eastAsia="Arial"/>
                <w:i/>
              </w:rPr>
              <w:t>National</w:t>
            </w:r>
            <w:proofErr w:type="spellEnd"/>
            <w:r w:rsidRPr="0033595B">
              <w:rPr>
                <w:rFonts w:eastAsia="Arial"/>
                <w:i/>
              </w:rPr>
              <w:t xml:space="preserve"> Institute </w:t>
            </w:r>
            <w:proofErr w:type="spellStart"/>
            <w:r w:rsidRPr="0033595B">
              <w:rPr>
                <w:rFonts w:eastAsia="Arial"/>
                <w:i/>
              </w:rPr>
              <w:t>for</w:t>
            </w:r>
            <w:proofErr w:type="spellEnd"/>
            <w:r w:rsidRPr="0033595B">
              <w:rPr>
                <w:rFonts w:eastAsia="Arial"/>
                <w:i/>
              </w:rPr>
              <w:t xml:space="preserve"> </w:t>
            </w:r>
            <w:proofErr w:type="spellStart"/>
            <w:r w:rsidRPr="0033595B">
              <w:rPr>
                <w:rFonts w:eastAsia="Arial"/>
                <w:i/>
              </w:rPr>
              <w:t>Health</w:t>
            </w:r>
            <w:proofErr w:type="spellEnd"/>
            <w:r w:rsidRPr="0033595B">
              <w:rPr>
                <w:rFonts w:eastAsia="Arial"/>
                <w:i/>
              </w:rPr>
              <w:t xml:space="preserve"> </w:t>
            </w:r>
            <w:proofErr w:type="spellStart"/>
            <w:r w:rsidRPr="0033595B">
              <w:rPr>
                <w:rFonts w:eastAsia="Arial"/>
                <w:i/>
              </w:rPr>
              <w:t>and</w:t>
            </w:r>
            <w:proofErr w:type="spellEnd"/>
            <w:r w:rsidRPr="0033595B">
              <w:rPr>
                <w:rFonts w:eastAsia="Arial"/>
                <w:i/>
              </w:rPr>
              <w:t xml:space="preserve"> Care </w:t>
            </w:r>
            <w:proofErr w:type="spellStart"/>
            <w:r w:rsidRPr="0033595B">
              <w:rPr>
                <w:rFonts w:eastAsia="Arial"/>
                <w:i/>
              </w:rPr>
              <w:t>Excellence</w:t>
            </w:r>
            <w:proofErr w:type="spellEnd"/>
            <w:r w:rsidRPr="0033595B">
              <w:rPr>
                <w:rFonts w:eastAsia="Arial"/>
                <w:i/>
              </w:rPr>
              <w:t>, NICE</w:t>
            </w:r>
            <w:r w:rsidRPr="0033595B">
              <w:rPr>
                <w:rFonts w:eastAsia="Arial"/>
              </w:rPr>
              <w:t>)</w:t>
            </w:r>
          </w:p>
        </w:tc>
        <w:tc>
          <w:tcPr>
            <w:tcW w:w="1796" w:type="dxa"/>
          </w:tcPr>
          <w:p w14:paraId="4D414355" w14:textId="77777777" w:rsidR="00D739EF" w:rsidRPr="0033595B" w:rsidRDefault="00D739EF" w:rsidP="0033595B">
            <w:pPr>
              <w:pStyle w:val="Sraopastraipa"/>
              <w:spacing w:after="120" w:line="276" w:lineRule="auto"/>
              <w:ind w:left="0"/>
              <w:jc w:val="both"/>
            </w:pPr>
            <w:r w:rsidRPr="0033595B">
              <w:rPr>
                <w:rStyle w:val="Style2"/>
                <w:rFonts w:ascii="MS Gothic" w:eastAsia="MS Gothic" w:hAnsi="MS Gothic"/>
              </w:rPr>
              <w:t>☒</w:t>
            </w:r>
            <w:r w:rsidRPr="0033595B">
              <w:t xml:space="preserve"> Taip</w:t>
            </w:r>
          </w:p>
          <w:p w14:paraId="5BC0F37C" w14:textId="77777777" w:rsidR="00D739EF" w:rsidRPr="0033595B" w:rsidRDefault="00D739EF" w:rsidP="0033595B">
            <w:pPr>
              <w:pStyle w:val="Sraopastraipa"/>
              <w:spacing w:after="120" w:line="276" w:lineRule="auto"/>
              <w:ind w:left="0"/>
              <w:jc w:val="both"/>
            </w:pPr>
            <w:r w:rsidRPr="0033595B">
              <w:rPr>
                <w:rStyle w:val="Style2"/>
                <w:rFonts w:ascii="MS Gothic" w:eastAsia="MS Gothic" w:hAnsi="MS Gothic"/>
              </w:rPr>
              <w:t>☐</w:t>
            </w:r>
            <w:r w:rsidRPr="0033595B">
              <w:t xml:space="preserve"> Ne</w:t>
            </w:r>
          </w:p>
          <w:p w14:paraId="52E18F8D" w14:textId="1449D38F" w:rsidR="00D739EF" w:rsidRPr="0033595B" w:rsidRDefault="009B5E18" w:rsidP="0033595B">
            <w:pPr>
              <w:spacing w:line="276" w:lineRule="auto"/>
              <w:rPr>
                <w:rFonts w:eastAsia="Arial"/>
              </w:rPr>
            </w:pPr>
            <w:sdt>
              <w:sdtPr>
                <w:alias w:val="Nurodykite konkrečią dieną"/>
                <w:tag w:val="Nurodykite pradžios datą"/>
                <w:id w:val="922837954"/>
                <w:placeholder>
                  <w:docPart w:val="A11C72384A624EB0A57C3511ED5B9464"/>
                </w:placeholder>
                <w:date>
                  <w:dateFormat w:val="yyyy 'm.' MMMM d 'd.'"/>
                  <w:lid w:val="lt-LT"/>
                  <w:storeMappedDataAs w:val="dateTime"/>
                  <w:calendar w:val="gregorian"/>
                </w:date>
              </w:sdtPr>
              <w:sdtEndPr/>
              <w:sdtContent>
                <w:r w:rsidR="00D739EF" w:rsidRPr="0033595B">
                  <w:t>2023 sausio 25 d.</w:t>
                </w:r>
              </w:sdtContent>
            </w:sdt>
          </w:p>
        </w:tc>
        <w:tc>
          <w:tcPr>
            <w:tcW w:w="5306" w:type="dxa"/>
            <w:gridSpan w:val="2"/>
          </w:tcPr>
          <w:p w14:paraId="4B58B8DD" w14:textId="4B4CE158" w:rsidR="00D739EF" w:rsidRPr="0033595B" w:rsidRDefault="00D739EF" w:rsidP="0033595B">
            <w:pPr>
              <w:spacing w:line="276" w:lineRule="auto"/>
              <w:jc w:val="both"/>
              <w:rPr>
                <w:rFonts w:eastAsia="Arial"/>
              </w:rPr>
            </w:pPr>
            <w:r w:rsidRPr="0033595B">
              <w:rPr>
                <w:rFonts w:eastAsia="Arial"/>
              </w:rPr>
              <w:t>STV buvo laikinai sustabdytas po 2020 m. spalio mėn. pareiškėjo pateiktų papildomų duomenų. 2023 m. pareiškėjui nepateiktus papildomos informacijos STV buvo nutrauktas.</w:t>
            </w:r>
          </w:p>
        </w:tc>
      </w:tr>
      <w:tr w:rsidR="00D739EF" w:rsidRPr="0033595B" w14:paraId="54039DDC" w14:textId="77777777" w:rsidTr="00C76645">
        <w:trPr>
          <w:trHeight w:val="1547"/>
        </w:trPr>
        <w:tc>
          <w:tcPr>
            <w:tcW w:w="2816" w:type="dxa"/>
          </w:tcPr>
          <w:p w14:paraId="5F6359B3" w14:textId="77777777" w:rsidR="00D739EF" w:rsidRPr="0033595B" w:rsidRDefault="00D739EF" w:rsidP="0033595B">
            <w:pPr>
              <w:spacing w:line="276" w:lineRule="auto"/>
              <w:rPr>
                <w:rFonts w:eastAsia="Arial"/>
              </w:rPr>
            </w:pPr>
            <w:r w:rsidRPr="0033595B">
              <w:rPr>
                <w:rFonts w:eastAsia="Arial"/>
              </w:rPr>
              <w:t>Kanados sveikatos technologijų agentūra</w:t>
            </w:r>
          </w:p>
          <w:p w14:paraId="27A1114A" w14:textId="01752456" w:rsidR="00D739EF" w:rsidRPr="0033595B" w:rsidRDefault="00D739EF" w:rsidP="0033595B">
            <w:pPr>
              <w:spacing w:line="276" w:lineRule="auto"/>
              <w:rPr>
                <w:rFonts w:eastAsia="Arial"/>
              </w:rPr>
            </w:pPr>
            <w:r w:rsidRPr="0033595B">
              <w:rPr>
                <w:rFonts w:eastAsia="Arial"/>
              </w:rPr>
              <w:t xml:space="preserve">(angl. </w:t>
            </w:r>
            <w:proofErr w:type="spellStart"/>
            <w:r w:rsidRPr="0033595B">
              <w:rPr>
                <w:rFonts w:eastAsia="Arial"/>
                <w:i/>
              </w:rPr>
              <w:t>Canadian</w:t>
            </w:r>
            <w:proofErr w:type="spellEnd"/>
            <w:r w:rsidRPr="0033595B">
              <w:rPr>
                <w:rFonts w:eastAsia="Arial"/>
                <w:i/>
              </w:rPr>
              <w:t xml:space="preserve"> </w:t>
            </w:r>
            <w:proofErr w:type="spellStart"/>
            <w:r w:rsidRPr="0033595B">
              <w:rPr>
                <w:rFonts w:eastAsia="Arial"/>
                <w:i/>
              </w:rPr>
              <w:t>health</w:t>
            </w:r>
            <w:proofErr w:type="spellEnd"/>
            <w:r w:rsidRPr="0033595B">
              <w:rPr>
                <w:rFonts w:eastAsia="Arial"/>
                <w:i/>
              </w:rPr>
              <w:t xml:space="preserve"> </w:t>
            </w:r>
            <w:proofErr w:type="spellStart"/>
            <w:r w:rsidRPr="0033595B">
              <w:rPr>
                <w:rFonts w:eastAsia="Arial"/>
                <w:i/>
              </w:rPr>
              <w:t>Technology</w:t>
            </w:r>
            <w:proofErr w:type="spellEnd"/>
            <w:r w:rsidRPr="0033595B">
              <w:rPr>
                <w:rFonts w:eastAsia="Arial"/>
                <w:i/>
              </w:rPr>
              <w:t xml:space="preserve"> </w:t>
            </w:r>
            <w:proofErr w:type="spellStart"/>
            <w:r w:rsidRPr="0033595B">
              <w:rPr>
                <w:rFonts w:eastAsia="Arial"/>
                <w:i/>
              </w:rPr>
              <w:t>Assessment</w:t>
            </w:r>
            <w:proofErr w:type="spellEnd"/>
            <w:r w:rsidRPr="0033595B">
              <w:rPr>
                <w:rFonts w:eastAsia="Arial"/>
                <w:i/>
              </w:rPr>
              <w:t xml:space="preserve"> </w:t>
            </w:r>
            <w:proofErr w:type="spellStart"/>
            <w:r w:rsidRPr="0033595B">
              <w:rPr>
                <w:rFonts w:eastAsia="Arial"/>
                <w:i/>
              </w:rPr>
              <w:t>agency</w:t>
            </w:r>
            <w:proofErr w:type="spellEnd"/>
            <w:r w:rsidRPr="0033595B">
              <w:rPr>
                <w:rFonts w:eastAsia="Arial"/>
                <w:i/>
              </w:rPr>
              <w:t>, CADTH</w:t>
            </w:r>
            <w:r w:rsidRPr="0033595B">
              <w:rPr>
                <w:rFonts w:eastAsia="Arial"/>
              </w:rPr>
              <w:t>)</w:t>
            </w:r>
          </w:p>
        </w:tc>
        <w:tc>
          <w:tcPr>
            <w:tcW w:w="1796" w:type="dxa"/>
          </w:tcPr>
          <w:p w14:paraId="3E3C2FE3" w14:textId="77777777" w:rsidR="00D739EF" w:rsidRPr="0033595B" w:rsidRDefault="00D739EF" w:rsidP="0033595B">
            <w:pPr>
              <w:pStyle w:val="Sraopastraipa"/>
              <w:spacing w:after="120" w:line="276" w:lineRule="auto"/>
              <w:ind w:left="0"/>
              <w:jc w:val="both"/>
            </w:pPr>
            <w:r w:rsidRPr="0033595B">
              <w:rPr>
                <w:rStyle w:val="Style2"/>
                <w:rFonts w:ascii="MS Gothic" w:eastAsia="MS Gothic" w:hAnsi="MS Gothic"/>
              </w:rPr>
              <w:t>☒</w:t>
            </w:r>
            <w:r w:rsidRPr="0033595B">
              <w:t xml:space="preserve"> Taip</w:t>
            </w:r>
          </w:p>
          <w:p w14:paraId="2605DDB5" w14:textId="77777777" w:rsidR="00D739EF" w:rsidRPr="0033595B" w:rsidRDefault="00D739EF" w:rsidP="0033595B">
            <w:pPr>
              <w:pStyle w:val="Sraopastraipa"/>
              <w:spacing w:after="120" w:line="276" w:lineRule="auto"/>
              <w:ind w:left="0"/>
              <w:jc w:val="both"/>
            </w:pPr>
            <w:r w:rsidRPr="0033595B">
              <w:rPr>
                <w:rStyle w:val="Style2"/>
                <w:rFonts w:ascii="Segoe UI Symbol" w:eastAsia="MS Gothic" w:hAnsi="Segoe UI Symbol" w:cs="Segoe UI Symbol"/>
              </w:rPr>
              <w:t>☐</w:t>
            </w:r>
            <w:r w:rsidRPr="0033595B">
              <w:t xml:space="preserve"> Ne</w:t>
            </w:r>
          </w:p>
          <w:p w14:paraId="0253337D" w14:textId="4A1732DC" w:rsidR="00D739EF" w:rsidRPr="0033595B" w:rsidRDefault="009B5E18" w:rsidP="0033595B">
            <w:pPr>
              <w:spacing w:line="276" w:lineRule="auto"/>
              <w:rPr>
                <w:rFonts w:eastAsia="Arial"/>
              </w:rPr>
            </w:pPr>
            <w:sdt>
              <w:sdtPr>
                <w:alias w:val="Nurodykite konkrečią dieną"/>
                <w:tag w:val="Nurodykite pradžios datą"/>
                <w:id w:val="1072468416"/>
                <w:placeholder>
                  <w:docPart w:val="E32D10FA1D9E4633AAE9748749EA6C14"/>
                </w:placeholder>
                <w:date>
                  <w:dateFormat w:val="yyyy 'm.' MMMM d 'd.'"/>
                  <w:lid w:val="lt-LT"/>
                  <w:storeMappedDataAs w:val="dateTime"/>
                  <w:calendar w:val="gregorian"/>
                </w:date>
              </w:sdtPr>
              <w:sdtEndPr/>
              <w:sdtContent>
                <w:r w:rsidR="00D739EF" w:rsidRPr="0033595B">
                  <w:t>2022 liepos 6 d.</w:t>
                </w:r>
              </w:sdtContent>
            </w:sdt>
          </w:p>
        </w:tc>
        <w:tc>
          <w:tcPr>
            <w:tcW w:w="3090" w:type="dxa"/>
          </w:tcPr>
          <w:p w14:paraId="332A8965" w14:textId="77777777" w:rsidR="00D739EF" w:rsidRPr="0033595B" w:rsidRDefault="00D739EF" w:rsidP="0033595B">
            <w:pPr>
              <w:pStyle w:val="Sraopastraipa"/>
              <w:spacing w:after="120" w:line="276" w:lineRule="auto"/>
              <w:ind w:left="0"/>
              <w:jc w:val="both"/>
            </w:pPr>
            <w:r w:rsidRPr="0033595B">
              <w:t>6 metų ir vyresni pacientai, sergantys cistine fibroze (CF), kuriems yra bent viena CFTR geno F508del mutacija.</w:t>
            </w:r>
          </w:p>
          <w:p w14:paraId="01E5A762" w14:textId="77777777" w:rsidR="00D739EF" w:rsidRPr="0033595B" w:rsidRDefault="00D739EF" w:rsidP="0033595B">
            <w:pPr>
              <w:pStyle w:val="Sraopastraipa"/>
              <w:spacing w:after="120" w:line="276" w:lineRule="auto"/>
              <w:ind w:left="0"/>
              <w:jc w:val="both"/>
            </w:pPr>
          </w:p>
          <w:p w14:paraId="4CEAFE47" w14:textId="1372B8DC" w:rsidR="00D739EF" w:rsidRPr="0033595B" w:rsidRDefault="00D739EF" w:rsidP="0033595B">
            <w:pPr>
              <w:spacing w:line="276" w:lineRule="auto"/>
              <w:jc w:val="both"/>
              <w:rPr>
                <w:rFonts w:eastAsia="Arial"/>
              </w:rPr>
            </w:pPr>
          </w:p>
        </w:tc>
        <w:tc>
          <w:tcPr>
            <w:tcW w:w="2216" w:type="dxa"/>
          </w:tcPr>
          <w:p w14:paraId="6E29C8A7" w14:textId="29948CD1" w:rsidR="00D739EF" w:rsidRPr="0033595B" w:rsidRDefault="00D739EF" w:rsidP="0033595B">
            <w:pPr>
              <w:spacing w:line="276" w:lineRule="auto"/>
              <w:jc w:val="both"/>
              <w:rPr>
                <w:rFonts w:eastAsia="Arial"/>
              </w:rPr>
            </w:pPr>
            <w:r w:rsidRPr="0033595B">
              <w:rPr>
                <w:rFonts w:eastAsia="Arial"/>
              </w:rPr>
              <w:t>Rekomenduojama kompensuoti sumažinus kainą.</w:t>
            </w:r>
          </w:p>
        </w:tc>
      </w:tr>
      <w:tr w:rsidR="00D739EF" w:rsidRPr="0033595B" w14:paraId="062D4AC6" w14:textId="77777777" w:rsidTr="00C76645">
        <w:trPr>
          <w:trHeight w:val="1547"/>
        </w:trPr>
        <w:tc>
          <w:tcPr>
            <w:tcW w:w="2816" w:type="dxa"/>
          </w:tcPr>
          <w:p w14:paraId="42EB037E" w14:textId="77777777" w:rsidR="00D739EF" w:rsidRPr="0033595B" w:rsidRDefault="00D739EF" w:rsidP="0033595B">
            <w:pPr>
              <w:spacing w:line="276" w:lineRule="auto"/>
              <w:rPr>
                <w:rFonts w:eastAsia="Arial"/>
              </w:rPr>
            </w:pPr>
            <w:r w:rsidRPr="0033595B">
              <w:rPr>
                <w:rFonts w:eastAsia="Arial"/>
              </w:rPr>
              <w:t xml:space="preserve">Nacionalinis </w:t>
            </w:r>
            <w:proofErr w:type="spellStart"/>
            <w:r w:rsidRPr="0033595B">
              <w:rPr>
                <w:rFonts w:eastAsia="Arial"/>
              </w:rPr>
              <w:t>farmakoekonomikos</w:t>
            </w:r>
            <w:proofErr w:type="spellEnd"/>
            <w:r w:rsidRPr="0033595B">
              <w:rPr>
                <w:rFonts w:eastAsia="Arial"/>
              </w:rPr>
              <w:t xml:space="preserve"> centras, Airija</w:t>
            </w:r>
          </w:p>
          <w:p w14:paraId="75A2FC9D" w14:textId="4CF1E33F" w:rsidR="00D739EF" w:rsidRPr="0033595B" w:rsidRDefault="00D739EF" w:rsidP="0033595B">
            <w:pPr>
              <w:spacing w:line="276" w:lineRule="auto"/>
              <w:rPr>
                <w:rFonts w:eastAsia="Arial"/>
              </w:rPr>
            </w:pPr>
            <w:r w:rsidRPr="0033595B">
              <w:rPr>
                <w:rFonts w:eastAsia="Arial"/>
              </w:rPr>
              <w:t>(angl.</w:t>
            </w:r>
            <w:r w:rsidRPr="0033595B">
              <w:rPr>
                <w:rFonts w:eastAsia="Arial"/>
                <w:i/>
              </w:rPr>
              <w:t xml:space="preserve"> </w:t>
            </w:r>
            <w:proofErr w:type="spellStart"/>
            <w:r w:rsidRPr="0033595B">
              <w:rPr>
                <w:rFonts w:eastAsia="Arial"/>
                <w:i/>
              </w:rPr>
              <w:t>National</w:t>
            </w:r>
            <w:proofErr w:type="spellEnd"/>
            <w:r w:rsidRPr="0033595B">
              <w:rPr>
                <w:rFonts w:eastAsia="Arial"/>
                <w:i/>
              </w:rPr>
              <w:t xml:space="preserve"> Centre </w:t>
            </w:r>
            <w:proofErr w:type="spellStart"/>
            <w:r w:rsidRPr="0033595B">
              <w:rPr>
                <w:rFonts w:eastAsia="Arial"/>
                <w:i/>
              </w:rPr>
              <w:t>for</w:t>
            </w:r>
            <w:proofErr w:type="spellEnd"/>
            <w:r w:rsidRPr="0033595B">
              <w:rPr>
                <w:rFonts w:eastAsia="Arial"/>
                <w:i/>
              </w:rPr>
              <w:t xml:space="preserve"> </w:t>
            </w:r>
            <w:proofErr w:type="spellStart"/>
            <w:r w:rsidRPr="0033595B">
              <w:rPr>
                <w:rFonts w:eastAsia="Arial"/>
                <w:i/>
              </w:rPr>
              <w:t>Pharmacoeconomics</w:t>
            </w:r>
            <w:proofErr w:type="spellEnd"/>
            <w:r w:rsidRPr="0033595B">
              <w:rPr>
                <w:rFonts w:eastAsia="Arial"/>
                <w:i/>
              </w:rPr>
              <w:t>, NCPE</w:t>
            </w:r>
            <w:r w:rsidRPr="0033595B">
              <w:rPr>
                <w:rFonts w:eastAsia="Arial"/>
              </w:rPr>
              <w:t>)</w:t>
            </w:r>
          </w:p>
        </w:tc>
        <w:tc>
          <w:tcPr>
            <w:tcW w:w="1796" w:type="dxa"/>
          </w:tcPr>
          <w:p w14:paraId="76A7C5FE" w14:textId="77777777" w:rsidR="00D739EF" w:rsidRPr="0033595B" w:rsidRDefault="00D739EF" w:rsidP="0033595B">
            <w:pPr>
              <w:pStyle w:val="Sraopastraipa"/>
              <w:spacing w:after="120" w:line="276" w:lineRule="auto"/>
              <w:ind w:left="0"/>
              <w:jc w:val="both"/>
            </w:pPr>
            <w:r w:rsidRPr="0033595B">
              <w:rPr>
                <w:rStyle w:val="Style2"/>
                <w:rFonts w:ascii="MS Gothic" w:eastAsia="MS Gothic" w:hAnsi="MS Gothic"/>
              </w:rPr>
              <w:t>☒</w:t>
            </w:r>
            <w:r w:rsidRPr="0033595B">
              <w:t xml:space="preserve"> Taip</w:t>
            </w:r>
          </w:p>
          <w:p w14:paraId="1D63A6DF" w14:textId="77777777" w:rsidR="00D739EF" w:rsidRPr="0033595B" w:rsidRDefault="00D739EF" w:rsidP="0033595B">
            <w:pPr>
              <w:pStyle w:val="Sraopastraipa"/>
              <w:spacing w:after="120" w:line="276" w:lineRule="auto"/>
              <w:ind w:left="0"/>
              <w:jc w:val="both"/>
            </w:pPr>
            <w:r w:rsidRPr="0033595B">
              <w:rPr>
                <w:rStyle w:val="Style2"/>
                <w:rFonts w:ascii="Segoe UI Symbol" w:eastAsia="MS Gothic" w:hAnsi="Segoe UI Symbol" w:cs="Segoe UI Symbol"/>
              </w:rPr>
              <w:t>☐</w:t>
            </w:r>
            <w:r w:rsidRPr="0033595B">
              <w:t xml:space="preserve"> Ne</w:t>
            </w:r>
          </w:p>
          <w:p w14:paraId="08C1FA84" w14:textId="13058DC2" w:rsidR="00D739EF" w:rsidRPr="0033595B" w:rsidRDefault="009B5E18" w:rsidP="0033595B">
            <w:pPr>
              <w:spacing w:line="276" w:lineRule="auto"/>
              <w:rPr>
                <w:rStyle w:val="Style2"/>
              </w:rPr>
            </w:pPr>
            <w:sdt>
              <w:sdtPr>
                <w:rPr>
                  <w:sz w:val="32"/>
                </w:rPr>
                <w:alias w:val="Nurodykite konkrečią dieną"/>
                <w:tag w:val="Nurodykite pradžios datą"/>
                <w:id w:val="767200409"/>
                <w:placeholder>
                  <w:docPart w:val="E8D879E3135D405E9A05F22A47D2C193"/>
                </w:placeholder>
                <w:date>
                  <w:dateFormat w:val="yyyy 'm.' MMMM d 'd.'"/>
                  <w:lid w:val="lt-LT"/>
                  <w:storeMappedDataAs w:val="dateTime"/>
                  <w:calendar w:val="gregorian"/>
                </w:date>
              </w:sdtPr>
              <w:sdtEndPr>
                <w:rPr>
                  <w:sz w:val="24"/>
                </w:rPr>
              </w:sdtEndPr>
              <w:sdtContent>
                <w:r w:rsidR="00D739EF" w:rsidRPr="0033595B">
                  <w:t>2023 vasario 9 d.</w:t>
                </w:r>
              </w:sdtContent>
            </w:sdt>
          </w:p>
        </w:tc>
        <w:tc>
          <w:tcPr>
            <w:tcW w:w="3090" w:type="dxa"/>
          </w:tcPr>
          <w:p w14:paraId="607154E7" w14:textId="77777777" w:rsidR="00D739EF" w:rsidRPr="0033595B" w:rsidRDefault="00D739EF" w:rsidP="0033595B">
            <w:pPr>
              <w:pStyle w:val="Sraopastraipa"/>
              <w:spacing w:after="120" w:line="276" w:lineRule="auto"/>
              <w:ind w:left="0"/>
              <w:jc w:val="both"/>
            </w:pPr>
            <w:r w:rsidRPr="0033595B">
              <w:t>6 metų ir vyresni pacientai, sergantys cistine fibroze (CF), kuriems yra bent viena CFTR geno F508del mutacija.</w:t>
            </w:r>
          </w:p>
          <w:p w14:paraId="14B44796" w14:textId="77777777" w:rsidR="00D739EF" w:rsidRPr="0033595B" w:rsidRDefault="00D739EF" w:rsidP="0033595B">
            <w:pPr>
              <w:spacing w:line="276" w:lineRule="auto"/>
              <w:jc w:val="both"/>
              <w:rPr>
                <w:rFonts w:eastAsia="Arial"/>
              </w:rPr>
            </w:pPr>
          </w:p>
        </w:tc>
        <w:tc>
          <w:tcPr>
            <w:tcW w:w="2216" w:type="dxa"/>
          </w:tcPr>
          <w:p w14:paraId="632B10B8" w14:textId="76D2FA68" w:rsidR="00D739EF" w:rsidRPr="0033595B" w:rsidRDefault="00D739EF" w:rsidP="0033595B">
            <w:pPr>
              <w:spacing w:line="276" w:lineRule="auto"/>
              <w:jc w:val="both"/>
              <w:rPr>
                <w:rFonts w:eastAsia="Arial"/>
              </w:rPr>
            </w:pPr>
            <w:r w:rsidRPr="0033595B">
              <w:rPr>
                <w:rFonts w:eastAsia="Arial"/>
              </w:rPr>
              <w:t>Rekomenduojama kompensuoti sumažinus kainą.</w:t>
            </w:r>
          </w:p>
        </w:tc>
      </w:tr>
      <w:bookmarkEnd w:id="0"/>
    </w:tbl>
    <w:p w14:paraId="2EB7FD31" w14:textId="3ABBCE52" w:rsidR="00F70C9E" w:rsidRPr="0033595B" w:rsidRDefault="00F70C9E" w:rsidP="0033595B">
      <w:pPr>
        <w:pStyle w:val="Sraopastraipa"/>
        <w:tabs>
          <w:tab w:val="left" w:pos="426"/>
        </w:tabs>
        <w:spacing w:line="276" w:lineRule="auto"/>
        <w:ind w:left="0"/>
        <w:rPr>
          <w:b/>
          <w:bCs/>
          <w:caps/>
        </w:rPr>
      </w:pPr>
    </w:p>
    <w:p w14:paraId="51E6FB5A" w14:textId="77777777" w:rsidR="00AC33D8" w:rsidRPr="0033595B" w:rsidRDefault="00AC33D8" w:rsidP="0033595B">
      <w:pPr>
        <w:pStyle w:val="Sraopastraipa"/>
        <w:tabs>
          <w:tab w:val="left" w:pos="426"/>
        </w:tabs>
        <w:spacing w:line="276" w:lineRule="auto"/>
        <w:ind w:left="0"/>
        <w:rPr>
          <w:b/>
          <w:bCs/>
          <w:caps/>
        </w:rPr>
      </w:pPr>
    </w:p>
    <w:p w14:paraId="0569C57E" w14:textId="426CC639" w:rsidR="00AC33D8" w:rsidRPr="0033595B" w:rsidRDefault="00CC7832" w:rsidP="0033595B">
      <w:pPr>
        <w:pStyle w:val="Sraopastraipa"/>
        <w:numPr>
          <w:ilvl w:val="0"/>
          <w:numId w:val="12"/>
        </w:numPr>
        <w:tabs>
          <w:tab w:val="left" w:pos="284"/>
        </w:tabs>
        <w:spacing w:line="276" w:lineRule="auto"/>
        <w:rPr>
          <w:b/>
          <w:bCs/>
          <w:caps/>
        </w:rPr>
      </w:pPr>
      <w:r w:rsidRPr="0033595B">
        <w:rPr>
          <w:b/>
          <w:bCs/>
          <w:caps/>
        </w:rPr>
        <w:t>Klinikinio vertinimo a</w:t>
      </w:r>
      <w:r w:rsidR="00D4485B" w:rsidRPr="0033595B">
        <w:rPr>
          <w:b/>
          <w:bCs/>
          <w:caps/>
        </w:rPr>
        <w:t>pibendrinimas</w:t>
      </w:r>
    </w:p>
    <w:p w14:paraId="61FD41C3" w14:textId="21891E8A" w:rsidR="00AC33D8" w:rsidRPr="0033595B" w:rsidRDefault="00AC33D8" w:rsidP="0033595B">
      <w:pPr>
        <w:tabs>
          <w:tab w:val="left" w:pos="284"/>
        </w:tabs>
        <w:spacing w:line="276" w:lineRule="auto"/>
        <w:rPr>
          <w:b/>
          <w:bCs/>
          <w:caps/>
        </w:rPr>
      </w:pPr>
    </w:p>
    <w:p w14:paraId="13F1D359" w14:textId="77777777" w:rsidR="00F56E3E" w:rsidRPr="0033595B" w:rsidRDefault="00F56E3E" w:rsidP="0033595B">
      <w:pPr>
        <w:spacing w:line="276" w:lineRule="auto"/>
        <w:ind w:firstLine="720"/>
        <w:jc w:val="both"/>
        <w:rPr>
          <w:color w:val="000000"/>
          <w:lang w:eastAsia="lt-LT"/>
        </w:rPr>
      </w:pPr>
      <w:bookmarkStart w:id="1" w:name="_Hlk130674762"/>
      <w:bookmarkStart w:id="2" w:name="_Hlk131248192"/>
      <w:r w:rsidRPr="0033595B">
        <w:rPr>
          <w:color w:val="000000"/>
          <w:lang w:eastAsia="lt-LT"/>
        </w:rPr>
        <w:t xml:space="preserve">Cistinė fibrozė (CF) yra reta genetinė liga, kuri pasireiškia, kai asmuo paveldi dvi cistinės fibrozės </w:t>
      </w:r>
      <w:proofErr w:type="spellStart"/>
      <w:r w:rsidRPr="0033595B">
        <w:rPr>
          <w:color w:val="000000"/>
          <w:lang w:eastAsia="lt-LT"/>
        </w:rPr>
        <w:t>transmembraninio</w:t>
      </w:r>
      <w:proofErr w:type="spellEnd"/>
      <w:r w:rsidRPr="0033595B">
        <w:rPr>
          <w:color w:val="000000"/>
          <w:lang w:eastAsia="lt-LT"/>
        </w:rPr>
        <w:t xml:space="preserve"> laidumo reguliatoriaus (angl. </w:t>
      </w:r>
      <w:proofErr w:type="spellStart"/>
      <w:r w:rsidRPr="0033595B">
        <w:rPr>
          <w:i/>
          <w:color w:val="000000"/>
          <w:lang w:eastAsia="lt-LT"/>
        </w:rPr>
        <w:t>cystic</w:t>
      </w:r>
      <w:proofErr w:type="spellEnd"/>
      <w:r w:rsidRPr="0033595B">
        <w:rPr>
          <w:i/>
          <w:color w:val="000000"/>
          <w:lang w:eastAsia="lt-LT"/>
        </w:rPr>
        <w:t xml:space="preserve"> </w:t>
      </w:r>
      <w:proofErr w:type="spellStart"/>
      <w:r w:rsidRPr="0033595B">
        <w:rPr>
          <w:i/>
          <w:color w:val="000000"/>
          <w:lang w:eastAsia="lt-LT"/>
        </w:rPr>
        <w:t>fibrosis</w:t>
      </w:r>
      <w:proofErr w:type="spellEnd"/>
      <w:r w:rsidRPr="0033595B">
        <w:rPr>
          <w:i/>
          <w:color w:val="000000"/>
          <w:lang w:eastAsia="lt-LT"/>
        </w:rPr>
        <w:t xml:space="preserve"> </w:t>
      </w:r>
      <w:proofErr w:type="spellStart"/>
      <w:r w:rsidRPr="0033595B">
        <w:rPr>
          <w:i/>
          <w:color w:val="000000"/>
          <w:lang w:eastAsia="lt-LT"/>
        </w:rPr>
        <w:t>transmembrane</w:t>
      </w:r>
      <w:proofErr w:type="spellEnd"/>
      <w:r w:rsidRPr="0033595B">
        <w:rPr>
          <w:i/>
          <w:color w:val="000000"/>
          <w:lang w:eastAsia="lt-LT"/>
        </w:rPr>
        <w:t xml:space="preserve"> </w:t>
      </w:r>
      <w:proofErr w:type="spellStart"/>
      <w:r w:rsidRPr="0033595B">
        <w:rPr>
          <w:i/>
          <w:color w:val="000000"/>
          <w:lang w:eastAsia="lt-LT"/>
        </w:rPr>
        <w:t>conductance</w:t>
      </w:r>
      <w:proofErr w:type="spellEnd"/>
      <w:r w:rsidRPr="0033595B">
        <w:rPr>
          <w:i/>
          <w:color w:val="000000"/>
          <w:lang w:eastAsia="lt-LT"/>
        </w:rPr>
        <w:t xml:space="preserve"> </w:t>
      </w:r>
      <w:proofErr w:type="spellStart"/>
      <w:r w:rsidRPr="0033595B">
        <w:rPr>
          <w:i/>
          <w:color w:val="000000"/>
          <w:lang w:eastAsia="lt-LT"/>
        </w:rPr>
        <w:t>regulator</w:t>
      </w:r>
      <w:proofErr w:type="spellEnd"/>
      <w:r w:rsidRPr="0033595B">
        <w:rPr>
          <w:color w:val="000000"/>
          <w:lang w:eastAsia="lt-LT"/>
        </w:rPr>
        <w:t xml:space="preserve">, toliau CFTR) geno su defektu kopijas. Šios mutacijos sutrikdo normalią CFTR baltymo </w:t>
      </w:r>
      <w:r w:rsidRPr="0033595B">
        <w:rPr>
          <w:color w:val="000000"/>
          <w:lang w:eastAsia="lt-LT"/>
        </w:rPr>
        <w:lastRenderedPageBreak/>
        <w:t>gamybą ir (arba) funkciją. CFTR baltymas, reguliuodamas jonų ir skysčių srautą į ląsteles ir iš jų, yra atsakingas už prakaito, virškinamojo trakto sulčių bei gleivių sekreciją. Dėl sutrikusios CFTR baltymų gamybos ar funkcijos šie įprastai skysti sekretai tirštėja: plaučiuose pradeda kauptis gleivės, sutrinka kepenų, kasos ir kitų organų funkcija.</w:t>
      </w:r>
    </w:p>
    <w:p w14:paraId="3F45A99D" w14:textId="77777777" w:rsidR="00F56E3E" w:rsidRPr="0033595B" w:rsidRDefault="00F56E3E" w:rsidP="0033595B">
      <w:pPr>
        <w:spacing w:line="276" w:lineRule="auto"/>
        <w:ind w:firstLine="720"/>
        <w:jc w:val="both"/>
        <w:rPr>
          <w:color w:val="000000"/>
          <w:lang w:eastAsia="lt-LT"/>
        </w:rPr>
      </w:pPr>
      <w:r w:rsidRPr="0033595B">
        <w:rPr>
          <w:color w:val="000000"/>
          <w:lang w:eastAsia="lt-LT"/>
        </w:rPr>
        <w:t>Dažniausia CFTR geno mutacija yra F508del. 83–90% CF sergančių žmonių turi mažiausiai vieną šios mutacijos kopiją, 41–49% turi dvi kopijas. Nors nustatyta daugiau nei 2000 skirtingų CFTR gero mutacijų, dažniausi genotipai yra F/F, F/MF, F/RF, F/G. F/F yra sunkiausia su F508del mutacijomis susijusi CF forma, ją seka F/MF, F/RF ir F/G genotipai. kurią Pagal 2021 m. Lietuvos Higienos instituto pateikiamus duomenis, Lietuvoje yra 80 pacientų, kuriems nustatyta CF. CF sergančių pacientų gydyme besispecializuojantys specialistai taip pat pateikė Kauno ir Vilniaus centrų naujausius duomenis: Lietuvoje šiuo metu yra gydomi 59 asmenys (vaikai ir suaugusieji), kuriems nustatyta bent viena F508del mutacija. F/F genotipas nustatytas 26 asmenims: 2 iš jų yra jaunesni nei 2 metų, 3 – tarp 2 ir 5 metų, 6 – tarp 5 – 12 metų, 15 – vyresni nei 12 metų. Kitų genotipų (F/MF, F/G ir F/RF) pacientų epidemiologiniai duomenys yra apjungti. Šiai grupei priklauso 33 pacientai: 4 iš jų amžius yra tarp 2 ir 5 metų, 7 – tarp 5 – 12 metų, 22 – vyresni nei 12 metų.</w:t>
      </w:r>
    </w:p>
    <w:p w14:paraId="6E88D349" w14:textId="77777777" w:rsidR="00F56E3E" w:rsidRPr="0033595B" w:rsidRDefault="00F56E3E" w:rsidP="0033595B">
      <w:pPr>
        <w:spacing w:line="276" w:lineRule="auto"/>
        <w:ind w:firstLine="720"/>
        <w:jc w:val="both"/>
        <w:rPr>
          <w:color w:val="000000"/>
          <w:lang w:eastAsia="lt-LT"/>
        </w:rPr>
      </w:pPr>
      <w:r w:rsidRPr="0033595B">
        <w:rPr>
          <w:color w:val="000000"/>
          <w:lang w:eastAsia="lt-LT"/>
        </w:rPr>
        <w:t xml:space="preserve">Išskiriami du gydymo būdai: 1) </w:t>
      </w:r>
      <w:r w:rsidRPr="0033595B">
        <w:rPr>
          <w:b/>
          <w:bCs/>
          <w:color w:val="000000"/>
          <w:lang w:eastAsia="lt-LT"/>
        </w:rPr>
        <w:t>simptominis gydymas</w:t>
      </w:r>
      <w:r w:rsidRPr="0033595B">
        <w:rPr>
          <w:color w:val="000000"/>
          <w:lang w:eastAsia="lt-LT"/>
        </w:rPr>
        <w:t xml:space="preserve"> – antibiotikai, </w:t>
      </w:r>
      <w:proofErr w:type="spellStart"/>
      <w:r w:rsidRPr="0033595B">
        <w:rPr>
          <w:color w:val="000000"/>
          <w:lang w:eastAsia="lt-LT"/>
        </w:rPr>
        <w:t>mukolitikai</w:t>
      </w:r>
      <w:proofErr w:type="spellEnd"/>
      <w:r w:rsidRPr="0033595B">
        <w:rPr>
          <w:color w:val="000000"/>
          <w:lang w:eastAsia="lt-LT"/>
        </w:rPr>
        <w:t xml:space="preserve">, pakaitinė fermentų terapija, bronchus plečiantys vaistai; 2) </w:t>
      </w:r>
      <w:r w:rsidRPr="0033595B">
        <w:rPr>
          <w:b/>
          <w:bCs/>
          <w:color w:val="000000"/>
          <w:lang w:eastAsia="lt-LT"/>
        </w:rPr>
        <w:t>CFTR moduliatoriai</w:t>
      </w:r>
      <w:r w:rsidRPr="0033595B">
        <w:rPr>
          <w:color w:val="000000"/>
          <w:lang w:eastAsia="lt-LT"/>
        </w:rPr>
        <w:t xml:space="preserve">. Skiriant optimalų simptominį gydymą, daugiau nei pusė žmonių, sergančių CF, miršta iki 40 metų. Europos vaistų agentūra yra patvirtinusi keturis CFTR moduliatorius: </w:t>
      </w:r>
      <w:proofErr w:type="spellStart"/>
      <w:r w:rsidRPr="0033595B">
        <w:rPr>
          <w:color w:val="000000"/>
          <w:lang w:eastAsia="lt-LT"/>
        </w:rPr>
        <w:t>Kalydeco</w:t>
      </w:r>
      <w:proofErr w:type="spellEnd"/>
      <w:r w:rsidRPr="0033595B">
        <w:rPr>
          <w:color w:val="000000"/>
          <w:lang w:eastAsia="lt-LT"/>
        </w:rPr>
        <w:t xml:space="preserve"> (</w:t>
      </w:r>
      <w:proofErr w:type="spellStart"/>
      <w:r w:rsidRPr="0033595B">
        <w:rPr>
          <w:color w:val="000000"/>
          <w:lang w:eastAsia="lt-LT"/>
        </w:rPr>
        <w:t>ivakaftoras</w:t>
      </w:r>
      <w:proofErr w:type="spellEnd"/>
      <w:r w:rsidRPr="0033595B">
        <w:rPr>
          <w:color w:val="000000"/>
          <w:lang w:eastAsia="lt-LT"/>
        </w:rPr>
        <w:t xml:space="preserve">), </w:t>
      </w:r>
      <w:proofErr w:type="spellStart"/>
      <w:r w:rsidRPr="0033595B">
        <w:rPr>
          <w:color w:val="000000"/>
          <w:lang w:eastAsia="lt-LT"/>
        </w:rPr>
        <w:t>Orkambi</w:t>
      </w:r>
      <w:proofErr w:type="spellEnd"/>
      <w:r w:rsidRPr="0033595B">
        <w:rPr>
          <w:color w:val="000000"/>
          <w:lang w:eastAsia="lt-LT"/>
        </w:rPr>
        <w:t xml:space="preserve"> (</w:t>
      </w:r>
      <w:proofErr w:type="spellStart"/>
      <w:r w:rsidRPr="0033595B">
        <w:rPr>
          <w:color w:val="000000"/>
          <w:lang w:eastAsia="lt-LT"/>
        </w:rPr>
        <w:t>lumakaftoras</w:t>
      </w:r>
      <w:proofErr w:type="spellEnd"/>
      <w:r w:rsidRPr="0033595B">
        <w:rPr>
          <w:color w:val="000000"/>
          <w:lang w:eastAsia="lt-LT"/>
        </w:rPr>
        <w:t xml:space="preserve"> / </w:t>
      </w:r>
      <w:proofErr w:type="spellStart"/>
      <w:r w:rsidRPr="0033595B">
        <w:rPr>
          <w:color w:val="000000"/>
          <w:lang w:eastAsia="lt-LT"/>
        </w:rPr>
        <w:t>ivakaftoras</w:t>
      </w:r>
      <w:proofErr w:type="spellEnd"/>
      <w:r w:rsidRPr="0033595B">
        <w:rPr>
          <w:color w:val="000000"/>
          <w:lang w:eastAsia="lt-LT"/>
        </w:rPr>
        <w:t xml:space="preserve">), </w:t>
      </w:r>
      <w:proofErr w:type="spellStart"/>
      <w:r w:rsidRPr="0033595B">
        <w:rPr>
          <w:color w:val="000000"/>
          <w:lang w:eastAsia="lt-LT"/>
        </w:rPr>
        <w:t>Symkevi</w:t>
      </w:r>
      <w:proofErr w:type="spellEnd"/>
      <w:r w:rsidRPr="0033595B">
        <w:rPr>
          <w:color w:val="000000"/>
          <w:lang w:eastAsia="lt-LT"/>
        </w:rPr>
        <w:t xml:space="preserve"> (</w:t>
      </w:r>
      <w:proofErr w:type="spellStart"/>
      <w:r w:rsidRPr="0033595B">
        <w:rPr>
          <w:color w:val="000000"/>
          <w:lang w:eastAsia="lt-LT"/>
        </w:rPr>
        <w:t>tezakaftoras</w:t>
      </w:r>
      <w:proofErr w:type="spellEnd"/>
      <w:r w:rsidRPr="0033595B">
        <w:rPr>
          <w:color w:val="000000"/>
          <w:lang w:eastAsia="lt-LT"/>
        </w:rPr>
        <w:t xml:space="preserve"> / </w:t>
      </w:r>
      <w:proofErr w:type="spellStart"/>
      <w:r w:rsidRPr="0033595B">
        <w:rPr>
          <w:color w:val="000000"/>
          <w:lang w:eastAsia="lt-LT"/>
        </w:rPr>
        <w:t>ivakaftoras</w:t>
      </w:r>
      <w:proofErr w:type="spellEnd"/>
      <w:r w:rsidRPr="0033595B">
        <w:rPr>
          <w:color w:val="000000"/>
          <w:lang w:eastAsia="lt-LT"/>
        </w:rPr>
        <w:t xml:space="preserve">) ir </w:t>
      </w:r>
      <w:proofErr w:type="spellStart"/>
      <w:r w:rsidRPr="0033595B">
        <w:rPr>
          <w:color w:val="000000"/>
          <w:lang w:eastAsia="lt-LT"/>
        </w:rPr>
        <w:t>Kaftrio</w:t>
      </w:r>
      <w:proofErr w:type="spellEnd"/>
      <w:r w:rsidRPr="0033595B">
        <w:rPr>
          <w:color w:val="000000"/>
          <w:lang w:eastAsia="lt-LT"/>
        </w:rPr>
        <w:t xml:space="preserve"> (</w:t>
      </w:r>
      <w:proofErr w:type="spellStart"/>
      <w:r w:rsidRPr="0033595B">
        <w:rPr>
          <w:color w:val="000000"/>
          <w:lang w:eastAsia="lt-LT"/>
        </w:rPr>
        <w:t>eleksakaftoras</w:t>
      </w:r>
      <w:proofErr w:type="spellEnd"/>
      <w:r w:rsidRPr="0033595B">
        <w:rPr>
          <w:color w:val="000000"/>
          <w:lang w:eastAsia="lt-LT"/>
        </w:rPr>
        <w:t xml:space="preserve"> / </w:t>
      </w:r>
      <w:proofErr w:type="spellStart"/>
      <w:r w:rsidRPr="0033595B">
        <w:rPr>
          <w:color w:val="000000"/>
          <w:lang w:eastAsia="lt-LT"/>
        </w:rPr>
        <w:t>tezakaftoras</w:t>
      </w:r>
      <w:proofErr w:type="spellEnd"/>
      <w:r w:rsidRPr="0033595B">
        <w:rPr>
          <w:color w:val="000000"/>
          <w:lang w:eastAsia="lt-LT"/>
        </w:rPr>
        <w:t xml:space="preserve"> / </w:t>
      </w:r>
      <w:proofErr w:type="spellStart"/>
      <w:r w:rsidRPr="0033595B">
        <w:rPr>
          <w:color w:val="000000"/>
          <w:lang w:eastAsia="lt-LT"/>
        </w:rPr>
        <w:t>ivakaftoras</w:t>
      </w:r>
      <w:proofErr w:type="spellEnd"/>
      <w:r w:rsidRPr="0033595B">
        <w:rPr>
          <w:color w:val="000000"/>
          <w:lang w:eastAsia="lt-LT"/>
        </w:rPr>
        <w:t xml:space="preserve">, toliau ELX/TEZ/IVA). Europos cistinės fibrozės draugijos (2018 m.) ir JAV cistinės fibrozės fondo (2013 m.) gairėse pateiktos rekomendacijos tik </w:t>
      </w:r>
      <w:proofErr w:type="spellStart"/>
      <w:r w:rsidRPr="0033595B">
        <w:rPr>
          <w:color w:val="000000"/>
          <w:lang w:eastAsia="lt-LT"/>
        </w:rPr>
        <w:t>ivakaftorui</w:t>
      </w:r>
      <w:proofErr w:type="spellEnd"/>
      <w:r w:rsidRPr="0033595B">
        <w:rPr>
          <w:color w:val="000000"/>
          <w:lang w:eastAsia="lt-LT"/>
        </w:rPr>
        <w:t xml:space="preserve">, nes publikacijos metu kiti CFTR moduliatoriai dar nebuvo patvirtinti. Lietuvoje CF gydymui šiuo metu </w:t>
      </w:r>
      <w:r w:rsidRPr="0033595B">
        <w:rPr>
          <w:b/>
          <w:color w:val="000000"/>
          <w:lang w:eastAsia="lt-LT"/>
        </w:rPr>
        <w:t>kompensuojamas tik simptominis gydymas</w:t>
      </w:r>
      <w:r w:rsidRPr="0033595B">
        <w:rPr>
          <w:color w:val="000000"/>
          <w:lang w:eastAsia="lt-LT"/>
        </w:rPr>
        <w:t>. CF nėra išgydoma liga, todėl gydymo tikslas yra kuo anksčiau pradėti gydymą siekiant sulėtinti ligos progresavimą ir išvengti tolimesnės organų pažaidos.</w:t>
      </w:r>
    </w:p>
    <w:p w14:paraId="121E7CE7" w14:textId="77777777" w:rsidR="00F56E3E" w:rsidRPr="0033595B" w:rsidRDefault="00F56E3E" w:rsidP="0033595B">
      <w:pPr>
        <w:spacing w:line="276" w:lineRule="auto"/>
        <w:ind w:firstLine="720"/>
        <w:jc w:val="both"/>
        <w:rPr>
          <w:rFonts w:eastAsia="Arial"/>
          <w:bCs/>
        </w:rPr>
      </w:pPr>
      <w:r w:rsidRPr="0033595B">
        <w:rPr>
          <w:rFonts w:eastAsia="Arial"/>
          <w:bCs/>
        </w:rPr>
        <w:t xml:space="preserve">Šiuo metu Lietuvoje CF gydymą reglamentuojančio dokumento nėra, tačiau </w:t>
      </w:r>
      <w:r w:rsidRPr="0033595B">
        <w:rPr>
          <w:color w:val="000000"/>
          <w:lang w:eastAsia="lt-LT"/>
        </w:rPr>
        <w:t xml:space="preserve">antibiotikai, </w:t>
      </w:r>
      <w:proofErr w:type="spellStart"/>
      <w:r w:rsidRPr="0033595B">
        <w:rPr>
          <w:color w:val="000000"/>
          <w:lang w:eastAsia="lt-LT"/>
        </w:rPr>
        <w:t>mukolitikai</w:t>
      </w:r>
      <w:proofErr w:type="spellEnd"/>
      <w:r w:rsidRPr="0033595B">
        <w:rPr>
          <w:color w:val="000000"/>
          <w:lang w:eastAsia="lt-LT"/>
        </w:rPr>
        <w:t>, pakaitinė fermentų terapija, bronchus plečiantys vaistai</w:t>
      </w:r>
      <w:r w:rsidRPr="0033595B">
        <w:rPr>
          <w:rFonts w:eastAsia="Arial"/>
          <w:bCs/>
        </w:rPr>
        <w:t xml:space="preserve"> yra įtraukti į kompensuojamųjų vaistų sąrašą. Vaistiniai preparatai yra apmokami iš PSDF lėšų ir skiriami numatytam pacientų pogrupiui gydyti, todėl laikytina, kad simptominis gydymas yra standartinė klinikinė praktika Lietuvoje.</w:t>
      </w:r>
    </w:p>
    <w:p w14:paraId="36AA5441" w14:textId="77777777" w:rsidR="00F56E3E" w:rsidRPr="0033595B" w:rsidRDefault="00F56E3E" w:rsidP="0033595B">
      <w:pPr>
        <w:spacing w:line="276" w:lineRule="auto"/>
        <w:ind w:firstLine="720"/>
        <w:jc w:val="both"/>
        <w:rPr>
          <w:rFonts w:eastAsia="Arial"/>
          <w:bCs/>
        </w:rPr>
      </w:pPr>
    </w:p>
    <w:p w14:paraId="3F6F0D24" w14:textId="77777777" w:rsidR="00F56E3E" w:rsidRPr="0033595B" w:rsidRDefault="00F56E3E" w:rsidP="0033595B">
      <w:pPr>
        <w:spacing w:line="276" w:lineRule="auto"/>
        <w:jc w:val="both"/>
        <w:rPr>
          <w:rFonts w:eastAsia="Arial"/>
          <w:bCs/>
        </w:rPr>
      </w:pPr>
      <w:r w:rsidRPr="0033595B">
        <w:rPr>
          <w:rFonts w:eastAsia="Arial"/>
          <w:bCs/>
          <w:i/>
          <w:iCs/>
        </w:rPr>
        <w:t>Tiesioginis palyginimas</w:t>
      </w:r>
    </w:p>
    <w:p w14:paraId="2257FB84" w14:textId="77777777" w:rsidR="00F56E3E" w:rsidRPr="0033595B" w:rsidRDefault="00F56E3E" w:rsidP="0033595B">
      <w:pPr>
        <w:spacing w:line="276" w:lineRule="auto"/>
        <w:jc w:val="both"/>
        <w:rPr>
          <w:rFonts w:eastAsia="Arial"/>
          <w:bCs/>
        </w:rPr>
      </w:pPr>
    </w:p>
    <w:p w14:paraId="2458BDD6" w14:textId="77777777" w:rsidR="00F56E3E" w:rsidRPr="0033595B" w:rsidRDefault="00F56E3E" w:rsidP="0033595B">
      <w:pPr>
        <w:spacing w:line="276" w:lineRule="auto"/>
        <w:ind w:firstLine="1296"/>
        <w:jc w:val="both"/>
        <w:rPr>
          <w:rFonts w:eastAsia="Arial"/>
          <w:bCs/>
        </w:rPr>
      </w:pPr>
      <w:r w:rsidRPr="0033595B">
        <w:rPr>
          <w:rFonts w:eastAsia="Arial"/>
          <w:bCs/>
        </w:rPr>
        <w:t xml:space="preserve">Klinikinis vertinimas buvo atliktas pagal paraiškoje pateiktus placebo kontroliuojamus klinikinius tyrimus: </w:t>
      </w:r>
      <w:proofErr w:type="spellStart"/>
      <w:r w:rsidRPr="0033595B">
        <w:rPr>
          <w:rFonts w:eastAsia="Arial"/>
          <w:bCs/>
          <w:i/>
          <w:iCs/>
        </w:rPr>
        <w:t>Study</w:t>
      </w:r>
      <w:proofErr w:type="spellEnd"/>
      <w:r w:rsidRPr="0033595B">
        <w:rPr>
          <w:rFonts w:eastAsia="Arial"/>
          <w:bCs/>
          <w:i/>
          <w:iCs/>
        </w:rPr>
        <w:t xml:space="preserve"> 116</w:t>
      </w:r>
      <w:r w:rsidRPr="0033595B">
        <w:rPr>
          <w:rFonts w:eastAsia="Arial"/>
          <w:bCs/>
        </w:rPr>
        <w:t xml:space="preserve"> (6 – 11 metų pacientų populiacijoje), </w:t>
      </w:r>
      <w:proofErr w:type="spellStart"/>
      <w:r w:rsidRPr="0033595B">
        <w:rPr>
          <w:rFonts w:eastAsia="Arial"/>
          <w:bCs/>
          <w:i/>
          <w:iCs/>
        </w:rPr>
        <w:t>Study</w:t>
      </w:r>
      <w:proofErr w:type="spellEnd"/>
      <w:r w:rsidRPr="0033595B">
        <w:rPr>
          <w:rFonts w:eastAsia="Arial"/>
          <w:bCs/>
          <w:i/>
          <w:iCs/>
        </w:rPr>
        <w:t xml:space="preserve"> 102</w:t>
      </w:r>
      <w:r w:rsidRPr="0033595B">
        <w:rPr>
          <w:rFonts w:eastAsia="Arial"/>
          <w:bCs/>
        </w:rPr>
        <w:t xml:space="preserve"> (12 metų ir vyresnių pacientų populiacijoje) bei kitus aktyviu gydymu kontroliuojamus tyrimus, kurie aktualūs netiesioginio palyginimo analizėje.</w:t>
      </w:r>
    </w:p>
    <w:p w14:paraId="7B778E22" w14:textId="77777777" w:rsidR="00F56E3E" w:rsidRPr="0033595B" w:rsidRDefault="00F56E3E" w:rsidP="0033595B">
      <w:pPr>
        <w:spacing w:line="276" w:lineRule="auto"/>
        <w:ind w:firstLine="1296"/>
        <w:jc w:val="both"/>
        <w:rPr>
          <w:rFonts w:eastAsia="Arial"/>
          <w:bCs/>
        </w:rPr>
      </w:pPr>
      <w:r w:rsidRPr="0033595B">
        <w:rPr>
          <w:rFonts w:eastAsia="Arial"/>
          <w:bCs/>
        </w:rPr>
        <w:t xml:space="preserve">Vertinant pirminę baigtį, </w:t>
      </w:r>
      <w:proofErr w:type="spellStart"/>
      <w:r w:rsidRPr="0033595B">
        <w:rPr>
          <w:rFonts w:eastAsia="Arial"/>
          <w:bCs/>
          <w:i/>
          <w:iCs/>
        </w:rPr>
        <w:t>Study</w:t>
      </w:r>
      <w:proofErr w:type="spellEnd"/>
      <w:r w:rsidRPr="0033595B">
        <w:rPr>
          <w:rFonts w:eastAsia="Arial"/>
          <w:bCs/>
          <w:i/>
          <w:iCs/>
        </w:rPr>
        <w:t xml:space="preserve"> 116</w:t>
      </w:r>
      <w:r w:rsidRPr="0033595B">
        <w:rPr>
          <w:rFonts w:eastAsia="Arial"/>
          <w:bCs/>
        </w:rPr>
        <w:t xml:space="preserve"> tyrime nustatyta, kad 6 – 11 metų pacientams, kuriems nustatytas F/MF genotipas, vartojant </w:t>
      </w:r>
      <w:r w:rsidRPr="0033595B">
        <w:rPr>
          <w:color w:val="000000"/>
          <w:lang w:eastAsia="lt-LT"/>
        </w:rPr>
        <w:t>ELX/TEZ/IVA</w:t>
      </w:r>
      <w:r w:rsidRPr="0033595B">
        <w:rPr>
          <w:rFonts w:eastAsia="Arial"/>
          <w:bCs/>
        </w:rPr>
        <w:t xml:space="preserve"> statistiškai (-2,26; 95% PI -2,71 – -1,81; P&lt;0,0001) ir kliniškai reikšmingai (&gt; 15%) sumažėjo plaučių klirenso indeksas (LCI), lyginant su placebo. </w:t>
      </w:r>
      <w:proofErr w:type="spellStart"/>
      <w:r w:rsidRPr="0033595B">
        <w:rPr>
          <w:rFonts w:eastAsia="Arial"/>
          <w:bCs/>
          <w:i/>
          <w:iCs/>
        </w:rPr>
        <w:t>Study</w:t>
      </w:r>
      <w:proofErr w:type="spellEnd"/>
      <w:r w:rsidRPr="0033595B">
        <w:rPr>
          <w:rFonts w:eastAsia="Arial"/>
          <w:bCs/>
        </w:rPr>
        <w:t xml:space="preserve"> </w:t>
      </w:r>
      <w:r w:rsidRPr="0033595B">
        <w:rPr>
          <w:rFonts w:eastAsia="Arial"/>
          <w:bCs/>
          <w:i/>
          <w:iCs/>
        </w:rPr>
        <w:t>102</w:t>
      </w:r>
      <w:r w:rsidRPr="0033595B">
        <w:rPr>
          <w:rFonts w:eastAsia="Arial"/>
          <w:bCs/>
        </w:rPr>
        <w:t xml:space="preserve"> nustatyta, kad 12 metų ir vyresni pacientams, kuriems nustatytas F/MF genotipas, vartojant </w:t>
      </w:r>
      <w:r w:rsidRPr="0033595B">
        <w:rPr>
          <w:color w:val="000000"/>
          <w:lang w:eastAsia="lt-LT"/>
        </w:rPr>
        <w:t>ELX/TEZ/IVA po 4 ir 24 savaičių plaučių funkcinis rodiklis – forsuotas iškvėpimo tūris per vieną sekundę (FEV</w:t>
      </w:r>
      <w:r w:rsidRPr="0033595B">
        <w:rPr>
          <w:color w:val="000000"/>
          <w:vertAlign w:val="subscript"/>
          <w:lang w:eastAsia="lt-LT"/>
        </w:rPr>
        <w:t>1</w:t>
      </w:r>
      <w:r w:rsidRPr="0033595B">
        <w:rPr>
          <w:color w:val="000000"/>
          <w:lang w:eastAsia="lt-LT"/>
        </w:rPr>
        <w:t xml:space="preserve">) – statistiškai </w:t>
      </w:r>
      <w:r w:rsidRPr="0033595B">
        <w:rPr>
          <w:rFonts w:eastAsia="Arial"/>
          <w:bCs/>
        </w:rPr>
        <w:t>(13,8% [95% PI 12,1 – 15,4; P&lt;0,001] ir 14,3% [95% PI 12,7 – 15,8; P&lt;0,001]) ir kliniškai (FEV</w:t>
      </w:r>
      <w:r w:rsidRPr="0033595B">
        <w:rPr>
          <w:rFonts w:eastAsia="Arial"/>
          <w:bCs/>
          <w:vertAlign w:val="subscript"/>
        </w:rPr>
        <w:t>1</w:t>
      </w:r>
      <w:r w:rsidRPr="0033595B">
        <w:rPr>
          <w:rFonts w:eastAsia="Arial"/>
          <w:bCs/>
        </w:rPr>
        <w:t xml:space="preserve"> padidėjimas &gt; 5%) reikšmingai padidėjo, lyginant su placebo. Šis skirtumas išliko visuose iš anksto numatytuose pacientų pogrupiuose.</w:t>
      </w:r>
    </w:p>
    <w:p w14:paraId="3494B4EC" w14:textId="77777777" w:rsidR="00F56E3E" w:rsidRPr="0033595B" w:rsidRDefault="00F56E3E" w:rsidP="0033595B">
      <w:pPr>
        <w:spacing w:line="276" w:lineRule="auto"/>
        <w:ind w:firstLine="1296"/>
        <w:jc w:val="both"/>
        <w:rPr>
          <w:rFonts w:eastAsia="Arial"/>
          <w:bCs/>
        </w:rPr>
      </w:pPr>
      <w:r w:rsidRPr="0033595B">
        <w:rPr>
          <w:rFonts w:eastAsia="Arial"/>
          <w:bCs/>
        </w:rPr>
        <w:lastRenderedPageBreak/>
        <w:t>Vertinant antrines baigtis, 6 – 11 metų pacientų populiacijoje FEV</w:t>
      </w:r>
      <w:r w:rsidRPr="0033595B">
        <w:rPr>
          <w:rFonts w:eastAsia="Arial"/>
          <w:bCs/>
          <w:vertAlign w:val="subscript"/>
        </w:rPr>
        <w:t>1</w:t>
      </w:r>
      <w:r w:rsidRPr="0033595B">
        <w:rPr>
          <w:rFonts w:eastAsia="Arial"/>
          <w:bCs/>
        </w:rPr>
        <w:t xml:space="preserve"> po 24 savaičių buvo statistiškai ir kliniškai reikšmingai didesnė ELX/TEZ/IVA grupėje, lyginant su placebo (11,0% [95% PI 6,9 – 15,1; P&lt;0,0001]). Chloro koncentracija prakaite (vaistinio preparato mechanizmo efektyvumą įrodantis rodiklis) po 24 savaičių 6 – 11 metų pacientų populiacijoje (51,2 </w:t>
      </w:r>
      <w:proofErr w:type="spellStart"/>
      <w:r w:rsidRPr="0033595B">
        <w:rPr>
          <w:rFonts w:eastAsia="Arial"/>
          <w:bCs/>
        </w:rPr>
        <w:t>mmol</w:t>
      </w:r>
      <w:proofErr w:type="spellEnd"/>
      <w:r w:rsidRPr="0033595B">
        <w:rPr>
          <w:rFonts w:eastAsia="Arial"/>
          <w:bCs/>
        </w:rPr>
        <w:t xml:space="preserve">/l [95% PI -55,3 – -47,1; P&lt;0,0001]) ir po 4 savaičių 12 metų ir vyresnių pacientų populiacijoje (41,2 </w:t>
      </w:r>
      <w:proofErr w:type="spellStart"/>
      <w:r w:rsidRPr="0033595B">
        <w:rPr>
          <w:rFonts w:eastAsia="Arial"/>
          <w:bCs/>
        </w:rPr>
        <w:t>mmol</w:t>
      </w:r>
      <w:proofErr w:type="spellEnd"/>
      <w:r w:rsidRPr="0033595B">
        <w:rPr>
          <w:rFonts w:eastAsia="Arial"/>
          <w:bCs/>
        </w:rPr>
        <w:t>/l [95% PI -44,0 – -38,5; P&lt;0,001]) buvo statistiškai ir kliniškai (&gt; 20%) mažesnė ELX/TEZ/IVA grupėje, lyginant su placebo. Pacientų gyvenimo kokybė pagal cistinės fibrozės gyvenimo kokybės klausimyną (CFQ-R), po 24 savaičių 6 – 11 metų pacientų populiacijoje (5,5 balais daugiau [95% PI 1,0 – 10,0; P=0,0174]) ir po 4 savaičių 12 metų ir vyresnių pacientų populiacijoje (20,1 balų daugiau [95% PI 16,9 – 23,2; P&lt;0,001]) buvo statistiškai ir kliniškai (CFQ-R klausimyno padidėjimas &gt; 4 balais) daugiau pagerėjo ELX/TEZ/IVA grupėje, lyginant su placebo. Vartojant ELX/TEZ/IVA 12 metų ir vyresnių pacientų populiacijoje, nustatytas mažesnis metinis plaučių infekcijos paūmėjimų dažnis (63%; DS 0,37; 95% 0,25 – 0,55; P&lt;0,001), gydymo ligoninėje (71%; DS 0,29; 95% 0,14 – 0,61) ir intraveniniais antibiotikais (78%; DS 0,22; 95% 0,11 – 0,43) poreikis bei geresnis kūno masės prieaugis vertinant KMI (P&lt;0,001), lyginant su placebo. Panašios tendencijos nustatytos ir 6 – 11 metų pacientų populiacijoje.</w:t>
      </w:r>
    </w:p>
    <w:p w14:paraId="47EDA444" w14:textId="77777777" w:rsidR="00F56E3E" w:rsidRPr="0033595B" w:rsidRDefault="00F56E3E" w:rsidP="0033595B">
      <w:pPr>
        <w:spacing w:line="276" w:lineRule="auto"/>
        <w:ind w:firstLine="1296"/>
        <w:jc w:val="both"/>
        <w:rPr>
          <w:rFonts w:eastAsia="Arial"/>
          <w:bCs/>
        </w:rPr>
      </w:pPr>
      <w:r w:rsidRPr="0033595B">
        <w:rPr>
          <w:rFonts w:eastAsia="Arial"/>
          <w:bCs/>
        </w:rPr>
        <w:t xml:space="preserve">Vertinant analogiškas klinikines ir pacientų baigtis, statistiškai ir kliniškai reikšmingi rezultatai gauti vertinant kitus ELX/TEZ/IVA ir aktyviu gydymu kontroliuojamus tyrimus: pacientų plaučių funkcinė būklė, chloro </w:t>
      </w:r>
      <w:proofErr w:type="spellStart"/>
      <w:r w:rsidRPr="0033595B">
        <w:rPr>
          <w:rFonts w:eastAsia="Arial"/>
          <w:bCs/>
        </w:rPr>
        <w:t>koncetracija</w:t>
      </w:r>
      <w:proofErr w:type="spellEnd"/>
      <w:r w:rsidRPr="0033595B">
        <w:rPr>
          <w:rFonts w:eastAsia="Arial"/>
          <w:bCs/>
        </w:rPr>
        <w:t xml:space="preserve"> prakaite, </w:t>
      </w:r>
      <w:proofErr w:type="spellStart"/>
      <w:r w:rsidRPr="0033595B">
        <w:rPr>
          <w:rFonts w:eastAsia="Arial"/>
          <w:bCs/>
        </w:rPr>
        <w:t>mitybinė</w:t>
      </w:r>
      <w:proofErr w:type="spellEnd"/>
      <w:r w:rsidRPr="0033595B">
        <w:rPr>
          <w:rFonts w:eastAsia="Arial"/>
          <w:bCs/>
        </w:rPr>
        <w:t xml:space="preserve"> būklė, gyvenimo kokybė buvo geresnė ELX/TEZ/IVA grupėje.</w:t>
      </w:r>
    </w:p>
    <w:p w14:paraId="02C39914" w14:textId="77777777" w:rsidR="00F56E3E" w:rsidRPr="0033595B" w:rsidRDefault="00F56E3E" w:rsidP="0033595B">
      <w:pPr>
        <w:spacing w:line="276" w:lineRule="auto"/>
        <w:rPr>
          <w:rFonts w:eastAsia="Arial"/>
          <w:bCs/>
        </w:rPr>
      </w:pPr>
    </w:p>
    <w:p w14:paraId="24D4359C" w14:textId="77777777" w:rsidR="00F56E3E" w:rsidRPr="0033595B" w:rsidRDefault="00F56E3E" w:rsidP="0033595B">
      <w:pPr>
        <w:spacing w:line="276" w:lineRule="auto"/>
        <w:rPr>
          <w:rFonts w:eastAsia="Arial"/>
          <w:bCs/>
          <w:i/>
          <w:iCs/>
        </w:rPr>
      </w:pPr>
      <w:r w:rsidRPr="0033595B">
        <w:rPr>
          <w:rFonts w:eastAsia="Arial"/>
          <w:bCs/>
          <w:i/>
          <w:iCs/>
        </w:rPr>
        <w:t>Netiesioginis palyginimas</w:t>
      </w:r>
    </w:p>
    <w:p w14:paraId="7C1974FE" w14:textId="77777777" w:rsidR="00F56E3E" w:rsidRPr="0033595B" w:rsidRDefault="00F56E3E" w:rsidP="0033595B">
      <w:pPr>
        <w:spacing w:line="276" w:lineRule="auto"/>
        <w:rPr>
          <w:rFonts w:eastAsia="Arial"/>
          <w:bCs/>
          <w:i/>
          <w:iCs/>
        </w:rPr>
      </w:pPr>
    </w:p>
    <w:p w14:paraId="77AA2483" w14:textId="77777777" w:rsidR="00F56E3E" w:rsidRPr="0033595B" w:rsidRDefault="00F56E3E" w:rsidP="0033595B">
      <w:pPr>
        <w:spacing w:line="276" w:lineRule="auto"/>
        <w:ind w:firstLine="1296"/>
        <w:jc w:val="both"/>
        <w:rPr>
          <w:rFonts w:eastAsia="Arial"/>
          <w:bCs/>
        </w:rPr>
      </w:pPr>
      <w:r w:rsidRPr="0033595B">
        <w:rPr>
          <w:rFonts w:eastAsia="Arial"/>
          <w:bCs/>
        </w:rPr>
        <w:t xml:space="preserve">Į sisteminę literatūros apžvalgą buvo įtraukti atsitiktinių imčių kontroliuojami stebėjimo tyrimai, kuriuose tirti 12 metų ir vyresni pacientai, kuriems nustatytas F/F, F/G arba F/RF genotipas. Atlikta tinklinė </w:t>
      </w:r>
      <w:proofErr w:type="spellStart"/>
      <w:r w:rsidRPr="0033595B">
        <w:rPr>
          <w:rFonts w:eastAsia="Arial"/>
          <w:bCs/>
        </w:rPr>
        <w:t>metaanalizė</w:t>
      </w:r>
      <w:proofErr w:type="spellEnd"/>
      <w:r w:rsidRPr="0033595B">
        <w:rPr>
          <w:rFonts w:eastAsia="Arial"/>
          <w:bCs/>
        </w:rPr>
        <w:t>.</w:t>
      </w:r>
    </w:p>
    <w:p w14:paraId="5547B9B0" w14:textId="77777777" w:rsidR="00F56E3E" w:rsidRPr="0033595B" w:rsidRDefault="00F56E3E" w:rsidP="0033595B">
      <w:pPr>
        <w:spacing w:line="276" w:lineRule="auto"/>
        <w:ind w:firstLine="1296"/>
        <w:jc w:val="both"/>
        <w:rPr>
          <w:rFonts w:eastAsia="Arial"/>
          <w:bCs/>
          <w:i/>
          <w:iCs/>
        </w:rPr>
      </w:pPr>
      <w:r w:rsidRPr="0033595B">
        <w:rPr>
          <w:rFonts w:eastAsia="Arial"/>
          <w:bCs/>
        </w:rPr>
        <w:t>Pareiškėjui buvo pateiktas esminis prieštaravimas, jog tiesioginio palyginimo skiltyje pateikti ir netiesioginio palyginimo skiltyje analizuojami aktyviai kontroliuojami tyrimai (</w:t>
      </w:r>
      <w:proofErr w:type="spellStart"/>
      <w:r w:rsidRPr="0033595B">
        <w:rPr>
          <w:rFonts w:eastAsia="Arial"/>
          <w:bCs/>
        </w:rPr>
        <w:t>Study</w:t>
      </w:r>
      <w:proofErr w:type="spellEnd"/>
      <w:r w:rsidRPr="0033595B">
        <w:rPr>
          <w:rFonts w:eastAsia="Arial"/>
          <w:bCs/>
        </w:rPr>
        <w:t xml:space="preserve"> 103, </w:t>
      </w:r>
      <w:proofErr w:type="spellStart"/>
      <w:r w:rsidRPr="0033595B">
        <w:rPr>
          <w:rFonts w:eastAsia="Arial"/>
          <w:bCs/>
        </w:rPr>
        <w:t>Study</w:t>
      </w:r>
      <w:proofErr w:type="spellEnd"/>
      <w:r w:rsidRPr="0033595B">
        <w:rPr>
          <w:rFonts w:eastAsia="Arial"/>
          <w:bCs/>
        </w:rPr>
        <w:t xml:space="preserve"> 104 ir </w:t>
      </w:r>
      <w:proofErr w:type="spellStart"/>
      <w:r w:rsidRPr="0033595B">
        <w:rPr>
          <w:rFonts w:eastAsia="Arial"/>
          <w:bCs/>
        </w:rPr>
        <w:t>Study</w:t>
      </w:r>
      <w:proofErr w:type="spellEnd"/>
      <w:r w:rsidRPr="0033595B">
        <w:rPr>
          <w:rFonts w:eastAsia="Arial"/>
          <w:bCs/>
        </w:rPr>
        <w:t xml:space="preserve"> 109, kuriuose tiriami pacientai su patvirtintu F/F ir F/RF ar F/G genotipu) </w:t>
      </w:r>
      <w:r w:rsidRPr="0033595B">
        <w:rPr>
          <w:bCs/>
        </w:rPr>
        <w:t xml:space="preserve">paraiškos vertinimo metu neatitinka įprastos klinikinės praktikos Lietuvoje, nes 61,7% </w:t>
      </w:r>
      <w:proofErr w:type="spellStart"/>
      <w:r w:rsidRPr="0033595B">
        <w:rPr>
          <w:bCs/>
        </w:rPr>
        <w:t>Study</w:t>
      </w:r>
      <w:proofErr w:type="spellEnd"/>
      <w:r w:rsidRPr="0033595B">
        <w:rPr>
          <w:bCs/>
        </w:rPr>
        <w:t xml:space="preserve"> 103 29,5% </w:t>
      </w:r>
      <w:proofErr w:type="spellStart"/>
      <w:r w:rsidRPr="0033595B">
        <w:rPr>
          <w:bCs/>
        </w:rPr>
        <w:t>Study</w:t>
      </w:r>
      <w:proofErr w:type="spellEnd"/>
      <w:r w:rsidRPr="0033595B">
        <w:rPr>
          <w:bCs/>
        </w:rPr>
        <w:t xml:space="preserve"> 104 ir 44,6% </w:t>
      </w:r>
      <w:proofErr w:type="spellStart"/>
      <w:r w:rsidRPr="0033595B">
        <w:rPr>
          <w:bCs/>
        </w:rPr>
        <w:t>Study</w:t>
      </w:r>
      <w:proofErr w:type="spellEnd"/>
      <w:r w:rsidRPr="0033595B">
        <w:rPr>
          <w:bCs/>
        </w:rPr>
        <w:t xml:space="preserve"> 109  pacientų buvo anksčiau gydomi CFTR moduliatoriais. Dėl šios priežasties buvo paprašyta pateikti šių tyrimų pirminių ir antrinių vertinamųjų baigčių duomenis CFTR moduliatorių iki tyrimo nevartojusių pacientų pogrupiuose, tačiau pareiškėjas pateikė sugretinamąjį palyginimą su placebo kontroliuojamais tyrimais, kurie jau buvo pateikti paraiškos netiesioginio palyginimo analizėje atitinkamose pacientų populiacijose, o naujų papildomų duomenų, kurie atsakytų į esminį prieštaravimą, nepateikė. K</w:t>
      </w:r>
      <w:r w:rsidRPr="0033595B">
        <w:rPr>
          <w:rFonts w:eastAsia="Arial"/>
          <w:bCs/>
        </w:rPr>
        <w:t>adangi F/MF genotipo populiacijoje pateikti tinkami tiesioginio palyginimo duomenys, o F/F genotipas laikytinas sunkiausia su F508del mutacija susijusi cistinės fibrozės ligos forma, toliau pateikiami netiesioginio palyginimo duomenys šioje pacientų populiacijoje įvertinti kaip tinkami ir įrodantys ELX/TEZ/IVA efektyvumą, lyginant su įprasta Lietuvos klinikine praktika. Vis dėlto, nepateikus naujų papildomų duomenų pacientų, kuriems nustatyti F/RF ir F/G genotipai (lengvesnėms su F508del mutacija susijusioms cistinės fibrozės ligos formoms), populiacijoje, netiesioginio palyginimo duomenys vertinti kaip netinkami.</w:t>
      </w:r>
      <w:r w:rsidRPr="0033595B">
        <w:rPr>
          <w:rFonts w:eastAsia="Arial"/>
          <w:bCs/>
        </w:rPr>
        <w:tab/>
      </w:r>
      <w:r w:rsidRPr="0033595B">
        <w:rPr>
          <w:rFonts w:eastAsia="Arial"/>
        </w:rPr>
        <w:t>Vertinant svarbiausias vertinamąsias baigtis, ELX/TEZ/IVA 12 metų ir vyresnių pacientų populiacijoje, kuriems nustatytas F/F genotipas, statistiškai ir kliniškai reikšmingai padidino FEV</w:t>
      </w:r>
      <w:r w:rsidRPr="0033595B">
        <w:rPr>
          <w:rFonts w:eastAsia="Arial"/>
          <w:vertAlign w:val="subscript"/>
        </w:rPr>
        <w:t>1</w:t>
      </w:r>
      <w:r w:rsidRPr="0033595B">
        <w:rPr>
          <w:rFonts w:eastAsia="Arial"/>
        </w:rPr>
        <w:t xml:space="preserve"> (14,1% [95% PI 11,9 – 16,2]; P&lt;0,0001), pagerino pacientų gyvenimo kokybę vertinant CFQ-R klausimyno duomenis (20,9 balais [95% PI 16,2 – 25,6]; P&lt;0,0001), kūno masės prieaugį vertinant </w:t>
      </w:r>
      <w:r w:rsidRPr="0033595B">
        <w:rPr>
          <w:rFonts w:eastAsia="Arial"/>
        </w:rPr>
        <w:lastRenderedPageBreak/>
        <w:t>KMI (1,50 kg/m</w:t>
      </w:r>
      <w:r w:rsidRPr="0033595B">
        <w:rPr>
          <w:rFonts w:eastAsia="Arial"/>
          <w:vertAlign w:val="superscript"/>
        </w:rPr>
        <w:t>2</w:t>
      </w:r>
      <w:r w:rsidRPr="0033595B">
        <w:rPr>
          <w:rFonts w:eastAsia="Arial"/>
        </w:rPr>
        <w:t xml:space="preserve"> [95% 1,11 – 1,89]; P&lt;0,0001), sumažino chloro koncentraciją prakaite (53,0 </w:t>
      </w:r>
      <w:proofErr w:type="spellStart"/>
      <w:r w:rsidRPr="0033595B">
        <w:rPr>
          <w:rFonts w:eastAsia="Arial"/>
        </w:rPr>
        <w:t>mmol</w:t>
      </w:r>
      <w:proofErr w:type="spellEnd"/>
      <w:r w:rsidRPr="0033595B">
        <w:rPr>
          <w:rFonts w:eastAsia="Arial"/>
        </w:rPr>
        <w:t>/l [95% PI -56,6 – -49,4]; P&lt;0,0001), lyginant su placebo.</w:t>
      </w:r>
    </w:p>
    <w:p w14:paraId="3BAB77C5" w14:textId="77777777" w:rsidR="00F56E3E" w:rsidRPr="0033595B" w:rsidRDefault="00F56E3E" w:rsidP="0033595B">
      <w:pPr>
        <w:spacing w:line="276" w:lineRule="auto"/>
        <w:rPr>
          <w:rFonts w:eastAsia="Arial"/>
          <w:bCs/>
        </w:rPr>
      </w:pPr>
    </w:p>
    <w:p w14:paraId="3C1E8A72" w14:textId="77777777" w:rsidR="00F56E3E" w:rsidRPr="0033595B" w:rsidRDefault="00F56E3E" w:rsidP="0033595B">
      <w:pPr>
        <w:spacing w:line="276" w:lineRule="auto"/>
        <w:rPr>
          <w:rFonts w:eastAsia="Arial"/>
          <w:bCs/>
          <w:i/>
        </w:rPr>
      </w:pPr>
      <w:r w:rsidRPr="0033595B">
        <w:rPr>
          <w:rFonts w:eastAsia="Arial"/>
          <w:bCs/>
          <w:i/>
        </w:rPr>
        <w:t>Privalumai ir trūkumai</w:t>
      </w:r>
    </w:p>
    <w:p w14:paraId="7AB214FF" w14:textId="77777777" w:rsidR="00F56E3E" w:rsidRPr="0033595B" w:rsidRDefault="00F56E3E" w:rsidP="0033595B">
      <w:pPr>
        <w:spacing w:line="276" w:lineRule="auto"/>
        <w:jc w:val="both"/>
        <w:rPr>
          <w:rFonts w:eastAsia="Arial"/>
          <w:bCs/>
          <w:iCs/>
        </w:rPr>
      </w:pPr>
      <w:r w:rsidRPr="0033595B">
        <w:rPr>
          <w:rFonts w:eastAsia="Arial"/>
          <w:bCs/>
        </w:rPr>
        <w:tab/>
        <w:t>Jei vaistinis preparatas būtų įrašytas į kompensavimo sąrašus, gydymo šiuo vaistiniu preparatu taikymas klinikinėje praktikoje galėtų turėti privalumų ir trūkumų medicininėms paslaugoms ar pacientams.</w:t>
      </w:r>
    </w:p>
    <w:p w14:paraId="1CDC75D2" w14:textId="7BF8F4B8" w:rsidR="00F56E3E" w:rsidRPr="0033595B" w:rsidRDefault="00F56E3E" w:rsidP="0033595B">
      <w:pPr>
        <w:spacing w:line="276" w:lineRule="auto"/>
        <w:jc w:val="both"/>
        <w:rPr>
          <w:rFonts w:eastAsia="Arial"/>
          <w:bCs/>
        </w:rPr>
      </w:pPr>
      <w:r w:rsidRPr="0033595B">
        <w:rPr>
          <w:rFonts w:eastAsia="Arial"/>
          <w:bCs/>
        </w:rPr>
        <w:tab/>
      </w:r>
      <w:r w:rsidRPr="0033595B">
        <w:rPr>
          <w:rFonts w:eastAsia="Arial"/>
          <w:bCs/>
          <w:u w:val="single"/>
        </w:rPr>
        <w:t>Privalumai</w:t>
      </w:r>
      <w:r w:rsidRPr="0033595B">
        <w:rPr>
          <w:rFonts w:eastAsia="Arial"/>
          <w:bCs/>
        </w:rPr>
        <w:t>. Pacientams ir medicinos paslaugoms – veiksmingas vaistas siaurai pacientų populiacijai, kuriai gydymo alternatyvos yra ribotos, užtikrinantis geresnę funkcinę būklę ir gyvenimo kokybę.</w:t>
      </w:r>
    </w:p>
    <w:p w14:paraId="7420FD78" w14:textId="50A0C471" w:rsidR="00D739EF" w:rsidRPr="0033595B" w:rsidRDefault="00F56E3E" w:rsidP="0033595B">
      <w:pPr>
        <w:spacing w:line="276" w:lineRule="auto"/>
        <w:jc w:val="both"/>
        <w:rPr>
          <w:rFonts w:eastAsia="Arial"/>
          <w:bCs/>
        </w:rPr>
      </w:pPr>
      <w:r w:rsidRPr="0033595B">
        <w:rPr>
          <w:rFonts w:eastAsia="Arial"/>
          <w:bCs/>
        </w:rPr>
        <w:tab/>
      </w:r>
      <w:r w:rsidRPr="0033595B">
        <w:rPr>
          <w:rFonts w:eastAsia="Arial"/>
          <w:bCs/>
          <w:u w:val="single"/>
        </w:rPr>
        <w:t>Trūkumai</w:t>
      </w:r>
      <w:r w:rsidRPr="0033595B">
        <w:rPr>
          <w:rFonts w:eastAsia="Arial"/>
          <w:bCs/>
        </w:rPr>
        <w:t>. Medicinos paslaugoms – itin didelė vaistinio preparato kaina.</w:t>
      </w:r>
    </w:p>
    <w:bookmarkEnd w:id="1"/>
    <w:bookmarkEnd w:id="2"/>
    <w:p w14:paraId="47FB23C3" w14:textId="77777777" w:rsidR="00AC33D8" w:rsidRPr="0033595B" w:rsidRDefault="00AC33D8" w:rsidP="0033595B">
      <w:pPr>
        <w:tabs>
          <w:tab w:val="left" w:pos="284"/>
        </w:tabs>
        <w:spacing w:line="276" w:lineRule="auto"/>
        <w:rPr>
          <w:b/>
          <w:bCs/>
          <w:caps/>
        </w:rPr>
      </w:pPr>
    </w:p>
    <w:p w14:paraId="7DE09EB5" w14:textId="04C72FFD" w:rsidR="00E03C3F" w:rsidRPr="0033595B" w:rsidRDefault="00CC7832" w:rsidP="0033595B">
      <w:pPr>
        <w:pStyle w:val="Sraopastraipa"/>
        <w:numPr>
          <w:ilvl w:val="0"/>
          <w:numId w:val="12"/>
        </w:numPr>
        <w:tabs>
          <w:tab w:val="left" w:pos="426"/>
        </w:tabs>
        <w:spacing w:line="276" w:lineRule="auto"/>
        <w:rPr>
          <w:b/>
          <w:bCs/>
          <w:caps/>
        </w:rPr>
      </w:pPr>
      <w:r w:rsidRPr="0033595B">
        <w:rPr>
          <w:b/>
          <w:bCs/>
          <w:caps/>
        </w:rPr>
        <w:t xml:space="preserve">Farmakoekonominio vertinimo </w:t>
      </w:r>
      <w:r w:rsidR="002F0E4F" w:rsidRPr="0033595B">
        <w:rPr>
          <w:b/>
          <w:bCs/>
          <w:caps/>
        </w:rPr>
        <w:t>apibendrinimas</w:t>
      </w:r>
    </w:p>
    <w:p w14:paraId="1A900598" w14:textId="3D8F11F6" w:rsidR="00C62B36" w:rsidRPr="0033595B" w:rsidRDefault="00C62B36" w:rsidP="0033595B">
      <w:pPr>
        <w:tabs>
          <w:tab w:val="left" w:pos="426"/>
        </w:tabs>
        <w:spacing w:line="276" w:lineRule="auto"/>
        <w:rPr>
          <w:b/>
          <w:bCs/>
          <w:caps/>
        </w:rPr>
      </w:pPr>
    </w:p>
    <w:p w14:paraId="6EE0F923" w14:textId="77777777" w:rsidR="0033595B" w:rsidRDefault="001579EC" w:rsidP="0033595B">
      <w:pPr>
        <w:shd w:val="clear" w:color="auto" w:fill="FFFFFF"/>
        <w:spacing w:line="276" w:lineRule="auto"/>
        <w:jc w:val="both"/>
        <w:rPr>
          <w:bCs/>
          <w:szCs w:val="22"/>
        </w:rPr>
      </w:pPr>
      <w:r w:rsidRPr="0033595B">
        <w:rPr>
          <w:rFonts w:eastAsia="Arial"/>
        </w:rPr>
        <w:t xml:space="preserve">Atlikta ekonominė analizė vertinant </w:t>
      </w:r>
      <w:proofErr w:type="spellStart"/>
      <w:r w:rsidRPr="0033595B">
        <w:rPr>
          <w:rFonts w:eastAsia="Arial"/>
        </w:rPr>
        <w:t>kaftrio</w:t>
      </w:r>
      <w:proofErr w:type="spellEnd"/>
      <w:r w:rsidRPr="0033595B">
        <w:rPr>
          <w:rFonts w:eastAsia="Arial"/>
        </w:rPr>
        <w:t xml:space="preserve"> ir </w:t>
      </w:r>
      <w:proofErr w:type="spellStart"/>
      <w:r w:rsidRPr="0033595B">
        <w:rPr>
          <w:rFonts w:eastAsia="Arial"/>
        </w:rPr>
        <w:t>kalydeco</w:t>
      </w:r>
      <w:proofErr w:type="spellEnd"/>
      <w:r w:rsidRPr="0033595B">
        <w:rPr>
          <w:rFonts w:eastAsia="Arial"/>
        </w:rPr>
        <w:t xml:space="preserve"> vaistinių preparatų derinio kaštų naudingumą. Nagrinėjamos analizės populiaciją sudaro 6 metų ir vyresni pacientai, sergantys cistine fibroze ir turintys F/F, F/MF, F/</w:t>
      </w:r>
      <w:proofErr w:type="spellStart"/>
      <w:r w:rsidRPr="0033595B">
        <w:rPr>
          <w:rFonts w:eastAsia="Arial"/>
        </w:rPr>
        <w:t>Gating</w:t>
      </w:r>
      <w:proofErr w:type="spellEnd"/>
      <w:r w:rsidRPr="0033595B">
        <w:rPr>
          <w:rFonts w:eastAsia="Arial"/>
        </w:rPr>
        <w:t xml:space="preserve"> ar F/RF mutacijas. Palyginamasis gydymas analizėje yra geriausia palaikomoji praktika (</w:t>
      </w:r>
      <w:r w:rsidRPr="0033595B">
        <w:rPr>
          <w:bCs/>
          <w:szCs w:val="22"/>
        </w:rPr>
        <w:t xml:space="preserve">angl. </w:t>
      </w:r>
      <w:proofErr w:type="spellStart"/>
      <w:r w:rsidRPr="0033595B">
        <w:rPr>
          <w:bCs/>
          <w:i/>
          <w:szCs w:val="22"/>
        </w:rPr>
        <w:t>best</w:t>
      </w:r>
      <w:proofErr w:type="spellEnd"/>
      <w:r w:rsidRPr="0033595B">
        <w:rPr>
          <w:bCs/>
          <w:i/>
          <w:szCs w:val="22"/>
        </w:rPr>
        <w:t xml:space="preserve"> </w:t>
      </w:r>
      <w:proofErr w:type="spellStart"/>
      <w:r w:rsidRPr="0033595B">
        <w:rPr>
          <w:bCs/>
          <w:i/>
          <w:szCs w:val="22"/>
        </w:rPr>
        <w:t>supportive</w:t>
      </w:r>
      <w:proofErr w:type="spellEnd"/>
      <w:r w:rsidRPr="0033595B">
        <w:rPr>
          <w:bCs/>
          <w:i/>
          <w:szCs w:val="22"/>
        </w:rPr>
        <w:t xml:space="preserve"> care</w:t>
      </w:r>
      <w:r w:rsidRPr="0033595B">
        <w:rPr>
          <w:bCs/>
          <w:szCs w:val="22"/>
        </w:rPr>
        <w:t xml:space="preserve"> – </w:t>
      </w:r>
      <w:r w:rsidRPr="0033595B">
        <w:rPr>
          <w:bCs/>
          <w:i/>
          <w:szCs w:val="22"/>
        </w:rPr>
        <w:t>BSC</w:t>
      </w:r>
      <w:r w:rsidRPr="0033595B">
        <w:rPr>
          <w:bCs/>
          <w:szCs w:val="22"/>
        </w:rPr>
        <w:t xml:space="preserve">). </w:t>
      </w:r>
    </w:p>
    <w:p w14:paraId="51A1CE30" w14:textId="59E5BD86" w:rsidR="001579EC" w:rsidRPr="0033595B" w:rsidRDefault="001579EC" w:rsidP="0033595B">
      <w:pPr>
        <w:shd w:val="clear" w:color="auto" w:fill="FFFFFF"/>
        <w:spacing w:line="276" w:lineRule="auto"/>
        <w:jc w:val="both"/>
        <w:rPr>
          <w:bCs/>
          <w:szCs w:val="22"/>
        </w:rPr>
      </w:pPr>
      <w:r w:rsidRPr="0033595B">
        <w:rPr>
          <w:bCs/>
          <w:szCs w:val="22"/>
        </w:rPr>
        <w:t>Tarnyba atliko analizės rezultato perskaičiavimą, pakoregavus šias prielaidas analizėje</w:t>
      </w:r>
      <w:r w:rsidR="0033595B">
        <w:rPr>
          <w:bCs/>
          <w:szCs w:val="22"/>
        </w:rPr>
        <w:t>. Žr. žemiau.</w:t>
      </w:r>
    </w:p>
    <w:p w14:paraId="476FEF5D" w14:textId="77777777" w:rsidR="001579EC" w:rsidRPr="0033595B" w:rsidRDefault="001579EC" w:rsidP="0033595B">
      <w:pPr>
        <w:spacing w:line="276" w:lineRule="auto"/>
        <w:jc w:val="both"/>
        <w:rPr>
          <w:rFonts w:eastAsia="Arial"/>
        </w:rPr>
      </w:pPr>
    </w:p>
    <w:p w14:paraId="2C3E9A27" w14:textId="408B2E13" w:rsidR="001579EC" w:rsidRPr="0033595B" w:rsidRDefault="001579EC" w:rsidP="0033595B">
      <w:pPr>
        <w:spacing w:line="276" w:lineRule="auto"/>
        <w:jc w:val="both"/>
        <w:rPr>
          <w:rFonts w:eastAsia="Arial"/>
        </w:rPr>
      </w:pPr>
      <w:r w:rsidRPr="0033595B">
        <w:rPr>
          <w:rFonts w:eastAsia="Arial"/>
        </w:rPr>
        <w:t>1. Taikomas vienodas diskontavimas kaštams ir naudai (3,5 proc.) kaip ir numatyta paraiškos rengimo taisyklių reikalavimuose (kuriuose dabartiniu metu nenustatytos išskirtys). Pareiškėjas analizėje taikė skirtingo diskontavimo metodą kaštams ir naudai (5 proc. diskontavimas taikomas kaštams ir 3,5 proc. diskontavimas taikomas naudai). Tarnyba kreipėsi į Pareiškėją, nurodydama, jog analizė turi būti atliekama taikant vienodą diskontavimo procentą kaštams ir naudai, tačiau Pareiškėjas su vienodu diskontavimu nesutiko, prieštaraudamas, jog šiuo atveju turėtų būti taikomas diferencinio diskontavimo metodas, nes nauda sveikatai pasireiškia daug vėliau (kaštams ir naudai, atsiradusiems ankstesnėje stadijoje yra suteikiama daugiau reikšmės, nei toms, kurios atsiranda vėliau). Tarnyba pabrėžia, jog diskontavimas ir naudojamas tam, kad ateities kaštus ir naudą galėtume įvertinti dabartiniais kaštais ir nauda, laikant, kad dabar patiriami kaštai ar gaunama nauda yra reikšmingesnė nei galimai ateityje generuojami kaštai ir nauda. Taip pat, Paraiškos rengimo taisyklių reikalavimuose yra nurodyta, jog analizėje turi būti taikomas vienodas diskontavimas tiek kaštams, tiek naudai ir taisyklėse nenumatytos išskirtys, todėl analizės rezultatas pateikiamas taikant vienodą diskontavimą</w:t>
      </w:r>
      <w:r w:rsidR="00251FB5">
        <w:rPr>
          <w:rFonts w:eastAsia="Arial"/>
        </w:rPr>
        <w:t>.</w:t>
      </w:r>
    </w:p>
    <w:p w14:paraId="78AC9C10" w14:textId="77777777" w:rsidR="001579EC" w:rsidRPr="0033595B" w:rsidRDefault="001579EC" w:rsidP="0033595B">
      <w:pPr>
        <w:spacing w:line="276" w:lineRule="auto"/>
        <w:jc w:val="both"/>
        <w:rPr>
          <w:rFonts w:eastAsia="Arial"/>
        </w:rPr>
      </w:pPr>
    </w:p>
    <w:p w14:paraId="10EC001C" w14:textId="1F9A97E4" w:rsidR="001579EC" w:rsidRPr="0033595B" w:rsidRDefault="001579EC" w:rsidP="0033595B">
      <w:pPr>
        <w:spacing w:line="276" w:lineRule="auto"/>
        <w:jc w:val="both"/>
        <w:rPr>
          <w:bCs/>
          <w:color w:val="000000"/>
          <w:lang w:eastAsia="lt-LT"/>
        </w:rPr>
      </w:pPr>
      <w:r w:rsidRPr="0033595B">
        <w:rPr>
          <w:rFonts w:eastAsia="Arial"/>
        </w:rPr>
        <w:t xml:space="preserve">2. </w:t>
      </w:r>
      <w:r w:rsidRPr="0033595B">
        <w:rPr>
          <w:bCs/>
          <w:color w:val="000000"/>
          <w:lang w:eastAsia="lt-LT"/>
        </w:rPr>
        <w:t xml:space="preserve">Paraiškos teikimo metu siūloma vaistinių preparatų kaina taikoma visoje laiko perspektyvoje, nes nėra aišku, kiek ir kada sumažės </w:t>
      </w:r>
      <w:proofErr w:type="spellStart"/>
      <w:r w:rsidRPr="0033595B">
        <w:rPr>
          <w:bCs/>
          <w:color w:val="000000"/>
          <w:lang w:eastAsia="lt-LT"/>
        </w:rPr>
        <w:t>kaftrio</w:t>
      </w:r>
      <w:proofErr w:type="spellEnd"/>
      <w:r w:rsidRPr="0033595B">
        <w:rPr>
          <w:bCs/>
          <w:color w:val="000000"/>
          <w:lang w:eastAsia="lt-LT"/>
        </w:rPr>
        <w:t xml:space="preserve"> ir </w:t>
      </w:r>
      <w:proofErr w:type="spellStart"/>
      <w:r w:rsidRPr="0033595B">
        <w:rPr>
          <w:bCs/>
          <w:color w:val="000000"/>
          <w:lang w:eastAsia="lt-LT"/>
        </w:rPr>
        <w:t>kalydeco</w:t>
      </w:r>
      <w:proofErr w:type="spellEnd"/>
      <w:r w:rsidRPr="0033595B">
        <w:rPr>
          <w:bCs/>
          <w:color w:val="000000"/>
          <w:lang w:eastAsia="lt-LT"/>
        </w:rPr>
        <w:t xml:space="preserve"> kaina, pasibaigus patentiniam laikotarpiui. Pareiškėjas analizėje taiko prielaidą, jog CFTR moduliatorių kaina mažėja tuo metu, kai pasibaigia patentinės apsaugos laikotarpis. Tarnyba kreipėsi į Pareiškėją nurodydama, jog ši prielaida yra nepriimtina, nes Pareiškėjo analizėje taikomi kainos pokyčiai yra hipotetiniai ir nėra aišku kada tiksliai Lietuvos rinką pasieks </w:t>
      </w:r>
      <w:proofErr w:type="spellStart"/>
      <w:r w:rsidRPr="0033595B">
        <w:rPr>
          <w:bCs/>
          <w:color w:val="000000"/>
          <w:lang w:eastAsia="lt-LT"/>
        </w:rPr>
        <w:t>generiniai</w:t>
      </w:r>
      <w:proofErr w:type="spellEnd"/>
      <w:r w:rsidRPr="0033595B">
        <w:rPr>
          <w:bCs/>
          <w:color w:val="000000"/>
          <w:lang w:eastAsia="lt-LT"/>
        </w:rPr>
        <w:t xml:space="preserve"> vaistiniai preparatai ir kokios bus jų kainos, todėl Paraiškos teikimo metu siūloma vaistinių preparatų kaina taikoma vis</w:t>
      </w:r>
      <w:r w:rsidR="00251FB5">
        <w:rPr>
          <w:bCs/>
          <w:color w:val="000000"/>
          <w:lang w:eastAsia="lt-LT"/>
        </w:rPr>
        <w:t>ame analizuojamame laikotarpyje.</w:t>
      </w:r>
    </w:p>
    <w:p w14:paraId="48CCF409" w14:textId="77777777" w:rsidR="001579EC" w:rsidRPr="0033595B" w:rsidRDefault="001579EC" w:rsidP="0033595B">
      <w:pPr>
        <w:spacing w:line="276" w:lineRule="auto"/>
        <w:jc w:val="both"/>
        <w:rPr>
          <w:bCs/>
          <w:color w:val="000000"/>
          <w:lang w:eastAsia="lt-LT"/>
        </w:rPr>
      </w:pPr>
    </w:p>
    <w:p w14:paraId="79BACA25" w14:textId="77777777" w:rsidR="001579EC" w:rsidRPr="0033595B" w:rsidRDefault="001579EC" w:rsidP="0033595B">
      <w:pPr>
        <w:spacing w:line="276" w:lineRule="auto"/>
        <w:jc w:val="both"/>
        <w:rPr>
          <w:bCs/>
          <w:color w:val="000000"/>
          <w:lang w:eastAsia="lt-LT"/>
        </w:rPr>
      </w:pPr>
      <w:r w:rsidRPr="0033595B">
        <w:rPr>
          <w:rFonts w:eastAsia="Arial"/>
        </w:rPr>
        <w:t xml:space="preserve">3. </w:t>
      </w:r>
      <w:r w:rsidRPr="0033595B">
        <w:rPr>
          <w:bCs/>
          <w:color w:val="000000"/>
          <w:lang w:eastAsia="lt-LT"/>
        </w:rPr>
        <w:t xml:space="preserve">Taikomas 100 proc. nurodymų laikymasis. Tarnyba kreipėsi į Pareiškėją, nurodydama, jog nėra aišku, koks būtų Lietuvos pacientų gydytojo nurodymų laikymasis, todėl taikoma PSDF biudžetui konservatyvi prielaida dėl 100 proc. nurodymų laikymosi. Pareiškėjas su šia prielaida nesutiko nurodydamas, jog per ilgesnį laiką sumažės pacientų, kurie laikosi gydymo nurodymų. Tarnyba </w:t>
      </w:r>
      <w:r w:rsidRPr="0033595B">
        <w:rPr>
          <w:bCs/>
          <w:color w:val="000000"/>
          <w:lang w:eastAsia="lt-LT"/>
        </w:rPr>
        <w:lastRenderedPageBreak/>
        <w:t xml:space="preserve">sutinka, jog egzistuoja galimybė, kad vaistus vartojant ilgą laiką gali pablogėti pacientų gydymo nurodymų laikymasis, tačiau gydymo nurodymų laikymasis gali ir nepablogėti, </w:t>
      </w:r>
      <w:proofErr w:type="spellStart"/>
      <w:r w:rsidRPr="0033595B">
        <w:rPr>
          <w:bCs/>
          <w:color w:val="000000"/>
          <w:lang w:eastAsia="lt-LT"/>
        </w:rPr>
        <w:t>susifromuojant</w:t>
      </w:r>
      <w:proofErr w:type="spellEnd"/>
      <w:r w:rsidRPr="0033595B">
        <w:rPr>
          <w:bCs/>
          <w:color w:val="000000"/>
          <w:lang w:eastAsia="lt-LT"/>
        </w:rPr>
        <w:t xml:space="preserve"> įpročiui bei turint didelę motyvaciją brangiam gydymui gauti. 80 proc. nurodymų laikymasis remiasi JAV duomenimis (vartojant IVA </w:t>
      </w:r>
      <w:proofErr w:type="spellStart"/>
      <w:r w:rsidRPr="0033595B">
        <w:rPr>
          <w:bCs/>
          <w:color w:val="000000"/>
          <w:lang w:eastAsia="lt-LT"/>
        </w:rPr>
        <w:t>monoterapiją</w:t>
      </w:r>
      <w:proofErr w:type="spellEnd"/>
      <w:r w:rsidRPr="0033595B">
        <w:rPr>
          <w:bCs/>
          <w:color w:val="000000"/>
          <w:lang w:eastAsia="lt-LT"/>
        </w:rPr>
        <w:t xml:space="preserve">) ir mažos populiacijos žvalgomaisiais tyrimais Europoje (kur nurodymų laikymasis buvo didesnis nei 80 proc.) Dėl nurodytų priežasčių ir Lietuvos populiacijos gydymo nurodymų laikymosi informacijos trūkumo, taikoma PSDF biudžetui konservatyvi prielaida – 100 proc. </w:t>
      </w:r>
      <w:proofErr w:type="spellStart"/>
      <w:r w:rsidRPr="0033595B">
        <w:rPr>
          <w:bCs/>
          <w:color w:val="000000"/>
          <w:lang w:eastAsia="lt-LT"/>
        </w:rPr>
        <w:t>nurdoymų</w:t>
      </w:r>
      <w:proofErr w:type="spellEnd"/>
      <w:r w:rsidRPr="0033595B">
        <w:rPr>
          <w:bCs/>
          <w:color w:val="000000"/>
          <w:lang w:eastAsia="lt-LT"/>
        </w:rPr>
        <w:t xml:space="preserve"> laikymasis.</w:t>
      </w:r>
    </w:p>
    <w:p w14:paraId="0DE9D538" w14:textId="77777777" w:rsidR="001579EC" w:rsidRPr="0033595B" w:rsidRDefault="001579EC" w:rsidP="0033595B">
      <w:pPr>
        <w:spacing w:line="276" w:lineRule="auto"/>
        <w:jc w:val="both"/>
        <w:rPr>
          <w:bCs/>
          <w:color w:val="000000"/>
          <w:lang w:eastAsia="lt-LT"/>
        </w:rPr>
      </w:pPr>
    </w:p>
    <w:p w14:paraId="5EA58ED9" w14:textId="3247BF60" w:rsidR="001579EC" w:rsidRPr="0033595B" w:rsidRDefault="001579EC" w:rsidP="0033595B">
      <w:pPr>
        <w:spacing w:line="276" w:lineRule="auto"/>
        <w:jc w:val="both"/>
        <w:rPr>
          <w:bCs/>
          <w:color w:val="000000"/>
          <w:lang w:eastAsia="lt-LT"/>
        </w:rPr>
      </w:pPr>
      <w:r w:rsidRPr="0033595B">
        <w:rPr>
          <w:bCs/>
          <w:color w:val="000000"/>
          <w:lang w:eastAsia="lt-LT"/>
        </w:rPr>
        <w:t xml:space="preserve">4. Skaičiavimas atliktas taikant bazines </w:t>
      </w:r>
      <w:proofErr w:type="spellStart"/>
      <w:r w:rsidRPr="0033595B">
        <w:rPr>
          <w:bCs/>
          <w:color w:val="000000"/>
          <w:lang w:eastAsia="lt-LT"/>
        </w:rPr>
        <w:t>kaftrio</w:t>
      </w:r>
      <w:proofErr w:type="spellEnd"/>
      <w:r w:rsidRPr="0033595B">
        <w:rPr>
          <w:bCs/>
          <w:color w:val="000000"/>
          <w:lang w:eastAsia="lt-LT"/>
        </w:rPr>
        <w:t xml:space="preserve"> ir </w:t>
      </w:r>
      <w:proofErr w:type="spellStart"/>
      <w:r w:rsidRPr="0033595B">
        <w:rPr>
          <w:bCs/>
          <w:color w:val="000000"/>
          <w:lang w:eastAsia="lt-LT"/>
        </w:rPr>
        <w:t>kalydeco</w:t>
      </w:r>
      <w:proofErr w:type="spellEnd"/>
      <w:r w:rsidRPr="0033595B">
        <w:rPr>
          <w:bCs/>
          <w:color w:val="000000"/>
          <w:lang w:eastAsia="lt-LT"/>
        </w:rPr>
        <w:t xml:space="preserve"> vaistinių preparatų kainas</w:t>
      </w:r>
      <w:r w:rsidR="0033595B">
        <w:rPr>
          <w:bCs/>
          <w:color w:val="000000"/>
          <w:lang w:eastAsia="lt-LT"/>
        </w:rPr>
        <w:t>.</w:t>
      </w:r>
    </w:p>
    <w:p w14:paraId="1065FBF1" w14:textId="77777777" w:rsidR="001579EC" w:rsidRPr="0033595B" w:rsidRDefault="001579EC" w:rsidP="0033595B">
      <w:pPr>
        <w:spacing w:line="276" w:lineRule="auto"/>
        <w:jc w:val="both"/>
        <w:rPr>
          <w:bCs/>
          <w:color w:val="000000"/>
          <w:lang w:eastAsia="lt-LT"/>
        </w:rPr>
      </w:pPr>
    </w:p>
    <w:p w14:paraId="337F0F9D" w14:textId="222941CA" w:rsidR="001579EC" w:rsidRPr="0033595B" w:rsidRDefault="001579EC" w:rsidP="0033595B">
      <w:pPr>
        <w:spacing w:line="276" w:lineRule="auto"/>
        <w:jc w:val="both"/>
        <w:rPr>
          <w:lang w:eastAsia="lt-LT"/>
        </w:rPr>
      </w:pPr>
      <w:r w:rsidRPr="0033595B">
        <w:rPr>
          <w:rFonts w:eastAsia="Arial"/>
        </w:rPr>
        <w:t xml:space="preserve">5. Koreguotas </w:t>
      </w:r>
      <w:r w:rsidRPr="0033595B">
        <w:t>ppFEV</w:t>
      </w:r>
      <w:r w:rsidRPr="0033595B">
        <w:rPr>
          <w:vertAlign w:val="subscript"/>
        </w:rPr>
        <w:t xml:space="preserve">1 </w:t>
      </w:r>
      <w:r w:rsidRPr="0033595B">
        <w:rPr>
          <w:lang w:eastAsia="lt-LT"/>
        </w:rPr>
        <w:t>įverčio sumažėjimas F/</w:t>
      </w:r>
      <w:proofErr w:type="spellStart"/>
      <w:r w:rsidRPr="0033595B">
        <w:rPr>
          <w:lang w:eastAsia="lt-LT"/>
        </w:rPr>
        <w:t>Gating</w:t>
      </w:r>
      <w:proofErr w:type="spellEnd"/>
      <w:r w:rsidRPr="0033595B">
        <w:rPr>
          <w:lang w:eastAsia="lt-LT"/>
        </w:rPr>
        <w:t xml:space="preserve"> mutacijoje (taikomi tokie patys įverčiai BSC grupėje, kaip ir F/RF mutacijos, laikant jog ligos sunkumas esant F/</w:t>
      </w:r>
      <w:proofErr w:type="spellStart"/>
      <w:r w:rsidRPr="0033595B">
        <w:rPr>
          <w:lang w:eastAsia="lt-LT"/>
        </w:rPr>
        <w:t>Gating</w:t>
      </w:r>
      <w:proofErr w:type="spellEnd"/>
      <w:r w:rsidRPr="0033595B">
        <w:rPr>
          <w:lang w:eastAsia="lt-LT"/>
        </w:rPr>
        <w:t xml:space="preserve"> mutacijai yra panašesnis su ligos sunkumu F/RF mutacijoje, nei su F/F mutacija). Modelyje kasmetinio plaučių funkcijos pablogėjimo įverčiai BSC grupėje yra gauti iš </w:t>
      </w:r>
      <w:r w:rsidRPr="0033595B">
        <w:rPr>
          <w:color w:val="000000"/>
          <w:lang w:eastAsia="lt-LT"/>
        </w:rPr>
        <w:t xml:space="preserve">retrospektyvaus kohortos tyrimo F/RF genotipui, o F/F genotipui iš JAV </w:t>
      </w:r>
      <w:proofErr w:type="spellStart"/>
      <w:r w:rsidRPr="0033595B">
        <w:rPr>
          <w:i/>
          <w:color w:val="000000"/>
          <w:lang w:eastAsia="lt-LT"/>
        </w:rPr>
        <w:t>Cystic</w:t>
      </w:r>
      <w:proofErr w:type="spellEnd"/>
      <w:r w:rsidRPr="0033595B">
        <w:rPr>
          <w:i/>
          <w:color w:val="000000"/>
          <w:lang w:eastAsia="lt-LT"/>
        </w:rPr>
        <w:t xml:space="preserve"> </w:t>
      </w:r>
      <w:proofErr w:type="spellStart"/>
      <w:r w:rsidRPr="0033595B">
        <w:rPr>
          <w:i/>
          <w:color w:val="000000"/>
          <w:lang w:eastAsia="lt-LT"/>
        </w:rPr>
        <w:t>Fibrosis</w:t>
      </w:r>
      <w:proofErr w:type="spellEnd"/>
      <w:r w:rsidRPr="0033595B">
        <w:rPr>
          <w:i/>
          <w:color w:val="000000"/>
          <w:lang w:eastAsia="lt-LT"/>
        </w:rPr>
        <w:t xml:space="preserve"> </w:t>
      </w:r>
      <w:proofErr w:type="spellStart"/>
      <w:r w:rsidRPr="0033595B">
        <w:rPr>
          <w:i/>
          <w:color w:val="000000"/>
          <w:lang w:eastAsia="lt-LT"/>
        </w:rPr>
        <w:t>Patient</w:t>
      </w:r>
      <w:proofErr w:type="spellEnd"/>
      <w:r w:rsidRPr="0033595B">
        <w:rPr>
          <w:i/>
          <w:color w:val="000000"/>
          <w:lang w:eastAsia="lt-LT"/>
        </w:rPr>
        <w:t xml:space="preserve"> </w:t>
      </w:r>
      <w:proofErr w:type="spellStart"/>
      <w:r w:rsidRPr="0033595B">
        <w:rPr>
          <w:i/>
          <w:color w:val="000000"/>
          <w:lang w:eastAsia="lt-LT"/>
        </w:rPr>
        <w:t>Registry</w:t>
      </w:r>
      <w:proofErr w:type="spellEnd"/>
      <w:r w:rsidRPr="0033595B">
        <w:rPr>
          <w:color w:val="000000"/>
          <w:lang w:eastAsia="lt-LT"/>
        </w:rPr>
        <w:t xml:space="preserve"> 2006 – 2014 m. F/MF bei F/G genotipams specifiškų plaučių funkcijos pablogėjimų įverčių nėra, todėl analizėje </w:t>
      </w:r>
      <w:r w:rsidRPr="0033595B">
        <w:rPr>
          <w:b/>
          <w:color w:val="000000"/>
          <w:lang w:eastAsia="lt-LT"/>
        </w:rPr>
        <w:t>naudotas F/F</w:t>
      </w:r>
      <w:r w:rsidRPr="0033595B">
        <w:rPr>
          <w:color w:val="000000"/>
          <w:lang w:eastAsia="lt-LT"/>
        </w:rPr>
        <w:t xml:space="preserve"> genotipo pacientų įvertis, publikuotas Sawicki et al. publikacijoje. Tarnyba nesutinka, jog F/F, F/MF ir F/G mutacijos yra labai panašios. F/F mutacija yra pati sudėtingiausia (sunkiausia būklė), todėl tikėtina, jog F/F įverčio naudojimas F/MF ir F/G populiacijoms nuvertina placebo grupės įvertį. Tarnyba, siekdama aiškumo, analizę atlieka taikant F/RF mutacijos įvertį BSC grupėje </w:t>
      </w:r>
      <w:r w:rsidRPr="0033595B">
        <w:rPr>
          <w:b/>
          <w:color w:val="000000"/>
          <w:lang w:eastAsia="lt-LT"/>
        </w:rPr>
        <w:t>F/</w:t>
      </w:r>
      <w:proofErr w:type="spellStart"/>
      <w:r w:rsidRPr="0033595B">
        <w:rPr>
          <w:b/>
          <w:color w:val="000000"/>
          <w:lang w:eastAsia="lt-LT"/>
        </w:rPr>
        <w:t>Gating</w:t>
      </w:r>
      <w:proofErr w:type="spellEnd"/>
      <w:r w:rsidRPr="0033595B">
        <w:rPr>
          <w:color w:val="000000"/>
          <w:lang w:eastAsia="lt-LT"/>
        </w:rPr>
        <w:t xml:space="preserve"> mutacijai (atsižvelgiant, jog pagal ligos sunkumą F/</w:t>
      </w:r>
      <w:proofErr w:type="spellStart"/>
      <w:r w:rsidRPr="0033595B">
        <w:rPr>
          <w:color w:val="000000"/>
          <w:lang w:eastAsia="lt-LT"/>
        </w:rPr>
        <w:t>Gating</w:t>
      </w:r>
      <w:proofErr w:type="spellEnd"/>
      <w:r w:rsidRPr="0033595B">
        <w:rPr>
          <w:color w:val="000000"/>
          <w:lang w:eastAsia="lt-LT"/>
        </w:rPr>
        <w:t xml:space="preserve"> mutacija reiškia, jog CFTR baltymas negali tinkamai atsidaryti ir užsidaryti, dėl šios priežasties sumažėja chloro jonų transportas, o F/RF mutacija yra susijusi su likusiu CFTR baltymo aktyvumu. F/F mutacijos atveju mutacija yra </w:t>
      </w:r>
      <w:proofErr w:type="spellStart"/>
      <w:r w:rsidRPr="0033595B">
        <w:rPr>
          <w:color w:val="000000"/>
          <w:lang w:eastAsia="lt-LT"/>
        </w:rPr>
        <w:t>homozigotinė</w:t>
      </w:r>
      <w:proofErr w:type="spellEnd"/>
      <w:r w:rsidRPr="0033595B">
        <w:rPr>
          <w:color w:val="000000"/>
          <w:lang w:eastAsia="lt-LT"/>
        </w:rPr>
        <w:t xml:space="preserve">, todėl laikoma, jog </w:t>
      </w:r>
      <w:r w:rsidRPr="0033595B">
        <w:rPr>
          <w:b/>
          <w:color w:val="000000"/>
          <w:lang w:eastAsia="lt-LT"/>
        </w:rPr>
        <w:t>pagal ligos sunkumą F/G mutacija yra artimesnė F/RF</w:t>
      </w:r>
      <w:r w:rsidRPr="0033595B">
        <w:rPr>
          <w:color w:val="000000"/>
          <w:lang w:eastAsia="lt-LT"/>
        </w:rPr>
        <w:t>)</w:t>
      </w:r>
      <w:r w:rsidR="0033595B">
        <w:rPr>
          <w:color w:val="000000"/>
          <w:lang w:eastAsia="lt-LT"/>
        </w:rPr>
        <w:t>.</w:t>
      </w:r>
    </w:p>
    <w:p w14:paraId="2C86C351" w14:textId="77777777" w:rsidR="001579EC" w:rsidRPr="0033595B" w:rsidRDefault="001579EC" w:rsidP="0033595B">
      <w:pPr>
        <w:spacing w:line="276" w:lineRule="auto"/>
        <w:jc w:val="both"/>
        <w:rPr>
          <w:lang w:eastAsia="lt-LT"/>
        </w:rPr>
      </w:pPr>
    </w:p>
    <w:p w14:paraId="48FFC6A1" w14:textId="77777777" w:rsidR="001579EC" w:rsidRPr="0033595B" w:rsidRDefault="001579EC" w:rsidP="0033595B">
      <w:pPr>
        <w:spacing w:line="276" w:lineRule="auto"/>
        <w:jc w:val="both"/>
        <w:rPr>
          <w:rFonts w:eastAsia="Arial"/>
        </w:rPr>
      </w:pPr>
      <w:r w:rsidRPr="0033595B">
        <w:rPr>
          <w:lang w:eastAsia="lt-LT"/>
        </w:rPr>
        <w:t xml:space="preserve">6. Koreguoti gyvenimo kokybės įverčiai. Pagrindinio atvejo analizėje netaikomas papildomas naudos sveikatai pagerėjimo koeficientas (0,08) pacientams, vartojantiems CFTR moduliatorius. </w:t>
      </w:r>
      <w:r w:rsidRPr="0033595B">
        <w:rPr>
          <w:rFonts w:eastAsia="Calibri"/>
          <w:lang w:bidi="lt-LT"/>
        </w:rPr>
        <w:t xml:space="preserve">naudos sveikatai pagerėjimo įverčio </w:t>
      </w:r>
      <w:r w:rsidRPr="0033595B">
        <w:rPr>
          <w:rFonts w:eastAsia="Calibri"/>
          <w:b/>
          <w:lang w:bidi="lt-LT"/>
        </w:rPr>
        <w:t>(0,08) taikymas analizėje pacientams, vartojantiems CFTR moduliatorius, Tarnybos manymu, dubliuoja CFTR moduliatorių poveikio gyvenimo kokybei įvertinimą</w:t>
      </w:r>
      <w:r w:rsidRPr="0033595B">
        <w:rPr>
          <w:rFonts w:eastAsia="Calibri"/>
          <w:lang w:bidi="lt-LT"/>
        </w:rPr>
        <w:t xml:space="preserve"> (pacientai geresnius gyvenimo kokybės įverčius gauna todėl, nes patenka į aukštesnio </w:t>
      </w:r>
      <w:r w:rsidRPr="0033595B">
        <w:t>ppFEV</w:t>
      </w:r>
      <w:r w:rsidRPr="0033595B">
        <w:rPr>
          <w:vertAlign w:val="subscript"/>
        </w:rPr>
        <w:t>1</w:t>
      </w:r>
      <w:r w:rsidRPr="0033595B">
        <w:rPr>
          <w:rFonts w:eastAsia="Calibri"/>
          <w:lang w:bidi="lt-LT"/>
        </w:rPr>
        <w:t xml:space="preserve"> įverčio grupę (paciento savijauta geresnė, kai plaučių funkcija yra stipresnė), papildomas 0,08 įverčio taikymas dubliuoja nagrinėjamų vaistų poveikį gyvenimo kokybei, todėl pagrindinio atvejo analizėje, Tarnyba netaiko papildomo 0,08 koeficiento pacientams, vartojantiems CFTR moduliatorius).</w:t>
      </w:r>
    </w:p>
    <w:p w14:paraId="1773DDEA" w14:textId="77777777" w:rsidR="001579EC" w:rsidRPr="0033595B" w:rsidRDefault="001579EC" w:rsidP="0033595B">
      <w:pPr>
        <w:shd w:val="clear" w:color="auto" w:fill="FFFFFF"/>
        <w:spacing w:line="276" w:lineRule="auto"/>
        <w:jc w:val="both"/>
        <w:rPr>
          <w:rFonts w:eastAsia="Arial"/>
          <w:b/>
        </w:rPr>
      </w:pPr>
    </w:p>
    <w:p w14:paraId="5315222A" w14:textId="77777777" w:rsidR="001579EC" w:rsidRPr="0033595B" w:rsidRDefault="001579EC" w:rsidP="0033595B">
      <w:pPr>
        <w:shd w:val="clear" w:color="auto" w:fill="FFFFFF"/>
        <w:spacing w:line="276" w:lineRule="auto"/>
        <w:jc w:val="both"/>
        <w:rPr>
          <w:rFonts w:eastAsia="Arial"/>
        </w:rPr>
      </w:pPr>
      <w:r w:rsidRPr="0033595B">
        <w:rPr>
          <w:rFonts w:eastAsia="Arial"/>
        </w:rPr>
        <w:t xml:space="preserve">Atlikus analizės rezultato perskaičiavimą nustatyta, jog </w:t>
      </w:r>
      <w:proofErr w:type="spellStart"/>
      <w:r w:rsidRPr="0033595B">
        <w:rPr>
          <w:rFonts w:eastAsia="Arial"/>
        </w:rPr>
        <w:t>kaftrio</w:t>
      </w:r>
      <w:proofErr w:type="spellEnd"/>
      <w:r w:rsidRPr="0033595B">
        <w:rPr>
          <w:rFonts w:eastAsia="Arial"/>
        </w:rPr>
        <w:t xml:space="preserve"> ir </w:t>
      </w:r>
      <w:proofErr w:type="spellStart"/>
      <w:r w:rsidRPr="0033595B">
        <w:rPr>
          <w:rFonts w:eastAsia="Arial"/>
        </w:rPr>
        <w:t>kalydeco</w:t>
      </w:r>
      <w:proofErr w:type="spellEnd"/>
      <w:r w:rsidRPr="0033595B">
        <w:rPr>
          <w:rFonts w:eastAsia="Arial"/>
        </w:rPr>
        <w:t xml:space="preserve"> derinys yra kaštams neefektyvus visose nagrinėjamose genetinėse mutacijose (ir iš analizės rezultatų išvedus svertinį vidurkį).</w:t>
      </w:r>
    </w:p>
    <w:p w14:paraId="6CCC7C06" w14:textId="74832DFA" w:rsidR="001579EC" w:rsidRPr="0033595B" w:rsidRDefault="001579EC" w:rsidP="0033595B">
      <w:pPr>
        <w:shd w:val="clear" w:color="auto" w:fill="FFFFFF"/>
        <w:spacing w:line="276" w:lineRule="auto"/>
        <w:jc w:val="both"/>
        <w:rPr>
          <w:rFonts w:eastAsia="Arial"/>
        </w:rPr>
      </w:pPr>
    </w:p>
    <w:tbl>
      <w:tblPr>
        <w:tblStyle w:val="4paprastojilente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4"/>
        <w:gridCol w:w="1958"/>
        <w:gridCol w:w="1944"/>
        <w:gridCol w:w="1945"/>
        <w:gridCol w:w="1918"/>
      </w:tblGrid>
      <w:tr w:rsidR="00D25AB4" w14:paraId="596063D6" w14:textId="77777777" w:rsidTr="00AB4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3539A2E6" w14:textId="77777777" w:rsidR="00D25AB4" w:rsidRDefault="00D25AB4" w:rsidP="00AB44C2">
            <w:pPr>
              <w:spacing w:line="280" w:lineRule="atLeast"/>
              <w:rPr>
                <w:rFonts w:eastAsia="Arial"/>
              </w:rPr>
            </w:pPr>
            <w:r>
              <w:rPr>
                <w:rFonts w:eastAsia="Arial"/>
              </w:rPr>
              <w:t>Genotipas</w:t>
            </w:r>
          </w:p>
        </w:tc>
        <w:tc>
          <w:tcPr>
            <w:tcW w:w="1972" w:type="dxa"/>
          </w:tcPr>
          <w:p w14:paraId="7F2B32A9"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proofErr w:type="spellStart"/>
            <w:r>
              <w:rPr>
                <w:rFonts w:eastAsia="Arial"/>
              </w:rPr>
              <w:t>Inkremendiniai</w:t>
            </w:r>
            <w:proofErr w:type="spellEnd"/>
            <w:r>
              <w:rPr>
                <w:rFonts w:eastAsia="Arial"/>
              </w:rPr>
              <w:t xml:space="preserve"> </w:t>
            </w:r>
            <w:proofErr w:type="spellStart"/>
            <w:r>
              <w:rPr>
                <w:rFonts w:eastAsia="Arial"/>
              </w:rPr>
              <w:t>LY‘s</w:t>
            </w:r>
            <w:proofErr w:type="spellEnd"/>
          </w:p>
        </w:tc>
        <w:tc>
          <w:tcPr>
            <w:tcW w:w="1963" w:type="dxa"/>
          </w:tcPr>
          <w:p w14:paraId="374366D2"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proofErr w:type="spellStart"/>
            <w:r>
              <w:rPr>
                <w:rFonts w:eastAsia="Arial"/>
              </w:rPr>
              <w:t>Inkrementiniai</w:t>
            </w:r>
            <w:proofErr w:type="spellEnd"/>
            <w:r>
              <w:rPr>
                <w:rFonts w:eastAsia="Arial"/>
              </w:rPr>
              <w:t xml:space="preserve"> </w:t>
            </w:r>
            <w:proofErr w:type="spellStart"/>
            <w:r>
              <w:rPr>
                <w:rFonts w:eastAsia="Arial"/>
              </w:rPr>
              <w:t>QALY‘s</w:t>
            </w:r>
            <w:proofErr w:type="spellEnd"/>
          </w:p>
        </w:tc>
        <w:tc>
          <w:tcPr>
            <w:tcW w:w="1964" w:type="dxa"/>
          </w:tcPr>
          <w:p w14:paraId="2FCC4FA5"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proofErr w:type="spellStart"/>
            <w:r>
              <w:rPr>
                <w:rFonts w:eastAsia="Arial"/>
              </w:rPr>
              <w:t>Inkrementiniai</w:t>
            </w:r>
            <w:proofErr w:type="spellEnd"/>
            <w:r>
              <w:rPr>
                <w:rFonts w:eastAsia="Arial"/>
              </w:rPr>
              <w:t xml:space="preserve"> kaštai (EUR)</w:t>
            </w:r>
          </w:p>
        </w:tc>
        <w:tc>
          <w:tcPr>
            <w:tcW w:w="1946" w:type="dxa"/>
          </w:tcPr>
          <w:p w14:paraId="4C18401D"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ICER (EUR/QALY)</w:t>
            </w:r>
          </w:p>
        </w:tc>
      </w:tr>
      <w:tr w:rsidR="00D25AB4" w14:paraId="695295A7" w14:textId="77777777" w:rsidTr="00AB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61E2F7A2" w14:textId="77777777" w:rsidR="00D25AB4" w:rsidRDefault="00D25AB4" w:rsidP="00AB44C2">
            <w:pPr>
              <w:spacing w:line="280" w:lineRule="atLeast"/>
              <w:rPr>
                <w:rFonts w:eastAsia="Arial"/>
              </w:rPr>
            </w:pPr>
            <w:r>
              <w:rPr>
                <w:rFonts w:eastAsia="Arial"/>
              </w:rPr>
              <w:t>F/F</w:t>
            </w:r>
          </w:p>
        </w:tc>
        <w:tc>
          <w:tcPr>
            <w:tcW w:w="1972" w:type="dxa"/>
          </w:tcPr>
          <w:p w14:paraId="5B42FB75" w14:textId="77777777" w:rsidR="00D25AB4" w:rsidRDefault="00D25AB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7,8</w:t>
            </w:r>
          </w:p>
        </w:tc>
        <w:tc>
          <w:tcPr>
            <w:tcW w:w="1963" w:type="dxa"/>
          </w:tcPr>
          <w:p w14:paraId="33B5B024" w14:textId="77777777" w:rsidR="00D25AB4" w:rsidRDefault="00D25AB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6,4</w:t>
            </w:r>
          </w:p>
        </w:tc>
        <w:tc>
          <w:tcPr>
            <w:tcW w:w="1964" w:type="dxa"/>
          </w:tcPr>
          <w:p w14:paraId="5C33197C" w14:textId="698BEBFC" w:rsidR="00D25AB4" w:rsidRDefault="00427C1B"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46" w:type="dxa"/>
          </w:tcPr>
          <w:p w14:paraId="2F65A408" w14:textId="283D0D84" w:rsidR="00D25AB4" w:rsidRDefault="00427C1B"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r>
      <w:tr w:rsidR="00D25AB4" w14:paraId="26BEB3E9" w14:textId="77777777" w:rsidTr="00AB44C2">
        <w:tc>
          <w:tcPr>
            <w:cnfStyle w:val="001000000000" w:firstRow="0" w:lastRow="0" w:firstColumn="1" w:lastColumn="0" w:oddVBand="0" w:evenVBand="0" w:oddHBand="0" w:evenHBand="0" w:firstRowFirstColumn="0" w:firstRowLastColumn="0" w:lastRowFirstColumn="0" w:lastRowLastColumn="0"/>
            <w:tcW w:w="1926" w:type="dxa"/>
          </w:tcPr>
          <w:p w14:paraId="20442433" w14:textId="77777777" w:rsidR="00D25AB4" w:rsidRDefault="00D25AB4" w:rsidP="00AB44C2">
            <w:pPr>
              <w:spacing w:line="280" w:lineRule="atLeast"/>
              <w:rPr>
                <w:rFonts w:eastAsia="Arial"/>
              </w:rPr>
            </w:pPr>
            <w:r>
              <w:rPr>
                <w:rFonts w:eastAsia="Arial"/>
              </w:rPr>
              <w:t>F/MF</w:t>
            </w:r>
          </w:p>
        </w:tc>
        <w:tc>
          <w:tcPr>
            <w:tcW w:w="1972" w:type="dxa"/>
          </w:tcPr>
          <w:p w14:paraId="712D8E05" w14:textId="77777777" w:rsidR="00D25AB4" w:rsidRDefault="00D25AB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7,6</w:t>
            </w:r>
          </w:p>
        </w:tc>
        <w:tc>
          <w:tcPr>
            <w:tcW w:w="1963" w:type="dxa"/>
          </w:tcPr>
          <w:p w14:paraId="7BAE3951" w14:textId="77777777" w:rsidR="00D25AB4" w:rsidRDefault="00D25AB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6,2</w:t>
            </w:r>
          </w:p>
        </w:tc>
        <w:tc>
          <w:tcPr>
            <w:tcW w:w="1964" w:type="dxa"/>
          </w:tcPr>
          <w:p w14:paraId="65D9E105" w14:textId="0CF685AC" w:rsidR="00D25AB4" w:rsidRDefault="00427C1B"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46" w:type="dxa"/>
          </w:tcPr>
          <w:p w14:paraId="729A5BBF" w14:textId="4D57E22B" w:rsidR="00D25AB4" w:rsidRDefault="00427C1B"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r>
      <w:tr w:rsidR="00D25AB4" w14:paraId="24E6362E" w14:textId="77777777" w:rsidTr="00AB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7D08BF7E" w14:textId="77777777" w:rsidR="00D25AB4" w:rsidRDefault="00D25AB4" w:rsidP="00AB44C2">
            <w:pPr>
              <w:spacing w:line="280" w:lineRule="atLeast"/>
              <w:rPr>
                <w:rFonts w:eastAsia="Arial"/>
              </w:rPr>
            </w:pPr>
            <w:r>
              <w:rPr>
                <w:rFonts w:eastAsia="Arial"/>
              </w:rPr>
              <w:t>F/</w:t>
            </w:r>
            <w:proofErr w:type="spellStart"/>
            <w:r>
              <w:rPr>
                <w:rFonts w:eastAsia="Arial"/>
              </w:rPr>
              <w:t>Gating</w:t>
            </w:r>
            <w:proofErr w:type="spellEnd"/>
          </w:p>
        </w:tc>
        <w:tc>
          <w:tcPr>
            <w:tcW w:w="1972" w:type="dxa"/>
          </w:tcPr>
          <w:p w14:paraId="53A73A69" w14:textId="77777777" w:rsidR="00D25AB4" w:rsidRDefault="00D25AB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6,3</w:t>
            </w:r>
          </w:p>
        </w:tc>
        <w:tc>
          <w:tcPr>
            <w:tcW w:w="1963" w:type="dxa"/>
          </w:tcPr>
          <w:p w14:paraId="5178AEE0" w14:textId="77777777" w:rsidR="00D25AB4" w:rsidRDefault="00D25AB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5,2</w:t>
            </w:r>
          </w:p>
        </w:tc>
        <w:tc>
          <w:tcPr>
            <w:tcW w:w="1964" w:type="dxa"/>
          </w:tcPr>
          <w:p w14:paraId="1DD9B453" w14:textId="07C29F2B" w:rsidR="00D25AB4" w:rsidRDefault="00427C1B"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46" w:type="dxa"/>
          </w:tcPr>
          <w:p w14:paraId="43E78BAD" w14:textId="00F6273F" w:rsidR="00D25AB4" w:rsidRDefault="00427C1B"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r>
      <w:tr w:rsidR="00D25AB4" w14:paraId="4D977676" w14:textId="77777777" w:rsidTr="00AB44C2">
        <w:tc>
          <w:tcPr>
            <w:cnfStyle w:val="001000000000" w:firstRow="0" w:lastRow="0" w:firstColumn="1" w:lastColumn="0" w:oddVBand="0" w:evenVBand="0" w:oddHBand="0" w:evenHBand="0" w:firstRowFirstColumn="0" w:firstRowLastColumn="0" w:lastRowFirstColumn="0" w:lastRowLastColumn="0"/>
            <w:tcW w:w="1926" w:type="dxa"/>
          </w:tcPr>
          <w:p w14:paraId="2EB93D62" w14:textId="77777777" w:rsidR="00D25AB4" w:rsidRDefault="00D25AB4" w:rsidP="00AB44C2">
            <w:pPr>
              <w:spacing w:line="280" w:lineRule="atLeast"/>
              <w:rPr>
                <w:rFonts w:eastAsia="Arial"/>
              </w:rPr>
            </w:pPr>
            <w:r>
              <w:rPr>
                <w:rFonts w:eastAsia="Arial"/>
              </w:rPr>
              <w:t>F/RF</w:t>
            </w:r>
          </w:p>
        </w:tc>
        <w:tc>
          <w:tcPr>
            <w:tcW w:w="1972" w:type="dxa"/>
          </w:tcPr>
          <w:p w14:paraId="137494B2" w14:textId="77777777" w:rsidR="00D25AB4" w:rsidRDefault="00D25AB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5,0</w:t>
            </w:r>
          </w:p>
        </w:tc>
        <w:tc>
          <w:tcPr>
            <w:tcW w:w="1963" w:type="dxa"/>
          </w:tcPr>
          <w:p w14:paraId="7A793E10" w14:textId="77777777" w:rsidR="00D25AB4" w:rsidRDefault="00D25AB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4,0</w:t>
            </w:r>
          </w:p>
        </w:tc>
        <w:tc>
          <w:tcPr>
            <w:tcW w:w="1964" w:type="dxa"/>
          </w:tcPr>
          <w:p w14:paraId="184EDE02" w14:textId="58565B14" w:rsidR="00D25AB4" w:rsidRDefault="00427C1B"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46" w:type="dxa"/>
          </w:tcPr>
          <w:p w14:paraId="24A79F50" w14:textId="5D40898B" w:rsidR="00D25AB4" w:rsidRDefault="00427C1B"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r>
      <w:tr w:rsidR="00D25AB4" w14:paraId="0C58B6C0" w14:textId="77777777" w:rsidTr="00AB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46A861C3" w14:textId="77777777" w:rsidR="00D25AB4" w:rsidRDefault="00D25AB4" w:rsidP="00AB44C2">
            <w:pPr>
              <w:spacing w:line="280" w:lineRule="atLeast"/>
              <w:rPr>
                <w:rFonts w:eastAsia="Arial"/>
              </w:rPr>
            </w:pPr>
            <w:r>
              <w:rPr>
                <w:rFonts w:eastAsia="Arial"/>
              </w:rPr>
              <w:lastRenderedPageBreak/>
              <w:t>Svertinis vidurkis</w:t>
            </w:r>
          </w:p>
        </w:tc>
        <w:tc>
          <w:tcPr>
            <w:tcW w:w="1972" w:type="dxa"/>
          </w:tcPr>
          <w:p w14:paraId="44BB47F6" w14:textId="77777777" w:rsidR="00D25AB4" w:rsidRDefault="00D25AB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7,3</w:t>
            </w:r>
          </w:p>
        </w:tc>
        <w:tc>
          <w:tcPr>
            <w:tcW w:w="1963" w:type="dxa"/>
          </w:tcPr>
          <w:p w14:paraId="5FC48534" w14:textId="77777777" w:rsidR="00D25AB4" w:rsidRDefault="00D25AB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5,9</w:t>
            </w:r>
          </w:p>
        </w:tc>
        <w:tc>
          <w:tcPr>
            <w:tcW w:w="1964" w:type="dxa"/>
          </w:tcPr>
          <w:p w14:paraId="1136F7C2" w14:textId="5EAC7B46" w:rsidR="00D25AB4" w:rsidRDefault="00427C1B"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46" w:type="dxa"/>
          </w:tcPr>
          <w:p w14:paraId="04CB751E" w14:textId="7ED1EFF4" w:rsidR="00D25AB4" w:rsidRDefault="00427C1B"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bookmarkStart w:id="3" w:name="_GoBack"/>
            <w:bookmarkEnd w:id="3"/>
          </w:p>
        </w:tc>
      </w:tr>
      <w:tr w:rsidR="00D25AB4" w14:paraId="4C95D599" w14:textId="77777777" w:rsidTr="00AB44C2">
        <w:tc>
          <w:tcPr>
            <w:cnfStyle w:val="001000000000" w:firstRow="0" w:lastRow="0" w:firstColumn="1" w:lastColumn="0" w:oddVBand="0" w:evenVBand="0" w:oddHBand="0" w:evenHBand="0" w:firstRowFirstColumn="0" w:firstRowLastColumn="0" w:lastRowFirstColumn="0" w:lastRowLastColumn="0"/>
            <w:tcW w:w="7825" w:type="dxa"/>
            <w:gridSpan w:val="4"/>
          </w:tcPr>
          <w:p w14:paraId="426795BA" w14:textId="77777777" w:rsidR="00D25AB4" w:rsidRPr="008E2D0A" w:rsidRDefault="00D25AB4" w:rsidP="00AB44C2">
            <w:pPr>
              <w:spacing w:line="280" w:lineRule="atLeast"/>
              <w:rPr>
                <w:rFonts w:eastAsia="Arial"/>
                <w:i/>
              </w:rPr>
            </w:pPr>
            <w:r w:rsidRPr="008E2D0A">
              <w:rPr>
                <w:rFonts w:eastAsia="Arial"/>
                <w:i/>
              </w:rPr>
              <w:t>Referencinė kaštų naudingumo vertė</w:t>
            </w:r>
          </w:p>
        </w:tc>
        <w:tc>
          <w:tcPr>
            <w:tcW w:w="1946" w:type="dxa"/>
          </w:tcPr>
          <w:p w14:paraId="1AE7E055" w14:textId="77777777" w:rsidR="00D25AB4" w:rsidRPr="008E2D0A" w:rsidRDefault="00D25AB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b/>
                <w:i/>
              </w:rPr>
            </w:pPr>
            <w:r w:rsidRPr="008E2D0A">
              <w:rPr>
                <w:rFonts w:eastAsia="Arial"/>
                <w:b/>
                <w:i/>
              </w:rPr>
              <w:t xml:space="preserve">60 012 </w:t>
            </w:r>
          </w:p>
        </w:tc>
      </w:tr>
    </w:tbl>
    <w:p w14:paraId="6787BFE9" w14:textId="77777777" w:rsidR="001579EC" w:rsidRPr="0033595B" w:rsidRDefault="001579EC" w:rsidP="0033595B">
      <w:pPr>
        <w:shd w:val="clear" w:color="auto" w:fill="FFFFFF"/>
        <w:spacing w:line="276" w:lineRule="auto"/>
        <w:jc w:val="both"/>
        <w:rPr>
          <w:rFonts w:eastAsia="Arial"/>
        </w:rPr>
      </w:pPr>
    </w:p>
    <w:p w14:paraId="33875138" w14:textId="62F4BE27" w:rsidR="0035172D" w:rsidRPr="0033595B" w:rsidRDefault="0035172D" w:rsidP="0033595B">
      <w:pPr>
        <w:tabs>
          <w:tab w:val="left" w:pos="426"/>
        </w:tabs>
        <w:spacing w:line="276" w:lineRule="auto"/>
        <w:rPr>
          <w:b/>
          <w:bCs/>
          <w:caps/>
        </w:rPr>
      </w:pPr>
    </w:p>
    <w:p w14:paraId="4FC424F9" w14:textId="4E767245" w:rsidR="00C62B36" w:rsidRPr="0033595B" w:rsidRDefault="00C62B36" w:rsidP="0033595B">
      <w:pPr>
        <w:pStyle w:val="Sraopastraipa"/>
        <w:numPr>
          <w:ilvl w:val="0"/>
          <w:numId w:val="12"/>
        </w:numPr>
        <w:tabs>
          <w:tab w:val="left" w:pos="284"/>
        </w:tabs>
        <w:spacing w:line="276" w:lineRule="auto"/>
        <w:rPr>
          <w:b/>
          <w:bCs/>
          <w:caps/>
        </w:rPr>
      </w:pPr>
      <w:r w:rsidRPr="0033595B">
        <w:rPr>
          <w:b/>
          <w:bCs/>
          <w:caps/>
        </w:rPr>
        <w:t xml:space="preserve">Pacientų organizacijų pateikti duomenys </w:t>
      </w:r>
    </w:p>
    <w:p w14:paraId="79BCFF40" w14:textId="7C50741D" w:rsidR="00937907" w:rsidRPr="0033595B" w:rsidRDefault="009B5E18" w:rsidP="0033595B">
      <w:pPr>
        <w:spacing w:after="120" w:line="276" w:lineRule="auto"/>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D739EF" w:rsidRPr="0033595B">
            <w:rPr>
              <w:rStyle w:val="Style2"/>
              <w:rFonts w:ascii="MS Gothic" w:eastAsia="MS Gothic" w:hAnsi="MS Gothic"/>
            </w:rPr>
            <w:t>☐</w:t>
          </w:r>
        </w:sdtContent>
      </w:sdt>
      <w:r w:rsidR="00937907" w:rsidRPr="0033595B">
        <w:t xml:space="preserve"> Pacientų organizacijos pozicija pateikta.</w:t>
      </w:r>
    </w:p>
    <w:p w14:paraId="62992180" w14:textId="5F71E5AD" w:rsidR="00937907" w:rsidRPr="0033595B" w:rsidRDefault="009B5E18" w:rsidP="0033595B">
      <w:pPr>
        <w:spacing w:after="120" w:line="276" w:lineRule="auto"/>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D739EF" w:rsidRPr="0033595B">
            <w:rPr>
              <w:rStyle w:val="Style2"/>
              <w:rFonts w:ascii="MS Gothic" w:eastAsia="MS Gothic" w:hAnsi="MS Gothic"/>
            </w:rPr>
            <w:t>☒</w:t>
          </w:r>
        </w:sdtContent>
      </w:sdt>
      <w:r w:rsidR="00937907" w:rsidRPr="0033595B">
        <w:t xml:space="preserve"> Pacientų organizacijos pozicija </w:t>
      </w:r>
      <w:r w:rsidR="00880A44" w:rsidRPr="0033595B">
        <w:t>ne</w:t>
      </w:r>
      <w:r w:rsidR="00937907" w:rsidRPr="0033595B">
        <w:t>pateikta.</w:t>
      </w:r>
    </w:p>
    <w:p w14:paraId="3D3277FA" w14:textId="3CEEB2D2" w:rsidR="00C62B36" w:rsidRPr="0033595B" w:rsidRDefault="00C62B36" w:rsidP="0033595B">
      <w:pPr>
        <w:pStyle w:val="Sraopastraipa"/>
        <w:numPr>
          <w:ilvl w:val="0"/>
          <w:numId w:val="12"/>
        </w:numPr>
        <w:tabs>
          <w:tab w:val="left" w:pos="426"/>
        </w:tabs>
        <w:spacing w:line="276" w:lineRule="auto"/>
        <w:rPr>
          <w:b/>
          <w:bCs/>
          <w:caps/>
        </w:rPr>
      </w:pPr>
      <w:r w:rsidRPr="0033595B">
        <w:rPr>
          <w:b/>
          <w:bCs/>
          <w:caps/>
        </w:rPr>
        <w:t>Gydytojų organizacijų pateikti duomenys</w:t>
      </w:r>
    </w:p>
    <w:p w14:paraId="389A346C" w14:textId="5CFA85B0" w:rsidR="00937907" w:rsidRPr="0033595B" w:rsidRDefault="009B5E18" w:rsidP="0033595B">
      <w:pPr>
        <w:spacing w:after="120" w:line="276" w:lineRule="auto"/>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D739EF" w:rsidRPr="0033595B">
            <w:rPr>
              <w:rStyle w:val="Style2"/>
              <w:rFonts w:ascii="MS Gothic" w:eastAsia="MS Gothic" w:hAnsi="MS Gothic"/>
            </w:rPr>
            <w:t>☒</w:t>
          </w:r>
        </w:sdtContent>
      </w:sdt>
      <w:r w:rsidR="00662983" w:rsidRPr="0033595B">
        <w:t xml:space="preserve"> </w:t>
      </w:r>
      <w:r w:rsidR="00937907" w:rsidRPr="0033595B">
        <w:t>Gydytojų specialistų organizacijos pozicija pateikta</w:t>
      </w:r>
      <w:r w:rsidR="00CE12C2" w:rsidRPr="0033595B">
        <w:t>.</w:t>
      </w:r>
    </w:p>
    <w:p w14:paraId="5D8CC48C" w14:textId="02009DDA" w:rsidR="00662983" w:rsidRPr="0033595B" w:rsidRDefault="009B5E18" w:rsidP="0033595B">
      <w:pPr>
        <w:spacing w:after="120" w:line="276" w:lineRule="auto"/>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D739EF" w:rsidRPr="0033595B">
            <w:rPr>
              <w:rStyle w:val="Style2"/>
              <w:rFonts w:ascii="MS Gothic" w:eastAsia="MS Gothic" w:hAnsi="MS Gothic"/>
            </w:rPr>
            <w:t>☐</w:t>
          </w:r>
        </w:sdtContent>
      </w:sdt>
      <w:r w:rsidR="00662983" w:rsidRPr="0033595B">
        <w:t xml:space="preserve"> </w:t>
      </w:r>
      <w:r w:rsidR="00937907" w:rsidRPr="0033595B">
        <w:t xml:space="preserve">Gydytojų specialistų organizacijos pozicija </w:t>
      </w:r>
      <w:r w:rsidR="00880A44" w:rsidRPr="0033595B">
        <w:t>ne</w:t>
      </w:r>
      <w:r w:rsidR="00937907" w:rsidRPr="0033595B">
        <w:t>pateikta.</w:t>
      </w:r>
    </w:p>
    <w:p w14:paraId="78F23ECB" w14:textId="23A3A002" w:rsidR="002F0E4F" w:rsidRPr="0033595B" w:rsidRDefault="002F0E4F" w:rsidP="0033595B">
      <w:pPr>
        <w:pStyle w:val="Sraopastraipa"/>
        <w:numPr>
          <w:ilvl w:val="0"/>
          <w:numId w:val="12"/>
        </w:numPr>
        <w:tabs>
          <w:tab w:val="left" w:pos="426"/>
        </w:tabs>
        <w:spacing w:line="276" w:lineRule="auto"/>
        <w:rPr>
          <w:b/>
          <w:bCs/>
          <w:caps/>
        </w:rPr>
      </w:pPr>
      <w:r w:rsidRPr="0033595B">
        <w:rPr>
          <w:b/>
          <w:bCs/>
          <w:caps/>
        </w:rPr>
        <w:t xml:space="preserve">Išvada </w:t>
      </w:r>
    </w:p>
    <w:p w14:paraId="573E407F" w14:textId="77777777" w:rsidR="00797153" w:rsidRPr="0033595B" w:rsidRDefault="00797153" w:rsidP="0033595B">
      <w:pPr>
        <w:tabs>
          <w:tab w:val="left" w:pos="426"/>
        </w:tabs>
        <w:spacing w:line="276" w:lineRule="auto"/>
        <w:rPr>
          <w:b/>
          <w:bCs/>
          <w:caps/>
        </w:rPr>
      </w:pPr>
    </w:p>
    <w:tbl>
      <w:tblPr>
        <w:tblStyle w:val="Lentelstinklelis"/>
        <w:tblW w:w="0" w:type="auto"/>
        <w:tblLook w:val="04A0" w:firstRow="1" w:lastRow="0" w:firstColumn="1" w:lastColumn="0" w:noHBand="0" w:noVBand="1"/>
      </w:tblPr>
      <w:tblGrid>
        <w:gridCol w:w="4815"/>
        <w:gridCol w:w="4814"/>
      </w:tblGrid>
      <w:tr w:rsidR="00B13D65" w:rsidRPr="0033595B" w14:paraId="25A2473E" w14:textId="77777777" w:rsidTr="00BD1E5A">
        <w:tc>
          <w:tcPr>
            <w:tcW w:w="4981" w:type="dxa"/>
          </w:tcPr>
          <w:p w14:paraId="7EFE6941" w14:textId="23B8BB6D" w:rsidR="00B13D65"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33595B">
              <w:rPr>
                <w:rStyle w:val="Style2"/>
                <w:rFonts w:eastAsia="MS Gothic"/>
                <w:b/>
                <w:bCs/>
                <w:sz w:val="24"/>
              </w:rPr>
              <w:t>Rekomenduojama kompensuoti</w:t>
            </w:r>
          </w:p>
        </w:tc>
        <w:tc>
          <w:tcPr>
            <w:tcW w:w="4981" w:type="dxa"/>
          </w:tcPr>
          <w:p w14:paraId="330A1A5E" w14:textId="19247DC1" w:rsidR="00B13D65"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33595B">
              <w:rPr>
                <w:rStyle w:val="Style2"/>
                <w:rFonts w:eastAsia="MS Gothic"/>
                <w:b/>
                <w:bCs/>
                <w:sz w:val="24"/>
              </w:rPr>
              <w:t xml:space="preserve">Rekomenduojama nekompensuoti </w:t>
            </w:r>
          </w:p>
        </w:tc>
      </w:tr>
      <w:tr w:rsidR="00B13D65" w:rsidRPr="0033595B" w14:paraId="143A7356" w14:textId="77777777" w:rsidTr="00BD1E5A">
        <w:tc>
          <w:tcPr>
            <w:tcW w:w="9962" w:type="dxa"/>
            <w:gridSpan w:val="2"/>
          </w:tcPr>
          <w:p w14:paraId="5D93D240"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33595B">
              <w:rPr>
                <w:rStyle w:val="Style2"/>
                <w:rFonts w:eastAsia="MS Gothic"/>
                <w:b/>
                <w:bCs/>
                <w:sz w:val="24"/>
              </w:rPr>
              <w:t>Palyginamasis efektyvumas</w:t>
            </w:r>
          </w:p>
          <w:p w14:paraId="0AF5D6B4"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p>
        </w:tc>
      </w:tr>
      <w:tr w:rsidR="00B13D65" w:rsidRPr="0033595B" w14:paraId="28A0C814" w14:textId="77777777" w:rsidTr="00BD1E5A">
        <w:tc>
          <w:tcPr>
            <w:tcW w:w="4981" w:type="dxa"/>
          </w:tcPr>
          <w:p w14:paraId="216769B5" w14:textId="0FE22E3A"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A02417" w:rsidRPr="0033595B">
                  <w:rPr>
                    <w:rStyle w:val="Style2"/>
                    <w:rFonts w:ascii="MS Gothic" w:eastAsia="MS Gothic" w:hAnsi="MS Gothic"/>
                    <w:sz w:val="24"/>
                  </w:rPr>
                  <w:t>☒</w:t>
                </w:r>
              </w:sdtContent>
            </w:sdt>
            <w:r w:rsidR="00B13D65" w:rsidRPr="0033595B">
              <w:t xml:space="preserve"> 32.1. yra didesnis</w:t>
            </w:r>
          </w:p>
          <w:p w14:paraId="3B48F372"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F18D4" w14:textId="0280F398"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32.1. iš esmės nesiskiria</w:t>
            </w:r>
          </w:p>
        </w:tc>
        <w:tc>
          <w:tcPr>
            <w:tcW w:w="4981" w:type="dxa"/>
          </w:tcPr>
          <w:p w14:paraId="507828D9" w14:textId="09AE523F"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33.1. yra mažesnis</w:t>
            </w:r>
          </w:p>
          <w:p w14:paraId="7F95DEEC"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80682B8" w14:textId="54F77A6C" w:rsidR="00662983"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33.1. yra neįrodytas kaip toks pat</w:t>
            </w:r>
          </w:p>
          <w:p w14:paraId="35205E85"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C3F0A3" w14:textId="7FB4ABC3"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33595B">
                  <w:rPr>
                    <w:rStyle w:val="Style2"/>
                    <w:rFonts w:ascii="Segoe UI Symbol" w:eastAsia="MS Gothic" w:hAnsi="Segoe UI Symbol" w:cs="Segoe UI Symbol"/>
                    <w:sz w:val="24"/>
                  </w:rPr>
                  <w:t>☐</w:t>
                </w:r>
              </w:sdtContent>
            </w:sdt>
            <w:r w:rsidR="00662983" w:rsidRPr="0033595B">
              <w:t xml:space="preserve"> 33.1 </w:t>
            </w:r>
            <w:r w:rsidR="00B13D65" w:rsidRPr="0033595B">
              <w:t>neįrodytas kaip didesnis</w:t>
            </w:r>
          </w:p>
          <w:p w14:paraId="512E653B"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3F374F4" w14:textId="77777777"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33.1. pateikti duomenys apie palyginamąjį efektyvumą yra netinkami vertinti</w:t>
            </w:r>
          </w:p>
          <w:p w14:paraId="5DDAA961"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33595B" w14:paraId="161CC3FE" w14:textId="77777777" w:rsidTr="00BD1E5A">
        <w:tc>
          <w:tcPr>
            <w:tcW w:w="9962" w:type="dxa"/>
            <w:gridSpan w:val="2"/>
          </w:tcPr>
          <w:p w14:paraId="3B2878F0"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33595B">
              <w:rPr>
                <w:rStyle w:val="Style2"/>
                <w:rFonts w:eastAsia="MS Gothic"/>
                <w:b/>
                <w:bCs/>
                <w:sz w:val="24"/>
              </w:rPr>
              <w:t>Klinikinis veiksmingumas</w:t>
            </w:r>
          </w:p>
          <w:p w14:paraId="1AB46894"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p>
        </w:tc>
      </w:tr>
      <w:tr w:rsidR="00B13D65" w:rsidRPr="0033595B" w14:paraId="3C60570A" w14:textId="77777777" w:rsidTr="00BD1E5A">
        <w:tc>
          <w:tcPr>
            <w:tcW w:w="4981" w:type="dxa"/>
          </w:tcPr>
          <w:p w14:paraId="6897B306" w14:textId="18535954"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A02417" w:rsidRPr="0033595B">
                  <w:rPr>
                    <w:rStyle w:val="Style2"/>
                    <w:rFonts w:ascii="MS Gothic" w:eastAsia="MS Gothic" w:hAnsi="MS Gothic"/>
                    <w:sz w:val="24"/>
                  </w:rPr>
                  <w:t>☒</w:t>
                </w:r>
              </w:sdtContent>
            </w:sdt>
            <w:r w:rsidR="00B13D65" w:rsidRPr="0033595B">
              <w:t xml:space="preserve"> 32.2. yra įvertintas kaip pagrindžiantis papildomos naudos pacientų sveikatai sukūrimą, lyginant su įprasta klinikine praktika</w:t>
            </w:r>
          </w:p>
          <w:p w14:paraId="71D57105"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BBDF86" w14:textId="31179D09"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32.2. įvertintas kaip pagrindžiantis nesiskiriančios naudos pacientų sveikatai sukūrimą, lyginant su įprasta klinikine praktika</w:t>
            </w:r>
          </w:p>
          <w:p w14:paraId="287AD233"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981" w:type="dxa"/>
          </w:tcPr>
          <w:p w14:paraId="74A2DECF" w14:textId="77777777" w:rsidR="00662983" w:rsidRPr="0033595B" w:rsidRDefault="009B5E18" w:rsidP="0033595B">
            <w:pPr>
              <w:spacing w:line="276" w:lineRule="auto"/>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33.1. yra įvertintas kaip nepagrindžiantis papildomos </w:t>
            </w:r>
            <w:r w:rsidR="00662983" w:rsidRPr="0033595B">
              <w:t>naudos pacientų sveikatai sukūrimo, lyginant su  įprasta klinikine praktika.</w:t>
            </w:r>
          </w:p>
          <w:p w14:paraId="6C70BCFC" w14:textId="77777777" w:rsidR="00662983" w:rsidRPr="0033595B" w:rsidRDefault="00662983" w:rsidP="0033595B">
            <w:pPr>
              <w:spacing w:line="276" w:lineRule="auto"/>
              <w:jc w:val="both"/>
            </w:pPr>
          </w:p>
          <w:p w14:paraId="0ADEC30D" w14:textId="25150412" w:rsidR="00B13D65" w:rsidRPr="0033595B" w:rsidRDefault="009B5E18" w:rsidP="0033595B">
            <w:pPr>
              <w:spacing w:line="276" w:lineRule="auto"/>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33595B">
                  <w:rPr>
                    <w:rStyle w:val="Style2"/>
                    <w:rFonts w:ascii="Segoe UI Symbol" w:eastAsia="MS Gothic" w:hAnsi="Segoe UI Symbol" w:cs="Segoe UI Symbol"/>
                    <w:sz w:val="24"/>
                  </w:rPr>
                  <w:t>☐</w:t>
                </w:r>
              </w:sdtContent>
            </w:sdt>
            <w:r w:rsidR="00B13D65" w:rsidRPr="0033595B">
              <w:t xml:space="preserve"> </w:t>
            </w:r>
            <w:r w:rsidR="00662983" w:rsidRPr="0033595B">
              <w:t xml:space="preserve">33.1. </w:t>
            </w:r>
            <w:r w:rsidR="00B13D65" w:rsidRPr="0033595B">
              <w:t>nesiskiriančios naudos pacientų sveikatai sukūrimo, lyginant su įprasta klinikine praktika.</w:t>
            </w:r>
          </w:p>
          <w:p w14:paraId="1EED7901"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7E672"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33595B" w14:paraId="1C75AE76" w14:textId="77777777" w:rsidTr="00BD1E5A">
        <w:tc>
          <w:tcPr>
            <w:tcW w:w="9962" w:type="dxa"/>
            <w:gridSpan w:val="2"/>
          </w:tcPr>
          <w:p w14:paraId="56F7FA3E"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33595B">
              <w:rPr>
                <w:rStyle w:val="Style2"/>
                <w:rFonts w:eastAsia="MS Gothic"/>
                <w:b/>
                <w:bCs/>
                <w:sz w:val="24"/>
              </w:rPr>
              <w:t>Kaštų naudingumas</w:t>
            </w:r>
          </w:p>
          <w:p w14:paraId="0247EDAD"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p>
        </w:tc>
      </w:tr>
      <w:tr w:rsidR="00B13D65" w:rsidRPr="0033595B" w14:paraId="7091A05B" w14:textId="77777777" w:rsidTr="00BD1E5A">
        <w:tc>
          <w:tcPr>
            <w:tcW w:w="4981" w:type="dxa"/>
          </w:tcPr>
          <w:p w14:paraId="69B2A994" w14:textId="473E1903"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33595B">
                  <w:rPr>
                    <w:rStyle w:val="Style2"/>
                    <w:rFonts w:ascii="MS Gothic" w:eastAsia="MS Gothic" w:hAnsi="MS Gothic"/>
                    <w:sz w:val="24"/>
                  </w:rPr>
                  <w:t>☐</w:t>
                </w:r>
              </w:sdtContent>
            </w:sdt>
            <w:r w:rsidR="00B13D65" w:rsidRPr="0033595B">
              <w:t xml:space="preserve"> 32.3. atitinka referencinę naudingumo vertę</w:t>
            </w:r>
            <w:r w:rsidR="00F832F8" w:rsidRPr="0033595B">
              <w:t xml:space="preserve"> </w:t>
            </w:r>
          </w:p>
          <w:p w14:paraId="3F76F153"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5E4BD1E" w14:textId="572FF56B"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32.3. gydymo juo kaštai yra mažesni ar tokie patys esant iš esmės nesiskiriančiam palyginamajam efektyvumui</w:t>
            </w:r>
            <w:r w:rsidR="00F832F8" w:rsidRPr="0033595B">
              <w:t xml:space="preserve"> </w:t>
            </w:r>
          </w:p>
        </w:tc>
        <w:tc>
          <w:tcPr>
            <w:tcW w:w="4981" w:type="dxa"/>
          </w:tcPr>
          <w:p w14:paraId="53380063" w14:textId="730E790B"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1579EC" w:rsidRPr="0033595B">
                  <w:rPr>
                    <w:rStyle w:val="Style2"/>
                    <w:rFonts w:ascii="MS Gothic" w:eastAsia="MS Gothic" w:hAnsi="MS Gothic"/>
                    <w:sz w:val="24"/>
                  </w:rPr>
                  <w:t>☒</w:t>
                </w:r>
              </w:sdtContent>
            </w:sdt>
            <w:r w:rsidR="00B13D65" w:rsidRPr="0033595B">
              <w:t xml:space="preserve"> 33.3. neatitinka referencinės naudingumo vertės Lietuvos Respublikoje;</w:t>
            </w:r>
          </w:p>
          <w:p w14:paraId="229ED51A"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673C3A9" w14:textId="15443A6E"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33595B">
                  <w:rPr>
                    <w:rStyle w:val="Style2"/>
                    <w:rFonts w:ascii="Segoe UI Symbol" w:eastAsia="MS Gothic" w:hAnsi="Segoe UI Symbol" w:cs="Segoe UI Symbol"/>
                    <w:sz w:val="24"/>
                  </w:rPr>
                  <w:t>☐</w:t>
                </w:r>
              </w:sdtContent>
            </w:sdt>
            <w:r w:rsidR="00B13D65" w:rsidRPr="0033595B">
              <w:t xml:space="preserve"> 33.3. gydymo juo kaštai yra didesni esant iš esmės nesiskiriančiam palyginamajam efektyvumui</w:t>
            </w:r>
            <w:r w:rsidR="00F832F8" w:rsidRPr="0033595B">
              <w:t xml:space="preserve"> </w:t>
            </w:r>
          </w:p>
          <w:p w14:paraId="4A9C7D2A"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26013D" w14:textId="47BEE5EC" w:rsidR="00B13D65" w:rsidRPr="0033595B" w:rsidRDefault="009B5E18"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A02417" w:rsidRPr="0033595B">
                  <w:rPr>
                    <w:rStyle w:val="Style2"/>
                    <w:rFonts w:ascii="MS Gothic" w:eastAsia="MS Gothic" w:hAnsi="MS Gothic"/>
                    <w:sz w:val="24"/>
                  </w:rPr>
                  <w:t>☐</w:t>
                </w:r>
              </w:sdtContent>
            </w:sdt>
            <w:r w:rsidR="00B13D65" w:rsidRPr="0033595B">
              <w:t xml:space="preserve"> 33.3. pateikti duomenys apie kaštų na</w:t>
            </w:r>
            <w:r w:rsidR="00662983" w:rsidRPr="0033595B">
              <w:t>udingumą yra netinkami vertinti</w:t>
            </w:r>
          </w:p>
          <w:p w14:paraId="470A48A4"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bl>
    <w:p w14:paraId="29A90384" w14:textId="392787F7" w:rsidR="004A3A61" w:rsidRPr="0033595B" w:rsidRDefault="004A3A61" w:rsidP="0033595B">
      <w:pPr>
        <w:spacing w:line="276" w:lineRule="auto"/>
      </w:pPr>
    </w:p>
    <w:p w14:paraId="154D0E30" w14:textId="0AE14ACE" w:rsidR="0067695E" w:rsidRPr="0033595B" w:rsidRDefault="0067695E" w:rsidP="0033595B">
      <w:pPr>
        <w:spacing w:line="276" w:lineRule="auto"/>
        <w:ind w:firstLine="360"/>
        <w:rPr>
          <w:b/>
        </w:rPr>
      </w:pPr>
      <w:r w:rsidRPr="0033595B">
        <w:rPr>
          <w:b/>
        </w:rPr>
        <w:t>7. REKOMENDACIJA</w:t>
      </w:r>
    </w:p>
    <w:p w14:paraId="4825FA77" w14:textId="77777777" w:rsidR="0067695E" w:rsidRPr="0033595B" w:rsidRDefault="0067695E" w:rsidP="0033595B">
      <w:pPr>
        <w:spacing w:line="276" w:lineRule="auto"/>
        <w:rPr>
          <w:b/>
        </w:rPr>
      </w:pPr>
    </w:p>
    <w:p w14:paraId="03A2F138" w14:textId="7808FB6A" w:rsidR="00251FB5" w:rsidRPr="000C7ADD" w:rsidRDefault="00A02417" w:rsidP="00251FB5">
      <w:pPr>
        <w:spacing w:line="276" w:lineRule="auto"/>
        <w:jc w:val="both"/>
      </w:pPr>
      <w:r w:rsidRPr="00251FB5">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00251FB5" w:rsidRPr="00251FB5">
        <w:t>34</w:t>
      </w:r>
      <w:r w:rsidR="00251FB5">
        <w:t>.4</w:t>
      </w:r>
      <w:r w:rsidR="00251FB5" w:rsidRPr="00E33EFF">
        <w:t xml:space="preserve">. rekomenduojama </w:t>
      </w:r>
      <w:r w:rsidR="00251FB5" w:rsidRPr="00E33EFF">
        <w:rPr>
          <w:i/>
        </w:rPr>
        <w:t xml:space="preserve">nekompensuoti </w:t>
      </w:r>
      <w:r w:rsidR="00251FB5" w:rsidRPr="00E33EFF">
        <w:t xml:space="preserve">vaistinio preparato pagal paraiškoje nurodytą </w:t>
      </w:r>
      <w:r w:rsidR="00251FB5">
        <w:t>indikaciją be skyrimo sąlygų, taikant PGS</w:t>
      </w:r>
      <w:r w:rsidR="00251FB5" w:rsidRPr="00E33EFF">
        <w:t xml:space="preserve"> dėl vertinimo išvadų</w:t>
      </w:r>
      <w:r w:rsidR="00251FB5">
        <w:t xml:space="preserve">, nurodytų 33.3 papunktyje,  neatitikties </w:t>
      </w:r>
      <w:r w:rsidR="00251FB5" w:rsidRPr="003D6208">
        <w:t>34.1 papunktyje išdėstytoms sąlygoms</w:t>
      </w:r>
      <w:r w:rsidR="00251FB5">
        <w:t>.</w:t>
      </w:r>
    </w:p>
    <w:p w14:paraId="7B13417E" w14:textId="570A702A" w:rsidR="00251FB5" w:rsidRDefault="00251FB5" w:rsidP="00251FB5">
      <w:pPr>
        <w:spacing w:line="276" w:lineRule="auto"/>
        <w:jc w:val="both"/>
      </w:pPr>
    </w:p>
    <w:p w14:paraId="467DDD30" w14:textId="2C55313F" w:rsidR="00251FB5" w:rsidRPr="00251FB5" w:rsidRDefault="00251FB5" w:rsidP="00251FB5">
      <w:pPr>
        <w:shd w:val="clear" w:color="auto" w:fill="FFFFFF"/>
        <w:spacing w:line="276" w:lineRule="auto"/>
        <w:jc w:val="both"/>
        <w:rPr>
          <w:bCs/>
          <w:i/>
        </w:rPr>
      </w:pPr>
      <w:r w:rsidRPr="00FE303B">
        <w:rPr>
          <w:bCs/>
          <w:i/>
        </w:rPr>
        <w:t>Papildom</w:t>
      </w:r>
      <w:r>
        <w:rPr>
          <w:bCs/>
          <w:i/>
        </w:rPr>
        <w:t>os</w:t>
      </w:r>
      <w:r w:rsidRPr="00FE303B">
        <w:rPr>
          <w:bCs/>
          <w:i/>
        </w:rPr>
        <w:t xml:space="preserve"> pastabos ir pasiūlymai</w:t>
      </w:r>
    </w:p>
    <w:p w14:paraId="7150CC48" w14:textId="61DBFF2F" w:rsidR="00251FB5" w:rsidRPr="004817CE" w:rsidRDefault="00251FB5" w:rsidP="00251FB5">
      <w:pPr>
        <w:shd w:val="clear" w:color="auto" w:fill="FFFFFF"/>
        <w:spacing w:line="276" w:lineRule="auto"/>
        <w:jc w:val="both"/>
        <w:rPr>
          <w:bCs/>
        </w:rPr>
      </w:pPr>
      <w:r>
        <w:rPr>
          <w:bCs/>
        </w:rPr>
        <w:t>A</w:t>
      </w:r>
      <w:r w:rsidRPr="004817CE">
        <w:rPr>
          <w:bCs/>
        </w:rPr>
        <w:t xml:space="preserve">tsižvelgiant į </w:t>
      </w:r>
      <w:r>
        <w:rPr>
          <w:bCs/>
        </w:rPr>
        <w:t xml:space="preserve">nepatenkintą CF </w:t>
      </w:r>
      <w:proofErr w:type="spellStart"/>
      <w:r>
        <w:rPr>
          <w:bCs/>
        </w:rPr>
        <w:t>etiopatogenezinio</w:t>
      </w:r>
      <w:proofErr w:type="spellEnd"/>
      <w:r>
        <w:rPr>
          <w:bCs/>
        </w:rPr>
        <w:t xml:space="preserve"> gydymo poreikį (šiuo metu taikom</w:t>
      </w:r>
      <w:r w:rsidR="008226A5">
        <w:rPr>
          <w:bCs/>
        </w:rPr>
        <w:t>a</w:t>
      </w:r>
      <w:r>
        <w:rPr>
          <w:bCs/>
        </w:rPr>
        <w:t>s tik simptominis gydymas), Tarnyba</w:t>
      </w:r>
      <w:r w:rsidRPr="004817CE" w:rsidDel="008074EB">
        <w:rPr>
          <w:bCs/>
        </w:rPr>
        <w:t xml:space="preserve"> </w:t>
      </w:r>
      <w:r>
        <w:rPr>
          <w:bCs/>
        </w:rPr>
        <w:t>vadovaud</w:t>
      </w:r>
      <w:r w:rsidRPr="004817CE">
        <w:rPr>
          <w:bCs/>
        </w:rPr>
        <w:t>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E303B">
        <w:rPr>
          <w:b/>
          <w:bCs/>
        </w:rPr>
        <w:t>kompensuoti</w:t>
      </w:r>
      <w:r>
        <w:rPr>
          <w:bCs/>
        </w:rPr>
        <w:t xml:space="preserve"> vaistinius preparatus </w:t>
      </w:r>
      <w:proofErr w:type="spellStart"/>
      <w:r>
        <w:rPr>
          <w:bCs/>
        </w:rPr>
        <w:t>Kaftrio</w:t>
      </w:r>
      <w:proofErr w:type="spellEnd"/>
      <w:r>
        <w:rPr>
          <w:bCs/>
        </w:rPr>
        <w:t xml:space="preserve"> ir </w:t>
      </w:r>
      <w:proofErr w:type="spellStart"/>
      <w:r>
        <w:rPr>
          <w:bCs/>
        </w:rPr>
        <w:t>Kalydeco</w:t>
      </w:r>
      <w:proofErr w:type="spellEnd"/>
      <w:r>
        <w:rPr>
          <w:bCs/>
        </w:rPr>
        <w:t xml:space="preserve"> (</w:t>
      </w:r>
      <w:proofErr w:type="spellStart"/>
      <w:r w:rsidR="008226A5">
        <w:rPr>
          <w:bCs/>
        </w:rPr>
        <w:t>ivakaftroas</w:t>
      </w:r>
      <w:proofErr w:type="spellEnd"/>
      <w:r w:rsidR="008226A5">
        <w:rPr>
          <w:bCs/>
        </w:rPr>
        <w:t>/</w:t>
      </w:r>
      <w:proofErr w:type="spellStart"/>
      <w:r w:rsidR="008226A5">
        <w:rPr>
          <w:bCs/>
        </w:rPr>
        <w:t>tezakaftoras</w:t>
      </w:r>
      <w:proofErr w:type="spellEnd"/>
      <w:r w:rsidR="008226A5">
        <w:rPr>
          <w:bCs/>
        </w:rPr>
        <w:t>/</w:t>
      </w:r>
      <w:proofErr w:type="spellStart"/>
      <w:r w:rsidR="008226A5">
        <w:rPr>
          <w:bCs/>
        </w:rPr>
        <w:t>eleksakaftoras</w:t>
      </w:r>
      <w:proofErr w:type="spellEnd"/>
      <w:r>
        <w:rPr>
          <w:bCs/>
        </w:rPr>
        <w:t xml:space="preserve">) 8 skyriuje nurodytoms indikacijoms, su sąlyga, jog vaistinių preparatų kaštų naudingumas bus </w:t>
      </w:r>
      <w:r w:rsidR="008226A5">
        <w:rPr>
          <w:bCs/>
        </w:rPr>
        <w:t xml:space="preserve">pagerintas </w:t>
      </w:r>
      <w:r w:rsidR="00427C1B">
        <w:rPr>
          <w:bCs/>
        </w:rPr>
        <w:t>*****.</w:t>
      </w:r>
    </w:p>
    <w:p w14:paraId="3C5A0D70" w14:textId="77777777" w:rsidR="00251FB5" w:rsidRPr="0033595B" w:rsidRDefault="00251FB5" w:rsidP="00251FB5">
      <w:pPr>
        <w:spacing w:line="276" w:lineRule="auto"/>
        <w:jc w:val="both"/>
      </w:pPr>
    </w:p>
    <w:p w14:paraId="48F57B10" w14:textId="77777777" w:rsidR="001579EC" w:rsidRPr="0033595B" w:rsidRDefault="001579EC" w:rsidP="0033595B">
      <w:pPr>
        <w:spacing w:line="276" w:lineRule="auto"/>
        <w:ind w:firstLine="360"/>
        <w:jc w:val="both"/>
      </w:pPr>
    </w:p>
    <w:p w14:paraId="1E061108" w14:textId="282A3274" w:rsidR="0067695E" w:rsidRPr="0033595B" w:rsidRDefault="0067695E" w:rsidP="0033595B">
      <w:pPr>
        <w:tabs>
          <w:tab w:val="left" w:pos="426"/>
        </w:tabs>
        <w:spacing w:line="276" w:lineRule="auto"/>
        <w:jc w:val="both"/>
        <w:rPr>
          <w:b/>
          <w:color w:val="000000"/>
          <w:lang w:eastAsia="lt-LT"/>
        </w:rPr>
      </w:pPr>
      <w:r w:rsidRPr="0033595B">
        <w:rPr>
          <w:b/>
          <w:color w:val="000000"/>
          <w:lang w:eastAsia="lt-LT"/>
        </w:rPr>
        <w:tab/>
        <w:t xml:space="preserve">8. SIŪLOMOS KOMPENSUOTI TERAPINĖS INDIKACIJOS IR SKYRIMO SĄLYGOS </w:t>
      </w:r>
    </w:p>
    <w:p w14:paraId="69C82164" w14:textId="77777777" w:rsidR="0067695E" w:rsidRPr="0033595B" w:rsidRDefault="0067695E" w:rsidP="0033595B">
      <w:pPr>
        <w:tabs>
          <w:tab w:val="left" w:pos="426"/>
        </w:tabs>
        <w:spacing w:line="276" w:lineRule="auto"/>
        <w:jc w:val="both"/>
        <w:rPr>
          <w:b/>
          <w:color w:val="000000"/>
          <w:lang w:eastAsia="lt-LT"/>
        </w:rPr>
      </w:pPr>
    </w:p>
    <w:p w14:paraId="640A1108" w14:textId="77777777" w:rsidR="00AC33D8" w:rsidRPr="0033595B" w:rsidRDefault="00AC33D8" w:rsidP="0033595B">
      <w:pPr>
        <w:tabs>
          <w:tab w:val="left" w:pos="426"/>
        </w:tabs>
        <w:spacing w:line="276" w:lineRule="auto"/>
        <w:jc w:val="both"/>
        <w:rPr>
          <w:b/>
          <w:color w:val="000000"/>
          <w:lang w:eastAsia="lt-LT"/>
        </w:rPr>
      </w:pPr>
      <w:r w:rsidRPr="0033595B">
        <w:rPr>
          <w:b/>
          <w:color w:val="000000"/>
          <w:lang w:eastAsia="lt-LT"/>
        </w:rPr>
        <w:t>Terapinės indikacijos</w:t>
      </w:r>
    </w:p>
    <w:p w14:paraId="713C51B8" w14:textId="77777777" w:rsidR="00AC33D8" w:rsidRPr="0033595B" w:rsidRDefault="009B5E18" w:rsidP="0033595B">
      <w:pPr>
        <w:pStyle w:val="Sraopastraipa"/>
        <w:spacing w:after="120" w:line="276" w:lineRule="auto"/>
        <w:ind w:left="0"/>
        <w:contextualSpacing w:val="0"/>
        <w:jc w:val="both"/>
      </w:pPr>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AC33D8" w:rsidRPr="0033595B">
            <w:rPr>
              <w:rStyle w:val="Style2"/>
              <w:rFonts w:ascii="MS Gothic" w:eastAsia="MS Gothic" w:hAnsi="MS Gothic"/>
            </w:rPr>
            <w:t>☒</w:t>
          </w:r>
        </w:sdtContent>
      </w:sdt>
      <w:r w:rsidR="00AC33D8" w:rsidRPr="0033595B">
        <w:t xml:space="preserve"> Siūloma kompensuoti Pareiškėjo teikiamą indikaciją be pakeitimų.</w:t>
      </w:r>
    </w:p>
    <w:p w14:paraId="10E86D42" w14:textId="77777777" w:rsidR="004071AE" w:rsidRPr="0033595B" w:rsidRDefault="004071AE" w:rsidP="0033595B">
      <w:pPr>
        <w:pStyle w:val="Sraopastraipa"/>
        <w:spacing w:after="120" w:line="276" w:lineRule="auto"/>
        <w:ind w:left="0"/>
        <w:jc w:val="both"/>
        <w:rPr>
          <w:sz w:val="28"/>
          <w:szCs w:val="28"/>
        </w:rPr>
      </w:pPr>
      <w:r w:rsidRPr="0033595B">
        <w:rPr>
          <w:szCs w:val="28"/>
        </w:rPr>
        <w:t>6 metų ir vyresni pacientai, sergantys cistine fibroze, kuriems yra bent viena CFTR geno F508del mutacija.</w:t>
      </w:r>
    </w:p>
    <w:p w14:paraId="10B44EEC" w14:textId="1E72C4A0" w:rsidR="00CE12C2" w:rsidRPr="0033595B" w:rsidRDefault="009B5E18" w:rsidP="0033595B">
      <w:pPr>
        <w:pStyle w:val="Sraopastraipa"/>
        <w:spacing w:after="120" w:line="276" w:lineRule="auto"/>
        <w:ind w:left="0"/>
        <w:contextualSpacing w:val="0"/>
        <w:jc w:val="both"/>
      </w:pPr>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AC33D8" w:rsidRPr="0033595B">
            <w:rPr>
              <w:rStyle w:val="Style2"/>
              <w:rFonts w:ascii="MS Gothic" w:eastAsia="MS Gothic" w:hAnsi="MS Gothic"/>
            </w:rPr>
            <w:t>☐</w:t>
          </w:r>
        </w:sdtContent>
      </w:sdt>
      <w:r w:rsidR="00AC33D8" w:rsidRPr="0033595B">
        <w:t xml:space="preserve"> Siūloma kompensuoti Pareiškėjo teikiamą indikaciją su pakeitimais.</w:t>
      </w:r>
    </w:p>
    <w:p w14:paraId="454E94F5" w14:textId="5A342B6C" w:rsidR="00AC33D8" w:rsidRPr="0033595B" w:rsidRDefault="00C33602" w:rsidP="0033595B">
      <w:pPr>
        <w:pStyle w:val="Sraopastraipa"/>
        <w:spacing w:after="120" w:line="276" w:lineRule="auto"/>
        <w:ind w:left="0"/>
        <w:contextualSpacing w:val="0"/>
        <w:jc w:val="both"/>
      </w:pPr>
      <w:r w:rsidRPr="0033595B">
        <w:rPr>
          <w:b/>
          <w:color w:val="000000"/>
          <w:lang w:eastAsia="lt-LT"/>
        </w:rPr>
        <w:t>S</w:t>
      </w:r>
      <w:r w:rsidR="00AC33D8" w:rsidRPr="0033595B">
        <w:rPr>
          <w:b/>
          <w:color w:val="000000"/>
          <w:lang w:eastAsia="lt-LT"/>
        </w:rPr>
        <w:t>kyrimo sąlygos</w:t>
      </w:r>
    </w:p>
    <w:p w14:paraId="72B5567D" w14:textId="77777777" w:rsidR="00AC33D8" w:rsidRPr="0033595B" w:rsidRDefault="009B5E18" w:rsidP="0033595B">
      <w:pPr>
        <w:pStyle w:val="Sraopastraipa"/>
        <w:spacing w:after="120" w:line="276" w:lineRule="auto"/>
        <w:ind w:left="0"/>
        <w:contextualSpacing w:val="0"/>
        <w:jc w:val="both"/>
      </w:pPr>
      <w:sdt>
        <w:sdtPr>
          <w:rPr>
            <w:rStyle w:val="Style2"/>
          </w:rPr>
          <w:id w:val="1030915415"/>
          <w15:color w:val="FFCC00"/>
          <w14:checkbox>
            <w14:checked w14:val="0"/>
            <w14:checkedState w14:val="2612" w14:font="MS Gothic"/>
            <w14:uncheckedState w14:val="2610" w14:font="MS Gothic"/>
          </w14:checkbox>
        </w:sdtPr>
        <w:sdtEndPr>
          <w:rPr>
            <w:rStyle w:val="Style2"/>
          </w:rPr>
        </w:sdtEndPr>
        <w:sdtContent>
          <w:r w:rsidR="00AC33D8" w:rsidRPr="0033595B">
            <w:rPr>
              <w:rStyle w:val="Style2"/>
              <w:rFonts w:ascii="MS Gothic" w:eastAsia="MS Gothic" w:hAnsi="MS Gothic"/>
            </w:rPr>
            <w:t>☐</w:t>
          </w:r>
        </w:sdtContent>
      </w:sdt>
      <w:r w:rsidR="00AC33D8" w:rsidRPr="0033595B">
        <w:t xml:space="preserve"> Pareiškėjo siūlomos skyrimo sąlygos priimtinos.</w:t>
      </w:r>
    </w:p>
    <w:p w14:paraId="31C3F14C" w14:textId="77777777" w:rsidR="00AC33D8" w:rsidRPr="0033595B" w:rsidRDefault="009B5E18" w:rsidP="0033595B">
      <w:pPr>
        <w:pStyle w:val="Sraopastraipa"/>
        <w:spacing w:after="120" w:line="276" w:lineRule="auto"/>
        <w:ind w:left="0"/>
        <w:contextualSpacing w:val="0"/>
        <w:jc w:val="both"/>
      </w:pPr>
      <w:sdt>
        <w:sdtPr>
          <w:rPr>
            <w:rStyle w:val="Style2"/>
          </w:rPr>
          <w:id w:val="-947620586"/>
          <w15:color w:val="FFCC00"/>
          <w14:checkbox>
            <w14:checked w14:val="1"/>
            <w14:checkedState w14:val="2612" w14:font="MS Gothic"/>
            <w14:uncheckedState w14:val="2610" w14:font="MS Gothic"/>
          </w14:checkbox>
        </w:sdtPr>
        <w:sdtEndPr>
          <w:rPr>
            <w:rStyle w:val="Style2"/>
          </w:rPr>
        </w:sdtEndPr>
        <w:sdtContent>
          <w:r w:rsidR="00AC33D8" w:rsidRPr="0033595B">
            <w:rPr>
              <w:rStyle w:val="Style2"/>
              <w:rFonts w:ascii="MS Gothic" w:eastAsia="MS Gothic" w:hAnsi="MS Gothic"/>
            </w:rPr>
            <w:t>☒</w:t>
          </w:r>
        </w:sdtContent>
      </w:sdt>
      <w:r w:rsidR="00AC33D8" w:rsidRPr="0033595B">
        <w:t xml:space="preserve"> Pareiškėjo siūlomos skyrimo sąlygos nepriimtinos.</w:t>
      </w:r>
    </w:p>
    <w:p w14:paraId="450CBC10" w14:textId="77777777" w:rsidR="00AC33D8" w:rsidRPr="0033595B" w:rsidRDefault="00AC33D8" w:rsidP="0033595B">
      <w:pPr>
        <w:pStyle w:val="Sraopastraipa"/>
        <w:spacing w:after="120" w:line="276" w:lineRule="auto"/>
        <w:ind w:left="0"/>
        <w:contextualSpacing w:val="0"/>
        <w:jc w:val="both"/>
      </w:pPr>
      <w:bookmarkStart w:id="4" w:name="_Hlk129291274"/>
      <w:r w:rsidRPr="0033595B">
        <w:t>Siūlomos skyrimo sąlygos:</w:t>
      </w:r>
    </w:p>
    <w:bookmarkEnd w:id="4"/>
    <w:p w14:paraId="5667C436" w14:textId="77777777" w:rsidR="004071AE" w:rsidRPr="0033595B" w:rsidRDefault="004071AE" w:rsidP="0033595B">
      <w:pPr>
        <w:pStyle w:val="Betarp"/>
        <w:numPr>
          <w:ilvl w:val="0"/>
          <w:numId w:val="19"/>
        </w:numPr>
        <w:spacing w:line="276" w:lineRule="auto"/>
        <w:jc w:val="both"/>
        <w:rPr>
          <w:rFonts w:ascii="Times New Roman" w:hAnsi="Times New Roman"/>
          <w:sz w:val="24"/>
          <w:szCs w:val="24"/>
        </w:rPr>
      </w:pPr>
      <w:r w:rsidRPr="0033595B">
        <w:rPr>
          <w:rFonts w:ascii="Times New Roman" w:hAnsi="Times New Roman"/>
          <w:sz w:val="24"/>
          <w:szCs w:val="24"/>
        </w:rPr>
        <w:lastRenderedPageBreak/>
        <w:t xml:space="preserve">Liga yra stabili, </w:t>
      </w:r>
      <w:proofErr w:type="spellStart"/>
      <w:r w:rsidRPr="0033595B">
        <w:rPr>
          <w:rFonts w:ascii="Times New Roman" w:hAnsi="Times New Roman"/>
          <w:sz w:val="24"/>
          <w:szCs w:val="24"/>
        </w:rPr>
        <w:t>t.y</w:t>
      </w:r>
      <w:proofErr w:type="spellEnd"/>
      <w:r w:rsidRPr="0033595B">
        <w:rPr>
          <w:rFonts w:ascii="Times New Roman" w:hAnsi="Times New Roman"/>
          <w:sz w:val="24"/>
          <w:szCs w:val="24"/>
        </w:rPr>
        <w:t>. nėra nustatytos aktyvios ūminės viršutinių ir apatinių kvėpavimo takų infekcijos bei nėra simptominio gydymo korekcijos poreikio;</w:t>
      </w:r>
    </w:p>
    <w:p w14:paraId="65DF418D" w14:textId="77777777" w:rsidR="004071AE" w:rsidRPr="0033595B" w:rsidRDefault="004071AE" w:rsidP="0033595B">
      <w:pPr>
        <w:pStyle w:val="Betarp"/>
        <w:numPr>
          <w:ilvl w:val="0"/>
          <w:numId w:val="19"/>
        </w:numPr>
        <w:spacing w:line="276" w:lineRule="auto"/>
        <w:jc w:val="both"/>
        <w:rPr>
          <w:rFonts w:ascii="Times New Roman" w:hAnsi="Times New Roman"/>
          <w:sz w:val="24"/>
          <w:szCs w:val="24"/>
        </w:rPr>
      </w:pPr>
      <w:r w:rsidRPr="0033595B">
        <w:rPr>
          <w:rFonts w:ascii="Times New Roman" w:hAnsi="Times New Roman"/>
          <w:sz w:val="24"/>
          <w:szCs w:val="24"/>
        </w:rPr>
        <w:t xml:space="preserve">Nustatyta </w:t>
      </w:r>
      <w:proofErr w:type="spellStart"/>
      <w:r w:rsidRPr="0033595B">
        <w:rPr>
          <w:rFonts w:ascii="Times New Roman" w:hAnsi="Times New Roman"/>
          <w:sz w:val="24"/>
          <w:szCs w:val="24"/>
        </w:rPr>
        <w:t>homozigotinė</w:t>
      </w:r>
      <w:proofErr w:type="spellEnd"/>
      <w:r w:rsidRPr="0033595B">
        <w:rPr>
          <w:rFonts w:ascii="Times New Roman" w:hAnsi="Times New Roman"/>
          <w:sz w:val="24"/>
          <w:szCs w:val="24"/>
        </w:rPr>
        <w:t xml:space="preserve"> F508del-CFTR (F508del/F508del – F/F genotipas) mutacija arba </w:t>
      </w:r>
      <w:proofErr w:type="spellStart"/>
      <w:r w:rsidRPr="0033595B">
        <w:rPr>
          <w:rFonts w:ascii="Times New Roman" w:hAnsi="Times New Roman"/>
          <w:sz w:val="24"/>
          <w:szCs w:val="24"/>
        </w:rPr>
        <w:t>heterozigotinė</w:t>
      </w:r>
      <w:proofErr w:type="spellEnd"/>
      <w:r w:rsidRPr="0033595B">
        <w:rPr>
          <w:rFonts w:ascii="Times New Roman" w:hAnsi="Times New Roman"/>
          <w:sz w:val="24"/>
          <w:szCs w:val="24"/>
        </w:rPr>
        <w:t xml:space="preserve"> F508del-CFTR mutacija ir kita mutacija, dėl kurios negaminamas CFTR baltymas arba jis nereaguoja į CFTR moduliatorius (F508del/MF – F/MF genotipas);</w:t>
      </w:r>
    </w:p>
    <w:p w14:paraId="40E2BAAE" w14:textId="572EEDEA" w:rsidR="004071AE" w:rsidRPr="0033595B" w:rsidRDefault="004071AE" w:rsidP="0033595B">
      <w:pPr>
        <w:pStyle w:val="Betarp"/>
        <w:numPr>
          <w:ilvl w:val="0"/>
          <w:numId w:val="19"/>
        </w:numPr>
        <w:spacing w:line="276" w:lineRule="auto"/>
        <w:jc w:val="both"/>
        <w:rPr>
          <w:rFonts w:ascii="Times New Roman" w:hAnsi="Times New Roman"/>
          <w:sz w:val="24"/>
          <w:szCs w:val="24"/>
        </w:rPr>
      </w:pPr>
      <w:r w:rsidRPr="0033595B">
        <w:rPr>
          <w:rFonts w:ascii="Times New Roman" w:hAnsi="Times New Roman"/>
          <w:sz w:val="24"/>
          <w:szCs w:val="24"/>
        </w:rPr>
        <w:t xml:space="preserve">Esant stabiliai ligai, </w:t>
      </w:r>
      <w:proofErr w:type="spellStart"/>
      <w:r w:rsidRPr="0033595B">
        <w:rPr>
          <w:rFonts w:ascii="Times New Roman" w:hAnsi="Times New Roman"/>
          <w:sz w:val="24"/>
          <w:szCs w:val="24"/>
        </w:rPr>
        <w:t>spirometrijos</w:t>
      </w:r>
      <w:proofErr w:type="spellEnd"/>
      <w:r w:rsidRPr="0033595B">
        <w:rPr>
          <w:rFonts w:ascii="Times New Roman" w:hAnsi="Times New Roman"/>
          <w:sz w:val="24"/>
          <w:szCs w:val="24"/>
        </w:rPr>
        <w:t xml:space="preserve"> metu nustatytas forsuotas iškvėpimo tūris per 1 sekundę (FEV</w:t>
      </w:r>
      <w:r w:rsidRPr="0033595B">
        <w:rPr>
          <w:rFonts w:ascii="Times New Roman" w:hAnsi="Times New Roman"/>
          <w:sz w:val="24"/>
          <w:szCs w:val="24"/>
          <w:vertAlign w:val="subscript"/>
        </w:rPr>
        <w:t>1</w:t>
      </w:r>
      <w:r w:rsidR="00B35BCF" w:rsidRPr="0033595B">
        <w:rPr>
          <w:rFonts w:ascii="Times New Roman" w:hAnsi="Times New Roman"/>
          <w:sz w:val="24"/>
          <w:szCs w:val="24"/>
        </w:rPr>
        <w:t>) &lt; 70</w:t>
      </w:r>
      <w:r w:rsidRPr="0033595B">
        <w:rPr>
          <w:rFonts w:ascii="Times New Roman" w:hAnsi="Times New Roman"/>
          <w:sz w:val="24"/>
          <w:szCs w:val="24"/>
        </w:rPr>
        <w:t>% norminio dydžio;</w:t>
      </w:r>
    </w:p>
    <w:p w14:paraId="552073BC" w14:textId="77777777" w:rsidR="004071AE" w:rsidRPr="0033595B" w:rsidRDefault="004071AE" w:rsidP="0033595B">
      <w:pPr>
        <w:pStyle w:val="Betarp"/>
        <w:numPr>
          <w:ilvl w:val="0"/>
          <w:numId w:val="19"/>
        </w:numPr>
        <w:spacing w:line="276" w:lineRule="auto"/>
        <w:jc w:val="both"/>
        <w:rPr>
          <w:rFonts w:ascii="Times New Roman" w:hAnsi="Times New Roman"/>
          <w:sz w:val="24"/>
          <w:szCs w:val="24"/>
        </w:rPr>
      </w:pPr>
      <w:r w:rsidRPr="0033595B">
        <w:rPr>
          <w:rFonts w:ascii="Times New Roman" w:hAnsi="Times New Roman"/>
          <w:sz w:val="24"/>
          <w:szCs w:val="24"/>
        </w:rPr>
        <w:t xml:space="preserve">6 – 11 metų </w:t>
      </w:r>
      <w:proofErr w:type="spellStart"/>
      <w:r w:rsidRPr="0033595B">
        <w:rPr>
          <w:rFonts w:ascii="Times New Roman" w:hAnsi="Times New Roman"/>
          <w:sz w:val="24"/>
          <w:szCs w:val="24"/>
        </w:rPr>
        <w:t>pacietams</w:t>
      </w:r>
      <w:proofErr w:type="spellEnd"/>
      <w:r w:rsidRPr="0033595B">
        <w:rPr>
          <w:rFonts w:ascii="Times New Roman" w:hAnsi="Times New Roman"/>
          <w:sz w:val="24"/>
          <w:szCs w:val="24"/>
        </w:rPr>
        <w:t xml:space="preserve"> </w:t>
      </w:r>
      <w:proofErr w:type="spellStart"/>
      <w:r w:rsidRPr="0033595B">
        <w:rPr>
          <w:rFonts w:ascii="Times New Roman" w:hAnsi="Times New Roman"/>
          <w:sz w:val="24"/>
          <w:szCs w:val="24"/>
        </w:rPr>
        <w:t>spirometrijos</w:t>
      </w:r>
      <w:proofErr w:type="spellEnd"/>
      <w:r w:rsidRPr="0033595B">
        <w:rPr>
          <w:rFonts w:ascii="Times New Roman" w:hAnsi="Times New Roman"/>
          <w:sz w:val="24"/>
          <w:szCs w:val="24"/>
        </w:rPr>
        <w:t xml:space="preserve"> metu nustačius FEV</w:t>
      </w:r>
      <w:r w:rsidRPr="0033595B">
        <w:rPr>
          <w:rFonts w:ascii="Times New Roman" w:hAnsi="Times New Roman"/>
          <w:sz w:val="24"/>
          <w:szCs w:val="24"/>
          <w:vertAlign w:val="subscript"/>
        </w:rPr>
        <w:t>1</w:t>
      </w:r>
      <w:r w:rsidRPr="0033595B">
        <w:rPr>
          <w:rFonts w:ascii="Times New Roman" w:hAnsi="Times New Roman"/>
          <w:sz w:val="24"/>
          <w:szCs w:val="24"/>
        </w:rPr>
        <w:t xml:space="preserve"> ≥ 70% norminio dydžio, inertinių dujų iškvėpimo metodu nustatomas plaučių klirenso indeksas (LCI</w:t>
      </w:r>
      <w:r w:rsidRPr="0033595B">
        <w:rPr>
          <w:rFonts w:ascii="Times New Roman" w:hAnsi="Times New Roman"/>
          <w:sz w:val="24"/>
          <w:szCs w:val="24"/>
          <w:vertAlign w:val="subscript"/>
        </w:rPr>
        <w:t>2,5</w:t>
      </w:r>
      <w:r w:rsidRPr="0033595B">
        <w:rPr>
          <w:rFonts w:ascii="Times New Roman" w:hAnsi="Times New Roman"/>
          <w:sz w:val="24"/>
          <w:szCs w:val="24"/>
        </w:rPr>
        <w:t>) ≥ 7,5.</w:t>
      </w:r>
    </w:p>
    <w:p w14:paraId="147E477E" w14:textId="77777777" w:rsidR="00C52397" w:rsidRPr="0033595B" w:rsidRDefault="00C52397" w:rsidP="0033595B">
      <w:pPr>
        <w:spacing w:after="120" w:line="276" w:lineRule="auto"/>
        <w:ind w:left="360"/>
        <w:jc w:val="both"/>
        <w:rPr>
          <w:rFonts w:eastAsia="Arial"/>
        </w:rPr>
      </w:pPr>
    </w:p>
    <w:sectPr w:rsidR="00C52397" w:rsidRPr="0033595B"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55A67" w14:textId="77777777" w:rsidR="009B5E18" w:rsidRDefault="009B5E18">
      <w:r>
        <w:separator/>
      </w:r>
    </w:p>
  </w:endnote>
  <w:endnote w:type="continuationSeparator" w:id="0">
    <w:p w14:paraId="22B3A88A" w14:textId="77777777" w:rsidR="009B5E18" w:rsidRDefault="009B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A090" w14:textId="77777777" w:rsidR="00AF0E46" w:rsidRDefault="00AF0E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A786" w14:textId="77777777" w:rsidR="00AF0E46" w:rsidRDefault="00AF0E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41127" w14:textId="77777777" w:rsidR="009B5E18" w:rsidRDefault="009B5E18">
      <w:r>
        <w:separator/>
      </w:r>
    </w:p>
  </w:footnote>
  <w:footnote w:type="continuationSeparator" w:id="0">
    <w:p w14:paraId="20B95207" w14:textId="77777777" w:rsidR="009B5E18" w:rsidRDefault="009B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4D14FCDC"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7C1B">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504EE8"/>
    <w:multiLevelType w:val="hybridMultilevel"/>
    <w:tmpl w:val="C93C8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C298A"/>
    <w:multiLevelType w:val="hybridMultilevel"/>
    <w:tmpl w:val="21C88026"/>
    <w:lvl w:ilvl="0" w:tplc="08090001">
      <w:start w:val="1"/>
      <w:numFmt w:val="bullet"/>
      <w:lvlText w:val=""/>
      <w:lvlJc w:val="left"/>
      <w:pPr>
        <w:ind w:left="720" w:hanging="360"/>
      </w:pPr>
      <w:rPr>
        <w:rFonts w:ascii="Symbol" w:hAnsi="Symbol" w:hint="default"/>
      </w:rPr>
    </w:lvl>
    <w:lvl w:ilvl="1" w:tplc="84124AAC">
      <w:start w:val="1"/>
      <w:numFmt w:val="decimal"/>
      <w:lvlText w:val="%2."/>
      <w:lvlJc w:val="left"/>
      <w:pPr>
        <w:ind w:left="1440" w:hanging="360"/>
      </w:pPr>
      <w:rPr>
        <w:rFonts w:ascii="Times New Roman" w:hAnsi="Times New Roman" w:cs="Times New Roman" w:hint="default"/>
        <w:sz w:val="24"/>
        <w:szCs w:val="24"/>
      </w:rPr>
    </w:lvl>
    <w:lvl w:ilvl="2" w:tplc="08090017">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9D5BF2"/>
    <w:multiLevelType w:val="hybridMultilevel"/>
    <w:tmpl w:val="452E80EA"/>
    <w:lvl w:ilvl="0" w:tplc="1C8810F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10"/>
  </w:num>
  <w:num w:numId="5">
    <w:abstractNumId w:val="6"/>
  </w:num>
  <w:num w:numId="6">
    <w:abstractNumId w:val="5"/>
  </w:num>
  <w:num w:numId="7">
    <w:abstractNumId w:val="3"/>
  </w:num>
  <w:num w:numId="8">
    <w:abstractNumId w:val="16"/>
  </w:num>
  <w:num w:numId="9">
    <w:abstractNumId w:val="0"/>
  </w:num>
  <w:num w:numId="10">
    <w:abstractNumId w:val="12"/>
  </w:num>
  <w:num w:numId="11">
    <w:abstractNumId w:val="14"/>
  </w:num>
  <w:num w:numId="12">
    <w:abstractNumId w:val="2"/>
  </w:num>
  <w:num w:numId="13">
    <w:abstractNumId w:val="4"/>
  </w:num>
  <w:num w:numId="14">
    <w:abstractNumId w:val="17"/>
  </w:num>
  <w:num w:numId="15">
    <w:abstractNumId w:val="18"/>
  </w:num>
  <w:num w:numId="16">
    <w:abstractNumId w:val="15"/>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3F5B"/>
    <w:rsid w:val="000114DD"/>
    <w:rsid w:val="00011737"/>
    <w:rsid w:val="000136F7"/>
    <w:rsid w:val="0002686C"/>
    <w:rsid w:val="00031D0E"/>
    <w:rsid w:val="000337E6"/>
    <w:rsid w:val="0003402E"/>
    <w:rsid w:val="00034EAE"/>
    <w:rsid w:val="000606BE"/>
    <w:rsid w:val="000736B8"/>
    <w:rsid w:val="0008190F"/>
    <w:rsid w:val="00081D9C"/>
    <w:rsid w:val="00082907"/>
    <w:rsid w:val="0008378D"/>
    <w:rsid w:val="000908A5"/>
    <w:rsid w:val="00092805"/>
    <w:rsid w:val="000A3817"/>
    <w:rsid w:val="000C454C"/>
    <w:rsid w:val="000D5038"/>
    <w:rsid w:val="000E23F8"/>
    <w:rsid w:val="000E29D4"/>
    <w:rsid w:val="000E3F92"/>
    <w:rsid w:val="000F3540"/>
    <w:rsid w:val="000F7BB1"/>
    <w:rsid w:val="00100491"/>
    <w:rsid w:val="00104E2E"/>
    <w:rsid w:val="00107287"/>
    <w:rsid w:val="001141D2"/>
    <w:rsid w:val="00117406"/>
    <w:rsid w:val="00121EF0"/>
    <w:rsid w:val="00124A9E"/>
    <w:rsid w:val="00130703"/>
    <w:rsid w:val="0013153F"/>
    <w:rsid w:val="001408B8"/>
    <w:rsid w:val="00151EF1"/>
    <w:rsid w:val="001521D9"/>
    <w:rsid w:val="001554E2"/>
    <w:rsid w:val="001579EC"/>
    <w:rsid w:val="00163CCD"/>
    <w:rsid w:val="00164146"/>
    <w:rsid w:val="0017369C"/>
    <w:rsid w:val="00180C39"/>
    <w:rsid w:val="00180D96"/>
    <w:rsid w:val="001921F3"/>
    <w:rsid w:val="001B3C5B"/>
    <w:rsid w:val="001E451D"/>
    <w:rsid w:val="001E4BBB"/>
    <w:rsid w:val="001E5EE8"/>
    <w:rsid w:val="001E6304"/>
    <w:rsid w:val="0020381E"/>
    <w:rsid w:val="00205936"/>
    <w:rsid w:val="00212BA2"/>
    <w:rsid w:val="00213471"/>
    <w:rsid w:val="00215906"/>
    <w:rsid w:val="00221996"/>
    <w:rsid w:val="00251FB5"/>
    <w:rsid w:val="0025697F"/>
    <w:rsid w:val="00260258"/>
    <w:rsid w:val="002646C7"/>
    <w:rsid w:val="00272428"/>
    <w:rsid w:val="00272948"/>
    <w:rsid w:val="002946C7"/>
    <w:rsid w:val="002A13FF"/>
    <w:rsid w:val="002B3CC1"/>
    <w:rsid w:val="002C09E0"/>
    <w:rsid w:val="002C3A10"/>
    <w:rsid w:val="002C4A90"/>
    <w:rsid w:val="002D02EF"/>
    <w:rsid w:val="002E0702"/>
    <w:rsid w:val="002E0B89"/>
    <w:rsid w:val="002E6F80"/>
    <w:rsid w:val="002F0E4F"/>
    <w:rsid w:val="002F1053"/>
    <w:rsid w:val="00317B0E"/>
    <w:rsid w:val="0033595B"/>
    <w:rsid w:val="00337BE2"/>
    <w:rsid w:val="00347965"/>
    <w:rsid w:val="00347FAA"/>
    <w:rsid w:val="0035172D"/>
    <w:rsid w:val="0036187D"/>
    <w:rsid w:val="00370818"/>
    <w:rsid w:val="00381024"/>
    <w:rsid w:val="00386307"/>
    <w:rsid w:val="003874DE"/>
    <w:rsid w:val="00393E9F"/>
    <w:rsid w:val="0039696E"/>
    <w:rsid w:val="00397B77"/>
    <w:rsid w:val="003B211A"/>
    <w:rsid w:val="003C141F"/>
    <w:rsid w:val="003C6B0E"/>
    <w:rsid w:val="003C7257"/>
    <w:rsid w:val="003C7E35"/>
    <w:rsid w:val="003E2B81"/>
    <w:rsid w:val="003F3FBD"/>
    <w:rsid w:val="00404E8A"/>
    <w:rsid w:val="0040622F"/>
    <w:rsid w:val="004071AE"/>
    <w:rsid w:val="00412447"/>
    <w:rsid w:val="00423160"/>
    <w:rsid w:val="00427C1B"/>
    <w:rsid w:val="00453862"/>
    <w:rsid w:val="00461338"/>
    <w:rsid w:val="004677DB"/>
    <w:rsid w:val="00467E9F"/>
    <w:rsid w:val="0048630F"/>
    <w:rsid w:val="004947A1"/>
    <w:rsid w:val="0049482A"/>
    <w:rsid w:val="004979D3"/>
    <w:rsid w:val="004A00E7"/>
    <w:rsid w:val="004A3A61"/>
    <w:rsid w:val="004B59BA"/>
    <w:rsid w:val="004C263A"/>
    <w:rsid w:val="004D377E"/>
    <w:rsid w:val="004D7B8F"/>
    <w:rsid w:val="004E6458"/>
    <w:rsid w:val="004E6E7D"/>
    <w:rsid w:val="004F1AAC"/>
    <w:rsid w:val="004F1AE2"/>
    <w:rsid w:val="004F34F0"/>
    <w:rsid w:val="005005EF"/>
    <w:rsid w:val="00534E11"/>
    <w:rsid w:val="00535EB8"/>
    <w:rsid w:val="005400D9"/>
    <w:rsid w:val="005476A4"/>
    <w:rsid w:val="00547FF7"/>
    <w:rsid w:val="0055019B"/>
    <w:rsid w:val="00556E63"/>
    <w:rsid w:val="005601A4"/>
    <w:rsid w:val="00564D09"/>
    <w:rsid w:val="00566DBB"/>
    <w:rsid w:val="00577760"/>
    <w:rsid w:val="00581413"/>
    <w:rsid w:val="005976CE"/>
    <w:rsid w:val="005A23D4"/>
    <w:rsid w:val="005A2D1E"/>
    <w:rsid w:val="005C493F"/>
    <w:rsid w:val="005C6BF7"/>
    <w:rsid w:val="005C6EC1"/>
    <w:rsid w:val="005C71BF"/>
    <w:rsid w:val="005D002C"/>
    <w:rsid w:val="005D30E1"/>
    <w:rsid w:val="005D5BE7"/>
    <w:rsid w:val="005D6555"/>
    <w:rsid w:val="005D7BDF"/>
    <w:rsid w:val="005F71D9"/>
    <w:rsid w:val="005F7602"/>
    <w:rsid w:val="0060039E"/>
    <w:rsid w:val="00613501"/>
    <w:rsid w:val="006166A8"/>
    <w:rsid w:val="006174A1"/>
    <w:rsid w:val="00633B49"/>
    <w:rsid w:val="0064297F"/>
    <w:rsid w:val="00646CF3"/>
    <w:rsid w:val="00646CF6"/>
    <w:rsid w:val="00662983"/>
    <w:rsid w:val="0067695E"/>
    <w:rsid w:val="006834D3"/>
    <w:rsid w:val="00692625"/>
    <w:rsid w:val="00695CD3"/>
    <w:rsid w:val="006A38B6"/>
    <w:rsid w:val="006A68DE"/>
    <w:rsid w:val="006B1987"/>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857B8"/>
    <w:rsid w:val="007935A9"/>
    <w:rsid w:val="00795DC5"/>
    <w:rsid w:val="00797153"/>
    <w:rsid w:val="007978B7"/>
    <w:rsid w:val="007B0DDA"/>
    <w:rsid w:val="007E5466"/>
    <w:rsid w:val="007F1949"/>
    <w:rsid w:val="00802F25"/>
    <w:rsid w:val="00817A84"/>
    <w:rsid w:val="008225A4"/>
    <w:rsid w:val="008226A5"/>
    <w:rsid w:val="00826D5E"/>
    <w:rsid w:val="00832013"/>
    <w:rsid w:val="00834732"/>
    <w:rsid w:val="0085200C"/>
    <w:rsid w:val="00857C52"/>
    <w:rsid w:val="00880A44"/>
    <w:rsid w:val="0088345E"/>
    <w:rsid w:val="0088656F"/>
    <w:rsid w:val="0089753D"/>
    <w:rsid w:val="008A0303"/>
    <w:rsid w:val="008A4B99"/>
    <w:rsid w:val="008A5FDD"/>
    <w:rsid w:val="008B20B7"/>
    <w:rsid w:val="008C3947"/>
    <w:rsid w:val="008E7329"/>
    <w:rsid w:val="008F2ED5"/>
    <w:rsid w:val="009061EA"/>
    <w:rsid w:val="009174A1"/>
    <w:rsid w:val="0092297E"/>
    <w:rsid w:val="0092546E"/>
    <w:rsid w:val="009306C7"/>
    <w:rsid w:val="009341BF"/>
    <w:rsid w:val="00937907"/>
    <w:rsid w:val="00941739"/>
    <w:rsid w:val="00951573"/>
    <w:rsid w:val="00963003"/>
    <w:rsid w:val="00983471"/>
    <w:rsid w:val="009909AB"/>
    <w:rsid w:val="009B37DB"/>
    <w:rsid w:val="009B5E18"/>
    <w:rsid w:val="009C14DD"/>
    <w:rsid w:val="009C7A8C"/>
    <w:rsid w:val="009D23F9"/>
    <w:rsid w:val="009D4FA8"/>
    <w:rsid w:val="009E6CD6"/>
    <w:rsid w:val="009F41ED"/>
    <w:rsid w:val="00A00C3C"/>
    <w:rsid w:val="00A01091"/>
    <w:rsid w:val="00A02417"/>
    <w:rsid w:val="00A06DBB"/>
    <w:rsid w:val="00A2292D"/>
    <w:rsid w:val="00A31E86"/>
    <w:rsid w:val="00A54D87"/>
    <w:rsid w:val="00A5553C"/>
    <w:rsid w:val="00A81785"/>
    <w:rsid w:val="00A83922"/>
    <w:rsid w:val="00A84803"/>
    <w:rsid w:val="00A84C51"/>
    <w:rsid w:val="00A86F2B"/>
    <w:rsid w:val="00A91366"/>
    <w:rsid w:val="00A93AA6"/>
    <w:rsid w:val="00A95103"/>
    <w:rsid w:val="00AA4E48"/>
    <w:rsid w:val="00AA6202"/>
    <w:rsid w:val="00AC33D8"/>
    <w:rsid w:val="00AC4A99"/>
    <w:rsid w:val="00AC64D2"/>
    <w:rsid w:val="00AE0FE8"/>
    <w:rsid w:val="00AF0E46"/>
    <w:rsid w:val="00AF60D5"/>
    <w:rsid w:val="00B04415"/>
    <w:rsid w:val="00B11D60"/>
    <w:rsid w:val="00B13D65"/>
    <w:rsid w:val="00B35BCF"/>
    <w:rsid w:val="00B37245"/>
    <w:rsid w:val="00B4017A"/>
    <w:rsid w:val="00B4468D"/>
    <w:rsid w:val="00B5014B"/>
    <w:rsid w:val="00B6594C"/>
    <w:rsid w:val="00B71C72"/>
    <w:rsid w:val="00B81E92"/>
    <w:rsid w:val="00B93B30"/>
    <w:rsid w:val="00B94CB5"/>
    <w:rsid w:val="00BA0DD9"/>
    <w:rsid w:val="00BA19F7"/>
    <w:rsid w:val="00BB6312"/>
    <w:rsid w:val="00BC4D06"/>
    <w:rsid w:val="00BD585E"/>
    <w:rsid w:val="00BF206B"/>
    <w:rsid w:val="00BF2E0D"/>
    <w:rsid w:val="00BF3F8B"/>
    <w:rsid w:val="00BF76DA"/>
    <w:rsid w:val="00C07C7B"/>
    <w:rsid w:val="00C24479"/>
    <w:rsid w:val="00C33602"/>
    <w:rsid w:val="00C37B53"/>
    <w:rsid w:val="00C46309"/>
    <w:rsid w:val="00C517D2"/>
    <w:rsid w:val="00C52397"/>
    <w:rsid w:val="00C62B36"/>
    <w:rsid w:val="00C7012C"/>
    <w:rsid w:val="00CC2E22"/>
    <w:rsid w:val="00CC668D"/>
    <w:rsid w:val="00CC7832"/>
    <w:rsid w:val="00CD429B"/>
    <w:rsid w:val="00CE12C2"/>
    <w:rsid w:val="00CF0C1C"/>
    <w:rsid w:val="00CF549E"/>
    <w:rsid w:val="00D23808"/>
    <w:rsid w:val="00D25AB4"/>
    <w:rsid w:val="00D3016A"/>
    <w:rsid w:val="00D42960"/>
    <w:rsid w:val="00D43BD7"/>
    <w:rsid w:val="00D4485B"/>
    <w:rsid w:val="00D4708D"/>
    <w:rsid w:val="00D4744C"/>
    <w:rsid w:val="00D555EC"/>
    <w:rsid w:val="00D63068"/>
    <w:rsid w:val="00D6498C"/>
    <w:rsid w:val="00D739EF"/>
    <w:rsid w:val="00D8521E"/>
    <w:rsid w:val="00D9291C"/>
    <w:rsid w:val="00D93A97"/>
    <w:rsid w:val="00DB1F64"/>
    <w:rsid w:val="00DC2F53"/>
    <w:rsid w:val="00DC6816"/>
    <w:rsid w:val="00DC76C2"/>
    <w:rsid w:val="00DD1CF2"/>
    <w:rsid w:val="00DE1992"/>
    <w:rsid w:val="00DE680E"/>
    <w:rsid w:val="00DF41B7"/>
    <w:rsid w:val="00DF4A4A"/>
    <w:rsid w:val="00DF583C"/>
    <w:rsid w:val="00E03C3F"/>
    <w:rsid w:val="00E24D45"/>
    <w:rsid w:val="00E33DB8"/>
    <w:rsid w:val="00E34387"/>
    <w:rsid w:val="00E369FE"/>
    <w:rsid w:val="00E37C6F"/>
    <w:rsid w:val="00E475F8"/>
    <w:rsid w:val="00E5102E"/>
    <w:rsid w:val="00E5721C"/>
    <w:rsid w:val="00E619C6"/>
    <w:rsid w:val="00E66270"/>
    <w:rsid w:val="00E745A1"/>
    <w:rsid w:val="00E75FAC"/>
    <w:rsid w:val="00E8142F"/>
    <w:rsid w:val="00E81529"/>
    <w:rsid w:val="00E83A13"/>
    <w:rsid w:val="00EC2356"/>
    <w:rsid w:val="00EC2582"/>
    <w:rsid w:val="00EC337C"/>
    <w:rsid w:val="00ED0CFF"/>
    <w:rsid w:val="00ED31D2"/>
    <w:rsid w:val="00EE0EAC"/>
    <w:rsid w:val="00EE33CB"/>
    <w:rsid w:val="00EF1CD0"/>
    <w:rsid w:val="00F0061A"/>
    <w:rsid w:val="00F02834"/>
    <w:rsid w:val="00F07CD7"/>
    <w:rsid w:val="00F127E9"/>
    <w:rsid w:val="00F30D4D"/>
    <w:rsid w:val="00F36972"/>
    <w:rsid w:val="00F42426"/>
    <w:rsid w:val="00F4280E"/>
    <w:rsid w:val="00F456BC"/>
    <w:rsid w:val="00F50666"/>
    <w:rsid w:val="00F56E3E"/>
    <w:rsid w:val="00F65741"/>
    <w:rsid w:val="00F67A49"/>
    <w:rsid w:val="00F70C9E"/>
    <w:rsid w:val="00F74A74"/>
    <w:rsid w:val="00F832F8"/>
    <w:rsid w:val="00F8382C"/>
    <w:rsid w:val="00F855D7"/>
    <w:rsid w:val="00F857A3"/>
    <w:rsid w:val="00F92035"/>
    <w:rsid w:val="00F92748"/>
    <w:rsid w:val="00FA4169"/>
    <w:rsid w:val="00FB0D41"/>
    <w:rsid w:val="00FB2030"/>
    <w:rsid w:val="00FD027F"/>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rsid w:val="001E5EE8"/>
    <w:rPr>
      <w:sz w:val="24"/>
      <w:szCs w:val="24"/>
      <w:lang w:eastAsia="en-US"/>
    </w:rPr>
  </w:style>
  <w:style w:type="paragraph" w:styleId="prastasiniatinklio">
    <w:name w:val="Normal (Web)"/>
    <w:basedOn w:val="prastasis"/>
    <w:uiPriority w:val="99"/>
    <w:semiHidden/>
    <w:unhideWhenUsed/>
    <w:rsid w:val="0067695E"/>
    <w:pPr>
      <w:spacing w:before="100" w:beforeAutospacing="1" w:after="100" w:afterAutospacing="1"/>
    </w:pPr>
    <w:rPr>
      <w:lang w:eastAsia="lt-LT"/>
    </w:rPr>
  </w:style>
  <w:style w:type="paragraph" w:styleId="Pataisymai">
    <w:name w:val="Revision"/>
    <w:hidden/>
    <w:uiPriority w:val="99"/>
    <w:semiHidden/>
    <w:rsid w:val="005D5BE7"/>
    <w:rPr>
      <w:sz w:val="24"/>
      <w:szCs w:val="24"/>
      <w:lang w:eastAsia="en-US"/>
    </w:rPr>
  </w:style>
  <w:style w:type="table" w:styleId="4paprastojilentel">
    <w:name w:val="Plain Table 4"/>
    <w:basedOn w:val="prastojilentel"/>
    <w:uiPriority w:val="44"/>
    <w:rsid w:val="001579EC"/>
    <w:rPr>
      <w:sz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2D10FA1D9E4633AAE9748749EA6C14"/>
        <w:category>
          <w:name w:val="General"/>
          <w:gallery w:val="placeholder"/>
        </w:category>
        <w:types>
          <w:type w:val="bbPlcHdr"/>
        </w:types>
        <w:behaviors>
          <w:behavior w:val="content"/>
        </w:behaviors>
        <w:guid w:val="{08970420-98B3-4AB2-A99D-1E9CD923FDBD}"/>
      </w:docPartPr>
      <w:docPartBody>
        <w:p w:rsidR="00EC47E2" w:rsidRDefault="00592FBD" w:rsidP="00592FBD">
          <w:pPr>
            <w:pStyle w:val="E32D10FA1D9E4633AAE9748749EA6C14"/>
          </w:pPr>
          <w:r>
            <w:rPr>
              <w:rStyle w:val="Vietosrezervavimoenklotekstas"/>
            </w:rPr>
            <w:t>Click here to enter a date.</w:t>
          </w:r>
        </w:p>
      </w:docPartBody>
    </w:docPart>
    <w:docPart>
      <w:docPartPr>
        <w:name w:val="E8D879E3135D405E9A05F22A47D2C193"/>
        <w:category>
          <w:name w:val="General"/>
          <w:gallery w:val="placeholder"/>
        </w:category>
        <w:types>
          <w:type w:val="bbPlcHdr"/>
        </w:types>
        <w:behaviors>
          <w:behavior w:val="content"/>
        </w:behaviors>
        <w:guid w:val="{6774F341-53B3-4C0C-9C13-5B98FF303FBF}"/>
      </w:docPartPr>
      <w:docPartBody>
        <w:p w:rsidR="00EC47E2" w:rsidRDefault="00592FBD" w:rsidP="00592FBD">
          <w:pPr>
            <w:pStyle w:val="E8D879E3135D405E9A05F22A47D2C193"/>
          </w:pPr>
          <w:r>
            <w:rPr>
              <w:rStyle w:val="Vietosrezervavimoenklotekstas"/>
            </w:rPr>
            <w:t>Click here to enter a date.</w:t>
          </w:r>
        </w:p>
      </w:docPartBody>
    </w:docPart>
    <w:docPart>
      <w:docPartPr>
        <w:name w:val="A11C72384A624EB0A57C3511ED5B9464"/>
        <w:category>
          <w:name w:val="General"/>
          <w:gallery w:val="placeholder"/>
        </w:category>
        <w:types>
          <w:type w:val="bbPlcHdr"/>
        </w:types>
        <w:behaviors>
          <w:behavior w:val="content"/>
        </w:behaviors>
        <w:guid w:val="{D87B51FD-931E-4EA8-BBC3-CC1EBC997FBC}"/>
      </w:docPartPr>
      <w:docPartBody>
        <w:p w:rsidR="00EC47E2" w:rsidRDefault="00592FBD" w:rsidP="00592FBD">
          <w:pPr>
            <w:pStyle w:val="A11C72384A624EB0A57C3511ED5B9464"/>
          </w:pPr>
          <w:r>
            <w:rPr>
              <w:rStyle w:val="Vietosrezervavimoenklotekstas"/>
            </w:rPr>
            <w:t>Click here to enter a date.</w:t>
          </w:r>
        </w:p>
      </w:docPartBody>
    </w:docPart>
    <w:docPart>
      <w:docPartPr>
        <w:name w:val="83C88364427544498F1663313E286F4C"/>
        <w:category>
          <w:name w:val="General"/>
          <w:gallery w:val="placeholder"/>
        </w:category>
        <w:types>
          <w:type w:val="bbPlcHdr"/>
        </w:types>
        <w:behaviors>
          <w:behavior w:val="content"/>
        </w:behaviors>
        <w:guid w:val="{9F219220-9606-4423-A950-571A36CD3AFB}"/>
      </w:docPartPr>
      <w:docPartBody>
        <w:p w:rsidR="00492316" w:rsidRDefault="00C909C1" w:rsidP="00C909C1">
          <w:pPr>
            <w:pStyle w:val="83C88364427544498F1663313E286F4C"/>
          </w:pPr>
          <w:r>
            <w:rPr>
              <w:rStyle w:val="Vietosrezervavimoenklotekstas"/>
            </w:rPr>
            <w:t>Click here to enter a date.</w:t>
          </w:r>
        </w:p>
      </w:docPartBody>
    </w:docPart>
    <w:docPart>
      <w:docPartPr>
        <w:name w:val="C9B0AED09C9A4E93AAD22FBF555E6AC0"/>
        <w:category>
          <w:name w:val="General"/>
          <w:gallery w:val="placeholder"/>
        </w:category>
        <w:types>
          <w:type w:val="bbPlcHdr"/>
        </w:types>
        <w:behaviors>
          <w:behavior w:val="content"/>
        </w:behaviors>
        <w:guid w:val="{337AA60C-436B-4D58-9C1B-140289C3C342}"/>
      </w:docPartPr>
      <w:docPartBody>
        <w:p w:rsidR="00492316" w:rsidRDefault="00C909C1" w:rsidP="00C909C1">
          <w:pPr>
            <w:pStyle w:val="C9B0AED09C9A4E93AAD22FBF555E6AC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937FE"/>
    <w:rsid w:val="000A559A"/>
    <w:rsid w:val="001607D6"/>
    <w:rsid w:val="001D7AD5"/>
    <w:rsid w:val="00265CF8"/>
    <w:rsid w:val="003661F6"/>
    <w:rsid w:val="004144A3"/>
    <w:rsid w:val="004160E7"/>
    <w:rsid w:val="00492316"/>
    <w:rsid w:val="004C3E01"/>
    <w:rsid w:val="005074B9"/>
    <w:rsid w:val="005425F0"/>
    <w:rsid w:val="00550F3C"/>
    <w:rsid w:val="00592FBD"/>
    <w:rsid w:val="005A4147"/>
    <w:rsid w:val="005E40DD"/>
    <w:rsid w:val="00631703"/>
    <w:rsid w:val="007A31E1"/>
    <w:rsid w:val="007B7612"/>
    <w:rsid w:val="007C6D1D"/>
    <w:rsid w:val="00871A0B"/>
    <w:rsid w:val="009B3BF0"/>
    <w:rsid w:val="009D5E5E"/>
    <w:rsid w:val="009E26D6"/>
    <w:rsid w:val="009F08E3"/>
    <w:rsid w:val="00B107CB"/>
    <w:rsid w:val="00B23DC0"/>
    <w:rsid w:val="00C909C1"/>
    <w:rsid w:val="00CB4BD1"/>
    <w:rsid w:val="00CE2DA9"/>
    <w:rsid w:val="00CE44BE"/>
    <w:rsid w:val="00E041E1"/>
    <w:rsid w:val="00E23093"/>
    <w:rsid w:val="00E44A86"/>
    <w:rsid w:val="00E74953"/>
    <w:rsid w:val="00EA5866"/>
    <w:rsid w:val="00EC47E2"/>
    <w:rsid w:val="00EF6E0C"/>
    <w:rsid w:val="00F46FEE"/>
    <w:rsid w:val="00F8347E"/>
    <w:rsid w:val="00FD540F"/>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909C1"/>
    <w:rPr>
      <w:color w:val="808080"/>
    </w:rPr>
  </w:style>
  <w:style w:type="paragraph" w:customStyle="1" w:styleId="83C88364427544498F1663313E286F4C">
    <w:name w:val="83C88364427544498F1663313E286F4C"/>
    <w:rsid w:val="00C909C1"/>
    <w:rPr>
      <w:kern w:val="2"/>
      <w:lang w:val="en-GB" w:eastAsia="en-GB"/>
      <w14:ligatures w14:val="standardContextual"/>
    </w:rPr>
  </w:style>
  <w:style w:type="paragraph" w:customStyle="1" w:styleId="C9B0AED09C9A4E93AAD22FBF555E6AC0">
    <w:name w:val="C9B0AED09C9A4E93AAD22FBF555E6AC0"/>
    <w:rsid w:val="00C909C1"/>
    <w:rPr>
      <w:kern w:val="2"/>
      <w:lang w:val="en-GB" w:eastAsia="en-GB"/>
      <w14:ligatures w14:val="standardContextual"/>
    </w:rPr>
  </w:style>
  <w:style w:type="paragraph" w:customStyle="1" w:styleId="E32D10FA1D9E4633AAE9748749EA6C14">
    <w:name w:val="E32D10FA1D9E4633AAE9748749EA6C14"/>
    <w:rsid w:val="00592FBD"/>
    <w:rPr>
      <w:kern w:val="2"/>
      <w:lang w:val="en-GB" w:eastAsia="en-GB"/>
      <w14:ligatures w14:val="standardContextual"/>
    </w:rPr>
  </w:style>
  <w:style w:type="paragraph" w:customStyle="1" w:styleId="E8D879E3135D405E9A05F22A47D2C193">
    <w:name w:val="E8D879E3135D405E9A05F22A47D2C193"/>
    <w:rsid w:val="00592FBD"/>
    <w:rPr>
      <w:kern w:val="2"/>
      <w:lang w:val="en-GB" w:eastAsia="en-GB"/>
      <w14:ligatures w14:val="standardContextual"/>
    </w:rPr>
  </w:style>
  <w:style w:type="paragraph" w:customStyle="1" w:styleId="A11C72384A624EB0A57C3511ED5B9464">
    <w:name w:val="A11C72384A624EB0A57C3511ED5B9464"/>
    <w:rsid w:val="00592FBD"/>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1F44-69F1-46CA-A19A-B0CBA254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13995</Words>
  <Characters>7978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2023-07-05T13:41:00Z</dcterms:created>
  <dcterms:modified xsi:type="dcterms:W3CDTF">2023-07-19T06:10:00Z</dcterms:modified>
</cp:coreProperties>
</file>