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E5EB3" w14:textId="1955ADE3" w:rsidR="005F7602" w:rsidRDefault="005F7602" w:rsidP="002946C7">
      <w:pPr>
        <w:ind w:left="5529"/>
      </w:pPr>
    </w:p>
    <w:p w14:paraId="12FA4B9E" w14:textId="77777777" w:rsidR="001B3C5B" w:rsidRPr="00E33EFF" w:rsidRDefault="001B3C5B" w:rsidP="001B3C5B">
      <w:pPr>
        <w:ind w:left="6096"/>
      </w:pPr>
      <w:r w:rsidRPr="00E33EFF">
        <w:t>Forma patvirtinta</w:t>
      </w:r>
    </w:p>
    <w:p w14:paraId="7206970B" w14:textId="70E9BD2E" w:rsidR="004C263A" w:rsidRPr="00E33EFF" w:rsidRDefault="001B3C5B" w:rsidP="001B3C5B">
      <w:pPr>
        <w:ind w:left="6096"/>
      </w:pPr>
      <w:r w:rsidRPr="00E33EFF">
        <w:t>Valstybinės vaistų kontrolės tarnybos prie Lietuvos Respublikos sveikatos apsaugos ministerijos viršininko 2021 m</w:t>
      </w:r>
      <w:r w:rsidR="004C263A" w:rsidRPr="00E33EFF">
        <w:t xml:space="preserve">. lapkričio 12 </w:t>
      </w:r>
      <w:r w:rsidRPr="00E33EFF">
        <w:t>d. įsakymu Nr.</w:t>
      </w:r>
      <w:r w:rsidR="004C263A" w:rsidRPr="00E33EFF">
        <w:t xml:space="preserve"> (1.72E)1A-1418</w:t>
      </w:r>
    </w:p>
    <w:p w14:paraId="5B219AA6" w14:textId="520B9136" w:rsidR="001B3C5B" w:rsidRPr="00E33EFF" w:rsidRDefault="004C263A" w:rsidP="001B3C5B">
      <w:pPr>
        <w:ind w:left="6096"/>
      </w:pPr>
      <w:r w:rsidRPr="00E33EFF">
        <w:t>(Valstybinės vaistų kontrolės tarnybos prie Lietuvos Respublikos sveikatos apsaugos ministerijos viršininko 2022 m.                         d. įsakymo Nr.                    redakcija)</w:t>
      </w:r>
    </w:p>
    <w:p w14:paraId="3336BD74" w14:textId="77777777" w:rsidR="001B3C5B" w:rsidRPr="00E33EFF" w:rsidRDefault="001B3C5B" w:rsidP="00FA4169"/>
    <w:p w14:paraId="77AFB67E" w14:textId="16397257" w:rsidR="00613501" w:rsidRPr="00E33EFF" w:rsidRDefault="002F0E4F" w:rsidP="003B211A">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34E4395D" w14:textId="15FB10DF" w:rsidR="00B13D65" w:rsidRPr="00E33EFF" w:rsidRDefault="00B13D65" w:rsidP="003B211A">
      <w:pPr>
        <w:jc w:val="center"/>
        <w:rPr>
          <w:b/>
        </w:rPr>
      </w:pPr>
    </w:p>
    <w:p w14:paraId="6837A0FF" w14:textId="50902129" w:rsidR="00253DDC" w:rsidRDefault="00253DDC" w:rsidP="00253DDC">
      <w:pPr>
        <w:jc w:val="center"/>
        <w:rPr>
          <w:b/>
        </w:rPr>
      </w:pPr>
      <w:r w:rsidRPr="0010060A">
        <w:rPr>
          <w:b/>
        </w:rPr>
        <w:t>Darzalex</w:t>
      </w:r>
      <w:r w:rsidRPr="004E28B7">
        <w:rPr>
          <w:b/>
        </w:rPr>
        <w:t xml:space="preserve"> </w:t>
      </w:r>
      <w:r>
        <w:rPr>
          <w:b/>
        </w:rPr>
        <w:t>100 mg, 400 mg (N1)</w:t>
      </w:r>
    </w:p>
    <w:p w14:paraId="39285784" w14:textId="77777777" w:rsidR="00253DDC" w:rsidRDefault="00253DDC" w:rsidP="00253DDC">
      <w:pPr>
        <w:jc w:val="center"/>
        <w:rPr>
          <w:b/>
        </w:rPr>
      </w:pPr>
      <w:r>
        <w:rPr>
          <w:b/>
        </w:rPr>
        <w:t>k</w:t>
      </w:r>
      <w:r w:rsidRPr="00F02C69">
        <w:rPr>
          <w:b/>
        </w:rPr>
        <w:t xml:space="preserve">oncentratas infuziniam tirpalui (skirtas intraveninėms injekcijoms), </w:t>
      </w:r>
    </w:p>
    <w:p w14:paraId="5BB2269D" w14:textId="5D1E1EDB" w:rsidR="00253DDC" w:rsidRDefault="008B46B7" w:rsidP="00253DDC">
      <w:pPr>
        <w:jc w:val="center"/>
        <w:rPr>
          <w:b/>
        </w:rPr>
      </w:pPr>
      <w:r w:rsidRPr="0010060A">
        <w:rPr>
          <w:b/>
        </w:rPr>
        <w:t>Darzalex</w:t>
      </w:r>
      <w:r w:rsidR="00253DDC">
        <w:rPr>
          <w:b/>
        </w:rPr>
        <w:t xml:space="preserve"> 1200 mg (N1)</w:t>
      </w:r>
    </w:p>
    <w:p w14:paraId="5C802FB2" w14:textId="77777777" w:rsidR="00253DDC" w:rsidRDefault="00253DDC" w:rsidP="00253DDC">
      <w:pPr>
        <w:jc w:val="center"/>
        <w:rPr>
          <w:b/>
        </w:rPr>
      </w:pPr>
      <w:r w:rsidRPr="00F02C69">
        <w:rPr>
          <w:b/>
        </w:rPr>
        <w:t>injekcinis tirpalas (skirtas poodinėms injekcijoms)</w:t>
      </w:r>
    </w:p>
    <w:p w14:paraId="3CB2B7A0" w14:textId="77777777" w:rsidR="00253DDC" w:rsidRPr="004E28B7" w:rsidRDefault="00253DDC" w:rsidP="00253DDC">
      <w:pPr>
        <w:jc w:val="center"/>
        <w:rPr>
          <w:b/>
        </w:rPr>
      </w:pPr>
    </w:p>
    <w:p w14:paraId="2F3B478C" w14:textId="77777777" w:rsidR="00253DDC" w:rsidRPr="004E28B7" w:rsidRDefault="00253DDC" w:rsidP="00253DDC">
      <w:pPr>
        <w:jc w:val="center"/>
        <w:rPr>
          <w:b/>
        </w:rPr>
      </w:pPr>
      <w:r w:rsidRPr="004E28B7">
        <w:rPr>
          <w:b/>
        </w:rPr>
        <w:t>(</w:t>
      </w:r>
      <w:r>
        <w:t>Daratumumabas</w:t>
      </w:r>
      <w:r w:rsidRPr="004E28B7">
        <w:rPr>
          <w:b/>
        </w:rPr>
        <w:t>)</w:t>
      </w:r>
    </w:p>
    <w:p w14:paraId="10349835" w14:textId="77777777" w:rsidR="00253DDC" w:rsidRPr="004E28B7" w:rsidRDefault="00253DDC" w:rsidP="00253DDC">
      <w:pPr>
        <w:jc w:val="center"/>
        <w:rPr>
          <w:b/>
        </w:rPr>
      </w:pPr>
    </w:p>
    <w:p w14:paraId="4CBFF4A2" w14:textId="10716D13" w:rsidR="00253DDC" w:rsidRPr="00D05364" w:rsidRDefault="00253DDC" w:rsidP="00253DDC">
      <w:pPr>
        <w:jc w:val="center"/>
        <w:rPr>
          <w:b/>
        </w:rPr>
      </w:pPr>
      <w:r>
        <w:rPr>
          <w:b/>
        </w:rPr>
        <w:t>STV</w:t>
      </w:r>
      <w:r w:rsidR="008B46B7">
        <w:rPr>
          <w:b/>
        </w:rPr>
        <w:t>-</w:t>
      </w:r>
      <w:r>
        <w:rPr>
          <w:b/>
        </w:rPr>
        <w:t>89</w:t>
      </w:r>
    </w:p>
    <w:p w14:paraId="453197C8" w14:textId="77777777" w:rsidR="00D4708D" w:rsidRPr="00E33EFF" w:rsidRDefault="00D4708D" w:rsidP="003B211A">
      <w:pPr>
        <w:jc w:val="center"/>
        <w:rPr>
          <w:b/>
        </w:rPr>
      </w:pPr>
    </w:p>
    <w:p w14:paraId="78C89D1C" w14:textId="0DEFFAA5" w:rsidR="00D4485B" w:rsidRPr="00E33EFF" w:rsidRDefault="00B13D65" w:rsidP="00CC09D4">
      <w:pPr>
        <w:pStyle w:val="Sraopastraipa"/>
        <w:numPr>
          <w:ilvl w:val="0"/>
          <w:numId w:val="12"/>
        </w:numPr>
        <w:tabs>
          <w:tab w:val="left" w:pos="567"/>
        </w:tabs>
        <w:ind w:left="567" w:hanging="567"/>
        <w:rPr>
          <w:b/>
          <w:bCs/>
          <w:caps/>
        </w:rPr>
      </w:pPr>
      <w:r w:rsidRPr="00E33EFF">
        <w:rPr>
          <w:b/>
          <w:bCs/>
          <w:caps/>
        </w:rPr>
        <w:t>Bendroji dalis</w:t>
      </w:r>
    </w:p>
    <w:p w14:paraId="04A7C7A7" w14:textId="77777777" w:rsidR="00B13D65" w:rsidRPr="00E33EFF"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3D3A9D" w:rsidRPr="00E33EFF" w14:paraId="18A83EC2" w14:textId="77777777" w:rsidTr="00BE7489">
        <w:trPr>
          <w:trHeight w:val="538"/>
        </w:trPr>
        <w:tc>
          <w:tcPr>
            <w:tcW w:w="632" w:type="dxa"/>
          </w:tcPr>
          <w:p w14:paraId="0646FBEA" w14:textId="77777777" w:rsidR="003D3A9D" w:rsidRPr="00E33EFF" w:rsidRDefault="003D3A9D" w:rsidP="003D3A9D">
            <w:pPr>
              <w:rPr>
                <w:rFonts w:eastAsia="Arial"/>
              </w:rPr>
            </w:pPr>
            <w:r w:rsidRPr="00E33EFF">
              <w:rPr>
                <w:rFonts w:eastAsia="Arial"/>
              </w:rPr>
              <w:t>1.1</w:t>
            </w:r>
          </w:p>
        </w:tc>
        <w:tc>
          <w:tcPr>
            <w:tcW w:w="3694" w:type="dxa"/>
          </w:tcPr>
          <w:p w14:paraId="6C3AE864" w14:textId="77777777" w:rsidR="003D3A9D" w:rsidRPr="00E33EFF" w:rsidRDefault="003D3A9D" w:rsidP="003D3A9D">
            <w:pPr>
              <w:rPr>
                <w:rFonts w:eastAsia="Arial"/>
              </w:rPr>
            </w:pPr>
            <w:r w:rsidRPr="00E33EFF">
              <w:rPr>
                <w:rFonts w:eastAsia="Arial"/>
              </w:rPr>
              <w:t>Pareiškėjas</w:t>
            </w:r>
          </w:p>
          <w:p w14:paraId="2AF240DC" w14:textId="77777777" w:rsidR="003D3A9D" w:rsidRPr="00E33EFF" w:rsidRDefault="003D3A9D" w:rsidP="003D3A9D">
            <w:pPr>
              <w:rPr>
                <w:rFonts w:eastAsia="Arial"/>
              </w:rPr>
            </w:pPr>
          </w:p>
        </w:tc>
        <w:tc>
          <w:tcPr>
            <w:tcW w:w="5167" w:type="dxa"/>
          </w:tcPr>
          <w:p w14:paraId="2AAF0D91" w14:textId="6B25135D" w:rsidR="003D3A9D" w:rsidRPr="00E33EFF" w:rsidRDefault="003D3A9D" w:rsidP="003D3A9D">
            <w:pPr>
              <w:rPr>
                <w:rFonts w:eastAsia="Arial"/>
              </w:rPr>
            </w:pPr>
            <w:r w:rsidRPr="00314E63">
              <w:rPr>
                <w:rFonts w:eastAsia="Arial"/>
                <w:color w:val="000000"/>
              </w:rPr>
              <w:t>Janssen-Cilag International N.V., Belgija</w:t>
            </w:r>
          </w:p>
        </w:tc>
      </w:tr>
      <w:tr w:rsidR="003D3A9D" w:rsidRPr="00E33EFF" w14:paraId="31998B0D" w14:textId="77777777" w:rsidTr="00BE7489">
        <w:trPr>
          <w:trHeight w:val="538"/>
        </w:trPr>
        <w:tc>
          <w:tcPr>
            <w:tcW w:w="632" w:type="dxa"/>
          </w:tcPr>
          <w:p w14:paraId="2005EC67" w14:textId="662300D0" w:rsidR="003D3A9D" w:rsidRPr="00E33EFF" w:rsidRDefault="003D3A9D" w:rsidP="003D3A9D">
            <w:pPr>
              <w:rPr>
                <w:rFonts w:eastAsia="Arial"/>
              </w:rPr>
            </w:pPr>
            <w:r w:rsidRPr="00E33EFF">
              <w:rPr>
                <w:rFonts w:eastAsia="Arial"/>
              </w:rPr>
              <w:t>1.2</w:t>
            </w:r>
          </w:p>
        </w:tc>
        <w:tc>
          <w:tcPr>
            <w:tcW w:w="3694" w:type="dxa"/>
          </w:tcPr>
          <w:p w14:paraId="1E4AE3B1" w14:textId="77777777" w:rsidR="003D3A9D" w:rsidRPr="00E33EFF" w:rsidRDefault="003D3A9D" w:rsidP="003D3A9D">
            <w:pPr>
              <w:rPr>
                <w:bCs/>
                <w:color w:val="000000"/>
                <w:lang w:eastAsia="lt-LT"/>
              </w:rPr>
            </w:pPr>
            <w:r w:rsidRPr="00E33EFF">
              <w:rPr>
                <w:bCs/>
                <w:color w:val="000000"/>
                <w:lang w:eastAsia="lt-LT"/>
              </w:rPr>
              <w:t xml:space="preserve">Registracijos data </w:t>
            </w:r>
          </w:p>
          <w:p w14:paraId="3A0DC096" w14:textId="77777777" w:rsidR="003D3A9D" w:rsidRPr="00E33EFF" w:rsidRDefault="003D3A9D" w:rsidP="003D3A9D">
            <w:pPr>
              <w:rPr>
                <w:bCs/>
                <w:color w:val="000000"/>
                <w:lang w:eastAsia="lt-LT"/>
              </w:rPr>
            </w:pPr>
          </w:p>
        </w:tc>
        <w:tc>
          <w:tcPr>
            <w:tcW w:w="5167" w:type="dxa"/>
          </w:tcPr>
          <w:p w14:paraId="3CA218AD" w14:textId="1AECAF76" w:rsidR="003D3A9D" w:rsidRPr="00E33EFF" w:rsidRDefault="00000000" w:rsidP="003D3A9D">
            <w:pPr>
              <w:rPr>
                <w:rStyle w:val="Style2"/>
              </w:rPr>
            </w:pPr>
            <w:sdt>
              <w:sdtPr>
                <w:rPr>
                  <w:sz w:val="32"/>
                </w:rPr>
                <w:alias w:val="Nurodykite konkrečią dieną"/>
                <w:tag w:val="Nurodykite pradžios datą"/>
                <w:id w:val="423238108"/>
                <w:placeholder>
                  <w:docPart w:val="77A0BD9328394B7BBD0D736FCF92ABE0"/>
                </w:placeholder>
                <w15:color w:val="FFCC99"/>
                <w:date w:fullDate="2015-11-19T00:00:00Z">
                  <w:dateFormat w:val="yyyy 'm.' MMMM d 'd.'"/>
                  <w:lid w:val="lt-LT"/>
                  <w:storeMappedDataAs w:val="dateTime"/>
                  <w:calendar w:val="gregorian"/>
                </w:date>
              </w:sdtPr>
              <w:sdtContent>
                <w:r w:rsidR="003D3A9D" w:rsidRPr="001E2231">
                  <w:t>2015 m. lapkričio 19 d.</w:t>
                </w:r>
              </w:sdtContent>
            </w:sdt>
          </w:p>
        </w:tc>
      </w:tr>
      <w:tr w:rsidR="003D3A9D" w:rsidRPr="00E33EFF" w14:paraId="15968AE1" w14:textId="77777777" w:rsidTr="00BE7489">
        <w:trPr>
          <w:trHeight w:val="1500"/>
        </w:trPr>
        <w:tc>
          <w:tcPr>
            <w:tcW w:w="632" w:type="dxa"/>
          </w:tcPr>
          <w:p w14:paraId="6A784245" w14:textId="1E461489" w:rsidR="003D3A9D" w:rsidRPr="00E33EFF" w:rsidRDefault="003D3A9D" w:rsidP="003D3A9D">
            <w:pPr>
              <w:rPr>
                <w:rFonts w:eastAsia="Arial"/>
              </w:rPr>
            </w:pPr>
            <w:r w:rsidRPr="00E33EFF">
              <w:rPr>
                <w:rFonts w:eastAsia="Arial"/>
              </w:rPr>
              <w:t>1.3</w:t>
            </w:r>
          </w:p>
        </w:tc>
        <w:tc>
          <w:tcPr>
            <w:tcW w:w="3694" w:type="dxa"/>
          </w:tcPr>
          <w:p w14:paraId="22933506" w14:textId="77777777" w:rsidR="003D3A9D" w:rsidRPr="00E33EFF" w:rsidRDefault="003D3A9D" w:rsidP="003D3A9D">
            <w:r w:rsidRPr="00E33EFF">
              <w:t xml:space="preserve">Paraiškos tipas </w:t>
            </w:r>
          </w:p>
          <w:p w14:paraId="0465E680" w14:textId="7F0A0714" w:rsidR="003D3A9D" w:rsidRPr="00E33EFF" w:rsidRDefault="003D3A9D" w:rsidP="003D3A9D">
            <w:r w:rsidRPr="00E33EFF">
              <w:t xml:space="preserve">(pagal </w:t>
            </w:r>
            <w:r w:rsidRPr="00E33EFF">
              <w:rPr>
                <w:color w:val="333333"/>
                <w:shd w:val="clear" w:color="auto" w:fill="FFFFFF"/>
              </w:rPr>
              <w:t>vaistinio preparato registracijos tipą, įtvirtintą</w:t>
            </w:r>
            <w:r w:rsidRPr="00E33EFF">
              <w:t xml:space="preserve"> Direktyvos 2001/83/EB straipsiuose)</w:t>
            </w:r>
          </w:p>
          <w:p w14:paraId="77089D80" w14:textId="6681D72A" w:rsidR="003D3A9D" w:rsidRPr="00E33EFF" w:rsidRDefault="003D3A9D" w:rsidP="003D3A9D">
            <w:pPr>
              <w:rPr>
                <w:bCs/>
                <w:color w:val="000000"/>
                <w:lang w:eastAsia="lt-LT"/>
              </w:rPr>
            </w:pPr>
          </w:p>
        </w:tc>
        <w:tc>
          <w:tcPr>
            <w:tcW w:w="5167" w:type="dxa"/>
          </w:tcPr>
          <w:p w14:paraId="5FF0724E" w14:textId="77777777" w:rsidR="003D3A9D" w:rsidRPr="00D05364" w:rsidRDefault="00000000" w:rsidP="003D3A9D">
            <w:sdt>
              <w:sdtPr>
                <w:rPr>
                  <w:rStyle w:val="Style2"/>
                </w:rPr>
                <w:id w:val="-366596377"/>
                <w15:color w:val="FFCC00"/>
                <w14:checkbox>
                  <w14:checked w14:val="1"/>
                  <w14:checkedState w14:val="2612" w14:font="MS Gothic"/>
                  <w14:uncheckedState w14:val="2610" w14:font="MS Gothic"/>
                </w14:checkbox>
              </w:sdtPr>
              <w:sdtContent>
                <w:r w:rsidR="003D3A9D">
                  <w:rPr>
                    <w:rStyle w:val="Style2"/>
                    <w:rFonts w:ascii="MS Gothic" w:eastAsia="MS Gothic" w:hAnsi="MS Gothic" w:hint="eastAsia"/>
                  </w:rPr>
                  <w:t>☒</w:t>
                </w:r>
              </w:sdtContent>
            </w:sdt>
            <w:r w:rsidR="003D3A9D" w:rsidRPr="00D05364">
              <w:t xml:space="preserve"> 8.3 str. (pilna byla, pagrįsta savais tyrimais) </w:t>
            </w:r>
          </w:p>
          <w:p w14:paraId="265E0586" w14:textId="77777777" w:rsidR="003D3A9D" w:rsidRPr="00D05364" w:rsidRDefault="00000000" w:rsidP="003D3A9D">
            <w:sdt>
              <w:sdtPr>
                <w:rPr>
                  <w:rStyle w:val="Style2"/>
                </w:rPr>
                <w:id w:val="675462298"/>
                <w15:color w:val="FFCC00"/>
                <w14:checkbox>
                  <w14:checked w14:val="0"/>
                  <w14:checkedState w14:val="2612" w14:font="MS Gothic"/>
                  <w14:uncheckedState w14:val="2610" w14:font="MS Gothic"/>
                </w14:checkbox>
              </w:sdtPr>
              <w:sdtContent>
                <w:r w:rsidR="003D3A9D" w:rsidRPr="00D05364">
                  <w:rPr>
                    <w:rStyle w:val="Style2"/>
                    <w:rFonts w:ascii="Segoe UI Symbol" w:eastAsia="MS Gothic" w:hAnsi="Segoe UI Symbol" w:cs="Segoe UI Symbol"/>
                  </w:rPr>
                  <w:t>☐</w:t>
                </w:r>
              </w:sdtContent>
            </w:sdt>
            <w:r w:rsidR="003D3A9D" w:rsidRPr="00D05364">
              <w:t xml:space="preserve"> 10 a str. (pripažintas medicininis vartojimas) </w:t>
            </w:r>
          </w:p>
          <w:p w14:paraId="0006A61F" w14:textId="77777777" w:rsidR="003D3A9D" w:rsidRPr="00D05364" w:rsidRDefault="00000000" w:rsidP="003D3A9D">
            <w:sdt>
              <w:sdtPr>
                <w:rPr>
                  <w:rStyle w:val="Style2"/>
                </w:rPr>
                <w:id w:val="-1290435890"/>
                <w15:color w:val="FFCC00"/>
                <w14:checkbox>
                  <w14:checked w14:val="0"/>
                  <w14:checkedState w14:val="2612" w14:font="MS Gothic"/>
                  <w14:uncheckedState w14:val="2610" w14:font="MS Gothic"/>
                </w14:checkbox>
              </w:sdtPr>
              <w:sdtContent>
                <w:r w:rsidR="003D3A9D" w:rsidRPr="00D05364">
                  <w:rPr>
                    <w:rStyle w:val="Style2"/>
                    <w:rFonts w:ascii="MS Gothic" w:eastAsia="MS Gothic" w:hAnsi="MS Gothic" w:hint="eastAsia"/>
                  </w:rPr>
                  <w:t>☐</w:t>
                </w:r>
              </w:sdtContent>
            </w:sdt>
            <w:r w:rsidR="003D3A9D" w:rsidRPr="00D05364">
              <w:t xml:space="preserve"> 10.1 str. (generinis)</w:t>
            </w:r>
          </w:p>
          <w:p w14:paraId="3B0A4F72" w14:textId="1A1FAED5" w:rsidR="003D3A9D" w:rsidRPr="00E33EFF" w:rsidRDefault="00000000" w:rsidP="003D3A9D">
            <w:pPr>
              <w:rPr>
                <w:rStyle w:val="Style2"/>
                <w:sz w:val="24"/>
              </w:rPr>
            </w:pPr>
            <w:sdt>
              <w:sdtPr>
                <w:rPr>
                  <w:rStyle w:val="Style2"/>
                </w:rPr>
                <w:id w:val="-124545030"/>
                <w15:color w:val="FFCC00"/>
                <w14:checkbox>
                  <w14:checked w14:val="0"/>
                  <w14:checkedState w14:val="2612" w14:font="MS Gothic"/>
                  <w14:uncheckedState w14:val="2610" w14:font="MS Gothic"/>
                </w14:checkbox>
              </w:sdtPr>
              <w:sdtContent>
                <w:r w:rsidR="003D3A9D" w:rsidRPr="00D05364">
                  <w:rPr>
                    <w:rStyle w:val="Style2"/>
                    <w:rFonts w:ascii="Segoe UI Symbol" w:eastAsia="MS Gothic" w:hAnsi="Segoe UI Symbol" w:cs="Segoe UI Symbol"/>
                  </w:rPr>
                  <w:t>☐</w:t>
                </w:r>
              </w:sdtContent>
            </w:sdt>
            <w:r w:rsidR="003D3A9D" w:rsidRPr="00D05364">
              <w:t xml:space="preserve"> 10.3 str. (hibridinis)</w:t>
            </w:r>
          </w:p>
        </w:tc>
      </w:tr>
      <w:tr w:rsidR="003D3A9D" w:rsidRPr="00E33EFF" w14:paraId="310E9662" w14:textId="77777777" w:rsidTr="00BE7489">
        <w:trPr>
          <w:trHeight w:val="1442"/>
        </w:trPr>
        <w:tc>
          <w:tcPr>
            <w:tcW w:w="632" w:type="dxa"/>
          </w:tcPr>
          <w:p w14:paraId="4B5A91A2" w14:textId="561B5E5F" w:rsidR="003D3A9D" w:rsidRPr="00E33EFF" w:rsidRDefault="003D3A9D" w:rsidP="003D3A9D">
            <w:pPr>
              <w:rPr>
                <w:rFonts w:eastAsia="Arial"/>
              </w:rPr>
            </w:pPr>
            <w:r w:rsidRPr="00E33EFF">
              <w:rPr>
                <w:rFonts w:eastAsia="Arial"/>
              </w:rPr>
              <w:t>1.4</w:t>
            </w:r>
          </w:p>
        </w:tc>
        <w:tc>
          <w:tcPr>
            <w:tcW w:w="3694" w:type="dxa"/>
          </w:tcPr>
          <w:p w14:paraId="6C91E105" w14:textId="77777777" w:rsidR="003D3A9D" w:rsidRPr="00E33EFF" w:rsidRDefault="003D3A9D" w:rsidP="003D3A9D">
            <w:pPr>
              <w:rPr>
                <w:bCs/>
                <w:color w:val="000000"/>
                <w:lang w:eastAsia="lt-LT"/>
              </w:rPr>
            </w:pPr>
            <w:r w:rsidRPr="00E33EFF">
              <w:rPr>
                <w:bCs/>
                <w:color w:val="000000"/>
                <w:lang w:eastAsia="lt-LT"/>
              </w:rPr>
              <w:t xml:space="preserve">Ar vaistinis preparatas įrašytas į Bendrijos retųjų vaistinių preparatų registrą? </w:t>
            </w:r>
          </w:p>
          <w:p w14:paraId="483071A3" w14:textId="2FEB27F0" w:rsidR="003D3A9D" w:rsidRPr="00E33EFF" w:rsidRDefault="003D3A9D" w:rsidP="003D3A9D">
            <w:pPr>
              <w:rPr>
                <w:bCs/>
                <w:color w:val="000000"/>
                <w:lang w:eastAsia="lt-LT"/>
              </w:rPr>
            </w:pPr>
          </w:p>
        </w:tc>
        <w:tc>
          <w:tcPr>
            <w:tcW w:w="5167" w:type="dxa"/>
          </w:tcPr>
          <w:p w14:paraId="547FBA1D" w14:textId="77777777" w:rsidR="003D3A9D" w:rsidRPr="00D05364" w:rsidRDefault="00000000" w:rsidP="003D3A9D">
            <w:sdt>
              <w:sdtPr>
                <w:rPr>
                  <w:rStyle w:val="Style2"/>
                </w:rPr>
                <w:id w:val="2024432173"/>
                <w15:color w:val="FFCC00"/>
                <w14:checkbox>
                  <w14:checked w14:val="1"/>
                  <w14:checkedState w14:val="2612" w14:font="MS Gothic"/>
                  <w14:uncheckedState w14:val="2610" w14:font="MS Gothic"/>
                </w14:checkbox>
              </w:sdtPr>
              <w:sdtContent>
                <w:r w:rsidR="003D3A9D">
                  <w:rPr>
                    <w:rStyle w:val="Style2"/>
                    <w:rFonts w:ascii="MS Gothic" w:eastAsia="MS Gothic" w:hAnsi="MS Gothic" w:hint="eastAsia"/>
                  </w:rPr>
                  <w:t>☒</w:t>
                </w:r>
              </w:sdtContent>
            </w:sdt>
            <w:r w:rsidR="003D3A9D" w:rsidRPr="00D05364">
              <w:t xml:space="preserve"> Taip</w:t>
            </w:r>
          </w:p>
          <w:p w14:paraId="4313DB9A" w14:textId="77777777" w:rsidR="003D3A9D" w:rsidRPr="00D05364" w:rsidRDefault="00000000" w:rsidP="003D3A9D">
            <w:sdt>
              <w:sdtPr>
                <w:rPr>
                  <w:rStyle w:val="Style2"/>
                </w:rPr>
                <w:id w:val="-970507926"/>
                <w15:color w:val="FFCC00"/>
                <w14:checkbox>
                  <w14:checked w14:val="0"/>
                  <w14:checkedState w14:val="2612" w14:font="MS Gothic"/>
                  <w14:uncheckedState w14:val="2610" w14:font="MS Gothic"/>
                </w14:checkbox>
              </w:sdtPr>
              <w:sdtContent>
                <w:r w:rsidR="003D3A9D">
                  <w:rPr>
                    <w:rStyle w:val="Style2"/>
                    <w:rFonts w:ascii="MS Gothic" w:eastAsia="MS Gothic" w:hAnsi="MS Gothic" w:hint="eastAsia"/>
                  </w:rPr>
                  <w:t>☐</w:t>
                </w:r>
              </w:sdtContent>
            </w:sdt>
            <w:r w:rsidR="003D3A9D" w:rsidRPr="00D05364">
              <w:t xml:space="preserve"> Ne</w:t>
            </w:r>
          </w:p>
          <w:p w14:paraId="6BDC8074" w14:textId="77777777" w:rsidR="003D3A9D" w:rsidRDefault="00000000" w:rsidP="003D3A9D">
            <w:sdt>
              <w:sdtPr>
                <w:alias w:val="Nurodykite konkrečią dieną"/>
                <w:tag w:val="Nurodykite pradžios datą"/>
                <w:id w:val="693498901"/>
                <w:placeholder>
                  <w:docPart w:val="6FF6573923764ED29D32A8F0CB837E97"/>
                </w:placeholder>
                <w15:color w:val="FFCC99"/>
                <w:date w:fullDate="2016-05-24T00:00:00Z">
                  <w:dateFormat w:val="yyyy 'm.' MMMM d 'd.'"/>
                  <w:lid w:val="lt-LT"/>
                  <w:storeMappedDataAs w:val="dateTime"/>
                  <w:calendar w:val="gregorian"/>
                </w:date>
              </w:sdtPr>
              <w:sdtContent>
                <w:r w:rsidR="003D3A9D">
                  <w:t>2016 m. gegužės 24 d.</w:t>
                </w:r>
              </w:sdtContent>
            </w:sdt>
          </w:p>
          <w:p w14:paraId="0538D65C" w14:textId="77777777" w:rsidR="003D3A9D" w:rsidRDefault="003D3A9D" w:rsidP="003D3A9D"/>
          <w:p w14:paraId="29C2CBBB" w14:textId="70843068" w:rsidR="003D3A9D" w:rsidRPr="00E33EFF" w:rsidRDefault="003D3A9D" w:rsidP="003D3A9D">
            <w:pPr>
              <w:rPr>
                <w:rFonts w:eastAsia="Arial"/>
              </w:rPr>
            </w:pPr>
            <w:r w:rsidRPr="00DE727D">
              <w:rPr>
                <w:rFonts w:eastAsia="Arial"/>
              </w:rPr>
              <w:t>EU/3/13/1153</w:t>
            </w:r>
          </w:p>
        </w:tc>
      </w:tr>
      <w:tr w:rsidR="00D417D2" w:rsidRPr="00E33EFF" w14:paraId="7841E5F8" w14:textId="77777777" w:rsidTr="00BE7489">
        <w:trPr>
          <w:trHeight w:val="476"/>
        </w:trPr>
        <w:tc>
          <w:tcPr>
            <w:tcW w:w="632" w:type="dxa"/>
          </w:tcPr>
          <w:p w14:paraId="109D2861" w14:textId="73BF27DF" w:rsidR="00D417D2" w:rsidRPr="00E33EFF" w:rsidRDefault="00D417D2" w:rsidP="00824B92">
            <w:pPr>
              <w:rPr>
                <w:rFonts w:eastAsia="Arial"/>
              </w:rPr>
            </w:pPr>
            <w:r w:rsidRPr="00E33EFF">
              <w:rPr>
                <w:rFonts w:eastAsia="Arial"/>
              </w:rPr>
              <w:t>1.5</w:t>
            </w:r>
          </w:p>
        </w:tc>
        <w:tc>
          <w:tcPr>
            <w:tcW w:w="3694" w:type="dxa"/>
          </w:tcPr>
          <w:p w14:paraId="7822D63E" w14:textId="68C38334" w:rsidR="00D417D2" w:rsidRPr="00E33EFF" w:rsidRDefault="00D417D2" w:rsidP="00824B92">
            <w:pPr>
              <w:rPr>
                <w:bCs/>
                <w:color w:val="000000"/>
                <w:lang w:eastAsia="lt-LT"/>
              </w:rPr>
            </w:pPr>
            <w:r w:rsidRPr="00E33EFF">
              <w:t>STV paraiškos pobūdis</w:t>
            </w:r>
          </w:p>
        </w:tc>
        <w:tc>
          <w:tcPr>
            <w:tcW w:w="5167" w:type="dxa"/>
          </w:tcPr>
          <w:p w14:paraId="403461B9" w14:textId="68A37216" w:rsidR="00D417D2" w:rsidRPr="00E33EFF"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3D1877">
                  <w:rPr>
                    <w:rStyle w:val="Style2"/>
                    <w:rFonts w:ascii="MS Gothic" w:eastAsia="MS Gothic" w:hAnsi="MS Gothic" w:hint="eastAsia"/>
                    <w:sz w:val="24"/>
                  </w:rPr>
                  <w:t>☒</w:t>
                </w:r>
              </w:sdtContent>
            </w:sdt>
            <w:r w:rsidR="00D417D2" w:rsidRPr="00E33EFF">
              <w:t xml:space="preserve"> Pilna paraiška</w:t>
            </w:r>
          </w:p>
          <w:p w14:paraId="6B8213E3" w14:textId="3495CDF4" w:rsidR="00D417D2" w:rsidRPr="00E33EFF"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E33EFF">
                  <w:rPr>
                    <w:rStyle w:val="Style2"/>
                    <w:rFonts w:ascii="MS Gothic" w:eastAsia="MS Gothic" w:hAnsi="MS Gothic" w:hint="eastAsia"/>
                    <w:sz w:val="24"/>
                  </w:rPr>
                  <w:t>☐</w:t>
                </w:r>
              </w:sdtContent>
            </w:sdt>
            <w:r w:rsidR="00D417D2" w:rsidRPr="00E33EFF">
              <w:t xml:space="preserve"> Supaprastinta paraiška</w:t>
            </w:r>
          </w:p>
        </w:tc>
      </w:tr>
      <w:tr w:rsidR="00B13D65" w:rsidRPr="00E33EFF" w14:paraId="274D1DAF" w14:textId="77777777" w:rsidTr="00BE7489">
        <w:trPr>
          <w:trHeight w:val="1922"/>
        </w:trPr>
        <w:tc>
          <w:tcPr>
            <w:tcW w:w="632" w:type="dxa"/>
          </w:tcPr>
          <w:p w14:paraId="17ABF217" w14:textId="14AC00D7" w:rsidR="00B13D65" w:rsidRPr="00E33EFF" w:rsidRDefault="00B13D65" w:rsidP="00824B92">
            <w:pPr>
              <w:rPr>
                <w:rFonts w:eastAsia="Arial"/>
              </w:rPr>
            </w:pPr>
            <w:r w:rsidRPr="00E33EFF">
              <w:rPr>
                <w:rFonts w:eastAsia="Arial"/>
              </w:rPr>
              <w:lastRenderedPageBreak/>
              <w:t>1.</w:t>
            </w:r>
            <w:r w:rsidR="00D417D2" w:rsidRPr="00E33EFF">
              <w:rPr>
                <w:rFonts w:eastAsia="Arial"/>
              </w:rPr>
              <w:t>6</w:t>
            </w:r>
          </w:p>
        </w:tc>
        <w:tc>
          <w:tcPr>
            <w:tcW w:w="3694" w:type="dxa"/>
          </w:tcPr>
          <w:p w14:paraId="150C5C6F" w14:textId="663562A3" w:rsidR="00D970E4" w:rsidRDefault="00DE4484" w:rsidP="00824B92">
            <w:pPr>
              <w:rPr>
                <w:bCs/>
                <w:color w:val="000000"/>
                <w:lang w:eastAsia="lt-LT"/>
              </w:rPr>
            </w:pPr>
            <w:r w:rsidRPr="00E33EFF">
              <w:rPr>
                <w:bCs/>
                <w:color w:val="000000"/>
                <w:lang w:eastAsia="lt-LT"/>
              </w:rPr>
              <w:t>Par</w:t>
            </w:r>
            <w:r w:rsidR="007656B2" w:rsidRPr="00E33EFF">
              <w:rPr>
                <w:bCs/>
                <w:color w:val="000000"/>
                <w:lang w:eastAsia="lt-LT"/>
              </w:rPr>
              <w:t>eiškėjo t</w:t>
            </w:r>
            <w:r w:rsidR="00B13D65" w:rsidRPr="00E33EFF">
              <w:rPr>
                <w:bCs/>
                <w:color w:val="000000"/>
                <w:lang w:eastAsia="lt-LT"/>
              </w:rPr>
              <w:t>eikiama (-os) kompensuoti vaistinio preparato indikacija (-os)</w:t>
            </w:r>
          </w:p>
          <w:p w14:paraId="2915FC54" w14:textId="2A59B090" w:rsidR="00A4366E" w:rsidRDefault="00A4366E" w:rsidP="00824B92">
            <w:pPr>
              <w:rPr>
                <w:bCs/>
                <w:color w:val="000000"/>
                <w:lang w:eastAsia="lt-LT"/>
              </w:rPr>
            </w:pPr>
          </w:p>
          <w:p w14:paraId="3A6B054C" w14:textId="77777777" w:rsidR="00AE1322" w:rsidRDefault="00AE1322" w:rsidP="00824B92">
            <w:pPr>
              <w:rPr>
                <w:bCs/>
                <w:color w:val="000000"/>
                <w:lang w:eastAsia="lt-LT"/>
              </w:rPr>
            </w:pPr>
          </w:p>
          <w:p w14:paraId="6B4FEEC1" w14:textId="378668B0" w:rsidR="00B13D65" w:rsidRPr="00E33EFF" w:rsidRDefault="007656B2" w:rsidP="00824B92">
            <w:pPr>
              <w:rPr>
                <w:bCs/>
                <w:color w:val="000000"/>
                <w:lang w:eastAsia="lt-LT"/>
              </w:rPr>
            </w:pPr>
            <w:r w:rsidRPr="00E33EFF">
              <w:rPr>
                <w:bCs/>
                <w:color w:val="000000"/>
                <w:lang w:eastAsia="lt-LT"/>
              </w:rPr>
              <w:t>K</w:t>
            </w:r>
            <w:r w:rsidR="00B13D65" w:rsidRPr="00E33EFF">
              <w:rPr>
                <w:bCs/>
                <w:color w:val="000000"/>
                <w:lang w:eastAsia="lt-LT"/>
              </w:rPr>
              <w:t>odas</w:t>
            </w:r>
            <w:r w:rsidRPr="00E33EFF">
              <w:rPr>
                <w:bCs/>
                <w:color w:val="000000"/>
                <w:lang w:eastAsia="lt-LT"/>
              </w:rPr>
              <w:t xml:space="preserve"> pagal TLK-10 AM</w:t>
            </w:r>
          </w:p>
        </w:tc>
        <w:tc>
          <w:tcPr>
            <w:tcW w:w="5167" w:type="dxa"/>
          </w:tcPr>
          <w:p w14:paraId="2F4EAFB3" w14:textId="77777777" w:rsidR="00A4366E" w:rsidRPr="001E2231" w:rsidRDefault="00A4366E" w:rsidP="00A4366E">
            <w:pPr>
              <w:spacing w:after="120"/>
              <w:jc w:val="both"/>
            </w:pPr>
            <w:r>
              <w:t xml:space="preserve">DARZALEX yra skirtas </w:t>
            </w:r>
            <w:r w:rsidRPr="005D0A16">
              <w:t>derinyje su bortezomibu, talidomidu ir deksametazonu gydymui suaugusiems pacientams, kuriems naujai buvo diagnozuota daugybinė mieloma ir kuriems tinka autologinė kamieninių ląstelių transplantacija</w:t>
            </w:r>
            <w:r w:rsidRPr="001E2231">
              <w:t>.</w:t>
            </w:r>
          </w:p>
          <w:p w14:paraId="13F7DFB0" w14:textId="0715D349" w:rsidR="00B13D65" w:rsidRPr="00E33EFF" w:rsidRDefault="00A4366E" w:rsidP="00A4366E">
            <w:pPr>
              <w:pStyle w:val="Sraopastraipa"/>
              <w:spacing w:after="120" w:line="276" w:lineRule="auto"/>
              <w:ind w:left="0"/>
              <w:contextualSpacing w:val="0"/>
              <w:jc w:val="both"/>
            </w:pPr>
            <w:r>
              <w:t>C90</w:t>
            </w:r>
          </w:p>
        </w:tc>
      </w:tr>
      <w:tr w:rsidR="00B13D65" w:rsidRPr="00E33EFF" w14:paraId="2F79DC08" w14:textId="77777777" w:rsidTr="00BE7489">
        <w:trPr>
          <w:trHeight w:val="378"/>
        </w:trPr>
        <w:tc>
          <w:tcPr>
            <w:tcW w:w="632" w:type="dxa"/>
          </w:tcPr>
          <w:p w14:paraId="547885A2" w14:textId="08AA8055" w:rsidR="00B13D65" w:rsidRPr="00E33EFF" w:rsidRDefault="00B13D65" w:rsidP="00824B92">
            <w:pPr>
              <w:rPr>
                <w:rFonts w:eastAsia="Arial"/>
              </w:rPr>
            </w:pPr>
            <w:r w:rsidRPr="00E33EFF">
              <w:rPr>
                <w:rFonts w:eastAsia="Arial"/>
              </w:rPr>
              <w:t>1.</w:t>
            </w:r>
            <w:r w:rsidR="002E0702" w:rsidRPr="00E33EFF">
              <w:rPr>
                <w:rFonts w:eastAsia="Arial"/>
              </w:rPr>
              <w:t>6</w:t>
            </w:r>
          </w:p>
        </w:tc>
        <w:tc>
          <w:tcPr>
            <w:tcW w:w="3694" w:type="dxa"/>
          </w:tcPr>
          <w:p w14:paraId="2EAB877F" w14:textId="39A36941" w:rsidR="00B13D65" w:rsidRPr="00E33EFF" w:rsidRDefault="007656B2" w:rsidP="00824B92">
            <w:pPr>
              <w:rPr>
                <w:bCs/>
                <w:color w:val="000000"/>
                <w:u w:val="single"/>
                <w:lang w:eastAsia="lt-LT"/>
              </w:rPr>
            </w:pPr>
            <w:r w:rsidRPr="00E33EFF">
              <w:rPr>
                <w:bCs/>
                <w:color w:val="000000"/>
                <w:lang w:eastAsia="lt-LT"/>
              </w:rPr>
              <w:t>Pareiškėjo t</w:t>
            </w:r>
            <w:r w:rsidR="00B13D65" w:rsidRPr="00E33EFF">
              <w:rPr>
                <w:bCs/>
                <w:color w:val="000000"/>
                <w:lang w:eastAsia="lt-LT"/>
              </w:rPr>
              <w:t>eikiamos skyrimo sąlygos</w:t>
            </w:r>
            <w:r w:rsidR="005B3756" w:rsidRPr="00E33EFF">
              <w:rPr>
                <w:bCs/>
                <w:color w:val="000000"/>
                <w:lang w:eastAsia="lt-LT"/>
              </w:rPr>
              <w:t xml:space="preserve"> </w:t>
            </w:r>
          </w:p>
        </w:tc>
        <w:tc>
          <w:tcPr>
            <w:tcW w:w="5167" w:type="dxa"/>
          </w:tcPr>
          <w:p w14:paraId="0579DF58" w14:textId="4B155348" w:rsidR="00B13D65" w:rsidRPr="00E33EFF" w:rsidRDefault="0047414A" w:rsidP="00824B92">
            <w:r>
              <w:t>Neteikiamos</w:t>
            </w:r>
          </w:p>
        </w:tc>
      </w:tr>
      <w:tr w:rsidR="00B13D65" w:rsidRPr="00E33EFF" w14:paraId="3B125269" w14:textId="77777777" w:rsidTr="00BE7489">
        <w:trPr>
          <w:trHeight w:val="378"/>
        </w:trPr>
        <w:tc>
          <w:tcPr>
            <w:tcW w:w="632" w:type="dxa"/>
          </w:tcPr>
          <w:p w14:paraId="0058E11F" w14:textId="77777777" w:rsidR="00B13D65" w:rsidRPr="00E33EFF" w:rsidRDefault="00B13D65" w:rsidP="00824B92">
            <w:pPr>
              <w:rPr>
                <w:rFonts w:eastAsia="Arial"/>
              </w:rPr>
            </w:pPr>
            <w:r w:rsidRPr="00E33EFF">
              <w:rPr>
                <w:rFonts w:eastAsia="Arial"/>
              </w:rPr>
              <w:t>1.7</w:t>
            </w:r>
          </w:p>
        </w:tc>
        <w:tc>
          <w:tcPr>
            <w:tcW w:w="3694" w:type="dxa"/>
          </w:tcPr>
          <w:p w14:paraId="738E1926" w14:textId="50A9DC79" w:rsidR="00B13D65" w:rsidRDefault="007656B2" w:rsidP="00824B92">
            <w:pPr>
              <w:rPr>
                <w:bCs/>
                <w:color w:val="000000"/>
                <w:lang w:eastAsia="lt-LT"/>
              </w:rPr>
            </w:pPr>
            <w:r w:rsidRPr="00E33EFF">
              <w:rPr>
                <w:bCs/>
                <w:color w:val="000000"/>
                <w:lang w:eastAsia="lt-LT"/>
              </w:rPr>
              <w:t>Pareiškėjo teikiamas p</w:t>
            </w:r>
            <w:r w:rsidR="00B13D65" w:rsidRPr="00E33EFF">
              <w:rPr>
                <w:bCs/>
                <w:color w:val="000000"/>
                <w:lang w:eastAsia="lt-LT"/>
              </w:rPr>
              <w:t>alyginamasis</w:t>
            </w:r>
            <w:r w:rsidR="005B3756" w:rsidRPr="00E33EFF">
              <w:rPr>
                <w:bCs/>
                <w:color w:val="000000"/>
                <w:lang w:eastAsia="lt-LT"/>
              </w:rPr>
              <w:t xml:space="preserve"> </w:t>
            </w:r>
            <w:r w:rsidR="00B13D65" w:rsidRPr="00E33EFF">
              <w:rPr>
                <w:bCs/>
                <w:color w:val="000000"/>
                <w:lang w:eastAsia="lt-LT"/>
              </w:rPr>
              <w:t>gydymas</w:t>
            </w:r>
            <w:r w:rsidR="0047414A">
              <w:rPr>
                <w:bCs/>
                <w:color w:val="000000"/>
                <w:lang w:eastAsia="lt-LT"/>
              </w:rPr>
              <w:t>:</w:t>
            </w:r>
            <w:r w:rsidR="00B13D65" w:rsidRPr="00E33EFF">
              <w:rPr>
                <w:bCs/>
                <w:color w:val="000000"/>
                <w:lang w:eastAsia="lt-LT"/>
              </w:rPr>
              <w:t xml:space="preserve"> </w:t>
            </w:r>
          </w:p>
          <w:p w14:paraId="1F7BF92F" w14:textId="6E3AE3A9" w:rsidR="007C7519" w:rsidRDefault="007C7519" w:rsidP="00824B92">
            <w:pPr>
              <w:rPr>
                <w:bCs/>
                <w:i/>
                <w:color w:val="000000"/>
                <w:lang w:eastAsia="lt-LT"/>
              </w:rPr>
            </w:pPr>
            <w:r w:rsidRPr="007C7519">
              <w:rPr>
                <w:bCs/>
                <w:i/>
                <w:color w:val="000000"/>
                <w:lang w:eastAsia="lt-LT"/>
              </w:rPr>
              <w:t>Tiesioginis</w:t>
            </w:r>
          </w:p>
          <w:p w14:paraId="643CC07B" w14:textId="2D7C9848" w:rsidR="00D970E4" w:rsidRDefault="00D970E4" w:rsidP="00824B92">
            <w:pPr>
              <w:rPr>
                <w:bCs/>
                <w:i/>
                <w:color w:val="000000"/>
                <w:lang w:eastAsia="lt-LT"/>
              </w:rPr>
            </w:pPr>
          </w:p>
          <w:p w14:paraId="62057D94" w14:textId="77777777" w:rsidR="00413F24" w:rsidRPr="00E33EFF" w:rsidRDefault="00413F24" w:rsidP="00824B92">
            <w:pPr>
              <w:rPr>
                <w:bCs/>
                <w:color w:val="000000"/>
                <w:lang w:eastAsia="lt-LT"/>
              </w:rPr>
            </w:pPr>
          </w:p>
          <w:p w14:paraId="6CC1022E" w14:textId="2B6BCEE1" w:rsidR="009F4D66" w:rsidRPr="00E33EFF" w:rsidRDefault="009F4D66" w:rsidP="00824B92">
            <w:pPr>
              <w:rPr>
                <w:bCs/>
                <w:color w:val="000000"/>
                <w:lang w:eastAsia="lt-LT"/>
              </w:rPr>
            </w:pPr>
          </w:p>
        </w:tc>
        <w:tc>
          <w:tcPr>
            <w:tcW w:w="5167" w:type="dxa"/>
          </w:tcPr>
          <w:p w14:paraId="3E389C70" w14:textId="22AFFC76" w:rsidR="0047414A" w:rsidRDefault="0047414A" w:rsidP="00824B92">
            <w:pPr>
              <w:rPr>
                <w:rStyle w:val="Style2"/>
                <w:sz w:val="24"/>
              </w:rPr>
            </w:pPr>
          </w:p>
          <w:p w14:paraId="0AC43073" w14:textId="77777777" w:rsidR="00D970E4" w:rsidRPr="00E33EFF" w:rsidRDefault="00D970E4" w:rsidP="00D970E4"/>
          <w:p w14:paraId="2383573D" w14:textId="24E09F78" w:rsidR="00D970E4" w:rsidRPr="00E33EFF" w:rsidRDefault="00000000" w:rsidP="00D970E4">
            <w:sdt>
              <w:sdtPr>
                <w:rPr>
                  <w:rStyle w:val="Style2"/>
                  <w:sz w:val="24"/>
                </w:rPr>
                <w:id w:val="-439376113"/>
                <w15:color w:val="FFCC00"/>
                <w14:checkbox>
                  <w14:checked w14:val="1"/>
                  <w14:checkedState w14:val="2612" w14:font="MS Gothic"/>
                  <w14:uncheckedState w14:val="2610" w14:font="MS Gothic"/>
                </w14:checkbox>
              </w:sdtPr>
              <w:sdtContent>
                <w:r w:rsidR="003C43CC">
                  <w:rPr>
                    <w:rStyle w:val="Style2"/>
                    <w:rFonts w:ascii="MS Gothic" w:eastAsia="MS Gothic" w:hAnsi="MS Gothic" w:hint="eastAsia"/>
                    <w:sz w:val="24"/>
                  </w:rPr>
                  <w:t>☒</w:t>
                </w:r>
              </w:sdtContent>
            </w:sdt>
            <w:r w:rsidR="00D970E4" w:rsidRPr="00E33EFF">
              <w:t xml:space="preserve"> Tinkamas</w:t>
            </w:r>
          </w:p>
          <w:p w14:paraId="5474EFC4" w14:textId="2185E622" w:rsidR="0047414A" w:rsidRDefault="00000000" w:rsidP="00D970E4">
            <w:pPr>
              <w:rPr>
                <w:rStyle w:val="Style2"/>
                <w:sz w:val="24"/>
              </w:rPr>
            </w:pPr>
            <w:sdt>
              <w:sdtPr>
                <w:rPr>
                  <w:rStyle w:val="Style2"/>
                  <w:sz w:val="24"/>
                </w:rPr>
                <w:id w:val="991603600"/>
                <w15:color w:val="FFCC00"/>
                <w14:checkbox>
                  <w14:checked w14:val="0"/>
                  <w14:checkedState w14:val="2612" w14:font="MS Gothic"/>
                  <w14:uncheckedState w14:val="2610" w14:font="MS Gothic"/>
                </w14:checkbox>
              </w:sdtPr>
              <w:sdtContent>
                <w:r w:rsidR="003C43CC">
                  <w:rPr>
                    <w:rStyle w:val="Style2"/>
                    <w:rFonts w:ascii="MS Gothic" w:eastAsia="MS Gothic" w:hAnsi="MS Gothic" w:hint="eastAsia"/>
                    <w:sz w:val="24"/>
                  </w:rPr>
                  <w:t>☐</w:t>
                </w:r>
              </w:sdtContent>
            </w:sdt>
            <w:r w:rsidR="00D970E4" w:rsidRPr="00E33EFF">
              <w:t xml:space="preserve"> Netinkama</w:t>
            </w:r>
            <w:r w:rsidR="00D970E4">
              <w:t>s</w:t>
            </w:r>
          </w:p>
          <w:p w14:paraId="41B44044" w14:textId="7CC78EBA" w:rsidR="00B13D65" w:rsidRPr="00E33EFF" w:rsidRDefault="00B13D65" w:rsidP="00824B92"/>
        </w:tc>
      </w:tr>
    </w:tbl>
    <w:p w14:paraId="108176F7" w14:textId="640C6F75" w:rsidR="00F70C9E" w:rsidRPr="00E33EFF" w:rsidRDefault="00F70C9E" w:rsidP="00E03C3F">
      <w:pPr>
        <w:pStyle w:val="Sraopastraipa"/>
        <w:tabs>
          <w:tab w:val="left" w:pos="426"/>
        </w:tabs>
        <w:ind w:left="0"/>
        <w:rPr>
          <w:b/>
          <w:bCs/>
          <w:caps/>
        </w:rPr>
      </w:pPr>
    </w:p>
    <w:p w14:paraId="2871CA7F" w14:textId="2370BDDB" w:rsidR="00F70C9E" w:rsidRPr="00E33EFF" w:rsidRDefault="00F70C9E" w:rsidP="00880A44">
      <w:pPr>
        <w:spacing w:line="276" w:lineRule="auto"/>
        <w:jc w:val="both"/>
        <w:rPr>
          <w:rFonts w:eastAsia="Arial"/>
          <w:b/>
        </w:rPr>
      </w:pPr>
      <w:r w:rsidRPr="00E33EFF">
        <w:rPr>
          <w:rFonts w:eastAsia="Arial"/>
          <w:b/>
        </w:rPr>
        <w:t xml:space="preserve">1.8 Kitų </w:t>
      </w:r>
      <w:r w:rsidR="00DF583C" w:rsidRPr="00E33EFF">
        <w:rPr>
          <w:rFonts w:eastAsia="Arial"/>
          <w:b/>
        </w:rPr>
        <w:t xml:space="preserve">valstybių </w:t>
      </w:r>
      <w:r w:rsidRPr="00E33EFF">
        <w:rPr>
          <w:rFonts w:eastAsia="Arial"/>
          <w:b/>
        </w:rPr>
        <w:t xml:space="preserve">atsakingų institucijų atlikto </w:t>
      </w:r>
      <w:r w:rsidR="00DF583C" w:rsidRPr="00E33EFF">
        <w:rPr>
          <w:rFonts w:eastAsia="Arial"/>
          <w:b/>
        </w:rPr>
        <w:t>Sveikatos technologijų vertinimo (toliau – STV)</w:t>
      </w:r>
      <w:r w:rsidRPr="00E33EFF">
        <w:rPr>
          <w:rFonts w:eastAsia="Arial"/>
          <w:b/>
        </w:rPr>
        <w:t xml:space="preserve"> išvados</w:t>
      </w:r>
    </w:p>
    <w:p w14:paraId="30721FDD" w14:textId="77777777" w:rsidR="00F70C9E" w:rsidRPr="00E33EFF" w:rsidRDefault="00F70C9E" w:rsidP="00F70C9E">
      <w:pPr>
        <w:spacing w:line="276" w:lineRule="auto"/>
        <w:rPr>
          <w:rFonts w:eastAsia="Arial"/>
        </w:rPr>
      </w:pPr>
    </w:p>
    <w:tbl>
      <w:tblPr>
        <w:tblStyle w:val="Lentelstinklelis"/>
        <w:tblW w:w="0" w:type="auto"/>
        <w:tblLook w:val="04A0" w:firstRow="1" w:lastRow="0" w:firstColumn="1" w:lastColumn="0" w:noHBand="0" w:noVBand="1"/>
      </w:tblPr>
      <w:tblGrid>
        <w:gridCol w:w="2855"/>
        <w:gridCol w:w="1851"/>
        <w:gridCol w:w="2244"/>
        <w:gridCol w:w="2543"/>
      </w:tblGrid>
      <w:tr w:rsidR="00F70C9E" w:rsidRPr="00E33EFF" w14:paraId="7E72828B" w14:textId="77777777" w:rsidTr="00BE7489">
        <w:trPr>
          <w:trHeight w:val="924"/>
        </w:trPr>
        <w:tc>
          <w:tcPr>
            <w:tcW w:w="2855" w:type="dxa"/>
          </w:tcPr>
          <w:p w14:paraId="253D1DD4" w14:textId="5B2616C0" w:rsidR="00F70C9E" w:rsidRPr="00E33EFF" w:rsidRDefault="00F70C9E" w:rsidP="00824B92">
            <w:pPr>
              <w:rPr>
                <w:rFonts w:eastAsia="Arial"/>
              </w:rPr>
            </w:pPr>
            <w:r w:rsidRPr="00E33EFF">
              <w:rPr>
                <w:rFonts w:eastAsia="Arial"/>
              </w:rPr>
              <w:t>ST</w:t>
            </w:r>
            <w:r w:rsidR="00DF583C" w:rsidRPr="00E33EFF">
              <w:rPr>
                <w:rFonts w:eastAsia="Arial"/>
              </w:rPr>
              <w:t>V</w:t>
            </w:r>
            <w:r w:rsidRPr="00E33EFF">
              <w:rPr>
                <w:rFonts w:eastAsia="Arial"/>
              </w:rPr>
              <w:t xml:space="preserve"> agentūros pavadinimas, šalis</w:t>
            </w:r>
          </w:p>
        </w:tc>
        <w:tc>
          <w:tcPr>
            <w:tcW w:w="1851" w:type="dxa"/>
          </w:tcPr>
          <w:p w14:paraId="34AE1EDD" w14:textId="77777777" w:rsidR="00F70C9E" w:rsidRPr="00E33EFF" w:rsidRDefault="00F70C9E" w:rsidP="00824B92">
            <w:pPr>
              <w:rPr>
                <w:rFonts w:eastAsia="Arial"/>
              </w:rPr>
            </w:pPr>
            <w:r w:rsidRPr="00E33EFF">
              <w:rPr>
                <w:rFonts w:eastAsia="Arial"/>
              </w:rPr>
              <w:t>STV vertinimas atliktas</w:t>
            </w:r>
          </w:p>
        </w:tc>
        <w:tc>
          <w:tcPr>
            <w:tcW w:w="2244" w:type="dxa"/>
          </w:tcPr>
          <w:p w14:paraId="16E2DDC1" w14:textId="77777777" w:rsidR="00F70C9E" w:rsidRPr="00E33EFF" w:rsidRDefault="00F70C9E" w:rsidP="00824B92">
            <w:pPr>
              <w:rPr>
                <w:rFonts w:eastAsia="Arial"/>
              </w:rPr>
            </w:pPr>
            <w:r w:rsidRPr="00E33EFF">
              <w:rPr>
                <w:rFonts w:eastAsia="Arial"/>
              </w:rPr>
              <w:t>Klinikinio vertinimo išvada</w:t>
            </w:r>
          </w:p>
        </w:tc>
        <w:tc>
          <w:tcPr>
            <w:tcW w:w="2543" w:type="dxa"/>
          </w:tcPr>
          <w:p w14:paraId="1861E3F2" w14:textId="74803B5B" w:rsidR="00F70C9E" w:rsidRPr="00E33EFF" w:rsidRDefault="00F70C9E" w:rsidP="00824B92">
            <w:pPr>
              <w:rPr>
                <w:rFonts w:eastAsia="Arial"/>
              </w:rPr>
            </w:pPr>
            <w:r w:rsidRPr="00E33EFF">
              <w:rPr>
                <w:rFonts w:eastAsia="Arial"/>
              </w:rPr>
              <w:t>Farmako</w:t>
            </w:r>
            <w:r w:rsidR="00CA217D" w:rsidRPr="00E33EFF">
              <w:rPr>
                <w:rFonts w:eastAsia="Arial"/>
              </w:rPr>
              <w:t>e</w:t>
            </w:r>
            <w:r w:rsidR="00476256" w:rsidRPr="00E33EFF">
              <w:rPr>
                <w:rFonts w:eastAsia="Arial"/>
              </w:rPr>
              <w:t>ko</w:t>
            </w:r>
            <w:r w:rsidRPr="00E33EFF">
              <w:rPr>
                <w:rFonts w:eastAsia="Arial"/>
              </w:rPr>
              <w:t>nominio vertinimo išvada</w:t>
            </w:r>
          </w:p>
        </w:tc>
      </w:tr>
      <w:tr w:rsidR="001F0ADD" w:rsidRPr="00E33EFF" w14:paraId="129FA8F6" w14:textId="77777777" w:rsidTr="00BE7489">
        <w:trPr>
          <w:trHeight w:val="2267"/>
        </w:trPr>
        <w:tc>
          <w:tcPr>
            <w:tcW w:w="2855" w:type="dxa"/>
          </w:tcPr>
          <w:p w14:paraId="0A070137" w14:textId="77777777" w:rsidR="001F0ADD" w:rsidRPr="00E33EFF" w:rsidRDefault="001F0ADD" w:rsidP="001F0ADD">
            <w:pPr>
              <w:rPr>
                <w:bCs/>
              </w:rPr>
            </w:pPr>
            <w:r w:rsidRPr="00E33EFF">
              <w:rPr>
                <w:bCs/>
              </w:rPr>
              <w:t>Nacionalinis sveikatos ir klinikinės kompetencijos institutas, Didžioji Britanija</w:t>
            </w:r>
          </w:p>
          <w:p w14:paraId="49C6520D" w14:textId="77777777" w:rsidR="001F0ADD" w:rsidRPr="00E33EFF" w:rsidRDefault="001F0ADD" w:rsidP="001F0ADD">
            <w:pPr>
              <w:rPr>
                <w:rFonts w:eastAsia="Arial"/>
                <w:lang w:val="en-GB"/>
              </w:rPr>
            </w:pPr>
            <w:r w:rsidRPr="00E33EFF">
              <w:rPr>
                <w:rFonts w:eastAsia="Arial"/>
                <w:lang w:val="en-GB"/>
              </w:rPr>
              <w:t xml:space="preserve">(angl. </w:t>
            </w:r>
            <w:r w:rsidRPr="00E33EFF">
              <w:rPr>
                <w:rFonts w:eastAsia="Arial"/>
                <w:i/>
                <w:lang w:val="en-GB"/>
              </w:rPr>
              <w:t>National Institute for Health and Care  Excellence, NICE</w:t>
            </w:r>
            <w:r w:rsidRPr="00E33EFF">
              <w:rPr>
                <w:rFonts w:eastAsia="Arial"/>
                <w:lang w:val="en-GB"/>
              </w:rPr>
              <w:t>)</w:t>
            </w:r>
          </w:p>
        </w:tc>
        <w:tc>
          <w:tcPr>
            <w:tcW w:w="1851" w:type="dxa"/>
          </w:tcPr>
          <w:p w14:paraId="1D13A9AA" w14:textId="77777777" w:rsidR="001F0ADD" w:rsidRPr="00D05364" w:rsidRDefault="00000000" w:rsidP="001F0ADD">
            <w:sdt>
              <w:sdtPr>
                <w:rPr>
                  <w:rStyle w:val="Style2"/>
                </w:rPr>
                <w:id w:val="1558205022"/>
                <w15:color w:val="FFCC00"/>
                <w14:checkbox>
                  <w14:checked w14:val="1"/>
                  <w14:checkedState w14:val="2612" w14:font="MS Gothic"/>
                  <w14:uncheckedState w14:val="2610" w14:font="MS Gothic"/>
                </w14:checkbox>
              </w:sdtPr>
              <w:sdtContent>
                <w:r w:rsidR="001F0ADD">
                  <w:rPr>
                    <w:rStyle w:val="Style2"/>
                    <w:rFonts w:ascii="MS Gothic" w:eastAsia="MS Gothic" w:hAnsi="MS Gothic" w:hint="eastAsia"/>
                  </w:rPr>
                  <w:t>☒</w:t>
                </w:r>
              </w:sdtContent>
            </w:sdt>
            <w:r w:rsidR="001F0ADD" w:rsidRPr="00D05364">
              <w:t xml:space="preserve"> Taip</w:t>
            </w:r>
          </w:p>
          <w:p w14:paraId="1660AC29" w14:textId="77777777" w:rsidR="001F0ADD" w:rsidRPr="00D05364" w:rsidRDefault="00000000" w:rsidP="001F0ADD">
            <w:sdt>
              <w:sdtPr>
                <w:rPr>
                  <w:rStyle w:val="Style2"/>
                </w:rPr>
                <w:id w:val="866029625"/>
                <w15:color w:val="FFCC00"/>
                <w14:checkbox>
                  <w14:checked w14:val="0"/>
                  <w14:checkedState w14:val="2612" w14:font="MS Gothic"/>
                  <w14:uncheckedState w14:val="2610" w14:font="MS Gothic"/>
                </w14:checkbox>
              </w:sdtPr>
              <w:sdtContent>
                <w:r w:rsidR="001F0ADD" w:rsidRPr="00D05364">
                  <w:rPr>
                    <w:rStyle w:val="Style2"/>
                    <w:rFonts w:ascii="MS Gothic" w:eastAsia="MS Gothic" w:hAnsi="MS Gothic" w:hint="eastAsia"/>
                  </w:rPr>
                  <w:t>☐</w:t>
                </w:r>
              </w:sdtContent>
            </w:sdt>
            <w:r w:rsidR="001F0ADD" w:rsidRPr="00D05364">
              <w:t xml:space="preserve"> Ne</w:t>
            </w:r>
          </w:p>
          <w:p w14:paraId="7916359D" w14:textId="15B96CBA" w:rsidR="001F0ADD" w:rsidRPr="00E33EFF" w:rsidRDefault="00000000" w:rsidP="001F0ADD">
            <w:pPr>
              <w:rPr>
                <w:rFonts w:eastAsia="Arial"/>
              </w:rPr>
            </w:pPr>
            <w:sdt>
              <w:sdtPr>
                <w:alias w:val="Nurodykite konkrečią dieną"/>
                <w:tag w:val="Nurodykite pradžios datą"/>
                <w:id w:val="922837954"/>
                <w:placeholder>
                  <w:docPart w:val="09A3AA1133D14BB6A1EDD3C8ABE47243"/>
                </w:placeholder>
                <w15:color w:val="FFCC99"/>
                <w:date w:fullDate="2022-02-02T00:00:00Z">
                  <w:dateFormat w:val="yyyy 'm.' MMMM d 'd.'"/>
                  <w:lid w:val="lt-LT"/>
                  <w:storeMappedDataAs w:val="dateTime"/>
                  <w:calendar w:val="gregorian"/>
                </w:date>
              </w:sdtPr>
              <w:sdtContent>
                <w:r w:rsidR="001F0ADD">
                  <w:t>2022 m. vasario 2 d.</w:t>
                </w:r>
              </w:sdtContent>
            </w:sdt>
          </w:p>
        </w:tc>
        <w:tc>
          <w:tcPr>
            <w:tcW w:w="2244" w:type="dxa"/>
          </w:tcPr>
          <w:p w14:paraId="2A2C67CC" w14:textId="77777777" w:rsidR="001F0ADD" w:rsidRPr="000B7EC0" w:rsidRDefault="001F0ADD" w:rsidP="001F0ADD">
            <w:pPr>
              <w:spacing w:line="276" w:lineRule="auto"/>
              <w:jc w:val="both"/>
              <w:rPr>
                <w:rFonts w:eastAsia="Arial"/>
              </w:rPr>
            </w:pPr>
            <w:r>
              <w:rPr>
                <w:rFonts w:eastAsia="Arial"/>
              </w:rPr>
              <w:t>D</w:t>
            </w:r>
            <w:r w:rsidRPr="000B7EC0">
              <w:rPr>
                <w:rFonts w:eastAsia="Arial"/>
              </w:rPr>
              <w:t>aratumumab</w:t>
            </w:r>
            <w:r>
              <w:rPr>
                <w:rFonts w:eastAsia="Arial"/>
              </w:rPr>
              <w:t xml:space="preserve">as kartu su </w:t>
            </w:r>
            <w:r w:rsidRPr="000B7EC0">
              <w:rPr>
                <w:rFonts w:eastAsia="Arial"/>
              </w:rPr>
              <w:t>bortezomib</w:t>
            </w:r>
            <w:r>
              <w:rPr>
                <w:rFonts w:eastAsia="Arial"/>
              </w:rPr>
              <w:t>u</w:t>
            </w:r>
            <w:r w:rsidRPr="000B7EC0">
              <w:rPr>
                <w:rFonts w:eastAsia="Arial"/>
              </w:rPr>
              <w:t>, thalidomid</w:t>
            </w:r>
            <w:r>
              <w:rPr>
                <w:rFonts w:eastAsia="Arial"/>
              </w:rPr>
              <w:t>u ir deksametazonu rekomenduojamas</w:t>
            </w:r>
            <w:r w:rsidRPr="000B7EC0">
              <w:rPr>
                <w:rFonts w:eastAsia="Arial"/>
              </w:rPr>
              <w:t xml:space="preserve"> </w:t>
            </w:r>
            <w:r>
              <w:rPr>
                <w:rFonts w:eastAsia="Arial"/>
              </w:rPr>
              <w:t xml:space="preserve"> kaip </w:t>
            </w:r>
          </w:p>
          <w:p w14:paraId="6413D0ED" w14:textId="0496D228" w:rsidR="001F0ADD" w:rsidRPr="00E33EFF" w:rsidRDefault="001F0ADD" w:rsidP="001F0ADD">
            <w:pPr>
              <w:rPr>
                <w:rFonts w:eastAsia="Arial"/>
              </w:rPr>
            </w:pPr>
            <w:r w:rsidRPr="000B7EC0">
              <w:rPr>
                <w:rFonts w:eastAsia="Arial"/>
              </w:rPr>
              <w:t>suaugusiųjų negydytos daugybinės mielomos indukci</w:t>
            </w:r>
            <w:r>
              <w:rPr>
                <w:rFonts w:eastAsia="Arial"/>
              </w:rPr>
              <w:t>nis</w:t>
            </w:r>
            <w:r w:rsidRPr="000B7EC0">
              <w:rPr>
                <w:rFonts w:eastAsia="Arial"/>
              </w:rPr>
              <w:t xml:space="preserve"> ir konsolid</w:t>
            </w:r>
            <w:r>
              <w:rPr>
                <w:rFonts w:eastAsia="Arial"/>
              </w:rPr>
              <w:t xml:space="preserve">uojamas </w:t>
            </w:r>
            <w:r w:rsidRPr="000B7EC0">
              <w:rPr>
                <w:rFonts w:eastAsia="Arial"/>
              </w:rPr>
              <w:t>gydym</w:t>
            </w:r>
            <w:r>
              <w:rPr>
                <w:rFonts w:eastAsia="Arial"/>
              </w:rPr>
              <w:t>as</w:t>
            </w:r>
            <w:r w:rsidRPr="000B7EC0">
              <w:rPr>
                <w:rFonts w:eastAsia="Arial"/>
              </w:rPr>
              <w:t xml:space="preserve">, kai tinka autologinė kamieninių ląstelių transplantacija. Rekomenduojama tik tuo atveju, jei įmonė teikia daratumumabą pagal </w:t>
            </w:r>
            <w:r>
              <w:rPr>
                <w:rFonts w:eastAsia="Arial"/>
              </w:rPr>
              <w:t>komercinį susitarimą.</w:t>
            </w:r>
          </w:p>
        </w:tc>
        <w:tc>
          <w:tcPr>
            <w:tcW w:w="2543" w:type="dxa"/>
          </w:tcPr>
          <w:p w14:paraId="67430EE7" w14:textId="2909023A" w:rsidR="001F0ADD" w:rsidRPr="00E33EFF" w:rsidRDefault="001F0ADD" w:rsidP="001F0ADD">
            <w:pPr>
              <w:rPr>
                <w:rFonts w:eastAsia="Arial"/>
              </w:rPr>
            </w:pPr>
            <w:r>
              <w:rPr>
                <w:rFonts w:eastAsia="Arial"/>
              </w:rPr>
              <w:t xml:space="preserve">Kaštų naudingumas yra priimtinas. </w:t>
            </w:r>
            <w:r>
              <w:rPr>
                <w:rFonts w:eastAsia="Arial"/>
                <w:lang w:val="en-US"/>
              </w:rPr>
              <w:t>D</w:t>
            </w:r>
            <w:r>
              <w:rPr>
                <w:rFonts w:eastAsia="Arial"/>
              </w:rPr>
              <w:t xml:space="preserve">aratumumabą rekomenduojama kompensuoti. </w:t>
            </w:r>
          </w:p>
        </w:tc>
      </w:tr>
      <w:tr w:rsidR="0068291B" w:rsidRPr="00E33EFF" w14:paraId="1CC31474" w14:textId="77777777" w:rsidTr="009A57B1">
        <w:trPr>
          <w:trHeight w:val="1547"/>
        </w:trPr>
        <w:tc>
          <w:tcPr>
            <w:tcW w:w="2855" w:type="dxa"/>
          </w:tcPr>
          <w:p w14:paraId="12218E35" w14:textId="77777777" w:rsidR="0068291B" w:rsidRPr="00E33EFF" w:rsidRDefault="0068291B" w:rsidP="00824B92">
            <w:pPr>
              <w:rPr>
                <w:rFonts w:eastAsia="Arial"/>
                <w:lang w:val="en-GB"/>
              </w:rPr>
            </w:pPr>
            <w:r w:rsidRPr="00E33EFF">
              <w:rPr>
                <w:rFonts w:eastAsia="Arial"/>
                <w:lang w:val="en-GB"/>
              </w:rPr>
              <w:t>Kanados sveikatos technologijų agentūra</w:t>
            </w:r>
          </w:p>
          <w:p w14:paraId="2C593A82" w14:textId="77777777" w:rsidR="0068291B" w:rsidRPr="00E33EFF" w:rsidRDefault="0068291B" w:rsidP="00824B92">
            <w:pPr>
              <w:rPr>
                <w:rFonts w:eastAsia="Arial"/>
                <w:lang w:val="en-GB"/>
              </w:rPr>
            </w:pPr>
            <w:r w:rsidRPr="00E33EFF">
              <w:rPr>
                <w:rFonts w:eastAsia="Arial"/>
                <w:lang w:val="en-GB"/>
              </w:rPr>
              <w:t xml:space="preserve">(angl. </w:t>
            </w:r>
            <w:r w:rsidRPr="00E33EFF">
              <w:rPr>
                <w:rFonts w:eastAsia="Arial"/>
                <w:i/>
                <w:lang w:val="en-GB"/>
              </w:rPr>
              <w:t>Canadian health Technology Assessment agency, CADTH</w:t>
            </w:r>
            <w:r w:rsidRPr="00E33EFF">
              <w:rPr>
                <w:rFonts w:eastAsia="Arial"/>
                <w:lang w:val="en-GB"/>
              </w:rPr>
              <w:t>)</w:t>
            </w:r>
          </w:p>
        </w:tc>
        <w:tc>
          <w:tcPr>
            <w:tcW w:w="1851" w:type="dxa"/>
          </w:tcPr>
          <w:p w14:paraId="762649FE" w14:textId="77777777" w:rsidR="0068291B" w:rsidRPr="00E33EFF" w:rsidRDefault="00000000" w:rsidP="00824B92">
            <w:sdt>
              <w:sdtPr>
                <w:rPr>
                  <w:rStyle w:val="Style2"/>
                  <w:sz w:val="24"/>
                </w:rPr>
                <w:id w:val="-372539057"/>
                <w15:color w:val="FFCC00"/>
                <w14:checkbox>
                  <w14:checked w14:val="0"/>
                  <w14:checkedState w14:val="2612" w14:font="MS Gothic"/>
                  <w14:uncheckedState w14:val="2610" w14:font="MS Gothic"/>
                </w14:checkbox>
              </w:sdtPr>
              <w:sdtContent>
                <w:r w:rsidR="0068291B" w:rsidRPr="00E33EFF">
                  <w:rPr>
                    <w:rStyle w:val="Style2"/>
                    <w:rFonts w:ascii="Segoe UI Symbol" w:eastAsia="MS Gothic" w:hAnsi="Segoe UI Symbol" w:cs="Segoe UI Symbol"/>
                    <w:sz w:val="24"/>
                  </w:rPr>
                  <w:t>☐</w:t>
                </w:r>
              </w:sdtContent>
            </w:sdt>
            <w:r w:rsidR="0068291B" w:rsidRPr="00E33EFF">
              <w:t xml:space="preserve"> Taip</w:t>
            </w:r>
          </w:p>
          <w:p w14:paraId="35F17B07" w14:textId="77777777" w:rsidR="0068291B" w:rsidRPr="00E33EFF" w:rsidRDefault="00000000" w:rsidP="00824B92">
            <w:sdt>
              <w:sdtPr>
                <w:rPr>
                  <w:rStyle w:val="Style2"/>
                  <w:sz w:val="24"/>
                </w:rPr>
                <w:id w:val="594442222"/>
                <w15:color w:val="FFCC00"/>
                <w14:checkbox>
                  <w14:checked w14:val="0"/>
                  <w14:checkedState w14:val="2612" w14:font="MS Gothic"/>
                  <w14:uncheckedState w14:val="2610" w14:font="MS Gothic"/>
                </w14:checkbox>
              </w:sdtPr>
              <w:sdtContent>
                <w:r w:rsidR="0068291B" w:rsidRPr="00E33EFF">
                  <w:rPr>
                    <w:rStyle w:val="Style2"/>
                    <w:rFonts w:ascii="Segoe UI Symbol" w:eastAsia="MS Gothic" w:hAnsi="Segoe UI Symbol" w:cs="Segoe UI Symbol"/>
                    <w:sz w:val="24"/>
                  </w:rPr>
                  <w:t>☐</w:t>
                </w:r>
              </w:sdtContent>
            </w:sdt>
            <w:r w:rsidR="0068291B" w:rsidRPr="00E33EFF">
              <w:t xml:space="preserve"> Ne</w:t>
            </w:r>
          </w:p>
          <w:p w14:paraId="0C0988CC" w14:textId="77777777" w:rsidR="0068291B" w:rsidRPr="00E33EFF" w:rsidRDefault="00000000" w:rsidP="00824B92">
            <w:pPr>
              <w:rPr>
                <w:rFonts w:eastAsia="Arial"/>
              </w:rPr>
            </w:pPr>
            <w:sdt>
              <w:sdtPr>
                <w:alias w:val="Nurodykite konkrečią dieną"/>
                <w:tag w:val="Nurodykite pradžios datą"/>
                <w:id w:val="1072468416"/>
                <w:placeholder>
                  <w:docPart w:val="C89F68C582DA4934BDDF421307D3DA92"/>
                </w:placeholder>
                <w:showingPlcHdr/>
                <w15:color w:val="FFCC99"/>
                <w:date w:fullDate="2022-05-18T00:00:00Z">
                  <w:dateFormat w:val="yyyy 'm.' MMMM d 'd.'"/>
                  <w:lid w:val="lt-LT"/>
                  <w:storeMappedDataAs w:val="dateTime"/>
                  <w:calendar w:val="gregorian"/>
                </w:date>
              </w:sdtPr>
              <w:sdtContent>
                <w:r w:rsidR="0068291B" w:rsidRPr="00E33EFF">
                  <w:rPr>
                    <w:rStyle w:val="Vietosrezervavimoenklotekstas"/>
                  </w:rPr>
                  <w:t>Click here to enter a date.</w:t>
                </w:r>
              </w:sdtContent>
            </w:sdt>
          </w:p>
        </w:tc>
        <w:tc>
          <w:tcPr>
            <w:tcW w:w="4787" w:type="dxa"/>
            <w:gridSpan w:val="2"/>
          </w:tcPr>
          <w:p w14:paraId="5C8CB330" w14:textId="69C2628E" w:rsidR="0068291B" w:rsidRPr="00E33EFF" w:rsidRDefault="0068291B" w:rsidP="00824B92">
            <w:pPr>
              <w:rPr>
                <w:rFonts w:eastAsia="Arial"/>
              </w:rPr>
            </w:pPr>
            <w:r>
              <w:rPr>
                <w:rFonts w:eastAsia="Arial"/>
              </w:rPr>
              <w:t>Nėra duomenų</w:t>
            </w:r>
          </w:p>
        </w:tc>
      </w:tr>
      <w:tr w:rsidR="00F70C9E" w:rsidRPr="00E33EFF" w14:paraId="21C94D47" w14:textId="77777777" w:rsidTr="00BE7489">
        <w:trPr>
          <w:trHeight w:val="2160"/>
        </w:trPr>
        <w:tc>
          <w:tcPr>
            <w:tcW w:w="2855" w:type="dxa"/>
          </w:tcPr>
          <w:p w14:paraId="02F45BB8" w14:textId="77777777" w:rsidR="00F70C9E" w:rsidRPr="00E33EFF" w:rsidRDefault="00F70C9E" w:rsidP="00824B92">
            <w:pPr>
              <w:rPr>
                <w:rFonts w:eastAsia="Arial"/>
              </w:rPr>
            </w:pPr>
            <w:r w:rsidRPr="00E33EFF">
              <w:rPr>
                <w:rFonts w:eastAsia="Arial"/>
              </w:rPr>
              <w:lastRenderedPageBreak/>
              <w:t>Nacionalinis farmakoekonomikos centras, Airija</w:t>
            </w:r>
          </w:p>
          <w:p w14:paraId="736F5072" w14:textId="77777777" w:rsidR="00F70C9E" w:rsidRPr="00E33EFF" w:rsidRDefault="00F70C9E" w:rsidP="00824B92">
            <w:pPr>
              <w:rPr>
                <w:rFonts w:eastAsia="Arial"/>
              </w:rPr>
            </w:pPr>
            <w:r w:rsidRPr="00E33EFF">
              <w:rPr>
                <w:rFonts w:eastAsia="Arial"/>
              </w:rPr>
              <w:t>(angl.</w:t>
            </w:r>
            <w:r w:rsidRPr="00E33EFF">
              <w:rPr>
                <w:rFonts w:eastAsia="Arial"/>
                <w:i/>
              </w:rPr>
              <w:t xml:space="preserve"> National Centre for Pharmacoeconomics, NCPE</w:t>
            </w:r>
            <w:r w:rsidRPr="00E33EFF">
              <w:rPr>
                <w:rFonts w:eastAsia="Arial"/>
              </w:rPr>
              <w:t>)</w:t>
            </w:r>
          </w:p>
        </w:tc>
        <w:tc>
          <w:tcPr>
            <w:tcW w:w="1851" w:type="dxa"/>
          </w:tcPr>
          <w:p w14:paraId="106E24DF" w14:textId="18849748" w:rsidR="00F70C9E" w:rsidRPr="00E33EFF" w:rsidRDefault="00000000" w:rsidP="00824B92">
            <w:sdt>
              <w:sdtPr>
                <w:rPr>
                  <w:rStyle w:val="Style2"/>
                  <w:sz w:val="24"/>
                </w:rPr>
                <w:id w:val="-1888403732"/>
                <w15:color w:val="FFCC00"/>
                <w14:checkbox>
                  <w14:checked w14:val="1"/>
                  <w14:checkedState w14:val="2612" w14:font="MS Gothic"/>
                  <w14:uncheckedState w14:val="2610" w14:font="MS Gothic"/>
                </w14:checkbox>
              </w:sdtPr>
              <w:sdtContent>
                <w:r w:rsidR="00B7488E">
                  <w:rPr>
                    <w:rStyle w:val="Style2"/>
                    <w:rFonts w:ascii="MS Gothic" w:eastAsia="MS Gothic" w:hAnsi="MS Gothic" w:hint="eastAsia"/>
                    <w:sz w:val="24"/>
                  </w:rPr>
                  <w:t>☒</w:t>
                </w:r>
              </w:sdtContent>
            </w:sdt>
            <w:r w:rsidR="00F70C9E" w:rsidRPr="00E33EFF">
              <w:t xml:space="preserve"> Taip</w:t>
            </w:r>
          </w:p>
          <w:p w14:paraId="6C89485D" w14:textId="77777777" w:rsidR="00F70C9E" w:rsidRPr="00E33EFF" w:rsidRDefault="00000000" w:rsidP="00824B92">
            <w:sdt>
              <w:sdtPr>
                <w:rPr>
                  <w:rStyle w:val="Style2"/>
                  <w:sz w:val="24"/>
                </w:rPr>
                <w:id w:val="1092201793"/>
                <w15:color w:val="FFCC00"/>
                <w14:checkbox>
                  <w14:checked w14:val="0"/>
                  <w14:checkedState w14:val="2612" w14:font="MS Gothic"/>
                  <w14:uncheckedState w14:val="2610" w14:font="MS Gothic"/>
                </w14:checkbox>
              </w:sdtPr>
              <w:sdtContent>
                <w:r w:rsidR="00F70C9E" w:rsidRPr="00E33EFF">
                  <w:rPr>
                    <w:rStyle w:val="Style2"/>
                    <w:rFonts w:ascii="Segoe UI Symbol" w:eastAsia="MS Gothic" w:hAnsi="Segoe UI Symbol" w:cs="Segoe UI Symbol"/>
                    <w:sz w:val="24"/>
                  </w:rPr>
                  <w:t>☐</w:t>
                </w:r>
              </w:sdtContent>
            </w:sdt>
            <w:r w:rsidR="00F70C9E" w:rsidRPr="00E33EFF">
              <w:t xml:space="preserve"> Ne</w:t>
            </w:r>
          </w:p>
          <w:p w14:paraId="52E94B25" w14:textId="77777777" w:rsidR="00F70C9E" w:rsidRDefault="00000000" w:rsidP="00824B92">
            <w:sdt>
              <w:sdtPr>
                <w:alias w:val="Nurodykite konkrečią dieną"/>
                <w:tag w:val="Nurodykite pradžios datą"/>
                <w:id w:val="-198323198"/>
                <w:placeholder>
                  <w:docPart w:val="5830794711CC4E92887B7A7DBFC23A3F"/>
                </w:placeholder>
                <w15:color w:val="FFCC99"/>
                <w:date w:fullDate="2022-06-01T00:00:00Z">
                  <w:dateFormat w:val="yyyy 'm.' MMMM d 'd.'"/>
                  <w:lid w:val="lt-LT"/>
                  <w:storeMappedDataAs w:val="dateTime"/>
                  <w:calendar w:val="gregorian"/>
                </w:date>
              </w:sdtPr>
              <w:sdtContent>
                <w:r w:rsidR="00B7488E">
                  <w:t>2022 m. birželio 1 d.</w:t>
                </w:r>
              </w:sdtContent>
            </w:sdt>
          </w:p>
          <w:p w14:paraId="5BDCEFEF" w14:textId="77777777" w:rsidR="00B7488E" w:rsidRDefault="00B7488E" w:rsidP="00824B92">
            <w:r>
              <w:t xml:space="preserve"> </w:t>
            </w:r>
          </w:p>
          <w:p w14:paraId="69AA1151" w14:textId="3BF7C547" w:rsidR="00B7488E" w:rsidRPr="00E33EFF" w:rsidRDefault="00B7488E" w:rsidP="00824B92">
            <w:pPr>
              <w:rPr>
                <w:rFonts w:eastAsia="Arial"/>
              </w:rPr>
            </w:pPr>
            <w:r>
              <w:t>Po derybų dėl kainos</w:t>
            </w:r>
          </w:p>
        </w:tc>
        <w:tc>
          <w:tcPr>
            <w:tcW w:w="2244" w:type="dxa"/>
          </w:tcPr>
          <w:p w14:paraId="3C67423E" w14:textId="3BEB34E1" w:rsidR="00F70C9E" w:rsidRPr="00E33EFF" w:rsidRDefault="00B7488E" w:rsidP="00824B92">
            <w:pPr>
              <w:rPr>
                <w:rFonts w:eastAsia="Arial"/>
              </w:rPr>
            </w:pPr>
            <w:r>
              <w:rPr>
                <w:rFonts w:eastAsia="Arial"/>
              </w:rPr>
              <w:t>Pagal registruotą terapinę indikaciją</w:t>
            </w:r>
          </w:p>
        </w:tc>
        <w:tc>
          <w:tcPr>
            <w:tcW w:w="2543" w:type="dxa"/>
          </w:tcPr>
          <w:p w14:paraId="60651AFD" w14:textId="3BF235D8" w:rsidR="00F70C9E" w:rsidRPr="00E33EFF" w:rsidRDefault="00B7488E" w:rsidP="00824B92">
            <w:pPr>
              <w:rPr>
                <w:rFonts w:eastAsia="Arial"/>
              </w:rPr>
            </w:pPr>
            <w:r>
              <w:rPr>
                <w:rFonts w:eastAsia="Arial"/>
              </w:rPr>
              <w:t>Rekomenduojama kompensuoti, jei pareiškėjas sumažins vaistinio preparato kainą</w:t>
            </w:r>
            <w:r w:rsidR="00F17A74">
              <w:rPr>
                <w:rFonts w:eastAsia="Arial"/>
              </w:rPr>
              <w:t>.</w:t>
            </w:r>
          </w:p>
        </w:tc>
      </w:tr>
    </w:tbl>
    <w:p w14:paraId="2EB7FD31" w14:textId="4D2A8479" w:rsidR="007A2B68" w:rsidRDefault="007A2B68" w:rsidP="00E03C3F">
      <w:pPr>
        <w:pStyle w:val="Sraopastraipa"/>
        <w:tabs>
          <w:tab w:val="left" w:pos="426"/>
        </w:tabs>
        <w:ind w:left="0"/>
        <w:rPr>
          <w:b/>
          <w:bCs/>
          <w:caps/>
        </w:rPr>
      </w:pPr>
    </w:p>
    <w:p w14:paraId="73290081" w14:textId="2F77FD1A" w:rsidR="007A2B68" w:rsidRDefault="007A2B68">
      <w:pPr>
        <w:rPr>
          <w:b/>
          <w:bCs/>
          <w:caps/>
        </w:rPr>
      </w:pPr>
    </w:p>
    <w:p w14:paraId="5055E8A8" w14:textId="471A9757" w:rsidR="002E6F80" w:rsidRPr="00E33EFF" w:rsidRDefault="00CC7832" w:rsidP="00CC09D4">
      <w:pPr>
        <w:pStyle w:val="Sraopastraipa"/>
        <w:numPr>
          <w:ilvl w:val="0"/>
          <w:numId w:val="12"/>
        </w:numPr>
        <w:tabs>
          <w:tab w:val="left" w:pos="567"/>
        </w:tabs>
        <w:ind w:hanging="720"/>
        <w:rPr>
          <w:b/>
          <w:bCs/>
          <w:caps/>
        </w:rPr>
      </w:pPr>
      <w:r w:rsidRPr="00E33EFF">
        <w:rPr>
          <w:b/>
          <w:bCs/>
          <w:caps/>
        </w:rPr>
        <w:t>Klinikinio vertinimo a</w:t>
      </w:r>
      <w:r w:rsidR="00D4485B" w:rsidRPr="00E33EFF">
        <w:rPr>
          <w:b/>
          <w:bCs/>
          <w:caps/>
        </w:rPr>
        <w:t>pibendrinimas</w:t>
      </w:r>
    </w:p>
    <w:p w14:paraId="135D9D54" w14:textId="77777777" w:rsidR="008E3C91" w:rsidRPr="004F0C8B" w:rsidRDefault="008E3C91" w:rsidP="00A93AA6">
      <w:pPr>
        <w:tabs>
          <w:tab w:val="left" w:pos="284"/>
        </w:tabs>
        <w:rPr>
          <w:i/>
          <w:sz w:val="22"/>
        </w:rPr>
      </w:pPr>
    </w:p>
    <w:p w14:paraId="55D752FF" w14:textId="00B2A201" w:rsidR="008E3C91" w:rsidRDefault="000C1188" w:rsidP="005362D2">
      <w:pPr>
        <w:tabs>
          <w:tab w:val="left" w:pos="426"/>
        </w:tabs>
        <w:spacing w:line="276" w:lineRule="auto"/>
        <w:jc w:val="both"/>
        <w:rPr>
          <w:rFonts w:eastAsia="Arial"/>
        </w:rPr>
      </w:pPr>
      <w:r>
        <w:rPr>
          <w:rFonts w:eastAsia="Arial"/>
        </w:rPr>
        <w:tab/>
      </w:r>
      <w:r w:rsidR="008E3C91" w:rsidRPr="003C71BB">
        <w:rPr>
          <w:rFonts w:eastAsia="Arial"/>
        </w:rPr>
        <w:t>Dauginė mieloma (DM) – nepagydomas plazminių ląstelių piktybinis susirgimas, sudarantis 1</w:t>
      </w:r>
      <w:r w:rsidR="004F0C8B">
        <w:rPr>
          <w:rFonts w:eastAsia="Arial"/>
        </w:rPr>
        <w:t> </w:t>
      </w:r>
      <w:r w:rsidR="008E3C91" w:rsidRPr="003C71BB">
        <w:rPr>
          <w:rFonts w:eastAsia="Arial"/>
        </w:rPr>
        <w:t>%-1,8</w:t>
      </w:r>
      <w:r w:rsidR="004F0C8B">
        <w:rPr>
          <w:rFonts w:eastAsia="Arial"/>
        </w:rPr>
        <w:t> </w:t>
      </w:r>
      <w:r w:rsidR="008E3C91" w:rsidRPr="003C71BB">
        <w:rPr>
          <w:rFonts w:eastAsia="Arial"/>
        </w:rPr>
        <w:t xml:space="preserve">% visų piktybinių susirgimų (Usmani SZ et al, 2018). DM – antras dažniausias hematologinis susirgimas. Kai susergama mieloma, plazminės ląstelės ima nekontroliuojamai daugintis. Perteklinės plazminės ląstelės gamina per daug antikūnų (pvz. IgG, IgA, IgM, IgE, or IgD), pagal kuriuos skiriami mielomos tipai. Mielomos ląstelės kaupiasi kaulų čiulpuose ir kietoje išorinėje kaulų dalyje. Kartais jos susikaupia viename kaule sudarydamos naviką. Tačiau dažniausiai mielomos ląstelės pasklinda daugelyje kaulų, sudarydamos daug navikinių židinių ypač plokščiuose – kaukolės, dubens kauluose. Didelis mielomos ląstelių kiekis žaloja kaulus, sukeldamas juose defektus, atsiranda didelė kaulų lūžių rizika. Kaulų pažeidimas sąlygoja hiperkalcemiją, kuri sukelia hiperkalcemijai būdingus simptomus: silpnumą, pykinimą, raumenų nusilpimą, nerimą. Pertekliniai plazminių ląstelių kiekiai kaulų čiulpuose trikdo normalią plazminių ląstelių ir kitų baltųjų kraujo ląstelių, svarbių imuninės sistemos veiklai, gamybą. Paciento organizmas nebegali efektyviai kovoti su infekcinėmis ligomis. Taip pat sutrikdoma raudonųjų kraujo ląstelių gamyba, atsiranda anemija. Pacientas jaučia  nuolatinį nuovargį ir silpnumą. Didelis antikūnų ir kalcio  keikis kraujyje sąlygoja inkstų funkcijos pablogėjimą. Visi šie sutrikimai vadinami su mieloma susijusi organų disfunkcija‚ CRAB“ (angl. </w:t>
      </w:r>
      <w:r w:rsidR="008E3C91" w:rsidRPr="00E35937">
        <w:rPr>
          <w:rFonts w:eastAsia="Arial"/>
          <w:i/>
        </w:rPr>
        <w:t>CRAB: Calcium elevation, Renal insufficiency, Anemia, and Lytic bone lesions or osteoporosis</w:t>
      </w:r>
      <w:r w:rsidR="008E3C91" w:rsidRPr="003C71BB">
        <w:rPr>
          <w:rFonts w:eastAsia="Arial"/>
        </w:rPr>
        <w:t>)</w:t>
      </w:r>
      <w:r w:rsidR="008E3C91">
        <w:rPr>
          <w:rFonts w:eastAsia="Arial"/>
        </w:rPr>
        <w:t>.</w:t>
      </w:r>
    </w:p>
    <w:p w14:paraId="4097E57E" w14:textId="7A50E85B" w:rsidR="008E3C91" w:rsidRDefault="008E3C91" w:rsidP="005362D2">
      <w:pPr>
        <w:spacing w:line="276" w:lineRule="auto"/>
        <w:ind w:firstLine="720"/>
        <w:jc w:val="both"/>
        <w:rPr>
          <w:rFonts w:eastAsia="Arial"/>
        </w:rPr>
      </w:pPr>
      <w:r>
        <w:t>Lietuvos ekspertų hematologų nuomone (Pareiškėjo organizuota p</w:t>
      </w:r>
      <w:r w:rsidRPr="0040745D">
        <w:t>atariamosios taryb</w:t>
      </w:r>
      <w:r>
        <w:t>a</w:t>
      </w:r>
      <w:r w:rsidRPr="0040745D">
        <w:t xml:space="preserve"> dėl va</w:t>
      </w:r>
      <w:r>
        <w:t>istinio preparato daratumumabo, 2021-06-03)</w:t>
      </w:r>
      <w:r w:rsidRPr="0040745D">
        <w:t xml:space="preserve">, </w:t>
      </w:r>
      <w:r>
        <w:t xml:space="preserve">Lietuvoje </w:t>
      </w:r>
      <w:r w:rsidRPr="0040745D">
        <w:t>kasmet</w:t>
      </w:r>
      <w:r>
        <w:t xml:space="preserve"> </w:t>
      </w:r>
      <w:r w:rsidRPr="0040745D">
        <w:t>daugine mieloma</w:t>
      </w:r>
      <w:r>
        <w:t xml:space="preserve"> </w:t>
      </w:r>
      <w:r w:rsidRPr="0040745D">
        <w:t>naujai suserga</w:t>
      </w:r>
      <w:r>
        <w:t xml:space="preserve"> apie 150 žmonių (6,54</w:t>
      </w:r>
      <w:r w:rsidRPr="000B64F4">
        <w:t xml:space="preserve"> </w:t>
      </w:r>
      <w:r>
        <w:t>atvejai/100</w:t>
      </w:r>
      <w:r w:rsidR="004F0C8B">
        <w:t xml:space="preserve"> </w:t>
      </w:r>
      <w:r>
        <w:t>000 per metus).</w:t>
      </w:r>
      <w:r w:rsidRPr="0040745D">
        <w:t xml:space="preserve"> </w:t>
      </w:r>
      <w:r w:rsidR="004F0C8B">
        <w:t>Remiantis patariamosios tarybos protokole išdėstyta informacija,</w:t>
      </w:r>
      <w:r w:rsidRPr="00F5661F">
        <w:t xml:space="preserve"> autologinė kraujodaros kamieninių ląstelių transplantacija (</w:t>
      </w:r>
      <w:r>
        <w:t>A</w:t>
      </w:r>
      <w:r w:rsidRPr="00F5661F">
        <w:t>KKLT) gali būti atliekama apie 40</w:t>
      </w:r>
      <w:r w:rsidR="004F0C8B">
        <w:t xml:space="preserve"> </w:t>
      </w:r>
      <w:r w:rsidRPr="00F5661F">
        <w:t xml:space="preserve">% </w:t>
      </w:r>
      <w:r>
        <w:t xml:space="preserve">naujai susirgusių </w:t>
      </w:r>
      <w:r w:rsidRPr="00F5661F">
        <w:t>pacientų</w:t>
      </w:r>
      <w:r>
        <w:t xml:space="preserve"> (60 pacientų iš 150 visų naujai diagnozuotų per metus). Manoma, kad </w:t>
      </w:r>
      <w:r w:rsidRPr="0040745D">
        <w:t>apie 90</w:t>
      </w:r>
      <w:r w:rsidR="004F0C8B">
        <w:t xml:space="preserve"> </w:t>
      </w:r>
      <w:r w:rsidRPr="0040745D">
        <w:t>% tokių pacien</w:t>
      </w:r>
      <w:r>
        <w:t>tų šiuo metu gydomi bortezomibo, talidomido ir deks</w:t>
      </w:r>
      <w:r w:rsidR="004F0C8B">
        <w:t xml:space="preserve">metazono </w:t>
      </w:r>
      <w:r>
        <w:t xml:space="preserve">(VTd) deriniu, tačiau visi šie pacientai galėtų būti gydomi </w:t>
      </w:r>
      <w:r>
        <w:rPr>
          <w:rFonts w:eastAsia="Arial"/>
        </w:rPr>
        <w:t>d</w:t>
      </w:r>
      <w:r w:rsidRPr="000B7EC0">
        <w:rPr>
          <w:rFonts w:eastAsia="Arial"/>
        </w:rPr>
        <w:t>aratumumab</w:t>
      </w:r>
      <w:r>
        <w:rPr>
          <w:rFonts w:eastAsia="Arial"/>
        </w:rPr>
        <w:t xml:space="preserve">u kartu su </w:t>
      </w:r>
      <w:r w:rsidRPr="000B7EC0">
        <w:rPr>
          <w:rFonts w:eastAsia="Arial"/>
        </w:rPr>
        <w:t>bortezomib</w:t>
      </w:r>
      <w:r>
        <w:rPr>
          <w:rFonts w:eastAsia="Arial"/>
        </w:rPr>
        <w:t>u</w:t>
      </w:r>
      <w:r w:rsidRPr="000B7EC0">
        <w:rPr>
          <w:rFonts w:eastAsia="Arial"/>
        </w:rPr>
        <w:t>, thalidomid</w:t>
      </w:r>
      <w:r>
        <w:rPr>
          <w:rFonts w:eastAsia="Arial"/>
        </w:rPr>
        <w:t>u ir deksametazonu.</w:t>
      </w:r>
    </w:p>
    <w:p w14:paraId="5ECFF697" w14:textId="12ADE3EE" w:rsidR="008E3C91" w:rsidRDefault="008E3C91" w:rsidP="008E3C91">
      <w:pPr>
        <w:tabs>
          <w:tab w:val="left" w:pos="426"/>
        </w:tabs>
        <w:spacing w:line="276" w:lineRule="auto"/>
        <w:jc w:val="both"/>
        <w:rPr>
          <w:rFonts w:eastAsia="Arial"/>
        </w:rPr>
      </w:pPr>
      <w:r>
        <w:rPr>
          <w:rFonts w:eastAsia="Arial"/>
        </w:rPr>
        <w:tab/>
      </w:r>
      <w:r w:rsidRPr="00393A26">
        <w:rPr>
          <w:rFonts w:eastAsia="Arial"/>
        </w:rPr>
        <w:t xml:space="preserve">Daratumumabas </w:t>
      </w:r>
      <w:r>
        <w:rPr>
          <w:rFonts w:eastAsia="Arial"/>
        </w:rPr>
        <w:t xml:space="preserve">- </w:t>
      </w:r>
      <w:r w:rsidRPr="00393A26">
        <w:rPr>
          <w:rFonts w:eastAsia="Arial"/>
        </w:rPr>
        <w:t>priešnavikini</w:t>
      </w:r>
      <w:r>
        <w:rPr>
          <w:rFonts w:eastAsia="Arial"/>
        </w:rPr>
        <w:t>s</w:t>
      </w:r>
      <w:r w:rsidRPr="00393A26">
        <w:rPr>
          <w:rFonts w:eastAsia="Arial"/>
        </w:rPr>
        <w:t xml:space="preserve"> vaistini</w:t>
      </w:r>
      <w:r>
        <w:rPr>
          <w:rFonts w:eastAsia="Arial"/>
        </w:rPr>
        <w:t>s</w:t>
      </w:r>
      <w:r w:rsidRPr="00393A26">
        <w:rPr>
          <w:rFonts w:eastAsia="Arial"/>
        </w:rPr>
        <w:t xml:space="preserve"> preparat</w:t>
      </w:r>
      <w:r>
        <w:rPr>
          <w:rFonts w:eastAsia="Arial"/>
        </w:rPr>
        <w:t xml:space="preserve">as. Jis priklauso monokloninių </w:t>
      </w:r>
      <w:r w:rsidRPr="00393A26">
        <w:rPr>
          <w:rFonts w:eastAsia="Arial"/>
        </w:rPr>
        <w:t xml:space="preserve"> antikūn</w:t>
      </w:r>
      <w:r>
        <w:rPr>
          <w:rFonts w:eastAsia="Arial"/>
        </w:rPr>
        <w:t>ų</w:t>
      </w:r>
      <w:r w:rsidRPr="00393A26">
        <w:rPr>
          <w:rFonts w:eastAsia="Arial"/>
        </w:rPr>
        <w:t xml:space="preserve"> ir antikūnų bei</w:t>
      </w:r>
      <w:r>
        <w:rPr>
          <w:rFonts w:eastAsia="Arial"/>
        </w:rPr>
        <w:t xml:space="preserve"> vaistų konjugatų farma</w:t>
      </w:r>
      <w:r w:rsidR="00A4579B">
        <w:rPr>
          <w:rFonts w:eastAsia="Arial"/>
        </w:rPr>
        <w:t>k</w:t>
      </w:r>
      <w:r>
        <w:rPr>
          <w:rFonts w:eastAsia="Arial"/>
        </w:rPr>
        <w:t xml:space="preserve">oterapinei grupei. </w:t>
      </w:r>
      <w:r w:rsidRPr="00393A26">
        <w:rPr>
          <w:rFonts w:eastAsia="Arial"/>
        </w:rPr>
        <w:t>Daratumumabas</w:t>
      </w:r>
      <w:r>
        <w:rPr>
          <w:rFonts w:eastAsia="Arial"/>
        </w:rPr>
        <w:t xml:space="preserve"> yra</w:t>
      </w:r>
      <w:r w:rsidRPr="00393A26">
        <w:rPr>
          <w:rFonts w:eastAsia="Arial"/>
        </w:rPr>
        <w:t xml:space="preserve"> CD38 (38 diferen</w:t>
      </w:r>
      <w:r>
        <w:rPr>
          <w:rFonts w:eastAsia="Arial"/>
        </w:rPr>
        <w:t>ciacijos klasterio) inhibitorius (</w:t>
      </w:r>
      <w:r w:rsidRPr="00393A26">
        <w:rPr>
          <w:rFonts w:eastAsia="Arial"/>
        </w:rPr>
        <w:t>IgG1κ žmogaus monokloninis antikūnas</w:t>
      </w:r>
      <w:r>
        <w:rPr>
          <w:rFonts w:eastAsia="Arial"/>
        </w:rPr>
        <w:t xml:space="preserve">). </w:t>
      </w:r>
      <w:r w:rsidRPr="00393A26">
        <w:rPr>
          <w:rFonts w:eastAsia="Arial"/>
        </w:rPr>
        <w:t>Daratumumabas prisijungia prie</w:t>
      </w:r>
      <w:r>
        <w:rPr>
          <w:rFonts w:eastAsia="Arial"/>
        </w:rPr>
        <w:t xml:space="preserve"> </w:t>
      </w:r>
      <w:r w:rsidRPr="00393A26">
        <w:rPr>
          <w:rFonts w:eastAsia="Arial"/>
        </w:rPr>
        <w:t>CD38 baltymo, kurio dideli kiekiai aptinkami daugybinės mielomos naviko ląstelių paviršiuje, o taip</w:t>
      </w:r>
      <w:r w:rsidR="004F0C8B">
        <w:rPr>
          <w:rFonts w:eastAsia="Arial"/>
        </w:rPr>
        <w:t xml:space="preserve"> </w:t>
      </w:r>
      <w:r w:rsidRPr="00393A26">
        <w:rPr>
          <w:rFonts w:eastAsia="Arial"/>
        </w:rPr>
        <w:t xml:space="preserve">pat įvairūs šio baltymo kiekiai būna kitų rūšių ląstelių paviršiuje ir audiniuose. </w:t>
      </w:r>
      <w:r w:rsidRPr="00F61BD9">
        <w:rPr>
          <w:rFonts w:eastAsia="Arial"/>
        </w:rPr>
        <w:t xml:space="preserve">Įrodyta, kad daratumumabas stipriai slopina vėžio ląstelių, kurios ekspresuoja CD38, augimą </w:t>
      </w:r>
      <w:r w:rsidRPr="00F61BD9">
        <w:rPr>
          <w:rFonts w:eastAsia="Arial"/>
          <w:i/>
        </w:rPr>
        <w:t>in vivo</w:t>
      </w:r>
      <w:r w:rsidRPr="00F61BD9">
        <w:rPr>
          <w:rFonts w:eastAsia="Arial"/>
        </w:rPr>
        <w:t>.</w:t>
      </w:r>
      <w:r>
        <w:rPr>
          <w:rFonts w:eastAsia="Arial"/>
        </w:rPr>
        <w:t xml:space="preserve"> O r</w:t>
      </w:r>
      <w:r w:rsidRPr="00F61BD9">
        <w:rPr>
          <w:rFonts w:eastAsia="Arial"/>
        </w:rPr>
        <w:t xml:space="preserve">emiantis tyrimų </w:t>
      </w:r>
      <w:r w:rsidRPr="00F61BD9">
        <w:rPr>
          <w:rFonts w:eastAsia="Arial"/>
          <w:i/>
        </w:rPr>
        <w:t>in vitro</w:t>
      </w:r>
      <w:r w:rsidRPr="00F61BD9">
        <w:rPr>
          <w:rFonts w:eastAsia="Arial"/>
        </w:rPr>
        <w:t xml:space="preserve"> duomenimis, daratumumabas gali paveikti įvairias efektorines funkcijas,</w:t>
      </w:r>
      <w:r>
        <w:rPr>
          <w:rFonts w:eastAsia="Arial"/>
        </w:rPr>
        <w:t xml:space="preserve"> </w:t>
      </w:r>
      <w:r w:rsidRPr="00F61BD9">
        <w:rPr>
          <w:rFonts w:eastAsia="Arial"/>
        </w:rPr>
        <w:t>padėdamas imuninei sistemai sunaikinti vėžio ląsteles.</w:t>
      </w:r>
    </w:p>
    <w:p w14:paraId="6B33DDCA" w14:textId="592C80B9" w:rsidR="008E3C91" w:rsidRDefault="008E3C91" w:rsidP="008E3C91">
      <w:pPr>
        <w:tabs>
          <w:tab w:val="left" w:pos="426"/>
        </w:tabs>
        <w:spacing w:line="276" w:lineRule="auto"/>
        <w:jc w:val="both"/>
      </w:pPr>
      <w:r>
        <w:rPr>
          <w:bCs/>
        </w:rPr>
        <w:tab/>
      </w:r>
      <w:r w:rsidRPr="00FC30A7">
        <w:rPr>
          <w:bCs/>
        </w:rPr>
        <w:t xml:space="preserve">Apibendrinant ir atsižvelgiant į </w:t>
      </w:r>
      <w:r w:rsidRPr="004817CE">
        <w:rPr>
          <w:bCs/>
        </w:rPr>
        <w:t xml:space="preserve">Vaistinių preparatų ir medicinos pagalbos priemonių įrašymo į kompensavimo sąrašus ir jų keitimo tvarkos aprašo, patvirtinto Lietuvos Respublikos sveikatos apsaugos ministro 2002 m. balandžio 5 d. įsakymu Nr. V-159 „Dėl vaistinių preparatų ir medicinos </w:t>
      </w:r>
      <w:r w:rsidRPr="004817CE">
        <w:rPr>
          <w:bCs/>
        </w:rPr>
        <w:lastRenderedPageBreak/>
        <w:t>pagalbos priemonių įrašymo į kompensavimo sąrašus ir jų keitimo tvarkos aprašo patvirtinimo“</w:t>
      </w:r>
      <w:r>
        <w:rPr>
          <w:bCs/>
        </w:rPr>
        <w:t xml:space="preserve"> </w:t>
      </w:r>
      <w:r w:rsidRPr="00FC30A7">
        <w:rPr>
          <w:bCs/>
          <w:lang w:eastAsia="lt-LT"/>
        </w:rPr>
        <w:t>116 - 119 punktus (toliau</w:t>
      </w:r>
      <w:r>
        <w:rPr>
          <w:bCs/>
          <w:lang w:eastAsia="lt-LT"/>
        </w:rPr>
        <w:t xml:space="preserve"> -</w:t>
      </w:r>
      <w:r w:rsidRPr="00FC30A7">
        <w:rPr>
          <w:bCs/>
          <w:lang w:eastAsia="lt-LT"/>
        </w:rPr>
        <w:t xml:space="preserve"> </w:t>
      </w:r>
      <w:r w:rsidR="004F0C8B">
        <w:rPr>
          <w:bCs/>
          <w:lang w:eastAsia="lt-LT"/>
        </w:rPr>
        <w:t>A</w:t>
      </w:r>
      <w:r>
        <w:rPr>
          <w:bCs/>
          <w:lang w:eastAsia="lt-LT"/>
        </w:rPr>
        <w:t>prašas</w:t>
      </w:r>
      <w:r w:rsidRPr="00FC30A7">
        <w:rPr>
          <w:bCs/>
          <w:lang w:eastAsia="lt-LT"/>
        </w:rPr>
        <w:t xml:space="preserve">) nustatyta, kad tinkamas palyginamasis gydymas yra </w:t>
      </w:r>
      <w:r w:rsidRPr="0089117D">
        <w:rPr>
          <w:rFonts w:eastAsia="Arial"/>
          <w:i/>
        </w:rPr>
        <w:t>bortezomib</w:t>
      </w:r>
      <w:r>
        <w:rPr>
          <w:rFonts w:eastAsia="Arial"/>
          <w:i/>
        </w:rPr>
        <w:t>o</w:t>
      </w:r>
      <w:r w:rsidRPr="0089117D">
        <w:rPr>
          <w:rFonts w:eastAsia="Arial"/>
          <w:i/>
        </w:rPr>
        <w:t>, talidomid</w:t>
      </w:r>
      <w:r>
        <w:rPr>
          <w:rFonts w:eastAsia="Arial"/>
          <w:i/>
        </w:rPr>
        <w:t>o</w:t>
      </w:r>
      <w:r w:rsidRPr="00795338">
        <w:rPr>
          <w:rFonts w:eastAsia="Arial"/>
          <w:i/>
        </w:rPr>
        <w:t xml:space="preserve"> </w:t>
      </w:r>
      <w:r>
        <w:rPr>
          <w:rFonts w:eastAsia="Arial"/>
          <w:i/>
        </w:rPr>
        <w:t xml:space="preserve">ir </w:t>
      </w:r>
      <w:r w:rsidRPr="0089117D">
        <w:rPr>
          <w:rFonts w:eastAsia="Arial"/>
          <w:i/>
        </w:rPr>
        <w:t>dexametazon</w:t>
      </w:r>
      <w:r>
        <w:rPr>
          <w:rFonts w:eastAsia="Arial"/>
          <w:i/>
        </w:rPr>
        <w:t xml:space="preserve">o </w:t>
      </w:r>
      <w:r>
        <w:t>derinys (VTd).</w:t>
      </w:r>
    </w:p>
    <w:p w14:paraId="3FD06D8B" w14:textId="2FF79EAD" w:rsidR="008E3C91" w:rsidRPr="00623A88" w:rsidRDefault="008E3C91" w:rsidP="008E3C91">
      <w:pPr>
        <w:tabs>
          <w:tab w:val="left" w:pos="492"/>
        </w:tabs>
        <w:spacing w:line="276" w:lineRule="auto"/>
        <w:jc w:val="both"/>
        <w:outlineLvl w:val="1"/>
        <w:rPr>
          <w:rFonts w:eastAsia="Arial"/>
        </w:rPr>
      </w:pPr>
      <w:r>
        <w:tab/>
        <w:t xml:space="preserve">Klinikinis vertinimas grindžiamas </w:t>
      </w:r>
      <w:r>
        <w:rPr>
          <w:rFonts w:eastAsia="Arial"/>
        </w:rPr>
        <w:t>klinikiniu tyrimu</w:t>
      </w:r>
      <w:r w:rsidRPr="00623A88">
        <w:rPr>
          <w:rFonts w:eastAsia="Arial"/>
        </w:rPr>
        <w:t xml:space="preserve"> CASSIOPEIA</w:t>
      </w:r>
      <w:r>
        <w:rPr>
          <w:rFonts w:eastAsia="Arial"/>
        </w:rPr>
        <w:t xml:space="preserve">. </w:t>
      </w:r>
      <w:r w:rsidR="004A19E5">
        <w:rPr>
          <w:rFonts w:eastAsia="Arial"/>
        </w:rPr>
        <w:t xml:space="preserve">Tai yra registracinis klinikinis tyrimas. </w:t>
      </w:r>
      <w:r>
        <w:rPr>
          <w:rFonts w:eastAsia="Arial"/>
        </w:rPr>
        <w:t>Tai yra</w:t>
      </w:r>
      <w:r w:rsidRPr="00623A88">
        <w:rPr>
          <w:rFonts w:eastAsia="Arial"/>
        </w:rPr>
        <w:t xml:space="preserve"> 3-ios fazės, atvir</w:t>
      </w:r>
      <w:r w:rsidR="004F0C8B">
        <w:rPr>
          <w:rFonts w:eastAsia="Arial"/>
        </w:rPr>
        <w:t>asis</w:t>
      </w:r>
      <w:r w:rsidRPr="00623A88">
        <w:rPr>
          <w:rFonts w:eastAsia="Arial"/>
        </w:rPr>
        <w:t>, atsitiktinių imčių, aktyviu gydymu (VTd) kontroliuojamas daugiacentris klinikinis tyrimas. Atviras</w:t>
      </w:r>
      <w:r w:rsidR="004A19E5">
        <w:rPr>
          <w:rFonts w:eastAsia="Arial"/>
        </w:rPr>
        <w:t>is</w:t>
      </w:r>
      <w:r w:rsidRPr="00623A88">
        <w:rPr>
          <w:rFonts w:eastAsia="Arial"/>
        </w:rPr>
        <w:t xml:space="preserve"> tyrimo dizainas taikytas dėl skirtingo tyrime naudotų vaistų skyrimo – daratumumabo </w:t>
      </w:r>
      <w:r w:rsidR="006015B4">
        <w:rPr>
          <w:rFonts w:eastAsia="Arial"/>
        </w:rPr>
        <w:t xml:space="preserve">(D) </w:t>
      </w:r>
      <w:r w:rsidRPr="00623A88">
        <w:rPr>
          <w:rFonts w:eastAsia="Arial"/>
        </w:rPr>
        <w:t>infuzijos užtrunka ilgiau negu bortezomibo infuzijos.</w:t>
      </w:r>
      <w:r>
        <w:rPr>
          <w:rFonts w:eastAsia="Arial"/>
        </w:rPr>
        <w:t xml:space="preserve"> </w:t>
      </w:r>
    </w:p>
    <w:p w14:paraId="3A073B59" w14:textId="4DF854D2" w:rsidR="008E3C91" w:rsidRDefault="008E3C91" w:rsidP="008E3C91">
      <w:pPr>
        <w:tabs>
          <w:tab w:val="left" w:pos="426"/>
        </w:tabs>
        <w:spacing w:line="276" w:lineRule="auto"/>
        <w:jc w:val="both"/>
        <w:rPr>
          <w:rFonts w:eastAsia="Arial"/>
        </w:rPr>
      </w:pPr>
      <w:r>
        <w:tab/>
      </w:r>
      <w:r>
        <w:rPr>
          <w:rFonts w:eastAsia="Arial"/>
        </w:rPr>
        <w:t xml:space="preserve">Klinikinis tyrimas CASSIOPEIA </w:t>
      </w:r>
      <w:r>
        <w:t>(</w:t>
      </w:r>
      <w:r w:rsidRPr="0032185E">
        <w:t>NCT02541383</w:t>
      </w:r>
      <w:r>
        <w:t xml:space="preserve">) susideda iš atrankos fazės ir 2-jų pagrindinių dalių. Dalis I yra indukcija/autologinė KKLT/konsolidacija bei dalis II – palaikymas. Pateiktoje paraiškoje pateikta vertinimui tik </w:t>
      </w:r>
      <w:r w:rsidR="004F0C8B">
        <w:t xml:space="preserve">I </w:t>
      </w:r>
      <w:r>
        <w:t xml:space="preserve">dalis, būtent šios dalies gydymas </w:t>
      </w:r>
      <w:r>
        <w:rPr>
          <w:rFonts w:eastAsia="Arial"/>
        </w:rPr>
        <w:t>d</w:t>
      </w:r>
      <w:r w:rsidRPr="000B7EC0">
        <w:rPr>
          <w:rFonts w:eastAsia="Arial"/>
        </w:rPr>
        <w:t>aratumumab</w:t>
      </w:r>
      <w:r>
        <w:rPr>
          <w:rFonts w:eastAsia="Arial"/>
        </w:rPr>
        <w:t xml:space="preserve">o kartu su </w:t>
      </w:r>
      <w:r w:rsidRPr="000B7EC0">
        <w:rPr>
          <w:rFonts w:eastAsia="Arial"/>
        </w:rPr>
        <w:t>bortezomib</w:t>
      </w:r>
      <w:r>
        <w:rPr>
          <w:rFonts w:eastAsia="Arial"/>
        </w:rPr>
        <w:t>u</w:t>
      </w:r>
      <w:r w:rsidRPr="000B7EC0">
        <w:rPr>
          <w:rFonts w:eastAsia="Arial"/>
        </w:rPr>
        <w:t>, thalidomid</w:t>
      </w:r>
      <w:r>
        <w:rPr>
          <w:rFonts w:eastAsia="Arial"/>
        </w:rPr>
        <w:t>u ir deksametazonu deriniu siūlomas kompensuoti pateiktoje paraiškoje.</w:t>
      </w:r>
    </w:p>
    <w:p w14:paraId="427C949B" w14:textId="5299C48F" w:rsidR="008E3C91" w:rsidRDefault="008E3C91" w:rsidP="008E3C91">
      <w:pPr>
        <w:tabs>
          <w:tab w:val="left" w:pos="426"/>
        </w:tabs>
        <w:spacing w:line="276" w:lineRule="auto"/>
        <w:jc w:val="both"/>
        <w:rPr>
          <w:rFonts w:eastAsia="Arial"/>
        </w:rPr>
      </w:pPr>
      <w:r>
        <w:rPr>
          <w:rFonts w:eastAsia="Arial"/>
        </w:rPr>
        <w:tab/>
        <w:t>Prieš pradedant atsitiktinių imčių atrank</w:t>
      </w:r>
      <w:r w:rsidR="004A19E5">
        <w:rPr>
          <w:rFonts w:eastAsia="Arial"/>
        </w:rPr>
        <w:t>ą</w:t>
      </w:r>
      <w:r>
        <w:rPr>
          <w:rFonts w:eastAsia="Arial"/>
        </w:rPr>
        <w:t xml:space="preserve"> pacient</w:t>
      </w:r>
      <w:r w:rsidR="004A19E5">
        <w:rPr>
          <w:rFonts w:eastAsia="Arial"/>
        </w:rPr>
        <w:t>ai</w:t>
      </w:r>
      <w:r>
        <w:rPr>
          <w:rFonts w:eastAsia="Arial"/>
        </w:rPr>
        <w:t xml:space="preserve"> buvo įtraukti į tyrimą pagal įtraukimo/atmetimo kriterijus</w:t>
      </w:r>
      <w:r w:rsidR="004A19E5">
        <w:rPr>
          <w:rFonts w:eastAsia="Arial"/>
        </w:rPr>
        <w:t xml:space="preserve"> ir </w:t>
      </w:r>
      <w:r>
        <w:rPr>
          <w:rFonts w:eastAsia="Arial"/>
        </w:rPr>
        <w:t xml:space="preserve"> buvo suskirstyti santykiu 1:1 į dvi grupes. Gydymo konsolidacijos fazė prasidėjo po 30 dienų nuo autologinės KKLT, o gydymo atsakas buvo vertinamas 100 dieną po autologinės KKLT.</w:t>
      </w:r>
    </w:p>
    <w:p w14:paraId="405DDEE4" w14:textId="70167AE3" w:rsidR="008E3C91" w:rsidRDefault="00DC23A6" w:rsidP="004B0472">
      <w:pPr>
        <w:tabs>
          <w:tab w:val="left" w:pos="492"/>
        </w:tabs>
        <w:spacing w:line="276" w:lineRule="auto"/>
        <w:jc w:val="both"/>
        <w:outlineLvl w:val="1"/>
        <w:rPr>
          <w:rFonts w:eastAsia="Arial"/>
        </w:rPr>
      </w:pPr>
      <w:r>
        <w:rPr>
          <w:rFonts w:eastAsia="Arial"/>
        </w:rPr>
        <w:tab/>
      </w:r>
      <w:r w:rsidR="008E3C91">
        <w:rPr>
          <w:rFonts w:eastAsia="Arial"/>
        </w:rPr>
        <w:t>Pirminės analizės duomenimis, 461 pacientas (85 proc.) D-VTd grupėje ir 437 pacientų (81 proc.) VTd grupėje praėjo 4 indukcijos fazės gydymo ciklus ir 2 konsolidacijos fazės ciklus, bei atitinkamai 489 pacientams (90 proc.) ir 484 pacientams (89 proc.) buvo atlikta autologinė KKLT. Nedidelė pacientų dalis nutraukė gydymą indukcijos fazėje: D-VTd grupėje 4 proc. ir CTd grupėje – 6 proc., konsolidacijos fazėje tokių pacientų buvo dar mažiau abejose grupėse: 1 proc. D-VTd grupėje ir 2 proc. VTd grupėje. Dažniausia priežastis dėl gydymo nutraukimo buvo nepageidaujami reiškiniai, ligos progresavimas arba paciento mirtis.</w:t>
      </w:r>
    </w:p>
    <w:p w14:paraId="6C3CAFD6" w14:textId="77777777" w:rsidR="008E3C91" w:rsidRPr="00431448" w:rsidRDefault="008E3C91" w:rsidP="008E3C91">
      <w:pPr>
        <w:tabs>
          <w:tab w:val="left" w:pos="426"/>
        </w:tabs>
        <w:spacing w:line="276" w:lineRule="auto"/>
        <w:jc w:val="both"/>
        <w:rPr>
          <w:rFonts w:eastAsia="Arial"/>
          <w:i/>
        </w:rPr>
      </w:pPr>
      <w:r w:rsidRPr="00431448">
        <w:rPr>
          <w:rFonts w:eastAsia="Arial"/>
          <w:i/>
        </w:rPr>
        <w:t>Tiesioginis palyginimas</w:t>
      </w:r>
    </w:p>
    <w:p w14:paraId="267005FE" w14:textId="2975479C" w:rsidR="004B0472" w:rsidRDefault="008E3C91" w:rsidP="00B21484">
      <w:pPr>
        <w:tabs>
          <w:tab w:val="left" w:pos="492"/>
        </w:tabs>
        <w:spacing w:line="276" w:lineRule="auto"/>
        <w:jc w:val="both"/>
        <w:outlineLvl w:val="1"/>
        <w:rPr>
          <w:rFonts w:eastAsia="Arial"/>
        </w:rPr>
      </w:pPr>
      <w:r w:rsidRPr="00431448">
        <w:rPr>
          <w:rFonts w:eastAsia="Arial"/>
        </w:rPr>
        <w:tab/>
      </w:r>
      <w:r>
        <w:rPr>
          <w:rFonts w:eastAsia="Arial"/>
          <w:u w:val="single"/>
        </w:rPr>
        <w:t xml:space="preserve">Pirminė vertinamoji baigtis - </w:t>
      </w:r>
      <w:r w:rsidRPr="00A6223F">
        <w:rPr>
          <w:rFonts w:eastAsia="Arial"/>
          <w:u w:val="single"/>
        </w:rPr>
        <w:t>Įtikinamo visiško atsako į gydymą dažnis</w:t>
      </w:r>
      <w:r>
        <w:rPr>
          <w:rFonts w:eastAsia="Arial"/>
        </w:rPr>
        <w:t xml:space="preserve"> (</w:t>
      </w:r>
      <w:r w:rsidRPr="00D74888">
        <w:rPr>
          <w:rFonts w:eastAsia="Arial"/>
        </w:rPr>
        <w:t xml:space="preserve">įVA) -  </w:t>
      </w:r>
      <w:r>
        <w:rPr>
          <w:rFonts w:eastAsia="Arial"/>
        </w:rPr>
        <w:t xml:space="preserve">buvo apibrėžta kaip </w:t>
      </w:r>
      <w:r w:rsidRPr="00D74888">
        <w:rPr>
          <w:rFonts w:eastAsia="Arial"/>
        </w:rPr>
        <w:t>dalis pacientų, kurie pasiekė visišką atsaką į gydymą bei kuriems buvo nustatytas normalus laisvos lengvos grandinės (</w:t>
      </w:r>
      <w:r w:rsidRPr="00D74888">
        <w:rPr>
          <w:rFonts w:eastAsia="Arial"/>
          <w:i/>
        </w:rPr>
        <w:t>angl. free light chain, FLC</w:t>
      </w:r>
      <w:r w:rsidRPr="00D74888">
        <w:rPr>
          <w:rFonts w:eastAsia="Arial"/>
        </w:rPr>
        <w:t>) serume santykis bei nenustatyta kloninių ląstelių kaul</w:t>
      </w:r>
      <w:r w:rsidR="004A19E5">
        <w:rPr>
          <w:rFonts w:eastAsia="Arial"/>
        </w:rPr>
        <w:t>ų</w:t>
      </w:r>
      <w:r w:rsidRPr="00D74888">
        <w:rPr>
          <w:rFonts w:eastAsia="Arial"/>
        </w:rPr>
        <w:t xml:space="preserve"> čiulpuose,</w:t>
      </w:r>
      <w:r>
        <w:rPr>
          <w:rFonts w:eastAsia="Arial"/>
        </w:rPr>
        <w:t xml:space="preserve"> naudojant imunohistocheminę, imunofluorescentinę </w:t>
      </w:r>
      <w:r w:rsidRPr="00D74888">
        <w:rPr>
          <w:rFonts w:eastAsia="Arial"/>
        </w:rPr>
        <w:t>arba spalvot</w:t>
      </w:r>
      <w:r>
        <w:rPr>
          <w:rFonts w:eastAsia="Arial"/>
        </w:rPr>
        <w:t>ą</w:t>
      </w:r>
      <w:r w:rsidRPr="00D74888">
        <w:rPr>
          <w:rFonts w:eastAsia="Arial"/>
        </w:rPr>
        <w:t xml:space="preserve"> </w:t>
      </w:r>
      <w:r>
        <w:rPr>
          <w:rFonts w:eastAsia="Arial"/>
        </w:rPr>
        <w:t xml:space="preserve">tėkmės </w:t>
      </w:r>
      <w:r w:rsidRPr="00D74888">
        <w:rPr>
          <w:rFonts w:eastAsia="Arial"/>
        </w:rPr>
        <w:t>citometriją. Atsakas po konsolidacijos fazės buvo vertinamas 100 dieną po autologinės KKLT.</w:t>
      </w:r>
    </w:p>
    <w:p w14:paraId="15AC3907" w14:textId="329E6871" w:rsidR="00B21484" w:rsidRDefault="004B0472" w:rsidP="00B21484">
      <w:pPr>
        <w:tabs>
          <w:tab w:val="left" w:pos="492"/>
        </w:tabs>
        <w:spacing w:line="276" w:lineRule="auto"/>
        <w:jc w:val="both"/>
        <w:outlineLvl w:val="1"/>
        <w:rPr>
          <w:bCs/>
          <w:lang w:eastAsia="lt-LT"/>
        </w:rPr>
      </w:pPr>
      <w:r>
        <w:rPr>
          <w:rFonts w:eastAsia="Arial"/>
        </w:rPr>
        <w:tab/>
      </w:r>
      <w:r w:rsidR="008E3C91">
        <w:rPr>
          <w:rFonts w:eastAsia="Arial"/>
        </w:rPr>
        <w:t xml:space="preserve">Nustatyta, kad </w:t>
      </w:r>
      <w:r w:rsidR="008E3C91" w:rsidRPr="00D74888">
        <w:rPr>
          <w:rFonts w:eastAsia="Arial"/>
        </w:rPr>
        <w:t xml:space="preserve">pridedant </w:t>
      </w:r>
      <w:r w:rsidR="008E3C91" w:rsidRPr="00D74888">
        <w:t xml:space="preserve">daratumumabą prie VTd derinio daugiau pacientų pasiekė įVA (29 proc.), nei gydant tik VTd deriniu (20 proc.). </w:t>
      </w:r>
      <w:r w:rsidR="008E3C91" w:rsidRPr="00DB1AC8">
        <w:t>Šansų santykis</w:t>
      </w:r>
      <w:r w:rsidR="008E3C91" w:rsidRPr="00FD12A7">
        <w:t xml:space="preserve"> buvo 1,6</w:t>
      </w:r>
      <w:r w:rsidR="008E3C91" w:rsidRPr="00D74888">
        <w:t xml:space="preserve"> (95 proc. PI: 1,21 -2,12, p=0,0010)</w:t>
      </w:r>
      <w:r w:rsidR="008E3C91">
        <w:t xml:space="preserve">. </w:t>
      </w:r>
      <w:r w:rsidR="008E3C91" w:rsidRPr="00E943BF">
        <w:rPr>
          <w:rFonts w:eastAsia="Arial"/>
          <w:u w:val="single"/>
        </w:rPr>
        <w:t xml:space="preserve">Visiškas </w:t>
      </w:r>
      <w:r w:rsidR="0077303C">
        <w:rPr>
          <w:rFonts w:eastAsia="Arial"/>
          <w:u w:val="single"/>
        </w:rPr>
        <w:t xml:space="preserve">arba geresnis </w:t>
      </w:r>
      <w:r w:rsidR="008E3C91" w:rsidRPr="00E943BF">
        <w:rPr>
          <w:rFonts w:eastAsia="Arial"/>
          <w:u w:val="single"/>
        </w:rPr>
        <w:t xml:space="preserve">atsakas į </w:t>
      </w:r>
      <w:r w:rsidR="008E3C91" w:rsidRPr="00336ADB">
        <w:rPr>
          <w:rFonts w:eastAsia="Arial"/>
          <w:u w:val="single"/>
        </w:rPr>
        <w:t>gydym</w:t>
      </w:r>
      <w:r w:rsidRPr="00336ADB">
        <w:rPr>
          <w:rFonts w:eastAsia="Arial"/>
          <w:u w:val="single"/>
        </w:rPr>
        <w:t>ą</w:t>
      </w:r>
      <w:r w:rsidR="008E3C91" w:rsidRPr="00336ADB">
        <w:rPr>
          <w:rFonts w:eastAsia="Arial"/>
          <w:u w:val="single"/>
        </w:rPr>
        <w:t xml:space="preserve"> </w:t>
      </w:r>
      <w:r w:rsidR="008E3C91">
        <w:rPr>
          <w:rFonts w:eastAsia="Arial"/>
        </w:rPr>
        <w:t xml:space="preserve">taip pat buvo </w:t>
      </w:r>
      <w:r w:rsidR="0085586D">
        <w:rPr>
          <w:rFonts w:eastAsia="Arial"/>
        </w:rPr>
        <w:t xml:space="preserve">didesnis </w:t>
      </w:r>
      <w:r w:rsidR="008E3C91">
        <w:rPr>
          <w:rFonts w:eastAsia="Arial"/>
        </w:rPr>
        <w:t xml:space="preserve">D-VTd grupėje - </w:t>
      </w:r>
      <w:r w:rsidR="006807B3">
        <w:rPr>
          <w:rFonts w:eastAsia="Arial"/>
        </w:rPr>
        <w:t xml:space="preserve">39 </w:t>
      </w:r>
      <w:r w:rsidR="008E3C91">
        <w:rPr>
          <w:rFonts w:eastAsia="Arial"/>
        </w:rPr>
        <w:t>proc. (</w:t>
      </w:r>
      <w:r w:rsidR="006807B3">
        <w:rPr>
          <w:rFonts w:eastAsia="Arial"/>
        </w:rPr>
        <w:t>201</w:t>
      </w:r>
      <w:r w:rsidR="008E3C91">
        <w:rPr>
          <w:rFonts w:eastAsia="Arial"/>
        </w:rPr>
        <w:t xml:space="preserve"> iš 503), nei VTd grupėje -  </w:t>
      </w:r>
      <w:r w:rsidR="006807B3">
        <w:rPr>
          <w:rFonts w:eastAsia="Arial"/>
        </w:rPr>
        <w:t xml:space="preserve">26 </w:t>
      </w:r>
      <w:r w:rsidR="008E3C91">
        <w:rPr>
          <w:rFonts w:eastAsia="Arial"/>
        </w:rPr>
        <w:t xml:space="preserve">proc. (141 iš 487) (p&lt;0,0001). </w:t>
      </w:r>
      <w:r w:rsidRPr="002900F4">
        <w:rPr>
          <w:rFonts w:eastAsia="Arial"/>
          <w:u w:val="single"/>
        </w:rPr>
        <w:t xml:space="preserve">Minimalios liekamosios ligos neigiamas dažnis </w:t>
      </w:r>
      <w:r>
        <w:rPr>
          <w:rFonts w:eastAsia="Arial"/>
          <w:u w:val="single"/>
        </w:rPr>
        <w:t xml:space="preserve">(MLL: </w:t>
      </w:r>
      <w:r w:rsidR="008E3C91" w:rsidRPr="00E943BF">
        <w:rPr>
          <w:rFonts w:eastAsia="Arial"/>
          <w:u w:val="single"/>
        </w:rPr>
        <w:t>10</w:t>
      </w:r>
      <w:r w:rsidR="008E3C91" w:rsidRPr="00E943BF">
        <w:rPr>
          <w:rFonts w:eastAsia="Arial"/>
          <w:u w:val="single"/>
          <w:vertAlign w:val="superscript"/>
        </w:rPr>
        <w:t>-5</w:t>
      </w:r>
      <w:r w:rsidR="008E3C91" w:rsidRPr="00E943BF">
        <w:rPr>
          <w:rFonts w:eastAsia="Arial"/>
          <w:u w:val="single"/>
        </w:rPr>
        <w:t xml:space="preserve">) </w:t>
      </w:r>
      <w:r w:rsidR="008E3C91">
        <w:rPr>
          <w:rFonts w:eastAsia="Arial"/>
        </w:rPr>
        <w:t>nepriklausomai nuo gydymo atsako kategorijos (VA arba dalinis atsakas) buvo patvirtintas 64 proc. pacientų, gydomų D-</w:t>
      </w:r>
      <w:r w:rsidR="004140C4">
        <w:rPr>
          <w:rFonts w:eastAsia="Arial"/>
        </w:rPr>
        <w:t xml:space="preserve">VTd </w:t>
      </w:r>
      <w:r w:rsidR="008E3C91">
        <w:rPr>
          <w:rFonts w:eastAsia="Arial"/>
        </w:rPr>
        <w:t xml:space="preserve">deriniu, palyginus su 44 proc. pacientų, gydomų tik VTd deriniu (p&lt;0,0001). </w:t>
      </w:r>
      <w:r w:rsidR="008E3C91" w:rsidRPr="00E943BF">
        <w:rPr>
          <w:rFonts w:eastAsia="Arial"/>
          <w:color w:val="000000" w:themeColor="text1"/>
          <w:u w:val="single"/>
        </w:rPr>
        <w:t>Išg</w:t>
      </w:r>
      <w:r w:rsidR="008E3C91">
        <w:rPr>
          <w:rFonts w:eastAsia="Arial"/>
          <w:color w:val="000000" w:themeColor="text1"/>
          <w:u w:val="single"/>
        </w:rPr>
        <w:t>y</w:t>
      </w:r>
      <w:r w:rsidR="008E3C91" w:rsidRPr="00E943BF">
        <w:rPr>
          <w:rFonts w:eastAsia="Arial"/>
          <w:color w:val="000000" w:themeColor="text1"/>
          <w:u w:val="single"/>
        </w:rPr>
        <w:t>venamumas be ligos progresavimo</w:t>
      </w:r>
      <w:r w:rsidR="008E3C91">
        <w:rPr>
          <w:rFonts w:eastAsia="Arial"/>
          <w:color w:val="000000" w:themeColor="text1"/>
        </w:rPr>
        <w:t xml:space="preserve"> statistiškai reikšmingai pagėrėjo, kai prie įprasto gydymo VTd deriniu buvo pridėtas </w:t>
      </w:r>
      <w:r w:rsidR="008E3C91" w:rsidRPr="00D74888">
        <w:t>d</w:t>
      </w:r>
      <w:r w:rsidR="008E3C91">
        <w:t xml:space="preserve">aratumumabas: rizikos santykis </w:t>
      </w:r>
      <w:r w:rsidR="008E3C91" w:rsidRPr="00FD12A7">
        <w:t>(RS)</w:t>
      </w:r>
      <w:r w:rsidR="008E3C91">
        <w:t xml:space="preserve"> – 0,47 (95 proc. PI: 0,33 – 0,67; p&lt;0,0001). Po 18 mėnesių gydymo D-VTd grupėje 93 proc. pacientų buvo be ligos progresavimo  D-VTd grupėje ir 85 proc. pacientų – VT</w:t>
      </w:r>
      <w:r w:rsidR="004140C4">
        <w:t>d</w:t>
      </w:r>
      <w:r w:rsidR="008E3C91">
        <w:t xml:space="preserve"> grupėje. </w:t>
      </w:r>
      <w:r w:rsidR="006807B3">
        <w:t>Pažymėtina, kad šis reikšmingai geresnis IBLP D-VTd grupėje išliko pacientams perėjus (antra atsitiktinių imčių atranka) prie II klinikinio tyrimo dalies – gydymo palaikymo fazės. Stebėjimo mediana palaikymo fazėje (II tyrimo dalis, tarpinė analizė) – 35,4 mėnesiai: RS</w:t>
      </w:r>
      <w:r w:rsidR="006807B3">
        <w:rPr>
          <w:lang w:val="en-GB"/>
        </w:rPr>
        <w:t>=0</w:t>
      </w:r>
      <w:r w:rsidR="006807B3">
        <w:t xml:space="preserve">,53 (95 proc. PI: 0,42-0,68; p&lt;0,0001). </w:t>
      </w:r>
      <w:r w:rsidR="00845797">
        <w:t xml:space="preserve">Tačiau gydymo palaikymo fazės vertinimas nebuvo šios paraiškos vertinimo objektas, tik nuosekliai patvirtino, kad gydymas </w:t>
      </w:r>
      <w:r w:rsidR="00845797">
        <w:rPr>
          <w:rFonts w:eastAsia="Arial"/>
        </w:rPr>
        <w:t>D-VTD deriniu yra efektyvesnis, palyginus su gydymu VTD deriniu.</w:t>
      </w:r>
      <w:r w:rsidR="00845797">
        <w:t xml:space="preserve"> </w:t>
      </w:r>
      <w:r w:rsidR="008E3C91" w:rsidRPr="00E943BF">
        <w:rPr>
          <w:rFonts w:eastAsia="Arial"/>
          <w:u w:val="single"/>
        </w:rPr>
        <w:t>Laik</w:t>
      </w:r>
      <w:r w:rsidR="004140C4">
        <w:rPr>
          <w:rFonts w:eastAsia="Arial"/>
          <w:u w:val="single"/>
        </w:rPr>
        <w:t xml:space="preserve">o-įvykio progresavimo (t.y. </w:t>
      </w:r>
      <w:r w:rsidR="004140C4" w:rsidRPr="00E943BF">
        <w:rPr>
          <w:rFonts w:eastAsia="Arial"/>
        </w:rPr>
        <w:t>pagal Tarptautinės mielomos darbo grupės (</w:t>
      </w:r>
      <w:r w:rsidR="00336ADB">
        <w:rPr>
          <w:rFonts w:eastAsia="Arial"/>
        </w:rPr>
        <w:t xml:space="preserve">angl. </w:t>
      </w:r>
      <w:r w:rsidR="00336ADB" w:rsidRPr="00454313">
        <w:rPr>
          <w:rFonts w:eastAsia="Arial"/>
          <w:i/>
        </w:rPr>
        <w:t>International Mieloma Working Group</w:t>
      </w:r>
      <w:r w:rsidR="00336ADB">
        <w:rPr>
          <w:rFonts w:eastAsia="Arial"/>
        </w:rPr>
        <w:t xml:space="preserve">, </w:t>
      </w:r>
      <w:r w:rsidR="004140C4" w:rsidRPr="00E943BF">
        <w:rPr>
          <w:rFonts w:eastAsia="Arial"/>
        </w:rPr>
        <w:t xml:space="preserve">IMWG) kriterijus arba mirties dėl ligos </w:t>
      </w:r>
      <w:r w:rsidR="004140C4">
        <w:rPr>
          <w:rFonts w:eastAsia="Arial"/>
        </w:rPr>
        <w:t xml:space="preserve">progresavimo (kas buvo pirmiau) </w:t>
      </w:r>
      <w:r w:rsidR="004140C4" w:rsidRPr="00454313">
        <w:rPr>
          <w:rFonts w:eastAsia="Arial"/>
        </w:rPr>
        <w:t>analizė</w:t>
      </w:r>
      <w:r w:rsidR="008E3C91" w:rsidRPr="00454313">
        <w:rPr>
          <w:rFonts w:eastAsia="Arial"/>
        </w:rPr>
        <w:t xml:space="preserve"> </w:t>
      </w:r>
      <w:r w:rsidR="004140C4" w:rsidRPr="00454313">
        <w:rPr>
          <w:rFonts w:eastAsia="Arial"/>
        </w:rPr>
        <w:lastRenderedPageBreak/>
        <w:t>parodė, kad</w:t>
      </w:r>
      <w:r w:rsidR="004140C4">
        <w:rPr>
          <w:rFonts w:eastAsia="Arial"/>
          <w:u w:val="single"/>
        </w:rPr>
        <w:t xml:space="preserve"> </w:t>
      </w:r>
      <w:r w:rsidR="004140C4">
        <w:rPr>
          <w:rFonts w:eastAsia="Arial"/>
        </w:rPr>
        <w:t>b</w:t>
      </w:r>
      <w:r w:rsidR="008E3C91">
        <w:rPr>
          <w:rFonts w:eastAsia="Arial"/>
        </w:rPr>
        <w:t xml:space="preserve">endrai </w:t>
      </w:r>
      <w:r w:rsidR="004140C4">
        <w:rPr>
          <w:rFonts w:eastAsia="Arial"/>
        </w:rPr>
        <w:t xml:space="preserve">buvo nustatyta </w:t>
      </w:r>
      <w:r w:rsidR="008E3C91">
        <w:rPr>
          <w:rFonts w:eastAsia="Arial"/>
        </w:rPr>
        <w:t>118 įvykių</w:t>
      </w:r>
      <w:r w:rsidR="004140C4">
        <w:rPr>
          <w:rFonts w:eastAsia="Arial"/>
        </w:rPr>
        <w:t xml:space="preserve">, o </w:t>
      </w:r>
      <w:r w:rsidR="008E3C91">
        <w:rPr>
          <w:rFonts w:eastAsia="Arial"/>
        </w:rPr>
        <w:t xml:space="preserve"> duomenų brandumas </w:t>
      </w:r>
      <w:r w:rsidR="004140C4">
        <w:rPr>
          <w:rFonts w:eastAsia="Arial"/>
        </w:rPr>
        <w:t xml:space="preserve">sudarė </w:t>
      </w:r>
      <w:r w:rsidR="008E3C91">
        <w:rPr>
          <w:rFonts w:eastAsia="Arial"/>
        </w:rPr>
        <w:t>apie 10 proc.. Nustatyti 42 iš 543 įvykiai D-VTd grupėje ir 76 įvykiai iš 542 VTd grupėje. RS buvo 0,52 (95 proc. 95 PI: 0,36-0,76; p</w:t>
      </w:r>
      <w:r w:rsidR="008E3C91">
        <w:rPr>
          <w:rFonts w:eastAsia="Arial"/>
          <w:lang w:val="en-GB"/>
        </w:rPr>
        <w:t>=</w:t>
      </w:r>
      <w:r w:rsidR="008E3C91">
        <w:rPr>
          <w:rFonts w:eastAsia="Arial"/>
        </w:rPr>
        <w:t>0,0006)</w:t>
      </w:r>
      <w:r w:rsidR="004140C4">
        <w:rPr>
          <w:rFonts w:eastAsia="Arial"/>
        </w:rPr>
        <w:t xml:space="preserve">: D-VTd grupėje buvo mažiau įvykių palyginus su VTd grupėje. </w:t>
      </w:r>
      <w:r w:rsidR="008E3C91">
        <w:rPr>
          <w:rFonts w:eastAsia="Arial"/>
        </w:rPr>
        <w:t>D-VTd grupėje buvo užfiksuota 14</w:t>
      </w:r>
      <w:r w:rsidR="008E3C91" w:rsidRPr="0012776B">
        <w:rPr>
          <w:rFonts w:eastAsia="Arial"/>
        </w:rPr>
        <w:t xml:space="preserve"> </w:t>
      </w:r>
      <w:r w:rsidR="008E3C91">
        <w:rPr>
          <w:rFonts w:eastAsia="Arial"/>
        </w:rPr>
        <w:t xml:space="preserve">mirties atvejų ir 32 atvejai - VTd grupėje. </w:t>
      </w:r>
      <w:r w:rsidR="008E3C91" w:rsidRPr="001E5B35">
        <w:rPr>
          <w:rFonts w:eastAsia="Arial"/>
          <w:u w:val="single"/>
        </w:rPr>
        <w:t>Bendras išg</w:t>
      </w:r>
      <w:r w:rsidR="008E3C91">
        <w:rPr>
          <w:rFonts w:eastAsia="Arial"/>
          <w:u w:val="single"/>
        </w:rPr>
        <w:t>y</w:t>
      </w:r>
      <w:r w:rsidR="008E3C91" w:rsidRPr="001E5B35">
        <w:rPr>
          <w:rFonts w:eastAsia="Arial"/>
          <w:u w:val="single"/>
        </w:rPr>
        <w:t>venamumas</w:t>
      </w:r>
      <w:r w:rsidR="008E3C91">
        <w:rPr>
          <w:rFonts w:eastAsia="Arial"/>
        </w:rPr>
        <w:t xml:space="preserve"> </w:t>
      </w:r>
      <w:r w:rsidR="00336ADB">
        <w:rPr>
          <w:rFonts w:eastAsia="Arial"/>
        </w:rPr>
        <w:t xml:space="preserve">(BI) </w:t>
      </w:r>
      <w:r w:rsidR="008E3C91">
        <w:rPr>
          <w:rFonts w:eastAsia="Arial"/>
        </w:rPr>
        <w:t>po pirmos atsitiktinių imčių atrankos buvo D-VTd derinio naudai,</w:t>
      </w:r>
      <w:r w:rsidR="008E3C91" w:rsidRPr="008E5D5B">
        <w:rPr>
          <w:rFonts w:eastAsia="Arial"/>
        </w:rPr>
        <w:t xml:space="preserve"> </w:t>
      </w:r>
      <w:r w:rsidR="008E3C91">
        <w:rPr>
          <w:rFonts w:eastAsia="Arial"/>
        </w:rPr>
        <w:t xml:space="preserve">tačiau dėl duomenų nebrandumo išvados padaryti neįmanoma. </w:t>
      </w:r>
      <w:r w:rsidR="008E3C91">
        <w:t>Klinikinių tyrimų duomenimis, apie 82 proc. pacientų, kuriems pirmą kartą nustatyta dauginės mielomos diagnozė bei ind</w:t>
      </w:r>
      <w:r w:rsidR="00336ADB">
        <w:t>i</w:t>
      </w:r>
      <w:r w:rsidR="008E3C91">
        <w:t xml:space="preserve">kuotina autologinė KKLT ir kuriems taikomas šiuolaikinis gydymas, BI yra </w:t>
      </w:r>
      <w:r w:rsidR="00336ADB">
        <w:t xml:space="preserve">maždaug </w:t>
      </w:r>
      <w:r w:rsidR="008E3C91">
        <w:t>4 met</w:t>
      </w:r>
      <w:r w:rsidR="00336ADB">
        <w:t>ai</w:t>
      </w:r>
      <w:r w:rsidR="008E3C91">
        <w:t xml:space="preserve"> (</w:t>
      </w:r>
      <w:r w:rsidR="008E3C91" w:rsidRPr="006F48DB">
        <w:rPr>
          <w:i/>
        </w:rPr>
        <w:t>angl. Intergroupe Francophone du Myelome, IFM, 2009)</w:t>
      </w:r>
      <w:r w:rsidR="008E3C91">
        <w:t xml:space="preserve">. Panašūs rezultatai buvo </w:t>
      </w:r>
      <w:r w:rsidR="002F3AF6">
        <w:t>stebimi</w:t>
      </w:r>
      <w:r w:rsidR="008E3C91">
        <w:t xml:space="preserve">, vertinant gydymo rezultatus realaus gyvenimo </w:t>
      </w:r>
      <w:r w:rsidR="00336ADB">
        <w:t>sąlygomis</w:t>
      </w:r>
      <w:r w:rsidR="008E3C91">
        <w:t>, 82,3 proc. pacientų, kuriems nustatyta standartinė citogininė rizika, išgyvena 4 metus nuo gydymo pradžios.</w:t>
      </w:r>
      <w:r w:rsidR="002F3AF6">
        <w:t xml:space="preserve"> </w:t>
      </w:r>
      <w:r w:rsidR="008E3C91">
        <w:t xml:space="preserve">Klinikinio tyrimo CASSIOPIEA I dalies </w:t>
      </w:r>
      <w:r w:rsidR="008E3C91" w:rsidRPr="006015B4">
        <w:t>BI rezultatai po 18 mėnesių (mediana) gydymo parodė, kad VTd grupėje 91,1 proc. pacientų ir D-VTd – 95,2 proc. išgyveno</w:t>
      </w:r>
      <w:r w:rsidR="008E3C91">
        <w:t xml:space="preserve">. </w:t>
      </w:r>
      <w:r w:rsidR="00961ACF">
        <w:rPr>
          <w:rFonts w:eastAsia="Arial"/>
          <w:color w:val="000000" w:themeColor="text1"/>
        </w:rPr>
        <w:t xml:space="preserve">Antrinė tarpinė analizė parodė, kad BI mediana nebuvo pasiekta abejose tyrimo grupėse. Bendrai 41 iš 543 pacientų (8 proc.)  D-VTd grupėje ir 73 iš 542 (13 proc.) mirties atvejų buvo užfiksuota po 35,4 mėnesių stebėjimo (mediana). BI duomenys yra nebrandūs, šiuo metu vyksta tolimesnis pacientų, patekusių į gydymo palaikymo fazę, stebėjimas. </w:t>
      </w:r>
      <w:r w:rsidR="00B21484">
        <w:t>Remiantis klinikinio tyrimo CASSI</w:t>
      </w:r>
      <w:r w:rsidR="00336ADB">
        <w:t>O</w:t>
      </w:r>
      <w:r w:rsidR="00B21484">
        <w:t xml:space="preserve">PIEA duomenimis per pirmus 35 gydymo mėnesius, BI mediana tikėtina bus ilgesnė gydant naujai diagnozuotus pacientus dratumumabu derinat su </w:t>
      </w:r>
      <w:r w:rsidR="00B21484" w:rsidRPr="00A8512A">
        <w:rPr>
          <w:rFonts w:eastAsia="Arial"/>
          <w:i/>
        </w:rPr>
        <w:t>su bortezomibu, talidomidu ir deksametazonu</w:t>
      </w:r>
      <w:r w:rsidR="00B21484">
        <w:rPr>
          <w:rFonts w:eastAsia="Arial"/>
          <w:i/>
        </w:rPr>
        <w:t xml:space="preserve">, nei skiriant tik </w:t>
      </w:r>
      <w:r w:rsidR="00B21484" w:rsidRPr="00A8512A">
        <w:rPr>
          <w:rFonts w:eastAsia="Arial"/>
          <w:i/>
        </w:rPr>
        <w:t>bortezomib</w:t>
      </w:r>
      <w:r w:rsidR="00B21484">
        <w:rPr>
          <w:rFonts w:eastAsia="Arial"/>
          <w:i/>
        </w:rPr>
        <w:t>ą</w:t>
      </w:r>
      <w:r w:rsidR="00B21484" w:rsidRPr="00A8512A">
        <w:rPr>
          <w:rFonts w:eastAsia="Arial"/>
          <w:i/>
        </w:rPr>
        <w:t>, talidomid</w:t>
      </w:r>
      <w:r w:rsidR="00B21484">
        <w:rPr>
          <w:rFonts w:eastAsia="Arial"/>
          <w:i/>
        </w:rPr>
        <w:t>ą</w:t>
      </w:r>
      <w:r w:rsidR="00B21484" w:rsidRPr="00A8512A">
        <w:rPr>
          <w:rFonts w:eastAsia="Arial"/>
          <w:i/>
        </w:rPr>
        <w:t xml:space="preserve"> ir deksametazon</w:t>
      </w:r>
      <w:r w:rsidR="00B21484">
        <w:rPr>
          <w:rFonts w:eastAsia="Arial"/>
          <w:i/>
        </w:rPr>
        <w:t>ą</w:t>
      </w:r>
      <w:r w:rsidR="00B21484">
        <w:t xml:space="preserve">. Tačiau stebėjimo laikotarpis tęsiasi ir galutiniai BI rezultatai nepaskelbti. </w:t>
      </w:r>
      <w:r w:rsidR="00B21484" w:rsidRPr="00875516">
        <w:rPr>
          <w:bCs/>
          <w:u w:val="single"/>
          <w:lang w:eastAsia="lt-LT"/>
        </w:rPr>
        <w:t>Pacientų praneštos baigtys</w:t>
      </w:r>
      <w:r w:rsidR="00B21484">
        <w:rPr>
          <w:bCs/>
          <w:lang w:eastAsia="lt-LT"/>
        </w:rPr>
        <w:t xml:space="preserve">. </w:t>
      </w:r>
      <w:r w:rsidR="00B21484" w:rsidRPr="00C54F73">
        <w:rPr>
          <w:bCs/>
          <w:lang w:eastAsia="lt-LT"/>
        </w:rPr>
        <w:t xml:space="preserve">Įvertinus </w:t>
      </w:r>
      <w:r w:rsidR="00B21484">
        <w:rPr>
          <w:bCs/>
          <w:lang w:eastAsia="lt-LT"/>
        </w:rPr>
        <w:t>funkcinės būklės ir gyvenimo kokybės rezultatus pagal EORTC-QLQ-C30 bei EQ-5D-5L klausimynus, bendrai parodė, kad pacientų su sveikata susijusi gyvenimo kokybė pag</w:t>
      </w:r>
      <w:r w:rsidR="00336ADB">
        <w:rPr>
          <w:bCs/>
          <w:lang w:eastAsia="lt-LT"/>
        </w:rPr>
        <w:t>e</w:t>
      </w:r>
      <w:r w:rsidR="00B21484">
        <w:rPr>
          <w:bCs/>
          <w:lang w:eastAsia="lt-LT"/>
        </w:rPr>
        <w:t>rėjo ab</w:t>
      </w:r>
      <w:r w:rsidR="00336ADB">
        <w:rPr>
          <w:bCs/>
          <w:lang w:eastAsia="lt-LT"/>
        </w:rPr>
        <w:t>i</w:t>
      </w:r>
      <w:r w:rsidR="00B21484">
        <w:rPr>
          <w:bCs/>
          <w:lang w:eastAsia="lt-LT"/>
        </w:rPr>
        <w:t>ejose grupėse bei skirtumų tarp grupių nebuvo nustatyta per visą I dalies gydymo laikotarpį (18 mėnesių).</w:t>
      </w:r>
    </w:p>
    <w:p w14:paraId="010656AC" w14:textId="6D743685" w:rsidR="008E3C91" w:rsidRPr="00DC23A6" w:rsidRDefault="00B21484" w:rsidP="00B21484">
      <w:pPr>
        <w:tabs>
          <w:tab w:val="left" w:pos="492"/>
        </w:tabs>
        <w:spacing w:line="276" w:lineRule="auto"/>
        <w:jc w:val="both"/>
        <w:outlineLvl w:val="1"/>
        <w:rPr>
          <w:rFonts w:eastAsia="Arial"/>
        </w:rPr>
      </w:pPr>
      <w:r>
        <w:rPr>
          <w:bCs/>
          <w:lang w:eastAsia="lt-LT"/>
        </w:rPr>
        <w:tab/>
      </w:r>
      <w:r w:rsidR="00692A3C">
        <w:rPr>
          <w:rFonts w:eastAsia="Arial"/>
        </w:rPr>
        <w:t>K</w:t>
      </w:r>
      <w:r w:rsidR="008E3C91">
        <w:rPr>
          <w:rFonts w:eastAsia="Arial"/>
        </w:rPr>
        <w:t>linikinis</w:t>
      </w:r>
      <w:r w:rsidR="008E3C91" w:rsidRPr="0090059A">
        <w:rPr>
          <w:rFonts w:eastAsia="Arial"/>
        </w:rPr>
        <w:t xml:space="preserve"> tyrimas </w:t>
      </w:r>
      <w:r w:rsidR="00692A3C">
        <w:rPr>
          <w:rFonts w:eastAsia="Arial"/>
        </w:rPr>
        <w:t>CASSI</w:t>
      </w:r>
      <w:r w:rsidR="00336ADB">
        <w:rPr>
          <w:rFonts w:eastAsia="Arial"/>
        </w:rPr>
        <w:t>O</w:t>
      </w:r>
      <w:r w:rsidR="00692A3C">
        <w:rPr>
          <w:rFonts w:eastAsia="Arial"/>
        </w:rPr>
        <w:t>PIEA</w:t>
      </w:r>
      <w:r w:rsidR="00692A3C" w:rsidRPr="0090059A">
        <w:rPr>
          <w:rFonts w:eastAsia="Arial"/>
        </w:rPr>
        <w:t xml:space="preserve"> </w:t>
      </w:r>
      <w:r w:rsidR="008E3C91" w:rsidRPr="0090059A">
        <w:rPr>
          <w:rFonts w:eastAsia="Arial"/>
        </w:rPr>
        <w:t xml:space="preserve">yra </w:t>
      </w:r>
      <w:r>
        <w:rPr>
          <w:rFonts w:eastAsia="Arial"/>
        </w:rPr>
        <w:t xml:space="preserve">registracinis </w:t>
      </w:r>
      <w:r w:rsidR="008E3C91" w:rsidRPr="0090059A">
        <w:rPr>
          <w:rFonts w:eastAsia="Arial"/>
        </w:rPr>
        <w:t>klinikinis tyrimas, r</w:t>
      </w:r>
      <w:r w:rsidR="008E3C91">
        <w:rPr>
          <w:rFonts w:eastAsia="Arial"/>
        </w:rPr>
        <w:t>e</w:t>
      </w:r>
      <w:r w:rsidR="008E3C91" w:rsidRPr="0090059A">
        <w:rPr>
          <w:rFonts w:eastAsia="Arial"/>
        </w:rPr>
        <w:t>m</w:t>
      </w:r>
      <w:r w:rsidR="008E3C91">
        <w:rPr>
          <w:rFonts w:eastAsia="Arial"/>
        </w:rPr>
        <w:t>i</w:t>
      </w:r>
      <w:r>
        <w:rPr>
          <w:rFonts w:eastAsia="Arial"/>
        </w:rPr>
        <w:t xml:space="preserve">antis </w:t>
      </w:r>
      <w:r w:rsidR="009F7C7F">
        <w:rPr>
          <w:rFonts w:eastAsia="Arial"/>
        </w:rPr>
        <w:t>jo</w:t>
      </w:r>
      <w:r>
        <w:rPr>
          <w:rFonts w:eastAsia="Arial"/>
        </w:rPr>
        <w:t xml:space="preserve"> </w:t>
      </w:r>
      <w:r w:rsidR="009F7C7F">
        <w:rPr>
          <w:rFonts w:eastAsia="Arial"/>
        </w:rPr>
        <w:t>rezultatais</w:t>
      </w:r>
      <w:r w:rsidR="008E3C91" w:rsidRPr="0090059A">
        <w:rPr>
          <w:rFonts w:eastAsia="Arial"/>
        </w:rPr>
        <w:t xml:space="preserve"> </w:t>
      </w:r>
      <w:r w:rsidR="008E3C91">
        <w:rPr>
          <w:rFonts w:eastAsia="Arial"/>
        </w:rPr>
        <w:t xml:space="preserve">daratumumabui </w:t>
      </w:r>
      <w:r w:rsidR="008E3C91" w:rsidRPr="0090059A">
        <w:rPr>
          <w:rFonts w:eastAsia="Arial"/>
        </w:rPr>
        <w:t xml:space="preserve">buvo </w:t>
      </w:r>
      <w:r w:rsidR="008E3C91">
        <w:rPr>
          <w:rFonts w:eastAsia="Arial"/>
        </w:rPr>
        <w:t>registruot</w:t>
      </w:r>
      <w:r w:rsidR="00336ADB">
        <w:rPr>
          <w:rFonts w:eastAsia="Arial"/>
        </w:rPr>
        <w:t>a</w:t>
      </w:r>
      <w:r w:rsidR="008E3C91">
        <w:rPr>
          <w:rFonts w:eastAsia="Arial"/>
        </w:rPr>
        <w:t xml:space="preserve"> indikacij</w:t>
      </w:r>
      <w:r w:rsidR="00336ADB">
        <w:rPr>
          <w:rFonts w:eastAsia="Arial"/>
        </w:rPr>
        <w:t>a</w:t>
      </w:r>
      <w:r w:rsidR="008E3C91" w:rsidRPr="00A8512A">
        <w:rPr>
          <w:rFonts w:eastAsia="Arial"/>
          <w:i/>
        </w:rPr>
        <w:t>: „derinant su bortezomibu, talidomidu ir deksametazonu gydymui suaugusiems pacientams,</w:t>
      </w:r>
      <w:r w:rsidR="008E3C91">
        <w:rPr>
          <w:rFonts w:eastAsia="Arial"/>
          <w:i/>
        </w:rPr>
        <w:t xml:space="preserve"> </w:t>
      </w:r>
      <w:r w:rsidR="008E3C91" w:rsidRPr="00A8512A">
        <w:rPr>
          <w:rFonts w:eastAsia="Arial"/>
          <w:i/>
        </w:rPr>
        <w:t>kuriems naujai buvo diagnozuota daugybinė mieloma ir kuriems tinka autologinė kamieninių</w:t>
      </w:r>
      <w:r w:rsidR="008E3C91">
        <w:rPr>
          <w:rFonts w:eastAsia="Arial"/>
          <w:i/>
        </w:rPr>
        <w:t xml:space="preserve"> </w:t>
      </w:r>
      <w:r w:rsidR="008E3C91" w:rsidRPr="00A8512A">
        <w:rPr>
          <w:rFonts w:eastAsia="Arial"/>
          <w:i/>
        </w:rPr>
        <w:t>ląstelių transplantacija“.</w:t>
      </w:r>
      <w:r w:rsidR="004B0472">
        <w:rPr>
          <w:rFonts w:eastAsia="Arial"/>
          <w:i/>
        </w:rPr>
        <w:t xml:space="preserve"> </w:t>
      </w:r>
      <w:r w:rsidR="004B0472">
        <w:rPr>
          <w:rFonts w:eastAsia="Arial"/>
        </w:rPr>
        <w:t>Vertinamosios baigtys buvo aiškiai apibrėžtos bei atitiko E</w:t>
      </w:r>
      <w:r w:rsidR="00336ADB">
        <w:rPr>
          <w:rFonts w:eastAsia="Arial"/>
        </w:rPr>
        <w:t>uropos vaistų agentūros</w:t>
      </w:r>
      <w:r w:rsidR="004B0472">
        <w:rPr>
          <w:rFonts w:eastAsia="Arial"/>
        </w:rPr>
        <w:t xml:space="preserve"> rekomendacij</w:t>
      </w:r>
      <w:r w:rsidR="00336ADB">
        <w:rPr>
          <w:rFonts w:eastAsia="Arial"/>
        </w:rPr>
        <w:t>a</w:t>
      </w:r>
      <w:r w:rsidR="004B0472">
        <w:rPr>
          <w:rFonts w:eastAsia="Arial"/>
        </w:rPr>
        <w:t>s (</w:t>
      </w:r>
      <w:r w:rsidR="004B0472">
        <w:t>EMA/CHMP/205/95 Rev.6, 2019), kuriose reglamentuojama, kad kai VA yra pirminė baigtis, IBLP ir BI turi būti - antrinės baigtys.</w:t>
      </w:r>
      <w:r w:rsidR="004B0472">
        <w:rPr>
          <w:rFonts w:eastAsia="Arial"/>
        </w:rPr>
        <w:t xml:space="preserve"> </w:t>
      </w:r>
      <w:r w:rsidR="004B0472" w:rsidRPr="004B0472">
        <w:rPr>
          <w:rFonts w:eastAsia="Arial"/>
        </w:rPr>
        <w:t>P</w:t>
      </w:r>
      <w:r w:rsidR="008E3C91" w:rsidRPr="004B0472">
        <w:rPr>
          <w:rFonts w:eastAsia="Arial"/>
        </w:rPr>
        <w:t>aly</w:t>
      </w:r>
      <w:r w:rsidR="008E3C91" w:rsidRPr="00DC23A6">
        <w:rPr>
          <w:rFonts w:eastAsia="Arial"/>
        </w:rPr>
        <w:t xml:space="preserve">ginamasis saugumas aprašytas </w:t>
      </w:r>
      <w:r w:rsidR="00DC23A6" w:rsidRPr="00DC23A6">
        <w:rPr>
          <w:rFonts w:eastAsia="Arial"/>
        </w:rPr>
        <w:t>preparato charakteristikų santraukoje</w:t>
      </w:r>
      <w:r w:rsidR="008E3C91" w:rsidRPr="00DC23A6">
        <w:rPr>
          <w:rFonts w:eastAsia="Arial"/>
        </w:rPr>
        <w:t>.</w:t>
      </w:r>
      <w:r w:rsidR="00DC23A6">
        <w:rPr>
          <w:rFonts w:eastAsia="Arial"/>
        </w:rPr>
        <w:t xml:space="preserve"> Nebūdingų ar naujų nepageidaujamų reiškinių klinikiniame tyrime </w:t>
      </w:r>
      <w:r w:rsidR="00692A3C">
        <w:rPr>
          <w:rFonts w:eastAsia="Arial"/>
        </w:rPr>
        <w:t>CASSI</w:t>
      </w:r>
      <w:r w:rsidR="00336ADB">
        <w:rPr>
          <w:rFonts w:eastAsia="Arial"/>
        </w:rPr>
        <w:t>O</w:t>
      </w:r>
      <w:r w:rsidR="00692A3C">
        <w:rPr>
          <w:rFonts w:eastAsia="Arial"/>
        </w:rPr>
        <w:t xml:space="preserve">PIEA </w:t>
      </w:r>
      <w:r w:rsidR="00DC23A6">
        <w:rPr>
          <w:rFonts w:eastAsia="Arial"/>
        </w:rPr>
        <w:t>nebuvo</w:t>
      </w:r>
      <w:r w:rsidR="007E6D07">
        <w:rPr>
          <w:rFonts w:eastAsia="Arial"/>
        </w:rPr>
        <w:t xml:space="preserve"> nusta</w:t>
      </w:r>
      <w:r w:rsidR="00454313">
        <w:rPr>
          <w:rFonts w:eastAsia="Arial"/>
        </w:rPr>
        <w:t>t</w:t>
      </w:r>
      <w:r w:rsidR="007E6D07">
        <w:rPr>
          <w:rFonts w:eastAsia="Arial"/>
        </w:rPr>
        <w:t>yta</w:t>
      </w:r>
      <w:r w:rsidR="00DC23A6">
        <w:rPr>
          <w:rFonts w:eastAsia="Arial"/>
        </w:rPr>
        <w:t>.</w:t>
      </w:r>
    </w:p>
    <w:p w14:paraId="6B37A6E0" w14:textId="1229DDBC" w:rsidR="008E3C91" w:rsidRDefault="008E3C91" w:rsidP="008E3C91">
      <w:pPr>
        <w:spacing w:line="276" w:lineRule="auto"/>
        <w:ind w:firstLine="720"/>
        <w:jc w:val="both"/>
        <w:rPr>
          <w:rFonts w:eastAsia="Arial"/>
        </w:rPr>
      </w:pPr>
      <w:r w:rsidRPr="00AB71E1">
        <w:rPr>
          <w:rFonts w:eastAsia="Arial"/>
        </w:rPr>
        <w:t>Api</w:t>
      </w:r>
      <w:r>
        <w:rPr>
          <w:rFonts w:eastAsia="Arial"/>
        </w:rPr>
        <w:t>be</w:t>
      </w:r>
      <w:r w:rsidRPr="00AB71E1">
        <w:rPr>
          <w:rFonts w:eastAsia="Arial"/>
        </w:rPr>
        <w:t>ndrinant</w:t>
      </w:r>
      <w:r>
        <w:rPr>
          <w:rFonts w:eastAsia="Arial"/>
        </w:rPr>
        <w:t xml:space="preserve"> klinikinių duomenų </w:t>
      </w:r>
      <w:r w:rsidR="007E6D07">
        <w:rPr>
          <w:rFonts w:eastAsia="Arial"/>
        </w:rPr>
        <w:t>rezultatus</w:t>
      </w:r>
      <w:r>
        <w:rPr>
          <w:rFonts w:eastAsia="Arial"/>
        </w:rPr>
        <w:t xml:space="preserve">, </w:t>
      </w:r>
      <w:r w:rsidR="007E6D07">
        <w:rPr>
          <w:rFonts w:eastAsia="Arial"/>
        </w:rPr>
        <w:t>daroma išvada</w:t>
      </w:r>
      <w:r>
        <w:rPr>
          <w:rFonts w:eastAsia="Arial"/>
        </w:rPr>
        <w:t xml:space="preserve">, kad daratumumabo </w:t>
      </w:r>
      <w:r w:rsidR="007E6D07">
        <w:rPr>
          <w:rFonts w:eastAsia="Arial"/>
        </w:rPr>
        <w:t xml:space="preserve">vartojamas </w:t>
      </w:r>
      <w:r>
        <w:rPr>
          <w:rFonts w:eastAsia="Arial"/>
        </w:rPr>
        <w:t xml:space="preserve">derinyje </w:t>
      </w:r>
      <w:r w:rsidRPr="00AB71E1">
        <w:rPr>
          <w:rFonts w:eastAsia="Arial"/>
        </w:rPr>
        <w:t>su bortezomibu, talidomidu ir deksametazonu</w:t>
      </w:r>
      <w:r>
        <w:rPr>
          <w:rFonts w:eastAsia="Arial"/>
        </w:rPr>
        <w:t xml:space="preserve"> </w:t>
      </w:r>
      <w:r w:rsidRPr="005D0A16">
        <w:t>pacientams, kuriems naujai buvo diagnozuota daugybinė mieloma ir kuriems tinka autologinė kamieninių ląstelių transplantacija</w:t>
      </w:r>
      <w:r>
        <w:t xml:space="preserve"> pasižymi didesniu palyginamuoju efektyvumu, palyginus su įprastine klinikine praktika Lietuvoje (t.y. bortezomibo</w:t>
      </w:r>
      <w:r w:rsidRPr="005D0A16">
        <w:t>, talidomid</w:t>
      </w:r>
      <w:r>
        <w:t>o ir deksametazon derin</w:t>
      </w:r>
      <w:r w:rsidR="007E6D07">
        <w:t>iu</w:t>
      </w:r>
      <w:r>
        <w:t xml:space="preserve">), todėl tikėtina sukuria </w:t>
      </w:r>
      <w:r w:rsidRPr="00D05364">
        <w:t>papildom</w:t>
      </w:r>
      <w:r>
        <w:t>ą</w:t>
      </w:r>
      <w:r w:rsidRPr="00D05364">
        <w:t xml:space="preserve"> naud</w:t>
      </w:r>
      <w:r>
        <w:t xml:space="preserve">ą </w:t>
      </w:r>
      <w:r w:rsidR="002F3AF6">
        <w:t xml:space="preserve">šių </w:t>
      </w:r>
      <w:r>
        <w:t>pacientų sveikatai.</w:t>
      </w:r>
    </w:p>
    <w:p w14:paraId="5109C787" w14:textId="77777777" w:rsidR="008E3C91" w:rsidRPr="001E4848" w:rsidRDefault="008E3C91" w:rsidP="008E3C91">
      <w:pPr>
        <w:tabs>
          <w:tab w:val="left" w:pos="426"/>
        </w:tabs>
        <w:spacing w:line="276" w:lineRule="auto"/>
        <w:jc w:val="both"/>
        <w:rPr>
          <w:bCs/>
        </w:rPr>
      </w:pPr>
    </w:p>
    <w:p w14:paraId="25F89291" w14:textId="5C45C8FC" w:rsidR="00D4485B" w:rsidRPr="00E33EFF" w:rsidRDefault="00D4485B" w:rsidP="00A93AA6">
      <w:pPr>
        <w:pStyle w:val="Sraopastraipa"/>
        <w:tabs>
          <w:tab w:val="left" w:pos="426"/>
        </w:tabs>
        <w:ind w:left="0"/>
        <w:rPr>
          <w:b/>
          <w:bCs/>
          <w:caps/>
        </w:rPr>
      </w:pPr>
    </w:p>
    <w:p w14:paraId="7DE09EB5" w14:textId="69E9DD74" w:rsidR="00E03C3F" w:rsidRPr="00E33EFF" w:rsidRDefault="00CC7832" w:rsidP="00CC09D4">
      <w:pPr>
        <w:pStyle w:val="Sraopastraipa"/>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1A900598" w14:textId="2B706A73" w:rsidR="00C62B36" w:rsidRDefault="00C62B36" w:rsidP="00A93AA6">
      <w:pPr>
        <w:tabs>
          <w:tab w:val="left" w:pos="426"/>
        </w:tabs>
        <w:rPr>
          <w:i/>
          <w:color w:val="00B050"/>
          <w:sz w:val="22"/>
          <w:szCs w:val="22"/>
        </w:rPr>
      </w:pPr>
    </w:p>
    <w:p w14:paraId="20E4C81D" w14:textId="6DFEAEF0" w:rsidR="00B6585A" w:rsidRDefault="00B6585A" w:rsidP="00B6585A">
      <w:pPr>
        <w:tabs>
          <w:tab w:val="left" w:pos="426"/>
        </w:tabs>
        <w:spacing w:line="276" w:lineRule="auto"/>
        <w:jc w:val="both"/>
        <w:rPr>
          <w:lang w:eastAsia="lt-LT"/>
        </w:rPr>
      </w:pPr>
      <w:r>
        <w:rPr>
          <w:lang w:eastAsia="lt-LT"/>
        </w:rPr>
        <w:tab/>
      </w:r>
      <w:r w:rsidRPr="00C76B70">
        <w:rPr>
          <w:lang w:eastAsia="lt-LT"/>
        </w:rPr>
        <w:t>Pareiškėjas ekonominėje analizėje įtraukia</w:t>
      </w:r>
      <w:r>
        <w:rPr>
          <w:lang w:eastAsia="lt-LT"/>
        </w:rPr>
        <w:t xml:space="preserve"> </w:t>
      </w:r>
      <w:r w:rsidRPr="00C76B70">
        <w:rPr>
          <w:lang w:eastAsia="lt-LT"/>
        </w:rPr>
        <w:t xml:space="preserve">bendrojo išgyvenamumo (BI, angl. </w:t>
      </w:r>
      <w:r w:rsidRPr="00EA7DE7">
        <w:rPr>
          <w:i/>
          <w:lang w:eastAsia="lt-LT"/>
        </w:rPr>
        <w:t>overall survival</w:t>
      </w:r>
      <w:r w:rsidRPr="00C76B70">
        <w:rPr>
          <w:lang w:eastAsia="lt-LT"/>
        </w:rPr>
        <w:t xml:space="preserve">), išgyvenamumo be ligos progreso (IBLP, angl. </w:t>
      </w:r>
      <w:r w:rsidRPr="00EA7DE7">
        <w:rPr>
          <w:i/>
          <w:lang w:eastAsia="lt-LT"/>
        </w:rPr>
        <w:t>progression free survival</w:t>
      </w:r>
      <w:r w:rsidRPr="00C76B70">
        <w:rPr>
          <w:lang w:eastAsia="lt-LT"/>
        </w:rPr>
        <w:t>) ir gydymo tru</w:t>
      </w:r>
      <w:r>
        <w:rPr>
          <w:lang w:eastAsia="lt-LT"/>
        </w:rPr>
        <w:t xml:space="preserve">kmės (angl. </w:t>
      </w:r>
      <w:r w:rsidRPr="00EA7DE7">
        <w:rPr>
          <w:i/>
          <w:lang w:eastAsia="lt-LT"/>
        </w:rPr>
        <w:t>treatment duration</w:t>
      </w:r>
      <w:r>
        <w:rPr>
          <w:lang w:eastAsia="lt-LT"/>
        </w:rPr>
        <w:t xml:space="preserve">) </w:t>
      </w:r>
      <w:r w:rsidRPr="00C76B70">
        <w:rPr>
          <w:lang w:eastAsia="lt-LT"/>
        </w:rPr>
        <w:t xml:space="preserve">paciento lygmens duomenis iš CASSIOPEIA </w:t>
      </w:r>
      <w:r>
        <w:rPr>
          <w:lang w:eastAsia="lt-LT"/>
        </w:rPr>
        <w:t xml:space="preserve">III fazės </w:t>
      </w:r>
      <w:r w:rsidRPr="00C76B70">
        <w:rPr>
          <w:lang w:eastAsia="lt-LT"/>
        </w:rPr>
        <w:t>tiesioginio palyginimo</w:t>
      </w:r>
      <w:r>
        <w:rPr>
          <w:rFonts w:eastAsia="Arial"/>
        </w:rPr>
        <w:t xml:space="preserve"> </w:t>
      </w:r>
      <w:r w:rsidRPr="00C76B70">
        <w:rPr>
          <w:lang w:eastAsia="lt-LT"/>
        </w:rPr>
        <w:t>klinikinio tyrimo.</w:t>
      </w:r>
      <w:r>
        <w:rPr>
          <w:lang w:eastAsia="lt-LT"/>
        </w:rPr>
        <w:t xml:space="preserve"> Tiriamoji populiacija atitinka </w:t>
      </w:r>
      <w:r w:rsidRPr="00C76B70">
        <w:rPr>
          <w:rFonts w:eastAsia="Arial"/>
        </w:rPr>
        <w:t xml:space="preserve">pateiktą kompensuoti indikaciją: pacientai, kuriems buvo pirmą kartą diagnozuota dauginė mieloma ir kuriems turi būti paskirta didelių dozių chemoterapija ir </w:t>
      </w:r>
      <w:r w:rsidRPr="00C76B70">
        <w:t xml:space="preserve">autologinė kraujodaros kamieninių ląstelių transplantacija (ITT populiacija (angl. </w:t>
      </w:r>
      <w:r w:rsidRPr="0057037B">
        <w:rPr>
          <w:i/>
          <w:snapToGrid w:val="0"/>
        </w:rPr>
        <w:lastRenderedPageBreak/>
        <w:t>intention-to-treat population</w:t>
      </w:r>
      <w:r w:rsidRPr="00C76B70">
        <w:rPr>
          <w:snapToGrid w:val="0"/>
        </w:rPr>
        <w:t>)</w:t>
      </w:r>
      <w:r w:rsidRPr="00C76B70">
        <w:t>.</w:t>
      </w:r>
      <w:r>
        <w:t xml:space="preserve"> </w:t>
      </w:r>
      <w:r>
        <w:rPr>
          <w:rFonts w:eastAsia="Arial"/>
        </w:rPr>
        <w:t>D</w:t>
      </w:r>
      <w:r w:rsidRPr="00C76B70">
        <w:rPr>
          <w:rFonts w:eastAsia="Arial"/>
        </w:rPr>
        <w:t xml:space="preserve">aratumumabas derinyje su bortezomibu, talidomidu ir deksametazonu (DVTd) </w:t>
      </w:r>
      <w:r w:rsidRPr="00C76B70">
        <w:rPr>
          <w:lang w:eastAsia="lt-LT"/>
        </w:rPr>
        <w:t xml:space="preserve"> lyginamas su </w:t>
      </w:r>
      <w:r w:rsidRPr="00C76B70">
        <w:rPr>
          <w:rFonts w:eastAsia="Arial"/>
        </w:rPr>
        <w:t xml:space="preserve">bortezomibo, talidomido ir dexametazono </w:t>
      </w:r>
      <w:r w:rsidRPr="00C76B70">
        <w:t>deriniu (VTd).</w:t>
      </w:r>
      <w:r w:rsidRPr="00C76B70">
        <w:rPr>
          <w:lang w:eastAsia="lt-LT"/>
        </w:rPr>
        <w:t xml:space="preserve"> Laikoma, kad palyginamasis atitinka Lietuvos klinikinę praktiką ir V</w:t>
      </w:r>
      <w:r w:rsidRPr="00C76B70">
        <w:rPr>
          <w:bCs/>
        </w:rPr>
        <w:t xml:space="preserve">aistinių preparatų ir medicinos pagalbos priemonių įrašymo į kompensavimo sąrašus tvarkos aprašo </w:t>
      </w:r>
      <w:r w:rsidRPr="00C76B70">
        <w:rPr>
          <w:bCs/>
          <w:lang w:eastAsia="lt-LT"/>
        </w:rPr>
        <w:t xml:space="preserve">116 - 119 punktus ir </w:t>
      </w:r>
      <w:r w:rsidRPr="00C76B70">
        <w:rPr>
          <w:lang w:eastAsia="lt-LT"/>
        </w:rPr>
        <w:t>yra tinkamas palyginamasis.</w:t>
      </w:r>
    </w:p>
    <w:p w14:paraId="03DDB55D" w14:textId="77777777" w:rsidR="00B6585A" w:rsidRDefault="00B6585A" w:rsidP="00B6585A">
      <w:pPr>
        <w:tabs>
          <w:tab w:val="left" w:pos="426"/>
        </w:tabs>
        <w:spacing w:line="276" w:lineRule="auto"/>
        <w:jc w:val="both"/>
        <w:rPr>
          <w:lang w:eastAsia="lt-LT"/>
        </w:rPr>
      </w:pPr>
      <w:r>
        <w:rPr>
          <w:lang w:eastAsia="lt-LT"/>
        </w:rPr>
        <w:tab/>
      </w:r>
      <w:r w:rsidRPr="00C76B70">
        <w:t xml:space="preserve">Pareiškėjas taiko padalintos kohortos išgyvenamumo (angl. </w:t>
      </w:r>
      <w:r w:rsidRPr="00EA7DE7">
        <w:rPr>
          <w:i/>
        </w:rPr>
        <w:t>partitioned survival model</w:t>
      </w:r>
      <w:r w:rsidRPr="00C76B70">
        <w:t>) trijų tarpusavyje nesusijusių sveikatos būklių modelį. Modelio strukt</w:t>
      </w:r>
      <w:r w:rsidRPr="00C76B70">
        <w:rPr>
          <w:lang w:val="en-US"/>
        </w:rPr>
        <w:t xml:space="preserve">ūra yra plačiai taikoma onkologinių ligų kaštų analizėse ir yra laikoma priimtina ir tinkama daugybinės </w:t>
      </w:r>
      <w:r w:rsidRPr="00C76B70">
        <w:rPr>
          <w:lang w:eastAsia="lt-LT"/>
        </w:rPr>
        <w:t>mielomos modeliavimui.</w:t>
      </w:r>
      <w:r>
        <w:rPr>
          <w:lang w:eastAsia="lt-LT"/>
        </w:rPr>
        <w:t xml:space="preserve"> T</w:t>
      </w:r>
      <w:r w:rsidRPr="00C76B70">
        <w:rPr>
          <w:bCs/>
          <w:lang w:eastAsia="lt-LT"/>
        </w:rPr>
        <w:t>aikoma ilgesnė (viso gyvenimo) laiko perspektyva, besitęsianti po klinikinio tyrimo stebėsenos pabaigos (40 m.). D</w:t>
      </w:r>
      <w:r w:rsidRPr="00C76B70">
        <w:t xml:space="preserve">uomenų ekstrapoliacijos parametrinių funkcijų parinkimą Pareiškėjas grindžia </w:t>
      </w:r>
      <w:r w:rsidRPr="00EA7DE7">
        <w:rPr>
          <w:i/>
        </w:rPr>
        <w:t>Kaplan–Meier</w:t>
      </w:r>
      <w:r w:rsidRPr="00C76B70">
        <w:t xml:space="preserve"> kreivių atitiktimi, statistinių modelių (AIC/BIG) kriterijais ir literatūros bei ilgalaikių išorės klinikinių</w:t>
      </w:r>
      <w:r>
        <w:t xml:space="preserve"> duomenų validavimu. Tarnyba ilgalai</w:t>
      </w:r>
      <w:r w:rsidRPr="00C76B70">
        <w:t>kėje perspektyvoje taiko individualių kreivių modeliavimą (Weibull) atsižvelgiant, kad pagal log-kumuliacinės rizikos plokštumos rezultatus kreivės susikerta ir proporcingų rizikų prielaida yra pažeidžiama.</w:t>
      </w:r>
      <w:r>
        <w:rPr>
          <w:lang w:eastAsia="lt-LT"/>
        </w:rPr>
        <w:t xml:space="preserve"> </w:t>
      </w:r>
      <w:r w:rsidRPr="00C76B70">
        <w:t xml:space="preserve">Tarnyba ekonominėje analizėje taiko konservatyviausią rezultatą lemiančias prielaidas: taikomas 100 proc. dozių suvartojamumas (pilnas dozių (mg) intensyvumas (angl.  </w:t>
      </w:r>
      <w:r w:rsidRPr="00EA7DE7">
        <w:rPr>
          <w:i/>
        </w:rPr>
        <w:t>relative dose intensity</w:t>
      </w:r>
      <w:r w:rsidRPr="00C76B70">
        <w:t xml:space="preserve">, RDI) ir praradimai dėl dozavimo pakuotėse (angl. </w:t>
      </w:r>
      <w:r w:rsidRPr="00EA7DE7">
        <w:rPr>
          <w:i/>
        </w:rPr>
        <w:t>drug wastage</w:t>
      </w:r>
      <w:r w:rsidRPr="00C76B70">
        <w:t xml:space="preserve">);  </w:t>
      </w:r>
      <w:r w:rsidRPr="00C76B70">
        <w:rPr>
          <w:rFonts w:eastAsia="Arial"/>
        </w:rPr>
        <w:t xml:space="preserve">laikoma, kad pacientų proporcija (proc.), kuriems taikoma </w:t>
      </w:r>
      <w:r w:rsidRPr="00C76B70">
        <w:t>autologinė kraujodaros kamieninių ląstelių transplantacija yra vienoda abiems tiriamosioms grupėms ir apima visus pacientus (100 proc.).</w:t>
      </w:r>
    </w:p>
    <w:p w14:paraId="6B83666E" w14:textId="77777777" w:rsidR="00B6585A" w:rsidRDefault="00B6585A" w:rsidP="00B6585A">
      <w:pPr>
        <w:tabs>
          <w:tab w:val="left" w:pos="426"/>
        </w:tabs>
        <w:spacing w:line="276" w:lineRule="auto"/>
        <w:jc w:val="both"/>
        <w:rPr>
          <w:lang w:eastAsia="lt-LT"/>
        </w:rPr>
      </w:pPr>
      <w:r>
        <w:rPr>
          <w:lang w:eastAsia="lt-LT"/>
        </w:rPr>
        <w:tab/>
      </w:r>
      <w:r w:rsidRPr="00C76B70">
        <w:rPr>
          <w:lang w:eastAsia="lt-LT"/>
        </w:rPr>
        <w:t xml:space="preserve">Pareiškėjas ekonominėje analizėje įtraukia gyvenimo kokybės koeficientus remiantis </w:t>
      </w:r>
      <w:r w:rsidRPr="00C76B70">
        <w:rPr>
          <w:snapToGrid w:val="0"/>
        </w:rPr>
        <w:t>CASSIOPEIA klinikinio tyrimo duomenimis. Alternatyviai pateikiami gyvenimo kokybės koeficientai ir su nepageidaujamais reiškiniais susiję gyvenimo kokybės praradimai (angl. d</w:t>
      </w:r>
      <w:r w:rsidRPr="00B6585A">
        <w:rPr>
          <w:i/>
          <w:snapToGrid w:val="0"/>
        </w:rPr>
        <w:t>isutilities</w:t>
      </w:r>
      <w:r w:rsidRPr="00C76B70">
        <w:rPr>
          <w:snapToGrid w:val="0"/>
        </w:rPr>
        <w:t xml:space="preserve">) remiantis literatūros šaltiniais. </w:t>
      </w:r>
      <w:r w:rsidRPr="00C76B70">
        <w:rPr>
          <w:lang w:eastAsia="lt-LT"/>
        </w:rPr>
        <w:t>Tarnyba vertina, kad ekonominėje analizėje taikomi gyvenimo kokybės įverčiai yra tinkami ir pagrįsti.</w:t>
      </w:r>
      <w:r>
        <w:rPr>
          <w:lang w:eastAsia="lt-LT"/>
        </w:rPr>
        <w:t xml:space="preserve"> </w:t>
      </w:r>
      <w:r>
        <w:rPr>
          <w:bCs/>
          <w:color w:val="000000"/>
          <w:lang w:eastAsia="lt-LT"/>
        </w:rPr>
        <w:t>T</w:t>
      </w:r>
      <w:r w:rsidRPr="00C76B70">
        <w:rPr>
          <w:bCs/>
          <w:color w:val="000000"/>
          <w:lang w:eastAsia="lt-LT"/>
        </w:rPr>
        <w:t>iesio</w:t>
      </w:r>
      <w:r>
        <w:rPr>
          <w:bCs/>
          <w:color w:val="000000"/>
          <w:lang w:eastAsia="lt-LT"/>
        </w:rPr>
        <w:t>giai su astmos gydymu susiję kaštai bei i</w:t>
      </w:r>
      <w:r w:rsidRPr="00C76B70">
        <w:rPr>
          <w:bCs/>
          <w:color w:val="000000"/>
          <w:lang w:eastAsia="lt-LT"/>
        </w:rPr>
        <w:t xml:space="preserve">šteklių šaltiniai </w:t>
      </w:r>
      <w:r>
        <w:rPr>
          <w:bCs/>
          <w:color w:val="000000"/>
          <w:lang w:eastAsia="lt-LT"/>
        </w:rPr>
        <w:t>laikomi pagrįstais ir tinkamais.</w:t>
      </w:r>
    </w:p>
    <w:p w14:paraId="2AFD8C43" w14:textId="1D3FF5CE" w:rsidR="00B6585A" w:rsidRDefault="00B6585A" w:rsidP="00B6585A">
      <w:pPr>
        <w:tabs>
          <w:tab w:val="left" w:pos="426"/>
        </w:tabs>
        <w:spacing w:line="276" w:lineRule="auto"/>
        <w:jc w:val="both"/>
      </w:pPr>
      <w:r>
        <w:rPr>
          <w:lang w:eastAsia="lt-LT"/>
        </w:rPr>
        <w:tab/>
      </w:r>
      <w:r w:rsidRPr="00C76B70">
        <w:t xml:space="preserve">Tarnybai </w:t>
      </w:r>
      <w:r>
        <w:t>kreipėsi į Pareiškėją dėl modelio veikimo trikdžių. Apibendrinant</w:t>
      </w:r>
      <w:r w:rsidRPr="00C76B70">
        <w:t xml:space="preserve"> laikoma, kad pagrindiniai parametrai (ir gali</w:t>
      </w:r>
      <w:r>
        <w:t>mybė juos keisti) yra funkcionuojantys pilnai, tačiau a</w:t>
      </w:r>
      <w:r w:rsidRPr="00C76B70">
        <w:t xml:space="preserve">tsižvelgiant, kad apskaičiuotas ICER neatitiko lengvai ligos naštai taikomos referencinės kaštų naudingumo vertės, Tarnyba dar iki rekomendacijų teikimo kreipėsi į Pareiškėją informuojant apie neatitiktį ir galimybę atnaujinti kainos nuolaidą. Pareiškėjas pateikė galutinę atnaujintą daratumumabo </w:t>
      </w:r>
      <w:r>
        <w:t xml:space="preserve">kainą </w:t>
      </w:r>
      <w:r w:rsidRPr="00C76B70">
        <w:t>(</w:t>
      </w:r>
      <w:r w:rsidRPr="00534454">
        <w:t xml:space="preserve">Lietuvai taikoma </w:t>
      </w:r>
      <w:r w:rsidRPr="00C76B70">
        <w:t xml:space="preserve">daratumumabo kaina po kainos mažinimo: 100 mg – </w:t>
      </w:r>
      <w:r w:rsidR="00EE3D9C">
        <w:t>****</w:t>
      </w:r>
      <w:r w:rsidRPr="00C76B70">
        <w:t xml:space="preserve"> Eur., 400 mg – </w:t>
      </w:r>
      <w:r w:rsidR="00EE3D9C">
        <w:t>****</w:t>
      </w:r>
      <w:r w:rsidRPr="00C76B70">
        <w:t xml:space="preserve"> Eur.</w:t>
      </w:r>
      <w:r>
        <w:t>)</w:t>
      </w:r>
      <w:r w:rsidRPr="00C76B70">
        <w:t>, kurią taikant vertinama, kad daratumumabas tampa efektyvus kaštų prasme.</w:t>
      </w:r>
    </w:p>
    <w:p w14:paraId="6676C093" w14:textId="7C23D0F1" w:rsidR="00B6585A" w:rsidRDefault="00B6585A" w:rsidP="00B6585A">
      <w:pPr>
        <w:tabs>
          <w:tab w:val="left" w:pos="426"/>
        </w:tabs>
        <w:spacing w:line="276" w:lineRule="auto"/>
        <w:jc w:val="both"/>
        <w:rPr>
          <w:lang w:eastAsia="lt-LT"/>
        </w:rPr>
      </w:pPr>
      <w:r>
        <w:rPr>
          <w:rFonts w:eastAsia="Arial"/>
        </w:rPr>
        <w:tab/>
        <w:t xml:space="preserve">Apibendrinant kaštų naudingumo analizės rezultatus, </w:t>
      </w:r>
      <w:r w:rsidRPr="00C76B70">
        <w:rPr>
          <w:rFonts w:eastAsia="Arial"/>
        </w:rPr>
        <w:t xml:space="preserve">Daratumumabą (Darzalex) skiriant pacientų, kuriems buvo pirmą kartą diagnozuota dauginė mieloma ir kuriems turi būti paskirta didelių dozių chemoterapija ir </w:t>
      </w:r>
      <w:r w:rsidRPr="00C76B70">
        <w:t xml:space="preserve">autologinė kraujodaros kamieninių ląstelių transplantacija, gydymui, viso gyvenimo laiko perspektyvoje iki 100 m., (vidutinis pacientų amžius 56,6 m.) yra papildomai laimima 2,08 QALY lyginant su standartiniu gydymu, o gydymo daratumumabu kaštai yra </w:t>
      </w:r>
      <w:r w:rsidR="00EE3D9C">
        <w:t>****</w:t>
      </w:r>
      <w:r w:rsidRPr="00C76B70">
        <w:t xml:space="preserve"> Eur. didesni nei standartinio šiuo metu Lietuvoje taikomo gydymo. Apskaičiuotas ICER koeficientas -  </w:t>
      </w:r>
      <w:r w:rsidR="00EE3D9C">
        <w:t>****</w:t>
      </w:r>
      <w:r w:rsidRPr="00C76B70">
        <w:t xml:space="preserve"> </w:t>
      </w:r>
      <w:r w:rsidRPr="00C76B70">
        <w:rPr>
          <w:color w:val="000000"/>
        </w:rPr>
        <w:t xml:space="preserve"> Eur./QALY</w:t>
      </w:r>
      <w:r w:rsidRPr="00C76B70">
        <w:rPr>
          <w:color w:val="000000"/>
          <w:lang w:eastAsia="lt-LT"/>
        </w:rPr>
        <w:t xml:space="preserve"> ir atitinka lengvai ligos naštai taikomą referencinę kaštų naudingumo vertę.</w:t>
      </w:r>
    </w:p>
    <w:p w14:paraId="12B08350" w14:textId="77777777" w:rsidR="00B6585A" w:rsidRPr="00E33EFF" w:rsidRDefault="00B6585A" w:rsidP="00A93AA6">
      <w:pPr>
        <w:tabs>
          <w:tab w:val="left" w:pos="426"/>
        </w:tabs>
        <w:rPr>
          <w:b/>
          <w:bCs/>
          <w:caps/>
        </w:rPr>
      </w:pPr>
    </w:p>
    <w:p w14:paraId="174D84D7" w14:textId="2A98EE7C" w:rsidR="0035172D" w:rsidRPr="00E33EFF" w:rsidRDefault="0035172D" w:rsidP="00B6585A">
      <w:pPr>
        <w:tabs>
          <w:tab w:val="left" w:pos="426"/>
        </w:tabs>
        <w:jc w:val="center"/>
        <w:rPr>
          <w:b/>
          <w:lang w:eastAsia="lt-LT"/>
        </w:rPr>
      </w:pPr>
      <w:r w:rsidRPr="00E33EFF">
        <w:rPr>
          <w:b/>
          <w:lang w:eastAsia="lt-LT"/>
        </w:rPr>
        <w:t>Ekonominės analizės rezultatas</w:t>
      </w:r>
    </w:p>
    <w:p w14:paraId="4801D227" w14:textId="77777777" w:rsidR="009E44AE" w:rsidRPr="00E33EFF" w:rsidRDefault="009E44AE" w:rsidP="00A93AA6">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9E44AE" w:rsidRPr="00E33EFF" w14:paraId="42D6C843" w14:textId="77777777" w:rsidTr="00BE7489">
        <w:trPr>
          <w:trHeight w:val="344"/>
          <w:jc w:val="center"/>
        </w:trPr>
        <w:tc>
          <w:tcPr>
            <w:tcW w:w="9439" w:type="dxa"/>
            <w:gridSpan w:val="2"/>
            <w:tcBorders>
              <w:top w:val="single" w:sz="12" w:space="0" w:color="auto"/>
              <w:left w:val="single" w:sz="4" w:space="0" w:color="auto"/>
              <w:right w:val="single" w:sz="4" w:space="0" w:color="auto"/>
            </w:tcBorders>
            <w:vAlign w:val="center"/>
          </w:tcPr>
          <w:p w14:paraId="39FD3B40" w14:textId="77777777" w:rsidR="009E44AE" w:rsidRPr="00E33EFF" w:rsidRDefault="009E44AE" w:rsidP="009E44AE">
            <w:pPr>
              <w:tabs>
                <w:tab w:val="left" w:pos="567"/>
              </w:tabs>
              <w:jc w:val="center"/>
              <w:rPr>
                <w:b/>
                <w:bCs/>
                <w:sz w:val="26"/>
                <w:szCs w:val="26"/>
                <w:lang w:eastAsia="lt-LT"/>
              </w:rPr>
            </w:pPr>
            <w:r w:rsidRPr="00E33EFF">
              <w:rPr>
                <w:b/>
                <w:bCs/>
                <w:sz w:val="26"/>
                <w:szCs w:val="26"/>
                <w:lang w:eastAsia="lt-LT"/>
              </w:rPr>
              <w:t>Rezultatai</w:t>
            </w:r>
          </w:p>
        </w:tc>
      </w:tr>
      <w:tr w:rsidR="00BA5DBC" w:rsidRPr="00E33EFF" w14:paraId="319AF392" w14:textId="77777777" w:rsidTr="00BE7489">
        <w:trPr>
          <w:trHeight w:val="267"/>
          <w:jc w:val="center"/>
        </w:trPr>
        <w:tc>
          <w:tcPr>
            <w:tcW w:w="6200" w:type="dxa"/>
            <w:tcBorders>
              <w:left w:val="single" w:sz="4" w:space="0" w:color="auto"/>
            </w:tcBorders>
          </w:tcPr>
          <w:p w14:paraId="44CD8D27" w14:textId="27245A0B" w:rsidR="00BA5DBC" w:rsidRPr="00E33EFF" w:rsidRDefault="00BA5DBC" w:rsidP="00BA5DBC">
            <w:pPr>
              <w:tabs>
                <w:tab w:val="left" w:pos="567"/>
              </w:tabs>
              <w:jc w:val="right"/>
              <w:rPr>
                <w:iCs/>
                <w:lang w:eastAsia="lt-LT"/>
              </w:rPr>
            </w:pPr>
            <w:r w:rsidRPr="00E33EFF">
              <w:rPr>
                <w:iCs/>
                <w:lang w:eastAsia="lt-LT"/>
              </w:rPr>
              <w:t>Kaštų skirtumas</w:t>
            </w:r>
          </w:p>
        </w:tc>
        <w:tc>
          <w:tcPr>
            <w:tcW w:w="3238" w:type="dxa"/>
            <w:tcBorders>
              <w:right w:val="single" w:sz="4" w:space="0" w:color="auto"/>
            </w:tcBorders>
          </w:tcPr>
          <w:p w14:paraId="1CACF0B4" w14:textId="1F0DFB04" w:rsidR="00BA5DBC" w:rsidRPr="00E33EFF" w:rsidRDefault="00EE3D9C" w:rsidP="00BA5DBC">
            <w:pPr>
              <w:tabs>
                <w:tab w:val="left" w:pos="567"/>
              </w:tabs>
              <w:jc w:val="both"/>
              <w:rPr>
                <w:i/>
                <w:iCs/>
                <w:lang w:eastAsia="lt-LT"/>
              </w:rPr>
            </w:pPr>
            <w:r>
              <w:t>****</w:t>
            </w:r>
            <w:r w:rsidR="00B6585A">
              <w:t xml:space="preserve"> Eur.</w:t>
            </w:r>
          </w:p>
        </w:tc>
      </w:tr>
      <w:tr w:rsidR="00BA5DBC" w:rsidRPr="00E33EFF" w14:paraId="49F818A3" w14:textId="77777777" w:rsidTr="00BE7489">
        <w:trPr>
          <w:trHeight w:val="267"/>
          <w:jc w:val="center"/>
        </w:trPr>
        <w:tc>
          <w:tcPr>
            <w:tcW w:w="6200" w:type="dxa"/>
            <w:tcBorders>
              <w:left w:val="single" w:sz="4" w:space="0" w:color="auto"/>
            </w:tcBorders>
          </w:tcPr>
          <w:p w14:paraId="021DB925" w14:textId="389F1BF5" w:rsidR="00BA5DBC" w:rsidRPr="00E33EFF" w:rsidRDefault="00BA5DBC" w:rsidP="00BA5DBC">
            <w:pPr>
              <w:tabs>
                <w:tab w:val="left" w:pos="567"/>
              </w:tabs>
              <w:jc w:val="right"/>
              <w:rPr>
                <w:iCs/>
                <w:lang w:eastAsia="lt-LT"/>
              </w:rPr>
            </w:pPr>
            <w:r w:rsidRPr="00E33EFF">
              <w:rPr>
                <w:iCs/>
                <w:lang w:eastAsia="lt-LT"/>
              </w:rPr>
              <w:t>Papildomi gyvenimo metai (LY)</w:t>
            </w:r>
          </w:p>
        </w:tc>
        <w:tc>
          <w:tcPr>
            <w:tcW w:w="3238" w:type="dxa"/>
            <w:tcBorders>
              <w:right w:val="single" w:sz="4" w:space="0" w:color="auto"/>
            </w:tcBorders>
          </w:tcPr>
          <w:p w14:paraId="4954817B" w14:textId="6FA6AF2D" w:rsidR="00BA5DBC" w:rsidRPr="00E33EFF" w:rsidRDefault="00EE3D9C" w:rsidP="00BA5DBC">
            <w:pPr>
              <w:tabs>
                <w:tab w:val="left" w:pos="567"/>
              </w:tabs>
              <w:jc w:val="both"/>
              <w:rPr>
                <w:i/>
                <w:iCs/>
                <w:lang w:eastAsia="lt-LT"/>
              </w:rPr>
            </w:pPr>
            <w:r>
              <w:t>****</w:t>
            </w:r>
            <w:r w:rsidR="00B6585A">
              <w:t xml:space="preserve"> LY</w:t>
            </w:r>
          </w:p>
        </w:tc>
      </w:tr>
      <w:tr w:rsidR="00BA5DBC" w:rsidRPr="00E33EFF" w14:paraId="20ADA742" w14:textId="77777777" w:rsidTr="00BE7489">
        <w:trPr>
          <w:trHeight w:val="267"/>
          <w:jc w:val="center"/>
        </w:trPr>
        <w:tc>
          <w:tcPr>
            <w:tcW w:w="6200" w:type="dxa"/>
            <w:tcBorders>
              <w:left w:val="single" w:sz="4" w:space="0" w:color="auto"/>
            </w:tcBorders>
          </w:tcPr>
          <w:p w14:paraId="0F567576" w14:textId="2606A2E9" w:rsidR="00BA5DBC" w:rsidRPr="00E33EFF" w:rsidRDefault="0058712F" w:rsidP="00BA5DBC">
            <w:pPr>
              <w:tabs>
                <w:tab w:val="left" w:pos="567"/>
              </w:tabs>
              <w:jc w:val="right"/>
              <w:rPr>
                <w:iCs/>
                <w:lang w:eastAsia="lt-LT"/>
              </w:rPr>
            </w:pPr>
            <w:r w:rsidRPr="00E33EFF">
              <w:rPr>
                <w:iCs/>
                <w:lang w:eastAsia="lt-LT"/>
              </w:rPr>
              <w:t>Papildomi k</w:t>
            </w:r>
            <w:r w:rsidR="00BA5DBC" w:rsidRPr="00E33EFF">
              <w:rPr>
                <w:iCs/>
                <w:lang w:eastAsia="lt-LT"/>
              </w:rPr>
              <w:t>okybiški gyvenimo metai (QALY)</w:t>
            </w:r>
          </w:p>
        </w:tc>
        <w:tc>
          <w:tcPr>
            <w:tcW w:w="3238" w:type="dxa"/>
            <w:tcBorders>
              <w:right w:val="single" w:sz="4" w:space="0" w:color="auto"/>
            </w:tcBorders>
          </w:tcPr>
          <w:p w14:paraId="02E4DAE1" w14:textId="33CD1AA3" w:rsidR="00BA5DBC" w:rsidRPr="00E33EFF" w:rsidRDefault="00EE3D9C" w:rsidP="00BA5DBC">
            <w:pPr>
              <w:tabs>
                <w:tab w:val="left" w:pos="567"/>
              </w:tabs>
              <w:jc w:val="both"/>
              <w:rPr>
                <w:i/>
                <w:iCs/>
                <w:lang w:eastAsia="lt-LT"/>
              </w:rPr>
            </w:pPr>
            <w:r>
              <w:t>****</w:t>
            </w:r>
            <w:r w:rsidR="00B6585A">
              <w:t xml:space="preserve"> QALY</w:t>
            </w:r>
          </w:p>
        </w:tc>
      </w:tr>
      <w:tr w:rsidR="00BA5DBC" w:rsidRPr="00E33EFF" w14:paraId="1FADA2B3" w14:textId="77777777" w:rsidTr="00BE7489">
        <w:trPr>
          <w:trHeight w:val="267"/>
          <w:jc w:val="center"/>
        </w:trPr>
        <w:tc>
          <w:tcPr>
            <w:tcW w:w="6200" w:type="dxa"/>
            <w:tcBorders>
              <w:left w:val="single" w:sz="4" w:space="0" w:color="auto"/>
            </w:tcBorders>
          </w:tcPr>
          <w:p w14:paraId="13E089E8" w14:textId="0BCEB339" w:rsidR="00BA5DBC" w:rsidRPr="00E33EFF" w:rsidRDefault="00BA5DBC" w:rsidP="009E44AE">
            <w:pPr>
              <w:tabs>
                <w:tab w:val="left" w:pos="567"/>
              </w:tabs>
              <w:jc w:val="right"/>
              <w:rPr>
                <w:iCs/>
                <w:lang w:eastAsia="lt-LT"/>
              </w:rPr>
            </w:pPr>
            <w:r w:rsidRPr="00E33EFF">
              <w:rPr>
                <w:iCs/>
                <w:lang w:eastAsia="lt-LT"/>
              </w:rPr>
              <w:lastRenderedPageBreak/>
              <w:t>ICER už LY</w:t>
            </w:r>
          </w:p>
        </w:tc>
        <w:tc>
          <w:tcPr>
            <w:tcW w:w="3238" w:type="dxa"/>
            <w:tcBorders>
              <w:right w:val="single" w:sz="4" w:space="0" w:color="auto"/>
            </w:tcBorders>
          </w:tcPr>
          <w:p w14:paraId="2817448D" w14:textId="5563AAAF" w:rsidR="00BA5DBC" w:rsidRPr="00E33EFF" w:rsidRDefault="00EE3D9C" w:rsidP="009E44AE">
            <w:pPr>
              <w:tabs>
                <w:tab w:val="left" w:pos="567"/>
              </w:tabs>
              <w:jc w:val="both"/>
              <w:rPr>
                <w:i/>
                <w:iCs/>
                <w:lang w:eastAsia="lt-LT"/>
              </w:rPr>
            </w:pPr>
            <w:r>
              <w:t>****</w:t>
            </w:r>
            <w:r w:rsidR="00B6585A" w:rsidRPr="00947763">
              <w:t xml:space="preserve"> Eur./LY</w:t>
            </w:r>
          </w:p>
        </w:tc>
      </w:tr>
      <w:tr w:rsidR="009E44AE" w:rsidRPr="00E33EFF" w14:paraId="250DE960" w14:textId="77777777" w:rsidTr="00BE7489">
        <w:trPr>
          <w:trHeight w:val="267"/>
          <w:jc w:val="center"/>
        </w:trPr>
        <w:tc>
          <w:tcPr>
            <w:tcW w:w="6200" w:type="dxa"/>
            <w:tcBorders>
              <w:left w:val="single" w:sz="4" w:space="0" w:color="auto"/>
            </w:tcBorders>
          </w:tcPr>
          <w:p w14:paraId="207EFB23" w14:textId="77777777" w:rsidR="009E44AE" w:rsidRPr="00E33EFF" w:rsidRDefault="009E44AE" w:rsidP="009E44AE">
            <w:pPr>
              <w:tabs>
                <w:tab w:val="left" w:pos="567"/>
              </w:tabs>
              <w:jc w:val="right"/>
              <w:rPr>
                <w:iCs/>
                <w:lang w:eastAsia="lt-LT"/>
              </w:rPr>
            </w:pPr>
            <w:r w:rsidRPr="00E33EFF">
              <w:rPr>
                <w:iCs/>
                <w:lang w:eastAsia="lt-LT"/>
              </w:rPr>
              <w:t>ICER už QALY</w:t>
            </w:r>
          </w:p>
        </w:tc>
        <w:tc>
          <w:tcPr>
            <w:tcW w:w="3238" w:type="dxa"/>
            <w:tcBorders>
              <w:right w:val="single" w:sz="4" w:space="0" w:color="auto"/>
            </w:tcBorders>
          </w:tcPr>
          <w:p w14:paraId="4275320D" w14:textId="4184D766" w:rsidR="009E44AE" w:rsidRPr="00E33EFF" w:rsidRDefault="00EE3D9C" w:rsidP="009E44AE">
            <w:pPr>
              <w:tabs>
                <w:tab w:val="left" w:pos="567"/>
              </w:tabs>
              <w:jc w:val="both"/>
              <w:rPr>
                <w:i/>
                <w:iCs/>
                <w:lang w:eastAsia="lt-LT"/>
              </w:rPr>
            </w:pPr>
            <w:r>
              <w:rPr>
                <w:b/>
              </w:rPr>
              <w:t>****</w:t>
            </w:r>
            <w:r w:rsidR="00B6585A" w:rsidRPr="00947763">
              <w:t xml:space="preserve"> </w:t>
            </w:r>
            <w:r w:rsidR="00B6585A" w:rsidRPr="00947763">
              <w:rPr>
                <w:b/>
              </w:rPr>
              <w:t>Eur./QALY</w:t>
            </w:r>
          </w:p>
        </w:tc>
      </w:tr>
      <w:tr w:rsidR="009E44AE" w:rsidRPr="00E33EFF" w14:paraId="2C4C68BA" w14:textId="77777777" w:rsidTr="00BE7489">
        <w:trPr>
          <w:trHeight w:val="267"/>
          <w:jc w:val="center"/>
        </w:trPr>
        <w:tc>
          <w:tcPr>
            <w:tcW w:w="6200" w:type="dxa"/>
            <w:tcBorders>
              <w:left w:val="single" w:sz="4" w:space="0" w:color="auto"/>
              <w:bottom w:val="single" w:sz="4" w:space="0" w:color="auto"/>
              <w:right w:val="single" w:sz="4" w:space="0" w:color="auto"/>
            </w:tcBorders>
          </w:tcPr>
          <w:p w14:paraId="21BEDABF" w14:textId="77777777" w:rsidR="009E44AE" w:rsidRPr="00E33EFF" w:rsidRDefault="009E44AE" w:rsidP="009E44AE">
            <w:pPr>
              <w:tabs>
                <w:tab w:val="left" w:pos="567"/>
              </w:tabs>
              <w:jc w:val="right"/>
              <w:rPr>
                <w:iCs/>
                <w:lang w:eastAsia="lt-LT"/>
              </w:rPr>
            </w:pPr>
            <w:r w:rsidRPr="00E33EFF">
              <w:rPr>
                <w:iCs/>
                <w:lang w:eastAsia="lt-LT"/>
              </w:rPr>
              <w:t>Referentinė kaštų naudingumo vertė</w:t>
            </w:r>
          </w:p>
        </w:tc>
        <w:tc>
          <w:tcPr>
            <w:tcW w:w="3238" w:type="dxa"/>
            <w:tcBorders>
              <w:left w:val="single" w:sz="4" w:space="0" w:color="auto"/>
              <w:bottom w:val="single" w:sz="4" w:space="0" w:color="auto"/>
              <w:right w:val="single" w:sz="4" w:space="0" w:color="auto"/>
            </w:tcBorders>
          </w:tcPr>
          <w:p w14:paraId="31DAA72E" w14:textId="1651CCCA" w:rsidR="009E44AE" w:rsidRPr="00E33EFF" w:rsidRDefault="00EE3D9C" w:rsidP="009E44AE">
            <w:pPr>
              <w:tabs>
                <w:tab w:val="left" w:pos="567"/>
              </w:tabs>
              <w:jc w:val="both"/>
              <w:rPr>
                <w:i/>
                <w:iCs/>
                <w:lang w:eastAsia="lt-LT"/>
              </w:rPr>
            </w:pPr>
            <w:r>
              <w:rPr>
                <w:i/>
                <w:iCs/>
                <w:lang w:eastAsia="lt-LT"/>
              </w:rPr>
              <w:t>****</w:t>
            </w:r>
            <w:r w:rsidR="00B6585A" w:rsidRPr="00FD12A7">
              <w:rPr>
                <w:i/>
                <w:iCs/>
                <w:lang w:eastAsia="lt-LT"/>
              </w:rPr>
              <w:t xml:space="preserve"> Eur.</w:t>
            </w:r>
          </w:p>
        </w:tc>
      </w:tr>
    </w:tbl>
    <w:p w14:paraId="5FC8C737" w14:textId="4136B7F4" w:rsidR="0035172D" w:rsidRPr="00E33EFF" w:rsidRDefault="00E5102E" w:rsidP="0035172D">
      <w:pPr>
        <w:tabs>
          <w:tab w:val="left" w:pos="567"/>
        </w:tabs>
        <w:jc w:val="both"/>
        <w:rPr>
          <w:iCs/>
          <w:sz w:val="20"/>
          <w:lang w:eastAsia="lt-LT"/>
        </w:rPr>
      </w:pPr>
      <w:r w:rsidRPr="00E33EFF">
        <w:rPr>
          <w:iCs/>
          <w:sz w:val="20"/>
          <w:lang w:eastAsia="lt-LT"/>
        </w:rPr>
        <w:t xml:space="preserve">ICER </w:t>
      </w:r>
      <w:r w:rsidR="00453862" w:rsidRPr="00E33EFF">
        <w:rPr>
          <w:iCs/>
          <w:sz w:val="20"/>
          <w:lang w:eastAsia="lt-LT"/>
        </w:rPr>
        <w:t>– (</w:t>
      </w:r>
      <w:r w:rsidR="00453862" w:rsidRPr="00E33EFF">
        <w:rPr>
          <w:i/>
          <w:sz w:val="20"/>
          <w:lang w:eastAsia="lt-LT"/>
        </w:rPr>
        <w:t>angl. incremental cost-effectiveness ratio</w:t>
      </w:r>
      <w:r w:rsidR="00453862" w:rsidRPr="00E33EFF">
        <w:rPr>
          <w:iCs/>
          <w:sz w:val="20"/>
          <w:lang w:eastAsia="lt-LT"/>
        </w:rPr>
        <w:t>) inkrementinis kaštų naudingumo koeficientas</w:t>
      </w:r>
      <w:r w:rsidRPr="00E33EFF">
        <w:rPr>
          <w:iCs/>
          <w:sz w:val="20"/>
          <w:lang w:eastAsia="lt-LT"/>
        </w:rPr>
        <w:t>; LY –</w:t>
      </w:r>
      <w:r w:rsidR="00453862" w:rsidRPr="00E33EFF">
        <w:rPr>
          <w:iCs/>
          <w:sz w:val="20"/>
          <w:lang w:eastAsia="lt-LT"/>
        </w:rPr>
        <w:t xml:space="preserve"> (</w:t>
      </w:r>
      <w:r w:rsidR="00453862" w:rsidRPr="00E33EFF">
        <w:rPr>
          <w:i/>
          <w:sz w:val="20"/>
          <w:lang w:eastAsia="lt-LT"/>
        </w:rPr>
        <w:t>angl. life years</w:t>
      </w:r>
      <w:r w:rsidR="00453862" w:rsidRPr="00E33EFF">
        <w:rPr>
          <w:iCs/>
          <w:sz w:val="20"/>
          <w:lang w:eastAsia="lt-LT"/>
        </w:rPr>
        <w:t>) gyvenimo metai</w:t>
      </w:r>
      <w:r w:rsidRPr="00E33EFF">
        <w:rPr>
          <w:iCs/>
          <w:sz w:val="20"/>
          <w:lang w:eastAsia="lt-LT"/>
        </w:rPr>
        <w:t xml:space="preserve">; QALY- </w:t>
      </w:r>
      <w:r w:rsidR="00453862" w:rsidRPr="00E33EFF">
        <w:rPr>
          <w:iCs/>
          <w:sz w:val="20"/>
          <w:lang w:eastAsia="lt-LT"/>
        </w:rPr>
        <w:t>(</w:t>
      </w:r>
      <w:r w:rsidR="00453862" w:rsidRPr="00E33EFF">
        <w:rPr>
          <w:i/>
          <w:sz w:val="20"/>
          <w:lang w:eastAsia="lt-LT"/>
        </w:rPr>
        <w:t xml:space="preserve">angl. quality adjusted life years) </w:t>
      </w:r>
      <w:r w:rsidR="00453862" w:rsidRPr="00E33EFF">
        <w:rPr>
          <w:iCs/>
          <w:sz w:val="20"/>
          <w:lang w:eastAsia="lt-LT"/>
        </w:rPr>
        <w:t>kokybiški gyvenimo metai.</w:t>
      </w:r>
    </w:p>
    <w:p w14:paraId="33875138" w14:textId="17704F2D" w:rsidR="0035172D" w:rsidRDefault="0035172D" w:rsidP="00A93AA6">
      <w:pPr>
        <w:tabs>
          <w:tab w:val="left" w:pos="426"/>
        </w:tabs>
        <w:rPr>
          <w:b/>
          <w:bCs/>
          <w:caps/>
        </w:rPr>
      </w:pPr>
    </w:p>
    <w:p w14:paraId="6768959A" w14:textId="6F4373DA" w:rsidR="00B6585A" w:rsidRDefault="00B6585A" w:rsidP="00B6585A">
      <w:pPr>
        <w:tabs>
          <w:tab w:val="left" w:pos="426"/>
        </w:tabs>
        <w:spacing w:line="276" w:lineRule="auto"/>
        <w:jc w:val="both"/>
        <w:rPr>
          <w:color w:val="000000"/>
          <w:lang w:eastAsia="lt-LT"/>
        </w:rPr>
      </w:pPr>
    </w:p>
    <w:p w14:paraId="7072DE24" w14:textId="5A8D3B4E" w:rsidR="00B6585A" w:rsidRPr="00F14353" w:rsidRDefault="00B6585A" w:rsidP="00B6585A">
      <w:pPr>
        <w:tabs>
          <w:tab w:val="left" w:pos="360"/>
        </w:tabs>
        <w:spacing w:line="276" w:lineRule="auto"/>
        <w:jc w:val="both"/>
        <w:rPr>
          <w:snapToGrid w:val="0"/>
          <w:szCs w:val="20"/>
        </w:rPr>
      </w:pPr>
      <w:r>
        <w:rPr>
          <w:i/>
          <w:snapToGrid w:val="0"/>
        </w:rPr>
        <w:tab/>
      </w:r>
      <w:r w:rsidRPr="00F14353">
        <w:rPr>
          <w:snapToGrid w:val="0"/>
        </w:rPr>
        <w:t>Tarnyba vertina, kad įprastinėje atvejo analizėje yra taikomos prielaidos, Tarnybos vertinamos kaip tikėtiniausio scenarijaus įverčiai ir modelio neapibrėžtumų įtaką (pagal jautrumo analizę keičiant tam tikras prielaidas ICER viršija referencinę kaštų naudingumo vertę), Pareiškėjas sumažina pateikęs galutinę pakartotinai suteiktą kainos nuolaidą, kurią taikant įprastinėje atvejo analizėje, apskaičiuotas ICER atitinka referencinę kaštų naudingumo vertę.</w:t>
      </w:r>
    </w:p>
    <w:p w14:paraId="4A9A2B31" w14:textId="77777777" w:rsidR="00B6585A" w:rsidRPr="00E33EFF" w:rsidRDefault="00B6585A" w:rsidP="00A93AA6">
      <w:pPr>
        <w:tabs>
          <w:tab w:val="left" w:pos="426"/>
        </w:tabs>
        <w:rPr>
          <w:b/>
          <w:bCs/>
          <w:caps/>
        </w:rPr>
      </w:pPr>
    </w:p>
    <w:p w14:paraId="4FC424F9" w14:textId="4E76724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C7DC509" w:rsidR="00937907" w:rsidRPr="00E33EFF"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925179">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Sraopastraipa"/>
        <w:numPr>
          <w:ilvl w:val="0"/>
          <w:numId w:val="12"/>
        </w:numPr>
        <w:tabs>
          <w:tab w:val="left" w:pos="567"/>
        </w:tabs>
        <w:ind w:hanging="720"/>
        <w:rPr>
          <w:b/>
          <w:bCs/>
          <w:caps/>
        </w:rPr>
      </w:pPr>
      <w:r w:rsidRPr="00E33EFF">
        <w:rPr>
          <w:b/>
          <w:bCs/>
          <w:caps/>
        </w:rPr>
        <w:t>Gydytojų organizacijų pateikti duomenys</w:t>
      </w:r>
    </w:p>
    <w:p w14:paraId="389A346C" w14:textId="17184B64" w:rsidR="00937907" w:rsidRPr="00E33EFF"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37907" w:rsidRPr="00E33EF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15C41AC2"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925179">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t xml:space="preserve">Išvada </w:t>
      </w:r>
    </w:p>
    <w:p w14:paraId="08D5B3B6" w14:textId="5D93CDBF"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B13D65" w:rsidRPr="00E33EFF" w14:paraId="25A2473E" w14:textId="77777777" w:rsidTr="00C16245">
        <w:trPr>
          <w:trHeight w:val="510"/>
        </w:trPr>
        <w:tc>
          <w:tcPr>
            <w:tcW w:w="4815" w:type="dxa"/>
            <w:vAlign w:val="center"/>
          </w:tcPr>
          <w:p w14:paraId="7EFE6941" w14:textId="23B8BB6D"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Rekomenduojama kompensuoti</w:t>
            </w:r>
          </w:p>
        </w:tc>
        <w:tc>
          <w:tcPr>
            <w:tcW w:w="4814" w:type="dxa"/>
            <w:vAlign w:val="center"/>
          </w:tcPr>
          <w:p w14:paraId="330A1A5E" w14:textId="19247DC1" w:rsidR="00B13D65"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E33EFF">
              <w:rPr>
                <w:rStyle w:val="Style2"/>
                <w:rFonts w:eastAsia="MS Gothic"/>
                <w:b/>
                <w:bCs/>
                <w:sz w:val="24"/>
              </w:rPr>
              <w:t xml:space="preserve">Rekomenduojama nekompensuoti </w:t>
            </w:r>
          </w:p>
        </w:tc>
      </w:tr>
      <w:tr w:rsidR="00B13D65" w:rsidRPr="00E33EFF" w14:paraId="143A7356" w14:textId="77777777" w:rsidTr="00C16245">
        <w:trPr>
          <w:trHeight w:val="510"/>
        </w:trPr>
        <w:tc>
          <w:tcPr>
            <w:tcW w:w="9629" w:type="dxa"/>
            <w:gridSpan w:val="2"/>
            <w:vAlign w:val="center"/>
          </w:tcPr>
          <w:p w14:paraId="0AF5D6B4" w14:textId="6D8B6C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Palyginamasis efektyvumas</w:t>
            </w:r>
          </w:p>
        </w:tc>
      </w:tr>
      <w:tr w:rsidR="00B13D65" w:rsidRPr="00E33EFF" w14:paraId="28A0C814" w14:textId="77777777" w:rsidTr="0061611B">
        <w:tc>
          <w:tcPr>
            <w:tcW w:w="4815" w:type="dxa"/>
          </w:tcPr>
          <w:p w14:paraId="216769B5" w14:textId="49E4716D"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97324644"/>
                <w15:color w:val="FFCC00"/>
                <w14:checkbox>
                  <w14:checked w14:val="1"/>
                  <w14:checkedState w14:val="2612" w14:font="MS Gothic"/>
                  <w14:uncheckedState w14:val="2610" w14:font="MS Gothic"/>
                </w14:checkbox>
              </w:sdtPr>
              <w:sdtContent>
                <w:r w:rsidR="000D5AAD">
                  <w:rPr>
                    <w:rStyle w:val="Style2"/>
                    <w:rFonts w:ascii="MS Gothic" w:eastAsia="MS Gothic" w:hAnsi="MS Gothic" w:hint="eastAsia"/>
                    <w:sz w:val="24"/>
                  </w:rPr>
                  <w:t>☒</w:t>
                </w:r>
              </w:sdtContent>
            </w:sdt>
            <w:r w:rsidR="00B13D65" w:rsidRPr="00E33EFF">
              <w:t xml:space="preserve"> 32.1. yra didesnis</w:t>
            </w:r>
            <w:r w:rsidR="00B00959" w:rsidRPr="00E33EFF">
              <w:t>, lyginant su įprasta klinikine praktika</w:t>
            </w:r>
          </w:p>
          <w:p w14:paraId="3B48F372"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F18D4" w14:textId="247BE805" w:rsidR="00B13D65" w:rsidRPr="00E33EFF" w:rsidRDefault="00000000" w:rsidP="0066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sdt>
              <w:sdtPr>
                <w:rPr>
                  <w:rStyle w:val="Style2"/>
                  <w:sz w:val="24"/>
                </w:rPr>
                <w:id w:val="418297090"/>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32.1. iš esmės nesiskiria</w:t>
            </w:r>
            <w:r w:rsidR="00B00959" w:rsidRPr="00E33EFF">
              <w:t>, lyginant su įprasta klinikine praktika</w:t>
            </w:r>
          </w:p>
        </w:tc>
        <w:tc>
          <w:tcPr>
            <w:tcW w:w="4814" w:type="dxa"/>
          </w:tcPr>
          <w:p w14:paraId="507828D9" w14:textId="10556E2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2475559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mažesnis</w:t>
            </w:r>
            <w:r w:rsidR="00B00959" w:rsidRPr="00E33EFF">
              <w:t>, lyginant su įprasta klinikine praktika</w:t>
            </w:r>
          </w:p>
          <w:p w14:paraId="7F95DEEC"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680682B8" w14:textId="1A29EA3B" w:rsidR="00662983"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62168479"/>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neįrodytas kaip toks pat</w:t>
            </w:r>
            <w:r w:rsidR="00B00959" w:rsidRPr="00E33EFF">
              <w:t>, lyginant su įprasta klinikine praktika</w:t>
            </w:r>
          </w:p>
          <w:p w14:paraId="35205E8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CC3F0A3" w14:textId="6D563DC8"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57960180"/>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662983" w:rsidRPr="00E33EFF">
              <w:t xml:space="preserve"> 33.1 </w:t>
            </w:r>
            <w:r w:rsidR="00B00959" w:rsidRPr="00E33EFF">
              <w:t xml:space="preserve">yra </w:t>
            </w:r>
            <w:r w:rsidR="00B13D65" w:rsidRPr="00E33EFF">
              <w:t>neįrodytas kaip didesnis</w:t>
            </w:r>
            <w:r w:rsidR="00B00959" w:rsidRPr="00E33EFF">
              <w:t>, lyginant su įprasta klinikine praktika</w:t>
            </w:r>
          </w:p>
          <w:p w14:paraId="512E653B"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3F374F4" w14:textId="7777777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69842114"/>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pateikti duomenys apie palyginamąjį efektyvumą yra netinkami vertinti</w:t>
            </w:r>
          </w:p>
          <w:p w14:paraId="5DDAA96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61CC3FE" w14:textId="77777777" w:rsidTr="00C16245">
        <w:trPr>
          <w:trHeight w:val="510"/>
        </w:trPr>
        <w:tc>
          <w:tcPr>
            <w:tcW w:w="9629" w:type="dxa"/>
            <w:gridSpan w:val="2"/>
            <w:vAlign w:val="center"/>
          </w:tcPr>
          <w:p w14:paraId="1AB46894" w14:textId="3E765638"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t>Klinikinis veiksmingumas</w:t>
            </w:r>
          </w:p>
        </w:tc>
      </w:tr>
      <w:tr w:rsidR="00B13D65" w:rsidRPr="00E33EFF" w14:paraId="3C60570A" w14:textId="77777777" w:rsidTr="0061611B">
        <w:tc>
          <w:tcPr>
            <w:tcW w:w="4815" w:type="dxa"/>
          </w:tcPr>
          <w:p w14:paraId="6897B306" w14:textId="711345A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481080007"/>
                <w15:color w:val="FFCC00"/>
                <w14:checkbox>
                  <w14:checked w14:val="1"/>
                  <w14:checkedState w14:val="2612" w14:font="MS Gothic"/>
                  <w14:uncheckedState w14:val="2610" w14:font="MS Gothic"/>
                </w14:checkbox>
              </w:sdtPr>
              <w:sdtContent>
                <w:r w:rsidR="000D5AAD">
                  <w:rPr>
                    <w:rStyle w:val="Style2"/>
                    <w:rFonts w:ascii="MS Gothic" w:eastAsia="MS Gothic" w:hAnsi="MS Gothic" w:hint="eastAsia"/>
                    <w:sz w:val="24"/>
                  </w:rPr>
                  <w:t>☒</w:t>
                </w:r>
              </w:sdtContent>
            </w:sdt>
            <w:r w:rsidR="00B13D65" w:rsidRPr="00E33EFF">
              <w:t xml:space="preserve"> 32.2. yra įvertintas kaip pagrindžiantis papildomos naudos pacientų sveikatai sukūrimą, lyginant su įprasta klinikine praktika</w:t>
            </w:r>
          </w:p>
          <w:p w14:paraId="71D57105"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BBDF86" w14:textId="5C0FE0B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86206158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32.2. </w:t>
            </w:r>
            <w:r w:rsidR="00B00959" w:rsidRPr="00E33EFF">
              <w:t xml:space="preserve">yra </w:t>
            </w:r>
            <w:r w:rsidR="00B13D65" w:rsidRPr="00E33EFF">
              <w:t>įvertintas kaip pagrindžiantis nesiskiriančios naudos pacientų sveikatai sukūrimą, lyginant su įprasta klinikine praktika</w:t>
            </w:r>
          </w:p>
          <w:p w14:paraId="287AD233"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74A2DECF" w14:textId="682BFC3B" w:rsidR="00662983" w:rsidRPr="00E33EFF" w:rsidRDefault="00000000" w:rsidP="00662983">
            <w:pPr>
              <w:jc w:val="both"/>
            </w:pPr>
            <w:sdt>
              <w:sdtPr>
                <w:rPr>
                  <w:rStyle w:val="Style2"/>
                  <w:sz w:val="24"/>
                </w:rPr>
                <w:id w:val="-1034573056"/>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33.1. yra įvertintas kaip nepagrindžiantis papildomos </w:t>
            </w:r>
            <w:r w:rsidR="00662983" w:rsidRPr="00E33EFF">
              <w:t>naudos pacientų sveikatai sukūrimo, lyginant su  įprasta klinikine praktika</w:t>
            </w:r>
          </w:p>
          <w:p w14:paraId="6C70BCFC" w14:textId="77777777" w:rsidR="00662983" w:rsidRPr="00E33EFF" w:rsidRDefault="00662983" w:rsidP="00BD1E5A">
            <w:pPr>
              <w:jc w:val="both"/>
            </w:pPr>
          </w:p>
          <w:p w14:paraId="0ADEC30D" w14:textId="1353964F" w:rsidR="00B13D65" w:rsidRPr="00E33EFF" w:rsidRDefault="00000000" w:rsidP="00BD1E5A">
            <w:pPr>
              <w:jc w:val="both"/>
            </w:pPr>
            <w:sdt>
              <w:sdtPr>
                <w:rPr>
                  <w:rStyle w:val="Style2"/>
                  <w:sz w:val="24"/>
                </w:rPr>
                <w:id w:val="1289549109"/>
                <w15:color w:val="FFCC00"/>
                <w14:checkbox>
                  <w14:checked w14:val="0"/>
                  <w14:checkedState w14:val="2612" w14:font="MS Gothic"/>
                  <w14:uncheckedState w14:val="2610" w14:font="MS Gothic"/>
                </w14:checkbox>
              </w:sdtPr>
              <w:sdtContent>
                <w:r w:rsidR="00662983" w:rsidRPr="00E33EFF">
                  <w:rPr>
                    <w:rStyle w:val="Style2"/>
                    <w:rFonts w:ascii="Segoe UI Symbol" w:eastAsia="MS Gothic" w:hAnsi="Segoe UI Symbol" w:cs="Segoe UI Symbol"/>
                    <w:sz w:val="24"/>
                  </w:rPr>
                  <w:t>☐</w:t>
                </w:r>
              </w:sdtContent>
            </w:sdt>
            <w:r w:rsidR="00B13D65" w:rsidRPr="00E33EFF">
              <w:t xml:space="preserve"> </w:t>
            </w:r>
            <w:r w:rsidR="00662983" w:rsidRPr="00E33EFF">
              <w:t xml:space="preserve">33.1. </w:t>
            </w:r>
            <w:r w:rsidR="00B00959" w:rsidRPr="00E33EFF">
              <w:t xml:space="preserve">yra įvertintas kaip nepagrindžiantis </w:t>
            </w:r>
            <w:r w:rsidR="00B13D65" w:rsidRPr="00E33EFF">
              <w:t>nesiskiriančios naudos pacientų sveikatai sukūrimo, lyginant su įprasta klinikine praktika</w:t>
            </w:r>
          </w:p>
          <w:p w14:paraId="1EED7901"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747E672"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B13D65" w:rsidRPr="00E33EFF" w14:paraId="1C75AE76" w14:textId="77777777" w:rsidTr="00C16245">
        <w:trPr>
          <w:trHeight w:val="510"/>
        </w:trPr>
        <w:tc>
          <w:tcPr>
            <w:tcW w:w="9629" w:type="dxa"/>
            <w:gridSpan w:val="2"/>
            <w:vAlign w:val="center"/>
          </w:tcPr>
          <w:p w14:paraId="0247EDAD" w14:textId="7FBBB759" w:rsidR="00B13D65" w:rsidRPr="00E33EFF" w:rsidRDefault="00B13D65" w:rsidP="00C162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E33EFF">
              <w:rPr>
                <w:rStyle w:val="Style2"/>
                <w:rFonts w:eastAsia="MS Gothic"/>
                <w:b/>
                <w:bCs/>
                <w:sz w:val="24"/>
              </w:rPr>
              <w:lastRenderedPageBreak/>
              <w:t>Kaštų naudingumas</w:t>
            </w:r>
          </w:p>
        </w:tc>
      </w:tr>
      <w:tr w:rsidR="00B13D65" w:rsidRPr="00E33EFF" w14:paraId="7091A05B" w14:textId="77777777" w:rsidTr="0061611B">
        <w:tc>
          <w:tcPr>
            <w:tcW w:w="4815" w:type="dxa"/>
          </w:tcPr>
          <w:p w14:paraId="69B2A994" w14:textId="17C37D82"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975984416"/>
                <w15:color w:val="FFCC00"/>
                <w14:checkbox>
                  <w14:checked w14:val="1"/>
                  <w14:checkedState w14:val="2612" w14:font="MS Gothic"/>
                  <w14:uncheckedState w14:val="2610" w14:font="MS Gothic"/>
                </w14:checkbox>
              </w:sdtPr>
              <w:sdtContent>
                <w:r w:rsidR="00B6585A">
                  <w:rPr>
                    <w:rStyle w:val="Style2"/>
                    <w:rFonts w:ascii="MS Gothic" w:eastAsia="MS Gothic" w:hAnsi="MS Gothic" w:hint="eastAsia"/>
                    <w:sz w:val="24"/>
                  </w:rPr>
                  <w:t>☒</w:t>
                </w:r>
              </w:sdtContent>
            </w:sdt>
            <w:r w:rsidR="00B13D65" w:rsidRPr="00E33EFF">
              <w:t xml:space="preserve"> 32.3. atitinka referencinę naudingumo vertę, taikant</w:t>
            </w:r>
            <w:r w:rsidR="00B6585A">
              <w:t xml:space="preserve"> PGS</w:t>
            </w:r>
          </w:p>
          <w:p w14:paraId="3F76F153"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62072E7" w14:textId="0310975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30808172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32.3. gydymo juo kaštai yra mažesni ar tokie patys esant iš esmės nesiskirian</w:t>
            </w:r>
            <w:r w:rsidR="00B6585A">
              <w:t>čiam palyginamajam efektyvumui</w:t>
            </w:r>
            <w:r w:rsidR="00B00959" w:rsidRPr="00E33EFF">
              <w:t>, lyginant su įprasta klinikine praktika</w:t>
            </w:r>
          </w:p>
          <w:p w14:paraId="25E4BD1E"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814" w:type="dxa"/>
          </w:tcPr>
          <w:p w14:paraId="53380063" w14:textId="5EB8488A"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365405113"/>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neatitinka referencinės naudingumo vertės Lietuvos Respublikoje</w:t>
            </w:r>
          </w:p>
          <w:p w14:paraId="229ED51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2673C3A9" w14:textId="069A91B7"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sz w:val="24"/>
                </w:rPr>
                <w:id w:val="-1135473618"/>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gydymo juo kaštai yra didesni esant iš esmės nesiskirian</w:t>
            </w:r>
            <w:r w:rsidR="00B6585A">
              <w:t>čiam palyginamajam efektyvumui,</w:t>
            </w:r>
            <w:r w:rsidR="00B00959" w:rsidRPr="00E33EFF">
              <w:t xml:space="preserve"> lyginant su įprasta klinikine praktika</w:t>
            </w:r>
          </w:p>
          <w:p w14:paraId="4A9C7D2A" w14:textId="77777777" w:rsidR="00662983" w:rsidRPr="00E33EFF" w:rsidRDefault="00662983"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226013D" w14:textId="4020B1AC" w:rsidR="00B13D65" w:rsidRPr="00E33EFF" w:rsidRDefault="00000000"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008360022"/>
                <w15:color w:val="FFCC00"/>
                <w14:checkbox>
                  <w14:checked w14:val="0"/>
                  <w14:checkedState w14:val="2612" w14:font="MS Gothic"/>
                  <w14:uncheckedState w14:val="2610" w14:font="MS Gothic"/>
                </w14:checkbox>
              </w:sdtPr>
              <w:sdtContent>
                <w:r w:rsidR="00B13D65" w:rsidRPr="00E33EFF">
                  <w:rPr>
                    <w:rStyle w:val="Style2"/>
                    <w:rFonts w:ascii="Segoe UI Symbol" w:eastAsia="MS Gothic" w:hAnsi="Segoe UI Symbol" w:cs="Segoe UI Symbol"/>
                    <w:sz w:val="24"/>
                  </w:rPr>
                  <w:t>☐</w:t>
                </w:r>
              </w:sdtContent>
            </w:sdt>
            <w:r w:rsidR="00B13D65" w:rsidRPr="00E33EFF">
              <w:t xml:space="preserve"> 33.3. pateikti duomenys apie kaštų na</w:t>
            </w:r>
            <w:r w:rsidR="00662983" w:rsidRPr="00E33EFF">
              <w:t>udingumą yra netinkami vertinti</w:t>
            </w:r>
          </w:p>
          <w:p w14:paraId="470A48A4" w14:textId="77777777" w:rsidR="00B13D65" w:rsidRPr="00E33EFF" w:rsidRDefault="00B13D65" w:rsidP="00BD1E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p w14:paraId="29A90384" w14:textId="4772D5ED"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6A0DCE8E" w14:textId="77777777" w:rsidR="001D647E" w:rsidRPr="00E33EFF" w:rsidRDefault="001D647E" w:rsidP="001D647E">
      <w:pPr>
        <w:spacing w:line="276" w:lineRule="auto"/>
        <w:ind w:firstLine="360"/>
        <w:jc w:val="both"/>
      </w:pPr>
      <w:r w:rsidRPr="00E33EFF">
        <w:t xml:space="preserve">Vadovaujantis </w:t>
      </w:r>
      <w:r>
        <w:t>V</w:t>
      </w:r>
      <w:r w:rsidRPr="00E33EFF">
        <w:t>aistinių preparatų ir medicinos pagalbos priemonių įrašymo į kompensavimo sąrašus ir jų keitimo tvarkos aprašo</w:t>
      </w:r>
      <w:r>
        <w:t>, patvirtinto</w:t>
      </w:r>
      <w:r w:rsidRPr="00E33EFF">
        <w:t xml:space="preserve"> Lietuvos Respublikos sveikatos apsaugos ministro 2002 m. balandžio 5 d. įsakymu Nr. V-159 „Dėl vaistinių preparatų ir medicinos pagalbos priemonių įrašymo į kompensavimo sąrašus ir jų keitimo tvarkos aprašo patvirtinimo“</w:t>
      </w:r>
      <w:r>
        <w:t>,</w:t>
      </w:r>
      <w:r w:rsidRPr="00E33EFF">
        <w:t xml:space="preserve"> punktu</w:t>
      </w:r>
    </w:p>
    <w:p w14:paraId="2EBA05BD" w14:textId="3FA783AF" w:rsidR="001D647E" w:rsidRPr="003C7191" w:rsidRDefault="001D647E" w:rsidP="001D6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E33EFF">
        <w:t xml:space="preserve">34.1. </w:t>
      </w:r>
      <w:r w:rsidRPr="001B674D">
        <w:t xml:space="preserve">rekomenduojama </w:t>
      </w:r>
      <w:r w:rsidRPr="001B674D">
        <w:rPr>
          <w:i/>
        </w:rPr>
        <w:t xml:space="preserve">kompensuoti </w:t>
      </w:r>
      <w:r w:rsidRPr="001B674D">
        <w:t xml:space="preserve">vaistinį preparatą pagal paraiškoje nurodytą indikaciją </w:t>
      </w:r>
      <w:r w:rsidR="00775512">
        <w:t>su skyrimo sąlygomis</w:t>
      </w:r>
      <w:r w:rsidRPr="001B674D">
        <w:t>, taikant PG</w:t>
      </w:r>
      <w:r>
        <w:t>S</w:t>
      </w:r>
      <w:r w:rsidRPr="00E33EFF">
        <w:t>, dėl didesnio palyginamojo efektyvumo ir gydymo sukuriamos papildomos naudos pacientų sveikatai, lyginant su įprasta klinikine praktika, ir atitikties r</w:t>
      </w:r>
      <w:r>
        <w:t>eferencinei naudingumo vertei.</w:t>
      </w:r>
    </w:p>
    <w:p w14:paraId="06BC01EE" w14:textId="44333E0B" w:rsidR="000723FF" w:rsidRPr="00E33EFF" w:rsidRDefault="000723FF" w:rsidP="00381024"/>
    <w:p w14:paraId="18B4292E" w14:textId="5ABE95CA" w:rsidR="000723FF" w:rsidRPr="00E33EFF" w:rsidRDefault="00CC09D4" w:rsidP="00CC09D4">
      <w:pPr>
        <w:tabs>
          <w:tab w:val="left" w:pos="567"/>
        </w:tabs>
        <w:ind w:left="567" w:hanging="567"/>
        <w:jc w:val="both"/>
        <w:rPr>
          <w:b/>
          <w:color w:val="000000"/>
          <w:lang w:eastAsia="lt-LT"/>
        </w:rPr>
      </w:pPr>
      <w:r>
        <w:rPr>
          <w:b/>
          <w:color w:val="000000"/>
          <w:lang w:eastAsia="lt-LT"/>
        </w:rPr>
        <w:t>8.</w:t>
      </w:r>
      <w:r>
        <w:rPr>
          <w:b/>
          <w:color w:val="000000"/>
          <w:lang w:eastAsia="lt-LT"/>
        </w:rPr>
        <w:tab/>
      </w:r>
      <w:r w:rsidR="000723FF" w:rsidRPr="00E33EFF">
        <w:rPr>
          <w:b/>
          <w:color w:val="000000"/>
          <w:lang w:eastAsia="lt-LT"/>
        </w:rPr>
        <w:t xml:space="preserve">SIŪLOMOS KOMPENSUOTI TERAPINĖS INDIKACIJOS IR SKYRIMO SĄLYGOS </w:t>
      </w:r>
    </w:p>
    <w:p w14:paraId="691340BB" w14:textId="77777777" w:rsidR="000723FF" w:rsidRPr="00E33EFF" w:rsidRDefault="000723FF" w:rsidP="000723FF">
      <w:pPr>
        <w:tabs>
          <w:tab w:val="left" w:pos="426"/>
        </w:tabs>
        <w:jc w:val="both"/>
        <w:rPr>
          <w:b/>
          <w:color w:val="000000"/>
          <w:lang w:eastAsia="lt-LT"/>
        </w:rPr>
      </w:pPr>
    </w:p>
    <w:p w14:paraId="529C92C4" w14:textId="152E5FB4" w:rsidR="000723FF" w:rsidRPr="00DC5BAC" w:rsidRDefault="000723FF" w:rsidP="00824B92">
      <w:pPr>
        <w:rPr>
          <w:b/>
          <w:lang w:eastAsia="lt-LT"/>
        </w:rPr>
      </w:pPr>
      <w:r w:rsidRPr="00DC5BAC">
        <w:rPr>
          <w:b/>
          <w:lang w:eastAsia="lt-LT"/>
        </w:rPr>
        <w:t>Terapinės indikacijos</w:t>
      </w:r>
    </w:p>
    <w:p w14:paraId="5BB746DD" w14:textId="6E4EFA16" w:rsidR="000723FF" w:rsidRPr="00E33EFF" w:rsidRDefault="00000000" w:rsidP="00824B92">
      <w:sdt>
        <w:sdtPr>
          <w:rPr>
            <w:rStyle w:val="Style2"/>
          </w:rPr>
          <w:id w:val="1146316688"/>
          <w15:color w:val="FFCC00"/>
          <w14:checkbox>
            <w14:checked w14:val="1"/>
            <w14:checkedState w14:val="2612" w14:font="MS Gothic"/>
            <w14:uncheckedState w14:val="2610" w14:font="MS Gothic"/>
          </w14:checkbox>
        </w:sdtPr>
        <w:sdtContent>
          <w:r w:rsidR="0041059C">
            <w:rPr>
              <w:rStyle w:val="Style2"/>
              <w:rFonts w:ascii="MS Gothic" w:eastAsia="MS Gothic" w:hAnsi="MS Gothic" w:hint="eastAsia"/>
            </w:rPr>
            <w:t>☒</w:t>
          </w:r>
        </w:sdtContent>
      </w:sdt>
      <w:r w:rsidR="000723FF" w:rsidRPr="00E33EFF">
        <w:t xml:space="preserve"> Siūloma kompensuoti Pareiškėjo teikiamą indikaciją be pakeitimų.</w:t>
      </w:r>
    </w:p>
    <w:p w14:paraId="793ADD73" w14:textId="77777777" w:rsidR="00301E31" w:rsidRDefault="000723FF" w:rsidP="00824B92">
      <w:r w:rsidRPr="00E33EFF">
        <w:t xml:space="preserve"> </w:t>
      </w:r>
    </w:p>
    <w:p w14:paraId="3CFA3BF9" w14:textId="72BA5937" w:rsidR="00301E31" w:rsidRPr="007E6D07" w:rsidRDefault="007B68D0" w:rsidP="007B68D0">
      <w:pPr>
        <w:spacing w:after="120"/>
        <w:jc w:val="both"/>
      </w:pPr>
      <w:r w:rsidRPr="00FD12A7">
        <w:t>DARZALEX yra skirtas derinyje su bortezomibu, talidomidu ir deksametazonu gydymui suaugusiems pacientams, kuriems naujai buvo diagnozuota daugybinė mieloma ir kuriems tinka autologinė kamieninių ląstelių transplantacija.</w:t>
      </w:r>
    </w:p>
    <w:p w14:paraId="597367EF" w14:textId="77777777" w:rsidR="000723FF" w:rsidRPr="00E33EFF" w:rsidRDefault="00000000" w:rsidP="00824B92">
      <w:sdt>
        <w:sdtPr>
          <w:rPr>
            <w:rStyle w:val="Style2"/>
          </w:rPr>
          <w:id w:val="1467245146"/>
          <w15:color w:val="FFCC00"/>
          <w14:checkbox>
            <w14:checked w14:val="0"/>
            <w14:checkedState w14:val="2612" w14:font="MS Gothic"/>
            <w14:uncheckedState w14:val="2610" w14:font="MS Gothic"/>
          </w14:checkbox>
        </w:sdtPr>
        <w:sdtContent>
          <w:r w:rsidR="000723FF" w:rsidRPr="00E33EFF">
            <w:rPr>
              <w:rStyle w:val="Style2"/>
              <w:rFonts w:ascii="MS Gothic" w:eastAsia="MS Gothic" w:hAnsi="MS Gothic"/>
            </w:rPr>
            <w:t>☐</w:t>
          </w:r>
        </w:sdtContent>
      </w:sdt>
      <w:r w:rsidR="000723FF" w:rsidRPr="00E33EFF">
        <w:t xml:space="preserve"> Siūloma kompensuoti Pareiškėjo teikiamą indikaciją su pakeitimais.</w:t>
      </w:r>
    </w:p>
    <w:p w14:paraId="261465F9" w14:textId="77777777" w:rsidR="00301E31" w:rsidRDefault="00301E31" w:rsidP="00824B92">
      <w:pPr>
        <w:rPr>
          <w:b/>
        </w:rPr>
      </w:pPr>
    </w:p>
    <w:p w14:paraId="5136243C" w14:textId="77777777" w:rsidR="00301E31" w:rsidRDefault="00301E31" w:rsidP="00824B92">
      <w:pPr>
        <w:rPr>
          <w:b/>
        </w:rPr>
      </w:pPr>
    </w:p>
    <w:p w14:paraId="241A6E6B" w14:textId="65A39FCB" w:rsidR="000723FF" w:rsidRPr="00E33EFF" w:rsidRDefault="000723FF" w:rsidP="00824B92">
      <w:pPr>
        <w:rPr>
          <w:b/>
        </w:rPr>
      </w:pPr>
      <w:r w:rsidRPr="00E33EFF">
        <w:rPr>
          <w:b/>
        </w:rPr>
        <w:t>Skyrimo sąlygos</w:t>
      </w:r>
    </w:p>
    <w:p w14:paraId="250ACC46" w14:textId="29F6AA46" w:rsidR="000723FF" w:rsidRPr="00E33EFF" w:rsidRDefault="00000000" w:rsidP="00824B92">
      <w:sdt>
        <w:sdtPr>
          <w:rPr>
            <w:rStyle w:val="Style2"/>
          </w:rPr>
          <w:id w:val="169305347"/>
          <w15:color w:val="FFCC00"/>
          <w14:checkbox>
            <w14:checked w14:val="0"/>
            <w14:checkedState w14:val="2612" w14:font="MS Gothic"/>
            <w14:uncheckedState w14:val="2610" w14:font="MS Gothic"/>
          </w14:checkbox>
        </w:sdtPr>
        <w:sdtContent>
          <w:r w:rsidR="007A2B68">
            <w:rPr>
              <w:rStyle w:val="Style2"/>
              <w:rFonts w:ascii="MS Gothic" w:eastAsia="MS Gothic" w:hAnsi="MS Gothic" w:hint="eastAsia"/>
            </w:rPr>
            <w:t>☐</w:t>
          </w:r>
        </w:sdtContent>
      </w:sdt>
      <w:r w:rsidR="000723FF" w:rsidRPr="00E33EFF">
        <w:t xml:space="preserve"> Pareiškėjo siūlomos skyrimo sąlygos priimtinos. </w:t>
      </w:r>
    </w:p>
    <w:p w14:paraId="2A4B6542" w14:textId="7FA5E39B" w:rsidR="000723FF" w:rsidRPr="00E33EFF" w:rsidRDefault="000723FF" w:rsidP="00824B92">
      <w:r w:rsidRPr="00E33EFF">
        <w:t xml:space="preserve"> </w:t>
      </w:r>
    </w:p>
    <w:p w14:paraId="70A050E5" w14:textId="416F77BD" w:rsidR="00301E31"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301E31">
            <w:rPr>
              <w:rStyle w:val="Style2"/>
              <w:rFonts w:ascii="MS Gothic" w:eastAsia="MS Gothic" w:hAnsi="MS Gothic" w:hint="eastAsia"/>
            </w:rPr>
            <w:t>☒</w:t>
          </w:r>
        </w:sdtContent>
      </w:sdt>
      <w:r w:rsidR="000723FF" w:rsidRPr="00E33EFF">
        <w:t xml:space="preserve"> Pareiškėjo siūlomos skyrimo sąlygos nepriimtinos.</w:t>
      </w:r>
    </w:p>
    <w:p w14:paraId="45B86589" w14:textId="119BA21A" w:rsidR="00301E31" w:rsidRDefault="00301E31" w:rsidP="00824B92">
      <w:r>
        <w:t>Siūlomos skyrimo sąlygos</w:t>
      </w:r>
      <w:r w:rsidR="00F46DA2">
        <w:t>.</w:t>
      </w:r>
    </w:p>
    <w:p w14:paraId="297867ED" w14:textId="17DE498D" w:rsidR="000723FF" w:rsidRPr="00E33EFF" w:rsidRDefault="000723FF" w:rsidP="00824B92">
      <w:r w:rsidRPr="00E33EFF">
        <w:t xml:space="preserve"> </w:t>
      </w:r>
    </w:p>
    <w:p w14:paraId="7CDFF220" w14:textId="15F1CAD4" w:rsidR="000723FF" w:rsidRPr="006B24BA" w:rsidRDefault="00375AD6" w:rsidP="006B24BA">
      <w:pPr>
        <w:jc w:val="both"/>
        <w:rPr>
          <w:b/>
        </w:rPr>
      </w:pPr>
      <w:r>
        <w:rPr>
          <w:rFonts w:eastAsia="Arial"/>
        </w:rPr>
        <w:t>D</w:t>
      </w:r>
      <w:r w:rsidR="00DB1AC8" w:rsidRPr="006B24BA">
        <w:rPr>
          <w:rFonts w:eastAsia="Arial"/>
        </w:rPr>
        <w:t xml:space="preserve">erinyje su bortezomibu, talidomidu ir deksametazonu </w:t>
      </w:r>
      <w:r>
        <w:rPr>
          <w:rFonts w:eastAsia="Arial"/>
        </w:rPr>
        <w:t xml:space="preserve">skiriamas </w:t>
      </w:r>
      <w:r w:rsidR="00F46DA2">
        <w:t>pagal  preparato charakteristikų santraukoje nurodytą dozavimo tvarką</w:t>
      </w:r>
      <w:r w:rsidR="00F46DA2" w:rsidRPr="000C35FA">
        <w:t xml:space="preserve"> </w:t>
      </w:r>
      <w:r>
        <w:rPr>
          <w:rFonts w:eastAsia="Arial"/>
        </w:rPr>
        <w:t xml:space="preserve">4 savaičių ciklo dozavimo režimu </w:t>
      </w:r>
      <w:r w:rsidR="006B24BA">
        <w:rPr>
          <w:rFonts w:eastAsia="Arial"/>
        </w:rPr>
        <w:t xml:space="preserve">pacientams su naujai </w:t>
      </w:r>
      <w:r w:rsidR="006B24BA">
        <w:rPr>
          <w:rFonts w:eastAsia="Arial"/>
        </w:rPr>
        <w:lastRenderedPageBreak/>
        <w:t>diagnozuota daugine mieloma</w:t>
      </w:r>
      <w:r>
        <w:rPr>
          <w:rFonts w:eastAsia="Arial"/>
        </w:rPr>
        <w:t>, kuriems tinka autologinė kamieninių ląstelių transplantacija</w:t>
      </w:r>
      <w:r w:rsidR="003B45D8">
        <w:rPr>
          <w:rFonts w:eastAsia="Arial"/>
        </w:rPr>
        <w:t xml:space="preserve">, </w:t>
      </w:r>
      <w:r w:rsidR="006060AE">
        <w:rPr>
          <w:rFonts w:eastAsia="Arial"/>
        </w:rPr>
        <w:t xml:space="preserve">ne daugiau kaip </w:t>
      </w:r>
      <w:r w:rsidR="007547A8">
        <w:rPr>
          <w:rFonts w:eastAsia="Arial"/>
        </w:rPr>
        <w:t>12 dozių i</w:t>
      </w:r>
      <w:r>
        <w:rPr>
          <w:rFonts w:eastAsia="Arial"/>
        </w:rPr>
        <w:t>ndukcijai</w:t>
      </w:r>
      <w:r w:rsidR="007547A8">
        <w:rPr>
          <w:rFonts w:eastAsia="Arial"/>
        </w:rPr>
        <w:t xml:space="preserve"> ir </w:t>
      </w:r>
      <w:r w:rsidR="006060AE">
        <w:rPr>
          <w:rFonts w:eastAsia="Arial"/>
        </w:rPr>
        <w:t>ne</w:t>
      </w:r>
      <w:r w:rsidR="00F46DA2">
        <w:rPr>
          <w:rFonts w:eastAsia="Arial"/>
        </w:rPr>
        <w:t xml:space="preserve"> </w:t>
      </w:r>
      <w:r w:rsidR="006060AE">
        <w:rPr>
          <w:rFonts w:eastAsia="Arial"/>
        </w:rPr>
        <w:t xml:space="preserve">daugiau kaip </w:t>
      </w:r>
      <w:r w:rsidR="007547A8">
        <w:rPr>
          <w:rFonts w:eastAsia="Arial"/>
        </w:rPr>
        <w:t>4 dozės konsolidavimui</w:t>
      </w:r>
      <w:r w:rsidR="00F46DA2">
        <w:rPr>
          <w:rFonts w:eastAsia="Arial"/>
        </w:rPr>
        <w:t>.</w:t>
      </w:r>
      <w:r w:rsidR="006060AE">
        <w:rPr>
          <w:rFonts w:eastAsia="Arial"/>
        </w:rPr>
        <w:t xml:space="preserve"> </w:t>
      </w:r>
      <w:r w:rsidR="00AA2C42">
        <w:t xml:space="preserve"> </w:t>
      </w:r>
    </w:p>
    <w:p w14:paraId="1C31B000" w14:textId="77777777" w:rsidR="00F46DA2" w:rsidRPr="006B24BA" w:rsidRDefault="00F46DA2">
      <w:pPr>
        <w:jc w:val="both"/>
        <w:rPr>
          <w:b/>
        </w:rPr>
      </w:pPr>
    </w:p>
    <w:sectPr w:rsidR="00F46DA2" w:rsidRPr="006B24BA" w:rsidSect="000B47F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48577" w14:textId="77777777" w:rsidR="000B47F1" w:rsidRDefault="000B47F1">
      <w:r>
        <w:separator/>
      </w:r>
    </w:p>
  </w:endnote>
  <w:endnote w:type="continuationSeparator" w:id="0">
    <w:p w14:paraId="6993D40B" w14:textId="77777777" w:rsidR="000B47F1" w:rsidRDefault="000B4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781AD" w14:textId="77777777" w:rsidR="000B47F1" w:rsidRDefault="000B47F1">
      <w:r>
        <w:separator/>
      </w:r>
    </w:p>
  </w:footnote>
  <w:footnote w:type="continuationSeparator" w:id="0">
    <w:p w14:paraId="13506CB2" w14:textId="77777777" w:rsidR="000B47F1" w:rsidRDefault="000B47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0FE279FD"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46DA2">
      <w:rPr>
        <w:rStyle w:val="Puslapionumeris"/>
        <w:noProof/>
      </w:rPr>
      <w:t>8</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20B39A0"/>
    <w:multiLevelType w:val="hybridMultilevel"/>
    <w:tmpl w:val="FD2294B2"/>
    <w:lvl w:ilvl="0" w:tplc="1D46712C">
      <w:numFmt w:val="bullet"/>
      <w:lvlText w:val="-"/>
      <w:lvlJc w:val="left"/>
      <w:pPr>
        <w:ind w:left="720" w:hanging="360"/>
      </w:pPr>
      <w:rPr>
        <w:rFonts w:ascii="Times New Roman" w:eastAsia="Arial"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7"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48787546">
    <w:abstractNumId w:val="7"/>
  </w:num>
  <w:num w:numId="2" w16cid:durableId="293609620">
    <w:abstractNumId w:val="1"/>
  </w:num>
  <w:num w:numId="3" w16cid:durableId="1742096046">
    <w:abstractNumId w:val="9"/>
  </w:num>
  <w:num w:numId="4" w16cid:durableId="1211376892">
    <w:abstractNumId w:val="8"/>
  </w:num>
  <w:num w:numId="5" w16cid:durableId="1429303367">
    <w:abstractNumId w:val="6"/>
  </w:num>
  <w:num w:numId="6" w16cid:durableId="637489484">
    <w:abstractNumId w:val="5"/>
  </w:num>
  <w:num w:numId="7" w16cid:durableId="1697123828">
    <w:abstractNumId w:val="3"/>
  </w:num>
  <w:num w:numId="8" w16cid:durableId="863904721">
    <w:abstractNumId w:val="12"/>
  </w:num>
  <w:num w:numId="9" w16cid:durableId="105656056">
    <w:abstractNumId w:val="0"/>
  </w:num>
  <w:num w:numId="10" w16cid:durableId="1083379481">
    <w:abstractNumId w:val="10"/>
  </w:num>
  <w:num w:numId="11" w16cid:durableId="797383502">
    <w:abstractNumId w:val="11"/>
  </w:num>
  <w:num w:numId="12" w16cid:durableId="279603848">
    <w:abstractNumId w:val="2"/>
  </w:num>
  <w:num w:numId="13" w16cid:durableId="7371708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31D0E"/>
    <w:rsid w:val="000337E6"/>
    <w:rsid w:val="0003402E"/>
    <w:rsid w:val="00034EAE"/>
    <w:rsid w:val="00042924"/>
    <w:rsid w:val="00053975"/>
    <w:rsid w:val="00057A2B"/>
    <w:rsid w:val="000606BE"/>
    <w:rsid w:val="000627F6"/>
    <w:rsid w:val="000723FF"/>
    <w:rsid w:val="000736B8"/>
    <w:rsid w:val="0008190F"/>
    <w:rsid w:val="00081D9C"/>
    <w:rsid w:val="00082907"/>
    <w:rsid w:val="0008378D"/>
    <w:rsid w:val="00083D56"/>
    <w:rsid w:val="000908A5"/>
    <w:rsid w:val="00092805"/>
    <w:rsid w:val="000B47F1"/>
    <w:rsid w:val="000C1188"/>
    <w:rsid w:val="000C35FA"/>
    <w:rsid w:val="000C454C"/>
    <w:rsid w:val="000D5038"/>
    <w:rsid w:val="000D5AAD"/>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0105"/>
    <w:rsid w:val="00164146"/>
    <w:rsid w:val="0017369C"/>
    <w:rsid w:val="00175D57"/>
    <w:rsid w:val="00180C39"/>
    <w:rsid w:val="00180D96"/>
    <w:rsid w:val="00184BD3"/>
    <w:rsid w:val="001921F3"/>
    <w:rsid w:val="001B3C5B"/>
    <w:rsid w:val="001D647E"/>
    <w:rsid w:val="001D746F"/>
    <w:rsid w:val="001E4BBB"/>
    <w:rsid w:val="001E6304"/>
    <w:rsid w:val="001F0ADD"/>
    <w:rsid w:val="0020381E"/>
    <w:rsid w:val="00213471"/>
    <w:rsid w:val="00215906"/>
    <w:rsid w:val="00241CD8"/>
    <w:rsid w:val="00244B09"/>
    <w:rsid w:val="002519CB"/>
    <w:rsid w:val="00253DDC"/>
    <w:rsid w:val="0025697F"/>
    <w:rsid w:val="00260258"/>
    <w:rsid w:val="0026587E"/>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2F3AF6"/>
    <w:rsid w:val="00301E31"/>
    <w:rsid w:val="00317B0E"/>
    <w:rsid w:val="00326464"/>
    <w:rsid w:val="00336ADB"/>
    <w:rsid w:val="00347FAA"/>
    <w:rsid w:val="0035172D"/>
    <w:rsid w:val="0036187D"/>
    <w:rsid w:val="00367EDB"/>
    <w:rsid w:val="00370685"/>
    <w:rsid w:val="00372AFD"/>
    <w:rsid w:val="00375AD6"/>
    <w:rsid w:val="00381024"/>
    <w:rsid w:val="00386307"/>
    <w:rsid w:val="003874DE"/>
    <w:rsid w:val="00393E9F"/>
    <w:rsid w:val="0039696E"/>
    <w:rsid w:val="003B0FA4"/>
    <w:rsid w:val="003B211A"/>
    <w:rsid w:val="003B45D8"/>
    <w:rsid w:val="003C141F"/>
    <w:rsid w:val="003C43CC"/>
    <w:rsid w:val="003C6B0E"/>
    <w:rsid w:val="003C7257"/>
    <w:rsid w:val="003C7E35"/>
    <w:rsid w:val="003D1877"/>
    <w:rsid w:val="003D1E99"/>
    <w:rsid w:val="003D3A9D"/>
    <w:rsid w:val="003D6208"/>
    <w:rsid w:val="00404E8A"/>
    <w:rsid w:val="0040622F"/>
    <w:rsid w:val="0041059C"/>
    <w:rsid w:val="00413F24"/>
    <w:rsid w:val="004140C4"/>
    <w:rsid w:val="00422853"/>
    <w:rsid w:val="00423160"/>
    <w:rsid w:val="0043489B"/>
    <w:rsid w:val="00453862"/>
    <w:rsid w:val="00454313"/>
    <w:rsid w:val="0045469B"/>
    <w:rsid w:val="00461338"/>
    <w:rsid w:val="004677DB"/>
    <w:rsid w:val="0047414A"/>
    <w:rsid w:val="00476256"/>
    <w:rsid w:val="0048630F"/>
    <w:rsid w:val="004947A1"/>
    <w:rsid w:val="0049482A"/>
    <w:rsid w:val="004979D3"/>
    <w:rsid w:val="004A00E7"/>
    <w:rsid w:val="004A19E5"/>
    <w:rsid w:val="004A3A61"/>
    <w:rsid w:val="004A73E4"/>
    <w:rsid w:val="004B0472"/>
    <w:rsid w:val="004B205D"/>
    <w:rsid w:val="004B59BA"/>
    <w:rsid w:val="004B5A03"/>
    <w:rsid w:val="004C263A"/>
    <w:rsid w:val="004D48A6"/>
    <w:rsid w:val="004D7B8F"/>
    <w:rsid w:val="004E6458"/>
    <w:rsid w:val="004E6E7D"/>
    <w:rsid w:val="004F0C8B"/>
    <w:rsid w:val="004F1AAC"/>
    <w:rsid w:val="004F1AE2"/>
    <w:rsid w:val="004F1E92"/>
    <w:rsid w:val="004F34F0"/>
    <w:rsid w:val="004F3B2B"/>
    <w:rsid w:val="004F6050"/>
    <w:rsid w:val="005005EF"/>
    <w:rsid w:val="005123C2"/>
    <w:rsid w:val="005173F7"/>
    <w:rsid w:val="0052144B"/>
    <w:rsid w:val="00524066"/>
    <w:rsid w:val="00534E11"/>
    <w:rsid w:val="005362D2"/>
    <w:rsid w:val="005378D8"/>
    <w:rsid w:val="005400D9"/>
    <w:rsid w:val="005476A4"/>
    <w:rsid w:val="0055019B"/>
    <w:rsid w:val="00556E63"/>
    <w:rsid w:val="005601A4"/>
    <w:rsid w:val="00566DBB"/>
    <w:rsid w:val="005767DB"/>
    <w:rsid w:val="005815E6"/>
    <w:rsid w:val="0058712F"/>
    <w:rsid w:val="005976CE"/>
    <w:rsid w:val="005A23D4"/>
    <w:rsid w:val="005A2D1E"/>
    <w:rsid w:val="005B3756"/>
    <w:rsid w:val="005C493F"/>
    <w:rsid w:val="005C6BF7"/>
    <w:rsid w:val="005C71BF"/>
    <w:rsid w:val="005D002C"/>
    <w:rsid w:val="005D30E1"/>
    <w:rsid w:val="005D6555"/>
    <w:rsid w:val="005D7BDF"/>
    <w:rsid w:val="005E4870"/>
    <w:rsid w:val="005E4F6A"/>
    <w:rsid w:val="005F71D9"/>
    <w:rsid w:val="005F7602"/>
    <w:rsid w:val="006015B4"/>
    <w:rsid w:val="006031C8"/>
    <w:rsid w:val="006060AE"/>
    <w:rsid w:val="006062BE"/>
    <w:rsid w:val="00613143"/>
    <w:rsid w:val="00613501"/>
    <w:rsid w:val="0061611B"/>
    <w:rsid w:val="006166A8"/>
    <w:rsid w:val="006174A1"/>
    <w:rsid w:val="00621D6C"/>
    <w:rsid w:val="00633B49"/>
    <w:rsid w:val="0064297F"/>
    <w:rsid w:val="00645102"/>
    <w:rsid w:val="00646CF3"/>
    <w:rsid w:val="00653D11"/>
    <w:rsid w:val="00662983"/>
    <w:rsid w:val="006807B3"/>
    <w:rsid w:val="0068291B"/>
    <w:rsid w:val="006834D3"/>
    <w:rsid w:val="00692625"/>
    <w:rsid w:val="00692A3C"/>
    <w:rsid w:val="006938A0"/>
    <w:rsid w:val="00694FAA"/>
    <w:rsid w:val="00695CD3"/>
    <w:rsid w:val="006966BA"/>
    <w:rsid w:val="006A38B6"/>
    <w:rsid w:val="006B1987"/>
    <w:rsid w:val="006B24BA"/>
    <w:rsid w:val="006B5B71"/>
    <w:rsid w:val="006B6CB0"/>
    <w:rsid w:val="006C0296"/>
    <w:rsid w:val="006C2B64"/>
    <w:rsid w:val="006C58C4"/>
    <w:rsid w:val="006D4C85"/>
    <w:rsid w:val="006D66AC"/>
    <w:rsid w:val="006E33F6"/>
    <w:rsid w:val="006F1251"/>
    <w:rsid w:val="006F1C23"/>
    <w:rsid w:val="00702C18"/>
    <w:rsid w:val="00703166"/>
    <w:rsid w:val="007127F3"/>
    <w:rsid w:val="007301CF"/>
    <w:rsid w:val="007316FB"/>
    <w:rsid w:val="007374D0"/>
    <w:rsid w:val="00737E2D"/>
    <w:rsid w:val="007424D5"/>
    <w:rsid w:val="00750A88"/>
    <w:rsid w:val="007523DD"/>
    <w:rsid w:val="007547A8"/>
    <w:rsid w:val="00757B7E"/>
    <w:rsid w:val="007656B2"/>
    <w:rsid w:val="0077016F"/>
    <w:rsid w:val="007713AD"/>
    <w:rsid w:val="0077303C"/>
    <w:rsid w:val="00775512"/>
    <w:rsid w:val="00783695"/>
    <w:rsid w:val="00795DC5"/>
    <w:rsid w:val="00797153"/>
    <w:rsid w:val="007A21F7"/>
    <w:rsid w:val="007A2B68"/>
    <w:rsid w:val="007B0DDA"/>
    <w:rsid w:val="007B68D0"/>
    <w:rsid w:val="007C39B8"/>
    <w:rsid w:val="007C4420"/>
    <w:rsid w:val="007C7519"/>
    <w:rsid w:val="007D3347"/>
    <w:rsid w:val="007E5466"/>
    <w:rsid w:val="007E6D07"/>
    <w:rsid w:val="007F1949"/>
    <w:rsid w:val="007F2592"/>
    <w:rsid w:val="00800A08"/>
    <w:rsid w:val="008130D8"/>
    <w:rsid w:val="00817A84"/>
    <w:rsid w:val="008225A4"/>
    <w:rsid w:val="00824B92"/>
    <w:rsid w:val="00826D5E"/>
    <w:rsid w:val="00832013"/>
    <w:rsid w:val="00832DB7"/>
    <w:rsid w:val="00834732"/>
    <w:rsid w:val="00845797"/>
    <w:rsid w:val="0085200C"/>
    <w:rsid w:val="0085586D"/>
    <w:rsid w:val="00857C52"/>
    <w:rsid w:val="00860D5F"/>
    <w:rsid w:val="00880A44"/>
    <w:rsid w:val="0088345E"/>
    <w:rsid w:val="0088656F"/>
    <w:rsid w:val="00886E9E"/>
    <w:rsid w:val="00891EF6"/>
    <w:rsid w:val="008A0303"/>
    <w:rsid w:val="008A5FDD"/>
    <w:rsid w:val="008B46B7"/>
    <w:rsid w:val="008C3947"/>
    <w:rsid w:val="008E3C91"/>
    <w:rsid w:val="008E473B"/>
    <w:rsid w:val="008E51A6"/>
    <w:rsid w:val="008E7329"/>
    <w:rsid w:val="008F2ED5"/>
    <w:rsid w:val="00903D51"/>
    <w:rsid w:val="0092297E"/>
    <w:rsid w:val="00923651"/>
    <w:rsid w:val="00923B3F"/>
    <w:rsid w:val="00925179"/>
    <w:rsid w:val="00927B56"/>
    <w:rsid w:val="009341BF"/>
    <w:rsid w:val="00937907"/>
    <w:rsid w:val="00941739"/>
    <w:rsid w:val="00943E06"/>
    <w:rsid w:val="00951573"/>
    <w:rsid w:val="00961ACF"/>
    <w:rsid w:val="00963003"/>
    <w:rsid w:val="00966EEF"/>
    <w:rsid w:val="00971B28"/>
    <w:rsid w:val="00983471"/>
    <w:rsid w:val="009909AB"/>
    <w:rsid w:val="009B37DB"/>
    <w:rsid w:val="009B5D80"/>
    <w:rsid w:val="009C7A8C"/>
    <w:rsid w:val="009D23F9"/>
    <w:rsid w:val="009D4FA8"/>
    <w:rsid w:val="009E44AE"/>
    <w:rsid w:val="009E6CD6"/>
    <w:rsid w:val="009F4D66"/>
    <w:rsid w:val="009F7C7F"/>
    <w:rsid w:val="00A00C3C"/>
    <w:rsid w:val="00A01091"/>
    <w:rsid w:val="00A042B9"/>
    <w:rsid w:val="00A06DBB"/>
    <w:rsid w:val="00A22ADF"/>
    <w:rsid w:val="00A31E86"/>
    <w:rsid w:val="00A4366E"/>
    <w:rsid w:val="00A4579B"/>
    <w:rsid w:val="00A54D87"/>
    <w:rsid w:val="00A5553C"/>
    <w:rsid w:val="00A701C9"/>
    <w:rsid w:val="00A81785"/>
    <w:rsid w:val="00A84803"/>
    <w:rsid w:val="00A84C51"/>
    <w:rsid w:val="00A86F2B"/>
    <w:rsid w:val="00A903F0"/>
    <w:rsid w:val="00A91366"/>
    <w:rsid w:val="00A93AA6"/>
    <w:rsid w:val="00AA2C42"/>
    <w:rsid w:val="00AA4E48"/>
    <w:rsid w:val="00AA6202"/>
    <w:rsid w:val="00AA7B57"/>
    <w:rsid w:val="00AC26FC"/>
    <w:rsid w:val="00AC4A99"/>
    <w:rsid w:val="00AC64D2"/>
    <w:rsid w:val="00AD029C"/>
    <w:rsid w:val="00AD02E7"/>
    <w:rsid w:val="00AE0FE8"/>
    <w:rsid w:val="00AE1322"/>
    <w:rsid w:val="00AF60D5"/>
    <w:rsid w:val="00B00959"/>
    <w:rsid w:val="00B04415"/>
    <w:rsid w:val="00B06509"/>
    <w:rsid w:val="00B11D60"/>
    <w:rsid w:val="00B12769"/>
    <w:rsid w:val="00B13D65"/>
    <w:rsid w:val="00B21484"/>
    <w:rsid w:val="00B21805"/>
    <w:rsid w:val="00B3072E"/>
    <w:rsid w:val="00B36E15"/>
    <w:rsid w:val="00B37245"/>
    <w:rsid w:val="00B4017A"/>
    <w:rsid w:val="00B4468D"/>
    <w:rsid w:val="00B6585A"/>
    <w:rsid w:val="00B71C72"/>
    <w:rsid w:val="00B7488E"/>
    <w:rsid w:val="00B81E92"/>
    <w:rsid w:val="00B908D7"/>
    <w:rsid w:val="00B915AB"/>
    <w:rsid w:val="00B935E8"/>
    <w:rsid w:val="00B93B30"/>
    <w:rsid w:val="00B94CB5"/>
    <w:rsid w:val="00BA0DD9"/>
    <w:rsid w:val="00BA5DBC"/>
    <w:rsid w:val="00BB6312"/>
    <w:rsid w:val="00BC4D06"/>
    <w:rsid w:val="00BD09A5"/>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217D"/>
    <w:rsid w:val="00CC09D4"/>
    <w:rsid w:val="00CC668D"/>
    <w:rsid w:val="00CC7521"/>
    <w:rsid w:val="00CC7832"/>
    <w:rsid w:val="00CF0C1C"/>
    <w:rsid w:val="00CF27FD"/>
    <w:rsid w:val="00CF5F12"/>
    <w:rsid w:val="00CF6C57"/>
    <w:rsid w:val="00D00D8F"/>
    <w:rsid w:val="00D21F3A"/>
    <w:rsid w:val="00D23808"/>
    <w:rsid w:val="00D3016A"/>
    <w:rsid w:val="00D417D2"/>
    <w:rsid w:val="00D41A5D"/>
    <w:rsid w:val="00D42960"/>
    <w:rsid w:val="00D43BD7"/>
    <w:rsid w:val="00D4485B"/>
    <w:rsid w:val="00D4708D"/>
    <w:rsid w:val="00D4744C"/>
    <w:rsid w:val="00D521DE"/>
    <w:rsid w:val="00D5470B"/>
    <w:rsid w:val="00D63068"/>
    <w:rsid w:val="00D6498C"/>
    <w:rsid w:val="00D76A70"/>
    <w:rsid w:val="00D83182"/>
    <w:rsid w:val="00D8521E"/>
    <w:rsid w:val="00D9291C"/>
    <w:rsid w:val="00D93A97"/>
    <w:rsid w:val="00D970E4"/>
    <w:rsid w:val="00DB1AC8"/>
    <w:rsid w:val="00DB1F64"/>
    <w:rsid w:val="00DC0C26"/>
    <w:rsid w:val="00DC23A6"/>
    <w:rsid w:val="00DC267F"/>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A3592"/>
    <w:rsid w:val="00EB6FC5"/>
    <w:rsid w:val="00EC2356"/>
    <w:rsid w:val="00EC2582"/>
    <w:rsid w:val="00EC337C"/>
    <w:rsid w:val="00ED0CFF"/>
    <w:rsid w:val="00ED31D2"/>
    <w:rsid w:val="00EE0EAC"/>
    <w:rsid w:val="00EE3322"/>
    <w:rsid w:val="00EE33CB"/>
    <w:rsid w:val="00EE3D9C"/>
    <w:rsid w:val="00F0061A"/>
    <w:rsid w:val="00F02834"/>
    <w:rsid w:val="00F04EEB"/>
    <w:rsid w:val="00F05467"/>
    <w:rsid w:val="00F055D2"/>
    <w:rsid w:val="00F07CD7"/>
    <w:rsid w:val="00F127E9"/>
    <w:rsid w:val="00F14353"/>
    <w:rsid w:val="00F14B5D"/>
    <w:rsid w:val="00F17A74"/>
    <w:rsid w:val="00F259FC"/>
    <w:rsid w:val="00F36972"/>
    <w:rsid w:val="00F42426"/>
    <w:rsid w:val="00F456BC"/>
    <w:rsid w:val="00F46DA2"/>
    <w:rsid w:val="00F50666"/>
    <w:rsid w:val="00F70C9E"/>
    <w:rsid w:val="00F74A74"/>
    <w:rsid w:val="00F7572C"/>
    <w:rsid w:val="00F8382C"/>
    <w:rsid w:val="00F855D7"/>
    <w:rsid w:val="00F92035"/>
    <w:rsid w:val="00F92748"/>
    <w:rsid w:val="00FA4169"/>
    <w:rsid w:val="00FB0D41"/>
    <w:rsid w:val="00FB2030"/>
    <w:rsid w:val="00FD0E46"/>
    <w:rsid w:val="00FD12A7"/>
    <w:rsid w:val="00FD1CF2"/>
    <w:rsid w:val="00FD3EDF"/>
    <w:rsid w:val="00FD793C"/>
    <w:rsid w:val="00FE0FD5"/>
    <w:rsid w:val="00FE20E6"/>
    <w:rsid w:val="00FE3E3B"/>
    <w:rsid w:val="00FF21EE"/>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Summary Bullets,Bullet 1,Bullet1,Bullet List,Section 5,List Paragraph CCT minutes,Table Legend,Bullets Points,Use Case List Paragraph,List Paragraph1,Body Bullet,Table Number Paragraph,Colorful List - Accent 11,List Paragraph 1,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Summary Bullets Diagrama,Bullet 1 Diagrama,Bullet1 Diagrama,Bullet List Diagrama,Section 5 Diagrama,List Paragraph CCT minutes Diagrama,Table Legend Diagrama,Bullets Points Diagrama,Use Case List Paragraph Diagrama,Ref Diagrama"/>
    <w:basedOn w:val="Numatytasispastraiposriftas"/>
    <w:link w:val="Sraopastraipa"/>
    <w:uiPriority w:val="34"/>
    <w:rsid w:val="003D1877"/>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30794711CC4E92887B7A7DBFC23A3F"/>
        <w:category>
          <w:name w:val="Bendrosios nuostatos"/>
          <w:gallery w:val="placeholder"/>
        </w:category>
        <w:types>
          <w:type w:val="bbPlcHdr"/>
        </w:types>
        <w:behaviors>
          <w:behavior w:val="content"/>
        </w:behaviors>
        <w:guid w:val="{BA4CDDB2-6993-4673-A936-90356C93B8E2}"/>
      </w:docPartPr>
      <w:docPartBody>
        <w:p w:rsidR="004160E7" w:rsidRDefault="004144A3" w:rsidP="004144A3">
          <w:pPr>
            <w:pStyle w:val="5830794711CC4E92887B7A7DBFC23A3F"/>
          </w:pPr>
          <w:r>
            <w:rPr>
              <w:rStyle w:val="Vietosrezervavimoenklotekstas"/>
            </w:rPr>
            <w:t>Click here to enter a date.</w:t>
          </w:r>
        </w:p>
      </w:docPartBody>
    </w:docPart>
    <w:docPart>
      <w:docPartPr>
        <w:name w:val="77A0BD9328394B7BBD0D736FCF92ABE0"/>
        <w:category>
          <w:name w:val="General"/>
          <w:gallery w:val="placeholder"/>
        </w:category>
        <w:types>
          <w:type w:val="bbPlcHdr"/>
        </w:types>
        <w:behaviors>
          <w:behavior w:val="content"/>
        </w:behaviors>
        <w:guid w:val="{C3B93756-FADB-4322-B023-DE7655182AC5}"/>
      </w:docPartPr>
      <w:docPartBody>
        <w:p w:rsidR="006109B9" w:rsidRDefault="00611FDE" w:rsidP="00611FDE">
          <w:pPr>
            <w:pStyle w:val="77A0BD9328394B7BBD0D736FCF92ABE0"/>
          </w:pPr>
          <w:r>
            <w:rPr>
              <w:rStyle w:val="Vietosrezervavimoenklotekstas"/>
            </w:rPr>
            <w:t>Click here to enter a date.</w:t>
          </w:r>
        </w:p>
      </w:docPartBody>
    </w:docPart>
    <w:docPart>
      <w:docPartPr>
        <w:name w:val="6FF6573923764ED29D32A8F0CB837E97"/>
        <w:category>
          <w:name w:val="General"/>
          <w:gallery w:val="placeholder"/>
        </w:category>
        <w:types>
          <w:type w:val="bbPlcHdr"/>
        </w:types>
        <w:behaviors>
          <w:behavior w:val="content"/>
        </w:behaviors>
        <w:guid w:val="{853D8300-7C9B-4051-92CC-63CB9869E151}"/>
      </w:docPartPr>
      <w:docPartBody>
        <w:p w:rsidR="006109B9" w:rsidRDefault="00611FDE" w:rsidP="00611FDE">
          <w:pPr>
            <w:pStyle w:val="6FF6573923764ED29D32A8F0CB837E97"/>
          </w:pPr>
          <w:r>
            <w:rPr>
              <w:rStyle w:val="Vietosrezervavimoenklotekstas"/>
            </w:rPr>
            <w:t>Click here to enter a date.</w:t>
          </w:r>
        </w:p>
      </w:docPartBody>
    </w:docPart>
    <w:docPart>
      <w:docPartPr>
        <w:name w:val="09A3AA1133D14BB6A1EDD3C8ABE47243"/>
        <w:category>
          <w:name w:val="General"/>
          <w:gallery w:val="placeholder"/>
        </w:category>
        <w:types>
          <w:type w:val="bbPlcHdr"/>
        </w:types>
        <w:behaviors>
          <w:behavior w:val="content"/>
        </w:behaviors>
        <w:guid w:val="{048DB70F-985B-474C-8D0A-68DE693F5E09}"/>
      </w:docPartPr>
      <w:docPartBody>
        <w:p w:rsidR="006109B9" w:rsidRDefault="00611FDE" w:rsidP="00611FDE">
          <w:pPr>
            <w:pStyle w:val="09A3AA1133D14BB6A1EDD3C8ABE47243"/>
          </w:pPr>
          <w:r>
            <w:rPr>
              <w:rStyle w:val="Vietosrezervavimoenklotekstas"/>
            </w:rPr>
            <w:t>Click here to enter a date.</w:t>
          </w:r>
        </w:p>
      </w:docPartBody>
    </w:docPart>
    <w:docPart>
      <w:docPartPr>
        <w:name w:val="C89F68C582DA4934BDDF421307D3DA92"/>
        <w:category>
          <w:name w:val="General"/>
          <w:gallery w:val="placeholder"/>
        </w:category>
        <w:types>
          <w:type w:val="bbPlcHdr"/>
        </w:types>
        <w:behaviors>
          <w:behavior w:val="content"/>
        </w:behaviors>
        <w:guid w:val="{A2E95454-2707-405A-B41E-B9946018144E}"/>
      </w:docPartPr>
      <w:docPartBody>
        <w:p w:rsidR="006109B9" w:rsidRDefault="00611FDE" w:rsidP="00611FDE">
          <w:pPr>
            <w:pStyle w:val="C89F68C582DA4934BDDF421307D3DA92"/>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937FE"/>
    <w:rsid w:val="000A559A"/>
    <w:rsid w:val="000D24D4"/>
    <w:rsid w:val="001841B5"/>
    <w:rsid w:val="00197664"/>
    <w:rsid w:val="001B0EF2"/>
    <w:rsid w:val="001C35A9"/>
    <w:rsid w:val="001F47C5"/>
    <w:rsid w:val="00237556"/>
    <w:rsid w:val="00261FD4"/>
    <w:rsid w:val="0039303B"/>
    <w:rsid w:val="004144A3"/>
    <w:rsid w:val="004160E7"/>
    <w:rsid w:val="00420A59"/>
    <w:rsid w:val="004416C6"/>
    <w:rsid w:val="004B6D85"/>
    <w:rsid w:val="004F5AB2"/>
    <w:rsid w:val="005074B9"/>
    <w:rsid w:val="005E40DD"/>
    <w:rsid w:val="006109B9"/>
    <w:rsid w:val="00611FDE"/>
    <w:rsid w:val="006C1BF3"/>
    <w:rsid w:val="007219C1"/>
    <w:rsid w:val="00753462"/>
    <w:rsid w:val="00772325"/>
    <w:rsid w:val="007A2FE0"/>
    <w:rsid w:val="007C6D1D"/>
    <w:rsid w:val="007D24D1"/>
    <w:rsid w:val="0090074D"/>
    <w:rsid w:val="0095546A"/>
    <w:rsid w:val="009B3BF0"/>
    <w:rsid w:val="009C37C8"/>
    <w:rsid w:val="009D5E5E"/>
    <w:rsid w:val="009F1BB4"/>
    <w:rsid w:val="00AB6ED4"/>
    <w:rsid w:val="00B14210"/>
    <w:rsid w:val="00B23DC0"/>
    <w:rsid w:val="00B300D2"/>
    <w:rsid w:val="00B96656"/>
    <w:rsid w:val="00BE29C1"/>
    <w:rsid w:val="00C2401D"/>
    <w:rsid w:val="00C53A68"/>
    <w:rsid w:val="00CA5BB4"/>
    <w:rsid w:val="00CB4BD1"/>
    <w:rsid w:val="00CE2DA9"/>
    <w:rsid w:val="00CE44BE"/>
    <w:rsid w:val="00D107CD"/>
    <w:rsid w:val="00D4356B"/>
    <w:rsid w:val="00D6304E"/>
    <w:rsid w:val="00D7162F"/>
    <w:rsid w:val="00E44A86"/>
    <w:rsid w:val="00E522EB"/>
    <w:rsid w:val="00E60827"/>
    <w:rsid w:val="00E73FF6"/>
    <w:rsid w:val="00EF6E0C"/>
    <w:rsid w:val="00F55028"/>
    <w:rsid w:val="00F77BEF"/>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611FDE"/>
    <w:rPr>
      <w:color w:val="808080"/>
    </w:rPr>
  </w:style>
  <w:style w:type="paragraph" w:customStyle="1" w:styleId="5830794711CC4E92887B7A7DBFC23A3F">
    <w:name w:val="5830794711CC4E92887B7A7DBFC23A3F"/>
    <w:rsid w:val="004144A3"/>
  </w:style>
  <w:style w:type="paragraph" w:customStyle="1" w:styleId="77A0BD9328394B7BBD0D736FCF92ABE0">
    <w:name w:val="77A0BD9328394B7BBD0D736FCF92ABE0"/>
    <w:rsid w:val="00611FDE"/>
  </w:style>
  <w:style w:type="paragraph" w:customStyle="1" w:styleId="6FF6573923764ED29D32A8F0CB837E97">
    <w:name w:val="6FF6573923764ED29D32A8F0CB837E97"/>
    <w:rsid w:val="00611FDE"/>
  </w:style>
  <w:style w:type="paragraph" w:customStyle="1" w:styleId="09A3AA1133D14BB6A1EDD3C8ABE47243">
    <w:name w:val="09A3AA1133D14BB6A1EDD3C8ABE47243"/>
    <w:rsid w:val="00611FDE"/>
  </w:style>
  <w:style w:type="paragraph" w:customStyle="1" w:styleId="C89F68C582DA4934BDDF421307D3DA92">
    <w:name w:val="C89F68C582DA4934BDDF421307D3DA92"/>
    <w:rsid w:val="00611F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817BC-C025-46A4-B93B-367451F8D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14284</Words>
  <Characters>8143</Characters>
  <Application>Microsoft Office Word</Application>
  <DocSecurity>0</DocSecurity>
  <Lines>67</Lines>
  <Paragraphs>44</Paragraphs>
  <ScaleCrop>false</ScaleCrop>
  <Company/>
  <LinksUpToDate>false</LinksUpToDate>
  <CharactersWithSpaces>22383</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2023-11-14T19:52:00Z</dcterms:created>
  <dcterms:modified xsi:type="dcterms:W3CDTF">2024-01-19T08:59:00Z</dcterms:modified>
</cp:coreProperties>
</file>