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5D9B4" w14:textId="77777777" w:rsidR="005F7602" w:rsidRDefault="005F7602" w:rsidP="002946C7">
      <w:pPr>
        <w:ind w:left="5529"/>
      </w:pPr>
    </w:p>
    <w:p w14:paraId="624DC4B3" w14:textId="77777777" w:rsidR="001B3C5B" w:rsidRPr="00E33EFF" w:rsidRDefault="001B3C5B" w:rsidP="001B3C5B">
      <w:pPr>
        <w:ind w:left="6096"/>
      </w:pPr>
      <w:r w:rsidRPr="00E33EFF">
        <w:t>Forma patvirtinta</w:t>
      </w:r>
    </w:p>
    <w:p w14:paraId="5C800009" w14:textId="77777777"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358E4086" w14:textId="77777777" w:rsidR="001B3C5B" w:rsidRPr="00E33EFF" w:rsidRDefault="004C263A" w:rsidP="001B3C5B">
      <w:pPr>
        <w:ind w:left="6096"/>
      </w:pPr>
      <w:r w:rsidRPr="00E33EFF">
        <w:t>(Valstybinės vaistų kontrolės tarnybos prie Lietuvos Respublikos sveikatos apsaugos ministerijos viršininko 2022 m.                         d. įsakymo Nr.                    redakcija)</w:t>
      </w:r>
    </w:p>
    <w:p w14:paraId="2D4E13B2" w14:textId="77777777" w:rsidR="001B3C5B" w:rsidRPr="00E33EFF" w:rsidRDefault="001B3C5B" w:rsidP="00FA4169"/>
    <w:p w14:paraId="2756644A" w14:textId="7777777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8522F71" w14:textId="77777777" w:rsidR="00B13D65" w:rsidRPr="00E33EFF" w:rsidRDefault="00B13D65" w:rsidP="003B211A">
      <w:pPr>
        <w:jc w:val="center"/>
        <w:rPr>
          <w:b/>
        </w:rPr>
      </w:pPr>
    </w:p>
    <w:p w14:paraId="43F2E39C" w14:textId="77777777" w:rsidR="005F0FA9" w:rsidRPr="00E92BFE" w:rsidRDefault="00F83DA6" w:rsidP="005F0FA9">
      <w:pPr>
        <w:jc w:val="center"/>
        <w:rPr>
          <w:b/>
        </w:rPr>
      </w:pPr>
      <w:sdt>
        <w:sdtPr>
          <w:tag w:val="goog_rdk_0"/>
          <w:id w:val="1854061854"/>
          <w:showingPlcHdr/>
        </w:sdtPr>
        <w:sdtEndPr/>
        <w:sdtContent>
          <w:r w:rsidR="005F0FA9">
            <w:t xml:space="preserve">     </w:t>
          </w:r>
        </w:sdtContent>
      </w:sdt>
      <w:proofErr w:type="spellStart"/>
      <w:r w:rsidR="005F0FA9">
        <w:rPr>
          <w:b/>
        </w:rPr>
        <w:t>Sodium</w:t>
      </w:r>
      <w:proofErr w:type="spellEnd"/>
      <w:r w:rsidR="005F0FA9">
        <w:rPr>
          <w:b/>
        </w:rPr>
        <w:t xml:space="preserve"> </w:t>
      </w:r>
      <w:proofErr w:type="spellStart"/>
      <w:r w:rsidR="005F0FA9">
        <w:rPr>
          <w:b/>
        </w:rPr>
        <w:t>oxybate</w:t>
      </w:r>
      <w:proofErr w:type="spellEnd"/>
      <w:r w:rsidR="005F0FA9">
        <w:rPr>
          <w:b/>
        </w:rPr>
        <w:t xml:space="preserve"> Kalceks 500 mg/ml 180 ml geriamasis tirpalas</w:t>
      </w:r>
    </w:p>
    <w:p w14:paraId="58129E2E" w14:textId="77777777" w:rsidR="005F0FA9" w:rsidRDefault="00F83DA6" w:rsidP="005F0FA9">
      <w:pPr>
        <w:jc w:val="center"/>
      </w:pPr>
      <w:sdt>
        <w:sdtPr>
          <w:tag w:val="goog_rdk_1"/>
          <w:id w:val="1357309999"/>
          <w:showingPlcHdr/>
        </w:sdtPr>
        <w:sdtEndPr/>
        <w:sdtContent>
          <w:r w:rsidR="005F0FA9">
            <w:t xml:space="preserve">     </w:t>
          </w:r>
        </w:sdtContent>
      </w:sdt>
      <w:r w:rsidR="005F0FA9">
        <w:t>(</w:t>
      </w:r>
      <w:r w:rsidR="005F0FA9">
        <w:rPr>
          <w:b/>
        </w:rPr>
        <w:t xml:space="preserve">Natrio </w:t>
      </w:r>
      <w:proofErr w:type="spellStart"/>
      <w:r w:rsidR="005F0FA9">
        <w:rPr>
          <w:b/>
        </w:rPr>
        <w:t>oksibatas</w:t>
      </w:r>
      <w:proofErr w:type="spellEnd"/>
      <w:r w:rsidR="005F0FA9">
        <w:t>)</w:t>
      </w:r>
    </w:p>
    <w:p w14:paraId="5D4B21A0" w14:textId="77777777" w:rsidR="005F0FA9" w:rsidRPr="00D05364" w:rsidRDefault="005F0FA9" w:rsidP="005F0FA9">
      <w:pPr>
        <w:jc w:val="center"/>
      </w:pPr>
    </w:p>
    <w:p w14:paraId="2655EBF1" w14:textId="77777777" w:rsidR="005F0FA9" w:rsidRDefault="005F0FA9" w:rsidP="005F0FA9">
      <w:pPr>
        <w:jc w:val="center"/>
        <w:rPr>
          <w:b/>
        </w:rPr>
      </w:pPr>
      <w:r>
        <w:rPr>
          <w:b/>
        </w:rPr>
        <w:t>STV-92</w:t>
      </w:r>
    </w:p>
    <w:p w14:paraId="494936D8" w14:textId="77777777" w:rsidR="00937907" w:rsidRPr="00E33EFF" w:rsidRDefault="00937907" w:rsidP="00937907">
      <w:pPr>
        <w:jc w:val="center"/>
      </w:pPr>
    </w:p>
    <w:p w14:paraId="18C9E273" w14:textId="77777777" w:rsidR="00D4708D" w:rsidRPr="00E33EFF" w:rsidRDefault="00D4708D" w:rsidP="005F0FA9">
      <w:pPr>
        <w:rPr>
          <w:b/>
        </w:rPr>
      </w:pPr>
    </w:p>
    <w:p w14:paraId="1401116C" w14:textId="77777777" w:rsidR="00D4485B" w:rsidRPr="00E33EFF" w:rsidRDefault="00B13D65" w:rsidP="00CC09D4">
      <w:pPr>
        <w:pStyle w:val="ListParagraph"/>
        <w:numPr>
          <w:ilvl w:val="0"/>
          <w:numId w:val="12"/>
        </w:numPr>
        <w:tabs>
          <w:tab w:val="left" w:pos="567"/>
        </w:tabs>
        <w:ind w:left="567" w:hanging="567"/>
        <w:rPr>
          <w:b/>
          <w:bCs/>
          <w:caps/>
        </w:rPr>
      </w:pPr>
      <w:r w:rsidRPr="00E33EFF">
        <w:rPr>
          <w:b/>
          <w:bCs/>
          <w:caps/>
        </w:rPr>
        <w:t>Bendroji dalis</w:t>
      </w:r>
    </w:p>
    <w:p w14:paraId="08062631" w14:textId="77777777" w:rsidR="00B13D65" w:rsidRPr="00E33EFF"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5F0FA9" w:rsidRPr="00E33EFF" w14:paraId="6852FA51" w14:textId="77777777" w:rsidTr="00BE7489">
        <w:trPr>
          <w:trHeight w:val="538"/>
        </w:trPr>
        <w:tc>
          <w:tcPr>
            <w:tcW w:w="632" w:type="dxa"/>
          </w:tcPr>
          <w:p w14:paraId="6EF3E3FD" w14:textId="77777777" w:rsidR="005F0FA9" w:rsidRPr="00E33EFF" w:rsidRDefault="005F0FA9" w:rsidP="005F0FA9">
            <w:pPr>
              <w:rPr>
                <w:rFonts w:eastAsia="Arial"/>
              </w:rPr>
            </w:pPr>
            <w:r w:rsidRPr="00E33EFF">
              <w:rPr>
                <w:rFonts w:eastAsia="Arial"/>
              </w:rPr>
              <w:t>1.1</w:t>
            </w:r>
          </w:p>
        </w:tc>
        <w:tc>
          <w:tcPr>
            <w:tcW w:w="3694" w:type="dxa"/>
          </w:tcPr>
          <w:p w14:paraId="1D7E57F9" w14:textId="77777777" w:rsidR="005F0FA9" w:rsidRPr="00E33EFF" w:rsidRDefault="005F0FA9" w:rsidP="005F0FA9">
            <w:pPr>
              <w:rPr>
                <w:rFonts w:eastAsia="Arial"/>
              </w:rPr>
            </w:pPr>
            <w:r w:rsidRPr="00E33EFF">
              <w:rPr>
                <w:rFonts w:eastAsia="Arial"/>
              </w:rPr>
              <w:t>Pareiškėjas</w:t>
            </w:r>
          </w:p>
          <w:p w14:paraId="1301B710" w14:textId="77777777" w:rsidR="005F0FA9" w:rsidRPr="00E33EFF" w:rsidRDefault="005F0FA9" w:rsidP="005F0FA9">
            <w:pPr>
              <w:rPr>
                <w:rFonts w:eastAsia="Arial"/>
              </w:rPr>
            </w:pPr>
          </w:p>
        </w:tc>
        <w:tc>
          <w:tcPr>
            <w:tcW w:w="5167" w:type="dxa"/>
          </w:tcPr>
          <w:p w14:paraId="43D89EDA" w14:textId="24B2EF21" w:rsidR="005F0FA9" w:rsidRPr="00AF1603" w:rsidRDefault="005F0FA9" w:rsidP="005F0FA9">
            <w:pPr>
              <w:rPr>
                <w:rFonts w:eastAsia="Arial"/>
              </w:rPr>
            </w:pPr>
            <w:r w:rsidRPr="00AF1603">
              <w:rPr>
                <w:color w:val="000000"/>
              </w:rPr>
              <w:t>AB „Grinde</w:t>
            </w:r>
            <w:r w:rsidR="00F83DA6">
              <w:rPr>
                <w:color w:val="000000"/>
              </w:rPr>
              <w:t>ks</w:t>
            </w:r>
            <w:r w:rsidRPr="00AF1603">
              <w:rPr>
                <w:color w:val="000000"/>
              </w:rPr>
              <w:t>“</w:t>
            </w:r>
          </w:p>
        </w:tc>
      </w:tr>
      <w:tr w:rsidR="005F0FA9" w:rsidRPr="00E33EFF" w14:paraId="11557954" w14:textId="77777777" w:rsidTr="00BE7489">
        <w:trPr>
          <w:trHeight w:val="538"/>
        </w:trPr>
        <w:tc>
          <w:tcPr>
            <w:tcW w:w="632" w:type="dxa"/>
          </w:tcPr>
          <w:p w14:paraId="5259EF8F" w14:textId="77777777" w:rsidR="005F0FA9" w:rsidRPr="00E33EFF" w:rsidRDefault="005F0FA9" w:rsidP="005F0FA9">
            <w:pPr>
              <w:rPr>
                <w:rFonts w:eastAsia="Arial"/>
              </w:rPr>
            </w:pPr>
            <w:r w:rsidRPr="00E33EFF">
              <w:rPr>
                <w:rFonts w:eastAsia="Arial"/>
              </w:rPr>
              <w:t>1.2</w:t>
            </w:r>
          </w:p>
        </w:tc>
        <w:tc>
          <w:tcPr>
            <w:tcW w:w="3694" w:type="dxa"/>
          </w:tcPr>
          <w:p w14:paraId="5F481DA2" w14:textId="77777777" w:rsidR="005F0FA9" w:rsidRPr="00E33EFF" w:rsidRDefault="005F0FA9" w:rsidP="005F0FA9">
            <w:pPr>
              <w:rPr>
                <w:bCs/>
                <w:color w:val="000000"/>
                <w:lang w:eastAsia="lt-LT"/>
              </w:rPr>
            </w:pPr>
            <w:r w:rsidRPr="00E33EFF">
              <w:rPr>
                <w:bCs/>
                <w:color w:val="000000"/>
                <w:lang w:eastAsia="lt-LT"/>
              </w:rPr>
              <w:t xml:space="preserve">Registracijos data </w:t>
            </w:r>
          </w:p>
          <w:p w14:paraId="6CA5C423" w14:textId="77777777" w:rsidR="005F0FA9" w:rsidRPr="00E33EFF" w:rsidRDefault="005F0FA9" w:rsidP="005F0FA9">
            <w:pPr>
              <w:rPr>
                <w:bCs/>
                <w:color w:val="000000"/>
                <w:lang w:eastAsia="lt-LT"/>
              </w:rPr>
            </w:pPr>
          </w:p>
        </w:tc>
        <w:tc>
          <w:tcPr>
            <w:tcW w:w="5167" w:type="dxa"/>
          </w:tcPr>
          <w:p w14:paraId="2E626F52" w14:textId="77777777" w:rsidR="005F0FA9" w:rsidRPr="00AF1603" w:rsidRDefault="00F83DA6" w:rsidP="005F0FA9">
            <w:pPr>
              <w:rPr>
                <w:rStyle w:val="Style2"/>
                <w:sz w:val="24"/>
              </w:rPr>
            </w:pPr>
            <w:sdt>
              <w:sdtPr>
                <w:rPr>
                  <w:sz w:val="32"/>
                </w:rPr>
                <w:alias w:val="Nurodykite konkrečią dieną"/>
                <w:tag w:val="Nurodykite pradžios datą"/>
                <w:id w:val="423238108"/>
                <w:placeholder>
                  <w:docPart w:val="C86924C98EDAB440B9D698DF0451526C"/>
                </w:placeholder>
                <w15:color w:val="FFCC99"/>
                <w:date w:fullDate="2019-10-01T00:00:00Z">
                  <w:dateFormat w:val="yyyy 'm.' MMMM d 'd.'"/>
                  <w:lid w:val="lt-LT"/>
                  <w:storeMappedDataAs w:val="dateTime"/>
                  <w:calendar w:val="gregorian"/>
                </w:date>
              </w:sdtPr>
              <w:sdtEndPr>
                <w:rPr>
                  <w:sz w:val="24"/>
                </w:rPr>
              </w:sdtEndPr>
              <w:sdtContent>
                <w:r w:rsidR="005F0FA9" w:rsidRPr="00AF1603">
                  <w:t>2019 m. spalio 1 d.</w:t>
                </w:r>
              </w:sdtContent>
            </w:sdt>
          </w:p>
        </w:tc>
      </w:tr>
      <w:tr w:rsidR="005F0FA9" w:rsidRPr="00E33EFF" w14:paraId="58DC9A67" w14:textId="77777777" w:rsidTr="00BE7489">
        <w:trPr>
          <w:trHeight w:val="1500"/>
        </w:trPr>
        <w:tc>
          <w:tcPr>
            <w:tcW w:w="632" w:type="dxa"/>
          </w:tcPr>
          <w:p w14:paraId="171C4B82" w14:textId="77777777" w:rsidR="005F0FA9" w:rsidRPr="00E33EFF" w:rsidRDefault="005F0FA9" w:rsidP="005F0FA9">
            <w:pPr>
              <w:rPr>
                <w:rFonts w:eastAsia="Arial"/>
              </w:rPr>
            </w:pPr>
            <w:r w:rsidRPr="00E33EFF">
              <w:rPr>
                <w:rFonts w:eastAsia="Arial"/>
              </w:rPr>
              <w:t>1.3</w:t>
            </w:r>
          </w:p>
        </w:tc>
        <w:tc>
          <w:tcPr>
            <w:tcW w:w="3694" w:type="dxa"/>
          </w:tcPr>
          <w:p w14:paraId="33897259" w14:textId="77777777" w:rsidR="005F0FA9" w:rsidRPr="00E33EFF" w:rsidRDefault="005F0FA9" w:rsidP="005F0FA9">
            <w:r w:rsidRPr="00E33EFF">
              <w:t xml:space="preserve">Paraiškos tipas </w:t>
            </w:r>
          </w:p>
          <w:p w14:paraId="3AF49C0B" w14:textId="77777777" w:rsidR="005F0FA9" w:rsidRPr="00E33EFF" w:rsidRDefault="005F0FA9" w:rsidP="005F0FA9">
            <w:r w:rsidRPr="00E33EFF">
              <w:t xml:space="preserve">(pagal </w:t>
            </w:r>
            <w:r w:rsidRPr="00E33EFF">
              <w:rPr>
                <w:color w:val="333333"/>
                <w:shd w:val="clear" w:color="auto" w:fill="FFFFFF"/>
              </w:rPr>
              <w:t>vaistinio preparato registracijos tipą, įtvirtintą</w:t>
            </w:r>
            <w:r w:rsidRPr="00E33EFF">
              <w:t xml:space="preserve"> Direktyvos 2001/83/EB </w:t>
            </w:r>
            <w:proofErr w:type="spellStart"/>
            <w:r w:rsidRPr="00E33EFF">
              <w:t>straipsiuose</w:t>
            </w:r>
            <w:proofErr w:type="spellEnd"/>
            <w:r w:rsidRPr="00E33EFF">
              <w:t>)</w:t>
            </w:r>
          </w:p>
          <w:p w14:paraId="5513386C" w14:textId="77777777" w:rsidR="005F0FA9" w:rsidRPr="00E33EFF" w:rsidRDefault="005F0FA9" w:rsidP="005F0FA9">
            <w:pPr>
              <w:rPr>
                <w:bCs/>
                <w:color w:val="000000"/>
                <w:lang w:eastAsia="lt-LT"/>
              </w:rPr>
            </w:pPr>
          </w:p>
        </w:tc>
        <w:tc>
          <w:tcPr>
            <w:tcW w:w="5167" w:type="dxa"/>
          </w:tcPr>
          <w:p w14:paraId="5D686CB0" w14:textId="77777777" w:rsidR="005F0FA9" w:rsidRPr="00AF1603" w:rsidRDefault="00F83DA6" w:rsidP="005F0FA9">
            <w:sdt>
              <w:sdtPr>
                <w:rPr>
                  <w:rStyle w:val="Style2"/>
                  <w:sz w:val="24"/>
                </w:rPr>
                <w:id w:val="-366596377"/>
                <w15:color w:val="FFCC00"/>
                <w14:checkbox>
                  <w14:checked w14:val="0"/>
                  <w14:checkedState w14:val="2612" w14:font="MS Gothic"/>
                  <w14:uncheckedState w14:val="2610" w14:font="MS Gothic"/>
                </w14:checkbox>
              </w:sdtPr>
              <w:sdtEndPr>
                <w:rPr>
                  <w:rStyle w:val="Style2"/>
                </w:rPr>
              </w:sdtEndPr>
              <w:sdtContent>
                <w:r w:rsidR="005F0FA9" w:rsidRPr="00AF1603">
                  <w:rPr>
                    <w:rStyle w:val="Style2"/>
                    <w:rFonts w:ascii="Segoe UI Symbol" w:eastAsia="MS Gothic" w:hAnsi="Segoe UI Symbol" w:cs="Segoe UI Symbol"/>
                    <w:sz w:val="24"/>
                  </w:rPr>
                  <w:t>☐</w:t>
                </w:r>
              </w:sdtContent>
            </w:sdt>
            <w:r w:rsidR="005F0FA9" w:rsidRPr="00AF1603">
              <w:t xml:space="preserve"> 8.3 str. (pilna byla, pagrįsta savais tyrimais) </w:t>
            </w:r>
          </w:p>
          <w:p w14:paraId="0A1E7388" w14:textId="77777777" w:rsidR="005F0FA9" w:rsidRPr="00AF1603" w:rsidRDefault="00F83DA6" w:rsidP="005F0FA9">
            <w:sdt>
              <w:sdtPr>
                <w:rPr>
                  <w:rStyle w:val="Style2"/>
                  <w:sz w:val="24"/>
                </w:rPr>
                <w:id w:val="675462298"/>
                <w15:color w:val="FFCC00"/>
                <w14:checkbox>
                  <w14:checked w14:val="0"/>
                  <w14:checkedState w14:val="2612" w14:font="MS Gothic"/>
                  <w14:uncheckedState w14:val="2610" w14:font="MS Gothic"/>
                </w14:checkbox>
              </w:sdtPr>
              <w:sdtEndPr>
                <w:rPr>
                  <w:rStyle w:val="Style2"/>
                </w:rPr>
              </w:sdtEndPr>
              <w:sdtContent>
                <w:r w:rsidR="005F0FA9" w:rsidRPr="00AF1603">
                  <w:rPr>
                    <w:rStyle w:val="Style2"/>
                    <w:rFonts w:ascii="Segoe UI Symbol" w:eastAsia="MS Gothic" w:hAnsi="Segoe UI Symbol" w:cs="Segoe UI Symbol"/>
                    <w:sz w:val="24"/>
                  </w:rPr>
                  <w:t>☐</w:t>
                </w:r>
              </w:sdtContent>
            </w:sdt>
            <w:r w:rsidR="005F0FA9" w:rsidRPr="00AF1603">
              <w:t xml:space="preserve"> 10 a str. (pripažintas medicininis vartojimas) </w:t>
            </w:r>
          </w:p>
          <w:p w14:paraId="4D42E8D8" w14:textId="77777777" w:rsidR="005F0FA9" w:rsidRPr="00AF1603" w:rsidRDefault="00F83DA6" w:rsidP="005F0FA9">
            <w:sdt>
              <w:sdtPr>
                <w:rPr>
                  <w:rStyle w:val="Style2"/>
                  <w:sz w:val="24"/>
                </w:rPr>
                <w:id w:val="-1290435890"/>
                <w15:color w:val="FFCC00"/>
                <w14:checkbox>
                  <w14:checked w14:val="1"/>
                  <w14:checkedState w14:val="2612" w14:font="MS Gothic"/>
                  <w14:uncheckedState w14:val="2610" w14:font="MS Gothic"/>
                </w14:checkbox>
              </w:sdtPr>
              <w:sdtEndPr>
                <w:rPr>
                  <w:rStyle w:val="Style2"/>
                </w:rPr>
              </w:sdtEndPr>
              <w:sdtContent>
                <w:r w:rsidR="005F0FA9" w:rsidRPr="00AF1603">
                  <w:rPr>
                    <w:rStyle w:val="Style2"/>
                    <w:rFonts w:ascii="MS Gothic" w:eastAsia="MS Gothic" w:hAnsi="MS Gothic" w:hint="eastAsia"/>
                    <w:sz w:val="24"/>
                  </w:rPr>
                  <w:t>☒</w:t>
                </w:r>
              </w:sdtContent>
            </w:sdt>
            <w:r w:rsidR="005F0FA9" w:rsidRPr="00AF1603">
              <w:t xml:space="preserve"> 10.1 str. (</w:t>
            </w:r>
            <w:proofErr w:type="spellStart"/>
            <w:r w:rsidR="005F0FA9" w:rsidRPr="00AF1603">
              <w:t>generinis</w:t>
            </w:r>
            <w:proofErr w:type="spellEnd"/>
            <w:r w:rsidR="005F0FA9" w:rsidRPr="00AF1603">
              <w:t>)</w:t>
            </w:r>
          </w:p>
          <w:p w14:paraId="1AEB8867" w14:textId="77777777" w:rsidR="005F0FA9" w:rsidRPr="00AF1603" w:rsidRDefault="00F83DA6" w:rsidP="005F0FA9">
            <w:pPr>
              <w:rPr>
                <w:rStyle w:val="Style2"/>
                <w:sz w:val="24"/>
              </w:rPr>
            </w:pPr>
            <w:sdt>
              <w:sdtPr>
                <w:rPr>
                  <w:rStyle w:val="Style2"/>
                  <w:sz w:val="24"/>
                </w:rPr>
                <w:id w:val="-124545030"/>
                <w15:color w:val="FFCC00"/>
                <w14:checkbox>
                  <w14:checked w14:val="0"/>
                  <w14:checkedState w14:val="2612" w14:font="MS Gothic"/>
                  <w14:uncheckedState w14:val="2610" w14:font="MS Gothic"/>
                </w14:checkbox>
              </w:sdtPr>
              <w:sdtEndPr>
                <w:rPr>
                  <w:rStyle w:val="Style2"/>
                </w:rPr>
              </w:sdtEndPr>
              <w:sdtContent>
                <w:r w:rsidR="005F0FA9" w:rsidRPr="00AF1603">
                  <w:rPr>
                    <w:rStyle w:val="Style2"/>
                    <w:rFonts w:ascii="Segoe UI Symbol" w:eastAsia="MS Gothic" w:hAnsi="Segoe UI Symbol" w:cs="Segoe UI Symbol"/>
                    <w:sz w:val="24"/>
                  </w:rPr>
                  <w:t>☐</w:t>
                </w:r>
              </w:sdtContent>
            </w:sdt>
            <w:r w:rsidR="005F0FA9" w:rsidRPr="00AF1603">
              <w:t xml:space="preserve"> 10.3 str. (hibridinis)</w:t>
            </w:r>
          </w:p>
        </w:tc>
      </w:tr>
      <w:tr w:rsidR="005F0FA9" w:rsidRPr="00E33EFF" w14:paraId="2EDED0A5" w14:textId="77777777" w:rsidTr="005F0FA9">
        <w:trPr>
          <w:trHeight w:val="1077"/>
        </w:trPr>
        <w:tc>
          <w:tcPr>
            <w:tcW w:w="632" w:type="dxa"/>
          </w:tcPr>
          <w:p w14:paraId="221C4A18" w14:textId="77777777" w:rsidR="005F0FA9" w:rsidRPr="00E33EFF" w:rsidRDefault="005F0FA9" w:rsidP="005F0FA9">
            <w:pPr>
              <w:rPr>
                <w:rFonts w:eastAsia="Arial"/>
              </w:rPr>
            </w:pPr>
            <w:r w:rsidRPr="00E33EFF">
              <w:rPr>
                <w:rFonts w:eastAsia="Arial"/>
              </w:rPr>
              <w:t>1.4</w:t>
            </w:r>
          </w:p>
        </w:tc>
        <w:tc>
          <w:tcPr>
            <w:tcW w:w="3694" w:type="dxa"/>
          </w:tcPr>
          <w:p w14:paraId="32534B0B" w14:textId="77777777" w:rsidR="005F0FA9" w:rsidRPr="00E33EFF" w:rsidRDefault="005F0FA9" w:rsidP="005F0FA9">
            <w:pPr>
              <w:rPr>
                <w:bCs/>
                <w:color w:val="000000"/>
                <w:lang w:eastAsia="lt-LT"/>
              </w:rPr>
            </w:pPr>
            <w:r w:rsidRPr="00E33EFF">
              <w:rPr>
                <w:bCs/>
                <w:color w:val="000000"/>
                <w:lang w:eastAsia="lt-LT"/>
              </w:rPr>
              <w:t xml:space="preserve">Ar vaistinis preparatas įrašytas į Bendrijos retųjų vaistinių preparatų registrą? </w:t>
            </w:r>
          </w:p>
        </w:tc>
        <w:tc>
          <w:tcPr>
            <w:tcW w:w="5167" w:type="dxa"/>
          </w:tcPr>
          <w:p w14:paraId="4072B40C" w14:textId="77777777" w:rsidR="005F0FA9" w:rsidRPr="00AF1603" w:rsidRDefault="00F83DA6" w:rsidP="005F0FA9">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5F0FA9" w:rsidRPr="00AF1603">
                  <w:rPr>
                    <w:rStyle w:val="Style2"/>
                    <w:rFonts w:ascii="Segoe UI Symbol" w:eastAsia="MS Gothic" w:hAnsi="Segoe UI Symbol" w:cs="Segoe UI Symbol"/>
                    <w:sz w:val="24"/>
                  </w:rPr>
                  <w:t>☐</w:t>
                </w:r>
              </w:sdtContent>
            </w:sdt>
            <w:r w:rsidR="005F0FA9" w:rsidRPr="00AF1603">
              <w:t xml:space="preserve"> Taip</w:t>
            </w:r>
          </w:p>
          <w:p w14:paraId="0B71FC0A" w14:textId="77777777" w:rsidR="005F0FA9" w:rsidRPr="00AF1603" w:rsidRDefault="00F83DA6" w:rsidP="005F0FA9">
            <w:pPr>
              <w:rPr>
                <w:rFonts w:eastAsia="Arial"/>
              </w:rPr>
            </w:pPr>
            <w:sdt>
              <w:sdtPr>
                <w:rPr>
                  <w:rStyle w:val="Style2"/>
                  <w:sz w:val="24"/>
                </w:rPr>
                <w:id w:val="-970507926"/>
                <w15:color w:val="FFCC00"/>
                <w14:checkbox>
                  <w14:checked w14:val="1"/>
                  <w14:checkedState w14:val="2612" w14:font="MS Gothic"/>
                  <w14:uncheckedState w14:val="2610" w14:font="MS Gothic"/>
                </w14:checkbox>
              </w:sdtPr>
              <w:sdtEndPr>
                <w:rPr>
                  <w:rStyle w:val="Style2"/>
                </w:rPr>
              </w:sdtEndPr>
              <w:sdtContent>
                <w:r w:rsidR="005F0FA9" w:rsidRPr="00AF1603">
                  <w:rPr>
                    <w:rStyle w:val="Style2"/>
                    <w:rFonts w:ascii="MS Gothic" w:eastAsia="MS Gothic" w:hAnsi="MS Gothic" w:hint="eastAsia"/>
                    <w:sz w:val="24"/>
                  </w:rPr>
                  <w:t>☒</w:t>
                </w:r>
              </w:sdtContent>
            </w:sdt>
            <w:r w:rsidR="005F0FA9" w:rsidRPr="00AF1603">
              <w:t xml:space="preserve"> Ne</w:t>
            </w:r>
          </w:p>
        </w:tc>
      </w:tr>
      <w:tr w:rsidR="00D417D2" w:rsidRPr="00E33EFF" w14:paraId="046C9A0A" w14:textId="77777777" w:rsidTr="00BE7489">
        <w:trPr>
          <w:trHeight w:val="476"/>
        </w:trPr>
        <w:tc>
          <w:tcPr>
            <w:tcW w:w="632" w:type="dxa"/>
          </w:tcPr>
          <w:p w14:paraId="34F70895" w14:textId="77777777" w:rsidR="00D417D2" w:rsidRPr="00E33EFF" w:rsidRDefault="00D417D2" w:rsidP="00824B92">
            <w:pPr>
              <w:rPr>
                <w:rFonts w:eastAsia="Arial"/>
              </w:rPr>
            </w:pPr>
            <w:r w:rsidRPr="00E33EFF">
              <w:rPr>
                <w:rFonts w:eastAsia="Arial"/>
              </w:rPr>
              <w:t>1.5</w:t>
            </w:r>
          </w:p>
        </w:tc>
        <w:tc>
          <w:tcPr>
            <w:tcW w:w="3694" w:type="dxa"/>
          </w:tcPr>
          <w:p w14:paraId="04111047" w14:textId="77777777" w:rsidR="00D417D2" w:rsidRPr="00E33EFF" w:rsidRDefault="00D417D2" w:rsidP="00824B92">
            <w:pPr>
              <w:rPr>
                <w:bCs/>
                <w:color w:val="000000"/>
                <w:lang w:eastAsia="lt-LT"/>
              </w:rPr>
            </w:pPr>
            <w:r w:rsidRPr="00E33EFF">
              <w:t>STV paraiškos pobūdis</w:t>
            </w:r>
          </w:p>
        </w:tc>
        <w:tc>
          <w:tcPr>
            <w:tcW w:w="5167" w:type="dxa"/>
          </w:tcPr>
          <w:p w14:paraId="1DAA2699" w14:textId="77777777" w:rsidR="00D417D2" w:rsidRPr="00AF1603" w:rsidRDefault="00F83DA6" w:rsidP="00824B92">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5F0FA9" w:rsidRPr="00AF1603">
                  <w:rPr>
                    <w:rStyle w:val="Style2"/>
                    <w:rFonts w:ascii="MS Gothic" w:eastAsia="MS Gothic" w:hAnsi="MS Gothic" w:hint="eastAsia"/>
                    <w:sz w:val="24"/>
                  </w:rPr>
                  <w:t>☒</w:t>
                </w:r>
              </w:sdtContent>
            </w:sdt>
            <w:r w:rsidR="00D417D2" w:rsidRPr="00AF1603">
              <w:t xml:space="preserve"> Pilna paraiška</w:t>
            </w:r>
          </w:p>
          <w:p w14:paraId="239774E7" w14:textId="77777777" w:rsidR="00D417D2" w:rsidRPr="00AF1603" w:rsidRDefault="00F83DA6"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AF1603">
                  <w:rPr>
                    <w:rStyle w:val="Style2"/>
                    <w:rFonts w:ascii="MS Gothic" w:eastAsia="MS Gothic" w:hAnsi="MS Gothic" w:hint="eastAsia"/>
                    <w:sz w:val="24"/>
                  </w:rPr>
                  <w:t>☐</w:t>
                </w:r>
              </w:sdtContent>
            </w:sdt>
            <w:r w:rsidR="00D417D2" w:rsidRPr="00AF1603">
              <w:t xml:space="preserve"> Supaprastinta paraiška</w:t>
            </w:r>
          </w:p>
        </w:tc>
      </w:tr>
      <w:tr w:rsidR="00B13D65" w:rsidRPr="00E33EFF" w14:paraId="29FC8E18" w14:textId="77777777" w:rsidTr="00BE7489">
        <w:trPr>
          <w:trHeight w:val="1922"/>
        </w:trPr>
        <w:tc>
          <w:tcPr>
            <w:tcW w:w="632" w:type="dxa"/>
          </w:tcPr>
          <w:p w14:paraId="555E161F" w14:textId="77777777" w:rsidR="00B13D65" w:rsidRPr="00E33EFF" w:rsidRDefault="00B13D65" w:rsidP="00824B92">
            <w:pPr>
              <w:rPr>
                <w:rFonts w:eastAsia="Arial"/>
              </w:rPr>
            </w:pPr>
            <w:r w:rsidRPr="00E33EFF">
              <w:rPr>
                <w:rFonts w:eastAsia="Arial"/>
              </w:rPr>
              <w:t>1.</w:t>
            </w:r>
            <w:r w:rsidR="00D417D2" w:rsidRPr="00E33EFF">
              <w:rPr>
                <w:rFonts w:eastAsia="Arial"/>
              </w:rPr>
              <w:t>6</w:t>
            </w:r>
          </w:p>
        </w:tc>
        <w:tc>
          <w:tcPr>
            <w:tcW w:w="3694" w:type="dxa"/>
          </w:tcPr>
          <w:p w14:paraId="15838EB6" w14:textId="77777777" w:rsidR="007656B2" w:rsidRPr="00E33EFF" w:rsidRDefault="00DE4484" w:rsidP="00824B92">
            <w:pPr>
              <w:rPr>
                <w:bCs/>
                <w:color w:val="000000"/>
                <w:lang w:eastAsia="lt-LT"/>
              </w:rPr>
            </w:pPr>
            <w:r w:rsidRPr="00E33EFF">
              <w:rPr>
                <w:bCs/>
                <w:color w:val="000000"/>
                <w:lang w:eastAsia="lt-LT"/>
              </w:rPr>
              <w:t>Par</w:t>
            </w:r>
            <w:r w:rsidR="007656B2" w:rsidRPr="00E33EFF">
              <w:rPr>
                <w:bCs/>
                <w:color w:val="000000"/>
                <w:lang w:eastAsia="lt-LT"/>
              </w:rPr>
              <w:t>eiškėjo t</w:t>
            </w:r>
            <w:r w:rsidR="00B13D65" w:rsidRPr="00E33EFF">
              <w:rPr>
                <w:bCs/>
                <w:color w:val="000000"/>
                <w:lang w:eastAsia="lt-LT"/>
              </w:rPr>
              <w:t>eikiama (-</w:t>
            </w:r>
            <w:proofErr w:type="spellStart"/>
            <w:r w:rsidR="00B13D65" w:rsidRPr="00E33EFF">
              <w:rPr>
                <w:bCs/>
                <w:color w:val="000000"/>
                <w:lang w:eastAsia="lt-LT"/>
              </w:rPr>
              <w:t>os</w:t>
            </w:r>
            <w:proofErr w:type="spellEnd"/>
            <w:r w:rsidR="00B13D65" w:rsidRPr="00E33EFF">
              <w:rPr>
                <w:bCs/>
                <w:color w:val="000000"/>
                <w:lang w:eastAsia="lt-LT"/>
              </w:rPr>
              <w:t>) kompensuoti vaistinio preparato indikacija (-</w:t>
            </w:r>
            <w:proofErr w:type="spellStart"/>
            <w:r w:rsidR="00B13D65" w:rsidRPr="00E33EFF">
              <w:rPr>
                <w:bCs/>
                <w:color w:val="000000"/>
                <w:lang w:eastAsia="lt-LT"/>
              </w:rPr>
              <w:t>os</w:t>
            </w:r>
            <w:proofErr w:type="spellEnd"/>
            <w:r w:rsidR="00B13D65" w:rsidRPr="00E33EFF">
              <w:rPr>
                <w:bCs/>
                <w:color w:val="000000"/>
                <w:lang w:eastAsia="lt-LT"/>
              </w:rPr>
              <w:t>)</w:t>
            </w:r>
          </w:p>
          <w:p w14:paraId="7306A1B9" w14:textId="77777777" w:rsidR="00AE1322" w:rsidRDefault="00AE1322" w:rsidP="00824B92">
            <w:pPr>
              <w:rPr>
                <w:bCs/>
                <w:color w:val="000000"/>
                <w:lang w:eastAsia="lt-LT"/>
              </w:rPr>
            </w:pPr>
          </w:p>
          <w:p w14:paraId="60772C98" w14:textId="77777777" w:rsidR="00AE1322" w:rsidRDefault="00AE1322" w:rsidP="00824B92">
            <w:pPr>
              <w:rPr>
                <w:bCs/>
                <w:color w:val="000000"/>
                <w:lang w:eastAsia="lt-LT"/>
              </w:rPr>
            </w:pPr>
          </w:p>
          <w:p w14:paraId="56F69CC2" w14:textId="77777777" w:rsidR="00B13D65" w:rsidRPr="00E33EFF" w:rsidRDefault="007656B2" w:rsidP="00824B92">
            <w:pPr>
              <w:rPr>
                <w:bCs/>
                <w:color w:val="000000"/>
                <w:lang w:eastAsia="lt-LT"/>
              </w:rPr>
            </w:pPr>
            <w:r w:rsidRPr="00E33EFF">
              <w:rPr>
                <w:bCs/>
                <w:color w:val="000000"/>
                <w:lang w:eastAsia="lt-LT"/>
              </w:rPr>
              <w:t>K</w:t>
            </w:r>
            <w:r w:rsidR="00B13D65" w:rsidRPr="00E33EFF">
              <w:rPr>
                <w:bCs/>
                <w:color w:val="000000"/>
                <w:lang w:eastAsia="lt-LT"/>
              </w:rPr>
              <w:t>odas</w:t>
            </w:r>
            <w:r w:rsidRPr="00E33EFF">
              <w:rPr>
                <w:bCs/>
                <w:color w:val="000000"/>
                <w:lang w:eastAsia="lt-LT"/>
              </w:rPr>
              <w:t xml:space="preserve"> pagal TLK-10 AM</w:t>
            </w:r>
          </w:p>
        </w:tc>
        <w:tc>
          <w:tcPr>
            <w:tcW w:w="5167" w:type="dxa"/>
          </w:tcPr>
          <w:p w14:paraId="4DE89AA3" w14:textId="77777777" w:rsidR="005F0FA9" w:rsidRPr="00AF4808" w:rsidRDefault="005F0FA9" w:rsidP="005F0FA9">
            <w:pPr>
              <w:widowControl w:val="0"/>
              <w:jc w:val="both"/>
            </w:pPr>
            <w:r w:rsidRPr="00AF4808">
              <w:t xml:space="preserve">Suaugusiųjų, sergančių </w:t>
            </w:r>
            <w:proofErr w:type="spellStart"/>
            <w:r w:rsidRPr="00AF4808">
              <w:t>narkolepsija</w:t>
            </w:r>
            <w:proofErr w:type="spellEnd"/>
            <w:r w:rsidRPr="00AF4808">
              <w:t xml:space="preserve"> su </w:t>
            </w:r>
            <w:proofErr w:type="spellStart"/>
            <w:r w:rsidRPr="00AF4808">
              <w:t>katapleksija</w:t>
            </w:r>
            <w:proofErr w:type="spellEnd"/>
            <w:r w:rsidRPr="00AF4808">
              <w:t>, gydymas.</w:t>
            </w:r>
          </w:p>
          <w:p w14:paraId="6F814916" w14:textId="77777777" w:rsidR="005F0FA9" w:rsidRDefault="005F0FA9" w:rsidP="005F0FA9">
            <w:pPr>
              <w:pBdr>
                <w:top w:val="nil"/>
                <w:left w:val="nil"/>
                <w:bottom w:val="nil"/>
                <w:right w:val="nil"/>
                <w:between w:val="nil"/>
              </w:pBdr>
              <w:jc w:val="both"/>
              <w:rPr>
                <w:color w:val="000000"/>
              </w:rPr>
            </w:pPr>
          </w:p>
          <w:p w14:paraId="4DDDC415" w14:textId="77777777" w:rsidR="005F0FA9" w:rsidRDefault="005F0FA9" w:rsidP="005F0FA9">
            <w:pPr>
              <w:pBdr>
                <w:top w:val="nil"/>
                <w:left w:val="nil"/>
                <w:bottom w:val="nil"/>
                <w:right w:val="nil"/>
                <w:between w:val="nil"/>
              </w:pBdr>
              <w:jc w:val="both"/>
              <w:rPr>
                <w:color w:val="000000"/>
              </w:rPr>
            </w:pPr>
          </w:p>
          <w:p w14:paraId="4FB83378" w14:textId="77777777" w:rsidR="005F0FA9" w:rsidRDefault="005F0FA9" w:rsidP="005F0FA9">
            <w:pPr>
              <w:pBdr>
                <w:top w:val="nil"/>
                <w:left w:val="nil"/>
                <w:bottom w:val="nil"/>
                <w:right w:val="nil"/>
                <w:between w:val="nil"/>
              </w:pBdr>
              <w:jc w:val="both"/>
              <w:rPr>
                <w:color w:val="000000"/>
              </w:rPr>
            </w:pPr>
          </w:p>
          <w:p w14:paraId="689B5443" w14:textId="77777777" w:rsidR="00B13D65" w:rsidRPr="00E33EFF" w:rsidRDefault="005F0FA9" w:rsidP="005F0FA9">
            <w:r>
              <w:rPr>
                <w:color w:val="000000"/>
              </w:rPr>
              <w:t>G47.4</w:t>
            </w:r>
          </w:p>
        </w:tc>
      </w:tr>
      <w:tr w:rsidR="00B13D65" w:rsidRPr="00E33EFF" w14:paraId="7BF98EF6" w14:textId="77777777" w:rsidTr="00BE7489">
        <w:trPr>
          <w:trHeight w:val="378"/>
        </w:trPr>
        <w:tc>
          <w:tcPr>
            <w:tcW w:w="632" w:type="dxa"/>
          </w:tcPr>
          <w:p w14:paraId="58E3FCF1" w14:textId="77777777" w:rsidR="00B13D65" w:rsidRPr="00E33EFF" w:rsidRDefault="00B13D65" w:rsidP="00824B92">
            <w:pPr>
              <w:rPr>
                <w:rFonts w:eastAsia="Arial"/>
              </w:rPr>
            </w:pPr>
            <w:r w:rsidRPr="00E33EFF">
              <w:rPr>
                <w:rFonts w:eastAsia="Arial"/>
              </w:rPr>
              <w:t>1.</w:t>
            </w:r>
            <w:r w:rsidR="002E0702" w:rsidRPr="00E33EFF">
              <w:rPr>
                <w:rFonts w:eastAsia="Arial"/>
              </w:rPr>
              <w:t>6</w:t>
            </w:r>
          </w:p>
        </w:tc>
        <w:tc>
          <w:tcPr>
            <w:tcW w:w="3694" w:type="dxa"/>
          </w:tcPr>
          <w:p w14:paraId="3D6B9BAB" w14:textId="77777777" w:rsidR="00B13D65" w:rsidRPr="00E33EFF" w:rsidRDefault="007656B2" w:rsidP="00824B92">
            <w:pPr>
              <w:rPr>
                <w:bCs/>
                <w:color w:val="000000"/>
                <w:u w:val="single"/>
                <w:lang w:eastAsia="lt-LT"/>
              </w:rPr>
            </w:pPr>
            <w:r w:rsidRPr="00E33EFF">
              <w:rPr>
                <w:bCs/>
                <w:color w:val="000000"/>
                <w:lang w:eastAsia="lt-LT"/>
              </w:rPr>
              <w:t>Pareiškėjo t</w:t>
            </w:r>
            <w:r w:rsidR="00B13D65" w:rsidRPr="00E33EFF">
              <w:rPr>
                <w:bCs/>
                <w:color w:val="000000"/>
                <w:lang w:eastAsia="lt-LT"/>
              </w:rPr>
              <w:t>eikiamos skyrimo sąlygos</w:t>
            </w:r>
            <w:r w:rsidR="005B3756" w:rsidRPr="00E33EFF">
              <w:rPr>
                <w:bCs/>
                <w:color w:val="000000"/>
                <w:lang w:eastAsia="lt-LT"/>
              </w:rPr>
              <w:t xml:space="preserve"> </w:t>
            </w:r>
          </w:p>
        </w:tc>
        <w:tc>
          <w:tcPr>
            <w:tcW w:w="5167" w:type="dxa"/>
          </w:tcPr>
          <w:p w14:paraId="643FBB19" w14:textId="77777777" w:rsidR="00B13D65" w:rsidRPr="00E33EFF" w:rsidRDefault="005F0FA9" w:rsidP="00824B92">
            <w:r w:rsidRPr="002E313F">
              <w:t>Skyrimo sąlygos nesiūlomos</w:t>
            </w:r>
            <w:r>
              <w:t>.</w:t>
            </w:r>
          </w:p>
        </w:tc>
      </w:tr>
      <w:tr w:rsidR="00B13D65" w:rsidRPr="00E33EFF" w14:paraId="1AD10457" w14:textId="77777777" w:rsidTr="00BE7489">
        <w:trPr>
          <w:trHeight w:val="378"/>
        </w:trPr>
        <w:tc>
          <w:tcPr>
            <w:tcW w:w="632" w:type="dxa"/>
          </w:tcPr>
          <w:p w14:paraId="2FEE6E40" w14:textId="77777777" w:rsidR="00B13D65" w:rsidRPr="00E33EFF" w:rsidRDefault="00B13D65" w:rsidP="00824B92">
            <w:pPr>
              <w:rPr>
                <w:rFonts w:eastAsia="Arial"/>
              </w:rPr>
            </w:pPr>
            <w:r w:rsidRPr="00E33EFF">
              <w:rPr>
                <w:rFonts w:eastAsia="Arial"/>
              </w:rPr>
              <w:t>1.7</w:t>
            </w:r>
          </w:p>
        </w:tc>
        <w:tc>
          <w:tcPr>
            <w:tcW w:w="3694" w:type="dxa"/>
          </w:tcPr>
          <w:p w14:paraId="690862E4" w14:textId="77777777" w:rsidR="009F4D66" w:rsidRDefault="007656B2" w:rsidP="00824B92">
            <w:pPr>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gydymas</w:t>
            </w:r>
          </w:p>
          <w:p w14:paraId="3E4827FE" w14:textId="77777777" w:rsidR="0080267E" w:rsidRDefault="005F0FA9" w:rsidP="005A3F92">
            <w:pPr>
              <w:rPr>
                <w:bCs/>
                <w:color w:val="000000"/>
                <w:lang w:eastAsia="lt-LT"/>
              </w:rPr>
            </w:pPr>
            <w:r w:rsidRPr="005A3F92">
              <w:rPr>
                <w:bCs/>
                <w:color w:val="000000"/>
                <w:lang w:eastAsia="lt-LT"/>
              </w:rPr>
              <w:lastRenderedPageBreak/>
              <w:t>Tiesioginis palyginimas:</w:t>
            </w:r>
            <w:r w:rsidR="005A3F92" w:rsidRPr="005A3F92">
              <w:rPr>
                <w:bCs/>
                <w:color w:val="000000"/>
                <w:lang w:eastAsia="lt-LT"/>
              </w:rPr>
              <w:t xml:space="preserve"> </w:t>
            </w:r>
          </w:p>
          <w:p w14:paraId="01C6B646" w14:textId="5223A94E" w:rsidR="005F0FA9" w:rsidRPr="005A3F92" w:rsidRDefault="0080267E" w:rsidP="005A3F92">
            <w:pPr>
              <w:rPr>
                <w:bCs/>
                <w:color w:val="000000"/>
                <w:lang w:eastAsia="lt-LT"/>
              </w:rPr>
            </w:pPr>
            <w:r>
              <w:rPr>
                <w:bCs/>
                <w:color w:val="000000"/>
                <w:lang w:eastAsia="lt-LT"/>
              </w:rPr>
              <w:t>P</w:t>
            </w:r>
            <w:r w:rsidR="005A3F92" w:rsidRPr="005A3F92">
              <w:rPr>
                <w:bCs/>
                <w:color w:val="000000"/>
                <w:lang w:eastAsia="lt-LT"/>
              </w:rPr>
              <w:t>laceb</w:t>
            </w:r>
            <w:r>
              <w:rPr>
                <w:bCs/>
                <w:color w:val="000000"/>
                <w:lang w:eastAsia="lt-LT"/>
              </w:rPr>
              <w:t>as</w:t>
            </w:r>
          </w:p>
          <w:p w14:paraId="28089E09" w14:textId="77777777" w:rsidR="0080267E" w:rsidRDefault="0080267E" w:rsidP="00824B92">
            <w:pPr>
              <w:rPr>
                <w:bCs/>
                <w:color w:val="000000"/>
                <w:lang w:eastAsia="lt-LT"/>
              </w:rPr>
            </w:pPr>
          </w:p>
          <w:p w14:paraId="64DBB3D0" w14:textId="0BCF3A9F" w:rsidR="005F0FA9" w:rsidRDefault="005F0FA9" w:rsidP="00824B92">
            <w:pPr>
              <w:rPr>
                <w:bCs/>
                <w:color w:val="000000"/>
                <w:lang w:eastAsia="lt-LT"/>
              </w:rPr>
            </w:pPr>
            <w:r>
              <w:rPr>
                <w:bCs/>
                <w:color w:val="000000"/>
                <w:lang w:eastAsia="lt-LT"/>
              </w:rPr>
              <w:t>Netiesioginis palyginimas:</w:t>
            </w:r>
          </w:p>
          <w:p w14:paraId="7641BD46" w14:textId="59A6D24F" w:rsidR="005F0FA9" w:rsidRPr="00E33EFF" w:rsidRDefault="0080267E" w:rsidP="0080267E">
            <w:pPr>
              <w:widowControl w:val="0"/>
              <w:pBdr>
                <w:top w:val="nil"/>
                <w:left w:val="nil"/>
                <w:bottom w:val="nil"/>
                <w:right w:val="nil"/>
                <w:between w:val="nil"/>
              </w:pBdr>
              <w:spacing w:line="280" w:lineRule="atLeast"/>
              <w:rPr>
                <w:bCs/>
                <w:color w:val="000000"/>
                <w:lang w:eastAsia="lt-LT"/>
              </w:rPr>
            </w:pPr>
            <w:proofErr w:type="spellStart"/>
            <w:r>
              <w:rPr>
                <w:rFonts w:eastAsia="Arial"/>
              </w:rPr>
              <w:t>P</w:t>
            </w:r>
            <w:r w:rsidR="005A3F92">
              <w:rPr>
                <w:rFonts w:eastAsia="Arial"/>
              </w:rPr>
              <w:t>itolizant</w:t>
            </w:r>
            <w:r>
              <w:rPr>
                <w:rFonts w:eastAsia="Arial"/>
              </w:rPr>
              <w:t>as</w:t>
            </w:r>
            <w:proofErr w:type="spellEnd"/>
            <w:r w:rsidR="005A3F92">
              <w:rPr>
                <w:rFonts w:eastAsia="Arial"/>
              </w:rPr>
              <w:t>.</w:t>
            </w:r>
          </w:p>
        </w:tc>
        <w:tc>
          <w:tcPr>
            <w:tcW w:w="5167" w:type="dxa"/>
          </w:tcPr>
          <w:p w14:paraId="530715D9" w14:textId="77777777" w:rsidR="005F0FA9" w:rsidRDefault="005F0FA9" w:rsidP="00824B92">
            <w:pPr>
              <w:rPr>
                <w:rStyle w:val="Style2"/>
                <w:sz w:val="24"/>
              </w:rPr>
            </w:pPr>
          </w:p>
          <w:p w14:paraId="4D3BB46E" w14:textId="77777777" w:rsidR="005F0FA9" w:rsidRDefault="005F0FA9" w:rsidP="00824B92">
            <w:pPr>
              <w:rPr>
                <w:rStyle w:val="Style2"/>
                <w:sz w:val="24"/>
              </w:rPr>
            </w:pPr>
          </w:p>
          <w:p w14:paraId="0685C93D" w14:textId="77777777" w:rsidR="009F4D66" w:rsidRPr="00E33EFF" w:rsidRDefault="00F83DA6" w:rsidP="00824B92">
            <w:sdt>
              <w:sdtPr>
                <w:rPr>
                  <w:rStyle w:val="Style2"/>
                  <w:sz w:val="24"/>
                </w:rPr>
                <w:id w:val="1480955706"/>
                <w15:color w:val="FFCC00"/>
                <w14:checkbox>
                  <w14:checked w14:val="0"/>
                  <w14:checkedState w14:val="2612" w14:font="MS Gothic"/>
                  <w14:uncheckedState w14:val="2610" w14:font="MS Gothic"/>
                </w14:checkbox>
              </w:sdtPr>
              <w:sdtEndPr>
                <w:rPr>
                  <w:rStyle w:val="Style2"/>
                </w:rPr>
              </w:sdtEndPr>
              <w:sdtContent>
                <w:r w:rsidR="005F0FA9">
                  <w:rPr>
                    <w:rStyle w:val="Style2"/>
                    <w:rFonts w:ascii="MS Gothic" w:eastAsia="MS Gothic" w:hAnsi="MS Gothic" w:hint="eastAsia"/>
                    <w:sz w:val="24"/>
                  </w:rPr>
                  <w:t>☐</w:t>
                </w:r>
              </w:sdtContent>
            </w:sdt>
            <w:r w:rsidR="009F4D66" w:rsidRPr="00E33EFF">
              <w:t xml:space="preserve"> Tinkamas</w:t>
            </w:r>
          </w:p>
          <w:p w14:paraId="5585E481" w14:textId="77777777" w:rsidR="00B13D65" w:rsidRDefault="00F83DA6" w:rsidP="00824B92">
            <w:sdt>
              <w:sdtPr>
                <w:rPr>
                  <w:rStyle w:val="Style2"/>
                  <w:sz w:val="24"/>
                </w:rPr>
                <w:id w:val="-352420698"/>
                <w15:color w:val="FFCC00"/>
                <w14:checkbox>
                  <w14:checked w14:val="1"/>
                  <w14:checkedState w14:val="2612" w14:font="MS Gothic"/>
                  <w14:uncheckedState w14:val="2610" w14:font="MS Gothic"/>
                </w14:checkbox>
              </w:sdtPr>
              <w:sdtEndPr>
                <w:rPr>
                  <w:rStyle w:val="Style2"/>
                </w:rPr>
              </w:sdtEndPr>
              <w:sdtContent>
                <w:r w:rsidR="005F0FA9">
                  <w:rPr>
                    <w:rStyle w:val="Style2"/>
                    <w:rFonts w:ascii="MS Gothic" w:eastAsia="MS Gothic" w:hAnsi="MS Gothic" w:hint="eastAsia"/>
                    <w:sz w:val="24"/>
                  </w:rPr>
                  <w:t>☒</w:t>
                </w:r>
              </w:sdtContent>
            </w:sdt>
            <w:r w:rsidR="009F4D66" w:rsidRPr="00E33EFF">
              <w:t xml:space="preserve"> Netinkama</w:t>
            </w:r>
            <w:r w:rsidR="005F0FA9">
              <w:t>s</w:t>
            </w:r>
          </w:p>
          <w:p w14:paraId="62EF80B3" w14:textId="77777777" w:rsidR="005F0FA9" w:rsidRDefault="005F0FA9" w:rsidP="005F0FA9"/>
          <w:p w14:paraId="19294FB6" w14:textId="77777777" w:rsidR="005F0FA9" w:rsidRPr="00E33EFF" w:rsidRDefault="00F83DA6" w:rsidP="005F0FA9">
            <w:sdt>
              <w:sdtPr>
                <w:rPr>
                  <w:rStyle w:val="Style2"/>
                  <w:sz w:val="24"/>
                </w:rPr>
                <w:id w:val="-919010567"/>
                <w15:color w:val="FFCC00"/>
                <w14:checkbox>
                  <w14:checked w14:val="1"/>
                  <w14:checkedState w14:val="2612" w14:font="MS Gothic"/>
                  <w14:uncheckedState w14:val="2610" w14:font="MS Gothic"/>
                </w14:checkbox>
              </w:sdtPr>
              <w:sdtEndPr>
                <w:rPr>
                  <w:rStyle w:val="Style2"/>
                </w:rPr>
              </w:sdtEndPr>
              <w:sdtContent>
                <w:r w:rsidR="005F0FA9">
                  <w:rPr>
                    <w:rStyle w:val="Style2"/>
                    <w:rFonts w:ascii="MS Gothic" w:eastAsia="MS Gothic" w:hAnsi="MS Gothic" w:hint="eastAsia"/>
                    <w:sz w:val="24"/>
                  </w:rPr>
                  <w:t>☒</w:t>
                </w:r>
              </w:sdtContent>
            </w:sdt>
            <w:r w:rsidR="005F0FA9" w:rsidRPr="00E33EFF">
              <w:t xml:space="preserve"> Tinkamas</w:t>
            </w:r>
          </w:p>
          <w:p w14:paraId="60E3B62F" w14:textId="77777777" w:rsidR="005F0FA9" w:rsidRPr="00E33EFF" w:rsidRDefault="00F83DA6" w:rsidP="005F0FA9">
            <w:sdt>
              <w:sdtPr>
                <w:rPr>
                  <w:rStyle w:val="Style2"/>
                  <w:sz w:val="24"/>
                </w:rPr>
                <w:id w:val="1567770125"/>
                <w15:color w:val="FFCC00"/>
                <w14:checkbox>
                  <w14:checked w14:val="0"/>
                  <w14:checkedState w14:val="2612" w14:font="MS Gothic"/>
                  <w14:uncheckedState w14:val="2610" w14:font="MS Gothic"/>
                </w14:checkbox>
              </w:sdtPr>
              <w:sdtEndPr>
                <w:rPr>
                  <w:rStyle w:val="Style2"/>
                </w:rPr>
              </w:sdtEndPr>
              <w:sdtContent>
                <w:r w:rsidR="005F0FA9" w:rsidRPr="00E33EFF">
                  <w:rPr>
                    <w:rStyle w:val="Style2"/>
                    <w:rFonts w:ascii="MS Gothic" w:eastAsia="MS Gothic" w:hAnsi="MS Gothic" w:hint="eastAsia"/>
                    <w:sz w:val="24"/>
                  </w:rPr>
                  <w:t>☐</w:t>
                </w:r>
              </w:sdtContent>
            </w:sdt>
            <w:r w:rsidR="005F0FA9" w:rsidRPr="00E33EFF">
              <w:t xml:space="preserve"> Netinkama</w:t>
            </w:r>
            <w:r w:rsidR="005F0FA9">
              <w:t>s</w:t>
            </w:r>
          </w:p>
        </w:tc>
      </w:tr>
    </w:tbl>
    <w:p w14:paraId="5FA03A39" w14:textId="77777777" w:rsidR="00F70C9E" w:rsidRPr="00E33EFF" w:rsidRDefault="00F70C9E" w:rsidP="00E03C3F">
      <w:pPr>
        <w:pStyle w:val="ListParagraph"/>
        <w:tabs>
          <w:tab w:val="left" w:pos="426"/>
        </w:tabs>
        <w:ind w:left="0"/>
        <w:rPr>
          <w:b/>
          <w:bCs/>
          <w:caps/>
        </w:rPr>
      </w:pPr>
    </w:p>
    <w:p w14:paraId="20E67486" w14:textId="77777777"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44110E06" w14:textId="77777777" w:rsidR="00F70C9E" w:rsidRPr="00E33EFF" w:rsidRDefault="00F70C9E" w:rsidP="00F70C9E">
      <w:pPr>
        <w:spacing w:line="276" w:lineRule="auto"/>
        <w:rPr>
          <w:rFonts w:eastAsia="Arial"/>
        </w:rPr>
      </w:pPr>
    </w:p>
    <w:tbl>
      <w:tblPr>
        <w:tblStyle w:val="TableGrid"/>
        <w:tblW w:w="0" w:type="auto"/>
        <w:tblLook w:val="04A0" w:firstRow="1" w:lastRow="0" w:firstColumn="1" w:lastColumn="0" w:noHBand="0" w:noVBand="1"/>
      </w:tblPr>
      <w:tblGrid>
        <w:gridCol w:w="2289"/>
        <w:gridCol w:w="1817"/>
        <w:gridCol w:w="2693"/>
        <w:gridCol w:w="2720"/>
      </w:tblGrid>
      <w:tr w:rsidR="00F70C9E" w:rsidRPr="00AA56EA" w14:paraId="4E3217BF" w14:textId="77777777" w:rsidTr="00AF1603">
        <w:trPr>
          <w:trHeight w:val="924"/>
        </w:trPr>
        <w:tc>
          <w:tcPr>
            <w:tcW w:w="2289" w:type="dxa"/>
          </w:tcPr>
          <w:p w14:paraId="5D53D1BF" w14:textId="77777777" w:rsidR="00F70C9E" w:rsidRPr="00AA56EA" w:rsidRDefault="00F70C9E" w:rsidP="00824B92">
            <w:pPr>
              <w:rPr>
                <w:rFonts w:eastAsia="Arial"/>
                <w:sz w:val="22"/>
                <w:szCs w:val="22"/>
              </w:rPr>
            </w:pPr>
            <w:r w:rsidRPr="00AA56EA">
              <w:rPr>
                <w:rFonts w:eastAsia="Arial"/>
                <w:sz w:val="22"/>
                <w:szCs w:val="22"/>
              </w:rPr>
              <w:t>ST</w:t>
            </w:r>
            <w:r w:rsidR="00DF583C" w:rsidRPr="00AA56EA">
              <w:rPr>
                <w:rFonts w:eastAsia="Arial"/>
                <w:sz w:val="22"/>
                <w:szCs w:val="22"/>
              </w:rPr>
              <w:t>V</w:t>
            </w:r>
            <w:r w:rsidRPr="00AA56EA">
              <w:rPr>
                <w:rFonts w:eastAsia="Arial"/>
                <w:sz w:val="22"/>
                <w:szCs w:val="22"/>
              </w:rPr>
              <w:t xml:space="preserve"> agentūros pavadinimas, šalis</w:t>
            </w:r>
          </w:p>
        </w:tc>
        <w:tc>
          <w:tcPr>
            <w:tcW w:w="1817" w:type="dxa"/>
          </w:tcPr>
          <w:p w14:paraId="73A276DB" w14:textId="77777777" w:rsidR="00F70C9E" w:rsidRPr="00AA56EA" w:rsidRDefault="00F70C9E" w:rsidP="00824B92">
            <w:pPr>
              <w:rPr>
                <w:rFonts w:eastAsia="Arial"/>
                <w:sz w:val="22"/>
                <w:szCs w:val="22"/>
              </w:rPr>
            </w:pPr>
            <w:r w:rsidRPr="00AA56EA">
              <w:rPr>
                <w:rFonts w:eastAsia="Arial"/>
                <w:sz w:val="22"/>
                <w:szCs w:val="22"/>
              </w:rPr>
              <w:t>STV vertinimas atliktas</w:t>
            </w:r>
          </w:p>
        </w:tc>
        <w:tc>
          <w:tcPr>
            <w:tcW w:w="2693" w:type="dxa"/>
          </w:tcPr>
          <w:p w14:paraId="3AB6B408" w14:textId="77777777" w:rsidR="00F70C9E" w:rsidRPr="00AA56EA" w:rsidRDefault="00F70C9E" w:rsidP="00824B92">
            <w:pPr>
              <w:rPr>
                <w:rFonts w:eastAsia="Arial"/>
                <w:sz w:val="22"/>
                <w:szCs w:val="22"/>
              </w:rPr>
            </w:pPr>
            <w:r w:rsidRPr="00AA56EA">
              <w:rPr>
                <w:rFonts w:eastAsia="Arial"/>
                <w:sz w:val="22"/>
                <w:szCs w:val="22"/>
              </w:rPr>
              <w:t>Klinikinio vertinimo išvada</w:t>
            </w:r>
          </w:p>
        </w:tc>
        <w:tc>
          <w:tcPr>
            <w:tcW w:w="2720" w:type="dxa"/>
          </w:tcPr>
          <w:p w14:paraId="0E257625" w14:textId="77777777" w:rsidR="00F70C9E" w:rsidRPr="00AA56EA" w:rsidRDefault="00F70C9E" w:rsidP="00824B92">
            <w:pPr>
              <w:rPr>
                <w:rFonts w:eastAsia="Arial"/>
                <w:sz w:val="22"/>
                <w:szCs w:val="22"/>
              </w:rPr>
            </w:pPr>
            <w:proofErr w:type="spellStart"/>
            <w:r w:rsidRPr="00AA56EA">
              <w:rPr>
                <w:rFonts w:eastAsia="Arial"/>
                <w:sz w:val="22"/>
                <w:szCs w:val="22"/>
              </w:rPr>
              <w:t>Farmako</w:t>
            </w:r>
            <w:r w:rsidR="00CA217D" w:rsidRPr="00AA56EA">
              <w:rPr>
                <w:rFonts w:eastAsia="Arial"/>
                <w:sz w:val="22"/>
                <w:szCs w:val="22"/>
              </w:rPr>
              <w:t>e</w:t>
            </w:r>
            <w:r w:rsidR="00476256" w:rsidRPr="00AA56EA">
              <w:rPr>
                <w:rFonts w:eastAsia="Arial"/>
                <w:sz w:val="22"/>
                <w:szCs w:val="22"/>
              </w:rPr>
              <w:t>ko</w:t>
            </w:r>
            <w:r w:rsidRPr="00AA56EA">
              <w:rPr>
                <w:rFonts w:eastAsia="Arial"/>
                <w:sz w:val="22"/>
                <w:szCs w:val="22"/>
              </w:rPr>
              <w:t>nominio</w:t>
            </w:r>
            <w:proofErr w:type="spellEnd"/>
            <w:r w:rsidRPr="00AA56EA">
              <w:rPr>
                <w:rFonts w:eastAsia="Arial"/>
                <w:sz w:val="22"/>
                <w:szCs w:val="22"/>
              </w:rPr>
              <w:t xml:space="preserve"> vertinimo išvada</w:t>
            </w:r>
          </w:p>
        </w:tc>
      </w:tr>
      <w:tr w:rsidR="005F0FA9" w:rsidRPr="00AA56EA" w14:paraId="4A7D5677" w14:textId="77777777" w:rsidTr="00AF1603">
        <w:trPr>
          <w:trHeight w:val="2267"/>
        </w:trPr>
        <w:tc>
          <w:tcPr>
            <w:tcW w:w="2289" w:type="dxa"/>
          </w:tcPr>
          <w:p w14:paraId="72C5DDF7" w14:textId="77777777" w:rsidR="005F0FA9" w:rsidRPr="00AA56EA" w:rsidRDefault="005F0FA9" w:rsidP="00AF1603">
            <w:pPr>
              <w:jc w:val="both"/>
              <w:rPr>
                <w:bCs/>
                <w:sz w:val="22"/>
                <w:szCs w:val="22"/>
              </w:rPr>
            </w:pPr>
            <w:r w:rsidRPr="00AA56EA">
              <w:rPr>
                <w:bCs/>
                <w:sz w:val="22"/>
                <w:szCs w:val="22"/>
              </w:rPr>
              <w:t>Nacionalinis sveikatos ir klinikinės kompetencijos institutas, Didžioji Britanija</w:t>
            </w:r>
          </w:p>
          <w:p w14:paraId="2BE135EE" w14:textId="77777777" w:rsidR="005F0FA9" w:rsidRPr="00AA56EA" w:rsidRDefault="005F0FA9" w:rsidP="00AF1603">
            <w:pPr>
              <w:jc w:val="both"/>
              <w:rPr>
                <w:rFonts w:eastAsia="Arial"/>
                <w:sz w:val="22"/>
                <w:szCs w:val="22"/>
                <w:lang w:val="en-GB"/>
              </w:rPr>
            </w:pPr>
            <w:r w:rsidRPr="00AA56EA">
              <w:rPr>
                <w:rFonts w:eastAsia="Arial"/>
                <w:sz w:val="22"/>
                <w:szCs w:val="22"/>
                <w:lang w:val="en-GB"/>
              </w:rPr>
              <w:t>(</w:t>
            </w:r>
            <w:proofErr w:type="spellStart"/>
            <w:r w:rsidRPr="00AA56EA">
              <w:rPr>
                <w:rFonts w:eastAsia="Arial"/>
                <w:sz w:val="22"/>
                <w:szCs w:val="22"/>
                <w:lang w:val="en-GB"/>
              </w:rPr>
              <w:t>angl.</w:t>
            </w:r>
            <w:proofErr w:type="spellEnd"/>
            <w:r w:rsidRPr="00AA56EA">
              <w:rPr>
                <w:rFonts w:eastAsia="Arial"/>
                <w:sz w:val="22"/>
                <w:szCs w:val="22"/>
                <w:lang w:val="en-GB"/>
              </w:rPr>
              <w:t xml:space="preserve"> </w:t>
            </w:r>
            <w:r w:rsidRPr="00AA56EA">
              <w:rPr>
                <w:rFonts w:eastAsia="Arial"/>
                <w:i/>
                <w:sz w:val="22"/>
                <w:szCs w:val="22"/>
                <w:lang w:val="en-GB"/>
              </w:rPr>
              <w:t>National Institute for Health and Care  Excellence, NICE</w:t>
            </w:r>
            <w:r w:rsidRPr="00AA56EA">
              <w:rPr>
                <w:rFonts w:eastAsia="Arial"/>
                <w:sz w:val="22"/>
                <w:szCs w:val="22"/>
                <w:lang w:val="en-GB"/>
              </w:rPr>
              <w:t>)</w:t>
            </w:r>
          </w:p>
        </w:tc>
        <w:tc>
          <w:tcPr>
            <w:tcW w:w="1817" w:type="dxa"/>
          </w:tcPr>
          <w:p w14:paraId="79DEC632" w14:textId="77777777" w:rsidR="005F0FA9" w:rsidRPr="00AA56EA" w:rsidRDefault="00F83DA6" w:rsidP="005F0FA9">
            <w:pPr>
              <w:rPr>
                <w:sz w:val="22"/>
                <w:szCs w:val="22"/>
              </w:rPr>
            </w:pPr>
            <w:sdt>
              <w:sdtPr>
                <w:rPr>
                  <w:rStyle w:val="Style2"/>
                  <w:sz w:val="22"/>
                  <w:szCs w:val="22"/>
                </w:rPr>
                <w:id w:val="1558205022"/>
                <w15:color w:val="FFCC00"/>
                <w14:checkbox>
                  <w14:checked w14:val="0"/>
                  <w14:checkedState w14:val="2612" w14:font="MS Gothic"/>
                  <w14:uncheckedState w14:val="2610" w14:font="MS Gothic"/>
                </w14:checkbox>
              </w:sdtPr>
              <w:sdtEndPr>
                <w:rPr>
                  <w:rStyle w:val="Style2"/>
                </w:rPr>
              </w:sdtEndPr>
              <w:sdtContent>
                <w:r w:rsidR="00AF1603" w:rsidRPr="00AA56EA">
                  <w:rPr>
                    <w:rStyle w:val="Style2"/>
                    <w:rFonts w:ascii="MS Gothic" w:eastAsia="MS Gothic" w:hAnsi="MS Gothic" w:hint="eastAsia"/>
                    <w:sz w:val="22"/>
                    <w:szCs w:val="22"/>
                  </w:rPr>
                  <w:t>☐</w:t>
                </w:r>
              </w:sdtContent>
            </w:sdt>
            <w:r w:rsidR="005F0FA9" w:rsidRPr="00AA56EA">
              <w:rPr>
                <w:sz w:val="22"/>
                <w:szCs w:val="22"/>
              </w:rPr>
              <w:t xml:space="preserve"> Taip</w:t>
            </w:r>
          </w:p>
          <w:p w14:paraId="72666B17" w14:textId="77777777" w:rsidR="005F0FA9" w:rsidRPr="00AA56EA" w:rsidRDefault="00F83DA6" w:rsidP="005F0FA9">
            <w:pPr>
              <w:rPr>
                <w:sz w:val="22"/>
                <w:szCs w:val="22"/>
              </w:rPr>
            </w:pPr>
            <w:sdt>
              <w:sdtPr>
                <w:rPr>
                  <w:rStyle w:val="Style2"/>
                  <w:sz w:val="22"/>
                  <w:szCs w:val="22"/>
                </w:rPr>
                <w:id w:val="866029625"/>
                <w15:color w:val="FFCC00"/>
                <w14:checkbox>
                  <w14:checked w14:val="1"/>
                  <w14:checkedState w14:val="2612" w14:font="MS Gothic"/>
                  <w14:uncheckedState w14:val="2610" w14:font="MS Gothic"/>
                </w14:checkbox>
              </w:sdtPr>
              <w:sdtEndPr>
                <w:rPr>
                  <w:rStyle w:val="Style2"/>
                </w:rPr>
              </w:sdtEndPr>
              <w:sdtContent>
                <w:r w:rsidR="005F0FA9" w:rsidRPr="00AA56EA">
                  <w:rPr>
                    <w:rStyle w:val="Style2"/>
                    <w:rFonts w:ascii="MS Gothic" w:eastAsia="MS Gothic" w:hAnsi="MS Gothic" w:hint="eastAsia"/>
                    <w:sz w:val="22"/>
                    <w:szCs w:val="22"/>
                  </w:rPr>
                  <w:t>☒</w:t>
                </w:r>
              </w:sdtContent>
            </w:sdt>
            <w:r w:rsidR="005F0FA9" w:rsidRPr="00AA56EA">
              <w:rPr>
                <w:sz w:val="22"/>
                <w:szCs w:val="22"/>
              </w:rPr>
              <w:t xml:space="preserve"> Ne</w:t>
            </w:r>
          </w:p>
          <w:p w14:paraId="5E27462B" w14:textId="77777777" w:rsidR="005F0FA9" w:rsidRPr="00AA56EA" w:rsidRDefault="005F0FA9" w:rsidP="005F0FA9">
            <w:pPr>
              <w:rPr>
                <w:rFonts w:eastAsia="Arial"/>
                <w:sz w:val="22"/>
                <w:szCs w:val="22"/>
              </w:rPr>
            </w:pPr>
          </w:p>
        </w:tc>
        <w:tc>
          <w:tcPr>
            <w:tcW w:w="2693" w:type="dxa"/>
          </w:tcPr>
          <w:p w14:paraId="23BBC05B" w14:textId="77777777" w:rsidR="005F0FA9" w:rsidRPr="00AA56EA" w:rsidRDefault="005F0FA9" w:rsidP="005F0FA9">
            <w:pPr>
              <w:rPr>
                <w:rFonts w:eastAsia="Arial"/>
                <w:sz w:val="22"/>
                <w:szCs w:val="22"/>
              </w:rPr>
            </w:pPr>
            <w:r w:rsidRPr="00AA56EA">
              <w:rPr>
                <w:rFonts w:eastAsia="Arial"/>
                <w:sz w:val="22"/>
                <w:szCs w:val="22"/>
              </w:rPr>
              <w:t>–</w:t>
            </w:r>
          </w:p>
        </w:tc>
        <w:tc>
          <w:tcPr>
            <w:tcW w:w="2720" w:type="dxa"/>
          </w:tcPr>
          <w:p w14:paraId="74CF29A3" w14:textId="77777777" w:rsidR="005F0FA9" w:rsidRPr="00AA56EA" w:rsidRDefault="005F0FA9" w:rsidP="005F0FA9">
            <w:pPr>
              <w:rPr>
                <w:rFonts w:eastAsia="Arial"/>
                <w:sz w:val="22"/>
                <w:szCs w:val="22"/>
              </w:rPr>
            </w:pPr>
            <w:r w:rsidRPr="00AA56EA">
              <w:rPr>
                <w:rFonts w:eastAsia="Arial"/>
                <w:sz w:val="22"/>
                <w:szCs w:val="22"/>
              </w:rPr>
              <w:t>–</w:t>
            </w:r>
          </w:p>
        </w:tc>
      </w:tr>
      <w:tr w:rsidR="005F0FA9" w:rsidRPr="00AA56EA" w14:paraId="4CD22264" w14:textId="77777777" w:rsidTr="00AF1603">
        <w:trPr>
          <w:trHeight w:val="840"/>
        </w:trPr>
        <w:tc>
          <w:tcPr>
            <w:tcW w:w="2289" w:type="dxa"/>
          </w:tcPr>
          <w:p w14:paraId="456ADDA2" w14:textId="77777777" w:rsidR="005F0FA9" w:rsidRPr="00AA56EA" w:rsidRDefault="005F0FA9" w:rsidP="00AF1603">
            <w:pPr>
              <w:jc w:val="both"/>
              <w:rPr>
                <w:rFonts w:eastAsia="Arial"/>
                <w:sz w:val="22"/>
                <w:szCs w:val="22"/>
                <w:lang w:val="en-GB"/>
              </w:rPr>
            </w:pPr>
            <w:proofErr w:type="spellStart"/>
            <w:r w:rsidRPr="00AA56EA">
              <w:rPr>
                <w:rFonts w:eastAsia="Arial"/>
                <w:sz w:val="22"/>
                <w:szCs w:val="22"/>
                <w:lang w:val="en-GB"/>
              </w:rPr>
              <w:t>Kanados</w:t>
            </w:r>
            <w:proofErr w:type="spellEnd"/>
            <w:r w:rsidRPr="00AA56EA">
              <w:rPr>
                <w:rFonts w:eastAsia="Arial"/>
                <w:sz w:val="22"/>
                <w:szCs w:val="22"/>
                <w:lang w:val="en-GB"/>
              </w:rPr>
              <w:t xml:space="preserve"> </w:t>
            </w:r>
            <w:proofErr w:type="spellStart"/>
            <w:r w:rsidRPr="00AA56EA">
              <w:rPr>
                <w:rFonts w:eastAsia="Arial"/>
                <w:sz w:val="22"/>
                <w:szCs w:val="22"/>
                <w:lang w:val="en-GB"/>
              </w:rPr>
              <w:t>sveikatos</w:t>
            </w:r>
            <w:proofErr w:type="spellEnd"/>
            <w:r w:rsidRPr="00AA56EA">
              <w:rPr>
                <w:rFonts w:eastAsia="Arial"/>
                <w:sz w:val="22"/>
                <w:szCs w:val="22"/>
                <w:lang w:val="en-GB"/>
              </w:rPr>
              <w:t xml:space="preserve"> </w:t>
            </w:r>
            <w:proofErr w:type="spellStart"/>
            <w:r w:rsidRPr="00AA56EA">
              <w:rPr>
                <w:rFonts w:eastAsia="Arial"/>
                <w:sz w:val="22"/>
                <w:szCs w:val="22"/>
                <w:lang w:val="en-GB"/>
              </w:rPr>
              <w:t>technologijų</w:t>
            </w:r>
            <w:proofErr w:type="spellEnd"/>
            <w:r w:rsidRPr="00AA56EA">
              <w:rPr>
                <w:rFonts w:eastAsia="Arial"/>
                <w:sz w:val="22"/>
                <w:szCs w:val="22"/>
                <w:lang w:val="en-GB"/>
              </w:rPr>
              <w:t xml:space="preserve"> </w:t>
            </w:r>
            <w:proofErr w:type="spellStart"/>
            <w:r w:rsidRPr="00AA56EA">
              <w:rPr>
                <w:rFonts w:eastAsia="Arial"/>
                <w:sz w:val="22"/>
                <w:szCs w:val="22"/>
                <w:lang w:val="en-GB"/>
              </w:rPr>
              <w:t>agentūra</w:t>
            </w:r>
            <w:proofErr w:type="spellEnd"/>
          </w:p>
          <w:p w14:paraId="2FC577DA" w14:textId="77777777" w:rsidR="005F0FA9" w:rsidRPr="00AA56EA" w:rsidRDefault="005F0FA9" w:rsidP="00AF1603">
            <w:pPr>
              <w:jc w:val="both"/>
              <w:rPr>
                <w:rFonts w:eastAsia="Arial"/>
                <w:sz w:val="22"/>
                <w:szCs w:val="22"/>
                <w:lang w:val="en-GB"/>
              </w:rPr>
            </w:pPr>
            <w:r w:rsidRPr="00AA56EA">
              <w:rPr>
                <w:rFonts w:eastAsia="Arial"/>
                <w:sz w:val="22"/>
                <w:szCs w:val="22"/>
                <w:lang w:val="en-GB"/>
              </w:rPr>
              <w:t>(</w:t>
            </w:r>
            <w:proofErr w:type="spellStart"/>
            <w:r w:rsidRPr="00AA56EA">
              <w:rPr>
                <w:rFonts w:eastAsia="Arial"/>
                <w:sz w:val="22"/>
                <w:szCs w:val="22"/>
                <w:lang w:val="en-GB"/>
              </w:rPr>
              <w:t>angl.</w:t>
            </w:r>
            <w:proofErr w:type="spellEnd"/>
            <w:r w:rsidRPr="00AA56EA">
              <w:rPr>
                <w:rFonts w:eastAsia="Arial"/>
                <w:sz w:val="22"/>
                <w:szCs w:val="22"/>
                <w:lang w:val="en-GB"/>
              </w:rPr>
              <w:t xml:space="preserve"> </w:t>
            </w:r>
            <w:r w:rsidRPr="00AA56EA">
              <w:rPr>
                <w:rFonts w:eastAsia="Arial"/>
                <w:i/>
                <w:sz w:val="22"/>
                <w:szCs w:val="22"/>
                <w:lang w:val="en-GB"/>
              </w:rPr>
              <w:t>Canadian health Technology Assessment agency, CADTH</w:t>
            </w:r>
            <w:r w:rsidRPr="00AA56EA">
              <w:rPr>
                <w:rFonts w:eastAsia="Arial"/>
                <w:sz w:val="22"/>
                <w:szCs w:val="22"/>
                <w:lang w:val="en-GB"/>
              </w:rPr>
              <w:t>)</w:t>
            </w:r>
          </w:p>
        </w:tc>
        <w:tc>
          <w:tcPr>
            <w:tcW w:w="1817" w:type="dxa"/>
          </w:tcPr>
          <w:p w14:paraId="4593C488" w14:textId="77777777" w:rsidR="005F0FA9" w:rsidRPr="00AA56EA" w:rsidRDefault="00F83DA6" w:rsidP="005F0FA9">
            <w:pPr>
              <w:rPr>
                <w:sz w:val="22"/>
                <w:szCs w:val="22"/>
              </w:rPr>
            </w:pPr>
            <w:sdt>
              <w:sdtPr>
                <w:rPr>
                  <w:rStyle w:val="Style2"/>
                  <w:sz w:val="22"/>
                  <w:szCs w:val="22"/>
                </w:rPr>
                <w:id w:val="-372539057"/>
                <w15:color w:val="FFCC00"/>
                <w14:checkbox>
                  <w14:checked w14:val="1"/>
                  <w14:checkedState w14:val="2612" w14:font="MS Gothic"/>
                  <w14:uncheckedState w14:val="2610" w14:font="MS Gothic"/>
                </w14:checkbox>
              </w:sdtPr>
              <w:sdtEndPr>
                <w:rPr>
                  <w:rStyle w:val="Style2"/>
                </w:rPr>
              </w:sdtEndPr>
              <w:sdtContent>
                <w:r w:rsidR="005F0FA9" w:rsidRPr="00AA56EA">
                  <w:rPr>
                    <w:rStyle w:val="Style2"/>
                    <w:rFonts w:ascii="MS Gothic" w:eastAsia="MS Gothic" w:hAnsi="MS Gothic" w:hint="eastAsia"/>
                    <w:sz w:val="22"/>
                    <w:szCs w:val="22"/>
                  </w:rPr>
                  <w:t>☒</w:t>
                </w:r>
              </w:sdtContent>
            </w:sdt>
            <w:r w:rsidR="005F0FA9" w:rsidRPr="00AA56EA">
              <w:rPr>
                <w:sz w:val="22"/>
                <w:szCs w:val="22"/>
              </w:rPr>
              <w:t xml:space="preserve"> Taip</w:t>
            </w:r>
          </w:p>
          <w:p w14:paraId="50E7632E" w14:textId="77777777" w:rsidR="005F0FA9" w:rsidRPr="00AA56EA" w:rsidRDefault="00F83DA6" w:rsidP="005F0FA9">
            <w:pPr>
              <w:rPr>
                <w:sz w:val="22"/>
                <w:szCs w:val="22"/>
              </w:rPr>
            </w:pPr>
            <w:sdt>
              <w:sdtPr>
                <w:rPr>
                  <w:rStyle w:val="Style2"/>
                  <w:sz w:val="22"/>
                  <w:szCs w:val="22"/>
                </w:rPr>
                <w:id w:val="594442222"/>
                <w15:color w:val="FFCC00"/>
                <w14:checkbox>
                  <w14:checked w14:val="0"/>
                  <w14:checkedState w14:val="2612" w14:font="MS Gothic"/>
                  <w14:uncheckedState w14:val="2610" w14:font="MS Gothic"/>
                </w14:checkbox>
              </w:sdtPr>
              <w:sdtEndPr>
                <w:rPr>
                  <w:rStyle w:val="Style2"/>
                </w:rPr>
              </w:sdtEndPr>
              <w:sdtContent>
                <w:r w:rsidR="005F0FA9" w:rsidRPr="00AA56EA">
                  <w:rPr>
                    <w:rStyle w:val="Style2"/>
                    <w:rFonts w:ascii="Segoe UI Symbol" w:eastAsia="MS Gothic" w:hAnsi="Segoe UI Symbol" w:cs="Segoe UI Symbol"/>
                    <w:sz w:val="22"/>
                    <w:szCs w:val="22"/>
                  </w:rPr>
                  <w:t>☐</w:t>
                </w:r>
              </w:sdtContent>
            </w:sdt>
            <w:r w:rsidR="005F0FA9" w:rsidRPr="00AA56EA">
              <w:rPr>
                <w:sz w:val="22"/>
                <w:szCs w:val="22"/>
              </w:rPr>
              <w:t xml:space="preserve"> Ne</w:t>
            </w:r>
          </w:p>
          <w:p w14:paraId="57D4CA61" w14:textId="77777777" w:rsidR="005F0FA9" w:rsidRPr="00AA56EA" w:rsidRDefault="00F83DA6" w:rsidP="005F0FA9">
            <w:pPr>
              <w:rPr>
                <w:rFonts w:eastAsia="Arial"/>
                <w:sz w:val="22"/>
                <w:szCs w:val="22"/>
              </w:rPr>
            </w:pPr>
            <w:sdt>
              <w:sdtPr>
                <w:rPr>
                  <w:sz w:val="22"/>
                  <w:szCs w:val="22"/>
                </w:rPr>
                <w:alias w:val="Nurodykite konkrečią dieną"/>
                <w:tag w:val="Nurodykite pradžios datą"/>
                <w:id w:val="1072468416"/>
                <w:placeholder>
                  <w:docPart w:val="CDF38DFA89259449A8BCB1DD0452BC44"/>
                </w:placeholder>
                <w15:color w:val="FFCC99"/>
                <w:date w:fullDate="2009-01-28T00:00:00Z">
                  <w:dateFormat w:val="yyyy 'm.' MMMM d 'd.'"/>
                  <w:lid w:val="lt-LT"/>
                  <w:storeMappedDataAs w:val="dateTime"/>
                  <w:calendar w:val="gregorian"/>
                </w:date>
              </w:sdtPr>
              <w:sdtEndPr/>
              <w:sdtContent>
                <w:r w:rsidR="005F0FA9" w:rsidRPr="00AA56EA">
                  <w:rPr>
                    <w:sz w:val="22"/>
                    <w:szCs w:val="22"/>
                  </w:rPr>
                  <w:t>2009 m. sausio 28 d.</w:t>
                </w:r>
              </w:sdtContent>
            </w:sdt>
          </w:p>
        </w:tc>
        <w:tc>
          <w:tcPr>
            <w:tcW w:w="2693" w:type="dxa"/>
          </w:tcPr>
          <w:p w14:paraId="1964CFF2" w14:textId="51334F49" w:rsidR="005F0FA9" w:rsidRPr="00AA56EA" w:rsidRDefault="005F0FA9" w:rsidP="00AF1603">
            <w:pPr>
              <w:spacing w:line="276" w:lineRule="auto"/>
              <w:jc w:val="both"/>
              <w:rPr>
                <w:sz w:val="22"/>
                <w:szCs w:val="22"/>
              </w:rPr>
            </w:pPr>
            <w:r w:rsidRPr="00AA56EA">
              <w:rPr>
                <w:sz w:val="22"/>
                <w:szCs w:val="22"/>
              </w:rPr>
              <w:t xml:space="preserve">Vertintas </w:t>
            </w:r>
            <w:r w:rsidR="00AA56EA" w:rsidRPr="00AA56EA">
              <w:rPr>
                <w:sz w:val="22"/>
                <w:szCs w:val="22"/>
              </w:rPr>
              <w:t xml:space="preserve">vaistinis </w:t>
            </w:r>
            <w:r w:rsidRPr="00AA56EA">
              <w:rPr>
                <w:sz w:val="22"/>
                <w:szCs w:val="22"/>
              </w:rPr>
              <w:t xml:space="preserve">preparatas </w:t>
            </w:r>
            <w:proofErr w:type="spellStart"/>
            <w:r w:rsidRPr="00AA56EA">
              <w:rPr>
                <w:sz w:val="22"/>
                <w:szCs w:val="22"/>
              </w:rPr>
              <w:t>Xyrem</w:t>
            </w:r>
            <w:proofErr w:type="spellEnd"/>
            <w:r w:rsidRPr="00AA56EA">
              <w:rPr>
                <w:sz w:val="22"/>
                <w:szCs w:val="22"/>
              </w:rPr>
              <w:t xml:space="preserve">, kurio veiklioji medžiaga natrio </w:t>
            </w:r>
            <w:proofErr w:type="spellStart"/>
            <w:r w:rsidRPr="00AA56EA">
              <w:rPr>
                <w:sz w:val="22"/>
                <w:szCs w:val="22"/>
              </w:rPr>
              <w:t>oksibatas</w:t>
            </w:r>
            <w:proofErr w:type="spellEnd"/>
            <w:r w:rsidRPr="00AA56EA">
              <w:rPr>
                <w:sz w:val="22"/>
                <w:szCs w:val="22"/>
              </w:rPr>
              <w:t>.</w:t>
            </w:r>
          </w:p>
          <w:p w14:paraId="4B8A2F2F" w14:textId="77777777" w:rsidR="005F0FA9" w:rsidRPr="00AA56EA" w:rsidRDefault="005F0FA9" w:rsidP="00AF1603">
            <w:pPr>
              <w:jc w:val="both"/>
              <w:rPr>
                <w:rFonts w:eastAsia="Arial"/>
                <w:sz w:val="22"/>
                <w:szCs w:val="22"/>
              </w:rPr>
            </w:pPr>
            <w:r w:rsidRPr="00AA56EA">
              <w:rPr>
                <w:rFonts w:eastAsia="Arial"/>
                <w:sz w:val="22"/>
                <w:szCs w:val="22"/>
              </w:rPr>
              <w:t xml:space="preserve">Rekomenduota natrio </w:t>
            </w:r>
            <w:proofErr w:type="spellStart"/>
            <w:r w:rsidRPr="00AA56EA">
              <w:rPr>
                <w:rFonts w:eastAsia="Arial"/>
                <w:sz w:val="22"/>
                <w:szCs w:val="22"/>
              </w:rPr>
              <w:t>oksibato</w:t>
            </w:r>
            <w:proofErr w:type="spellEnd"/>
            <w:r w:rsidRPr="00AA56EA">
              <w:rPr>
                <w:rFonts w:eastAsia="Arial"/>
                <w:sz w:val="22"/>
                <w:szCs w:val="22"/>
              </w:rPr>
              <w:t xml:space="preserve"> nekompensuoti, nes trūko duomenų klinikiniam veiksmingumui vertinti – buvo pateikta tik bendras </w:t>
            </w:r>
            <w:proofErr w:type="spellStart"/>
            <w:r w:rsidRPr="00AA56EA">
              <w:rPr>
                <w:rFonts w:eastAsia="Arial"/>
                <w:sz w:val="22"/>
                <w:szCs w:val="22"/>
              </w:rPr>
              <w:t>katapleksijos</w:t>
            </w:r>
            <w:proofErr w:type="spellEnd"/>
            <w:r w:rsidRPr="00AA56EA">
              <w:rPr>
                <w:rFonts w:eastAsia="Arial"/>
                <w:sz w:val="22"/>
                <w:szCs w:val="22"/>
              </w:rPr>
              <w:t xml:space="preserve"> priepuolių (dalinių ir pilnų) sumažėjimas, skiriant natrio </w:t>
            </w:r>
            <w:proofErr w:type="spellStart"/>
            <w:r w:rsidRPr="00AA56EA">
              <w:rPr>
                <w:rFonts w:eastAsia="Arial"/>
                <w:sz w:val="22"/>
                <w:szCs w:val="22"/>
              </w:rPr>
              <w:t>oksibato</w:t>
            </w:r>
            <w:proofErr w:type="spellEnd"/>
            <w:r w:rsidRPr="00AA56EA">
              <w:rPr>
                <w:rFonts w:eastAsia="Arial"/>
                <w:sz w:val="22"/>
                <w:szCs w:val="22"/>
              </w:rPr>
              <w:t xml:space="preserve">, tačiau nebuvo pateikta duomenų apie reikšmingą pilnų </w:t>
            </w:r>
            <w:proofErr w:type="spellStart"/>
            <w:r w:rsidRPr="00AA56EA">
              <w:rPr>
                <w:rFonts w:eastAsia="Arial"/>
                <w:sz w:val="22"/>
                <w:szCs w:val="22"/>
              </w:rPr>
              <w:t>katapleksijos</w:t>
            </w:r>
            <w:proofErr w:type="spellEnd"/>
            <w:r w:rsidRPr="00AA56EA">
              <w:rPr>
                <w:rFonts w:eastAsia="Arial"/>
                <w:sz w:val="22"/>
                <w:szCs w:val="22"/>
              </w:rPr>
              <w:t xml:space="preserve"> priepuolių sumažėjimą, lyginant su placebu.</w:t>
            </w:r>
          </w:p>
        </w:tc>
        <w:tc>
          <w:tcPr>
            <w:tcW w:w="2720" w:type="dxa"/>
          </w:tcPr>
          <w:p w14:paraId="0F4107BA" w14:textId="77777777" w:rsidR="005F0FA9" w:rsidRPr="00AA56EA" w:rsidRDefault="005F0FA9" w:rsidP="00AF1603">
            <w:pPr>
              <w:spacing w:line="276" w:lineRule="auto"/>
              <w:jc w:val="both"/>
              <w:rPr>
                <w:sz w:val="22"/>
                <w:szCs w:val="22"/>
              </w:rPr>
            </w:pPr>
            <w:r w:rsidRPr="00AA56EA">
              <w:rPr>
                <w:sz w:val="22"/>
                <w:szCs w:val="22"/>
              </w:rPr>
              <w:t xml:space="preserve">Vertintas preparatas </w:t>
            </w:r>
            <w:proofErr w:type="spellStart"/>
            <w:r w:rsidRPr="00AA56EA">
              <w:rPr>
                <w:sz w:val="22"/>
                <w:szCs w:val="22"/>
              </w:rPr>
              <w:t>Xyrem</w:t>
            </w:r>
            <w:proofErr w:type="spellEnd"/>
            <w:r w:rsidRPr="00AA56EA">
              <w:rPr>
                <w:sz w:val="22"/>
                <w:szCs w:val="22"/>
              </w:rPr>
              <w:t xml:space="preserve">, kurio veiklioji medžiaga natrio </w:t>
            </w:r>
            <w:proofErr w:type="spellStart"/>
            <w:r w:rsidRPr="00AA56EA">
              <w:rPr>
                <w:sz w:val="22"/>
                <w:szCs w:val="22"/>
              </w:rPr>
              <w:t>oksibatas</w:t>
            </w:r>
            <w:proofErr w:type="spellEnd"/>
            <w:r w:rsidRPr="00AA56EA">
              <w:rPr>
                <w:sz w:val="22"/>
                <w:szCs w:val="22"/>
              </w:rPr>
              <w:t xml:space="preserve">. Rekomenduota natrio </w:t>
            </w:r>
            <w:proofErr w:type="spellStart"/>
            <w:r w:rsidRPr="00AA56EA">
              <w:rPr>
                <w:sz w:val="22"/>
                <w:szCs w:val="22"/>
              </w:rPr>
              <w:t>oksibato</w:t>
            </w:r>
            <w:proofErr w:type="spellEnd"/>
            <w:r w:rsidRPr="00AA56EA">
              <w:rPr>
                <w:sz w:val="22"/>
                <w:szCs w:val="22"/>
              </w:rPr>
              <w:t xml:space="preserve"> nekompensuoti dėl per didelės kainos (natrio </w:t>
            </w:r>
            <w:proofErr w:type="spellStart"/>
            <w:r w:rsidRPr="00AA56EA">
              <w:rPr>
                <w:sz w:val="22"/>
                <w:szCs w:val="22"/>
              </w:rPr>
              <w:t>oksibatas</w:t>
            </w:r>
            <w:proofErr w:type="spellEnd"/>
            <w:r w:rsidRPr="00AA56EA">
              <w:rPr>
                <w:sz w:val="22"/>
                <w:szCs w:val="22"/>
              </w:rPr>
              <w:t xml:space="preserve"> yra kaštais </w:t>
            </w:r>
            <w:proofErr w:type="spellStart"/>
            <w:r w:rsidRPr="00AA56EA">
              <w:rPr>
                <w:sz w:val="22"/>
                <w:szCs w:val="22"/>
              </w:rPr>
              <w:t>nefektyvus</w:t>
            </w:r>
            <w:proofErr w:type="spellEnd"/>
            <w:r w:rsidRPr="00AA56EA">
              <w:rPr>
                <w:sz w:val="22"/>
                <w:szCs w:val="22"/>
              </w:rPr>
              <w:t>).</w:t>
            </w:r>
          </w:p>
        </w:tc>
      </w:tr>
      <w:tr w:rsidR="005F0FA9" w:rsidRPr="00AA56EA" w14:paraId="72C1DA64" w14:textId="77777777" w:rsidTr="00AF1603">
        <w:trPr>
          <w:trHeight w:val="2160"/>
        </w:trPr>
        <w:tc>
          <w:tcPr>
            <w:tcW w:w="2289" w:type="dxa"/>
          </w:tcPr>
          <w:p w14:paraId="347E3C88" w14:textId="77777777" w:rsidR="005F0FA9" w:rsidRPr="00AA56EA" w:rsidRDefault="005F0FA9" w:rsidP="00AF1603">
            <w:pPr>
              <w:jc w:val="both"/>
              <w:rPr>
                <w:rFonts w:eastAsia="Arial"/>
                <w:sz w:val="22"/>
                <w:szCs w:val="22"/>
              </w:rPr>
            </w:pPr>
            <w:r w:rsidRPr="00AA56EA">
              <w:rPr>
                <w:rFonts w:eastAsia="Arial"/>
                <w:sz w:val="22"/>
                <w:szCs w:val="22"/>
              </w:rPr>
              <w:t xml:space="preserve">Nacionalinis </w:t>
            </w:r>
            <w:proofErr w:type="spellStart"/>
            <w:r w:rsidRPr="00AA56EA">
              <w:rPr>
                <w:rFonts w:eastAsia="Arial"/>
                <w:sz w:val="22"/>
                <w:szCs w:val="22"/>
              </w:rPr>
              <w:t>farmakoekonomikos</w:t>
            </w:r>
            <w:proofErr w:type="spellEnd"/>
            <w:r w:rsidRPr="00AA56EA">
              <w:rPr>
                <w:rFonts w:eastAsia="Arial"/>
                <w:sz w:val="22"/>
                <w:szCs w:val="22"/>
              </w:rPr>
              <w:t xml:space="preserve"> centras, Airija</w:t>
            </w:r>
          </w:p>
          <w:p w14:paraId="69E4FDF4" w14:textId="77777777" w:rsidR="005F0FA9" w:rsidRPr="00AA56EA" w:rsidRDefault="005F0FA9" w:rsidP="00AF1603">
            <w:pPr>
              <w:jc w:val="both"/>
              <w:rPr>
                <w:rFonts w:eastAsia="Arial"/>
                <w:sz w:val="22"/>
                <w:szCs w:val="22"/>
              </w:rPr>
            </w:pPr>
            <w:r w:rsidRPr="00AA56EA">
              <w:rPr>
                <w:rFonts w:eastAsia="Arial"/>
                <w:sz w:val="22"/>
                <w:szCs w:val="22"/>
              </w:rPr>
              <w:t>(angl.</w:t>
            </w:r>
            <w:r w:rsidRPr="00AA56EA">
              <w:rPr>
                <w:rFonts w:eastAsia="Arial"/>
                <w:i/>
                <w:sz w:val="22"/>
                <w:szCs w:val="22"/>
              </w:rPr>
              <w:t xml:space="preserve"> </w:t>
            </w:r>
            <w:proofErr w:type="spellStart"/>
            <w:r w:rsidRPr="00AA56EA">
              <w:rPr>
                <w:rFonts w:eastAsia="Arial"/>
                <w:i/>
                <w:sz w:val="22"/>
                <w:szCs w:val="22"/>
              </w:rPr>
              <w:t>National</w:t>
            </w:r>
            <w:proofErr w:type="spellEnd"/>
            <w:r w:rsidRPr="00AA56EA">
              <w:rPr>
                <w:rFonts w:eastAsia="Arial"/>
                <w:i/>
                <w:sz w:val="22"/>
                <w:szCs w:val="22"/>
              </w:rPr>
              <w:t xml:space="preserve"> Centre </w:t>
            </w:r>
            <w:proofErr w:type="spellStart"/>
            <w:r w:rsidRPr="00AA56EA">
              <w:rPr>
                <w:rFonts w:eastAsia="Arial"/>
                <w:i/>
                <w:sz w:val="22"/>
                <w:szCs w:val="22"/>
              </w:rPr>
              <w:t>for</w:t>
            </w:r>
            <w:proofErr w:type="spellEnd"/>
            <w:r w:rsidRPr="00AA56EA">
              <w:rPr>
                <w:rFonts w:eastAsia="Arial"/>
                <w:i/>
                <w:sz w:val="22"/>
                <w:szCs w:val="22"/>
              </w:rPr>
              <w:t xml:space="preserve"> </w:t>
            </w:r>
            <w:proofErr w:type="spellStart"/>
            <w:r w:rsidRPr="00AA56EA">
              <w:rPr>
                <w:rFonts w:eastAsia="Arial"/>
                <w:i/>
                <w:sz w:val="22"/>
                <w:szCs w:val="22"/>
              </w:rPr>
              <w:t>Pharmacoeconomics</w:t>
            </w:r>
            <w:proofErr w:type="spellEnd"/>
            <w:r w:rsidRPr="00AA56EA">
              <w:rPr>
                <w:rFonts w:eastAsia="Arial"/>
                <w:i/>
                <w:sz w:val="22"/>
                <w:szCs w:val="22"/>
              </w:rPr>
              <w:t>, NCPE</w:t>
            </w:r>
            <w:r w:rsidRPr="00AA56EA">
              <w:rPr>
                <w:rFonts w:eastAsia="Arial"/>
                <w:sz w:val="22"/>
                <w:szCs w:val="22"/>
              </w:rPr>
              <w:t>)</w:t>
            </w:r>
          </w:p>
        </w:tc>
        <w:tc>
          <w:tcPr>
            <w:tcW w:w="1817" w:type="dxa"/>
          </w:tcPr>
          <w:p w14:paraId="10EF5D99" w14:textId="77777777" w:rsidR="005F0FA9" w:rsidRPr="00AA56EA" w:rsidRDefault="00F83DA6" w:rsidP="005F0FA9">
            <w:pPr>
              <w:rPr>
                <w:sz w:val="22"/>
                <w:szCs w:val="22"/>
              </w:rPr>
            </w:pPr>
            <w:sdt>
              <w:sdtPr>
                <w:rPr>
                  <w:rStyle w:val="Style2"/>
                  <w:sz w:val="22"/>
                  <w:szCs w:val="22"/>
                </w:rPr>
                <w:id w:val="-1888403732"/>
                <w15:color w:val="FFCC00"/>
                <w14:checkbox>
                  <w14:checked w14:val="0"/>
                  <w14:checkedState w14:val="2612" w14:font="MS Gothic"/>
                  <w14:uncheckedState w14:val="2610" w14:font="MS Gothic"/>
                </w14:checkbox>
              </w:sdtPr>
              <w:sdtEndPr>
                <w:rPr>
                  <w:rStyle w:val="Style2"/>
                </w:rPr>
              </w:sdtEndPr>
              <w:sdtContent>
                <w:r w:rsidR="005F0FA9" w:rsidRPr="00AA56EA">
                  <w:rPr>
                    <w:rStyle w:val="Style2"/>
                    <w:rFonts w:ascii="Segoe UI Symbol" w:eastAsia="MS Gothic" w:hAnsi="Segoe UI Symbol" w:cs="Segoe UI Symbol"/>
                    <w:sz w:val="22"/>
                    <w:szCs w:val="22"/>
                  </w:rPr>
                  <w:t>☐</w:t>
                </w:r>
              </w:sdtContent>
            </w:sdt>
            <w:r w:rsidR="005F0FA9" w:rsidRPr="00AA56EA">
              <w:rPr>
                <w:sz w:val="22"/>
                <w:szCs w:val="22"/>
              </w:rPr>
              <w:t xml:space="preserve"> Taip</w:t>
            </w:r>
          </w:p>
          <w:p w14:paraId="49E675E5" w14:textId="77777777" w:rsidR="005F0FA9" w:rsidRPr="00AA56EA" w:rsidRDefault="00F83DA6" w:rsidP="005F0FA9">
            <w:pPr>
              <w:rPr>
                <w:sz w:val="22"/>
                <w:szCs w:val="22"/>
              </w:rPr>
            </w:pPr>
            <w:sdt>
              <w:sdtPr>
                <w:rPr>
                  <w:rStyle w:val="Style2"/>
                  <w:sz w:val="22"/>
                  <w:szCs w:val="22"/>
                </w:rPr>
                <w:id w:val="1092201793"/>
                <w15:color w:val="FFCC00"/>
                <w14:checkbox>
                  <w14:checked w14:val="1"/>
                  <w14:checkedState w14:val="2612" w14:font="MS Gothic"/>
                  <w14:uncheckedState w14:val="2610" w14:font="MS Gothic"/>
                </w14:checkbox>
              </w:sdtPr>
              <w:sdtEndPr>
                <w:rPr>
                  <w:rStyle w:val="Style2"/>
                </w:rPr>
              </w:sdtEndPr>
              <w:sdtContent>
                <w:r w:rsidR="005F0FA9" w:rsidRPr="00AA56EA">
                  <w:rPr>
                    <w:rStyle w:val="Style2"/>
                    <w:rFonts w:ascii="MS Gothic" w:eastAsia="MS Gothic" w:hAnsi="MS Gothic" w:hint="eastAsia"/>
                    <w:sz w:val="22"/>
                    <w:szCs w:val="22"/>
                  </w:rPr>
                  <w:t>☒</w:t>
                </w:r>
              </w:sdtContent>
            </w:sdt>
            <w:r w:rsidR="005F0FA9" w:rsidRPr="00AA56EA">
              <w:rPr>
                <w:sz w:val="22"/>
                <w:szCs w:val="22"/>
              </w:rPr>
              <w:t xml:space="preserve"> Ne</w:t>
            </w:r>
          </w:p>
          <w:p w14:paraId="2945BEB0" w14:textId="77777777" w:rsidR="005F0FA9" w:rsidRPr="00AA56EA" w:rsidRDefault="005F0FA9" w:rsidP="005F0FA9">
            <w:pPr>
              <w:rPr>
                <w:rFonts w:eastAsia="Arial"/>
                <w:sz w:val="22"/>
                <w:szCs w:val="22"/>
              </w:rPr>
            </w:pPr>
          </w:p>
        </w:tc>
        <w:tc>
          <w:tcPr>
            <w:tcW w:w="2693" w:type="dxa"/>
          </w:tcPr>
          <w:p w14:paraId="73B14060" w14:textId="77777777" w:rsidR="005F0FA9" w:rsidRPr="00AA56EA" w:rsidRDefault="005F0FA9" w:rsidP="005F0FA9">
            <w:pPr>
              <w:rPr>
                <w:rFonts w:eastAsia="Arial"/>
                <w:sz w:val="22"/>
                <w:szCs w:val="22"/>
              </w:rPr>
            </w:pPr>
            <w:r w:rsidRPr="00AA56EA">
              <w:rPr>
                <w:rFonts w:eastAsia="Arial"/>
                <w:sz w:val="22"/>
                <w:szCs w:val="22"/>
              </w:rPr>
              <w:t>–</w:t>
            </w:r>
          </w:p>
        </w:tc>
        <w:tc>
          <w:tcPr>
            <w:tcW w:w="2720" w:type="dxa"/>
          </w:tcPr>
          <w:p w14:paraId="71FF85ED" w14:textId="77777777" w:rsidR="005F0FA9" w:rsidRPr="00AA56EA" w:rsidRDefault="005F0FA9" w:rsidP="005F0FA9">
            <w:pPr>
              <w:rPr>
                <w:rFonts w:eastAsia="Arial"/>
                <w:sz w:val="22"/>
                <w:szCs w:val="22"/>
              </w:rPr>
            </w:pPr>
            <w:r w:rsidRPr="00AA56EA">
              <w:rPr>
                <w:rFonts w:eastAsia="Arial"/>
                <w:sz w:val="22"/>
                <w:szCs w:val="22"/>
              </w:rPr>
              <w:t>–</w:t>
            </w:r>
          </w:p>
        </w:tc>
      </w:tr>
    </w:tbl>
    <w:p w14:paraId="11E433EE" w14:textId="77777777" w:rsidR="007A2B68" w:rsidRDefault="007A2B68" w:rsidP="00E03C3F">
      <w:pPr>
        <w:pStyle w:val="ListParagraph"/>
        <w:tabs>
          <w:tab w:val="left" w:pos="426"/>
        </w:tabs>
        <w:ind w:left="0"/>
        <w:rPr>
          <w:b/>
          <w:bCs/>
          <w:caps/>
        </w:rPr>
      </w:pPr>
    </w:p>
    <w:p w14:paraId="7AA8DFD7" w14:textId="77777777" w:rsidR="007A2B68" w:rsidRDefault="007A2B68">
      <w:pPr>
        <w:rPr>
          <w:b/>
          <w:bCs/>
          <w:caps/>
        </w:rPr>
      </w:pPr>
    </w:p>
    <w:p w14:paraId="3BA025A7" w14:textId="77777777" w:rsidR="002E6F80" w:rsidRPr="00E33EFF" w:rsidRDefault="00CC7832" w:rsidP="00CC09D4">
      <w:pPr>
        <w:pStyle w:val="ListParagraph"/>
        <w:numPr>
          <w:ilvl w:val="0"/>
          <w:numId w:val="12"/>
        </w:numPr>
        <w:tabs>
          <w:tab w:val="left" w:pos="567"/>
        </w:tabs>
        <w:ind w:hanging="720"/>
        <w:rPr>
          <w:b/>
          <w:bCs/>
          <w:caps/>
        </w:rPr>
      </w:pPr>
      <w:r w:rsidRPr="00E33EFF">
        <w:rPr>
          <w:b/>
          <w:bCs/>
          <w:caps/>
        </w:rPr>
        <w:t>Klinikinio vertinimo a</w:t>
      </w:r>
      <w:r w:rsidR="00D4485B" w:rsidRPr="00E33EFF">
        <w:rPr>
          <w:b/>
          <w:bCs/>
          <w:caps/>
        </w:rPr>
        <w:t>pibendrinimas</w:t>
      </w:r>
    </w:p>
    <w:p w14:paraId="09D15CE6" w14:textId="7ADD70A7" w:rsidR="005F0FA9" w:rsidRPr="005F0FA9" w:rsidRDefault="005F0FA9" w:rsidP="005F0FA9">
      <w:pPr>
        <w:tabs>
          <w:tab w:val="left" w:pos="426"/>
        </w:tabs>
        <w:ind w:firstLine="491"/>
        <w:jc w:val="both"/>
        <w:rPr>
          <w:rFonts w:eastAsia="Arial"/>
          <w:iCs/>
          <w:color w:val="000000" w:themeColor="text1"/>
        </w:rPr>
      </w:pPr>
      <w:proofErr w:type="spellStart"/>
      <w:r w:rsidRPr="005F0FA9">
        <w:rPr>
          <w:rFonts w:eastAsia="Arial"/>
          <w:iCs/>
          <w:color w:val="000000" w:themeColor="text1"/>
        </w:rPr>
        <w:t>Narkolepsija</w:t>
      </w:r>
      <w:proofErr w:type="spellEnd"/>
      <w:r w:rsidRPr="005F0FA9">
        <w:rPr>
          <w:rFonts w:eastAsia="Arial"/>
          <w:iCs/>
          <w:color w:val="000000" w:themeColor="text1"/>
        </w:rPr>
        <w:t xml:space="preserve"> – lėtinė nervų sistemos liga, priklausanti pirminių </w:t>
      </w:r>
      <w:proofErr w:type="spellStart"/>
      <w:r w:rsidRPr="005F0FA9">
        <w:rPr>
          <w:rFonts w:eastAsia="Arial"/>
          <w:iCs/>
          <w:color w:val="000000" w:themeColor="text1"/>
        </w:rPr>
        <w:t>hipersomnijų</w:t>
      </w:r>
      <w:proofErr w:type="spellEnd"/>
      <w:r w:rsidRPr="005F0FA9">
        <w:rPr>
          <w:rFonts w:eastAsia="Arial"/>
          <w:iCs/>
          <w:color w:val="000000" w:themeColor="text1"/>
        </w:rPr>
        <w:t xml:space="preserve"> grupei. </w:t>
      </w:r>
      <w:r w:rsidR="00AA56EA">
        <w:rPr>
          <w:rFonts w:eastAsia="Arial"/>
          <w:iCs/>
          <w:color w:val="000000" w:themeColor="text1"/>
        </w:rPr>
        <w:t>Lig</w:t>
      </w:r>
      <w:r w:rsidRPr="005F0FA9">
        <w:rPr>
          <w:rFonts w:eastAsia="Arial"/>
          <w:iCs/>
          <w:color w:val="000000" w:themeColor="text1"/>
        </w:rPr>
        <w:t xml:space="preserve">ai būdingi simptomai: priepuolinis mieguistumas dienos metu, </w:t>
      </w:r>
      <w:proofErr w:type="spellStart"/>
      <w:r w:rsidRPr="005F0FA9">
        <w:rPr>
          <w:rFonts w:eastAsia="Arial"/>
          <w:iCs/>
          <w:color w:val="000000" w:themeColor="text1"/>
        </w:rPr>
        <w:t>katapleksija</w:t>
      </w:r>
      <w:proofErr w:type="spellEnd"/>
      <w:r w:rsidRPr="005F0FA9">
        <w:rPr>
          <w:rFonts w:eastAsia="Arial"/>
          <w:iCs/>
          <w:color w:val="000000" w:themeColor="text1"/>
        </w:rPr>
        <w:t xml:space="preserve"> (staigus trumpalaikis raumenų atsipalaidavimas, kurį išprovokuoja netikėtos stiprios emocijos), </w:t>
      </w:r>
      <w:proofErr w:type="spellStart"/>
      <w:r w:rsidRPr="005F0FA9">
        <w:rPr>
          <w:rFonts w:eastAsia="Arial"/>
          <w:iCs/>
          <w:color w:val="000000" w:themeColor="text1"/>
        </w:rPr>
        <w:t>hipnogoginės</w:t>
      </w:r>
      <w:proofErr w:type="spellEnd"/>
      <w:r w:rsidRPr="005F0FA9">
        <w:rPr>
          <w:rFonts w:eastAsia="Arial"/>
          <w:iCs/>
          <w:color w:val="000000" w:themeColor="text1"/>
        </w:rPr>
        <w:t xml:space="preserve"> ir (ar) </w:t>
      </w:r>
      <w:proofErr w:type="spellStart"/>
      <w:r w:rsidRPr="005F0FA9">
        <w:rPr>
          <w:rFonts w:eastAsia="Arial"/>
          <w:iCs/>
          <w:color w:val="000000" w:themeColor="text1"/>
        </w:rPr>
        <w:lastRenderedPageBreak/>
        <w:t>hipnopompinės</w:t>
      </w:r>
      <w:proofErr w:type="spellEnd"/>
      <w:r w:rsidRPr="005F0FA9">
        <w:rPr>
          <w:rFonts w:eastAsia="Arial"/>
          <w:iCs/>
          <w:color w:val="000000" w:themeColor="text1"/>
        </w:rPr>
        <w:t xml:space="preserve"> haliucinacijos, miego paralyžius. </w:t>
      </w:r>
      <w:proofErr w:type="spellStart"/>
      <w:r w:rsidRPr="005F0FA9">
        <w:rPr>
          <w:rFonts w:eastAsia="Arial"/>
          <w:iCs/>
          <w:color w:val="000000" w:themeColor="text1"/>
        </w:rPr>
        <w:t>Narkolepsijos</w:t>
      </w:r>
      <w:proofErr w:type="spellEnd"/>
      <w:r w:rsidRPr="005F0FA9">
        <w:rPr>
          <w:rFonts w:eastAsia="Arial"/>
          <w:iCs/>
          <w:color w:val="000000" w:themeColor="text1"/>
        </w:rPr>
        <w:t xml:space="preserve"> diagnostika paremta klinikiniu simptomų vertinimu.</w:t>
      </w:r>
    </w:p>
    <w:p w14:paraId="3FE5A63E" w14:textId="77777777" w:rsidR="005F0FA9" w:rsidRPr="005F0FA9" w:rsidRDefault="005F0FA9" w:rsidP="005F0FA9">
      <w:pPr>
        <w:tabs>
          <w:tab w:val="left" w:pos="426"/>
        </w:tabs>
        <w:ind w:firstLine="491"/>
        <w:jc w:val="both"/>
        <w:rPr>
          <w:rFonts w:eastAsia="Arial"/>
          <w:iCs/>
          <w:color w:val="000000" w:themeColor="text1"/>
        </w:rPr>
      </w:pPr>
      <w:proofErr w:type="spellStart"/>
      <w:r w:rsidRPr="005F0FA9">
        <w:rPr>
          <w:rFonts w:eastAsia="Arial"/>
          <w:iCs/>
          <w:color w:val="000000" w:themeColor="text1"/>
        </w:rPr>
        <w:t>Narkolepsija</w:t>
      </w:r>
      <w:proofErr w:type="spellEnd"/>
      <w:r w:rsidRPr="005F0FA9">
        <w:rPr>
          <w:rFonts w:eastAsia="Arial"/>
          <w:iCs/>
          <w:color w:val="000000" w:themeColor="text1"/>
        </w:rPr>
        <w:t xml:space="preserve"> priskiriama retoms ligoms. Europoje </w:t>
      </w:r>
      <w:proofErr w:type="spellStart"/>
      <w:r w:rsidRPr="005F0FA9">
        <w:rPr>
          <w:rFonts w:eastAsia="Arial"/>
          <w:iCs/>
          <w:color w:val="000000" w:themeColor="text1"/>
        </w:rPr>
        <w:t>narkolepsijos</w:t>
      </w:r>
      <w:proofErr w:type="spellEnd"/>
      <w:r w:rsidRPr="005F0FA9">
        <w:rPr>
          <w:rFonts w:eastAsia="Arial"/>
          <w:iCs/>
          <w:color w:val="000000" w:themeColor="text1"/>
        </w:rPr>
        <w:t xml:space="preserve"> paplitimas bendroje populiacijoje svyruoja nuo 0,02 iki 0,05%, o sergamumas yra 1,37 atvejo 100 000 gyventojų per metus. Lietuvoje, remiantis minėta statistika, turėtų būti nustatoma 30 naujų </w:t>
      </w:r>
      <w:proofErr w:type="spellStart"/>
      <w:r w:rsidRPr="005F0FA9">
        <w:rPr>
          <w:rFonts w:eastAsia="Arial"/>
          <w:iCs/>
          <w:color w:val="000000" w:themeColor="text1"/>
        </w:rPr>
        <w:t>narkolepsijos</w:t>
      </w:r>
      <w:proofErr w:type="spellEnd"/>
      <w:r w:rsidRPr="005F0FA9">
        <w:rPr>
          <w:rFonts w:eastAsia="Arial"/>
          <w:iCs/>
          <w:color w:val="000000" w:themeColor="text1"/>
        </w:rPr>
        <w:t xml:space="preserve"> atvejų per metus, o iš viso galėtų būti 600–1500 </w:t>
      </w:r>
      <w:proofErr w:type="spellStart"/>
      <w:r w:rsidRPr="005F0FA9">
        <w:rPr>
          <w:rFonts w:eastAsia="Arial"/>
          <w:iCs/>
          <w:color w:val="000000" w:themeColor="text1"/>
        </w:rPr>
        <w:t>narkolepsija</w:t>
      </w:r>
      <w:proofErr w:type="spellEnd"/>
      <w:r w:rsidRPr="005F0FA9">
        <w:rPr>
          <w:rFonts w:eastAsia="Arial"/>
          <w:iCs/>
          <w:color w:val="000000" w:themeColor="text1"/>
        </w:rPr>
        <w:t xml:space="preserve">  sergančių pacientų.</w:t>
      </w:r>
    </w:p>
    <w:p w14:paraId="68276553" w14:textId="58A9D7A2" w:rsidR="005F0FA9" w:rsidRPr="005F0FA9" w:rsidRDefault="005F0FA9" w:rsidP="005F0FA9">
      <w:pPr>
        <w:tabs>
          <w:tab w:val="left" w:pos="426"/>
        </w:tabs>
        <w:ind w:firstLine="491"/>
        <w:jc w:val="both"/>
        <w:rPr>
          <w:rFonts w:eastAsia="Arial"/>
          <w:iCs/>
          <w:color w:val="000000" w:themeColor="text1"/>
        </w:rPr>
      </w:pPr>
      <w:r>
        <w:rPr>
          <w:rFonts w:eastAsia="Arial"/>
          <w:iCs/>
          <w:color w:val="000000" w:themeColor="text1"/>
        </w:rPr>
        <w:t xml:space="preserve">2021 m. </w:t>
      </w:r>
      <w:r>
        <w:rPr>
          <w:rFonts w:eastAsia="Arial"/>
          <w:iCs/>
        </w:rPr>
        <w:t xml:space="preserve">Europos neurologų akademijos publikuotose </w:t>
      </w:r>
      <w:proofErr w:type="spellStart"/>
      <w:r>
        <w:rPr>
          <w:rFonts w:eastAsia="Arial"/>
          <w:iCs/>
          <w:color w:val="000000" w:themeColor="text1"/>
        </w:rPr>
        <w:t>Narkolepsijos</w:t>
      </w:r>
      <w:proofErr w:type="spellEnd"/>
      <w:r>
        <w:rPr>
          <w:rFonts w:eastAsia="Arial"/>
          <w:iCs/>
          <w:color w:val="000000" w:themeColor="text1"/>
        </w:rPr>
        <w:t xml:space="preserve"> gydymo gairėse nurodoma, kad suaugusiems pacientams, esant</w:t>
      </w:r>
      <w:r w:rsidRPr="005F0FA9">
        <w:rPr>
          <w:rFonts w:eastAsia="Arial"/>
          <w:iCs/>
          <w:color w:val="000000" w:themeColor="text1"/>
        </w:rPr>
        <w:t xml:space="preserve"> dideli</w:t>
      </w:r>
      <w:r>
        <w:rPr>
          <w:rFonts w:eastAsia="Arial"/>
          <w:iCs/>
          <w:color w:val="000000" w:themeColor="text1"/>
        </w:rPr>
        <w:t>am</w:t>
      </w:r>
      <w:r w:rsidRPr="005F0FA9">
        <w:rPr>
          <w:rFonts w:eastAsia="Arial"/>
          <w:iCs/>
          <w:color w:val="000000" w:themeColor="text1"/>
        </w:rPr>
        <w:t xml:space="preserve"> mieguistum</w:t>
      </w:r>
      <w:r>
        <w:rPr>
          <w:rFonts w:eastAsia="Arial"/>
          <w:iCs/>
          <w:color w:val="000000" w:themeColor="text1"/>
        </w:rPr>
        <w:t>ui</w:t>
      </w:r>
      <w:r w:rsidRPr="005F0FA9">
        <w:rPr>
          <w:rFonts w:eastAsia="Arial"/>
          <w:iCs/>
          <w:color w:val="000000" w:themeColor="text1"/>
        </w:rPr>
        <w:t xml:space="preserve"> dienos metu</w:t>
      </w:r>
      <w:r>
        <w:rPr>
          <w:rFonts w:eastAsia="Arial"/>
          <w:iCs/>
          <w:color w:val="000000" w:themeColor="text1"/>
        </w:rPr>
        <w:t>,</w:t>
      </w:r>
      <w:r w:rsidRPr="005F0FA9">
        <w:rPr>
          <w:rFonts w:eastAsia="Arial"/>
          <w:iCs/>
          <w:color w:val="000000" w:themeColor="text1"/>
        </w:rPr>
        <w:t xml:space="preserve"> rekomenduojamas suplanuotas miegas,</w:t>
      </w:r>
      <w:r w:rsidR="00AA56EA">
        <w:rPr>
          <w:rFonts w:eastAsia="Arial"/>
          <w:iCs/>
          <w:color w:val="000000" w:themeColor="text1"/>
        </w:rPr>
        <w:t xml:space="preserve"> gydymas</w:t>
      </w:r>
      <w:r w:rsidRPr="005F0FA9">
        <w:rPr>
          <w:rFonts w:eastAsia="Arial"/>
          <w:iCs/>
          <w:color w:val="000000" w:themeColor="text1"/>
        </w:rPr>
        <w:t xml:space="preserve"> </w:t>
      </w:r>
      <w:proofErr w:type="spellStart"/>
      <w:r w:rsidRPr="005F0FA9">
        <w:rPr>
          <w:rFonts w:eastAsia="Arial"/>
          <w:iCs/>
          <w:color w:val="000000" w:themeColor="text1"/>
        </w:rPr>
        <w:t>modafinili</w:t>
      </w:r>
      <w:r w:rsidR="00AA56EA">
        <w:rPr>
          <w:rFonts w:eastAsia="Arial"/>
          <w:iCs/>
          <w:color w:val="000000" w:themeColor="text1"/>
        </w:rPr>
        <w:t>u</w:t>
      </w:r>
      <w:proofErr w:type="spellEnd"/>
      <w:r w:rsidRPr="005F0FA9">
        <w:rPr>
          <w:rFonts w:eastAsia="Arial"/>
          <w:iCs/>
          <w:color w:val="000000" w:themeColor="text1"/>
        </w:rPr>
        <w:t xml:space="preserve">, </w:t>
      </w:r>
      <w:proofErr w:type="spellStart"/>
      <w:r w:rsidRPr="005F0FA9">
        <w:rPr>
          <w:rFonts w:eastAsia="Arial"/>
          <w:iCs/>
          <w:color w:val="000000" w:themeColor="text1"/>
        </w:rPr>
        <w:t>pitolizant</w:t>
      </w:r>
      <w:r w:rsidR="00AA56EA">
        <w:rPr>
          <w:rFonts w:eastAsia="Arial"/>
          <w:iCs/>
          <w:color w:val="000000" w:themeColor="text1"/>
        </w:rPr>
        <w:t>u</w:t>
      </w:r>
      <w:proofErr w:type="spellEnd"/>
      <w:r w:rsidRPr="005F0FA9">
        <w:rPr>
          <w:rFonts w:eastAsia="Arial"/>
          <w:iCs/>
          <w:color w:val="000000" w:themeColor="text1"/>
        </w:rPr>
        <w:t xml:space="preserve">, </w:t>
      </w:r>
      <w:r>
        <w:rPr>
          <w:rFonts w:eastAsia="Arial"/>
          <w:iCs/>
          <w:color w:val="000000" w:themeColor="text1"/>
        </w:rPr>
        <w:t>n</w:t>
      </w:r>
      <w:r w:rsidRPr="005F0FA9">
        <w:rPr>
          <w:rFonts w:eastAsia="Arial"/>
          <w:iCs/>
          <w:color w:val="000000" w:themeColor="text1"/>
        </w:rPr>
        <w:t xml:space="preserve">atrio </w:t>
      </w:r>
      <w:proofErr w:type="spellStart"/>
      <w:r w:rsidRPr="005F0FA9">
        <w:rPr>
          <w:rFonts w:eastAsia="Arial"/>
          <w:iCs/>
          <w:color w:val="000000" w:themeColor="text1"/>
        </w:rPr>
        <w:t>oksibat</w:t>
      </w:r>
      <w:r w:rsidR="00AA56EA">
        <w:rPr>
          <w:rFonts w:eastAsia="Arial"/>
          <w:iCs/>
          <w:color w:val="000000" w:themeColor="text1"/>
        </w:rPr>
        <w:t>u</w:t>
      </w:r>
      <w:proofErr w:type="spellEnd"/>
      <w:r w:rsidR="00AA56EA">
        <w:rPr>
          <w:rFonts w:eastAsia="Arial"/>
          <w:iCs/>
          <w:color w:val="000000" w:themeColor="text1"/>
        </w:rPr>
        <w:t xml:space="preserve">, </w:t>
      </w:r>
      <w:proofErr w:type="spellStart"/>
      <w:r w:rsidR="00AA56EA">
        <w:rPr>
          <w:rFonts w:eastAsia="Arial"/>
          <w:iCs/>
          <w:color w:val="000000" w:themeColor="text1"/>
        </w:rPr>
        <w:t>solriamfetoliu</w:t>
      </w:r>
      <w:proofErr w:type="spellEnd"/>
      <w:r w:rsidRPr="005F0FA9">
        <w:rPr>
          <w:rFonts w:eastAsia="Arial"/>
          <w:iCs/>
          <w:color w:val="000000" w:themeColor="text1"/>
        </w:rPr>
        <w:t xml:space="preserve"> (vis</w:t>
      </w:r>
      <w:r w:rsidR="00AA56EA">
        <w:rPr>
          <w:rFonts w:eastAsia="Arial"/>
          <w:iCs/>
          <w:color w:val="000000" w:themeColor="text1"/>
        </w:rPr>
        <w:t>ų įrodymų lygmuo -</w:t>
      </w:r>
      <w:r w:rsidRPr="005F0FA9">
        <w:rPr>
          <w:rFonts w:eastAsia="Arial"/>
          <w:iCs/>
          <w:color w:val="000000" w:themeColor="text1"/>
        </w:rPr>
        <w:t xml:space="preserve"> stiprūs įrodymai), </w:t>
      </w:r>
      <w:proofErr w:type="spellStart"/>
      <w:r w:rsidRPr="005F0FA9">
        <w:rPr>
          <w:rFonts w:eastAsia="Arial"/>
          <w:iCs/>
          <w:color w:val="000000" w:themeColor="text1"/>
        </w:rPr>
        <w:t>metilfenidatas</w:t>
      </w:r>
      <w:proofErr w:type="spellEnd"/>
      <w:r w:rsidRPr="005F0FA9">
        <w:rPr>
          <w:rFonts w:eastAsia="Arial"/>
          <w:iCs/>
          <w:color w:val="000000" w:themeColor="text1"/>
        </w:rPr>
        <w:t>, amfetamino dariniai (ab</w:t>
      </w:r>
      <w:r w:rsidR="00AA56EA">
        <w:rPr>
          <w:rFonts w:eastAsia="Arial"/>
          <w:iCs/>
          <w:color w:val="000000" w:themeColor="text1"/>
        </w:rPr>
        <w:t>iejų įrodymų lygmuo -</w:t>
      </w:r>
      <w:r w:rsidRPr="005F0FA9">
        <w:rPr>
          <w:rFonts w:eastAsia="Arial"/>
          <w:iCs/>
          <w:color w:val="000000" w:themeColor="text1"/>
        </w:rPr>
        <w:t xml:space="preserve"> silpni įrodymai); kai pasireiškia </w:t>
      </w:r>
      <w:proofErr w:type="spellStart"/>
      <w:r w:rsidRPr="005F0FA9">
        <w:rPr>
          <w:rFonts w:eastAsia="Arial"/>
          <w:iCs/>
          <w:color w:val="000000" w:themeColor="text1"/>
        </w:rPr>
        <w:t>katapleksija</w:t>
      </w:r>
      <w:proofErr w:type="spellEnd"/>
      <w:r w:rsidRPr="005F0FA9">
        <w:rPr>
          <w:rFonts w:eastAsia="Arial"/>
          <w:iCs/>
          <w:color w:val="000000" w:themeColor="text1"/>
        </w:rPr>
        <w:t xml:space="preserve"> – rekomenduojamas natrio </w:t>
      </w:r>
      <w:proofErr w:type="spellStart"/>
      <w:r w:rsidRPr="005F0FA9">
        <w:rPr>
          <w:rFonts w:eastAsia="Arial"/>
          <w:iCs/>
          <w:color w:val="000000" w:themeColor="text1"/>
        </w:rPr>
        <w:t>oksibatas</w:t>
      </w:r>
      <w:proofErr w:type="spellEnd"/>
      <w:r w:rsidRPr="005F0FA9">
        <w:rPr>
          <w:rFonts w:eastAsia="Arial"/>
          <w:iCs/>
          <w:color w:val="000000" w:themeColor="text1"/>
        </w:rPr>
        <w:t xml:space="preserve">, </w:t>
      </w:r>
      <w:proofErr w:type="spellStart"/>
      <w:r w:rsidRPr="005F0FA9">
        <w:rPr>
          <w:rFonts w:eastAsia="Arial"/>
          <w:iCs/>
          <w:color w:val="000000" w:themeColor="text1"/>
        </w:rPr>
        <w:t>venlafaksinas</w:t>
      </w:r>
      <w:proofErr w:type="spellEnd"/>
      <w:r w:rsidRPr="005F0FA9">
        <w:rPr>
          <w:rFonts w:eastAsia="Arial"/>
          <w:iCs/>
          <w:color w:val="000000" w:themeColor="text1"/>
        </w:rPr>
        <w:t xml:space="preserve">, </w:t>
      </w:r>
      <w:proofErr w:type="spellStart"/>
      <w:r w:rsidRPr="005F0FA9">
        <w:rPr>
          <w:rFonts w:eastAsia="Arial"/>
          <w:iCs/>
          <w:color w:val="000000" w:themeColor="text1"/>
        </w:rPr>
        <w:t>klomipraminas</w:t>
      </w:r>
      <w:proofErr w:type="spellEnd"/>
      <w:r w:rsidRPr="005F0FA9">
        <w:rPr>
          <w:rFonts w:eastAsia="Arial"/>
          <w:iCs/>
          <w:color w:val="000000" w:themeColor="text1"/>
        </w:rPr>
        <w:t xml:space="preserve"> (vis</w:t>
      </w:r>
      <w:r w:rsidR="00AA56EA">
        <w:rPr>
          <w:rFonts w:eastAsia="Arial"/>
          <w:iCs/>
          <w:color w:val="000000" w:themeColor="text1"/>
        </w:rPr>
        <w:t>ų įrodymų lygmuo -</w:t>
      </w:r>
      <w:r w:rsidRPr="005F0FA9">
        <w:rPr>
          <w:rFonts w:eastAsia="Arial"/>
          <w:iCs/>
          <w:color w:val="000000" w:themeColor="text1"/>
        </w:rPr>
        <w:t xml:space="preserve"> stiprūs įrodymai) ir </w:t>
      </w:r>
      <w:proofErr w:type="spellStart"/>
      <w:r w:rsidRPr="005F0FA9">
        <w:rPr>
          <w:rFonts w:eastAsia="Arial"/>
          <w:iCs/>
          <w:color w:val="000000" w:themeColor="text1"/>
        </w:rPr>
        <w:t>pitolizantas</w:t>
      </w:r>
      <w:proofErr w:type="spellEnd"/>
      <w:r w:rsidRPr="005F0FA9">
        <w:rPr>
          <w:rFonts w:eastAsia="Arial"/>
          <w:iCs/>
          <w:color w:val="000000" w:themeColor="text1"/>
        </w:rPr>
        <w:t xml:space="preserve"> (</w:t>
      </w:r>
      <w:r w:rsidR="00AA56EA">
        <w:rPr>
          <w:rFonts w:eastAsia="Arial"/>
          <w:iCs/>
          <w:color w:val="000000" w:themeColor="text1"/>
        </w:rPr>
        <w:t xml:space="preserve">įrodymų lygmuo - </w:t>
      </w:r>
      <w:r w:rsidRPr="005F0FA9">
        <w:rPr>
          <w:rFonts w:eastAsia="Arial"/>
          <w:iCs/>
          <w:color w:val="000000" w:themeColor="text1"/>
        </w:rPr>
        <w:t>silpni įrodymai). Gydymas turi būti parenkamas atsižvelgiant į kiekvieno paciento simptomus, gretutines ligas, tolera</w:t>
      </w:r>
      <w:r w:rsidR="00AA56EA">
        <w:rPr>
          <w:rFonts w:eastAsia="Arial"/>
          <w:iCs/>
          <w:color w:val="000000" w:themeColor="text1"/>
        </w:rPr>
        <w:t>vimą</w:t>
      </w:r>
      <w:r w:rsidRPr="005F0FA9">
        <w:rPr>
          <w:rFonts w:eastAsia="Arial"/>
          <w:iCs/>
          <w:color w:val="000000" w:themeColor="text1"/>
        </w:rPr>
        <w:t xml:space="preserve"> ir galimos vaistų sąveikos riziką.</w:t>
      </w:r>
    </w:p>
    <w:p w14:paraId="4A6701F6" w14:textId="0997566D" w:rsidR="005F0FA9" w:rsidRDefault="005F0FA9" w:rsidP="005F0FA9">
      <w:pPr>
        <w:tabs>
          <w:tab w:val="left" w:pos="426"/>
        </w:tabs>
        <w:ind w:firstLine="491"/>
        <w:jc w:val="both"/>
        <w:rPr>
          <w:rFonts w:eastAsia="Arial"/>
          <w:iCs/>
          <w:color w:val="000000" w:themeColor="text1"/>
        </w:rPr>
      </w:pPr>
      <w:r w:rsidRPr="005F0FA9">
        <w:rPr>
          <w:color w:val="000000" w:themeColor="text1"/>
          <w:lang w:eastAsia="lt-LT" w:bidi="lt-LT"/>
        </w:rPr>
        <w:t xml:space="preserve">Natrio </w:t>
      </w:r>
      <w:proofErr w:type="spellStart"/>
      <w:r w:rsidRPr="005F0FA9">
        <w:rPr>
          <w:color w:val="000000" w:themeColor="text1"/>
          <w:lang w:eastAsia="lt-LT" w:bidi="lt-LT"/>
        </w:rPr>
        <w:t>oksibato</w:t>
      </w:r>
      <w:proofErr w:type="spellEnd"/>
      <w:r w:rsidRPr="005F0FA9">
        <w:rPr>
          <w:color w:val="000000" w:themeColor="text1"/>
          <w:lang w:eastAsia="lt-LT" w:bidi="lt-LT"/>
        </w:rPr>
        <w:t xml:space="preserve"> </w:t>
      </w:r>
      <w:proofErr w:type="spellStart"/>
      <w:r w:rsidRPr="005F0FA9">
        <w:rPr>
          <w:rFonts w:eastAsia="Arial"/>
          <w:iCs/>
          <w:color w:val="000000" w:themeColor="text1"/>
        </w:rPr>
        <w:t>farmakoterapinė</w:t>
      </w:r>
      <w:proofErr w:type="spellEnd"/>
      <w:r w:rsidRPr="005F0FA9">
        <w:rPr>
          <w:rFonts w:eastAsia="Arial"/>
          <w:iCs/>
          <w:color w:val="000000" w:themeColor="text1"/>
        </w:rPr>
        <w:t xml:space="preserve"> grupė </w:t>
      </w:r>
      <w:r w:rsidR="00AA56EA">
        <w:rPr>
          <w:rFonts w:eastAsia="Arial"/>
          <w:iCs/>
          <w:color w:val="000000" w:themeColor="text1"/>
        </w:rPr>
        <w:t>-</w:t>
      </w:r>
      <w:r w:rsidRPr="005F0FA9">
        <w:rPr>
          <w:rFonts w:eastAsia="Arial"/>
          <w:iCs/>
          <w:color w:val="000000" w:themeColor="text1"/>
        </w:rPr>
        <w:t xml:space="preserve"> kiti nervų sistemą veikiantys vaistiniai preparatai. </w:t>
      </w:r>
      <w:r>
        <w:rPr>
          <w:rFonts w:eastAsia="Arial"/>
          <w:iCs/>
          <w:color w:val="000000" w:themeColor="text1"/>
        </w:rPr>
        <w:t xml:space="preserve">Šis </w:t>
      </w:r>
      <w:r w:rsidR="00AA56EA">
        <w:rPr>
          <w:rFonts w:eastAsia="Arial"/>
          <w:iCs/>
          <w:color w:val="000000" w:themeColor="text1"/>
        </w:rPr>
        <w:t>vaistinis preparatas</w:t>
      </w:r>
      <w:r w:rsidRPr="005F0FA9">
        <w:rPr>
          <w:rFonts w:eastAsia="Arial"/>
          <w:iCs/>
          <w:color w:val="000000" w:themeColor="text1"/>
        </w:rPr>
        <w:t xml:space="preserve"> slopina CNS, tokiu būdu mažina padidėjusį mieguistumą dieną ir </w:t>
      </w:r>
      <w:proofErr w:type="spellStart"/>
      <w:r w:rsidRPr="005F0FA9">
        <w:rPr>
          <w:rFonts w:eastAsia="Arial"/>
          <w:iCs/>
          <w:color w:val="000000" w:themeColor="text1"/>
        </w:rPr>
        <w:t>katapleksijos</w:t>
      </w:r>
      <w:proofErr w:type="spellEnd"/>
      <w:r w:rsidRPr="005F0FA9">
        <w:rPr>
          <w:rFonts w:eastAsia="Arial"/>
          <w:iCs/>
          <w:color w:val="000000" w:themeColor="text1"/>
        </w:rPr>
        <w:t xml:space="preserve"> priepuolių dažnį, taip pat pakeičia miego struktūrą, mažindamas nakties mieg</w:t>
      </w:r>
      <w:r w:rsidR="00AA56EA">
        <w:rPr>
          <w:rFonts w:eastAsia="Arial"/>
          <w:iCs/>
          <w:color w:val="000000" w:themeColor="text1"/>
        </w:rPr>
        <w:t>o</w:t>
      </w:r>
      <w:r w:rsidRPr="005F0FA9">
        <w:rPr>
          <w:rFonts w:eastAsia="Arial"/>
          <w:iCs/>
          <w:color w:val="000000" w:themeColor="text1"/>
        </w:rPr>
        <w:t xml:space="preserve"> fragmentiškumą. </w:t>
      </w:r>
    </w:p>
    <w:p w14:paraId="6CC307EA" w14:textId="193BF1B9" w:rsidR="00AF1603" w:rsidRDefault="00AF1603" w:rsidP="00AF1603">
      <w:pPr>
        <w:tabs>
          <w:tab w:val="left" w:pos="426"/>
        </w:tabs>
        <w:jc w:val="both"/>
        <w:rPr>
          <w:iCs/>
          <w:lang w:eastAsia="lt-LT"/>
        </w:rPr>
      </w:pPr>
      <w:r>
        <w:rPr>
          <w:iCs/>
          <w:lang w:eastAsia="lt-LT"/>
        </w:rPr>
        <w:tab/>
      </w:r>
      <w:r w:rsidRPr="00AF1603">
        <w:rPr>
          <w:iCs/>
          <w:lang w:eastAsia="lt-LT"/>
        </w:rPr>
        <w:t xml:space="preserve">Lietuvoje šiuo metu </w:t>
      </w:r>
      <w:proofErr w:type="spellStart"/>
      <w:r w:rsidRPr="00AF1603">
        <w:rPr>
          <w:iCs/>
          <w:lang w:eastAsia="lt-LT"/>
        </w:rPr>
        <w:t>narkolepsijai</w:t>
      </w:r>
      <w:proofErr w:type="spellEnd"/>
      <w:r w:rsidRPr="00AF1603">
        <w:rPr>
          <w:iCs/>
          <w:lang w:eastAsia="lt-LT"/>
        </w:rPr>
        <w:t xml:space="preserve"> ir </w:t>
      </w:r>
      <w:proofErr w:type="spellStart"/>
      <w:r w:rsidRPr="00AF1603">
        <w:rPr>
          <w:iCs/>
          <w:lang w:eastAsia="lt-LT"/>
        </w:rPr>
        <w:t>katapleksijai</w:t>
      </w:r>
      <w:proofErr w:type="spellEnd"/>
      <w:r w:rsidRPr="00AF1603">
        <w:rPr>
          <w:iCs/>
          <w:lang w:eastAsia="lt-LT"/>
        </w:rPr>
        <w:t xml:space="preserve"> (G47.4 pagal TLK-10-AM klasifikaciją) gydyti yra kompensuojamas vaistinis preparatas </w:t>
      </w:r>
      <w:proofErr w:type="spellStart"/>
      <w:r w:rsidRPr="00AF1603">
        <w:rPr>
          <w:iCs/>
          <w:lang w:eastAsia="lt-LT"/>
        </w:rPr>
        <w:t>pitolizantas</w:t>
      </w:r>
      <w:proofErr w:type="spellEnd"/>
      <w:r w:rsidRPr="00AF1603">
        <w:rPr>
          <w:iCs/>
          <w:lang w:eastAsia="lt-LT"/>
        </w:rPr>
        <w:t xml:space="preserve">. Jo skyrimo sąlygos – skiriamas </w:t>
      </w:r>
      <w:proofErr w:type="spellStart"/>
      <w:r w:rsidRPr="00AF1603">
        <w:rPr>
          <w:iCs/>
          <w:lang w:eastAsia="lt-LT"/>
        </w:rPr>
        <w:t>narkolepsijai</w:t>
      </w:r>
      <w:proofErr w:type="spellEnd"/>
      <w:r w:rsidRPr="00AF1603">
        <w:rPr>
          <w:iCs/>
          <w:lang w:eastAsia="lt-LT"/>
        </w:rPr>
        <w:t xml:space="preserve"> su </w:t>
      </w:r>
      <w:proofErr w:type="spellStart"/>
      <w:r w:rsidRPr="00AF1603">
        <w:rPr>
          <w:iCs/>
          <w:lang w:eastAsia="lt-LT"/>
        </w:rPr>
        <w:t>katalepsija</w:t>
      </w:r>
      <w:proofErr w:type="spellEnd"/>
      <w:r w:rsidRPr="00AF1603">
        <w:rPr>
          <w:iCs/>
          <w:lang w:eastAsia="lt-LT"/>
        </w:rPr>
        <w:t xml:space="preserve"> ar be jos gydyti. Šis </w:t>
      </w:r>
      <w:r w:rsidR="00AA56EA">
        <w:rPr>
          <w:iCs/>
          <w:lang w:eastAsia="lt-LT"/>
        </w:rPr>
        <w:t xml:space="preserve">vaistinis </w:t>
      </w:r>
      <w:r w:rsidRPr="00AF1603">
        <w:rPr>
          <w:iCs/>
          <w:lang w:eastAsia="lt-LT"/>
        </w:rPr>
        <w:t>preparatas atitinka Lietuvos Respublikos sveikatos apsaugos ministro 2002 m. balandžio 5 d. įsakymu Nr. V-159 „Dėl vaistinių preparatų ir medicinos pagalbos priemonių įrašymo į kompensavimo sąrašus ir jų keitimo tvarkos aprašo patvirtinimo“ 116 - 119 punktus, todėl vertinama, kad tai tinkamas palyginamasis gydymas.</w:t>
      </w:r>
    </w:p>
    <w:p w14:paraId="11139C23" w14:textId="2989C8FD" w:rsidR="00AF1603" w:rsidRPr="00AF1603" w:rsidRDefault="00AF1603" w:rsidP="00AF1603">
      <w:pPr>
        <w:tabs>
          <w:tab w:val="left" w:pos="426"/>
        </w:tabs>
        <w:jc w:val="both"/>
      </w:pPr>
      <w:r>
        <w:rPr>
          <w:iCs/>
          <w:lang w:eastAsia="lt-LT"/>
        </w:rPr>
        <w:tab/>
        <w:t>Preparat</w:t>
      </w:r>
      <w:r w:rsidR="00AA56EA">
        <w:rPr>
          <w:iCs/>
          <w:lang w:eastAsia="lt-LT"/>
        </w:rPr>
        <w:t>o</w:t>
      </w:r>
      <w:r>
        <w:rPr>
          <w:iCs/>
          <w:lang w:eastAsia="lt-LT"/>
        </w:rPr>
        <w:t xml:space="preserve"> charakteristikų santraukos duomenimis, </w:t>
      </w:r>
      <w:r>
        <w:t>d</w:t>
      </w:r>
      <w:r w:rsidRPr="00274031">
        <w:t xml:space="preserve">ažniausios nepageidaujamos natrio </w:t>
      </w:r>
      <w:proofErr w:type="spellStart"/>
      <w:r w:rsidRPr="00274031">
        <w:t>oksibat</w:t>
      </w:r>
      <w:r>
        <w:t>o</w:t>
      </w:r>
      <w:proofErr w:type="spellEnd"/>
      <w:r>
        <w:t xml:space="preserve"> </w:t>
      </w:r>
      <w:r w:rsidRPr="00274031">
        <w:t>reakcijos buvo svaigulys, pykinimas ir galvos skausmas</w:t>
      </w:r>
      <w:r>
        <w:t xml:space="preserve">. </w:t>
      </w:r>
      <w:r w:rsidRPr="00274031">
        <w:t xml:space="preserve">Sunkiausios nepageidaujamos reakcijos </w:t>
      </w:r>
      <w:r>
        <w:t>buvo</w:t>
      </w:r>
      <w:r w:rsidRPr="00274031">
        <w:t xml:space="preserve"> </w:t>
      </w:r>
      <w:proofErr w:type="spellStart"/>
      <w:r w:rsidRPr="00274031">
        <w:t>suicidiniai</w:t>
      </w:r>
      <w:proofErr w:type="spellEnd"/>
      <w:r w:rsidRPr="00274031">
        <w:t xml:space="preserve"> bandymai</w:t>
      </w:r>
      <w:r>
        <w:t xml:space="preserve">, </w:t>
      </w:r>
      <w:r w:rsidRPr="00274031">
        <w:t>psichozė</w:t>
      </w:r>
      <w:r>
        <w:t xml:space="preserve">, </w:t>
      </w:r>
      <w:r w:rsidRPr="00274031">
        <w:t>kvėpavimo slopinimas</w:t>
      </w:r>
      <w:r>
        <w:t xml:space="preserve">, </w:t>
      </w:r>
      <w:r w:rsidRPr="00274031">
        <w:t xml:space="preserve">traukuliai </w:t>
      </w:r>
      <w:r>
        <w:t>(visos šios reakcijos pasireiškė 0,1–1% tiriamųjų). Tuo tarpu da</w:t>
      </w:r>
      <w:r>
        <w:rPr>
          <w:rStyle w:val="markedcontent"/>
        </w:rPr>
        <w:t xml:space="preserve">žniausios nepageidaujamos reakcijos vartojant </w:t>
      </w:r>
      <w:proofErr w:type="spellStart"/>
      <w:r>
        <w:rPr>
          <w:rStyle w:val="markedcontent"/>
        </w:rPr>
        <w:t>pitolizantą</w:t>
      </w:r>
      <w:proofErr w:type="spellEnd"/>
      <w:r>
        <w:rPr>
          <w:rStyle w:val="markedcontent"/>
        </w:rPr>
        <w:t xml:space="preserve"> buvo nemiga, galvos skausmas, pykinimas, nerimas, dirglumas. Sunkiausios nepageidaujamos reakcijos buvo nenormalus kūno svorio sumažėjimas (0,09 %) ir</w:t>
      </w:r>
      <w:r>
        <w:t xml:space="preserve"> </w:t>
      </w:r>
      <w:r>
        <w:rPr>
          <w:rStyle w:val="markedcontent"/>
        </w:rPr>
        <w:t>savaiminis persileidimas (0,09 %).</w:t>
      </w:r>
    </w:p>
    <w:p w14:paraId="3859B592" w14:textId="6B5B1833" w:rsidR="005F0FA9" w:rsidRPr="005F0FA9" w:rsidRDefault="005F0FA9" w:rsidP="00AF1603">
      <w:pPr>
        <w:tabs>
          <w:tab w:val="left" w:pos="492"/>
        </w:tabs>
        <w:spacing w:line="280" w:lineRule="atLeast"/>
        <w:jc w:val="both"/>
        <w:outlineLvl w:val="1"/>
        <w:rPr>
          <w:rFonts w:eastAsia="Arial"/>
          <w:bCs/>
          <w:color w:val="000000" w:themeColor="text1"/>
          <w:lang w:val="en-US"/>
        </w:rPr>
      </w:pPr>
      <w:r w:rsidRPr="005F0FA9">
        <w:rPr>
          <w:bCs/>
          <w:iCs/>
          <w:color w:val="000000" w:themeColor="text1"/>
          <w:lang w:eastAsia="lt-LT"/>
        </w:rPr>
        <w:tab/>
      </w:r>
      <w:r w:rsidRPr="005F0FA9">
        <w:rPr>
          <w:rFonts w:eastAsia="Arial"/>
          <w:bCs/>
          <w:color w:val="000000" w:themeColor="text1"/>
        </w:rPr>
        <w:t xml:space="preserve">Paraiškoje pateikti </w:t>
      </w:r>
      <w:r>
        <w:rPr>
          <w:rFonts w:eastAsia="Arial"/>
          <w:bCs/>
          <w:color w:val="000000" w:themeColor="text1"/>
        </w:rPr>
        <w:t>3 tiesioginiai palyginamieji tyrimai (</w:t>
      </w:r>
      <w:r w:rsidRPr="000002E9">
        <w:rPr>
          <w:rFonts w:eastAsia="Arial"/>
          <w:lang w:val="en-US"/>
        </w:rPr>
        <w:t>X</w:t>
      </w:r>
      <w:r w:rsidRPr="000002E9">
        <w:rPr>
          <w:rFonts w:eastAsia="Arial"/>
        </w:rPr>
        <w:t>-US-2002</w:t>
      </w:r>
      <w:r>
        <w:rPr>
          <w:rFonts w:eastAsia="Arial"/>
        </w:rPr>
        <w:t xml:space="preserve">, tęstinis tyrimas </w:t>
      </w:r>
      <w:r w:rsidRPr="000002E9">
        <w:rPr>
          <w:rFonts w:eastAsia="Arial"/>
          <w:lang w:val="en-US"/>
        </w:rPr>
        <w:t>X</w:t>
      </w:r>
      <w:r w:rsidRPr="000002E9">
        <w:rPr>
          <w:rFonts w:eastAsia="Arial"/>
        </w:rPr>
        <w:t>-US-2002</w:t>
      </w:r>
      <w:r>
        <w:rPr>
          <w:rFonts w:eastAsia="Arial"/>
        </w:rPr>
        <w:t xml:space="preserve">, </w:t>
      </w:r>
      <w:r w:rsidRPr="000002E9">
        <w:rPr>
          <w:rFonts w:eastAsia="Arial"/>
          <w:lang w:val="en-US"/>
        </w:rPr>
        <w:t>X-INT-2005</w:t>
      </w:r>
      <w:r>
        <w:rPr>
          <w:rFonts w:eastAsia="Arial"/>
          <w:lang w:val="en-US"/>
        </w:rPr>
        <w:t xml:space="preserve">) </w:t>
      </w:r>
      <w:proofErr w:type="spellStart"/>
      <w:r>
        <w:rPr>
          <w:rFonts w:eastAsia="Arial"/>
          <w:lang w:val="en-US"/>
        </w:rPr>
        <w:t>ir</w:t>
      </w:r>
      <w:proofErr w:type="spellEnd"/>
      <w:r>
        <w:rPr>
          <w:rFonts w:eastAsia="Arial"/>
          <w:lang w:val="en-US"/>
        </w:rPr>
        <w:t xml:space="preserve"> 1 </w:t>
      </w:r>
      <w:proofErr w:type="spellStart"/>
      <w:r>
        <w:rPr>
          <w:rFonts w:eastAsia="Arial"/>
          <w:lang w:val="en-US"/>
        </w:rPr>
        <w:t>netiesioginis</w:t>
      </w:r>
      <w:proofErr w:type="spellEnd"/>
      <w:r>
        <w:rPr>
          <w:rFonts w:eastAsia="Arial"/>
          <w:lang w:val="en-US"/>
        </w:rPr>
        <w:t xml:space="preserve"> </w:t>
      </w:r>
      <w:proofErr w:type="spellStart"/>
      <w:r>
        <w:rPr>
          <w:rFonts w:eastAsia="Arial"/>
          <w:lang w:val="en-US"/>
        </w:rPr>
        <w:t>palyginamasis</w:t>
      </w:r>
      <w:proofErr w:type="spellEnd"/>
      <w:r>
        <w:rPr>
          <w:rFonts w:eastAsia="Arial"/>
          <w:lang w:val="en-US"/>
        </w:rPr>
        <w:t xml:space="preserve"> </w:t>
      </w:r>
      <w:proofErr w:type="spellStart"/>
      <w:r>
        <w:rPr>
          <w:rFonts w:eastAsia="Arial"/>
          <w:lang w:val="en-US"/>
        </w:rPr>
        <w:t>tyrimas</w:t>
      </w:r>
      <w:proofErr w:type="spellEnd"/>
      <w:r>
        <w:rPr>
          <w:rFonts w:eastAsia="Arial"/>
          <w:lang w:val="en-US"/>
        </w:rPr>
        <w:t xml:space="preserve">. </w:t>
      </w:r>
      <w:r>
        <w:rPr>
          <w:rFonts w:eastAsia="Arial"/>
        </w:rPr>
        <w:t>T</w:t>
      </w:r>
      <w:r w:rsidRPr="005F0FA9">
        <w:rPr>
          <w:rFonts w:eastAsia="Arial"/>
          <w:bCs/>
          <w:color w:val="000000" w:themeColor="text1"/>
        </w:rPr>
        <w:t xml:space="preserve">iesioginiai palyginamieji tyrimai </w:t>
      </w:r>
      <w:r>
        <w:rPr>
          <w:rFonts w:eastAsia="Arial"/>
          <w:bCs/>
          <w:color w:val="000000" w:themeColor="text1"/>
        </w:rPr>
        <w:t xml:space="preserve">nebuvo </w:t>
      </w:r>
      <w:r w:rsidRPr="005F0FA9">
        <w:rPr>
          <w:rFonts w:eastAsia="Arial"/>
          <w:bCs/>
          <w:color w:val="000000" w:themeColor="text1"/>
        </w:rPr>
        <w:t xml:space="preserve">aktualūs vertinimui, kadangi juose natrio </w:t>
      </w:r>
      <w:proofErr w:type="spellStart"/>
      <w:r w:rsidRPr="005F0FA9">
        <w:rPr>
          <w:rFonts w:eastAsia="Arial"/>
          <w:bCs/>
          <w:color w:val="000000" w:themeColor="text1"/>
        </w:rPr>
        <w:t>oksibato</w:t>
      </w:r>
      <w:proofErr w:type="spellEnd"/>
      <w:r w:rsidRPr="005F0FA9">
        <w:rPr>
          <w:rFonts w:eastAsia="Arial"/>
          <w:bCs/>
          <w:color w:val="000000" w:themeColor="text1"/>
        </w:rPr>
        <w:t xml:space="preserve"> klinikinis efektyvumas lygintas su placebu, </w:t>
      </w:r>
      <w:r w:rsidR="00C02EEA">
        <w:rPr>
          <w:rFonts w:eastAsia="Arial"/>
          <w:bCs/>
          <w:color w:val="000000" w:themeColor="text1"/>
        </w:rPr>
        <w:t>tačiau</w:t>
      </w:r>
      <w:r w:rsidRPr="005F0FA9">
        <w:rPr>
          <w:rFonts w:eastAsia="Arial"/>
          <w:bCs/>
          <w:color w:val="000000" w:themeColor="text1"/>
        </w:rPr>
        <w:t xml:space="preserve"> tai neatitinka įprastinės Lietuvoje taikomos klinikinės praktikos</w:t>
      </w:r>
      <w:r w:rsidR="00C02EEA">
        <w:rPr>
          <w:rFonts w:eastAsia="Arial"/>
          <w:bCs/>
          <w:color w:val="000000" w:themeColor="text1"/>
        </w:rPr>
        <w:t xml:space="preserve"> - </w:t>
      </w:r>
      <w:proofErr w:type="spellStart"/>
      <w:r w:rsidRPr="005F0FA9">
        <w:rPr>
          <w:rFonts w:eastAsia="Arial"/>
          <w:bCs/>
          <w:color w:val="000000" w:themeColor="text1"/>
          <w:lang w:val="en-US"/>
        </w:rPr>
        <w:t>Lietuvoje</w:t>
      </w:r>
      <w:proofErr w:type="spellEnd"/>
      <w:r w:rsidRPr="005F0FA9">
        <w:rPr>
          <w:rFonts w:eastAsia="Arial"/>
          <w:bCs/>
          <w:color w:val="000000" w:themeColor="text1"/>
          <w:lang w:val="en-US"/>
        </w:rPr>
        <w:t xml:space="preserve"> </w:t>
      </w:r>
      <w:proofErr w:type="spellStart"/>
      <w:r w:rsidRPr="005F0FA9">
        <w:rPr>
          <w:rFonts w:eastAsia="Arial"/>
          <w:bCs/>
          <w:color w:val="000000" w:themeColor="text1"/>
          <w:lang w:val="en-US"/>
        </w:rPr>
        <w:t>narkolepsijai</w:t>
      </w:r>
      <w:proofErr w:type="spellEnd"/>
      <w:r w:rsidRPr="005F0FA9">
        <w:rPr>
          <w:rFonts w:eastAsia="Arial"/>
          <w:bCs/>
          <w:color w:val="000000" w:themeColor="text1"/>
          <w:lang w:val="en-US"/>
        </w:rPr>
        <w:t xml:space="preserve"> </w:t>
      </w:r>
      <w:proofErr w:type="spellStart"/>
      <w:r w:rsidRPr="005F0FA9">
        <w:rPr>
          <w:rFonts w:eastAsia="Arial"/>
          <w:bCs/>
          <w:color w:val="000000" w:themeColor="text1"/>
          <w:lang w:val="en-US"/>
        </w:rPr>
        <w:t>ir</w:t>
      </w:r>
      <w:proofErr w:type="spellEnd"/>
      <w:r w:rsidRPr="005F0FA9">
        <w:rPr>
          <w:rFonts w:eastAsia="Arial"/>
          <w:bCs/>
          <w:color w:val="000000" w:themeColor="text1"/>
          <w:lang w:val="en-US"/>
        </w:rPr>
        <w:t xml:space="preserve"> </w:t>
      </w:r>
      <w:proofErr w:type="spellStart"/>
      <w:r w:rsidRPr="005F0FA9">
        <w:rPr>
          <w:rFonts w:eastAsia="Arial"/>
          <w:bCs/>
          <w:color w:val="000000" w:themeColor="text1"/>
          <w:lang w:val="en-US"/>
        </w:rPr>
        <w:t>katapleksijai</w:t>
      </w:r>
      <w:proofErr w:type="spellEnd"/>
      <w:r w:rsidRPr="005F0FA9">
        <w:rPr>
          <w:rFonts w:eastAsia="Arial"/>
          <w:bCs/>
          <w:color w:val="000000" w:themeColor="text1"/>
          <w:lang w:val="en-US"/>
        </w:rPr>
        <w:t xml:space="preserve"> </w:t>
      </w:r>
      <w:proofErr w:type="spellStart"/>
      <w:r w:rsidRPr="005F0FA9">
        <w:rPr>
          <w:rFonts w:eastAsia="Arial"/>
          <w:bCs/>
          <w:color w:val="000000" w:themeColor="text1"/>
          <w:lang w:val="en-US"/>
        </w:rPr>
        <w:t>gydyti</w:t>
      </w:r>
      <w:proofErr w:type="spellEnd"/>
      <w:r w:rsidRPr="005F0FA9">
        <w:rPr>
          <w:rFonts w:eastAsia="Arial"/>
          <w:bCs/>
          <w:color w:val="000000" w:themeColor="text1"/>
          <w:lang w:val="en-US"/>
        </w:rPr>
        <w:t xml:space="preserve"> </w:t>
      </w:r>
      <w:proofErr w:type="spellStart"/>
      <w:r w:rsidRPr="005F0FA9">
        <w:rPr>
          <w:rFonts w:eastAsia="Arial"/>
          <w:bCs/>
          <w:color w:val="000000" w:themeColor="text1"/>
          <w:lang w:val="en-US"/>
        </w:rPr>
        <w:t>yra</w:t>
      </w:r>
      <w:proofErr w:type="spellEnd"/>
      <w:r w:rsidRPr="005F0FA9">
        <w:rPr>
          <w:rFonts w:eastAsia="Arial"/>
          <w:bCs/>
          <w:color w:val="000000" w:themeColor="text1"/>
          <w:lang w:val="en-US"/>
        </w:rPr>
        <w:t xml:space="preserve"> </w:t>
      </w:r>
      <w:proofErr w:type="spellStart"/>
      <w:r w:rsidRPr="005F0FA9">
        <w:rPr>
          <w:rFonts w:eastAsia="Arial"/>
          <w:bCs/>
          <w:color w:val="000000" w:themeColor="text1"/>
          <w:lang w:val="en-US"/>
        </w:rPr>
        <w:t>kompensuojamas</w:t>
      </w:r>
      <w:proofErr w:type="spellEnd"/>
      <w:r w:rsidRPr="005F0FA9">
        <w:rPr>
          <w:rFonts w:eastAsia="Arial"/>
          <w:bCs/>
          <w:color w:val="000000" w:themeColor="text1"/>
          <w:lang w:val="en-US"/>
        </w:rPr>
        <w:t xml:space="preserve"> </w:t>
      </w:r>
      <w:proofErr w:type="spellStart"/>
      <w:r w:rsidRPr="005F0FA9">
        <w:rPr>
          <w:rFonts w:eastAsia="Arial"/>
          <w:bCs/>
          <w:color w:val="000000" w:themeColor="text1"/>
          <w:lang w:val="en-US"/>
        </w:rPr>
        <w:t>vaistinis</w:t>
      </w:r>
      <w:proofErr w:type="spellEnd"/>
      <w:r w:rsidRPr="005F0FA9">
        <w:rPr>
          <w:rFonts w:eastAsia="Arial"/>
          <w:bCs/>
          <w:color w:val="000000" w:themeColor="text1"/>
          <w:lang w:val="en-US"/>
        </w:rPr>
        <w:t xml:space="preserve"> </w:t>
      </w:r>
      <w:proofErr w:type="spellStart"/>
      <w:r w:rsidRPr="005F0FA9">
        <w:rPr>
          <w:rFonts w:eastAsia="Arial"/>
          <w:bCs/>
          <w:color w:val="000000" w:themeColor="text1"/>
          <w:lang w:val="en-US"/>
        </w:rPr>
        <w:t>preparatas</w:t>
      </w:r>
      <w:proofErr w:type="spellEnd"/>
      <w:r w:rsidRPr="005F0FA9">
        <w:rPr>
          <w:rFonts w:eastAsia="Arial"/>
          <w:bCs/>
          <w:color w:val="000000" w:themeColor="text1"/>
          <w:lang w:val="en-US"/>
        </w:rPr>
        <w:t xml:space="preserve"> </w:t>
      </w:r>
      <w:proofErr w:type="spellStart"/>
      <w:r w:rsidRPr="005F0FA9">
        <w:rPr>
          <w:rFonts w:eastAsia="Arial"/>
          <w:bCs/>
          <w:color w:val="000000" w:themeColor="text1"/>
          <w:lang w:val="en-US"/>
        </w:rPr>
        <w:t>pitolizantas</w:t>
      </w:r>
      <w:proofErr w:type="spellEnd"/>
      <w:r w:rsidRPr="005F0FA9">
        <w:rPr>
          <w:rFonts w:eastAsia="Arial"/>
          <w:bCs/>
          <w:color w:val="000000" w:themeColor="text1"/>
          <w:lang w:val="en-US"/>
        </w:rPr>
        <w:t xml:space="preserve">. </w:t>
      </w:r>
      <w:r w:rsidRPr="005F0FA9">
        <w:rPr>
          <w:rFonts w:eastAsia="Arial"/>
          <w:color w:val="000000" w:themeColor="text1"/>
        </w:rPr>
        <w:t xml:space="preserve">Atsižvelgiant į tai, buvo vertintas tik netiesioginis natrio </w:t>
      </w:r>
      <w:proofErr w:type="spellStart"/>
      <w:r w:rsidRPr="005F0FA9">
        <w:rPr>
          <w:rFonts w:eastAsia="Arial"/>
          <w:color w:val="000000" w:themeColor="text1"/>
        </w:rPr>
        <w:t>oksibato</w:t>
      </w:r>
      <w:proofErr w:type="spellEnd"/>
      <w:r w:rsidRPr="005F0FA9">
        <w:rPr>
          <w:rFonts w:eastAsia="Arial"/>
          <w:color w:val="000000" w:themeColor="text1"/>
        </w:rPr>
        <w:t xml:space="preserve">, </w:t>
      </w:r>
      <w:proofErr w:type="spellStart"/>
      <w:r w:rsidRPr="005F0FA9">
        <w:rPr>
          <w:rFonts w:eastAsia="Arial"/>
          <w:color w:val="000000" w:themeColor="text1"/>
        </w:rPr>
        <w:t>modafinilio</w:t>
      </w:r>
      <w:proofErr w:type="spellEnd"/>
      <w:r w:rsidRPr="005F0FA9">
        <w:rPr>
          <w:rFonts w:eastAsia="Arial"/>
          <w:color w:val="000000" w:themeColor="text1"/>
        </w:rPr>
        <w:t xml:space="preserve"> ir </w:t>
      </w:r>
      <w:proofErr w:type="spellStart"/>
      <w:r w:rsidRPr="005F0FA9">
        <w:rPr>
          <w:rFonts w:eastAsia="Arial"/>
          <w:color w:val="000000" w:themeColor="text1"/>
        </w:rPr>
        <w:t>pitolizanto</w:t>
      </w:r>
      <w:proofErr w:type="spellEnd"/>
      <w:r w:rsidRPr="005F0FA9">
        <w:rPr>
          <w:rFonts w:eastAsia="Arial"/>
          <w:color w:val="000000" w:themeColor="text1"/>
        </w:rPr>
        <w:t xml:space="preserve"> palyginimas</w:t>
      </w:r>
      <w:r>
        <w:rPr>
          <w:rFonts w:eastAsia="Arial"/>
          <w:color w:val="000000" w:themeColor="text1"/>
        </w:rPr>
        <w:t xml:space="preserve"> –</w:t>
      </w:r>
      <w:r w:rsidRPr="005F0FA9">
        <w:rPr>
          <w:rFonts w:eastAsia="Arial"/>
          <w:color w:val="000000" w:themeColor="text1"/>
        </w:rPr>
        <w:t xml:space="preserve"> atsitiktinių imčių tyrimų </w:t>
      </w:r>
      <w:proofErr w:type="spellStart"/>
      <w:r w:rsidRPr="005F0FA9">
        <w:rPr>
          <w:rFonts w:eastAsia="Arial"/>
          <w:color w:val="000000" w:themeColor="text1"/>
          <w:lang w:val="en-US"/>
        </w:rPr>
        <w:t>tinklin</w:t>
      </w:r>
      <w:proofErr w:type="spellEnd"/>
      <w:r w:rsidRPr="005F0FA9">
        <w:rPr>
          <w:rFonts w:eastAsia="Arial"/>
          <w:color w:val="000000" w:themeColor="text1"/>
        </w:rPr>
        <w:t xml:space="preserve">ė </w:t>
      </w:r>
      <w:proofErr w:type="spellStart"/>
      <w:r w:rsidRPr="005F0FA9">
        <w:rPr>
          <w:rFonts w:eastAsia="Arial"/>
          <w:color w:val="000000" w:themeColor="text1"/>
        </w:rPr>
        <w:t>metaanalizė</w:t>
      </w:r>
      <w:proofErr w:type="spellEnd"/>
      <w:r w:rsidRPr="005F0FA9">
        <w:rPr>
          <w:rFonts w:eastAsia="Arial"/>
          <w:color w:val="000000" w:themeColor="text1"/>
        </w:rPr>
        <w:t xml:space="preserve"> PROSPERO 2017 CRD42017054686. </w:t>
      </w:r>
    </w:p>
    <w:p w14:paraId="6497671F" w14:textId="1D23BD23" w:rsidR="005F0FA9" w:rsidRPr="005F0FA9" w:rsidRDefault="005F0FA9" w:rsidP="005F0FA9">
      <w:pPr>
        <w:tabs>
          <w:tab w:val="left" w:pos="426"/>
        </w:tabs>
        <w:ind w:firstLine="491"/>
        <w:jc w:val="both"/>
        <w:rPr>
          <w:rFonts w:ascii="Times" w:hAnsi="Times"/>
          <w:bCs/>
          <w:iCs/>
          <w:color w:val="000000" w:themeColor="text1"/>
        </w:rPr>
      </w:pPr>
      <w:r w:rsidRPr="005F0FA9">
        <w:rPr>
          <w:rFonts w:eastAsia="Arial"/>
          <w:bCs/>
          <w:color w:val="000000" w:themeColor="text1"/>
        </w:rPr>
        <w:t xml:space="preserve">Į šią </w:t>
      </w:r>
      <w:proofErr w:type="spellStart"/>
      <w:r w:rsidRPr="005F0FA9">
        <w:rPr>
          <w:rFonts w:eastAsia="Arial"/>
          <w:bCs/>
          <w:color w:val="000000" w:themeColor="text1"/>
        </w:rPr>
        <w:t>metaanalizę</w:t>
      </w:r>
      <w:proofErr w:type="spellEnd"/>
      <w:r w:rsidRPr="005F0FA9">
        <w:rPr>
          <w:rFonts w:eastAsia="Arial"/>
          <w:bCs/>
          <w:color w:val="000000" w:themeColor="text1"/>
        </w:rPr>
        <w:t xml:space="preserve"> buvo įtraukti 14 atsitiktinių imčių tyrimai, kurių trukmė buvo nuo 2 iki 12 savaičių, ir kuriuose buvo vertintas </w:t>
      </w:r>
      <w:proofErr w:type="spellStart"/>
      <w:r w:rsidRPr="005F0FA9">
        <w:rPr>
          <w:rFonts w:eastAsia="Arial"/>
          <w:bCs/>
          <w:color w:val="000000" w:themeColor="text1"/>
        </w:rPr>
        <w:t>narkolepsijos</w:t>
      </w:r>
      <w:proofErr w:type="spellEnd"/>
      <w:r w:rsidRPr="005F0FA9">
        <w:rPr>
          <w:rFonts w:eastAsia="Arial"/>
          <w:bCs/>
          <w:color w:val="000000" w:themeColor="text1"/>
        </w:rPr>
        <w:t xml:space="preserve"> gydymo skirtingais vaistiniais preparatais veiksmingumas ir saugumas. </w:t>
      </w:r>
      <w:r w:rsidRPr="005F0FA9">
        <w:rPr>
          <w:bCs/>
          <w:iCs/>
          <w:color w:val="000000" w:themeColor="text1"/>
          <w:lang w:eastAsia="lt-LT"/>
        </w:rPr>
        <w:t xml:space="preserve">Pagrindinė vertinamoji baigtis – </w:t>
      </w:r>
      <w:proofErr w:type="spellStart"/>
      <w:r w:rsidRPr="005F0FA9">
        <w:rPr>
          <w:bCs/>
          <w:iCs/>
          <w:color w:val="000000" w:themeColor="text1"/>
          <w:lang w:eastAsia="lt-LT"/>
        </w:rPr>
        <w:t>narkolepsijos</w:t>
      </w:r>
      <w:proofErr w:type="spellEnd"/>
      <w:r w:rsidRPr="005F0FA9">
        <w:rPr>
          <w:bCs/>
          <w:iCs/>
          <w:color w:val="000000" w:themeColor="text1"/>
          <w:lang w:eastAsia="lt-LT"/>
        </w:rPr>
        <w:t xml:space="preserve"> balas</w:t>
      </w:r>
      <w:r w:rsidR="001D4A32">
        <w:rPr>
          <w:bCs/>
          <w:iCs/>
          <w:color w:val="000000" w:themeColor="text1"/>
          <w:lang w:eastAsia="lt-LT"/>
        </w:rPr>
        <w:t xml:space="preserve"> (</w:t>
      </w:r>
      <w:r w:rsidR="001D4A32" w:rsidRPr="000002E9">
        <w:rPr>
          <w:bCs/>
          <w:iCs/>
          <w:lang w:eastAsia="lt-LT"/>
        </w:rPr>
        <w:t xml:space="preserve">angl. </w:t>
      </w:r>
      <w:proofErr w:type="spellStart"/>
      <w:r w:rsidR="001D4A32" w:rsidRPr="000002E9">
        <w:rPr>
          <w:bCs/>
          <w:i/>
          <w:lang w:eastAsia="lt-LT"/>
        </w:rPr>
        <w:t>narcolepsy</w:t>
      </w:r>
      <w:proofErr w:type="spellEnd"/>
      <w:r w:rsidR="001D4A32" w:rsidRPr="000002E9">
        <w:rPr>
          <w:bCs/>
          <w:i/>
          <w:lang w:eastAsia="lt-LT"/>
        </w:rPr>
        <w:t xml:space="preserve"> </w:t>
      </w:r>
      <w:proofErr w:type="spellStart"/>
      <w:r w:rsidR="001D4A32" w:rsidRPr="000002E9">
        <w:rPr>
          <w:bCs/>
          <w:i/>
          <w:lang w:eastAsia="lt-LT"/>
        </w:rPr>
        <w:t>score</w:t>
      </w:r>
      <w:proofErr w:type="spellEnd"/>
      <w:r w:rsidR="001D4A32" w:rsidRPr="000002E9">
        <w:rPr>
          <w:bCs/>
          <w:i/>
          <w:lang w:eastAsia="lt-LT"/>
        </w:rPr>
        <w:t>, NS</w:t>
      </w:r>
      <w:r w:rsidR="001D4A32" w:rsidRPr="000002E9">
        <w:rPr>
          <w:bCs/>
          <w:iCs/>
          <w:lang w:eastAsia="lt-LT"/>
        </w:rPr>
        <w:t>)</w:t>
      </w:r>
      <w:r w:rsidRPr="005F0FA9">
        <w:rPr>
          <w:bCs/>
          <w:iCs/>
          <w:color w:val="000000" w:themeColor="text1"/>
          <w:lang w:eastAsia="lt-LT"/>
        </w:rPr>
        <w:t xml:space="preserve">, </w:t>
      </w:r>
      <w:r w:rsidRPr="005F0FA9">
        <w:rPr>
          <w:rFonts w:eastAsia="Arial"/>
          <w:bCs/>
          <w:color w:val="000000" w:themeColor="text1"/>
        </w:rPr>
        <w:t xml:space="preserve">taip pat </w:t>
      </w:r>
      <w:r w:rsidRPr="005F0FA9">
        <w:rPr>
          <w:rFonts w:ascii="Times" w:hAnsi="Times"/>
          <w:bCs/>
          <w:iCs/>
          <w:color w:val="000000" w:themeColor="text1"/>
        </w:rPr>
        <w:t xml:space="preserve">buvo atlikta natrio </w:t>
      </w:r>
      <w:proofErr w:type="spellStart"/>
      <w:r w:rsidRPr="005F0FA9">
        <w:rPr>
          <w:rFonts w:ascii="Times" w:hAnsi="Times"/>
          <w:bCs/>
          <w:iCs/>
          <w:color w:val="000000" w:themeColor="text1"/>
        </w:rPr>
        <w:t>oksibato</w:t>
      </w:r>
      <w:proofErr w:type="spellEnd"/>
      <w:r w:rsidRPr="005F0FA9">
        <w:rPr>
          <w:rFonts w:ascii="Times" w:hAnsi="Times"/>
          <w:bCs/>
          <w:iCs/>
          <w:color w:val="000000" w:themeColor="text1"/>
        </w:rPr>
        <w:t xml:space="preserve">, </w:t>
      </w:r>
      <w:proofErr w:type="spellStart"/>
      <w:r w:rsidRPr="005F0FA9">
        <w:rPr>
          <w:rFonts w:ascii="Times" w:hAnsi="Times"/>
          <w:bCs/>
          <w:iCs/>
          <w:color w:val="000000" w:themeColor="text1"/>
        </w:rPr>
        <w:t>modafinilio</w:t>
      </w:r>
      <w:proofErr w:type="spellEnd"/>
      <w:r w:rsidRPr="005F0FA9">
        <w:rPr>
          <w:rFonts w:ascii="Times" w:hAnsi="Times"/>
          <w:bCs/>
          <w:iCs/>
          <w:color w:val="000000" w:themeColor="text1"/>
        </w:rPr>
        <w:t xml:space="preserve"> ir </w:t>
      </w:r>
      <w:proofErr w:type="spellStart"/>
      <w:r w:rsidRPr="005F0FA9">
        <w:rPr>
          <w:rFonts w:ascii="Times" w:hAnsi="Times"/>
          <w:bCs/>
          <w:iCs/>
          <w:color w:val="000000" w:themeColor="text1"/>
        </w:rPr>
        <w:t>pitolizanto</w:t>
      </w:r>
      <w:proofErr w:type="spellEnd"/>
      <w:r w:rsidRPr="005F0FA9">
        <w:rPr>
          <w:rFonts w:ascii="Times" w:hAnsi="Times"/>
          <w:bCs/>
          <w:iCs/>
          <w:color w:val="000000" w:themeColor="text1"/>
        </w:rPr>
        <w:t xml:space="preserve"> </w:t>
      </w:r>
      <w:proofErr w:type="spellStart"/>
      <w:r w:rsidRPr="005F0FA9">
        <w:rPr>
          <w:rFonts w:ascii="Times" w:hAnsi="Times"/>
          <w:bCs/>
          <w:iCs/>
          <w:color w:val="000000" w:themeColor="text1"/>
        </w:rPr>
        <w:t>narkolepsijos</w:t>
      </w:r>
      <w:proofErr w:type="spellEnd"/>
      <w:r w:rsidRPr="005F0FA9">
        <w:rPr>
          <w:rFonts w:ascii="Times" w:hAnsi="Times"/>
          <w:bCs/>
          <w:iCs/>
          <w:color w:val="000000" w:themeColor="text1"/>
        </w:rPr>
        <w:t xml:space="preserve"> balų ir </w:t>
      </w:r>
      <w:proofErr w:type="spellStart"/>
      <w:r w:rsidRPr="005F0FA9">
        <w:rPr>
          <w:rFonts w:eastAsia="Arial"/>
          <w:bCs/>
          <w:iCs/>
          <w:color w:val="000000" w:themeColor="text1"/>
        </w:rPr>
        <w:t>Epworth</w:t>
      </w:r>
      <w:proofErr w:type="spellEnd"/>
      <w:r w:rsidRPr="005F0FA9">
        <w:rPr>
          <w:rFonts w:eastAsia="Arial"/>
          <w:bCs/>
          <w:iCs/>
          <w:color w:val="000000" w:themeColor="text1"/>
        </w:rPr>
        <w:t xml:space="preserve"> mieguistumo skalės balų </w:t>
      </w:r>
      <w:r w:rsidRPr="005F0FA9">
        <w:rPr>
          <w:rFonts w:ascii="Times" w:hAnsi="Times"/>
          <w:bCs/>
          <w:iCs/>
          <w:color w:val="000000" w:themeColor="text1"/>
        </w:rPr>
        <w:t>palyginamoji analizė; pagrindinių komponentų analizė.</w:t>
      </w:r>
    </w:p>
    <w:p w14:paraId="1F5BFC3C" w14:textId="77777777" w:rsidR="00AF1603" w:rsidRPr="00AF1603" w:rsidRDefault="00AF1603" w:rsidP="00AF1603">
      <w:pPr>
        <w:tabs>
          <w:tab w:val="left" w:pos="426"/>
        </w:tabs>
        <w:jc w:val="both"/>
        <w:rPr>
          <w:rFonts w:eastAsia="Arial"/>
          <w:bCs/>
          <w:iCs/>
        </w:rPr>
      </w:pPr>
      <w:r>
        <w:rPr>
          <w:rFonts w:ascii="Times" w:hAnsi="Times"/>
          <w:bCs/>
          <w:iCs/>
          <w:color w:val="000000" w:themeColor="text1"/>
        </w:rPr>
        <w:tab/>
      </w:r>
      <w:proofErr w:type="spellStart"/>
      <w:r w:rsidRPr="000002E9">
        <w:rPr>
          <w:rFonts w:eastAsia="Arial"/>
          <w:bCs/>
          <w:iCs/>
        </w:rPr>
        <w:t>Epworth</w:t>
      </w:r>
      <w:proofErr w:type="spellEnd"/>
      <w:r w:rsidRPr="000002E9">
        <w:rPr>
          <w:rFonts w:eastAsia="Arial"/>
          <w:bCs/>
          <w:iCs/>
        </w:rPr>
        <w:t xml:space="preserve"> mieguistumo skalės balų analizė</w:t>
      </w:r>
      <w:r>
        <w:rPr>
          <w:rFonts w:eastAsia="Arial"/>
          <w:iCs/>
        </w:rPr>
        <w:t xml:space="preserve">je </w:t>
      </w:r>
      <w:r>
        <w:rPr>
          <w:rFonts w:eastAsia="Arial"/>
          <w:bCs/>
          <w:iCs/>
        </w:rPr>
        <w:t>u</w:t>
      </w:r>
      <w:r w:rsidRPr="000002E9">
        <w:rPr>
          <w:rFonts w:eastAsia="Arial"/>
          <w:bCs/>
          <w:iCs/>
        </w:rPr>
        <w:t xml:space="preserve">ž placebą veiksmingesnis gydymas buvo skiriant 40 mg </w:t>
      </w:r>
      <w:proofErr w:type="spellStart"/>
      <w:r w:rsidRPr="000002E9">
        <w:rPr>
          <w:rFonts w:eastAsia="Arial"/>
          <w:bCs/>
          <w:iCs/>
        </w:rPr>
        <w:t>pitolizanto</w:t>
      </w:r>
      <w:proofErr w:type="spellEnd"/>
      <w:r w:rsidRPr="000002E9">
        <w:rPr>
          <w:rFonts w:eastAsia="Arial"/>
          <w:bCs/>
          <w:iCs/>
        </w:rPr>
        <w:t xml:space="preserve"> (–3,05</w:t>
      </w:r>
      <w:r w:rsidRPr="005A3F92">
        <w:rPr>
          <w:rFonts w:eastAsia="Arial"/>
          <w:bCs/>
          <w:iCs/>
        </w:rPr>
        <w:t xml:space="preserve">; 95 % PI </w:t>
      </w:r>
      <w:r w:rsidRPr="000002E9">
        <w:rPr>
          <w:rFonts w:eastAsia="Arial"/>
          <w:bCs/>
          <w:iCs/>
        </w:rPr>
        <w:t>–5,24 % – (–0,85 %), p &lt; 0,001)</w:t>
      </w:r>
      <w:r>
        <w:rPr>
          <w:rFonts w:eastAsia="Arial"/>
          <w:bCs/>
          <w:iCs/>
        </w:rPr>
        <w:t xml:space="preserve"> ir</w:t>
      </w:r>
      <w:r w:rsidRPr="000002E9">
        <w:rPr>
          <w:rFonts w:eastAsia="Arial"/>
          <w:bCs/>
          <w:iCs/>
        </w:rPr>
        <w:t xml:space="preserve"> 9 g natrio </w:t>
      </w:r>
      <w:proofErr w:type="spellStart"/>
      <w:r w:rsidRPr="000002E9">
        <w:rPr>
          <w:rFonts w:eastAsia="Arial"/>
          <w:bCs/>
          <w:iCs/>
        </w:rPr>
        <w:t>oksibato</w:t>
      </w:r>
      <w:proofErr w:type="spellEnd"/>
      <w:r w:rsidRPr="000002E9">
        <w:rPr>
          <w:rFonts w:eastAsia="Arial"/>
          <w:bCs/>
          <w:iCs/>
        </w:rPr>
        <w:t xml:space="preserve">  (–2,94</w:t>
      </w:r>
      <w:r w:rsidRPr="005A3F92">
        <w:rPr>
          <w:rFonts w:eastAsia="Arial"/>
          <w:bCs/>
          <w:iCs/>
        </w:rPr>
        <w:t xml:space="preserve">; </w:t>
      </w:r>
      <w:r w:rsidRPr="000002E9">
        <w:rPr>
          <w:rFonts w:eastAsia="Arial"/>
          <w:bCs/>
          <w:iCs/>
        </w:rPr>
        <w:t xml:space="preserve">–5,04 % – (–0,85 %), p &lt; 0,001). </w:t>
      </w:r>
      <w:r w:rsidRPr="000002E9">
        <w:rPr>
          <w:rFonts w:eastAsia="Arial"/>
          <w:iCs/>
        </w:rPr>
        <w:t>Budrumo išlaikymo testo rezultatų analiz</w:t>
      </w:r>
      <w:r>
        <w:rPr>
          <w:rFonts w:eastAsia="Arial"/>
          <w:iCs/>
        </w:rPr>
        <w:t xml:space="preserve">ėje </w:t>
      </w:r>
      <w:r>
        <w:rPr>
          <w:rFonts w:eastAsia="Arial"/>
          <w:bCs/>
          <w:iCs/>
        </w:rPr>
        <w:t>u</w:t>
      </w:r>
      <w:r w:rsidRPr="000002E9">
        <w:rPr>
          <w:rFonts w:eastAsia="Arial"/>
          <w:bCs/>
          <w:iCs/>
        </w:rPr>
        <w:t xml:space="preserve">ž placebą veiksmingesnis gydymas buvo skiriant 40 mg </w:t>
      </w:r>
      <w:proofErr w:type="spellStart"/>
      <w:r w:rsidRPr="000002E9">
        <w:rPr>
          <w:rFonts w:eastAsia="Arial"/>
          <w:bCs/>
          <w:iCs/>
        </w:rPr>
        <w:t>pitolizanto</w:t>
      </w:r>
      <w:proofErr w:type="spellEnd"/>
      <w:r w:rsidRPr="000002E9">
        <w:rPr>
          <w:rFonts w:eastAsia="Arial"/>
          <w:bCs/>
          <w:iCs/>
        </w:rPr>
        <w:t xml:space="preserve"> (4,88 min</w:t>
      </w:r>
      <w:r w:rsidRPr="005A3F92">
        <w:rPr>
          <w:rFonts w:eastAsia="Arial"/>
          <w:bCs/>
          <w:iCs/>
        </w:rPr>
        <w:t xml:space="preserve">; 95 % PI </w:t>
      </w:r>
      <w:r w:rsidRPr="000002E9">
        <w:rPr>
          <w:rFonts w:eastAsia="Arial"/>
          <w:bCs/>
          <w:iCs/>
        </w:rPr>
        <w:t>0,57 % – 9,20 %), p = 0,009).</w:t>
      </w:r>
      <w:r>
        <w:rPr>
          <w:rFonts w:eastAsia="Arial"/>
          <w:bCs/>
          <w:iCs/>
        </w:rPr>
        <w:t xml:space="preserve"> </w:t>
      </w:r>
      <w:proofErr w:type="spellStart"/>
      <w:r w:rsidRPr="000002E9">
        <w:rPr>
          <w:rFonts w:eastAsia="Arial"/>
          <w:bCs/>
          <w:iCs/>
        </w:rPr>
        <w:t>Katapleksijos</w:t>
      </w:r>
      <w:proofErr w:type="spellEnd"/>
      <w:r w:rsidRPr="000002E9">
        <w:rPr>
          <w:rFonts w:eastAsia="Arial"/>
          <w:bCs/>
          <w:iCs/>
        </w:rPr>
        <w:t xml:space="preserve"> savaitinis dažni</w:t>
      </w:r>
      <w:r>
        <w:rPr>
          <w:rFonts w:eastAsia="Arial"/>
          <w:bCs/>
          <w:iCs/>
        </w:rPr>
        <w:t>o analizėje r</w:t>
      </w:r>
      <w:r w:rsidRPr="000002E9">
        <w:rPr>
          <w:rFonts w:eastAsia="Arial"/>
          <w:bCs/>
          <w:iCs/>
        </w:rPr>
        <w:t xml:space="preserve">eikšmingas sumažėjimas nustatytas 40 mg </w:t>
      </w:r>
      <w:proofErr w:type="spellStart"/>
      <w:r w:rsidRPr="000002E9">
        <w:rPr>
          <w:rFonts w:eastAsia="Arial"/>
          <w:bCs/>
          <w:iCs/>
        </w:rPr>
        <w:t>pitolizanto</w:t>
      </w:r>
      <w:proofErr w:type="spellEnd"/>
      <w:r w:rsidRPr="000002E9">
        <w:rPr>
          <w:rFonts w:eastAsia="Arial"/>
          <w:bCs/>
          <w:iCs/>
        </w:rPr>
        <w:t xml:space="preserve"> grupėje (–0,52</w:t>
      </w:r>
      <w:r w:rsidRPr="005A3F92">
        <w:rPr>
          <w:rFonts w:eastAsia="Arial"/>
          <w:bCs/>
          <w:iCs/>
        </w:rPr>
        <w:t>; 95 % PI (</w:t>
      </w:r>
      <w:r w:rsidRPr="000002E9">
        <w:rPr>
          <w:rFonts w:eastAsia="Arial"/>
          <w:bCs/>
          <w:iCs/>
        </w:rPr>
        <w:t xml:space="preserve">–0,90 %) – (–0,13 %), p &lt; 0,001) ir 9 g natrio </w:t>
      </w:r>
      <w:proofErr w:type="spellStart"/>
      <w:r w:rsidRPr="000002E9">
        <w:rPr>
          <w:rFonts w:eastAsia="Arial"/>
          <w:bCs/>
          <w:iCs/>
        </w:rPr>
        <w:t>oksibato</w:t>
      </w:r>
      <w:proofErr w:type="spellEnd"/>
      <w:r w:rsidRPr="000002E9">
        <w:rPr>
          <w:rFonts w:eastAsia="Arial"/>
          <w:bCs/>
          <w:iCs/>
        </w:rPr>
        <w:t xml:space="preserve"> grupėje (–0,41</w:t>
      </w:r>
      <w:r w:rsidRPr="005A3F92">
        <w:rPr>
          <w:rFonts w:eastAsia="Arial"/>
          <w:bCs/>
          <w:iCs/>
        </w:rPr>
        <w:t>; 95 % PI (</w:t>
      </w:r>
      <w:r w:rsidRPr="000002E9">
        <w:rPr>
          <w:rFonts w:eastAsia="Arial"/>
          <w:bCs/>
          <w:iCs/>
        </w:rPr>
        <w:t>–0,79 %) – (–0,032 %), p = 0,023).</w:t>
      </w:r>
      <w:r>
        <w:rPr>
          <w:rFonts w:eastAsia="Arial"/>
          <w:bCs/>
          <w:iCs/>
        </w:rPr>
        <w:t xml:space="preserve"> </w:t>
      </w:r>
      <w:r w:rsidRPr="000002E9">
        <w:rPr>
          <w:rFonts w:eastAsia="Arial"/>
          <w:bCs/>
          <w:iCs/>
        </w:rPr>
        <w:t>Patologinis dienos mieguistum</w:t>
      </w:r>
      <w:r>
        <w:rPr>
          <w:rFonts w:eastAsia="Arial"/>
          <w:bCs/>
          <w:iCs/>
        </w:rPr>
        <w:t xml:space="preserve">o analizėje reikšmingas skirtumas nustatytas tiek </w:t>
      </w:r>
      <w:r w:rsidRPr="000002E9">
        <w:rPr>
          <w:rFonts w:eastAsia="Arial"/>
          <w:bCs/>
          <w:iCs/>
        </w:rPr>
        <w:t xml:space="preserve">40 mg </w:t>
      </w:r>
      <w:proofErr w:type="spellStart"/>
      <w:r w:rsidRPr="000002E9">
        <w:rPr>
          <w:rFonts w:eastAsia="Arial"/>
          <w:bCs/>
          <w:iCs/>
        </w:rPr>
        <w:t>pitolizanto</w:t>
      </w:r>
      <w:proofErr w:type="spellEnd"/>
      <w:r w:rsidRPr="000002E9">
        <w:rPr>
          <w:rFonts w:eastAsia="Arial"/>
          <w:bCs/>
          <w:iCs/>
        </w:rPr>
        <w:t xml:space="preserve"> grupėje (0,54</w:t>
      </w:r>
      <w:r w:rsidRPr="00766D0E">
        <w:rPr>
          <w:rFonts w:eastAsia="Arial"/>
          <w:bCs/>
          <w:iCs/>
        </w:rPr>
        <w:t xml:space="preserve">; 95 % PI </w:t>
      </w:r>
      <w:r w:rsidRPr="000002E9">
        <w:rPr>
          <w:rFonts w:eastAsia="Arial"/>
          <w:bCs/>
          <w:iCs/>
        </w:rPr>
        <w:t xml:space="preserve">0,14 % – 0,95 %), p &lt; 0,001), tiek 9 g natrio </w:t>
      </w:r>
      <w:proofErr w:type="spellStart"/>
      <w:r w:rsidRPr="000002E9">
        <w:rPr>
          <w:rFonts w:eastAsia="Arial"/>
          <w:bCs/>
          <w:iCs/>
        </w:rPr>
        <w:t>oksibato</w:t>
      </w:r>
      <w:proofErr w:type="spellEnd"/>
      <w:r w:rsidRPr="000002E9">
        <w:rPr>
          <w:rFonts w:eastAsia="Arial"/>
          <w:bCs/>
          <w:iCs/>
        </w:rPr>
        <w:t xml:space="preserve"> grupėje (0,35</w:t>
      </w:r>
      <w:r w:rsidRPr="00766D0E">
        <w:rPr>
          <w:rFonts w:eastAsia="Arial"/>
          <w:bCs/>
          <w:iCs/>
        </w:rPr>
        <w:t xml:space="preserve">; 95 % PI </w:t>
      </w:r>
      <w:r w:rsidRPr="000002E9">
        <w:rPr>
          <w:rFonts w:eastAsia="Arial"/>
          <w:bCs/>
          <w:iCs/>
        </w:rPr>
        <w:t>0,2 % – 0,68 %), p = 0,048).</w:t>
      </w:r>
      <w:r>
        <w:rPr>
          <w:rFonts w:eastAsia="Arial"/>
          <w:bCs/>
          <w:iCs/>
        </w:rPr>
        <w:t xml:space="preserve"> </w:t>
      </w:r>
      <w:proofErr w:type="spellStart"/>
      <w:r w:rsidRPr="000002E9">
        <w:rPr>
          <w:rFonts w:eastAsia="Arial"/>
          <w:bCs/>
          <w:iCs/>
        </w:rPr>
        <w:t>Narkolepsijos</w:t>
      </w:r>
      <w:proofErr w:type="spellEnd"/>
      <w:r w:rsidRPr="000002E9">
        <w:rPr>
          <w:rFonts w:eastAsia="Arial"/>
          <w:bCs/>
          <w:iCs/>
        </w:rPr>
        <w:t xml:space="preserve"> balo, kurio formulę sudarė patologinio dienos mieguistumo ir </w:t>
      </w:r>
      <w:proofErr w:type="spellStart"/>
      <w:r w:rsidRPr="000002E9">
        <w:rPr>
          <w:rFonts w:eastAsia="Arial"/>
          <w:bCs/>
          <w:iCs/>
        </w:rPr>
        <w:t>katapleksijos</w:t>
      </w:r>
      <w:proofErr w:type="spellEnd"/>
      <w:r w:rsidRPr="000002E9">
        <w:rPr>
          <w:rFonts w:eastAsia="Arial"/>
          <w:bCs/>
          <w:iCs/>
        </w:rPr>
        <w:t xml:space="preserve"> dažnio rodikliai, </w:t>
      </w:r>
      <w:r w:rsidRPr="000002E9">
        <w:rPr>
          <w:rFonts w:eastAsia="Arial"/>
          <w:bCs/>
          <w:iCs/>
        </w:rPr>
        <w:lastRenderedPageBreak/>
        <w:t xml:space="preserve">skirtumas, lyginant su placebu, buvo reikšmingas tiek 40 mg </w:t>
      </w:r>
      <w:proofErr w:type="spellStart"/>
      <w:r w:rsidRPr="000002E9">
        <w:rPr>
          <w:rFonts w:eastAsia="Arial"/>
          <w:bCs/>
          <w:iCs/>
        </w:rPr>
        <w:t>pitolizanto</w:t>
      </w:r>
      <w:proofErr w:type="spellEnd"/>
      <w:r w:rsidRPr="000002E9">
        <w:rPr>
          <w:rFonts w:eastAsia="Arial"/>
          <w:bCs/>
          <w:iCs/>
        </w:rPr>
        <w:t xml:space="preserve"> grupėje (0,56</w:t>
      </w:r>
      <w:r w:rsidRPr="00766D0E">
        <w:rPr>
          <w:rFonts w:eastAsia="Arial"/>
          <w:bCs/>
          <w:iCs/>
        </w:rPr>
        <w:t xml:space="preserve">; 95 % PI </w:t>
      </w:r>
      <w:r w:rsidRPr="000002E9">
        <w:rPr>
          <w:rFonts w:eastAsia="Arial"/>
          <w:bCs/>
          <w:iCs/>
        </w:rPr>
        <w:t xml:space="preserve">0,13 % – 0,99 %), p &lt; 0,001), tiek 9 g natrio </w:t>
      </w:r>
      <w:proofErr w:type="spellStart"/>
      <w:r w:rsidRPr="000002E9">
        <w:rPr>
          <w:rFonts w:eastAsia="Arial"/>
          <w:bCs/>
          <w:iCs/>
        </w:rPr>
        <w:t>oksibato</w:t>
      </w:r>
      <w:proofErr w:type="spellEnd"/>
      <w:r w:rsidRPr="000002E9">
        <w:rPr>
          <w:rFonts w:eastAsia="Arial"/>
          <w:bCs/>
          <w:iCs/>
        </w:rPr>
        <w:t xml:space="preserve"> grupėje (0,36</w:t>
      </w:r>
      <w:r w:rsidRPr="00766D0E">
        <w:rPr>
          <w:rFonts w:eastAsia="Arial"/>
          <w:bCs/>
          <w:iCs/>
        </w:rPr>
        <w:t xml:space="preserve">; 95 % PI </w:t>
      </w:r>
      <w:r w:rsidRPr="000002E9">
        <w:rPr>
          <w:rFonts w:eastAsia="Arial"/>
          <w:bCs/>
          <w:iCs/>
        </w:rPr>
        <w:t>0,3 % – 0,69 %), p = 0,03).</w:t>
      </w:r>
    </w:p>
    <w:p w14:paraId="26E859D2" w14:textId="7609472D" w:rsidR="005F0FA9" w:rsidRPr="005F0FA9" w:rsidRDefault="005F0FA9" w:rsidP="005F0FA9">
      <w:pPr>
        <w:tabs>
          <w:tab w:val="left" w:pos="426"/>
        </w:tabs>
        <w:ind w:firstLine="491"/>
        <w:jc w:val="both"/>
        <w:rPr>
          <w:iCs/>
          <w:color w:val="000000" w:themeColor="text1"/>
          <w:lang w:eastAsia="lt-LT"/>
        </w:rPr>
      </w:pPr>
      <w:proofErr w:type="spellStart"/>
      <w:r w:rsidRPr="005F0FA9">
        <w:rPr>
          <w:iCs/>
          <w:color w:val="000000" w:themeColor="text1"/>
          <w:lang w:eastAsia="lt-LT"/>
        </w:rPr>
        <w:t>Pitolizantas</w:t>
      </w:r>
      <w:proofErr w:type="spellEnd"/>
      <w:r w:rsidRPr="005F0FA9">
        <w:rPr>
          <w:iCs/>
          <w:color w:val="000000" w:themeColor="text1"/>
          <w:lang w:eastAsia="lt-LT"/>
        </w:rPr>
        <w:t xml:space="preserve"> pasižymėjo nežymiai geresniu terapiniu poveikiu nei natrio </w:t>
      </w:r>
      <w:proofErr w:type="spellStart"/>
      <w:r w:rsidRPr="005F0FA9">
        <w:rPr>
          <w:iCs/>
          <w:color w:val="000000" w:themeColor="text1"/>
          <w:lang w:eastAsia="lt-LT"/>
        </w:rPr>
        <w:t>oksibatas</w:t>
      </w:r>
      <w:proofErr w:type="spellEnd"/>
      <w:r w:rsidRPr="005F0FA9">
        <w:rPr>
          <w:iCs/>
          <w:color w:val="000000" w:themeColor="text1"/>
          <w:lang w:eastAsia="lt-LT"/>
        </w:rPr>
        <w:t>, tačiau šis skirtumas nebuvo statistiškai reikšmingas</w:t>
      </w:r>
      <w:r w:rsidR="00306DE6">
        <w:rPr>
          <w:iCs/>
          <w:color w:val="000000" w:themeColor="text1"/>
          <w:lang w:eastAsia="lt-LT"/>
        </w:rPr>
        <w:t xml:space="preserve">, apibendrintai, vertinama, jog natrio </w:t>
      </w:r>
      <w:proofErr w:type="spellStart"/>
      <w:r w:rsidR="00306DE6">
        <w:rPr>
          <w:iCs/>
          <w:color w:val="000000" w:themeColor="text1"/>
          <w:lang w:eastAsia="lt-LT"/>
        </w:rPr>
        <w:t>oksibato</w:t>
      </w:r>
      <w:proofErr w:type="spellEnd"/>
      <w:r w:rsidR="00306DE6">
        <w:rPr>
          <w:iCs/>
          <w:color w:val="000000" w:themeColor="text1"/>
          <w:lang w:eastAsia="lt-LT"/>
        </w:rPr>
        <w:t xml:space="preserve"> efektyvumas yra neprastesnis nei </w:t>
      </w:r>
      <w:proofErr w:type="spellStart"/>
      <w:r w:rsidR="00306DE6">
        <w:rPr>
          <w:iCs/>
          <w:color w:val="000000" w:themeColor="text1"/>
          <w:lang w:eastAsia="lt-LT"/>
        </w:rPr>
        <w:t>pitolizanto</w:t>
      </w:r>
      <w:proofErr w:type="spellEnd"/>
      <w:r w:rsidR="00306DE6">
        <w:rPr>
          <w:iCs/>
          <w:color w:val="000000" w:themeColor="text1"/>
          <w:lang w:eastAsia="lt-LT"/>
        </w:rPr>
        <w:t>.</w:t>
      </w:r>
      <w:r w:rsidRPr="005F0FA9">
        <w:rPr>
          <w:iCs/>
          <w:color w:val="000000" w:themeColor="text1"/>
          <w:lang w:eastAsia="lt-LT"/>
        </w:rPr>
        <w:t xml:space="preserve"> </w:t>
      </w:r>
    </w:p>
    <w:p w14:paraId="3ACAA6D4" w14:textId="77777777" w:rsidR="005F0FA9" w:rsidRPr="00AF1603" w:rsidRDefault="005F0FA9" w:rsidP="005F0FA9">
      <w:pPr>
        <w:tabs>
          <w:tab w:val="left" w:pos="426"/>
        </w:tabs>
        <w:ind w:firstLine="491"/>
        <w:jc w:val="both"/>
        <w:rPr>
          <w:rFonts w:eastAsia="Arial"/>
          <w:iCs/>
          <w:color w:val="000000" w:themeColor="text1"/>
          <w:lang w:val="en-US"/>
        </w:rPr>
      </w:pPr>
      <w:r w:rsidRPr="005F0FA9">
        <w:rPr>
          <w:rFonts w:eastAsia="Arial"/>
          <w:iCs/>
          <w:color w:val="000000" w:themeColor="text1"/>
        </w:rPr>
        <w:t xml:space="preserve">Į palyginamojo saugumo analizę buvo įtraukti 13 iš 14 tyrimų. Vertintas </w:t>
      </w:r>
      <w:r w:rsidR="00AF1603" w:rsidRPr="00AF1603">
        <w:rPr>
          <w:rFonts w:eastAsia="Arial"/>
          <w:iCs/>
          <w:color w:val="000000" w:themeColor="text1"/>
        </w:rPr>
        <w:t>dėl gydymo atsirandančių nepageidaujamų reakcijų (TEAE) dažn</w:t>
      </w:r>
      <w:r w:rsidR="00AF1603">
        <w:rPr>
          <w:rFonts w:eastAsia="Arial"/>
          <w:iCs/>
          <w:color w:val="000000" w:themeColor="text1"/>
        </w:rPr>
        <w:t>is</w:t>
      </w:r>
      <w:r w:rsidRPr="005F0FA9">
        <w:rPr>
          <w:rFonts w:eastAsia="Arial"/>
          <w:iCs/>
          <w:color w:val="000000" w:themeColor="text1"/>
        </w:rPr>
        <w:t>, išreikštas atvejo rizikos santykiu</w:t>
      </w:r>
      <w:r w:rsidR="00AF1603">
        <w:rPr>
          <w:rFonts w:eastAsia="Arial"/>
          <w:iCs/>
          <w:color w:val="000000" w:themeColor="text1"/>
        </w:rPr>
        <w:t xml:space="preserve"> (IRR)</w:t>
      </w:r>
      <w:r w:rsidRPr="005F0FA9">
        <w:rPr>
          <w:rFonts w:eastAsia="Arial"/>
          <w:iCs/>
          <w:color w:val="000000" w:themeColor="text1"/>
        </w:rPr>
        <w:t xml:space="preserve">. Nustatyta, kad gydymo režimai, skiriant 20 mg </w:t>
      </w:r>
      <w:proofErr w:type="spellStart"/>
      <w:r w:rsidRPr="005F0FA9">
        <w:rPr>
          <w:rFonts w:eastAsia="Arial"/>
          <w:iCs/>
          <w:color w:val="000000" w:themeColor="text1"/>
        </w:rPr>
        <w:t>pitolizanto</w:t>
      </w:r>
      <w:proofErr w:type="spellEnd"/>
      <w:r w:rsidRPr="005F0FA9">
        <w:rPr>
          <w:rFonts w:eastAsia="Arial"/>
          <w:iCs/>
          <w:color w:val="000000" w:themeColor="text1"/>
        </w:rPr>
        <w:t xml:space="preserve">, 40 mg </w:t>
      </w:r>
      <w:proofErr w:type="spellStart"/>
      <w:r w:rsidRPr="005F0FA9">
        <w:rPr>
          <w:rFonts w:eastAsia="Arial"/>
          <w:iCs/>
          <w:color w:val="000000" w:themeColor="text1"/>
        </w:rPr>
        <w:t>pitolizanto</w:t>
      </w:r>
      <w:proofErr w:type="spellEnd"/>
      <w:r w:rsidRPr="005F0FA9">
        <w:rPr>
          <w:rFonts w:eastAsia="Arial"/>
          <w:iCs/>
          <w:color w:val="000000" w:themeColor="text1"/>
        </w:rPr>
        <w:t xml:space="preserve"> arba 6 g natrio </w:t>
      </w:r>
      <w:proofErr w:type="spellStart"/>
      <w:r w:rsidRPr="005F0FA9">
        <w:rPr>
          <w:rFonts w:eastAsia="Arial"/>
          <w:iCs/>
          <w:color w:val="000000" w:themeColor="text1"/>
        </w:rPr>
        <w:t>oksibato</w:t>
      </w:r>
      <w:proofErr w:type="spellEnd"/>
      <w:r w:rsidRPr="005F0FA9">
        <w:rPr>
          <w:rFonts w:eastAsia="Arial"/>
          <w:iCs/>
          <w:color w:val="000000" w:themeColor="text1"/>
        </w:rPr>
        <w:t xml:space="preserve">, pasižymėjo panašiu saugumu kaip ir placebas, reikšmingai nuo placebo nesiskiriančiomis </w:t>
      </w:r>
      <w:r w:rsidRPr="005F0FA9">
        <w:rPr>
          <w:rFonts w:eastAsia="Arial"/>
          <w:i/>
          <w:color w:val="000000" w:themeColor="text1"/>
        </w:rPr>
        <w:t xml:space="preserve">p </w:t>
      </w:r>
      <w:r w:rsidRPr="005F0FA9">
        <w:rPr>
          <w:rFonts w:eastAsia="Arial"/>
          <w:iCs/>
          <w:color w:val="000000" w:themeColor="text1"/>
        </w:rPr>
        <w:t>reikšmėmis ir pakankamai mažu atvejo rizikos santykiu (IRR &lt; 1,5</w:t>
      </w:r>
      <w:r w:rsidR="00AF1603">
        <w:rPr>
          <w:rFonts w:eastAsia="Arial"/>
          <w:iCs/>
          <w:color w:val="000000" w:themeColor="text1"/>
        </w:rPr>
        <w:t xml:space="preserve">, 95 </w:t>
      </w:r>
      <w:r w:rsidR="00AF1603" w:rsidRPr="005A3F92">
        <w:rPr>
          <w:rFonts w:eastAsia="Arial"/>
          <w:iCs/>
          <w:color w:val="000000" w:themeColor="text1"/>
        </w:rPr>
        <w:t xml:space="preserve">% </w:t>
      </w:r>
      <w:r w:rsidR="00AF1603" w:rsidRPr="005A3F92">
        <w:rPr>
          <w:rFonts w:eastAsia="Arial"/>
          <w:bCs/>
          <w:iCs/>
        </w:rPr>
        <w:t>PI</w:t>
      </w:r>
      <w:r w:rsidR="00AF1603" w:rsidRPr="00AF1603">
        <w:rPr>
          <w:rFonts w:eastAsia="Arial"/>
          <w:iCs/>
          <w:color w:val="000000" w:themeColor="text1"/>
        </w:rPr>
        <w:t xml:space="preserve"> </w:t>
      </w:r>
      <w:r w:rsidR="00AF1603">
        <w:rPr>
          <w:rFonts w:eastAsia="Arial"/>
          <w:iCs/>
          <w:color w:val="000000" w:themeColor="text1"/>
        </w:rPr>
        <w:t>1</w:t>
      </w:r>
      <w:r w:rsidR="00AF1603" w:rsidRPr="00AF1603">
        <w:rPr>
          <w:rFonts w:eastAsia="Arial"/>
          <w:iCs/>
          <w:color w:val="000000" w:themeColor="text1"/>
        </w:rPr>
        <w:t xml:space="preserve">% </w:t>
      </w:r>
      <w:r w:rsidR="00AF1603">
        <w:rPr>
          <w:rFonts w:eastAsia="Arial"/>
          <w:iCs/>
          <w:color w:val="000000" w:themeColor="text1"/>
        </w:rPr>
        <w:t xml:space="preserve">– 2,27 </w:t>
      </w:r>
      <w:r w:rsidR="00AF1603" w:rsidRPr="00AF1603">
        <w:rPr>
          <w:rFonts w:eastAsia="Arial"/>
          <w:iCs/>
          <w:color w:val="000000" w:themeColor="text1"/>
        </w:rPr>
        <w:t>%</w:t>
      </w:r>
      <w:r w:rsidRPr="005F0FA9">
        <w:rPr>
          <w:rFonts w:eastAsia="Arial"/>
          <w:iCs/>
          <w:color w:val="000000" w:themeColor="text1"/>
        </w:rPr>
        <w:t xml:space="preserve">). </w:t>
      </w:r>
      <w:r w:rsidR="00AF1603">
        <w:rPr>
          <w:rFonts w:eastAsia="Arial"/>
          <w:iCs/>
          <w:color w:val="000000" w:themeColor="text1"/>
        </w:rPr>
        <w:t xml:space="preserve">40 g </w:t>
      </w:r>
      <w:proofErr w:type="spellStart"/>
      <w:r w:rsidR="00AF1603">
        <w:rPr>
          <w:rFonts w:eastAsia="Arial"/>
          <w:iCs/>
          <w:color w:val="000000" w:themeColor="text1"/>
        </w:rPr>
        <w:t>pitolizanto</w:t>
      </w:r>
      <w:proofErr w:type="spellEnd"/>
      <w:r w:rsidR="00AF1603">
        <w:rPr>
          <w:rFonts w:eastAsia="Arial"/>
          <w:iCs/>
          <w:color w:val="000000" w:themeColor="text1"/>
        </w:rPr>
        <w:t xml:space="preserve"> grupėje nustatyta I</w:t>
      </w:r>
      <w:r w:rsidR="00AF1603" w:rsidRPr="005F0FA9">
        <w:rPr>
          <w:rFonts w:eastAsia="Arial"/>
          <w:iCs/>
          <w:color w:val="000000" w:themeColor="text1"/>
        </w:rPr>
        <w:t xml:space="preserve">RR = </w:t>
      </w:r>
      <w:r w:rsidR="00AF1603">
        <w:rPr>
          <w:rFonts w:eastAsia="Arial"/>
          <w:iCs/>
          <w:color w:val="000000" w:themeColor="text1"/>
        </w:rPr>
        <w:t>1,34 (</w:t>
      </w:r>
      <w:r w:rsidR="00AF1603" w:rsidRPr="005A3F92">
        <w:rPr>
          <w:rFonts w:eastAsia="Arial"/>
          <w:bCs/>
          <w:iCs/>
        </w:rPr>
        <w:t>95 % PI</w:t>
      </w:r>
      <w:r w:rsidR="00AF1603" w:rsidRPr="00AF1603">
        <w:rPr>
          <w:rFonts w:eastAsia="Arial"/>
          <w:iCs/>
          <w:color w:val="000000" w:themeColor="text1"/>
        </w:rPr>
        <w:t xml:space="preserve"> </w:t>
      </w:r>
      <w:r w:rsidR="00AF1603">
        <w:rPr>
          <w:rFonts w:eastAsia="Arial"/>
          <w:iCs/>
          <w:color w:val="000000" w:themeColor="text1"/>
        </w:rPr>
        <w:t>0,59</w:t>
      </w:r>
      <w:r w:rsidR="00AF1603" w:rsidRPr="00AF1603">
        <w:rPr>
          <w:rFonts w:eastAsia="Arial"/>
          <w:iCs/>
          <w:color w:val="000000" w:themeColor="text1"/>
        </w:rPr>
        <w:t xml:space="preserve">% </w:t>
      </w:r>
      <w:r w:rsidR="00AF1603">
        <w:rPr>
          <w:rFonts w:eastAsia="Arial"/>
          <w:iCs/>
          <w:color w:val="000000" w:themeColor="text1"/>
        </w:rPr>
        <w:t xml:space="preserve">– 3,04 </w:t>
      </w:r>
      <w:r w:rsidR="00AF1603" w:rsidRPr="00AF1603">
        <w:rPr>
          <w:rFonts w:eastAsia="Arial"/>
          <w:iCs/>
          <w:color w:val="000000" w:themeColor="text1"/>
        </w:rPr>
        <w:t>%</w:t>
      </w:r>
      <w:r w:rsidR="00AF1603" w:rsidRPr="005F0FA9">
        <w:rPr>
          <w:rFonts w:eastAsia="Arial"/>
          <w:iCs/>
          <w:color w:val="000000" w:themeColor="text1"/>
        </w:rPr>
        <w:t xml:space="preserve">). </w:t>
      </w:r>
      <w:r w:rsidRPr="005F0FA9">
        <w:rPr>
          <w:rFonts w:eastAsia="Arial"/>
          <w:iCs/>
          <w:color w:val="000000" w:themeColor="text1"/>
        </w:rPr>
        <w:t xml:space="preserve">Gydymo režimo, skiriant 9 g natrio </w:t>
      </w:r>
      <w:proofErr w:type="spellStart"/>
      <w:r w:rsidRPr="005F0FA9">
        <w:rPr>
          <w:rFonts w:eastAsia="Arial"/>
          <w:iCs/>
          <w:color w:val="000000" w:themeColor="text1"/>
        </w:rPr>
        <w:t>oksibato</w:t>
      </w:r>
      <w:proofErr w:type="spellEnd"/>
      <w:r w:rsidRPr="005F0FA9">
        <w:rPr>
          <w:rFonts w:eastAsia="Arial"/>
          <w:iCs/>
          <w:color w:val="000000" w:themeColor="text1"/>
        </w:rPr>
        <w:t>, grupėje atvejo rizikos santykis buvo didesnis</w:t>
      </w:r>
      <w:r w:rsidR="00AF1603">
        <w:rPr>
          <w:rFonts w:eastAsia="Arial"/>
          <w:iCs/>
          <w:color w:val="000000" w:themeColor="text1"/>
        </w:rPr>
        <w:t xml:space="preserve"> </w:t>
      </w:r>
      <w:r w:rsidRPr="005F0FA9">
        <w:rPr>
          <w:rFonts w:eastAsia="Arial"/>
          <w:iCs/>
          <w:color w:val="000000" w:themeColor="text1"/>
        </w:rPr>
        <w:t>(IRR = 3,86</w:t>
      </w:r>
      <w:r w:rsidR="00AF1603">
        <w:rPr>
          <w:rFonts w:eastAsia="Arial"/>
          <w:iCs/>
          <w:color w:val="000000" w:themeColor="text1"/>
        </w:rPr>
        <w:t xml:space="preserve">, </w:t>
      </w:r>
      <w:r w:rsidR="00AF1603" w:rsidRPr="005A3F92">
        <w:rPr>
          <w:rFonts w:eastAsia="Arial"/>
          <w:bCs/>
          <w:iCs/>
        </w:rPr>
        <w:t>95 % PI</w:t>
      </w:r>
      <w:r w:rsidR="00AF1603" w:rsidRPr="00AF1603">
        <w:rPr>
          <w:rFonts w:eastAsia="Arial"/>
          <w:iCs/>
          <w:color w:val="000000" w:themeColor="text1"/>
        </w:rPr>
        <w:t xml:space="preserve"> 2</w:t>
      </w:r>
      <w:r w:rsidR="00AF1603">
        <w:rPr>
          <w:rFonts w:eastAsia="Arial"/>
          <w:iCs/>
          <w:color w:val="000000" w:themeColor="text1"/>
        </w:rPr>
        <w:t>,</w:t>
      </w:r>
      <w:r w:rsidR="00AF1603" w:rsidRPr="00AF1603">
        <w:rPr>
          <w:rFonts w:eastAsia="Arial"/>
          <w:iCs/>
          <w:color w:val="000000" w:themeColor="text1"/>
        </w:rPr>
        <w:t xml:space="preserve">32% </w:t>
      </w:r>
      <w:r w:rsidR="00AF1603">
        <w:rPr>
          <w:rFonts w:eastAsia="Arial"/>
          <w:iCs/>
          <w:color w:val="000000" w:themeColor="text1"/>
        </w:rPr>
        <w:t xml:space="preserve">– </w:t>
      </w:r>
      <w:r w:rsidR="00AF1603" w:rsidRPr="00AF1603">
        <w:rPr>
          <w:rFonts w:eastAsia="Arial"/>
          <w:iCs/>
          <w:color w:val="000000" w:themeColor="text1"/>
        </w:rPr>
        <w:t>6</w:t>
      </w:r>
      <w:r w:rsidR="00AF1603">
        <w:rPr>
          <w:rFonts w:eastAsia="Arial"/>
          <w:iCs/>
          <w:color w:val="000000" w:themeColor="text1"/>
        </w:rPr>
        <w:t>,4</w:t>
      </w:r>
      <w:r w:rsidR="00AF1603" w:rsidRPr="00AF1603">
        <w:rPr>
          <w:rFonts w:eastAsia="Arial"/>
          <w:iCs/>
          <w:color w:val="000000" w:themeColor="text1"/>
        </w:rPr>
        <w:t>0</w:t>
      </w:r>
      <w:r w:rsidR="00AF1603">
        <w:rPr>
          <w:rFonts w:eastAsia="Arial"/>
          <w:iCs/>
          <w:color w:val="000000" w:themeColor="text1"/>
        </w:rPr>
        <w:t xml:space="preserve"> </w:t>
      </w:r>
      <w:r w:rsidR="00AF1603" w:rsidRPr="00AF1603">
        <w:rPr>
          <w:rFonts w:eastAsia="Arial"/>
          <w:iCs/>
          <w:color w:val="000000" w:themeColor="text1"/>
        </w:rPr>
        <w:t>%</w:t>
      </w:r>
      <w:r w:rsidRPr="005F0FA9">
        <w:rPr>
          <w:rFonts w:eastAsia="Arial"/>
          <w:iCs/>
          <w:color w:val="000000" w:themeColor="text1"/>
        </w:rPr>
        <w:t xml:space="preserve">). </w:t>
      </w:r>
      <w:r w:rsidR="00AF1603">
        <w:rPr>
          <w:rFonts w:eastAsia="Arial"/>
          <w:iCs/>
          <w:color w:val="000000" w:themeColor="text1"/>
        </w:rPr>
        <w:t xml:space="preserve">Bendras saugumo balas (angl. </w:t>
      </w:r>
      <w:proofErr w:type="spellStart"/>
      <w:r w:rsidR="00AF1603" w:rsidRPr="00AF1603">
        <w:rPr>
          <w:rFonts w:eastAsia="Arial"/>
          <w:i/>
          <w:color w:val="000000" w:themeColor="text1"/>
        </w:rPr>
        <w:t>overall</w:t>
      </w:r>
      <w:proofErr w:type="spellEnd"/>
      <w:r w:rsidR="00AF1603" w:rsidRPr="00AF1603">
        <w:rPr>
          <w:rFonts w:eastAsia="Arial"/>
          <w:i/>
          <w:color w:val="000000" w:themeColor="text1"/>
        </w:rPr>
        <w:t xml:space="preserve"> </w:t>
      </w:r>
      <w:proofErr w:type="spellStart"/>
      <w:r w:rsidR="00AF1603" w:rsidRPr="00AF1603">
        <w:rPr>
          <w:rFonts w:eastAsia="Arial"/>
          <w:i/>
          <w:color w:val="000000" w:themeColor="text1"/>
        </w:rPr>
        <w:t>safety</w:t>
      </w:r>
      <w:proofErr w:type="spellEnd"/>
      <w:r w:rsidR="00AF1603" w:rsidRPr="00AF1603">
        <w:rPr>
          <w:rFonts w:eastAsia="Arial"/>
          <w:i/>
          <w:color w:val="000000" w:themeColor="text1"/>
        </w:rPr>
        <w:t xml:space="preserve"> </w:t>
      </w:r>
      <w:proofErr w:type="spellStart"/>
      <w:r w:rsidR="00AF1603" w:rsidRPr="00AF1603">
        <w:rPr>
          <w:rFonts w:eastAsia="Arial"/>
          <w:i/>
          <w:color w:val="000000" w:themeColor="text1"/>
        </w:rPr>
        <w:t>score</w:t>
      </w:r>
      <w:proofErr w:type="spellEnd"/>
      <w:r w:rsidR="00AF1603" w:rsidRPr="00AF1603">
        <w:rPr>
          <w:rFonts w:eastAsia="Arial"/>
          <w:i/>
          <w:color w:val="000000" w:themeColor="text1"/>
        </w:rPr>
        <w:t>, OSS</w:t>
      </w:r>
      <w:r w:rsidR="00AF1603">
        <w:rPr>
          <w:rFonts w:eastAsia="Arial"/>
          <w:iCs/>
          <w:color w:val="000000" w:themeColor="text1"/>
        </w:rPr>
        <w:t>) statistiškai reikšmingai nesiskyrė visose medikamentų grupėse (p &gt; 0,05).</w:t>
      </w:r>
    </w:p>
    <w:p w14:paraId="0B6EEF2E" w14:textId="77777777" w:rsidR="00D4485B" w:rsidRDefault="005F0FA9" w:rsidP="005F0FA9">
      <w:pPr>
        <w:tabs>
          <w:tab w:val="left" w:pos="426"/>
        </w:tabs>
        <w:ind w:firstLine="491"/>
        <w:jc w:val="both"/>
        <w:rPr>
          <w:iCs/>
          <w:lang w:eastAsia="lt-LT"/>
        </w:rPr>
      </w:pPr>
      <w:r w:rsidRPr="005F0FA9">
        <w:rPr>
          <w:rFonts w:eastAsia="Arial"/>
          <w:bCs/>
          <w:color w:val="000000" w:themeColor="text1"/>
        </w:rPr>
        <w:t xml:space="preserve">Klinikiniai </w:t>
      </w:r>
      <w:proofErr w:type="spellStart"/>
      <w:r w:rsidR="00AF1603">
        <w:rPr>
          <w:rFonts w:eastAsia="Arial"/>
          <w:bCs/>
          <w:color w:val="000000" w:themeColor="text1"/>
        </w:rPr>
        <w:t>metanalizės</w:t>
      </w:r>
      <w:r w:rsidRPr="005F0FA9">
        <w:rPr>
          <w:rFonts w:eastAsia="Arial"/>
          <w:bCs/>
          <w:color w:val="000000" w:themeColor="text1"/>
        </w:rPr>
        <w:t>į</w:t>
      </w:r>
      <w:proofErr w:type="spellEnd"/>
      <w:r w:rsidR="00AF1603">
        <w:rPr>
          <w:rFonts w:eastAsia="Arial"/>
          <w:bCs/>
          <w:color w:val="000000" w:themeColor="text1"/>
        </w:rPr>
        <w:t xml:space="preserve"> </w:t>
      </w:r>
      <w:r w:rsidRPr="005F0FA9">
        <w:rPr>
          <w:rFonts w:eastAsia="Arial"/>
          <w:bCs/>
          <w:color w:val="000000" w:themeColor="text1"/>
        </w:rPr>
        <w:t>rodymai turėjo tam tikrų trūkumų</w:t>
      </w:r>
      <w:r w:rsidR="00AF1603">
        <w:rPr>
          <w:rFonts w:eastAsia="Arial"/>
          <w:bCs/>
          <w:color w:val="000000" w:themeColor="text1"/>
        </w:rPr>
        <w:t xml:space="preserve"> –</w:t>
      </w:r>
      <w:r w:rsidRPr="005F0FA9">
        <w:rPr>
          <w:iCs/>
          <w:color w:val="000000" w:themeColor="text1"/>
          <w:lang w:eastAsia="lt-LT"/>
        </w:rPr>
        <w:t xml:space="preserve"> nagrinėti senesni tyrimai (iš 14 tyrimų – 11 buvo publikuoti 1989–2006 m., 3 publikuoti 2013–2017 m). Į </w:t>
      </w:r>
      <w:proofErr w:type="spellStart"/>
      <w:r w:rsidRPr="005F0FA9">
        <w:rPr>
          <w:iCs/>
          <w:color w:val="000000" w:themeColor="text1"/>
          <w:lang w:eastAsia="lt-LT"/>
        </w:rPr>
        <w:t>metaanalizę</w:t>
      </w:r>
      <w:proofErr w:type="spellEnd"/>
      <w:r w:rsidRPr="005F0FA9">
        <w:rPr>
          <w:iCs/>
          <w:color w:val="000000" w:themeColor="text1"/>
          <w:lang w:eastAsia="lt-LT"/>
        </w:rPr>
        <w:t xml:space="preserve"> įtrauktų tyrimų, kuriuose buvo vertinamas </w:t>
      </w:r>
      <w:proofErr w:type="spellStart"/>
      <w:r w:rsidRPr="005F0FA9">
        <w:rPr>
          <w:iCs/>
          <w:color w:val="000000" w:themeColor="text1"/>
          <w:lang w:eastAsia="lt-LT"/>
        </w:rPr>
        <w:t>pitolizanto</w:t>
      </w:r>
      <w:proofErr w:type="spellEnd"/>
      <w:r w:rsidRPr="005F0FA9">
        <w:rPr>
          <w:iCs/>
          <w:color w:val="000000" w:themeColor="text1"/>
          <w:lang w:eastAsia="lt-LT"/>
        </w:rPr>
        <w:t xml:space="preserve"> veiksmingumas, imtys buvo mažos, tai galėjo iškreipti rezultatus. </w:t>
      </w:r>
      <w:r>
        <w:rPr>
          <w:iCs/>
          <w:lang w:eastAsia="lt-LT"/>
        </w:rPr>
        <w:t xml:space="preserve">Taip pat buvo įtraukta tyrimų, kuriuose natrio </w:t>
      </w:r>
      <w:proofErr w:type="spellStart"/>
      <w:r>
        <w:rPr>
          <w:iCs/>
          <w:lang w:eastAsia="lt-LT"/>
        </w:rPr>
        <w:t>oksibato</w:t>
      </w:r>
      <w:proofErr w:type="spellEnd"/>
      <w:r>
        <w:rPr>
          <w:iCs/>
          <w:lang w:eastAsia="lt-LT"/>
        </w:rPr>
        <w:t xml:space="preserve"> dozė nebuvo titruota, ir tai galėjo iškreipti saugumo profilio rezultatus.</w:t>
      </w:r>
    </w:p>
    <w:p w14:paraId="1B21AA2A" w14:textId="2430CB6A" w:rsidR="005F0FA9" w:rsidRDefault="005F0FA9" w:rsidP="001D4A32">
      <w:pPr>
        <w:tabs>
          <w:tab w:val="left" w:pos="426"/>
        </w:tabs>
        <w:jc w:val="both"/>
        <w:rPr>
          <w:rFonts w:eastAsia="Arial"/>
          <w:bCs/>
        </w:rPr>
      </w:pPr>
      <w:r>
        <w:rPr>
          <w:iCs/>
          <w:lang w:eastAsia="lt-LT"/>
        </w:rPr>
        <w:tab/>
        <w:t xml:space="preserve">Atsižvelgiant į </w:t>
      </w:r>
      <w:r w:rsidR="00AF1603">
        <w:rPr>
          <w:rFonts w:eastAsia="Arial"/>
          <w:iCs/>
        </w:rPr>
        <w:t xml:space="preserve">paraiškoje pateiktus duomenis, </w:t>
      </w:r>
      <w:r>
        <w:rPr>
          <w:iCs/>
          <w:lang w:eastAsia="lt-LT"/>
        </w:rPr>
        <w:t xml:space="preserve">vertinama, kad natrio </w:t>
      </w:r>
      <w:proofErr w:type="spellStart"/>
      <w:r>
        <w:rPr>
          <w:iCs/>
          <w:lang w:eastAsia="lt-LT"/>
        </w:rPr>
        <w:t>oksibatas</w:t>
      </w:r>
      <w:proofErr w:type="spellEnd"/>
      <w:r>
        <w:rPr>
          <w:iCs/>
          <w:lang w:eastAsia="lt-LT"/>
        </w:rPr>
        <w:t xml:space="preserve"> </w:t>
      </w:r>
      <w:r w:rsidRPr="00966F72">
        <w:rPr>
          <w:rFonts w:eastAsia="Arial"/>
          <w:bCs/>
          <w:color w:val="000000" w:themeColor="text1"/>
        </w:rPr>
        <w:t xml:space="preserve">veiksmingumu nėra prastesnis už </w:t>
      </w:r>
      <w:proofErr w:type="spellStart"/>
      <w:r w:rsidRPr="00966F72">
        <w:rPr>
          <w:rFonts w:eastAsia="Arial"/>
          <w:bCs/>
          <w:color w:val="000000" w:themeColor="text1"/>
        </w:rPr>
        <w:t>pitolizantą</w:t>
      </w:r>
      <w:proofErr w:type="spellEnd"/>
      <w:r>
        <w:rPr>
          <w:rFonts w:eastAsia="Arial"/>
          <w:bCs/>
          <w:color w:val="000000" w:themeColor="text1"/>
        </w:rPr>
        <w:t>.</w:t>
      </w:r>
      <w:r w:rsidR="00AF1603">
        <w:rPr>
          <w:iCs/>
          <w:lang w:eastAsia="lt-LT"/>
        </w:rPr>
        <w:t xml:space="preserve"> Taip pat vertinama, kad kliniškai </w:t>
      </w:r>
      <w:proofErr w:type="spellStart"/>
      <w:r w:rsidR="00AF1603">
        <w:rPr>
          <w:rFonts w:eastAsia="Arial"/>
          <w:bCs/>
        </w:rPr>
        <w:t>p</w:t>
      </w:r>
      <w:r w:rsidR="00AF1603" w:rsidRPr="002A60D4">
        <w:rPr>
          <w:rFonts w:eastAsia="Arial"/>
          <w:bCs/>
        </w:rPr>
        <w:t>itolizantas</w:t>
      </w:r>
      <w:proofErr w:type="spellEnd"/>
      <w:r w:rsidR="00AF1603" w:rsidRPr="002A60D4">
        <w:rPr>
          <w:rFonts w:eastAsia="Arial"/>
          <w:bCs/>
        </w:rPr>
        <w:t xml:space="preserve"> </w:t>
      </w:r>
      <w:r w:rsidR="00AF1603">
        <w:rPr>
          <w:rFonts w:eastAsia="Arial"/>
          <w:bCs/>
        </w:rPr>
        <w:t xml:space="preserve">pasižymi lengvesniu aprašomų nepageidaujamų reakcijų </w:t>
      </w:r>
      <w:r w:rsidR="0080267E">
        <w:rPr>
          <w:rFonts w:eastAsia="Arial"/>
          <w:bCs/>
        </w:rPr>
        <w:t>pobūdžiu</w:t>
      </w:r>
      <w:r w:rsidR="00AF1603">
        <w:rPr>
          <w:rFonts w:eastAsia="Arial"/>
          <w:bCs/>
        </w:rPr>
        <w:t xml:space="preserve">, tačiau abiejų </w:t>
      </w:r>
      <w:r w:rsidR="0080267E">
        <w:rPr>
          <w:rFonts w:eastAsia="Arial"/>
          <w:bCs/>
        </w:rPr>
        <w:t>vaistinių preparatų</w:t>
      </w:r>
      <w:r w:rsidR="00AF1603">
        <w:rPr>
          <w:rFonts w:eastAsia="Arial"/>
          <w:bCs/>
        </w:rPr>
        <w:t xml:space="preserve"> saugumas statistiškai reikšmingai nesiskiria. </w:t>
      </w:r>
    </w:p>
    <w:p w14:paraId="1655251A" w14:textId="0F947EB3" w:rsidR="001D4A32" w:rsidRPr="001D4A32" w:rsidRDefault="001D4A32" w:rsidP="001D4A32">
      <w:pPr>
        <w:tabs>
          <w:tab w:val="left" w:pos="426"/>
        </w:tabs>
        <w:jc w:val="both"/>
        <w:rPr>
          <w:rFonts w:eastAsia="Arial"/>
          <w:bCs/>
        </w:rPr>
      </w:pPr>
    </w:p>
    <w:p w14:paraId="54E2138A" w14:textId="6EDEE850" w:rsidR="0072287A" w:rsidRPr="0072287A" w:rsidRDefault="00CC7832" w:rsidP="0072287A">
      <w:pPr>
        <w:pStyle w:val="ListParagraph"/>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5794606B" w14:textId="77777777" w:rsidR="0072287A" w:rsidRDefault="0072287A" w:rsidP="0072287A">
      <w:pPr>
        <w:shd w:val="clear" w:color="auto" w:fill="FFFFFF"/>
        <w:spacing w:line="276" w:lineRule="auto"/>
        <w:jc w:val="both"/>
      </w:pPr>
    </w:p>
    <w:p w14:paraId="17291FCD" w14:textId="54A811B8" w:rsidR="0032717A" w:rsidRPr="0080267E" w:rsidRDefault="0080267E" w:rsidP="0032717A">
      <w:pPr>
        <w:tabs>
          <w:tab w:val="left" w:pos="567"/>
        </w:tabs>
        <w:jc w:val="both"/>
        <w:rPr>
          <w:i/>
        </w:rPr>
      </w:pPr>
      <w:r>
        <w:tab/>
      </w:r>
      <w:r w:rsidR="0072287A" w:rsidRPr="0080267E">
        <w:t>Vertinimui pateikta kaštų mažinimo analizė lyginant n</w:t>
      </w:r>
      <w:r>
        <w:t xml:space="preserve">atrio </w:t>
      </w:r>
      <w:proofErr w:type="spellStart"/>
      <w:r>
        <w:t>oksibato</w:t>
      </w:r>
      <w:proofErr w:type="spellEnd"/>
      <w:r>
        <w:t xml:space="preserve"> kaštus su </w:t>
      </w:r>
      <w:proofErr w:type="spellStart"/>
      <w:r>
        <w:t>pitoliz</w:t>
      </w:r>
      <w:r w:rsidR="0072287A" w:rsidRPr="0080267E">
        <w:t>anto</w:t>
      </w:r>
      <w:proofErr w:type="spellEnd"/>
      <w:r w:rsidR="0072287A" w:rsidRPr="0080267E">
        <w:t xml:space="preserve"> kaštais. </w:t>
      </w:r>
    </w:p>
    <w:p w14:paraId="1FB5A728" w14:textId="006A726A" w:rsidR="0032717A" w:rsidRDefault="0032717A" w:rsidP="0080267E">
      <w:pPr>
        <w:shd w:val="clear" w:color="auto" w:fill="FFFFFF"/>
        <w:spacing w:line="276" w:lineRule="auto"/>
        <w:ind w:firstLine="720"/>
        <w:jc w:val="both"/>
      </w:pPr>
      <w:r>
        <w:t>Vertinimui pateikta kaštų mažinimo analizė lyginant n</w:t>
      </w:r>
      <w:r w:rsidR="0080267E">
        <w:t xml:space="preserve">atrio </w:t>
      </w:r>
      <w:proofErr w:type="spellStart"/>
      <w:r w:rsidR="0080267E">
        <w:t>oksibato</w:t>
      </w:r>
      <w:proofErr w:type="spellEnd"/>
      <w:r w:rsidR="0080267E">
        <w:t xml:space="preserve"> kaštus su </w:t>
      </w:r>
      <w:proofErr w:type="spellStart"/>
      <w:r w:rsidR="0080267E">
        <w:t>pitoliz</w:t>
      </w:r>
      <w:r>
        <w:t>anto</w:t>
      </w:r>
      <w:proofErr w:type="spellEnd"/>
      <w:r>
        <w:t xml:space="preserve"> kaštais. Pirminio vertinimo metu analizėje neatsižvelgiama į nepageidaujamų reakcijų valdymo kaštus bei nepagrįsta, kodėl neatsižvelgiama į vaisto poveikio stebėsenos ar į ligos gydymo kaštus. Pareiškėjas atsakydamas į klausimus paaiškino, kad abu vaistai yra skiriami ambulatoriškai, vaistai vartojami </w:t>
      </w:r>
      <w:proofErr w:type="spellStart"/>
      <w:r>
        <w:t>peroraliai</w:t>
      </w:r>
      <w:proofErr w:type="spellEnd"/>
      <w:r>
        <w:t xml:space="preserve"> ir nė vienam vaistui nėra reikalingi papildomi diagnostiniai tyrimai, todėl laikoma, jog vaisto poveikio bei ligos gydymo kaštai tarp grupių bus vienodi. Dėl nepageidaujamų reakcijų kaštų – pabrėžiama, jog dauguma nepageidaujamų reakcijų  pasireiškia per pirmas kelias gydymo dienas ir yra suvaldomos be papildomų kaštų. Taip pat, Tarnyba renkasi pagrindinio atvejo analizėje lyginti didžiausias vaistinių preparatų dozes: 9 g natrio </w:t>
      </w:r>
      <w:proofErr w:type="spellStart"/>
      <w:r>
        <w:t>oksibato</w:t>
      </w:r>
      <w:proofErr w:type="spellEnd"/>
      <w:r>
        <w:t xml:space="preserve"> ir 36 mg </w:t>
      </w:r>
      <w:proofErr w:type="spellStart"/>
      <w:r>
        <w:t>pitolizanto</w:t>
      </w:r>
      <w:proofErr w:type="spellEnd"/>
      <w:r>
        <w:t xml:space="preserve">. Toks sprendimas yra priimtas remiantis klinikiniais duomenimis, kuriuose buvo lyginta 9 g natrio </w:t>
      </w:r>
      <w:proofErr w:type="spellStart"/>
      <w:r>
        <w:t>oksibato</w:t>
      </w:r>
      <w:proofErr w:type="spellEnd"/>
      <w:r>
        <w:t xml:space="preserve"> su 40 mg </w:t>
      </w:r>
      <w:proofErr w:type="spellStart"/>
      <w:r>
        <w:t>pitolizanto</w:t>
      </w:r>
      <w:proofErr w:type="spellEnd"/>
      <w:r>
        <w:t xml:space="preserve"> hidrochlorido (tai atitinka 36 mg </w:t>
      </w:r>
      <w:proofErr w:type="spellStart"/>
      <w:r>
        <w:t>pitolizanto</w:t>
      </w:r>
      <w:proofErr w:type="spellEnd"/>
      <w:r>
        <w:t xml:space="preserve">). </w:t>
      </w:r>
    </w:p>
    <w:p w14:paraId="63645E7E" w14:textId="2A2079A2" w:rsidR="00AF1603" w:rsidRDefault="00AF1603" w:rsidP="0032717A">
      <w:pPr>
        <w:shd w:val="clear" w:color="auto" w:fill="FFFFFF"/>
        <w:spacing w:line="276" w:lineRule="auto"/>
        <w:jc w:val="both"/>
        <w:rPr>
          <w:b/>
          <w:bCs/>
          <w:caps/>
        </w:rPr>
      </w:pPr>
    </w:p>
    <w:p w14:paraId="1C8A00DC" w14:textId="77777777" w:rsidR="0035172D" w:rsidRPr="00AF1603" w:rsidRDefault="0035172D" w:rsidP="00A93AA6">
      <w:pPr>
        <w:tabs>
          <w:tab w:val="left" w:pos="426"/>
        </w:tabs>
        <w:rPr>
          <w:b/>
          <w:lang w:eastAsia="lt-LT"/>
        </w:rPr>
      </w:pPr>
      <w:r w:rsidRPr="00AF1603">
        <w:rPr>
          <w:b/>
          <w:lang w:eastAsia="lt-LT"/>
        </w:rPr>
        <w:t>Ekonominės analizės rezultatas</w:t>
      </w:r>
    </w:p>
    <w:p w14:paraId="754FBFC6" w14:textId="77777777" w:rsidR="009E44AE" w:rsidRPr="00E33EFF"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9E44AE" w:rsidRPr="00E33EFF" w14:paraId="4CD6F05F"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0F7D168E" w14:textId="77777777" w:rsidR="009E44AE" w:rsidRPr="00E33EFF" w:rsidRDefault="009E44AE" w:rsidP="009E44AE">
            <w:pPr>
              <w:tabs>
                <w:tab w:val="left" w:pos="567"/>
              </w:tabs>
              <w:jc w:val="center"/>
              <w:rPr>
                <w:b/>
                <w:bCs/>
                <w:sz w:val="26"/>
                <w:szCs w:val="26"/>
                <w:lang w:eastAsia="lt-LT"/>
              </w:rPr>
            </w:pPr>
            <w:r w:rsidRPr="00E33EFF">
              <w:rPr>
                <w:b/>
                <w:bCs/>
                <w:sz w:val="26"/>
                <w:szCs w:val="26"/>
                <w:lang w:eastAsia="lt-LT"/>
              </w:rPr>
              <w:t>Rezultatai</w:t>
            </w:r>
          </w:p>
        </w:tc>
      </w:tr>
      <w:tr w:rsidR="00BA5DBC" w:rsidRPr="00E33EFF" w14:paraId="52904177" w14:textId="77777777" w:rsidTr="0072287A">
        <w:trPr>
          <w:trHeight w:val="267"/>
          <w:jc w:val="center"/>
        </w:trPr>
        <w:tc>
          <w:tcPr>
            <w:tcW w:w="6200" w:type="dxa"/>
            <w:tcBorders>
              <w:left w:val="single" w:sz="4" w:space="0" w:color="auto"/>
            </w:tcBorders>
          </w:tcPr>
          <w:p w14:paraId="6CD03B7C" w14:textId="77777777" w:rsidR="00BA5DBC" w:rsidRPr="00E33EFF" w:rsidRDefault="00BA5DBC" w:rsidP="00BA5DBC">
            <w:pPr>
              <w:tabs>
                <w:tab w:val="left" w:pos="567"/>
              </w:tabs>
              <w:jc w:val="right"/>
              <w:rPr>
                <w:iCs/>
                <w:lang w:eastAsia="lt-LT"/>
              </w:rPr>
            </w:pPr>
            <w:r w:rsidRPr="00E33EFF">
              <w:rPr>
                <w:iCs/>
                <w:lang w:eastAsia="lt-LT"/>
              </w:rPr>
              <w:t>Kaštų skirtumas</w:t>
            </w:r>
          </w:p>
        </w:tc>
        <w:tc>
          <w:tcPr>
            <w:tcW w:w="3239" w:type="dxa"/>
            <w:tcBorders>
              <w:right w:val="single" w:sz="4" w:space="0" w:color="auto"/>
            </w:tcBorders>
          </w:tcPr>
          <w:p w14:paraId="0B86EF1F" w14:textId="4EE60B95" w:rsidR="00BA5DBC" w:rsidRPr="00E33EFF" w:rsidRDefault="0072287A" w:rsidP="00CE77E3">
            <w:pPr>
              <w:tabs>
                <w:tab w:val="left" w:pos="567"/>
              </w:tabs>
              <w:jc w:val="both"/>
              <w:rPr>
                <w:i/>
                <w:iCs/>
                <w:lang w:eastAsia="lt-LT"/>
              </w:rPr>
            </w:pPr>
            <w:r>
              <w:rPr>
                <w:i/>
                <w:iCs/>
                <w:lang w:eastAsia="lt-LT"/>
              </w:rPr>
              <w:t>-</w:t>
            </w:r>
            <w:r w:rsidR="00CE77E3">
              <w:rPr>
                <w:i/>
                <w:iCs/>
                <w:lang w:eastAsia="lt-LT"/>
              </w:rPr>
              <w:t>*****</w:t>
            </w:r>
            <w:r>
              <w:rPr>
                <w:i/>
                <w:iCs/>
                <w:lang w:eastAsia="lt-LT"/>
              </w:rPr>
              <w:t xml:space="preserve"> </w:t>
            </w:r>
            <w:proofErr w:type="spellStart"/>
            <w:r>
              <w:rPr>
                <w:i/>
                <w:iCs/>
                <w:lang w:eastAsia="lt-LT"/>
              </w:rPr>
              <w:t>eur</w:t>
            </w:r>
            <w:proofErr w:type="spellEnd"/>
          </w:p>
        </w:tc>
      </w:tr>
    </w:tbl>
    <w:p w14:paraId="0C00E6A9" w14:textId="77777777" w:rsidR="0035172D" w:rsidRPr="00E33EFF" w:rsidRDefault="0035172D" w:rsidP="00A93AA6">
      <w:pPr>
        <w:tabs>
          <w:tab w:val="left" w:pos="426"/>
        </w:tabs>
        <w:rPr>
          <w:b/>
          <w:bCs/>
          <w:caps/>
        </w:rPr>
      </w:pPr>
    </w:p>
    <w:p w14:paraId="199D9C24" w14:textId="77777777" w:rsidR="00C62B36" w:rsidRPr="00E33EFF" w:rsidRDefault="00C62B36" w:rsidP="00CC09D4">
      <w:pPr>
        <w:pStyle w:val="ListParagraph"/>
        <w:numPr>
          <w:ilvl w:val="0"/>
          <w:numId w:val="12"/>
        </w:numPr>
        <w:tabs>
          <w:tab w:val="left" w:pos="567"/>
        </w:tabs>
        <w:ind w:hanging="720"/>
        <w:rPr>
          <w:b/>
          <w:bCs/>
          <w:caps/>
        </w:rPr>
      </w:pPr>
      <w:r w:rsidRPr="00E33EFF">
        <w:rPr>
          <w:b/>
          <w:bCs/>
          <w:caps/>
        </w:rPr>
        <w:t xml:space="preserve">Pacientų organizacijų pateikti duomenys </w:t>
      </w:r>
    </w:p>
    <w:p w14:paraId="4E7BD423" w14:textId="77777777" w:rsidR="00937907" w:rsidRPr="00E33EFF" w:rsidRDefault="00F83DA6"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7F86325B" w14:textId="77777777" w:rsidR="00937907" w:rsidRPr="00E33EFF" w:rsidRDefault="00F83DA6"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5F0FA9">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5A46BF9F" w14:textId="77777777" w:rsidR="00D417D2" w:rsidRPr="00E33EFF" w:rsidRDefault="00D417D2" w:rsidP="00937907">
      <w:pPr>
        <w:spacing w:after="120"/>
        <w:jc w:val="both"/>
      </w:pPr>
    </w:p>
    <w:p w14:paraId="67322C9F" w14:textId="22422AFD" w:rsidR="00C62B36" w:rsidRDefault="00C62B36" w:rsidP="00CC09D4">
      <w:pPr>
        <w:pStyle w:val="ListParagraph"/>
        <w:numPr>
          <w:ilvl w:val="0"/>
          <w:numId w:val="12"/>
        </w:numPr>
        <w:tabs>
          <w:tab w:val="left" w:pos="567"/>
        </w:tabs>
        <w:ind w:hanging="720"/>
        <w:rPr>
          <w:b/>
          <w:bCs/>
          <w:caps/>
        </w:rPr>
      </w:pPr>
      <w:r w:rsidRPr="00E33EFF">
        <w:rPr>
          <w:b/>
          <w:bCs/>
          <w:caps/>
        </w:rPr>
        <w:lastRenderedPageBreak/>
        <w:t>Gydytojų organizacijų pateikti duomenys</w:t>
      </w:r>
    </w:p>
    <w:p w14:paraId="5F77EAD9" w14:textId="77777777" w:rsidR="0080267E" w:rsidRPr="00E33EFF" w:rsidRDefault="0080267E" w:rsidP="0080267E">
      <w:pPr>
        <w:pStyle w:val="ListParagraph"/>
        <w:tabs>
          <w:tab w:val="left" w:pos="567"/>
        </w:tabs>
        <w:rPr>
          <w:b/>
          <w:bCs/>
          <w:caps/>
        </w:rPr>
      </w:pPr>
    </w:p>
    <w:p w14:paraId="0AE6C541" w14:textId="77777777" w:rsidR="00937907" w:rsidRPr="00E33EFF" w:rsidRDefault="00F83DA6"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229FAE5" w14:textId="77777777" w:rsidR="00662983" w:rsidRPr="00E33EFF" w:rsidRDefault="00F83DA6"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EndPr>
          <w:rPr>
            <w:rStyle w:val="Style2"/>
          </w:rPr>
        </w:sdtEndPr>
        <w:sdtContent>
          <w:r w:rsidR="005F0FA9">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2F8B0A72" w14:textId="77777777" w:rsidR="00A042B9" w:rsidRPr="00E33EFF" w:rsidRDefault="00A042B9" w:rsidP="00662983">
      <w:pPr>
        <w:spacing w:after="120"/>
        <w:jc w:val="both"/>
      </w:pPr>
    </w:p>
    <w:p w14:paraId="041C766F" w14:textId="77777777" w:rsidR="002F0E4F" w:rsidRPr="00E33EFF" w:rsidRDefault="002F0E4F" w:rsidP="00CC09D4">
      <w:pPr>
        <w:pStyle w:val="ListParagraph"/>
        <w:numPr>
          <w:ilvl w:val="0"/>
          <w:numId w:val="12"/>
        </w:numPr>
        <w:tabs>
          <w:tab w:val="left" w:pos="567"/>
        </w:tabs>
        <w:ind w:hanging="720"/>
        <w:rPr>
          <w:b/>
          <w:bCs/>
          <w:caps/>
        </w:rPr>
      </w:pPr>
      <w:r w:rsidRPr="00E33EFF">
        <w:rPr>
          <w:b/>
          <w:bCs/>
          <w:caps/>
        </w:rPr>
        <w:t xml:space="preserve">Išvada </w:t>
      </w:r>
    </w:p>
    <w:p w14:paraId="52F82A95" w14:textId="77777777" w:rsidR="0061611B" w:rsidRPr="00BF3927" w:rsidRDefault="0061611B" w:rsidP="0061611B">
      <w:pPr>
        <w:ind w:left="360"/>
        <w:rPr>
          <w:i/>
          <w:color w:val="000000" w:themeColor="text1"/>
          <w:szCs w:val="22"/>
        </w:rPr>
      </w:pPr>
    </w:p>
    <w:tbl>
      <w:tblPr>
        <w:tblStyle w:val="TableGrid"/>
        <w:tblW w:w="0" w:type="auto"/>
        <w:tblLook w:val="04A0" w:firstRow="1" w:lastRow="0" w:firstColumn="1" w:lastColumn="0" w:noHBand="0" w:noVBand="1"/>
      </w:tblPr>
      <w:tblGrid>
        <w:gridCol w:w="4815"/>
        <w:gridCol w:w="4814"/>
      </w:tblGrid>
      <w:tr w:rsidR="00B13D65" w:rsidRPr="00E33EFF" w14:paraId="22A699AD" w14:textId="77777777" w:rsidTr="00C16245">
        <w:trPr>
          <w:trHeight w:val="510"/>
        </w:trPr>
        <w:tc>
          <w:tcPr>
            <w:tcW w:w="4815" w:type="dxa"/>
            <w:vAlign w:val="center"/>
          </w:tcPr>
          <w:p w14:paraId="6411B147" w14:textId="77777777"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15CADDAB" w14:textId="77777777"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2AF5445" w14:textId="77777777" w:rsidTr="00C16245">
        <w:trPr>
          <w:trHeight w:val="510"/>
        </w:trPr>
        <w:tc>
          <w:tcPr>
            <w:tcW w:w="9629" w:type="dxa"/>
            <w:gridSpan w:val="2"/>
            <w:vAlign w:val="center"/>
          </w:tcPr>
          <w:p w14:paraId="6C62504C" w14:textId="77777777"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00DE7F95" w14:textId="77777777" w:rsidTr="0061611B">
        <w:tc>
          <w:tcPr>
            <w:tcW w:w="4815" w:type="dxa"/>
          </w:tcPr>
          <w:p w14:paraId="6B409AD4" w14:textId="77777777" w:rsidR="00B13D65" w:rsidRPr="00E33EFF" w:rsidRDefault="00F83DA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32.1. yra didesnis</w:t>
            </w:r>
            <w:r w:rsidR="00B00959" w:rsidRPr="00E33EFF">
              <w:t>, lyginant su įprasta klinikine praktika</w:t>
            </w:r>
          </w:p>
          <w:p w14:paraId="2880A6F6"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A91ED3A" w14:textId="77777777" w:rsidR="00B13D65" w:rsidRPr="00E33EFF" w:rsidRDefault="00F83DA6"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EndPr>
                <w:rPr>
                  <w:rStyle w:val="Style2"/>
                </w:rPr>
              </w:sdtEndPr>
              <w:sdtContent>
                <w:r w:rsidR="005F0FA9">
                  <w:rPr>
                    <w:rStyle w:val="Style2"/>
                    <w:rFonts w:ascii="MS Gothic" w:eastAsia="MS Gothic" w:hAnsi="MS Gothic" w:hint="eastAsia"/>
                    <w:sz w:val="24"/>
                  </w:rPr>
                  <w:t>☒</w:t>
                </w:r>
              </w:sdtContent>
            </w:sdt>
            <w:r w:rsidR="00B13D65" w:rsidRPr="00E33EFF">
              <w:t xml:space="preserve"> 32.1. iš esmės nesiskiria</w:t>
            </w:r>
            <w:r w:rsidR="00B00959" w:rsidRPr="00E33EFF">
              <w:t>, lyginant su įprasta klinikine praktika</w:t>
            </w:r>
          </w:p>
        </w:tc>
        <w:tc>
          <w:tcPr>
            <w:tcW w:w="4814" w:type="dxa"/>
          </w:tcPr>
          <w:p w14:paraId="7B46BD4F" w14:textId="77777777" w:rsidR="00B13D65" w:rsidRPr="00E33EFF" w:rsidRDefault="00F83DA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r w:rsidR="00B00959" w:rsidRPr="00E33EFF">
              <w:t>, lyginant su įprasta klinikine praktika</w:t>
            </w:r>
          </w:p>
          <w:p w14:paraId="63D96779"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637CD4" w14:textId="77777777" w:rsidR="00662983" w:rsidRPr="00E33EFF" w:rsidRDefault="00F83DA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r w:rsidR="00B00959" w:rsidRPr="00E33EFF">
              <w:t>, lyginant su įprasta klinikine praktika</w:t>
            </w:r>
          </w:p>
          <w:p w14:paraId="51B88BC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FD67AE7" w14:textId="77777777" w:rsidR="00B13D65" w:rsidRPr="00E33EFF" w:rsidRDefault="00F83DA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r w:rsidR="00B00959" w:rsidRPr="00E33EFF">
              <w:t>, lyginant su įprasta klinikine praktika</w:t>
            </w:r>
          </w:p>
          <w:p w14:paraId="5235B93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20EA5BA" w14:textId="77777777" w:rsidR="00B13D65" w:rsidRPr="00E33EFF" w:rsidRDefault="00F83DA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pateikti duomenys apie palyginamąjį efektyvumą yra netinkami vertinti</w:t>
            </w:r>
          </w:p>
          <w:p w14:paraId="36F8C65C"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5CE67348" w14:textId="77777777" w:rsidTr="00C16245">
        <w:trPr>
          <w:trHeight w:val="510"/>
        </w:trPr>
        <w:tc>
          <w:tcPr>
            <w:tcW w:w="9629" w:type="dxa"/>
            <w:gridSpan w:val="2"/>
            <w:vAlign w:val="center"/>
          </w:tcPr>
          <w:p w14:paraId="72D12788" w14:textId="77777777"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B13D65" w:rsidRPr="00E33EFF" w14:paraId="4A352BCD" w14:textId="77777777" w:rsidTr="0061611B">
        <w:tc>
          <w:tcPr>
            <w:tcW w:w="4815" w:type="dxa"/>
          </w:tcPr>
          <w:p w14:paraId="0FE185AC" w14:textId="77777777" w:rsidR="00B13D65" w:rsidRPr="00E33EFF" w:rsidRDefault="00F83DA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32.2. yra įvertintas kaip pagrindžiantis papildomos naudos pacientų sveikatai sukūrimą, lyginant su įprasta klinikine praktika</w:t>
            </w:r>
          </w:p>
          <w:p w14:paraId="59D1DC44"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2FC132A" w14:textId="77777777" w:rsidR="00B13D65" w:rsidRPr="00E33EFF" w:rsidRDefault="00F83DA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EndPr>
                <w:rPr>
                  <w:rStyle w:val="Style2"/>
                </w:rPr>
              </w:sdtEndPr>
              <w:sdtContent>
                <w:r w:rsidR="005F0FA9">
                  <w:rPr>
                    <w:rStyle w:val="Style2"/>
                    <w:rFonts w:ascii="MS Gothic" w:eastAsia="MS Gothic" w:hAnsi="MS Gothic" w:hint="eastAsia"/>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7B7812C3" w14:textId="77777777" w:rsidR="00B13D65" w:rsidRPr="005F0FA9"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4874C13E" w14:textId="77777777" w:rsidR="00662983" w:rsidRPr="00E33EFF" w:rsidRDefault="00F83DA6" w:rsidP="00662983">
            <w:pPr>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422651D9" w14:textId="77777777" w:rsidR="00662983" w:rsidRPr="00E33EFF" w:rsidRDefault="00662983" w:rsidP="00BD1E5A">
            <w:pPr>
              <w:jc w:val="both"/>
            </w:pPr>
          </w:p>
          <w:p w14:paraId="531EC201" w14:textId="77777777" w:rsidR="00B13D65" w:rsidRPr="00E33EFF" w:rsidRDefault="00F83DA6"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5E0587D6"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5391707"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0DD11C50" w14:textId="77777777" w:rsidTr="00C16245">
        <w:trPr>
          <w:trHeight w:val="510"/>
        </w:trPr>
        <w:tc>
          <w:tcPr>
            <w:tcW w:w="9629" w:type="dxa"/>
            <w:gridSpan w:val="2"/>
            <w:vAlign w:val="center"/>
          </w:tcPr>
          <w:p w14:paraId="74DE4384" w14:textId="77777777"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B13D65" w:rsidRPr="00E33EFF" w14:paraId="1ED1CF91" w14:textId="77777777" w:rsidTr="0061611B">
        <w:tc>
          <w:tcPr>
            <w:tcW w:w="4815" w:type="dxa"/>
          </w:tcPr>
          <w:p w14:paraId="2A37D832" w14:textId="4BD21CA0" w:rsidR="00B13D65" w:rsidRPr="00E33EFF" w:rsidRDefault="00F83DA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A06DBB" w:rsidRPr="00E33EFF">
                  <w:rPr>
                    <w:rStyle w:val="Style2"/>
                    <w:rFonts w:ascii="MS Gothic" w:eastAsia="MS Gothic" w:hAnsi="MS Gothic" w:hint="eastAsia"/>
                    <w:sz w:val="24"/>
                  </w:rPr>
                  <w:t>☐</w:t>
                </w:r>
              </w:sdtContent>
            </w:sdt>
            <w:r w:rsidR="00B13D65" w:rsidRPr="00E33EFF">
              <w:t xml:space="preserve"> 32.3. atitinka referencinę naudingumo vertę</w:t>
            </w:r>
          </w:p>
          <w:p w14:paraId="3B6DB34E"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A849990" w14:textId="35640EE8" w:rsidR="00B13D65" w:rsidRPr="00E33EFF" w:rsidRDefault="00F83DA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1"/>
                  <w14:checkedState w14:val="2612" w14:font="MS Gothic"/>
                  <w14:uncheckedState w14:val="2610" w14:font="MS Gothic"/>
                </w14:checkbox>
              </w:sdtPr>
              <w:sdtEndPr>
                <w:rPr>
                  <w:rStyle w:val="Style2"/>
                </w:rPr>
              </w:sdtEndPr>
              <w:sdtContent>
                <w:r w:rsidR="005F0FA9">
                  <w:rPr>
                    <w:rStyle w:val="Style2"/>
                    <w:rFonts w:ascii="MS Gothic" w:eastAsia="MS Gothic" w:hAnsi="MS Gothic" w:hint="eastAsia"/>
                    <w:sz w:val="24"/>
                  </w:rPr>
                  <w:t>☒</w:t>
                </w:r>
              </w:sdtContent>
            </w:sdt>
            <w:r w:rsidR="00B13D65" w:rsidRPr="00E33EFF">
              <w:t xml:space="preserve"> 32.3. gydymo juo kaštai yra mažesni ar tokie patys esant iš esmės nesiskiriančiam palyginamajam efektyvumui</w:t>
            </w:r>
            <w:r w:rsidR="00B13D65" w:rsidRPr="0072287A">
              <w:t xml:space="preserve">, taikant </w:t>
            </w:r>
            <w:r w:rsidR="0072287A" w:rsidRPr="0072287A">
              <w:t xml:space="preserve">PGS, </w:t>
            </w:r>
            <w:r w:rsidR="00B00959" w:rsidRPr="00E33EFF">
              <w:t>lyginant su įprasta klinikine praktika</w:t>
            </w:r>
          </w:p>
          <w:p w14:paraId="4C042E89"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77A161C" w14:textId="77777777" w:rsidR="00B13D65" w:rsidRPr="00E33EFF" w:rsidRDefault="00F83DA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neatitinka referencinės naudingumo vertės Lietuvos Respublikoje</w:t>
            </w:r>
          </w:p>
          <w:p w14:paraId="01AF0FEF"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402FC8C" w14:textId="2C47E04C" w:rsidR="00B13D65" w:rsidRPr="00E33EFF" w:rsidRDefault="00F83DA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gydymo juo kaštai yra didesni esant iš esmės nesiskiriančiam palyginamajam efektyvumui, </w:t>
            </w:r>
            <w:r w:rsidR="00B00959" w:rsidRPr="00E33EFF">
              <w:t>lyginant su įprasta klinikine praktika</w:t>
            </w:r>
          </w:p>
          <w:p w14:paraId="719F4D97"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7709CAF" w14:textId="77777777" w:rsidR="00B13D65" w:rsidRPr="00E33EFF" w:rsidRDefault="00F83DA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pateikti duomenys apie kaštų na</w:t>
            </w:r>
            <w:r w:rsidR="00662983" w:rsidRPr="00E33EFF">
              <w:t>udingumą yra netinkami vertinti</w:t>
            </w:r>
          </w:p>
          <w:p w14:paraId="06379EC0"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7214C0C5" w14:textId="77777777" w:rsidR="004A3A61" w:rsidRPr="00E33EFF" w:rsidRDefault="004A3A61" w:rsidP="00381024"/>
    <w:p w14:paraId="21343044" w14:textId="77777777" w:rsidR="009E44AE" w:rsidRPr="00E33EFF" w:rsidRDefault="009E44AE" w:rsidP="00381024"/>
    <w:p w14:paraId="6A2C6D5A" w14:textId="77777777" w:rsidR="000001B0" w:rsidRPr="00E33EFF" w:rsidRDefault="000001B0" w:rsidP="00CC09D4">
      <w:pPr>
        <w:pStyle w:val="ListParagraph"/>
        <w:numPr>
          <w:ilvl w:val="0"/>
          <w:numId w:val="12"/>
        </w:numPr>
        <w:ind w:left="567" w:hanging="567"/>
      </w:pPr>
      <w:r w:rsidRPr="00E33EFF">
        <w:rPr>
          <w:b/>
        </w:rPr>
        <w:t>REKOME</w:t>
      </w:r>
      <w:r w:rsidR="00D83182" w:rsidRPr="00E33EFF">
        <w:rPr>
          <w:b/>
        </w:rPr>
        <w:t>N</w:t>
      </w:r>
      <w:r w:rsidRPr="00E33EFF">
        <w:rPr>
          <w:b/>
        </w:rPr>
        <w:t>DACIJA</w:t>
      </w:r>
    </w:p>
    <w:p w14:paraId="6A919445" w14:textId="77777777" w:rsidR="000A6E54" w:rsidRDefault="0072287A" w:rsidP="0080267E">
      <w:pPr>
        <w:ind w:firstLine="567"/>
        <w:jc w:val="both"/>
      </w:pPr>
      <w:r>
        <w:lastRenderedPageBreak/>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p>
    <w:p w14:paraId="4E91C039" w14:textId="1380C0A9" w:rsidR="0072287A" w:rsidRDefault="0072287A" w:rsidP="0080267E">
      <w:pPr>
        <w:ind w:firstLine="567"/>
        <w:jc w:val="both"/>
      </w:pPr>
      <w:r>
        <w:t>34.3. kompensuoti vaistinį preparatą pagal paraiškoje nurodytą indikaciją, be skyrimo sąlygų, taikant PGS, dėl iš esmės nesiskiriančio gydymo efektyvumo ir sukuriamos naudos pacientų sveikatai, lyginant su įprasta klinikine praktika, ir dėl mažesnių gydymo kaštų dydžio (kaštų minimizavimas).</w:t>
      </w:r>
    </w:p>
    <w:p w14:paraId="68E214A0" w14:textId="77777777" w:rsidR="000723FF" w:rsidRPr="00E33EFF" w:rsidRDefault="000723FF" w:rsidP="00381024"/>
    <w:p w14:paraId="443E363C" w14:textId="3077784D" w:rsidR="000723FF" w:rsidRPr="00E33EFF" w:rsidRDefault="00CC09D4" w:rsidP="00CC09D4">
      <w:pPr>
        <w:tabs>
          <w:tab w:val="left" w:pos="567"/>
        </w:tabs>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 xml:space="preserve">SIŪLOMOS KOMPENSUOTI TERAPINĖS INDIKACIJOS IR SKYRIMO SĄLYGOS </w:t>
      </w:r>
    </w:p>
    <w:p w14:paraId="21B37C28" w14:textId="77777777" w:rsidR="000723FF" w:rsidRPr="00E33EFF" w:rsidRDefault="000723FF" w:rsidP="000723FF">
      <w:pPr>
        <w:tabs>
          <w:tab w:val="left" w:pos="426"/>
        </w:tabs>
        <w:jc w:val="both"/>
        <w:rPr>
          <w:b/>
          <w:color w:val="000000"/>
          <w:lang w:eastAsia="lt-LT"/>
        </w:rPr>
      </w:pPr>
    </w:p>
    <w:p w14:paraId="7DAED4A2" w14:textId="77777777" w:rsidR="000723FF" w:rsidRPr="00DC5BAC" w:rsidRDefault="000723FF" w:rsidP="00824B92">
      <w:pPr>
        <w:rPr>
          <w:b/>
          <w:lang w:eastAsia="lt-LT"/>
        </w:rPr>
      </w:pPr>
      <w:r w:rsidRPr="00DC5BAC">
        <w:rPr>
          <w:b/>
          <w:lang w:eastAsia="lt-LT"/>
        </w:rPr>
        <w:t>Terapinės indikacijos</w:t>
      </w:r>
    </w:p>
    <w:p w14:paraId="37203D58" w14:textId="77777777" w:rsidR="000723FF" w:rsidRPr="00AF1603" w:rsidRDefault="00F83DA6" w:rsidP="00824B92">
      <w:sdt>
        <w:sdtPr>
          <w:rPr>
            <w:rStyle w:val="Style2"/>
            <w:sz w:val="24"/>
          </w:rPr>
          <w:id w:val="1146316688"/>
          <w15:color w:val="FFCC00"/>
          <w14:checkbox>
            <w14:checked w14:val="1"/>
            <w14:checkedState w14:val="2612" w14:font="MS Gothic"/>
            <w14:uncheckedState w14:val="2610" w14:font="MS Gothic"/>
          </w14:checkbox>
        </w:sdtPr>
        <w:sdtEndPr>
          <w:rPr>
            <w:rStyle w:val="Style2"/>
          </w:rPr>
        </w:sdtEndPr>
        <w:sdtContent>
          <w:r w:rsidR="00AF1603" w:rsidRPr="00AF1603">
            <w:rPr>
              <w:rStyle w:val="Style2"/>
              <w:rFonts w:ascii="MS Gothic" w:eastAsia="MS Gothic" w:hAnsi="MS Gothic" w:hint="eastAsia"/>
              <w:sz w:val="24"/>
            </w:rPr>
            <w:t>☒</w:t>
          </w:r>
        </w:sdtContent>
      </w:sdt>
      <w:r w:rsidR="000723FF" w:rsidRPr="00AF1603">
        <w:t xml:space="preserve"> Siūloma kompensuoti Pareiškėjo teikiamą indikaciją be pakeitimų.</w:t>
      </w:r>
    </w:p>
    <w:p w14:paraId="6ADE216C" w14:textId="1E98ACE9" w:rsidR="00AF1603" w:rsidRPr="00AF1603" w:rsidRDefault="00AF1603" w:rsidP="00AF1603">
      <w:pPr>
        <w:widowControl w:val="0"/>
        <w:jc w:val="both"/>
      </w:pPr>
      <w:r w:rsidRPr="00AF1603">
        <w:t xml:space="preserve">Suaugusiųjų, sergančių </w:t>
      </w:r>
      <w:proofErr w:type="spellStart"/>
      <w:r w:rsidRPr="00AF1603">
        <w:t>narkolepsija</w:t>
      </w:r>
      <w:proofErr w:type="spellEnd"/>
      <w:r w:rsidRPr="00AF1603">
        <w:t xml:space="preserve"> su </w:t>
      </w:r>
      <w:proofErr w:type="spellStart"/>
      <w:r w:rsidRPr="00AF1603">
        <w:t>katapleksija</w:t>
      </w:r>
      <w:proofErr w:type="spellEnd"/>
      <w:r w:rsidRPr="00AF1603">
        <w:t>, gydymas.</w:t>
      </w:r>
    </w:p>
    <w:p w14:paraId="66B51EDF" w14:textId="77777777" w:rsidR="000723FF" w:rsidRPr="00AF1603" w:rsidRDefault="00F83DA6" w:rsidP="00824B92">
      <w:sdt>
        <w:sdtPr>
          <w:rPr>
            <w:rStyle w:val="Style2"/>
            <w:sz w:val="24"/>
          </w:rPr>
          <w:id w:val="1467245146"/>
          <w15:color w:val="FFCC00"/>
          <w14:checkbox>
            <w14:checked w14:val="0"/>
            <w14:checkedState w14:val="2612" w14:font="MS Gothic"/>
            <w14:uncheckedState w14:val="2610" w14:font="MS Gothic"/>
          </w14:checkbox>
        </w:sdtPr>
        <w:sdtEndPr>
          <w:rPr>
            <w:rStyle w:val="Style2"/>
          </w:rPr>
        </w:sdtEndPr>
        <w:sdtContent>
          <w:r w:rsidR="000723FF" w:rsidRPr="00AF1603">
            <w:rPr>
              <w:rStyle w:val="Style2"/>
              <w:rFonts w:ascii="MS Gothic" w:eastAsia="MS Gothic" w:hAnsi="MS Gothic"/>
              <w:sz w:val="24"/>
            </w:rPr>
            <w:t>☐</w:t>
          </w:r>
        </w:sdtContent>
      </w:sdt>
      <w:r w:rsidR="000723FF" w:rsidRPr="00AF1603">
        <w:t xml:space="preserve"> Siūloma kompensuoti Pareiškėjo teikiamą indikaciją su pakeitimais.</w:t>
      </w:r>
    </w:p>
    <w:p w14:paraId="4D6E4DEB" w14:textId="77777777" w:rsidR="000723FF" w:rsidRPr="00AF1603" w:rsidRDefault="000723FF" w:rsidP="00824B92"/>
    <w:p w14:paraId="1BB00258" w14:textId="77777777" w:rsidR="000723FF" w:rsidRPr="00AF1603" w:rsidRDefault="000723FF" w:rsidP="00824B92">
      <w:pPr>
        <w:rPr>
          <w:b/>
        </w:rPr>
      </w:pPr>
      <w:r w:rsidRPr="00AF1603">
        <w:rPr>
          <w:b/>
        </w:rPr>
        <w:t>Skyrimo sąlygos</w:t>
      </w:r>
    </w:p>
    <w:p w14:paraId="4A56B8DE" w14:textId="77777777" w:rsidR="000723FF" w:rsidRPr="00AF1603" w:rsidRDefault="00F83DA6" w:rsidP="00824B92">
      <w:sdt>
        <w:sdtPr>
          <w:rPr>
            <w:rStyle w:val="Style2"/>
            <w:sz w:val="24"/>
          </w:rPr>
          <w:id w:val="169305347"/>
          <w15:color w:val="FFCC00"/>
          <w14:checkbox>
            <w14:checked w14:val="1"/>
            <w14:checkedState w14:val="2612" w14:font="MS Gothic"/>
            <w14:uncheckedState w14:val="2610" w14:font="MS Gothic"/>
          </w14:checkbox>
        </w:sdtPr>
        <w:sdtEndPr>
          <w:rPr>
            <w:rStyle w:val="Style2"/>
          </w:rPr>
        </w:sdtEndPr>
        <w:sdtContent>
          <w:r w:rsidR="00AF1603" w:rsidRPr="00AF1603">
            <w:rPr>
              <w:rStyle w:val="Style2"/>
              <w:rFonts w:ascii="MS Gothic" w:eastAsia="MS Gothic" w:hAnsi="MS Gothic" w:hint="eastAsia"/>
              <w:sz w:val="24"/>
            </w:rPr>
            <w:t>☒</w:t>
          </w:r>
        </w:sdtContent>
      </w:sdt>
      <w:r w:rsidR="000723FF" w:rsidRPr="00AF1603">
        <w:t xml:space="preserve"> Pareiškėjo siūlomos skyrimo sąlygos priimtinos. </w:t>
      </w:r>
    </w:p>
    <w:p w14:paraId="7BFF00C0" w14:textId="77777777" w:rsidR="000723FF" w:rsidRPr="00AF1603" w:rsidRDefault="000723FF" w:rsidP="00824B92">
      <w:r w:rsidRPr="00AF1603">
        <w:t xml:space="preserve"> </w:t>
      </w:r>
      <w:r w:rsidR="00AF1603" w:rsidRPr="00AF1603">
        <w:t>Skyrimo sąlygos nesiūlomos.</w:t>
      </w:r>
    </w:p>
    <w:p w14:paraId="00CCB95E" w14:textId="77777777" w:rsidR="000723FF" w:rsidRPr="00AF1603" w:rsidRDefault="00F83DA6" w:rsidP="00824B92">
      <w:sdt>
        <w:sdtPr>
          <w:rPr>
            <w:rStyle w:val="Style2"/>
            <w:sz w:val="24"/>
          </w:rPr>
          <w:id w:val="1823936883"/>
          <w15:color w:val="FFCC00"/>
          <w14:checkbox>
            <w14:checked w14:val="0"/>
            <w14:checkedState w14:val="2612" w14:font="MS Gothic"/>
            <w14:uncheckedState w14:val="2610" w14:font="MS Gothic"/>
          </w14:checkbox>
        </w:sdtPr>
        <w:sdtEndPr>
          <w:rPr>
            <w:rStyle w:val="Style2"/>
          </w:rPr>
        </w:sdtEndPr>
        <w:sdtContent>
          <w:r w:rsidR="000723FF" w:rsidRPr="00AF1603">
            <w:rPr>
              <w:rStyle w:val="Style2"/>
              <w:rFonts w:ascii="MS Gothic" w:eastAsia="MS Gothic" w:hAnsi="MS Gothic"/>
              <w:sz w:val="24"/>
            </w:rPr>
            <w:t>☐</w:t>
          </w:r>
        </w:sdtContent>
      </w:sdt>
      <w:r w:rsidR="000723FF" w:rsidRPr="00AF1603">
        <w:t xml:space="preserve"> Pareiškėjo siūlomos skyrimo sąlygos nepriimtinos. </w:t>
      </w:r>
    </w:p>
    <w:p w14:paraId="48F0091D" w14:textId="77777777" w:rsidR="000723FF" w:rsidRPr="000723FF" w:rsidRDefault="000723FF" w:rsidP="00824B92">
      <w:pPr>
        <w:rPr>
          <w:b/>
        </w:rPr>
      </w:pPr>
    </w:p>
    <w:sectPr w:rsidR="000723FF" w:rsidRPr="000723FF"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BFF90" w14:textId="77777777" w:rsidR="001A7DBA" w:rsidRDefault="001A7DBA">
      <w:r>
        <w:separator/>
      </w:r>
    </w:p>
  </w:endnote>
  <w:endnote w:type="continuationSeparator" w:id="0">
    <w:p w14:paraId="206ED4B7" w14:textId="77777777" w:rsidR="001A7DBA" w:rsidRDefault="001A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03A7A"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05A1F" w14:textId="77777777" w:rsidR="001A7DBA" w:rsidRDefault="001A7DBA">
      <w:r>
        <w:separator/>
      </w:r>
    </w:p>
  </w:footnote>
  <w:footnote w:type="continuationSeparator" w:id="0">
    <w:p w14:paraId="76878526" w14:textId="77777777" w:rsidR="001A7DBA" w:rsidRDefault="001A7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ED498"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5E9E64"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66861" w14:textId="79B1E9AC"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77E3">
      <w:rPr>
        <w:rStyle w:val="PageNumber"/>
        <w:noProof/>
      </w:rPr>
      <w:t>6</w:t>
    </w:r>
    <w:r>
      <w:rPr>
        <w:rStyle w:val="PageNumber"/>
      </w:rPr>
      <w:fldChar w:fldCharType="end"/>
    </w:r>
  </w:p>
  <w:p w14:paraId="16CF4ADA"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68537"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4B6C6C"/>
    <w:multiLevelType w:val="hybridMultilevel"/>
    <w:tmpl w:val="4F0E2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1A55548F"/>
    <w:multiLevelType w:val="hybridMultilevel"/>
    <w:tmpl w:val="54E6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E48D1"/>
    <w:multiLevelType w:val="hybridMultilevel"/>
    <w:tmpl w:val="77044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9"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5F872C0"/>
    <w:multiLevelType w:val="hybridMultilevel"/>
    <w:tmpl w:val="3FB2F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4693352">
    <w:abstractNumId w:val="9"/>
  </w:num>
  <w:num w:numId="2" w16cid:durableId="301619542">
    <w:abstractNumId w:val="1"/>
  </w:num>
  <w:num w:numId="3" w16cid:durableId="1303077097">
    <w:abstractNumId w:val="11"/>
  </w:num>
  <w:num w:numId="4" w16cid:durableId="531459253">
    <w:abstractNumId w:val="10"/>
  </w:num>
  <w:num w:numId="5" w16cid:durableId="1229419526">
    <w:abstractNumId w:val="8"/>
  </w:num>
  <w:num w:numId="6" w16cid:durableId="1356690765">
    <w:abstractNumId w:val="7"/>
  </w:num>
  <w:num w:numId="7" w16cid:durableId="50735653">
    <w:abstractNumId w:val="4"/>
  </w:num>
  <w:num w:numId="8" w16cid:durableId="1305354504">
    <w:abstractNumId w:val="14"/>
  </w:num>
  <w:num w:numId="9" w16cid:durableId="1216745434">
    <w:abstractNumId w:val="0"/>
  </w:num>
  <w:num w:numId="10" w16cid:durableId="609968522">
    <w:abstractNumId w:val="12"/>
  </w:num>
  <w:num w:numId="11" w16cid:durableId="1198813990">
    <w:abstractNumId w:val="13"/>
  </w:num>
  <w:num w:numId="12" w16cid:durableId="1218587851">
    <w:abstractNumId w:val="3"/>
  </w:num>
  <w:num w:numId="13" w16cid:durableId="1993025531">
    <w:abstractNumId w:val="15"/>
  </w:num>
  <w:num w:numId="14" w16cid:durableId="25102891">
    <w:abstractNumId w:val="6"/>
  </w:num>
  <w:num w:numId="15" w16cid:durableId="845826263">
    <w:abstractNumId w:val="2"/>
  </w:num>
  <w:num w:numId="16" w16cid:durableId="19238756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F92"/>
    <w:rsid w:val="000001B0"/>
    <w:rsid w:val="00003F5B"/>
    <w:rsid w:val="000114DD"/>
    <w:rsid w:val="000136F7"/>
    <w:rsid w:val="0002686C"/>
    <w:rsid w:val="00031D0E"/>
    <w:rsid w:val="000337E6"/>
    <w:rsid w:val="0003402E"/>
    <w:rsid w:val="00034EAE"/>
    <w:rsid w:val="00042924"/>
    <w:rsid w:val="00053975"/>
    <w:rsid w:val="00057A2B"/>
    <w:rsid w:val="000606BE"/>
    <w:rsid w:val="000723FF"/>
    <w:rsid w:val="000736B8"/>
    <w:rsid w:val="00076F39"/>
    <w:rsid w:val="0008190F"/>
    <w:rsid w:val="00081D9C"/>
    <w:rsid w:val="00082907"/>
    <w:rsid w:val="0008378D"/>
    <w:rsid w:val="000908A5"/>
    <w:rsid w:val="00092805"/>
    <w:rsid w:val="000A6E54"/>
    <w:rsid w:val="000C454C"/>
    <w:rsid w:val="000D5038"/>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64146"/>
    <w:rsid w:val="0017369C"/>
    <w:rsid w:val="00175D57"/>
    <w:rsid w:val="00180C39"/>
    <w:rsid w:val="00180D96"/>
    <w:rsid w:val="00184BD3"/>
    <w:rsid w:val="001921F3"/>
    <w:rsid w:val="001A7DBA"/>
    <w:rsid w:val="001B3C5B"/>
    <w:rsid w:val="001D4A32"/>
    <w:rsid w:val="001D746F"/>
    <w:rsid w:val="001E4BBB"/>
    <w:rsid w:val="001E6304"/>
    <w:rsid w:val="0020381E"/>
    <w:rsid w:val="00213471"/>
    <w:rsid w:val="00215906"/>
    <w:rsid w:val="00241CD8"/>
    <w:rsid w:val="00244B09"/>
    <w:rsid w:val="002519CB"/>
    <w:rsid w:val="0025697F"/>
    <w:rsid w:val="00260258"/>
    <w:rsid w:val="0026588E"/>
    <w:rsid w:val="00272428"/>
    <w:rsid w:val="00272948"/>
    <w:rsid w:val="00292392"/>
    <w:rsid w:val="002946C7"/>
    <w:rsid w:val="002B3CC1"/>
    <w:rsid w:val="002B5270"/>
    <w:rsid w:val="002C09E0"/>
    <w:rsid w:val="002C1BB1"/>
    <w:rsid w:val="002C2786"/>
    <w:rsid w:val="002C3A10"/>
    <w:rsid w:val="002C4A90"/>
    <w:rsid w:val="002C4ED5"/>
    <w:rsid w:val="002D02EF"/>
    <w:rsid w:val="002D09DE"/>
    <w:rsid w:val="002E0702"/>
    <w:rsid w:val="002E57AD"/>
    <w:rsid w:val="002E6F80"/>
    <w:rsid w:val="002F0E4F"/>
    <w:rsid w:val="002F1053"/>
    <w:rsid w:val="00306DE6"/>
    <w:rsid w:val="00317B0E"/>
    <w:rsid w:val="0032717A"/>
    <w:rsid w:val="00347FAA"/>
    <w:rsid w:val="0035172D"/>
    <w:rsid w:val="0036187D"/>
    <w:rsid w:val="00367EDB"/>
    <w:rsid w:val="00381024"/>
    <w:rsid w:val="00386307"/>
    <w:rsid w:val="003874DE"/>
    <w:rsid w:val="00393E9F"/>
    <w:rsid w:val="0039696E"/>
    <w:rsid w:val="003B211A"/>
    <w:rsid w:val="003C141F"/>
    <w:rsid w:val="003C6B0E"/>
    <w:rsid w:val="003C7257"/>
    <w:rsid w:val="003C7E35"/>
    <w:rsid w:val="003D1E99"/>
    <w:rsid w:val="003D6208"/>
    <w:rsid w:val="00404E8A"/>
    <w:rsid w:val="0040622F"/>
    <w:rsid w:val="00413F24"/>
    <w:rsid w:val="00422853"/>
    <w:rsid w:val="00422A78"/>
    <w:rsid w:val="00423160"/>
    <w:rsid w:val="00453862"/>
    <w:rsid w:val="0045469B"/>
    <w:rsid w:val="00461338"/>
    <w:rsid w:val="004677DB"/>
    <w:rsid w:val="00476256"/>
    <w:rsid w:val="0048630F"/>
    <w:rsid w:val="004947A1"/>
    <w:rsid w:val="0049482A"/>
    <w:rsid w:val="004979D3"/>
    <w:rsid w:val="004A00E7"/>
    <w:rsid w:val="004A3A61"/>
    <w:rsid w:val="004B59BA"/>
    <w:rsid w:val="004B5A03"/>
    <w:rsid w:val="004C263A"/>
    <w:rsid w:val="004D48A6"/>
    <w:rsid w:val="004D7B8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94744"/>
    <w:rsid w:val="005976CE"/>
    <w:rsid w:val="005A23D4"/>
    <w:rsid w:val="005A2D1E"/>
    <w:rsid w:val="005A3F92"/>
    <w:rsid w:val="005B3756"/>
    <w:rsid w:val="005C493F"/>
    <w:rsid w:val="005C6BF7"/>
    <w:rsid w:val="005C71BF"/>
    <w:rsid w:val="005D002C"/>
    <w:rsid w:val="005D30E1"/>
    <w:rsid w:val="005D6555"/>
    <w:rsid w:val="005D7BDF"/>
    <w:rsid w:val="005E4870"/>
    <w:rsid w:val="005F0FA9"/>
    <w:rsid w:val="005F71D9"/>
    <w:rsid w:val="005F7602"/>
    <w:rsid w:val="006062BE"/>
    <w:rsid w:val="00613143"/>
    <w:rsid w:val="00613501"/>
    <w:rsid w:val="0061611B"/>
    <w:rsid w:val="006166A8"/>
    <w:rsid w:val="006174A1"/>
    <w:rsid w:val="00621D6C"/>
    <w:rsid w:val="006267AB"/>
    <w:rsid w:val="00633B49"/>
    <w:rsid w:val="0064297F"/>
    <w:rsid w:val="00645102"/>
    <w:rsid w:val="00646CF3"/>
    <w:rsid w:val="00653C71"/>
    <w:rsid w:val="00653D11"/>
    <w:rsid w:val="00662983"/>
    <w:rsid w:val="006834D3"/>
    <w:rsid w:val="00692625"/>
    <w:rsid w:val="00695CD3"/>
    <w:rsid w:val="006A38B6"/>
    <w:rsid w:val="006B1987"/>
    <w:rsid w:val="006B5B71"/>
    <w:rsid w:val="006B6CB0"/>
    <w:rsid w:val="006C0296"/>
    <w:rsid w:val="006C2B64"/>
    <w:rsid w:val="006D4C85"/>
    <w:rsid w:val="006D66AC"/>
    <w:rsid w:val="006E12DA"/>
    <w:rsid w:val="006E33F6"/>
    <w:rsid w:val="006F1251"/>
    <w:rsid w:val="006F1C23"/>
    <w:rsid w:val="00702C18"/>
    <w:rsid w:val="00703166"/>
    <w:rsid w:val="007127F3"/>
    <w:rsid w:val="0072287A"/>
    <w:rsid w:val="007301CF"/>
    <w:rsid w:val="007316FB"/>
    <w:rsid w:val="007374D0"/>
    <w:rsid w:val="00737E2D"/>
    <w:rsid w:val="007424D5"/>
    <w:rsid w:val="00750A88"/>
    <w:rsid w:val="007523DD"/>
    <w:rsid w:val="00757B7E"/>
    <w:rsid w:val="007656B2"/>
    <w:rsid w:val="0077016F"/>
    <w:rsid w:val="007713AD"/>
    <w:rsid w:val="00795DC5"/>
    <w:rsid w:val="00797153"/>
    <w:rsid w:val="007A21F7"/>
    <w:rsid w:val="007A2B68"/>
    <w:rsid w:val="007B0DDA"/>
    <w:rsid w:val="007C07F6"/>
    <w:rsid w:val="007D3347"/>
    <w:rsid w:val="007E5466"/>
    <w:rsid w:val="007F1949"/>
    <w:rsid w:val="007F2592"/>
    <w:rsid w:val="00800A08"/>
    <w:rsid w:val="0080267E"/>
    <w:rsid w:val="00817A84"/>
    <w:rsid w:val="008225A4"/>
    <w:rsid w:val="00824B92"/>
    <w:rsid w:val="00826D5E"/>
    <w:rsid w:val="00832013"/>
    <w:rsid w:val="00832DB7"/>
    <w:rsid w:val="00834732"/>
    <w:rsid w:val="0085200C"/>
    <w:rsid w:val="00857C52"/>
    <w:rsid w:val="00860D5F"/>
    <w:rsid w:val="00880A44"/>
    <w:rsid w:val="0088345E"/>
    <w:rsid w:val="0088656F"/>
    <w:rsid w:val="00891EF6"/>
    <w:rsid w:val="008A0303"/>
    <w:rsid w:val="008A5FDD"/>
    <w:rsid w:val="008C3947"/>
    <w:rsid w:val="008E473B"/>
    <w:rsid w:val="008E51A6"/>
    <w:rsid w:val="008E7329"/>
    <w:rsid w:val="008F2ED5"/>
    <w:rsid w:val="00910A3A"/>
    <w:rsid w:val="0092297E"/>
    <w:rsid w:val="00923651"/>
    <w:rsid w:val="00927B56"/>
    <w:rsid w:val="009341BF"/>
    <w:rsid w:val="00937907"/>
    <w:rsid w:val="00941739"/>
    <w:rsid w:val="00951573"/>
    <w:rsid w:val="00963003"/>
    <w:rsid w:val="00966EEF"/>
    <w:rsid w:val="00971B28"/>
    <w:rsid w:val="00983471"/>
    <w:rsid w:val="009909AB"/>
    <w:rsid w:val="009B37DB"/>
    <w:rsid w:val="009C7A8C"/>
    <w:rsid w:val="009D23F9"/>
    <w:rsid w:val="009D4FA8"/>
    <w:rsid w:val="009E44AE"/>
    <w:rsid w:val="009E6CD6"/>
    <w:rsid w:val="009F4D66"/>
    <w:rsid w:val="00A00C3C"/>
    <w:rsid w:val="00A01091"/>
    <w:rsid w:val="00A042B9"/>
    <w:rsid w:val="00A06DBB"/>
    <w:rsid w:val="00A22ADF"/>
    <w:rsid w:val="00A31E86"/>
    <w:rsid w:val="00A54D87"/>
    <w:rsid w:val="00A5553C"/>
    <w:rsid w:val="00A701C9"/>
    <w:rsid w:val="00A81785"/>
    <w:rsid w:val="00A84803"/>
    <w:rsid w:val="00A84C51"/>
    <w:rsid w:val="00A86F2B"/>
    <w:rsid w:val="00A91366"/>
    <w:rsid w:val="00A93AA6"/>
    <w:rsid w:val="00AA4E48"/>
    <w:rsid w:val="00AA56EA"/>
    <w:rsid w:val="00AA6202"/>
    <w:rsid w:val="00AA7B57"/>
    <w:rsid w:val="00AC26FC"/>
    <w:rsid w:val="00AC4A99"/>
    <w:rsid w:val="00AC64D2"/>
    <w:rsid w:val="00AD02E7"/>
    <w:rsid w:val="00AE0FE8"/>
    <w:rsid w:val="00AE1322"/>
    <w:rsid w:val="00AF1603"/>
    <w:rsid w:val="00AF60D5"/>
    <w:rsid w:val="00B00959"/>
    <w:rsid w:val="00B04415"/>
    <w:rsid w:val="00B06509"/>
    <w:rsid w:val="00B11D60"/>
    <w:rsid w:val="00B13D65"/>
    <w:rsid w:val="00B21805"/>
    <w:rsid w:val="00B3072E"/>
    <w:rsid w:val="00B36E15"/>
    <w:rsid w:val="00B37245"/>
    <w:rsid w:val="00B4017A"/>
    <w:rsid w:val="00B4468D"/>
    <w:rsid w:val="00B71C72"/>
    <w:rsid w:val="00B81E92"/>
    <w:rsid w:val="00B908D7"/>
    <w:rsid w:val="00B915AB"/>
    <w:rsid w:val="00B935E8"/>
    <w:rsid w:val="00B93B30"/>
    <w:rsid w:val="00B94CB5"/>
    <w:rsid w:val="00BA0DD9"/>
    <w:rsid w:val="00BA5DBC"/>
    <w:rsid w:val="00BB6312"/>
    <w:rsid w:val="00BC4D06"/>
    <w:rsid w:val="00BD585E"/>
    <w:rsid w:val="00BD6919"/>
    <w:rsid w:val="00BE1EA7"/>
    <w:rsid w:val="00BE7489"/>
    <w:rsid w:val="00BF2E0D"/>
    <w:rsid w:val="00BF3927"/>
    <w:rsid w:val="00BF3F8B"/>
    <w:rsid w:val="00BF76DA"/>
    <w:rsid w:val="00C02EEA"/>
    <w:rsid w:val="00C07C7B"/>
    <w:rsid w:val="00C16245"/>
    <w:rsid w:val="00C22DC5"/>
    <w:rsid w:val="00C24479"/>
    <w:rsid w:val="00C273F2"/>
    <w:rsid w:val="00C37B53"/>
    <w:rsid w:val="00C517D2"/>
    <w:rsid w:val="00C5772E"/>
    <w:rsid w:val="00C62B36"/>
    <w:rsid w:val="00C7012C"/>
    <w:rsid w:val="00C712EA"/>
    <w:rsid w:val="00CA217D"/>
    <w:rsid w:val="00CC09D4"/>
    <w:rsid w:val="00CC668D"/>
    <w:rsid w:val="00CC7832"/>
    <w:rsid w:val="00CE77E3"/>
    <w:rsid w:val="00CF0C1C"/>
    <w:rsid w:val="00CF27FD"/>
    <w:rsid w:val="00CF5F12"/>
    <w:rsid w:val="00D00D8F"/>
    <w:rsid w:val="00D21F3A"/>
    <w:rsid w:val="00D23808"/>
    <w:rsid w:val="00D3016A"/>
    <w:rsid w:val="00D417D2"/>
    <w:rsid w:val="00D42960"/>
    <w:rsid w:val="00D43BD7"/>
    <w:rsid w:val="00D4485B"/>
    <w:rsid w:val="00D4708D"/>
    <w:rsid w:val="00D4744C"/>
    <w:rsid w:val="00D521DE"/>
    <w:rsid w:val="00D5470B"/>
    <w:rsid w:val="00D63068"/>
    <w:rsid w:val="00D6498C"/>
    <w:rsid w:val="00D76A70"/>
    <w:rsid w:val="00D83182"/>
    <w:rsid w:val="00D8521E"/>
    <w:rsid w:val="00D9291C"/>
    <w:rsid w:val="00D93A97"/>
    <w:rsid w:val="00DB1F64"/>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00F5"/>
    <w:rsid w:val="00E745A1"/>
    <w:rsid w:val="00E81529"/>
    <w:rsid w:val="00E83A13"/>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6972"/>
    <w:rsid w:val="00F42426"/>
    <w:rsid w:val="00F456BC"/>
    <w:rsid w:val="00F50666"/>
    <w:rsid w:val="00F70C9E"/>
    <w:rsid w:val="00F74A74"/>
    <w:rsid w:val="00F7572C"/>
    <w:rsid w:val="00F8216D"/>
    <w:rsid w:val="00F8382C"/>
    <w:rsid w:val="00F83DA6"/>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27E5648"/>
  <w15:docId w15:val="{6A405970-B150-3C49-8697-1DC7A6E4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basedOn w:val="Normal"/>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markedcontent">
    <w:name w:val="markedcontent"/>
    <w:basedOn w:val="DefaultParagraphFont"/>
    <w:rsid w:val="005F0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6924C98EDAB440B9D698DF0451526C"/>
        <w:category>
          <w:name w:val="General"/>
          <w:gallery w:val="placeholder"/>
        </w:category>
        <w:types>
          <w:type w:val="bbPlcHdr"/>
        </w:types>
        <w:behaviors>
          <w:behavior w:val="content"/>
        </w:behaviors>
        <w:guid w:val="{59397DD1-AA0E-C14E-BBE3-CBA54A63A4D4}"/>
      </w:docPartPr>
      <w:docPartBody>
        <w:p w:rsidR="00481FA9" w:rsidRDefault="009466D8">
          <w:pPr>
            <w:pStyle w:val="C86924C98EDAB440B9D698DF0451526C"/>
          </w:pPr>
          <w:r>
            <w:rPr>
              <w:rStyle w:val="PlaceholderText"/>
            </w:rPr>
            <w:t>Click here to enter a date.</w:t>
          </w:r>
        </w:p>
      </w:docPartBody>
    </w:docPart>
    <w:docPart>
      <w:docPartPr>
        <w:name w:val="CDF38DFA89259449A8BCB1DD0452BC44"/>
        <w:category>
          <w:name w:val="General"/>
          <w:gallery w:val="placeholder"/>
        </w:category>
        <w:types>
          <w:type w:val="bbPlcHdr"/>
        </w:types>
        <w:behaviors>
          <w:behavior w:val="content"/>
        </w:behaviors>
        <w:guid w:val="{B4E6E212-22C2-C24C-9038-DC5DA3C1A4CE}"/>
      </w:docPartPr>
      <w:docPartBody>
        <w:p w:rsidR="00481FA9" w:rsidRDefault="009466D8">
          <w:pPr>
            <w:pStyle w:val="CDF38DFA89259449A8BCB1DD0452BC44"/>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6D8"/>
    <w:rsid w:val="00070348"/>
    <w:rsid w:val="00481FA9"/>
    <w:rsid w:val="005378D8"/>
    <w:rsid w:val="009466D8"/>
    <w:rsid w:val="00A24486"/>
    <w:rsid w:val="00A54B77"/>
    <w:rsid w:val="00D20BFF"/>
    <w:rsid w:val="00E267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C86924C98EDAB440B9D698DF0451526C">
    <w:name w:val="C86924C98EDAB440B9D698DF0451526C"/>
  </w:style>
  <w:style w:type="paragraph" w:customStyle="1" w:styleId="CDF38DFA89259449A8BCB1DD0452BC44">
    <w:name w:val="CDF38DFA89259449A8BCB1DD0452B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C7C59-7765-4F33-90FA-4F85A4DC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1777</Words>
  <Characters>12348</Characters>
  <Application>Microsoft Office Word</Application>
  <DocSecurity>4</DocSecurity>
  <Lines>102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S.M.C.A.</Company>
  <LinksUpToDate>false</LinksUpToDate>
  <CharactersWithSpaces>14097</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Aurimas Motiejūnas</cp:lastModifiedBy>
  <cp:revision>2</cp:revision>
  <cp:lastPrinted>2015-11-17T07:39:00Z</cp:lastPrinted>
  <dcterms:created xsi:type="dcterms:W3CDTF">2023-03-20T10:21:00Z</dcterms:created>
  <dcterms:modified xsi:type="dcterms:W3CDTF">2023-03-20T10:21:00Z</dcterms:modified>
</cp:coreProperties>
</file>