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E48716C" w14:textId="20DAE0D0" w:rsidR="00437CCE" w:rsidRPr="003377C4" w:rsidRDefault="00437CCE" w:rsidP="00437CCE">
      <w:pPr>
        <w:jc w:val="center"/>
        <w:rPr>
          <w:b/>
        </w:rPr>
      </w:pPr>
      <w:r w:rsidRPr="003377C4">
        <w:rPr>
          <w:b/>
        </w:rPr>
        <w:t>Lynparza 100 mg ir 150 mg plėvele dengtos tabletės</w:t>
      </w:r>
    </w:p>
    <w:p w14:paraId="5C33ED50" w14:textId="77777777" w:rsidR="00437CCE" w:rsidRPr="003377C4" w:rsidRDefault="00437CCE" w:rsidP="00437CCE">
      <w:pPr>
        <w:jc w:val="center"/>
      </w:pPr>
    </w:p>
    <w:p w14:paraId="4F23EEED" w14:textId="77777777" w:rsidR="00437CCE" w:rsidRPr="003377C4" w:rsidRDefault="00437CCE" w:rsidP="00437CCE">
      <w:pPr>
        <w:jc w:val="center"/>
      </w:pPr>
      <w:r w:rsidRPr="003377C4">
        <w:t>(</w:t>
      </w:r>
      <w:r w:rsidRPr="003377C4">
        <w:rPr>
          <w:b/>
        </w:rPr>
        <w:t>Olaparibas</w:t>
      </w:r>
      <w:r w:rsidRPr="003377C4">
        <w:t>)</w:t>
      </w:r>
    </w:p>
    <w:p w14:paraId="7245D69E" w14:textId="77777777" w:rsidR="00937907" w:rsidRPr="00E33EFF" w:rsidRDefault="00937907" w:rsidP="00937907">
      <w:pPr>
        <w:jc w:val="center"/>
      </w:pPr>
    </w:p>
    <w:p w14:paraId="5BC2EA5D" w14:textId="2CA2F5CA" w:rsidR="00937907" w:rsidRPr="00E33EFF" w:rsidRDefault="00E94000" w:rsidP="003B211A">
      <w:pPr>
        <w:jc w:val="center"/>
        <w:rPr>
          <w:b/>
        </w:rPr>
      </w:pPr>
      <w:r>
        <w:rPr>
          <w:b/>
        </w:rPr>
        <w:t xml:space="preserve">STV </w:t>
      </w:r>
      <w:r w:rsidR="00437CCE">
        <w:rPr>
          <w:b/>
        </w:rPr>
        <w:t>22</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46080A0B" w:rsidR="00937907" w:rsidRPr="00E33EFF" w:rsidRDefault="00437CCE" w:rsidP="00824B92">
            <w:r w:rsidRPr="003377C4">
              <w:t>UAB „AstraZeneca Lietuva“</w:t>
            </w:r>
          </w:p>
          <w:p w14:paraId="2AAF0D91" w14:textId="77777777" w:rsidR="00B13D65" w:rsidRPr="00E33EFF"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538F8242" w:rsidR="00B13D65" w:rsidRPr="00E33EFF" w:rsidRDefault="00000000" w:rsidP="0097582C">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97582C">
                  <w:t>2014</w:t>
                </w:r>
                <w:r w:rsidR="00E94000" w:rsidRPr="00E94000">
                  <w:t xml:space="preserve"> </w:t>
                </w:r>
                <w:r w:rsidR="0097582C">
                  <w:t>gruodžio</w:t>
                </w:r>
                <w:r w:rsidR="00E94000" w:rsidRPr="00E94000">
                  <w:t xml:space="preserve"> </w:t>
                </w:r>
                <w:r w:rsidR="0097582C">
                  <w:t>16</w:t>
                </w:r>
                <w:r w:rsidR="00E94000" w:rsidRPr="00E94000">
                  <w:t xml:space="preserve">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4A020878"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E94000">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824B92">
            <w:pPr>
              <w:rPr>
                <w:bCs/>
                <w:i/>
                <w:color w:val="000000"/>
                <w:lang w:eastAsia="lt-LT"/>
              </w:rPr>
            </w:pPr>
          </w:p>
          <w:p w14:paraId="483071A3" w14:textId="1E357949" w:rsidR="00B13D65" w:rsidRPr="00E33EFF" w:rsidRDefault="00B13D65" w:rsidP="00824B92">
            <w:pPr>
              <w:rPr>
                <w:bCs/>
                <w:color w:val="000000"/>
                <w:lang w:eastAsia="lt-LT"/>
              </w:rPr>
            </w:pPr>
          </w:p>
        </w:tc>
        <w:tc>
          <w:tcPr>
            <w:tcW w:w="5167" w:type="dxa"/>
          </w:tcPr>
          <w:p w14:paraId="05845C60" w14:textId="4A24F7DA"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97582C">
                  <w:rPr>
                    <w:rStyle w:val="Style2"/>
                    <w:rFonts w:ascii="MS Gothic" w:eastAsia="MS Gothic" w:hAnsi="MS Gothic" w:hint="eastAsia"/>
                    <w:sz w:val="24"/>
                  </w:rPr>
                  <w:t>☐</w:t>
                </w:r>
              </w:sdtContent>
            </w:sdt>
            <w:r w:rsidR="00B13D65" w:rsidRPr="00E33EFF">
              <w:t xml:space="preserve"> Taip</w:t>
            </w:r>
          </w:p>
          <w:p w14:paraId="41D88067" w14:textId="104369A1" w:rsidR="00B13D65"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97582C">
                  <w:rPr>
                    <w:rStyle w:val="Style2"/>
                    <w:rFonts w:ascii="MS Gothic" w:eastAsia="MS Gothic" w:hAnsi="MS Gothic" w:hint="eastAsia"/>
                    <w:sz w:val="24"/>
                  </w:rPr>
                  <w:t>☒</w:t>
                </w:r>
              </w:sdtContent>
            </w:sdt>
            <w:r w:rsidR="00B13D65" w:rsidRPr="00E33EFF">
              <w:t xml:space="preserve"> Ne</w:t>
            </w:r>
          </w:p>
          <w:p w14:paraId="29C2CBBB" w14:textId="0792C4EB" w:rsidR="00B13D65" w:rsidRPr="00E94000" w:rsidRDefault="00B13D65" w:rsidP="00E94000"/>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50D03C10"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E94000">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C71ABA">
        <w:trPr>
          <w:trHeight w:val="699"/>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698FAC1B" w:rsidR="00AE1322" w:rsidRDefault="00AE1322" w:rsidP="00824B92">
            <w:pPr>
              <w:rPr>
                <w:bCs/>
                <w:color w:val="000000"/>
                <w:lang w:eastAsia="lt-LT"/>
              </w:rPr>
            </w:pPr>
          </w:p>
          <w:p w14:paraId="47CA77AD" w14:textId="4EAD016A" w:rsidR="00C71ABA" w:rsidRDefault="00C71ABA" w:rsidP="00824B92">
            <w:pPr>
              <w:rPr>
                <w:bCs/>
                <w:color w:val="000000"/>
                <w:lang w:eastAsia="lt-LT"/>
              </w:rPr>
            </w:pPr>
          </w:p>
          <w:p w14:paraId="5E1C2688" w14:textId="3E8B43A3" w:rsidR="00C71ABA" w:rsidRDefault="00C71ABA" w:rsidP="00824B92">
            <w:pPr>
              <w:rPr>
                <w:bCs/>
                <w:color w:val="000000"/>
                <w:lang w:eastAsia="lt-LT"/>
              </w:rPr>
            </w:pPr>
          </w:p>
          <w:p w14:paraId="7FAEAC96" w14:textId="77777777" w:rsidR="00C71ABA" w:rsidRDefault="00C71ABA"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C8EC4DF" w14:textId="77777777" w:rsidR="00C71ABA" w:rsidRPr="00C71ABA" w:rsidRDefault="00C71ABA" w:rsidP="00C71ABA">
            <w:pPr>
              <w:spacing w:after="120"/>
              <w:jc w:val="both"/>
            </w:pPr>
            <w:r w:rsidRPr="00C71ABA">
              <w:t xml:space="preserve">Palaikomajai </w:t>
            </w:r>
            <w:proofErr w:type="spellStart"/>
            <w:r w:rsidRPr="00C71ABA">
              <w:t>monoterapijai</w:t>
            </w:r>
            <w:proofErr w:type="spellEnd"/>
            <w:r w:rsidRPr="00C71ABA">
              <w:t xml:space="preserve"> suaugusių pacienčių, sergančių progresavusiu (FIGO III ir IV stadijų) BRCA1/2 </w:t>
            </w:r>
            <w:proofErr w:type="spellStart"/>
            <w:r w:rsidRPr="00C71ABA">
              <w:t>mutavusiu</w:t>
            </w:r>
            <w:proofErr w:type="spellEnd"/>
            <w:r w:rsidRPr="00C71ABA">
              <w:t xml:space="preserve"> (</w:t>
            </w:r>
            <w:proofErr w:type="spellStart"/>
            <w:r w:rsidRPr="00C71ABA">
              <w:t>germinacinių</w:t>
            </w:r>
            <w:proofErr w:type="spellEnd"/>
            <w:r w:rsidRPr="00C71ABA">
              <w:t xml:space="preserve"> ir/arba somatinių ląstelių) didelio piktybiškumo laipsnio </w:t>
            </w:r>
            <w:proofErr w:type="spellStart"/>
            <w:r w:rsidRPr="00C71ABA">
              <w:t>epiteliniu</w:t>
            </w:r>
            <w:proofErr w:type="spellEnd"/>
            <w:r w:rsidRPr="00C71ABA">
              <w:t xml:space="preserve"> kiaušidžių, kiaušintakių arba pirminiu pilvaplėvės vėžiu, kai yra pasireiškęs visiškas arba dalinis atsakas į baigtą pirmos eilės chemoterapiją platinos pagrindu.</w:t>
            </w:r>
          </w:p>
          <w:p w14:paraId="7C23593A" w14:textId="77777777" w:rsidR="00C71ABA" w:rsidRPr="00C71ABA" w:rsidRDefault="00C71ABA" w:rsidP="00C71ABA">
            <w:pPr>
              <w:spacing w:after="120"/>
              <w:jc w:val="both"/>
            </w:pPr>
            <w:r w:rsidRPr="00C71ABA">
              <w:t>C56 - Kiaušidės piktybinis navikas.</w:t>
            </w:r>
          </w:p>
          <w:p w14:paraId="73230B71" w14:textId="4052F49B" w:rsidR="00C71ABA" w:rsidRPr="00C71ABA" w:rsidRDefault="00C71ABA" w:rsidP="00C71ABA">
            <w:pPr>
              <w:spacing w:after="120"/>
              <w:jc w:val="both"/>
            </w:pPr>
            <w:r w:rsidRPr="00C71ABA">
              <w:lastRenderedPageBreak/>
              <w:t>C57 - Kiaušintakio piktybinis navikas.</w:t>
            </w:r>
          </w:p>
          <w:p w14:paraId="13F7DFB0" w14:textId="688A248B" w:rsidR="00B13D65" w:rsidRPr="00E33EFF" w:rsidRDefault="00C71ABA" w:rsidP="00C71ABA">
            <w:pPr>
              <w:pStyle w:val="ListParagraph"/>
              <w:spacing w:after="120"/>
              <w:ind w:left="0"/>
              <w:contextualSpacing w:val="0"/>
              <w:jc w:val="both"/>
            </w:pPr>
            <w:r w:rsidRPr="00C71ABA">
              <w:t>C48 - Pilvaplėvės piktybinis navikas.</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54FE50B5" w:rsidR="00B13D65" w:rsidRPr="00E33EFF" w:rsidRDefault="00F44BF3" w:rsidP="00824B92">
            <w:r w:rsidRPr="00F44BF3">
              <w:rPr>
                <w:rFonts w:eastAsia="Arial"/>
                <w:color w:val="000000"/>
              </w:rPr>
              <w:t>Pagal registruotą indikaciją.</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D5A7CE" w:rsidR="009F4D66" w:rsidRPr="00E33EFF" w:rsidRDefault="004D2264" w:rsidP="00824B92">
            <w:pPr>
              <w:rPr>
                <w:bCs/>
                <w:color w:val="000000"/>
                <w:lang w:eastAsia="lt-LT"/>
              </w:rPr>
            </w:pPr>
            <w:r>
              <w:rPr>
                <w:rFonts w:eastAsia="Arial"/>
              </w:rPr>
              <w:t>S</w:t>
            </w:r>
            <w:r w:rsidR="00646797" w:rsidRPr="004E1B88">
              <w:rPr>
                <w:rFonts w:eastAsia="Arial"/>
              </w:rPr>
              <w:t>tebėjimo ir laukimo taktika</w:t>
            </w:r>
            <w:r>
              <w:rPr>
                <w:rFonts w:eastAsia="Arial"/>
              </w:rPr>
              <w:t>.</w:t>
            </w: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6F5ED222" w14:textId="02F568AF" w:rsidR="00E94000" w:rsidRDefault="00E94000" w:rsidP="00E94000">
            <w:pPr>
              <w:jc w:val="both"/>
            </w:pPr>
          </w:p>
          <w:p w14:paraId="67BE9743" w14:textId="77777777" w:rsidR="00646797" w:rsidRPr="00EE1D2C" w:rsidRDefault="00646797" w:rsidP="00E94000">
            <w:pPr>
              <w:jc w:val="both"/>
            </w:pPr>
          </w:p>
          <w:p w14:paraId="38A6FC5A" w14:textId="30FFCCC4" w:rsidR="00B13D65" w:rsidRDefault="00000000" w:rsidP="00C71ABA">
            <w:sdt>
              <w:sdtPr>
                <w:id w:val="-210416744"/>
                <w15:color w:val="FFCC00"/>
                <w14:checkbox>
                  <w14:checked w14:val="1"/>
                  <w14:checkedState w14:val="2612" w14:font="MS Gothic"/>
                  <w14:uncheckedState w14:val="2610" w14:font="MS Gothic"/>
                </w14:checkbox>
              </w:sdtPr>
              <w:sdtContent>
                <w:r w:rsidR="00646797">
                  <w:rPr>
                    <w:rFonts w:ascii="MS Gothic" w:eastAsia="MS Gothic" w:hAnsi="MS Gothic" w:hint="eastAsia"/>
                  </w:rPr>
                  <w:t>☒</w:t>
                </w:r>
              </w:sdtContent>
            </w:sdt>
            <w:r w:rsidR="00E94000" w:rsidRPr="00D800EF">
              <w:t xml:space="preserve"> </w:t>
            </w:r>
            <w:r w:rsidR="00646797">
              <w:t>Tinkamas</w:t>
            </w:r>
          </w:p>
          <w:p w14:paraId="605F526B" w14:textId="77777777" w:rsidR="00646797" w:rsidRDefault="00646797" w:rsidP="00C71ABA"/>
          <w:p w14:paraId="41B44044" w14:textId="4A078647" w:rsidR="00646797" w:rsidRPr="00E33EFF" w:rsidRDefault="00000000" w:rsidP="00646797">
            <w:sdt>
              <w:sdtPr>
                <w:id w:val="-1347546808"/>
                <w15:color w:val="FFCC00"/>
                <w14:checkbox>
                  <w14:checked w14:val="0"/>
                  <w14:checkedState w14:val="2612" w14:font="MS Gothic"/>
                  <w14:uncheckedState w14:val="2610" w14:font="MS Gothic"/>
                </w14:checkbox>
              </w:sdtPr>
              <w:sdtContent>
                <w:r w:rsidR="00646797">
                  <w:rPr>
                    <w:rFonts w:ascii="MS Gothic" w:eastAsia="MS Gothic" w:hAnsi="MS Gothic" w:hint="eastAsia"/>
                  </w:rPr>
                  <w:t>☐</w:t>
                </w:r>
              </w:sdtContent>
            </w:sdt>
            <w:r w:rsidR="00646797" w:rsidRPr="00D800EF">
              <w:t xml:space="preserve"> </w:t>
            </w:r>
            <w:r w:rsidR="00646797">
              <w:t>Netinkamas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964AAC" w:rsidRPr="00E33EFF" w14:paraId="129FA8F6" w14:textId="77777777" w:rsidTr="00BE7489">
        <w:trPr>
          <w:trHeight w:val="2267"/>
        </w:trPr>
        <w:tc>
          <w:tcPr>
            <w:tcW w:w="2855" w:type="dxa"/>
          </w:tcPr>
          <w:p w14:paraId="0A070137" w14:textId="77777777" w:rsidR="00964AAC" w:rsidRPr="00E33EFF" w:rsidRDefault="00964AAC" w:rsidP="00964AAC">
            <w:pPr>
              <w:rPr>
                <w:bCs/>
              </w:rPr>
            </w:pPr>
            <w:r w:rsidRPr="00E33EFF">
              <w:rPr>
                <w:bCs/>
              </w:rPr>
              <w:t>Nacionalinis sveikatos ir klinikinės kompetencijos institutas, Didžioji Britanija</w:t>
            </w:r>
          </w:p>
          <w:p w14:paraId="49C6520D" w14:textId="77777777" w:rsidR="00964AAC" w:rsidRPr="00E33EFF" w:rsidRDefault="00964AAC" w:rsidP="00964AAC">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307B3FBD" w:rsidR="00964AAC" w:rsidRPr="00E33EFF" w:rsidRDefault="00000000" w:rsidP="00964AAC">
            <w:sdt>
              <w:sdtPr>
                <w:rPr>
                  <w:rStyle w:val="Style2"/>
                  <w:sz w:val="24"/>
                </w:rPr>
                <w:id w:val="1558205022"/>
                <w15:color w:val="FFCC00"/>
                <w14:checkbox>
                  <w14:checked w14:val="1"/>
                  <w14:checkedState w14:val="2612" w14:font="MS Gothic"/>
                  <w14:uncheckedState w14:val="2610" w14:font="MS Gothic"/>
                </w14:checkbox>
              </w:sdtPr>
              <w:sdtContent>
                <w:r w:rsidR="00F45EDC">
                  <w:rPr>
                    <w:rStyle w:val="Style2"/>
                    <w:rFonts w:ascii="MS Gothic" w:eastAsia="MS Gothic" w:hAnsi="MS Gothic" w:hint="eastAsia"/>
                    <w:sz w:val="24"/>
                  </w:rPr>
                  <w:t>☒</w:t>
                </w:r>
              </w:sdtContent>
            </w:sdt>
            <w:r w:rsidR="00964AAC" w:rsidRPr="00E33EFF">
              <w:t xml:space="preserve"> Taip</w:t>
            </w:r>
          </w:p>
          <w:p w14:paraId="29F3627E" w14:textId="26A43B56" w:rsidR="00964AAC" w:rsidRPr="00E33EFF" w:rsidRDefault="00000000" w:rsidP="00964AAC">
            <w:sdt>
              <w:sdtPr>
                <w:rPr>
                  <w:rStyle w:val="Style2"/>
                  <w:sz w:val="24"/>
                </w:rPr>
                <w:id w:val="866029625"/>
                <w15:color w:val="FFCC00"/>
                <w14:checkbox>
                  <w14:checked w14:val="0"/>
                  <w14:checkedState w14:val="2612" w14:font="MS Gothic"/>
                  <w14:uncheckedState w14:val="2610" w14:font="MS Gothic"/>
                </w14:checkbox>
              </w:sdtPr>
              <w:sdtContent>
                <w:r w:rsidR="00F45EDC">
                  <w:rPr>
                    <w:rStyle w:val="Style2"/>
                    <w:rFonts w:ascii="MS Gothic" w:eastAsia="MS Gothic" w:hAnsi="MS Gothic" w:hint="eastAsia"/>
                    <w:sz w:val="24"/>
                  </w:rPr>
                  <w:t>☐</w:t>
                </w:r>
              </w:sdtContent>
            </w:sdt>
            <w:r w:rsidR="00964AAC" w:rsidRPr="00E33EFF">
              <w:t xml:space="preserve"> Ne</w:t>
            </w:r>
          </w:p>
          <w:p w14:paraId="7916359D" w14:textId="7ED4EBC5" w:rsidR="00964AAC" w:rsidRPr="00E33EFF" w:rsidRDefault="00000000" w:rsidP="00964AAC">
            <w:pPr>
              <w:rPr>
                <w:rFonts w:eastAsia="Arial"/>
              </w:rPr>
            </w:pPr>
            <w:sdt>
              <w:sdtPr>
                <w:alias w:val="Nurodykite konkrečią dieną"/>
                <w:tag w:val="Nurodykite pradžios datą"/>
                <w:id w:val="922837954"/>
                <w:placeholder>
                  <w:docPart w:val="0D17BC286D6B457A87F2F58BD9EA4182"/>
                </w:placeholder>
                <w15:color w:val="FFCC99"/>
                <w:date w:fullDate="2019-08-28T00:00:00Z">
                  <w:dateFormat w:val="yyyy 'm.' MMMM d 'd.'"/>
                  <w:lid w:val="lt-LT"/>
                  <w:storeMappedDataAs w:val="dateTime"/>
                  <w:calendar w:val="gregorian"/>
                </w:date>
              </w:sdtPr>
              <w:sdtContent>
                <w:r w:rsidR="00F45EDC">
                  <w:t>2019 m. rugpjūčio 28 d.</w:t>
                </w:r>
              </w:sdtContent>
            </w:sdt>
          </w:p>
        </w:tc>
        <w:tc>
          <w:tcPr>
            <w:tcW w:w="2244" w:type="dxa"/>
          </w:tcPr>
          <w:p w14:paraId="6413D0ED" w14:textId="3F2404CC" w:rsidR="00964AAC" w:rsidRPr="00E33EFF" w:rsidRDefault="00964AAC" w:rsidP="00964AAC">
            <w:pPr>
              <w:rPr>
                <w:rFonts w:eastAsia="Arial"/>
              </w:rPr>
            </w:pPr>
            <w:r w:rsidRPr="008E173B">
              <w:t xml:space="preserve">Šiuo metu nėra palaikomojo gydymo pacientams, kuriems yra nustatytas BRCA </w:t>
            </w:r>
            <w:proofErr w:type="spellStart"/>
            <w:r w:rsidRPr="008E173B">
              <w:t>mutavęs</w:t>
            </w:r>
            <w:proofErr w:type="spellEnd"/>
            <w:r w:rsidRPr="008E173B">
              <w:t xml:space="preserve"> kiaušidžių, kiaušintakių arba pirminiu pilvaplėvės vėžys, ir kuriems buvo atlikti 3 arba daugiau platinos pagrindu chemoterapijos kursai. Tačiau išgyvenamumo duomenys yra negalutini, todėl kaštų naudingumo analizė yra labai neapibrėžta. Rekomenduojama kompensuoti tik iš Vėžio fondo lėšų, įprastinėje klinikinėje praktikoje naudoti nerekomenduojama.</w:t>
            </w:r>
          </w:p>
        </w:tc>
        <w:tc>
          <w:tcPr>
            <w:tcW w:w="2543" w:type="dxa"/>
          </w:tcPr>
          <w:p w14:paraId="67430EE7" w14:textId="63D8EA5D" w:rsidR="00964AAC" w:rsidRPr="00E33EFF" w:rsidRDefault="00964AAC" w:rsidP="00964AAC">
            <w:pPr>
              <w:rPr>
                <w:rFonts w:eastAsia="Arial"/>
              </w:rPr>
            </w:pPr>
            <w:r w:rsidRPr="008E173B">
              <w:t xml:space="preserve">Rekomenduojama kompensuoti </w:t>
            </w:r>
            <w:proofErr w:type="spellStart"/>
            <w:r w:rsidRPr="008E173B">
              <w:t>olaparibą</w:t>
            </w:r>
            <w:proofErr w:type="spellEnd"/>
            <w:r w:rsidRPr="008E173B">
              <w:t xml:space="preserve"> su konfidencialia kaina, tačiau papildoma duomenų peržiūra suplanuota 2023 m. gruodį.</w:t>
            </w:r>
          </w:p>
        </w:tc>
      </w:tr>
      <w:tr w:rsidR="00964AAC" w:rsidRPr="00E33EFF" w14:paraId="1CC31474" w14:textId="77777777" w:rsidTr="00BE7489">
        <w:trPr>
          <w:trHeight w:val="1547"/>
        </w:trPr>
        <w:tc>
          <w:tcPr>
            <w:tcW w:w="2855" w:type="dxa"/>
          </w:tcPr>
          <w:p w14:paraId="12218E35" w14:textId="77777777" w:rsidR="00964AAC" w:rsidRPr="00E33EFF" w:rsidRDefault="00964AAC" w:rsidP="00964AAC">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sveikatos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964AAC" w:rsidRPr="00E33EFF" w:rsidRDefault="00964AAC" w:rsidP="00964AAC">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2C53DE80" w:rsidR="00964AAC" w:rsidRPr="00E33EFF" w:rsidRDefault="00000000" w:rsidP="00964AAC">
            <w:sdt>
              <w:sdtPr>
                <w:rPr>
                  <w:rStyle w:val="Style2"/>
                  <w:sz w:val="24"/>
                </w:rPr>
                <w:id w:val="-372539057"/>
                <w15:color w:val="FFCC00"/>
                <w14:checkbox>
                  <w14:checked w14:val="1"/>
                  <w14:checkedState w14:val="2612" w14:font="MS Gothic"/>
                  <w14:uncheckedState w14:val="2610" w14:font="MS Gothic"/>
                </w14:checkbox>
              </w:sdtPr>
              <w:sdtContent>
                <w:r w:rsidR="00964AAC">
                  <w:rPr>
                    <w:rStyle w:val="Style2"/>
                    <w:rFonts w:ascii="MS Gothic" w:eastAsia="MS Gothic" w:hAnsi="MS Gothic" w:hint="eastAsia"/>
                    <w:sz w:val="24"/>
                  </w:rPr>
                  <w:t>☒</w:t>
                </w:r>
              </w:sdtContent>
            </w:sdt>
            <w:r w:rsidR="00964AAC" w:rsidRPr="00E33EFF">
              <w:t xml:space="preserve"> Taip</w:t>
            </w:r>
          </w:p>
          <w:p w14:paraId="35F17B07" w14:textId="77777777" w:rsidR="00964AAC" w:rsidRPr="00E33EFF" w:rsidRDefault="00000000" w:rsidP="00964AAC">
            <w:sdt>
              <w:sdtPr>
                <w:rPr>
                  <w:rStyle w:val="Style2"/>
                  <w:sz w:val="24"/>
                </w:rPr>
                <w:id w:val="594442222"/>
                <w15:color w:val="FFCC00"/>
                <w14:checkbox>
                  <w14:checked w14:val="0"/>
                  <w14:checkedState w14:val="2612" w14:font="MS Gothic"/>
                  <w14:uncheckedState w14:val="2610" w14:font="MS Gothic"/>
                </w14:checkbox>
              </w:sdtPr>
              <w:sdtContent>
                <w:r w:rsidR="00964AAC" w:rsidRPr="00E33EFF">
                  <w:rPr>
                    <w:rStyle w:val="Style2"/>
                    <w:rFonts w:ascii="Segoe UI Symbol" w:eastAsia="MS Gothic" w:hAnsi="Segoe UI Symbol" w:cs="Segoe UI Symbol"/>
                    <w:sz w:val="24"/>
                  </w:rPr>
                  <w:t>☐</w:t>
                </w:r>
              </w:sdtContent>
            </w:sdt>
            <w:r w:rsidR="00964AAC" w:rsidRPr="00E33EFF">
              <w:t xml:space="preserve"> Ne</w:t>
            </w:r>
          </w:p>
          <w:p w14:paraId="0C0988CC" w14:textId="323F82B4" w:rsidR="00964AAC" w:rsidRPr="00E33EFF" w:rsidRDefault="00000000" w:rsidP="00964AAC">
            <w:pPr>
              <w:rPr>
                <w:rFonts w:eastAsia="Arial"/>
              </w:rPr>
            </w:pPr>
            <w:sdt>
              <w:sdtPr>
                <w:alias w:val="Nurodykite konkrečią dieną"/>
                <w:tag w:val="Nurodykite pradžios datą"/>
                <w:id w:val="1072468416"/>
                <w:placeholder>
                  <w:docPart w:val="BAF4CAC0C3754BB5AA6AF6A16BA83709"/>
                </w:placeholder>
                <w15:color w:val="FFCC99"/>
                <w:date w:fullDate="2019-12-20T00:00:00Z">
                  <w:dateFormat w:val="yyyy 'm.' MMMM d 'd.'"/>
                  <w:lid w:val="lt-LT"/>
                  <w:storeMappedDataAs w:val="dateTime"/>
                  <w:calendar w:val="gregorian"/>
                </w:date>
              </w:sdtPr>
              <w:sdtContent>
                <w:r w:rsidR="00697E4C">
                  <w:t>2019 m. gruodžio 20 d.</w:t>
                </w:r>
              </w:sdtContent>
            </w:sdt>
          </w:p>
        </w:tc>
        <w:tc>
          <w:tcPr>
            <w:tcW w:w="2244" w:type="dxa"/>
          </w:tcPr>
          <w:p w14:paraId="64D1B800" w14:textId="20503E1D" w:rsidR="00964AAC" w:rsidRPr="00E33EFF" w:rsidRDefault="00964AAC" w:rsidP="00964AAC">
            <w:pPr>
              <w:rPr>
                <w:rFonts w:eastAsia="Arial"/>
              </w:rPr>
            </w:pPr>
            <w:r w:rsidRPr="00CF14DB">
              <w:t xml:space="preserve">Rekomenduojama kompensuoti palaikomajam gydymui pacientams, su naujai diagnozuotu pažengusiu BRCA- </w:t>
            </w:r>
            <w:proofErr w:type="spellStart"/>
            <w:r w:rsidRPr="00CF14DB">
              <w:lastRenderedPageBreak/>
              <w:t>mutavusiu</w:t>
            </w:r>
            <w:proofErr w:type="spellEnd"/>
            <w:r w:rsidRPr="00CF14DB">
              <w:t xml:space="preserve">, didelio piktybiškumo laipsnio </w:t>
            </w:r>
            <w:proofErr w:type="spellStart"/>
            <w:r w:rsidRPr="00CF14DB">
              <w:t>epiteliniu</w:t>
            </w:r>
            <w:proofErr w:type="spellEnd"/>
            <w:r w:rsidRPr="00CF14DB">
              <w:t xml:space="preserve"> kiaušidžių, kiaušintakių arba pirminiu pilvaplėvės vėžiu, kuriems buvo užfiksuotas dalinis arba pilnas atsakas į pirmos eilės platinos pagrindu chemoterapiją (pagal SOLO1 tyrimą). Pacientams buvo taikomas mažiausiai 4 platinos pagrindu chemoterapijos kursai ir jų sveikatos būklės statusas  yra geras. Gydymas turi būti tęsiamas iki tol, kol pacientas toleruoja arba neilgiau 2 metus.</w:t>
            </w:r>
          </w:p>
        </w:tc>
        <w:tc>
          <w:tcPr>
            <w:tcW w:w="2543" w:type="dxa"/>
          </w:tcPr>
          <w:p w14:paraId="5C8CB330" w14:textId="416BA27F" w:rsidR="00964AAC" w:rsidRPr="00E33EFF" w:rsidRDefault="00964AAC" w:rsidP="00964AAC">
            <w:pPr>
              <w:rPr>
                <w:rFonts w:eastAsia="Arial"/>
              </w:rPr>
            </w:pPr>
            <w:r w:rsidRPr="00CF14DB">
              <w:lastRenderedPageBreak/>
              <w:t>Kompensuoti su konfidencialia kaina.</w:t>
            </w:r>
          </w:p>
        </w:tc>
      </w:tr>
      <w:tr w:rsidR="00E94000" w:rsidRPr="00E33EFF" w14:paraId="21C94D47" w14:textId="77777777" w:rsidTr="00181BB4">
        <w:trPr>
          <w:trHeight w:val="2160"/>
        </w:trPr>
        <w:tc>
          <w:tcPr>
            <w:tcW w:w="2855" w:type="dxa"/>
          </w:tcPr>
          <w:p w14:paraId="02F45BB8" w14:textId="77777777" w:rsidR="00E94000" w:rsidRPr="00E33EFF" w:rsidRDefault="00E94000" w:rsidP="00E94000">
            <w:pPr>
              <w:rPr>
                <w:rFonts w:eastAsia="Arial"/>
              </w:rPr>
            </w:pPr>
            <w:r w:rsidRPr="00E33EFF">
              <w:rPr>
                <w:rFonts w:eastAsia="Arial"/>
              </w:rPr>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E94000" w:rsidRPr="00E33EFF" w:rsidRDefault="00E94000" w:rsidP="00E94000">
            <w:pPr>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1851" w:type="dxa"/>
          </w:tcPr>
          <w:p w14:paraId="106E24DF" w14:textId="21E6BFE4" w:rsidR="00E94000" w:rsidRPr="00E33EFF" w:rsidRDefault="00000000" w:rsidP="00E94000">
            <w:sdt>
              <w:sdtPr>
                <w:rPr>
                  <w:rStyle w:val="Style2"/>
                  <w:sz w:val="24"/>
                </w:rPr>
                <w:id w:val="-1888403732"/>
                <w15:color w:val="FFCC00"/>
                <w14:checkbox>
                  <w14:checked w14:val="1"/>
                  <w14:checkedState w14:val="2612" w14:font="MS Gothic"/>
                  <w14:uncheckedState w14:val="2610" w14:font="MS Gothic"/>
                </w14:checkbox>
              </w:sdtPr>
              <w:sdtContent>
                <w:r w:rsidR="00E94000">
                  <w:rPr>
                    <w:rStyle w:val="Style2"/>
                    <w:rFonts w:ascii="MS Gothic" w:eastAsia="MS Gothic" w:hAnsi="MS Gothic" w:hint="eastAsia"/>
                    <w:sz w:val="24"/>
                  </w:rPr>
                  <w:t>☒</w:t>
                </w:r>
              </w:sdtContent>
            </w:sdt>
            <w:r w:rsidR="00E94000" w:rsidRPr="00E33EFF">
              <w:t xml:space="preserve"> Taip</w:t>
            </w:r>
          </w:p>
          <w:p w14:paraId="6C89485D" w14:textId="77777777" w:rsidR="00E94000" w:rsidRPr="00E33EFF" w:rsidRDefault="00000000" w:rsidP="00E94000">
            <w:sdt>
              <w:sdtPr>
                <w:rPr>
                  <w:rStyle w:val="Style2"/>
                  <w:sz w:val="24"/>
                </w:rPr>
                <w:id w:val="1092201793"/>
                <w15:color w:val="FFCC00"/>
                <w14:checkbox>
                  <w14:checked w14:val="0"/>
                  <w14:checkedState w14:val="2612" w14:font="MS Gothic"/>
                  <w14:uncheckedState w14:val="2610" w14:font="MS Gothic"/>
                </w14:checkbox>
              </w:sdtPr>
              <w:sdtContent>
                <w:r w:rsidR="00E94000" w:rsidRPr="00E33EFF">
                  <w:rPr>
                    <w:rStyle w:val="Style2"/>
                    <w:rFonts w:ascii="Segoe UI Symbol" w:eastAsia="MS Gothic" w:hAnsi="Segoe UI Symbol" w:cs="Segoe UI Symbol"/>
                    <w:sz w:val="24"/>
                  </w:rPr>
                  <w:t>☐</w:t>
                </w:r>
              </w:sdtContent>
            </w:sdt>
            <w:r w:rsidR="00E94000" w:rsidRPr="00E33EFF">
              <w:t xml:space="preserve"> Ne</w:t>
            </w:r>
          </w:p>
          <w:p w14:paraId="69AA1151" w14:textId="5A9A7D0B" w:rsidR="00E94000" w:rsidRPr="00E33EFF" w:rsidRDefault="00000000" w:rsidP="00692711">
            <w:pPr>
              <w:rPr>
                <w:rFonts w:eastAsia="Arial"/>
              </w:rPr>
            </w:pPr>
            <w:sdt>
              <w:sdtPr>
                <w:alias w:val="Nurodykite konkrečią dieną"/>
                <w:tag w:val="Nurodykite pradžios datą"/>
                <w:id w:val="-198323198"/>
                <w:placeholder>
                  <w:docPart w:val="40AF3785CE504884855318AE1D0A0756"/>
                </w:placeholder>
                <w15:color w:val="FFCC99"/>
                <w:date>
                  <w:dateFormat w:val="yyyy 'm.' MMMM d 'd.'"/>
                  <w:lid w:val="lt-LT"/>
                  <w:storeMappedDataAs w:val="dateTime"/>
                  <w:calendar w:val="gregorian"/>
                </w:date>
              </w:sdtPr>
              <w:sdtContent>
                <w:r w:rsidR="00E94000">
                  <w:t xml:space="preserve">2022 </w:t>
                </w:r>
                <w:r w:rsidR="00692711">
                  <w:t xml:space="preserve">vasario 02 </w:t>
                </w:r>
                <w:r w:rsidR="00E94000">
                  <w:t>d.</w:t>
                </w:r>
              </w:sdtContent>
            </w:sdt>
          </w:p>
        </w:tc>
        <w:tc>
          <w:tcPr>
            <w:tcW w:w="4787" w:type="dxa"/>
            <w:gridSpan w:val="2"/>
          </w:tcPr>
          <w:p w14:paraId="60651AFD" w14:textId="10244A6E" w:rsidR="00E94000" w:rsidRPr="00E33EFF" w:rsidRDefault="00964AAC" w:rsidP="00964AAC">
            <w:pPr>
              <w:rPr>
                <w:rFonts w:eastAsia="Arial"/>
              </w:rPr>
            </w:pPr>
            <w:r w:rsidRPr="00964AAC">
              <w:rPr>
                <w:rFonts w:eastAsia="Arial"/>
              </w:rPr>
              <w:t xml:space="preserve">NCPE rekomenduoja nekompensuoti olaparibo šiai indikacijai, tačiau jei kaštų naudingumas bus pagerintas, lyginant su esamu gydymu, </w:t>
            </w:r>
            <w:proofErr w:type="spellStart"/>
            <w:r w:rsidRPr="00964AAC">
              <w:rPr>
                <w:rFonts w:eastAsia="Arial"/>
              </w:rPr>
              <w:t>olaparibas</w:t>
            </w:r>
            <w:proofErr w:type="spellEnd"/>
            <w:r w:rsidRPr="00964AAC">
              <w:rPr>
                <w:rFonts w:eastAsia="Arial"/>
              </w:rPr>
              <w:t xml:space="preserve"> gali būti rekomenduojamas kompensuoti*.</w:t>
            </w:r>
            <w:r>
              <w:rPr>
                <w:rFonts w:eastAsia="Arial"/>
              </w:rPr>
              <w:t xml:space="preserve"> </w:t>
            </w:r>
            <w:r w:rsidRPr="00964AAC">
              <w:rPr>
                <w:rFonts w:eastAsia="Arial"/>
              </w:rPr>
              <w:t>Kompensuoti su konfidencialia kaina*</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51940525" w:rsidR="00D4485B" w:rsidRDefault="00D4485B" w:rsidP="00A93AA6">
      <w:pPr>
        <w:pStyle w:val="ListParagraph"/>
        <w:tabs>
          <w:tab w:val="left" w:pos="426"/>
        </w:tabs>
        <w:ind w:left="0"/>
        <w:rPr>
          <w:b/>
          <w:bCs/>
          <w:caps/>
        </w:rPr>
      </w:pPr>
    </w:p>
    <w:p w14:paraId="1F613176" w14:textId="77777777" w:rsidR="00C4593C" w:rsidRPr="002B16B1" w:rsidRDefault="004E1B88" w:rsidP="00C4593C">
      <w:pPr>
        <w:tabs>
          <w:tab w:val="left" w:pos="426"/>
        </w:tabs>
        <w:spacing w:line="276" w:lineRule="auto"/>
        <w:jc w:val="both"/>
        <w:rPr>
          <w:rFonts w:eastAsia="Arial"/>
        </w:rPr>
      </w:pPr>
      <w:r>
        <w:rPr>
          <w:rFonts w:eastAsia="Arial"/>
        </w:rPr>
        <w:tab/>
      </w:r>
      <w:r w:rsidR="00C4593C" w:rsidRPr="002B16B1">
        <w:rPr>
          <w:rFonts w:eastAsia="Arial"/>
        </w:rPr>
        <w:t>Kiaušidžių vėžys apibendrintai reiškia kiaušidžių, kiaušintakių arba pirminį pilvaplėvės vėžį, pagal TLK-10-AM klasifikaciją yra kiaušidės piktybinis navikas (C56), kiaušintakio piktybinis navikas (C57.0) ir pilvaplėvės piktybinis navikas (C48). Lietuvos vėžio registro (LVR) duomenimis, lyginant su kitais moterų vėžiniais susirgimais, būtent kiaušidžių vėžys dažniausiai nustatomas III ir IV stadijos, kas yra blogas prognostinis faktorius. Per 2017-2019 metus sergančių skaičius per metus augo mažiau kaip 2 proc.</w:t>
      </w:r>
    </w:p>
    <w:p w14:paraId="6EB33ACE" w14:textId="77777777" w:rsidR="00C4593C" w:rsidRPr="002B16B1" w:rsidRDefault="00C4593C" w:rsidP="00C4593C">
      <w:pPr>
        <w:tabs>
          <w:tab w:val="left" w:pos="426"/>
        </w:tabs>
        <w:spacing w:line="276" w:lineRule="auto"/>
        <w:jc w:val="both"/>
        <w:rPr>
          <w:rFonts w:eastAsia="Arial"/>
        </w:rPr>
      </w:pPr>
      <w:r w:rsidRPr="002B16B1">
        <w:rPr>
          <w:rFonts w:eastAsia="Arial"/>
        </w:rPr>
        <w:tab/>
        <w:t xml:space="preserve">Didelio piktybiškumo laipsnio kiaušidžių vėžys yra nustatomas apie 70 proc. moterų. Rizika susirgti kiaušidžių vėžiu yra susijusi su vėžį skatinančiomis BRCA1, BRCA2 genų mutacijomis, jos nustatomos 15 proc. kiaušidžių vėžio (daugiausiai </w:t>
      </w:r>
      <w:proofErr w:type="spellStart"/>
      <w:r w:rsidRPr="002B16B1">
        <w:rPr>
          <w:rFonts w:eastAsia="Arial"/>
        </w:rPr>
        <w:t>serozinio</w:t>
      </w:r>
      <w:proofErr w:type="spellEnd"/>
      <w:r w:rsidRPr="002B16B1">
        <w:rPr>
          <w:rFonts w:eastAsia="Arial"/>
        </w:rPr>
        <w:t xml:space="preserve">) atvejų. Lietuvoje per metus gali būti apie 90 naujų pacienčių su didelio piktybiškumo kiaušidžių vėžiu su BRCA1/2 mutacijomis bei 7 pacientės, kurioms bus diagnozuotas pilvaplėvės piktybinis navikas. Kiaušidžių vėžio gydymo taktika priklauso nuo vėžio stadijos, bendros sveikatos būklės. Standartinis išplitusio kiaušidžių vėžio gydymas yra </w:t>
      </w:r>
      <w:proofErr w:type="spellStart"/>
      <w:r w:rsidRPr="002B16B1">
        <w:rPr>
          <w:rFonts w:eastAsia="Arial"/>
        </w:rPr>
        <w:t>citoredukcinė</w:t>
      </w:r>
      <w:proofErr w:type="spellEnd"/>
      <w:r w:rsidRPr="002B16B1">
        <w:rPr>
          <w:rFonts w:eastAsia="Arial"/>
        </w:rPr>
        <w:t xml:space="preserve"> operacija ir pooperacinė chemoterapija platinos pagrindu. Moterims su naujai diagnozuotu išplitusiu kiaušidžių vėžiu siekiama išlaikyti kaip galima ilgesnę remisiją po pirmos eilės gydymo, nes ligos recidyvas siejamas su bloga prognoze. Atsinaujinęs kiaušidžių vėžys siejamas su didesniu mirtingumo dažniu, o antros eilės terapijos tikslas jau nėra ligos išgydymas. Šiuo metu Europos medicininės onkologijos draugijos (</w:t>
      </w:r>
      <w:r w:rsidRPr="002B16B1">
        <w:rPr>
          <w:rFonts w:eastAsia="Arial"/>
          <w:i/>
        </w:rPr>
        <w:t xml:space="preserve">angl. </w:t>
      </w:r>
      <w:proofErr w:type="spellStart"/>
      <w:r w:rsidRPr="002B16B1">
        <w:rPr>
          <w:i/>
        </w:rPr>
        <w:t>the</w:t>
      </w:r>
      <w:proofErr w:type="spellEnd"/>
      <w:r w:rsidRPr="002B16B1">
        <w:rPr>
          <w:i/>
        </w:rPr>
        <w:t xml:space="preserve"> </w:t>
      </w:r>
      <w:proofErr w:type="spellStart"/>
      <w:r w:rsidRPr="002B16B1">
        <w:rPr>
          <w:i/>
        </w:rPr>
        <w:t>European</w:t>
      </w:r>
      <w:proofErr w:type="spellEnd"/>
      <w:r w:rsidRPr="002B16B1">
        <w:rPr>
          <w:i/>
        </w:rPr>
        <w:t xml:space="preserve"> </w:t>
      </w:r>
      <w:proofErr w:type="spellStart"/>
      <w:r w:rsidRPr="002B16B1">
        <w:rPr>
          <w:i/>
        </w:rPr>
        <w:t>Society</w:t>
      </w:r>
      <w:proofErr w:type="spellEnd"/>
      <w:r w:rsidRPr="002B16B1">
        <w:rPr>
          <w:i/>
        </w:rPr>
        <w:t xml:space="preserve"> </w:t>
      </w:r>
      <w:proofErr w:type="spellStart"/>
      <w:r w:rsidRPr="002B16B1">
        <w:rPr>
          <w:i/>
        </w:rPr>
        <w:t>for</w:t>
      </w:r>
      <w:proofErr w:type="spellEnd"/>
      <w:r w:rsidRPr="002B16B1">
        <w:rPr>
          <w:i/>
        </w:rPr>
        <w:t xml:space="preserve"> </w:t>
      </w:r>
      <w:proofErr w:type="spellStart"/>
      <w:r w:rsidRPr="002B16B1">
        <w:rPr>
          <w:i/>
        </w:rPr>
        <w:t>Medical</w:t>
      </w:r>
      <w:proofErr w:type="spellEnd"/>
      <w:r w:rsidRPr="002B16B1">
        <w:rPr>
          <w:i/>
        </w:rPr>
        <w:t xml:space="preserve"> </w:t>
      </w:r>
      <w:proofErr w:type="spellStart"/>
      <w:r w:rsidRPr="002B16B1">
        <w:rPr>
          <w:i/>
        </w:rPr>
        <w:t>Oncology</w:t>
      </w:r>
      <w:proofErr w:type="spellEnd"/>
      <w:r w:rsidRPr="002B16B1">
        <w:rPr>
          <w:i/>
        </w:rPr>
        <w:t>, ESMO)</w:t>
      </w:r>
      <w:r w:rsidRPr="002B16B1">
        <w:t xml:space="preserve">  ir Europos ginekologinės onkologijos draugijos </w:t>
      </w:r>
      <w:r w:rsidRPr="002B16B1">
        <w:rPr>
          <w:i/>
        </w:rPr>
        <w:t xml:space="preserve">(angl. </w:t>
      </w:r>
      <w:proofErr w:type="spellStart"/>
      <w:r w:rsidRPr="002B16B1">
        <w:rPr>
          <w:i/>
        </w:rPr>
        <w:t>European</w:t>
      </w:r>
      <w:proofErr w:type="spellEnd"/>
      <w:r w:rsidRPr="002B16B1">
        <w:rPr>
          <w:i/>
        </w:rPr>
        <w:t xml:space="preserve"> </w:t>
      </w:r>
      <w:proofErr w:type="spellStart"/>
      <w:r w:rsidRPr="002B16B1">
        <w:rPr>
          <w:i/>
        </w:rPr>
        <w:t>Society</w:t>
      </w:r>
      <w:proofErr w:type="spellEnd"/>
      <w:r w:rsidRPr="002B16B1">
        <w:rPr>
          <w:i/>
        </w:rPr>
        <w:t xml:space="preserve"> </w:t>
      </w:r>
      <w:proofErr w:type="spellStart"/>
      <w:r w:rsidRPr="002B16B1">
        <w:rPr>
          <w:i/>
        </w:rPr>
        <w:t>of</w:t>
      </w:r>
      <w:proofErr w:type="spellEnd"/>
      <w:r w:rsidRPr="002B16B1">
        <w:rPr>
          <w:i/>
        </w:rPr>
        <w:t xml:space="preserve"> </w:t>
      </w:r>
      <w:proofErr w:type="spellStart"/>
      <w:r w:rsidRPr="002B16B1">
        <w:rPr>
          <w:i/>
        </w:rPr>
        <w:t>Gynaecologial</w:t>
      </w:r>
      <w:proofErr w:type="spellEnd"/>
      <w:r w:rsidRPr="002B16B1">
        <w:rPr>
          <w:i/>
        </w:rPr>
        <w:t xml:space="preserve"> </w:t>
      </w:r>
      <w:proofErr w:type="spellStart"/>
      <w:r w:rsidRPr="002B16B1">
        <w:rPr>
          <w:i/>
        </w:rPr>
        <w:t>Oncology</w:t>
      </w:r>
      <w:proofErr w:type="spellEnd"/>
      <w:r w:rsidRPr="002B16B1">
        <w:rPr>
          <w:i/>
        </w:rPr>
        <w:t>, ESGO</w:t>
      </w:r>
      <w:r w:rsidRPr="002B16B1">
        <w:t xml:space="preserve">) bendru sutarimu </w:t>
      </w:r>
      <w:r w:rsidRPr="002B16B1">
        <w:rPr>
          <w:rFonts w:eastAsia="Arial"/>
        </w:rPr>
        <w:t xml:space="preserve">rekomenduojama po operacijos ir chemoterapijos skirti poli (ADF </w:t>
      </w:r>
      <w:proofErr w:type="spellStart"/>
      <w:r w:rsidRPr="002B16B1">
        <w:rPr>
          <w:rFonts w:eastAsia="Arial"/>
        </w:rPr>
        <w:t>ribozės</w:t>
      </w:r>
      <w:proofErr w:type="spellEnd"/>
      <w:r w:rsidRPr="002B16B1">
        <w:rPr>
          <w:rFonts w:eastAsia="Arial"/>
        </w:rPr>
        <w:t xml:space="preserve">) </w:t>
      </w:r>
      <w:proofErr w:type="spellStart"/>
      <w:r w:rsidRPr="002B16B1">
        <w:rPr>
          <w:rFonts w:eastAsia="Arial"/>
        </w:rPr>
        <w:t>polimerazės</w:t>
      </w:r>
      <w:proofErr w:type="spellEnd"/>
      <w:r w:rsidRPr="002B16B1">
        <w:rPr>
          <w:rFonts w:eastAsia="Arial"/>
        </w:rPr>
        <w:t xml:space="preserve"> inhibitorius (</w:t>
      </w:r>
      <w:proofErr w:type="spellStart"/>
      <w:r w:rsidRPr="002B16B1">
        <w:rPr>
          <w:rFonts w:eastAsia="Arial"/>
        </w:rPr>
        <w:t>PARPi</w:t>
      </w:r>
      <w:proofErr w:type="spellEnd"/>
      <w:r w:rsidRPr="002B16B1">
        <w:rPr>
          <w:rFonts w:eastAsia="Arial"/>
        </w:rPr>
        <w:t>) (</w:t>
      </w:r>
      <w:proofErr w:type="spellStart"/>
      <w:r w:rsidRPr="002B16B1">
        <w:rPr>
          <w:rFonts w:eastAsia="Arial"/>
        </w:rPr>
        <w:t>t.y</w:t>
      </w:r>
      <w:proofErr w:type="spellEnd"/>
      <w:r w:rsidRPr="002B16B1">
        <w:rPr>
          <w:rFonts w:eastAsia="Arial"/>
        </w:rPr>
        <w:t xml:space="preserve">. </w:t>
      </w:r>
      <w:proofErr w:type="spellStart"/>
      <w:r w:rsidRPr="002B16B1">
        <w:rPr>
          <w:rFonts w:eastAsia="Arial"/>
        </w:rPr>
        <w:t>olaparibą</w:t>
      </w:r>
      <w:proofErr w:type="spellEnd"/>
      <w:r w:rsidRPr="002B16B1">
        <w:rPr>
          <w:rFonts w:eastAsia="Arial"/>
        </w:rPr>
        <w:t xml:space="preserve"> arba </w:t>
      </w:r>
      <w:proofErr w:type="spellStart"/>
      <w:r w:rsidRPr="002B16B1">
        <w:rPr>
          <w:rFonts w:eastAsia="Arial"/>
        </w:rPr>
        <w:t>nirapribą</w:t>
      </w:r>
      <w:proofErr w:type="spellEnd"/>
      <w:r w:rsidRPr="002B16B1">
        <w:rPr>
          <w:rFonts w:eastAsia="Arial"/>
        </w:rPr>
        <w:t xml:space="preserve">) – pacientams, sergantiems  progresavusiu, BRCA1/2 </w:t>
      </w:r>
      <w:proofErr w:type="spellStart"/>
      <w:r w:rsidRPr="002B16B1">
        <w:rPr>
          <w:rFonts w:eastAsia="Arial"/>
        </w:rPr>
        <w:t>mutavusiu</w:t>
      </w:r>
      <w:proofErr w:type="spellEnd"/>
      <w:r w:rsidRPr="002B16B1">
        <w:rPr>
          <w:rFonts w:eastAsia="Arial"/>
        </w:rPr>
        <w:t xml:space="preserve"> </w:t>
      </w:r>
      <w:proofErr w:type="spellStart"/>
      <w:r w:rsidRPr="002B16B1">
        <w:rPr>
          <w:rFonts w:eastAsia="Arial"/>
        </w:rPr>
        <w:t>epiteliniu</w:t>
      </w:r>
      <w:proofErr w:type="spellEnd"/>
      <w:r w:rsidRPr="002B16B1">
        <w:rPr>
          <w:rFonts w:eastAsia="Arial"/>
        </w:rPr>
        <w:t xml:space="preserve"> kiaušidžių, kiaušintakių arba pirminiu pilvaplėvės vėžiu. Lietuvoje PARP inhibitoriai šiai pacientų grupei nekompensuojami, šiuo metu pacientėms, kurios pasiekė atsaką į pirmos eilės chemoterapiją platinos pagrindu, taikoma Stebėjimo ir laukimo taktika (SLT). Pacientės aktyvaus gydymo negauna iki ligos progresavimo. </w:t>
      </w:r>
    </w:p>
    <w:p w14:paraId="6CE3E0DA" w14:textId="77777777" w:rsidR="00C4593C" w:rsidRPr="002B16B1" w:rsidRDefault="00C4593C" w:rsidP="00C4593C">
      <w:pPr>
        <w:tabs>
          <w:tab w:val="left" w:pos="426"/>
        </w:tabs>
        <w:spacing w:line="276" w:lineRule="auto"/>
        <w:jc w:val="both"/>
        <w:rPr>
          <w:rFonts w:eastAsia="Arial"/>
        </w:rPr>
      </w:pPr>
      <w:r w:rsidRPr="002B16B1">
        <w:rPr>
          <w:rFonts w:eastAsia="Arial"/>
        </w:rPr>
        <w:tab/>
        <w:t xml:space="preserve">Šios rekomendacijos vertinimo objektas – </w:t>
      </w:r>
      <w:proofErr w:type="spellStart"/>
      <w:r w:rsidRPr="002B16B1">
        <w:rPr>
          <w:rFonts w:eastAsia="Arial"/>
        </w:rPr>
        <w:t>olaparibas</w:t>
      </w:r>
      <w:proofErr w:type="spellEnd"/>
      <w:r w:rsidRPr="002B16B1">
        <w:rPr>
          <w:rFonts w:eastAsia="Arial"/>
        </w:rPr>
        <w:t xml:space="preserve">. Olaparibas priskiriamas kitiems preparatams nuo vėžio pagal </w:t>
      </w:r>
      <w:proofErr w:type="spellStart"/>
      <w:r w:rsidRPr="002B16B1">
        <w:rPr>
          <w:rFonts w:eastAsia="Arial"/>
        </w:rPr>
        <w:t>farmakoterapinės</w:t>
      </w:r>
      <w:proofErr w:type="spellEnd"/>
      <w:r w:rsidRPr="002B16B1">
        <w:rPr>
          <w:rFonts w:eastAsia="Arial"/>
        </w:rPr>
        <w:t xml:space="preserve"> grupės klasifikaciją. Olaparibas stipriai slopina žmogaus fermentus – poli (ADF </w:t>
      </w:r>
      <w:proofErr w:type="spellStart"/>
      <w:r w:rsidRPr="002B16B1">
        <w:rPr>
          <w:rFonts w:eastAsia="Arial"/>
        </w:rPr>
        <w:t>ribozės</w:t>
      </w:r>
      <w:proofErr w:type="spellEnd"/>
      <w:r w:rsidRPr="002B16B1">
        <w:rPr>
          <w:rFonts w:eastAsia="Arial"/>
        </w:rPr>
        <w:t xml:space="preserve">) </w:t>
      </w:r>
      <w:proofErr w:type="spellStart"/>
      <w:r w:rsidRPr="002B16B1">
        <w:rPr>
          <w:rFonts w:eastAsia="Arial"/>
        </w:rPr>
        <w:t>polimerazes</w:t>
      </w:r>
      <w:proofErr w:type="spellEnd"/>
      <w:r w:rsidRPr="002B16B1">
        <w:rPr>
          <w:rFonts w:eastAsia="Arial"/>
        </w:rPr>
        <w:t xml:space="preserve"> (PARP-1, PARP-2, PARP-3). Pasirinktas </w:t>
      </w:r>
      <w:r w:rsidRPr="002B16B1">
        <w:rPr>
          <w:rFonts w:eastAsia="Arial"/>
          <w:bCs/>
        </w:rPr>
        <w:t xml:space="preserve">palyginamasis gydymas - </w:t>
      </w:r>
      <w:r w:rsidRPr="002B16B1">
        <w:rPr>
          <w:rFonts w:eastAsia="Arial"/>
        </w:rPr>
        <w:t xml:space="preserve">Stebėjimo ir laukimo taktika (SLT). Palyginamasis gydymas </w:t>
      </w:r>
      <w:r w:rsidRPr="002B16B1">
        <w:rPr>
          <w:rFonts w:eastAsia="Arial"/>
          <w:bCs/>
        </w:rPr>
        <w:t>atitinka Lietuvos Respublikos sveikatos apsaugos ministro 2002 m. balandžio 5 d. įsakymu Nr. V-159 „Dėl vaistinių preparatų ir medicinos pagalbos priemonių įrašymo į kompensavimo sąrašus ir jų keitimo tvarkos aprašo patvirtinimo“ 116 – 119 punktus.</w:t>
      </w:r>
    </w:p>
    <w:p w14:paraId="7D35FA50" w14:textId="77777777" w:rsidR="00C4593C" w:rsidRPr="002B16B1" w:rsidRDefault="00C4593C" w:rsidP="00C4593C">
      <w:pPr>
        <w:tabs>
          <w:tab w:val="left" w:pos="426"/>
        </w:tabs>
        <w:spacing w:line="276" w:lineRule="auto"/>
        <w:jc w:val="both"/>
        <w:rPr>
          <w:rFonts w:eastAsia="Arial"/>
        </w:rPr>
      </w:pPr>
    </w:p>
    <w:p w14:paraId="1AD0B74A" w14:textId="77777777" w:rsidR="00C4593C" w:rsidRPr="002B16B1" w:rsidRDefault="00C4593C" w:rsidP="00C4593C">
      <w:pPr>
        <w:tabs>
          <w:tab w:val="left" w:pos="426"/>
        </w:tabs>
        <w:jc w:val="both"/>
        <w:rPr>
          <w:i/>
          <w:color w:val="000000"/>
          <w:lang w:eastAsia="lt-LT"/>
        </w:rPr>
      </w:pPr>
      <w:r w:rsidRPr="002B16B1">
        <w:rPr>
          <w:i/>
          <w:color w:val="000000"/>
          <w:lang w:eastAsia="lt-LT"/>
        </w:rPr>
        <w:t>Tiesioginis palyginimas</w:t>
      </w:r>
    </w:p>
    <w:p w14:paraId="54145ED5" w14:textId="77777777" w:rsidR="00C4593C" w:rsidRPr="002B16B1" w:rsidRDefault="00C4593C" w:rsidP="00C4593C">
      <w:pPr>
        <w:tabs>
          <w:tab w:val="left" w:pos="426"/>
        </w:tabs>
        <w:jc w:val="both"/>
        <w:rPr>
          <w:i/>
          <w:color w:val="000000"/>
          <w:lang w:eastAsia="lt-LT"/>
        </w:rPr>
      </w:pPr>
    </w:p>
    <w:p w14:paraId="2C870020" w14:textId="77777777" w:rsidR="00C4593C" w:rsidRPr="002B16B1" w:rsidRDefault="00C4593C" w:rsidP="00C4593C">
      <w:pPr>
        <w:tabs>
          <w:tab w:val="left" w:pos="492"/>
        </w:tabs>
        <w:spacing w:line="276" w:lineRule="auto"/>
        <w:jc w:val="both"/>
        <w:outlineLvl w:val="1"/>
        <w:rPr>
          <w:rFonts w:eastAsia="Arial"/>
        </w:rPr>
      </w:pPr>
      <w:r w:rsidRPr="002B16B1">
        <w:rPr>
          <w:b/>
          <w:color w:val="000000"/>
          <w:lang w:eastAsia="lt-LT"/>
        </w:rPr>
        <w:tab/>
      </w:r>
      <w:r w:rsidRPr="002B16B1">
        <w:rPr>
          <w:rFonts w:eastAsia="Arial"/>
        </w:rPr>
        <w:t xml:space="preserve">SOLO-1 tyrimas – tarptautinis, atsitiktinių, dvigubai koduotas, </w:t>
      </w:r>
      <w:proofErr w:type="spellStart"/>
      <w:r w:rsidRPr="002B16B1">
        <w:rPr>
          <w:rFonts w:eastAsia="Arial"/>
        </w:rPr>
        <w:t>placebu</w:t>
      </w:r>
      <w:proofErr w:type="spellEnd"/>
      <w:r w:rsidRPr="002B16B1">
        <w:rPr>
          <w:rFonts w:eastAsia="Arial"/>
        </w:rPr>
        <w:t xml:space="preserve"> kontroliuojamas 3 fazės klinikinis tyrimas, kuriame buvo lygintas olaparibo ir SLT veiksmingumas pacientėms,  sergančioms naujai diagnozuotu, </w:t>
      </w:r>
      <w:proofErr w:type="spellStart"/>
      <w:r w:rsidRPr="002B16B1">
        <w:rPr>
          <w:rFonts w:eastAsia="Arial"/>
        </w:rPr>
        <w:t>histologiškai</w:t>
      </w:r>
      <w:proofErr w:type="spellEnd"/>
      <w:r w:rsidRPr="002B16B1">
        <w:rPr>
          <w:rFonts w:eastAsia="Arial"/>
        </w:rPr>
        <w:t xml:space="preserve"> patvirtintu, progresavusiu (FIGO III ar IV stadija) BRCA </w:t>
      </w:r>
      <w:proofErr w:type="spellStart"/>
      <w:r w:rsidRPr="002B16B1">
        <w:rPr>
          <w:rFonts w:eastAsia="Arial"/>
        </w:rPr>
        <w:t>mutavusiu</w:t>
      </w:r>
      <w:proofErr w:type="spellEnd"/>
      <w:r w:rsidRPr="002B16B1">
        <w:rPr>
          <w:rFonts w:eastAsia="Arial"/>
        </w:rPr>
        <w:t xml:space="preserve"> aukšto laipsnio </w:t>
      </w:r>
      <w:proofErr w:type="spellStart"/>
      <w:r w:rsidRPr="002B16B1">
        <w:rPr>
          <w:rFonts w:eastAsia="Arial"/>
        </w:rPr>
        <w:t>seroziniu</w:t>
      </w:r>
      <w:proofErr w:type="spellEnd"/>
      <w:r w:rsidRPr="002B16B1">
        <w:rPr>
          <w:rFonts w:eastAsia="Arial"/>
        </w:rPr>
        <w:t xml:space="preserve"> ar aukšto laipsnio </w:t>
      </w:r>
      <w:proofErr w:type="spellStart"/>
      <w:r w:rsidRPr="002B16B1">
        <w:rPr>
          <w:rFonts w:eastAsia="Arial"/>
        </w:rPr>
        <w:t>endometrioidiniu</w:t>
      </w:r>
      <w:proofErr w:type="spellEnd"/>
      <w:r w:rsidRPr="002B16B1">
        <w:rPr>
          <w:rFonts w:eastAsia="Arial"/>
        </w:rPr>
        <w:t xml:space="preserve"> kiaušidžių vėžiu, pirminiu pilvaplėvės vėžiu ir (arba) kiaušintakių vėžiu, kurioms buvo atsakas (visiškas ar dalinis) į pirmosios eilės chemoterapiją platinos pagrindu. </w:t>
      </w:r>
      <w:r w:rsidRPr="002B16B1">
        <w:rPr>
          <w:rFonts w:eastAsia="Arial"/>
          <w:color w:val="000000" w:themeColor="text1"/>
        </w:rPr>
        <w:t>Į klinikin</w:t>
      </w:r>
      <w:r>
        <w:rPr>
          <w:rFonts w:eastAsia="Arial"/>
          <w:color w:val="000000" w:themeColor="text1"/>
        </w:rPr>
        <w:t>į tyrimą SOLO1 buvo atsitiktinių</w:t>
      </w:r>
      <w:r w:rsidRPr="002B16B1">
        <w:rPr>
          <w:rFonts w:eastAsia="Arial"/>
          <w:color w:val="000000" w:themeColor="text1"/>
        </w:rPr>
        <w:t xml:space="preserve"> imčių būdu atrinkt</w:t>
      </w:r>
      <w:r>
        <w:rPr>
          <w:rFonts w:eastAsia="Arial"/>
          <w:color w:val="000000" w:themeColor="text1"/>
        </w:rPr>
        <w:t>a 391 pacientė: 260 pacienčių buvo priskirtos</w:t>
      </w:r>
      <w:r w:rsidRPr="002B16B1">
        <w:rPr>
          <w:rFonts w:eastAsia="Arial"/>
          <w:color w:val="000000" w:themeColor="text1"/>
        </w:rPr>
        <w:t xml:space="preserve"> olaparibo grup</w:t>
      </w:r>
      <w:r>
        <w:rPr>
          <w:rFonts w:eastAsia="Arial"/>
          <w:color w:val="000000" w:themeColor="text1"/>
        </w:rPr>
        <w:t xml:space="preserve">ei ir 131 </w:t>
      </w:r>
      <w:proofErr w:type="spellStart"/>
      <w:r>
        <w:rPr>
          <w:rFonts w:eastAsia="Arial"/>
          <w:color w:val="000000" w:themeColor="text1"/>
        </w:rPr>
        <w:t>placebo</w:t>
      </w:r>
      <w:proofErr w:type="spellEnd"/>
      <w:r>
        <w:rPr>
          <w:rFonts w:eastAsia="Arial"/>
          <w:color w:val="000000" w:themeColor="text1"/>
        </w:rPr>
        <w:t xml:space="preserve"> grupei (vienai pacientei nebuvo skirta nė</w:t>
      </w:r>
      <w:r w:rsidRPr="002B16B1">
        <w:rPr>
          <w:rFonts w:eastAsia="Arial"/>
          <w:color w:val="000000" w:themeColor="text1"/>
        </w:rPr>
        <w:t xml:space="preserve"> viena </w:t>
      </w:r>
      <w:proofErr w:type="spellStart"/>
      <w:r w:rsidRPr="002B16B1">
        <w:rPr>
          <w:rFonts w:eastAsia="Arial"/>
          <w:color w:val="000000" w:themeColor="text1"/>
        </w:rPr>
        <w:t>placebo</w:t>
      </w:r>
      <w:proofErr w:type="spellEnd"/>
      <w:r w:rsidRPr="002B16B1">
        <w:rPr>
          <w:rFonts w:eastAsia="Arial"/>
          <w:color w:val="000000" w:themeColor="text1"/>
        </w:rPr>
        <w:t xml:space="preserve"> dozė dėl ankstyvo pasitraukimo iš klinikinio tyrimo).</w:t>
      </w:r>
    </w:p>
    <w:p w14:paraId="521C90EF" w14:textId="77777777" w:rsidR="00C4593C" w:rsidRPr="002B16B1" w:rsidRDefault="00C4593C" w:rsidP="00C4593C">
      <w:pPr>
        <w:tabs>
          <w:tab w:val="left" w:pos="492"/>
        </w:tabs>
        <w:spacing w:line="276" w:lineRule="auto"/>
        <w:jc w:val="both"/>
        <w:outlineLvl w:val="1"/>
        <w:rPr>
          <w:rFonts w:eastAsia="Arial"/>
        </w:rPr>
      </w:pPr>
      <w:r w:rsidRPr="002B16B1">
        <w:rPr>
          <w:color w:val="000000"/>
          <w:lang w:eastAsia="lt-LT"/>
        </w:rPr>
        <w:tab/>
      </w:r>
      <w:r w:rsidRPr="002B16B1">
        <w:rPr>
          <w:rFonts w:eastAsia="Arial"/>
        </w:rPr>
        <w:t xml:space="preserve">Kompiuterinės tomografijos arba magnetinio rezonanso vaizdiniai tyrimai buvo atliekami tyrimo pradžioje, kas 12 savaičių 3 metus nuo tyrimo pradžios ir toliau kas 24 savaites iki objektyviai </w:t>
      </w:r>
      <w:r w:rsidRPr="002B16B1">
        <w:rPr>
          <w:rFonts w:eastAsia="Arial"/>
        </w:rPr>
        <w:lastRenderedPageBreak/>
        <w:t>patvirtinto ligos progresavimo. Pirminės vertinamosios baigties (</w:t>
      </w:r>
      <w:proofErr w:type="spellStart"/>
      <w:r w:rsidRPr="002B16B1">
        <w:rPr>
          <w:rFonts w:eastAsia="Arial"/>
        </w:rPr>
        <w:t>išgyvenamumas</w:t>
      </w:r>
      <w:proofErr w:type="spellEnd"/>
      <w:r w:rsidRPr="002B16B1">
        <w:rPr>
          <w:rFonts w:eastAsia="Arial"/>
        </w:rPr>
        <w:t xml:space="preserve"> be ligos progresavimo, IBLP) rezultatai buvo analizuojami </w:t>
      </w:r>
      <w:r w:rsidRPr="002B16B1">
        <w:rPr>
          <w:rFonts w:eastAsia="Arial"/>
          <w:u w:val="single"/>
        </w:rPr>
        <w:t>įvykus 198 ligos progreso arba mirties įvykių (duomenų branda 51 proc.).</w:t>
      </w:r>
      <w:r w:rsidRPr="002B16B1">
        <w:rPr>
          <w:rFonts w:eastAsia="Arial"/>
        </w:rPr>
        <w:t xml:space="preserve"> Šios analizės metu IBLP mediana olaparibo grupėje nebuvo pasiekta, o </w:t>
      </w:r>
      <w:proofErr w:type="spellStart"/>
      <w:r w:rsidRPr="002B16B1">
        <w:rPr>
          <w:rFonts w:eastAsia="Arial"/>
        </w:rPr>
        <w:t>placebo</w:t>
      </w:r>
      <w:proofErr w:type="spellEnd"/>
      <w:r w:rsidRPr="002B16B1">
        <w:rPr>
          <w:rFonts w:eastAsia="Arial"/>
        </w:rPr>
        <w:t xml:space="preserve"> grupėje buvo 13,8 mėn., ligos progreso ar mirties rizikos santykis </w:t>
      </w:r>
      <w:r w:rsidRPr="002B16B1">
        <w:rPr>
          <w:rFonts w:eastAsia="Arial"/>
          <w:b/>
        </w:rPr>
        <w:t>0,30</w:t>
      </w:r>
      <w:r w:rsidRPr="002B16B1">
        <w:rPr>
          <w:rFonts w:eastAsia="Arial"/>
        </w:rPr>
        <w:t xml:space="preserve"> (95 proc. PI 0,23 – 0,41; p&lt;0,0004, </w:t>
      </w:r>
      <w:r w:rsidRPr="002B16B1">
        <w:t>nors iš anksto numatytas reikšmingumas nebuvo pasiektas p&lt;0,0001</w:t>
      </w:r>
      <w:r w:rsidRPr="002B16B1">
        <w:rPr>
          <w:rFonts w:eastAsia="Arial"/>
        </w:rPr>
        <w:t xml:space="preserve">). Kadangi pirminės analizės rezultatai sutapo su statistinėje analizėje iš anksto numatytu tikslu, klinikinis tyrimas buvo tęsiamas kaip stebėjimas antrinėms  baigtims įvertinti: bendras </w:t>
      </w:r>
      <w:proofErr w:type="spellStart"/>
      <w:r w:rsidRPr="002B16B1">
        <w:rPr>
          <w:rFonts w:eastAsia="Arial"/>
        </w:rPr>
        <w:t>išgyvenamumas</w:t>
      </w:r>
      <w:proofErr w:type="spellEnd"/>
      <w:r w:rsidRPr="002B16B1">
        <w:rPr>
          <w:rFonts w:eastAsia="Arial"/>
        </w:rPr>
        <w:t xml:space="preserve"> (BI) bei laikas iki pirmos kitos terapijos (IBLP2). Pirminės analizė</w:t>
      </w:r>
      <w:r>
        <w:rPr>
          <w:rFonts w:eastAsia="Arial"/>
        </w:rPr>
        <w:t>s metu BI duomenys buvo nebrandū</w:t>
      </w:r>
      <w:r w:rsidRPr="002B16B1">
        <w:rPr>
          <w:rFonts w:eastAsia="Arial"/>
        </w:rPr>
        <w:t xml:space="preserve">s – 21 proc. </w:t>
      </w:r>
    </w:p>
    <w:p w14:paraId="2CF0FB57" w14:textId="77777777" w:rsidR="00C4593C" w:rsidRPr="002B16B1" w:rsidRDefault="00C4593C" w:rsidP="00C4593C">
      <w:pPr>
        <w:tabs>
          <w:tab w:val="left" w:pos="492"/>
        </w:tabs>
        <w:spacing w:line="276" w:lineRule="auto"/>
        <w:jc w:val="both"/>
        <w:outlineLvl w:val="1"/>
      </w:pPr>
      <w:r w:rsidRPr="002B16B1">
        <w:rPr>
          <w:rFonts w:eastAsia="Arial"/>
        </w:rPr>
        <w:tab/>
        <w:t xml:space="preserve">Praėjus 7 metams nuo tyrimo pradžios, buvo atlikta tarpinė analizė BI įvertinti. Bendra stebėjimo mediana buvo 88 mėnesiai.  </w:t>
      </w:r>
      <w:r>
        <w:t>Vertinant BI duomeni</w:t>
      </w:r>
      <w:r w:rsidRPr="002B16B1">
        <w:t xml:space="preserve">s, </w:t>
      </w:r>
      <w:r w:rsidRPr="002B16B1">
        <w:rPr>
          <w:lang w:val="en-US"/>
        </w:rPr>
        <w:t>j</w:t>
      </w:r>
      <w:r w:rsidRPr="002B16B1">
        <w:t xml:space="preserve">ų </w:t>
      </w:r>
      <w:r w:rsidRPr="006B2F6C">
        <w:t>brandumas buvo 38,1 proc</w:t>
      </w:r>
      <w:r w:rsidRPr="002B16B1">
        <w:t xml:space="preserve">. BI mediana olaparibo grupėje nebuvo pasiekta, palyginus su 75,2 mėn. (95 proc. PI: 65,4 – nepasiekta) – </w:t>
      </w:r>
      <w:proofErr w:type="spellStart"/>
      <w:r w:rsidRPr="002B16B1">
        <w:t>placebo</w:t>
      </w:r>
      <w:proofErr w:type="spellEnd"/>
      <w:r w:rsidRPr="002B16B1">
        <w:t xml:space="preserve"> grupėje. RS</w:t>
      </w:r>
      <w:r w:rsidRPr="002B16B1">
        <w:rPr>
          <w:lang w:val="en-GB"/>
        </w:rPr>
        <w:t>=0,55 (95 proc. PI: 0</w:t>
      </w:r>
      <w:r w:rsidRPr="002B16B1">
        <w:rPr>
          <w:lang w:val="en-US"/>
        </w:rPr>
        <w:t xml:space="preserve">,4-0,76; p&lt;0,0004). </w:t>
      </w:r>
      <w:r w:rsidRPr="002B16B1">
        <w:t xml:space="preserve">Tarpinės analizės rezultatai parodė, kad skiriant </w:t>
      </w:r>
      <w:proofErr w:type="spellStart"/>
      <w:r w:rsidRPr="002B16B1">
        <w:t>olaparibą</w:t>
      </w:r>
      <w:proofErr w:type="spellEnd"/>
      <w:r w:rsidRPr="002B16B1">
        <w:t xml:space="preserve"> pal</w:t>
      </w:r>
      <w:r>
        <w:t xml:space="preserve">aikomajai </w:t>
      </w:r>
      <w:proofErr w:type="spellStart"/>
      <w:r>
        <w:t>monoterapijai</w:t>
      </w:r>
      <w:proofErr w:type="spellEnd"/>
      <w:r>
        <w:t xml:space="preserve"> pacientė</w:t>
      </w:r>
      <w:r w:rsidRPr="002B16B1">
        <w:t>ms po pirmos eilės cheminės terapijos platinos</w:t>
      </w:r>
      <w:r>
        <w:t xml:space="preserve"> pagrindu tikėtina, kad pacientė</w:t>
      </w:r>
      <w:r w:rsidRPr="002B16B1">
        <w:t xml:space="preserve">ms mirties nuo bet kokios priežasties rizika mažėja </w:t>
      </w:r>
      <w:r>
        <w:t>45 proc., palyginus su pacientėmis, kurio</w:t>
      </w:r>
      <w:r w:rsidRPr="002B16B1">
        <w:t xml:space="preserve">ms taikoma SLT. Kita svarbi antrinė baigtis buvo </w:t>
      </w:r>
      <w:r w:rsidRPr="002B16B1">
        <w:rPr>
          <w:rFonts w:eastAsia="Arial"/>
          <w:u w:val="single"/>
        </w:rPr>
        <w:t>laikas iki pirmos kitos terapijos. N</w:t>
      </w:r>
      <w:r w:rsidRPr="002B16B1">
        <w:rPr>
          <w:rFonts w:eastAsia="Arial"/>
        </w:rPr>
        <w:t xml:space="preserve">ustatyta, kad laiko iki </w:t>
      </w:r>
      <w:r>
        <w:rPr>
          <w:rFonts w:eastAsia="Arial"/>
        </w:rPr>
        <w:t>pirmos</w:t>
      </w:r>
      <w:r w:rsidRPr="002B16B1">
        <w:rPr>
          <w:rFonts w:eastAsia="Arial"/>
        </w:rPr>
        <w:t xml:space="preserve"> kitos terapijos mediana olaparibo grupėje buvo 64,0 mėn. (95 proc. PI: 47,0 – 93,2), </w:t>
      </w:r>
      <w:proofErr w:type="spellStart"/>
      <w:r w:rsidRPr="002B16B1">
        <w:rPr>
          <w:rFonts w:eastAsia="Arial"/>
        </w:rPr>
        <w:t>placebo</w:t>
      </w:r>
      <w:proofErr w:type="spellEnd"/>
      <w:r w:rsidRPr="002B16B1">
        <w:rPr>
          <w:rFonts w:eastAsia="Arial"/>
        </w:rPr>
        <w:t xml:space="preserve"> grupėje 15,1 mėn., rizikos santykis 0,37 (95 proc. PI 0,28 – 0,48) (p&lt;0,0001). </w:t>
      </w:r>
      <w:r w:rsidRPr="002B16B1">
        <w:rPr>
          <w:rFonts w:eastAsia="Arial"/>
          <w:u w:val="single"/>
        </w:rPr>
        <w:t xml:space="preserve">Duomenų brandumas  - 59,6 proc. </w:t>
      </w:r>
      <w:r w:rsidRPr="002B16B1">
        <w:t xml:space="preserve">Remiantis </w:t>
      </w:r>
      <w:proofErr w:type="spellStart"/>
      <w:r w:rsidRPr="002B16B1">
        <w:rPr>
          <w:rFonts w:eastAsia="Arial"/>
          <w:i/>
        </w:rPr>
        <w:t>Kaplan</w:t>
      </w:r>
      <w:proofErr w:type="spellEnd"/>
      <w:r w:rsidRPr="002B16B1">
        <w:rPr>
          <w:rFonts w:eastAsia="Arial"/>
          <w:i/>
        </w:rPr>
        <w:t xml:space="preserve"> </w:t>
      </w:r>
      <w:proofErr w:type="spellStart"/>
      <w:r w:rsidRPr="002B16B1">
        <w:rPr>
          <w:rFonts w:eastAsia="Arial"/>
          <w:i/>
        </w:rPr>
        <w:t>Meier</w:t>
      </w:r>
      <w:proofErr w:type="spellEnd"/>
      <w:r w:rsidRPr="002B16B1">
        <w:rPr>
          <w:rFonts w:eastAsia="Arial"/>
          <w:i/>
        </w:rPr>
        <w:t xml:space="preserve"> kreive,</w:t>
      </w:r>
      <w:r>
        <w:t xml:space="preserve"> 45,3 proc. pacienči</w:t>
      </w:r>
      <w:r w:rsidRPr="002B16B1">
        <w:t>ų olaparibo grupėje ir 20,6</w:t>
      </w:r>
      <w:r>
        <w:t xml:space="preserve"> proc. </w:t>
      </w:r>
      <w:proofErr w:type="spellStart"/>
      <w:r>
        <w:t>placebo</w:t>
      </w:r>
      <w:proofErr w:type="spellEnd"/>
      <w:r>
        <w:t xml:space="preserve"> grupėje buvo gyvos</w:t>
      </w:r>
      <w:r w:rsidRPr="002B16B1">
        <w:t xml:space="preserve"> ir negavo jokio paskesnio gydymo dėl ligos progresavimo po 7 metų gydymo ir stebėjimo.</w:t>
      </w:r>
    </w:p>
    <w:p w14:paraId="33E6FC44" w14:textId="77777777" w:rsidR="00C4593C" w:rsidRPr="002B16B1" w:rsidRDefault="00C4593C" w:rsidP="00C4593C">
      <w:pPr>
        <w:tabs>
          <w:tab w:val="left" w:pos="492"/>
        </w:tabs>
        <w:spacing w:line="276" w:lineRule="auto"/>
        <w:jc w:val="both"/>
        <w:outlineLvl w:val="1"/>
        <w:rPr>
          <w:rFonts w:eastAsia="Arial"/>
        </w:rPr>
      </w:pPr>
      <w:r w:rsidRPr="002B16B1">
        <w:tab/>
      </w:r>
      <w:r w:rsidRPr="002B16B1">
        <w:rPr>
          <w:u w:val="single"/>
        </w:rPr>
        <w:t>Pacientų praneštos baigtys</w:t>
      </w:r>
      <w:r w:rsidRPr="002B16B1">
        <w:t xml:space="preserve"> buvo įvertintos per 2 tyrimo SOLO1 metus. Pacientų gyvenimo kokybė ir fizinės būklės vertinimas buvo grindžiamas pacientų apklausą naudojant specialius klausimynus. R</w:t>
      </w:r>
      <w:r w:rsidRPr="002B16B1">
        <w:rPr>
          <w:rFonts w:eastAsia="Arial"/>
        </w:rPr>
        <w:t xml:space="preserve">eikšmingų gyvenimo kokybės pokyčių nebuvo užfiksuota nei olaparibo, nei </w:t>
      </w:r>
      <w:proofErr w:type="spellStart"/>
      <w:r w:rsidRPr="002B16B1">
        <w:rPr>
          <w:rFonts w:eastAsia="Arial"/>
        </w:rPr>
        <w:t>placebo</w:t>
      </w:r>
      <w:proofErr w:type="spellEnd"/>
      <w:r w:rsidRPr="002B16B1">
        <w:rPr>
          <w:rFonts w:eastAsia="Arial"/>
        </w:rPr>
        <w:t xml:space="preserve"> grupėje.</w:t>
      </w:r>
    </w:p>
    <w:p w14:paraId="3F68975E" w14:textId="77777777" w:rsidR="00C4593C" w:rsidRPr="002B16B1" w:rsidRDefault="00C4593C" w:rsidP="00C4593C">
      <w:pPr>
        <w:tabs>
          <w:tab w:val="left" w:pos="426"/>
        </w:tabs>
        <w:spacing w:line="276" w:lineRule="auto"/>
        <w:jc w:val="both"/>
        <w:rPr>
          <w:color w:val="000000"/>
          <w:lang w:eastAsia="lt-LT"/>
        </w:rPr>
      </w:pPr>
      <w:r w:rsidRPr="002B16B1">
        <w:rPr>
          <w:color w:val="000000"/>
          <w:lang w:eastAsia="lt-LT"/>
        </w:rPr>
        <w:tab/>
        <w:t xml:space="preserve">Olaparibas dažniau nei </w:t>
      </w:r>
      <w:proofErr w:type="spellStart"/>
      <w:r w:rsidRPr="002B16B1">
        <w:rPr>
          <w:color w:val="000000"/>
          <w:lang w:eastAsia="lt-LT"/>
        </w:rPr>
        <w:t>placebas</w:t>
      </w:r>
      <w:proofErr w:type="spellEnd"/>
      <w:r w:rsidRPr="002B16B1">
        <w:rPr>
          <w:color w:val="000000"/>
          <w:lang w:eastAsia="lt-LT"/>
        </w:rPr>
        <w:t xml:space="preserve"> sukelia virškinamojo trakto nepageidaujamas reakcijas (pykinimas, vėmimas, pilvo skausmas, viduriavimas) ir hematologines reakcijas (anemija, </w:t>
      </w:r>
      <w:proofErr w:type="spellStart"/>
      <w:r w:rsidRPr="002B16B1">
        <w:rPr>
          <w:color w:val="000000"/>
          <w:lang w:eastAsia="lt-LT"/>
        </w:rPr>
        <w:t>trombocitopenija</w:t>
      </w:r>
      <w:proofErr w:type="spellEnd"/>
      <w:r w:rsidRPr="002B16B1">
        <w:rPr>
          <w:color w:val="000000"/>
          <w:lang w:eastAsia="lt-LT"/>
        </w:rPr>
        <w:t xml:space="preserve">, </w:t>
      </w:r>
      <w:proofErr w:type="spellStart"/>
      <w:r w:rsidRPr="002B16B1">
        <w:rPr>
          <w:color w:val="000000"/>
          <w:lang w:eastAsia="lt-LT"/>
        </w:rPr>
        <w:t>neutropenija</w:t>
      </w:r>
      <w:proofErr w:type="spellEnd"/>
      <w:r w:rsidRPr="002B16B1">
        <w:rPr>
          <w:color w:val="000000"/>
          <w:lang w:eastAsia="lt-LT"/>
        </w:rPr>
        <w:t xml:space="preserve">). Taip pat yra nedidelė </w:t>
      </w:r>
      <w:proofErr w:type="spellStart"/>
      <w:r w:rsidRPr="002B16B1">
        <w:rPr>
          <w:color w:val="000000"/>
          <w:lang w:eastAsia="lt-LT"/>
        </w:rPr>
        <w:t>mielodisplazinio</w:t>
      </w:r>
      <w:proofErr w:type="spellEnd"/>
      <w:r w:rsidRPr="002B16B1">
        <w:rPr>
          <w:color w:val="000000"/>
          <w:lang w:eastAsia="lt-LT"/>
        </w:rPr>
        <w:t xml:space="preserve"> sindromo/ ūminės </w:t>
      </w:r>
      <w:proofErr w:type="spellStart"/>
      <w:r w:rsidRPr="002B16B1">
        <w:rPr>
          <w:color w:val="000000"/>
          <w:lang w:eastAsia="lt-LT"/>
        </w:rPr>
        <w:t>mieloidinės</w:t>
      </w:r>
      <w:proofErr w:type="spellEnd"/>
      <w:r w:rsidRPr="002B16B1">
        <w:rPr>
          <w:color w:val="000000"/>
          <w:lang w:eastAsia="lt-LT"/>
        </w:rPr>
        <w:t xml:space="preserve"> leukemijos ir </w:t>
      </w:r>
      <w:proofErr w:type="spellStart"/>
      <w:r w:rsidRPr="002B16B1">
        <w:rPr>
          <w:color w:val="000000"/>
          <w:lang w:eastAsia="lt-LT"/>
        </w:rPr>
        <w:t>pneumonito</w:t>
      </w:r>
      <w:proofErr w:type="spellEnd"/>
      <w:r w:rsidRPr="002B16B1">
        <w:rPr>
          <w:color w:val="000000"/>
          <w:lang w:eastAsia="lt-LT"/>
        </w:rPr>
        <w:t xml:space="preserve"> rizika.</w:t>
      </w:r>
    </w:p>
    <w:p w14:paraId="2A83C2BF" w14:textId="77777777" w:rsidR="00C4593C" w:rsidRPr="002B16B1" w:rsidRDefault="00C4593C" w:rsidP="00C4593C">
      <w:pPr>
        <w:tabs>
          <w:tab w:val="left" w:pos="426"/>
        </w:tabs>
        <w:spacing w:line="276" w:lineRule="auto"/>
        <w:jc w:val="both"/>
        <w:rPr>
          <w:color w:val="000000"/>
          <w:lang w:eastAsia="lt-LT"/>
        </w:rPr>
      </w:pPr>
      <w:r w:rsidRPr="002B16B1">
        <w:rPr>
          <w:color w:val="000000"/>
          <w:lang w:eastAsia="lt-LT"/>
        </w:rPr>
        <w:tab/>
      </w:r>
      <w:r w:rsidRPr="002B16B1">
        <w:t>Atsižvelgiant į realiai nedidelį įvykių (mirties nuo bet kokios priežasties) dažnį, nei buvo numatytas pradedant SOLO1 tyrimą, bei pasiektą statistiškai reikšmingą skirtumą tarp tiriamųjų grupių pagal esamus BI duomenis po 7 metų stebėjimo laikotarpio, Tarnyba mano, kad pareiškėjo pateikti duomenys yra kliniš</w:t>
      </w:r>
      <w:r>
        <w:t>kai reikšmingi olaparibo naudai</w:t>
      </w:r>
      <w:r w:rsidRPr="002B16B1">
        <w:t xml:space="preserve"> ir patvirtina olaparibo palaikomosios </w:t>
      </w:r>
      <w:proofErr w:type="spellStart"/>
      <w:r w:rsidRPr="002B16B1">
        <w:t>monoterapijos</w:t>
      </w:r>
      <w:proofErr w:type="spellEnd"/>
      <w:r w:rsidRPr="002B16B1">
        <w:t xml:space="preserve"> efektyvumą, palyginus su standartiniu gydymu – </w:t>
      </w:r>
      <w:r w:rsidRPr="002B16B1">
        <w:rPr>
          <w:rFonts w:eastAsia="Arial"/>
        </w:rPr>
        <w:t>Stebėjimo ir laukimo taktika</w:t>
      </w:r>
      <w:r w:rsidRPr="002B16B1">
        <w:t xml:space="preserve">. Tačiau pažymėtina, kad BI duomenys vis dar nebrandūs </w:t>
      </w:r>
      <w:r w:rsidRPr="006B2F6C">
        <w:t>(38 proc.)</w:t>
      </w:r>
      <w:r w:rsidRPr="002B16B1">
        <w:t xml:space="preserve"> ir stebėjimas tęsiamas, nes formaliai statistinis reikšmingumas nebuvo įrodytas, lyginant olaparibo ir </w:t>
      </w:r>
      <w:proofErr w:type="spellStart"/>
      <w:r w:rsidRPr="002B16B1">
        <w:t>placebo</w:t>
      </w:r>
      <w:proofErr w:type="spellEnd"/>
      <w:r w:rsidRPr="002B16B1">
        <w:t xml:space="preserve"> grupes, pagal iš anksto numatytą statistinę analizę </w:t>
      </w:r>
      <w:r w:rsidRPr="006B2F6C">
        <w:t>(</w:t>
      </w:r>
      <w:proofErr w:type="spellStart"/>
      <w:r w:rsidRPr="006B2F6C">
        <w:rPr>
          <w:i/>
        </w:rPr>
        <w:t>Haybittle-Peto</w:t>
      </w:r>
      <w:proofErr w:type="spellEnd"/>
      <w:r w:rsidRPr="006B2F6C">
        <w:rPr>
          <w:i/>
        </w:rPr>
        <w:t xml:space="preserve"> α</w:t>
      </w:r>
      <w:r w:rsidRPr="006B2F6C">
        <w:rPr>
          <w:i/>
          <w:lang w:val="en-GB"/>
        </w:rPr>
        <w:t>=</w:t>
      </w:r>
      <w:r w:rsidRPr="006B2F6C">
        <w:rPr>
          <w:i/>
        </w:rPr>
        <w:t>0,0001</w:t>
      </w:r>
      <w:r w:rsidRPr="006B2F6C">
        <w:t xml:space="preserve">; </w:t>
      </w:r>
      <w:r w:rsidRPr="006B2F6C">
        <w:rPr>
          <w:i/>
        </w:rPr>
        <w:t>p&lt;0,0004 vs. p&lt;0,0001</w:t>
      </w:r>
      <w:r w:rsidRPr="006B2F6C">
        <w:t>).</w:t>
      </w:r>
      <w:r w:rsidRPr="002B16B1">
        <w:t xml:space="preserve"> </w:t>
      </w:r>
    </w:p>
    <w:p w14:paraId="1BD2EBCF" w14:textId="77777777" w:rsidR="00C4593C" w:rsidRPr="002B16B1" w:rsidRDefault="00C4593C" w:rsidP="00C4593C">
      <w:pPr>
        <w:tabs>
          <w:tab w:val="left" w:pos="426"/>
        </w:tabs>
        <w:spacing w:line="276" w:lineRule="auto"/>
        <w:jc w:val="both"/>
      </w:pPr>
      <w:r w:rsidRPr="002B16B1">
        <w:tab/>
      </w:r>
      <w:r w:rsidRPr="002B16B1">
        <w:rPr>
          <w:rFonts w:eastAsia="Arial"/>
        </w:rPr>
        <w:t xml:space="preserve">Šis vaistinis preparatas būtų pirmasis, skirtas šiai terapinei indikacijai Lietuvoje. Patekus į kompensuojamųjų vaistinių preparatų sąrašą jis būtų skiriamas kaip palaikomasis </w:t>
      </w:r>
      <w:r>
        <w:rPr>
          <w:rFonts w:eastAsia="Arial"/>
        </w:rPr>
        <w:t xml:space="preserve">pasirinktinis </w:t>
      </w:r>
      <w:r w:rsidRPr="002B16B1">
        <w:rPr>
          <w:rFonts w:eastAsia="Arial"/>
        </w:rPr>
        <w:t xml:space="preserve">gydymas pacientams, kurie pasiekė </w:t>
      </w:r>
      <w:r>
        <w:rPr>
          <w:rFonts w:eastAsia="Arial"/>
        </w:rPr>
        <w:t xml:space="preserve">dalinį arba visišką </w:t>
      </w:r>
      <w:r w:rsidRPr="002B16B1">
        <w:t>atsaką į pirmos eilės chemoterapiją platinos pagrindu. Šios terapijos tikslas kuo ilgesnė remisija po pirmos eilės terapijos, nes ligos atsinaujinimas reikšmingai blogina sergančiųjų išgyvenamumo prognozę.</w:t>
      </w:r>
    </w:p>
    <w:p w14:paraId="7C07F1F2" w14:textId="535323A9" w:rsidR="004E1B88" w:rsidRPr="004E1B88" w:rsidRDefault="004E1B88" w:rsidP="00C4593C">
      <w:pPr>
        <w:tabs>
          <w:tab w:val="left" w:pos="426"/>
        </w:tabs>
        <w:spacing w:line="276" w:lineRule="auto"/>
        <w:jc w:val="both"/>
      </w:pPr>
    </w:p>
    <w:p w14:paraId="369631EF" w14:textId="77FAA7C5" w:rsidR="004E1B88" w:rsidRDefault="004E1B88" w:rsidP="00A93AA6">
      <w:pPr>
        <w:pStyle w:val="ListParagraph"/>
        <w:tabs>
          <w:tab w:val="left" w:pos="426"/>
        </w:tabs>
        <w:ind w:left="0"/>
        <w:rPr>
          <w:bCs/>
          <w:caps/>
        </w:rPr>
      </w:pPr>
    </w:p>
    <w:p w14:paraId="66031737" w14:textId="77777777" w:rsidR="00C4593C" w:rsidRPr="004E1B88" w:rsidRDefault="00C4593C" w:rsidP="00A93AA6">
      <w:pPr>
        <w:pStyle w:val="ListParagraph"/>
        <w:tabs>
          <w:tab w:val="left" w:pos="426"/>
        </w:tabs>
        <w:ind w:left="0"/>
        <w:rPr>
          <w:bCs/>
          <w:caps/>
        </w:rPr>
      </w:pPr>
    </w:p>
    <w:p w14:paraId="42AAE749" w14:textId="77777777" w:rsidR="00E94000" w:rsidRPr="00E33EFF" w:rsidRDefault="00E94000" w:rsidP="00A93AA6">
      <w:pPr>
        <w:pStyle w:val="ListParagraph"/>
        <w:tabs>
          <w:tab w:val="left" w:pos="426"/>
        </w:tabs>
        <w:ind w:left="0"/>
        <w:rPr>
          <w:b/>
          <w:bCs/>
          <w:caps/>
        </w:rPr>
      </w:pPr>
    </w:p>
    <w:p w14:paraId="7DE09EB5" w14:textId="50B235BB" w:rsidR="00E03C3F" w:rsidRDefault="00CC7832" w:rsidP="00CC09D4">
      <w:pPr>
        <w:pStyle w:val="ListParagraph"/>
        <w:numPr>
          <w:ilvl w:val="0"/>
          <w:numId w:val="12"/>
        </w:numPr>
        <w:tabs>
          <w:tab w:val="left" w:pos="567"/>
        </w:tabs>
        <w:ind w:hanging="720"/>
        <w:rPr>
          <w:b/>
          <w:bCs/>
          <w:caps/>
        </w:rPr>
      </w:pPr>
      <w:r w:rsidRPr="00E33EFF">
        <w:rPr>
          <w:b/>
          <w:bCs/>
          <w:caps/>
        </w:rPr>
        <w:lastRenderedPageBreak/>
        <w:t xml:space="preserve">ekonominio vertinimo </w:t>
      </w:r>
      <w:r w:rsidR="002F0E4F" w:rsidRPr="00E33EFF">
        <w:rPr>
          <w:b/>
          <w:bCs/>
          <w:caps/>
        </w:rPr>
        <w:t>apibendrinimas</w:t>
      </w:r>
    </w:p>
    <w:p w14:paraId="5FC41695" w14:textId="37E09F56" w:rsidR="00C71ABA" w:rsidRDefault="00C71ABA" w:rsidP="00C71ABA">
      <w:pPr>
        <w:tabs>
          <w:tab w:val="left" w:pos="567"/>
        </w:tabs>
        <w:rPr>
          <w:bCs/>
          <w:caps/>
        </w:rPr>
      </w:pPr>
    </w:p>
    <w:p w14:paraId="6FCAE587" w14:textId="77777777" w:rsidR="00864906" w:rsidRPr="00864906" w:rsidRDefault="00864906" w:rsidP="000B2DD5">
      <w:pPr>
        <w:shd w:val="clear" w:color="auto" w:fill="FFFFFF"/>
        <w:spacing w:line="276" w:lineRule="auto"/>
        <w:ind w:firstLine="720"/>
        <w:jc w:val="both"/>
        <w:rPr>
          <w:rFonts w:eastAsia="Arial"/>
        </w:rPr>
      </w:pPr>
      <w:r w:rsidRPr="00864906">
        <w:rPr>
          <w:rFonts w:eastAsia="Arial"/>
        </w:rPr>
        <w:t>Vertinimui pateikta atnaujinta kaštų naudingumo analizė, olaparibo kaštų naudingumą lyginant su stebėjimo ir laukimo pacientų grupės kaštų naudingumu. Kaštų naudingumo analizė remiasi SOLO1 klinikinio tyrimo 7 metų stebėjimo duomenų rezultatais, todėl laikoma, jog BI duomenų trūkumo neapibrėžtumas yra suvaldytas.</w:t>
      </w:r>
    </w:p>
    <w:p w14:paraId="55D45A30" w14:textId="77777777" w:rsidR="00864906" w:rsidRPr="00864906" w:rsidRDefault="00864906" w:rsidP="000B2DD5">
      <w:pPr>
        <w:shd w:val="clear" w:color="auto" w:fill="FFFFFF"/>
        <w:spacing w:line="276" w:lineRule="auto"/>
        <w:jc w:val="both"/>
        <w:rPr>
          <w:rFonts w:eastAsia="Arial"/>
        </w:rPr>
      </w:pPr>
      <w:r w:rsidRPr="00864906">
        <w:rPr>
          <w:rFonts w:eastAsia="Arial"/>
        </w:rPr>
        <w:t>Tarnyba atliko analizės rezultato perskaičiavimą pakoregavus šias prielaidas:</w:t>
      </w:r>
    </w:p>
    <w:p w14:paraId="4E94BDE0" w14:textId="77777777" w:rsidR="00864906" w:rsidRPr="00864906" w:rsidRDefault="00864906" w:rsidP="000B2DD5">
      <w:pPr>
        <w:numPr>
          <w:ilvl w:val="0"/>
          <w:numId w:val="14"/>
        </w:numPr>
        <w:tabs>
          <w:tab w:val="left" w:pos="567"/>
        </w:tabs>
        <w:spacing w:line="276" w:lineRule="auto"/>
        <w:contextualSpacing/>
        <w:jc w:val="both"/>
        <w:rPr>
          <w:bCs/>
          <w:color w:val="000000"/>
          <w:lang w:eastAsia="lt-LT"/>
        </w:rPr>
      </w:pPr>
      <w:r w:rsidRPr="00864906">
        <w:rPr>
          <w:bCs/>
          <w:color w:val="000000"/>
          <w:lang w:eastAsia="lt-LT"/>
        </w:rPr>
        <w:t>Taikoma 27 metų laiko perspektyva (atsižvelgiant į Lietuvos pacienčių mirtingumą ir analizės rezultato jautrumą taikomai laiko perspektyvai);</w:t>
      </w:r>
    </w:p>
    <w:p w14:paraId="3B451D6E" w14:textId="77777777" w:rsidR="00864906" w:rsidRPr="00864906" w:rsidRDefault="00864906" w:rsidP="000B2DD5">
      <w:pPr>
        <w:numPr>
          <w:ilvl w:val="0"/>
          <w:numId w:val="14"/>
        </w:numPr>
        <w:tabs>
          <w:tab w:val="left" w:pos="567"/>
        </w:tabs>
        <w:spacing w:line="276" w:lineRule="auto"/>
        <w:contextualSpacing/>
        <w:jc w:val="both"/>
        <w:rPr>
          <w:bCs/>
          <w:color w:val="000000"/>
          <w:lang w:eastAsia="lt-LT"/>
        </w:rPr>
      </w:pPr>
      <w:r w:rsidRPr="00864906">
        <w:rPr>
          <w:bCs/>
          <w:color w:val="000000"/>
          <w:lang w:eastAsia="lt-LT"/>
        </w:rPr>
        <w:t>Pagrindinio atvejo analizėje ilgalaikį išgyvenamumą pasiekia pacientės, kurios praėjus 10 metų po diagnozės lieka neprogresavusios ligos būklėje;</w:t>
      </w:r>
    </w:p>
    <w:p w14:paraId="6586E3BE" w14:textId="77777777" w:rsidR="00864906" w:rsidRPr="00864906" w:rsidRDefault="00864906" w:rsidP="000B2DD5">
      <w:pPr>
        <w:numPr>
          <w:ilvl w:val="0"/>
          <w:numId w:val="14"/>
        </w:numPr>
        <w:tabs>
          <w:tab w:val="left" w:pos="567"/>
        </w:tabs>
        <w:spacing w:line="276" w:lineRule="auto"/>
        <w:contextualSpacing/>
        <w:jc w:val="both"/>
        <w:rPr>
          <w:bCs/>
          <w:color w:val="000000"/>
          <w:lang w:eastAsia="lt-LT"/>
        </w:rPr>
      </w:pPr>
      <w:r w:rsidRPr="00864906">
        <w:rPr>
          <w:bCs/>
          <w:color w:val="000000"/>
          <w:lang w:eastAsia="lt-LT"/>
        </w:rPr>
        <w:t>Suvienodinus gyvenimo kokybės koeficientą ligos būklėms be progresavimo (PFS ir PFS2);</w:t>
      </w:r>
    </w:p>
    <w:p w14:paraId="02DBE79D" w14:textId="77777777" w:rsidR="00864906" w:rsidRPr="00864906" w:rsidRDefault="00864906" w:rsidP="000B2DD5">
      <w:pPr>
        <w:numPr>
          <w:ilvl w:val="0"/>
          <w:numId w:val="14"/>
        </w:numPr>
        <w:tabs>
          <w:tab w:val="left" w:pos="567"/>
        </w:tabs>
        <w:spacing w:line="276" w:lineRule="auto"/>
        <w:contextualSpacing/>
        <w:jc w:val="both"/>
        <w:rPr>
          <w:iCs/>
          <w:lang w:eastAsia="lt-LT"/>
        </w:rPr>
      </w:pPr>
      <w:r w:rsidRPr="00864906">
        <w:rPr>
          <w:iCs/>
          <w:lang w:eastAsia="lt-LT"/>
        </w:rPr>
        <w:t xml:space="preserve">Tarnyba analizėje taiko prielaidą, jog visiems pacientams prieš mirtį yra taikomi </w:t>
      </w:r>
      <w:proofErr w:type="spellStart"/>
      <w:r w:rsidRPr="00864906">
        <w:rPr>
          <w:iCs/>
          <w:lang w:eastAsia="lt-LT"/>
        </w:rPr>
        <w:t>paliatyvios</w:t>
      </w:r>
      <w:proofErr w:type="spellEnd"/>
      <w:r w:rsidRPr="00864906">
        <w:rPr>
          <w:iCs/>
          <w:lang w:eastAsia="lt-LT"/>
        </w:rPr>
        <w:t xml:space="preserve"> slaugos kaštai;</w:t>
      </w:r>
    </w:p>
    <w:p w14:paraId="52B78CC2" w14:textId="77777777" w:rsidR="000B2DD5" w:rsidRDefault="00864906" w:rsidP="000B2DD5">
      <w:pPr>
        <w:numPr>
          <w:ilvl w:val="0"/>
          <w:numId w:val="14"/>
        </w:numPr>
        <w:tabs>
          <w:tab w:val="left" w:pos="567"/>
        </w:tabs>
        <w:spacing w:line="276" w:lineRule="auto"/>
        <w:contextualSpacing/>
        <w:jc w:val="both"/>
        <w:rPr>
          <w:bCs/>
          <w:color w:val="000000"/>
          <w:lang w:eastAsia="lt-LT"/>
        </w:rPr>
      </w:pPr>
      <w:r w:rsidRPr="00864906">
        <w:rPr>
          <w:bCs/>
          <w:color w:val="000000"/>
          <w:lang w:eastAsia="lt-LT"/>
        </w:rPr>
        <w:t>Analizėje taikomas olaparibo dozavimas pagal PCS (300 mg 2 kartus per parą).</w:t>
      </w:r>
    </w:p>
    <w:p w14:paraId="7F9430CF" w14:textId="77777777" w:rsidR="000B2DD5" w:rsidRDefault="000B2DD5" w:rsidP="000B2DD5">
      <w:pPr>
        <w:tabs>
          <w:tab w:val="left" w:pos="567"/>
        </w:tabs>
        <w:spacing w:line="276" w:lineRule="auto"/>
        <w:contextualSpacing/>
        <w:jc w:val="both"/>
        <w:rPr>
          <w:bCs/>
          <w:color w:val="000000"/>
          <w:lang w:eastAsia="lt-LT"/>
        </w:rPr>
      </w:pPr>
    </w:p>
    <w:p w14:paraId="2D74C3C5" w14:textId="2E964B86" w:rsidR="000B2DD5" w:rsidRPr="000B2DD5" w:rsidRDefault="000B2DD5" w:rsidP="000B2DD5">
      <w:pPr>
        <w:tabs>
          <w:tab w:val="left" w:pos="567"/>
        </w:tabs>
        <w:spacing w:line="276" w:lineRule="auto"/>
        <w:contextualSpacing/>
        <w:jc w:val="both"/>
        <w:rPr>
          <w:bCs/>
          <w:color w:val="000000"/>
          <w:lang w:eastAsia="lt-LT"/>
        </w:rPr>
      </w:pPr>
      <w:r>
        <w:rPr>
          <w:bCs/>
          <w:color w:val="000000"/>
          <w:lang w:eastAsia="lt-LT"/>
        </w:rPr>
        <w:t xml:space="preserve">1 lentelė. </w:t>
      </w:r>
      <w:r w:rsidRPr="000B2DD5">
        <w:rPr>
          <w:i/>
          <w:lang w:eastAsia="lt-LT"/>
        </w:rPr>
        <w:t>Pagrindinis ekonominės analizės rezultatas</w:t>
      </w:r>
      <w:r>
        <w:rPr>
          <w:i/>
          <w:lang w:eastAsia="lt-LT"/>
        </w:rPr>
        <w:t xml:space="preserve"> </w:t>
      </w: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0B2DD5" w:rsidRPr="003377C4" w14:paraId="25C33F82" w14:textId="77777777" w:rsidTr="002264D5">
        <w:trPr>
          <w:trHeight w:val="364"/>
          <w:jc w:val="center"/>
        </w:trPr>
        <w:tc>
          <w:tcPr>
            <w:tcW w:w="9908" w:type="dxa"/>
            <w:gridSpan w:val="4"/>
            <w:tcBorders>
              <w:top w:val="single" w:sz="12" w:space="0" w:color="auto"/>
              <w:bottom w:val="single" w:sz="4" w:space="0" w:color="auto"/>
            </w:tcBorders>
            <w:vAlign w:val="center"/>
          </w:tcPr>
          <w:p w14:paraId="738739D9" w14:textId="77777777" w:rsidR="000B2DD5" w:rsidRPr="003377C4" w:rsidRDefault="000B2DD5" w:rsidP="002264D5">
            <w:pPr>
              <w:tabs>
                <w:tab w:val="left" w:pos="567"/>
              </w:tabs>
              <w:jc w:val="center"/>
              <w:rPr>
                <w:b/>
                <w:i/>
                <w:iCs/>
                <w:color w:val="00B050"/>
                <w:lang w:eastAsia="lt-LT"/>
              </w:rPr>
            </w:pPr>
            <w:r w:rsidRPr="003377C4">
              <w:rPr>
                <w:b/>
                <w:lang w:eastAsia="lt-LT"/>
              </w:rPr>
              <w:t>Kaštai</w:t>
            </w:r>
          </w:p>
        </w:tc>
      </w:tr>
      <w:tr w:rsidR="000B2DD5" w:rsidRPr="003377C4" w14:paraId="11FE5F83" w14:textId="77777777" w:rsidTr="002264D5">
        <w:trPr>
          <w:jc w:val="center"/>
        </w:trPr>
        <w:tc>
          <w:tcPr>
            <w:tcW w:w="2697" w:type="dxa"/>
            <w:tcBorders>
              <w:top w:val="single" w:sz="4" w:space="0" w:color="auto"/>
              <w:bottom w:val="single" w:sz="4" w:space="0" w:color="auto"/>
            </w:tcBorders>
          </w:tcPr>
          <w:p w14:paraId="4E681380" w14:textId="77777777" w:rsidR="000B2DD5" w:rsidRPr="003377C4" w:rsidRDefault="000B2DD5" w:rsidP="002264D5">
            <w:pPr>
              <w:tabs>
                <w:tab w:val="left" w:pos="567"/>
              </w:tabs>
              <w:jc w:val="both"/>
              <w:rPr>
                <w:color w:val="00B050"/>
                <w:lang w:eastAsia="lt-LT"/>
              </w:rPr>
            </w:pPr>
          </w:p>
        </w:tc>
        <w:tc>
          <w:tcPr>
            <w:tcW w:w="1613" w:type="dxa"/>
            <w:tcBorders>
              <w:top w:val="single" w:sz="4" w:space="0" w:color="auto"/>
              <w:bottom w:val="single" w:sz="4" w:space="0" w:color="auto"/>
            </w:tcBorders>
          </w:tcPr>
          <w:p w14:paraId="09C0F4F6" w14:textId="77777777" w:rsidR="000B2DD5" w:rsidRPr="003377C4" w:rsidRDefault="000B2DD5" w:rsidP="002264D5">
            <w:pPr>
              <w:tabs>
                <w:tab w:val="left" w:pos="567"/>
              </w:tabs>
              <w:jc w:val="both"/>
              <w:rPr>
                <w:i/>
                <w:iCs/>
                <w:lang w:eastAsia="lt-LT"/>
              </w:rPr>
            </w:pPr>
            <w:r>
              <w:rPr>
                <w:i/>
                <w:iCs/>
                <w:lang w:eastAsia="lt-LT"/>
              </w:rPr>
              <w:t>Olaparibas</w:t>
            </w:r>
          </w:p>
        </w:tc>
        <w:tc>
          <w:tcPr>
            <w:tcW w:w="2019" w:type="dxa"/>
            <w:tcBorders>
              <w:top w:val="single" w:sz="4" w:space="0" w:color="auto"/>
              <w:bottom w:val="single" w:sz="4" w:space="0" w:color="auto"/>
            </w:tcBorders>
          </w:tcPr>
          <w:p w14:paraId="4A824494" w14:textId="77777777" w:rsidR="000B2DD5" w:rsidRPr="003377C4" w:rsidRDefault="000B2DD5" w:rsidP="002264D5">
            <w:pPr>
              <w:tabs>
                <w:tab w:val="left" w:pos="567"/>
              </w:tabs>
              <w:jc w:val="both"/>
              <w:rPr>
                <w:i/>
                <w:iCs/>
                <w:lang w:eastAsia="lt-LT"/>
              </w:rPr>
            </w:pPr>
            <w:r>
              <w:rPr>
                <w:i/>
                <w:iCs/>
                <w:lang w:eastAsia="lt-LT"/>
              </w:rPr>
              <w:t>Stebėjimo ir laukimo grupė</w:t>
            </w:r>
          </w:p>
        </w:tc>
        <w:tc>
          <w:tcPr>
            <w:tcW w:w="3579" w:type="dxa"/>
            <w:tcBorders>
              <w:top w:val="single" w:sz="4" w:space="0" w:color="auto"/>
              <w:bottom w:val="single" w:sz="4" w:space="0" w:color="auto"/>
            </w:tcBorders>
          </w:tcPr>
          <w:p w14:paraId="028DB8FC" w14:textId="77777777" w:rsidR="000B2DD5" w:rsidRPr="003377C4" w:rsidRDefault="000B2DD5" w:rsidP="002264D5">
            <w:pPr>
              <w:tabs>
                <w:tab w:val="left" w:pos="567"/>
              </w:tabs>
              <w:jc w:val="both"/>
              <w:rPr>
                <w:i/>
                <w:lang w:eastAsia="lt-LT"/>
              </w:rPr>
            </w:pPr>
            <w:r w:rsidRPr="003377C4">
              <w:rPr>
                <w:i/>
                <w:lang w:eastAsia="lt-LT"/>
              </w:rPr>
              <w:t>Skirtumas</w:t>
            </w:r>
          </w:p>
        </w:tc>
      </w:tr>
      <w:tr w:rsidR="000B2DD5" w:rsidRPr="003377C4" w14:paraId="304D333A" w14:textId="77777777" w:rsidTr="002264D5">
        <w:trPr>
          <w:jc w:val="center"/>
        </w:trPr>
        <w:tc>
          <w:tcPr>
            <w:tcW w:w="2697" w:type="dxa"/>
            <w:tcBorders>
              <w:top w:val="single" w:sz="4" w:space="0" w:color="auto"/>
              <w:bottom w:val="single" w:sz="4" w:space="0" w:color="auto"/>
            </w:tcBorders>
          </w:tcPr>
          <w:p w14:paraId="66A2CE66" w14:textId="77777777" w:rsidR="000B2DD5" w:rsidRPr="003377C4" w:rsidRDefault="000B2DD5" w:rsidP="002264D5">
            <w:pPr>
              <w:tabs>
                <w:tab w:val="left" w:pos="567"/>
              </w:tabs>
              <w:jc w:val="both"/>
              <w:rPr>
                <w:iCs/>
                <w:color w:val="00B050"/>
                <w:lang w:eastAsia="lt-LT"/>
              </w:rPr>
            </w:pPr>
            <w:r w:rsidRPr="003377C4">
              <w:rPr>
                <w:iCs/>
                <w:color w:val="000000"/>
                <w:lang w:eastAsia="lt-LT"/>
              </w:rPr>
              <w:t>Gydymo kaštai</w:t>
            </w:r>
          </w:p>
        </w:tc>
        <w:tc>
          <w:tcPr>
            <w:tcW w:w="1613" w:type="dxa"/>
            <w:tcBorders>
              <w:top w:val="single" w:sz="4" w:space="0" w:color="auto"/>
              <w:bottom w:val="single" w:sz="4" w:space="0" w:color="auto"/>
            </w:tcBorders>
          </w:tcPr>
          <w:p w14:paraId="0ED51D89" w14:textId="5E70FA33"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20DADBA0" w14:textId="59AE5BBA"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07284E36" w14:textId="65200BC1" w:rsidR="000B2DD5" w:rsidRPr="00E605CE" w:rsidRDefault="00E605CE" w:rsidP="002264D5">
            <w:pPr>
              <w:tabs>
                <w:tab w:val="left" w:pos="567"/>
              </w:tabs>
              <w:jc w:val="both"/>
              <w:rPr>
                <w:lang w:eastAsia="lt-LT"/>
              </w:rPr>
            </w:pPr>
            <w:r>
              <w:rPr>
                <w:lang w:eastAsia="lt-LT"/>
              </w:rPr>
              <w:t>****</w:t>
            </w:r>
          </w:p>
        </w:tc>
      </w:tr>
      <w:tr w:rsidR="000B2DD5" w:rsidRPr="003377C4" w14:paraId="400C7795" w14:textId="77777777" w:rsidTr="002264D5">
        <w:trPr>
          <w:jc w:val="center"/>
        </w:trPr>
        <w:tc>
          <w:tcPr>
            <w:tcW w:w="2697" w:type="dxa"/>
            <w:tcBorders>
              <w:top w:val="single" w:sz="4" w:space="0" w:color="auto"/>
              <w:bottom w:val="single" w:sz="4" w:space="0" w:color="auto"/>
            </w:tcBorders>
          </w:tcPr>
          <w:p w14:paraId="1CB30819" w14:textId="77777777" w:rsidR="000B2DD5" w:rsidRPr="003377C4" w:rsidRDefault="000B2DD5" w:rsidP="002264D5">
            <w:pPr>
              <w:tabs>
                <w:tab w:val="left" w:pos="567"/>
              </w:tabs>
              <w:rPr>
                <w:iCs/>
                <w:color w:val="000000"/>
                <w:lang w:eastAsia="lt-LT"/>
              </w:rPr>
            </w:pPr>
            <w:r>
              <w:rPr>
                <w:iCs/>
                <w:color w:val="000000"/>
                <w:lang w:eastAsia="lt-LT"/>
              </w:rPr>
              <w:t xml:space="preserve">Olaparibo </w:t>
            </w:r>
            <w:r w:rsidRPr="003377C4">
              <w:rPr>
                <w:iCs/>
                <w:color w:val="000000"/>
                <w:lang w:eastAsia="lt-LT"/>
              </w:rPr>
              <w:t>įsigijimo kaštai</w:t>
            </w:r>
            <w:r>
              <w:rPr>
                <w:iCs/>
                <w:color w:val="000000"/>
                <w:lang w:eastAsia="lt-LT"/>
              </w:rPr>
              <w:t xml:space="preserve"> (1 eilė)</w:t>
            </w:r>
          </w:p>
        </w:tc>
        <w:tc>
          <w:tcPr>
            <w:tcW w:w="1613" w:type="dxa"/>
            <w:tcBorders>
              <w:top w:val="single" w:sz="4" w:space="0" w:color="auto"/>
              <w:bottom w:val="single" w:sz="4" w:space="0" w:color="auto"/>
            </w:tcBorders>
          </w:tcPr>
          <w:p w14:paraId="1B4A5A43" w14:textId="021BD0C5"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0E757224" w14:textId="3FA132B9"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4AA89297" w14:textId="1FC5D265" w:rsidR="000B2DD5" w:rsidRPr="00E605CE" w:rsidRDefault="00E605CE" w:rsidP="002264D5">
            <w:pPr>
              <w:tabs>
                <w:tab w:val="left" w:pos="567"/>
              </w:tabs>
              <w:jc w:val="both"/>
              <w:rPr>
                <w:lang w:eastAsia="lt-LT"/>
              </w:rPr>
            </w:pPr>
            <w:r>
              <w:rPr>
                <w:lang w:eastAsia="lt-LT"/>
              </w:rPr>
              <w:t>****</w:t>
            </w:r>
          </w:p>
        </w:tc>
      </w:tr>
      <w:tr w:rsidR="000B2DD5" w:rsidRPr="003377C4" w14:paraId="3F7CA90A" w14:textId="77777777" w:rsidTr="002264D5">
        <w:trPr>
          <w:jc w:val="center"/>
        </w:trPr>
        <w:tc>
          <w:tcPr>
            <w:tcW w:w="2697" w:type="dxa"/>
            <w:tcBorders>
              <w:top w:val="single" w:sz="4" w:space="0" w:color="auto"/>
              <w:bottom w:val="single" w:sz="4" w:space="0" w:color="auto"/>
            </w:tcBorders>
          </w:tcPr>
          <w:p w14:paraId="395468F8" w14:textId="77777777" w:rsidR="000B2DD5" w:rsidRPr="003377C4" w:rsidRDefault="000B2DD5" w:rsidP="002264D5">
            <w:pPr>
              <w:tabs>
                <w:tab w:val="left" w:pos="567"/>
              </w:tabs>
              <w:rPr>
                <w:iCs/>
                <w:color w:val="000000"/>
                <w:lang w:eastAsia="lt-LT"/>
              </w:rPr>
            </w:pPr>
            <w:r>
              <w:rPr>
                <w:iCs/>
                <w:color w:val="000000"/>
                <w:lang w:eastAsia="lt-LT"/>
              </w:rPr>
              <w:t>Olaparibo įsigijimo kaštai (2 eilė)</w:t>
            </w:r>
          </w:p>
        </w:tc>
        <w:tc>
          <w:tcPr>
            <w:tcW w:w="1613" w:type="dxa"/>
            <w:tcBorders>
              <w:top w:val="single" w:sz="4" w:space="0" w:color="auto"/>
              <w:bottom w:val="single" w:sz="4" w:space="0" w:color="auto"/>
            </w:tcBorders>
          </w:tcPr>
          <w:p w14:paraId="764BC3C3" w14:textId="12A80815"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53A20F97" w14:textId="0AD9333A"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0B3D0886" w14:textId="6E0D2AB9" w:rsidR="000B2DD5" w:rsidRPr="00E605CE" w:rsidRDefault="00E605CE" w:rsidP="002264D5">
            <w:pPr>
              <w:tabs>
                <w:tab w:val="left" w:pos="567"/>
              </w:tabs>
              <w:jc w:val="both"/>
              <w:rPr>
                <w:lang w:eastAsia="lt-LT"/>
              </w:rPr>
            </w:pPr>
            <w:r>
              <w:rPr>
                <w:lang w:eastAsia="lt-LT"/>
              </w:rPr>
              <w:t>****</w:t>
            </w:r>
          </w:p>
        </w:tc>
      </w:tr>
      <w:tr w:rsidR="000B2DD5" w:rsidRPr="003377C4" w14:paraId="3A6595ED" w14:textId="77777777" w:rsidTr="002264D5">
        <w:trPr>
          <w:jc w:val="center"/>
        </w:trPr>
        <w:tc>
          <w:tcPr>
            <w:tcW w:w="2697" w:type="dxa"/>
            <w:tcBorders>
              <w:top w:val="single" w:sz="4" w:space="0" w:color="auto"/>
              <w:bottom w:val="single" w:sz="4" w:space="0" w:color="auto"/>
            </w:tcBorders>
          </w:tcPr>
          <w:p w14:paraId="2C6DAC7E" w14:textId="77777777" w:rsidR="000B2DD5" w:rsidRDefault="000B2DD5" w:rsidP="002264D5">
            <w:pPr>
              <w:tabs>
                <w:tab w:val="left" w:pos="567"/>
              </w:tabs>
              <w:rPr>
                <w:iCs/>
                <w:color w:val="000000"/>
                <w:lang w:eastAsia="lt-LT"/>
              </w:rPr>
            </w:pPr>
            <w:r>
              <w:rPr>
                <w:iCs/>
                <w:color w:val="000000"/>
                <w:lang w:eastAsia="lt-LT"/>
              </w:rPr>
              <w:t>Sekančių eilių terapija</w:t>
            </w:r>
          </w:p>
        </w:tc>
        <w:tc>
          <w:tcPr>
            <w:tcW w:w="1613" w:type="dxa"/>
            <w:tcBorders>
              <w:top w:val="single" w:sz="4" w:space="0" w:color="auto"/>
              <w:bottom w:val="single" w:sz="4" w:space="0" w:color="auto"/>
            </w:tcBorders>
          </w:tcPr>
          <w:p w14:paraId="067F18AC" w14:textId="01B1EFA8"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54E2291E" w14:textId="494CAFDE"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03504B4E" w14:textId="05B91F0A" w:rsidR="000B2DD5" w:rsidRPr="00E605CE" w:rsidRDefault="00E605CE" w:rsidP="002264D5">
            <w:pPr>
              <w:tabs>
                <w:tab w:val="left" w:pos="567"/>
              </w:tabs>
              <w:jc w:val="both"/>
              <w:rPr>
                <w:lang w:eastAsia="lt-LT"/>
              </w:rPr>
            </w:pPr>
            <w:r>
              <w:rPr>
                <w:lang w:eastAsia="lt-LT"/>
              </w:rPr>
              <w:t>****</w:t>
            </w:r>
          </w:p>
        </w:tc>
      </w:tr>
      <w:tr w:rsidR="000B2DD5" w:rsidRPr="003377C4" w14:paraId="5A33A9E8" w14:textId="77777777" w:rsidTr="002264D5">
        <w:trPr>
          <w:jc w:val="center"/>
        </w:trPr>
        <w:tc>
          <w:tcPr>
            <w:tcW w:w="2697" w:type="dxa"/>
            <w:tcBorders>
              <w:top w:val="single" w:sz="4" w:space="0" w:color="auto"/>
              <w:bottom w:val="single" w:sz="4" w:space="0" w:color="auto"/>
            </w:tcBorders>
          </w:tcPr>
          <w:p w14:paraId="66356D7B" w14:textId="77777777" w:rsidR="000B2DD5" w:rsidRPr="003377C4" w:rsidRDefault="000B2DD5" w:rsidP="002264D5">
            <w:pPr>
              <w:tabs>
                <w:tab w:val="left" w:pos="567"/>
              </w:tabs>
              <w:jc w:val="both"/>
              <w:rPr>
                <w:iCs/>
                <w:color w:val="00B050"/>
                <w:lang w:eastAsia="lt-LT"/>
              </w:rPr>
            </w:pPr>
            <w:r>
              <w:rPr>
                <w:iCs/>
                <w:color w:val="000000"/>
                <w:lang w:eastAsia="lt-LT"/>
              </w:rPr>
              <w:t>BRCA testavimas</w:t>
            </w:r>
          </w:p>
        </w:tc>
        <w:tc>
          <w:tcPr>
            <w:tcW w:w="1613" w:type="dxa"/>
            <w:tcBorders>
              <w:top w:val="single" w:sz="4" w:space="0" w:color="auto"/>
              <w:bottom w:val="single" w:sz="4" w:space="0" w:color="auto"/>
            </w:tcBorders>
          </w:tcPr>
          <w:p w14:paraId="2AB5E3FF" w14:textId="7F081A27"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1EF87F16" w14:textId="2C8D5A90"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3E30337A" w14:textId="6136DFE4" w:rsidR="000B2DD5" w:rsidRPr="00E605CE" w:rsidRDefault="00E605CE" w:rsidP="002264D5">
            <w:pPr>
              <w:tabs>
                <w:tab w:val="left" w:pos="567"/>
              </w:tabs>
              <w:jc w:val="both"/>
              <w:rPr>
                <w:i/>
                <w:iCs/>
                <w:lang w:eastAsia="lt-LT"/>
              </w:rPr>
            </w:pPr>
            <w:r>
              <w:rPr>
                <w:i/>
                <w:iCs/>
                <w:lang w:eastAsia="lt-LT"/>
              </w:rPr>
              <w:t>****</w:t>
            </w:r>
          </w:p>
        </w:tc>
      </w:tr>
      <w:tr w:rsidR="000B2DD5" w:rsidRPr="003377C4" w14:paraId="0646491B" w14:textId="77777777" w:rsidTr="002264D5">
        <w:trPr>
          <w:jc w:val="center"/>
        </w:trPr>
        <w:tc>
          <w:tcPr>
            <w:tcW w:w="2697" w:type="dxa"/>
            <w:tcBorders>
              <w:top w:val="single" w:sz="4" w:space="0" w:color="auto"/>
              <w:bottom w:val="single" w:sz="4" w:space="0" w:color="auto"/>
            </w:tcBorders>
          </w:tcPr>
          <w:p w14:paraId="0B0A1A47" w14:textId="77777777" w:rsidR="000B2DD5" w:rsidRDefault="000B2DD5" w:rsidP="002264D5">
            <w:pPr>
              <w:tabs>
                <w:tab w:val="left" w:pos="567"/>
              </w:tabs>
              <w:jc w:val="both"/>
              <w:rPr>
                <w:iCs/>
                <w:color w:val="000000"/>
                <w:lang w:eastAsia="lt-LT"/>
              </w:rPr>
            </w:pPr>
            <w:r>
              <w:rPr>
                <w:iCs/>
                <w:color w:val="000000"/>
                <w:lang w:eastAsia="lt-LT"/>
              </w:rPr>
              <w:t>Kaštai nepageidaujamų reakcijų valdymui</w:t>
            </w:r>
          </w:p>
        </w:tc>
        <w:tc>
          <w:tcPr>
            <w:tcW w:w="1613" w:type="dxa"/>
            <w:tcBorders>
              <w:top w:val="single" w:sz="4" w:space="0" w:color="auto"/>
              <w:bottom w:val="single" w:sz="4" w:space="0" w:color="auto"/>
            </w:tcBorders>
          </w:tcPr>
          <w:p w14:paraId="1D9EC5F9" w14:textId="3C829367"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6F1DB36D" w14:textId="7AD58DEF"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617951DC" w14:textId="2A4FB096" w:rsidR="000B2DD5" w:rsidRPr="00E605CE" w:rsidRDefault="00E605CE" w:rsidP="002264D5">
            <w:pPr>
              <w:tabs>
                <w:tab w:val="left" w:pos="567"/>
              </w:tabs>
              <w:jc w:val="both"/>
              <w:rPr>
                <w:i/>
                <w:iCs/>
                <w:lang w:eastAsia="lt-LT"/>
              </w:rPr>
            </w:pPr>
            <w:r>
              <w:rPr>
                <w:i/>
                <w:iCs/>
                <w:lang w:eastAsia="lt-LT"/>
              </w:rPr>
              <w:t>****</w:t>
            </w:r>
          </w:p>
        </w:tc>
      </w:tr>
      <w:tr w:rsidR="000B2DD5" w:rsidRPr="003377C4" w14:paraId="752554B1" w14:textId="77777777" w:rsidTr="002264D5">
        <w:trPr>
          <w:jc w:val="center"/>
        </w:trPr>
        <w:tc>
          <w:tcPr>
            <w:tcW w:w="2697" w:type="dxa"/>
            <w:tcBorders>
              <w:top w:val="single" w:sz="4" w:space="0" w:color="auto"/>
              <w:bottom w:val="single" w:sz="4" w:space="0" w:color="auto"/>
            </w:tcBorders>
          </w:tcPr>
          <w:p w14:paraId="516F3EAA" w14:textId="77777777" w:rsidR="000B2DD5" w:rsidRDefault="000B2DD5" w:rsidP="002264D5">
            <w:pPr>
              <w:tabs>
                <w:tab w:val="left" w:pos="567"/>
              </w:tabs>
              <w:jc w:val="both"/>
              <w:rPr>
                <w:iCs/>
                <w:color w:val="000000"/>
                <w:lang w:eastAsia="lt-LT"/>
              </w:rPr>
            </w:pPr>
            <w:r>
              <w:rPr>
                <w:iCs/>
                <w:color w:val="000000"/>
                <w:lang w:eastAsia="lt-LT"/>
              </w:rPr>
              <w:t>Viso</w:t>
            </w:r>
          </w:p>
        </w:tc>
        <w:tc>
          <w:tcPr>
            <w:tcW w:w="1613" w:type="dxa"/>
            <w:tcBorders>
              <w:top w:val="single" w:sz="4" w:space="0" w:color="auto"/>
              <w:bottom w:val="single" w:sz="4" w:space="0" w:color="auto"/>
            </w:tcBorders>
          </w:tcPr>
          <w:p w14:paraId="33C3DFE4" w14:textId="225727B3" w:rsidR="000B2DD5" w:rsidRPr="00E605CE" w:rsidRDefault="00E605CE" w:rsidP="002264D5">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7C710963" w14:textId="2F3912FD" w:rsidR="000B2DD5" w:rsidRPr="00E605CE" w:rsidRDefault="00E605CE" w:rsidP="002264D5">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178219D2" w14:textId="2CB19A2A" w:rsidR="000B2DD5" w:rsidRPr="00E605CE" w:rsidRDefault="00E605CE" w:rsidP="002264D5">
            <w:pPr>
              <w:tabs>
                <w:tab w:val="left" w:pos="567"/>
              </w:tabs>
              <w:jc w:val="both"/>
              <w:rPr>
                <w:i/>
                <w:iCs/>
                <w:lang w:eastAsia="lt-LT"/>
              </w:rPr>
            </w:pPr>
            <w:r>
              <w:rPr>
                <w:i/>
                <w:iCs/>
                <w:lang w:eastAsia="lt-LT"/>
              </w:rPr>
              <w:t>****</w:t>
            </w:r>
          </w:p>
        </w:tc>
      </w:tr>
      <w:tr w:rsidR="000B2DD5" w:rsidRPr="003377C4" w14:paraId="0C4B21AF" w14:textId="77777777" w:rsidTr="002264D5">
        <w:trPr>
          <w:jc w:val="center"/>
        </w:trPr>
        <w:tc>
          <w:tcPr>
            <w:tcW w:w="9908" w:type="dxa"/>
            <w:gridSpan w:val="4"/>
            <w:tcBorders>
              <w:top w:val="single" w:sz="12" w:space="0" w:color="auto"/>
              <w:bottom w:val="single" w:sz="4" w:space="0" w:color="auto"/>
            </w:tcBorders>
          </w:tcPr>
          <w:p w14:paraId="342F0E7A" w14:textId="77777777" w:rsidR="000B2DD5" w:rsidRPr="00E605CE" w:rsidRDefault="000B2DD5" w:rsidP="002264D5">
            <w:pPr>
              <w:tabs>
                <w:tab w:val="left" w:pos="567"/>
              </w:tabs>
              <w:jc w:val="center"/>
              <w:rPr>
                <w:iCs/>
                <w:lang w:eastAsia="lt-LT"/>
              </w:rPr>
            </w:pPr>
            <w:r w:rsidRPr="00E605CE">
              <w:rPr>
                <w:lang w:eastAsia="lt-LT"/>
              </w:rPr>
              <w:t>Papildomi gyvenimo metai (LY)</w:t>
            </w:r>
          </w:p>
        </w:tc>
      </w:tr>
      <w:tr w:rsidR="000B2DD5" w:rsidRPr="003377C4" w14:paraId="1A794479" w14:textId="77777777" w:rsidTr="002264D5">
        <w:trPr>
          <w:jc w:val="center"/>
        </w:trPr>
        <w:tc>
          <w:tcPr>
            <w:tcW w:w="2697" w:type="dxa"/>
            <w:tcBorders>
              <w:top w:val="single" w:sz="4" w:space="0" w:color="auto"/>
              <w:bottom w:val="single" w:sz="4" w:space="0" w:color="auto"/>
            </w:tcBorders>
          </w:tcPr>
          <w:p w14:paraId="3957F55D" w14:textId="77777777" w:rsidR="000B2DD5" w:rsidRPr="003377C4" w:rsidRDefault="000B2DD5" w:rsidP="002264D5">
            <w:pPr>
              <w:tabs>
                <w:tab w:val="left" w:pos="567"/>
              </w:tabs>
              <w:jc w:val="both"/>
              <w:rPr>
                <w:lang w:eastAsia="lt-LT"/>
              </w:rPr>
            </w:pPr>
            <w:r>
              <w:rPr>
                <w:iCs/>
                <w:lang w:eastAsia="lt-LT"/>
              </w:rPr>
              <w:t>Olaparibas</w:t>
            </w:r>
          </w:p>
        </w:tc>
        <w:tc>
          <w:tcPr>
            <w:tcW w:w="3632" w:type="dxa"/>
            <w:gridSpan w:val="2"/>
            <w:tcBorders>
              <w:top w:val="single" w:sz="4" w:space="0" w:color="auto"/>
              <w:bottom w:val="single" w:sz="4" w:space="0" w:color="auto"/>
            </w:tcBorders>
          </w:tcPr>
          <w:p w14:paraId="7E6CD2DD" w14:textId="527F3038" w:rsidR="000B2DD5" w:rsidRPr="00E605CE" w:rsidRDefault="00E605CE" w:rsidP="002264D5">
            <w:pPr>
              <w:tabs>
                <w:tab w:val="left" w:pos="567"/>
              </w:tabs>
              <w:jc w:val="both"/>
              <w:rPr>
                <w:i/>
                <w:iCs/>
                <w:lang w:eastAsia="lt-LT"/>
              </w:rPr>
            </w:pPr>
            <w:r>
              <w:rPr>
                <w:i/>
                <w:iCs/>
                <w:lang w:eastAsia="lt-LT"/>
              </w:rPr>
              <w:t>****</w:t>
            </w:r>
          </w:p>
        </w:tc>
        <w:tc>
          <w:tcPr>
            <w:tcW w:w="3579" w:type="dxa"/>
            <w:vMerge w:val="restart"/>
            <w:tcBorders>
              <w:top w:val="single" w:sz="4" w:space="0" w:color="auto"/>
            </w:tcBorders>
          </w:tcPr>
          <w:p w14:paraId="2FE25F93" w14:textId="534A57D2" w:rsidR="000B2DD5" w:rsidRPr="00E605CE" w:rsidRDefault="000B2DD5" w:rsidP="002264D5">
            <w:pPr>
              <w:tabs>
                <w:tab w:val="left" w:pos="567"/>
              </w:tabs>
              <w:jc w:val="both"/>
              <w:rPr>
                <w:lang w:eastAsia="lt-LT"/>
              </w:rPr>
            </w:pPr>
            <w:r w:rsidRPr="00E605CE">
              <w:rPr>
                <w:lang w:eastAsia="lt-LT"/>
              </w:rPr>
              <w:t>Skirtumas:</w:t>
            </w:r>
            <w:r w:rsidR="00E605CE">
              <w:rPr>
                <w:lang w:eastAsia="lt-LT"/>
              </w:rPr>
              <w:t>****</w:t>
            </w:r>
          </w:p>
        </w:tc>
      </w:tr>
      <w:tr w:rsidR="000B2DD5" w:rsidRPr="003377C4" w14:paraId="111F62DD" w14:textId="77777777" w:rsidTr="002264D5">
        <w:trPr>
          <w:jc w:val="center"/>
        </w:trPr>
        <w:tc>
          <w:tcPr>
            <w:tcW w:w="2697" w:type="dxa"/>
            <w:tcBorders>
              <w:top w:val="single" w:sz="4" w:space="0" w:color="auto"/>
              <w:bottom w:val="single" w:sz="12" w:space="0" w:color="auto"/>
            </w:tcBorders>
          </w:tcPr>
          <w:p w14:paraId="3944A708" w14:textId="77777777" w:rsidR="000B2DD5" w:rsidRPr="003377C4" w:rsidRDefault="000B2DD5" w:rsidP="002264D5">
            <w:pPr>
              <w:tabs>
                <w:tab w:val="left" w:pos="567"/>
              </w:tabs>
              <w:jc w:val="both"/>
              <w:rPr>
                <w:lang w:eastAsia="lt-LT"/>
              </w:rPr>
            </w:pPr>
            <w:r>
              <w:rPr>
                <w:iCs/>
                <w:lang w:eastAsia="lt-LT"/>
              </w:rPr>
              <w:t>Stebėjimo ir laukimo grupė</w:t>
            </w:r>
          </w:p>
        </w:tc>
        <w:tc>
          <w:tcPr>
            <w:tcW w:w="3632" w:type="dxa"/>
            <w:gridSpan w:val="2"/>
            <w:tcBorders>
              <w:top w:val="single" w:sz="4" w:space="0" w:color="auto"/>
              <w:bottom w:val="single" w:sz="12" w:space="0" w:color="auto"/>
            </w:tcBorders>
          </w:tcPr>
          <w:p w14:paraId="19C8A5EA" w14:textId="68B05422" w:rsidR="000B2DD5" w:rsidRPr="00E605CE" w:rsidRDefault="00E605CE" w:rsidP="002264D5">
            <w:pPr>
              <w:tabs>
                <w:tab w:val="left" w:pos="567"/>
              </w:tabs>
              <w:jc w:val="both"/>
              <w:rPr>
                <w:i/>
                <w:iCs/>
                <w:lang w:eastAsia="lt-LT"/>
              </w:rPr>
            </w:pPr>
            <w:r>
              <w:rPr>
                <w:i/>
                <w:iCs/>
                <w:lang w:eastAsia="lt-LT"/>
              </w:rPr>
              <w:t>****</w:t>
            </w:r>
          </w:p>
        </w:tc>
        <w:tc>
          <w:tcPr>
            <w:tcW w:w="3579" w:type="dxa"/>
            <w:vMerge/>
            <w:tcBorders>
              <w:bottom w:val="single" w:sz="12" w:space="0" w:color="auto"/>
            </w:tcBorders>
          </w:tcPr>
          <w:p w14:paraId="4191CAD7" w14:textId="77777777" w:rsidR="000B2DD5" w:rsidRPr="00E605CE" w:rsidRDefault="000B2DD5" w:rsidP="002264D5">
            <w:pPr>
              <w:tabs>
                <w:tab w:val="left" w:pos="567"/>
              </w:tabs>
              <w:jc w:val="both"/>
              <w:rPr>
                <w:i/>
                <w:iCs/>
                <w:u w:val="thick" w:color="FF0000"/>
                <w:lang w:eastAsia="lt-LT"/>
              </w:rPr>
            </w:pPr>
          </w:p>
        </w:tc>
      </w:tr>
      <w:tr w:rsidR="000B2DD5" w:rsidRPr="003377C4" w14:paraId="04F7F0D0" w14:textId="77777777" w:rsidTr="002264D5">
        <w:trPr>
          <w:jc w:val="center"/>
        </w:trPr>
        <w:tc>
          <w:tcPr>
            <w:tcW w:w="9908" w:type="dxa"/>
            <w:gridSpan w:val="4"/>
            <w:tcBorders>
              <w:top w:val="single" w:sz="12" w:space="0" w:color="auto"/>
              <w:bottom w:val="single" w:sz="4" w:space="0" w:color="auto"/>
            </w:tcBorders>
          </w:tcPr>
          <w:p w14:paraId="7C207A12" w14:textId="77777777" w:rsidR="000B2DD5" w:rsidRPr="00E605CE" w:rsidRDefault="000B2DD5" w:rsidP="002264D5">
            <w:pPr>
              <w:tabs>
                <w:tab w:val="left" w:pos="567"/>
              </w:tabs>
              <w:jc w:val="center"/>
              <w:rPr>
                <w:iCs/>
                <w:lang w:eastAsia="lt-LT"/>
              </w:rPr>
            </w:pPr>
            <w:r w:rsidRPr="00E605CE">
              <w:rPr>
                <w:lang w:eastAsia="lt-LT"/>
              </w:rPr>
              <w:t>Kokybiški gyvenimo metai (QALY)</w:t>
            </w:r>
          </w:p>
        </w:tc>
      </w:tr>
      <w:tr w:rsidR="000B2DD5" w:rsidRPr="003377C4" w14:paraId="5FA527DE" w14:textId="77777777" w:rsidTr="002264D5">
        <w:trPr>
          <w:jc w:val="center"/>
        </w:trPr>
        <w:tc>
          <w:tcPr>
            <w:tcW w:w="2697" w:type="dxa"/>
            <w:tcBorders>
              <w:top w:val="single" w:sz="4" w:space="0" w:color="auto"/>
              <w:bottom w:val="single" w:sz="4" w:space="0" w:color="auto"/>
            </w:tcBorders>
          </w:tcPr>
          <w:p w14:paraId="36DE212C" w14:textId="77777777" w:rsidR="000B2DD5" w:rsidRPr="003377C4" w:rsidRDefault="000B2DD5" w:rsidP="002264D5">
            <w:pPr>
              <w:tabs>
                <w:tab w:val="left" w:pos="567"/>
              </w:tabs>
              <w:jc w:val="both"/>
              <w:rPr>
                <w:iCs/>
                <w:lang w:eastAsia="lt-LT"/>
              </w:rPr>
            </w:pPr>
            <w:r>
              <w:rPr>
                <w:iCs/>
                <w:lang w:eastAsia="lt-LT"/>
              </w:rPr>
              <w:t>Olaparibas</w:t>
            </w:r>
          </w:p>
        </w:tc>
        <w:tc>
          <w:tcPr>
            <w:tcW w:w="3632" w:type="dxa"/>
            <w:gridSpan w:val="2"/>
            <w:tcBorders>
              <w:top w:val="single" w:sz="4" w:space="0" w:color="auto"/>
              <w:bottom w:val="single" w:sz="4" w:space="0" w:color="auto"/>
            </w:tcBorders>
          </w:tcPr>
          <w:p w14:paraId="02AB6503" w14:textId="07EB4D6B" w:rsidR="000B2DD5" w:rsidRPr="00E605CE" w:rsidRDefault="00E605CE" w:rsidP="002264D5">
            <w:pPr>
              <w:tabs>
                <w:tab w:val="left" w:pos="567"/>
              </w:tabs>
              <w:jc w:val="both"/>
              <w:rPr>
                <w:i/>
                <w:iCs/>
                <w:lang w:eastAsia="lt-LT"/>
              </w:rPr>
            </w:pPr>
            <w:r>
              <w:rPr>
                <w:i/>
                <w:iCs/>
                <w:lang w:eastAsia="lt-LT"/>
              </w:rPr>
              <w:t>****</w:t>
            </w:r>
          </w:p>
        </w:tc>
        <w:tc>
          <w:tcPr>
            <w:tcW w:w="3579" w:type="dxa"/>
            <w:vMerge w:val="restart"/>
            <w:tcBorders>
              <w:top w:val="single" w:sz="4" w:space="0" w:color="auto"/>
            </w:tcBorders>
          </w:tcPr>
          <w:p w14:paraId="044ED745" w14:textId="7A0A11F6" w:rsidR="000B2DD5" w:rsidRPr="00E605CE" w:rsidRDefault="000B2DD5" w:rsidP="002264D5">
            <w:pPr>
              <w:tabs>
                <w:tab w:val="left" w:pos="567"/>
              </w:tabs>
              <w:jc w:val="both"/>
              <w:rPr>
                <w:b/>
                <w:lang w:eastAsia="lt-LT"/>
              </w:rPr>
            </w:pPr>
            <w:r w:rsidRPr="00E605CE">
              <w:rPr>
                <w:b/>
                <w:lang w:eastAsia="lt-LT"/>
              </w:rPr>
              <w:t xml:space="preserve">Skirtumas: </w:t>
            </w:r>
            <w:r w:rsidR="00E605CE">
              <w:rPr>
                <w:b/>
                <w:lang w:eastAsia="lt-LT"/>
              </w:rPr>
              <w:t>****</w:t>
            </w:r>
          </w:p>
        </w:tc>
      </w:tr>
      <w:tr w:rsidR="000B2DD5" w:rsidRPr="003377C4" w14:paraId="6F5D3348" w14:textId="77777777" w:rsidTr="002264D5">
        <w:trPr>
          <w:jc w:val="center"/>
        </w:trPr>
        <w:tc>
          <w:tcPr>
            <w:tcW w:w="2697" w:type="dxa"/>
            <w:tcBorders>
              <w:top w:val="single" w:sz="4" w:space="0" w:color="auto"/>
              <w:bottom w:val="single" w:sz="12" w:space="0" w:color="auto"/>
            </w:tcBorders>
          </w:tcPr>
          <w:p w14:paraId="5DF74A27" w14:textId="77777777" w:rsidR="000B2DD5" w:rsidRPr="003377C4" w:rsidRDefault="000B2DD5" w:rsidP="002264D5">
            <w:pPr>
              <w:tabs>
                <w:tab w:val="left" w:pos="567"/>
              </w:tabs>
              <w:jc w:val="both"/>
              <w:rPr>
                <w:iCs/>
                <w:lang w:eastAsia="lt-LT"/>
              </w:rPr>
            </w:pPr>
            <w:r>
              <w:rPr>
                <w:iCs/>
                <w:lang w:eastAsia="lt-LT"/>
              </w:rPr>
              <w:t>Stebėjimo ir laukimo grupė</w:t>
            </w:r>
          </w:p>
        </w:tc>
        <w:tc>
          <w:tcPr>
            <w:tcW w:w="3632" w:type="dxa"/>
            <w:gridSpan w:val="2"/>
            <w:tcBorders>
              <w:top w:val="single" w:sz="4" w:space="0" w:color="auto"/>
              <w:bottom w:val="single" w:sz="12" w:space="0" w:color="auto"/>
            </w:tcBorders>
          </w:tcPr>
          <w:p w14:paraId="72E494E7" w14:textId="009B95CB" w:rsidR="000B2DD5" w:rsidRPr="00E605CE" w:rsidRDefault="00E605CE" w:rsidP="002264D5">
            <w:pPr>
              <w:tabs>
                <w:tab w:val="left" w:pos="567"/>
              </w:tabs>
              <w:jc w:val="both"/>
              <w:rPr>
                <w:i/>
                <w:iCs/>
                <w:lang w:eastAsia="lt-LT"/>
              </w:rPr>
            </w:pPr>
            <w:r>
              <w:rPr>
                <w:i/>
                <w:iCs/>
                <w:lang w:eastAsia="lt-LT"/>
              </w:rPr>
              <w:t>****</w:t>
            </w:r>
          </w:p>
        </w:tc>
        <w:tc>
          <w:tcPr>
            <w:tcW w:w="3579" w:type="dxa"/>
            <w:vMerge/>
            <w:tcBorders>
              <w:bottom w:val="single" w:sz="12" w:space="0" w:color="auto"/>
            </w:tcBorders>
          </w:tcPr>
          <w:p w14:paraId="463160D9" w14:textId="77777777" w:rsidR="000B2DD5" w:rsidRPr="00E605CE" w:rsidRDefault="000B2DD5" w:rsidP="002264D5">
            <w:pPr>
              <w:tabs>
                <w:tab w:val="left" w:pos="567"/>
              </w:tabs>
              <w:jc w:val="both"/>
              <w:rPr>
                <w:i/>
                <w:iCs/>
                <w:u w:val="thick" w:color="FF0000"/>
                <w:lang w:eastAsia="lt-LT"/>
              </w:rPr>
            </w:pPr>
          </w:p>
        </w:tc>
      </w:tr>
      <w:tr w:rsidR="000B2DD5" w:rsidRPr="003377C4" w14:paraId="41D4DEB1" w14:textId="77777777" w:rsidTr="002264D5">
        <w:trPr>
          <w:trHeight w:val="347"/>
          <w:jc w:val="center"/>
        </w:trPr>
        <w:tc>
          <w:tcPr>
            <w:tcW w:w="9908" w:type="dxa"/>
            <w:gridSpan w:val="4"/>
            <w:tcBorders>
              <w:top w:val="single" w:sz="12" w:space="0" w:color="auto"/>
            </w:tcBorders>
            <w:vAlign w:val="center"/>
          </w:tcPr>
          <w:p w14:paraId="658531D0" w14:textId="77777777" w:rsidR="000B2DD5" w:rsidRPr="00E605CE" w:rsidRDefault="000B2DD5" w:rsidP="002264D5">
            <w:pPr>
              <w:tabs>
                <w:tab w:val="left" w:pos="567"/>
              </w:tabs>
              <w:jc w:val="center"/>
              <w:rPr>
                <w:b/>
                <w:bCs/>
                <w:lang w:eastAsia="lt-LT"/>
              </w:rPr>
            </w:pPr>
            <w:r w:rsidRPr="00E605CE">
              <w:rPr>
                <w:b/>
                <w:bCs/>
                <w:lang w:eastAsia="lt-LT"/>
              </w:rPr>
              <w:t>Rezultatai</w:t>
            </w:r>
          </w:p>
        </w:tc>
      </w:tr>
      <w:tr w:rsidR="000B2DD5" w:rsidRPr="003377C4" w14:paraId="3F7E30DE" w14:textId="77777777" w:rsidTr="002264D5">
        <w:trPr>
          <w:jc w:val="center"/>
        </w:trPr>
        <w:tc>
          <w:tcPr>
            <w:tcW w:w="6329" w:type="dxa"/>
            <w:gridSpan w:val="3"/>
          </w:tcPr>
          <w:p w14:paraId="1E6FF5E2" w14:textId="77777777" w:rsidR="000B2DD5" w:rsidRPr="00E605CE" w:rsidRDefault="000B2DD5" w:rsidP="002264D5">
            <w:pPr>
              <w:tabs>
                <w:tab w:val="left" w:pos="567"/>
              </w:tabs>
              <w:jc w:val="right"/>
              <w:rPr>
                <w:iCs/>
                <w:lang w:eastAsia="lt-LT"/>
              </w:rPr>
            </w:pPr>
            <w:r w:rsidRPr="00E605CE">
              <w:rPr>
                <w:iCs/>
                <w:lang w:eastAsia="lt-LT"/>
              </w:rPr>
              <w:t>ICER už LY</w:t>
            </w:r>
          </w:p>
        </w:tc>
        <w:tc>
          <w:tcPr>
            <w:tcW w:w="3579" w:type="dxa"/>
          </w:tcPr>
          <w:p w14:paraId="4838A0D0" w14:textId="2E5F5EE7" w:rsidR="000B2DD5" w:rsidRPr="00E605CE" w:rsidRDefault="00E605CE" w:rsidP="002264D5">
            <w:pPr>
              <w:tabs>
                <w:tab w:val="left" w:pos="567"/>
              </w:tabs>
              <w:jc w:val="both"/>
              <w:rPr>
                <w:i/>
                <w:iCs/>
                <w:lang w:eastAsia="lt-LT"/>
              </w:rPr>
            </w:pPr>
            <w:r>
              <w:rPr>
                <w:i/>
                <w:iCs/>
                <w:lang w:eastAsia="lt-LT"/>
              </w:rPr>
              <w:t>****</w:t>
            </w:r>
          </w:p>
        </w:tc>
      </w:tr>
      <w:tr w:rsidR="000B2DD5" w:rsidRPr="003377C4" w14:paraId="415D5DA3" w14:textId="77777777" w:rsidTr="002264D5">
        <w:trPr>
          <w:jc w:val="center"/>
        </w:trPr>
        <w:tc>
          <w:tcPr>
            <w:tcW w:w="6329" w:type="dxa"/>
            <w:gridSpan w:val="3"/>
          </w:tcPr>
          <w:p w14:paraId="67257E4D" w14:textId="77777777" w:rsidR="000B2DD5" w:rsidRPr="00E605CE" w:rsidRDefault="000B2DD5" w:rsidP="002264D5">
            <w:pPr>
              <w:tabs>
                <w:tab w:val="left" w:pos="567"/>
              </w:tabs>
              <w:jc w:val="right"/>
              <w:rPr>
                <w:iCs/>
                <w:lang w:eastAsia="lt-LT"/>
              </w:rPr>
            </w:pPr>
            <w:r w:rsidRPr="00E605CE">
              <w:rPr>
                <w:iCs/>
                <w:lang w:eastAsia="lt-LT"/>
              </w:rPr>
              <w:t>ICER už QALY</w:t>
            </w:r>
          </w:p>
        </w:tc>
        <w:tc>
          <w:tcPr>
            <w:tcW w:w="3579" w:type="dxa"/>
          </w:tcPr>
          <w:p w14:paraId="246B3F05" w14:textId="60DA7DD7" w:rsidR="000B2DD5" w:rsidRPr="00E605CE" w:rsidRDefault="00E605CE" w:rsidP="002264D5">
            <w:pPr>
              <w:tabs>
                <w:tab w:val="left" w:pos="567"/>
              </w:tabs>
              <w:jc w:val="both"/>
              <w:rPr>
                <w:i/>
                <w:iCs/>
                <w:lang w:eastAsia="lt-LT"/>
              </w:rPr>
            </w:pPr>
            <w:r>
              <w:rPr>
                <w:i/>
                <w:iCs/>
                <w:lang w:eastAsia="lt-LT"/>
              </w:rPr>
              <w:t>****</w:t>
            </w:r>
          </w:p>
        </w:tc>
      </w:tr>
      <w:tr w:rsidR="000B2DD5" w:rsidRPr="003377C4" w14:paraId="6F7236EF" w14:textId="77777777" w:rsidTr="002264D5">
        <w:trPr>
          <w:jc w:val="center"/>
        </w:trPr>
        <w:tc>
          <w:tcPr>
            <w:tcW w:w="6329" w:type="dxa"/>
            <w:gridSpan w:val="3"/>
          </w:tcPr>
          <w:p w14:paraId="35DE003F" w14:textId="77777777" w:rsidR="000B2DD5" w:rsidRPr="00E605CE" w:rsidRDefault="000B2DD5" w:rsidP="002264D5">
            <w:pPr>
              <w:tabs>
                <w:tab w:val="left" w:pos="567"/>
              </w:tabs>
              <w:jc w:val="right"/>
              <w:rPr>
                <w:iCs/>
                <w:lang w:eastAsia="lt-LT"/>
              </w:rPr>
            </w:pPr>
            <w:r w:rsidRPr="00E605CE">
              <w:rPr>
                <w:iCs/>
                <w:lang w:eastAsia="lt-LT"/>
              </w:rPr>
              <w:t>Referencinė kaštų naudingumo vertė</w:t>
            </w:r>
          </w:p>
        </w:tc>
        <w:tc>
          <w:tcPr>
            <w:tcW w:w="3579" w:type="dxa"/>
          </w:tcPr>
          <w:p w14:paraId="20BC360C" w14:textId="1E90BF65" w:rsidR="000B2DD5" w:rsidRPr="00E605CE" w:rsidRDefault="00E605CE" w:rsidP="002264D5">
            <w:pPr>
              <w:tabs>
                <w:tab w:val="left" w:pos="567"/>
              </w:tabs>
              <w:jc w:val="both"/>
              <w:rPr>
                <w:b/>
                <w:i/>
                <w:iCs/>
                <w:lang w:eastAsia="lt-LT"/>
              </w:rPr>
            </w:pPr>
            <w:r>
              <w:rPr>
                <w:b/>
                <w:i/>
                <w:iCs/>
                <w:lang w:eastAsia="lt-LT"/>
              </w:rPr>
              <w:t>****</w:t>
            </w:r>
          </w:p>
        </w:tc>
      </w:tr>
    </w:tbl>
    <w:p w14:paraId="1AF8D494" w14:textId="5F6BC73E" w:rsidR="000B2DD5" w:rsidRPr="000B2DD5" w:rsidRDefault="000B2DD5" w:rsidP="000B2DD5">
      <w:pPr>
        <w:pStyle w:val="ListParagraph"/>
        <w:numPr>
          <w:ilvl w:val="0"/>
          <w:numId w:val="14"/>
        </w:numPr>
        <w:tabs>
          <w:tab w:val="left" w:pos="567"/>
        </w:tabs>
        <w:jc w:val="both"/>
        <w:rPr>
          <w:iCs/>
          <w:sz w:val="22"/>
          <w:lang w:eastAsia="lt-LT"/>
        </w:rPr>
      </w:pPr>
      <w:r w:rsidRPr="000B2DD5">
        <w:rPr>
          <w:iCs/>
          <w:sz w:val="22"/>
          <w:lang w:eastAsia="lt-LT"/>
        </w:rPr>
        <w:t>ICER – (</w:t>
      </w:r>
      <w:r w:rsidRPr="000B2DD5">
        <w:rPr>
          <w:i/>
          <w:sz w:val="22"/>
          <w:lang w:eastAsia="lt-LT"/>
        </w:rPr>
        <w:t xml:space="preserve">angl. </w:t>
      </w:r>
      <w:proofErr w:type="spellStart"/>
      <w:r w:rsidRPr="000B2DD5">
        <w:rPr>
          <w:i/>
          <w:sz w:val="22"/>
          <w:lang w:eastAsia="lt-LT"/>
        </w:rPr>
        <w:t>incremental</w:t>
      </w:r>
      <w:proofErr w:type="spellEnd"/>
      <w:r w:rsidRPr="000B2DD5">
        <w:rPr>
          <w:i/>
          <w:sz w:val="22"/>
          <w:lang w:eastAsia="lt-LT"/>
        </w:rPr>
        <w:t xml:space="preserve"> </w:t>
      </w:r>
      <w:proofErr w:type="spellStart"/>
      <w:r w:rsidRPr="000B2DD5">
        <w:rPr>
          <w:i/>
          <w:sz w:val="22"/>
          <w:lang w:eastAsia="lt-LT"/>
        </w:rPr>
        <w:t>cost-effectiveness</w:t>
      </w:r>
      <w:proofErr w:type="spellEnd"/>
      <w:r w:rsidRPr="000B2DD5">
        <w:rPr>
          <w:i/>
          <w:sz w:val="22"/>
          <w:lang w:eastAsia="lt-LT"/>
        </w:rPr>
        <w:t xml:space="preserve"> </w:t>
      </w:r>
      <w:proofErr w:type="spellStart"/>
      <w:r w:rsidRPr="000B2DD5">
        <w:rPr>
          <w:i/>
          <w:sz w:val="22"/>
          <w:lang w:eastAsia="lt-LT"/>
        </w:rPr>
        <w:t>ratio</w:t>
      </w:r>
      <w:proofErr w:type="spellEnd"/>
      <w:r w:rsidRPr="000B2DD5">
        <w:rPr>
          <w:iCs/>
          <w:sz w:val="22"/>
          <w:lang w:eastAsia="lt-LT"/>
        </w:rPr>
        <w:t xml:space="preserve">) </w:t>
      </w:r>
      <w:proofErr w:type="spellStart"/>
      <w:r w:rsidRPr="000B2DD5">
        <w:rPr>
          <w:iCs/>
          <w:sz w:val="22"/>
          <w:lang w:eastAsia="lt-LT"/>
        </w:rPr>
        <w:t>inkrementinis</w:t>
      </w:r>
      <w:proofErr w:type="spellEnd"/>
      <w:r w:rsidRPr="000B2DD5">
        <w:rPr>
          <w:iCs/>
          <w:sz w:val="22"/>
          <w:lang w:eastAsia="lt-LT"/>
        </w:rPr>
        <w:t xml:space="preserve"> kaštų naudingumo koeficientas; LY – (</w:t>
      </w:r>
      <w:r w:rsidRPr="000B2DD5">
        <w:rPr>
          <w:i/>
          <w:sz w:val="22"/>
          <w:lang w:eastAsia="lt-LT"/>
        </w:rPr>
        <w:t xml:space="preserve">angl. </w:t>
      </w:r>
      <w:proofErr w:type="spellStart"/>
      <w:r w:rsidRPr="000B2DD5">
        <w:rPr>
          <w:i/>
          <w:sz w:val="22"/>
          <w:lang w:eastAsia="lt-LT"/>
        </w:rPr>
        <w:t>life</w:t>
      </w:r>
      <w:proofErr w:type="spellEnd"/>
      <w:r w:rsidRPr="000B2DD5">
        <w:rPr>
          <w:i/>
          <w:sz w:val="22"/>
          <w:lang w:eastAsia="lt-LT"/>
        </w:rPr>
        <w:t xml:space="preserve"> </w:t>
      </w:r>
      <w:proofErr w:type="spellStart"/>
      <w:r w:rsidRPr="000B2DD5">
        <w:rPr>
          <w:i/>
          <w:sz w:val="22"/>
          <w:lang w:eastAsia="lt-LT"/>
        </w:rPr>
        <w:t>years</w:t>
      </w:r>
      <w:proofErr w:type="spellEnd"/>
      <w:r w:rsidRPr="000B2DD5">
        <w:rPr>
          <w:iCs/>
          <w:sz w:val="22"/>
          <w:lang w:eastAsia="lt-LT"/>
        </w:rPr>
        <w:t>) gyvenimo metai; QALY- (</w:t>
      </w:r>
      <w:r w:rsidRPr="000B2DD5">
        <w:rPr>
          <w:i/>
          <w:sz w:val="22"/>
          <w:lang w:eastAsia="lt-LT"/>
        </w:rPr>
        <w:t xml:space="preserve">angl. </w:t>
      </w:r>
      <w:proofErr w:type="spellStart"/>
      <w:r w:rsidRPr="000B2DD5">
        <w:rPr>
          <w:i/>
          <w:sz w:val="22"/>
          <w:lang w:eastAsia="lt-LT"/>
        </w:rPr>
        <w:t>quality</w:t>
      </w:r>
      <w:proofErr w:type="spellEnd"/>
      <w:r w:rsidRPr="000B2DD5">
        <w:rPr>
          <w:i/>
          <w:sz w:val="22"/>
          <w:lang w:eastAsia="lt-LT"/>
        </w:rPr>
        <w:t xml:space="preserve"> </w:t>
      </w:r>
      <w:proofErr w:type="spellStart"/>
      <w:r w:rsidRPr="000B2DD5">
        <w:rPr>
          <w:i/>
          <w:sz w:val="22"/>
          <w:lang w:eastAsia="lt-LT"/>
        </w:rPr>
        <w:t>adjusted</w:t>
      </w:r>
      <w:proofErr w:type="spellEnd"/>
      <w:r w:rsidRPr="000B2DD5">
        <w:rPr>
          <w:i/>
          <w:sz w:val="22"/>
          <w:lang w:eastAsia="lt-LT"/>
        </w:rPr>
        <w:t xml:space="preserve"> </w:t>
      </w:r>
      <w:proofErr w:type="spellStart"/>
      <w:r w:rsidRPr="000B2DD5">
        <w:rPr>
          <w:i/>
          <w:sz w:val="22"/>
          <w:lang w:eastAsia="lt-LT"/>
        </w:rPr>
        <w:t>life</w:t>
      </w:r>
      <w:proofErr w:type="spellEnd"/>
      <w:r w:rsidRPr="000B2DD5">
        <w:rPr>
          <w:i/>
          <w:sz w:val="22"/>
          <w:lang w:eastAsia="lt-LT"/>
        </w:rPr>
        <w:t xml:space="preserve"> </w:t>
      </w:r>
      <w:proofErr w:type="spellStart"/>
      <w:r w:rsidRPr="000B2DD5">
        <w:rPr>
          <w:i/>
          <w:sz w:val="22"/>
          <w:lang w:eastAsia="lt-LT"/>
        </w:rPr>
        <w:t>years</w:t>
      </w:r>
      <w:proofErr w:type="spellEnd"/>
      <w:r w:rsidRPr="000B2DD5">
        <w:rPr>
          <w:i/>
          <w:sz w:val="22"/>
          <w:lang w:eastAsia="lt-LT"/>
        </w:rPr>
        <w:t xml:space="preserve">) </w:t>
      </w:r>
      <w:r w:rsidRPr="000B2DD5">
        <w:rPr>
          <w:iCs/>
          <w:sz w:val="22"/>
          <w:lang w:eastAsia="lt-LT"/>
        </w:rPr>
        <w:t xml:space="preserve">kokybiški gyvenimo </w:t>
      </w:r>
      <w:proofErr w:type="spellStart"/>
      <w:r w:rsidRPr="000B2DD5">
        <w:rPr>
          <w:iCs/>
          <w:sz w:val="22"/>
          <w:lang w:eastAsia="lt-LT"/>
        </w:rPr>
        <w:t>metai.</w:t>
      </w:r>
      <w:r w:rsidRPr="000B2DD5">
        <w:rPr>
          <w:rFonts w:eastAsia="Arial"/>
        </w:rPr>
        <w:t>Įvertinus</w:t>
      </w:r>
      <w:proofErr w:type="spellEnd"/>
      <w:r w:rsidRPr="000B2DD5">
        <w:rPr>
          <w:rFonts w:eastAsia="Arial"/>
        </w:rPr>
        <w:t xml:space="preserve"> analizės rezultatą nustatytą, jog terapija olaparibu yra kaštais naudinga.</w:t>
      </w:r>
    </w:p>
    <w:p w14:paraId="2EC12442" w14:textId="77777777" w:rsidR="000B2DD5" w:rsidRDefault="000B2DD5" w:rsidP="000B2DD5">
      <w:pPr>
        <w:shd w:val="clear" w:color="auto" w:fill="FFFFFF"/>
        <w:spacing w:line="276" w:lineRule="auto"/>
        <w:ind w:firstLine="360"/>
        <w:jc w:val="both"/>
        <w:rPr>
          <w:rFonts w:eastAsia="Arial"/>
        </w:rPr>
      </w:pPr>
    </w:p>
    <w:p w14:paraId="74AC4C6A" w14:textId="5C5B1F00" w:rsidR="00864906" w:rsidRPr="00864906" w:rsidRDefault="00864906" w:rsidP="000B2DD5">
      <w:pPr>
        <w:shd w:val="clear" w:color="auto" w:fill="FFFFFF"/>
        <w:spacing w:line="276" w:lineRule="auto"/>
        <w:ind w:firstLine="360"/>
        <w:jc w:val="both"/>
        <w:rPr>
          <w:rFonts w:eastAsia="Arial"/>
        </w:rPr>
      </w:pPr>
      <w:r w:rsidRPr="00864906">
        <w:rPr>
          <w:rFonts w:eastAsia="Arial"/>
        </w:rPr>
        <w:t>Įvertinus analizės rezultatą nustatytą, jog terapija olaparibu yra kaštais naudinga.</w:t>
      </w:r>
    </w:p>
    <w:p w14:paraId="3F4D894C" w14:textId="77777777" w:rsidR="00864906" w:rsidRPr="00864906" w:rsidRDefault="00864906" w:rsidP="00C71ABA">
      <w:pPr>
        <w:tabs>
          <w:tab w:val="left" w:pos="567"/>
        </w:tabs>
        <w:rPr>
          <w:bCs/>
          <w:caps/>
        </w:rPr>
      </w:pPr>
    </w:p>
    <w:p w14:paraId="1A900598" w14:textId="5417F495" w:rsidR="00C62B36" w:rsidRDefault="00C62B36" w:rsidP="00A93AA6">
      <w:pPr>
        <w:tabs>
          <w:tab w:val="left" w:pos="426"/>
        </w:tabs>
        <w:rPr>
          <w:i/>
          <w:color w:val="00B050"/>
          <w:sz w:val="22"/>
          <w:szCs w:val="22"/>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2E896A15"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D40F74">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8818F00"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22C86">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37CB711C"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E94000">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17BAAC66"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05BD79F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FB9570B"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2E34D34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A3F868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60C32794" w:rsidR="00B13D65" w:rsidRPr="002F496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w:t>
            </w:r>
            <w:r w:rsidR="00B13D65" w:rsidRPr="002F496F">
              <w:t>32.3. atitinka referencinę naudingumo vertę, taikant</w:t>
            </w:r>
            <w:r w:rsidR="002F496F" w:rsidRPr="002F496F">
              <w:t xml:space="preserve"> PGS</w:t>
            </w:r>
          </w:p>
          <w:p w14:paraId="3F76F153" w14:textId="77777777" w:rsidR="00662983" w:rsidRPr="002F496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3F8C648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2F496F">
                  <w:rPr>
                    <w:rStyle w:val="Style2"/>
                    <w:rFonts w:ascii="Segoe UI Symbol" w:eastAsia="MS Gothic" w:hAnsi="Segoe UI Symbol" w:cs="Segoe UI Symbol"/>
                    <w:sz w:val="24"/>
                  </w:rPr>
                  <w:t>☐</w:t>
                </w:r>
              </w:sdtContent>
            </w:sdt>
            <w:r w:rsidR="00B13D65" w:rsidRPr="002F496F">
              <w:t xml:space="preserve"> 32.3. gydymo juo kaštai yra mažesni ar tokie patys esant iš esmės nesiskiriančiam palyginamajam efektyvumui, taikant </w:t>
            </w:r>
            <w:r w:rsidR="002F496F" w:rsidRPr="002F496F">
              <w:t>PGS</w:t>
            </w:r>
            <w:r w:rsidR="00B00959" w:rsidRPr="002F496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0FB48D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C17CA6">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taikant</w:t>
            </w:r>
            <w:r w:rsidR="00E94000">
              <w:t xml:space="preserve">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3948C176" w14:textId="5A16A389" w:rsidR="009231D8" w:rsidRPr="00215434" w:rsidRDefault="00E57E1B" w:rsidP="000B2DD5">
      <w:pPr>
        <w:ind w:firstLine="567"/>
        <w:jc w:val="both"/>
        <w:rPr>
          <w:b/>
          <w:color w:val="000000"/>
        </w:rPr>
      </w:pPr>
      <w:r w:rsidRPr="003377C4">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C17CA6">
        <w:t xml:space="preserve"> </w:t>
      </w:r>
      <w:r w:rsidRPr="003377C4">
        <w:t xml:space="preserve">34.1. rekomenduojama </w:t>
      </w:r>
      <w:r w:rsidRPr="004C4BDD">
        <w:rPr>
          <w:i/>
        </w:rPr>
        <w:t>kompensuoti</w:t>
      </w:r>
      <w:r w:rsidRPr="003377C4">
        <w:rPr>
          <w:i/>
        </w:rPr>
        <w:t xml:space="preserve"> </w:t>
      </w:r>
      <w:r w:rsidRPr="003377C4">
        <w:t>vaistinį prepa</w:t>
      </w:r>
      <w:r>
        <w:t>ratą pagal paraiškoje nurodytą indikaciją</w:t>
      </w:r>
      <w:r w:rsidRPr="003377C4">
        <w:t xml:space="preserve"> </w:t>
      </w:r>
      <w:r>
        <w:t xml:space="preserve">be skyrimo sąlygų, </w:t>
      </w:r>
      <w:r w:rsidRPr="003377C4">
        <w:t>taikant PGS, dėl didesnio palyginamojo efektyvumo ir gydymo sukuriamos papildomos naudos pacientų sveikatai, lyginant su įprasta klinikine praktika, ir atitikties referencinei naud</w:t>
      </w:r>
      <w:r w:rsidR="00C17CA6">
        <w:t>ingumo vertei.</w:t>
      </w:r>
    </w:p>
    <w:p w14:paraId="0E936ECB" w14:textId="77777777" w:rsidR="009231D8" w:rsidRPr="00E33EFF" w:rsidRDefault="009231D8" w:rsidP="00381024"/>
    <w:p w14:paraId="18B4292E" w14:textId="1CFC46A0"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w:t>
      </w:r>
      <w:r w:rsidR="00E94000">
        <w:rPr>
          <w:b/>
          <w:color w:val="000000"/>
          <w:lang w:eastAsia="lt-LT"/>
        </w:rPr>
        <w:t>INDIKACIJOS IR SKYRIMO SĄLYGOS</w:t>
      </w:r>
    </w:p>
    <w:p w14:paraId="691340BB" w14:textId="77777777" w:rsidR="000723FF" w:rsidRPr="00E33EFF" w:rsidRDefault="000723FF" w:rsidP="000723FF">
      <w:pPr>
        <w:tabs>
          <w:tab w:val="left" w:pos="426"/>
        </w:tabs>
        <w:jc w:val="both"/>
        <w:rPr>
          <w:b/>
          <w:color w:val="000000"/>
          <w:lang w:eastAsia="lt-LT"/>
        </w:rPr>
      </w:pPr>
    </w:p>
    <w:p w14:paraId="2E338284" w14:textId="77777777" w:rsidR="00C133D3" w:rsidRPr="002B16B1" w:rsidRDefault="00C133D3" w:rsidP="00C133D3">
      <w:pPr>
        <w:rPr>
          <w:rFonts w:eastAsia="Calibri"/>
          <w:b/>
          <w:lang w:eastAsia="lt-LT"/>
        </w:rPr>
      </w:pPr>
      <w:r w:rsidRPr="002B16B1">
        <w:rPr>
          <w:rFonts w:eastAsia="Calibri"/>
          <w:b/>
          <w:lang w:eastAsia="lt-LT"/>
        </w:rPr>
        <w:t>Terapinės indikacijos</w:t>
      </w:r>
    </w:p>
    <w:p w14:paraId="0922CE15" w14:textId="77777777" w:rsidR="00C133D3" w:rsidRPr="002B16B1" w:rsidRDefault="00C133D3" w:rsidP="00C133D3">
      <w:pPr>
        <w:rPr>
          <w:rFonts w:eastAsia="Calibri"/>
        </w:rPr>
      </w:pPr>
      <w:r w:rsidRPr="002B16B1">
        <w:rPr>
          <w:rFonts w:ascii="Segoe UI Symbol" w:eastAsia="Calibri" w:hAnsi="Segoe UI Symbol" w:cs="Segoe UI Symbol"/>
        </w:rPr>
        <w:t>☒</w:t>
      </w:r>
      <w:r w:rsidRPr="002B16B1">
        <w:rPr>
          <w:rFonts w:eastAsia="Calibri"/>
        </w:rPr>
        <w:t xml:space="preserve"> Siūloma kompensuoti Pareiškėjo teikiamą indikaciją be pakeitimų.</w:t>
      </w:r>
    </w:p>
    <w:p w14:paraId="1748C416" w14:textId="77777777" w:rsidR="00C133D3" w:rsidRPr="002B16B1" w:rsidRDefault="00C133D3" w:rsidP="00C133D3">
      <w:pPr>
        <w:rPr>
          <w:rFonts w:eastAsia="Calibri"/>
          <w:i/>
        </w:rPr>
      </w:pPr>
      <w:r w:rsidRPr="002B16B1">
        <w:rPr>
          <w:rFonts w:eastAsia="Calibri"/>
        </w:rPr>
        <w:t xml:space="preserve"> </w:t>
      </w:r>
      <w:r w:rsidRPr="002B16B1">
        <w:rPr>
          <w:rFonts w:eastAsia="Calibri"/>
          <w:i/>
        </w:rPr>
        <w:t xml:space="preserve">Palaikomajai </w:t>
      </w:r>
      <w:proofErr w:type="spellStart"/>
      <w:r w:rsidRPr="002B16B1">
        <w:rPr>
          <w:rFonts w:eastAsia="Calibri"/>
          <w:i/>
        </w:rPr>
        <w:t>monoterapijai</w:t>
      </w:r>
      <w:proofErr w:type="spellEnd"/>
      <w:r w:rsidRPr="002B16B1">
        <w:rPr>
          <w:rFonts w:eastAsia="Calibri"/>
          <w:i/>
        </w:rPr>
        <w:t xml:space="preserve"> suaugusių pacienčių, sergančių progresavusiu (FIGO III ir IV stadijų) BRCA1/2 </w:t>
      </w:r>
      <w:proofErr w:type="spellStart"/>
      <w:r w:rsidRPr="002B16B1">
        <w:rPr>
          <w:rFonts w:eastAsia="Calibri"/>
          <w:i/>
        </w:rPr>
        <w:t>mutavusiu</w:t>
      </w:r>
      <w:proofErr w:type="spellEnd"/>
      <w:r w:rsidRPr="002B16B1">
        <w:rPr>
          <w:rFonts w:eastAsia="Calibri"/>
          <w:i/>
        </w:rPr>
        <w:t xml:space="preserve"> (</w:t>
      </w:r>
      <w:proofErr w:type="spellStart"/>
      <w:r w:rsidRPr="002B16B1">
        <w:rPr>
          <w:rFonts w:eastAsia="Calibri"/>
          <w:i/>
        </w:rPr>
        <w:t>germinacinių</w:t>
      </w:r>
      <w:proofErr w:type="spellEnd"/>
      <w:r w:rsidRPr="002B16B1">
        <w:rPr>
          <w:rFonts w:eastAsia="Calibri"/>
          <w:i/>
        </w:rPr>
        <w:t xml:space="preserve"> ir/arba somatinių ląstelių) didelio piktybiškumo laipsnio </w:t>
      </w:r>
      <w:proofErr w:type="spellStart"/>
      <w:r w:rsidRPr="002B16B1">
        <w:rPr>
          <w:rFonts w:eastAsia="Calibri"/>
          <w:i/>
        </w:rPr>
        <w:t>epiteliniu</w:t>
      </w:r>
      <w:proofErr w:type="spellEnd"/>
      <w:r w:rsidRPr="002B16B1">
        <w:rPr>
          <w:rFonts w:eastAsia="Calibri"/>
          <w:i/>
        </w:rPr>
        <w:t xml:space="preserve"> kiaušidžių, kiaušintakių arba pirminiu pilvaplėvės vėžiu, kai yra pasireiškęs visiškas arba dalinis atsakas į baigtą pirmos eilės chemoterapiją platinos pagrindu.</w:t>
      </w:r>
    </w:p>
    <w:p w14:paraId="5D974C45" w14:textId="77777777" w:rsidR="00C133D3" w:rsidRPr="002B16B1" w:rsidRDefault="00C133D3" w:rsidP="00C133D3">
      <w:pPr>
        <w:rPr>
          <w:rFonts w:eastAsia="Calibri"/>
          <w:i/>
        </w:rPr>
      </w:pPr>
    </w:p>
    <w:p w14:paraId="1055C976" w14:textId="77777777" w:rsidR="00C133D3" w:rsidRPr="002B16B1" w:rsidRDefault="00C133D3" w:rsidP="00C133D3">
      <w:pPr>
        <w:rPr>
          <w:rFonts w:eastAsia="Calibri"/>
        </w:rPr>
      </w:pPr>
      <w:r w:rsidRPr="002B16B1">
        <w:rPr>
          <w:rFonts w:ascii="Segoe UI Symbol" w:eastAsia="Calibri" w:hAnsi="Segoe UI Symbol" w:cs="Segoe UI Symbol"/>
        </w:rPr>
        <w:t>☐</w:t>
      </w:r>
      <w:r w:rsidRPr="002B16B1">
        <w:rPr>
          <w:rFonts w:eastAsia="Calibri"/>
        </w:rPr>
        <w:t xml:space="preserve"> Siūloma kompensuoti Pareiškėjo teikiamą indikaciją su pakeitimais.</w:t>
      </w:r>
    </w:p>
    <w:p w14:paraId="461E77E7" w14:textId="77777777" w:rsidR="00C133D3" w:rsidRPr="002B16B1" w:rsidRDefault="00C133D3" w:rsidP="00C133D3">
      <w:pPr>
        <w:rPr>
          <w:rFonts w:eastAsia="Calibri"/>
        </w:rPr>
      </w:pPr>
    </w:p>
    <w:p w14:paraId="19EAB010" w14:textId="77777777" w:rsidR="00C133D3" w:rsidRPr="002B16B1" w:rsidRDefault="00C133D3" w:rsidP="00C133D3">
      <w:pPr>
        <w:rPr>
          <w:rFonts w:eastAsia="Calibri"/>
          <w:b/>
        </w:rPr>
      </w:pPr>
      <w:r w:rsidRPr="002B16B1">
        <w:rPr>
          <w:rFonts w:eastAsia="Calibri"/>
          <w:b/>
        </w:rPr>
        <w:t>Skyrimo sąlygos</w:t>
      </w:r>
    </w:p>
    <w:p w14:paraId="5B7112CE" w14:textId="77777777" w:rsidR="00C133D3" w:rsidRPr="002B16B1" w:rsidRDefault="00C133D3" w:rsidP="00C133D3">
      <w:pPr>
        <w:rPr>
          <w:rFonts w:eastAsia="Calibri"/>
        </w:rPr>
      </w:pPr>
      <w:r w:rsidRPr="002B16B1">
        <w:rPr>
          <w:rFonts w:ascii="Segoe UI Symbol" w:eastAsia="Calibri" w:hAnsi="Segoe UI Symbol" w:cs="Segoe UI Symbol"/>
        </w:rPr>
        <w:t>☐</w:t>
      </w:r>
      <w:r w:rsidRPr="002B16B1">
        <w:rPr>
          <w:rFonts w:eastAsia="Calibri"/>
        </w:rPr>
        <w:t xml:space="preserve"> Pareiškėjo siūlomos skyrimo sąlygos priimtinos. </w:t>
      </w:r>
    </w:p>
    <w:p w14:paraId="1BEB3D22" w14:textId="77777777" w:rsidR="00C133D3" w:rsidRPr="002B16B1" w:rsidRDefault="00C133D3" w:rsidP="00C133D3">
      <w:pPr>
        <w:rPr>
          <w:rFonts w:eastAsia="Calibri"/>
        </w:rPr>
      </w:pPr>
      <w:r w:rsidRPr="002B16B1">
        <w:rPr>
          <w:rFonts w:eastAsia="Calibri"/>
        </w:rPr>
        <w:t xml:space="preserve"> </w:t>
      </w:r>
    </w:p>
    <w:p w14:paraId="2A950217" w14:textId="77777777" w:rsidR="00C133D3" w:rsidRPr="002B16B1" w:rsidRDefault="00C133D3" w:rsidP="00C133D3">
      <w:pPr>
        <w:rPr>
          <w:rFonts w:eastAsia="Calibri"/>
        </w:rPr>
      </w:pPr>
      <w:r w:rsidRPr="002B16B1">
        <w:rPr>
          <w:rFonts w:ascii="Segoe UI Symbol" w:eastAsia="Calibri" w:hAnsi="Segoe UI Symbol" w:cs="Segoe UI Symbol"/>
        </w:rPr>
        <w:t>☒</w:t>
      </w:r>
      <w:r w:rsidRPr="002B16B1">
        <w:rPr>
          <w:rFonts w:eastAsia="Calibri"/>
        </w:rPr>
        <w:t xml:space="preserve"> Pareiškėjo siūlomos skyrimo sąlygos nepriimtinos. </w:t>
      </w:r>
    </w:p>
    <w:p w14:paraId="317E03CC" w14:textId="77777777" w:rsidR="00C133D3" w:rsidRPr="002B16B1" w:rsidRDefault="00C133D3" w:rsidP="00C133D3">
      <w:pPr>
        <w:rPr>
          <w:rFonts w:eastAsia="Calibri"/>
        </w:rPr>
      </w:pPr>
      <w:r w:rsidRPr="002B16B1">
        <w:rPr>
          <w:rFonts w:eastAsia="Calibri"/>
        </w:rPr>
        <w:t>Siūlomos skyrimo sąlygos.</w:t>
      </w:r>
    </w:p>
    <w:p w14:paraId="66E12C72" w14:textId="77777777" w:rsidR="00C4593C" w:rsidRDefault="00C133D3" w:rsidP="00C4593C">
      <w:pPr>
        <w:rPr>
          <w:rFonts w:eastAsia="Calibri"/>
          <w:i/>
          <w:lang w:eastAsia="lt-LT"/>
        </w:rPr>
      </w:pPr>
      <w:r w:rsidRPr="002B16B1">
        <w:rPr>
          <w:rFonts w:eastAsia="Calibri"/>
          <w:i/>
          <w:lang w:eastAsia="lt-LT"/>
        </w:rPr>
        <w:t>-</w:t>
      </w:r>
      <w:r w:rsidRPr="002B16B1">
        <w:rPr>
          <w:rFonts w:eastAsia="Calibri"/>
          <w:i/>
          <w:lang w:eastAsia="lt-LT"/>
        </w:rPr>
        <w:tab/>
      </w:r>
      <w:r w:rsidR="00C4593C">
        <w:rPr>
          <w:rFonts w:eastAsia="Calibri"/>
          <w:i/>
          <w:lang w:eastAsia="lt-LT"/>
        </w:rPr>
        <w:t xml:space="preserve">Skiriamas </w:t>
      </w:r>
      <w:r w:rsidR="00C4593C" w:rsidRPr="002B16B1">
        <w:rPr>
          <w:rFonts w:eastAsia="Calibri"/>
          <w:i/>
          <w:lang w:eastAsia="lt-LT"/>
        </w:rPr>
        <w:t>pacientė</w:t>
      </w:r>
      <w:r w:rsidR="00C4593C">
        <w:rPr>
          <w:rFonts w:eastAsia="Calibri"/>
          <w:i/>
          <w:lang w:eastAsia="lt-LT"/>
        </w:rPr>
        <w:t>m</w:t>
      </w:r>
      <w:r w:rsidR="00C4593C" w:rsidRPr="002B16B1">
        <w:rPr>
          <w:rFonts w:eastAsia="Calibri"/>
          <w:i/>
          <w:lang w:eastAsia="lt-LT"/>
        </w:rPr>
        <w:t>s</w:t>
      </w:r>
      <w:r w:rsidR="00C4593C">
        <w:rPr>
          <w:rFonts w:eastAsia="Calibri"/>
          <w:i/>
          <w:lang w:eastAsia="lt-LT"/>
        </w:rPr>
        <w:t xml:space="preserve">, kurios buvo gydytos mažiausiai šešiais chemoterapijos platinos pagrindu ciklais (arba </w:t>
      </w:r>
      <w:r w:rsidR="00C4593C" w:rsidRPr="00E72445">
        <w:rPr>
          <w:rFonts w:eastAsia="Calibri"/>
          <w:i/>
          <w:lang w:eastAsia="lt-LT"/>
        </w:rPr>
        <w:t>keturi</w:t>
      </w:r>
      <w:r w:rsidR="00C4593C">
        <w:rPr>
          <w:rFonts w:eastAsia="Calibri"/>
          <w:i/>
          <w:lang w:eastAsia="lt-LT"/>
        </w:rPr>
        <w:t>ais</w:t>
      </w:r>
      <w:r w:rsidR="00C4593C" w:rsidRPr="00E72445">
        <w:rPr>
          <w:rFonts w:eastAsia="Calibri"/>
          <w:i/>
          <w:lang w:eastAsia="lt-LT"/>
        </w:rPr>
        <w:t xml:space="preserve"> tuo atveju, jei gydymas nutrauktas dėl </w:t>
      </w:r>
      <w:proofErr w:type="spellStart"/>
      <w:r w:rsidR="00C4593C" w:rsidRPr="00E72445">
        <w:rPr>
          <w:rFonts w:eastAsia="Calibri"/>
          <w:i/>
          <w:lang w:eastAsia="lt-LT"/>
        </w:rPr>
        <w:t>toksiškumo</w:t>
      </w:r>
      <w:proofErr w:type="spellEnd"/>
      <w:r w:rsidR="00C4593C">
        <w:rPr>
          <w:rFonts w:eastAsia="Calibri"/>
          <w:i/>
          <w:lang w:eastAsia="lt-LT"/>
        </w:rPr>
        <w:t>) ir kurios nebuvo gydytos</w:t>
      </w:r>
      <w:r w:rsidR="00C4593C" w:rsidRPr="00AB2712">
        <w:rPr>
          <w:rFonts w:eastAsia="Calibri"/>
          <w:i/>
          <w:lang w:eastAsia="lt-LT"/>
        </w:rPr>
        <w:t xml:space="preserve"> </w:t>
      </w:r>
      <w:proofErr w:type="spellStart"/>
      <w:r w:rsidR="00C4593C">
        <w:rPr>
          <w:rFonts w:eastAsia="Calibri"/>
          <w:i/>
          <w:lang w:eastAsia="lt-LT"/>
        </w:rPr>
        <w:t>bevacizumabu</w:t>
      </w:r>
      <w:proofErr w:type="spellEnd"/>
      <w:r w:rsidR="00C4593C">
        <w:rPr>
          <w:rFonts w:eastAsia="Calibri"/>
          <w:i/>
          <w:lang w:eastAsia="lt-LT"/>
        </w:rPr>
        <w:t>;</w:t>
      </w:r>
    </w:p>
    <w:p w14:paraId="67730553" w14:textId="77777777" w:rsidR="00C4593C" w:rsidRPr="002B16B1" w:rsidRDefault="00C4593C" w:rsidP="00C4593C">
      <w:pPr>
        <w:rPr>
          <w:rFonts w:eastAsia="Calibri"/>
          <w:i/>
          <w:lang w:eastAsia="lt-LT"/>
        </w:rPr>
      </w:pPr>
      <w:r w:rsidRPr="002B16B1">
        <w:rPr>
          <w:rFonts w:eastAsia="Calibri"/>
          <w:i/>
          <w:lang w:eastAsia="lt-LT"/>
        </w:rPr>
        <w:t>-</w:t>
      </w:r>
      <w:r w:rsidRPr="002B16B1">
        <w:rPr>
          <w:rFonts w:eastAsia="Calibri"/>
          <w:i/>
          <w:lang w:eastAsia="lt-LT"/>
        </w:rPr>
        <w:tab/>
      </w:r>
      <w:r>
        <w:rPr>
          <w:rFonts w:eastAsia="Calibri"/>
          <w:i/>
          <w:lang w:eastAsia="lt-LT"/>
        </w:rPr>
        <w:t xml:space="preserve">Gydymo trukmė ne ilgesnė nei </w:t>
      </w:r>
      <w:r w:rsidRPr="002B16B1">
        <w:rPr>
          <w:rFonts w:eastAsia="Calibri"/>
          <w:i/>
          <w:lang w:eastAsia="lt-LT"/>
        </w:rPr>
        <w:t>24 mėnesi</w:t>
      </w:r>
      <w:r>
        <w:rPr>
          <w:rFonts w:eastAsia="Calibri"/>
          <w:i/>
          <w:lang w:eastAsia="lt-LT"/>
        </w:rPr>
        <w:t xml:space="preserve">ai. </w:t>
      </w:r>
    </w:p>
    <w:p w14:paraId="5C623FB7" w14:textId="7E9CF7F3" w:rsidR="006F55ED" w:rsidRPr="000723FF" w:rsidRDefault="006F55ED" w:rsidP="00C4593C">
      <w:pPr>
        <w:rPr>
          <w:b/>
        </w:rPr>
      </w:pPr>
    </w:p>
    <w:sectPr w:rsidR="006F55ED" w:rsidRPr="000723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2BF0" w14:textId="77777777" w:rsidR="00CB72D7" w:rsidRDefault="00CB72D7">
      <w:r>
        <w:separator/>
      </w:r>
    </w:p>
  </w:endnote>
  <w:endnote w:type="continuationSeparator" w:id="0">
    <w:p w14:paraId="1AE2FF29" w14:textId="77777777" w:rsidR="00CB72D7" w:rsidRDefault="00CB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EB5D" w14:textId="77777777" w:rsidR="000C3545" w:rsidRDefault="000C3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DCF" w14:textId="77777777" w:rsidR="000C3545" w:rsidRDefault="000C3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0E4D" w14:textId="77777777" w:rsidR="00CB72D7" w:rsidRDefault="00CB72D7">
      <w:r>
        <w:separator/>
      </w:r>
    </w:p>
  </w:footnote>
  <w:footnote w:type="continuationSeparator" w:id="0">
    <w:p w14:paraId="2DF131A6" w14:textId="77777777" w:rsidR="00CB72D7" w:rsidRDefault="00CB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6C22646A"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545">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5960378"/>
    <w:multiLevelType w:val="hybridMultilevel"/>
    <w:tmpl w:val="CF1CEE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6353C"/>
    <w:multiLevelType w:val="hybridMultilevel"/>
    <w:tmpl w:val="446C6078"/>
    <w:lvl w:ilvl="0" w:tplc="97FABE7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9431973">
    <w:abstractNumId w:val="7"/>
  </w:num>
  <w:num w:numId="2" w16cid:durableId="780030832">
    <w:abstractNumId w:val="2"/>
  </w:num>
  <w:num w:numId="3" w16cid:durableId="1761023785">
    <w:abstractNumId w:val="9"/>
  </w:num>
  <w:num w:numId="4" w16cid:durableId="289165391">
    <w:abstractNumId w:val="8"/>
  </w:num>
  <w:num w:numId="5" w16cid:durableId="1918661589">
    <w:abstractNumId w:val="6"/>
  </w:num>
  <w:num w:numId="6" w16cid:durableId="1099326686">
    <w:abstractNumId w:val="5"/>
  </w:num>
  <w:num w:numId="7" w16cid:durableId="760031360">
    <w:abstractNumId w:val="4"/>
  </w:num>
  <w:num w:numId="8" w16cid:durableId="2132166715">
    <w:abstractNumId w:val="13"/>
  </w:num>
  <w:num w:numId="9" w16cid:durableId="786656679">
    <w:abstractNumId w:val="0"/>
  </w:num>
  <w:num w:numId="10" w16cid:durableId="1211696645">
    <w:abstractNumId w:val="10"/>
  </w:num>
  <w:num w:numId="11" w16cid:durableId="575284346">
    <w:abstractNumId w:val="12"/>
  </w:num>
  <w:num w:numId="12" w16cid:durableId="1078864834">
    <w:abstractNumId w:val="3"/>
  </w:num>
  <w:num w:numId="13" w16cid:durableId="1932427259">
    <w:abstractNumId w:val="1"/>
  </w:num>
  <w:num w:numId="14" w16cid:durableId="570238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38E3"/>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848F1"/>
    <w:rsid w:val="000908A5"/>
    <w:rsid w:val="00092805"/>
    <w:rsid w:val="000B2DD5"/>
    <w:rsid w:val="000C354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25E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C5801"/>
    <w:rsid w:val="002D02EF"/>
    <w:rsid w:val="002E0702"/>
    <w:rsid w:val="002E57AD"/>
    <w:rsid w:val="002E6F80"/>
    <w:rsid w:val="002F0E4F"/>
    <w:rsid w:val="002F1053"/>
    <w:rsid w:val="002F496F"/>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CCE"/>
    <w:rsid w:val="00441A98"/>
    <w:rsid w:val="00453862"/>
    <w:rsid w:val="0045469B"/>
    <w:rsid w:val="00461338"/>
    <w:rsid w:val="004677DB"/>
    <w:rsid w:val="00476256"/>
    <w:rsid w:val="00482EA4"/>
    <w:rsid w:val="0048630F"/>
    <w:rsid w:val="004947A1"/>
    <w:rsid w:val="0049482A"/>
    <w:rsid w:val="004979D3"/>
    <w:rsid w:val="004A00E7"/>
    <w:rsid w:val="004A3A61"/>
    <w:rsid w:val="004B59BA"/>
    <w:rsid w:val="004B5A03"/>
    <w:rsid w:val="004C263A"/>
    <w:rsid w:val="004C4BDD"/>
    <w:rsid w:val="004D2264"/>
    <w:rsid w:val="004D48A6"/>
    <w:rsid w:val="004D7B8F"/>
    <w:rsid w:val="004E1B88"/>
    <w:rsid w:val="004E6458"/>
    <w:rsid w:val="004E6E7D"/>
    <w:rsid w:val="004F1AAC"/>
    <w:rsid w:val="004F1AE2"/>
    <w:rsid w:val="004F2A30"/>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0D1F"/>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797"/>
    <w:rsid w:val="00646CF3"/>
    <w:rsid w:val="00653D11"/>
    <w:rsid w:val="00662983"/>
    <w:rsid w:val="006834D3"/>
    <w:rsid w:val="00692625"/>
    <w:rsid w:val="00692711"/>
    <w:rsid w:val="00695CD3"/>
    <w:rsid w:val="00697E4C"/>
    <w:rsid w:val="006A38B6"/>
    <w:rsid w:val="006B1987"/>
    <w:rsid w:val="006B2F6C"/>
    <w:rsid w:val="006B5B71"/>
    <w:rsid w:val="006B6CB0"/>
    <w:rsid w:val="006C0296"/>
    <w:rsid w:val="006C2B64"/>
    <w:rsid w:val="006D4C85"/>
    <w:rsid w:val="006D66AC"/>
    <w:rsid w:val="006E33F6"/>
    <w:rsid w:val="006F1251"/>
    <w:rsid w:val="006F1C23"/>
    <w:rsid w:val="006F55ED"/>
    <w:rsid w:val="00702C18"/>
    <w:rsid w:val="00703166"/>
    <w:rsid w:val="007127F3"/>
    <w:rsid w:val="007301CF"/>
    <w:rsid w:val="007316FB"/>
    <w:rsid w:val="007374D0"/>
    <w:rsid w:val="00737E2D"/>
    <w:rsid w:val="007424D5"/>
    <w:rsid w:val="00750A88"/>
    <w:rsid w:val="007523DD"/>
    <w:rsid w:val="00757B7E"/>
    <w:rsid w:val="00760075"/>
    <w:rsid w:val="00763D82"/>
    <w:rsid w:val="007656B2"/>
    <w:rsid w:val="0077016F"/>
    <w:rsid w:val="007713AD"/>
    <w:rsid w:val="00795DC5"/>
    <w:rsid w:val="00797153"/>
    <w:rsid w:val="007A21F7"/>
    <w:rsid w:val="007A2B68"/>
    <w:rsid w:val="007B0DDA"/>
    <w:rsid w:val="007D3347"/>
    <w:rsid w:val="007E5466"/>
    <w:rsid w:val="007F1949"/>
    <w:rsid w:val="007F1E2C"/>
    <w:rsid w:val="007F2592"/>
    <w:rsid w:val="00800A08"/>
    <w:rsid w:val="00811401"/>
    <w:rsid w:val="00817A84"/>
    <w:rsid w:val="008225A4"/>
    <w:rsid w:val="00824B92"/>
    <w:rsid w:val="00826D5E"/>
    <w:rsid w:val="00832013"/>
    <w:rsid w:val="00832DB7"/>
    <w:rsid w:val="00834732"/>
    <w:rsid w:val="0085200C"/>
    <w:rsid w:val="00857C52"/>
    <w:rsid w:val="00860D5F"/>
    <w:rsid w:val="00864906"/>
    <w:rsid w:val="0087019B"/>
    <w:rsid w:val="00880A44"/>
    <w:rsid w:val="0088345E"/>
    <w:rsid w:val="0088656F"/>
    <w:rsid w:val="00891EF6"/>
    <w:rsid w:val="008A0303"/>
    <w:rsid w:val="008A5FDD"/>
    <w:rsid w:val="008B2096"/>
    <w:rsid w:val="008C3947"/>
    <w:rsid w:val="008E473B"/>
    <w:rsid w:val="008E51A6"/>
    <w:rsid w:val="008E7329"/>
    <w:rsid w:val="008F2ED5"/>
    <w:rsid w:val="008F7C75"/>
    <w:rsid w:val="00910535"/>
    <w:rsid w:val="0092297E"/>
    <w:rsid w:val="009231D8"/>
    <w:rsid w:val="00923651"/>
    <w:rsid w:val="00927B56"/>
    <w:rsid w:val="009341BF"/>
    <w:rsid w:val="00937907"/>
    <w:rsid w:val="00941739"/>
    <w:rsid w:val="00951573"/>
    <w:rsid w:val="00963003"/>
    <w:rsid w:val="00964AAC"/>
    <w:rsid w:val="00966EEF"/>
    <w:rsid w:val="00971B28"/>
    <w:rsid w:val="0097582C"/>
    <w:rsid w:val="00983471"/>
    <w:rsid w:val="009909AB"/>
    <w:rsid w:val="009B37DB"/>
    <w:rsid w:val="009B39FD"/>
    <w:rsid w:val="009C7A8C"/>
    <w:rsid w:val="009D23F9"/>
    <w:rsid w:val="009D4FA8"/>
    <w:rsid w:val="009E44AE"/>
    <w:rsid w:val="009E6CD6"/>
    <w:rsid w:val="009F4D66"/>
    <w:rsid w:val="00A00C3C"/>
    <w:rsid w:val="00A01091"/>
    <w:rsid w:val="00A042B9"/>
    <w:rsid w:val="00A06DBB"/>
    <w:rsid w:val="00A13EC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34B4"/>
    <w:rsid w:val="00AC4A99"/>
    <w:rsid w:val="00AC64D2"/>
    <w:rsid w:val="00AD02E7"/>
    <w:rsid w:val="00AE0FE8"/>
    <w:rsid w:val="00AE1322"/>
    <w:rsid w:val="00AF60D5"/>
    <w:rsid w:val="00B00959"/>
    <w:rsid w:val="00B00B50"/>
    <w:rsid w:val="00B04415"/>
    <w:rsid w:val="00B06509"/>
    <w:rsid w:val="00B11D60"/>
    <w:rsid w:val="00B13D65"/>
    <w:rsid w:val="00B21805"/>
    <w:rsid w:val="00B22C86"/>
    <w:rsid w:val="00B3072E"/>
    <w:rsid w:val="00B36E15"/>
    <w:rsid w:val="00B37245"/>
    <w:rsid w:val="00B4017A"/>
    <w:rsid w:val="00B4468D"/>
    <w:rsid w:val="00B5067C"/>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33D3"/>
    <w:rsid w:val="00C16245"/>
    <w:rsid w:val="00C17CA6"/>
    <w:rsid w:val="00C22DC5"/>
    <w:rsid w:val="00C24479"/>
    <w:rsid w:val="00C273F2"/>
    <w:rsid w:val="00C37B53"/>
    <w:rsid w:val="00C4593C"/>
    <w:rsid w:val="00C517D2"/>
    <w:rsid w:val="00C5772E"/>
    <w:rsid w:val="00C62B36"/>
    <w:rsid w:val="00C7012C"/>
    <w:rsid w:val="00C712EA"/>
    <w:rsid w:val="00C71ABA"/>
    <w:rsid w:val="00CA217D"/>
    <w:rsid w:val="00CB72D7"/>
    <w:rsid w:val="00CC09D4"/>
    <w:rsid w:val="00CC668D"/>
    <w:rsid w:val="00CC7832"/>
    <w:rsid w:val="00CF0C1C"/>
    <w:rsid w:val="00CF27FD"/>
    <w:rsid w:val="00CF5F12"/>
    <w:rsid w:val="00D00D8F"/>
    <w:rsid w:val="00D07A36"/>
    <w:rsid w:val="00D21F3A"/>
    <w:rsid w:val="00D23808"/>
    <w:rsid w:val="00D3016A"/>
    <w:rsid w:val="00D317D4"/>
    <w:rsid w:val="00D40F74"/>
    <w:rsid w:val="00D417D2"/>
    <w:rsid w:val="00D42960"/>
    <w:rsid w:val="00D43BD7"/>
    <w:rsid w:val="00D4485B"/>
    <w:rsid w:val="00D4708D"/>
    <w:rsid w:val="00D4744C"/>
    <w:rsid w:val="00D521DE"/>
    <w:rsid w:val="00D5470B"/>
    <w:rsid w:val="00D63068"/>
    <w:rsid w:val="00D6498C"/>
    <w:rsid w:val="00D74838"/>
    <w:rsid w:val="00D76A70"/>
    <w:rsid w:val="00D83182"/>
    <w:rsid w:val="00D8521E"/>
    <w:rsid w:val="00D9291C"/>
    <w:rsid w:val="00D93A97"/>
    <w:rsid w:val="00DB1F64"/>
    <w:rsid w:val="00DC1E90"/>
    <w:rsid w:val="00DC2F53"/>
    <w:rsid w:val="00DC3CC2"/>
    <w:rsid w:val="00DC5BAC"/>
    <w:rsid w:val="00DC6816"/>
    <w:rsid w:val="00DC76C2"/>
    <w:rsid w:val="00DD1CF2"/>
    <w:rsid w:val="00DE4484"/>
    <w:rsid w:val="00DF41B7"/>
    <w:rsid w:val="00DF4A4A"/>
    <w:rsid w:val="00DF583C"/>
    <w:rsid w:val="00E03C3F"/>
    <w:rsid w:val="00E06FD7"/>
    <w:rsid w:val="00E07417"/>
    <w:rsid w:val="00E2229C"/>
    <w:rsid w:val="00E24D45"/>
    <w:rsid w:val="00E33DB8"/>
    <w:rsid w:val="00E33EFF"/>
    <w:rsid w:val="00E34387"/>
    <w:rsid w:val="00E348BA"/>
    <w:rsid w:val="00E369FE"/>
    <w:rsid w:val="00E37C6F"/>
    <w:rsid w:val="00E475F8"/>
    <w:rsid w:val="00E5102E"/>
    <w:rsid w:val="00E5721C"/>
    <w:rsid w:val="00E57E1B"/>
    <w:rsid w:val="00E605CE"/>
    <w:rsid w:val="00E619C6"/>
    <w:rsid w:val="00E745A1"/>
    <w:rsid w:val="00E81529"/>
    <w:rsid w:val="00E83A13"/>
    <w:rsid w:val="00E94000"/>
    <w:rsid w:val="00EB6FC5"/>
    <w:rsid w:val="00EC2356"/>
    <w:rsid w:val="00EC2582"/>
    <w:rsid w:val="00EC337C"/>
    <w:rsid w:val="00EC52BE"/>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4BF3"/>
    <w:rsid w:val="00F456BC"/>
    <w:rsid w:val="00F45EDC"/>
    <w:rsid w:val="00F50666"/>
    <w:rsid w:val="00F70C9E"/>
    <w:rsid w:val="00F72129"/>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
    <w:link w:val="ListParagraph"/>
    <w:uiPriority w:val="34"/>
    <w:rsid w:val="00E9400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40AF3785CE504884855318AE1D0A0756"/>
        <w:category>
          <w:name w:val="General"/>
          <w:gallery w:val="placeholder"/>
        </w:category>
        <w:types>
          <w:type w:val="bbPlcHdr"/>
        </w:types>
        <w:behaviors>
          <w:behavior w:val="content"/>
        </w:behaviors>
        <w:guid w:val="{0EAA4434-F84B-4DAB-BA83-161CDAEFA2F9}"/>
      </w:docPartPr>
      <w:docPartBody>
        <w:p w:rsidR="00490CC9" w:rsidRDefault="00CA5F42" w:rsidP="00CA5F42">
          <w:pPr>
            <w:pStyle w:val="40AF3785CE504884855318AE1D0A0756"/>
          </w:pPr>
          <w:r>
            <w:rPr>
              <w:rStyle w:val="PlaceholderText"/>
            </w:rPr>
            <w:t>Click here to enter a date.</w:t>
          </w:r>
        </w:p>
      </w:docPartBody>
    </w:docPart>
    <w:docPart>
      <w:docPartPr>
        <w:name w:val="0D17BC286D6B457A87F2F58BD9EA4182"/>
        <w:category>
          <w:name w:val="General"/>
          <w:gallery w:val="placeholder"/>
        </w:category>
        <w:types>
          <w:type w:val="bbPlcHdr"/>
        </w:types>
        <w:behaviors>
          <w:behavior w:val="content"/>
        </w:behaviors>
        <w:guid w:val="{05574AA0-766E-4BCA-AA62-5E7E5CF4DBA7}"/>
      </w:docPartPr>
      <w:docPartBody>
        <w:p w:rsidR="00EA4F88" w:rsidRDefault="007E7A65" w:rsidP="007E7A65">
          <w:pPr>
            <w:pStyle w:val="0D17BC286D6B457A87F2F58BD9EA4182"/>
          </w:pPr>
          <w:r>
            <w:rPr>
              <w:rStyle w:val="PlaceholderText"/>
            </w:rPr>
            <w:t>Click here to enter a date.</w:t>
          </w:r>
        </w:p>
      </w:docPartBody>
    </w:docPart>
    <w:docPart>
      <w:docPartPr>
        <w:name w:val="BAF4CAC0C3754BB5AA6AF6A16BA83709"/>
        <w:category>
          <w:name w:val="General"/>
          <w:gallery w:val="placeholder"/>
        </w:category>
        <w:types>
          <w:type w:val="bbPlcHdr"/>
        </w:types>
        <w:behaviors>
          <w:behavior w:val="content"/>
        </w:behaviors>
        <w:guid w:val="{D553D436-3C42-4F68-B48A-E3DF178B2DF6}"/>
      </w:docPartPr>
      <w:docPartBody>
        <w:p w:rsidR="00EA4F88" w:rsidRDefault="007E7A65" w:rsidP="007E7A65">
          <w:pPr>
            <w:pStyle w:val="BAF4CAC0C3754BB5AA6AF6A16BA8370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237556"/>
    <w:rsid w:val="0039303B"/>
    <w:rsid w:val="004144A3"/>
    <w:rsid w:val="004160E7"/>
    <w:rsid w:val="004416C6"/>
    <w:rsid w:val="00490CC9"/>
    <w:rsid w:val="004A263A"/>
    <w:rsid w:val="004F5AB2"/>
    <w:rsid w:val="005074B9"/>
    <w:rsid w:val="005E40DD"/>
    <w:rsid w:val="006330D9"/>
    <w:rsid w:val="007219C1"/>
    <w:rsid w:val="00753462"/>
    <w:rsid w:val="00772325"/>
    <w:rsid w:val="007A2FE0"/>
    <w:rsid w:val="007C6D1D"/>
    <w:rsid w:val="007E7A65"/>
    <w:rsid w:val="0090074D"/>
    <w:rsid w:val="009B3BF0"/>
    <w:rsid w:val="009D5E5E"/>
    <w:rsid w:val="009F1BB4"/>
    <w:rsid w:val="00AB6ED4"/>
    <w:rsid w:val="00B14210"/>
    <w:rsid w:val="00B23DC0"/>
    <w:rsid w:val="00B96656"/>
    <w:rsid w:val="00BA5088"/>
    <w:rsid w:val="00BE29C1"/>
    <w:rsid w:val="00C2401D"/>
    <w:rsid w:val="00C53A68"/>
    <w:rsid w:val="00CA5BB4"/>
    <w:rsid w:val="00CA5F42"/>
    <w:rsid w:val="00CB4BD1"/>
    <w:rsid w:val="00CE2DA9"/>
    <w:rsid w:val="00CE44BE"/>
    <w:rsid w:val="00D4356B"/>
    <w:rsid w:val="00D7162F"/>
    <w:rsid w:val="00D93B81"/>
    <w:rsid w:val="00E44A86"/>
    <w:rsid w:val="00E522EB"/>
    <w:rsid w:val="00E60827"/>
    <w:rsid w:val="00E73FF6"/>
    <w:rsid w:val="00EA4F88"/>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7A65"/>
    <w:rPr>
      <w:color w:val="808080"/>
    </w:rPr>
  </w:style>
  <w:style w:type="paragraph" w:customStyle="1" w:styleId="0A1DCC42A2974C359888226B925C8FF8">
    <w:name w:val="0A1DCC42A2974C359888226B925C8FF8"/>
    <w:rsid w:val="005E40DD"/>
  </w:style>
  <w:style w:type="paragraph" w:customStyle="1" w:styleId="40AF3785CE504884855318AE1D0A0756">
    <w:name w:val="40AF3785CE504884855318AE1D0A0756"/>
    <w:rsid w:val="00CA5F42"/>
  </w:style>
  <w:style w:type="paragraph" w:customStyle="1" w:styleId="0D17BC286D6B457A87F2F58BD9EA4182">
    <w:name w:val="0D17BC286D6B457A87F2F58BD9EA4182"/>
    <w:rsid w:val="007E7A65"/>
  </w:style>
  <w:style w:type="paragraph" w:customStyle="1" w:styleId="BAF4CAC0C3754BB5AA6AF6A16BA83709">
    <w:name w:val="BAF4CAC0C3754BB5AA6AF6A16BA83709"/>
    <w:rsid w:val="007E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3E5D0-6FB3-4194-A30A-60453234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10991</Words>
  <Characters>6266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2023-07-18T13:34:00Z</dcterms:created>
  <dcterms:modified xsi:type="dcterms:W3CDTF">2023-07-21T15:35:00Z</dcterms:modified>
</cp:coreProperties>
</file>