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Pr="004313C0" w:rsidRDefault="005F7602" w:rsidP="002946C7">
      <w:pPr>
        <w:ind w:left="5529"/>
      </w:pPr>
    </w:p>
    <w:p w14:paraId="12FA4B9E" w14:textId="77777777" w:rsidR="001B3C5B" w:rsidRPr="004313C0" w:rsidRDefault="001B3C5B" w:rsidP="001B3C5B">
      <w:pPr>
        <w:ind w:left="6096"/>
      </w:pPr>
      <w:r w:rsidRPr="004313C0">
        <w:t>Forma patvirtinta</w:t>
      </w:r>
    </w:p>
    <w:p w14:paraId="7206970B" w14:textId="70E9BD2E" w:rsidR="004C263A" w:rsidRPr="004313C0" w:rsidRDefault="001B3C5B" w:rsidP="001B3C5B">
      <w:pPr>
        <w:ind w:left="6096"/>
      </w:pPr>
      <w:r w:rsidRPr="004313C0">
        <w:t>Valstybinės vaistų kontrolės tarnybos prie Lietuvos Respublikos sveikatos apsaugos ministerijos viršininko 2021 m</w:t>
      </w:r>
      <w:r w:rsidR="004C263A" w:rsidRPr="004313C0">
        <w:t xml:space="preserve">. lapkričio 12 </w:t>
      </w:r>
      <w:r w:rsidRPr="004313C0">
        <w:t>d. įsakymu Nr.</w:t>
      </w:r>
      <w:r w:rsidR="004C263A" w:rsidRPr="004313C0">
        <w:t xml:space="preserve"> (1.72E)1A-1418</w:t>
      </w:r>
    </w:p>
    <w:p w14:paraId="5B219AA6" w14:textId="520B9136" w:rsidR="001B3C5B" w:rsidRPr="004313C0" w:rsidRDefault="004C263A" w:rsidP="001B3C5B">
      <w:pPr>
        <w:ind w:left="6096"/>
      </w:pPr>
      <w:r w:rsidRPr="004313C0">
        <w:t>(Valstybinės vaistų kontrolės tarnybos prie Lietuvos Respublikos sveikatos apsaugos ministerijos viršininko 2022 m.                         d. įsakymo Nr.                    redakcija)</w:t>
      </w:r>
    </w:p>
    <w:p w14:paraId="3336BD74" w14:textId="77777777" w:rsidR="001B3C5B" w:rsidRPr="004313C0" w:rsidRDefault="001B3C5B" w:rsidP="00FA4169"/>
    <w:p w14:paraId="77AFB67E" w14:textId="16397257" w:rsidR="00613501" w:rsidRPr="004313C0" w:rsidRDefault="002F0E4F" w:rsidP="003B211A">
      <w:pPr>
        <w:jc w:val="center"/>
        <w:rPr>
          <w:b/>
          <w:bCs/>
          <w:caps/>
        </w:rPr>
      </w:pPr>
      <w:r w:rsidRPr="004313C0">
        <w:rPr>
          <w:b/>
        </w:rPr>
        <w:t xml:space="preserve">REKOMENDACIJA DĖL VAISTINIO PREPARATO </w:t>
      </w:r>
      <w:r w:rsidRPr="004313C0">
        <w:rPr>
          <w:b/>
          <w:bCs/>
          <w:caps/>
        </w:rPr>
        <w:t>Lietuvos Respublikos Sveikatos apsaugos ministerijos vaistinių preparatų ir medicinos pagalbos priemonių kompensavimo komisijai</w:t>
      </w:r>
    </w:p>
    <w:p w14:paraId="34E4395D" w14:textId="15FB10DF" w:rsidR="00B13D65" w:rsidRPr="004313C0" w:rsidRDefault="00B13D65" w:rsidP="003B211A">
      <w:pPr>
        <w:jc w:val="center"/>
        <w:rPr>
          <w:b/>
        </w:rPr>
      </w:pPr>
    </w:p>
    <w:p w14:paraId="02E010A1" w14:textId="5E605C7D" w:rsidR="00D970E4" w:rsidRPr="004313C0" w:rsidRDefault="00D970E4" w:rsidP="00D970E4">
      <w:pPr>
        <w:jc w:val="center"/>
        <w:rPr>
          <w:b/>
        </w:rPr>
      </w:pPr>
      <w:proofErr w:type="spellStart"/>
      <w:r w:rsidRPr="004313C0">
        <w:rPr>
          <w:b/>
        </w:rPr>
        <w:t>Verzenios</w:t>
      </w:r>
      <w:proofErr w:type="spellEnd"/>
      <w:r w:rsidRPr="004313C0">
        <w:rPr>
          <w:b/>
        </w:rPr>
        <w:t xml:space="preserve"> 50 mg, 100 mg, 150 mg plėvele dengtos tabletės</w:t>
      </w:r>
    </w:p>
    <w:p w14:paraId="3B42AD7C" w14:textId="77777777" w:rsidR="004B205D" w:rsidRPr="004313C0" w:rsidRDefault="004B205D" w:rsidP="004B205D">
      <w:pPr>
        <w:spacing w:line="276" w:lineRule="auto"/>
        <w:jc w:val="center"/>
        <w:rPr>
          <w:b/>
        </w:rPr>
      </w:pPr>
    </w:p>
    <w:p w14:paraId="080654B4" w14:textId="7709117D" w:rsidR="004B205D" w:rsidRPr="004313C0" w:rsidRDefault="00D970E4" w:rsidP="004B205D">
      <w:pPr>
        <w:spacing w:line="276" w:lineRule="auto"/>
        <w:jc w:val="center"/>
        <w:rPr>
          <w:b/>
        </w:rPr>
      </w:pPr>
      <w:proofErr w:type="spellStart"/>
      <w:r w:rsidRPr="004313C0">
        <w:rPr>
          <w:b/>
        </w:rPr>
        <w:t>Abemaciclibas</w:t>
      </w:r>
      <w:proofErr w:type="spellEnd"/>
    </w:p>
    <w:p w14:paraId="7245D69E" w14:textId="77777777" w:rsidR="00937907" w:rsidRPr="004313C0" w:rsidRDefault="00937907" w:rsidP="00937907">
      <w:pPr>
        <w:jc w:val="center"/>
      </w:pPr>
    </w:p>
    <w:p w14:paraId="1D98E530" w14:textId="3672D43F" w:rsidR="00943E06" w:rsidRPr="004313C0" w:rsidRDefault="00937907" w:rsidP="00943E06">
      <w:pPr>
        <w:spacing w:line="276" w:lineRule="auto"/>
        <w:jc w:val="center"/>
        <w:rPr>
          <w:b/>
        </w:rPr>
      </w:pPr>
      <w:r w:rsidRPr="004313C0">
        <w:rPr>
          <w:b/>
        </w:rPr>
        <w:t>Paraiškos numeris</w:t>
      </w:r>
      <w:r w:rsidR="00943E06" w:rsidRPr="004313C0">
        <w:rPr>
          <w:b/>
        </w:rPr>
        <w:t xml:space="preserve"> STV</w:t>
      </w:r>
      <w:r w:rsidR="00D970E4" w:rsidRPr="004313C0">
        <w:rPr>
          <w:b/>
        </w:rPr>
        <w:t>76</w:t>
      </w:r>
    </w:p>
    <w:p w14:paraId="5BC2EA5D" w14:textId="45A77B4A" w:rsidR="00937907" w:rsidRPr="004313C0" w:rsidRDefault="00937907" w:rsidP="003B211A">
      <w:pPr>
        <w:jc w:val="center"/>
        <w:rPr>
          <w:b/>
        </w:rPr>
      </w:pPr>
    </w:p>
    <w:p w14:paraId="453197C8" w14:textId="77777777" w:rsidR="00D4708D" w:rsidRPr="004313C0" w:rsidRDefault="00D4708D" w:rsidP="003B211A">
      <w:pPr>
        <w:jc w:val="center"/>
        <w:rPr>
          <w:b/>
        </w:rPr>
      </w:pPr>
    </w:p>
    <w:p w14:paraId="78C89D1C" w14:textId="0DEFFAA5" w:rsidR="00D4485B" w:rsidRPr="004313C0" w:rsidRDefault="00B13D65" w:rsidP="00CC09D4">
      <w:pPr>
        <w:pStyle w:val="Sraopastraipa"/>
        <w:numPr>
          <w:ilvl w:val="0"/>
          <w:numId w:val="12"/>
        </w:numPr>
        <w:tabs>
          <w:tab w:val="left" w:pos="567"/>
        </w:tabs>
        <w:ind w:left="567" w:hanging="567"/>
        <w:rPr>
          <w:b/>
          <w:bCs/>
          <w:caps/>
        </w:rPr>
      </w:pPr>
      <w:r w:rsidRPr="004313C0">
        <w:rPr>
          <w:b/>
          <w:bCs/>
          <w:caps/>
        </w:rPr>
        <w:t>Bendroji dalis</w:t>
      </w:r>
    </w:p>
    <w:p w14:paraId="04A7C7A7" w14:textId="77777777" w:rsidR="00B13D65" w:rsidRPr="004313C0"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B13D65" w:rsidRPr="004313C0" w14:paraId="18A83EC2" w14:textId="77777777" w:rsidTr="00BE7489">
        <w:trPr>
          <w:trHeight w:val="538"/>
        </w:trPr>
        <w:tc>
          <w:tcPr>
            <w:tcW w:w="632" w:type="dxa"/>
          </w:tcPr>
          <w:p w14:paraId="0646FBEA" w14:textId="77777777" w:rsidR="00B13D65" w:rsidRPr="004313C0" w:rsidRDefault="00B13D65" w:rsidP="00824B92">
            <w:pPr>
              <w:rPr>
                <w:rFonts w:eastAsia="Arial"/>
              </w:rPr>
            </w:pPr>
            <w:r w:rsidRPr="004313C0">
              <w:rPr>
                <w:rFonts w:eastAsia="Arial"/>
              </w:rPr>
              <w:t>1.1</w:t>
            </w:r>
          </w:p>
        </w:tc>
        <w:tc>
          <w:tcPr>
            <w:tcW w:w="3694" w:type="dxa"/>
          </w:tcPr>
          <w:p w14:paraId="6C3AE864" w14:textId="77777777" w:rsidR="00B13D65" w:rsidRPr="004313C0" w:rsidRDefault="00B13D65" w:rsidP="00824B92">
            <w:pPr>
              <w:rPr>
                <w:rFonts w:eastAsia="Arial"/>
              </w:rPr>
            </w:pPr>
            <w:r w:rsidRPr="004313C0">
              <w:rPr>
                <w:rFonts w:eastAsia="Arial"/>
              </w:rPr>
              <w:t>Pareiškėjas</w:t>
            </w:r>
          </w:p>
          <w:p w14:paraId="2AF240DC" w14:textId="77777777" w:rsidR="00B13D65" w:rsidRPr="004313C0" w:rsidRDefault="00B13D65" w:rsidP="00824B92">
            <w:pPr>
              <w:rPr>
                <w:rFonts w:eastAsia="Arial"/>
              </w:rPr>
            </w:pPr>
          </w:p>
        </w:tc>
        <w:tc>
          <w:tcPr>
            <w:tcW w:w="5167" w:type="dxa"/>
          </w:tcPr>
          <w:p w14:paraId="2AAF0D91" w14:textId="4EB17C4B" w:rsidR="00B13D65" w:rsidRPr="004313C0" w:rsidRDefault="00D970E4" w:rsidP="00824B92">
            <w:pPr>
              <w:rPr>
                <w:rFonts w:eastAsia="Arial"/>
              </w:rPr>
            </w:pPr>
            <w:r w:rsidRPr="004313C0">
              <w:rPr>
                <w:rFonts w:eastAsia="Arial"/>
              </w:rPr>
              <w:t xml:space="preserve">UAB </w:t>
            </w:r>
            <w:proofErr w:type="spellStart"/>
            <w:r w:rsidRPr="004313C0">
              <w:rPr>
                <w:rFonts w:eastAsia="Arial"/>
              </w:rPr>
              <w:t>Eli</w:t>
            </w:r>
            <w:proofErr w:type="spellEnd"/>
            <w:r w:rsidRPr="004313C0">
              <w:rPr>
                <w:rFonts w:eastAsia="Arial"/>
              </w:rPr>
              <w:t xml:space="preserve"> </w:t>
            </w:r>
            <w:proofErr w:type="spellStart"/>
            <w:r w:rsidRPr="004313C0">
              <w:rPr>
                <w:rFonts w:eastAsia="Arial"/>
              </w:rPr>
              <w:t>Lilly</w:t>
            </w:r>
            <w:proofErr w:type="spellEnd"/>
            <w:r w:rsidRPr="004313C0">
              <w:rPr>
                <w:rFonts w:eastAsia="Arial"/>
              </w:rPr>
              <w:t xml:space="preserve"> Lietuva</w:t>
            </w:r>
          </w:p>
        </w:tc>
      </w:tr>
      <w:tr w:rsidR="00B13D65" w:rsidRPr="004313C0" w14:paraId="31998B0D" w14:textId="77777777" w:rsidTr="00BE7489">
        <w:trPr>
          <w:trHeight w:val="538"/>
        </w:trPr>
        <w:tc>
          <w:tcPr>
            <w:tcW w:w="632" w:type="dxa"/>
          </w:tcPr>
          <w:p w14:paraId="2005EC67" w14:textId="662300D0" w:rsidR="00B13D65" w:rsidRPr="004313C0" w:rsidRDefault="002E0702" w:rsidP="00824B92">
            <w:pPr>
              <w:rPr>
                <w:rFonts w:eastAsia="Arial"/>
              </w:rPr>
            </w:pPr>
            <w:r w:rsidRPr="004313C0">
              <w:rPr>
                <w:rFonts w:eastAsia="Arial"/>
              </w:rPr>
              <w:t>1.2</w:t>
            </w:r>
          </w:p>
        </w:tc>
        <w:tc>
          <w:tcPr>
            <w:tcW w:w="3694" w:type="dxa"/>
          </w:tcPr>
          <w:p w14:paraId="1E4AE3B1" w14:textId="77777777" w:rsidR="00B13D65" w:rsidRPr="004313C0" w:rsidRDefault="00B13D65" w:rsidP="00824B92">
            <w:pPr>
              <w:rPr>
                <w:bCs/>
                <w:color w:val="000000"/>
                <w:lang w:eastAsia="lt-LT"/>
              </w:rPr>
            </w:pPr>
            <w:r w:rsidRPr="004313C0">
              <w:rPr>
                <w:bCs/>
                <w:color w:val="000000"/>
                <w:lang w:eastAsia="lt-LT"/>
              </w:rPr>
              <w:t xml:space="preserve">Registracijos data </w:t>
            </w:r>
          </w:p>
          <w:p w14:paraId="3A0DC096" w14:textId="77777777" w:rsidR="00B13D65" w:rsidRPr="004313C0" w:rsidRDefault="00B13D65" w:rsidP="00824B92">
            <w:pPr>
              <w:rPr>
                <w:bCs/>
                <w:color w:val="000000"/>
                <w:lang w:eastAsia="lt-LT"/>
              </w:rPr>
            </w:pPr>
          </w:p>
        </w:tc>
        <w:tc>
          <w:tcPr>
            <w:tcW w:w="5167" w:type="dxa"/>
          </w:tcPr>
          <w:p w14:paraId="3CA218AD" w14:textId="7ED5A30A" w:rsidR="00B13D65" w:rsidRPr="004313C0" w:rsidRDefault="00000000" w:rsidP="00824B92">
            <w:pPr>
              <w:rPr>
                <w:rStyle w:val="Style2"/>
              </w:rPr>
            </w:pPr>
            <w:sdt>
              <w:sdtPr>
                <w:rPr>
                  <w:sz w:val="32"/>
                </w:rPr>
                <w:alias w:val="Nurodykite konkrečią dieną"/>
                <w:tag w:val="Nurodykite pradžios datą"/>
                <w:id w:val="423238108"/>
                <w:placeholder>
                  <w:docPart w:val="0A1DCC42A2974C359888226B925C8FF8"/>
                </w:placeholder>
                <w15:color w:val="FFCC99"/>
                <w:date w:fullDate="2018-09-28T00:00:00Z">
                  <w:dateFormat w:val="yyyy 'm.' MMMM d 'd.'"/>
                  <w:lid w:val="lt-LT"/>
                  <w:storeMappedDataAs w:val="dateTime"/>
                  <w:calendar w:val="gregorian"/>
                </w:date>
              </w:sdtPr>
              <w:sdtEndPr>
                <w:rPr>
                  <w:sz w:val="24"/>
                </w:rPr>
              </w:sdtEndPr>
              <w:sdtContent>
                <w:r w:rsidR="00D970E4" w:rsidRPr="004313C0">
                  <w:t>2018 m. rugsėjo 28 d.</w:t>
                </w:r>
              </w:sdtContent>
            </w:sdt>
          </w:p>
        </w:tc>
      </w:tr>
      <w:tr w:rsidR="00B13D65" w:rsidRPr="004313C0" w14:paraId="15968AE1" w14:textId="77777777" w:rsidTr="00BE7489">
        <w:trPr>
          <w:trHeight w:val="1500"/>
        </w:trPr>
        <w:tc>
          <w:tcPr>
            <w:tcW w:w="632" w:type="dxa"/>
          </w:tcPr>
          <w:p w14:paraId="6A784245" w14:textId="1E461489" w:rsidR="00B13D65" w:rsidRPr="004313C0" w:rsidRDefault="002E0702" w:rsidP="00824B92">
            <w:pPr>
              <w:rPr>
                <w:rFonts w:eastAsia="Arial"/>
              </w:rPr>
            </w:pPr>
            <w:r w:rsidRPr="004313C0">
              <w:rPr>
                <w:rFonts w:eastAsia="Arial"/>
              </w:rPr>
              <w:t>1.3</w:t>
            </w:r>
          </w:p>
        </w:tc>
        <w:tc>
          <w:tcPr>
            <w:tcW w:w="3694" w:type="dxa"/>
          </w:tcPr>
          <w:p w14:paraId="22933506" w14:textId="77777777" w:rsidR="00B13D65" w:rsidRPr="004313C0" w:rsidRDefault="00B13D65" w:rsidP="00824B92">
            <w:r w:rsidRPr="004313C0">
              <w:t xml:space="preserve">Paraiškos tipas </w:t>
            </w:r>
          </w:p>
          <w:p w14:paraId="0465E680" w14:textId="7F0A0714" w:rsidR="00B13D65" w:rsidRPr="004313C0" w:rsidRDefault="00B13D65" w:rsidP="00824B92">
            <w:r w:rsidRPr="004313C0">
              <w:t>(</w:t>
            </w:r>
            <w:r w:rsidR="00695CD3" w:rsidRPr="004313C0">
              <w:t xml:space="preserve">pagal </w:t>
            </w:r>
            <w:r w:rsidR="0039696E" w:rsidRPr="004313C0">
              <w:rPr>
                <w:color w:val="333333"/>
                <w:shd w:val="clear" w:color="auto" w:fill="FFFFFF"/>
              </w:rPr>
              <w:t>vaistinio preparato registracijos tipą, įtvirtintą</w:t>
            </w:r>
            <w:r w:rsidR="0039696E" w:rsidRPr="004313C0">
              <w:t xml:space="preserve"> </w:t>
            </w:r>
            <w:r w:rsidRPr="004313C0">
              <w:t>Direktyv</w:t>
            </w:r>
            <w:r w:rsidR="00695CD3" w:rsidRPr="004313C0">
              <w:t>os</w:t>
            </w:r>
            <w:r w:rsidRPr="004313C0">
              <w:t xml:space="preserve"> 2001/83/EB</w:t>
            </w:r>
            <w:r w:rsidR="00695CD3" w:rsidRPr="004313C0">
              <w:t xml:space="preserve"> </w:t>
            </w:r>
            <w:proofErr w:type="spellStart"/>
            <w:r w:rsidR="00695CD3" w:rsidRPr="004313C0">
              <w:t>straips</w:t>
            </w:r>
            <w:r w:rsidR="0039696E" w:rsidRPr="004313C0">
              <w:t>iuose</w:t>
            </w:r>
            <w:proofErr w:type="spellEnd"/>
            <w:r w:rsidRPr="004313C0">
              <w:t>)</w:t>
            </w:r>
          </w:p>
          <w:p w14:paraId="77089D80" w14:textId="6681D72A" w:rsidR="00B13D65" w:rsidRPr="004313C0" w:rsidRDefault="00B13D65" w:rsidP="00824B92">
            <w:pPr>
              <w:rPr>
                <w:bCs/>
                <w:color w:val="000000"/>
                <w:lang w:eastAsia="lt-LT"/>
              </w:rPr>
            </w:pPr>
          </w:p>
        </w:tc>
        <w:tc>
          <w:tcPr>
            <w:tcW w:w="5167" w:type="dxa"/>
          </w:tcPr>
          <w:p w14:paraId="208F40EC" w14:textId="2F4EA9C5" w:rsidR="00B13D65" w:rsidRPr="004313C0" w:rsidRDefault="00000000"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3D1877" w:rsidRPr="004313C0">
                  <w:rPr>
                    <w:rStyle w:val="Style2"/>
                    <w:rFonts w:ascii="MS Gothic" w:eastAsia="MS Gothic" w:hAnsi="MS Gothic"/>
                    <w:sz w:val="22"/>
                    <w:szCs w:val="22"/>
                  </w:rPr>
                  <w:t>☒</w:t>
                </w:r>
              </w:sdtContent>
            </w:sdt>
            <w:r w:rsidR="00B13D65" w:rsidRPr="004313C0">
              <w:rPr>
                <w:sz w:val="22"/>
                <w:szCs w:val="22"/>
              </w:rPr>
              <w:t xml:space="preserve">8.3 str. (pilna byla, pagrįsta savais tyrimais) </w:t>
            </w:r>
          </w:p>
          <w:p w14:paraId="32BA564E" w14:textId="3FDA3E01" w:rsidR="00B13D65" w:rsidRPr="004313C0" w:rsidRDefault="00000000"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CC7832" w:rsidRPr="004313C0">
                  <w:rPr>
                    <w:rStyle w:val="Style2"/>
                    <w:rFonts w:ascii="Segoe UI Symbol" w:eastAsia="MS Gothic" w:hAnsi="Segoe UI Symbol" w:cs="Segoe UI Symbol"/>
                    <w:sz w:val="22"/>
                    <w:szCs w:val="22"/>
                  </w:rPr>
                  <w:t>☐</w:t>
                </w:r>
              </w:sdtContent>
            </w:sdt>
            <w:r w:rsidR="00B13D65" w:rsidRPr="004313C0">
              <w:rPr>
                <w:sz w:val="22"/>
                <w:szCs w:val="22"/>
              </w:rPr>
              <w:t xml:space="preserve">10 a str. (pripažintas medicininis vartojimas) </w:t>
            </w:r>
          </w:p>
          <w:p w14:paraId="318DCD7F" w14:textId="32333E53" w:rsidR="00B13D65" w:rsidRPr="004313C0" w:rsidRDefault="00000000"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CC7832" w:rsidRPr="004313C0">
                  <w:rPr>
                    <w:rStyle w:val="Style2"/>
                    <w:rFonts w:ascii="Segoe UI Symbol" w:eastAsia="MS Gothic" w:hAnsi="Segoe UI Symbol" w:cs="Segoe UI Symbol"/>
                    <w:sz w:val="22"/>
                    <w:szCs w:val="22"/>
                  </w:rPr>
                  <w:t>☐</w:t>
                </w:r>
              </w:sdtContent>
            </w:sdt>
            <w:r w:rsidR="00B13D65" w:rsidRPr="004313C0">
              <w:rPr>
                <w:sz w:val="22"/>
                <w:szCs w:val="22"/>
              </w:rPr>
              <w:t>10.1 str. (</w:t>
            </w:r>
            <w:proofErr w:type="spellStart"/>
            <w:r w:rsidR="00B13D65" w:rsidRPr="004313C0">
              <w:rPr>
                <w:sz w:val="22"/>
                <w:szCs w:val="22"/>
              </w:rPr>
              <w:t>generinis</w:t>
            </w:r>
            <w:proofErr w:type="spellEnd"/>
            <w:r w:rsidR="00B13D65" w:rsidRPr="004313C0">
              <w:rPr>
                <w:sz w:val="22"/>
                <w:szCs w:val="22"/>
              </w:rPr>
              <w:t>)</w:t>
            </w:r>
          </w:p>
          <w:p w14:paraId="3B0A4F72" w14:textId="3F5FB073" w:rsidR="00B13D65" w:rsidRPr="004313C0" w:rsidRDefault="00000000"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CC7832" w:rsidRPr="004313C0">
                  <w:rPr>
                    <w:rStyle w:val="Style2"/>
                    <w:rFonts w:ascii="Segoe UI Symbol" w:eastAsia="MS Gothic" w:hAnsi="Segoe UI Symbol" w:cs="Segoe UI Symbol"/>
                    <w:sz w:val="22"/>
                    <w:szCs w:val="22"/>
                  </w:rPr>
                  <w:t>☐</w:t>
                </w:r>
              </w:sdtContent>
            </w:sdt>
            <w:r w:rsidR="00B13D65" w:rsidRPr="004313C0">
              <w:rPr>
                <w:sz w:val="22"/>
                <w:szCs w:val="22"/>
              </w:rPr>
              <w:t>10.3 str. (hibridinis)</w:t>
            </w:r>
          </w:p>
        </w:tc>
      </w:tr>
      <w:tr w:rsidR="00B13D65" w:rsidRPr="004313C0" w14:paraId="310E9662" w14:textId="77777777" w:rsidTr="00BE7489">
        <w:trPr>
          <w:trHeight w:val="1442"/>
        </w:trPr>
        <w:tc>
          <w:tcPr>
            <w:tcW w:w="632" w:type="dxa"/>
          </w:tcPr>
          <w:p w14:paraId="4B5A91A2" w14:textId="561B5E5F" w:rsidR="00B13D65" w:rsidRPr="004313C0" w:rsidRDefault="00B13D65" w:rsidP="00824B92">
            <w:pPr>
              <w:rPr>
                <w:rFonts w:eastAsia="Arial"/>
              </w:rPr>
            </w:pPr>
            <w:r w:rsidRPr="004313C0">
              <w:rPr>
                <w:rFonts w:eastAsia="Arial"/>
              </w:rPr>
              <w:t>1.</w:t>
            </w:r>
            <w:r w:rsidR="002E0702" w:rsidRPr="004313C0">
              <w:rPr>
                <w:rFonts w:eastAsia="Arial"/>
              </w:rPr>
              <w:t>4</w:t>
            </w:r>
          </w:p>
        </w:tc>
        <w:tc>
          <w:tcPr>
            <w:tcW w:w="3694" w:type="dxa"/>
          </w:tcPr>
          <w:p w14:paraId="6C91E105" w14:textId="77777777" w:rsidR="00B13D65" w:rsidRPr="004313C0" w:rsidRDefault="00B13D65" w:rsidP="00824B92">
            <w:pPr>
              <w:rPr>
                <w:bCs/>
                <w:color w:val="000000"/>
                <w:lang w:eastAsia="lt-LT"/>
              </w:rPr>
            </w:pPr>
            <w:r w:rsidRPr="004313C0">
              <w:rPr>
                <w:bCs/>
                <w:color w:val="000000"/>
                <w:lang w:eastAsia="lt-LT"/>
              </w:rPr>
              <w:t xml:space="preserve">Ar vaistinis preparatas įrašytas į Bendrijos retųjų vaistinių preparatų registrą? </w:t>
            </w:r>
          </w:p>
          <w:p w14:paraId="483071A3" w14:textId="2FEB27F0" w:rsidR="00B13D65" w:rsidRPr="004313C0" w:rsidRDefault="00B13D65" w:rsidP="00824B92">
            <w:pPr>
              <w:rPr>
                <w:bCs/>
                <w:color w:val="000000"/>
                <w:lang w:eastAsia="lt-LT"/>
              </w:rPr>
            </w:pPr>
          </w:p>
        </w:tc>
        <w:tc>
          <w:tcPr>
            <w:tcW w:w="5167" w:type="dxa"/>
          </w:tcPr>
          <w:p w14:paraId="05845C60" w14:textId="10CF4033" w:rsidR="00B13D65" w:rsidRPr="004313C0"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D417D2" w:rsidRPr="004313C0">
                  <w:rPr>
                    <w:rStyle w:val="Style2"/>
                    <w:rFonts w:ascii="MS Gothic" w:eastAsia="MS Gothic" w:hAnsi="MS Gothic"/>
                    <w:sz w:val="24"/>
                  </w:rPr>
                  <w:t>☐</w:t>
                </w:r>
              </w:sdtContent>
            </w:sdt>
            <w:r w:rsidR="00B13D65" w:rsidRPr="004313C0">
              <w:t xml:space="preserve"> Taip</w:t>
            </w:r>
          </w:p>
          <w:p w14:paraId="41D88067" w14:textId="50A2D786" w:rsidR="00B13D65" w:rsidRPr="004313C0"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3D1877" w:rsidRPr="004313C0">
                  <w:rPr>
                    <w:rStyle w:val="Style2"/>
                    <w:rFonts w:ascii="MS Gothic" w:eastAsia="MS Gothic" w:hAnsi="MS Gothic"/>
                    <w:sz w:val="24"/>
                  </w:rPr>
                  <w:t>☒</w:t>
                </w:r>
              </w:sdtContent>
            </w:sdt>
            <w:r w:rsidR="00B13D65" w:rsidRPr="004313C0">
              <w:t xml:space="preserve"> Ne</w:t>
            </w:r>
          </w:p>
          <w:p w14:paraId="29C2CBBB" w14:textId="77777777" w:rsidR="00B13D65" w:rsidRPr="004313C0" w:rsidRDefault="00000000"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Content>
                <w:r w:rsidR="00B13D65" w:rsidRPr="004313C0">
                  <w:rPr>
                    <w:rStyle w:val="Vietosrezervavimoenklotekstas"/>
                  </w:rPr>
                  <w:t>Click here to enter a date.</w:t>
                </w:r>
              </w:sdtContent>
            </w:sdt>
          </w:p>
        </w:tc>
      </w:tr>
      <w:tr w:rsidR="00D417D2" w:rsidRPr="004313C0" w14:paraId="7841E5F8" w14:textId="77777777" w:rsidTr="00BE7489">
        <w:trPr>
          <w:trHeight w:val="476"/>
        </w:trPr>
        <w:tc>
          <w:tcPr>
            <w:tcW w:w="632" w:type="dxa"/>
          </w:tcPr>
          <w:p w14:paraId="109D2861" w14:textId="73BF27DF" w:rsidR="00D417D2" w:rsidRPr="004313C0" w:rsidRDefault="00D417D2" w:rsidP="00824B92">
            <w:pPr>
              <w:rPr>
                <w:rFonts w:eastAsia="Arial"/>
              </w:rPr>
            </w:pPr>
            <w:r w:rsidRPr="004313C0">
              <w:rPr>
                <w:rFonts w:eastAsia="Arial"/>
              </w:rPr>
              <w:t>1.5</w:t>
            </w:r>
          </w:p>
        </w:tc>
        <w:tc>
          <w:tcPr>
            <w:tcW w:w="3694" w:type="dxa"/>
          </w:tcPr>
          <w:p w14:paraId="7822D63E" w14:textId="68C38334" w:rsidR="00D417D2" w:rsidRPr="004313C0" w:rsidRDefault="00D417D2" w:rsidP="00824B92">
            <w:pPr>
              <w:rPr>
                <w:bCs/>
                <w:color w:val="000000"/>
                <w:lang w:eastAsia="lt-LT"/>
              </w:rPr>
            </w:pPr>
            <w:r w:rsidRPr="004313C0">
              <w:t>STV paraiškos pobūdis</w:t>
            </w:r>
          </w:p>
        </w:tc>
        <w:tc>
          <w:tcPr>
            <w:tcW w:w="5167" w:type="dxa"/>
          </w:tcPr>
          <w:p w14:paraId="403461B9" w14:textId="68A37216" w:rsidR="00D417D2" w:rsidRPr="004313C0"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3D1877" w:rsidRPr="004313C0">
                  <w:rPr>
                    <w:rStyle w:val="Style2"/>
                    <w:rFonts w:ascii="MS Gothic" w:eastAsia="MS Gothic" w:hAnsi="MS Gothic"/>
                    <w:sz w:val="24"/>
                  </w:rPr>
                  <w:t>☒</w:t>
                </w:r>
              </w:sdtContent>
            </w:sdt>
            <w:r w:rsidR="00D417D2" w:rsidRPr="004313C0">
              <w:t xml:space="preserve"> Pilna paraiška</w:t>
            </w:r>
          </w:p>
          <w:p w14:paraId="6B8213E3" w14:textId="3495CDF4" w:rsidR="00D417D2" w:rsidRPr="004313C0"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4313C0">
                  <w:rPr>
                    <w:rStyle w:val="Style2"/>
                    <w:rFonts w:ascii="MS Gothic" w:eastAsia="MS Gothic" w:hAnsi="MS Gothic"/>
                    <w:sz w:val="24"/>
                  </w:rPr>
                  <w:t>☐</w:t>
                </w:r>
              </w:sdtContent>
            </w:sdt>
            <w:r w:rsidR="00D417D2" w:rsidRPr="004313C0">
              <w:t xml:space="preserve"> Supaprastinta paraiška</w:t>
            </w:r>
          </w:p>
        </w:tc>
      </w:tr>
      <w:tr w:rsidR="00B13D65" w:rsidRPr="004313C0" w14:paraId="274D1DAF" w14:textId="77777777" w:rsidTr="00BE7489">
        <w:trPr>
          <w:trHeight w:val="1922"/>
        </w:trPr>
        <w:tc>
          <w:tcPr>
            <w:tcW w:w="632" w:type="dxa"/>
          </w:tcPr>
          <w:p w14:paraId="17ABF217" w14:textId="14AC00D7" w:rsidR="00B13D65" w:rsidRPr="004313C0" w:rsidRDefault="00B13D65" w:rsidP="00824B92">
            <w:pPr>
              <w:rPr>
                <w:rFonts w:eastAsia="Arial"/>
              </w:rPr>
            </w:pPr>
            <w:r w:rsidRPr="004313C0">
              <w:rPr>
                <w:rFonts w:eastAsia="Arial"/>
              </w:rPr>
              <w:t>1.</w:t>
            </w:r>
            <w:r w:rsidR="00D417D2" w:rsidRPr="004313C0">
              <w:rPr>
                <w:rFonts w:eastAsia="Arial"/>
              </w:rPr>
              <w:t>6</w:t>
            </w:r>
          </w:p>
        </w:tc>
        <w:tc>
          <w:tcPr>
            <w:tcW w:w="3694" w:type="dxa"/>
          </w:tcPr>
          <w:p w14:paraId="4D49DBF5" w14:textId="77777777" w:rsidR="007656B2" w:rsidRPr="004313C0" w:rsidRDefault="00DE4484" w:rsidP="00824B92">
            <w:pPr>
              <w:rPr>
                <w:bCs/>
                <w:color w:val="000000"/>
                <w:lang w:eastAsia="lt-LT"/>
              </w:rPr>
            </w:pPr>
            <w:r w:rsidRPr="004313C0">
              <w:rPr>
                <w:bCs/>
                <w:color w:val="000000"/>
                <w:lang w:eastAsia="lt-LT"/>
              </w:rPr>
              <w:t>Par</w:t>
            </w:r>
            <w:r w:rsidR="007656B2" w:rsidRPr="004313C0">
              <w:rPr>
                <w:bCs/>
                <w:color w:val="000000"/>
                <w:lang w:eastAsia="lt-LT"/>
              </w:rPr>
              <w:t>eiškėjo t</w:t>
            </w:r>
            <w:r w:rsidR="00B13D65" w:rsidRPr="004313C0">
              <w:rPr>
                <w:bCs/>
                <w:color w:val="000000"/>
                <w:lang w:eastAsia="lt-LT"/>
              </w:rPr>
              <w:t>eikiama (-</w:t>
            </w:r>
            <w:proofErr w:type="spellStart"/>
            <w:r w:rsidR="00B13D65" w:rsidRPr="004313C0">
              <w:rPr>
                <w:bCs/>
                <w:color w:val="000000"/>
                <w:lang w:eastAsia="lt-LT"/>
              </w:rPr>
              <w:t>os</w:t>
            </w:r>
            <w:proofErr w:type="spellEnd"/>
            <w:r w:rsidR="00B13D65" w:rsidRPr="004313C0">
              <w:rPr>
                <w:bCs/>
                <w:color w:val="000000"/>
                <w:lang w:eastAsia="lt-LT"/>
              </w:rPr>
              <w:t>) kompensuoti vaistinio preparato indikacija (-</w:t>
            </w:r>
            <w:proofErr w:type="spellStart"/>
            <w:r w:rsidR="00B13D65" w:rsidRPr="004313C0">
              <w:rPr>
                <w:bCs/>
                <w:color w:val="000000"/>
                <w:lang w:eastAsia="lt-LT"/>
              </w:rPr>
              <w:t>os</w:t>
            </w:r>
            <w:proofErr w:type="spellEnd"/>
            <w:r w:rsidR="00B13D65" w:rsidRPr="004313C0">
              <w:rPr>
                <w:bCs/>
                <w:color w:val="000000"/>
                <w:lang w:eastAsia="lt-LT"/>
              </w:rPr>
              <w:t>)</w:t>
            </w:r>
          </w:p>
          <w:p w14:paraId="3FB07EE5" w14:textId="39AB446B" w:rsidR="00AE1322" w:rsidRPr="004313C0" w:rsidRDefault="00AE1322" w:rsidP="00824B92">
            <w:pPr>
              <w:rPr>
                <w:bCs/>
                <w:color w:val="000000"/>
                <w:lang w:eastAsia="lt-LT"/>
              </w:rPr>
            </w:pPr>
          </w:p>
          <w:p w14:paraId="7A6C9F2C" w14:textId="6725AEFB" w:rsidR="00D970E4" w:rsidRPr="004313C0" w:rsidRDefault="00D970E4" w:rsidP="00824B92">
            <w:pPr>
              <w:rPr>
                <w:bCs/>
                <w:color w:val="000000"/>
                <w:lang w:eastAsia="lt-LT"/>
              </w:rPr>
            </w:pPr>
          </w:p>
          <w:p w14:paraId="2BB6BD0F" w14:textId="16E59951" w:rsidR="00D970E4" w:rsidRPr="004313C0" w:rsidRDefault="00D970E4" w:rsidP="00824B92">
            <w:pPr>
              <w:rPr>
                <w:bCs/>
                <w:color w:val="000000"/>
                <w:lang w:eastAsia="lt-LT"/>
              </w:rPr>
            </w:pPr>
          </w:p>
          <w:p w14:paraId="01377C9D" w14:textId="7EBC2898" w:rsidR="00D970E4" w:rsidRPr="004313C0" w:rsidRDefault="00D970E4" w:rsidP="00824B92">
            <w:pPr>
              <w:rPr>
                <w:bCs/>
                <w:color w:val="000000"/>
                <w:lang w:eastAsia="lt-LT"/>
              </w:rPr>
            </w:pPr>
          </w:p>
          <w:p w14:paraId="136E50EC" w14:textId="09E9D927" w:rsidR="00D970E4" w:rsidRPr="004313C0" w:rsidRDefault="00D970E4" w:rsidP="00824B92">
            <w:pPr>
              <w:rPr>
                <w:bCs/>
                <w:color w:val="000000"/>
                <w:lang w:eastAsia="lt-LT"/>
              </w:rPr>
            </w:pPr>
          </w:p>
          <w:p w14:paraId="6B3C527B" w14:textId="202D84A5" w:rsidR="00D970E4" w:rsidRPr="004313C0" w:rsidRDefault="00D970E4" w:rsidP="00824B92">
            <w:pPr>
              <w:rPr>
                <w:bCs/>
                <w:color w:val="000000"/>
                <w:lang w:eastAsia="lt-LT"/>
              </w:rPr>
            </w:pPr>
          </w:p>
          <w:p w14:paraId="0D46828A" w14:textId="39583DB6" w:rsidR="00D970E4" w:rsidRPr="004313C0" w:rsidRDefault="00D970E4" w:rsidP="00824B92">
            <w:pPr>
              <w:rPr>
                <w:bCs/>
                <w:color w:val="000000"/>
                <w:lang w:eastAsia="lt-LT"/>
              </w:rPr>
            </w:pPr>
          </w:p>
          <w:p w14:paraId="09443FF8" w14:textId="4D0006A9" w:rsidR="00D970E4" w:rsidRPr="004313C0" w:rsidRDefault="00D970E4" w:rsidP="00824B92">
            <w:pPr>
              <w:rPr>
                <w:bCs/>
                <w:color w:val="000000"/>
                <w:lang w:eastAsia="lt-LT"/>
              </w:rPr>
            </w:pPr>
          </w:p>
          <w:p w14:paraId="150C5C6F" w14:textId="77777777" w:rsidR="00D970E4" w:rsidRPr="004313C0" w:rsidRDefault="00D970E4" w:rsidP="00824B92">
            <w:pPr>
              <w:rPr>
                <w:bCs/>
                <w:color w:val="000000"/>
                <w:lang w:eastAsia="lt-LT"/>
              </w:rPr>
            </w:pPr>
          </w:p>
          <w:p w14:paraId="3A6B054C" w14:textId="77777777" w:rsidR="00AE1322" w:rsidRPr="004313C0" w:rsidRDefault="00AE1322" w:rsidP="00824B92">
            <w:pPr>
              <w:rPr>
                <w:bCs/>
                <w:color w:val="000000"/>
                <w:lang w:eastAsia="lt-LT"/>
              </w:rPr>
            </w:pPr>
          </w:p>
          <w:p w14:paraId="6B4FEEC1" w14:textId="378668B0" w:rsidR="00B13D65" w:rsidRPr="004313C0" w:rsidRDefault="007656B2" w:rsidP="00824B92">
            <w:pPr>
              <w:rPr>
                <w:bCs/>
                <w:color w:val="000000"/>
                <w:lang w:eastAsia="lt-LT"/>
              </w:rPr>
            </w:pPr>
            <w:r w:rsidRPr="004313C0">
              <w:rPr>
                <w:bCs/>
                <w:color w:val="000000"/>
                <w:lang w:eastAsia="lt-LT"/>
              </w:rPr>
              <w:t>K</w:t>
            </w:r>
            <w:r w:rsidR="00B13D65" w:rsidRPr="004313C0">
              <w:rPr>
                <w:bCs/>
                <w:color w:val="000000"/>
                <w:lang w:eastAsia="lt-LT"/>
              </w:rPr>
              <w:t>odas</w:t>
            </w:r>
            <w:r w:rsidRPr="004313C0">
              <w:rPr>
                <w:bCs/>
                <w:color w:val="000000"/>
                <w:lang w:eastAsia="lt-LT"/>
              </w:rPr>
              <w:t xml:space="preserve"> pagal TLK-10 AM</w:t>
            </w:r>
          </w:p>
        </w:tc>
        <w:tc>
          <w:tcPr>
            <w:tcW w:w="5167" w:type="dxa"/>
          </w:tcPr>
          <w:p w14:paraId="1BD57256" w14:textId="15E2A5CC" w:rsidR="00D970E4" w:rsidRPr="004313C0" w:rsidRDefault="00D970E4" w:rsidP="00D970E4">
            <w:pPr>
              <w:pStyle w:val="Sraopastraipa"/>
              <w:spacing w:after="120" w:line="276" w:lineRule="auto"/>
              <w:ind w:left="0"/>
              <w:contextualSpacing w:val="0"/>
              <w:jc w:val="both"/>
            </w:pPr>
            <w:proofErr w:type="spellStart"/>
            <w:r w:rsidRPr="004313C0">
              <w:lastRenderedPageBreak/>
              <w:t>Premenopauzinio</w:t>
            </w:r>
            <w:proofErr w:type="spellEnd"/>
            <w:r w:rsidRPr="004313C0">
              <w:t xml:space="preserve"> arba </w:t>
            </w:r>
            <w:proofErr w:type="spellStart"/>
            <w:r w:rsidRPr="004313C0">
              <w:t>perimenopauzinio</w:t>
            </w:r>
            <w:proofErr w:type="spellEnd"/>
            <w:r w:rsidRPr="004313C0">
              <w:t xml:space="preserve"> laikotarpio moterų lokaliai progresavusiam ar </w:t>
            </w:r>
            <w:proofErr w:type="spellStart"/>
            <w:r w:rsidRPr="004313C0">
              <w:t>metastazavusiam</w:t>
            </w:r>
            <w:proofErr w:type="spellEnd"/>
            <w:r w:rsidRPr="004313C0">
              <w:t xml:space="preserve"> krūties vėžiui, kai nustatoma hormonų receptorių ir nenustatoma žmogaus epidermio augimo faktoriaus receptoriaus 2 rodmens, gydyti derinant su </w:t>
            </w:r>
            <w:proofErr w:type="spellStart"/>
            <w:r w:rsidRPr="004313C0">
              <w:t>aromatazės</w:t>
            </w:r>
            <w:proofErr w:type="spellEnd"/>
            <w:r w:rsidRPr="004313C0">
              <w:t xml:space="preserve"> inhibitoriumi kaip pradinė endokrininė terapija. </w:t>
            </w:r>
            <w:r w:rsidRPr="004313C0">
              <w:lastRenderedPageBreak/>
              <w:t xml:space="preserve">Moterims prieš menopauzę arba </w:t>
            </w:r>
            <w:proofErr w:type="spellStart"/>
            <w:r w:rsidRPr="004313C0">
              <w:t>perimenopauzės</w:t>
            </w:r>
            <w:proofErr w:type="spellEnd"/>
            <w:r w:rsidRPr="004313C0">
              <w:t xml:space="preserve"> laikotarpiu endokrininę terapiją reikia skirti kartu su </w:t>
            </w:r>
            <w:proofErr w:type="spellStart"/>
            <w:r w:rsidRPr="004313C0">
              <w:t>liuteinizuojantį</w:t>
            </w:r>
            <w:proofErr w:type="spellEnd"/>
            <w:r w:rsidRPr="004313C0">
              <w:t xml:space="preserve"> hormoną atpalaiduojančio hormono </w:t>
            </w:r>
            <w:proofErr w:type="spellStart"/>
            <w:r w:rsidRPr="004313C0">
              <w:t>agonistu</w:t>
            </w:r>
            <w:proofErr w:type="spellEnd"/>
            <w:r w:rsidRPr="004313C0">
              <w:t>.</w:t>
            </w:r>
          </w:p>
          <w:p w14:paraId="13F7DFB0" w14:textId="698E86C7" w:rsidR="00B13D65" w:rsidRPr="004313C0" w:rsidRDefault="00D970E4" w:rsidP="00D970E4">
            <w:pPr>
              <w:pStyle w:val="Sraopastraipa"/>
              <w:spacing w:after="120" w:line="276" w:lineRule="auto"/>
              <w:ind w:left="0"/>
              <w:contextualSpacing w:val="0"/>
              <w:jc w:val="both"/>
            </w:pPr>
            <w:r w:rsidRPr="004313C0">
              <w:rPr>
                <w:b/>
              </w:rPr>
              <w:t>C50</w:t>
            </w:r>
            <w:r w:rsidR="003D1877" w:rsidRPr="004313C0">
              <w:t xml:space="preserve"> </w:t>
            </w:r>
            <w:r w:rsidRPr="004313C0">
              <w:t>–</w:t>
            </w:r>
            <w:r w:rsidR="003D1877" w:rsidRPr="004313C0">
              <w:t xml:space="preserve"> </w:t>
            </w:r>
            <w:r w:rsidRPr="004313C0">
              <w:t>Krūties vėžys</w:t>
            </w:r>
          </w:p>
        </w:tc>
      </w:tr>
      <w:tr w:rsidR="00B13D65" w:rsidRPr="004313C0" w14:paraId="2F79DC08" w14:textId="77777777" w:rsidTr="00BE7489">
        <w:trPr>
          <w:trHeight w:val="378"/>
        </w:trPr>
        <w:tc>
          <w:tcPr>
            <w:tcW w:w="632" w:type="dxa"/>
          </w:tcPr>
          <w:p w14:paraId="547885A2" w14:textId="08AA8055" w:rsidR="00B13D65" w:rsidRPr="004313C0" w:rsidRDefault="00B13D65" w:rsidP="00824B92">
            <w:pPr>
              <w:rPr>
                <w:rFonts w:eastAsia="Arial"/>
              </w:rPr>
            </w:pPr>
            <w:r w:rsidRPr="004313C0">
              <w:rPr>
                <w:rFonts w:eastAsia="Arial"/>
              </w:rPr>
              <w:lastRenderedPageBreak/>
              <w:t>1.</w:t>
            </w:r>
            <w:r w:rsidR="002E0702" w:rsidRPr="004313C0">
              <w:rPr>
                <w:rFonts w:eastAsia="Arial"/>
              </w:rPr>
              <w:t>6</w:t>
            </w:r>
          </w:p>
        </w:tc>
        <w:tc>
          <w:tcPr>
            <w:tcW w:w="3694" w:type="dxa"/>
          </w:tcPr>
          <w:p w14:paraId="2EAB877F" w14:textId="39A36941" w:rsidR="00B13D65" w:rsidRPr="004313C0" w:rsidRDefault="007656B2" w:rsidP="00824B92">
            <w:pPr>
              <w:rPr>
                <w:bCs/>
                <w:color w:val="000000"/>
                <w:u w:val="single"/>
                <w:lang w:eastAsia="lt-LT"/>
              </w:rPr>
            </w:pPr>
            <w:r w:rsidRPr="004313C0">
              <w:rPr>
                <w:bCs/>
                <w:color w:val="000000"/>
                <w:lang w:eastAsia="lt-LT"/>
              </w:rPr>
              <w:t>Pareiškėjo t</w:t>
            </w:r>
            <w:r w:rsidR="00B13D65" w:rsidRPr="004313C0">
              <w:rPr>
                <w:bCs/>
                <w:color w:val="000000"/>
                <w:lang w:eastAsia="lt-LT"/>
              </w:rPr>
              <w:t>eikiamos skyrimo sąlygos</w:t>
            </w:r>
            <w:r w:rsidR="005B3756" w:rsidRPr="004313C0">
              <w:rPr>
                <w:bCs/>
                <w:color w:val="000000"/>
                <w:lang w:eastAsia="lt-LT"/>
              </w:rPr>
              <w:t xml:space="preserve"> </w:t>
            </w:r>
          </w:p>
        </w:tc>
        <w:tc>
          <w:tcPr>
            <w:tcW w:w="5167" w:type="dxa"/>
          </w:tcPr>
          <w:p w14:paraId="0579DF58" w14:textId="4B155348" w:rsidR="00B13D65" w:rsidRPr="004313C0" w:rsidRDefault="0047414A" w:rsidP="00824B92">
            <w:r w:rsidRPr="004313C0">
              <w:t>Neteikiamos</w:t>
            </w:r>
          </w:p>
        </w:tc>
      </w:tr>
      <w:tr w:rsidR="00B13D65" w:rsidRPr="004313C0" w14:paraId="3B125269" w14:textId="77777777" w:rsidTr="00BE7489">
        <w:trPr>
          <w:trHeight w:val="378"/>
        </w:trPr>
        <w:tc>
          <w:tcPr>
            <w:tcW w:w="632" w:type="dxa"/>
          </w:tcPr>
          <w:p w14:paraId="0058E11F" w14:textId="77777777" w:rsidR="00B13D65" w:rsidRPr="004313C0" w:rsidRDefault="00B13D65" w:rsidP="00824B92">
            <w:pPr>
              <w:rPr>
                <w:rFonts w:eastAsia="Arial"/>
              </w:rPr>
            </w:pPr>
            <w:r w:rsidRPr="004313C0">
              <w:rPr>
                <w:rFonts w:eastAsia="Arial"/>
              </w:rPr>
              <w:t>1.7</w:t>
            </w:r>
          </w:p>
        </w:tc>
        <w:tc>
          <w:tcPr>
            <w:tcW w:w="3694" w:type="dxa"/>
          </w:tcPr>
          <w:p w14:paraId="738E1926" w14:textId="50A9DC79" w:rsidR="00B13D65" w:rsidRPr="004313C0" w:rsidRDefault="007656B2" w:rsidP="00824B92">
            <w:pPr>
              <w:rPr>
                <w:bCs/>
                <w:color w:val="000000"/>
                <w:lang w:eastAsia="lt-LT"/>
              </w:rPr>
            </w:pPr>
            <w:r w:rsidRPr="004313C0">
              <w:rPr>
                <w:bCs/>
                <w:color w:val="000000"/>
                <w:lang w:eastAsia="lt-LT"/>
              </w:rPr>
              <w:t>Pareiškėjo teikiamas p</w:t>
            </w:r>
            <w:r w:rsidR="00B13D65" w:rsidRPr="004313C0">
              <w:rPr>
                <w:bCs/>
                <w:color w:val="000000"/>
                <w:lang w:eastAsia="lt-LT"/>
              </w:rPr>
              <w:t>alyginamasis</w:t>
            </w:r>
            <w:r w:rsidR="005B3756" w:rsidRPr="004313C0">
              <w:rPr>
                <w:bCs/>
                <w:color w:val="000000"/>
                <w:lang w:eastAsia="lt-LT"/>
              </w:rPr>
              <w:t xml:space="preserve"> </w:t>
            </w:r>
            <w:r w:rsidR="00B13D65" w:rsidRPr="004313C0">
              <w:rPr>
                <w:bCs/>
                <w:color w:val="000000"/>
                <w:lang w:eastAsia="lt-LT"/>
              </w:rPr>
              <w:t>gydymas</w:t>
            </w:r>
            <w:r w:rsidR="0047414A" w:rsidRPr="004313C0">
              <w:rPr>
                <w:bCs/>
                <w:color w:val="000000"/>
                <w:lang w:eastAsia="lt-LT"/>
              </w:rPr>
              <w:t>:</w:t>
            </w:r>
            <w:r w:rsidR="00B13D65" w:rsidRPr="004313C0">
              <w:rPr>
                <w:bCs/>
                <w:color w:val="000000"/>
                <w:lang w:eastAsia="lt-LT"/>
              </w:rPr>
              <w:t xml:space="preserve"> </w:t>
            </w:r>
          </w:p>
          <w:p w14:paraId="1F7BF92F" w14:textId="6E3AE3A9" w:rsidR="007C7519" w:rsidRPr="004313C0" w:rsidRDefault="007C7519" w:rsidP="00824B92">
            <w:pPr>
              <w:rPr>
                <w:bCs/>
                <w:i/>
                <w:color w:val="000000"/>
                <w:lang w:eastAsia="lt-LT"/>
              </w:rPr>
            </w:pPr>
            <w:r w:rsidRPr="004313C0">
              <w:rPr>
                <w:bCs/>
                <w:i/>
                <w:color w:val="000000"/>
                <w:lang w:eastAsia="lt-LT"/>
              </w:rPr>
              <w:t>Tiesioginis</w:t>
            </w:r>
          </w:p>
          <w:p w14:paraId="643CC07B" w14:textId="2D7C9848" w:rsidR="00D970E4" w:rsidRPr="004313C0" w:rsidRDefault="00D970E4" w:rsidP="00824B92">
            <w:pPr>
              <w:rPr>
                <w:bCs/>
                <w:i/>
                <w:color w:val="000000"/>
                <w:lang w:eastAsia="lt-LT"/>
              </w:rPr>
            </w:pPr>
          </w:p>
          <w:p w14:paraId="1FEACC56" w14:textId="0E2E44A3" w:rsidR="00D970E4" w:rsidRPr="004313C0" w:rsidRDefault="00D970E4" w:rsidP="00824B92">
            <w:pPr>
              <w:rPr>
                <w:bCs/>
                <w:i/>
                <w:color w:val="000000"/>
                <w:lang w:eastAsia="lt-LT"/>
              </w:rPr>
            </w:pPr>
          </w:p>
          <w:p w14:paraId="200BD3DE" w14:textId="12603D6A" w:rsidR="00D970E4" w:rsidRPr="004313C0" w:rsidRDefault="00D970E4" w:rsidP="00824B92">
            <w:pPr>
              <w:rPr>
                <w:bCs/>
                <w:i/>
                <w:color w:val="000000"/>
                <w:lang w:eastAsia="lt-LT"/>
              </w:rPr>
            </w:pPr>
            <w:r w:rsidRPr="004313C0">
              <w:rPr>
                <w:bCs/>
                <w:i/>
                <w:color w:val="000000"/>
                <w:lang w:eastAsia="lt-LT"/>
              </w:rPr>
              <w:t>Netiesioginis</w:t>
            </w:r>
          </w:p>
          <w:p w14:paraId="62057D94" w14:textId="77777777" w:rsidR="00413F24" w:rsidRPr="004313C0" w:rsidRDefault="00413F24" w:rsidP="00824B92">
            <w:pPr>
              <w:rPr>
                <w:bCs/>
                <w:color w:val="000000"/>
                <w:lang w:eastAsia="lt-LT"/>
              </w:rPr>
            </w:pPr>
          </w:p>
          <w:p w14:paraId="6CC1022E" w14:textId="2B6BCEE1" w:rsidR="009F4D66" w:rsidRPr="004313C0" w:rsidRDefault="009F4D66" w:rsidP="00824B92">
            <w:pPr>
              <w:rPr>
                <w:bCs/>
                <w:color w:val="000000"/>
                <w:lang w:eastAsia="lt-LT"/>
              </w:rPr>
            </w:pPr>
          </w:p>
        </w:tc>
        <w:tc>
          <w:tcPr>
            <w:tcW w:w="5167" w:type="dxa"/>
          </w:tcPr>
          <w:p w14:paraId="3E389C70" w14:textId="22AFFC76" w:rsidR="0047414A" w:rsidRPr="004313C0" w:rsidRDefault="0047414A" w:rsidP="00824B92">
            <w:pPr>
              <w:rPr>
                <w:rStyle w:val="Style2"/>
                <w:sz w:val="24"/>
              </w:rPr>
            </w:pPr>
          </w:p>
          <w:p w14:paraId="0AC43073" w14:textId="77777777" w:rsidR="00D970E4" w:rsidRPr="004313C0" w:rsidRDefault="00D970E4" w:rsidP="00D970E4"/>
          <w:p w14:paraId="2383573D" w14:textId="77777777" w:rsidR="00D970E4" w:rsidRPr="004313C0" w:rsidRDefault="00000000" w:rsidP="00D970E4">
            <w:sdt>
              <w:sdtPr>
                <w:rPr>
                  <w:rStyle w:val="Style2"/>
                  <w:sz w:val="24"/>
                </w:rPr>
                <w:id w:val="-439376113"/>
                <w15:color w:val="FFCC00"/>
                <w14:checkbox>
                  <w14:checked w14:val="0"/>
                  <w14:checkedState w14:val="2612" w14:font="MS Gothic"/>
                  <w14:uncheckedState w14:val="2610" w14:font="MS Gothic"/>
                </w14:checkbox>
              </w:sdtPr>
              <w:sdtContent>
                <w:r w:rsidR="00D970E4" w:rsidRPr="004313C0">
                  <w:rPr>
                    <w:rStyle w:val="Style2"/>
                    <w:rFonts w:ascii="MS Gothic" w:eastAsia="MS Gothic" w:hAnsi="MS Gothic"/>
                    <w:sz w:val="24"/>
                  </w:rPr>
                  <w:t>☐</w:t>
                </w:r>
              </w:sdtContent>
            </w:sdt>
            <w:r w:rsidR="00D970E4" w:rsidRPr="004313C0">
              <w:t xml:space="preserve"> Tinkamas</w:t>
            </w:r>
          </w:p>
          <w:p w14:paraId="5474EFC4" w14:textId="00B68021" w:rsidR="0047414A" w:rsidRPr="004313C0" w:rsidRDefault="00000000" w:rsidP="00D970E4">
            <w:pPr>
              <w:rPr>
                <w:rStyle w:val="Style2"/>
                <w:sz w:val="24"/>
              </w:rPr>
            </w:pPr>
            <w:sdt>
              <w:sdtPr>
                <w:rPr>
                  <w:rStyle w:val="Style2"/>
                  <w:sz w:val="24"/>
                </w:rPr>
                <w:id w:val="991603600"/>
                <w15:color w:val="FFCC00"/>
                <w14:checkbox>
                  <w14:checked w14:val="1"/>
                  <w14:checkedState w14:val="2612" w14:font="MS Gothic"/>
                  <w14:uncheckedState w14:val="2610" w14:font="MS Gothic"/>
                </w14:checkbox>
              </w:sdtPr>
              <w:sdtContent>
                <w:r w:rsidR="00D970E4" w:rsidRPr="004313C0">
                  <w:rPr>
                    <w:rStyle w:val="Style2"/>
                    <w:rFonts w:ascii="MS Gothic" w:eastAsia="MS Gothic" w:hAnsi="MS Gothic"/>
                    <w:sz w:val="24"/>
                  </w:rPr>
                  <w:t>☒</w:t>
                </w:r>
              </w:sdtContent>
            </w:sdt>
            <w:r w:rsidR="00D970E4" w:rsidRPr="004313C0">
              <w:t xml:space="preserve"> Netinkamas</w:t>
            </w:r>
          </w:p>
          <w:p w14:paraId="5481FC83" w14:textId="77777777" w:rsidR="007C7519" w:rsidRPr="004313C0" w:rsidRDefault="007C7519" w:rsidP="00824B92">
            <w:pPr>
              <w:rPr>
                <w:rStyle w:val="Style2"/>
                <w:sz w:val="24"/>
              </w:rPr>
            </w:pPr>
          </w:p>
          <w:p w14:paraId="66741CBF" w14:textId="03099B04" w:rsidR="0047414A" w:rsidRPr="004313C0" w:rsidRDefault="00000000" w:rsidP="0047414A">
            <w:sdt>
              <w:sdtPr>
                <w:rPr>
                  <w:rStyle w:val="Style2"/>
                  <w:sz w:val="24"/>
                </w:rPr>
                <w:id w:val="-834302966"/>
                <w15:color w:val="FFCC00"/>
                <w14:checkbox>
                  <w14:checked w14:val="1"/>
                  <w14:checkedState w14:val="2612" w14:font="MS Gothic"/>
                  <w14:uncheckedState w14:val="2610" w14:font="MS Gothic"/>
                </w14:checkbox>
              </w:sdtPr>
              <w:sdtContent>
                <w:r w:rsidR="0047414A" w:rsidRPr="004313C0">
                  <w:rPr>
                    <w:rStyle w:val="Style2"/>
                    <w:rFonts w:ascii="MS Gothic" w:eastAsia="MS Gothic" w:hAnsi="MS Gothic"/>
                    <w:sz w:val="24"/>
                  </w:rPr>
                  <w:t>☒</w:t>
                </w:r>
              </w:sdtContent>
            </w:sdt>
            <w:r w:rsidR="0047414A" w:rsidRPr="004313C0">
              <w:t xml:space="preserve"> Tinkamas</w:t>
            </w:r>
          </w:p>
          <w:p w14:paraId="41B44044" w14:textId="2E013ACA" w:rsidR="00B13D65" w:rsidRPr="004313C0" w:rsidRDefault="00000000" w:rsidP="00824B92">
            <w:sdt>
              <w:sdtPr>
                <w:rPr>
                  <w:rStyle w:val="Style2"/>
                  <w:sz w:val="24"/>
                </w:rPr>
                <w:id w:val="-352420698"/>
                <w15:color w:val="FFCC00"/>
                <w14:checkbox>
                  <w14:checked w14:val="0"/>
                  <w14:checkedState w14:val="2612" w14:font="MS Gothic"/>
                  <w14:uncheckedState w14:val="2610" w14:font="MS Gothic"/>
                </w14:checkbox>
              </w:sdtPr>
              <w:sdtContent>
                <w:r w:rsidR="00D970E4" w:rsidRPr="004313C0">
                  <w:rPr>
                    <w:rStyle w:val="Style2"/>
                    <w:rFonts w:ascii="MS Gothic" w:eastAsia="MS Gothic" w:hAnsi="MS Gothic"/>
                    <w:sz w:val="24"/>
                  </w:rPr>
                  <w:t>☐</w:t>
                </w:r>
              </w:sdtContent>
            </w:sdt>
            <w:r w:rsidR="009F4D66" w:rsidRPr="004313C0">
              <w:t xml:space="preserve"> Netinkama</w:t>
            </w:r>
            <w:r w:rsidR="0047414A" w:rsidRPr="004313C0">
              <w:t>s</w:t>
            </w:r>
          </w:p>
        </w:tc>
      </w:tr>
    </w:tbl>
    <w:p w14:paraId="108176F7" w14:textId="640C6F75" w:rsidR="00F70C9E" w:rsidRPr="004313C0" w:rsidRDefault="00F70C9E" w:rsidP="00E03C3F">
      <w:pPr>
        <w:pStyle w:val="Sraopastraipa"/>
        <w:tabs>
          <w:tab w:val="left" w:pos="426"/>
        </w:tabs>
        <w:ind w:left="0"/>
        <w:rPr>
          <w:b/>
          <w:bCs/>
          <w:caps/>
        </w:rPr>
      </w:pPr>
    </w:p>
    <w:p w14:paraId="2871CA7F" w14:textId="2370BDDB" w:rsidR="00F70C9E" w:rsidRPr="004313C0" w:rsidRDefault="00F70C9E" w:rsidP="00880A44">
      <w:pPr>
        <w:spacing w:line="276" w:lineRule="auto"/>
        <w:jc w:val="both"/>
        <w:rPr>
          <w:rFonts w:eastAsia="Arial"/>
          <w:b/>
        </w:rPr>
      </w:pPr>
      <w:r w:rsidRPr="004313C0">
        <w:rPr>
          <w:rFonts w:eastAsia="Arial"/>
          <w:b/>
        </w:rPr>
        <w:t xml:space="preserve">1.8 Kitų </w:t>
      </w:r>
      <w:r w:rsidR="00DF583C" w:rsidRPr="004313C0">
        <w:rPr>
          <w:rFonts w:eastAsia="Arial"/>
          <w:b/>
        </w:rPr>
        <w:t xml:space="preserve">valstybių </w:t>
      </w:r>
      <w:r w:rsidRPr="004313C0">
        <w:rPr>
          <w:rFonts w:eastAsia="Arial"/>
          <w:b/>
        </w:rPr>
        <w:t xml:space="preserve">atsakingų institucijų atlikto </w:t>
      </w:r>
      <w:r w:rsidR="00DF583C" w:rsidRPr="004313C0">
        <w:rPr>
          <w:rFonts w:eastAsia="Arial"/>
          <w:b/>
        </w:rPr>
        <w:t>Sveikatos technologijų vertinimo (toliau – STV)</w:t>
      </w:r>
      <w:r w:rsidRPr="004313C0">
        <w:rPr>
          <w:rFonts w:eastAsia="Arial"/>
          <w:b/>
        </w:rPr>
        <w:t xml:space="preserve"> išvados</w:t>
      </w:r>
    </w:p>
    <w:p w14:paraId="39AF36F1" w14:textId="77777777" w:rsidR="008304C9" w:rsidRPr="004313C0" w:rsidRDefault="008304C9" w:rsidP="008304C9">
      <w:pPr>
        <w:spacing w:line="276" w:lineRule="auto"/>
        <w:rPr>
          <w:rFonts w:eastAsia="Arial"/>
        </w:rPr>
      </w:pPr>
    </w:p>
    <w:tbl>
      <w:tblPr>
        <w:tblStyle w:val="TableGrid1"/>
        <w:tblW w:w="9918" w:type="dxa"/>
        <w:tblLook w:val="04A0" w:firstRow="1" w:lastRow="0" w:firstColumn="1" w:lastColumn="0" w:noHBand="0" w:noVBand="1"/>
      </w:tblPr>
      <w:tblGrid>
        <w:gridCol w:w="2902"/>
        <w:gridCol w:w="1888"/>
        <w:gridCol w:w="2912"/>
        <w:gridCol w:w="2216"/>
      </w:tblGrid>
      <w:tr w:rsidR="008304C9" w:rsidRPr="004313C0" w14:paraId="52648D4E" w14:textId="77777777" w:rsidTr="00B7548F">
        <w:trPr>
          <w:trHeight w:val="924"/>
        </w:trPr>
        <w:tc>
          <w:tcPr>
            <w:tcW w:w="2927" w:type="dxa"/>
          </w:tcPr>
          <w:p w14:paraId="11DB911F" w14:textId="77777777" w:rsidR="008304C9" w:rsidRPr="004313C0" w:rsidRDefault="008304C9" w:rsidP="008304C9">
            <w:pPr>
              <w:spacing w:line="276" w:lineRule="auto"/>
              <w:rPr>
                <w:rFonts w:eastAsia="Arial"/>
              </w:rPr>
            </w:pPr>
            <w:r w:rsidRPr="004313C0">
              <w:rPr>
                <w:rFonts w:eastAsia="Arial"/>
              </w:rPr>
              <w:t>STV agentūros pavadinimas, šalis</w:t>
            </w:r>
          </w:p>
        </w:tc>
        <w:tc>
          <w:tcPr>
            <w:tcW w:w="1915" w:type="dxa"/>
          </w:tcPr>
          <w:p w14:paraId="2F5B165F" w14:textId="77777777" w:rsidR="008304C9" w:rsidRPr="004313C0" w:rsidRDefault="008304C9" w:rsidP="008304C9">
            <w:pPr>
              <w:spacing w:line="276" w:lineRule="auto"/>
              <w:rPr>
                <w:rFonts w:eastAsia="Arial"/>
              </w:rPr>
            </w:pPr>
            <w:r w:rsidRPr="004313C0">
              <w:rPr>
                <w:rFonts w:eastAsia="Arial"/>
              </w:rPr>
              <w:t>STV vertinimas atliktas</w:t>
            </w:r>
          </w:p>
        </w:tc>
        <w:tc>
          <w:tcPr>
            <w:tcW w:w="2950" w:type="dxa"/>
          </w:tcPr>
          <w:p w14:paraId="5476189F" w14:textId="77777777" w:rsidR="008304C9" w:rsidRPr="004313C0" w:rsidRDefault="008304C9" w:rsidP="008304C9">
            <w:pPr>
              <w:spacing w:line="276" w:lineRule="auto"/>
              <w:rPr>
                <w:rFonts w:eastAsia="Arial"/>
              </w:rPr>
            </w:pPr>
            <w:r w:rsidRPr="004313C0">
              <w:rPr>
                <w:rFonts w:eastAsia="Arial"/>
              </w:rPr>
              <w:t>Klinikinio vertinimo išvada</w:t>
            </w:r>
          </w:p>
        </w:tc>
        <w:tc>
          <w:tcPr>
            <w:tcW w:w="2126" w:type="dxa"/>
          </w:tcPr>
          <w:p w14:paraId="519B6AFF" w14:textId="77777777" w:rsidR="008304C9" w:rsidRPr="004313C0" w:rsidRDefault="008304C9" w:rsidP="008304C9">
            <w:pPr>
              <w:spacing w:line="276" w:lineRule="auto"/>
              <w:rPr>
                <w:rFonts w:eastAsia="Arial"/>
              </w:rPr>
            </w:pPr>
            <w:proofErr w:type="spellStart"/>
            <w:r w:rsidRPr="004313C0">
              <w:rPr>
                <w:rFonts w:eastAsia="Arial"/>
              </w:rPr>
              <w:t>Farmakoekonominio</w:t>
            </w:r>
            <w:proofErr w:type="spellEnd"/>
            <w:r w:rsidRPr="004313C0">
              <w:rPr>
                <w:rFonts w:eastAsia="Arial"/>
              </w:rPr>
              <w:t xml:space="preserve"> vertinimo išvada</w:t>
            </w:r>
          </w:p>
        </w:tc>
      </w:tr>
      <w:tr w:rsidR="008304C9" w:rsidRPr="004313C0" w14:paraId="3C41E31A" w14:textId="77777777" w:rsidTr="00B7548F">
        <w:trPr>
          <w:trHeight w:val="1765"/>
        </w:trPr>
        <w:tc>
          <w:tcPr>
            <w:tcW w:w="2927" w:type="dxa"/>
          </w:tcPr>
          <w:p w14:paraId="768DCCEA" w14:textId="77777777" w:rsidR="008304C9" w:rsidRPr="004313C0" w:rsidRDefault="008304C9" w:rsidP="008304C9">
            <w:pPr>
              <w:autoSpaceDE w:val="0"/>
              <w:autoSpaceDN w:val="0"/>
              <w:adjustRightInd w:val="0"/>
              <w:rPr>
                <w:bCs/>
              </w:rPr>
            </w:pPr>
            <w:r w:rsidRPr="004313C0">
              <w:rPr>
                <w:bCs/>
              </w:rPr>
              <w:t>Nacionalinis sveikatos ir klinikinės kompetencijos institutas, Didžioji Britanija</w:t>
            </w:r>
          </w:p>
          <w:p w14:paraId="38FB1635" w14:textId="77777777" w:rsidR="008304C9" w:rsidRPr="004313C0" w:rsidRDefault="008304C9" w:rsidP="008304C9">
            <w:pPr>
              <w:spacing w:line="276" w:lineRule="auto"/>
              <w:rPr>
                <w:rFonts w:eastAsia="Arial"/>
              </w:rPr>
            </w:pPr>
            <w:r w:rsidRPr="004313C0">
              <w:rPr>
                <w:rFonts w:eastAsia="Arial"/>
              </w:rPr>
              <w:t xml:space="preserve">(angl. </w:t>
            </w:r>
            <w:proofErr w:type="spellStart"/>
            <w:r w:rsidRPr="004313C0">
              <w:rPr>
                <w:rFonts w:eastAsia="Arial"/>
                <w:i/>
              </w:rPr>
              <w:t>National</w:t>
            </w:r>
            <w:proofErr w:type="spellEnd"/>
            <w:r w:rsidRPr="004313C0">
              <w:rPr>
                <w:rFonts w:eastAsia="Arial"/>
                <w:i/>
              </w:rPr>
              <w:t xml:space="preserve"> Institute </w:t>
            </w:r>
            <w:proofErr w:type="spellStart"/>
            <w:r w:rsidRPr="004313C0">
              <w:rPr>
                <w:rFonts w:eastAsia="Arial"/>
                <w:i/>
              </w:rPr>
              <w:t>for</w:t>
            </w:r>
            <w:proofErr w:type="spellEnd"/>
            <w:r w:rsidRPr="004313C0">
              <w:rPr>
                <w:rFonts w:eastAsia="Arial"/>
                <w:i/>
              </w:rPr>
              <w:t xml:space="preserve"> </w:t>
            </w:r>
            <w:proofErr w:type="spellStart"/>
            <w:r w:rsidRPr="004313C0">
              <w:rPr>
                <w:rFonts w:eastAsia="Arial"/>
                <w:i/>
              </w:rPr>
              <w:t>Health</w:t>
            </w:r>
            <w:proofErr w:type="spellEnd"/>
            <w:r w:rsidRPr="004313C0">
              <w:rPr>
                <w:rFonts w:eastAsia="Arial"/>
                <w:i/>
              </w:rPr>
              <w:t xml:space="preserve"> </w:t>
            </w:r>
            <w:proofErr w:type="spellStart"/>
            <w:r w:rsidRPr="004313C0">
              <w:rPr>
                <w:rFonts w:eastAsia="Arial"/>
                <w:i/>
              </w:rPr>
              <w:t>and</w:t>
            </w:r>
            <w:proofErr w:type="spellEnd"/>
            <w:r w:rsidRPr="004313C0">
              <w:rPr>
                <w:rFonts w:eastAsia="Arial"/>
                <w:i/>
              </w:rPr>
              <w:t xml:space="preserve"> Care </w:t>
            </w:r>
            <w:proofErr w:type="spellStart"/>
            <w:r w:rsidRPr="004313C0">
              <w:rPr>
                <w:rFonts w:eastAsia="Arial"/>
                <w:i/>
              </w:rPr>
              <w:t>Excellence</w:t>
            </w:r>
            <w:proofErr w:type="spellEnd"/>
            <w:r w:rsidRPr="004313C0">
              <w:rPr>
                <w:rFonts w:eastAsia="Arial"/>
                <w:i/>
              </w:rPr>
              <w:t>, NICE</w:t>
            </w:r>
            <w:r w:rsidRPr="004313C0">
              <w:rPr>
                <w:rFonts w:eastAsia="Arial"/>
              </w:rPr>
              <w:t>)</w:t>
            </w:r>
          </w:p>
        </w:tc>
        <w:tc>
          <w:tcPr>
            <w:tcW w:w="1915" w:type="dxa"/>
          </w:tcPr>
          <w:p w14:paraId="138FC9FF" w14:textId="77777777" w:rsidR="008304C9" w:rsidRPr="004313C0" w:rsidRDefault="00000000" w:rsidP="008304C9">
            <w:pPr>
              <w:rPr>
                <w:szCs w:val="20"/>
              </w:rPr>
            </w:pPr>
            <w:sdt>
              <w:sdtPr>
                <w:rPr>
                  <w:sz w:val="32"/>
                </w:rPr>
                <w:id w:val="1558205022"/>
                <w15:color w:val="FFCC00"/>
                <w14:checkbox>
                  <w14:checked w14:val="1"/>
                  <w14:checkedState w14:val="2612" w14:font="MS Gothic"/>
                  <w14:uncheckedState w14:val="2610" w14:font="MS Gothic"/>
                </w14:checkbox>
              </w:sdtPr>
              <w:sdtContent>
                <w:r w:rsidR="008304C9" w:rsidRPr="004313C0">
                  <w:rPr>
                    <w:rFonts w:eastAsia="MS Gothic"/>
                    <w:sz w:val="32"/>
                  </w:rPr>
                  <w:t>☒</w:t>
                </w:r>
              </w:sdtContent>
            </w:sdt>
            <w:r w:rsidR="008304C9" w:rsidRPr="004313C0">
              <w:rPr>
                <w:szCs w:val="20"/>
              </w:rPr>
              <w:t xml:space="preserve"> Taip</w:t>
            </w:r>
          </w:p>
          <w:p w14:paraId="0E44EDD8" w14:textId="77777777" w:rsidR="008304C9" w:rsidRPr="004313C0" w:rsidRDefault="00000000" w:rsidP="008304C9">
            <w:pPr>
              <w:rPr>
                <w:szCs w:val="20"/>
              </w:rPr>
            </w:pPr>
            <w:sdt>
              <w:sdtPr>
                <w:rPr>
                  <w:sz w:val="32"/>
                </w:rPr>
                <w:id w:val="866029625"/>
                <w15:color w:val="FFCC00"/>
                <w14:checkbox>
                  <w14:checked w14:val="0"/>
                  <w14:checkedState w14:val="2612" w14:font="MS Gothic"/>
                  <w14:uncheckedState w14:val="2610" w14:font="MS Gothic"/>
                </w14:checkbox>
              </w:sdtPr>
              <w:sdtContent>
                <w:r w:rsidR="008304C9" w:rsidRPr="004313C0">
                  <w:rPr>
                    <w:rFonts w:eastAsia="MS Gothic"/>
                    <w:sz w:val="32"/>
                  </w:rPr>
                  <w:t>☐</w:t>
                </w:r>
              </w:sdtContent>
            </w:sdt>
            <w:r w:rsidR="008304C9" w:rsidRPr="004313C0">
              <w:rPr>
                <w:szCs w:val="20"/>
              </w:rPr>
              <w:t xml:space="preserve"> Ne</w:t>
            </w:r>
          </w:p>
          <w:p w14:paraId="05651F69" w14:textId="77777777" w:rsidR="008304C9" w:rsidRPr="004313C0" w:rsidRDefault="00000000" w:rsidP="008304C9">
            <w:pPr>
              <w:rPr>
                <w:rFonts w:eastAsia="Arial"/>
                <w:szCs w:val="20"/>
              </w:rPr>
            </w:pPr>
            <w:sdt>
              <w:sdtPr>
                <w:rPr>
                  <w:szCs w:val="20"/>
                </w:rPr>
                <w:alias w:val="Nurodykite konkrečią dieną"/>
                <w:tag w:val="Nurodykite pradžios datą"/>
                <w:id w:val="922837954"/>
                <w:placeholder>
                  <w:docPart w:val="2B1B2639110042168A7A392144A9A7D8"/>
                </w:placeholder>
                <w15:color w:val="FFCC99"/>
                <w:date w:fullDate="2019-02-27T00:00:00Z">
                  <w:dateFormat w:val="yyyy 'm.' MMMM d 'd.'"/>
                  <w:lid w:val="lt-LT"/>
                  <w:storeMappedDataAs w:val="dateTime"/>
                  <w:calendar w:val="gregorian"/>
                </w:date>
              </w:sdtPr>
              <w:sdtContent>
                <w:r w:rsidR="008304C9" w:rsidRPr="004313C0">
                  <w:rPr>
                    <w:szCs w:val="20"/>
                  </w:rPr>
                  <w:t>2019 m. vasario 27 d.</w:t>
                </w:r>
              </w:sdtContent>
            </w:sdt>
          </w:p>
        </w:tc>
        <w:tc>
          <w:tcPr>
            <w:tcW w:w="2950" w:type="dxa"/>
          </w:tcPr>
          <w:p w14:paraId="1372AB81" w14:textId="7B2DAFD8" w:rsidR="008304C9" w:rsidRPr="004313C0" w:rsidRDefault="008304C9" w:rsidP="008304C9">
            <w:pPr>
              <w:spacing w:line="276" w:lineRule="auto"/>
              <w:jc w:val="both"/>
              <w:rPr>
                <w:rFonts w:eastAsia="Arial"/>
              </w:rPr>
            </w:pPr>
            <w:r w:rsidRPr="004313C0">
              <w:t>Rekomenduo</w:t>
            </w:r>
            <w:r w:rsidR="00824F95">
              <w:t>jama kompensuoti moterims, kurio</w:t>
            </w:r>
            <w:r w:rsidRPr="004313C0">
              <w:t xml:space="preserve">ms yra lokaliai progresavęs ar </w:t>
            </w:r>
            <w:proofErr w:type="spellStart"/>
            <w:r w:rsidRPr="004313C0">
              <w:t>metastazavęs</w:t>
            </w:r>
            <w:proofErr w:type="spellEnd"/>
            <w:r w:rsidRPr="004313C0">
              <w:t xml:space="preserve"> krūties vėžys, kai nustatoma hormonų receptorių ir nenustatoma žmogaus epidermio augimo faktoriaus receptoriaus 2 rodmens, gydyti derinant su </w:t>
            </w:r>
            <w:proofErr w:type="spellStart"/>
            <w:r w:rsidRPr="004313C0">
              <w:t>aromatazės</w:t>
            </w:r>
            <w:proofErr w:type="spellEnd"/>
            <w:r w:rsidRPr="004313C0">
              <w:t xml:space="preserve"> inhibitoriumi kaip pirmos eilės endokrininė terapija. Moterims prieš menopauzę arba </w:t>
            </w:r>
            <w:proofErr w:type="spellStart"/>
            <w:r w:rsidRPr="004313C0">
              <w:t>perimenopauzės</w:t>
            </w:r>
            <w:proofErr w:type="spellEnd"/>
            <w:r w:rsidRPr="004313C0">
              <w:t xml:space="preserve"> laikotarpiu endokrininę terapiją reikia skirti kartu su </w:t>
            </w:r>
            <w:proofErr w:type="spellStart"/>
            <w:r w:rsidRPr="004313C0">
              <w:t>liuteinizuojantį</w:t>
            </w:r>
            <w:proofErr w:type="spellEnd"/>
            <w:r w:rsidRPr="004313C0">
              <w:t xml:space="preserve"> hormoną atpalaiduojančio hormono </w:t>
            </w:r>
            <w:proofErr w:type="spellStart"/>
            <w:r w:rsidRPr="004313C0">
              <w:t>agonistu</w:t>
            </w:r>
            <w:proofErr w:type="spellEnd"/>
            <w:r w:rsidRPr="004313C0">
              <w:t>.</w:t>
            </w:r>
          </w:p>
        </w:tc>
        <w:tc>
          <w:tcPr>
            <w:tcW w:w="2126" w:type="dxa"/>
          </w:tcPr>
          <w:p w14:paraId="312A3BB9" w14:textId="77777777" w:rsidR="008304C9" w:rsidRPr="004313C0" w:rsidRDefault="008304C9" w:rsidP="008304C9">
            <w:pPr>
              <w:spacing w:line="276" w:lineRule="auto"/>
              <w:jc w:val="both"/>
              <w:rPr>
                <w:rFonts w:eastAsia="Arial"/>
              </w:rPr>
            </w:pPr>
            <w:r w:rsidRPr="004313C0">
              <w:rPr>
                <w:rFonts w:eastAsia="Arial"/>
              </w:rPr>
              <w:t xml:space="preserve">Kompensuoti sudarius komercinį sutartį. </w:t>
            </w:r>
          </w:p>
        </w:tc>
      </w:tr>
      <w:tr w:rsidR="008304C9" w:rsidRPr="004313C0" w14:paraId="20066FE7" w14:textId="77777777" w:rsidTr="00B7548F">
        <w:trPr>
          <w:trHeight w:val="1547"/>
        </w:trPr>
        <w:tc>
          <w:tcPr>
            <w:tcW w:w="2927" w:type="dxa"/>
          </w:tcPr>
          <w:p w14:paraId="46B22D71" w14:textId="77777777" w:rsidR="008304C9" w:rsidRPr="004313C0" w:rsidRDefault="008304C9" w:rsidP="008304C9">
            <w:pPr>
              <w:spacing w:line="276" w:lineRule="auto"/>
              <w:rPr>
                <w:rFonts w:eastAsia="Arial"/>
              </w:rPr>
            </w:pPr>
            <w:r w:rsidRPr="004313C0">
              <w:rPr>
                <w:rFonts w:eastAsia="Arial"/>
              </w:rPr>
              <w:lastRenderedPageBreak/>
              <w:t>Kanados sveikatos technologijų agentūra</w:t>
            </w:r>
          </w:p>
          <w:p w14:paraId="3C862F74" w14:textId="77777777" w:rsidR="008304C9" w:rsidRPr="004313C0" w:rsidRDefault="008304C9" w:rsidP="008304C9">
            <w:pPr>
              <w:spacing w:line="276" w:lineRule="auto"/>
              <w:rPr>
                <w:rFonts w:eastAsia="Arial"/>
              </w:rPr>
            </w:pPr>
            <w:r w:rsidRPr="004313C0">
              <w:rPr>
                <w:rFonts w:eastAsia="Arial"/>
              </w:rPr>
              <w:t xml:space="preserve">(angl. </w:t>
            </w:r>
            <w:proofErr w:type="spellStart"/>
            <w:r w:rsidRPr="004313C0">
              <w:rPr>
                <w:rFonts w:eastAsia="Arial"/>
                <w:i/>
              </w:rPr>
              <w:t>Canadian</w:t>
            </w:r>
            <w:proofErr w:type="spellEnd"/>
            <w:r w:rsidRPr="004313C0">
              <w:rPr>
                <w:rFonts w:eastAsia="Arial"/>
                <w:i/>
              </w:rPr>
              <w:t xml:space="preserve"> </w:t>
            </w:r>
            <w:proofErr w:type="spellStart"/>
            <w:r w:rsidRPr="004313C0">
              <w:rPr>
                <w:rFonts w:eastAsia="Arial"/>
                <w:i/>
              </w:rPr>
              <w:t>health</w:t>
            </w:r>
            <w:proofErr w:type="spellEnd"/>
            <w:r w:rsidRPr="004313C0">
              <w:rPr>
                <w:rFonts w:eastAsia="Arial"/>
                <w:i/>
              </w:rPr>
              <w:t xml:space="preserve"> </w:t>
            </w:r>
            <w:proofErr w:type="spellStart"/>
            <w:r w:rsidRPr="004313C0">
              <w:rPr>
                <w:rFonts w:eastAsia="Arial"/>
                <w:i/>
              </w:rPr>
              <w:t>Technology</w:t>
            </w:r>
            <w:proofErr w:type="spellEnd"/>
            <w:r w:rsidRPr="004313C0">
              <w:rPr>
                <w:rFonts w:eastAsia="Arial"/>
                <w:i/>
              </w:rPr>
              <w:t xml:space="preserve"> </w:t>
            </w:r>
            <w:proofErr w:type="spellStart"/>
            <w:r w:rsidRPr="004313C0">
              <w:rPr>
                <w:rFonts w:eastAsia="Arial"/>
                <w:i/>
              </w:rPr>
              <w:t>Assessment</w:t>
            </w:r>
            <w:proofErr w:type="spellEnd"/>
            <w:r w:rsidRPr="004313C0">
              <w:rPr>
                <w:rFonts w:eastAsia="Arial"/>
                <w:i/>
              </w:rPr>
              <w:t xml:space="preserve"> </w:t>
            </w:r>
            <w:proofErr w:type="spellStart"/>
            <w:r w:rsidRPr="004313C0">
              <w:rPr>
                <w:rFonts w:eastAsia="Arial"/>
                <w:i/>
              </w:rPr>
              <w:t>agency</w:t>
            </w:r>
            <w:proofErr w:type="spellEnd"/>
            <w:r w:rsidRPr="004313C0">
              <w:rPr>
                <w:rFonts w:eastAsia="Arial"/>
                <w:i/>
              </w:rPr>
              <w:t>, CADTH</w:t>
            </w:r>
            <w:r w:rsidRPr="004313C0">
              <w:rPr>
                <w:rFonts w:eastAsia="Arial"/>
              </w:rPr>
              <w:t>)</w:t>
            </w:r>
          </w:p>
        </w:tc>
        <w:tc>
          <w:tcPr>
            <w:tcW w:w="1915" w:type="dxa"/>
          </w:tcPr>
          <w:p w14:paraId="02D74219" w14:textId="77777777" w:rsidR="008304C9" w:rsidRPr="004313C0" w:rsidRDefault="00000000" w:rsidP="008304C9">
            <w:pPr>
              <w:rPr>
                <w:szCs w:val="20"/>
              </w:rPr>
            </w:pPr>
            <w:sdt>
              <w:sdtPr>
                <w:rPr>
                  <w:sz w:val="32"/>
                </w:rPr>
                <w:id w:val="-372539057"/>
                <w15:color w:val="FFCC00"/>
                <w14:checkbox>
                  <w14:checked w14:val="1"/>
                  <w14:checkedState w14:val="2612" w14:font="MS Gothic"/>
                  <w14:uncheckedState w14:val="2610" w14:font="MS Gothic"/>
                </w14:checkbox>
              </w:sdtPr>
              <w:sdtContent>
                <w:r w:rsidR="008304C9" w:rsidRPr="004313C0">
                  <w:rPr>
                    <w:rFonts w:eastAsia="MS Gothic"/>
                    <w:sz w:val="32"/>
                  </w:rPr>
                  <w:t>☒</w:t>
                </w:r>
              </w:sdtContent>
            </w:sdt>
            <w:r w:rsidR="008304C9" w:rsidRPr="004313C0">
              <w:rPr>
                <w:szCs w:val="20"/>
              </w:rPr>
              <w:t xml:space="preserve"> Taip</w:t>
            </w:r>
          </w:p>
          <w:p w14:paraId="170F5B1A" w14:textId="77777777" w:rsidR="008304C9" w:rsidRPr="004313C0" w:rsidRDefault="00000000" w:rsidP="008304C9">
            <w:pPr>
              <w:rPr>
                <w:szCs w:val="20"/>
              </w:rPr>
            </w:pPr>
            <w:sdt>
              <w:sdtPr>
                <w:rPr>
                  <w:sz w:val="32"/>
                </w:rPr>
                <w:id w:val="594442222"/>
                <w15:color w:val="FFCC00"/>
                <w14:checkbox>
                  <w14:checked w14:val="0"/>
                  <w14:checkedState w14:val="2612" w14:font="MS Gothic"/>
                  <w14:uncheckedState w14:val="2610" w14:font="MS Gothic"/>
                </w14:checkbox>
              </w:sdtPr>
              <w:sdtContent>
                <w:r w:rsidR="008304C9" w:rsidRPr="004313C0">
                  <w:rPr>
                    <w:rFonts w:ascii="Segoe UI Symbol" w:eastAsia="MS Gothic" w:hAnsi="Segoe UI Symbol" w:cs="Segoe UI Symbol"/>
                    <w:sz w:val="32"/>
                  </w:rPr>
                  <w:t>☐</w:t>
                </w:r>
              </w:sdtContent>
            </w:sdt>
            <w:r w:rsidR="008304C9" w:rsidRPr="004313C0">
              <w:rPr>
                <w:szCs w:val="20"/>
              </w:rPr>
              <w:t xml:space="preserve"> Ne</w:t>
            </w:r>
          </w:p>
          <w:p w14:paraId="4326B9C2" w14:textId="77777777" w:rsidR="008304C9" w:rsidRPr="004313C0" w:rsidRDefault="00000000" w:rsidP="008304C9">
            <w:pPr>
              <w:spacing w:line="276" w:lineRule="auto"/>
              <w:rPr>
                <w:rFonts w:eastAsia="Arial"/>
              </w:rPr>
            </w:pPr>
            <w:sdt>
              <w:sdtPr>
                <w:alias w:val="Nurodykite konkrečią dieną"/>
                <w:tag w:val="Nurodykite pradžios datą"/>
                <w:id w:val="1072468416"/>
                <w:placeholder>
                  <w:docPart w:val="4F08B215C1C247159E4BEAD5EF4C9028"/>
                </w:placeholder>
                <w15:color w:val="FFCC99"/>
                <w:date w:fullDate="2019-07-05T00:00:00Z">
                  <w:dateFormat w:val="yyyy 'm.' MMMM d 'd.'"/>
                  <w:lid w:val="lt-LT"/>
                  <w:storeMappedDataAs w:val="dateTime"/>
                  <w:calendar w:val="gregorian"/>
                </w:date>
              </w:sdtPr>
              <w:sdtContent>
                <w:r w:rsidR="008304C9" w:rsidRPr="004313C0">
                  <w:t>2019 m. liepos 5 d.</w:t>
                </w:r>
              </w:sdtContent>
            </w:sdt>
          </w:p>
        </w:tc>
        <w:tc>
          <w:tcPr>
            <w:tcW w:w="2950" w:type="dxa"/>
          </w:tcPr>
          <w:p w14:paraId="3FB112A1" w14:textId="08C4DD94" w:rsidR="008304C9" w:rsidRPr="004313C0" w:rsidRDefault="008304C9" w:rsidP="008304C9">
            <w:pPr>
              <w:spacing w:line="276" w:lineRule="auto"/>
              <w:rPr>
                <w:rFonts w:eastAsia="Arial"/>
              </w:rPr>
            </w:pPr>
            <w:r w:rsidRPr="004313C0">
              <w:t>Rekomenduo</w:t>
            </w:r>
            <w:r w:rsidR="00824F95">
              <w:t>jama kompensuoti moterims, kurio</w:t>
            </w:r>
            <w:r w:rsidRPr="004313C0">
              <w:t xml:space="preserve">ms yra lokaliai progresavęs ar </w:t>
            </w:r>
            <w:proofErr w:type="spellStart"/>
            <w:r w:rsidRPr="004313C0">
              <w:t>metastazavęs</w:t>
            </w:r>
            <w:proofErr w:type="spellEnd"/>
            <w:r w:rsidRPr="004313C0">
              <w:t xml:space="preserve"> krūties vėžys, kai nustatoma hormonų receptorių ir nenustatoma žmogaus epidermio augimo faktoriaus receptoriaus 2 rodmens, gydyti derinant su </w:t>
            </w:r>
            <w:proofErr w:type="spellStart"/>
            <w:r w:rsidRPr="004313C0">
              <w:t>aromatazės</w:t>
            </w:r>
            <w:proofErr w:type="spellEnd"/>
            <w:r w:rsidRPr="004313C0">
              <w:t xml:space="preserve"> inhibitoriumi arba </w:t>
            </w:r>
            <w:proofErr w:type="spellStart"/>
            <w:r w:rsidRPr="004313C0">
              <w:t>fulvestrantu</w:t>
            </w:r>
            <w:proofErr w:type="spellEnd"/>
            <w:r w:rsidRPr="004313C0">
              <w:t xml:space="preserve"> kaip pradinė endokrininė terapija Moterims prieš menopauzę arba </w:t>
            </w:r>
            <w:proofErr w:type="spellStart"/>
            <w:r w:rsidRPr="004313C0">
              <w:t>perimenopauzės</w:t>
            </w:r>
            <w:proofErr w:type="spellEnd"/>
            <w:r w:rsidRPr="004313C0">
              <w:t xml:space="preserve"> laikotarpiu endokrininę terapiją reikia skirti kartu su </w:t>
            </w:r>
            <w:proofErr w:type="spellStart"/>
            <w:r w:rsidRPr="004313C0">
              <w:t>liuteinizuojantį</w:t>
            </w:r>
            <w:proofErr w:type="spellEnd"/>
            <w:r w:rsidRPr="004313C0">
              <w:t xml:space="preserve"> hormoną atpalaiduojančio hormono </w:t>
            </w:r>
            <w:proofErr w:type="spellStart"/>
            <w:r w:rsidRPr="004313C0">
              <w:t>agonistu</w:t>
            </w:r>
            <w:proofErr w:type="spellEnd"/>
            <w:r w:rsidRPr="004313C0">
              <w:t>.</w:t>
            </w:r>
          </w:p>
        </w:tc>
        <w:tc>
          <w:tcPr>
            <w:tcW w:w="2126" w:type="dxa"/>
          </w:tcPr>
          <w:p w14:paraId="07248B73" w14:textId="414EB236" w:rsidR="008304C9" w:rsidRPr="004313C0" w:rsidRDefault="008304C9" w:rsidP="008304C9">
            <w:pPr>
              <w:spacing w:line="276" w:lineRule="auto"/>
              <w:rPr>
                <w:rFonts w:eastAsia="Arial"/>
              </w:rPr>
            </w:pPr>
            <w:r w:rsidRPr="004313C0">
              <w:rPr>
                <w:szCs w:val="20"/>
              </w:rPr>
              <w:t xml:space="preserve">Kadangi tiesioginio palyginimo su kitais CDK4/6 nėra, rekomenduojama palyginti </w:t>
            </w:r>
            <w:proofErr w:type="spellStart"/>
            <w:r w:rsidRPr="004313C0">
              <w:rPr>
                <w:szCs w:val="20"/>
              </w:rPr>
              <w:t>abemaciklibo</w:t>
            </w:r>
            <w:proofErr w:type="spellEnd"/>
            <w:r w:rsidRPr="004313C0">
              <w:rPr>
                <w:szCs w:val="20"/>
              </w:rPr>
              <w:t xml:space="preserve"> kaštus su kitų CDK4/6 inhibitoriais, kurie vartojami įprastinėje klinikinėje praktikoje.</w:t>
            </w:r>
          </w:p>
        </w:tc>
      </w:tr>
      <w:tr w:rsidR="008304C9" w:rsidRPr="004313C0" w14:paraId="4AB1B2DB" w14:textId="77777777" w:rsidTr="00B7548F">
        <w:trPr>
          <w:trHeight w:val="1927"/>
        </w:trPr>
        <w:tc>
          <w:tcPr>
            <w:tcW w:w="2927" w:type="dxa"/>
          </w:tcPr>
          <w:p w14:paraId="31FFC271" w14:textId="77777777" w:rsidR="008304C9" w:rsidRPr="004313C0" w:rsidRDefault="008304C9" w:rsidP="008304C9">
            <w:pPr>
              <w:spacing w:line="276" w:lineRule="auto"/>
              <w:rPr>
                <w:rFonts w:eastAsia="Arial"/>
              </w:rPr>
            </w:pPr>
            <w:r w:rsidRPr="004313C0">
              <w:rPr>
                <w:rFonts w:eastAsia="Arial"/>
              </w:rPr>
              <w:t xml:space="preserve">Nacionalinis </w:t>
            </w:r>
            <w:proofErr w:type="spellStart"/>
            <w:r w:rsidRPr="004313C0">
              <w:rPr>
                <w:rFonts w:eastAsia="Arial"/>
              </w:rPr>
              <w:t>farmakoekonomikos</w:t>
            </w:r>
            <w:proofErr w:type="spellEnd"/>
            <w:r w:rsidRPr="004313C0">
              <w:rPr>
                <w:rFonts w:eastAsia="Arial"/>
              </w:rPr>
              <w:t xml:space="preserve"> centras, Airija</w:t>
            </w:r>
          </w:p>
          <w:p w14:paraId="3BD33481" w14:textId="77777777" w:rsidR="008304C9" w:rsidRPr="004313C0" w:rsidRDefault="008304C9" w:rsidP="008304C9">
            <w:pPr>
              <w:spacing w:line="276" w:lineRule="auto"/>
              <w:rPr>
                <w:rFonts w:eastAsia="Arial"/>
              </w:rPr>
            </w:pPr>
            <w:r w:rsidRPr="004313C0">
              <w:rPr>
                <w:rFonts w:eastAsia="Arial"/>
              </w:rPr>
              <w:t>(angl.</w:t>
            </w:r>
            <w:r w:rsidRPr="004313C0">
              <w:rPr>
                <w:rFonts w:eastAsia="Arial"/>
                <w:i/>
              </w:rPr>
              <w:t xml:space="preserve"> </w:t>
            </w:r>
            <w:proofErr w:type="spellStart"/>
            <w:r w:rsidRPr="004313C0">
              <w:rPr>
                <w:rFonts w:eastAsia="Arial"/>
                <w:i/>
              </w:rPr>
              <w:t>National</w:t>
            </w:r>
            <w:proofErr w:type="spellEnd"/>
            <w:r w:rsidRPr="004313C0">
              <w:rPr>
                <w:rFonts w:eastAsia="Arial"/>
                <w:i/>
              </w:rPr>
              <w:t xml:space="preserve"> Centre </w:t>
            </w:r>
            <w:proofErr w:type="spellStart"/>
            <w:r w:rsidRPr="004313C0">
              <w:rPr>
                <w:rFonts w:eastAsia="Arial"/>
                <w:i/>
              </w:rPr>
              <w:t>for</w:t>
            </w:r>
            <w:proofErr w:type="spellEnd"/>
            <w:r w:rsidRPr="004313C0">
              <w:rPr>
                <w:rFonts w:eastAsia="Arial"/>
                <w:i/>
              </w:rPr>
              <w:t xml:space="preserve"> </w:t>
            </w:r>
            <w:proofErr w:type="spellStart"/>
            <w:r w:rsidRPr="004313C0">
              <w:rPr>
                <w:rFonts w:eastAsia="Arial"/>
                <w:i/>
              </w:rPr>
              <w:t>Pharmacoeconomics</w:t>
            </w:r>
            <w:proofErr w:type="spellEnd"/>
            <w:r w:rsidRPr="004313C0">
              <w:rPr>
                <w:rFonts w:eastAsia="Arial"/>
                <w:i/>
              </w:rPr>
              <w:t>, NCPE</w:t>
            </w:r>
            <w:r w:rsidRPr="004313C0">
              <w:rPr>
                <w:rFonts w:eastAsia="Arial"/>
              </w:rPr>
              <w:t>)</w:t>
            </w:r>
          </w:p>
        </w:tc>
        <w:tc>
          <w:tcPr>
            <w:tcW w:w="1915" w:type="dxa"/>
          </w:tcPr>
          <w:p w14:paraId="30920F55" w14:textId="77777777" w:rsidR="008304C9" w:rsidRPr="004313C0" w:rsidRDefault="00000000" w:rsidP="008304C9">
            <w:pPr>
              <w:rPr>
                <w:szCs w:val="20"/>
              </w:rPr>
            </w:pPr>
            <w:sdt>
              <w:sdtPr>
                <w:rPr>
                  <w:sz w:val="32"/>
                </w:rPr>
                <w:id w:val="-1888403732"/>
                <w15:color w:val="FFCC00"/>
                <w14:checkbox>
                  <w14:checked w14:val="1"/>
                  <w14:checkedState w14:val="2612" w14:font="MS Gothic"/>
                  <w14:uncheckedState w14:val="2610" w14:font="MS Gothic"/>
                </w14:checkbox>
              </w:sdtPr>
              <w:sdtContent>
                <w:r w:rsidR="008304C9" w:rsidRPr="004313C0">
                  <w:rPr>
                    <w:rFonts w:eastAsia="MS Gothic"/>
                    <w:sz w:val="32"/>
                  </w:rPr>
                  <w:t>☒</w:t>
                </w:r>
              </w:sdtContent>
            </w:sdt>
            <w:r w:rsidR="008304C9" w:rsidRPr="004313C0">
              <w:rPr>
                <w:szCs w:val="20"/>
              </w:rPr>
              <w:t xml:space="preserve"> Taip</w:t>
            </w:r>
          </w:p>
          <w:p w14:paraId="6E62FAE1" w14:textId="77777777" w:rsidR="008304C9" w:rsidRPr="004313C0" w:rsidRDefault="00000000" w:rsidP="008304C9">
            <w:pPr>
              <w:rPr>
                <w:szCs w:val="20"/>
              </w:rPr>
            </w:pPr>
            <w:sdt>
              <w:sdtPr>
                <w:rPr>
                  <w:sz w:val="32"/>
                </w:rPr>
                <w:id w:val="1092201793"/>
                <w15:color w:val="FFCC00"/>
                <w14:checkbox>
                  <w14:checked w14:val="0"/>
                  <w14:checkedState w14:val="2612" w14:font="MS Gothic"/>
                  <w14:uncheckedState w14:val="2610" w14:font="MS Gothic"/>
                </w14:checkbox>
              </w:sdtPr>
              <w:sdtContent>
                <w:r w:rsidR="008304C9" w:rsidRPr="004313C0">
                  <w:rPr>
                    <w:rFonts w:ascii="Segoe UI Symbol" w:eastAsia="MS Gothic" w:hAnsi="Segoe UI Symbol" w:cs="Segoe UI Symbol"/>
                    <w:sz w:val="32"/>
                  </w:rPr>
                  <w:t>☐</w:t>
                </w:r>
              </w:sdtContent>
            </w:sdt>
            <w:r w:rsidR="008304C9" w:rsidRPr="004313C0">
              <w:rPr>
                <w:szCs w:val="20"/>
              </w:rPr>
              <w:t xml:space="preserve"> Ne</w:t>
            </w:r>
          </w:p>
          <w:p w14:paraId="663F831F" w14:textId="77777777" w:rsidR="008304C9" w:rsidRPr="004313C0" w:rsidRDefault="00000000" w:rsidP="008304C9">
            <w:pPr>
              <w:spacing w:line="276" w:lineRule="auto"/>
              <w:rPr>
                <w:rFonts w:eastAsia="Arial"/>
              </w:rPr>
            </w:pPr>
            <w:sdt>
              <w:sdtPr>
                <w:alias w:val="Nurodykite konkrečią dieną"/>
                <w:tag w:val="Nurodykite pradžios datą"/>
                <w:id w:val="-198323198"/>
                <w:placeholder>
                  <w:docPart w:val="83857B591A8A42E7A09146A20D3D2336"/>
                </w:placeholder>
                <w15:color w:val="FFCC99"/>
                <w:date w:fullDate="2020-07-27T00:00:00Z">
                  <w:dateFormat w:val="yyyy 'm.' MMMM d 'd.'"/>
                  <w:lid w:val="lt-LT"/>
                  <w:storeMappedDataAs w:val="dateTime"/>
                  <w:calendar w:val="gregorian"/>
                </w:date>
              </w:sdtPr>
              <w:sdtContent>
                <w:r w:rsidR="008304C9" w:rsidRPr="004313C0">
                  <w:t>2020 m. liepos 27 d.</w:t>
                </w:r>
              </w:sdtContent>
            </w:sdt>
          </w:p>
        </w:tc>
        <w:tc>
          <w:tcPr>
            <w:tcW w:w="2950" w:type="dxa"/>
          </w:tcPr>
          <w:p w14:paraId="2D961FFE" w14:textId="5099ED96" w:rsidR="008304C9" w:rsidRPr="004313C0" w:rsidRDefault="008304C9" w:rsidP="008304C9">
            <w:pPr>
              <w:spacing w:line="276" w:lineRule="auto"/>
              <w:jc w:val="both"/>
              <w:rPr>
                <w:rFonts w:eastAsia="Arial"/>
              </w:rPr>
            </w:pPr>
            <w:r w:rsidRPr="004313C0">
              <w:t>Rekomenduo</w:t>
            </w:r>
            <w:r w:rsidR="00824F95">
              <w:t>jama kompensuoti moterims, kurio</w:t>
            </w:r>
            <w:r w:rsidRPr="004313C0">
              <w:t xml:space="preserve">ms yra lokaliai progresavęs ar </w:t>
            </w:r>
            <w:proofErr w:type="spellStart"/>
            <w:r w:rsidRPr="004313C0">
              <w:t>metastazavęs</w:t>
            </w:r>
            <w:proofErr w:type="spellEnd"/>
            <w:r w:rsidRPr="004313C0">
              <w:t xml:space="preserve"> krūties vėžys, kai nustatoma hormonų receptorių ir nenustatoma žmogaus epidermio augimo faktoriaus receptoriaus 2 rodmens, gydyti derinant su </w:t>
            </w:r>
            <w:proofErr w:type="spellStart"/>
            <w:r w:rsidRPr="004313C0">
              <w:t>aromatazės</w:t>
            </w:r>
            <w:proofErr w:type="spellEnd"/>
            <w:r w:rsidRPr="004313C0">
              <w:t xml:space="preserve"> inhibitoriumi arba </w:t>
            </w:r>
            <w:proofErr w:type="spellStart"/>
            <w:r w:rsidRPr="004313C0">
              <w:t>fulvestrantu</w:t>
            </w:r>
            <w:proofErr w:type="spellEnd"/>
            <w:r w:rsidRPr="004313C0">
              <w:t xml:space="preserve"> kaip pradinė endokrininė terapija.</w:t>
            </w:r>
          </w:p>
        </w:tc>
        <w:tc>
          <w:tcPr>
            <w:tcW w:w="2126" w:type="dxa"/>
          </w:tcPr>
          <w:p w14:paraId="7356240B" w14:textId="77777777" w:rsidR="008304C9" w:rsidRPr="004313C0" w:rsidRDefault="008304C9" w:rsidP="008304C9">
            <w:pPr>
              <w:spacing w:line="276" w:lineRule="auto"/>
              <w:jc w:val="both"/>
              <w:rPr>
                <w:rFonts w:eastAsia="Arial"/>
              </w:rPr>
            </w:pPr>
            <w:r w:rsidRPr="004313C0">
              <w:rPr>
                <w:rFonts w:eastAsia="Arial"/>
              </w:rPr>
              <w:t xml:space="preserve">Atlikta pilna </w:t>
            </w:r>
            <w:proofErr w:type="spellStart"/>
            <w:r w:rsidRPr="004313C0">
              <w:rPr>
                <w:rFonts w:eastAsia="Arial"/>
              </w:rPr>
              <w:t>farmako</w:t>
            </w:r>
            <w:proofErr w:type="spellEnd"/>
            <w:r w:rsidRPr="004313C0">
              <w:rPr>
                <w:rFonts w:eastAsia="Arial"/>
              </w:rPr>
              <w:t>-ekonominė analizė, palyginus su įprastine klinikine praktika (kitais CDK4/6 inhibitoriais).</w:t>
            </w:r>
          </w:p>
        </w:tc>
      </w:tr>
    </w:tbl>
    <w:p w14:paraId="1E2754F3" w14:textId="77777777" w:rsidR="008304C9" w:rsidRPr="004313C0" w:rsidRDefault="008304C9" w:rsidP="008304C9">
      <w:pPr>
        <w:spacing w:line="276" w:lineRule="auto"/>
        <w:rPr>
          <w:rFonts w:eastAsia="Arial"/>
        </w:rPr>
      </w:pPr>
    </w:p>
    <w:p w14:paraId="73290081" w14:textId="77777777" w:rsidR="007A2B68" w:rsidRPr="004313C0" w:rsidRDefault="007A2B68">
      <w:pPr>
        <w:rPr>
          <w:b/>
          <w:bCs/>
          <w:caps/>
        </w:rPr>
      </w:pPr>
      <w:r w:rsidRPr="004313C0">
        <w:rPr>
          <w:b/>
          <w:bCs/>
          <w:caps/>
        </w:rPr>
        <w:br w:type="page"/>
      </w:r>
    </w:p>
    <w:p w14:paraId="5055E8A8" w14:textId="471A9757" w:rsidR="002E6F80" w:rsidRPr="004313C0" w:rsidRDefault="00CC7832" w:rsidP="00CC09D4">
      <w:pPr>
        <w:pStyle w:val="Sraopastraipa"/>
        <w:numPr>
          <w:ilvl w:val="0"/>
          <w:numId w:val="12"/>
        </w:numPr>
        <w:tabs>
          <w:tab w:val="left" w:pos="567"/>
        </w:tabs>
        <w:ind w:hanging="720"/>
        <w:rPr>
          <w:b/>
          <w:bCs/>
          <w:caps/>
        </w:rPr>
      </w:pPr>
      <w:r w:rsidRPr="004313C0">
        <w:rPr>
          <w:b/>
          <w:bCs/>
          <w:caps/>
        </w:rPr>
        <w:lastRenderedPageBreak/>
        <w:t>Klinikinio vertinimo a</w:t>
      </w:r>
      <w:r w:rsidR="00D4485B" w:rsidRPr="004313C0">
        <w:rPr>
          <w:b/>
          <w:bCs/>
          <w:caps/>
        </w:rPr>
        <w:t>pibendrinimas</w:t>
      </w:r>
    </w:p>
    <w:p w14:paraId="25F89291" w14:textId="7C21B9A1" w:rsidR="00D4485B" w:rsidRPr="004313C0" w:rsidRDefault="00D4485B" w:rsidP="00E81D38">
      <w:pPr>
        <w:tabs>
          <w:tab w:val="left" w:pos="284"/>
        </w:tabs>
        <w:rPr>
          <w:color w:val="00B050"/>
          <w:sz w:val="22"/>
        </w:rPr>
      </w:pPr>
    </w:p>
    <w:p w14:paraId="455A3B6C" w14:textId="1D49C8CA" w:rsidR="00E81D38" w:rsidRPr="004313C0" w:rsidRDefault="00E81D38" w:rsidP="00E81D38">
      <w:pPr>
        <w:spacing w:line="276" w:lineRule="auto"/>
        <w:ind w:firstLine="645"/>
        <w:jc w:val="both"/>
      </w:pPr>
      <w:r w:rsidRPr="004313C0">
        <w:rPr>
          <w:szCs w:val="20"/>
        </w:rPr>
        <w:t>Lietuvoje krūties vėžys gydomas vadovaujantis sveikatos apsaugos ministro patvirtintu „Krūties vėžio piktybinio naviko ambulatorinio gydymo kompensuojamaisiais vaistais tvarkos aprašu“. Pagrindiniai krūties vėžio gydymo metodai yra chirurginė operacija, radioterapija ir priešvėžiniai vaistai. Krūties vėžio gydymo kompensuojamaisiais vaistais schemos parenkamos įvertinus ligos išplitimą, rizikos grupę, bendrą paciento būklę pagal ECOG skalę ir numatomą gyvenimo trukmę. Remiantis  kompensuojamuo</w:t>
      </w:r>
      <w:r w:rsidR="00CE14C8" w:rsidRPr="004313C0">
        <w:rPr>
          <w:szCs w:val="20"/>
        </w:rPr>
        <w:t>ju vaistinių preparatų sąrašu (</w:t>
      </w:r>
      <w:r w:rsidRPr="004313C0">
        <w:rPr>
          <w:szCs w:val="20"/>
        </w:rPr>
        <w:t xml:space="preserve">įsakymas „Dėl kompensuojamųjų vaistų sąrašo patvirtinimo“, 2000 m. sausio 28 d. Nr. 49) bei gydymo kompensuojamaisiais vaisto tvarkos aprašo patvirtinimu (įsakymas „Dėl krūties piktybinio naviko ambulatorinio gydymo kompensuojamaisiais vaistais tvarkos  aprašo patvirtinimo“, 2011 liepos 22 d. Nr. V-713), Lietuvoje moterims, kurioms nustatytas teigiamas hormonų receptorius ir žmogaus epidermio augimo faktoriaus receptorius 2 yra neigiamas, bet lokaliai išplitusio ar </w:t>
      </w:r>
      <w:proofErr w:type="spellStart"/>
      <w:r w:rsidRPr="004313C0">
        <w:rPr>
          <w:szCs w:val="20"/>
        </w:rPr>
        <w:t>metastazavusio</w:t>
      </w:r>
      <w:proofErr w:type="spellEnd"/>
      <w:r w:rsidRPr="004313C0">
        <w:rPr>
          <w:szCs w:val="20"/>
        </w:rPr>
        <w:t xml:space="preserve"> krūties vėžys gali būti skiriamas CDK 4/6 inhibitorius – </w:t>
      </w:r>
      <w:proofErr w:type="spellStart"/>
      <w:r w:rsidRPr="004313C0">
        <w:rPr>
          <w:szCs w:val="20"/>
        </w:rPr>
        <w:t>ribociklibas</w:t>
      </w:r>
      <w:proofErr w:type="spellEnd"/>
      <w:r w:rsidRPr="004313C0">
        <w:rPr>
          <w:szCs w:val="20"/>
        </w:rPr>
        <w:t>.</w:t>
      </w:r>
    </w:p>
    <w:p w14:paraId="31A66890" w14:textId="7589CC14" w:rsidR="00E81D38" w:rsidRPr="004313C0" w:rsidRDefault="00E81D38" w:rsidP="00E81D38">
      <w:pPr>
        <w:spacing w:line="276" w:lineRule="auto"/>
        <w:ind w:firstLine="720"/>
        <w:jc w:val="both"/>
        <w:rPr>
          <w:szCs w:val="20"/>
        </w:rPr>
      </w:pPr>
      <w:r w:rsidRPr="004313C0">
        <w:t xml:space="preserve">Pareiškėjas pateikė klinikinius duomenis, kuriais pagrįsto gydymo </w:t>
      </w:r>
      <w:proofErr w:type="spellStart"/>
      <w:r w:rsidRPr="004313C0">
        <w:t>abemaciklibu</w:t>
      </w:r>
      <w:proofErr w:type="spellEnd"/>
      <w:r w:rsidRPr="004313C0">
        <w:t xml:space="preserve"> derinyje su </w:t>
      </w:r>
      <w:proofErr w:type="spellStart"/>
      <w:r w:rsidRPr="004313C0">
        <w:t>aromatazės</w:t>
      </w:r>
      <w:proofErr w:type="spellEnd"/>
      <w:r w:rsidRPr="004313C0">
        <w:t xml:space="preserve"> </w:t>
      </w:r>
      <w:r w:rsidR="00AE285E" w:rsidRPr="004313C0">
        <w:t>inhibitoriumi</w:t>
      </w:r>
      <w:r w:rsidRPr="004313C0">
        <w:t xml:space="preserve"> veiksmingumo ir saugumo panašumą į gydymą </w:t>
      </w:r>
      <w:proofErr w:type="spellStart"/>
      <w:r w:rsidRPr="004313C0">
        <w:t>ribociklibą</w:t>
      </w:r>
      <w:proofErr w:type="spellEnd"/>
      <w:r w:rsidRPr="004313C0">
        <w:t xml:space="preserve"> derinio su </w:t>
      </w:r>
      <w:proofErr w:type="spellStart"/>
      <w:r w:rsidRPr="004313C0">
        <w:t>aromat</w:t>
      </w:r>
      <w:r w:rsidR="00824F95">
        <w:t>a</w:t>
      </w:r>
      <w:r w:rsidRPr="004313C0">
        <w:t>zės</w:t>
      </w:r>
      <w:proofErr w:type="spellEnd"/>
      <w:r w:rsidRPr="004313C0">
        <w:t xml:space="preserve"> inhibitoriumi.  </w:t>
      </w:r>
      <w:proofErr w:type="spellStart"/>
      <w:r w:rsidRPr="004313C0">
        <w:rPr>
          <w:szCs w:val="20"/>
        </w:rPr>
        <w:t>Abemaciklibas</w:t>
      </w:r>
      <w:proofErr w:type="spellEnd"/>
      <w:r w:rsidRPr="004313C0">
        <w:rPr>
          <w:szCs w:val="20"/>
        </w:rPr>
        <w:t xml:space="preserve"> yra stiprus selektyvusis nuo ciklino priklausomų 4 ir 6 tipo </w:t>
      </w:r>
      <w:proofErr w:type="spellStart"/>
      <w:r w:rsidRPr="004313C0">
        <w:rPr>
          <w:szCs w:val="20"/>
        </w:rPr>
        <w:t>kinazių</w:t>
      </w:r>
      <w:proofErr w:type="spellEnd"/>
      <w:r w:rsidRPr="004313C0">
        <w:rPr>
          <w:szCs w:val="20"/>
        </w:rPr>
        <w:t xml:space="preserve"> inhibitorius, fermentinių tyrimų metu ypač slopinęs ciklino D1/CDK4. </w:t>
      </w:r>
      <w:proofErr w:type="spellStart"/>
      <w:r w:rsidRPr="004313C0">
        <w:rPr>
          <w:szCs w:val="20"/>
        </w:rPr>
        <w:t>Abemaciklibas</w:t>
      </w:r>
      <w:proofErr w:type="spellEnd"/>
      <w:r w:rsidRPr="004313C0">
        <w:rPr>
          <w:szCs w:val="20"/>
        </w:rPr>
        <w:t xml:space="preserve"> apsaugo nuo </w:t>
      </w:r>
      <w:proofErr w:type="spellStart"/>
      <w:r w:rsidRPr="004313C0">
        <w:rPr>
          <w:szCs w:val="20"/>
        </w:rPr>
        <w:t>retinoblastomos</w:t>
      </w:r>
      <w:proofErr w:type="spellEnd"/>
      <w:r w:rsidRPr="004313C0">
        <w:rPr>
          <w:szCs w:val="20"/>
        </w:rPr>
        <w:t xml:space="preserve"> baltymo (</w:t>
      </w:r>
      <w:proofErr w:type="spellStart"/>
      <w:r w:rsidRPr="004313C0">
        <w:rPr>
          <w:szCs w:val="20"/>
        </w:rPr>
        <w:t>Rb</w:t>
      </w:r>
      <w:proofErr w:type="spellEnd"/>
      <w:r w:rsidRPr="004313C0">
        <w:rPr>
          <w:szCs w:val="20"/>
        </w:rPr>
        <w:t xml:space="preserve">) </w:t>
      </w:r>
      <w:proofErr w:type="spellStart"/>
      <w:r w:rsidRPr="004313C0">
        <w:rPr>
          <w:szCs w:val="20"/>
        </w:rPr>
        <w:t>fosforilinimo</w:t>
      </w:r>
      <w:proofErr w:type="spellEnd"/>
      <w:r w:rsidRPr="004313C0">
        <w:rPr>
          <w:szCs w:val="20"/>
        </w:rPr>
        <w:t xml:space="preserve">, blokuodamas ląstelės ciklo progresavimą iš G1 į S fazę ląstelei dalijantis, todėl slopinamas naviko augimas. </w:t>
      </w:r>
      <w:proofErr w:type="spellStart"/>
      <w:r w:rsidRPr="004313C0">
        <w:rPr>
          <w:szCs w:val="20"/>
        </w:rPr>
        <w:t>Abemaciklibas</w:t>
      </w:r>
      <w:proofErr w:type="spellEnd"/>
      <w:r w:rsidRPr="004313C0">
        <w:rPr>
          <w:szCs w:val="20"/>
        </w:rPr>
        <w:t xml:space="preserve"> sukėlė ilgalaikį taikinio slopinimą estrogenų receptorius turinčių krūties vėžio ląstelių linijose, neleisdamas pasireikšti </w:t>
      </w:r>
      <w:proofErr w:type="spellStart"/>
      <w:r w:rsidRPr="004313C0">
        <w:rPr>
          <w:szCs w:val="20"/>
        </w:rPr>
        <w:t>Rb</w:t>
      </w:r>
      <w:proofErr w:type="spellEnd"/>
      <w:r w:rsidRPr="004313C0">
        <w:rPr>
          <w:szCs w:val="20"/>
        </w:rPr>
        <w:t xml:space="preserve"> </w:t>
      </w:r>
      <w:proofErr w:type="spellStart"/>
      <w:r w:rsidRPr="004313C0">
        <w:rPr>
          <w:szCs w:val="20"/>
        </w:rPr>
        <w:t>fosforilinimui</w:t>
      </w:r>
      <w:proofErr w:type="spellEnd"/>
      <w:r w:rsidRPr="004313C0">
        <w:rPr>
          <w:szCs w:val="20"/>
        </w:rPr>
        <w:t xml:space="preserve">, todėl pasireiškė ląstelių senėjimas ir </w:t>
      </w:r>
      <w:proofErr w:type="spellStart"/>
      <w:r w:rsidRPr="004313C0">
        <w:rPr>
          <w:szCs w:val="20"/>
        </w:rPr>
        <w:t>apoptozė</w:t>
      </w:r>
      <w:proofErr w:type="spellEnd"/>
      <w:r w:rsidRPr="004313C0">
        <w:rPr>
          <w:szCs w:val="20"/>
        </w:rPr>
        <w:t>.</w:t>
      </w:r>
    </w:p>
    <w:p w14:paraId="58063D58" w14:textId="77777777" w:rsidR="00E81D38" w:rsidRPr="004313C0" w:rsidRDefault="00E81D38" w:rsidP="00E81D38">
      <w:pPr>
        <w:spacing w:line="276" w:lineRule="auto"/>
        <w:ind w:firstLine="720"/>
        <w:jc w:val="both"/>
        <w:rPr>
          <w:szCs w:val="20"/>
        </w:rPr>
      </w:pPr>
    </w:p>
    <w:p w14:paraId="026C3B6E" w14:textId="77777777" w:rsidR="00E81D38" w:rsidRPr="004313C0" w:rsidRDefault="00E81D38" w:rsidP="00E81D38">
      <w:pPr>
        <w:tabs>
          <w:tab w:val="left" w:pos="284"/>
        </w:tabs>
        <w:spacing w:line="280" w:lineRule="atLeast"/>
        <w:rPr>
          <w:rFonts w:eastAsia="Arial"/>
          <w:i/>
        </w:rPr>
      </w:pPr>
      <w:r w:rsidRPr="004313C0">
        <w:rPr>
          <w:rFonts w:eastAsia="Arial"/>
          <w:i/>
        </w:rPr>
        <w:t>Tiesioginis palyginimas</w:t>
      </w:r>
    </w:p>
    <w:p w14:paraId="0D309201" w14:textId="77777777" w:rsidR="00E81D38" w:rsidRPr="004313C0" w:rsidRDefault="00E81D38" w:rsidP="00E81D38">
      <w:pPr>
        <w:tabs>
          <w:tab w:val="left" w:pos="284"/>
        </w:tabs>
        <w:spacing w:line="280" w:lineRule="atLeast"/>
        <w:rPr>
          <w:rFonts w:eastAsia="Arial"/>
          <w:i/>
        </w:rPr>
      </w:pPr>
    </w:p>
    <w:p w14:paraId="1B5DD5D5" w14:textId="19543994" w:rsidR="00E81D38" w:rsidRPr="004313C0" w:rsidRDefault="00E81D38" w:rsidP="00E81D38">
      <w:pPr>
        <w:tabs>
          <w:tab w:val="left" w:pos="492"/>
        </w:tabs>
        <w:spacing w:line="276" w:lineRule="auto"/>
        <w:jc w:val="both"/>
        <w:outlineLvl w:val="1"/>
        <w:rPr>
          <w:rFonts w:eastAsia="Arial"/>
        </w:rPr>
      </w:pPr>
      <w:r w:rsidRPr="004313C0">
        <w:rPr>
          <w:rFonts w:eastAsia="Arial"/>
        </w:rPr>
        <w:tab/>
        <w:t>Pareiškėjas pateikė tiesioginio palyginimo atsitiktinių imčių, dvigubai k</w:t>
      </w:r>
      <w:r w:rsidR="00824F95">
        <w:rPr>
          <w:rFonts w:eastAsia="Arial"/>
        </w:rPr>
        <w:t>oduotą, placebu kontroliuojamą tyrimą</w:t>
      </w:r>
      <w:r w:rsidRPr="004313C0">
        <w:rPr>
          <w:rFonts w:eastAsia="Arial"/>
        </w:rPr>
        <w:t xml:space="preserve">, kuriame dalyvavo moterys, sergančios lokaliai išplitusiu ar </w:t>
      </w:r>
      <w:proofErr w:type="spellStart"/>
      <w:r w:rsidRPr="004313C0">
        <w:rPr>
          <w:rFonts w:eastAsia="Arial"/>
        </w:rPr>
        <w:t>metastazavusiu</w:t>
      </w:r>
      <w:proofErr w:type="spellEnd"/>
      <w:r w:rsidRPr="004313C0">
        <w:rPr>
          <w:rFonts w:eastAsia="Arial"/>
        </w:rPr>
        <w:t xml:space="preserve"> krūties vėžiu su teigiamais HR ir neigiamais HER2, kurios anksčiau dėl šios ligos negydytos sisteminio poveikio gydymo būdais (MONARCH 3). Pažymėtina, kad palyginamasis gydymas y</w:t>
      </w:r>
      <w:r w:rsidR="00824F95">
        <w:rPr>
          <w:rFonts w:eastAsia="Arial"/>
        </w:rPr>
        <w:t>ra placebas. Remiantis įprastine klinikine</w:t>
      </w:r>
      <w:r w:rsidRPr="004313C0">
        <w:rPr>
          <w:rFonts w:eastAsia="Arial"/>
        </w:rPr>
        <w:t xml:space="preserve"> praktika Lietuvoje, tinkamas palyginamasis gydymas - </w:t>
      </w:r>
      <w:proofErr w:type="spellStart"/>
      <w:r w:rsidRPr="004313C0">
        <w:rPr>
          <w:rFonts w:eastAsia="Arial"/>
        </w:rPr>
        <w:t>ribociklibas</w:t>
      </w:r>
      <w:proofErr w:type="spellEnd"/>
      <w:r w:rsidRPr="004313C0">
        <w:rPr>
          <w:rFonts w:eastAsia="Arial"/>
        </w:rPr>
        <w:t xml:space="preserve"> derinyje su AI </w:t>
      </w:r>
      <w:r w:rsidRPr="004313C0">
        <w:rPr>
          <w:szCs w:val="20"/>
        </w:rPr>
        <w:t xml:space="preserve">(įsakymas „Dėl krūties piktybinio naviko ambulatorinio gydymo kompensuojamaisiais vaistais tvarkos  aprašo patvirtinimo“, 2011 liepos 22 d. Nr. V-713). Klinikinis tyrimas MONARCH yra registracinis klinikinis tyrimas. </w:t>
      </w:r>
      <w:r w:rsidRPr="004313C0">
        <w:rPr>
          <w:rFonts w:eastAsia="Arial"/>
        </w:rPr>
        <w:t xml:space="preserve">Klinikinis tyrimas buvo atliktas 158 centruose 22 šalyse. Remiantis atrankos įtraukimo ir atmetimo kriterijais tyrimo populiacija atitinka Lietuvos pacientų populiaciją ir vertinamą indikaciją. </w:t>
      </w:r>
      <w:r w:rsidRPr="004313C0">
        <w:rPr>
          <w:rFonts w:eastAsia="Arial"/>
          <w:color w:val="000000"/>
        </w:rPr>
        <w:t xml:space="preserve">Pacientės atsitiktiniu būdu santykiu 2:1 buvo susiskirstyti į dvi grupes: vartoti </w:t>
      </w:r>
      <w:proofErr w:type="spellStart"/>
      <w:r w:rsidRPr="004313C0">
        <w:rPr>
          <w:rFonts w:eastAsia="Arial"/>
          <w:color w:val="000000"/>
        </w:rPr>
        <w:t>abemaciklibą</w:t>
      </w:r>
      <w:proofErr w:type="spellEnd"/>
      <w:r w:rsidRPr="004313C0">
        <w:rPr>
          <w:rFonts w:eastAsia="Arial"/>
          <w:color w:val="000000"/>
        </w:rPr>
        <w:t xml:space="preserve"> 150 mg du kartus per parą kartu su vieną kartą per parą vartojant rekomenduojama nesteroidinio </w:t>
      </w:r>
      <w:proofErr w:type="spellStart"/>
      <w:r w:rsidRPr="004313C0">
        <w:rPr>
          <w:rFonts w:eastAsia="Arial"/>
          <w:color w:val="000000"/>
        </w:rPr>
        <w:t>aromatazės</w:t>
      </w:r>
      <w:proofErr w:type="spellEnd"/>
      <w:r w:rsidRPr="004313C0">
        <w:rPr>
          <w:rFonts w:eastAsia="Arial"/>
          <w:color w:val="000000"/>
        </w:rPr>
        <w:t xml:space="preserve"> inhibitoriaus doze, arba  placebą vartojant kartu su nesteroidinio </w:t>
      </w:r>
      <w:proofErr w:type="spellStart"/>
      <w:r w:rsidRPr="004313C0">
        <w:rPr>
          <w:rFonts w:eastAsia="Arial"/>
          <w:color w:val="000000"/>
        </w:rPr>
        <w:t>aromatazės</w:t>
      </w:r>
      <w:proofErr w:type="spellEnd"/>
      <w:r w:rsidRPr="004313C0">
        <w:rPr>
          <w:rFonts w:eastAsia="Arial"/>
          <w:color w:val="000000"/>
        </w:rPr>
        <w:t xml:space="preserve"> inhibitoriaus doze.</w:t>
      </w:r>
      <w:r w:rsidRPr="004313C0">
        <w:rPr>
          <w:rFonts w:eastAsia="Arial"/>
        </w:rPr>
        <w:t xml:space="preserve"> Klinikinio tyrimo MONARCH3 ITT populiacija sudarė 493 pacientės: 328 pateko į </w:t>
      </w:r>
      <w:proofErr w:type="spellStart"/>
      <w:r w:rsidRPr="004313C0">
        <w:rPr>
          <w:rFonts w:eastAsia="Arial"/>
        </w:rPr>
        <w:t>abemaciklibo</w:t>
      </w:r>
      <w:proofErr w:type="spellEnd"/>
      <w:r w:rsidRPr="004313C0">
        <w:rPr>
          <w:rFonts w:eastAsia="Arial"/>
        </w:rPr>
        <w:t xml:space="preserve"> ir AI derinio grupę ir 165 pacientės – į placebo ir AI derinio grupę. Tyrimo rezultatai arba baigtys buvo vertinami taikant hierarchinę statistinę analizę.</w:t>
      </w:r>
      <w:r w:rsidRPr="004313C0">
        <w:rPr>
          <w:rFonts w:eastAsia="Arial"/>
          <w:color w:val="000000"/>
        </w:rPr>
        <w:t xml:space="preserve"> Pirminė statistinė analizė numatė išgyvenamumo be ligos </w:t>
      </w:r>
      <w:r w:rsidR="00AE285E" w:rsidRPr="004313C0">
        <w:rPr>
          <w:rFonts w:eastAsia="Arial"/>
          <w:color w:val="000000"/>
        </w:rPr>
        <w:t>progresavimo</w:t>
      </w:r>
      <w:r w:rsidRPr="004313C0">
        <w:rPr>
          <w:rFonts w:eastAsia="Arial"/>
          <w:color w:val="000000"/>
        </w:rPr>
        <w:t xml:space="preserve"> palyginimą tyrimo grupėse ir turėjo būti atlikta ITT populiacijoje. </w:t>
      </w:r>
      <w:r w:rsidRPr="004313C0">
        <w:rPr>
          <w:rFonts w:eastAsia="Arial"/>
        </w:rPr>
        <w:t xml:space="preserve">Analizė buvo atlikta ITT populiacijoje, kai 246 IBLP atvejai buvo užfiksuoti tarp klinikinio tyrimo dalyvių, iš jų 138 atvejai (42,1 proc.) buvo </w:t>
      </w:r>
      <w:proofErr w:type="spellStart"/>
      <w:r w:rsidRPr="004313C0">
        <w:rPr>
          <w:rFonts w:eastAsia="Arial"/>
        </w:rPr>
        <w:t>abemaciklibo</w:t>
      </w:r>
      <w:proofErr w:type="spellEnd"/>
      <w:r w:rsidRPr="004313C0">
        <w:rPr>
          <w:rFonts w:eastAsia="Arial"/>
        </w:rPr>
        <w:t xml:space="preserve"> grupėje ir 108 atvejai (65,5 proc.) – placebo grupėje. Stebėjimo mediana </w:t>
      </w:r>
      <w:proofErr w:type="spellStart"/>
      <w:r w:rsidRPr="004313C0">
        <w:rPr>
          <w:rFonts w:eastAsia="Arial"/>
        </w:rPr>
        <w:t>abemaciklibo</w:t>
      </w:r>
      <w:proofErr w:type="spellEnd"/>
      <w:r w:rsidRPr="004313C0">
        <w:rPr>
          <w:rFonts w:eastAsia="Arial"/>
        </w:rPr>
        <w:t xml:space="preserve"> grupėje buvo beveik dvigubai didesnė </w:t>
      </w:r>
      <w:proofErr w:type="spellStart"/>
      <w:r w:rsidRPr="004313C0">
        <w:rPr>
          <w:rFonts w:eastAsia="Arial"/>
        </w:rPr>
        <w:t>abemaciklibo</w:t>
      </w:r>
      <w:proofErr w:type="spellEnd"/>
      <w:r w:rsidRPr="004313C0">
        <w:rPr>
          <w:rFonts w:eastAsia="Arial"/>
        </w:rPr>
        <w:t xml:space="preserve"> grupėje nei placebo grupėje:  28,18 mėn. ir 14,76 mėn., atitinkamai. Analizė parodė, kad RS buvo 0,54 </w:t>
      </w:r>
      <w:proofErr w:type="spellStart"/>
      <w:r w:rsidRPr="004313C0">
        <w:rPr>
          <w:rFonts w:eastAsia="Arial"/>
        </w:rPr>
        <w:t>abemaciklibo</w:t>
      </w:r>
      <w:proofErr w:type="spellEnd"/>
      <w:r w:rsidRPr="004313C0">
        <w:rPr>
          <w:rFonts w:eastAsia="Arial"/>
        </w:rPr>
        <w:t xml:space="preserve"> naudai (95 proc. PI: 0,418-0,698; </w:t>
      </w:r>
      <w:r w:rsidRPr="004313C0">
        <w:rPr>
          <w:rFonts w:eastAsia="Arial"/>
        </w:rPr>
        <w:lastRenderedPageBreak/>
        <w:t xml:space="preserve">p=0,000002), RS buvo mažesnis, nei numatytas pagal statistinės analizės planą (žr. 3.1.2). Pažymėtina, kad IBLP rezultatai buvo panašūs į nepriklausomo apžiūros komiteto RS vertinimą: RS=0,465 (95 proc. PI: 0,339-0,636; p&lt;0,000001). IBLP taip pat buvo įvertintas iš anksto numatytuose pacientų pogrupiuose. Vertinimo analizė nuosekliai parodė, kad vartojant </w:t>
      </w:r>
      <w:proofErr w:type="spellStart"/>
      <w:r w:rsidRPr="004313C0">
        <w:rPr>
          <w:rFonts w:eastAsia="Arial"/>
        </w:rPr>
        <w:t>abemaciklibą</w:t>
      </w:r>
      <w:proofErr w:type="spellEnd"/>
      <w:r w:rsidRPr="004313C0">
        <w:rPr>
          <w:rFonts w:eastAsia="Arial"/>
        </w:rPr>
        <w:t xml:space="preserve"> kartu su AI nepriklausomai nuo ECOG statuso, progesterono receptorių statuso, pacienčių amžiaus bei rasės (baltaodės arba azijietės) bei organų, kuriuose buvo diagnozuotos metastazės (išskyrus metastazės kauluose), skaičiaus IBLP reikšmingai ilgesnis nei vartojant tik AI. </w:t>
      </w:r>
    </w:p>
    <w:p w14:paraId="79E10FF4" w14:textId="77777777" w:rsidR="00E81D38" w:rsidRPr="004313C0" w:rsidRDefault="00E81D38" w:rsidP="00E81D38">
      <w:pPr>
        <w:tabs>
          <w:tab w:val="left" w:pos="426"/>
        </w:tabs>
        <w:spacing w:line="276" w:lineRule="auto"/>
        <w:jc w:val="both"/>
        <w:rPr>
          <w:rFonts w:eastAsia="Arial"/>
          <w:color w:val="000000"/>
        </w:rPr>
      </w:pPr>
      <w:r w:rsidRPr="004313C0">
        <w:rPr>
          <w:rFonts w:eastAsia="Arial"/>
        </w:rPr>
        <w:tab/>
        <w:t xml:space="preserve">Antrinių baigčių vertinimas parodė, kad </w:t>
      </w:r>
      <w:r w:rsidRPr="004313C0">
        <w:rPr>
          <w:rFonts w:eastAsia="Arial"/>
          <w:color w:val="000000"/>
        </w:rPr>
        <w:t xml:space="preserve">ITT populiacijoje </w:t>
      </w:r>
      <w:r w:rsidRPr="004313C0">
        <w:rPr>
          <w:rFonts w:eastAsia="Arial"/>
          <w:color w:val="000000"/>
          <w:u w:val="single"/>
        </w:rPr>
        <w:t>objektyvus atsako dažnis</w:t>
      </w:r>
      <w:r w:rsidRPr="004313C0">
        <w:rPr>
          <w:rFonts w:eastAsia="Arial"/>
          <w:color w:val="000000"/>
        </w:rPr>
        <w:t xml:space="preserve"> </w:t>
      </w:r>
      <w:proofErr w:type="spellStart"/>
      <w:r w:rsidRPr="004313C0">
        <w:rPr>
          <w:rFonts w:eastAsia="Arial"/>
          <w:color w:val="000000"/>
        </w:rPr>
        <w:t>abemaciklibo</w:t>
      </w:r>
      <w:proofErr w:type="spellEnd"/>
      <w:r w:rsidRPr="004313C0">
        <w:rPr>
          <w:rFonts w:eastAsia="Arial"/>
          <w:color w:val="000000"/>
        </w:rPr>
        <w:t xml:space="preserve"> grupėje buvo didesnis nei placebo grupėje: 49,7  proc. (95 proc. PI: 44,3 proc. -55,1 proc.) ir 37 proc. (95 proc. PI: 29,6 proc. - 44,3 proc.), atitinkamai (p=0,005</w:t>
      </w:r>
      <w:r w:rsidRPr="004313C0">
        <w:rPr>
          <w:rFonts w:eastAsia="Arial"/>
          <w:color w:val="000000"/>
          <w:u w:val="single"/>
        </w:rPr>
        <w:t xml:space="preserve">). </w:t>
      </w:r>
      <w:r w:rsidRPr="004313C0">
        <w:rPr>
          <w:rFonts w:eastAsia="Arial"/>
          <w:u w:val="single"/>
        </w:rPr>
        <w:t xml:space="preserve"> </w:t>
      </w:r>
      <w:r w:rsidRPr="004313C0">
        <w:rPr>
          <w:rFonts w:eastAsia="Arial"/>
          <w:color w:val="000000"/>
          <w:u w:val="single"/>
        </w:rPr>
        <w:t>Laikas iki pirminio atsako į gydymo</w:t>
      </w:r>
      <w:r w:rsidRPr="004313C0">
        <w:rPr>
          <w:rFonts w:eastAsia="Arial"/>
          <w:color w:val="000000"/>
        </w:rPr>
        <w:t xml:space="preserve"> (auglio paplitimo sumažėjimas)  buvo panašus abejose tyrimo grupėje: 3,58 mėn. </w:t>
      </w:r>
      <w:proofErr w:type="spellStart"/>
      <w:r w:rsidRPr="004313C0">
        <w:rPr>
          <w:rFonts w:eastAsia="Arial"/>
          <w:color w:val="000000"/>
        </w:rPr>
        <w:t>abemaciklibo</w:t>
      </w:r>
      <w:proofErr w:type="spellEnd"/>
      <w:r w:rsidRPr="004313C0">
        <w:rPr>
          <w:rFonts w:eastAsia="Arial"/>
          <w:color w:val="000000"/>
        </w:rPr>
        <w:t xml:space="preserve"> grupėje ir 3,65 mėn. placebo grupėje. </w:t>
      </w:r>
      <w:r w:rsidRPr="004313C0">
        <w:rPr>
          <w:rFonts w:eastAsia="Arial"/>
          <w:color w:val="000000"/>
          <w:u w:val="single"/>
        </w:rPr>
        <w:t>Bendro išgyvenamumo</w:t>
      </w:r>
      <w:r w:rsidRPr="004313C0">
        <w:rPr>
          <w:rFonts w:eastAsia="Arial"/>
          <w:color w:val="000000"/>
        </w:rPr>
        <w:t xml:space="preserve"> mediana </w:t>
      </w:r>
      <w:proofErr w:type="spellStart"/>
      <w:r w:rsidRPr="004313C0">
        <w:rPr>
          <w:rFonts w:eastAsia="Arial"/>
          <w:color w:val="000000"/>
        </w:rPr>
        <w:t>abemaciklibo</w:t>
      </w:r>
      <w:proofErr w:type="spellEnd"/>
      <w:r w:rsidRPr="004313C0">
        <w:rPr>
          <w:rFonts w:eastAsia="Arial"/>
          <w:color w:val="000000"/>
        </w:rPr>
        <w:t xml:space="preserve"> grupėje buvo 67,1 mėn., palyginus su 54,5 mėn. placebo grupėje (RS=0754, 95 proc. PI: 0,584-0,974, p =0,0301). Abejose grupėse pacientės gavo paskesnę CDK4/6 inhibitorių terapiją: 10,1 proc. </w:t>
      </w:r>
      <w:proofErr w:type="spellStart"/>
      <w:r w:rsidRPr="004313C0">
        <w:rPr>
          <w:rFonts w:eastAsia="Arial"/>
          <w:color w:val="000000"/>
        </w:rPr>
        <w:t>abemaciklibo</w:t>
      </w:r>
      <w:proofErr w:type="spellEnd"/>
      <w:r w:rsidRPr="004313C0">
        <w:rPr>
          <w:rFonts w:eastAsia="Arial"/>
          <w:color w:val="000000"/>
        </w:rPr>
        <w:t xml:space="preserve"> (+AI) grupėje ir 31,5 proc. placebo (+AI) grupėje. Pažymėtina, kad gydant </w:t>
      </w:r>
      <w:proofErr w:type="spellStart"/>
      <w:r w:rsidRPr="004313C0">
        <w:rPr>
          <w:rFonts w:eastAsia="Arial"/>
          <w:color w:val="000000"/>
        </w:rPr>
        <w:t>abemaciklibu</w:t>
      </w:r>
      <w:proofErr w:type="spellEnd"/>
      <w:r w:rsidRPr="004313C0">
        <w:rPr>
          <w:rFonts w:eastAsia="Arial"/>
          <w:color w:val="000000"/>
        </w:rPr>
        <w:t xml:space="preserve"> (+AI) BI buvo taip pat reikšmingai geresnis pacientėms, kurioms buvo metastazės vidiniuose organuose, bet ne kauluose, nei gydant placebu (+AI):  65,1 mėn. </w:t>
      </w:r>
      <w:r w:rsidRPr="004313C0">
        <w:rPr>
          <w:rFonts w:eastAsia="Arial"/>
          <w:i/>
          <w:color w:val="000000"/>
        </w:rPr>
        <w:t>vs.</w:t>
      </w:r>
      <w:r w:rsidRPr="004313C0">
        <w:rPr>
          <w:rFonts w:eastAsia="Arial"/>
          <w:color w:val="000000"/>
        </w:rPr>
        <w:t xml:space="preserve"> 48,8 mėn. (RS=0,708; 95 proc. PI: 0,508 – 0,985; p=0,0392). Formaliai numatytas statesnis reikšmingumas tarp tyrimų grupių bei iš anksto numatytame pogrupyje nebuvo įrodytas atlikus antrą tarpinę analizę (p=0,0301, palyginus su numatytu p =0,025), todėl pacientų stebėjimas yra tęsiamas toliau. Tačiau, gauti rezultatai yra kliniškai reikšmingi ir rodo </w:t>
      </w:r>
      <w:proofErr w:type="spellStart"/>
      <w:r w:rsidRPr="004313C0">
        <w:rPr>
          <w:rFonts w:eastAsia="Arial"/>
          <w:color w:val="000000"/>
        </w:rPr>
        <w:t>abemaciklibo</w:t>
      </w:r>
      <w:proofErr w:type="spellEnd"/>
      <w:r w:rsidRPr="004313C0">
        <w:rPr>
          <w:rFonts w:eastAsia="Arial"/>
          <w:color w:val="000000"/>
        </w:rPr>
        <w:t xml:space="preserve"> (+AI) pranašumą prieš placebą (+AI).</w:t>
      </w:r>
    </w:p>
    <w:p w14:paraId="4A2DEE73" w14:textId="7FD9792B" w:rsidR="00E81D38" w:rsidRPr="004313C0" w:rsidRDefault="00E81D38" w:rsidP="00E81D38">
      <w:pPr>
        <w:tabs>
          <w:tab w:val="left" w:pos="426"/>
        </w:tabs>
        <w:spacing w:line="276" w:lineRule="auto"/>
        <w:jc w:val="both"/>
        <w:rPr>
          <w:rFonts w:eastAsia="Arial"/>
          <w:color w:val="000000"/>
        </w:rPr>
      </w:pPr>
      <w:r w:rsidRPr="004313C0">
        <w:rPr>
          <w:rFonts w:eastAsia="Arial"/>
          <w:color w:val="000000"/>
        </w:rPr>
        <w:tab/>
        <w:t xml:space="preserve">Pacientų praneštos baigčių palyginimo rezultatai neparodė statistiškai ir kliniškai reikšmingų skirtumų tarp palyginamųjų tyrimo grupių: pacientų gyvenimo kokybė nepablogėja gydant </w:t>
      </w:r>
      <w:proofErr w:type="spellStart"/>
      <w:r w:rsidRPr="004313C0">
        <w:rPr>
          <w:rFonts w:eastAsia="Arial"/>
          <w:color w:val="000000"/>
        </w:rPr>
        <w:t>abemaciklibu</w:t>
      </w:r>
      <w:proofErr w:type="spellEnd"/>
      <w:r w:rsidRPr="004313C0">
        <w:rPr>
          <w:rFonts w:eastAsia="Arial"/>
          <w:color w:val="000000"/>
        </w:rPr>
        <w:t xml:space="preserve"> (+AI). Tačiau gyvenimo kokybės pagerėjimo taip pat nebuvo užfik</w:t>
      </w:r>
      <w:r w:rsidR="00824F95">
        <w:rPr>
          <w:rFonts w:eastAsia="Arial"/>
          <w:color w:val="000000"/>
        </w:rPr>
        <w:t xml:space="preserve">suota taikant gydymą </w:t>
      </w:r>
      <w:proofErr w:type="spellStart"/>
      <w:r w:rsidR="00824F95">
        <w:rPr>
          <w:rFonts w:eastAsia="Arial"/>
          <w:color w:val="000000"/>
        </w:rPr>
        <w:t>abemaciklib</w:t>
      </w:r>
      <w:r w:rsidRPr="004313C0">
        <w:rPr>
          <w:rFonts w:eastAsia="Arial"/>
          <w:color w:val="000000"/>
        </w:rPr>
        <w:t>u</w:t>
      </w:r>
      <w:proofErr w:type="spellEnd"/>
      <w:r w:rsidRPr="004313C0">
        <w:rPr>
          <w:rFonts w:eastAsia="Arial"/>
          <w:color w:val="000000"/>
        </w:rPr>
        <w:t xml:space="preserve">. </w:t>
      </w:r>
    </w:p>
    <w:p w14:paraId="5F219C19" w14:textId="77777777" w:rsidR="00E81D38" w:rsidRPr="004313C0" w:rsidRDefault="00E81D38" w:rsidP="00E81D38">
      <w:pPr>
        <w:tabs>
          <w:tab w:val="left" w:pos="426"/>
        </w:tabs>
        <w:spacing w:line="276" w:lineRule="auto"/>
        <w:jc w:val="both"/>
        <w:rPr>
          <w:rFonts w:eastAsia="Arial"/>
          <w:color w:val="000000"/>
        </w:rPr>
      </w:pPr>
      <w:r w:rsidRPr="004313C0">
        <w:rPr>
          <w:rFonts w:eastAsia="Arial"/>
          <w:color w:val="000000"/>
        </w:rPr>
        <w:tab/>
        <w:t xml:space="preserve">Saugumo analizė parodė, kad </w:t>
      </w:r>
      <w:proofErr w:type="spellStart"/>
      <w:r w:rsidRPr="004313C0">
        <w:rPr>
          <w:rFonts w:eastAsia="Arial"/>
          <w:color w:val="000000"/>
        </w:rPr>
        <w:t>abemaciklibo</w:t>
      </w:r>
      <w:proofErr w:type="spellEnd"/>
      <w:r w:rsidRPr="004313C0">
        <w:rPr>
          <w:rFonts w:eastAsia="Arial"/>
          <w:color w:val="000000"/>
        </w:rPr>
        <w:t xml:space="preserve"> (+AI) grupėje buvo užregistruota 15 mirties atvejų (4,6 proc.), iš jų 11 atvejų buvo susiję su nepageidaujamais reiškiniais (NR), o placebo (+AI) grupėje – 3 mirties atvejai (1,9 proc.), iš kurių 2 atvejai buvo susiję su NR. </w:t>
      </w:r>
      <w:proofErr w:type="spellStart"/>
      <w:r w:rsidRPr="004313C0">
        <w:rPr>
          <w:rFonts w:eastAsia="Arial"/>
          <w:color w:val="000000"/>
        </w:rPr>
        <w:t>Abemaciklibo</w:t>
      </w:r>
      <w:proofErr w:type="spellEnd"/>
      <w:r w:rsidRPr="004313C0">
        <w:rPr>
          <w:rFonts w:eastAsia="Arial"/>
          <w:color w:val="000000"/>
        </w:rPr>
        <w:t xml:space="preserve"> grupėje buvo nustatyti 72,8 proc. 1 arba 2 sunkumo laipsnio viduriavimo atvejų ir dažnai pasiteikusieji </w:t>
      </w:r>
      <w:proofErr w:type="spellStart"/>
      <w:r w:rsidRPr="004313C0">
        <w:rPr>
          <w:rFonts w:eastAsia="Arial"/>
          <w:color w:val="000000"/>
        </w:rPr>
        <w:t>diarejos</w:t>
      </w:r>
      <w:proofErr w:type="spellEnd"/>
      <w:r w:rsidRPr="004313C0">
        <w:rPr>
          <w:rFonts w:eastAsia="Arial"/>
          <w:color w:val="000000"/>
        </w:rPr>
        <w:t xml:space="preserve"> atvejai (69,1 proc.) pirmo gydymo ciklo metu. Viduriavimo atvejai buvo valdomi sėkmingai tyrimo metu: 74,3 proc. pacienčių gavo atitinkamą gydymą viduriavimui sustabdyti </w:t>
      </w:r>
      <w:proofErr w:type="spellStart"/>
      <w:r w:rsidRPr="004313C0">
        <w:rPr>
          <w:rFonts w:eastAsia="Arial"/>
          <w:color w:val="000000"/>
        </w:rPr>
        <w:t>abemaciklibo</w:t>
      </w:r>
      <w:proofErr w:type="spellEnd"/>
      <w:r w:rsidRPr="004313C0">
        <w:rPr>
          <w:rFonts w:eastAsia="Arial"/>
          <w:color w:val="000000"/>
        </w:rPr>
        <w:t xml:space="preserve"> grupėje ir 30,8 proc. – placebo grupėje. Taip pat dėl viduriavimo 16,7 proc. pacienčių </w:t>
      </w:r>
      <w:proofErr w:type="spellStart"/>
      <w:r w:rsidRPr="004313C0">
        <w:rPr>
          <w:rFonts w:eastAsia="Arial"/>
          <w:color w:val="000000"/>
        </w:rPr>
        <w:t>abemaciklibo</w:t>
      </w:r>
      <w:proofErr w:type="spellEnd"/>
      <w:r w:rsidRPr="004313C0">
        <w:rPr>
          <w:rFonts w:eastAsia="Arial"/>
          <w:color w:val="000000"/>
        </w:rPr>
        <w:t xml:space="preserve"> dozė buvo sumažinta ir 19 proc. pacienčių – praleido tiriamojo vaistinio preparato dozę.  Galutinė saugumo analizė parodė, kad 82 pacienčių (25,1 proc.) </w:t>
      </w:r>
      <w:proofErr w:type="spellStart"/>
      <w:r w:rsidRPr="004313C0">
        <w:rPr>
          <w:rFonts w:eastAsia="Arial"/>
          <w:color w:val="000000"/>
        </w:rPr>
        <w:t>abemaciklibo</w:t>
      </w:r>
      <w:proofErr w:type="spellEnd"/>
      <w:r w:rsidRPr="004313C0">
        <w:rPr>
          <w:rFonts w:eastAsia="Arial"/>
          <w:color w:val="000000"/>
        </w:rPr>
        <w:t xml:space="preserve"> grupėje (+AI) turėjo nutraukti savo dalyvavimo tyriame dėl NR, palyginus 7(4,3 proc.) pacientėmis su placebo grupėje (+AI). </w:t>
      </w:r>
      <w:proofErr w:type="spellStart"/>
      <w:r w:rsidRPr="004313C0">
        <w:rPr>
          <w:rFonts w:eastAsia="Arial"/>
          <w:color w:val="000000"/>
        </w:rPr>
        <w:t>Abemaciklibo</w:t>
      </w:r>
      <w:proofErr w:type="spellEnd"/>
      <w:r w:rsidRPr="004313C0">
        <w:rPr>
          <w:rFonts w:eastAsia="Arial"/>
          <w:color w:val="000000"/>
        </w:rPr>
        <w:t xml:space="preserve"> saugumo profilis bendrai panašus į kitų CDK 4/6 inhibitorių, dagiau informacijos apie šio vaistinio preparato saugumą, specialus įspėjimus ir atsargumo priemones vartojimo metu yra </w:t>
      </w:r>
      <w:proofErr w:type="spellStart"/>
      <w:r w:rsidRPr="004313C0">
        <w:rPr>
          <w:rFonts w:eastAsia="Arial"/>
          <w:color w:val="000000"/>
        </w:rPr>
        <w:t>Verzenios</w:t>
      </w:r>
      <w:proofErr w:type="spellEnd"/>
      <w:r w:rsidRPr="004313C0">
        <w:rPr>
          <w:rFonts w:eastAsia="Arial"/>
          <w:color w:val="000000"/>
        </w:rPr>
        <w:t xml:space="preserve"> produkto charakteristikos santraukoje (https://ec.europa.eu/health/documents/community-register/html/h1307.htm). </w:t>
      </w:r>
    </w:p>
    <w:p w14:paraId="276E619F" w14:textId="77777777" w:rsidR="00E81D38" w:rsidRPr="004313C0" w:rsidRDefault="00E81D38" w:rsidP="00E81D38">
      <w:pPr>
        <w:tabs>
          <w:tab w:val="left" w:pos="426"/>
        </w:tabs>
        <w:spacing w:line="276" w:lineRule="auto"/>
        <w:jc w:val="both"/>
        <w:rPr>
          <w:rFonts w:eastAsia="Arial"/>
          <w:color w:val="000000"/>
        </w:rPr>
      </w:pPr>
    </w:p>
    <w:p w14:paraId="50A3D1E0" w14:textId="77777777" w:rsidR="00E81D38" w:rsidRPr="004313C0" w:rsidRDefault="00E81D38" w:rsidP="00E81D38">
      <w:pPr>
        <w:tabs>
          <w:tab w:val="left" w:pos="426"/>
        </w:tabs>
        <w:spacing w:line="276" w:lineRule="auto"/>
        <w:jc w:val="both"/>
        <w:rPr>
          <w:rFonts w:eastAsia="Arial"/>
          <w:i/>
          <w:color w:val="000000"/>
        </w:rPr>
      </w:pPr>
      <w:r w:rsidRPr="004313C0">
        <w:rPr>
          <w:rFonts w:eastAsia="Arial"/>
          <w:i/>
          <w:color w:val="000000"/>
        </w:rPr>
        <w:t>Netiesioginis palyginimas</w:t>
      </w:r>
    </w:p>
    <w:p w14:paraId="37B7524C" w14:textId="77777777" w:rsidR="00E81D38" w:rsidRPr="004313C0" w:rsidRDefault="00E81D38" w:rsidP="00E81D38">
      <w:pPr>
        <w:tabs>
          <w:tab w:val="left" w:pos="426"/>
        </w:tabs>
        <w:spacing w:line="276" w:lineRule="auto"/>
        <w:jc w:val="both"/>
        <w:rPr>
          <w:rFonts w:eastAsia="Arial"/>
          <w:color w:val="000000"/>
        </w:rPr>
      </w:pPr>
    </w:p>
    <w:p w14:paraId="0EDCF1DF" w14:textId="77777777" w:rsidR="00E81D38" w:rsidRPr="004313C0" w:rsidRDefault="00E81D38" w:rsidP="00E81D38">
      <w:pPr>
        <w:tabs>
          <w:tab w:val="left" w:pos="426"/>
        </w:tabs>
        <w:spacing w:line="276" w:lineRule="auto"/>
        <w:jc w:val="both"/>
        <w:rPr>
          <w:rFonts w:eastAsia="Arial"/>
          <w:color w:val="000000"/>
        </w:rPr>
      </w:pPr>
      <w:r w:rsidRPr="004313C0">
        <w:rPr>
          <w:rFonts w:eastAsia="Arial"/>
          <w:color w:val="000000"/>
        </w:rPr>
        <w:t xml:space="preserve">Kadangi šiuo metu </w:t>
      </w:r>
      <w:proofErr w:type="spellStart"/>
      <w:r w:rsidRPr="004313C0">
        <w:rPr>
          <w:rFonts w:eastAsia="Arial"/>
          <w:color w:val="000000"/>
        </w:rPr>
        <w:t>ribociklibas</w:t>
      </w:r>
      <w:proofErr w:type="spellEnd"/>
      <w:r w:rsidRPr="004313C0">
        <w:rPr>
          <w:rFonts w:eastAsia="Arial"/>
          <w:color w:val="000000"/>
        </w:rPr>
        <w:t xml:space="preserve"> yra vienintelis CDK 4/6 inhibitorius, kuris kompensuojamas pagal </w:t>
      </w:r>
      <w:proofErr w:type="spellStart"/>
      <w:r w:rsidRPr="004313C0">
        <w:rPr>
          <w:rFonts w:eastAsia="Arial"/>
          <w:color w:val="000000"/>
        </w:rPr>
        <w:t>abemaciklibo</w:t>
      </w:r>
      <w:proofErr w:type="spellEnd"/>
      <w:r w:rsidRPr="004313C0">
        <w:rPr>
          <w:rFonts w:eastAsia="Arial"/>
          <w:color w:val="000000"/>
        </w:rPr>
        <w:t xml:space="preserve"> siūlomą kompensuoti indikaciją, Pareiškėjas pateikė šių dvejų vaistinių preparatų  netiesioginį palyginimą. Palyginimui buvo naudojami panašūs klinikiniai tyrimai: MONARCH 3 vertinant </w:t>
      </w:r>
      <w:proofErr w:type="spellStart"/>
      <w:r w:rsidRPr="004313C0">
        <w:rPr>
          <w:rFonts w:eastAsia="Arial"/>
          <w:color w:val="000000"/>
        </w:rPr>
        <w:t>abemaciklibą</w:t>
      </w:r>
      <w:proofErr w:type="spellEnd"/>
      <w:r w:rsidRPr="004313C0">
        <w:rPr>
          <w:rFonts w:eastAsia="Arial"/>
          <w:color w:val="000000"/>
        </w:rPr>
        <w:t xml:space="preserve"> ir MONALEESA 2 vertinant </w:t>
      </w:r>
      <w:proofErr w:type="spellStart"/>
      <w:r w:rsidRPr="004313C0">
        <w:rPr>
          <w:rFonts w:eastAsia="Arial"/>
          <w:color w:val="000000"/>
        </w:rPr>
        <w:t>ribociklibą</w:t>
      </w:r>
      <w:proofErr w:type="spellEnd"/>
      <w:r w:rsidRPr="004313C0">
        <w:rPr>
          <w:rFonts w:eastAsia="Arial"/>
          <w:color w:val="000000"/>
        </w:rPr>
        <w:t xml:space="preserve">. Abu tyrimai buvo atsitiktinių imčių </w:t>
      </w:r>
      <w:r w:rsidRPr="004313C0">
        <w:rPr>
          <w:rFonts w:eastAsia="Arial"/>
          <w:color w:val="000000"/>
        </w:rPr>
        <w:lastRenderedPageBreak/>
        <w:t xml:space="preserve">dvigubai akli tyrimai, kurių metu buvo lyginamas CDK 4/6 inhibitorių, vartojamų kartu su AI, ir vien placebo su AI poveikis pacientėms, sergančioms HR+/HER2 – pasikartojančiu lokaliai išplitusiu arba </w:t>
      </w:r>
      <w:proofErr w:type="spellStart"/>
      <w:r w:rsidRPr="004313C0">
        <w:rPr>
          <w:rFonts w:eastAsia="Arial"/>
          <w:color w:val="000000"/>
        </w:rPr>
        <w:t>metastazavusiu</w:t>
      </w:r>
      <w:proofErr w:type="spellEnd"/>
      <w:r w:rsidRPr="004313C0">
        <w:rPr>
          <w:rFonts w:eastAsia="Arial"/>
          <w:color w:val="000000"/>
        </w:rPr>
        <w:t xml:space="preserve"> krūties vėžiu, kurioms nebuvo taikomas sisteminis gydymas.  Pirminis vertinimo rodiklis buvo laikas iki ligos progresavimo – išgyvenamumas be ligos progresavimo, antrinė pagrindinė baigtis - bendras išgyvenamumas.</w:t>
      </w:r>
    </w:p>
    <w:p w14:paraId="4D37BDB2" w14:textId="77777777" w:rsidR="00E81D38" w:rsidRPr="004313C0" w:rsidRDefault="00E81D38" w:rsidP="00E81D38">
      <w:pPr>
        <w:tabs>
          <w:tab w:val="left" w:pos="426"/>
        </w:tabs>
        <w:spacing w:line="276" w:lineRule="auto"/>
        <w:jc w:val="both"/>
        <w:rPr>
          <w:rFonts w:eastAsia="Arial"/>
          <w:color w:val="000000"/>
        </w:rPr>
      </w:pPr>
      <w:r w:rsidRPr="004313C0">
        <w:rPr>
          <w:rFonts w:eastAsia="Arial"/>
          <w:color w:val="000000"/>
        </w:rPr>
        <w:tab/>
        <w:t xml:space="preserve">Netiesioginio palyginimo analizė, parodė, kad IBLP gydant </w:t>
      </w:r>
      <w:proofErr w:type="spellStart"/>
      <w:r w:rsidRPr="004313C0">
        <w:rPr>
          <w:rFonts w:eastAsia="Arial"/>
          <w:color w:val="000000"/>
        </w:rPr>
        <w:t>ribociklibu</w:t>
      </w:r>
      <w:proofErr w:type="spellEnd"/>
      <w:r w:rsidRPr="004313C0">
        <w:rPr>
          <w:rFonts w:eastAsia="Arial"/>
          <w:color w:val="000000"/>
        </w:rPr>
        <w:t xml:space="preserve"> arba </w:t>
      </w:r>
      <w:proofErr w:type="spellStart"/>
      <w:r w:rsidRPr="004313C0">
        <w:rPr>
          <w:rFonts w:eastAsia="Arial"/>
          <w:color w:val="000000"/>
        </w:rPr>
        <w:t>abemaciklibu</w:t>
      </w:r>
      <w:proofErr w:type="spellEnd"/>
      <w:r w:rsidRPr="004313C0">
        <w:rPr>
          <w:rFonts w:eastAsia="Arial"/>
          <w:color w:val="000000"/>
        </w:rPr>
        <w:t xml:space="preserve"> yra panašus: RS= 1,04 (0,71 – 1,52). Statistiškai reikšmingų skirtumų tarp CDK4/6 inhibitorių vertinant bendrąjį išgyvenamumą taip pat nebuvo. Lyginant </w:t>
      </w:r>
      <w:proofErr w:type="spellStart"/>
      <w:r w:rsidRPr="004313C0">
        <w:rPr>
          <w:rFonts w:eastAsia="Arial"/>
          <w:color w:val="000000"/>
        </w:rPr>
        <w:t>ribociklibo</w:t>
      </w:r>
      <w:proofErr w:type="spellEnd"/>
      <w:r w:rsidRPr="004313C0">
        <w:rPr>
          <w:rFonts w:eastAsia="Arial"/>
          <w:color w:val="000000"/>
        </w:rPr>
        <w:t xml:space="preserve"> ir </w:t>
      </w:r>
      <w:proofErr w:type="spellStart"/>
      <w:r w:rsidRPr="004313C0">
        <w:rPr>
          <w:rFonts w:eastAsia="Arial"/>
          <w:color w:val="000000"/>
        </w:rPr>
        <w:t>abemaciklibo</w:t>
      </w:r>
      <w:proofErr w:type="spellEnd"/>
      <w:r w:rsidRPr="004313C0">
        <w:rPr>
          <w:rFonts w:eastAsia="Arial"/>
          <w:color w:val="000000"/>
        </w:rPr>
        <w:t xml:space="preserve"> bendrąjį išgyvenamumą skirtumų nebuvo nustatyta (HR 1,01 [95% PI 0,70-1,45, p = 0,96]).</w:t>
      </w:r>
    </w:p>
    <w:p w14:paraId="6E752CA7" w14:textId="77777777" w:rsidR="00E81D38" w:rsidRPr="004313C0" w:rsidRDefault="00E81D38" w:rsidP="00E81D38">
      <w:pPr>
        <w:tabs>
          <w:tab w:val="left" w:pos="426"/>
        </w:tabs>
        <w:spacing w:line="276" w:lineRule="auto"/>
        <w:jc w:val="both"/>
        <w:rPr>
          <w:rFonts w:eastAsia="Arial"/>
          <w:color w:val="000000"/>
        </w:rPr>
      </w:pPr>
      <w:r w:rsidRPr="004313C0">
        <w:rPr>
          <w:rFonts w:eastAsia="Arial"/>
          <w:color w:val="000000"/>
        </w:rPr>
        <w:tab/>
        <w:t>Vertinant NR dažnius, registruotas klinikiniuose tyrimuose, kai CDK 4/6 inhibitoriai derinimai kartu su AI (pirmos eilės gydymas). Visi 3-4 sunkumo laipsnio NR (</w:t>
      </w:r>
      <w:proofErr w:type="spellStart"/>
      <w:r w:rsidRPr="004313C0">
        <w:rPr>
          <w:rFonts w:eastAsia="Arial"/>
          <w:color w:val="000000"/>
        </w:rPr>
        <w:t>t.y</w:t>
      </w:r>
      <w:proofErr w:type="spellEnd"/>
      <w:r w:rsidRPr="004313C0">
        <w:rPr>
          <w:rFonts w:eastAsia="Arial"/>
          <w:color w:val="000000"/>
        </w:rPr>
        <w:t xml:space="preserve">. </w:t>
      </w:r>
      <w:proofErr w:type="spellStart"/>
      <w:r w:rsidRPr="004313C0">
        <w:rPr>
          <w:rFonts w:eastAsia="Arial"/>
          <w:color w:val="000000"/>
        </w:rPr>
        <w:t>leukopenija</w:t>
      </w:r>
      <w:proofErr w:type="spellEnd"/>
      <w:r w:rsidRPr="004313C0">
        <w:rPr>
          <w:rFonts w:eastAsia="Arial"/>
          <w:color w:val="000000"/>
        </w:rPr>
        <w:t xml:space="preserve">, </w:t>
      </w:r>
      <w:proofErr w:type="spellStart"/>
      <w:r w:rsidRPr="004313C0">
        <w:rPr>
          <w:rFonts w:eastAsia="Arial"/>
          <w:color w:val="000000"/>
        </w:rPr>
        <w:t>neutropenija</w:t>
      </w:r>
      <w:proofErr w:type="spellEnd"/>
      <w:r w:rsidRPr="004313C0">
        <w:rPr>
          <w:rFonts w:eastAsia="Arial"/>
          <w:color w:val="000000"/>
        </w:rPr>
        <w:t xml:space="preserve">, anemija, AST/ALT padidėjimas, viduriavimas ir </w:t>
      </w:r>
      <w:proofErr w:type="spellStart"/>
      <w:r w:rsidRPr="004313C0">
        <w:rPr>
          <w:rFonts w:eastAsia="Arial"/>
          <w:color w:val="000000"/>
        </w:rPr>
        <w:t>QTcF</w:t>
      </w:r>
      <w:proofErr w:type="spellEnd"/>
      <w:r w:rsidRPr="004313C0">
        <w:rPr>
          <w:rFonts w:eastAsia="Arial"/>
          <w:color w:val="000000"/>
        </w:rPr>
        <w:t xml:space="preserve"> padidėjimas virš 480 </w:t>
      </w:r>
      <w:proofErr w:type="spellStart"/>
      <w:r w:rsidRPr="004313C0">
        <w:rPr>
          <w:rFonts w:eastAsia="Arial"/>
          <w:color w:val="000000"/>
        </w:rPr>
        <w:t>ms</w:t>
      </w:r>
      <w:proofErr w:type="spellEnd"/>
      <w:r w:rsidRPr="004313C0">
        <w:rPr>
          <w:rFonts w:eastAsia="Arial"/>
          <w:color w:val="000000"/>
        </w:rPr>
        <w:t xml:space="preserve">) buvo išanalizuoti ir įvertinti. Skirtumo tarp </w:t>
      </w:r>
      <w:proofErr w:type="spellStart"/>
      <w:r w:rsidRPr="004313C0">
        <w:rPr>
          <w:rFonts w:eastAsia="Arial"/>
          <w:color w:val="000000"/>
        </w:rPr>
        <w:t>abemaciklbo</w:t>
      </w:r>
      <w:proofErr w:type="spellEnd"/>
      <w:r w:rsidRPr="004313C0">
        <w:rPr>
          <w:rFonts w:eastAsia="Arial"/>
          <w:color w:val="000000"/>
        </w:rPr>
        <w:t xml:space="preserve"> ir </w:t>
      </w:r>
      <w:proofErr w:type="spellStart"/>
      <w:r w:rsidRPr="004313C0">
        <w:rPr>
          <w:rFonts w:eastAsia="Arial"/>
          <w:color w:val="000000"/>
        </w:rPr>
        <w:t>ribaciklibo</w:t>
      </w:r>
      <w:proofErr w:type="spellEnd"/>
      <w:r w:rsidRPr="004313C0">
        <w:rPr>
          <w:rFonts w:eastAsia="Arial"/>
          <w:color w:val="000000"/>
        </w:rPr>
        <w:t xml:space="preserve"> derinio su AI nebuvo nustatyto. Duomenų heterogeniškumas buvo mažas (I2=0 proc.).</w:t>
      </w:r>
    </w:p>
    <w:p w14:paraId="203EFE74" w14:textId="71556297" w:rsidR="00E81D38" w:rsidRPr="004313C0" w:rsidRDefault="00E81D38" w:rsidP="00E81D38">
      <w:pPr>
        <w:tabs>
          <w:tab w:val="left" w:pos="426"/>
        </w:tabs>
        <w:spacing w:line="276" w:lineRule="auto"/>
        <w:jc w:val="both"/>
        <w:rPr>
          <w:rFonts w:eastAsia="Arial"/>
        </w:rPr>
      </w:pPr>
      <w:r w:rsidRPr="004313C0">
        <w:rPr>
          <w:rFonts w:eastAsia="Arial"/>
          <w:color w:val="000000"/>
        </w:rPr>
        <w:tab/>
        <w:t xml:space="preserve">Apibendrinant, remiantis klinikinio veiksmingumo ir saugumo duomenis, gydymas </w:t>
      </w:r>
      <w:proofErr w:type="spellStart"/>
      <w:r w:rsidRPr="004313C0">
        <w:rPr>
          <w:rFonts w:eastAsia="Arial"/>
          <w:color w:val="000000"/>
        </w:rPr>
        <w:t>abemaciklibu</w:t>
      </w:r>
      <w:proofErr w:type="spellEnd"/>
      <w:r w:rsidRPr="004313C0">
        <w:rPr>
          <w:rFonts w:eastAsia="Arial"/>
          <w:color w:val="000000"/>
        </w:rPr>
        <w:t xml:space="preserve"> derinyje su </w:t>
      </w:r>
      <w:proofErr w:type="spellStart"/>
      <w:r w:rsidRPr="004313C0">
        <w:rPr>
          <w:rFonts w:eastAsia="Arial"/>
          <w:color w:val="000000"/>
        </w:rPr>
        <w:t>aromatazės</w:t>
      </w:r>
      <w:proofErr w:type="spellEnd"/>
      <w:r w:rsidRPr="004313C0">
        <w:rPr>
          <w:rFonts w:eastAsia="Arial"/>
          <w:color w:val="000000"/>
        </w:rPr>
        <w:t xml:space="preserve"> inhibitoriumi- (AI) tikėtinai panašus į gydymą </w:t>
      </w:r>
      <w:proofErr w:type="spellStart"/>
      <w:r w:rsidRPr="004313C0">
        <w:rPr>
          <w:rFonts w:eastAsia="Arial"/>
          <w:color w:val="000000"/>
        </w:rPr>
        <w:t>ribociklibu</w:t>
      </w:r>
      <w:proofErr w:type="spellEnd"/>
      <w:r w:rsidRPr="004313C0">
        <w:rPr>
          <w:rFonts w:eastAsia="Arial"/>
          <w:color w:val="000000"/>
        </w:rPr>
        <w:t xml:space="preserve"> derinyje su AI. Todėl daro</w:t>
      </w:r>
      <w:r w:rsidR="00223E7A" w:rsidRPr="004313C0">
        <w:rPr>
          <w:rFonts w:eastAsia="Arial"/>
          <w:color w:val="000000"/>
        </w:rPr>
        <w:t>ma</w:t>
      </w:r>
      <w:r w:rsidRPr="004313C0">
        <w:rPr>
          <w:rFonts w:eastAsia="Arial"/>
          <w:color w:val="000000"/>
        </w:rPr>
        <w:t xml:space="preserve"> išvada, </w:t>
      </w:r>
      <w:r w:rsidR="001024D2" w:rsidRPr="004313C0">
        <w:rPr>
          <w:rFonts w:eastAsia="Arial"/>
          <w:color w:val="000000"/>
        </w:rPr>
        <w:t xml:space="preserve">kad </w:t>
      </w:r>
      <w:proofErr w:type="spellStart"/>
      <w:r w:rsidRPr="004313C0">
        <w:rPr>
          <w:rFonts w:eastAsia="Arial"/>
          <w:color w:val="000000"/>
        </w:rPr>
        <w:t>abemaciklibo</w:t>
      </w:r>
      <w:proofErr w:type="spellEnd"/>
      <w:r w:rsidRPr="004313C0">
        <w:rPr>
          <w:rFonts w:eastAsia="Arial"/>
          <w:color w:val="000000"/>
        </w:rPr>
        <w:t xml:space="preserve"> derinio su </w:t>
      </w:r>
      <w:proofErr w:type="spellStart"/>
      <w:r w:rsidRPr="004313C0">
        <w:rPr>
          <w:rFonts w:eastAsia="Arial"/>
          <w:color w:val="000000"/>
        </w:rPr>
        <w:t>aromatazės</w:t>
      </w:r>
      <w:proofErr w:type="spellEnd"/>
      <w:r w:rsidRPr="004313C0">
        <w:rPr>
          <w:rFonts w:eastAsia="Arial"/>
          <w:color w:val="000000"/>
        </w:rPr>
        <w:t xml:space="preserve"> inhibi</w:t>
      </w:r>
      <w:r w:rsidR="00AE285E" w:rsidRPr="004313C0">
        <w:rPr>
          <w:rFonts w:eastAsia="Arial"/>
          <w:color w:val="000000"/>
        </w:rPr>
        <w:t>to</w:t>
      </w:r>
      <w:r w:rsidRPr="004313C0">
        <w:rPr>
          <w:rFonts w:eastAsia="Arial"/>
          <w:color w:val="000000"/>
        </w:rPr>
        <w:t>riumi klinikinis veiksmingumas nesiskiria nuo įprastinės praktikos.</w:t>
      </w:r>
    </w:p>
    <w:p w14:paraId="34DB45CF" w14:textId="77777777" w:rsidR="00E81D38" w:rsidRPr="004313C0" w:rsidRDefault="00E81D38" w:rsidP="00E81D38">
      <w:pPr>
        <w:tabs>
          <w:tab w:val="left" w:pos="284"/>
        </w:tabs>
        <w:rPr>
          <w:b/>
          <w:bCs/>
          <w:caps/>
        </w:rPr>
      </w:pPr>
    </w:p>
    <w:p w14:paraId="7DE09EB5" w14:textId="69E9DD74" w:rsidR="00E03C3F" w:rsidRPr="004313C0" w:rsidRDefault="00CC7832" w:rsidP="00CC09D4">
      <w:pPr>
        <w:pStyle w:val="Sraopastraipa"/>
        <w:numPr>
          <w:ilvl w:val="0"/>
          <w:numId w:val="12"/>
        </w:numPr>
        <w:tabs>
          <w:tab w:val="left" w:pos="567"/>
        </w:tabs>
        <w:ind w:hanging="720"/>
        <w:rPr>
          <w:b/>
          <w:bCs/>
          <w:caps/>
        </w:rPr>
      </w:pPr>
      <w:r w:rsidRPr="004313C0">
        <w:rPr>
          <w:b/>
          <w:bCs/>
          <w:caps/>
        </w:rPr>
        <w:t xml:space="preserve">ekonominio vertinimo </w:t>
      </w:r>
      <w:r w:rsidR="002F0E4F" w:rsidRPr="004313C0">
        <w:rPr>
          <w:b/>
          <w:bCs/>
          <w:caps/>
        </w:rPr>
        <w:t>apibendrinimas</w:t>
      </w:r>
    </w:p>
    <w:p w14:paraId="1A900598" w14:textId="4826E5DF" w:rsidR="00C62B36" w:rsidRPr="004313C0" w:rsidRDefault="00C62B36" w:rsidP="00A93AA6">
      <w:pPr>
        <w:tabs>
          <w:tab w:val="left" w:pos="426"/>
        </w:tabs>
        <w:rPr>
          <w:i/>
          <w:sz w:val="22"/>
          <w:szCs w:val="22"/>
        </w:rPr>
      </w:pPr>
    </w:p>
    <w:p w14:paraId="375B8EE7" w14:textId="155AE1B5" w:rsidR="0079279E" w:rsidRPr="004313C0" w:rsidRDefault="0079279E" w:rsidP="0079279E">
      <w:pPr>
        <w:pStyle w:val="VVKT"/>
        <w:rPr>
          <w:szCs w:val="24"/>
        </w:rPr>
      </w:pPr>
      <w:r w:rsidRPr="004313C0">
        <w:rPr>
          <w:iCs/>
          <w:szCs w:val="24"/>
        </w:rPr>
        <w:tab/>
      </w:r>
      <w:bookmarkStart w:id="0" w:name="_Hlk146834618"/>
      <w:r w:rsidRPr="004313C0">
        <w:rPr>
          <w:iCs/>
          <w:szCs w:val="24"/>
        </w:rPr>
        <w:t xml:space="preserve">Pateikta </w:t>
      </w:r>
      <w:r w:rsidRPr="004313C0">
        <w:rPr>
          <w:szCs w:val="24"/>
        </w:rPr>
        <w:t>supaprastinta ekonominė analizė – kaštų mažinimo analizė.</w:t>
      </w:r>
      <w:r w:rsidRPr="004313C0">
        <w:rPr>
          <w:iCs/>
          <w:szCs w:val="24"/>
        </w:rPr>
        <w:t xml:space="preserve"> </w:t>
      </w:r>
      <w:r w:rsidRPr="004313C0">
        <w:rPr>
          <w:szCs w:val="24"/>
        </w:rPr>
        <w:t>Į ekonominę analizę įtraukti pacientai atitinka kompensacijai t</w:t>
      </w:r>
      <w:r w:rsidR="00824F95">
        <w:rPr>
          <w:szCs w:val="24"/>
        </w:rPr>
        <w:t>eikiamas terapines indikacijas.</w:t>
      </w:r>
    </w:p>
    <w:p w14:paraId="3F627F15" w14:textId="44FD9120" w:rsidR="0079279E" w:rsidRPr="004313C0" w:rsidRDefault="0079279E" w:rsidP="0079279E">
      <w:pPr>
        <w:pStyle w:val="VVKT"/>
        <w:rPr>
          <w:rFonts w:eastAsia="Arial"/>
          <w:szCs w:val="24"/>
        </w:rPr>
      </w:pPr>
      <w:r w:rsidRPr="004313C0">
        <w:rPr>
          <w:rFonts w:eastAsia="Arial"/>
          <w:szCs w:val="24"/>
        </w:rPr>
        <w:t xml:space="preserve">Pateiktoje ekonominėje analizėje palyginamasis gydymas yra gydymas </w:t>
      </w:r>
      <w:proofErr w:type="spellStart"/>
      <w:r w:rsidRPr="004313C0">
        <w:rPr>
          <w:rFonts w:eastAsia="Arial"/>
          <w:szCs w:val="24"/>
        </w:rPr>
        <w:t>ribociklibu</w:t>
      </w:r>
      <w:proofErr w:type="spellEnd"/>
      <w:r w:rsidRPr="004313C0">
        <w:rPr>
          <w:rFonts w:eastAsia="Arial"/>
          <w:szCs w:val="24"/>
        </w:rPr>
        <w:t xml:space="preserve">. Ekonominėje analizėje pateiktas palyginamasis gydymas atitinka įprastą Lietuvos Respublikos klinikinę praktiką. </w:t>
      </w:r>
    </w:p>
    <w:p w14:paraId="7E413A2D" w14:textId="32DAA818" w:rsidR="0079279E" w:rsidRPr="004313C0" w:rsidRDefault="0079279E" w:rsidP="0079279E">
      <w:pPr>
        <w:pStyle w:val="VVKT"/>
        <w:rPr>
          <w:rFonts w:eastAsia="Arial"/>
          <w:szCs w:val="24"/>
        </w:rPr>
      </w:pPr>
      <w:r w:rsidRPr="004313C0">
        <w:rPr>
          <w:rFonts w:eastAsia="Arial"/>
          <w:szCs w:val="24"/>
        </w:rPr>
        <w:t>Analizės struktūra yra tinkama kaštų palyginimo analizei atlikti. Analizė atlikta iš PSDF biudžeto perspektyvos, įtraukti tiesiogiai su sveikatos sistema susiję kaštai. Analizėje taikoma 1 metų laiko perspektyva. Pasirinkta laiko perspektyva, Tarnybos nuomone, yra netinkama.</w:t>
      </w:r>
    </w:p>
    <w:p w14:paraId="716AE133" w14:textId="316429AB" w:rsidR="0079279E" w:rsidRPr="004313C0" w:rsidRDefault="0079279E" w:rsidP="0079279E">
      <w:pPr>
        <w:pStyle w:val="VVKT"/>
        <w:rPr>
          <w:rFonts w:eastAsia="Arial"/>
          <w:szCs w:val="24"/>
        </w:rPr>
      </w:pPr>
      <w:r w:rsidRPr="004313C0">
        <w:rPr>
          <w:rFonts w:eastAsia="Arial"/>
          <w:szCs w:val="24"/>
        </w:rPr>
        <w:t>Į kaštų mažinimo analizę įtraukiami vaistinių preparatų įsigijimo ir nepageidaujamų reiškinių valdymo kaštai</w:t>
      </w:r>
    </w:p>
    <w:p w14:paraId="4D1A1FDB" w14:textId="24424A60" w:rsidR="0079279E" w:rsidRPr="004313C0" w:rsidRDefault="0079279E" w:rsidP="0079279E">
      <w:pPr>
        <w:pStyle w:val="VVKT"/>
        <w:rPr>
          <w:szCs w:val="24"/>
        </w:rPr>
      </w:pPr>
      <w:r w:rsidRPr="004313C0">
        <w:rPr>
          <w:szCs w:val="24"/>
        </w:rPr>
        <w:t>Tarnyba, atlikdama kaštų mažinimo analizės rezultatų perskaičiavimą, atliko šiuos analizės parametrų pakeitimus:</w:t>
      </w:r>
    </w:p>
    <w:p w14:paraId="7E44FDAE" w14:textId="77777777" w:rsidR="0079279E" w:rsidRPr="004313C0" w:rsidRDefault="0079279E" w:rsidP="0079279E">
      <w:pPr>
        <w:pStyle w:val="VVKT"/>
        <w:rPr>
          <w:szCs w:val="24"/>
        </w:rPr>
      </w:pPr>
      <w:r w:rsidRPr="004313C0">
        <w:rPr>
          <w:szCs w:val="24"/>
        </w:rPr>
        <w:t>1.</w:t>
      </w:r>
      <w:r w:rsidRPr="004313C0">
        <w:rPr>
          <w:szCs w:val="24"/>
        </w:rPr>
        <w:tab/>
        <w:t xml:space="preserve">taiko PSDF atžvilgiu konservatyvias prielaidas nustatydama </w:t>
      </w:r>
      <w:proofErr w:type="spellStart"/>
      <w:r w:rsidRPr="004313C0">
        <w:rPr>
          <w:szCs w:val="24"/>
        </w:rPr>
        <w:t>abemaciklibo</w:t>
      </w:r>
      <w:proofErr w:type="spellEnd"/>
      <w:r w:rsidRPr="004313C0">
        <w:rPr>
          <w:szCs w:val="24"/>
        </w:rPr>
        <w:t xml:space="preserve"> ir </w:t>
      </w:r>
      <w:proofErr w:type="spellStart"/>
      <w:r w:rsidRPr="004313C0">
        <w:rPr>
          <w:szCs w:val="24"/>
        </w:rPr>
        <w:t>ribociklibo</w:t>
      </w:r>
      <w:proofErr w:type="spellEnd"/>
      <w:r w:rsidRPr="004313C0">
        <w:rPr>
          <w:szCs w:val="24"/>
        </w:rPr>
        <w:t xml:space="preserve"> gydymo trukmę, t. y. taiko prielaidą, kad abu vaistai vartojami iki ligos progresijos, kurios medianos buvo nustatytos klinikinių tyrimų metu – 28,18 mėn. </w:t>
      </w:r>
      <w:proofErr w:type="spellStart"/>
      <w:r w:rsidRPr="004313C0">
        <w:rPr>
          <w:szCs w:val="24"/>
        </w:rPr>
        <w:t>abemaciklibo</w:t>
      </w:r>
      <w:proofErr w:type="spellEnd"/>
      <w:r w:rsidRPr="004313C0">
        <w:rPr>
          <w:szCs w:val="24"/>
        </w:rPr>
        <w:t xml:space="preserve"> grupėje ir 25,3 mėn. </w:t>
      </w:r>
      <w:proofErr w:type="spellStart"/>
      <w:r w:rsidRPr="004313C0">
        <w:rPr>
          <w:szCs w:val="24"/>
        </w:rPr>
        <w:t>ribociklibo</w:t>
      </w:r>
      <w:proofErr w:type="spellEnd"/>
      <w:r w:rsidRPr="004313C0">
        <w:rPr>
          <w:szCs w:val="24"/>
        </w:rPr>
        <w:t xml:space="preserve"> grupėje.</w:t>
      </w:r>
    </w:p>
    <w:p w14:paraId="37C4F658" w14:textId="77777777" w:rsidR="0079279E" w:rsidRPr="004313C0" w:rsidRDefault="0079279E" w:rsidP="0079279E">
      <w:pPr>
        <w:pStyle w:val="VVKT"/>
        <w:rPr>
          <w:szCs w:val="24"/>
        </w:rPr>
      </w:pPr>
      <w:r w:rsidRPr="004313C0">
        <w:rPr>
          <w:szCs w:val="24"/>
        </w:rPr>
        <w:t>2.</w:t>
      </w:r>
      <w:r w:rsidRPr="004313C0">
        <w:rPr>
          <w:szCs w:val="24"/>
        </w:rPr>
        <w:tab/>
        <w:t>įtraukiami nepageidaujamų reiškinių valdymo kaštai.</w:t>
      </w:r>
    </w:p>
    <w:p w14:paraId="1747A0C7" w14:textId="4B9B3972" w:rsidR="0079279E" w:rsidRPr="004313C0" w:rsidRDefault="0079279E" w:rsidP="0079279E">
      <w:pPr>
        <w:pStyle w:val="VVKT"/>
        <w:rPr>
          <w:szCs w:val="24"/>
        </w:rPr>
      </w:pPr>
      <w:r w:rsidRPr="004313C0">
        <w:rPr>
          <w:szCs w:val="24"/>
        </w:rPr>
        <w:t>3.</w:t>
      </w:r>
      <w:r w:rsidRPr="004313C0">
        <w:rPr>
          <w:szCs w:val="24"/>
        </w:rPr>
        <w:tab/>
        <w:t xml:space="preserve">taikoma prielaidą, kad 50 proc. pacientų yra skiriama 150 mg. </w:t>
      </w:r>
      <w:proofErr w:type="spellStart"/>
      <w:r w:rsidRPr="004313C0">
        <w:rPr>
          <w:szCs w:val="24"/>
        </w:rPr>
        <w:t>abemaciklibo</w:t>
      </w:r>
      <w:proofErr w:type="spellEnd"/>
      <w:r w:rsidRPr="004313C0">
        <w:rPr>
          <w:szCs w:val="24"/>
        </w:rPr>
        <w:t xml:space="preserve"> pakuotė, 40 proc. – 100 mg </w:t>
      </w:r>
      <w:proofErr w:type="spellStart"/>
      <w:r w:rsidRPr="004313C0">
        <w:rPr>
          <w:szCs w:val="24"/>
        </w:rPr>
        <w:t>abemaciklibo</w:t>
      </w:r>
      <w:proofErr w:type="spellEnd"/>
      <w:r w:rsidRPr="004313C0">
        <w:rPr>
          <w:szCs w:val="24"/>
        </w:rPr>
        <w:t xml:space="preserve"> pakuotė, 10 proc. – 50 mg </w:t>
      </w:r>
      <w:proofErr w:type="spellStart"/>
      <w:r w:rsidRPr="004313C0">
        <w:rPr>
          <w:szCs w:val="24"/>
        </w:rPr>
        <w:t>abemaciklibo</w:t>
      </w:r>
      <w:proofErr w:type="spellEnd"/>
      <w:r w:rsidRPr="004313C0">
        <w:rPr>
          <w:szCs w:val="24"/>
        </w:rPr>
        <w:t xml:space="preserve"> pakuotė. Apskaičiuotas dozės intensyvumas siekia 0,8, t. y. tiek pat, kiek pareiškėjo pateiktuose šaltiniuose ir </w:t>
      </w:r>
      <w:r w:rsidR="009E17C4" w:rsidRPr="004313C0">
        <w:rPr>
          <w:szCs w:val="24"/>
        </w:rPr>
        <w:t>šiek tiek</w:t>
      </w:r>
      <w:r w:rsidRPr="004313C0">
        <w:rPr>
          <w:szCs w:val="24"/>
        </w:rPr>
        <w:t xml:space="preserve"> daugiau, nei rodo realaus skyrimo duomenys iš VLK skelbiamų ataskaitų (0,77). Tuo tarpu atsižvelgiant į </w:t>
      </w:r>
      <w:proofErr w:type="spellStart"/>
      <w:r w:rsidRPr="004313C0">
        <w:rPr>
          <w:szCs w:val="24"/>
        </w:rPr>
        <w:t>ribociklibo</w:t>
      </w:r>
      <w:proofErr w:type="spellEnd"/>
      <w:r w:rsidRPr="004313C0">
        <w:rPr>
          <w:szCs w:val="24"/>
        </w:rPr>
        <w:t xml:space="preserve"> dozės intensyvumą (0,8), nustatytą pareiškėjo pateiktame šaltinyje, taikoma prielaida, kad vidutinė </w:t>
      </w:r>
      <w:proofErr w:type="spellStart"/>
      <w:r w:rsidRPr="004313C0">
        <w:rPr>
          <w:szCs w:val="24"/>
        </w:rPr>
        <w:t>ribociklibo</w:t>
      </w:r>
      <w:proofErr w:type="spellEnd"/>
      <w:r w:rsidRPr="004313C0">
        <w:rPr>
          <w:szCs w:val="24"/>
        </w:rPr>
        <w:t xml:space="preserve"> dozė pacientui yra skiriama 479,95 mg. Tokiu būdu analizėje taikoma prielaida, kad dozės mažinimo p</w:t>
      </w:r>
      <w:r w:rsidR="00AE285E" w:rsidRPr="004313C0">
        <w:rPr>
          <w:szCs w:val="24"/>
        </w:rPr>
        <w:t xml:space="preserve">rielaidos </w:t>
      </w:r>
      <w:proofErr w:type="spellStart"/>
      <w:r w:rsidR="00AE285E" w:rsidRPr="004313C0">
        <w:rPr>
          <w:szCs w:val="24"/>
        </w:rPr>
        <w:t>abemaciklibo</w:t>
      </w:r>
      <w:proofErr w:type="spellEnd"/>
      <w:r w:rsidR="00AE285E" w:rsidRPr="004313C0">
        <w:rPr>
          <w:szCs w:val="24"/>
        </w:rPr>
        <w:t xml:space="preserve"> ir </w:t>
      </w:r>
      <w:proofErr w:type="spellStart"/>
      <w:r w:rsidR="00AE285E" w:rsidRPr="004313C0">
        <w:rPr>
          <w:szCs w:val="24"/>
        </w:rPr>
        <w:t>riboc</w:t>
      </w:r>
      <w:r w:rsidRPr="004313C0">
        <w:rPr>
          <w:szCs w:val="24"/>
        </w:rPr>
        <w:t>iklibo</w:t>
      </w:r>
      <w:proofErr w:type="spellEnd"/>
      <w:r w:rsidRPr="004313C0">
        <w:rPr>
          <w:szCs w:val="24"/>
        </w:rPr>
        <w:t xml:space="preserve"> grupėse yra vienodos.</w:t>
      </w:r>
    </w:p>
    <w:p w14:paraId="468DB895" w14:textId="77777777" w:rsidR="0079279E" w:rsidRPr="004313C0" w:rsidRDefault="0079279E" w:rsidP="0079279E">
      <w:pPr>
        <w:pStyle w:val="VVKT"/>
        <w:rPr>
          <w:rFonts w:eastAsia="Arial"/>
        </w:rPr>
      </w:pPr>
      <w:r w:rsidRPr="004313C0">
        <w:rPr>
          <w:rFonts w:eastAsia="Arial"/>
        </w:rPr>
        <w:lastRenderedPageBreak/>
        <w:t xml:space="preserve">Kaštų mažinimo analizės rezultatas rodo, kad gydymas </w:t>
      </w:r>
      <w:proofErr w:type="spellStart"/>
      <w:r w:rsidRPr="004313C0">
        <w:rPr>
          <w:rFonts w:eastAsia="Arial"/>
        </w:rPr>
        <w:t>abemaciklibu</w:t>
      </w:r>
      <w:proofErr w:type="spellEnd"/>
      <w:r w:rsidRPr="004313C0">
        <w:rPr>
          <w:rFonts w:eastAsia="Arial"/>
        </w:rPr>
        <w:t xml:space="preserve"> yra brangesnis už gydymą </w:t>
      </w:r>
      <w:proofErr w:type="spellStart"/>
      <w:r w:rsidRPr="004313C0">
        <w:rPr>
          <w:rFonts w:eastAsia="Arial"/>
        </w:rPr>
        <w:t>ribociklibu</w:t>
      </w:r>
      <w:proofErr w:type="spellEnd"/>
      <w:r w:rsidRPr="004313C0">
        <w:rPr>
          <w:rFonts w:eastAsia="Arial"/>
        </w:rPr>
        <w:t xml:space="preserve">. </w:t>
      </w:r>
    </w:p>
    <w:p w14:paraId="45EF0C43" w14:textId="77777777" w:rsidR="0079279E" w:rsidRPr="004313C0" w:rsidRDefault="0079279E" w:rsidP="0079279E">
      <w:pPr>
        <w:pStyle w:val="VVKT"/>
        <w:rPr>
          <w:rFonts w:eastAsia="Arial"/>
        </w:rPr>
      </w:pPr>
      <w:r w:rsidRPr="004313C0">
        <w:rPr>
          <w:rFonts w:eastAsia="Arial"/>
        </w:rPr>
        <w:t xml:space="preserve">Tarnybai yra žinoma, kad </w:t>
      </w:r>
      <w:proofErr w:type="spellStart"/>
      <w:r w:rsidRPr="004313C0">
        <w:rPr>
          <w:rFonts w:eastAsia="Arial"/>
        </w:rPr>
        <w:t>ribociklibo</w:t>
      </w:r>
      <w:proofErr w:type="spellEnd"/>
      <w:r w:rsidRPr="004313C0">
        <w:rPr>
          <w:rFonts w:eastAsia="Arial"/>
        </w:rPr>
        <w:t xml:space="preserve"> gamintojas yra sudaręs PGS sutartį su Valstybine ligonių kasa dėl vaistinio preparato </w:t>
      </w:r>
      <w:proofErr w:type="spellStart"/>
      <w:r w:rsidRPr="004313C0">
        <w:rPr>
          <w:rFonts w:eastAsia="Arial"/>
        </w:rPr>
        <w:t>ribociklibo</w:t>
      </w:r>
      <w:proofErr w:type="spellEnd"/>
      <w:r w:rsidRPr="004313C0">
        <w:rPr>
          <w:rFonts w:eastAsia="Arial"/>
        </w:rPr>
        <w:t xml:space="preserve"> kainos sumažinimo. Nuolaidos dydis yra konfidencialus, todėl skaičiavimai pateikiami šio protokolo priede, kuris bus siunčiamas tik Kompensavimo komisijai. </w:t>
      </w:r>
    </w:p>
    <w:bookmarkEnd w:id="0"/>
    <w:p w14:paraId="2A547A1C" w14:textId="77777777" w:rsidR="0079279E" w:rsidRPr="004313C0" w:rsidRDefault="0079279E" w:rsidP="00A93AA6">
      <w:pPr>
        <w:tabs>
          <w:tab w:val="left" w:pos="426"/>
        </w:tabs>
        <w:rPr>
          <w:i/>
          <w:color w:val="00B050"/>
          <w:sz w:val="22"/>
          <w:szCs w:val="22"/>
        </w:rPr>
      </w:pPr>
    </w:p>
    <w:p w14:paraId="1780B55F" w14:textId="77777777" w:rsidR="0079279E" w:rsidRPr="004313C0" w:rsidRDefault="0079279E" w:rsidP="00A93AA6">
      <w:pPr>
        <w:tabs>
          <w:tab w:val="left" w:pos="426"/>
        </w:tabs>
        <w:rPr>
          <w:b/>
          <w:bCs/>
          <w:caps/>
        </w:rPr>
      </w:pPr>
    </w:p>
    <w:p w14:paraId="174D84D7" w14:textId="2A98EE7C" w:rsidR="0035172D" w:rsidRPr="004313C0" w:rsidRDefault="0035172D" w:rsidP="00A93AA6">
      <w:pPr>
        <w:tabs>
          <w:tab w:val="left" w:pos="426"/>
        </w:tabs>
        <w:rPr>
          <w:b/>
          <w:lang w:eastAsia="lt-LT"/>
        </w:rPr>
      </w:pPr>
      <w:r w:rsidRPr="004313C0">
        <w:rPr>
          <w:b/>
          <w:lang w:eastAsia="lt-LT"/>
        </w:rPr>
        <w:t>Ekonominės analizės rezultatas</w:t>
      </w:r>
    </w:p>
    <w:p w14:paraId="4801D227" w14:textId="77777777" w:rsidR="009E44AE" w:rsidRPr="004313C0" w:rsidRDefault="009E44AE" w:rsidP="00A93AA6">
      <w:pPr>
        <w:tabs>
          <w:tab w:val="left" w:pos="426"/>
        </w:tabs>
        <w:rPr>
          <w:b/>
          <w:lang w:eastAsia="lt-LT"/>
        </w:rPr>
      </w:pPr>
    </w:p>
    <w:tbl>
      <w:tblPr>
        <w:tblStyle w:val="Lentelstinklelis"/>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55"/>
        <w:gridCol w:w="1980"/>
        <w:gridCol w:w="2070"/>
        <w:gridCol w:w="2903"/>
      </w:tblGrid>
      <w:tr w:rsidR="0079279E" w:rsidRPr="004313C0" w14:paraId="059939D3" w14:textId="77777777" w:rsidTr="006B4F60">
        <w:trPr>
          <w:trHeight w:val="364"/>
          <w:jc w:val="center"/>
        </w:trPr>
        <w:tc>
          <w:tcPr>
            <w:tcW w:w="9908" w:type="dxa"/>
            <w:gridSpan w:val="4"/>
            <w:tcBorders>
              <w:top w:val="single" w:sz="12" w:space="0" w:color="auto"/>
              <w:bottom w:val="single" w:sz="4" w:space="0" w:color="auto"/>
            </w:tcBorders>
            <w:shd w:val="clear" w:color="auto" w:fill="BFBFBF" w:themeFill="background1" w:themeFillShade="BF"/>
            <w:vAlign w:val="center"/>
          </w:tcPr>
          <w:p w14:paraId="3AF289B2" w14:textId="77777777" w:rsidR="0079279E" w:rsidRPr="004313C0" w:rsidRDefault="0079279E" w:rsidP="006B4F60">
            <w:pPr>
              <w:tabs>
                <w:tab w:val="left" w:pos="567"/>
              </w:tabs>
              <w:jc w:val="center"/>
              <w:rPr>
                <w:b/>
                <w:i/>
                <w:iCs/>
                <w:color w:val="00B050"/>
                <w:sz w:val="22"/>
                <w:szCs w:val="22"/>
                <w:lang w:eastAsia="lt-LT"/>
              </w:rPr>
            </w:pPr>
            <w:r w:rsidRPr="004313C0">
              <w:rPr>
                <w:b/>
                <w:lang w:eastAsia="lt-LT"/>
              </w:rPr>
              <w:t>Kaštai, Eur</w:t>
            </w:r>
          </w:p>
        </w:tc>
      </w:tr>
      <w:tr w:rsidR="0079279E" w:rsidRPr="004313C0" w14:paraId="7421E995" w14:textId="77777777" w:rsidTr="006B4F60">
        <w:trPr>
          <w:jc w:val="center"/>
        </w:trPr>
        <w:tc>
          <w:tcPr>
            <w:tcW w:w="2955" w:type="dxa"/>
            <w:tcBorders>
              <w:top w:val="single" w:sz="4" w:space="0" w:color="auto"/>
              <w:bottom w:val="single" w:sz="4" w:space="0" w:color="auto"/>
            </w:tcBorders>
          </w:tcPr>
          <w:p w14:paraId="624C040E" w14:textId="77777777" w:rsidR="0079279E" w:rsidRPr="004313C0" w:rsidRDefault="0079279E" w:rsidP="006B4F60">
            <w:pPr>
              <w:tabs>
                <w:tab w:val="left" w:pos="567"/>
              </w:tabs>
              <w:jc w:val="both"/>
              <w:rPr>
                <w:color w:val="00B050"/>
                <w:lang w:eastAsia="lt-LT"/>
              </w:rPr>
            </w:pPr>
          </w:p>
        </w:tc>
        <w:tc>
          <w:tcPr>
            <w:tcW w:w="1980" w:type="dxa"/>
            <w:tcBorders>
              <w:top w:val="single" w:sz="4" w:space="0" w:color="auto"/>
              <w:bottom w:val="single" w:sz="4" w:space="0" w:color="auto"/>
            </w:tcBorders>
          </w:tcPr>
          <w:p w14:paraId="194473F7" w14:textId="77777777" w:rsidR="0079279E" w:rsidRPr="001A4C89" w:rsidRDefault="0079279E" w:rsidP="006B4F60">
            <w:pPr>
              <w:tabs>
                <w:tab w:val="left" w:pos="567"/>
              </w:tabs>
              <w:jc w:val="center"/>
              <w:rPr>
                <w:i/>
                <w:iCs/>
                <w:lang w:eastAsia="lt-LT"/>
              </w:rPr>
            </w:pPr>
            <w:proofErr w:type="spellStart"/>
            <w:r w:rsidRPr="001A4C89">
              <w:rPr>
                <w:i/>
                <w:iCs/>
                <w:lang w:eastAsia="lt-LT"/>
              </w:rPr>
              <w:t>Abemaciklibas</w:t>
            </w:r>
            <w:proofErr w:type="spellEnd"/>
          </w:p>
        </w:tc>
        <w:tc>
          <w:tcPr>
            <w:tcW w:w="2070" w:type="dxa"/>
            <w:tcBorders>
              <w:top w:val="single" w:sz="4" w:space="0" w:color="auto"/>
              <w:bottom w:val="single" w:sz="4" w:space="0" w:color="auto"/>
            </w:tcBorders>
          </w:tcPr>
          <w:p w14:paraId="72218D44" w14:textId="77777777" w:rsidR="0079279E" w:rsidRPr="001A4C89" w:rsidRDefault="0079279E" w:rsidP="006B4F60">
            <w:pPr>
              <w:tabs>
                <w:tab w:val="left" w:pos="567"/>
              </w:tabs>
              <w:jc w:val="center"/>
              <w:rPr>
                <w:i/>
                <w:iCs/>
                <w:lang w:eastAsia="lt-LT"/>
              </w:rPr>
            </w:pPr>
            <w:proofErr w:type="spellStart"/>
            <w:r w:rsidRPr="001A4C89">
              <w:rPr>
                <w:i/>
                <w:iCs/>
                <w:lang w:eastAsia="lt-LT"/>
              </w:rPr>
              <w:t>Ribociklibas</w:t>
            </w:r>
            <w:proofErr w:type="spellEnd"/>
          </w:p>
        </w:tc>
        <w:tc>
          <w:tcPr>
            <w:tcW w:w="2903" w:type="dxa"/>
            <w:tcBorders>
              <w:top w:val="single" w:sz="4" w:space="0" w:color="auto"/>
              <w:bottom w:val="single" w:sz="4" w:space="0" w:color="auto"/>
            </w:tcBorders>
          </w:tcPr>
          <w:p w14:paraId="0C354EEF" w14:textId="77777777" w:rsidR="0079279E" w:rsidRPr="001A4C89" w:rsidRDefault="0079279E" w:rsidP="006B4F60">
            <w:pPr>
              <w:tabs>
                <w:tab w:val="left" w:pos="567"/>
              </w:tabs>
              <w:jc w:val="center"/>
              <w:rPr>
                <w:i/>
                <w:lang w:eastAsia="lt-LT"/>
              </w:rPr>
            </w:pPr>
            <w:r w:rsidRPr="001A4C89">
              <w:rPr>
                <w:i/>
                <w:lang w:eastAsia="lt-LT"/>
              </w:rPr>
              <w:t>Skirtumas</w:t>
            </w:r>
          </w:p>
        </w:tc>
      </w:tr>
      <w:tr w:rsidR="0079279E" w:rsidRPr="004313C0" w14:paraId="626F8B9C" w14:textId="77777777" w:rsidTr="006B4F60">
        <w:trPr>
          <w:jc w:val="center"/>
        </w:trPr>
        <w:tc>
          <w:tcPr>
            <w:tcW w:w="2955" w:type="dxa"/>
            <w:tcBorders>
              <w:top w:val="single" w:sz="4" w:space="0" w:color="auto"/>
              <w:bottom w:val="single" w:sz="4" w:space="0" w:color="auto"/>
            </w:tcBorders>
            <w:vAlign w:val="center"/>
          </w:tcPr>
          <w:p w14:paraId="540AF343" w14:textId="77777777" w:rsidR="0079279E" w:rsidRPr="004313C0" w:rsidRDefault="0079279E" w:rsidP="006B4F60">
            <w:pPr>
              <w:tabs>
                <w:tab w:val="left" w:pos="567"/>
              </w:tabs>
              <w:rPr>
                <w:iCs/>
                <w:color w:val="000000"/>
                <w:lang w:eastAsia="lt-LT"/>
              </w:rPr>
            </w:pPr>
            <w:r w:rsidRPr="004313C0">
              <w:rPr>
                <w:iCs/>
                <w:color w:val="000000"/>
                <w:lang w:eastAsia="lt-LT"/>
              </w:rPr>
              <w:t>Vaistinių preparatų įsigijimo kaštai</w:t>
            </w:r>
          </w:p>
        </w:tc>
        <w:tc>
          <w:tcPr>
            <w:tcW w:w="1980" w:type="dxa"/>
            <w:tcBorders>
              <w:top w:val="single" w:sz="4" w:space="0" w:color="auto"/>
              <w:bottom w:val="single" w:sz="4" w:space="0" w:color="auto"/>
            </w:tcBorders>
            <w:vAlign w:val="center"/>
          </w:tcPr>
          <w:p w14:paraId="43232E2D" w14:textId="1ADD9409" w:rsidR="0079279E" w:rsidRPr="001A4C89" w:rsidRDefault="000300DE" w:rsidP="006B4F60">
            <w:pPr>
              <w:tabs>
                <w:tab w:val="left" w:pos="567"/>
              </w:tabs>
              <w:jc w:val="center"/>
              <w:rPr>
                <w:i/>
                <w:iCs/>
                <w:lang w:eastAsia="lt-LT"/>
              </w:rPr>
            </w:pPr>
            <w:r w:rsidRPr="001A4C89">
              <w:rPr>
                <w:i/>
                <w:iCs/>
                <w:lang w:eastAsia="lt-LT"/>
              </w:rPr>
              <w:t>X</w:t>
            </w:r>
          </w:p>
        </w:tc>
        <w:tc>
          <w:tcPr>
            <w:tcW w:w="2070" w:type="dxa"/>
            <w:tcBorders>
              <w:top w:val="single" w:sz="4" w:space="0" w:color="auto"/>
              <w:bottom w:val="single" w:sz="4" w:space="0" w:color="auto"/>
            </w:tcBorders>
            <w:vAlign w:val="center"/>
          </w:tcPr>
          <w:p w14:paraId="37AF5036" w14:textId="4184EA72" w:rsidR="0079279E" w:rsidRPr="001A4C89" w:rsidRDefault="000300DE" w:rsidP="006B4F60">
            <w:pPr>
              <w:tabs>
                <w:tab w:val="left" w:pos="567"/>
              </w:tabs>
              <w:jc w:val="center"/>
              <w:rPr>
                <w:i/>
                <w:iCs/>
                <w:lang w:eastAsia="lt-LT"/>
              </w:rPr>
            </w:pPr>
            <w:r w:rsidRPr="001A4C89">
              <w:rPr>
                <w:i/>
                <w:iCs/>
                <w:lang w:eastAsia="lt-LT"/>
              </w:rPr>
              <w:t>X</w:t>
            </w:r>
          </w:p>
        </w:tc>
        <w:tc>
          <w:tcPr>
            <w:tcW w:w="2903" w:type="dxa"/>
            <w:tcBorders>
              <w:top w:val="single" w:sz="4" w:space="0" w:color="auto"/>
              <w:bottom w:val="single" w:sz="4" w:space="0" w:color="auto"/>
            </w:tcBorders>
            <w:vAlign w:val="center"/>
          </w:tcPr>
          <w:p w14:paraId="5BA4F59E" w14:textId="2322F4B4" w:rsidR="0079279E" w:rsidRPr="001A4C89" w:rsidRDefault="000300DE" w:rsidP="006B4F60">
            <w:pPr>
              <w:tabs>
                <w:tab w:val="left" w:pos="567"/>
              </w:tabs>
              <w:jc w:val="center"/>
              <w:rPr>
                <w:lang w:eastAsia="lt-LT"/>
              </w:rPr>
            </w:pPr>
            <w:r w:rsidRPr="001A4C89">
              <w:rPr>
                <w:lang w:eastAsia="lt-LT"/>
              </w:rPr>
              <w:t>X</w:t>
            </w:r>
          </w:p>
        </w:tc>
      </w:tr>
      <w:tr w:rsidR="0079279E" w:rsidRPr="004313C0" w14:paraId="13A6780D" w14:textId="77777777" w:rsidTr="006B4F60">
        <w:trPr>
          <w:jc w:val="center"/>
        </w:trPr>
        <w:tc>
          <w:tcPr>
            <w:tcW w:w="2955" w:type="dxa"/>
            <w:tcBorders>
              <w:top w:val="single" w:sz="4" w:space="0" w:color="auto"/>
              <w:bottom w:val="single" w:sz="4" w:space="0" w:color="auto"/>
            </w:tcBorders>
            <w:vAlign w:val="center"/>
          </w:tcPr>
          <w:p w14:paraId="6C4BB803" w14:textId="77777777" w:rsidR="0079279E" w:rsidRPr="004313C0" w:rsidRDefault="0079279E" w:rsidP="006B4F60">
            <w:pPr>
              <w:tabs>
                <w:tab w:val="left" w:pos="567"/>
              </w:tabs>
              <w:rPr>
                <w:iCs/>
                <w:color w:val="00B050"/>
                <w:lang w:eastAsia="lt-LT"/>
              </w:rPr>
            </w:pPr>
            <w:r w:rsidRPr="004313C0">
              <w:rPr>
                <w:iCs/>
                <w:color w:val="000000"/>
                <w:lang w:eastAsia="lt-LT"/>
              </w:rPr>
              <w:t>Nepageidaujamų reiškinių valdymo kaštai</w:t>
            </w:r>
          </w:p>
        </w:tc>
        <w:tc>
          <w:tcPr>
            <w:tcW w:w="1980" w:type="dxa"/>
            <w:tcBorders>
              <w:top w:val="single" w:sz="4" w:space="0" w:color="auto"/>
              <w:bottom w:val="single" w:sz="4" w:space="0" w:color="auto"/>
            </w:tcBorders>
            <w:vAlign w:val="center"/>
          </w:tcPr>
          <w:p w14:paraId="2FDF2AD9" w14:textId="0F125657" w:rsidR="0079279E" w:rsidRPr="001A4C89" w:rsidRDefault="000300DE" w:rsidP="006B4F60">
            <w:pPr>
              <w:tabs>
                <w:tab w:val="left" w:pos="567"/>
              </w:tabs>
              <w:jc w:val="center"/>
              <w:rPr>
                <w:i/>
                <w:iCs/>
                <w:lang w:eastAsia="lt-LT"/>
              </w:rPr>
            </w:pPr>
            <w:r w:rsidRPr="001A4C89">
              <w:rPr>
                <w:i/>
                <w:iCs/>
                <w:lang w:eastAsia="lt-LT"/>
              </w:rPr>
              <w:t>X</w:t>
            </w:r>
          </w:p>
        </w:tc>
        <w:tc>
          <w:tcPr>
            <w:tcW w:w="2070" w:type="dxa"/>
            <w:tcBorders>
              <w:top w:val="single" w:sz="4" w:space="0" w:color="auto"/>
              <w:bottom w:val="single" w:sz="4" w:space="0" w:color="auto"/>
            </w:tcBorders>
            <w:vAlign w:val="center"/>
          </w:tcPr>
          <w:p w14:paraId="1F7BA611" w14:textId="4D86FCE1" w:rsidR="0079279E" w:rsidRPr="001A4C89" w:rsidRDefault="000300DE" w:rsidP="006B4F60">
            <w:pPr>
              <w:tabs>
                <w:tab w:val="left" w:pos="567"/>
              </w:tabs>
              <w:jc w:val="center"/>
              <w:rPr>
                <w:i/>
                <w:iCs/>
                <w:lang w:eastAsia="lt-LT"/>
              </w:rPr>
            </w:pPr>
            <w:r w:rsidRPr="001A4C89">
              <w:rPr>
                <w:i/>
                <w:iCs/>
                <w:lang w:eastAsia="lt-LT"/>
              </w:rPr>
              <w:t>X</w:t>
            </w:r>
          </w:p>
        </w:tc>
        <w:tc>
          <w:tcPr>
            <w:tcW w:w="2903" w:type="dxa"/>
            <w:tcBorders>
              <w:top w:val="single" w:sz="4" w:space="0" w:color="auto"/>
              <w:bottom w:val="single" w:sz="4" w:space="0" w:color="auto"/>
            </w:tcBorders>
            <w:vAlign w:val="center"/>
          </w:tcPr>
          <w:p w14:paraId="659EAED8" w14:textId="4EA02332" w:rsidR="0079279E" w:rsidRPr="001A4C89" w:rsidRDefault="000300DE" w:rsidP="006B4F60">
            <w:pPr>
              <w:tabs>
                <w:tab w:val="left" w:pos="567"/>
              </w:tabs>
              <w:jc w:val="center"/>
              <w:rPr>
                <w:i/>
                <w:iCs/>
                <w:lang w:eastAsia="lt-LT"/>
              </w:rPr>
            </w:pPr>
            <w:r w:rsidRPr="001A4C89">
              <w:rPr>
                <w:i/>
                <w:iCs/>
                <w:lang w:eastAsia="lt-LT"/>
              </w:rPr>
              <w:t>X</w:t>
            </w:r>
          </w:p>
        </w:tc>
      </w:tr>
      <w:tr w:rsidR="0079279E" w:rsidRPr="004313C0" w14:paraId="025B5BBE" w14:textId="77777777" w:rsidTr="006B4F60">
        <w:trPr>
          <w:trHeight w:val="332"/>
          <w:jc w:val="center"/>
        </w:trPr>
        <w:tc>
          <w:tcPr>
            <w:tcW w:w="2955" w:type="dxa"/>
            <w:tcBorders>
              <w:top w:val="single" w:sz="4" w:space="0" w:color="auto"/>
              <w:bottom w:val="single" w:sz="12" w:space="0" w:color="auto"/>
            </w:tcBorders>
            <w:vAlign w:val="center"/>
          </w:tcPr>
          <w:p w14:paraId="74584D8E" w14:textId="77777777" w:rsidR="0079279E" w:rsidRPr="004313C0" w:rsidRDefault="0079279E" w:rsidP="006B4F60">
            <w:pPr>
              <w:tabs>
                <w:tab w:val="left" w:pos="567"/>
              </w:tabs>
              <w:jc w:val="right"/>
              <w:rPr>
                <w:b/>
                <w:bCs/>
                <w:iCs/>
                <w:lang w:eastAsia="lt-LT"/>
              </w:rPr>
            </w:pPr>
            <w:r w:rsidRPr="004313C0">
              <w:rPr>
                <w:b/>
                <w:bCs/>
                <w:iCs/>
                <w:lang w:eastAsia="lt-LT"/>
              </w:rPr>
              <w:t>VISO</w:t>
            </w:r>
          </w:p>
        </w:tc>
        <w:tc>
          <w:tcPr>
            <w:tcW w:w="1980" w:type="dxa"/>
            <w:tcBorders>
              <w:top w:val="single" w:sz="4" w:space="0" w:color="auto"/>
              <w:bottom w:val="single" w:sz="12" w:space="0" w:color="auto"/>
            </w:tcBorders>
            <w:vAlign w:val="center"/>
          </w:tcPr>
          <w:p w14:paraId="7AA441AF" w14:textId="70731EBC" w:rsidR="0079279E" w:rsidRPr="001A4C89" w:rsidRDefault="000300DE" w:rsidP="006B4F60">
            <w:pPr>
              <w:tabs>
                <w:tab w:val="left" w:pos="567"/>
              </w:tabs>
              <w:jc w:val="center"/>
              <w:rPr>
                <w:b/>
                <w:bCs/>
                <w:i/>
                <w:iCs/>
                <w:lang w:eastAsia="lt-LT"/>
              </w:rPr>
            </w:pPr>
            <w:r w:rsidRPr="001A4C89">
              <w:rPr>
                <w:b/>
                <w:bCs/>
                <w:i/>
                <w:iCs/>
                <w:lang w:eastAsia="lt-LT"/>
              </w:rPr>
              <w:t>X</w:t>
            </w:r>
          </w:p>
        </w:tc>
        <w:tc>
          <w:tcPr>
            <w:tcW w:w="2070" w:type="dxa"/>
            <w:tcBorders>
              <w:top w:val="single" w:sz="4" w:space="0" w:color="auto"/>
              <w:bottom w:val="single" w:sz="12" w:space="0" w:color="auto"/>
            </w:tcBorders>
            <w:vAlign w:val="center"/>
          </w:tcPr>
          <w:p w14:paraId="0A78D595" w14:textId="0B6F0FE1" w:rsidR="0079279E" w:rsidRPr="001A4C89" w:rsidRDefault="000300DE" w:rsidP="006B4F60">
            <w:pPr>
              <w:tabs>
                <w:tab w:val="left" w:pos="567"/>
              </w:tabs>
              <w:jc w:val="center"/>
              <w:rPr>
                <w:b/>
                <w:bCs/>
                <w:i/>
                <w:iCs/>
                <w:lang w:eastAsia="lt-LT"/>
              </w:rPr>
            </w:pPr>
            <w:r w:rsidRPr="001A4C89">
              <w:rPr>
                <w:b/>
                <w:bCs/>
                <w:i/>
                <w:iCs/>
                <w:lang w:eastAsia="lt-LT"/>
              </w:rPr>
              <w:t>X</w:t>
            </w:r>
          </w:p>
        </w:tc>
        <w:tc>
          <w:tcPr>
            <w:tcW w:w="2903" w:type="dxa"/>
            <w:tcBorders>
              <w:top w:val="single" w:sz="4" w:space="0" w:color="auto"/>
              <w:bottom w:val="single" w:sz="12" w:space="0" w:color="auto"/>
            </w:tcBorders>
            <w:vAlign w:val="center"/>
          </w:tcPr>
          <w:p w14:paraId="58A6641C" w14:textId="3EC0EEB3" w:rsidR="0079279E" w:rsidRPr="001A4C89" w:rsidRDefault="000300DE" w:rsidP="006B4F60">
            <w:pPr>
              <w:tabs>
                <w:tab w:val="left" w:pos="567"/>
              </w:tabs>
              <w:jc w:val="center"/>
              <w:rPr>
                <w:b/>
                <w:bCs/>
                <w:i/>
                <w:iCs/>
                <w:lang w:eastAsia="lt-LT"/>
              </w:rPr>
            </w:pPr>
            <w:r w:rsidRPr="001A4C89">
              <w:rPr>
                <w:b/>
                <w:bCs/>
                <w:i/>
                <w:iCs/>
                <w:lang w:eastAsia="lt-LT"/>
              </w:rPr>
              <w:t>X</w:t>
            </w:r>
          </w:p>
        </w:tc>
      </w:tr>
    </w:tbl>
    <w:p w14:paraId="55FBDEF9" w14:textId="77777777" w:rsidR="0079279E" w:rsidRPr="004313C0" w:rsidRDefault="0079279E" w:rsidP="00A93AA6">
      <w:pPr>
        <w:tabs>
          <w:tab w:val="left" w:pos="426"/>
        </w:tabs>
        <w:rPr>
          <w:b/>
          <w:lang w:eastAsia="lt-LT"/>
        </w:rPr>
      </w:pPr>
    </w:p>
    <w:p w14:paraId="0984BF22" w14:textId="77777777" w:rsidR="0079279E" w:rsidRPr="004313C0" w:rsidRDefault="0079279E" w:rsidP="00A93AA6">
      <w:pPr>
        <w:tabs>
          <w:tab w:val="left" w:pos="426"/>
        </w:tabs>
        <w:rPr>
          <w:b/>
          <w:lang w:eastAsia="lt-LT"/>
        </w:rPr>
      </w:pPr>
    </w:p>
    <w:p w14:paraId="4FC424F9" w14:textId="4E767245" w:rsidR="00C62B36" w:rsidRPr="004313C0" w:rsidRDefault="00C62B36" w:rsidP="00CC09D4">
      <w:pPr>
        <w:pStyle w:val="Sraopastraipa"/>
        <w:numPr>
          <w:ilvl w:val="0"/>
          <w:numId w:val="12"/>
        </w:numPr>
        <w:tabs>
          <w:tab w:val="left" w:pos="567"/>
        </w:tabs>
        <w:ind w:hanging="720"/>
        <w:rPr>
          <w:b/>
          <w:bCs/>
          <w:caps/>
        </w:rPr>
      </w:pPr>
      <w:r w:rsidRPr="004313C0">
        <w:rPr>
          <w:b/>
          <w:bCs/>
          <w:caps/>
        </w:rPr>
        <w:t xml:space="preserve">Pacientų organizacijų pateikti duomenys </w:t>
      </w:r>
    </w:p>
    <w:p w14:paraId="79BCFF40" w14:textId="1992DF4A" w:rsidR="00937907" w:rsidRPr="004313C0"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4313C0">
            <w:rPr>
              <w:rStyle w:val="Style2"/>
              <w:rFonts w:ascii="MS Gothic" w:eastAsia="MS Gothic" w:hAnsi="MS Gothic"/>
              <w:sz w:val="24"/>
            </w:rPr>
            <w:t>☐</w:t>
          </w:r>
        </w:sdtContent>
      </w:sdt>
      <w:r w:rsidR="00937907" w:rsidRPr="004313C0">
        <w:t xml:space="preserve"> Pacientų organizacijos pozicija pateikta. Žr. priedą.</w:t>
      </w:r>
    </w:p>
    <w:p w14:paraId="62992180" w14:textId="5A628A15" w:rsidR="00937907" w:rsidRPr="004313C0"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3213E7" w:rsidRPr="004313C0">
            <w:rPr>
              <w:rStyle w:val="Style2"/>
              <w:rFonts w:ascii="MS Gothic" w:eastAsia="MS Gothic" w:hAnsi="MS Gothic"/>
              <w:sz w:val="24"/>
            </w:rPr>
            <w:t>☒</w:t>
          </w:r>
        </w:sdtContent>
      </w:sdt>
      <w:r w:rsidR="00937907" w:rsidRPr="004313C0">
        <w:t xml:space="preserve"> Pacientų organizacijos pozicija </w:t>
      </w:r>
      <w:r w:rsidR="00880A44" w:rsidRPr="004313C0">
        <w:t>ne</w:t>
      </w:r>
      <w:r w:rsidR="00937907" w:rsidRPr="004313C0">
        <w:t>pateikta.</w:t>
      </w:r>
    </w:p>
    <w:p w14:paraId="03E73D82" w14:textId="77777777" w:rsidR="00D417D2" w:rsidRPr="004313C0" w:rsidRDefault="00D417D2" w:rsidP="00937907">
      <w:pPr>
        <w:spacing w:after="120"/>
        <w:jc w:val="both"/>
      </w:pPr>
    </w:p>
    <w:p w14:paraId="3D3277FA" w14:textId="3CEEB2D2" w:rsidR="00C62B36" w:rsidRPr="004313C0" w:rsidRDefault="00C62B36" w:rsidP="00CC09D4">
      <w:pPr>
        <w:pStyle w:val="Sraopastraipa"/>
        <w:numPr>
          <w:ilvl w:val="0"/>
          <w:numId w:val="12"/>
        </w:numPr>
        <w:tabs>
          <w:tab w:val="left" w:pos="567"/>
        </w:tabs>
        <w:ind w:hanging="720"/>
        <w:rPr>
          <w:b/>
          <w:bCs/>
          <w:caps/>
        </w:rPr>
      </w:pPr>
      <w:r w:rsidRPr="004313C0">
        <w:rPr>
          <w:b/>
          <w:bCs/>
          <w:caps/>
        </w:rPr>
        <w:t>Gydytojų organizacijų pateikti duomenys</w:t>
      </w:r>
    </w:p>
    <w:p w14:paraId="389A346C" w14:textId="08244E63" w:rsidR="00937907" w:rsidRPr="004313C0" w:rsidRDefault="00000000"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Content>
          <w:r w:rsidR="003213E7" w:rsidRPr="004313C0">
            <w:rPr>
              <w:rStyle w:val="Style2"/>
              <w:rFonts w:ascii="MS Gothic" w:eastAsia="MS Gothic" w:hAnsi="MS Gothic"/>
              <w:sz w:val="24"/>
            </w:rPr>
            <w:t>☒</w:t>
          </w:r>
        </w:sdtContent>
      </w:sdt>
      <w:r w:rsidR="00662983" w:rsidRPr="004313C0">
        <w:t xml:space="preserve"> </w:t>
      </w:r>
      <w:r w:rsidR="00937907" w:rsidRPr="004313C0">
        <w:t xml:space="preserve">Gydytojų specialistų organizacijos pozicija pateikta. </w:t>
      </w:r>
      <w:r w:rsidR="00662983" w:rsidRPr="004313C0">
        <w:t>Žr. priedą</w:t>
      </w:r>
      <w:r w:rsidR="00937907" w:rsidRPr="004313C0">
        <w:t>.</w:t>
      </w:r>
    </w:p>
    <w:p w14:paraId="5D8CC48C" w14:textId="7AA56ADF" w:rsidR="00662983" w:rsidRPr="004313C0" w:rsidRDefault="00000000" w:rsidP="00662983">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Content>
          <w:r w:rsidR="00937907" w:rsidRPr="004313C0">
            <w:rPr>
              <w:rStyle w:val="Style2"/>
              <w:rFonts w:ascii="MS Gothic" w:eastAsia="MS Gothic" w:hAnsi="MS Gothic"/>
              <w:sz w:val="24"/>
            </w:rPr>
            <w:t>☐</w:t>
          </w:r>
        </w:sdtContent>
      </w:sdt>
      <w:r w:rsidR="00662983" w:rsidRPr="004313C0">
        <w:t xml:space="preserve"> </w:t>
      </w:r>
      <w:r w:rsidR="00937907" w:rsidRPr="004313C0">
        <w:t xml:space="preserve">Gydytojų specialistų organizacijos pozicija </w:t>
      </w:r>
      <w:r w:rsidR="00880A44" w:rsidRPr="004313C0">
        <w:t>ne</w:t>
      </w:r>
      <w:r w:rsidR="00937907" w:rsidRPr="004313C0">
        <w:t>pateikta.</w:t>
      </w:r>
    </w:p>
    <w:p w14:paraId="3701D46A" w14:textId="77777777" w:rsidR="00A042B9" w:rsidRPr="004313C0" w:rsidRDefault="00A042B9" w:rsidP="00662983">
      <w:pPr>
        <w:spacing w:after="120"/>
        <w:jc w:val="both"/>
      </w:pPr>
    </w:p>
    <w:p w14:paraId="78F23ECB" w14:textId="23A3A002" w:rsidR="002F0E4F" w:rsidRPr="004313C0" w:rsidRDefault="002F0E4F" w:rsidP="00CC09D4">
      <w:pPr>
        <w:pStyle w:val="Sraopastraipa"/>
        <w:numPr>
          <w:ilvl w:val="0"/>
          <w:numId w:val="12"/>
        </w:numPr>
        <w:tabs>
          <w:tab w:val="left" w:pos="567"/>
        </w:tabs>
        <w:ind w:hanging="720"/>
        <w:rPr>
          <w:b/>
          <w:bCs/>
          <w:caps/>
        </w:rPr>
      </w:pPr>
      <w:r w:rsidRPr="004313C0">
        <w:rPr>
          <w:b/>
          <w:bCs/>
          <w:caps/>
        </w:rPr>
        <w:t xml:space="preserve">Išvada </w:t>
      </w:r>
    </w:p>
    <w:p w14:paraId="30069D85" w14:textId="77777777" w:rsidR="0061611B" w:rsidRPr="004313C0" w:rsidRDefault="0061611B" w:rsidP="0061611B">
      <w:pPr>
        <w:ind w:left="360"/>
        <w:rPr>
          <w:i/>
          <w:color w:val="000000" w:themeColor="text1"/>
          <w:szCs w:val="22"/>
        </w:rPr>
      </w:pPr>
    </w:p>
    <w:p w14:paraId="08D5B3B6" w14:textId="4D4155B2" w:rsidR="0061611B" w:rsidRPr="004313C0" w:rsidRDefault="0061611B" w:rsidP="0061611B">
      <w:pPr>
        <w:rPr>
          <w:i/>
          <w:color w:val="00B050"/>
          <w:szCs w:val="22"/>
        </w:rPr>
      </w:pPr>
    </w:p>
    <w:tbl>
      <w:tblPr>
        <w:tblStyle w:val="Lentelstinklelis"/>
        <w:tblW w:w="0" w:type="auto"/>
        <w:tblLook w:val="04A0" w:firstRow="1" w:lastRow="0" w:firstColumn="1" w:lastColumn="0" w:noHBand="0" w:noVBand="1"/>
      </w:tblPr>
      <w:tblGrid>
        <w:gridCol w:w="4815"/>
        <w:gridCol w:w="4814"/>
      </w:tblGrid>
      <w:tr w:rsidR="00B13D65" w:rsidRPr="004313C0" w14:paraId="25A2473E" w14:textId="77777777" w:rsidTr="00C16245">
        <w:trPr>
          <w:trHeight w:val="510"/>
        </w:trPr>
        <w:tc>
          <w:tcPr>
            <w:tcW w:w="4815" w:type="dxa"/>
            <w:vAlign w:val="center"/>
          </w:tcPr>
          <w:p w14:paraId="7EFE6941" w14:textId="23B8BB6D" w:rsidR="00B13D65" w:rsidRPr="004313C0"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4313C0">
              <w:rPr>
                <w:rStyle w:val="Style2"/>
                <w:rFonts w:eastAsia="MS Gothic"/>
                <w:b/>
                <w:bCs/>
                <w:sz w:val="24"/>
              </w:rPr>
              <w:t>Rekomenduojama kompensuoti</w:t>
            </w:r>
          </w:p>
        </w:tc>
        <w:tc>
          <w:tcPr>
            <w:tcW w:w="4814" w:type="dxa"/>
            <w:vAlign w:val="center"/>
          </w:tcPr>
          <w:p w14:paraId="330A1A5E" w14:textId="19247DC1" w:rsidR="00B13D65" w:rsidRPr="004313C0"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4313C0">
              <w:rPr>
                <w:rStyle w:val="Style2"/>
                <w:rFonts w:eastAsia="MS Gothic"/>
                <w:b/>
                <w:bCs/>
                <w:sz w:val="24"/>
              </w:rPr>
              <w:t xml:space="preserve">Rekomenduojama nekompensuoti </w:t>
            </w:r>
          </w:p>
        </w:tc>
      </w:tr>
      <w:tr w:rsidR="00B13D65" w:rsidRPr="004313C0" w14:paraId="143A7356" w14:textId="77777777" w:rsidTr="00C16245">
        <w:trPr>
          <w:trHeight w:val="510"/>
        </w:trPr>
        <w:tc>
          <w:tcPr>
            <w:tcW w:w="9629" w:type="dxa"/>
            <w:gridSpan w:val="2"/>
            <w:vAlign w:val="center"/>
          </w:tcPr>
          <w:p w14:paraId="0AF5D6B4" w14:textId="6D8B6C59" w:rsidR="00B13D65" w:rsidRPr="004313C0"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4313C0">
              <w:rPr>
                <w:rStyle w:val="Style2"/>
                <w:rFonts w:eastAsia="MS Gothic"/>
                <w:b/>
                <w:bCs/>
                <w:sz w:val="24"/>
              </w:rPr>
              <w:t>Palyginamasis efektyvumas</w:t>
            </w:r>
          </w:p>
        </w:tc>
      </w:tr>
      <w:tr w:rsidR="00B13D65" w:rsidRPr="004313C0" w14:paraId="28A0C814" w14:textId="77777777" w:rsidTr="0061611B">
        <w:tc>
          <w:tcPr>
            <w:tcW w:w="4815" w:type="dxa"/>
          </w:tcPr>
          <w:p w14:paraId="216769B5" w14:textId="144FEB07" w:rsidR="00B13D65" w:rsidRPr="004313C0"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B13D65" w:rsidRPr="004313C0">
                  <w:rPr>
                    <w:rStyle w:val="Style2"/>
                    <w:rFonts w:ascii="Segoe UI Symbol" w:eastAsia="MS Gothic" w:hAnsi="Segoe UI Symbol" w:cs="Segoe UI Symbol"/>
                    <w:sz w:val="24"/>
                  </w:rPr>
                  <w:t>☐</w:t>
                </w:r>
              </w:sdtContent>
            </w:sdt>
            <w:r w:rsidR="00B13D65" w:rsidRPr="004313C0">
              <w:t xml:space="preserve"> 32.1. yra didesnis</w:t>
            </w:r>
            <w:r w:rsidR="00B00959" w:rsidRPr="004313C0">
              <w:t>, lyginant su įprasta klinikine praktika</w:t>
            </w:r>
          </w:p>
          <w:p w14:paraId="3B48F372" w14:textId="77777777" w:rsidR="00662983" w:rsidRPr="004313C0"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0E53A455" w:rsidR="00B13D65" w:rsidRPr="004313C0"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Content>
                <w:r w:rsidR="00E63B41" w:rsidRPr="004313C0">
                  <w:rPr>
                    <w:rStyle w:val="Style2"/>
                    <w:rFonts w:ascii="MS Gothic" w:eastAsia="MS Gothic" w:hAnsi="MS Gothic"/>
                    <w:sz w:val="24"/>
                  </w:rPr>
                  <w:t>☒</w:t>
                </w:r>
              </w:sdtContent>
            </w:sdt>
            <w:r w:rsidR="00B13D65" w:rsidRPr="004313C0">
              <w:t xml:space="preserve"> 32.1. iš esmės nesiskiria</w:t>
            </w:r>
            <w:r w:rsidR="00B00959" w:rsidRPr="004313C0">
              <w:t>, lyginant su įprasta klinikine praktika</w:t>
            </w:r>
          </w:p>
        </w:tc>
        <w:tc>
          <w:tcPr>
            <w:tcW w:w="4814" w:type="dxa"/>
          </w:tcPr>
          <w:p w14:paraId="507828D9" w14:textId="10556E28" w:rsidR="00B13D65" w:rsidRPr="004313C0"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4313C0">
                  <w:rPr>
                    <w:rStyle w:val="Style2"/>
                    <w:rFonts w:ascii="Segoe UI Symbol" w:eastAsia="MS Gothic" w:hAnsi="Segoe UI Symbol" w:cs="Segoe UI Symbol"/>
                    <w:sz w:val="24"/>
                  </w:rPr>
                  <w:t>☐</w:t>
                </w:r>
              </w:sdtContent>
            </w:sdt>
            <w:r w:rsidR="00B13D65" w:rsidRPr="004313C0">
              <w:t xml:space="preserve"> 33.1. yra mažesnis</w:t>
            </w:r>
            <w:r w:rsidR="00B00959" w:rsidRPr="004313C0">
              <w:t>, lyginant su įprasta klinikine praktika</w:t>
            </w:r>
          </w:p>
          <w:p w14:paraId="7F95DEEC" w14:textId="77777777" w:rsidR="00662983" w:rsidRPr="004313C0"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4313C0"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4313C0">
                  <w:rPr>
                    <w:rStyle w:val="Style2"/>
                    <w:rFonts w:ascii="Segoe UI Symbol" w:eastAsia="MS Gothic" w:hAnsi="Segoe UI Symbol" w:cs="Segoe UI Symbol"/>
                    <w:sz w:val="24"/>
                  </w:rPr>
                  <w:t>☐</w:t>
                </w:r>
              </w:sdtContent>
            </w:sdt>
            <w:r w:rsidR="00B13D65" w:rsidRPr="004313C0">
              <w:t xml:space="preserve"> 33.1. yra neįrodytas kaip toks pat</w:t>
            </w:r>
            <w:r w:rsidR="00B00959" w:rsidRPr="004313C0">
              <w:t>, lyginant su įprasta klinikine praktika</w:t>
            </w:r>
          </w:p>
          <w:p w14:paraId="35205E85" w14:textId="77777777" w:rsidR="00662983" w:rsidRPr="004313C0"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4313C0"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4313C0">
                  <w:rPr>
                    <w:rStyle w:val="Style2"/>
                    <w:rFonts w:ascii="Segoe UI Symbol" w:eastAsia="MS Gothic" w:hAnsi="Segoe UI Symbol" w:cs="Segoe UI Symbol"/>
                    <w:sz w:val="24"/>
                  </w:rPr>
                  <w:t>☐</w:t>
                </w:r>
              </w:sdtContent>
            </w:sdt>
            <w:r w:rsidR="00662983" w:rsidRPr="004313C0">
              <w:t xml:space="preserve"> 33.1 </w:t>
            </w:r>
            <w:r w:rsidR="00B00959" w:rsidRPr="004313C0">
              <w:t xml:space="preserve">yra </w:t>
            </w:r>
            <w:r w:rsidR="00B13D65" w:rsidRPr="004313C0">
              <w:t>neįrodytas kaip didesnis</w:t>
            </w:r>
            <w:r w:rsidR="00B00959" w:rsidRPr="004313C0">
              <w:t>, lyginant su įprasta klinikine praktika</w:t>
            </w:r>
          </w:p>
          <w:p w14:paraId="512E653B" w14:textId="77777777" w:rsidR="00662983" w:rsidRPr="004313C0"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4313C0"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4313C0">
                  <w:rPr>
                    <w:rStyle w:val="Style2"/>
                    <w:rFonts w:ascii="Segoe UI Symbol" w:eastAsia="MS Gothic" w:hAnsi="Segoe UI Symbol" w:cs="Segoe UI Symbol"/>
                    <w:sz w:val="24"/>
                  </w:rPr>
                  <w:t>☐</w:t>
                </w:r>
              </w:sdtContent>
            </w:sdt>
            <w:r w:rsidR="00B13D65" w:rsidRPr="004313C0">
              <w:t xml:space="preserve"> 33.1. pateikti duomenys apie palyginamąjį efektyvumą yra netinkami vertinti</w:t>
            </w:r>
          </w:p>
          <w:p w14:paraId="5DDAA961" w14:textId="77777777" w:rsidR="00B13D65" w:rsidRPr="004313C0"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4313C0" w14:paraId="161CC3FE" w14:textId="77777777" w:rsidTr="00C16245">
        <w:trPr>
          <w:trHeight w:val="510"/>
        </w:trPr>
        <w:tc>
          <w:tcPr>
            <w:tcW w:w="9629" w:type="dxa"/>
            <w:gridSpan w:val="2"/>
            <w:vAlign w:val="center"/>
          </w:tcPr>
          <w:p w14:paraId="1AB46894" w14:textId="3E765638" w:rsidR="00B13D65" w:rsidRPr="004313C0"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4313C0">
              <w:rPr>
                <w:rStyle w:val="Style2"/>
                <w:rFonts w:eastAsia="MS Gothic"/>
                <w:b/>
                <w:bCs/>
                <w:sz w:val="24"/>
              </w:rPr>
              <w:t>Klinikinis veiksmingumas</w:t>
            </w:r>
          </w:p>
        </w:tc>
      </w:tr>
      <w:tr w:rsidR="00B13D65" w:rsidRPr="004313C0" w14:paraId="3C60570A" w14:textId="77777777" w:rsidTr="0061611B">
        <w:tc>
          <w:tcPr>
            <w:tcW w:w="4815" w:type="dxa"/>
          </w:tcPr>
          <w:p w14:paraId="6897B306" w14:textId="70C15EA4" w:rsidR="00B13D65" w:rsidRPr="004313C0"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Content>
                <w:r w:rsidR="00B13D65" w:rsidRPr="004313C0">
                  <w:rPr>
                    <w:rStyle w:val="Style2"/>
                    <w:rFonts w:ascii="Segoe UI Symbol" w:eastAsia="MS Gothic" w:hAnsi="Segoe UI Symbol" w:cs="Segoe UI Symbol"/>
                    <w:sz w:val="24"/>
                  </w:rPr>
                  <w:t>☐</w:t>
                </w:r>
              </w:sdtContent>
            </w:sdt>
            <w:r w:rsidR="00B13D65" w:rsidRPr="004313C0">
              <w:t xml:space="preserve"> 32.2. yra įvertintas kaip pagrindžiantis papildomos naudos pacientų sveikatai sukūrimą, lyginant su įprasta klinikine praktika</w:t>
            </w:r>
          </w:p>
          <w:p w14:paraId="71D57105" w14:textId="77777777" w:rsidR="00662983" w:rsidRPr="004313C0"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027A31D0" w:rsidR="00B13D65" w:rsidRPr="004313C0"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Content>
                <w:r w:rsidR="00E63B41" w:rsidRPr="004313C0">
                  <w:rPr>
                    <w:rStyle w:val="Style2"/>
                    <w:rFonts w:ascii="MS Gothic" w:eastAsia="MS Gothic" w:hAnsi="MS Gothic"/>
                    <w:sz w:val="24"/>
                  </w:rPr>
                  <w:t>☒</w:t>
                </w:r>
              </w:sdtContent>
            </w:sdt>
            <w:r w:rsidR="00B13D65" w:rsidRPr="004313C0">
              <w:t xml:space="preserve"> 32.2. </w:t>
            </w:r>
            <w:r w:rsidR="00B00959" w:rsidRPr="004313C0">
              <w:t xml:space="preserve">yra </w:t>
            </w:r>
            <w:r w:rsidR="00B13D65" w:rsidRPr="004313C0">
              <w:t>įvertintas kaip pagrindžiantis nesiskiriančios naudos pacientų sveikatai sukūrimą, lyginant su įprasta klinikine praktika</w:t>
            </w:r>
          </w:p>
          <w:p w14:paraId="287AD233" w14:textId="77777777" w:rsidR="00B13D65" w:rsidRPr="004313C0"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4313C0"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4313C0">
                  <w:rPr>
                    <w:rStyle w:val="Style2"/>
                    <w:rFonts w:ascii="Segoe UI Symbol" w:eastAsia="MS Gothic" w:hAnsi="Segoe UI Symbol" w:cs="Segoe UI Symbol"/>
                    <w:sz w:val="24"/>
                  </w:rPr>
                  <w:t>☐</w:t>
                </w:r>
              </w:sdtContent>
            </w:sdt>
            <w:r w:rsidR="00B13D65" w:rsidRPr="004313C0">
              <w:t xml:space="preserve"> 33.1. yra įvertintas kaip nepagrindžiantis papildomos </w:t>
            </w:r>
            <w:r w:rsidR="00662983" w:rsidRPr="004313C0">
              <w:t>naudos pacientų sveikatai sukūrimo, lyginant su  įprasta klinikine praktika</w:t>
            </w:r>
          </w:p>
          <w:p w14:paraId="6C70BCFC" w14:textId="77777777" w:rsidR="00662983" w:rsidRPr="004313C0" w:rsidRDefault="00662983" w:rsidP="00BD1E5A">
            <w:pPr>
              <w:jc w:val="both"/>
            </w:pPr>
          </w:p>
          <w:p w14:paraId="0ADEC30D" w14:textId="1353964F" w:rsidR="00B13D65" w:rsidRPr="004313C0"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4313C0">
                  <w:rPr>
                    <w:rStyle w:val="Style2"/>
                    <w:rFonts w:ascii="Segoe UI Symbol" w:eastAsia="MS Gothic" w:hAnsi="Segoe UI Symbol" w:cs="Segoe UI Symbol"/>
                    <w:sz w:val="24"/>
                  </w:rPr>
                  <w:t>☐</w:t>
                </w:r>
              </w:sdtContent>
            </w:sdt>
            <w:r w:rsidR="00B13D65" w:rsidRPr="004313C0">
              <w:t xml:space="preserve"> </w:t>
            </w:r>
            <w:r w:rsidR="00662983" w:rsidRPr="004313C0">
              <w:t xml:space="preserve">33.1. </w:t>
            </w:r>
            <w:r w:rsidR="00B00959" w:rsidRPr="004313C0">
              <w:t xml:space="preserve">yra įvertintas kaip nepagrindžiantis </w:t>
            </w:r>
            <w:r w:rsidR="00B13D65" w:rsidRPr="004313C0">
              <w:t>nesiskiriančios naudos pacientų sveikatai sukūrimo, lyginant su įprasta klinikine praktika</w:t>
            </w:r>
          </w:p>
          <w:p w14:paraId="1EED7901" w14:textId="77777777" w:rsidR="00B13D65" w:rsidRPr="004313C0"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4313C0"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4313C0" w14:paraId="1C75AE76" w14:textId="77777777" w:rsidTr="00C16245">
        <w:trPr>
          <w:trHeight w:val="510"/>
        </w:trPr>
        <w:tc>
          <w:tcPr>
            <w:tcW w:w="9629" w:type="dxa"/>
            <w:gridSpan w:val="2"/>
            <w:vAlign w:val="center"/>
          </w:tcPr>
          <w:p w14:paraId="0247EDAD" w14:textId="7FBBB759" w:rsidR="00B13D65" w:rsidRPr="004313C0"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4313C0">
              <w:rPr>
                <w:rStyle w:val="Style2"/>
                <w:rFonts w:eastAsia="MS Gothic"/>
                <w:b/>
                <w:bCs/>
                <w:sz w:val="24"/>
              </w:rPr>
              <w:t>Kaštų naudingumas</w:t>
            </w:r>
          </w:p>
        </w:tc>
      </w:tr>
      <w:tr w:rsidR="00B13D65" w:rsidRPr="004313C0" w14:paraId="7091A05B" w14:textId="77777777" w:rsidTr="0061611B">
        <w:tc>
          <w:tcPr>
            <w:tcW w:w="4815" w:type="dxa"/>
          </w:tcPr>
          <w:p w14:paraId="69B2A994" w14:textId="37C2E7CC" w:rsidR="00B13D65" w:rsidRPr="004313C0"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4313C0">
                  <w:rPr>
                    <w:rStyle w:val="Style2"/>
                    <w:rFonts w:ascii="MS Gothic" w:eastAsia="MS Gothic" w:hAnsi="MS Gothic"/>
                    <w:sz w:val="24"/>
                  </w:rPr>
                  <w:t>☐</w:t>
                </w:r>
              </w:sdtContent>
            </w:sdt>
            <w:r w:rsidR="00B13D65" w:rsidRPr="004313C0">
              <w:t xml:space="preserve"> 32.3. atitinka referencinę naudingumo vertę</w:t>
            </w:r>
          </w:p>
          <w:p w14:paraId="3F76F153" w14:textId="77777777" w:rsidR="00662983" w:rsidRPr="004313C0"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4B433C20" w:rsidR="00B13D65" w:rsidRPr="004313C0"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Content>
                <w:r w:rsidR="00B13D65" w:rsidRPr="004313C0">
                  <w:rPr>
                    <w:rStyle w:val="Style2"/>
                    <w:rFonts w:ascii="Segoe UI Symbol" w:eastAsia="MS Gothic" w:hAnsi="Segoe UI Symbol" w:cs="Segoe UI Symbol"/>
                    <w:sz w:val="24"/>
                  </w:rPr>
                  <w:t>☐</w:t>
                </w:r>
              </w:sdtContent>
            </w:sdt>
            <w:r w:rsidR="00B13D65" w:rsidRPr="004313C0">
              <w:t xml:space="preserve"> 32.3. gydymo juo kaštai yra mažesni ar tokie patys esant iš esmės nesiskiriančiam palyginamajam efektyvumui, </w:t>
            </w:r>
            <w:r w:rsidR="00B00959" w:rsidRPr="004313C0">
              <w:t>lyginant su įprasta klinikine praktika</w:t>
            </w:r>
          </w:p>
          <w:p w14:paraId="25E4BD1E" w14:textId="77777777" w:rsidR="00B13D65" w:rsidRPr="004313C0"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4313C0"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B13D65" w:rsidRPr="004313C0">
                  <w:rPr>
                    <w:rStyle w:val="Style2"/>
                    <w:rFonts w:ascii="Segoe UI Symbol" w:eastAsia="MS Gothic" w:hAnsi="Segoe UI Symbol" w:cs="Segoe UI Symbol"/>
                    <w:sz w:val="24"/>
                  </w:rPr>
                  <w:t>☐</w:t>
                </w:r>
              </w:sdtContent>
            </w:sdt>
            <w:r w:rsidR="00B13D65" w:rsidRPr="004313C0">
              <w:t xml:space="preserve"> 33.3. neatitinka referencinės naudingumo vertės Lietuvos Respublikoje</w:t>
            </w:r>
          </w:p>
          <w:p w14:paraId="229ED51A" w14:textId="77777777" w:rsidR="00662983" w:rsidRPr="004313C0"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79FCC15A" w:rsidR="00B13D65" w:rsidRPr="004313C0"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1"/>
                  <w14:checkedState w14:val="2612" w14:font="MS Gothic"/>
                  <w14:uncheckedState w14:val="2610" w14:font="MS Gothic"/>
                </w14:checkbox>
              </w:sdtPr>
              <w:sdtContent>
                <w:r w:rsidR="0079279E" w:rsidRPr="004313C0">
                  <w:rPr>
                    <w:rStyle w:val="Style2"/>
                    <w:rFonts w:ascii="MS Gothic" w:eastAsia="MS Gothic" w:hAnsi="MS Gothic"/>
                    <w:sz w:val="24"/>
                  </w:rPr>
                  <w:t>☒</w:t>
                </w:r>
              </w:sdtContent>
            </w:sdt>
            <w:r w:rsidR="00B13D65" w:rsidRPr="004313C0">
              <w:t xml:space="preserve"> 33.3. gydymo juo kaštai yra didesni esant iš esmės nesiskiriančiam palyginamajam efektyvumui, netaikant PGS</w:t>
            </w:r>
            <w:r w:rsidR="00B00959" w:rsidRPr="004313C0">
              <w:t>, lyginant su įprasta klinikine praktika</w:t>
            </w:r>
          </w:p>
          <w:p w14:paraId="4A9C7D2A" w14:textId="77777777" w:rsidR="00662983" w:rsidRPr="004313C0"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4313C0"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4313C0">
                  <w:rPr>
                    <w:rStyle w:val="Style2"/>
                    <w:rFonts w:ascii="Segoe UI Symbol" w:eastAsia="MS Gothic" w:hAnsi="Segoe UI Symbol" w:cs="Segoe UI Symbol"/>
                    <w:sz w:val="24"/>
                  </w:rPr>
                  <w:t>☐</w:t>
                </w:r>
              </w:sdtContent>
            </w:sdt>
            <w:r w:rsidR="00B13D65" w:rsidRPr="004313C0">
              <w:t xml:space="preserve"> 33.3. pateikti duomenys apie kaštų na</w:t>
            </w:r>
            <w:r w:rsidR="00662983" w:rsidRPr="004313C0">
              <w:t>udingumą yra netinkami vertinti</w:t>
            </w:r>
          </w:p>
          <w:p w14:paraId="470A48A4" w14:textId="77777777" w:rsidR="00B13D65" w:rsidRPr="004313C0"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0F62DDC9" w14:textId="77777777" w:rsidR="0079279E" w:rsidRPr="004313C0" w:rsidRDefault="0079279E" w:rsidP="0079279E">
      <w:pPr>
        <w:pStyle w:val="Sraopastraipa"/>
        <w:ind w:left="567"/>
      </w:pPr>
    </w:p>
    <w:p w14:paraId="3B2D1F25" w14:textId="3B06CFE8" w:rsidR="000001B0" w:rsidRPr="004313C0" w:rsidRDefault="000001B0" w:rsidP="005D0331">
      <w:pPr>
        <w:pStyle w:val="Sraopastraipa"/>
        <w:numPr>
          <w:ilvl w:val="0"/>
          <w:numId w:val="12"/>
        </w:numPr>
        <w:ind w:left="567" w:hanging="567"/>
      </w:pPr>
      <w:r w:rsidRPr="004313C0">
        <w:rPr>
          <w:b/>
        </w:rPr>
        <w:t>REKOME</w:t>
      </w:r>
      <w:r w:rsidR="00D83182" w:rsidRPr="004313C0">
        <w:rPr>
          <w:b/>
        </w:rPr>
        <w:t>N</w:t>
      </w:r>
      <w:r w:rsidRPr="004313C0">
        <w:rPr>
          <w:b/>
        </w:rPr>
        <w:t>DACIJA</w:t>
      </w:r>
    </w:p>
    <w:p w14:paraId="7D5C6700" w14:textId="77777777" w:rsidR="00D5470B" w:rsidRPr="004313C0" w:rsidRDefault="00D5470B" w:rsidP="00C712EA">
      <w:pPr>
        <w:pStyle w:val="Sraopastraipa"/>
        <w:ind w:left="426"/>
      </w:pPr>
    </w:p>
    <w:p w14:paraId="348A8925" w14:textId="76E797B2" w:rsidR="009232A5" w:rsidRPr="004313C0" w:rsidRDefault="004F3B2B" w:rsidP="009232A5">
      <w:pPr>
        <w:spacing w:line="276" w:lineRule="auto"/>
        <w:ind w:firstLine="432"/>
        <w:jc w:val="both"/>
      </w:pPr>
      <w:bookmarkStart w:id="1" w:name="_Hlk146834701"/>
      <w:r w:rsidRPr="004313C0">
        <w:t xml:space="preserve">Vadovaujantis </w:t>
      </w:r>
      <w:r w:rsidR="00F259FC" w:rsidRPr="004313C0">
        <w:t xml:space="preserve">Vaistinių preparatų ir medicinos pagalbos priemonių įrašymo į kompensavimo sąrašus ir jų keitimo tvarkos aprašo, patvirtinto </w:t>
      </w:r>
      <w:r w:rsidRPr="004313C0">
        <w:t>Lietuvos Respublikos sveikatos apsaugos ministro 2002 m. balandžio 5 d. įsakymu Nr. V-159 „Dėl vaistinių preparatų ir medicinos pagalbos priemonių įrašymo į kompensavimo sąrašus ir jų keitimo tvarkos aprašo patvirtinimo“</w:t>
      </w:r>
      <w:r w:rsidR="00F259FC" w:rsidRPr="004313C0">
        <w:t>,</w:t>
      </w:r>
      <w:r w:rsidRPr="004313C0">
        <w:t xml:space="preserve"> punktu 34.4. rekomenduojama </w:t>
      </w:r>
      <w:r w:rsidRPr="004313C0">
        <w:rPr>
          <w:i/>
        </w:rPr>
        <w:t xml:space="preserve">nekompensuoti </w:t>
      </w:r>
      <w:r w:rsidRPr="004313C0">
        <w:t>vaistinio preparato pagal paraiškoje nurodytą indikaciją be skyrimo sąlygų, netaikant PGS dėl vertinimo išvadų</w:t>
      </w:r>
      <w:r w:rsidR="00613143" w:rsidRPr="004313C0">
        <w:t>, nurodytų 33.3 papunk</w:t>
      </w:r>
      <w:r w:rsidR="00E348BA" w:rsidRPr="004313C0">
        <w:t xml:space="preserve">tyje (žr. 6 skyrių), </w:t>
      </w:r>
      <w:r w:rsidRPr="004313C0">
        <w:t xml:space="preserve"> neatitikties 34.3 papunktyje išdėstyt</w:t>
      </w:r>
      <w:r w:rsidR="00CF27FD" w:rsidRPr="004313C0">
        <w:t>oms</w:t>
      </w:r>
      <w:r w:rsidRPr="004313C0">
        <w:t xml:space="preserve"> sąlyg</w:t>
      </w:r>
      <w:r w:rsidR="00CF27FD" w:rsidRPr="004313C0">
        <w:t>oms</w:t>
      </w:r>
      <w:r w:rsidR="00BF3927" w:rsidRPr="004313C0">
        <w:t>.</w:t>
      </w:r>
    </w:p>
    <w:p w14:paraId="0E3FA897" w14:textId="01A51993" w:rsidR="00223E7A" w:rsidRPr="004313C0" w:rsidRDefault="00223E7A" w:rsidP="000D5F0F">
      <w:pPr>
        <w:spacing w:line="276" w:lineRule="auto"/>
        <w:ind w:firstLine="567"/>
        <w:rPr>
          <w:i/>
        </w:rPr>
      </w:pPr>
      <w:r w:rsidRPr="004313C0">
        <w:rPr>
          <w:i/>
        </w:rPr>
        <w:t>Pastaba</w:t>
      </w:r>
    </w:p>
    <w:p w14:paraId="06BC01EE" w14:textId="219CE3D8" w:rsidR="000723FF" w:rsidRPr="004313C0" w:rsidRDefault="009232A5" w:rsidP="000D5F0F">
      <w:pPr>
        <w:spacing w:line="276" w:lineRule="auto"/>
        <w:ind w:firstLine="567"/>
        <w:rPr>
          <w:rFonts w:eastAsia="Arial"/>
          <w:bCs/>
          <w:szCs w:val="28"/>
        </w:rPr>
      </w:pPr>
      <w:r w:rsidRPr="004313C0">
        <w:t>Atsižvelgiant į ekonominės analizės rezultatą</w:t>
      </w:r>
      <w:r w:rsidR="00223E7A" w:rsidRPr="004313C0">
        <w:t>,</w:t>
      </w:r>
      <w:r w:rsidRPr="004313C0">
        <w:t xml:space="preserve"> </w:t>
      </w:r>
      <w:r w:rsidRPr="004313C0">
        <w:rPr>
          <w:rFonts w:eastAsia="Arial"/>
          <w:bCs/>
          <w:szCs w:val="28"/>
        </w:rPr>
        <w:t xml:space="preserve">gydymas </w:t>
      </w:r>
      <w:proofErr w:type="spellStart"/>
      <w:r w:rsidRPr="004313C0">
        <w:rPr>
          <w:rFonts w:eastAsia="Arial"/>
          <w:bCs/>
          <w:szCs w:val="28"/>
        </w:rPr>
        <w:t>Verzenios</w:t>
      </w:r>
      <w:proofErr w:type="spellEnd"/>
      <w:r w:rsidRPr="004313C0">
        <w:rPr>
          <w:rFonts w:eastAsia="Arial"/>
          <w:bCs/>
          <w:szCs w:val="28"/>
        </w:rPr>
        <w:t xml:space="preserve"> būtų pigesnis už gydymą palyginamuoju vaistiniu preparatu, jei </w:t>
      </w:r>
      <w:proofErr w:type="spellStart"/>
      <w:r w:rsidRPr="004313C0">
        <w:rPr>
          <w:rFonts w:eastAsia="Arial"/>
          <w:bCs/>
          <w:szCs w:val="28"/>
        </w:rPr>
        <w:t>Verzenios</w:t>
      </w:r>
      <w:proofErr w:type="spellEnd"/>
      <w:r w:rsidRPr="004313C0">
        <w:rPr>
          <w:rFonts w:eastAsia="Arial"/>
          <w:bCs/>
          <w:szCs w:val="28"/>
        </w:rPr>
        <w:t xml:space="preserve"> kainai būtų taikoma </w:t>
      </w:r>
      <w:r w:rsidRPr="001A4C89">
        <w:rPr>
          <w:rFonts w:eastAsia="Arial"/>
          <w:bCs/>
          <w:szCs w:val="28"/>
        </w:rPr>
        <w:t xml:space="preserve">apie </w:t>
      </w:r>
      <w:r w:rsidR="000300DE" w:rsidRPr="001A4C89">
        <w:rPr>
          <w:rFonts w:eastAsia="Arial"/>
          <w:bCs/>
          <w:szCs w:val="28"/>
        </w:rPr>
        <w:t>XX</w:t>
      </w:r>
      <w:r w:rsidRPr="001A4C89">
        <w:rPr>
          <w:rFonts w:eastAsia="Arial"/>
          <w:bCs/>
          <w:szCs w:val="28"/>
        </w:rPr>
        <w:t xml:space="preserve"> proc</w:t>
      </w:r>
      <w:r w:rsidRPr="004313C0">
        <w:rPr>
          <w:rFonts w:eastAsia="Arial"/>
          <w:bCs/>
          <w:szCs w:val="28"/>
        </w:rPr>
        <w:t xml:space="preserve">. nuolaida nuo kompensuojamųjų vaistų kainyne esančios kainos. Siekiant, kad gydymas </w:t>
      </w:r>
      <w:proofErr w:type="spellStart"/>
      <w:r w:rsidRPr="004313C0">
        <w:rPr>
          <w:rFonts w:eastAsia="Arial"/>
          <w:bCs/>
          <w:szCs w:val="28"/>
        </w:rPr>
        <w:t>Verzenios</w:t>
      </w:r>
      <w:proofErr w:type="spellEnd"/>
      <w:r w:rsidRPr="004313C0">
        <w:rPr>
          <w:rFonts w:eastAsia="Arial"/>
          <w:bCs/>
          <w:szCs w:val="28"/>
        </w:rPr>
        <w:t xml:space="preserve"> būtų pigesnis bent 5 procentais už gydymą palyginamuoju vaistiniu preparatu, </w:t>
      </w:r>
      <w:proofErr w:type="spellStart"/>
      <w:r w:rsidRPr="004313C0">
        <w:rPr>
          <w:rFonts w:eastAsia="Arial"/>
          <w:bCs/>
          <w:szCs w:val="28"/>
        </w:rPr>
        <w:t>Verzenios</w:t>
      </w:r>
      <w:proofErr w:type="spellEnd"/>
      <w:r w:rsidRPr="004313C0">
        <w:rPr>
          <w:rFonts w:eastAsia="Arial"/>
          <w:bCs/>
          <w:szCs w:val="28"/>
        </w:rPr>
        <w:t xml:space="preserve"> kainai turėtų būti taikoma </w:t>
      </w:r>
      <w:r w:rsidRPr="001A4C89">
        <w:rPr>
          <w:rFonts w:eastAsia="Arial"/>
          <w:bCs/>
          <w:szCs w:val="28"/>
        </w:rPr>
        <w:t xml:space="preserve">apie </w:t>
      </w:r>
      <w:r w:rsidR="000300DE" w:rsidRPr="001A4C89">
        <w:rPr>
          <w:rFonts w:eastAsia="Arial"/>
          <w:bCs/>
          <w:szCs w:val="28"/>
        </w:rPr>
        <w:t>XX</w:t>
      </w:r>
      <w:r w:rsidRPr="001A4C89">
        <w:rPr>
          <w:rFonts w:eastAsia="Arial"/>
          <w:bCs/>
          <w:szCs w:val="28"/>
        </w:rPr>
        <w:t xml:space="preserve"> proc</w:t>
      </w:r>
      <w:r w:rsidRPr="004313C0">
        <w:rPr>
          <w:rFonts w:eastAsia="Arial"/>
          <w:bCs/>
          <w:szCs w:val="28"/>
        </w:rPr>
        <w:t>. nuolaida. Pažymėtina, kad šie nuolaidos dydžiai turėtų būti taikomi visų s</w:t>
      </w:r>
      <w:r w:rsidR="000D5F0F" w:rsidRPr="004313C0">
        <w:rPr>
          <w:rFonts w:eastAsia="Arial"/>
          <w:bCs/>
          <w:szCs w:val="28"/>
        </w:rPr>
        <w:t xml:space="preserve">tiprumų (50 mg, 100 mg, 150 mg) </w:t>
      </w:r>
      <w:proofErr w:type="spellStart"/>
      <w:r w:rsidR="000D5F0F" w:rsidRPr="004313C0">
        <w:rPr>
          <w:rFonts w:eastAsia="Arial"/>
          <w:bCs/>
          <w:szCs w:val="28"/>
        </w:rPr>
        <w:t>Verzenios</w:t>
      </w:r>
      <w:proofErr w:type="spellEnd"/>
      <w:r w:rsidR="000D5F0F" w:rsidRPr="004313C0">
        <w:rPr>
          <w:rFonts w:eastAsia="Arial"/>
          <w:bCs/>
          <w:szCs w:val="28"/>
        </w:rPr>
        <w:t xml:space="preserve"> pakuotėms. </w:t>
      </w:r>
      <w:bookmarkEnd w:id="1"/>
    </w:p>
    <w:p w14:paraId="7CDFF220" w14:textId="58191D98" w:rsidR="000723FF" w:rsidRPr="004313C0" w:rsidRDefault="000723FF" w:rsidP="00824B92">
      <w:pPr>
        <w:rPr>
          <w:b/>
        </w:rPr>
      </w:pPr>
    </w:p>
    <w:sectPr w:rsidR="000723FF" w:rsidRPr="004313C0" w:rsidSect="005D30E1">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ADA98" w14:textId="77777777" w:rsidR="00231AC0" w:rsidRDefault="00231AC0">
      <w:r>
        <w:separator/>
      </w:r>
    </w:p>
  </w:endnote>
  <w:endnote w:type="continuationSeparator" w:id="0">
    <w:p w14:paraId="7A178ACD" w14:textId="77777777" w:rsidR="00231AC0" w:rsidRDefault="0023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5574" w14:textId="77777777" w:rsidR="009C19BB" w:rsidRDefault="009C19B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8707" w14:textId="77777777" w:rsidR="009C19BB" w:rsidRDefault="009C19B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65F38" w14:textId="77777777" w:rsidR="00231AC0" w:rsidRDefault="00231AC0">
      <w:r>
        <w:separator/>
      </w:r>
    </w:p>
  </w:footnote>
  <w:footnote w:type="continuationSeparator" w:id="0">
    <w:p w14:paraId="76370235" w14:textId="77777777" w:rsidR="00231AC0" w:rsidRDefault="00231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05328481"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24F95">
      <w:rPr>
        <w:rStyle w:val="Puslapionumeris"/>
        <w:noProof/>
      </w:rPr>
      <w:t>8</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11985899">
    <w:abstractNumId w:val="6"/>
  </w:num>
  <w:num w:numId="2" w16cid:durableId="1648120334">
    <w:abstractNumId w:val="1"/>
  </w:num>
  <w:num w:numId="3" w16cid:durableId="629898768">
    <w:abstractNumId w:val="8"/>
  </w:num>
  <w:num w:numId="4" w16cid:durableId="1210731010">
    <w:abstractNumId w:val="7"/>
  </w:num>
  <w:num w:numId="5" w16cid:durableId="1700858748">
    <w:abstractNumId w:val="5"/>
  </w:num>
  <w:num w:numId="6" w16cid:durableId="1394044691">
    <w:abstractNumId w:val="4"/>
  </w:num>
  <w:num w:numId="7" w16cid:durableId="2059620967">
    <w:abstractNumId w:val="3"/>
  </w:num>
  <w:num w:numId="8" w16cid:durableId="2005745136">
    <w:abstractNumId w:val="11"/>
  </w:num>
  <w:num w:numId="9" w16cid:durableId="1928345951">
    <w:abstractNumId w:val="0"/>
  </w:num>
  <w:num w:numId="10" w16cid:durableId="2083485547">
    <w:abstractNumId w:val="9"/>
  </w:num>
  <w:num w:numId="11" w16cid:durableId="1532496671">
    <w:abstractNumId w:val="10"/>
  </w:num>
  <w:num w:numId="12" w16cid:durableId="1663964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00DE"/>
    <w:rsid w:val="00031D0E"/>
    <w:rsid w:val="000337E6"/>
    <w:rsid w:val="0003402E"/>
    <w:rsid w:val="00034EAE"/>
    <w:rsid w:val="00042924"/>
    <w:rsid w:val="00053975"/>
    <w:rsid w:val="00057A2B"/>
    <w:rsid w:val="000606BE"/>
    <w:rsid w:val="000723FF"/>
    <w:rsid w:val="000736B8"/>
    <w:rsid w:val="00081061"/>
    <w:rsid w:val="0008190F"/>
    <w:rsid w:val="00081D9C"/>
    <w:rsid w:val="00082907"/>
    <w:rsid w:val="0008378D"/>
    <w:rsid w:val="000908A5"/>
    <w:rsid w:val="00092805"/>
    <w:rsid w:val="000C454C"/>
    <w:rsid w:val="000D5038"/>
    <w:rsid w:val="000D5F0F"/>
    <w:rsid w:val="000E29D4"/>
    <w:rsid w:val="000F3540"/>
    <w:rsid w:val="00100491"/>
    <w:rsid w:val="001024D2"/>
    <w:rsid w:val="00104E2E"/>
    <w:rsid w:val="00107287"/>
    <w:rsid w:val="00117406"/>
    <w:rsid w:val="00121EF0"/>
    <w:rsid w:val="00124A9E"/>
    <w:rsid w:val="00130703"/>
    <w:rsid w:val="0013153F"/>
    <w:rsid w:val="001408B8"/>
    <w:rsid w:val="001517E2"/>
    <w:rsid w:val="001521D9"/>
    <w:rsid w:val="001554E2"/>
    <w:rsid w:val="00164146"/>
    <w:rsid w:val="0017369C"/>
    <w:rsid w:val="00175D57"/>
    <w:rsid w:val="00180C39"/>
    <w:rsid w:val="00180D96"/>
    <w:rsid w:val="00184BD3"/>
    <w:rsid w:val="001878C3"/>
    <w:rsid w:val="001921F3"/>
    <w:rsid w:val="001A4C89"/>
    <w:rsid w:val="001B3C5B"/>
    <w:rsid w:val="001D746F"/>
    <w:rsid w:val="001E4BBB"/>
    <w:rsid w:val="001E6304"/>
    <w:rsid w:val="0020381E"/>
    <w:rsid w:val="00213471"/>
    <w:rsid w:val="00215906"/>
    <w:rsid w:val="00223E7A"/>
    <w:rsid w:val="00231AC0"/>
    <w:rsid w:val="00241CD8"/>
    <w:rsid w:val="00244B09"/>
    <w:rsid w:val="002519CB"/>
    <w:rsid w:val="0025697F"/>
    <w:rsid w:val="00260258"/>
    <w:rsid w:val="0026588E"/>
    <w:rsid w:val="00272428"/>
    <w:rsid w:val="00272948"/>
    <w:rsid w:val="00272F73"/>
    <w:rsid w:val="002917BB"/>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317B0E"/>
    <w:rsid w:val="003213E7"/>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877"/>
    <w:rsid w:val="003D1E99"/>
    <w:rsid w:val="003D6208"/>
    <w:rsid w:val="00404E8A"/>
    <w:rsid w:val="0040622F"/>
    <w:rsid w:val="00413F24"/>
    <w:rsid w:val="00422853"/>
    <w:rsid w:val="00423160"/>
    <w:rsid w:val="004313C0"/>
    <w:rsid w:val="00453862"/>
    <w:rsid w:val="0045469B"/>
    <w:rsid w:val="00461338"/>
    <w:rsid w:val="004677DB"/>
    <w:rsid w:val="0047414A"/>
    <w:rsid w:val="00476256"/>
    <w:rsid w:val="0048630F"/>
    <w:rsid w:val="004947A1"/>
    <w:rsid w:val="0049482A"/>
    <w:rsid w:val="004979D3"/>
    <w:rsid w:val="004A00E7"/>
    <w:rsid w:val="004A3A61"/>
    <w:rsid w:val="004B205D"/>
    <w:rsid w:val="004B59BA"/>
    <w:rsid w:val="004B5A03"/>
    <w:rsid w:val="004C0E13"/>
    <w:rsid w:val="004C263A"/>
    <w:rsid w:val="004D48A6"/>
    <w:rsid w:val="004D7B8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A6C21"/>
    <w:rsid w:val="005B3756"/>
    <w:rsid w:val="005C493F"/>
    <w:rsid w:val="005C6BF7"/>
    <w:rsid w:val="005C71BF"/>
    <w:rsid w:val="005D002C"/>
    <w:rsid w:val="005D0331"/>
    <w:rsid w:val="005D30E1"/>
    <w:rsid w:val="005D6555"/>
    <w:rsid w:val="005D7BDF"/>
    <w:rsid w:val="005E4870"/>
    <w:rsid w:val="005F71D9"/>
    <w:rsid w:val="005F7602"/>
    <w:rsid w:val="006031C8"/>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6CB0"/>
    <w:rsid w:val="006C0296"/>
    <w:rsid w:val="006C2B64"/>
    <w:rsid w:val="006D4C85"/>
    <w:rsid w:val="006D66AC"/>
    <w:rsid w:val="006E33F6"/>
    <w:rsid w:val="006F1251"/>
    <w:rsid w:val="006F1C23"/>
    <w:rsid w:val="00702C18"/>
    <w:rsid w:val="00703166"/>
    <w:rsid w:val="007127F3"/>
    <w:rsid w:val="007301CF"/>
    <w:rsid w:val="007316FB"/>
    <w:rsid w:val="007374D0"/>
    <w:rsid w:val="00737E2D"/>
    <w:rsid w:val="007424D5"/>
    <w:rsid w:val="00750A88"/>
    <w:rsid w:val="007523DD"/>
    <w:rsid w:val="00757B7E"/>
    <w:rsid w:val="007656B2"/>
    <w:rsid w:val="0077016F"/>
    <w:rsid w:val="007713AD"/>
    <w:rsid w:val="007826A1"/>
    <w:rsid w:val="0079279E"/>
    <w:rsid w:val="00795DC5"/>
    <w:rsid w:val="00797153"/>
    <w:rsid w:val="007A21F7"/>
    <w:rsid w:val="007A2B68"/>
    <w:rsid w:val="007B0DDA"/>
    <w:rsid w:val="007C7519"/>
    <w:rsid w:val="007D3347"/>
    <w:rsid w:val="007E5466"/>
    <w:rsid w:val="007F1949"/>
    <w:rsid w:val="007F2592"/>
    <w:rsid w:val="00800A08"/>
    <w:rsid w:val="00817A84"/>
    <w:rsid w:val="008225A4"/>
    <w:rsid w:val="00824B92"/>
    <w:rsid w:val="00824F95"/>
    <w:rsid w:val="00826D5E"/>
    <w:rsid w:val="008304C9"/>
    <w:rsid w:val="00832013"/>
    <w:rsid w:val="00832DB7"/>
    <w:rsid w:val="00834732"/>
    <w:rsid w:val="0085200C"/>
    <w:rsid w:val="00857C52"/>
    <w:rsid w:val="00860D5F"/>
    <w:rsid w:val="00871552"/>
    <w:rsid w:val="00880A44"/>
    <w:rsid w:val="0088345E"/>
    <w:rsid w:val="0088656F"/>
    <w:rsid w:val="00891EF6"/>
    <w:rsid w:val="008A0303"/>
    <w:rsid w:val="008A5FDD"/>
    <w:rsid w:val="008C3947"/>
    <w:rsid w:val="008E473B"/>
    <w:rsid w:val="008E51A6"/>
    <w:rsid w:val="008E7329"/>
    <w:rsid w:val="008F2ED5"/>
    <w:rsid w:val="0092297E"/>
    <w:rsid w:val="009232A5"/>
    <w:rsid w:val="00923651"/>
    <w:rsid w:val="00927B56"/>
    <w:rsid w:val="009341BF"/>
    <w:rsid w:val="00937907"/>
    <w:rsid w:val="00941739"/>
    <w:rsid w:val="00943E06"/>
    <w:rsid w:val="00951573"/>
    <w:rsid w:val="00963003"/>
    <w:rsid w:val="00966EEF"/>
    <w:rsid w:val="00971B28"/>
    <w:rsid w:val="00983471"/>
    <w:rsid w:val="009909AB"/>
    <w:rsid w:val="009B37DB"/>
    <w:rsid w:val="009C19BB"/>
    <w:rsid w:val="009C7A8C"/>
    <w:rsid w:val="009D23F9"/>
    <w:rsid w:val="009D4FA8"/>
    <w:rsid w:val="009E17C4"/>
    <w:rsid w:val="009E44AE"/>
    <w:rsid w:val="009E6CD6"/>
    <w:rsid w:val="009F4D66"/>
    <w:rsid w:val="00A00C3C"/>
    <w:rsid w:val="00A01091"/>
    <w:rsid w:val="00A042B9"/>
    <w:rsid w:val="00A06DBB"/>
    <w:rsid w:val="00A22ADF"/>
    <w:rsid w:val="00A31E86"/>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E285E"/>
    <w:rsid w:val="00AF60D5"/>
    <w:rsid w:val="00B00959"/>
    <w:rsid w:val="00B04415"/>
    <w:rsid w:val="00B06509"/>
    <w:rsid w:val="00B11D60"/>
    <w:rsid w:val="00B13D65"/>
    <w:rsid w:val="00B21805"/>
    <w:rsid w:val="00B3072E"/>
    <w:rsid w:val="00B36E15"/>
    <w:rsid w:val="00B37245"/>
    <w:rsid w:val="00B4017A"/>
    <w:rsid w:val="00B4468D"/>
    <w:rsid w:val="00B71C72"/>
    <w:rsid w:val="00B81E92"/>
    <w:rsid w:val="00B908D7"/>
    <w:rsid w:val="00B915AB"/>
    <w:rsid w:val="00B935E8"/>
    <w:rsid w:val="00B93B30"/>
    <w:rsid w:val="00B94CB5"/>
    <w:rsid w:val="00B9578C"/>
    <w:rsid w:val="00BA0DD9"/>
    <w:rsid w:val="00BA5DBC"/>
    <w:rsid w:val="00BB6312"/>
    <w:rsid w:val="00BC4D06"/>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517D2"/>
    <w:rsid w:val="00C5772E"/>
    <w:rsid w:val="00C62B36"/>
    <w:rsid w:val="00C7012C"/>
    <w:rsid w:val="00C712EA"/>
    <w:rsid w:val="00CA217D"/>
    <w:rsid w:val="00CC09D4"/>
    <w:rsid w:val="00CC668D"/>
    <w:rsid w:val="00CC7832"/>
    <w:rsid w:val="00CE14C8"/>
    <w:rsid w:val="00CF0C1C"/>
    <w:rsid w:val="00CF27FD"/>
    <w:rsid w:val="00CF5F12"/>
    <w:rsid w:val="00D00D8F"/>
    <w:rsid w:val="00D21F3A"/>
    <w:rsid w:val="00D23808"/>
    <w:rsid w:val="00D3016A"/>
    <w:rsid w:val="00D417D2"/>
    <w:rsid w:val="00D42960"/>
    <w:rsid w:val="00D43BD7"/>
    <w:rsid w:val="00D4485B"/>
    <w:rsid w:val="00D4708D"/>
    <w:rsid w:val="00D4744C"/>
    <w:rsid w:val="00D521DE"/>
    <w:rsid w:val="00D5470B"/>
    <w:rsid w:val="00D63068"/>
    <w:rsid w:val="00D6498C"/>
    <w:rsid w:val="00D76A70"/>
    <w:rsid w:val="00D83182"/>
    <w:rsid w:val="00D834CF"/>
    <w:rsid w:val="00D8521E"/>
    <w:rsid w:val="00D9291C"/>
    <w:rsid w:val="00D93A97"/>
    <w:rsid w:val="00D970E4"/>
    <w:rsid w:val="00DB1F64"/>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63B41"/>
    <w:rsid w:val="00E745A1"/>
    <w:rsid w:val="00E81529"/>
    <w:rsid w:val="00E81D38"/>
    <w:rsid w:val="00E83A13"/>
    <w:rsid w:val="00EB6FC5"/>
    <w:rsid w:val="00EC2356"/>
    <w:rsid w:val="00EC2582"/>
    <w:rsid w:val="00EC337C"/>
    <w:rsid w:val="00ED0907"/>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50666"/>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uiPriority w:val="3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ummary Bullets,Bullet 1,Bullet1,Bullet List,Section 5,List Paragraph CCT minutes,Table Legend,Bullets Points,Use Case List Paragraph,List Paragraph1,Body Bullet,Table Number Paragraph,Colorful List - Accent 11,List Paragraph 1,Ref,B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Summary Bullets Diagrama,Bullet 1 Diagrama,Bullet1 Diagrama,Bullet List Diagrama,Section 5 Diagrama,List Paragraph CCT minutes Diagrama,Table Legend Diagrama,Bullets Points Diagrama,Use Case List Paragraph Diagrama,Ref Diagrama"/>
    <w:basedOn w:val="Numatytasispastraiposriftas"/>
    <w:link w:val="Sraopastraipa"/>
    <w:uiPriority w:val="34"/>
    <w:rsid w:val="003D1877"/>
    <w:rPr>
      <w:sz w:val="24"/>
      <w:szCs w:val="24"/>
      <w:lang w:eastAsia="en-US"/>
    </w:rPr>
  </w:style>
  <w:style w:type="table" w:customStyle="1" w:styleId="TableGrid1">
    <w:name w:val="Table Grid1"/>
    <w:basedOn w:val="prastojilentel"/>
    <w:next w:val="Lentelstinklelis"/>
    <w:rsid w:val="008304C9"/>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VKT">
    <w:name w:val="VVKT"/>
    <w:basedOn w:val="prastasis"/>
    <w:link w:val="VVKTChar"/>
    <w:qFormat/>
    <w:rsid w:val="0079279E"/>
    <w:pPr>
      <w:tabs>
        <w:tab w:val="left" w:pos="567"/>
      </w:tabs>
      <w:spacing w:line="276" w:lineRule="auto"/>
      <w:ind w:firstLine="432"/>
      <w:jc w:val="both"/>
    </w:pPr>
    <w:rPr>
      <w:szCs w:val="20"/>
      <w:lang w:eastAsia="lt-LT"/>
    </w:rPr>
  </w:style>
  <w:style w:type="character" w:customStyle="1" w:styleId="VVKTChar">
    <w:name w:val="VVKT Char"/>
    <w:basedOn w:val="Numatytasispastraiposriftas"/>
    <w:link w:val="VVKT"/>
    <w:rsid w:val="0079279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Vietosrezervavimoenklotekstas"/>
            </w:rPr>
            <w:t>Click here to enter a date.</w:t>
          </w:r>
        </w:p>
      </w:docPartBody>
    </w:docPart>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Vietosrezervavimoenklotekstas"/>
            </w:rPr>
            <w:t>Click here to enter a date.</w:t>
          </w:r>
        </w:p>
      </w:docPartBody>
    </w:docPart>
    <w:docPart>
      <w:docPartPr>
        <w:name w:val="2B1B2639110042168A7A392144A9A7D8"/>
        <w:category>
          <w:name w:val="General"/>
          <w:gallery w:val="placeholder"/>
        </w:category>
        <w:types>
          <w:type w:val="bbPlcHdr"/>
        </w:types>
        <w:behaviors>
          <w:behavior w:val="content"/>
        </w:behaviors>
        <w:guid w:val="{B36EF0F3-3D18-4A08-AA33-CD4B9649419B}"/>
      </w:docPartPr>
      <w:docPartBody>
        <w:p w:rsidR="0097103D" w:rsidRDefault="008E3D26" w:rsidP="008E3D26">
          <w:pPr>
            <w:pStyle w:val="2B1B2639110042168A7A392144A9A7D8"/>
          </w:pPr>
          <w:r>
            <w:rPr>
              <w:rStyle w:val="Vietosrezervavimoenklotekstas"/>
            </w:rPr>
            <w:t>Click here to enter a date.</w:t>
          </w:r>
        </w:p>
      </w:docPartBody>
    </w:docPart>
    <w:docPart>
      <w:docPartPr>
        <w:name w:val="4F08B215C1C247159E4BEAD5EF4C9028"/>
        <w:category>
          <w:name w:val="General"/>
          <w:gallery w:val="placeholder"/>
        </w:category>
        <w:types>
          <w:type w:val="bbPlcHdr"/>
        </w:types>
        <w:behaviors>
          <w:behavior w:val="content"/>
        </w:behaviors>
        <w:guid w:val="{70DA4D77-A632-4983-8670-A4D268A6A3A5}"/>
      </w:docPartPr>
      <w:docPartBody>
        <w:p w:rsidR="0097103D" w:rsidRDefault="008E3D26" w:rsidP="008E3D26">
          <w:pPr>
            <w:pStyle w:val="4F08B215C1C247159E4BEAD5EF4C9028"/>
          </w:pPr>
          <w:r>
            <w:rPr>
              <w:rStyle w:val="Vietosrezervavimoenklotekstas"/>
            </w:rPr>
            <w:t>Click here to enter a date.</w:t>
          </w:r>
        </w:p>
      </w:docPartBody>
    </w:docPart>
    <w:docPart>
      <w:docPartPr>
        <w:name w:val="83857B591A8A42E7A09146A20D3D2336"/>
        <w:category>
          <w:name w:val="General"/>
          <w:gallery w:val="placeholder"/>
        </w:category>
        <w:types>
          <w:type w:val="bbPlcHdr"/>
        </w:types>
        <w:behaviors>
          <w:behavior w:val="content"/>
        </w:behaviors>
        <w:guid w:val="{4EA1EA9B-DDC5-4A7D-9057-9A2565977091}"/>
      </w:docPartPr>
      <w:docPartBody>
        <w:p w:rsidR="0097103D" w:rsidRDefault="008E3D26" w:rsidP="008E3D26">
          <w:pPr>
            <w:pStyle w:val="83857B591A8A42E7A09146A20D3D2336"/>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1C35A9"/>
    <w:rsid w:val="001F47C5"/>
    <w:rsid w:val="00237556"/>
    <w:rsid w:val="0039303B"/>
    <w:rsid w:val="004144A3"/>
    <w:rsid w:val="004160E7"/>
    <w:rsid w:val="004416C6"/>
    <w:rsid w:val="00456B95"/>
    <w:rsid w:val="004F5AB2"/>
    <w:rsid w:val="005074B9"/>
    <w:rsid w:val="005E40DD"/>
    <w:rsid w:val="006F748F"/>
    <w:rsid w:val="007219C1"/>
    <w:rsid w:val="00753462"/>
    <w:rsid w:val="00772325"/>
    <w:rsid w:val="007A2FE0"/>
    <w:rsid w:val="007C6D1D"/>
    <w:rsid w:val="008E3D26"/>
    <w:rsid w:val="0090074D"/>
    <w:rsid w:val="0097103D"/>
    <w:rsid w:val="009B3BF0"/>
    <w:rsid w:val="009D5E5E"/>
    <w:rsid w:val="009F1BB4"/>
    <w:rsid w:val="00AB6ED4"/>
    <w:rsid w:val="00B14210"/>
    <w:rsid w:val="00B23DC0"/>
    <w:rsid w:val="00B80723"/>
    <w:rsid w:val="00B96656"/>
    <w:rsid w:val="00BE29C1"/>
    <w:rsid w:val="00BE6BB1"/>
    <w:rsid w:val="00C2401D"/>
    <w:rsid w:val="00C53A68"/>
    <w:rsid w:val="00CA5BB4"/>
    <w:rsid w:val="00CB4BD1"/>
    <w:rsid w:val="00CD4DC5"/>
    <w:rsid w:val="00CE2DA9"/>
    <w:rsid w:val="00CE44BE"/>
    <w:rsid w:val="00D4356B"/>
    <w:rsid w:val="00D7162F"/>
    <w:rsid w:val="00E44A86"/>
    <w:rsid w:val="00E522EB"/>
    <w:rsid w:val="00E60827"/>
    <w:rsid w:val="00E73FF6"/>
    <w:rsid w:val="00E75EAC"/>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8E3D26"/>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 w:type="paragraph" w:customStyle="1" w:styleId="2B1B2639110042168A7A392144A9A7D8">
    <w:name w:val="2B1B2639110042168A7A392144A9A7D8"/>
    <w:rsid w:val="008E3D26"/>
  </w:style>
  <w:style w:type="paragraph" w:customStyle="1" w:styleId="4F08B215C1C247159E4BEAD5EF4C9028">
    <w:name w:val="4F08B215C1C247159E4BEAD5EF4C9028"/>
    <w:rsid w:val="008E3D26"/>
  </w:style>
  <w:style w:type="paragraph" w:customStyle="1" w:styleId="83857B591A8A42E7A09146A20D3D2336">
    <w:name w:val="83857B591A8A42E7A09146A20D3D2336"/>
    <w:rsid w:val="008E3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AA021-D38F-4FB2-8B44-B11266D24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12280</Words>
  <Characters>7001</Characters>
  <Application>Microsoft Office Word</Application>
  <DocSecurity>0</DocSecurity>
  <Lines>58</Lines>
  <Paragraphs>38</Paragraphs>
  <ScaleCrop>false</ScaleCrop>
  <Company/>
  <LinksUpToDate>false</LinksUpToDate>
  <CharactersWithSpaces>19243</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2023-10-26T12:21:00Z</dcterms:created>
  <dcterms:modified xsi:type="dcterms:W3CDTF">2023-11-09T13:59:00Z</dcterms:modified>
</cp:coreProperties>
</file>