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0203E1" w:rsidRDefault="005F7602" w:rsidP="00182D27">
      <w:pPr>
        <w:spacing w:line="276" w:lineRule="auto"/>
        <w:ind w:left="5529"/>
      </w:pPr>
    </w:p>
    <w:p w14:paraId="12FA4B9E" w14:textId="77777777" w:rsidR="001B3C5B" w:rsidRPr="000203E1" w:rsidRDefault="001B3C5B" w:rsidP="00182D27">
      <w:pPr>
        <w:spacing w:line="276" w:lineRule="auto"/>
        <w:ind w:left="6096"/>
      </w:pPr>
      <w:r w:rsidRPr="000203E1">
        <w:t>Forma patvirtinta</w:t>
      </w:r>
    </w:p>
    <w:p w14:paraId="7206970B" w14:textId="70E9BD2E" w:rsidR="004C263A" w:rsidRPr="000203E1" w:rsidRDefault="001B3C5B" w:rsidP="00182D27">
      <w:pPr>
        <w:spacing w:line="276" w:lineRule="auto"/>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82D27">
      <w:pPr>
        <w:spacing w:line="276" w:lineRule="auto"/>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182D27">
      <w:pPr>
        <w:spacing w:line="276" w:lineRule="auto"/>
      </w:pPr>
    </w:p>
    <w:p w14:paraId="77AFB67E" w14:textId="16397257" w:rsidR="00613501" w:rsidRPr="000203E1" w:rsidRDefault="002F0E4F" w:rsidP="00182D27">
      <w:pPr>
        <w:spacing w:line="276" w:lineRule="auto"/>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182D27">
      <w:pPr>
        <w:spacing w:line="276" w:lineRule="auto"/>
        <w:jc w:val="center"/>
        <w:rPr>
          <w:b/>
        </w:rPr>
      </w:pPr>
    </w:p>
    <w:p w14:paraId="189FF3A0" w14:textId="5D408F8A" w:rsidR="00E43713" w:rsidRPr="00595499" w:rsidRDefault="00582D99" w:rsidP="00182D27">
      <w:pPr>
        <w:spacing w:line="276" w:lineRule="auto"/>
        <w:jc w:val="center"/>
        <w:rPr>
          <w:b/>
        </w:rPr>
      </w:pPr>
      <w:r w:rsidRPr="00595499">
        <w:rPr>
          <w:b/>
        </w:rPr>
        <w:t>Sarclisa 100 mg/5 ml, 500 mg/25 ml, koncentratas infuziniam tirpalui</w:t>
      </w:r>
    </w:p>
    <w:p w14:paraId="10CF8E4E" w14:textId="4076520A" w:rsidR="00582D99" w:rsidRPr="00595499" w:rsidRDefault="00582D99" w:rsidP="00182D27">
      <w:pPr>
        <w:spacing w:line="276" w:lineRule="auto"/>
        <w:jc w:val="center"/>
        <w:rPr>
          <w:b/>
        </w:rPr>
      </w:pPr>
    </w:p>
    <w:p w14:paraId="163630A9" w14:textId="55306CBE" w:rsidR="00582D99" w:rsidRPr="00595499" w:rsidRDefault="00582D99" w:rsidP="00182D27">
      <w:pPr>
        <w:spacing w:line="276" w:lineRule="auto"/>
        <w:jc w:val="center"/>
      </w:pPr>
      <w:r w:rsidRPr="00595499">
        <w:t>Isatuksimabas</w:t>
      </w:r>
    </w:p>
    <w:p w14:paraId="26AAD55F" w14:textId="77777777" w:rsidR="00E43713" w:rsidRPr="00595499" w:rsidRDefault="00E43713" w:rsidP="00182D27">
      <w:pPr>
        <w:spacing w:line="276" w:lineRule="auto"/>
      </w:pPr>
    </w:p>
    <w:p w14:paraId="02C8679F" w14:textId="1652F4D9" w:rsidR="00E43713" w:rsidRPr="001A5F98" w:rsidRDefault="00582D99" w:rsidP="00182D27">
      <w:pPr>
        <w:spacing w:line="276" w:lineRule="auto"/>
        <w:jc w:val="center"/>
        <w:rPr>
          <w:b/>
        </w:rPr>
      </w:pPr>
      <w:r>
        <w:rPr>
          <w:b/>
        </w:rPr>
        <w:t>STV-94</w:t>
      </w:r>
    </w:p>
    <w:p w14:paraId="453197C8" w14:textId="77777777" w:rsidR="00D4708D" w:rsidRPr="000203E1" w:rsidRDefault="00D4708D" w:rsidP="00182D27">
      <w:pPr>
        <w:spacing w:line="276" w:lineRule="auto"/>
        <w:jc w:val="center"/>
        <w:rPr>
          <w:b/>
        </w:rPr>
      </w:pPr>
    </w:p>
    <w:p w14:paraId="78C89D1C" w14:textId="0DEFFAA5" w:rsidR="00D4485B" w:rsidRPr="000203E1" w:rsidRDefault="00B13D65" w:rsidP="00182D27">
      <w:pPr>
        <w:pStyle w:val="ListParagraph"/>
        <w:numPr>
          <w:ilvl w:val="0"/>
          <w:numId w:val="12"/>
        </w:numPr>
        <w:tabs>
          <w:tab w:val="left" w:pos="567"/>
        </w:tabs>
        <w:spacing w:line="276" w:lineRule="auto"/>
        <w:ind w:left="567" w:hanging="567"/>
        <w:rPr>
          <w:b/>
          <w:bCs/>
          <w:caps/>
        </w:rPr>
      </w:pPr>
      <w:r w:rsidRPr="000203E1">
        <w:rPr>
          <w:b/>
          <w:bCs/>
          <w:caps/>
        </w:rPr>
        <w:t>Bendroji dalis</w:t>
      </w:r>
    </w:p>
    <w:p w14:paraId="04A7C7A7" w14:textId="77777777" w:rsidR="00B13D65" w:rsidRPr="000203E1" w:rsidRDefault="00B13D65" w:rsidP="00182D27">
      <w:pPr>
        <w:pStyle w:val="ListParagraph"/>
        <w:tabs>
          <w:tab w:val="left" w:pos="284"/>
        </w:tabs>
        <w:spacing w:line="276" w:lineRule="auto"/>
        <w:ind w:left="0"/>
        <w:rPr>
          <w:b/>
          <w:bCs/>
          <w:caps/>
        </w:rPr>
      </w:pPr>
    </w:p>
    <w:tbl>
      <w:tblPr>
        <w:tblStyle w:val="TableGrid"/>
        <w:tblW w:w="9493" w:type="dxa"/>
        <w:tblLook w:val="04A0" w:firstRow="1" w:lastRow="0" w:firstColumn="1" w:lastColumn="0" w:noHBand="0" w:noVBand="1"/>
      </w:tblPr>
      <w:tblGrid>
        <w:gridCol w:w="632"/>
        <w:gridCol w:w="3694"/>
        <w:gridCol w:w="5167"/>
      </w:tblGrid>
      <w:tr w:rsidR="00E43713" w:rsidRPr="000203E1" w14:paraId="18A83EC2" w14:textId="77777777" w:rsidTr="00BE7489">
        <w:trPr>
          <w:trHeight w:val="538"/>
        </w:trPr>
        <w:tc>
          <w:tcPr>
            <w:tcW w:w="632" w:type="dxa"/>
          </w:tcPr>
          <w:p w14:paraId="0646FBEA" w14:textId="77777777" w:rsidR="00E43713" w:rsidRPr="000203E1" w:rsidRDefault="00E43713" w:rsidP="00182D27">
            <w:pPr>
              <w:spacing w:line="276" w:lineRule="auto"/>
              <w:rPr>
                <w:rFonts w:eastAsia="Arial"/>
              </w:rPr>
            </w:pPr>
            <w:r w:rsidRPr="000203E1">
              <w:rPr>
                <w:rFonts w:eastAsia="Arial"/>
              </w:rPr>
              <w:t>1.1</w:t>
            </w:r>
          </w:p>
        </w:tc>
        <w:tc>
          <w:tcPr>
            <w:tcW w:w="3694" w:type="dxa"/>
          </w:tcPr>
          <w:p w14:paraId="6C3AE864" w14:textId="77777777" w:rsidR="00E43713" w:rsidRPr="000203E1" w:rsidRDefault="00E43713" w:rsidP="00182D27">
            <w:pPr>
              <w:spacing w:line="276" w:lineRule="auto"/>
              <w:rPr>
                <w:rFonts w:eastAsia="Arial"/>
              </w:rPr>
            </w:pPr>
            <w:r w:rsidRPr="000203E1">
              <w:rPr>
                <w:rFonts w:eastAsia="Arial"/>
              </w:rPr>
              <w:t>Pareiškėjas</w:t>
            </w:r>
          </w:p>
          <w:p w14:paraId="2AF240DC" w14:textId="77777777" w:rsidR="00E43713" w:rsidRPr="000203E1" w:rsidRDefault="00E43713" w:rsidP="00182D27">
            <w:pPr>
              <w:spacing w:line="276" w:lineRule="auto"/>
              <w:rPr>
                <w:rFonts w:eastAsia="Arial"/>
              </w:rPr>
            </w:pPr>
          </w:p>
        </w:tc>
        <w:tc>
          <w:tcPr>
            <w:tcW w:w="5167" w:type="dxa"/>
          </w:tcPr>
          <w:p w14:paraId="2AAF0D91" w14:textId="6A55E800" w:rsidR="00E43713" w:rsidRPr="000203E1" w:rsidRDefault="00582D99" w:rsidP="00182D27">
            <w:pPr>
              <w:spacing w:line="276" w:lineRule="auto"/>
              <w:rPr>
                <w:rFonts w:eastAsia="Arial"/>
              </w:rPr>
            </w:pPr>
            <w:r>
              <w:t>UAB „Swixx Biopharma“</w:t>
            </w:r>
          </w:p>
        </w:tc>
      </w:tr>
      <w:tr w:rsidR="00E43713" w:rsidRPr="000203E1" w14:paraId="31998B0D" w14:textId="77777777" w:rsidTr="00BE7489">
        <w:trPr>
          <w:trHeight w:val="538"/>
        </w:trPr>
        <w:tc>
          <w:tcPr>
            <w:tcW w:w="632" w:type="dxa"/>
          </w:tcPr>
          <w:p w14:paraId="2005EC67" w14:textId="662300D0" w:rsidR="00E43713" w:rsidRPr="000203E1" w:rsidRDefault="00E43713" w:rsidP="00182D27">
            <w:pPr>
              <w:spacing w:line="276" w:lineRule="auto"/>
              <w:rPr>
                <w:rFonts w:eastAsia="Arial"/>
              </w:rPr>
            </w:pPr>
            <w:r w:rsidRPr="000203E1">
              <w:rPr>
                <w:rFonts w:eastAsia="Arial"/>
              </w:rPr>
              <w:t>1.2</w:t>
            </w:r>
          </w:p>
        </w:tc>
        <w:tc>
          <w:tcPr>
            <w:tcW w:w="3694" w:type="dxa"/>
          </w:tcPr>
          <w:p w14:paraId="1E4AE3B1" w14:textId="77777777" w:rsidR="00E43713" w:rsidRPr="000203E1" w:rsidRDefault="00E43713" w:rsidP="00182D27">
            <w:pPr>
              <w:spacing w:line="276" w:lineRule="auto"/>
              <w:rPr>
                <w:bCs/>
                <w:lang w:eastAsia="lt-LT"/>
              </w:rPr>
            </w:pPr>
            <w:r w:rsidRPr="000203E1">
              <w:rPr>
                <w:bCs/>
                <w:lang w:eastAsia="lt-LT"/>
              </w:rPr>
              <w:t xml:space="preserve">Registracijos data </w:t>
            </w:r>
          </w:p>
          <w:p w14:paraId="3A0DC096" w14:textId="77777777" w:rsidR="00E43713" w:rsidRPr="000203E1" w:rsidRDefault="00E43713" w:rsidP="00182D27">
            <w:pPr>
              <w:spacing w:line="276" w:lineRule="auto"/>
              <w:rPr>
                <w:bCs/>
                <w:lang w:eastAsia="lt-LT"/>
              </w:rPr>
            </w:pPr>
          </w:p>
        </w:tc>
        <w:tc>
          <w:tcPr>
            <w:tcW w:w="5167" w:type="dxa"/>
          </w:tcPr>
          <w:p w14:paraId="3CA218AD" w14:textId="61055B09" w:rsidR="00E43713" w:rsidRPr="000203E1" w:rsidRDefault="00000000" w:rsidP="00182D27">
            <w:pPr>
              <w:spacing w:line="276" w:lineRule="auto"/>
              <w:rPr>
                <w:rStyle w:val="Style2"/>
              </w:rPr>
            </w:pPr>
            <w:sdt>
              <w:sdtPr>
                <w:rPr>
                  <w:sz w:val="32"/>
                </w:rPr>
                <w:alias w:val="Nurodykite konkrečią dieną"/>
                <w:tag w:val="Nurodykite pradžios datą"/>
                <w:id w:val="423238108"/>
                <w:placeholder>
                  <w:docPart w:val="25441295EA004115980DCE9FCB6040EB"/>
                </w:placeholder>
                <w15:color w:val="FFCC99"/>
                <w:date>
                  <w:dateFormat w:val="yyyy 'm.' MMMM d 'd.'"/>
                  <w:lid w:val="lt-LT"/>
                  <w:storeMappedDataAs w:val="dateTime"/>
                  <w:calendar w:val="gregorian"/>
                </w:date>
              </w:sdtPr>
              <w:sdtEndPr>
                <w:rPr>
                  <w:sz w:val="24"/>
                </w:rPr>
              </w:sdtEndPr>
              <w:sdtContent>
                <w:r w:rsidR="00582D99" w:rsidRPr="00582D99">
                  <w:t>2020 m. gegužės 30 d.</w:t>
                </w:r>
              </w:sdtContent>
            </w:sdt>
          </w:p>
        </w:tc>
      </w:tr>
      <w:tr w:rsidR="00E43713" w:rsidRPr="000203E1" w14:paraId="15968AE1" w14:textId="77777777" w:rsidTr="00BE7489">
        <w:trPr>
          <w:trHeight w:val="1500"/>
        </w:trPr>
        <w:tc>
          <w:tcPr>
            <w:tcW w:w="632" w:type="dxa"/>
          </w:tcPr>
          <w:p w14:paraId="6A784245" w14:textId="1E461489" w:rsidR="00E43713" w:rsidRPr="000203E1" w:rsidRDefault="00E43713" w:rsidP="00182D27">
            <w:pPr>
              <w:spacing w:line="276" w:lineRule="auto"/>
              <w:rPr>
                <w:rFonts w:eastAsia="Arial"/>
              </w:rPr>
            </w:pPr>
            <w:r w:rsidRPr="000203E1">
              <w:rPr>
                <w:rFonts w:eastAsia="Arial"/>
              </w:rPr>
              <w:t>1.3</w:t>
            </w:r>
          </w:p>
        </w:tc>
        <w:tc>
          <w:tcPr>
            <w:tcW w:w="3694" w:type="dxa"/>
          </w:tcPr>
          <w:p w14:paraId="22933506" w14:textId="77777777" w:rsidR="00E43713" w:rsidRPr="000203E1" w:rsidRDefault="00E43713" w:rsidP="00182D27">
            <w:pPr>
              <w:spacing w:line="276" w:lineRule="auto"/>
            </w:pPr>
            <w:r w:rsidRPr="000203E1">
              <w:t xml:space="preserve">Paraiškos tipas </w:t>
            </w:r>
          </w:p>
          <w:p w14:paraId="0465E680" w14:textId="7F0A0714" w:rsidR="00E43713" w:rsidRPr="000203E1" w:rsidRDefault="00E43713" w:rsidP="00182D27">
            <w:pPr>
              <w:spacing w:line="276" w:lineRule="auto"/>
            </w:pPr>
            <w:r w:rsidRPr="000203E1">
              <w:t xml:space="preserve">(pagal </w:t>
            </w:r>
            <w:r w:rsidRPr="000203E1">
              <w:rPr>
                <w:shd w:val="clear" w:color="auto" w:fill="FFFFFF"/>
              </w:rPr>
              <w:t>vaistinio preparato registracijos tipą, įtvirtintą</w:t>
            </w:r>
            <w:r w:rsidRPr="000203E1">
              <w:t xml:space="preserve"> Direktyvos 2001/83/EB straipsiuose)</w:t>
            </w:r>
          </w:p>
          <w:p w14:paraId="77089D80" w14:textId="6681D72A" w:rsidR="00E43713" w:rsidRPr="000203E1" w:rsidRDefault="00E43713" w:rsidP="00182D27">
            <w:pPr>
              <w:spacing w:line="276" w:lineRule="auto"/>
              <w:rPr>
                <w:bCs/>
                <w:lang w:eastAsia="lt-LT"/>
              </w:rPr>
            </w:pPr>
          </w:p>
        </w:tc>
        <w:tc>
          <w:tcPr>
            <w:tcW w:w="5167" w:type="dxa"/>
          </w:tcPr>
          <w:p w14:paraId="208F40EC" w14:textId="4CDA6B8F" w:rsidR="00E43713" w:rsidRPr="000203E1" w:rsidRDefault="00000000" w:rsidP="00182D27">
            <w:pPr>
              <w:spacing w:line="276" w:lineRule="auto"/>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2"/>
                    <w:szCs w:val="22"/>
                  </w:rPr>
                  <w:t>☒</w:t>
                </w:r>
              </w:sdtContent>
            </w:sdt>
            <w:r w:rsidR="00E43713" w:rsidRPr="000203E1">
              <w:rPr>
                <w:sz w:val="22"/>
                <w:szCs w:val="22"/>
              </w:rPr>
              <w:t xml:space="preserve">8.3 str. (pilna byla, pagrįsta savais tyrimais) </w:t>
            </w:r>
          </w:p>
          <w:p w14:paraId="32BA564E" w14:textId="3FDA3E01" w:rsidR="00E43713" w:rsidRPr="000203E1" w:rsidRDefault="00000000" w:rsidP="00182D27">
            <w:pPr>
              <w:spacing w:line="276" w:lineRule="auto"/>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2"/>
                    <w:szCs w:val="22"/>
                  </w:rPr>
                  <w:t>☐</w:t>
                </w:r>
              </w:sdtContent>
            </w:sdt>
            <w:r w:rsidR="00E43713" w:rsidRPr="000203E1">
              <w:rPr>
                <w:sz w:val="22"/>
                <w:szCs w:val="22"/>
              </w:rPr>
              <w:t xml:space="preserve">10 a str. (pripažintas medicininis vartojimas) </w:t>
            </w:r>
          </w:p>
          <w:p w14:paraId="318DCD7F" w14:textId="32333E53" w:rsidR="00E43713" w:rsidRPr="000203E1" w:rsidRDefault="00000000" w:rsidP="00182D27">
            <w:pPr>
              <w:spacing w:line="276" w:lineRule="auto"/>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2"/>
                    <w:szCs w:val="22"/>
                  </w:rPr>
                  <w:t>☐</w:t>
                </w:r>
              </w:sdtContent>
            </w:sdt>
            <w:r w:rsidR="00E43713" w:rsidRPr="000203E1">
              <w:rPr>
                <w:sz w:val="22"/>
                <w:szCs w:val="22"/>
              </w:rPr>
              <w:t>10.1 str. (generinis)</w:t>
            </w:r>
          </w:p>
          <w:p w14:paraId="3B0A4F72" w14:textId="3F5FB073" w:rsidR="00E43713" w:rsidRPr="000203E1" w:rsidRDefault="00000000" w:rsidP="00182D27">
            <w:pPr>
              <w:spacing w:line="276" w:lineRule="auto"/>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E43713" w:rsidRPr="000203E1">
                  <w:rPr>
                    <w:rStyle w:val="Style2"/>
                    <w:rFonts w:ascii="Segoe UI Symbol" w:eastAsia="MS Gothic" w:hAnsi="Segoe UI Symbol" w:cs="Segoe UI Symbol"/>
                    <w:sz w:val="22"/>
                    <w:szCs w:val="22"/>
                  </w:rPr>
                  <w:t>☐</w:t>
                </w:r>
              </w:sdtContent>
            </w:sdt>
            <w:r w:rsidR="00E43713" w:rsidRPr="000203E1">
              <w:rPr>
                <w:sz w:val="22"/>
                <w:szCs w:val="22"/>
              </w:rPr>
              <w:t>10.3 str. (hibridinis)</w:t>
            </w:r>
          </w:p>
        </w:tc>
      </w:tr>
      <w:tr w:rsidR="00E43713" w:rsidRPr="000203E1" w14:paraId="310E9662" w14:textId="77777777" w:rsidTr="00BE7489">
        <w:trPr>
          <w:trHeight w:val="1442"/>
        </w:trPr>
        <w:tc>
          <w:tcPr>
            <w:tcW w:w="632" w:type="dxa"/>
          </w:tcPr>
          <w:p w14:paraId="4B5A91A2" w14:textId="561B5E5F" w:rsidR="00E43713" w:rsidRPr="000203E1" w:rsidRDefault="00E43713" w:rsidP="00182D27">
            <w:pPr>
              <w:spacing w:line="276" w:lineRule="auto"/>
              <w:rPr>
                <w:rFonts w:eastAsia="Arial"/>
              </w:rPr>
            </w:pPr>
            <w:r w:rsidRPr="000203E1">
              <w:rPr>
                <w:rFonts w:eastAsia="Arial"/>
              </w:rPr>
              <w:t>1.4</w:t>
            </w:r>
          </w:p>
        </w:tc>
        <w:tc>
          <w:tcPr>
            <w:tcW w:w="3694" w:type="dxa"/>
          </w:tcPr>
          <w:p w14:paraId="6C91E105" w14:textId="77777777" w:rsidR="00E43713" w:rsidRPr="000203E1" w:rsidRDefault="00E43713" w:rsidP="00182D27">
            <w:pPr>
              <w:spacing w:line="276" w:lineRule="auto"/>
              <w:rPr>
                <w:bCs/>
                <w:lang w:eastAsia="lt-LT"/>
              </w:rPr>
            </w:pPr>
            <w:r w:rsidRPr="000203E1">
              <w:rPr>
                <w:bCs/>
                <w:lang w:eastAsia="lt-LT"/>
              </w:rPr>
              <w:t xml:space="preserve">Ar vaistinis preparatas įrašytas į Bendrijos retųjų vaistinių preparatų registrą? </w:t>
            </w:r>
          </w:p>
          <w:p w14:paraId="33726F9C" w14:textId="77777777" w:rsidR="00E43713" w:rsidRPr="000203E1" w:rsidRDefault="00E43713" w:rsidP="00182D27">
            <w:pPr>
              <w:spacing w:line="276" w:lineRule="auto"/>
              <w:rPr>
                <w:bCs/>
                <w:i/>
                <w:lang w:eastAsia="lt-LT"/>
              </w:rPr>
            </w:pPr>
          </w:p>
          <w:p w14:paraId="483071A3" w14:textId="0F633FFC" w:rsidR="00E43713" w:rsidRPr="000203E1" w:rsidRDefault="00E43713" w:rsidP="00182D27">
            <w:pPr>
              <w:spacing w:line="276" w:lineRule="auto"/>
              <w:rPr>
                <w:bCs/>
                <w:lang w:eastAsia="lt-LT"/>
              </w:rPr>
            </w:pPr>
            <w:r w:rsidRPr="000203E1">
              <w:rPr>
                <w:bCs/>
                <w:i/>
                <w:sz w:val="20"/>
                <w:lang w:eastAsia="lt-LT"/>
              </w:rPr>
              <w:t>Jei taip, nurodykite įrašymo datą ir numerį</w:t>
            </w:r>
          </w:p>
        </w:tc>
        <w:tc>
          <w:tcPr>
            <w:tcW w:w="5167" w:type="dxa"/>
          </w:tcPr>
          <w:p w14:paraId="05845C60" w14:textId="46D0D8EC" w:rsidR="00E43713" w:rsidRPr="000203E1" w:rsidRDefault="00000000" w:rsidP="00182D27">
            <w:pPr>
              <w:spacing w:line="276" w:lineRule="auto"/>
            </w:pPr>
            <w:sdt>
              <w:sdtPr>
                <w:rPr>
                  <w:rStyle w:val="Style2"/>
                  <w:sz w:val="24"/>
                </w:rPr>
                <w:id w:val="2024432173"/>
                <w15:color w:val="FFCC00"/>
                <w14:checkbox>
                  <w14:checked w14:val="1"/>
                  <w14:checkedState w14:val="2612" w14:font="MS Gothic"/>
                  <w14:uncheckedState w14:val="2610" w14:font="MS Gothic"/>
                </w14:checkbox>
              </w:sdtPr>
              <w:sdtContent>
                <w:r w:rsidR="00582D99">
                  <w:rPr>
                    <w:rStyle w:val="Style2"/>
                    <w:rFonts w:ascii="MS Gothic" w:eastAsia="MS Gothic" w:hAnsi="MS Gothic" w:hint="eastAsia"/>
                    <w:sz w:val="24"/>
                  </w:rPr>
                  <w:t>☒</w:t>
                </w:r>
              </w:sdtContent>
            </w:sdt>
            <w:r w:rsidR="00E43713" w:rsidRPr="000203E1">
              <w:t xml:space="preserve"> Taip</w:t>
            </w:r>
          </w:p>
          <w:p w14:paraId="41D88067" w14:textId="12C728A9" w:rsidR="00E43713" w:rsidRPr="000203E1" w:rsidRDefault="00000000" w:rsidP="00182D27">
            <w:pPr>
              <w:spacing w:line="276" w:lineRule="auto"/>
            </w:pPr>
            <w:sdt>
              <w:sdtPr>
                <w:rPr>
                  <w:rStyle w:val="Style2"/>
                  <w:sz w:val="24"/>
                </w:rPr>
                <w:id w:val="-970507926"/>
                <w15:color w:val="FFCC00"/>
                <w14:checkbox>
                  <w14:checked w14:val="0"/>
                  <w14:checkedState w14:val="2612" w14:font="MS Gothic"/>
                  <w14:uncheckedState w14:val="2610" w14:font="MS Gothic"/>
                </w14:checkbox>
              </w:sdtPr>
              <w:sdtContent>
                <w:r w:rsidR="00582D99">
                  <w:rPr>
                    <w:rStyle w:val="Style2"/>
                    <w:rFonts w:ascii="MS Gothic" w:eastAsia="MS Gothic" w:hAnsi="MS Gothic" w:hint="eastAsia"/>
                    <w:sz w:val="24"/>
                  </w:rPr>
                  <w:t>☐</w:t>
                </w:r>
              </w:sdtContent>
            </w:sdt>
            <w:r w:rsidR="00E43713" w:rsidRPr="000203E1">
              <w:t xml:space="preserve"> Ne</w:t>
            </w:r>
          </w:p>
          <w:p w14:paraId="29C2CBBB" w14:textId="2B6ABC3F" w:rsidR="00E43713" w:rsidRPr="000203E1" w:rsidRDefault="00000000" w:rsidP="00182D27">
            <w:pPr>
              <w:spacing w:line="276" w:lineRule="auto"/>
              <w:rPr>
                <w:rFonts w:eastAsia="Arial"/>
              </w:rPr>
            </w:pPr>
            <w:sdt>
              <w:sdtPr>
                <w:alias w:val="Nurodykite konkrečią dieną"/>
                <w:tag w:val="Nurodykite pradžios datą"/>
                <w:id w:val="693498901"/>
                <w:placeholder>
                  <w:docPart w:val="5D743A7437044FF981E9F9551CA6E76E"/>
                </w:placeholder>
                <w15:color w:val="FFCC99"/>
                <w:date>
                  <w:dateFormat w:val="yyyy 'm.' MMMM d 'd.'"/>
                  <w:lid w:val="lt-LT"/>
                  <w:storeMappedDataAs w:val="dateTime"/>
                  <w:calendar w:val="gregorian"/>
                </w:date>
              </w:sdtPr>
              <w:sdtContent>
                <w:r w:rsidR="00582D99">
                  <w:t>2014 m. balandžio 29 d.</w:t>
                </w:r>
              </w:sdtContent>
            </w:sdt>
          </w:p>
        </w:tc>
      </w:tr>
      <w:tr w:rsidR="00E43713" w:rsidRPr="000203E1" w14:paraId="7841E5F8" w14:textId="77777777" w:rsidTr="00BE7489">
        <w:trPr>
          <w:trHeight w:val="476"/>
        </w:trPr>
        <w:tc>
          <w:tcPr>
            <w:tcW w:w="632" w:type="dxa"/>
          </w:tcPr>
          <w:p w14:paraId="109D2861" w14:textId="73BF27DF" w:rsidR="00E43713" w:rsidRPr="000203E1" w:rsidRDefault="00E43713" w:rsidP="00182D27">
            <w:pPr>
              <w:spacing w:line="276" w:lineRule="auto"/>
              <w:rPr>
                <w:rFonts w:eastAsia="Arial"/>
              </w:rPr>
            </w:pPr>
            <w:r w:rsidRPr="000203E1">
              <w:rPr>
                <w:rFonts w:eastAsia="Arial"/>
              </w:rPr>
              <w:t>1.5</w:t>
            </w:r>
          </w:p>
        </w:tc>
        <w:tc>
          <w:tcPr>
            <w:tcW w:w="3694" w:type="dxa"/>
          </w:tcPr>
          <w:p w14:paraId="7822D63E" w14:textId="68C38334" w:rsidR="00E43713" w:rsidRPr="000203E1" w:rsidRDefault="00E43713" w:rsidP="00182D27">
            <w:pPr>
              <w:spacing w:line="276" w:lineRule="auto"/>
              <w:rPr>
                <w:bCs/>
                <w:lang w:eastAsia="lt-LT"/>
              </w:rPr>
            </w:pPr>
            <w:r w:rsidRPr="000203E1">
              <w:t>STV paraiškos pobūdis</w:t>
            </w:r>
          </w:p>
        </w:tc>
        <w:tc>
          <w:tcPr>
            <w:tcW w:w="5167" w:type="dxa"/>
          </w:tcPr>
          <w:p w14:paraId="403461B9" w14:textId="299660DB" w:rsidR="00E43713" w:rsidRPr="000203E1" w:rsidRDefault="00000000" w:rsidP="00182D27">
            <w:pPr>
              <w:spacing w:line="276" w:lineRule="auto"/>
            </w:pPr>
            <w:sdt>
              <w:sdtPr>
                <w:rPr>
                  <w:rStyle w:val="Style2"/>
                  <w:sz w:val="24"/>
                </w:rPr>
                <w:id w:val="-468433535"/>
                <w15:color w:val="FFCC00"/>
                <w14:checkbox>
                  <w14:checked w14:val="1"/>
                  <w14:checkedState w14:val="2612" w14:font="MS Gothic"/>
                  <w14:uncheckedState w14:val="2610" w14:font="MS Gothic"/>
                </w14:checkbox>
              </w:sdtPr>
              <w:sdtContent>
                <w:r w:rsidR="00E43713">
                  <w:rPr>
                    <w:rStyle w:val="Style2"/>
                    <w:rFonts w:ascii="MS Gothic" w:eastAsia="MS Gothic" w:hAnsi="MS Gothic" w:hint="eastAsia"/>
                    <w:sz w:val="24"/>
                  </w:rPr>
                  <w:t>☒</w:t>
                </w:r>
              </w:sdtContent>
            </w:sdt>
            <w:r w:rsidR="00E43713" w:rsidRPr="000203E1">
              <w:t xml:space="preserve"> Pilna paraiška</w:t>
            </w:r>
          </w:p>
          <w:p w14:paraId="6B8213E3" w14:textId="3495CDF4" w:rsidR="00E43713" w:rsidRPr="000203E1" w:rsidRDefault="00000000" w:rsidP="00182D27">
            <w:pPr>
              <w:spacing w:line="276" w:lineRule="auto"/>
            </w:pPr>
            <w:sdt>
              <w:sdtPr>
                <w:rPr>
                  <w:rStyle w:val="Style2"/>
                  <w:sz w:val="24"/>
                </w:rPr>
                <w:id w:val="-1489014904"/>
                <w15:color w:val="FFCC00"/>
                <w14:checkbox>
                  <w14:checked w14:val="0"/>
                  <w14:checkedState w14:val="2612" w14:font="MS Gothic"/>
                  <w14:uncheckedState w14:val="2610" w14:font="MS Gothic"/>
                </w14:checkbox>
              </w:sdtPr>
              <w:sdtContent>
                <w:r w:rsidR="00E43713" w:rsidRPr="000203E1">
                  <w:rPr>
                    <w:rStyle w:val="Style2"/>
                    <w:rFonts w:ascii="MS Gothic" w:eastAsia="MS Gothic" w:hAnsi="MS Gothic" w:hint="eastAsia"/>
                    <w:sz w:val="24"/>
                  </w:rPr>
                  <w:t>☐</w:t>
                </w:r>
              </w:sdtContent>
            </w:sdt>
            <w:r w:rsidR="00E43713" w:rsidRPr="000203E1">
              <w:t xml:space="preserve"> Supaprastinta paraiška</w:t>
            </w:r>
          </w:p>
        </w:tc>
      </w:tr>
      <w:tr w:rsidR="00582D99" w:rsidRPr="000203E1" w14:paraId="274D1DAF" w14:textId="77777777" w:rsidTr="00BE7489">
        <w:trPr>
          <w:trHeight w:val="1922"/>
        </w:trPr>
        <w:tc>
          <w:tcPr>
            <w:tcW w:w="632" w:type="dxa"/>
          </w:tcPr>
          <w:p w14:paraId="17ABF217" w14:textId="14AC00D7" w:rsidR="00582D99" w:rsidRPr="000203E1" w:rsidRDefault="00582D99" w:rsidP="00182D27">
            <w:pPr>
              <w:spacing w:line="276" w:lineRule="auto"/>
              <w:rPr>
                <w:rFonts w:eastAsia="Arial"/>
              </w:rPr>
            </w:pPr>
            <w:r w:rsidRPr="000203E1">
              <w:rPr>
                <w:rFonts w:eastAsia="Arial"/>
              </w:rPr>
              <w:lastRenderedPageBreak/>
              <w:t>1.6</w:t>
            </w:r>
          </w:p>
        </w:tc>
        <w:tc>
          <w:tcPr>
            <w:tcW w:w="3694" w:type="dxa"/>
          </w:tcPr>
          <w:p w14:paraId="4D49DBF5" w14:textId="77777777" w:rsidR="00582D99" w:rsidRPr="000203E1" w:rsidRDefault="00582D99" w:rsidP="00182D27">
            <w:pPr>
              <w:spacing w:line="276" w:lineRule="auto"/>
              <w:rPr>
                <w:bCs/>
                <w:lang w:eastAsia="lt-LT"/>
              </w:rPr>
            </w:pPr>
            <w:r w:rsidRPr="000203E1">
              <w:rPr>
                <w:bCs/>
                <w:lang w:eastAsia="lt-LT"/>
              </w:rPr>
              <w:t>Pareiškėjo teikiama (-os) kompensuoti vaistinio preparato indikacija (-os)</w:t>
            </w:r>
          </w:p>
          <w:p w14:paraId="6B4FEEC1" w14:textId="6A619694" w:rsidR="00582D99" w:rsidRPr="000203E1" w:rsidRDefault="00582D99" w:rsidP="00182D27">
            <w:pPr>
              <w:spacing w:line="276" w:lineRule="auto"/>
              <w:rPr>
                <w:bCs/>
                <w:lang w:eastAsia="lt-LT"/>
              </w:rPr>
            </w:pPr>
            <w:r w:rsidRPr="000203E1">
              <w:rPr>
                <w:bCs/>
                <w:lang w:eastAsia="lt-LT"/>
              </w:rPr>
              <w:t>Kodas pagal TLK-10 AM</w:t>
            </w:r>
          </w:p>
        </w:tc>
        <w:tc>
          <w:tcPr>
            <w:tcW w:w="5167" w:type="dxa"/>
          </w:tcPr>
          <w:p w14:paraId="10D81E43" w14:textId="6DCE77DC" w:rsidR="00582D99" w:rsidRPr="007634C1" w:rsidRDefault="00582D99" w:rsidP="00182D27">
            <w:pPr>
              <w:pStyle w:val="ListParagraph"/>
              <w:spacing w:after="120" w:line="276" w:lineRule="auto"/>
              <w:ind w:left="0"/>
              <w:contextualSpacing w:val="0"/>
              <w:jc w:val="both"/>
            </w:pPr>
            <w:r>
              <w:t>Kartu su pomalidomidu ir deksametazonu gydyti suaugusius pacientus, sergančius recidyvuojančia ir refrakterine daugine mieloma, kurie prieš tai buvo gydyti mažiausiai dviem gydymo būdais, įskaitant gydymą lenalidomidu ir prote</w:t>
            </w:r>
            <w:r w:rsidR="00AF73AD">
              <w:t>o</w:t>
            </w:r>
            <w:r>
              <w:t>somos inhibitoriumi, ir kuriems po paskutinio gydymo nustatytas ligos progresavimas.</w:t>
            </w:r>
          </w:p>
          <w:p w14:paraId="13F7DFB0" w14:textId="4E0DB8F2" w:rsidR="00582D99" w:rsidRPr="000203E1" w:rsidRDefault="00582D99" w:rsidP="00182D27">
            <w:pPr>
              <w:spacing w:line="276" w:lineRule="auto"/>
            </w:pPr>
            <w:r>
              <w:t>TLK-10 AM: C90.0.</w:t>
            </w:r>
          </w:p>
        </w:tc>
      </w:tr>
      <w:tr w:rsidR="00582D99" w:rsidRPr="000203E1" w14:paraId="2F79DC08" w14:textId="77777777" w:rsidTr="00BE7489">
        <w:trPr>
          <w:trHeight w:val="378"/>
        </w:trPr>
        <w:tc>
          <w:tcPr>
            <w:tcW w:w="632" w:type="dxa"/>
          </w:tcPr>
          <w:p w14:paraId="547885A2" w14:textId="2EE70237" w:rsidR="00582D99" w:rsidRPr="000203E1" w:rsidRDefault="00582D99" w:rsidP="00182D27">
            <w:pPr>
              <w:spacing w:line="276" w:lineRule="auto"/>
              <w:rPr>
                <w:rFonts w:eastAsia="Arial"/>
              </w:rPr>
            </w:pPr>
            <w:r w:rsidRPr="000203E1">
              <w:rPr>
                <w:rFonts w:eastAsia="Arial"/>
              </w:rPr>
              <w:t>1.</w:t>
            </w:r>
            <w:r>
              <w:rPr>
                <w:rFonts w:eastAsia="Arial"/>
              </w:rPr>
              <w:t>7</w:t>
            </w:r>
          </w:p>
        </w:tc>
        <w:tc>
          <w:tcPr>
            <w:tcW w:w="3694" w:type="dxa"/>
          </w:tcPr>
          <w:p w14:paraId="2EAB877F" w14:textId="39A36941" w:rsidR="00582D99" w:rsidRPr="000203E1" w:rsidRDefault="00582D99" w:rsidP="00182D27">
            <w:pPr>
              <w:spacing w:line="276" w:lineRule="auto"/>
              <w:rPr>
                <w:bCs/>
                <w:u w:val="single"/>
                <w:lang w:eastAsia="lt-LT"/>
              </w:rPr>
            </w:pPr>
            <w:r w:rsidRPr="000203E1">
              <w:rPr>
                <w:bCs/>
                <w:lang w:eastAsia="lt-LT"/>
              </w:rPr>
              <w:t xml:space="preserve">Pareiškėjo teikiamos skyrimo sąlygos </w:t>
            </w:r>
          </w:p>
        </w:tc>
        <w:tc>
          <w:tcPr>
            <w:tcW w:w="5167" w:type="dxa"/>
          </w:tcPr>
          <w:p w14:paraId="0579DF58" w14:textId="5F1260CE" w:rsidR="00582D99" w:rsidRPr="000203E1" w:rsidRDefault="00582D99" w:rsidP="00182D27">
            <w:pPr>
              <w:pStyle w:val="ListParagraph"/>
              <w:numPr>
                <w:ilvl w:val="0"/>
                <w:numId w:val="13"/>
              </w:numPr>
              <w:spacing w:after="120" w:line="276" w:lineRule="auto"/>
              <w:jc w:val="both"/>
            </w:pPr>
            <w:r>
              <w:rPr>
                <w:color w:val="000000"/>
                <w:lang w:eastAsia="lt-LT"/>
              </w:rPr>
              <w:t>Nesiūlomos.</w:t>
            </w:r>
          </w:p>
        </w:tc>
      </w:tr>
      <w:tr w:rsidR="00582D99" w:rsidRPr="000203E1" w14:paraId="3B125269" w14:textId="77777777" w:rsidTr="00BE7489">
        <w:trPr>
          <w:trHeight w:val="378"/>
        </w:trPr>
        <w:tc>
          <w:tcPr>
            <w:tcW w:w="632" w:type="dxa"/>
          </w:tcPr>
          <w:p w14:paraId="0058E11F" w14:textId="3C0D7626" w:rsidR="00582D99" w:rsidRPr="000203E1" w:rsidRDefault="00582D99" w:rsidP="00182D27">
            <w:pPr>
              <w:spacing w:line="276" w:lineRule="auto"/>
              <w:rPr>
                <w:rFonts w:eastAsia="Arial"/>
              </w:rPr>
            </w:pPr>
            <w:r w:rsidRPr="000203E1">
              <w:rPr>
                <w:rFonts w:eastAsia="Arial"/>
              </w:rPr>
              <w:t>1.</w:t>
            </w:r>
            <w:r>
              <w:rPr>
                <w:rFonts w:eastAsia="Arial"/>
              </w:rPr>
              <w:t>8</w:t>
            </w:r>
          </w:p>
        </w:tc>
        <w:tc>
          <w:tcPr>
            <w:tcW w:w="3694" w:type="dxa"/>
          </w:tcPr>
          <w:p w14:paraId="738E1926" w14:textId="77777777" w:rsidR="00582D99" w:rsidRPr="000203E1" w:rsidRDefault="00582D99" w:rsidP="00182D27">
            <w:pPr>
              <w:spacing w:line="276" w:lineRule="auto"/>
              <w:rPr>
                <w:bCs/>
                <w:lang w:eastAsia="lt-LT"/>
              </w:rPr>
            </w:pPr>
            <w:r w:rsidRPr="000203E1">
              <w:rPr>
                <w:bCs/>
                <w:lang w:eastAsia="lt-LT"/>
              </w:rPr>
              <w:t xml:space="preserve">Pareiškėjo teikiamas palyginamasis gydymas </w:t>
            </w:r>
          </w:p>
          <w:p w14:paraId="61EC5BBD" w14:textId="7A8BD8B4" w:rsidR="00582D99" w:rsidRPr="000203E1" w:rsidRDefault="00582D99" w:rsidP="00182D27">
            <w:pPr>
              <w:spacing w:line="276" w:lineRule="auto"/>
              <w:rPr>
                <w:bCs/>
                <w:lang w:eastAsia="lt-LT"/>
              </w:rPr>
            </w:pPr>
          </w:p>
          <w:p w14:paraId="62057D94" w14:textId="77777777" w:rsidR="00582D99" w:rsidRPr="000203E1" w:rsidRDefault="00582D99" w:rsidP="00182D27">
            <w:pPr>
              <w:spacing w:line="276" w:lineRule="auto"/>
              <w:rPr>
                <w:bCs/>
                <w:lang w:eastAsia="lt-LT"/>
              </w:rPr>
            </w:pPr>
          </w:p>
          <w:p w14:paraId="6CC1022E" w14:textId="2B6BCEE1" w:rsidR="00582D99" w:rsidRPr="000203E1" w:rsidRDefault="00582D99" w:rsidP="00182D27">
            <w:pPr>
              <w:spacing w:line="276" w:lineRule="auto"/>
              <w:rPr>
                <w:bCs/>
                <w:lang w:eastAsia="lt-LT"/>
              </w:rPr>
            </w:pPr>
          </w:p>
        </w:tc>
        <w:tc>
          <w:tcPr>
            <w:tcW w:w="5167" w:type="dxa"/>
          </w:tcPr>
          <w:p w14:paraId="1F113AC0" w14:textId="6958C319" w:rsidR="00582D99" w:rsidRPr="000203E1" w:rsidRDefault="00000000" w:rsidP="00182D27">
            <w:pPr>
              <w:spacing w:line="276" w:lineRule="auto"/>
            </w:pPr>
            <w:sdt>
              <w:sdtPr>
                <w:rPr>
                  <w:rStyle w:val="Style2"/>
                  <w:sz w:val="24"/>
                </w:rPr>
                <w:id w:val="1480955706"/>
                <w15:color w:val="FFCC00"/>
                <w14:checkbox>
                  <w14:checked w14:val="1"/>
                  <w14:checkedState w14:val="2612" w14:font="MS Gothic"/>
                  <w14:uncheckedState w14:val="2610" w14:font="MS Gothic"/>
                </w14:checkbox>
              </w:sdtPr>
              <w:sdtContent>
                <w:r w:rsidR="00582D99">
                  <w:rPr>
                    <w:rStyle w:val="Style2"/>
                    <w:rFonts w:ascii="MS Gothic" w:eastAsia="MS Gothic" w:hAnsi="MS Gothic" w:hint="eastAsia"/>
                    <w:sz w:val="24"/>
                  </w:rPr>
                  <w:t>☒</w:t>
                </w:r>
              </w:sdtContent>
            </w:sdt>
            <w:r w:rsidR="00582D99" w:rsidRPr="000203E1">
              <w:t xml:space="preserve"> Tinkamas</w:t>
            </w:r>
            <w:r w:rsidR="00582D99">
              <w:t xml:space="preserve"> (</w:t>
            </w:r>
            <w:r w:rsidR="00EA2FF4">
              <w:t xml:space="preserve">iš dalies; </w:t>
            </w:r>
            <w:r w:rsidR="00582D99">
              <w:t>placebo kartu su pomalidomido – deksametazono deriniu)</w:t>
            </w:r>
          </w:p>
          <w:p w14:paraId="41B44044" w14:textId="64651334" w:rsidR="00582D99" w:rsidRPr="000203E1" w:rsidRDefault="00000000" w:rsidP="00182D27">
            <w:pPr>
              <w:spacing w:line="276" w:lineRule="auto"/>
            </w:pPr>
            <w:sdt>
              <w:sdtPr>
                <w:rPr>
                  <w:rStyle w:val="Style2"/>
                  <w:sz w:val="24"/>
                </w:rPr>
                <w:id w:val="-352420698"/>
                <w15:color w:val="FFCC00"/>
                <w14:checkbox>
                  <w14:checked w14:val="0"/>
                  <w14:checkedState w14:val="2612" w14:font="MS Gothic"/>
                  <w14:uncheckedState w14:val="2610" w14:font="MS Gothic"/>
                </w14:checkbox>
              </w:sdtPr>
              <w:sdtContent>
                <w:r w:rsidR="00582D99" w:rsidRPr="000203E1">
                  <w:rPr>
                    <w:rStyle w:val="Style2"/>
                    <w:rFonts w:ascii="MS Gothic" w:eastAsia="MS Gothic" w:hAnsi="MS Gothic" w:hint="eastAsia"/>
                    <w:sz w:val="24"/>
                  </w:rPr>
                  <w:t>☐</w:t>
                </w:r>
              </w:sdtContent>
            </w:sdt>
            <w:r w:rsidR="00582D99" w:rsidRPr="000203E1">
              <w:t xml:space="preserve"> Netinkama</w:t>
            </w:r>
            <w:r w:rsidR="00582D99">
              <w:t>s</w:t>
            </w:r>
          </w:p>
        </w:tc>
      </w:tr>
    </w:tbl>
    <w:p w14:paraId="108176F7" w14:textId="640C6F75" w:rsidR="00F70C9E" w:rsidRPr="000203E1" w:rsidRDefault="00F70C9E" w:rsidP="00182D27">
      <w:pPr>
        <w:pStyle w:val="ListParagraph"/>
        <w:tabs>
          <w:tab w:val="left" w:pos="426"/>
        </w:tabs>
        <w:spacing w:line="276" w:lineRule="auto"/>
        <w:ind w:left="0"/>
        <w:rPr>
          <w:b/>
          <w:bCs/>
          <w:caps/>
        </w:rPr>
      </w:pPr>
    </w:p>
    <w:p w14:paraId="2871CA7F" w14:textId="3B173597" w:rsidR="00F70C9E" w:rsidRPr="000203E1" w:rsidRDefault="00F70C9E" w:rsidP="00595499">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pPr>
        <w:spacing w:line="276" w:lineRule="auto"/>
        <w:rPr>
          <w:rFonts w:eastAsia="Arial"/>
        </w:rPr>
      </w:pPr>
    </w:p>
    <w:tbl>
      <w:tblPr>
        <w:tblStyle w:val="TableGrid"/>
        <w:tblW w:w="9918" w:type="dxa"/>
        <w:tblLook w:val="04A0" w:firstRow="1" w:lastRow="0" w:firstColumn="1" w:lastColumn="0" w:noHBand="0" w:noVBand="1"/>
      </w:tblPr>
      <w:tblGrid>
        <w:gridCol w:w="2804"/>
        <w:gridCol w:w="1782"/>
        <w:gridCol w:w="2666"/>
        <w:gridCol w:w="2666"/>
      </w:tblGrid>
      <w:tr w:rsidR="00500808" w:rsidRPr="00D05364" w14:paraId="67DF87B8" w14:textId="77777777" w:rsidTr="00500808">
        <w:trPr>
          <w:trHeight w:val="924"/>
        </w:trPr>
        <w:tc>
          <w:tcPr>
            <w:tcW w:w="2804" w:type="dxa"/>
          </w:tcPr>
          <w:p w14:paraId="6EE92707" w14:textId="77777777" w:rsidR="00500808" w:rsidRPr="00D05364" w:rsidRDefault="00500808" w:rsidP="00182D27">
            <w:pPr>
              <w:spacing w:line="276" w:lineRule="auto"/>
              <w:rPr>
                <w:rFonts w:eastAsia="Arial"/>
                <w:noProof/>
              </w:rPr>
            </w:pPr>
            <w:r w:rsidRPr="00D05364">
              <w:rPr>
                <w:rFonts w:eastAsia="Arial"/>
                <w:noProof/>
              </w:rPr>
              <w:t>STV agentūros pavadinimas, šalis</w:t>
            </w:r>
          </w:p>
        </w:tc>
        <w:tc>
          <w:tcPr>
            <w:tcW w:w="1782" w:type="dxa"/>
          </w:tcPr>
          <w:p w14:paraId="018B2312" w14:textId="77777777" w:rsidR="00500808" w:rsidRPr="00D05364" w:rsidRDefault="00500808" w:rsidP="00182D27">
            <w:pPr>
              <w:spacing w:line="276" w:lineRule="auto"/>
              <w:rPr>
                <w:rFonts w:eastAsia="Arial"/>
                <w:noProof/>
              </w:rPr>
            </w:pPr>
            <w:r w:rsidRPr="00D05364">
              <w:rPr>
                <w:rFonts w:eastAsia="Arial"/>
                <w:noProof/>
              </w:rPr>
              <w:t>STV vertinimas atliktas</w:t>
            </w:r>
          </w:p>
        </w:tc>
        <w:tc>
          <w:tcPr>
            <w:tcW w:w="2666" w:type="dxa"/>
          </w:tcPr>
          <w:p w14:paraId="51CD0FD4" w14:textId="77777777" w:rsidR="00500808" w:rsidRPr="00D05364" w:rsidRDefault="00500808" w:rsidP="00182D27">
            <w:pPr>
              <w:spacing w:line="276" w:lineRule="auto"/>
              <w:rPr>
                <w:rFonts w:eastAsia="Arial"/>
                <w:noProof/>
              </w:rPr>
            </w:pPr>
            <w:r w:rsidRPr="00D05364">
              <w:rPr>
                <w:rFonts w:eastAsia="Arial"/>
                <w:noProof/>
              </w:rPr>
              <w:t>Klinikinio vertinimo išvada</w:t>
            </w:r>
          </w:p>
        </w:tc>
        <w:tc>
          <w:tcPr>
            <w:tcW w:w="2666" w:type="dxa"/>
          </w:tcPr>
          <w:p w14:paraId="42E50AE3" w14:textId="77777777" w:rsidR="00500808" w:rsidRPr="00D05364" w:rsidRDefault="00500808" w:rsidP="00182D27">
            <w:pPr>
              <w:spacing w:line="276" w:lineRule="auto"/>
              <w:rPr>
                <w:rFonts w:eastAsia="Arial"/>
              </w:rPr>
            </w:pPr>
            <w:r w:rsidRPr="00D05364">
              <w:rPr>
                <w:rFonts w:eastAsia="Arial"/>
              </w:rPr>
              <w:t>Farmakoekonominio vertinimo išvada</w:t>
            </w:r>
          </w:p>
        </w:tc>
      </w:tr>
      <w:tr w:rsidR="00500808" w:rsidRPr="00D05364" w14:paraId="03F08511" w14:textId="77777777" w:rsidTr="00133175">
        <w:trPr>
          <w:trHeight w:val="1765"/>
        </w:trPr>
        <w:tc>
          <w:tcPr>
            <w:tcW w:w="2804" w:type="dxa"/>
          </w:tcPr>
          <w:p w14:paraId="05669535" w14:textId="77777777" w:rsidR="00500808" w:rsidRPr="001F216C" w:rsidRDefault="00500808" w:rsidP="00182D27">
            <w:pPr>
              <w:autoSpaceDE w:val="0"/>
              <w:autoSpaceDN w:val="0"/>
              <w:adjustRightInd w:val="0"/>
              <w:spacing w:line="276" w:lineRule="auto"/>
              <w:rPr>
                <w:bCs/>
                <w:noProof/>
              </w:rPr>
            </w:pPr>
            <w:r w:rsidRPr="001F216C">
              <w:rPr>
                <w:bCs/>
                <w:noProof/>
              </w:rPr>
              <w:t>Nacionalinis sveikatos ir klinikinės kompetencijos institutas, Didžioji Britanija</w:t>
            </w:r>
          </w:p>
          <w:p w14:paraId="4B76D34B" w14:textId="77777777" w:rsidR="00500808" w:rsidRPr="00D05364" w:rsidRDefault="00500808" w:rsidP="00182D27">
            <w:pPr>
              <w:spacing w:line="276" w:lineRule="auto"/>
              <w:rPr>
                <w:rFonts w:eastAsia="Arial"/>
                <w:noProof/>
              </w:rPr>
            </w:pPr>
            <w:r w:rsidRPr="001F216C">
              <w:rPr>
                <w:rFonts w:eastAsia="Arial"/>
                <w:noProof/>
              </w:rPr>
              <w:t xml:space="preserve">(angl. </w:t>
            </w:r>
            <w:r w:rsidRPr="001F216C">
              <w:rPr>
                <w:rFonts w:eastAsia="Arial"/>
                <w:i/>
                <w:noProof/>
              </w:rPr>
              <w:t>National Institute for Health and Care Excellence, NICE</w:t>
            </w:r>
            <w:r w:rsidRPr="001F216C">
              <w:rPr>
                <w:rFonts w:eastAsia="Arial"/>
                <w:noProof/>
              </w:rPr>
              <w:t>)</w:t>
            </w:r>
          </w:p>
        </w:tc>
        <w:tc>
          <w:tcPr>
            <w:tcW w:w="1782" w:type="dxa"/>
          </w:tcPr>
          <w:p w14:paraId="2894B133"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1558205022"/>
                <w15:color w:val="FFCC00"/>
                <w14:checkbox>
                  <w14:checked w14:val="1"/>
                  <w14:checkedState w14:val="2612" w14:font="MS Gothic"/>
                  <w14:uncheckedState w14:val="2610" w14:font="MS Gothic"/>
                </w14:checkbox>
              </w:sdtPr>
              <w:sdtContent>
                <w:r w:rsidR="00500808">
                  <w:rPr>
                    <w:rStyle w:val="Style2"/>
                    <w:rFonts w:ascii="MS Gothic" w:eastAsia="MS Gothic" w:hAnsi="MS Gothic"/>
                    <w:noProof/>
                  </w:rPr>
                  <w:t>☒</w:t>
                </w:r>
              </w:sdtContent>
            </w:sdt>
            <w:r w:rsidR="00500808" w:rsidRPr="001F216C">
              <w:rPr>
                <w:noProof/>
              </w:rPr>
              <w:t xml:space="preserve"> Taip</w:t>
            </w:r>
          </w:p>
          <w:p w14:paraId="6B5EB9E8"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866029625"/>
                <w15:color w:val="FFCC00"/>
                <w14:checkbox>
                  <w14:checked w14:val="0"/>
                  <w14:checkedState w14:val="2612" w14:font="MS Gothic"/>
                  <w14:uncheckedState w14:val="2610" w14:font="MS Gothic"/>
                </w14:checkbox>
              </w:sdtPr>
              <w:sdtContent>
                <w:r w:rsidR="00500808" w:rsidRPr="001F216C">
                  <w:rPr>
                    <w:rStyle w:val="Style2"/>
                    <w:rFonts w:ascii="Segoe UI Symbol" w:eastAsia="MS Gothic" w:hAnsi="Segoe UI Symbol" w:cs="Segoe UI Symbol"/>
                    <w:noProof/>
                  </w:rPr>
                  <w:t>☐</w:t>
                </w:r>
              </w:sdtContent>
            </w:sdt>
            <w:r w:rsidR="00500808" w:rsidRPr="001F216C">
              <w:rPr>
                <w:noProof/>
              </w:rPr>
              <w:t xml:space="preserve"> Ne</w:t>
            </w:r>
          </w:p>
          <w:p w14:paraId="2C0EE4F4" w14:textId="77777777" w:rsidR="00500808" w:rsidRPr="00D05364" w:rsidRDefault="00000000" w:rsidP="00182D27">
            <w:pPr>
              <w:spacing w:line="276" w:lineRule="auto"/>
              <w:rPr>
                <w:rFonts w:eastAsia="Arial"/>
                <w:noProof/>
              </w:rPr>
            </w:pPr>
            <w:sdt>
              <w:sdtPr>
                <w:rPr>
                  <w:noProof/>
                </w:rPr>
                <w:alias w:val="Nurodykite konkrečią dieną"/>
                <w:tag w:val="Nurodykite pradžios datą"/>
                <w:id w:val="922837954"/>
                <w:placeholder>
                  <w:docPart w:val="5557CF747AA84FAF960DA558AF779575"/>
                </w:placeholder>
                <w15:color w:val="FFCC99"/>
                <w:date>
                  <w:dateFormat w:val="yyyy 'm.' MMMM d 'd.'"/>
                  <w:lid w:val="lt-LT"/>
                  <w:storeMappedDataAs w:val="dateTime"/>
                  <w:calendar w:val="gregorian"/>
                </w:date>
              </w:sdtPr>
              <w:sdtContent>
                <w:r w:rsidR="00500808">
                  <w:rPr>
                    <w:noProof/>
                  </w:rPr>
                  <w:t>2020 m. lapkričio 18 d.</w:t>
                </w:r>
              </w:sdtContent>
            </w:sdt>
          </w:p>
        </w:tc>
        <w:tc>
          <w:tcPr>
            <w:tcW w:w="5332" w:type="dxa"/>
            <w:gridSpan w:val="2"/>
          </w:tcPr>
          <w:p w14:paraId="52723F3A" w14:textId="77777777" w:rsidR="00500808" w:rsidRPr="00D05364" w:rsidRDefault="00500808" w:rsidP="00182D27">
            <w:pPr>
              <w:spacing w:line="276" w:lineRule="auto"/>
              <w:jc w:val="both"/>
              <w:rPr>
                <w:rFonts w:eastAsia="Arial"/>
                <w:noProof/>
              </w:rPr>
            </w:pPr>
            <w:r>
              <w:rPr>
                <w:rFonts w:eastAsia="Arial"/>
                <w:noProof/>
              </w:rPr>
              <w:t xml:space="preserve">Rekomenduojama kompensuoti sumažinus kainą </w:t>
            </w:r>
            <w:r>
              <w:rPr>
                <w:noProof/>
              </w:rPr>
              <w:t xml:space="preserve">pacientams, sergantiems recidyvuojančia ir refrakterine daugine mieloma </w:t>
            </w:r>
            <w:r>
              <w:rPr>
                <w:rFonts w:eastAsia="Arial"/>
                <w:noProof/>
              </w:rPr>
              <w:t>skiriant kartu su pomalidomidu ir deksametazonu</w:t>
            </w:r>
            <w:r>
              <w:rPr>
                <w:noProof/>
              </w:rPr>
              <w:t>, kurie prieš tai buvo gydyti bent trimis gydymo būdais.</w:t>
            </w:r>
          </w:p>
        </w:tc>
      </w:tr>
      <w:tr w:rsidR="00500808" w:rsidRPr="00D05364" w14:paraId="3DFFD1C2" w14:textId="77777777" w:rsidTr="00133175">
        <w:trPr>
          <w:trHeight w:val="1547"/>
        </w:trPr>
        <w:tc>
          <w:tcPr>
            <w:tcW w:w="2804" w:type="dxa"/>
          </w:tcPr>
          <w:p w14:paraId="3D2D8D5B" w14:textId="77777777" w:rsidR="00500808" w:rsidRPr="001F216C" w:rsidRDefault="00500808" w:rsidP="00182D27">
            <w:pPr>
              <w:spacing w:line="276" w:lineRule="auto"/>
              <w:rPr>
                <w:rFonts w:eastAsia="Arial"/>
                <w:noProof/>
              </w:rPr>
            </w:pPr>
            <w:r w:rsidRPr="001F216C">
              <w:rPr>
                <w:rFonts w:eastAsia="Arial"/>
                <w:noProof/>
              </w:rPr>
              <w:t>Kanados sveikatos technologijų agentūra</w:t>
            </w:r>
          </w:p>
          <w:p w14:paraId="1794AE08" w14:textId="77777777" w:rsidR="00500808" w:rsidRPr="00D05364" w:rsidRDefault="00500808" w:rsidP="00182D27">
            <w:pPr>
              <w:spacing w:line="276" w:lineRule="auto"/>
              <w:rPr>
                <w:rFonts w:eastAsia="Arial"/>
                <w:noProof/>
              </w:rPr>
            </w:pPr>
            <w:r w:rsidRPr="001F216C">
              <w:rPr>
                <w:rFonts w:eastAsia="Arial"/>
                <w:noProof/>
              </w:rPr>
              <w:t xml:space="preserve">(angl. </w:t>
            </w:r>
            <w:r w:rsidRPr="001F216C">
              <w:rPr>
                <w:rFonts w:eastAsia="Arial"/>
                <w:i/>
                <w:noProof/>
              </w:rPr>
              <w:t>Canadian health Technology Assessment agency, CADTH</w:t>
            </w:r>
            <w:r w:rsidRPr="001F216C">
              <w:rPr>
                <w:rFonts w:eastAsia="Arial"/>
                <w:noProof/>
              </w:rPr>
              <w:t>)</w:t>
            </w:r>
          </w:p>
        </w:tc>
        <w:tc>
          <w:tcPr>
            <w:tcW w:w="1782" w:type="dxa"/>
          </w:tcPr>
          <w:p w14:paraId="3DE537CE"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372539057"/>
                <w15:color w:val="FFCC00"/>
                <w14:checkbox>
                  <w14:checked w14:val="1"/>
                  <w14:checkedState w14:val="2612" w14:font="MS Gothic"/>
                  <w14:uncheckedState w14:val="2610" w14:font="MS Gothic"/>
                </w14:checkbox>
              </w:sdtPr>
              <w:sdtContent>
                <w:r w:rsidR="00500808">
                  <w:rPr>
                    <w:rStyle w:val="Style2"/>
                    <w:rFonts w:ascii="MS Gothic" w:eastAsia="MS Gothic" w:hAnsi="MS Gothic"/>
                    <w:noProof/>
                  </w:rPr>
                  <w:t>☒</w:t>
                </w:r>
              </w:sdtContent>
            </w:sdt>
            <w:r w:rsidR="00500808" w:rsidRPr="001F216C">
              <w:rPr>
                <w:noProof/>
              </w:rPr>
              <w:t xml:space="preserve"> Taip</w:t>
            </w:r>
          </w:p>
          <w:p w14:paraId="1D9ABDF1"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594442222"/>
                <w15:color w:val="FFCC00"/>
                <w14:checkbox>
                  <w14:checked w14:val="0"/>
                  <w14:checkedState w14:val="2612" w14:font="MS Gothic"/>
                  <w14:uncheckedState w14:val="2610" w14:font="MS Gothic"/>
                </w14:checkbox>
              </w:sdtPr>
              <w:sdtContent>
                <w:r w:rsidR="00500808" w:rsidRPr="001F216C">
                  <w:rPr>
                    <w:rStyle w:val="Style2"/>
                    <w:rFonts w:ascii="Segoe UI Symbol" w:eastAsia="MS Gothic" w:hAnsi="Segoe UI Symbol" w:cs="Segoe UI Symbol"/>
                    <w:noProof/>
                  </w:rPr>
                  <w:t>☐</w:t>
                </w:r>
              </w:sdtContent>
            </w:sdt>
            <w:r w:rsidR="00500808" w:rsidRPr="001F216C">
              <w:rPr>
                <w:noProof/>
              </w:rPr>
              <w:t xml:space="preserve"> Ne</w:t>
            </w:r>
          </w:p>
          <w:p w14:paraId="547593CD" w14:textId="77777777" w:rsidR="00500808" w:rsidRPr="00D05364" w:rsidRDefault="00000000" w:rsidP="00182D27">
            <w:pPr>
              <w:spacing w:line="276" w:lineRule="auto"/>
              <w:rPr>
                <w:rFonts w:eastAsia="Arial"/>
                <w:noProof/>
              </w:rPr>
            </w:pPr>
            <w:sdt>
              <w:sdtPr>
                <w:rPr>
                  <w:noProof/>
                </w:rPr>
                <w:alias w:val="Nurodykite konkrečią dieną"/>
                <w:tag w:val="Nurodykite pradžios datą"/>
                <w:id w:val="1072468416"/>
                <w:placeholder>
                  <w:docPart w:val="5C16A419609D4C59BA5066CBD7F46E76"/>
                </w:placeholder>
                <w15:color w:val="FFCC99"/>
                <w:date>
                  <w:dateFormat w:val="yyyy 'm.' MMMM d 'd.'"/>
                  <w:lid w:val="lt-LT"/>
                  <w:storeMappedDataAs w:val="dateTime"/>
                  <w:calendar w:val="gregorian"/>
                </w:date>
              </w:sdtPr>
              <w:sdtContent>
                <w:r w:rsidR="00500808">
                  <w:rPr>
                    <w:noProof/>
                  </w:rPr>
                  <w:t>2021 m. balandžio 1 d.</w:t>
                </w:r>
              </w:sdtContent>
            </w:sdt>
          </w:p>
        </w:tc>
        <w:tc>
          <w:tcPr>
            <w:tcW w:w="5332" w:type="dxa"/>
            <w:gridSpan w:val="2"/>
          </w:tcPr>
          <w:p w14:paraId="3DB403BA" w14:textId="77777777" w:rsidR="00500808" w:rsidRPr="00D05364" w:rsidRDefault="00500808" w:rsidP="00182D27">
            <w:pPr>
              <w:spacing w:line="276" w:lineRule="auto"/>
              <w:rPr>
                <w:rFonts w:eastAsia="Arial"/>
                <w:noProof/>
              </w:rPr>
            </w:pPr>
            <w:r>
              <w:rPr>
                <w:rFonts w:eastAsia="Arial"/>
                <w:noProof/>
              </w:rPr>
              <w:t xml:space="preserve">Rekomenduojama kompensuoti sumažinus kainą </w:t>
            </w:r>
            <w:r>
              <w:rPr>
                <w:noProof/>
              </w:rPr>
              <w:t xml:space="preserve">pacientams, sergantiems recidyvuojančia ir refrakterine daugine mieloma </w:t>
            </w:r>
            <w:r>
              <w:rPr>
                <w:rFonts w:eastAsia="Arial"/>
                <w:noProof/>
              </w:rPr>
              <w:t>skiriant kartu su pomalidomidu ir deksametazonu</w:t>
            </w:r>
            <w:r>
              <w:rPr>
                <w:noProof/>
              </w:rPr>
              <w:t>, kurie prieš tai buvo gydyti bent dviem gydymo būdais.</w:t>
            </w:r>
          </w:p>
        </w:tc>
      </w:tr>
      <w:tr w:rsidR="00500808" w:rsidRPr="00D05364" w14:paraId="2DD6D5A3" w14:textId="77777777" w:rsidTr="00133175">
        <w:trPr>
          <w:trHeight w:val="1927"/>
        </w:trPr>
        <w:tc>
          <w:tcPr>
            <w:tcW w:w="2804" w:type="dxa"/>
          </w:tcPr>
          <w:p w14:paraId="1A1EDB7E" w14:textId="77777777" w:rsidR="00500808" w:rsidRPr="001F216C" w:rsidRDefault="00500808" w:rsidP="00182D27">
            <w:pPr>
              <w:spacing w:line="276" w:lineRule="auto"/>
              <w:rPr>
                <w:rFonts w:eastAsia="Arial"/>
                <w:noProof/>
              </w:rPr>
            </w:pPr>
            <w:r w:rsidRPr="001F216C">
              <w:rPr>
                <w:rFonts w:eastAsia="Arial"/>
                <w:noProof/>
              </w:rPr>
              <w:t>Nacionalinis farmakoekonomikos centras, Airija</w:t>
            </w:r>
          </w:p>
          <w:p w14:paraId="2CD72659" w14:textId="77777777" w:rsidR="00500808" w:rsidRPr="00D05364" w:rsidRDefault="00500808" w:rsidP="00182D27">
            <w:pPr>
              <w:spacing w:line="276" w:lineRule="auto"/>
              <w:rPr>
                <w:rFonts w:eastAsia="Arial"/>
                <w:noProof/>
              </w:rPr>
            </w:pPr>
            <w:r w:rsidRPr="001F216C">
              <w:rPr>
                <w:rFonts w:eastAsia="Arial"/>
                <w:noProof/>
              </w:rPr>
              <w:t>(angl.</w:t>
            </w:r>
            <w:r w:rsidRPr="001F216C">
              <w:rPr>
                <w:rFonts w:eastAsia="Arial"/>
                <w:i/>
                <w:noProof/>
              </w:rPr>
              <w:t xml:space="preserve"> National Centre for Pharmacoeconomics, NCPE</w:t>
            </w:r>
            <w:r w:rsidRPr="001F216C">
              <w:rPr>
                <w:rFonts w:eastAsia="Arial"/>
                <w:noProof/>
              </w:rPr>
              <w:t>)</w:t>
            </w:r>
          </w:p>
        </w:tc>
        <w:tc>
          <w:tcPr>
            <w:tcW w:w="1782" w:type="dxa"/>
          </w:tcPr>
          <w:p w14:paraId="54E6F94D"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1888403732"/>
                <w15:color w:val="FFCC00"/>
                <w14:checkbox>
                  <w14:checked w14:val="0"/>
                  <w14:checkedState w14:val="2612" w14:font="MS Gothic"/>
                  <w14:uncheckedState w14:val="2610" w14:font="MS Gothic"/>
                </w14:checkbox>
              </w:sdtPr>
              <w:sdtContent>
                <w:r w:rsidR="00500808">
                  <w:rPr>
                    <w:rStyle w:val="Style2"/>
                    <w:rFonts w:ascii="MS Gothic" w:eastAsia="MS Gothic" w:hAnsi="MS Gothic"/>
                    <w:noProof/>
                  </w:rPr>
                  <w:t>☐</w:t>
                </w:r>
              </w:sdtContent>
            </w:sdt>
            <w:r w:rsidR="00500808" w:rsidRPr="001F216C">
              <w:rPr>
                <w:noProof/>
              </w:rPr>
              <w:t xml:space="preserve"> Taip</w:t>
            </w:r>
          </w:p>
          <w:p w14:paraId="3BF6D810"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1092201793"/>
                <w15:color w:val="FFCC00"/>
                <w14:checkbox>
                  <w14:checked w14:val="1"/>
                  <w14:checkedState w14:val="2612" w14:font="MS Gothic"/>
                  <w14:uncheckedState w14:val="2610" w14:font="MS Gothic"/>
                </w14:checkbox>
              </w:sdtPr>
              <w:sdtContent>
                <w:r w:rsidR="00500808">
                  <w:rPr>
                    <w:rStyle w:val="Style2"/>
                    <w:rFonts w:ascii="MS Gothic" w:eastAsia="MS Gothic" w:hAnsi="MS Gothic"/>
                    <w:noProof/>
                  </w:rPr>
                  <w:t>☒</w:t>
                </w:r>
              </w:sdtContent>
            </w:sdt>
            <w:r w:rsidR="00500808" w:rsidRPr="001F216C">
              <w:rPr>
                <w:noProof/>
              </w:rPr>
              <w:t xml:space="preserve"> Ne</w:t>
            </w:r>
          </w:p>
          <w:p w14:paraId="07CBB688" w14:textId="77777777" w:rsidR="00500808" w:rsidRPr="00D05364" w:rsidRDefault="00000000" w:rsidP="00182D27">
            <w:pPr>
              <w:spacing w:line="276" w:lineRule="auto"/>
              <w:rPr>
                <w:rFonts w:eastAsia="Arial"/>
                <w:noProof/>
              </w:rPr>
            </w:pPr>
            <w:sdt>
              <w:sdtPr>
                <w:rPr>
                  <w:noProof/>
                </w:rPr>
                <w:alias w:val="Nurodykite konkrečią dieną"/>
                <w:tag w:val="Nurodykite pradžios datą"/>
                <w:id w:val="-198323198"/>
                <w:placeholder>
                  <w:docPart w:val="3AC785ACB410409CA7AFAC15F5CE3211"/>
                </w:placeholder>
                <w:showingPlcHdr/>
                <w15:color w:val="FFCC99"/>
                <w:date>
                  <w:dateFormat w:val="yyyy 'm.' MMMM d 'd.'"/>
                  <w:lid w:val="lt-LT"/>
                  <w:storeMappedDataAs w:val="dateTime"/>
                  <w:calendar w:val="gregorian"/>
                </w:date>
              </w:sdtPr>
              <w:sdtContent>
                <w:r w:rsidR="00500808">
                  <w:rPr>
                    <w:rStyle w:val="PlaceholderText"/>
                    <w:noProof/>
                  </w:rPr>
                  <w:t>Click here to enter a date.</w:t>
                </w:r>
              </w:sdtContent>
            </w:sdt>
          </w:p>
        </w:tc>
        <w:tc>
          <w:tcPr>
            <w:tcW w:w="5332" w:type="dxa"/>
            <w:gridSpan w:val="2"/>
          </w:tcPr>
          <w:p w14:paraId="2D263548" w14:textId="77777777" w:rsidR="00500808" w:rsidRPr="00D05364" w:rsidRDefault="00500808" w:rsidP="00182D27">
            <w:pPr>
              <w:spacing w:line="276" w:lineRule="auto"/>
              <w:rPr>
                <w:rFonts w:eastAsia="Arial"/>
                <w:noProof/>
              </w:rPr>
            </w:pPr>
            <w:r>
              <w:rPr>
                <w:rFonts w:eastAsia="Arial"/>
                <w:noProof/>
              </w:rPr>
              <w:t>–</w:t>
            </w:r>
          </w:p>
        </w:tc>
      </w:tr>
      <w:tr w:rsidR="00500808" w:rsidRPr="00D05364" w14:paraId="5E74F1AB" w14:textId="77777777" w:rsidTr="00133175">
        <w:trPr>
          <w:trHeight w:val="690"/>
        </w:trPr>
        <w:tc>
          <w:tcPr>
            <w:tcW w:w="2804" w:type="dxa"/>
          </w:tcPr>
          <w:p w14:paraId="25CE96D3" w14:textId="77777777" w:rsidR="00500808" w:rsidRPr="00D05364" w:rsidRDefault="00500808" w:rsidP="00182D27">
            <w:pPr>
              <w:spacing w:line="276" w:lineRule="auto"/>
              <w:rPr>
                <w:rFonts w:eastAsia="Arial"/>
                <w:noProof/>
              </w:rPr>
            </w:pPr>
            <w:r w:rsidRPr="00E6595A">
              <w:rPr>
                <w:rFonts w:eastAsia="Arial"/>
                <w:noProof/>
              </w:rPr>
              <w:t xml:space="preserve">Škotijos medicinos konsorciumas </w:t>
            </w:r>
            <w:r w:rsidRPr="001F216C">
              <w:rPr>
                <w:rFonts w:eastAsia="Arial"/>
                <w:noProof/>
              </w:rPr>
              <w:t xml:space="preserve">(angl. </w:t>
            </w:r>
            <w:r>
              <w:rPr>
                <w:rFonts w:eastAsia="Arial"/>
                <w:i/>
                <w:noProof/>
              </w:rPr>
              <w:t>Scottish Medicines Consortium, SMC</w:t>
            </w:r>
            <w:r w:rsidRPr="001F216C">
              <w:rPr>
                <w:rFonts w:eastAsia="Arial"/>
                <w:noProof/>
              </w:rPr>
              <w:t>)</w:t>
            </w:r>
          </w:p>
        </w:tc>
        <w:tc>
          <w:tcPr>
            <w:tcW w:w="1782" w:type="dxa"/>
          </w:tcPr>
          <w:p w14:paraId="017CD082"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1222666236"/>
                <w15:color w:val="FFCC00"/>
                <w14:checkbox>
                  <w14:checked w14:val="1"/>
                  <w14:checkedState w14:val="2612" w14:font="MS Gothic"/>
                  <w14:uncheckedState w14:val="2610" w14:font="MS Gothic"/>
                </w14:checkbox>
              </w:sdtPr>
              <w:sdtContent>
                <w:r w:rsidR="00500808">
                  <w:rPr>
                    <w:rStyle w:val="Style2"/>
                    <w:rFonts w:ascii="MS Gothic" w:eastAsia="MS Gothic" w:hAnsi="MS Gothic"/>
                    <w:noProof/>
                  </w:rPr>
                  <w:t>☒</w:t>
                </w:r>
              </w:sdtContent>
            </w:sdt>
            <w:r w:rsidR="00500808" w:rsidRPr="001F216C">
              <w:rPr>
                <w:noProof/>
              </w:rPr>
              <w:t xml:space="preserve"> Taip</w:t>
            </w:r>
          </w:p>
          <w:p w14:paraId="2C57B304" w14:textId="77777777" w:rsidR="00500808" w:rsidRPr="001F216C" w:rsidRDefault="00000000" w:rsidP="00182D27">
            <w:pPr>
              <w:pStyle w:val="ListParagraph"/>
              <w:spacing w:after="120" w:line="276" w:lineRule="auto"/>
              <w:ind w:left="0"/>
              <w:contextualSpacing w:val="0"/>
              <w:jc w:val="both"/>
              <w:rPr>
                <w:noProof/>
              </w:rPr>
            </w:pPr>
            <w:sdt>
              <w:sdtPr>
                <w:rPr>
                  <w:rStyle w:val="Style2"/>
                  <w:noProof/>
                </w:rPr>
                <w:id w:val="885764470"/>
                <w15:color w:val="FFCC00"/>
                <w14:checkbox>
                  <w14:checked w14:val="0"/>
                  <w14:checkedState w14:val="2612" w14:font="MS Gothic"/>
                  <w14:uncheckedState w14:val="2610" w14:font="MS Gothic"/>
                </w14:checkbox>
              </w:sdtPr>
              <w:sdtContent>
                <w:r w:rsidR="00500808">
                  <w:rPr>
                    <w:rStyle w:val="Style2"/>
                    <w:rFonts w:ascii="MS Gothic" w:eastAsia="MS Gothic" w:hAnsi="MS Gothic"/>
                    <w:noProof/>
                  </w:rPr>
                  <w:t>☐</w:t>
                </w:r>
              </w:sdtContent>
            </w:sdt>
            <w:r w:rsidR="00500808" w:rsidRPr="001F216C">
              <w:rPr>
                <w:noProof/>
              </w:rPr>
              <w:t xml:space="preserve"> Ne</w:t>
            </w:r>
          </w:p>
          <w:p w14:paraId="3B7B653D" w14:textId="77777777" w:rsidR="00500808" w:rsidRPr="00D05364" w:rsidRDefault="00000000" w:rsidP="00182D27">
            <w:pPr>
              <w:pStyle w:val="ListParagraph"/>
              <w:spacing w:after="120" w:line="276" w:lineRule="auto"/>
              <w:ind w:left="0"/>
              <w:contextualSpacing w:val="0"/>
              <w:jc w:val="both"/>
              <w:rPr>
                <w:rStyle w:val="Style2"/>
                <w:noProof/>
              </w:rPr>
            </w:pPr>
            <w:sdt>
              <w:sdtPr>
                <w:rPr>
                  <w:noProof/>
                  <w:sz w:val="32"/>
                </w:rPr>
                <w:alias w:val="Nurodykite konkrečią dieną"/>
                <w:tag w:val="Nurodykite pradžios datą"/>
                <w:id w:val="1811206414"/>
                <w:placeholder>
                  <w:docPart w:val="385764B1DC2B4E988E501659542BC85F"/>
                </w:placeholder>
                <w15:color w:val="FFCC99"/>
                <w:date>
                  <w:dateFormat w:val="yyyy 'm.' MMMM d 'd.'"/>
                  <w:lid w:val="lt-LT"/>
                  <w:storeMappedDataAs w:val="dateTime"/>
                  <w:calendar w:val="gregorian"/>
                </w:date>
              </w:sdtPr>
              <w:sdtContent>
                <w:r w:rsidR="00500808" w:rsidRPr="009609FC">
                  <w:rPr>
                    <w:noProof/>
                  </w:rPr>
                  <w:t>2021</w:t>
                </w:r>
                <w:r w:rsidR="00500808">
                  <w:rPr>
                    <w:noProof/>
                  </w:rPr>
                  <w:t xml:space="preserve"> m. kovo 5 d.</w:t>
                </w:r>
              </w:sdtContent>
            </w:sdt>
          </w:p>
        </w:tc>
        <w:tc>
          <w:tcPr>
            <w:tcW w:w="5332" w:type="dxa"/>
            <w:gridSpan w:val="2"/>
          </w:tcPr>
          <w:p w14:paraId="07E7B0C4" w14:textId="77777777" w:rsidR="00500808" w:rsidRPr="00D05364" w:rsidRDefault="00500808" w:rsidP="00182D27">
            <w:pPr>
              <w:spacing w:line="276" w:lineRule="auto"/>
              <w:jc w:val="both"/>
              <w:rPr>
                <w:rFonts w:eastAsia="Arial"/>
                <w:noProof/>
              </w:rPr>
            </w:pPr>
            <w:r>
              <w:rPr>
                <w:rFonts w:eastAsia="Arial"/>
                <w:noProof/>
              </w:rPr>
              <w:lastRenderedPageBreak/>
              <w:t xml:space="preserve">Rekomenduojama kompensuoti nemažinant kainos </w:t>
            </w:r>
            <w:r>
              <w:rPr>
                <w:noProof/>
              </w:rPr>
              <w:t xml:space="preserve">pacientams, sergantiems recidyvuojančia ir refrakterine daugine mieloma </w:t>
            </w:r>
            <w:r>
              <w:rPr>
                <w:rFonts w:eastAsia="Arial"/>
                <w:noProof/>
              </w:rPr>
              <w:t xml:space="preserve">skiriant kartu su </w:t>
            </w:r>
            <w:r>
              <w:rPr>
                <w:rFonts w:eastAsia="Arial"/>
                <w:noProof/>
              </w:rPr>
              <w:lastRenderedPageBreak/>
              <w:t>pomalidomidu ir deksametazonu</w:t>
            </w:r>
            <w:r>
              <w:rPr>
                <w:noProof/>
              </w:rPr>
              <w:t>, kurie prieš tai buvo gydyti bent keturiais gydymo būdais.</w:t>
            </w:r>
          </w:p>
        </w:tc>
      </w:tr>
    </w:tbl>
    <w:p w14:paraId="2EB7FD31" w14:textId="4D2A8479" w:rsidR="007A2B68" w:rsidRPr="000203E1" w:rsidRDefault="007A2B68" w:rsidP="00182D27">
      <w:pPr>
        <w:pStyle w:val="ListParagraph"/>
        <w:tabs>
          <w:tab w:val="left" w:pos="426"/>
        </w:tabs>
        <w:spacing w:line="276" w:lineRule="auto"/>
        <w:ind w:left="0"/>
        <w:rPr>
          <w:b/>
          <w:bCs/>
          <w:caps/>
        </w:rPr>
      </w:pPr>
    </w:p>
    <w:p w14:paraId="73290081" w14:textId="77777777" w:rsidR="007A2B68" w:rsidRPr="000203E1" w:rsidRDefault="007A2B68" w:rsidP="00182D27">
      <w:pPr>
        <w:spacing w:line="276" w:lineRule="auto"/>
        <w:rPr>
          <w:b/>
          <w:bCs/>
          <w:caps/>
        </w:rPr>
      </w:pPr>
      <w:r w:rsidRPr="000203E1">
        <w:rPr>
          <w:b/>
          <w:bCs/>
          <w:caps/>
        </w:rPr>
        <w:br w:type="page"/>
      </w:r>
    </w:p>
    <w:p w14:paraId="5055E8A8" w14:textId="471A9757" w:rsidR="002E6F80" w:rsidRPr="000203E1" w:rsidRDefault="00CC7832" w:rsidP="00182D27">
      <w:pPr>
        <w:pStyle w:val="ListParagraph"/>
        <w:numPr>
          <w:ilvl w:val="0"/>
          <w:numId w:val="12"/>
        </w:numPr>
        <w:tabs>
          <w:tab w:val="left" w:pos="567"/>
        </w:tabs>
        <w:spacing w:line="276" w:lineRule="auto"/>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182D27">
      <w:pPr>
        <w:pStyle w:val="ListParagraph"/>
        <w:tabs>
          <w:tab w:val="left" w:pos="426"/>
        </w:tabs>
        <w:spacing w:line="276" w:lineRule="auto"/>
        <w:ind w:left="0"/>
        <w:rPr>
          <w:b/>
          <w:bCs/>
          <w:caps/>
        </w:rPr>
      </w:pPr>
    </w:p>
    <w:p w14:paraId="1A294DD5" w14:textId="3AE9C2FE" w:rsidR="008C2530" w:rsidRDefault="00500808" w:rsidP="00182D27">
      <w:pPr>
        <w:tabs>
          <w:tab w:val="left" w:pos="426"/>
        </w:tabs>
        <w:spacing w:line="276" w:lineRule="auto"/>
        <w:jc w:val="both"/>
        <w:rPr>
          <w:rFonts w:eastAsia="Arial"/>
          <w:iCs/>
        </w:rPr>
      </w:pPr>
      <w:r>
        <w:rPr>
          <w:rFonts w:eastAsia="Arial"/>
          <w:iCs/>
        </w:rPr>
        <w:tab/>
      </w:r>
      <w:r>
        <w:rPr>
          <w:rFonts w:eastAsia="Arial"/>
          <w:iCs/>
        </w:rPr>
        <w:tab/>
      </w:r>
      <w:bookmarkStart w:id="0" w:name="_Hlk153615034"/>
      <w:r w:rsidR="008C2530">
        <w:rPr>
          <w:rFonts w:eastAsia="Arial"/>
          <w:iCs/>
        </w:rPr>
        <w:t>Mieloma, mielominė liga arba dauginė mieloma (TLK – 10 AM C90.0</w:t>
      </w:r>
      <w:r w:rsidR="00AC3D91">
        <w:rPr>
          <w:rFonts w:eastAsia="Arial"/>
          <w:iCs/>
        </w:rPr>
        <w:t>)</w:t>
      </w:r>
      <w:r w:rsidR="008C2530">
        <w:rPr>
          <w:rFonts w:eastAsia="Arial"/>
          <w:iCs/>
        </w:rPr>
        <w:t xml:space="preserve"> </w:t>
      </w:r>
      <w:r w:rsidR="00AC3D91">
        <w:rPr>
          <w:rFonts w:eastAsia="Arial"/>
          <w:iCs/>
        </w:rPr>
        <w:t>(</w:t>
      </w:r>
      <w:r w:rsidR="008C2530">
        <w:rPr>
          <w:rFonts w:eastAsia="Arial"/>
          <w:iCs/>
        </w:rPr>
        <w:t>toliau DM) – B ląstelių limfomoms ir monokloninėms gamapatijoms priskiriama kaulų čiulpuose aptinkamų plazminių ląstelių piktybinė liga. Šiai ligai būdinga kloninė plazmocitų proliferacija ir nenormali imunoglobulino ar jo laisvų grandinių sintezė. DM yra antra dažniausiai nustatoma hematologinė liga (sudaro apie 10% visų hematologinių ir apie 1 proc. visų onkologinių susirgimų). Pacientų amžiaus vidurkis, kuriems pirmąkart nustatoma DM, yra 72 metai.</w:t>
      </w:r>
      <w:r w:rsidR="008C2530">
        <w:t xml:space="preserve"> </w:t>
      </w:r>
      <w:r w:rsidR="008C2530">
        <w:rPr>
          <w:rFonts w:eastAsia="Arial"/>
          <w:iCs/>
        </w:rPr>
        <w:t>Kasmet Europoje nustatomi 4,5 – 6 nauji DM atvejai / 100 tūkst. gyventojų, dėl šios ligos miršta 4 pacientai / 100 tūkst. gyventojų. Išskiriamos dvi DM klinikinės formos – rūsenanti ir aktyvi.</w:t>
      </w:r>
    </w:p>
    <w:p w14:paraId="3D9B9874" w14:textId="77777777" w:rsidR="008C2530" w:rsidRDefault="008C2530" w:rsidP="00595499">
      <w:pPr>
        <w:widowControl w:val="0"/>
        <w:spacing w:line="276" w:lineRule="auto"/>
        <w:jc w:val="both"/>
        <w:rPr>
          <w:bCs/>
          <w:iCs/>
          <w:color w:val="000000"/>
          <w:lang w:eastAsia="lt-LT"/>
        </w:rPr>
      </w:pPr>
      <w:r>
        <w:rPr>
          <w:bCs/>
          <w:iCs/>
          <w:color w:val="000000"/>
          <w:lang w:eastAsia="lt-LT"/>
        </w:rPr>
        <w:tab/>
        <w:t>Pirmąkart nustačius aktyvią DM, gydymo strategija priklauso nuo paciento amžiaus, gretutinių ligų, ar atliekama autologinės kamieninių ląstelių transplantacija. Tiek prieš atliekant autologinę kamieninių ląstelių transplantaciją, tiek nusprendus jos neatlikti skiriamas gydymas trijų – keturių vaistinių preparatų deriniais.</w:t>
      </w:r>
    </w:p>
    <w:p w14:paraId="15347D33" w14:textId="77777777" w:rsidR="008C2530" w:rsidRDefault="008C2530">
      <w:pPr>
        <w:widowControl w:val="0"/>
        <w:spacing w:line="276" w:lineRule="auto"/>
        <w:jc w:val="both"/>
        <w:rPr>
          <w:bCs/>
          <w:iCs/>
          <w:color w:val="000000"/>
          <w:lang w:eastAsia="lt-LT"/>
        </w:rPr>
      </w:pPr>
      <w:r>
        <w:rPr>
          <w:bCs/>
          <w:iCs/>
          <w:color w:val="000000"/>
          <w:lang w:eastAsia="lt-LT"/>
        </w:rPr>
        <w:tab/>
      </w:r>
      <w:r>
        <w:t>Recidyvuojanti/refrakterinė DM nustatoma, kai aktyviai vartojant specifinį ligos gydymą arba nepraėjus 60 dienų nuo paskutinės ligos gydymui skiriamo vaistinio preparato (-ų) dozės (jei prieš tai skiriamas gydymas buvo bent minimaliai efektyvus) patvirtinamas ligos progresavimas. Pirmąkart patvirtinus ligos progresavimą, Lietuvoje pirmenybė teikiama gydymui karfilzomibo – lenalidomido – deksametazono (jo netoleruojant, karfilzomibo – deksametazono) deriniui. Antrą (trečią, ketvirtą ir vėlesnius kartus) patvirtinus ligos progresavimą, pirmenybė teikiama pomalidomido – deksametazono deriniui (laikytinas paskutinės eilės gydymu), jei pacientas prieš tai jau buvo gydytas lenalidomidu ir karfilzomibu. Jei gydant pomalidomido – deksametazono deriniu patvirtinamas ligos progresavimas, skiriamas geriausiai iki tol veikęs gydymas, nesant geresnių alternatyvų, skiriamas palaikomasis gydymas bendamustinu ar ciklofosfamidu. Pareiškėjas siūlo, jog isatuksimabas turėtų būti skiriamas kartu su pomalidomidu – deksametazonu.</w:t>
      </w:r>
    </w:p>
    <w:p w14:paraId="19B3C5F3" w14:textId="77777777" w:rsidR="008C2530" w:rsidRPr="007B089F" w:rsidRDefault="008C2530">
      <w:pPr>
        <w:widowControl w:val="0"/>
        <w:spacing w:line="276" w:lineRule="auto"/>
        <w:jc w:val="both"/>
        <w:rPr>
          <w:bCs/>
          <w:iCs/>
          <w:color w:val="000000"/>
          <w:lang w:eastAsia="lt-LT"/>
        </w:rPr>
      </w:pPr>
    </w:p>
    <w:p w14:paraId="20BDCC80" w14:textId="77777777" w:rsidR="008C2530" w:rsidRDefault="008C2530" w:rsidP="00182D27">
      <w:pPr>
        <w:widowControl w:val="0"/>
        <w:spacing w:line="276" w:lineRule="auto"/>
        <w:jc w:val="both"/>
        <w:rPr>
          <w:bCs/>
          <w:i/>
          <w:iCs/>
          <w:color w:val="000000"/>
          <w:lang w:eastAsia="lt-LT"/>
        </w:rPr>
      </w:pPr>
      <w:r w:rsidRPr="003B3450">
        <w:rPr>
          <w:bCs/>
          <w:i/>
          <w:iCs/>
          <w:color w:val="000000"/>
          <w:lang w:eastAsia="lt-LT"/>
        </w:rPr>
        <w:t>Tiesioginis palyginimas</w:t>
      </w:r>
    </w:p>
    <w:p w14:paraId="3EF87601" w14:textId="040F7787" w:rsidR="008C2530" w:rsidRDefault="008C2530" w:rsidP="00182D27">
      <w:pPr>
        <w:widowControl w:val="0"/>
        <w:spacing w:line="276" w:lineRule="auto"/>
        <w:ind w:firstLine="720"/>
        <w:jc w:val="both"/>
        <w:rPr>
          <w:rFonts w:eastAsia="Arial"/>
          <w:bCs/>
        </w:rPr>
      </w:pPr>
      <w:r w:rsidRPr="004B38B7">
        <w:rPr>
          <w:bCs/>
          <w:color w:val="000000"/>
          <w:lang w:eastAsia="lt-LT"/>
        </w:rPr>
        <w:t>Klinikinis vertinimas buvo atliktas pagal paraiškoje pateikt</w:t>
      </w:r>
      <w:r>
        <w:rPr>
          <w:bCs/>
          <w:color w:val="000000"/>
          <w:lang w:eastAsia="lt-LT"/>
        </w:rPr>
        <w:t>ą</w:t>
      </w:r>
      <w:r w:rsidRPr="004B38B7">
        <w:rPr>
          <w:bCs/>
          <w:color w:val="000000"/>
          <w:lang w:eastAsia="lt-LT"/>
        </w:rPr>
        <w:t xml:space="preserve"> klinikin</w:t>
      </w:r>
      <w:r>
        <w:rPr>
          <w:bCs/>
          <w:color w:val="000000"/>
          <w:lang w:eastAsia="lt-LT"/>
        </w:rPr>
        <w:t xml:space="preserve">į </w:t>
      </w:r>
      <w:r w:rsidRPr="004B38B7">
        <w:rPr>
          <w:bCs/>
          <w:color w:val="000000"/>
          <w:lang w:eastAsia="lt-LT"/>
        </w:rPr>
        <w:t>tyrim</w:t>
      </w:r>
      <w:r>
        <w:rPr>
          <w:bCs/>
          <w:color w:val="000000"/>
          <w:lang w:eastAsia="lt-LT"/>
        </w:rPr>
        <w:t>ą</w:t>
      </w:r>
      <w:r w:rsidRPr="004B38B7">
        <w:rPr>
          <w:bCs/>
          <w:color w:val="000000"/>
          <w:lang w:eastAsia="lt-LT"/>
        </w:rPr>
        <w:t xml:space="preserve"> </w:t>
      </w:r>
      <w:r>
        <w:rPr>
          <w:bCs/>
          <w:color w:val="000000"/>
          <w:lang w:eastAsia="lt-LT"/>
        </w:rPr>
        <w:t>ICARIA-MM</w:t>
      </w:r>
      <w:r w:rsidRPr="004B38B7">
        <w:rPr>
          <w:bCs/>
          <w:color w:val="000000"/>
          <w:lang w:eastAsia="lt-LT"/>
        </w:rPr>
        <w:t xml:space="preserve">. </w:t>
      </w:r>
      <w:r>
        <w:rPr>
          <w:bCs/>
          <w:color w:val="000000"/>
          <w:lang w:eastAsia="lt-LT"/>
        </w:rPr>
        <w:t>Jame</w:t>
      </w:r>
      <w:r w:rsidRPr="004B38B7">
        <w:rPr>
          <w:bCs/>
          <w:color w:val="000000"/>
          <w:lang w:eastAsia="lt-LT"/>
        </w:rPr>
        <w:t xml:space="preserve"> įrodyta, jog </w:t>
      </w:r>
      <w:r>
        <w:rPr>
          <w:bCs/>
          <w:color w:val="000000"/>
          <w:lang w:eastAsia="lt-LT"/>
        </w:rPr>
        <w:t xml:space="preserve">18 metų ir vyresniems geros funkcinės būklės (ECOG 0 arba 1) </w:t>
      </w:r>
      <w:r w:rsidRPr="004B38B7">
        <w:rPr>
          <w:bCs/>
          <w:color w:val="000000"/>
          <w:lang w:eastAsia="lt-LT"/>
        </w:rPr>
        <w:t>pacient</w:t>
      </w:r>
      <w:r>
        <w:rPr>
          <w:bCs/>
          <w:color w:val="000000"/>
          <w:lang w:eastAsia="lt-LT"/>
        </w:rPr>
        <w:t xml:space="preserve">ams, kuriems </w:t>
      </w:r>
      <w:r>
        <w:rPr>
          <w:rFonts w:eastAsia="Arial"/>
          <w:bCs/>
        </w:rPr>
        <w:t xml:space="preserve">nustatyta aktyvi DM ir liga progresavo taikant ≥2 specifinės DM gydymo schemos (iš jų – ≥2 lenalidomido ir/ar proteasomos inhibitorių gydymo ciklai), gydymo pomalidomido – deksametazono deriniu papildymas isatuksimabu 40% sumažina </w:t>
      </w:r>
      <w:r w:rsidRPr="0091420F">
        <w:rPr>
          <w:rFonts w:eastAsia="Arial"/>
          <w:b/>
          <w:bCs/>
        </w:rPr>
        <w:t>ligos progresavimo ar mirties nuo bet kokios priežasties (pirminė vertinamoji baigtis)</w:t>
      </w:r>
      <w:r>
        <w:rPr>
          <w:rFonts w:eastAsia="Arial"/>
          <w:bCs/>
        </w:rPr>
        <w:t xml:space="preserve"> riziką (RS 0,60; 95% PI 0,44 – 0,81). Analogiškos tendencijos išliko ir antrinėje tarpinėje analizėje (RS 0,60; 95% PI 0,46 – 0,78).</w:t>
      </w:r>
    </w:p>
    <w:p w14:paraId="5CD3CDDE" w14:textId="56EDD392" w:rsidR="008C2530" w:rsidRDefault="008C2530" w:rsidP="00182D27">
      <w:pPr>
        <w:widowControl w:val="0"/>
        <w:spacing w:line="276" w:lineRule="auto"/>
        <w:ind w:firstLine="720"/>
        <w:jc w:val="both"/>
        <w:rPr>
          <w:iCs/>
        </w:rPr>
      </w:pPr>
      <w:r>
        <w:rPr>
          <w:rFonts w:eastAsia="Arial"/>
          <w:bCs/>
        </w:rPr>
        <w:t xml:space="preserve">Vertinant pacientų </w:t>
      </w:r>
      <w:r w:rsidRPr="007F1158">
        <w:rPr>
          <w:rFonts w:eastAsia="Arial"/>
          <w:b/>
          <w:bCs/>
        </w:rPr>
        <w:t>bendrą išgyvenamumą</w:t>
      </w:r>
      <w:r>
        <w:rPr>
          <w:rFonts w:eastAsia="Arial"/>
          <w:bCs/>
        </w:rPr>
        <w:t>, pirminėje (11,6 mėn. stebėsenos mediana, įvyko 99 mirtys) ir antrinėje (35,3 mėn. stebėsenos mediana, įvyko 198 mirtys) tarpinėje numatytas mirties nuo bet kokios priežasties atvejų (220 mirčių) skaičius nebuvo pasiektas. Pirminėje ir antrinėje tarpinėse analizėse isatuksimabo grupėje, lyginant su kontroline, stebėta teigiama bendro išgyvenamumo tendencija, tačiau statistiškai reikšmingas skirtumas nebuvo nustatytas (RS</w:t>
      </w:r>
      <w:r>
        <w:rPr>
          <w:rFonts w:eastAsia="Arial"/>
          <w:bCs/>
          <w:vertAlign w:val="subscript"/>
        </w:rPr>
        <w:t>1</w:t>
      </w:r>
      <w:r>
        <w:rPr>
          <w:rFonts w:eastAsia="Arial"/>
          <w:bCs/>
        </w:rPr>
        <w:t xml:space="preserve"> 0,69 [95% PI 0,46 – 1,02]; p</w:t>
      </w:r>
      <w:r>
        <w:rPr>
          <w:rFonts w:eastAsia="Arial"/>
          <w:bCs/>
          <w:vertAlign w:val="subscript"/>
        </w:rPr>
        <w:t>1</w:t>
      </w:r>
      <w:r>
        <w:rPr>
          <w:rFonts w:eastAsia="Arial"/>
          <w:bCs/>
        </w:rPr>
        <w:t>=0,0631; RS</w:t>
      </w:r>
      <w:r>
        <w:rPr>
          <w:rFonts w:eastAsia="Arial"/>
          <w:bCs/>
          <w:vertAlign w:val="subscript"/>
        </w:rPr>
        <w:t>2</w:t>
      </w:r>
      <w:r>
        <w:rPr>
          <w:rFonts w:eastAsia="Arial"/>
          <w:bCs/>
        </w:rPr>
        <w:t xml:space="preserve"> 0,76 [95% PI 0,57 – 1,01]; p</w:t>
      </w:r>
      <w:r>
        <w:rPr>
          <w:rFonts w:eastAsia="Arial"/>
          <w:bCs/>
          <w:vertAlign w:val="subscript"/>
        </w:rPr>
        <w:t>2</w:t>
      </w:r>
      <w:r>
        <w:rPr>
          <w:rFonts w:eastAsia="Arial"/>
          <w:bCs/>
        </w:rPr>
        <w:t xml:space="preserve">=0,028). </w:t>
      </w:r>
      <w:r w:rsidR="00595499">
        <w:rPr>
          <w:rFonts w:eastAsia="Arial"/>
          <w:bCs/>
        </w:rPr>
        <w:t>Pažymėtina</w:t>
      </w:r>
      <w:r>
        <w:rPr>
          <w:rFonts w:eastAsia="Arial"/>
          <w:bCs/>
        </w:rPr>
        <w:t xml:space="preserve">, jog </w:t>
      </w:r>
      <w:r w:rsidRPr="00144BB0">
        <w:rPr>
          <w:rFonts w:eastAsia="Arial"/>
          <w:bCs/>
        </w:rPr>
        <w:t>statistinio reikšmingumo nenustatymas tarp grupių</w:t>
      </w:r>
      <w:r>
        <w:rPr>
          <w:rFonts w:eastAsia="Arial"/>
          <w:bCs/>
        </w:rPr>
        <w:t xml:space="preserve"> vertinant bendrą išgyvenamumą antrinėje tarpinėje analizėje</w:t>
      </w:r>
      <w:r w:rsidRPr="00144BB0">
        <w:rPr>
          <w:rFonts w:eastAsia="Arial"/>
          <w:bCs/>
        </w:rPr>
        <w:t xml:space="preserve"> </w:t>
      </w:r>
      <w:r>
        <w:rPr>
          <w:rFonts w:eastAsia="Arial"/>
          <w:bCs/>
        </w:rPr>
        <w:t>įvyko</w:t>
      </w:r>
      <w:r w:rsidRPr="00144BB0">
        <w:rPr>
          <w:rFonts w:eastAsia="Arial"/>
          <w:bCs/>
        </w:rPr>
        <w:t xml:space="preserve"> dėl per</w:t>
      </w:r>
      <w:r w:rsidR="00595499">
        <w:rPr>
          <w:rFonts w:eastAsia="Arial"/>
          <w:bCs/>
        </w:rPr>
        <w:t>nelyg</w:t>
      </w:r>
      <w:r w:rsidRPr="00144BB0">
        <w:rPr>
          <w:rFonts w:eastAsia="Arial"/>
          <w:bCs/>
        </w:rPr>
        <w:t xml:space="preserve"> ambicingo tyrėjų išsikelto statistinės analizės plano</w:t>
      </w:r>
      <w:r>
        <w:rPr>
          <w:rFonts w:eastAsia="Arial"/>
          <w:bCs/>
        </w:rPr>
        <w:t xml:space="preserve"> (</w:t>
      </w:r>
      <w:r>
        <w:rPr>
          <w:iCs/>
        </w:rPr>
        <w:t>numatyta slenkstinė p reikšmė buvo 0,0181).</w:t>
      </w:r>
      <w:r w:rsidR="00C77597">
        <w:rPr>
          <w:iCs/>
        </w:rPr>
        <w:t xml:space="preserve"> </w:t>
      </w:r>
      <w:r>
        <w:rPr>
          <w:iCs/>
        </w:rPr>
        <w:t xml:space="preserve">Galutinėje bendro išgyvenamumo analizėje statistiškai reikšmingo skirtumo taip pat nebuvo (RS 0,77; 95% PI 0,59 – 1,10; p=0,0319), tačiau isatuksimabo grupėje pacientai išgyveno 6,9 mėn. ilgiau, lyginant su kontroline grupe. Kadangi tyrimas vyko COVID-19 pandemijos metu, atlikus jautrumo analizę siekiant įvertinti COVID-19 pandemijos </w:t>
      </w:r>
      <w:r>
        <w:rPr>
          <w:iCs/>
        </w:rPr>
        <w:lastRenderedPageBreak/>
        <w:t xml:space="preserve">padarytą įtaką tyrimo rezultatams, </w:t>
      </w:r>
      <w:r>
        <w:rPr>
          <w:rFonts w:eastAsia="Arial"/>
          <w:bCs/>
        </w:rPr>
        <w:t>gydymo pomalidomido – deksametazono deriniu papildymas isatuksimabu</w:t>
      </w:r>
      <w:r>
        <w:rPr>
          <w:iCs/>
        </w:rPr>
        <w:t xml:space="preserve"> 24% sumažino </w:t>
      </w:r>
      <w:r w:rsidRPr="00B81BA7">
        <w:rPr>
          <w:b/>
          <w:iCs/>
        </w:rPr>
        <w:t>mirties nuo bet kokios priežasties</w:t>
      </w:r>
      <w:r>
        <w:rPr>
          <w:iCs/>
        </w:rPr>
        <w:t xml:space="preserve"> riziką (RS 0,76; 95% PI 0,58 – 0,99; p=0,0223).</w:t>
      </w:r>
    </w:p>
    <w:p w14:paraId="448D9EC1" w14:textId="77777777" w:rsidR="008C2530" w:rsidRDefault="008C2530" w:rsidP="00182D27">
      <w:pPr>
        <w:widowControl w:val="0"/>
        <w:spacing w:line="276" w:lineRule="auto"/>
        <w:ind w:firstLine="720"/>
        <w:jc w:val="both"/>
        <w:rPr>
          <w:iCs/>
        </w:rPr>
      </w:pPr>
      <w:r w:rsidRPr="00657A6E">
        <w:rPr>
          <w:rFonts w:eastAsia="Arial"/>
          <w:b/>
          <w:bCs/>
          <w:iCs/>
        </w:rPr>
        <w:t>Pacientų praneštos baigtys</w:t>
      </w:r>
      <w:r>
        <w:rPr>
          <w:rFonts w:eastAsia="Arial"/>
          <w:iCs/>
        </w:rPr>
        <w:t xml:space="preserve"> buvo įvertintos pacientams užpildant EORTC QLQ-C30, EORTC QLQ-MY20, EQ-5D-5L klausimynus kiekvieno gydymo ciklo pradžioje praėjus 30 ir 60 dienų (</w:t>
      </w:r>
      <w:r w:rsidRPr="00B874FC">
        <w:rPr>
          <w:rFonts w:eastAsia="Arial"/>
          <w:iCs/>
        </w:rPr>
        <w:t>±</w:t>
      </w:r>
      <w:r>
        <w:rPr>
          <w:rFonts w:eastAsia="Arial"/>
          <w:iCs/>
        </w:rPr>
        <w:t>5 dienos) nuo paskutinio gydymo ciklo. Pacientų gyvenimo kokybė ir jų funkcinė būklė nekito ir tarp tiriamųjų grupių nesiskyrė visą tyrimo laikotarpį.</w:t>
      </w:r>
    </w:p>
    <w:p w14:paraId="08103B8B" w14:textId="77777777" w:rsidR="008C2530" w:rsidRPr="007F1158" w:rsidRDefault="008C2530" w:rsidP="00182D27">
      <w:pPr>
        <w:widowControl w:val="0"/>
        <w:spacing w:line="276" w:lineRule="auto"/>
        <w:ind w:firstLine="720"/>
        <w:jc w:val="both"/>
        <w:rPr>
          <w:rFonts w:eastAsia="Arial"/>
          <w:bCs/>
        </w:rPr>
      </w:pPr>
      <w:r>
        <w:rPr>
          <w:iCs/>
        </w:rPr>
        <w:t>Pirminės analizės metu ir i</w:t>
      </w:r>
      <w:r>
        <w:rPr>
          <w:bCs/>
          <w:iCs/>
          <w:lang w:eastAsia="lt-LT"/>
        </w:rPr>
        <w:t xml:space="preserve">lgalaikės stebėsenos laikotarpiu </w:t>
      </w:r>
      <w:r w:rsidRPr="00A030EC">
        <w:rPr>
          <w:bCs/>
          <w:iCs/>
          <w:lang w:eastAsia="lt-LT"/>
        </w:rPr>
        <w:t>reikšmingų saugumo problemų ar įvykių nenustatyta.</w:t>
      </w:r>
      <w:r>
        <w:rPr>
          <w:rFonts w:eastAsia="Arial"/>
          <w:bCs/>
        </w:rPr>
        <w:t xml:space="preserve"> </w:t>
      </w:r>
      <w:r>
        <w:rPr>
          <w:bCs/>
          <w:color w:val="000000"/>
          <w:lang w:eastAsia="lt-LT"/>
        </w:rPr>
        <w:t>S</w:t>
      </w:r>
      <w:r w:rsidRPr="007F1158">
        <w:rPr>
          <w:bCs/>
          <w:color w:val="000000"/>
          <w:lang w:eastAsia="lt-LT"/>
        </w:rPr>
        <w:t xml:space="preserve">augumo duomenys atitinka žinomą pomalidomido ir deksametazono derinio saugumo profilį ir papildomas toksiškumas skiriant isatuksimabo – pomalidomido – deksametazono derinį </w:t>
      </w:r>
      <w:r>
        <w:rPr>
          <w:bCs/>
          <w:color w:val="000000"/>
          <w:lang w:eastAsia="lt-LT"/>
        </w:rPr>
        <w:t>laikytas priimtinu</w:t>
      </w:r>
      <w:r w:rsidRPr="007F1158">
        <w:rPr>
          <w:bCs/>
          <w:color w:val="000000"/>
          <w:lang w:eastAsia="lt-LT"/>
        </w:rPr>
        <w:t>.</w:t>
      </w:r>
    </w:p>
    <w:p w14:paraId="1944F233" w14:textId="0D877114" w:rsidR="00D46972" w:rsidRDefault="006D1702" w:rsidP="00182D27">
      <w:pPr>
        <w:tabs>
          <w:tab w:val="left" w:pos="426"/>
        </w:tabs>
        <w:spacing w:line="276" w:lineRule="auto"/>
        <w:jc w:val="both"/>
        <w:rPr>
          <w:bCs/>
          <w:i/>
          <w:color w:val="000000"/>
          <w:lang w:eastAsia="lt-LT"/>
        </w:rPr>
      </w:pPr>
      <w:r>
        <w:rPr>
          <w:bCs/>
          <w:color w:val="000000"/>
          <w:lang w:eastAsia="lt-LT"/>
        </w:rPr>
        <w:tab/>
      </w:r>
      <w:r w:rsidR="009658DF">
        <w:rPr>
          <w:bCs/>
          <w:color w:val="000000"/>
          <w:lang w:eastAsia="lt-LT"/>
        </w:rPr>
        <w:tab/>
      </w:r>
      <w:r w:rsidRPr="005E2359">
        <w:rPr>
          <w:bCs/>
          <w:color w:val="000000"/>
          <w:lang w:eastAsia="lt-LT"/>
        </w:rPr>
        <w:t xml:space="preserve">Apibendrinant </w:t>
      </w:r>
      <w:r w:rsidR="00D46972" w:rsidRPr="005E2359">
        <w:rPr>
          <w:bCs/>
          <w:color w:val="000000"/>
          <w:lang w:eastAsia="lt-LT"/>
        </w:rPr>
        <w:t xml:space="preserve">ICARIA-MM tyrimo rezultatus, gydymas </w:t>
      </w:r>
      <w:r w:rsidR="00D46972" w:rsidRPr="005E2359">
        <w:rPr>
          <w:rFonts w:eastAsia="Arial"/>
          <w:bCs/>
        </w:rPr>
        <w:t xml:space="preserve">pomalidomido, deksametazono ir isatuksimabo deriniu </w:t>
      </w:r>
      <w:r w:rsidR="00EA2D0B" w:rsidRPr="005E2359">
        <w:rPr>
          <w:rFonts w:eastAsia="Arial"/>
          <w:bCs/>
        </w:rPr>
        <w:t xml:space="preserve">statistiškai reikšmingai </w:t>
      </w:r>
      <w:r w:rsidR="00D46972" w:rsidRPr="005E2359">
        <w:rPr>
          <w:rFonts w:eastAsia="Arial"/>
          <w:b/>
          <w:bCs/>
        </w:rPr>
        <w:t>sumažino ligos progresavimo</w:t>
      </w:r>
      <w:r w:rsidR="00D46972" w:rsidRPr="005E2359">
        <w:rPr>
          <w:rFonts w:eastAsia="Arial"/>
          <w:bCs/>
        </w:rPr>
        <w:t xml:space="preserve"> ir </w:t>
      </w:r>
      <w:r w:rsidR="00D46972" w:rsidRPr="005E2359">
        <w:rPr>
          <w:b/>
          <w:iCs/>
        </w:rPr>
        <w:t>mirties nuo bet kokios priežasties</w:t>
      </w:r>
      <w:r w:rsidR="00D46972" w:rsidRPr="005E2359">
        <w:rPr>
          <w:iCs/>
        </w:rPr>
        <w:t xml:space="preserve"> riziką</w:t>
      </w:r>
      <w:r w:rsidR="00EA2D0B" w:rsidRPr="005E2359">
        <w:rPr>
          <w:iCs/>
        </w:rPr>
        <w:t xml:space="preserve"> ir </w:t>
      </w:r>
      <w:r w:rsidR="00EA2D0B" w:rsidRPr="005E2359">
        <w:rPr>
          <w:b/>
          <w:iCs/>
        </w:rPr>
        <w:t>p</w:t>
      </w:r>
      <w:r w:rsidR="00DF422E" w:rsidRPr="005E2359">
        <w:rPr>
          <w:b/>
          <w:iCs/>
        </w:rPr>
        <w:t>agerino</w:t>
      </w:r>
      <w:r w:rsidR="00EA2D0B" w:rsidRPr="005E2359">
        <w:rPr>
          <w:iCs/>
        </w:rPr>
        <w:t xml:space="preserve"> </w:t>
      </w:r>
      <w:r w:rsidR="00DF422E" w:rsidRPr="005E2359">
        <w:rPr>
          <w:b/>
          <w:iCs/>
        </w:rPr>
        <w:t>bendrą išgyvenamumą</w:t>
      </w:r>
      <w:r w:rsidR="006F0C22" w:rsidRPr="005E2359">
        <w:rPr>
          <w:iCs/>
        </w:rPr>
        <w:t xml:space="preserve"> (</w:t>
      </w:r>
      <w:r w:rsidR="00DF422E" w:rsidRPr="005E2359">
        <w:rPr>
          <w:iCs/>
        </w:rPr>
        <w:t xml:space="preserve">nors </w:t>
      </w:r>
      <w:r w:rsidR="006F0C22" w:rsidRPr="005E2359">
        <w:rPr>
          <w:iCs/>
        </w:rPr>
        <w:t xml:space="preserve">iš anksto užsibrėžtas </w:t>
      </w:r>
      <w:r w:rsidR="00DF422E" w:rsidRPr="005E2359">
        <w:rPr>
          <w:iCs/>
        </w:rPr>
        <w:t xml:space="preserve">pastarojo rodmens statistinis reikšmingumas dėl tyrimo statistinio plano ypatumų formaliai nebuvo pasiektas, tačiau klinikiniu požiūriu </w:t>
      </w:r>
      <w:r w:rsidR="006F0C22" w:rsidRPr="005E2359">
        <w:rPr>
          <w:iCs/>
        </w:rPr>
        <w:t>laikytinas reikšmingu)</w:t>
      </w:r>
      <w:r w:rsidR="00DF422E" w:rsidRPr="005E2359">
        <w:rPr>
          <w:iCs/>
        </w:rPr>
        <w:t xml:space="preserve">, </w:t>
      </w:r>
      <w:r w:rsidR="00D46972" w:rsidRPr="005E2359">
        <w:rPr>
          <w:iCs/>
        </w:rPr>
        <w:t>todėl daroma išvad</w:t>
      </w:r>
      <w:r w:rsidR="009658DF" w:rsidRPr="005E2359">
        <w:rPr>
          <w:iCs/>
        </w:rPr>
        <w:t>a</w:t>
      </w:r>
      <w:r w:rsidR="00D46972" w:rsidRPr="005E2359">
        <w:rPr>
          <w:iCs/>
        </w:rPr>
        <w:t>, kad gydym</w:t>
      </w:r>
      <w:r w:rsidR="009658DF" w:rsidRPr="005E2359">
        <w:rPr>
          <w:iCs/>
        </w:rPr>
        <w:t>o</w:t>
      </w:r>
      <w:r w:rsidR="00D46972" w:rsidRPr="005E2359">
        <w:rPr>
          <w:iCs/>
        </w:rPr>
        <w:t xml:space="preserve"> </w:t>
      </w:r>
      <w:r w:rsidR="009658DF" w:rsidRPr="005E2359">
        <w:t xml:space="preserve">pomalidomido – deksametazono papildymas </w:t>
      </w:r>
      <w:r w:rsidR="009658DF" w:rsidRPr="005E2359">
        <w:rPr>
          <w:bCs/>
          <w:color w:val="000000"/>
          <w:lang w:eastAsia="lt-LT"/>
        </w:rPr>
        <w:t xml:space="preserve">isatuksimabu sukuria </w:t>
      </w:r>
      <w:r w:rsidR="00D46972" w:rsidRPr="005E2359">
        <w:t>papildomos naudos pacientų sveikatai</w:t>
      </w:r>
      <w:r w:rsidR="009658DF" w:rsidRPr="005E2359">
        <w:t>.</w:t>
      </w:r>
      <w:r w:rsidR="00D46972" w:rsidRPr="000203E1">
        <w:t xml:space="preserve"> </w:t>
      </w:r>
    </w:p>
    <w:p w14:paraId="28AA8864" w14:textId="77777777" w:rsidR="00BD5568" w:rsidRDefault="00BD5568" w:rsidP="00182D27">
      <w:pPr>
        <w:tabs>
          <w:tab w:val="left" w:pos="426"/>
        </w:tabs>
        <w:spacing w:line="276" w:lineRule="auto"/>
        <w:jc w:val="both"/>
        <w:rPr>
          <w:bCs/>
          <w:i/>
          <w:color w:val="000000"/>
          <w:lang w:eastAsia="lt-LT"/>
        </w:rPr>
      </w:pPr>
    </w:p>
    <w:p w14:paraId="433C3CB6" w14:textId="583FF518" w:rsidR="008C2530" w:rsidRPr="003B3450" w:rsidRDefault="008C2530" w:rsidP="00182D27">
      <w:pPr>
        <w:tabs>
          <w:tab w:val="left" w:pos="426"/>
        </w:tabs>
        <w:spacing w:line="276" w:lineRule="auto"/>
        <w:jc w:val="both"/>
        <w:rPr>
          <w:bCs/>
          <w:i/>
          <w:color w:val="000000"/>
          <w:lang w:eastAsia="lt-LT"/>
        </w:rPr>
      </w:pPr>
      <w:r w:rsidRPr="003B3450">
        <w:rPr>
          <w:bCs/>
          <w:i/>
          <w:color w:val="000000"/>
          <w:lang w:eastAsia="lt-LT"/>
        </w:rPr>
        <w:t>Privalumai ir trūkumai</w:t>
      </w:r>
    </w:p>
    <w:p w14:paraId="78F1E19D" w14:textId="77777777" w:rsidR="008C2530" w:rsidRPr="003B3450" w:rsidRDefault="008C2530" w:rsidP="00182D27">
      <w:pPr>
        <w:tabs>
          <w:tab w:val="left" w:pos="426"/>
        </w:tabs>
        <w:spacing w:line="276" w:lineRule="auto"/>
        <w:jc w:val="both"/>
        <w:rPr>
          <w:iCs/>
        </w:rPr>
      </w:pPr>
      <w:r>
        <w:rPr>
          <w:bCs/>
          <w:color w:val="000000"/>
          <w:lang w:eastAsia="lt-LT"/>
        </w:rPr>
        <w:tab/>
      </w:r>
      <w:r w:rsidRPr="003B3450">
        <w:rPr>
          <w:bCs/>
          <w:color w:val="000000"/>
          <w:lang w:eastAsia="lt-LT"/>
        </w:rPr>
        <w:tab/>
        <w:t>Jei vaistinis preparatas būtų įrašytas į kompensavimo sąrašus, gydymo šiuo vaistiniu preparatu taikymas klinikinėje praktikoje galėtų turėti privalumų medicininėms paslaugoms ar pacientams.</w:t>
      </w:r>
    </w:p>
    <w:p w14:paraId="72693985" w14:textId="77777777" w:rsidR="008C2530" w:rsidRDefault="008C2530" w:rsidP="00182D27">
      <w:pPr>
        <w:tabs>
          <w:tab w:val="left" w:pos="426"/>
        </w:tabs>
        <w:spacing w:line="276" w:lineRule="auto"/>
        <w:jc w:val="both"/>
        <w:rPr>
          <w:bCs/>
          <w:color w:val="000000"/>
          <w:lang w:eastAsia="lt-LT"/>
        </w:rPr>
      </w:pPr>
      <w:r w:rsidRPr="003B3450">
        <w:rPr>
          <w:bCs/>
          <w:color w:val="000000"/>
          <w:lang w:eastAsia="lt-LT"/>
        </w:rPr>
        <w:tab/>
      </w:r>
      <w:r w:rsidRPr="003B3450">
        <w:rPr>
          <w:bCs/>
          <w:color w:val="000000"/>
          <w:lang w:eastAsia="lt-LT"/>
        </w:rPr>
        <w:tab/>
      </w:r>
      <w:r w:rsidRPr="003B3450">
        <w:rPr>
          <w:bCs/>
          <w:color w:val="000000"/>
          <w:u w:val="single"/>
          <w:lang w:eastAsia="lt-LT"/>
        </w:rPr>
        <w:t>Privalumai</w:t>
      </w:r>
      <w:r>
        <w:rPr>
          <w:bCs/>
          <w:color w:val="000000"/>
          <w:lang w:eastAsia="lt-LT"/>
        </w:rPr>
        <w:t xml:space="preserve">. </w:t>
      </w:r>
      <w:r w:rsidRPr="00BD5B61">
        <w:rPr>
          <w:bCs/>
          <w:color w:val="000000"/>
          <w:lang w:eastAsia="lt-LT"/>
        </w:rPr>
        <w:t>Pacientams ir medicinos paslaugoms – veiksmingas vaistas siaurai pacientų populiacijai, kuriai gydymo alternatyvos yra ribotos</w:t>
      </w:r>
      <w:r>
        <w:rPr>
          <w:bCs/>
          <w:color w:val="000000"/>
          <w:lang w:eastAsia="lt-LT"/>
        </w:rPr>
        <w:t>, ilgesnis išgyvenamumas išliekant nepakitusiai gyvenimo kokybei</w:t>
      </w:r>
      <w:r w:rsidRPr="00BD5B61">
        <w:rPr>
          <w:bCs/>
          <w:color w:val="000000"/>
          <w:lang w:eastAsia="lt-LT"/>
        </w:rPr>
        <w:t>.</w:t>
      </w:r>
    </w:p>
    <w:p w14:paraId="6B10C1BC" w14:textId="610CEE4E" w:rsidR="0072501F" w:rsidRDefault="008C2530" w:rsidP="00182D27">
      <w:pPr>
        <w:tabs>
          <w:tab w:val="left" w:pos="426"/>
        </w:tabs>
        <w:spacing w:line="276" w:lineRule="auto"/>
        <w:jc w:val="both"/>
        <w:rPr>
          <w:bCs/>
          <w:color w:val="000000"/>
          <w:lang w:eastAsia="lt-LT"/>
        </w:rPr>
      </w:pPr>
      <w:r>
        <w:rPr>
          <w:bCs/>
          <w:color w:val="000000"/>
          <w:lang w:eastAsia="lt-LT"/>
        </w:rPr>
        <w:tab/>
      </w:r>
      <w:r>
        <w:rPr>
          <w:bCs/>
          <w:color w:val="000000"/>
          <w:lang w:eastAsia="lt-LT"/>
        </w:rPr>
        <w:tab/>
      </w:r>
      <w:r>
        <w:rPr>
          <w:bCs/>
          <w:color w:val="000000"/>
          <w:u w:val="single"/>
          <w:lang w:eastAsia="lt-LT"/>
        </w:rPr>
        <w:t>Trūkumai</w:t>
      </w:r>
      <w:r>
        <w:rPr>
          <w:bCs/>
          <w:color w:val="000000"/>
          <w:lang w:eastAsia="lt-LT"/>
        </w:rPr>
        <w:t>. Pacientams ir medicinos paslaugoms – intraveninis vaisto skyrimas, reikalaujantis papildomų apsilankymų.</w:t>
      </w:r>
    </w:p>
    <w:p w14:paraId="481F118F" w14:textId="23B15BFA" w:rsidR="008C2530" w:rsidRPr="00C77597" w:rsidRDefault="00182D27" w:rsidP="00182D27">
      <w:pPr>
        <w:tabs>
          <w:tab w:val="left" w:pos="426"/>
        </w:tabs>
        <w:spacing w:line="276" w:lineRule="auto"/>
        <w:jc w:val="both"/>
        <w:rPr>
          <w:b/>
          <w:bCs/>
          <w:caps/>
        </w:rPr>
      </w:pPr>
      <w:r>
        <w:rPr>
          <w:bCs/>
          <w:color w:val="000000"/>
          <w:lang w:eastAsia="lt-LT"/>
        </w:rPr>
        <w:tab/>
      </w:r>
      <w:r>
        <w:rPr>
          <w:bCs/>
          <w:color w:val="000000"/>
          <w:lang w:eastAsia="lt-LT"/>
        </w:rPr>
        <w:tab/>
      </w:r>
      <w:bookmarkEnd w:id="0"/>
    </w:p>
    <w:p w14:paraId="24C2FB93" w14:textId="77777777" w:rsidR="00595499" w:rsidRPr="000203E1" w:rsidRDefault="00595499" w:rsidP="00182D27">
      <w:pPr>
        <w:tabs>
          <w:tab w:val="left" w:pos="426"/>
        </w:tabs>
        <w:spacing w:line="276" w:lineRule="auto"/>
        <w:jc w:val="both"/>
        <w:rPr>
          <w:b/>
          <w:bCs/>
          <w:caps/>
        </w:rPr>
      </w:pPr>
    </w:p>
    <w:p w14:paraId="7DE09EB5" w14:textId="69E9DD74" w:rsidR="00E03C3F" w:rsidRPr="000203E1" w:rsidRDefault="00CC7832" w:rsidP="00182D27">
      <w:pPr>
        <w:pStyle w:val="ListParagraph"/>
        <w:numPr>
          <w:ilvl w:val="0"/>
          <w:numId w:val="12"/>
        </w:numPr>
        <w:tabs>
          <w:tab w:val="left" w:pos="567"/>
        </w:tabs>
        <w:spacing w:line="276" w:lineRule="auto"/>
        <w:ind w:hanging="720"/>
        <w:rPr>
          <w:b/>
          <w:bCs/>
          <w:caps/>
        </w:rPr>
      </w:pPr>
      <w:r w:rsidRPr="000203E1">
        <w:rPr>
          <w:b/>
          <w:bCs/>
          <w:caps/>
        </w:rPr>
        <w:t xml:space="preserve">ekonominio vertinimo </w:t>
      </w:r>
      <w:r w:rsidR="002F0E4F" w:rsidRPr="000203E1">
        <w:rPr>
          <w:b/>
          <w:bCs/>
          <w:caps/>
        </w:rPr>
        <w:t>apibendrinimas</w:t>
      </w:r>
    </w:p>
    <w:p w14:paraId="779ED506" w14:textId="77777777" w:rsidR="00EE1FA9" w:rsidRDefault="00EE1FA9" w:rsidP="00595499">
      <w:pPr>
        <w:shd w:val="clear" w:color="auto" w:fill="FFFFFF"/>
        <w:spacing w:line="276" w:lineRule="auto"/>
        <w:jc w:val="both"/>
        <w:rPr>
          <w:iCs/>
          <w:lang w:eastAsia="lt-LT"/>
        </w:rPr>
      </w:pPr>
    </w:p>
    <w:p w14:paraId="42ECCBE3" w14:textId="6E950E29" w:rsidR="00D5160D" w:rsidRPr="00291357" w:rsidRDefault="00D92FA8" w:rsidP="00C77597">
      <w:pPr>
        <w:widowControl w:val="0"/>
        <w:spacing w:line="276" w:lineRule="auto"/>
        <w:ind w:firstLine="720"/>
        <w:jc w:val="both"/>
      </w:pPr>
      <w:r w:rsidRPr="00291357">
        <w:rPr>
          <w:iCs/>
        </w:rPr>
        <w:t>Vertinimui pateikta kaštų naudingumo analizė, kurioje nagrinėjamas vaistinio preparato Isatuksimabo (Sarclisa) kaštų naudingumas</w:t>
      </w:r>
      <w:r w:rsidR="00414CCB">
        <w:rPr>
          <w:iCs/>
        </w:rPr>
        <w:t xml:space="preserve"> pacientams</w:t>
      </w:r>
      <w:r w:rsidR="002F27F7">
        <w:rPr>
          <w:iCs/>
        </w:rPr>
        <w:t xml:space="preserve">, </w:t>
      </w:r>
      <w:r w:rsidR="002F27F7">
        <w:rPr>
          <w:bCs/>
          <w:lang w:eastAsia="lt-LT"/>
        </w:rPr>
        <w:t xml:space="preserve">sergantiems recidyvuojančia ir refrakterine daugine mieloma, </w:t>
      </w:r>
      <w:r w:rsidR="002F27F7" w:rsidRPr="003C2863">
        <w:rPr>
          <w:lang w:eastAsia="lt-LT"/>
        </w:rPr>
        <w:t>kurie anksčiau buvo gyd</w:t>
      </w:r>
      <w:r w:rsidR="002F27F7">
        <w:rPr>
          <w:lang w:eastAsia="lt-LT"/>
        </w:rPr>
        <w:t>yti</w:t>
      </w:r>
      <w:r w:rsidR="002F27F7" w:rsidRPr="003C2863">
        <w:rPr>
          <w:lang w:eastAsia="lt-LT"/>
        </w:rPr>
        <w:t xml:space="preserve"> dviem ar daugiau gydymo būdų, įskaitant lenalidomidą ir proteasomos inhibitori</w:t>
      </w:r>
      <w:r w:rsidR="002F27F7">
        <w:rPr>
          <w:lang w:eastAsia="lt-LT"/>
        </w:rPr>
        <w:t>ų</w:t>
      </w:r>
      <w:r w:rsidR="002F27F7" w:rsidRPr="003C2863">
        <w:rPr>
          <w:lang w:eastAsia="lt-LT"/>
        </w:rPr>
        <w:t xml:space="preserve"> </w:t>
      </w:r>
      <w:r w:rsidR="002F27F7">
        <w:rPr>
          <w:lang w:eastAsia="lt-LT"/>
        </w:rPr>
        <w:t>(</w:t>
      </w:r>
      <w:r w:rsidR="002F27F7" w:rsidRPr="003C2863">
        <w:rPr>
          <w:lang w:eastAsia="lt-LT"/>
        </w:rPr>
        <w:t>PI</w:t>
      </w:r>
      <w:r w:rsidR="002F27F7">
        <w:rPr>
          <w:lang w:eastAsia="lt-LT"/>
        </w:rPr>
        <w:t>)</w:t>
      </w:r>
      <w:r w:rsidRPr="00291357">
        <w:rPr>
          <w:iCs/>
        </w:rPr>
        <w:t>. Analizėje lyginamos  Isatuksimab</w:t>
      </w:r>
      <w:r w:rsidR="00D5160D" w:rsidRPr="00291357">
        <w:rPr>
          <w:iCs/>
        </w:rPr>
        <w:t>o</w:t>
      </w:r>
      <w:r w:rsidRPr="00291357">
        <w:rPr>
          <w:iCs/>
        </w:rPr>
        <w:t xml:space="preserve"> </w:t>
      </w:r>
      <w:r w:rsidRPr="00291357">
        <w:rPr>
          <w:bCs/>
          <w:szCs w:val="22"/>
        </w:rPr>
        <w:t>+ pomalidomid</w:t>
      </w:r>
      <w:r w:rsidR="00D5160D" w:rsidRPr="00291357">
        <w:rPr>
          <w:bCs/>
          <w:szCs w:val="22"/>
        </w:rPr>
        <w:t>o</w:t>
      </w:r>
      <w:r w:rsidRPr="00291357">
        <w:rPr>
          <w:bCs/>
          <w:szCs w:val="22"/>
        </w:rPr>
        <w:t xml:space="preserve"> + deksametazon</w:t>
      </w:r>
      <w:r w:rsidR="00D5160D" w:rsidRPr="00291357">
        <w:rPr>
          <w:bCs/>
          <w:szCs w:val="22"/>
        </w:rPr>
        <w:t>o (IsaPd)</w:t>
      </w:r>
      <w:r w:rsidRPr="00291357">
        <w:rPr>
          <w:bCs/>
          <w:szCs w:val="22"/>
        </w:rPr>
        <w:t xml:space="preserve"> </w:t>
      </w:r>
      <w:r w:rsidR="00D5160D" w:rsidRPr="00291357">
        <w:rPr>
          <w:bCs/>
          <w:szCs w:val="22"/>
        </w:rPr>
        <w:t>ir</w:t>
      </w:r>
      <w:r w:rsidRPr="00291357">
        <w:rPr>
          <w:bCs/>
          <w:szCs w:val="22"/>
        </w:rPr>
        <w:t xml:space="preserve"> pomalidomid</w:t>
      </w:r>
      <w:r w:rsidR="00D5160D" w:rsidRPr="00291357">
        <w:rPr>
          <w:bCs/>
          <w:szCs w:val="22"/>
        </w:rPr>
        <w:t>o</w:t>
      </w:r>
      <w:r w:rsidRPr="00291357">
        <w:rPr>
          <w:bCs/>
          <w:szCs w:val="22"/>
        </w:rPr>
        <w:t xml:space="preserve"> + deksametazon</w:t>
      </w:r>
      <w:r w:rsidR="00D5160D" w:rsidRPr="00291357">
        <w:rPr>
          <w:bCs/>
          <w:szCs w:val="22"/>
        </w:rPr>
        <w:t xml:space="preserve">o grupės. </w:t>
      </w:r>
      <w:r w:rsidR="00D5160D" w:rsidRPr="00291357">
        <w:t>Analizė atliekama iš PSDF biudžeto mokėtojo perspektyvos, tai atitinka teisės aktų nurodymus.</w:t>
      </w:r>
      <w:r w:rsidR="00781115">
        <w:t xml:space="preserve"> </w:t>
      </w:r>
      <w:r w:rsidR="00781115">
        <w:rPr>
          <w:iCs/>
          <w:lang w:eastAsia="lt-LT"/>
        </w:rPr>
        <w:t>Taikoma 15 m. gyvenimo laiko perspektyva, kuri yra artima viso gyvenimo laiko perspektyvai.</w:t>
      </w:r>
    </w:p>
    <w:p w14:paraId="6BD92798" w14:textId="49D989E4" w:rsidR="00D5160D" w:rsidRPr="00291357" w:rsidRDefault="00D5160D" w:rsidP="00C77597">
      <w:pPr>
        <w:widowControl w:val="0"/>
        <w:spacing w:line="276" w:lineRule="auto"/>
        <w:ind w:firstLine="720"/>
        <w:jc w:val="both"/>
      </w:pPr>
      <w:r w:rsidRPr="00291357">
        <w:t>Tarny</w:t>
      </w:r>
      <w:r w:rsidR="00414CCB">
        <w:t>ba pateikia analizės rezultatą.</w:t>
      </w:r>
    </w:p>
    <w:p w14:paraId="730CAE45" w14:textId="27AC7CD7" w:rsidR="00291357" w:rsidRDefault="00291357" w:rsidP="00C77597">
      <w:pPr>
        <w:widowControl w:val="0"/>
        <w:spacing w:line="276" w:lineRule="auto"/>
        <w:ind w:firstLine="720"/>
        <w:jc w:val="both"/>
        <w:rPr>
          <w:iCs/>
          <w:lang w:eastAsia="lt-LT"/>
        </w:rPr>
      </w:pPr>
      <w:r>
        <w:t>Atsižvelgian</w:t>
      </w:r>
      <w:r w:rsidR="00964C42">
        <w:t>t</w:t>
      </w:r>
      <w:r w:rsidR="00414CCB">
        <w:t xml:space="preserve"> į tai, kad nėra aiškios </w:t>
      </w:r>
      <w:r w:rsidR="00964C42">
        <w:t>informacijos, kad Lietuvoje būtų atsiradę ar netrukus atsiras vaistinio preparato pomalidomido generiniai analogai, kuriems bus taikoma ne mažesnė nei 40% nuolaida,</w:t>
      </w:r>
      <w:r>
        <w:t xml:space="preserve"> Tarnyba </w:t>
      </w:r>
      <w:r w:rsidR="00964C42">
        <w:t>a</w:t>
      </w:r>
      <w:r w:rsidR="00964C42" w:rsidRPr="00291357">
        <w:t xml:space="preserve">nalizėje </w:t>
      </w:r>
      <w:r w:rsidR="00D5160D" w:rsidRPr="00291357">
        <w:t xml:space="preserve">netaiko </w:t>
      </w:r>
      <w:r w:rsidR="00964C42">
        <w:t>šios</w:t>
      </w:r>
      <w:r>
        <w:t xml:space="preserve"> nuolaidos</w:t>
      </w:r>
      <w:r w:rsidR="00D5160D" w:rsidRPr="00291357">
        <w:t xml:space="preserve"> </w:t>
      </w:r>
      <w:r>
        <w:t xml:space="preserve">pamalidomidui. </w:t>
      </w:r>
      <w:r w:rsidR="00D5160D" w:rsidRPr="00291357">
        <w:t xml:space="preserve"> </w:t>
      </w:r>
      <w:r>
        <w:t>P</w:t>
      </w:r>
      <w:r w:rsidR="00D5160D" w:rsidRPr="00291357">
        <w:t>areiškėjas dar</w:t>
      </w:r>
      <w:r>
        <w:t>ė</w:t>
      </w:r>
      <w:r w:rsidR="00D5160D" w:rsidRPr="00291357">
        <w:t xml:space="preserve"> prielaidą, kad artimiausiu metu atsira</w:t>
      </w:r>
      <w:r w:rsidR="00964C42">
        <w:t>dę</w:t>
      </w:r>
      <w:r w:rsidR="00D5160D" w:rsidRPr="00291357">
        <w:t xml:space="preserve"> vaistinio preparato pamalidomido generiniai analogai</w:t>
      </w:r>
      <w:r w:rsidR="00964C42">
        <w:t xml:space="preserve"> leis sumažinti pomalidomido kainą, nes</w:t>
      </w:r>
      <w:r w:rsidR="00964C42">
        <w:rPr>
          <w:iCs/>
          <w:lang w:eastAsia="lt-LT"/>
        </w:rPr>
        <w:t xml:space="preserve"> </w:t>
      </w:r>
      <w:r w:rsidR="00964C42" w:rsidRPr="00972DC0">
        <w:rPr>
          <w:iCs/>
          <w:lang w:eastAsia="lt-LT"/>
        </w:rPr>
        <w:t>40% nuolaida nuo originalaus vaisto bazinės kainos yra įprasta kainyne atsiradus generiniams analogams</w:t>
      </w:r>
      <w:r w:rsidR="00964C42">
        <w:rPr>
          <w:iCs/>
          <w:lang w:eastAsia="lt-LT"/>
        </w:rPr>
        <w:t>.</w:t>
      </w:r>
    </w:p>
    <w:p w14:paraId="51B503D7" w14:textId="5E1E0987" w:rsidR="00781115" w:rsidRDefault="0077310D" w:rsidP="00C77597">
      <w:pPr>
        <w:widowControl w:val="0"/>
        <w:spacing w:line="276" w:lineRule="auto"/>
        <w:ind w:firstLine="720"/>
        <w:jc w:val="both"/>
        <w:rPr>
          <w:iCs/>
          <w:lang w:eastAsia="lt-LT"/>
        </w:rPr>
      </w:pPr>
      <w:r>
        <w:rPr>
          <w:iCs/>
          <w:lang w:eastAsia="lt-LT"/>
        </w:rPr>
        <w:t xml:space="preserve">Pareiškėjas vaistinio preparato daratumumabo didmeninę kainą įvertino, iš deklaruotos kainos Lietuvoje, skelbtos Sveikatos apsaugos ministerijos tinklapyje. </w:t>
      </w:r>
      <w:r w:rsidR="00D759C2">
        <w:rPr>
          <w:iCs/>
          <w:lang w:eastAsia="lt-LT"/>
        </w:rPr>
        <w:t xml:space="preserve">Tarnyba, atlikdama skaičiavimus </w:t>
      </w:r>
      <w:r w:rsidR="00D759C2">
        <w:rPr>
          <w:iCs/>
          <w:lang w:eastAsia="lt-LT"/>
        </w:rPr>
        <w:lastRenderedPageBreak/>
        <w:t>naudoja v</w:t>
      </w:r>
      <w:r w:rsidR="00781115">
        <w:rPr>
          <w:iCs/>
          <w:lang w:eastAsia="lt-LT"/>
        </w:rPr>
        <w:t>aistinio preparato daratumumabo</w:t>
      </w:r>
      <w:r w:rsidR="00781115" w:rsidRPr="005144A0">
        <w:rPr>
          <w:iCs/>
        </w:rPr>
        <w:t>, 20 mg/ml, koncentrato infuzinam tirpalui, leisti į veną 20</w:t>
      </w:r>
      <w:r>
        <w:rPr>
          <w:iCs/>
        </w:rPr>
        <w:t> </w:t>
      </w:r>
      <w:r w:rsidR="00781115" w:rsidRPr="005144A0">
        <w:rPr>
          <w:iCs/>
        </w:rPr>
        <w:t xml:space="preserve">ml </w:t>
      </w:r>
      <w:r w:rsidR="00D759C2">
        <w:rPr>
          <w:iCs/>
        </w:rPr>
        <w:t>kainą</w:t>
      </w:r>
      <w:r w:rsidR="00781115" w:rsidRPr="005144A0">
        <w:rPr>
          <w:iCs/>
        </w:rPr>
        <w:t xml:space="preserve"> </w:t>
      </w:r>
      <w:r w:rsidR="00AD2424">
        <w:rPr>
          <w:iCs/>
        </w:rPr>
        <w:t xml:space="preserve">******* </w:t>
      </w:r>
      <w:r w:rsidR="00781115" w:rsidRPr="005144A0">
        <w:rPr>
          <w:iCs/>
        </w:rPr>
        <w:t>eur</w:t>
      </w:r>
      <w:r w:rsidR="00D759C2">
        <w:t xml:space="preserve">, kuri </w:t>
      </w:r>
      <w:r w:rsidR="00414CCB">
        <w:t>yra viešai prieinama ir skelbiama</w:t>
      </w:r>
      <w:r w:rsidR="00D759C2">
        <w:t xml:space="preserve"> centriniame viešųjų pirkimų portale.</w:t>
      </w:r>
    </w:p>
    <w:p w14:paraId="0C82B7C8" w14:textId="52783C49" w:rsidR="00964C42" w:rsidRDefault="00180177" w:rsidP="00C77597">
      <w:pPr>
        <w:widowControl w:val="0"/>
        <w:spacing w:line="276" w:lineRule="auto"/>
        <w:ind w:firstLine="720"/>
        <w:jc w:val="both"/>
        <w:rPr>
          <w:iCs/>
        </w:rPr>
      </w:pPr>
      <w:r>
        <w:rPr>
          <w:iCs/>
          <w:lang w:eastAsia="lt-LT"/>
        </w:rPr>
        <w:t xml:space="preserve">Atliekant poveikio sveikatai vertinimą, pareiškėjas sveikatos būklių naudingumo vertes apskaičiavo naudojant apibendrintas tiesinės regresijos lygtis (GEE), naudojant ICARIA-MM tyrimo metu surinktus duomenis. </w:t>
      </w:r>
      <w:r w:rsidR="00BC6CAA">
        <w:rPr>
          <w:iCs/>
        </w:rPr>
        <w:t>S</w:t>
      </w:r>
      <w:r w:rsidR="00BC6CAA" w:rsidRPr="00CF4F6B">
        <w:rPr>
          <w:iCs/>
        </w:rPr>
        <w:t xml:space="preserve">veikatos būklėje be ligos progroresavimo </w:t>
      </w:r>
      <w:r w:rsidR="00BC6CAA">
        <w:rPr>
          <w:iCs/>
        </w:rPr>
        <w:t xml:space="preserve">(PFS) </w:t>
      </w:r>
      <w:r w:rsidR="00BC6CAA" w:rsidRPr="00CF4F6B">
        <w:rPr>
          <w:iCs/>
        </w:rPr>
        <w:t xml:space="preserve">vartojant IsaPd arba Pd </w:t>
      </w:r>
      <w:r w:rsidR="00BC6CAA">
        <w:rPr>
          <w:iCs/>
        </w:rPr>
        <w:t xml:space="preserve">vaistinių preparatų derinius, gauti </w:t>
      </w:r>
      <w:r w:rsidR="00BC6CAA" w:rsidRPr="00CF4F6B">
        <w:rPr>
          <w:iCs/>
        </w:rPr>
        <w:t xml:space="preserve">sveikatos būklės įverčiai </w:t>
      </w:r>
      <w:r w:rsidR="00BC6CAA">
        <w:rPr>
          <w:iCs/>
        </w:rPr>
        <w:t>buvo</w:t>
      </w:r>
      <w:r w:rsidR="00BC6CAA" w:rsidRPr="00CF4F6B">
        <w:rPr>
          <w:iCs/>
        </w:rPr>
        <w:t xml:space="preserve"> didesni, nei vaistų nevartojant (PFS </w:t>
      </w:r>
      <w:r w:rsidR="00BC6CAA" w:rsidRPr="00CF4F6B">
        <w:rPr>
          <w:i/>
          <w:iCs/>
        </w:rPr>
        <w:t>Off Treatment</w:t>
      </w:r>
      <w:r w:rsidR="00BC6CAA" w:rsidRPr="00CF4F6B">
        <w:rPr>
          <w:iCs/>
        </w:rPr>
        <w:t>)</w:t>
      </w:r>
      <w:r w:rsidR="00BC6CAA">
        <w:rPr>
          <w:iCs/>
        </w:rPr>
        <w:t xml:space="preserve"> toje pačioje sveikatos būklėje. S</w:t>
      </w:r>
      <w:r w:rsidR="00BC6CAA" w:rsidRPr="00CF4F6B">
        <w:rPr>
          <w:iCs/>
        </w:rPr>
        <w:t>veikatos būklėje po ligos progresavimo (</w:t>
      </w:r>
      <w:r w:rsidR="00BC6CAA" w:rsidRPr="00CF4F6B">
        <w:rPr>
          <w:i/>
          <w:iCs/>
        </w:rPr>
        <w:t>PPS Off Treatment</w:t>
      </w:r>
      <w:r w:rsidR="00BC6CAA" w:rsidRPr="00CF4F6B">
        <w:rPr>
          <w:iCs/>
        </w:rPr>
        <w:t xml:space="preserve">) gyvenimo kokybės įverčiai </w:t>
      </w:r>
      <w:r w:rsidR="00BC6CAA">
        <w:rPr>
          <w:iCs/>
        </w:rPr>
        <w:t>buvo taip pat</w:t>
      </w:r>
      <w:r w:rsidR="00BC6CAA" w:rsidRPr="00CF4F6B">
        <w:rPr>
          <w:iCs/>
        </w:rPr>
        <w:t xml:space="preserve"> didesni nei sveikatos būklėje be ligos progresavimo (</w:t>
      </w:r>
      <w:r w:rsidR="00BC6CAA" w:rsidRPr="00CF4F6B">
        <w:rPr>
          <w:i/>
          <w:iCs/>
        </w:rPr>
        <w:t>PFS Off Treatment</w:t>
      </w:r>
      <w:r w:rsidR="00BC6CAA" w:rsidRPr="00CF4F6B">
        <w:rPr>
          <w:iCs/>
        </w:rPr>
        <w:t>).</w:t>
      </w:r>
      <w:r w:rsidR="00BC6CAA">
        <w:rPr>
          <w:iCs/>
        </w:rPr>
        <w:t xml:space="preserve"> Atsižvelgiant į šiuos neatitikimus</w:t>
      </w:r>
      <w:r w:rsidR="00596575">
        <w:rPr>
          <w:iCs/>
        </w:rPr>
        <w:t xml:space="preserve"> Tarnyba suvienodino sveikatos įverčius be ligos progresavimo vartojant </w:t>
      </w:r>
      <w:r w:rsidR="00952588">
        <w:rPr>
          <w:iCs/>
        </w:rPr>
        <w:t>(</w:t>
      </w:r>
      <w:r w:rsidR="00952588" w:rsidRPr="00952588">
        <w:rPr>
          <w:i/>
          <w:iCs/>
        </w:rPr>
        <w:t>PFS</w:t>
      </w:r>
      <w:r w:rsidR="00952588" w:rsidRPr="00CF4F6B">
        <w:rPr>
          <w:iCs/>
        </w:rPr>
        <w:t xml:space="preserve"> </w:t>
      </w:r>
      <w:r w:rsidR="00952588">
        <w:rPr>
          <w:i/>
          <w:iCs/>
        </w:rPr>
        <w:t>On</w:t>
      </w:r>
      <w:r w:rsidR="00952588" w:rsidRPr="00CF4F6B">
        <w:rPr>
          <w:i/>
          <w:iCs/>
        </w:rPr>
        <w:t xml:space="preserve"> Treatment</w:t>
      </w:r>
      <w:r w:rsidR="00952588" w:rsidRPr="00CF4F6B">
        <w:rPr>
          <w:iCs/>
        </w:rPr>
        <w:t>)</w:t>
      </w:r>
      <w:r w:rsidR="00952588">
        <w:rPr>
          <w:iCs/>
        </w:rPr>
        <w:t xml:space="preserve"> </w:t>
      </w:r>
      <w:r w:rsidR="00596575">
        <w:rPr>
          <w:iCs/>
        </w:rPr>
        <w:t>ir nevartojant</w:t>
      </w:r>
      <w:r w:rsidR="0077310D">
        <w:rPr>
          <w:iCs/>
        </w:rPr>
        <w:t xml:space="preserve"> </w:t>
      </w:r>
      <w:r w:rsidR="00952588">
        <w:rPr>
          <w:iCs/>
        </w:rPr>
        <w:t xml:space="preserve">vaistų </w:t>
      </w:r>
      <w:r w:rsidR="00952588" w:rsidRPr="00CF4F6B">
        <w:rPr>
          <w:iCs/>
        </w:rPr>
        <w:t xml:space="preserve">(PFS </w:t>
      </w:r>
      <w:r w:rsidR="00952588" w:rsidRPr="00CF4F6B">
        <w:rPr>
          <w:i/>
          <w:iCs/>
        </w:rPr>
        <w:t>Off Treatment</w:t>
      </w:r>
      <w:r w:rsidR="00952588" w:rsidRPr="00CF4F6B">
        <w:rPr>
          <w:iCs/>
        </w:rPr>
        <w:t>)</w:t>
      </w:r>
      <w:r w:rsidR="00596575">
        <w:rPr>
          <w:iCs/>
        </w:rPr>
        <w:t xml:space="preserve">. Įverčių sulyginimas buvo atliktas atskirai IsaPd </w:t>
      </w:r>
      <w:r w:rsidR="00952588">
        <w:rPr>
          <w:iCs/>
        </w:rPr>
        <w:t>(vertė prilyginta</w:t>
      </w:r>
      <w:r w:rsidR="00AD2424">
        <w:rPr>
          <w:iCs/>
        </w:rPr>
        <w:t xml:space="preserve"> ****</w:t>
      </w:r>
      <w:r w:rsidR="00952588">
        <w:rPr>
          <w:iCs/>
        </w:rPr>
        <w:t xml:space="preserve">) </w:t>
      </w:r>
      <w:r w:rsidR="00596575">
        <w:rPr>
          <w:iCs/>
        </w:rPr>
        <w:t xml:space="preserve">ir Pd </w:t>
      </w:r>
      <w:r w:rsidR="00952588">
        <w:rPr>
          <w:iCs/>
        </w:rPr>
        <w:t xml:space="preserve">(vertė prilyginta </w:t>
      </w:r>
      <w:r w:rsidR="00AD2424">
        <w:rPr>
          <w:iCs/>
        </w:rPr>
        <w:t>****</w:t>
      </w:r>
      <w:r w:rsidR="00952588">
        <w:rPr>
          <w:iCs/>
        </w:rPr>
        <w:t xml:space="preserve">) </w:t>
      </w:r>
      <w:r w:rsidR="00596575">
        <w:rPr>
          <w:iCs/>
        </w:rPr>
        <w:t>grupėms.</w:t>
      </w:r>
    </w:p>
    <w:p w14:paraId="2F8DA9D6" w14:textId="0D191FA3" w:rsidR="00596575" w:rsidRPr="00596575" w:rsidRDefault="00596575" w:rsidP="00C77597">
      <w:pPr>
        <w:widowControl w:val="0"/>
        <w:spacing w:line="276" w:lineRule="auto"/>
        <w:ind w:firstLine="720"/>
        <w:jc w:val="both"/>
        <w:rPr>
          <w:iCs/>
        </w:rPr>
      </w:pPr>
      <w:r w:rsidRPr="00596575">
        <w:rPr>
          <w:iCs/>
        </w:rPr>
        <w:t xml:space="preserve">Remiantis Tarnybos atliktu analizės rezultato perskaičiavimu, inkrementinis kaštų naudingumo koeficientas viršija referencinę kaštų naudingumo vertę ir </w:t>
      </w:r>
      <w:r>
        <w:rPr>
          <w:iCs/>
        </w:rPr>
        <w:t>isatuksimabas</w:t>
      </w:r>
      <w:r w:rsidRPr="00596575">
        <w:rPr>
          <w:iCs/>
        </w:rPr>
        <w:t xml:space="preserve"> nėra laikomas kaštams naudingu.</w:t>
      </w:r>
    </w:p>
    <w:p w14:paraId="1A900598" w14:textId="4826E5DF" w:rsidR="00C62B36" w:rsidRPr="00164D64" w:rsidRDefault="00C62B36" w:rsidP="00C77597">
      <w:pPr>
        <w:tabs>
          <w:tab w:val="left" w:pos="426"/>
        </w:tabs>
        <w:spacing w:line="276" w:lineRule="auto"/>
        <w:rPr>
          <w:b/>
          <w:bCs/>
          <w:caps/>
        </w:rPr>
      </w:pPr>
    </w:p>
    <w:p w14:paraId="174D84D7" w14:textId="09C7BC2B" w:rsidR="0035172D" w:rsidRPr="000203E1" w:rsidRDefault="00164D64" w:rsidP="00C77597">
      <w:pPr>
        <w:tabs>
          <w:tab w:val="left" w:pos="426"/>
        </w:tabs>
        <w:spacing w:line="276" w:lineRule="auto"/>
        <w:rPr>
          <w:b/>
          <w:lang w:eastAsia="lt-LT"/>
        </w:rPr>
      </w:pPr>
      <w:r>
        <w:rPr>
          <w:b/>
          <w:lang w:eastAsia="lt-LT"/>
        </w:rPr>
        <w:t xml:space="preserve">3.1 </w:t>
      </w:r>
      <w:r w:rsidR="0035172D" w:rsidRPr="000203E1">
        <w:rPr>
          <w:b/>
          <w:lang w:eastAsia="lt-LT"/>
        </w:rPr>
        <w:t>Ekonominės analizės rezultatas</w:t>
      </w:r>
    </w:p>
    <w:p w14:paraId="4801D227" w14:textId="77777777" w:rsidR="009E44AE" w:rsidRPr="000203E1" w:rsidRDefault="009E44AE" w:rsidP="00C77597">
      <w:pPr>
        <w:tabs>
          <w:tab w:val="left" w:pos="426"/>
        </w:tabs>
        <w:spacing w:line="276" w:lineRule="auto"/>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203E1" w:rsidRPr="000203E1"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0203E1" w:rsidRDefault="009E44AE" w:rsidP="00C77597">
            <w:pPr>
              <w:tabs>
                <w:tab w:val="left" w:pos="567"/>
              </w:tabs>
              <w:spacing w:line="276" w:lineRule="auto"/>
              <w:jc w:val="center"/>
              <w:rPr>
                <w:b/>
                <w:bCs/>
                <w:sz w:val="26"/>
                <w:szCs w:val="26"/>
                <w:lang w:eastAsia="lt-LT"/>
              </w:rPr>
            </w:pPr>
            <w:r w:rsidRPr="000203E1">
              <w:rPr>
                <w:b/>
                <w:bCs/>
                <w:sz w:val="26"/>
                <w:szCs w:val="26"/>
                <w:lang w:eastAsia="lt-LT"/>
              </w:rPr>
              <w:t>Rezultatai</w:t>
            </w:r>
          </w:p>
        </w:tc>
      </w:tr>
      <w:tr w:rsidR="000203E1" w:rsidRPr="000203E1" w14:paraId="319AF392" w14:textId="77777777" w:rsidTr="00BE7489">
        <w:trPr>
          <w:trHeight w:val="267"/>
          <w:jc w:val="center"/>
        </w:trPr>
        <w:tc>
          <w:tcPr>
            <w:tcW w:w="6200" w:type="dxa"/>
            <w:tcBorders>
              <w:left w:val="single" w:sz="4" w:space="0" w:color="auto"/>
            </w:tcBorders>
          </w:tcPr>
          <w:p w14:paraId="44CD8D27" w14:textId="27245A0B" w:rsidR="00BA5DBC" w:rsidRPr="000203E1" w:rsidRDefault="00BA5DBC" w:rsidP="00C77597">
            <w:pPr>
              <w:tabs>
                <w:tab w:val="left" w:pos="567"/>
              </w:tabs>
              <w:spacing w:line="276" w:lineRule="auto"/>
              <w:jc w:val="right"/>
              <w:rPr>
                <w:iCs/>
                <w:lang w:eastAsia="lt-LT"/>
              </w:rPr>
            </w:pPr>
            <w:r w:rsidRPr="000203E1">
              <w:rPr>
                <w:iCs/>
                <w:lang w:eastAsia="lt-LT"/>
              </w:rPr>
              <w:t>Kaštų skirtumas</w:t>
            </w:r>
          </w:p>
        </w:tc>
        <w:tc>
          <w:tcPr>
            <w:tcW w:w="3238" w:type="dxa"/>
            <w:tcBorders>
              <w:right w:val="single" w:sz="4" w:space="0" w:color="auto"/>
            </w:tcBorders>
          </w:tcPr>
          <w:p w14:paraId="1CACF0B4" w14:textId="31F0FA7A" w:rsidR="00BA5DBC" w:rsidRPr="002F27F7" w:rsidRDefault="00AD2424" w:rsidP="00C77597">
            <w:pPr>
              <w:tabs>
                <w:tab w:val="left" w:pos="567"/>
              </w:tabs>
              <w:spacing w:line="276" w:lineRule="auto"/>
              <w:jc w:val="both"/>
              <w:rPr>
                <w:iCs/>
                <w:lang w:eastAsia="lt-LT"/>
              </w:rPr>
            </w:pPr>
            <w:r>
              <w:rPr>
                <w:iCs/>
                <w:lang w:eastAsia="lt-LT"/>
              </w:rPr>
              <w:t>****</w:t>
            </w:r>
          </w:p>
        </w:tc>
      </w:tr>
      <w:tr w:rsidR="000203E1" w:rsidRPr="000203E1" w14:paraId="49F818A3" w14:textId="77777777" w:rsidTr="00BE7489">
        <w:trPr>
          <w:trHeight w:val="267"/>
          <w:jc w:val="center"/>
        </w:trPr>
        <w:tc>
          <w:tcPr>
            <w:tcW w:w="6200" w:type="dxa"/>
            <w:tcBorders>
              <w:left w:val="single" w:sz="4" w:space="0" w:color="auto"/>
            </w:tcBorders>
          </w:tcPr>
          <w:p w14:paraId="021DB925" w14:textId="389F1BF5" w:rsidR="00BA5DBC" w:rsidRPr="000203E1" w:rsidRDefault="00BA5DBC" w:rsidP="00C77597">
            <w:pPr>
              <w:tabs>
                <w:tab w:val="left" w:pos="567"/>
              </w:tabs>
              <w:spacing w:line="276" w:lineRule="auto"/>
              <w:jc w:val="right"/>
              <w:rPr>
                <w:iCs/>
                <w:lang w:eastAsia="lt-LT"/>
              </w:rPr>
            </w:pPr>
            <w:r w:rsidRPr="000203E1">
              <w:rPr>
                <w:iCs/>
                <w:lang w:eastAsia="lt-LT"/>
              </w:rPr>
              <w:t>Papildomi gyvenimo metai (LY)</w:t>
            </w:r>
          </w:p>
        </w:tc>
        <w:tc>
          <w:tcPr>
            <w:tcW w:w="3238" w:type="dxa"/>
            <w:tcBorders>
              <w:right w:val="single" w:sz="4" w:space="0" w:color="auto"/>
            </w:tcBorders>
          </w:tcPr>
          <w:p w14:paraId="4954817B" w14:textId="3D6BBE23" w:rsidR="00BA5DBC" w:rsidRPr="002F27F7" w:rsidRDefault="00AD2424" w:rsidP="00C77597">
            <w:pPr>
              <w:tabs>
                <w:tab w:val="left" w:pos="567"/>
              </w:tabs>
              <w:spacing w:line="276" w:lineRule="auto"/>
              <w:jc w:val="both"/>
              <w:rPr>
                <w:iCs/>
                <w:lang w:eastAsia="lt-LT"/>
              </w:rPr>
            </w:pPr>
            <w:r>
              <w:rPr>
                <w:iCs/>
                <w:lang w:eastAsia="lt-LT"/>
              </w:rPr>
              <w:t>****</w:t>
            </w:r>
          </w:p>
        </w:tc>
      </w:tr>
      <w:tr w:rsidR="000203E1" w:rsidRPr="000203E1" w14:paraId="20ADA742" w14:textId="77777777" w:rsidTr="00BE7489">
        <w:trPr>
          <w:trHeight w:val="267"/>
          <w:jc w:val="center"/>
        </w:trPr>
        <w:tc>
          <w:tcPr>
            <w:tcW w:w="6200" w:type="dxa"/>
            <w:tcBorders>
              <w:left w:val="single" w:sz="4" w:space="0" w:color="auto"/>
            </w:tcBorders>
          </w:tcPr>
          <w:p w14:paraId="0F567576" w14:textId="2606A2E9" w:rsidR="00BA5DBC" w:rsidRPr="000203E1" w:rsidRDefault="0058712F" w:rsidP="00C77597">
            <w:pPr>
              <w:tabs>
                <w:tab w:val="left" w:pos="567"/>
              </w:tabs>
              <w:spacing w:line="276" w:lineRule="auto"/>
              <w:jc w:val="right"/>
              <w:rPr>
                <w:iCs/>
                <w:lang w:eastAsia="lt-LT"/>
              </w:rPr>
            </w:pPr>
            <w:r w:rsidRPr="000203E1">
              <w:rPr>
                <w:iCs/>
                <w:lang w:eastAsia="lt-LT"/>
              </w:rPr>
              <w:t>Papildomi k</w:t>
            </w:r>
            <w:r w:rsidR="00BA5DBC" w:rsidRPr="000203E1">
              <w:rPr>
                <w:iCs/>
                <w:lang w:eastAsia="lt-LT"/>
              </w:rPr>
              <w:t>okybiški gyvenimo metai (QALY)</w:t>
            </w:r>
          </w:p>
        </w:tc>
        <w:tc>
          <w:tcPr>
            <w:tcW w:w="3238" w:type="dxa"/>
            <w:tcBorders>
              <w:right w:val="single" w:sz="4" w:space="0" w:color="auto"/>
            </w:tcBorders>
          </w:tcPr>
          <w:p w14:paraId="02E4DAE1" w14:textId="4348081B" w:rsidR="00BA5DBC" w:rsidRPr="002F27F7" w:rsidRDefault="00AD2424" w:rsidP="00C77597">
            <w:pPr>
              <w:tabs>
                <w:tab w:val="left" w:pos="567"/>
              </w:tabs>
              <w:spacing w:line="276" w:lineRule="auto"/>
              <w:jc w:val="both"/>
              <w:rPr>
                <w:iCs/>
                <w:lang w:eastAsia="lt-LT"/>
              </w:rPr>
            </w:pPr>
            <w:r>
              <w:rPr>
                <w:iCs/>
                <w:lang w:eastAsia="lt-LT"/>
              </w:rPr>
              <w:t>****</w:t>
            </w:r>
          </w:p>
        </w:tc>
      </w:tr>
      <w:tr w:rsidR="000203E1" w:rsidRPr="000203E1" w14:paraId="1FADA2B3" w14:textId="77777777" w:rsidTr="00BE7489">
        <w:trPr>
          <w:trHeight w:val="267"/>
          <w:jc w:val="center"/>
        </w:trPr>
        <w:tc>
          <w:tcPr>
            <w:tcW w:w="6200" w:type="dxa"/>
            <w:tcBorders>
              <w:left w:val="single" w:sz="4" w:space="0" w:color="auto"/>
            </w:tcBorders>
          </w:tcPr>
          <w:p w14:paraId="13E089E8" w14:textId="0BCEB339" w:rsidR="00BA5DBC" w:rsidRPr="000203E1" w:rsidRDefault="00BA5DBC" w:rsidP="00C77597">
            <w:pPr>
              <w:tabs>
                <w:tab w:val="left" w:pos="567"/>
              </w:tabs>
              <w:spacing w:line="276" w:lineRule="auto"/>
              <w:jc w:val="right"/>
              <w:rPr>
                <w:iCs/>
                <w:lang w:eastAsia="lt-LT"/>
              </w:rPr>
            </w:pPr>
            <w:r w:rsidRPr="000203E1">
              <w:rPr>
                <w:iCs/>
                <w:lang w:eastAsia="lt-LT"/>
              </w:rPr>
              <w:t>ICER už LY</w:t>
            </w:r>
          </w:p>
        </w:tc>
        <w:tc>
          <w:tcPr>
            <w:tcW w:w="3238" w:type="dxa"/>
            <w:tcBorders>
              <w:right w:val="single" w:sz="4" w:space="0" w:color="auto"/>
            </w:tcBorders>
          </w:tcPr>
          <w:p w14:paraId="2817448D" w14:textId="741A3DA6" w:rsidR="00BA5DBC" w:rsidRPr="002F27F7" w:rsidRDefault="00AD2424" w:rsidP="00C77597">
            <w:pPr>
              <w:tabs>
                <w:tab w:val="left" w:pos="567"/>
              </w:tabs>
              <w:spacing w:line="276" w:lineRule="auto"/>
              <w:jc w:val="both"/>
              <w:rPr>
                <w:iCs/>
                <w:lang w:eastAsia="lt-LT"/>
              </w:rPr>
            </w:pPr>
            <w:r>
              <w:rPr>
                <w:iCs/>
                <w:lang w:eastAsia="lt-LT"/>
              </w:rPr>
              <w:t>****</w:t>
            </w:r>
          </w:p>
        </w:tc>
      </w:tr>
      <w:tr w:rsidR="000203E1" w:rsidRPr="000203E1" w14:paraId="250DE960" w14:textId="77777777" w:rsidTr="00BE7489">
        <w:trPr>
          <w:trHeight w:val="267"/>
          <w:jc w:val="center"/>
        </w:trPr>
        <w:tc>
          <w:tcPr>
            <w:tcW w:w="6200" w:type="dxa"/>
            <w:tcBorders>
              <w:left w:val="single" w:sz="4" w:space="0" w:color="auto"/>
            </w:tcBorders>
          </w:tcPr>
          <w:p w14:paraId="207EFB23" w14:textId="77777777" w:rsidR="009E44AE" w:rsidRPr="000203E1" w:rsidRDefault="009E44AE" w:rsidP="00C77597">
            <w:pPr>
              <w:tabs>
                <w:tab w:val="left" w:pos="567"/>
              </w:tabs>
              <w:spacing w:line="276" w:lineRule="auto"/>
              <w:jc w:val="right"/>
              <w:rPr>
                <w:iCs/>
                <w:lang w:eastAsia="lt-LT"/>
              </w:rPr>
            </w:pPr>
            <w:r w:rsidRPr="000203E1">
              <w:rPr>
                <w:iCs/>
                <w:lang w:eastAsia="lt-LT"/>
              </w:rPr>
              <w:t>ICER už QALY</w:t>
            </w:r>
          </w:p>
        </w:tc>
        <w:tc>
          <w:tcPr>
            <w:tcW w:w="3238" w:type="dxa"/>
            <w:tcBorders>
              <w:right w:val="single" w:sz="4" w:space="0" w:color="auto"/>
            </w:tcBorders>
          </w:tcPr>
          <w:p w14:paraId="4275320D" w14:textId="28A08A93" w:rsidR="009E44AE" w:rsidRPr="00414CCB" w:rsidRDefault="00AD2424" w:rsidP="00C77597">
            <w:pPr>
              <w:tabs>
                <w:tab w:val="left" w:pos="567"/>
              </w:tabs>
              <w:spacing w:line="276" w:lineRule="auto"/>
              <w:jc w:val="both"/>
              <w:rPr>
                <w:b/>
                <w:iCs/>
                <w:lang w:eastAsia="lt-LT"/>
              </w:rPr>
            </w:pPr>
            <w:r>
              <w:rPr>
                <w:b/>
                <w:iCs/>
                <w:lang w:eastAsia="lt-LT"/>
              </w:rPr>
              <w:t>****</w:t>
            </w:r>
          </w:p>
        </w:tc>
      </w:tr>
      <w:tr w:rsidR="000203E1" w:rsidRPr="000203E1"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0203E1" w:rsidRDefault="009E44AE" w:rsidP="00C77597">
            <w:pPr>
              <w:tabs>
                <w:tab w:val="left" w:pos="567"/>
              </w:tabs>
              <w:spacing w:line="276" w:lineRule="auto"/>
              <w:jc w:val="right"/>
              <w:rPr>
                <w:iCs/>
                <w:lang w:eastAsia="lt-LT"/>
              </w:rPr>
            </w:pPr>
            <w:r w:rsidRPr="000203E1">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7344E959" w:rsidR="009E44AE" w:rsidRPr="002F27F7" w:rsidRDefault="00AD2424" w:rsidP="00C77597">
            <w:pPr>
              <w:tabs>
                <w:tab w:val="left" w:pos="567"/>
              </w:tabs>
              <w:spacing w:line="276" w:lineRule="auto"/>
              <w:jc w:val="both"/>
              <w:rPr>
                <w:iCs/>
                <w:lang w:eastAsia="lt-LT"/>
              </w:rPr>
            </w:pPr>
            <w:r>
              <w:rPr>
                <w:iCs/>
                <w:lang w:eastAsia="lt-LT"/>
              </w:rPr>
              <w:t>****</w:t>
            </w:r>
          </w:p>
        </w:tc>
      </w:tr>
    </w:tbl>
    <w:p w14:paraId="5FC8C737" w14:textId="4136B7F4" w:rsidR="0035172D" w:rsidRPr="000203E1" w:rsidRDefault="00E5102E" w:rsidP="00C77597">
      <w:pPr>
        <w:tabs>
          <w:tab w:val="left" w:pos="567"/>
        </w:tabs>
        <w:spacing w:line="276" w:lineRule="auto"/>
        <w:jc w:val="both"/>
        <w:rPr>
          <w:iCs/>
          <w:sz w:val="20"/>
          <w:lang w:eastAsia="lt-LT"/>
        </w:rPr>
      </w:pPr>
      <w:r w:rsidRPr="000203E1">
        <w:rPr>
          <w:iCs/>
          <w:sz w:val="20"/>
          <w:lang w:eastAsia="lt-LT"/>
        </w:rPr>
        <w:t xml:space="preserve">ICER </w:t>
      </w:r>
      <w:r w:rsidR="00453862" w:rsidRPr="000203E1">
        <w:rPr>
          <w:iCs/>
          <w:sz w:val="20"/>
          <w:lang w:eastAsia="lt-LT"/>
        </w:rPr>
        <w:t>– (</w:t>
      </w:r>
      <w:r w:rsidR="00453862" w:rsidRPr="000203E1">
        <w:rPr>
          <w:i/>
          <w:sz w:val="20"/>
          <w:lang w:eastAsia="lt-LT"/>
        </w:rPr>
        <w:t>angl. incremental cost-effectiveness ratio</w:t>
      </w:r>
      <w:r w:rsidR="00453862" w:rsidRPr="000203E1">
        <w:rPr>
          <w:iCs/>
          <w:sz w:val="20"/>
          <w:lang w:eastAsia="lt-LT"/>
        </w:rPr>
        <w:t>) inkrementinis kaštų naudingumo koeficientas</w:t>
      </w:r>
      <w:r w:rsidRPr="000203E1">
        <w:rPr>
          <w:iCs/>
          <w:sz w:val="20"/>
          <w:lang w:eastAsia="lt-LT"/>
        </w:rPr>
        <w:t>; LY –</w:t>
      </w:r>
      <w:r w:rsidR="00453862" w:rsidRPr="000203E1">
        <w:rPr>
          <w:iCs/>
          <w:sz w:val="20"/>
          <w:lang w:eastAsia="lt-LT"/>
        </w:rPr>
        <w:t xml:space="preserve"> (</w:t>
      </w:r>
      <w:r w:rsidR="00453862" w:rsidRPr="000203E1">
        <w:rPr>
          <w:i/>
          <w:sz w:val="20"/>
          <w:lang w:eastAsia="lt-LT"/>
        </w:rPr>
        <w:t>angl. life years</w:t>
      </w:r>
      <w:r w:rsidR="00453862" w:rsidRPr="000203E1">
        <w:rPr>
          <w:iCs/>
          <w:sz w:val="20"/>
          <w:lang w:eastAsia="lt-LT"/>
        </w:rPr>
        <w:t>) gyvenimo metai</w:t>
      </w:r>
      <w:r w:rsidRPr="000203E1">
        <w:rPr>
          <w:iCs/>
          <w:sz w:val="20"/>
          <w:lang w:eastAsia="lt-LT"/>
        </w:rPr>
        <w:t xml:space="preserve">; QALY- </w:t>
      </w:r>
      <w:r w:rsidR="00453862" w:rsidRPr="000203E1">
        <w:rPr>
          <w:iCs/>
          <w:sz w:val="20"/>
          <w:lang w:eastAsia="lt-LT"/>
        </w:rPr>
        <w:t>(</w:t>
      </w:r>
      <w:r w:rsidR="00453862" w:rsidRPr="000203E1">
        <w:rPr>
          <w:i/>
          <w:sz w:val="20"/>
          <w:lang w:eastAsia="lt-LT"/>
        </w:rPr>
        <w:t xml:space="preserve">angl. quality adjusted life years) </w:t>
      </w:r>
      <w:r w:rsidR="00453862" w:rsidRPr="000203E1">
        <w:rPr>
          <w:iCs/>
          <w:sz w:val="20"/>
          <w:lang w:eastAsia="lt-LT"/>
        </w:rPr>
        <w:t>kokybiški gyvenimo metai.</w:t>
      </w:r>
    </w:p>
    <w:p w14:paraId="33875138" w14:textId="77777777" w:rsidR="0035172D" w:rsidRPr="000203E1" w:rsidRDefault="0035172D" w:rsidP="00C77597">
      <w:pPr>
        <w:tabs>
          <w:tab w:val="left" w:pos="426"/>
        </w:tabs>
        <w:spacing w:line="276" w:lineRule="auto"/>
        <w:rPr>
          <w:b/>
          <w:bCs/>
          <w:caps/>
        </w:rPr>
      </w:pPr>
    </w:p>
    <w:p w14:paraId="4FC424F9" w14:textId="4E767245" w:rsidR="00C62B36" w:rsidRPr="000203E1" w:rsidRDefault="00C62B36" w:rsidP="00C77597">
      <w:pPr>
        <w:pStyle w:val="ListParagraph"/>
        <w:numPr>
          <w:ilvl w:val="0"/>
          <w:numId w:val="12"/>
        </w:numPr>
        <w:tabs>
          <w:tab w:val="left" w:pos="567"/>
        </w:tabs>
        <w:spacing w:line="276" w:lineRule="auto"/>
        <w:ind w:hanging="720"/>
        <w:rPr>
          <w:b/>
          <w:bCs/>
          <w:caps/>
        </w:rPr>
      </w:pPr>
      <w:r w:rsidRPr="000203E1">
        <w:rPr>
          <w:b/>
          <w:bCs/>
          <w:caps/>
        </w:rPr>
        <w:t xml:space="preserve">Pacientų organizacijų pateikti duomenys </w:t>
      </w:r>
    </w:p>
    <w:p w14:paraId="79BCFF40" w14:textId="410083AD" w:rsidR="00937907" w:rsidRPr="000203E1" w:rsidRDefault="00000000" w:rsidP="00C77597">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w:t>
      </w:r>
      <w:r w:rsidR="00500808">
        <w:t>rganizacijos pozicija pateikta.</w:t>
      </w:r>
    </w:p>
    <w:p w14:paraId="62992180" w14:textId="7A17729E" w:rsidR="00937907" w:rsidRPr="000203E1" w:rsidRDefault="00000000" w:rsidP="00C77597">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500808">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C77597">
      <w:pPr>
        <w:spacing w:after="120" w:line="276" w:lineRule="auto"/>
        <w:jc w:val="both"/>
      </w:pPr>
    </w:p>
    <w:p w14:paraId="3D3277FA" w14:textId="3CEEB2D2" w:rsidR="00C62B36" w:rsidRPr="000203E1" w:rsidRDefault="00C62B36" w:rsidP="00C77597">
      <w:pPr>
        <w:pStyle w:val="ListParagraph"/>
        <w:numPr>
          <w:ilvl w:val="0"/>
          <w:numId w:val="12"/>
        </w:numPr>
        <w:tabs>
          <w:tab w:val="left" w:pos="567"/>
        </w:tabs>
        <w:spacing w:line="276" w:lineRule="auto"/>
        <w:ind w:hanging="720"/>
        <w:rPr>
          <w:b/>
          <w:bCs/>
          <w:caps/>
        </w:rPr>
      </w:pPr>
      <w:r w:rsidRPr="000203E1">
        <w:rPr>
          <w:b/>
          <w:bCs/>
          <w:caps/>
        </w:rPr>
        <w:t>Gydytojų organizacijų pateikti duomenys</w:t>
      </w:r>
    </w:p>
    <w:p w14:paraId="389A346C" w14:textId="5E4FD266" w:rsidR="00937907" w:rsidRPr="000203E1" w:rsidRDefault="00000000" w:rsidP="00C77597">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w:t>
      </w:r>
      <w:r w:rsidR="00500808">
        <w:t>rganizacijos pozicija pateikta.</w:t>
      </w:r>
    </w:p>
    <w:p w14:paraId="5D8CC48C" w14:textId="24C89949" w:rsidR="00662983" w:rsidRPr="000203E1" w:rsidRDefault="00000000" w:rsidP="00C77597">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500808">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156F917C" w:rsidR="00A042B9" w:rsidRDefault="00A042B9" w:rsidP="00C77597">
      <w:pPr>
        <w:spacing w:after="120" w:line="276" w:lineRule="auto"/>
        <w:jc w:val="both"/>
      </w:pPr>
    </w:p>
    <w:p w14:paraId="78F23ECB" w14:textId="23A3A002" w:rsidR="002F0E4F" w:rsidRPr="000203E1" w:rsidRDefault="002F0E4F" w:rsidP="00C77597">
      <w:pPr>
        <w:pStyle w:val="ListParagraph"/>
        <w:numPr>
          <w:ilvl w:val="0"/>
          <w:numId w:val="12"/>
        </w:numPr>
        <w:tabs>
          <w:tab w:val="left" w:pos="567"/>
        </w:tabs>
        <w:spacing w:line="276" w:lineRule="auto"/>
        <w:ind w:hanging="720"/>
        <w:rPr>
          <w:b/>
          <w:bCs/>
          <w:caps/>
        </w:rPr>
      </w:pPr>
      <w:r w:rsidRPr="000203E1">
        <w:rPr>
          <w:b/>
          <w:bCs/>
          <w:caps/>
        </w:rPr>
        <w:t xml:space="preserve">Išvada </w:t>
      </w:r>
    </w:p>
    <w:p w14:paraId="08D5B3B6" w14:textId="53163043" w:rsidR="0061611B" w:rsidRPr="000203E1" w:rsidRDefault="0061611B" w:rsidP="00C77597">
      <w:pPr>
        <w:spacing w:line="276" w:lineRule="auto"/>
        <w:rPr>
          <w:i/>
          <w:szCs w:val="22"/>
        </w:rPr>
      </w:pPr>
    </w:p>
    <w:tbl>
      <w:tblPr>
        <w:tblStyle w:val="TableGrid"/>
        <w:tblW w:w="0" w:type="auto"/>
        <w:tblLook w:val="04A0" w:firstRow="1" w:lastRow="0" w:firstColumn="1" w:lastColumn="0" w:noHBand="0" w:noVBand="1"/>
      </w:tblPr>
      <w:tblGrid>
        <w:gridCol w:w="4815"/>
        <w:gridCol w:w="4814"/>
      </w:tblGrid>
      <w:tr w:rsidR="000203E1" w:rsidRPr="000203E1" w14:paraId="25A2473E" w14:textId="77777777" w:rsidTr="00C16245">
        <w:trPr>
          <w:trHeight w:val="510"/>
        </w:trPr>
        <w:tc>
          <w:tcPr>
            <w:tcW w:w="4815" w:type="dxa"/>
            <w:vAlign w:val="center"/>
          </w:tcPr>
          <w:p w14:paraId="7EFE6941" w14:textId="23B8BB6D" w:rsidR="00B13D65"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0203E1">
              <w:rPr>
                <w:rStyle w:val="Style2"/>
                <w:rFonts w:eastAsia="MS Gothic"/>
                <w:b/>
                <w:bCs/>
                <w:sz w:val="24"/>
              </w:rPr>
              <w:t>Rekomenduojama kompensuoti</w:t>
            </w:r>
          </w:p>
        </w:tc>
        <w:tc>
          <w:tcPr>
            <w:tcW w:w="4814" w:type="dxa"/>
            <w:vAlign w:val="center"/>
          </w:tcPr>
          <w:p w14:paraId="330A1A5E" w14:textId="19247DC1" w:rsidR="00B13D65"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0203E1">
              <w:rPr>
                <w:rStyle w:val="Style2"/>
                <w:rFonts w:eastAsia="MS Gothic"/>
                <w:b/>
                <w:bCs/>
                <w:sz w:val="24"/>
              </w:rPr>
              <w:t xml:space="preserve">Rekomenduojama nekompensuoti </w:t>
            </w:r>
          </w:p>
        </w:tc>
      </w:tr>
      <w:tr w:rsidR="000203E1" w:rsidRPr="000203E1" w14:paraId="143A7356" w14:textId="77777777" w:rsidTr="00C16245">
        <w:trPr>
          <w:trHeight w:val="510"/>
        </w:trPr>
        <w:tc>
          <w:tcPr>
            <w:tcW w:w="9629" w:type="dxa"/>
            <w:gridSpan w:val="2"/>
            <w:vAlign w:val="center"/>
          </w:tcPr>
          <w:p w14:paraId="0AF5D6B4" w14:textId="6D8B6C59"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0203E1">
              <w:rPr>
                <w:rStyle w:val="Style2"/>
                <w:rFonts w:eastAsia="MS Gothic"/>
                <w:b/>
                <w:bCs/>
                <w:sz w:val="24"/>
              </w:rPr>
              <w:t>Palyginamasis efektyvumas</w:t>
            </w:r>
          </w:p>
        </w:tc>
      </w:tr>
      <w:tr w:rsidR="000203E1" w:rsidRPr="000203E1" w14:paraId="28A0C814" w14:textId="77777777" w:rsidTr="0061611B">
        <w:tc>
          <w:tcPr>
            <w:tcW w:w="4815" w:type="dxa"/>
          </w:tcPr>
          <w:p w14:paraId="216769B5" w14:textId="6542CCF8"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1"/>
                  <w14:checkedState w14:val="2612" w14:font="MS Gothic"/>
                  <w14:uncheckedState w14:val="2610" w14:font="MS Gothic"/>
                </w14:checkbox>
              </w:sdtPr>
              <w:sdtContent>
                <w:r w:rsidR="0072501F">
                  <w:rPr>
                    <w:rStyle w:val="Style2"/>
                    <w:rFonts w:ascii="MS Gothic" w:eastAsia="MS Gothic" w:hAnsi="MS Gothic" w:hint="eastAsia"/>
                    <w:sz w:val="24"/>
                  </w:rPr>
                  <w:t>☒</w:t>
                </w:r>
              </w:sdtContent>
            </w:sdt>
            <w:r w:rsidR="00B13D65" w:rsidRPr="000203E1">
              <w:t xml:space="preserve"> 32.1. yra didesnis</w:t>
            </w:r>
          </w:p>
          <w:p w14:paraId="3B48F372"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F18D4" w14:textId="24A5CEC1"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32.1. iš esmės nesiskiria</w:t>
            </w:r>
          </w:p>
        </w:tc>
        <w:tc>
          <w:tcPr>
            <w:tcW w:w="4814" w:type="dxa"/>
          </w:tcPr>
          <w:p w14:paraId="507828D9" w14:textId="0C869C4B"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mažesnis</w:t>
            </w:r>
          </w:p>
          <w:p w14:paraId="7F95DEEC"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0682B8" w14:textId="54566137" w:rsidR="00662983"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neįrodytas kaip toks pat</w:t>
            </w:r>
          </w:p>
          <w:p w14:paraId="35205E85"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C3F0A3" w14:textId="7394DAE1"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33.1 </w:t>
            </w:r>
            <w:r w:rsidR="00B00959" w:rsidRPr="000203E1">
              <w:t xml:space="preserve">yra </w:t>
            </w:r>
            <w:r w:rsidR="00B13D65" w:rsidRPr="000203E1">
              <w:t>neįrodytas kaip didesnis</w:t>
            </w:r>
          </w:p>
          <w:p w14:paraId="512E653B"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3F374F4" w14:textId="77777777"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pateikti duomenys apie palyginamąjį efektyvumą yra netinkami vertinti</w:t>
            </w:r>
          </w:p>
          <w:p w14:paraId="5DDAA961" w14:textId="77777777"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0203E1" w:rsidRPr="000203E1" w14:paraId="161CC3FE" w14:textId="77777777" w:rsidTr="00C16245">
        <w:trPr>
          <w:trHeight w:val="510"/>
        </w:trPr>
        <w:tc>
          <w:tcPr>
            <w:tcW w:w="9629" w:type="dxa"/>
            <w:gridSpan w:val="2"/>
            <w:vAlign w:val="center"/>
          </w:tcPr>
          <w:p w14:paraId="1AB46894" w14:textId="3E765638"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0203E1">
              <w:rPr>
                <w:rStyle w:val="Style2"/>
                <w:rFonts w:eastAsia="MS Gothic"/>
                <w:b/>
                <w:bCs/>
                <w:sz w:val="24"/>
              </w:rPr>
              <w:lastRenderedPageBreak/>
              <w:t>Klinikinis veiksmingumas</w:t>
            </w:r>
          </w:p>
        </w:tc>
      </w:tr>
      <w:tr w:rsidR="000203E1" w:rsidRPr="000203E1" w14:paraId="3C60570A" w14:textId="77777777" w:rsidTr="0061611B">
        <w:tc>
          <w:tcPr>
            <w:tcW w:w="4815" w:type="dxa"/>
          </w:tcPr>
          <w:p w14:paraId="6897B306" w14:textId="1D12B888" w:rsidR="00B13D65"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1"/>
                  <w14:checkedState w14:val="2612" w14:font="MS Gothic"/>
                  <w14:uncheckedState w14:val="2610" w14:font="MS Gothic"/>
                </w14:checkbox>
              </w:sdtPr>
              <w:sdtContent>
                <w:r w:rsidR="0072501F">
                  <w:rPr>
                    <w:rStyle w:val="Style2"/>
                    <w:rFonts w:ascii="MS Gothic" w:eastAsia="MS Gothic" w:hAnsi="MS Gothic" w:hint="eastAsia"/>
                    <w:sz w:val="24"/>
                  </w:rPr>
                  <w:t>☒</w:t>
                </w:r>
              </w:sdtContent>
            </w:sdt>
            <w:r w:rsidR="00B13D65" w:rsidRPr="000203E1">
              <w:t xml:space="preserve"> 32.2. yra įvertintas kaip pagrindžiantis papildomos naudos pacientų sveikatai sukūrimą, lyginant su įprasta klinikine praktika</w:t>
            </w:r>
          </w:p>
          <w:p w14:paraId="723E036F" w14:textId="77777777" w:rsidR="00D46972" w:rsidRPr="000203E1" w:rsidRDefault="00D46972"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1D57105"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BBDF86" w14:textId="5C0FE0B2"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32.2. </w:t>
            </w:r>
            <w:r w:rsidR="00B00959" w:rsidRPr="000203E1">
              <w:t xml:space="preserve">yra </w:t>
            </w:r>
            <w:r w:rsidR="00B13D65" w:rsidRPr="000203E1">
              <w:t>įvertintas kaip pagrindžiantis nesiskiriančios naudos pacientų sveikatai sukūrimą, lyginant su įprasta klinikine praktika</w:t>
            </w:r>
          </w:p>
          <w:p w14:paraId="287AD233" w14:textId="77777777"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74A2DECF" w14:textId="682BFC3B" w:rsidR="00662983" w:rsidRPr="000203E1" w:rsidRDefault="00000000" w:rsidP="00C77597">
            <w:pPr>
              <w:spacing w:line="276" w:lineRule="auto"/>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33.1. yra įvertintas kaip nepagrindžiantis papildomos </w:t>
            </w:r>
            <w:r w:rsidR="00662983" w:rsidRPr="000203E1">
              <w:t>naudos pacientų sveikatai sukūrimo, lyginant su  įprasta klinikine praktika</w:t>
            </w:r>
          </w:p>
          <w:p w14:paraId="6C70BCFC" w14:textId="77777777" w:rsidR="00662983" w:rsidRPr="000203E1" w:rsidRDefault="00662983" w:rsidP="00C77597">
            <w:pPr>
              <w:spacing w:line="276" w:lineRule="auto"/>
              <w:jc w:val="both"/>
            </w:pPr>
          </w:p>
          <w:p w14:paraId="0ADEC30D" w14:textId="1353964F" w:rsidR="00B13D65" w:rsidRPr="000203E1" w:rsidRDefault="00000000" w:rsidP="00C77597">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B13D65" w:rsidRPr="000203E1">
              <w:t xml:space="preserve"> </w:t>
            </w:r>
            <w:r w:rsidR="00662983" w:rsidRPr="000203E1">
              <w:t xml:space="preserve">33.1. </w:t>
            </w:r>
            <w:r w:rsidR="00B00959" w:rsidRPr="000203E1">
              <w:t xml:space="preserve">yra įvertintas kaip nepagrindžiantis </w:t>
            </w:r>
            <w:r w:rsidR="00B13D65" w:rsidRPr="000203E1">
              <w:t>nesiskiriančios naudos pacientų sveikatai sukūrimo, lyginant su įprasta klinikine praktika</w:t>
            </w:r>
          </w:p>
          <w:p w14:paraId="1EED7901" w14:textId="77777777"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7E672" w14:textId="77777777"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30B5EC61"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203E1">
                  <w:rPr>
                    <w:rStyle w:val="Style2"/>
                    <w:rFonts w:ascii="MS Gothic" w:eastAsia="MS Gothic" w:hAnsi="MS Gothic" w:hint="eastAsia"/>
                    <w:sz w:val="24"/>
                  </w:rPr>
                  <w:t>☐</w:t>
                </w:r>
              </w:sdtContent>
            </w:sdt>
            <w:r w:rsidR="00B13D65" w:rsidRPr="000203E1">
              <w:t xml:space="preserve"> 32.3. atitink</w:t>
            </w:r>
            <w:r w:rsidR="00EE1FA9">
              <w:t xml:space="preserve">a referencinę naudingumo vertę, </w:t>
            </w:r>
            <w:r w:rsidR="00B13D65" w:rsidRPr="000203E1">
              <w:t>netaikant PGS</w:t>
            </w:r>
          </w:p>
          <w:p w14:paraId="3F76F153"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072E7" w14:textId="7505314D"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0808172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32.3. gydymo juo kaštai yra mažesni ar tokie patys esant iš esmės nesiskiriančiam palyginamajam efektyvumui, netaikant PGS</w:t>
            </w:r>
            <w:r w:rsidR="00B00959" w:rsidRPr="000203E1">
              <w:t>, lyginant su įprasta klinikine praktika</w:t>
            </w:r>
          </w:p>
          <w:p w14:paraId="25E4BD1E" w14:textId="77777777"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53380063" w14:textId="7DC832A4"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1"/>
                  <w14:checkedState w14:val="2612" w14:font="MS Gothic"/>
                  <w14:uncheckedState w14:val="2610" w14:font="MS Gothic"/>
                </w14:checkbox>
              </w:sdtPr>
              <w:sdtContent>
                <w:r w:rsidR="00EE1FA9">
                  <w:rPr>
                    <w:rStyle w:val="Style2"/>
                    <w:rFonts w:ascii="MS Gothic" w:eastAsia="MS Gothic" w:hAnsi="MS Gothic" w:hint="eastAsia"/>
                    <w:sz w:val="24"/>
                  </w:rPr>
                  <w:t>☒</w:t>
                </w:r>
              </w:sdtContent>
            </w:sdt>
            <w:r w:rsidR="00B13D65" w:rsidRPr="000203E1">
              <w:t xml:space="preserve"> 33.3. neatitinka referencinės naudingumo vertės Lietuvos Respublikoje</w:t>
            </w:r>
          </w:p>
          <w:p w14:paraId="229ED51A"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673C3A9" w14:textId="1A41082E"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gydymo juo kaštai yra didesni esant iš esmės nesiskiriančiam palyginamajam efektyvumui, netaikant PGS</w:t>
            </w:r>
            <w:r w:rsidR="00B00959" w:rsidRPr="000203E1">
              <w:t>, lyginant su įprasta klinikine praktika</w:t>
            </w:r>
          </w:p>
          <w:p w14:paraId="4A9C7D2A" w14:textId="77777777" w:rsidR="00662983" w:rsidRPr="000203E1" w:rsidRDefault="00662983"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26013D" w14:textId="4020B1AC" w:rsidR="00B13D65" w:rsidRPr="000203E1" w:rsidRDefault="00000000"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33.3. pateikti duomenys apie kaštų na</w:t>
            </w:r>
            <w:r w:rsidR="00662983" w:rsidRPr="000203E1">
              <w:t>udingumą yra netinkami vertinti</w:t>
            </w:r>
          </w:p>
          <w:p w14:paraId="470A48A4" w14:textId="77777777" w:rsidR="00B13D65" w:rsidRPr="000203E1" w:rsidRDefault="00B13D65" w:rsidP="00C7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65ACA3C5" w14:textId="76C604A1" w:rsidR="004A3A61" w:rsidRPr="000203E1" w:rsidRDefault="004A3A61" w:rsidP="00C77597">
      <w:pPr>
        <w:spacing w:line="276" w:lineRule="auto"/>
      </w:pPr>
    </w:p>
    <w:p w14:paraId="1B85C083" w14:textId="77777777" w:rsidR="009E44AE" w:rsidRPr="000203E1" w:rsidRDefault="009E44AE" w:rsidP="00C77597">
      <w:pPr>
        <w:spacing w:line="276" w:lineRule="auto"/>
      </w:pPr>
    </w:p>
    <w:p w14:paraId="3B2D1F25" w14:textId="3A80E19F" w:rsidR="000001B0" w:rsidRPr="000203E1" w:rsidRDefault="000001B0" w:rsidP="00C77597">
      <w:pPr>
        <w:pStyle w:val="ListParagraph"/>
        <w:numPr>
          <w:ilvl w:val="0"/>
          <w:numId w:val="12"/>
        </w:numPr>
        <w:spacing w:line="276" w:lineRule="auto"/>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7597">
      <w:pPr>
        <w:pStyle w:val="ListParagraph"/>
        <w:spacing w:line="276" w:lineRule="auto"/>
        <w:ind w:left="426"/>
      </w:pPr>
    </w:p>
    <w:p w14:paraId="06BC01EE" w14:textId="2D9C1632" w:rsidR="000723FF" w:rsidRPr="000203E1" w:rsidRDefault="002F27F7" w:rsidP="00C77597">
      <w:pPr>
        <w:spacing w:line="276" w:lineRule="auto"/>
        <w:jc w:val="both"/>
      </w:pPr>
      <w:r w:rsidRPr="0076707A">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w:t>
      </w:r>
      <w:r>
        <w:t>4</w:t>
      </w:r>
      <w:r w:rsidRPr="0076707A">
        <w:t xml:space="preserve">. </w:t>
      </w:r>
      <w:r>
        <w:t xml:space="preserve">rekomenduojama </w:t>
      </w:r>
      <w:r w:rsidRPr="00CD7341">
        <w:rPr>
          <w:i/>
        </w:rPr>
        <w:t>nekompensuoti</w:t>
      </w:r>
      <w:r w:rsidRPr="0076707A">
        <w:t xml:space="preserve"> vaistinio preparato pagal paraiškoje nurodytą indikaciją, taikant PGS, </w:t>
      </w:r>
      <w:r w:rsidRPr="00E33EFF">
        <w:t>dėl vertinimo išvadų</w:t>
      </w:r>
      <w:r>
        <w:t xml:space="preserve">, nurodytų 33.3 papunktyje, </w:t>
      </w:r>
      <w:r w:rsidRPr="00E33EFF">
        <w:t xml:space="preserve"> neatitikties </w:t>
      </w:r>
      <w:r w:rsidRPr="003D6208">
        <w:t>34.1 papunktyje išdėstytoms sąlygoms</w:t>
      </w:r>
      <w:r>
        <w:t>.</w:t>
      </w:r>
    </w:p>
    <w:p w14:paraId="7CDFF220" w14:textId="031BB4F5" w:rsidR="000723FF" w:rsidRPr="000203E1" w:rsidRDefault="00283E59" w:rsidP="00C77597">
      <w:pPr>
        <w:widowControl w:val="0"/>
        <w:tabs>
          <w:tab w:val="left" w:pos="1418"/>
        </w:tabs>
        <w:suppressAutoHyphens/>
        <w:spacing w:line="276" w:lineRule="auto"/>
        <w:jc w:val="center"/>
        <w:textAlignment w:val="center"/>
        <w:rPr>
          <w:b/>
        </w:rPr>
      </w:pPr>
      <w:r>
        <w:rPr>
          <w:color w:val="000000"/>
          <w:lang w:eastAsia="lt-LT"/>
        </w:rPr>
        <w:t>____________________________</w:t>
      </w:r>
    </w:p>
    <w:sectPr w:rsidR="000723FF"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84A71" w14:textId="77777777" w:rsidR="002540F8" w:rsidRDefault="002540F8">
      <w:r>
        <w:separator/>
      </w:r>
    </w:p>
  </w:endnote>
  <w:endnote w:type="continuationSeparator" w:id="0">
    <w:p w14:paraId="417CF076" w14:textId="77777777" w:rsidR="002540F8" w:rsidRDefault="0025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E9FC" w14:textId="77777777" w:rsidR="002540F8" w:rsidRDefault="002540F8">
      <w:r>
        <w:separator/>
      </w:r>
    </w:p>
  </w:footnote>
  <w:footnote w:type="continuationSeparator" w:id="0">
    <w:p w14:paraId="14F8AF17" w14:textId="77777777" w:rsidR="002540F8" w:rsidRDefault="0025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7E2D1ACF"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0C22">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08A4E1B"/>
    <w:multiLevelType w:val="hybridMultilevel"/>
    <w:tmpl w:val="65280FA4"/>
    <w:lvl w:ilvl="0" w:tplc="0D9A428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F6014"/>
    <w:multiLevelType w:val="hybridMultilevel"/>
    <w:tmpl w:val="3236B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6814439">
    <w:abstractNumId w:val="7"/>
  </w:num>
  <w:num w:numId="2" w16cid:durableId="2058897908">
    <w:abstractNumId w:val="1"/>
  </w:num>
  <w:num w:numId="3" w16cid:durableId="213278175">
    <w:abstractNumId w:val="10"/>
  </w:num>
  <w:num w:numId="4" w16cid:durableId="2047947140">
    <w:abstractNumId w:val="9"/>
  </w:num>
  <w:num w:numId="5" w16cid:durableId="1090813829">
    <w:abstractNumId w:val="6"/>
  </w:num>
  <w:num w:numId="6" w16cid:durableId="717901504">
    <w:abstractNumId w:val="5"/>
  </w:num>
  <w:num w:numId="7" w16cid:durableId="571237531">
    <w:abstractNumId w:val="3"/>
  </w:num>
  <w:num w:numId="8" w16cid:durableId="640117097">
    <w:abstractNumId w:val="13"/>
  </w:num>
  <w:num w:numId="9" w16cid:durableId="1837456026">
    <w:abstractNumId w:val="0"/>
  </w:num>
  <w:num w:numId="10" w16cid:durableId="2057785">
    <w:abstractNumId w:val="11"/>
  </w:num>
  <w:num w:numId="11" w16cid:durableId="70278587">
    <w:abstractNumId w:val="12"/>
  </w:num>
  <w:num w:numId="12" w16cid:durableId="1589146930">
    <w:abstractNumId w:val="2"/>
  </w:num>
  <w:num w:numId="13" w16cid:durableId="1998339244">
    <w:abstractNumId w:val="8"/>
  </w:num>
  <w:num w:numId="14" w16cid:durableId="1910380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2F63"/>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64D64"/>
    <w:rsid w:val="0017369C"/>
    <w:rsid w:val="00175D57"/>
    <w:rsid w:val="00180177"/>
    <w:rsid w:val="00180C39"/>
    <w:rsid w:val="00180D96"/>
    <w:rsid w:val="00182D27"/>
    <w:rsid w:val="00184BD3"/>
    <w:rsid w:val="001921F3"/>
    <w:rsid w:val="001B3C5B"/>
    <w:rsid w:val="001B5B31"/>
    <w:rsid w:val="001B7997"/>
    <w:rsid w:val="001D5B91"/>
    <w:rsid w:val="001D746F"/>
    <w:rsid w:val="001E4BBB"/>
    <w:rsid w:val="001E6304"/>
    <w:rsid w:val="0020381E"/>
    <w:rsid w:val="00213471"/>
    <w:rsid w:val="00215906"/>
    <w:rsid w:val="00241CD8"/>
    <w:rsid w:val="002447B2"/>
    <w:rsid w:val="00244B09"/>
    <w:rsid w:val="002519CB"/>
    <w:rsid w:val="002540F8"/>
    <w:rsid w:val="0025697F"/>
    <w:rsid w:val="00260258"/>
    <w:rsid w:val="0026588E"/>
    <w:rsid w:val="00272428"/>
    <w:rsid w:val="00272948"/>
    <w:rsid w:val="00281940"/>
    <w:rsid w:val="00283E59"/>
    <w:rsid w:val="00291357"/>
    <w:rsid w:val="00292392"/>
    <w:rsid w:val="002946C7"/>
    <w:rsid w:val="002B3CC1"/>
    <w:rsid w:val="002C09E0"/>
    <w:rsid w:val="002C1BB1"/>
    <w:rsid w:val="002C2786"/>
    <w:rsid w:val="002C3A10"/>
    <w:rsid w:val="002C4A90"/>
    <w:rsid w:val="002C4ED5"/>
    <w:rsid w:val="002D02EF"/>
    <w:rsid w:val="002D3A83"/>
    <w:rsid w:val="002E0702"/>
    <w:rsid w:val="002E57AD"/>
    <w:rsid w:val="002E6F80"/>
    <w:rsid w:val="002F0E4F"/>
    <w:rsid w:val="002F1053"/>
    <w:rsid w:val="002F27F7"/>
    <w:rsid w:val="00314816"/>
    <w:rsid w:val="00317B0E"/>
    <w:rsid w:val="00347FAA"/>
    <w:rsid w:val="0035172D"/>
    <w:rsid w:val="0036187D"/>
    <w:rsid w:val="00367EDB"/>
    <w:rsid w:val="00381024"/>
    <w:rsid w:val="00386307"/>
    <w:rsid w:val="003874DE"/>
    <w:rsid w:val="00393E9F"/>
    <w:rsid w:val="0039696E"/>
    <w:rsid w:val="003B08E9"/>
    <w:rsid w:val="003B211A"/>
    <w:rsid w:val="003C141F"/>
    <w:rsid w:val="003C6B0E"/>
    <w:rsid w:val="003C7257"/>
    <w:rsid w:val="003C7E35"/>
    <w:rsid w:val="003D1E99"/>
    <w:rsid w:val="003D6208"/>
    <w:rsid w:val="00404E8A"/>
    <w:rsid w:val="0040622F"/>
    <w:rsid w:val="00413F24"/>
    <w:rsid w:val="00414CCB"/>
    <w:rsid w:val="00422853"/>
    <w:rsid w:val="00423160"/>
    <w:rsid w:val="00453862"/>
    <w:rsid w:val="0045469B"/>
    <w:rsid w:val="00461338"/>
    <w:rsid w:val="004677DB"/>
    <w:rsid w:val="00476256"/>
    <w:rsid w:val="0048630F"/>
    <w:rsid w:val="00486850"/>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00808"/>
    <w:rsid w:val="005123C2"/>
    <w:rsid w:val="0052144B"/>
    <w:rsid w:val="00524066"/>
    <w:rsid w:val="00534E11"/>
    <w:rsid w:val="005378D8"/>
    <w:rsid w:val="005400D9"/>
    <w:rsid w:val="005476A4"/>
    <w:rsid w:val="0055019B"/>
    <w:rsid w:val="00556E63"/>
    <w:rsid w:val="005601A4"/>
    <w:rsid w:val="00566DBB"/>
    <w:rsid w:val="005767DB"/>
    <w:rsid w:val="005815E6"/>
    <w:rsid w:val="00582D99"/>
    <w:rsid w:val="0058712F"/>
    <w:rsid w:val="00591A0C"/>
    <w:rsid w:val="00595499"/>
    <w:rsid w:val="00596575"/>
    <w:rsid w:val="005976CE"/>
    <w:rsid w:val="005A23D4"/>
    <w:rsid w:val="005A2D1E"/>
    <w:rsid w:val="005A4698"/>
    <w:rsid w:val="005A58FC"/>
    <w:rsid w:val="005B3756"/>
    <w:rsid w:val="005C493F"/>
    <w:rsid w:val="005C6BF7"/>
    <w:rsid w:val="005C71BF"/>
    <w:rsid w:val="005D002C"/>
    <w:rsid w:val="005D30E1"/>
    <w:rsid w:val="005D6555"/>
    <w:rsid w:val="005D7BDF"/>
    <w:rsid w:val="005E2359"/>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1C79"/>
    <w:rsid w:val="006B5B71"/>
    <w:rsid w:val="006B5D3E"/>
    <w:rsid w:val="006B6CB0"/>
    <w:rsid w:val="006C2B64"/>
    <w:rsid w:val="006D1702"/>
    <w:rsid w:val="006D1BF3"/>
    <w:rsid w:val="006D4C85"/>
    <w:rsid w:val="006D66AC"/>
    <w:rsid w:val="006E33F6"/>
    <w:rsid w:val="006F0C22"/>
    <w:rsid w:val="006F1251"/>
    <w:rsid w:val="006F1C23"/>
    <w:rsid w:val="00702C18"/>
    <w:rsid w:val="00703166"/>
    <w:rsid w:val="007127F3"/>
    <w:rsid w:val="0072501F"/>
    <w:rsid w:val="007301CF"/>
    <w:rsid w:val="007316FB"/>
    <w:rsid w:val="00737E2D"/>
    <w:rsid w:val="007424D5"/>
    <w:rsid w:val="00750A88"/>
    <w:rsid w:val="007523DD"/>
    <w:rsid w:val="00757B7E"/>
    <w:rsid w:val="007656B2"/>
    <w:rsid w:val="0077016F"/>
    <w:rsid w:val="007713AD"/>
    <w:rsid w:val="0077310D"/>
    <w:rsid w:val="00781115"/>
    <w:rsid w:val="00795DC5"/>
    <w:rsid w:val="00797153"/>
    <w:rsid w:val="007A21F7"/>
    <w:rsid w:val="007A2B68"/>
    <w:rsid w:val="007B0DDA"/>
    <w:rsid w:val="007D3347"/>
    <w:rsid w:val="007E5466"/>
    <w:rsid w:val="007F1949"/>
    <w:rsid w:val="007F2592"/>
    <w:rsid w:val="00800A08"/>
    <w:rsid w:val="00817A84"/>
    <w:rsid w:val="00817BD6"/>
    <w:rsid w:val="008225A4"/>
    <w:rsid w:val="00824B92"/>
    <w:rsid w:val="00826D5E"/>
    <w:rsid w:val="00832013"/>
    <w:rsid w:val="00832DB7"/>
    <w:rsid w:val="00834732"/>
    <w:rsid w:val="0085200C"/>
    <w:rsid w:val="00852A4B"/>
    <w:rsid w:val="00857C52"/>
    <w:rsid w:val="00860D5F"/>
    <w:rsid w:val="00880A44"/>
    <w:rsid w:val="0088345E"/>
    <w:rsid w:val="0088656F"/>
    <w:rsid w:val="00891EF6"/>
    <w:rsid w:val="008A0303"/>
    <w:rsid w:val="008A5FDD"/>
    <w:rsid w:val="008C2530"/>
    <w:rsid w:val="008C3947"/>
    <w:rsid w:val="008E473B"/>
    <w:rsid w:val="008E51A6"/>
    <w:rsid w:val="008E7329"/>
    <w:rsid w:val="008F2ED5"/>
    <w:rsid w:val="008F5012"/>
    <w:rsid w:val="0092297E"/>
    <w:rsid w:val="00923651"/>
    <w:rsid w:val="00927B56"/>
    <w:rsid w:val="009341BF"/>
    <w:rsid w:val="00937907"/>
    <w:rsid w:val="00941739"/>
    <w:rsid w:val="00942705"/>
    <w:rsid w:val="00951573"/>
    <w:rsid w:val="00952588"/>
    <w:rsid w:val="00963003"/>
    <w:rsid w:val="00964C42"/>
    <w:rsid w:val="009658DF"/>
    <w:rsid w:val="00966EEF"/>
    <w:rsid w:val="00971B28"/>
    <w:rsid w:val="00983471"/>
    <w:rsid w:val="009909AB"/>
    <w:rsid w:val="009B37DB"/>
    <w:rsid w:val="009C7A8C"/>
    <w:rsid w:val="009D23F9"/>
    <w:rsid w:val="009D4FA8"/>
    <w:rsid w:val="009E44AE"/>
    <w:rsid w:val="009E6CD6"/>
    <w:rsid w:val="009F011E"/>
    <w:rsid w:val="009F4D66"/>
    <w:rsid w:val="00A00C3C"/>
    <w:rsid w:val="00A01091"/>
    <w:rsid w:val="00A042B9"/>
    <w:rsid w:val="00A06DBB"/>
    <w:rsid w:val="00A22ADF"/>
    <w:rsid w:val="00A26AF6"/>
    <w:rsid w:val="00A31E86"/>
    <w:rsid w:val="00A54D87"/>
    <w:rsid w:val="00A5553C"/>
    <w:rsid w:val="00A701C9"/>
    <w:rsid w:val="00A81785"/>
    <w:rsid w:val="00A84803"/>
    <w:rsid w:val="00A84C51"/>
    <w:rsid w:val="00A86F2B"/>
    <w:rsid w:val="00A8745C"/>
    <w:rsid w:val="00A91366"/>
    <w:rsid w:val="00A92F91"/>
    <w:rsid w:val="00A93AA6"/>
    <w:rsid w:val="00AA4E48"/>
    <w:rsid w:val="00AA6202"/>
    <w:rsid w:val="00AA7B57"/>
    <w:rsid w:val="00AB2806"/>
    <w:rsid w:val="00AC26FC"/>
    <w:rsid w:val="00AC3435"/>
    <w:rsid w:val="00AC3D91"/>
    <w:rsid w:val="00AC4A99"/>
    <w:rsid w:val="00AC64D2"/>
    <w:rsid w:val="00AD02E7"/>
    <w:rsid w:val="00AD2424"/>
    <w:rsid w:val="00AE0FE8"/>
    <w:rsid w:val="00AF60D5"/>
    <w:rsid w:val="00AF73AD"/>
    <w:rsid w:val="00B00959"/>
    <w:rsid w:val="00B04415"/>
    <w:rsid w:val="00B04DC4"/>
    <w:rsid w:val="00B06509"/>
    <w:rsid w:val="00B11D60"/>
    <w:rsid w:val="00B13D65"/>
    <w:rsid w:val="00B21805"/>
    <w:rsid w:val="00B3072E"/>
    <w:rsid w:val="00B353A5"/>
    <w:rsid w:val="00B36E15"/>
    <w:rsid w:val="00B37245"/>
    <w:rsid w:val="00B4017A"/>
    <w:rsid w:val="00B41DC9"/>
    <w:rsid w:val="00B4468D"/>
    <w:rsid w:val="00B71C72"/>
    <w:rsid w:val="00B81E92"/>
    <w:rsid w:val="00B908D7"/>
    <w:rsid w:val="00B935E8"/>
    <w:rsid w:val="00B93B30"/>
    <w:rsid w:val="00B94CB5"/>
    <w:rsid w:val="00BA0DD9"/>
    <w:rsid w:val="00BA54BC"/>
    <w:rsid w:val="00BA5DBC"/>
    <w:rsid w:val="00BA6584"/>
    <w:rsid w:val="00BB6312"/>
    <w:rsid w:val="00BC4D06"/>
    <w:rsid w:val="00BC6CAA"/>
    <w:rsid w:val="00BD5568"/>
    <w:rsid w:val="00BD585E"/>
    <w:rsid w:val="00BD6919"/>
    <w:rsid w:val="00BE1EA7"/>
    <w:rsid w:val="00BE1EAD"/>
    <w:rsid w:val="00BE7489"/>
    <w:rsid w:val="00BF2E0D"/>
    <w:rsid w:val="00BF3927"/>
    <w:rsid w:val="00BF3F8B"/>
    <w:rsid w:val="00BF76DA"/>
    <w:rsid w:val="00C07C7B"/>
    <w:rsid w:val="00C16245"/>
    <w:rsid w:val="00C22DC5"/>
    <w:rsid w:val="00C24479"/>
    <w:rsid w:val="00C273F2"/>
    <w:rsid w:val="00C37B53"/>
    <w:rsid w:val="00C434EB"/>
    <w:rsid w:val="00C517D2"/>
    <w:rsid w:val="00C5772E"/>
    <w:rsid w:val="00C62B36"/>
    <w:rsid w:val="00C64BE7"/>
    <w:rsid w:val="00C7012C"/>
    <w:rsid w:val="00C712EA"/>
    <w:rsid w:val="00C77597"/>
    <w:rsid w:val="00CA217D"/>
    <w:rsid w:val="00CC09D4"/>
    <w:rsid w:val="00CC668D"/>
    <w:rsid w:val="00CC7832"/>
    <w:rsid w:val="00CD488E"/>
    <w:rsid w:val="00CF0C1C"/>
    <w:rsid w:val="00CF27FD"/>
    <w:rsid w:val="00CF5F12"/>
    <w:rsid w:val="00D00D8F"/>
    <w:rsid w:val="00D21F3A"/>
    <w:rsid w:val="00D23808"/>
    <w:rsid w:val="00D3016A"/>
    <w:rsid w:val="00D33135"/>
    <w:rsid w:val="00D417D2"/>
    <w:rsid w:val="00D42960"/>
    <w:rsid w:val="00D43BD7"/>
    <w:rsid w:val="00D4485B"/>
    <w:rsid w:val="00D46972"/>
    <w:rsid w:val="00D46CCD"/>
    <w:rsid w:val="00D4708D"/>
    <w:rsid w:val="00D4744C"/>
    <w:rsid w:val="00D5160D"/>
    <w:rsid w:val="00D521DE"/>
    <w:rsid w:val="00D5470B"/>
    <w:rsid w:val="00D63068"/>
    <w:rsid w:val="00D6498C"/>
    <w:rsid w:val="00D759C2"/>
    <w:rsid w:val="00D76A70"/>
    <w:rsid w:val="00D83182"/>
    <w:rsid w:val="00D8521E"/>
    <w:rsid w:val="00D9291C"/>
    <w:rsid w:val="00D92FA8"/>
    <w:rsid w:val="00D93A97"/>
    <w:rsid w:val="00DB1F64"/>
    <w:rsid w:val="00DC2F53"/>
    <w:rsid w:val="00DC5BAC"/>
    <w:rsid w:val="00DC6816"/>
    <w:rsid w:val="00DC76C2"/>
    <w:rsid w:val="00DD1CF2"/>
    <w:rsid w:val="00DE4484"/>
    <w:rsid w:val="00DF41B7"/>
    <w:rsid w:val="00DF422E"/>
    <w:rsid w:val="00DF4A4A"/>
    <w:rsid w:val="00DF583C"/>
    <w:rsid w:val="00E03C3F"/>
    <w:rsid w:val="00E06FD7"/>
    <w:rsid w:val="00E07417"/>
    <w:rsid w:val="00E24D45"/>
    <w:rsid w:val="00E33DB8"/>
    <w:rsid w:val="00E33EFF"/>
    <w:rsid w:val="00E34387"/>
    <w:rsid w:val="00E348BA"/>
    <w:rsid w:val="00E369FE"/>
    <w:rsid w:val="00E37C6F"/>
    <w:rsid w:val="00E43713"/>
    <w:rsid w:val="00E475F8"/>
    <w:rsid w:val="00E5102E"/>
    <w:rsid w:val="00E56916"/>
    <w:rsid w:val="00E5721C"/>
    <w:rsid w:val="00E619C6"/>
    <w:rsid w:val="00E745A1"/>
    <w:rsid w:val="00E81529"/>
    <w:rsid w:val="00E83A13"/>
    <w:rsid w:val="00EA2D0B"/>
    <w:rsid w:val="00EA2FF4"/>
    <w:rsid w:val="00EB6FC5"/>
    <w:rsid w:val="00EC2356"/>
    <w:rsid w:val="00EC2582"/>
    <w:rsid w:val="00EC337C"/>
    <w:rsid w:val="00ED0CFF"/>
    <w:rsid w:val="00ED31D2"/>
    <w:rsid w:val="00EE0EAC"/>
    <w:rsid w:val="00EE1FA9"/>
    <w:rsid w:val="00EE3322"/>
    <w:rsid w:val="00EE33CB"/>
    <w:rsid w:val="00EF71F5"/>
    <w:rsid w:val="00F0061A"/>
    <w:rsid w:val="00F02834"/>
    <w:rsid w:val="00F04EEB"/>
    <w:rsid w:val="00F05467"/>
    <w:rsid w:val="00F055D2"/>
    <w:rsid w:val="00F07CD7"/>
    <w:rsid w:val="00F127E9"/>
    <w:rsid w:val="00F14B5D"/>
    <w:rsid w:val="00F259FC"/>
    <w:rsid w:val="00F3495A"/>
    <w:rsid w:val="00F36972"/>
    <w:rsid w:val="00F42426"/>
    <w:rsid w:val="00F456BC"/>
    <w:rsid w:val="00F46FC7"/>
    <w:rsid w:val="00F50666"/>
    <w:rsid w:val="00F70731"/>
    <w:rsid w:val="00F70C9E"/>
    <w:rsid w:val="00F74A74"/>
    <w:rsid w:val="00F7572C"/>
    <w:rsid w:val="00F8382C"/>
    <w:rsid w:val="00F855D7"/>
    <w:rsid w:val="00F92035"/>
    <w:rsid w:val="00F92748"/>
    <w:rsid w:val="00FA4169"/>
    <w:rsid w:val="00FB0D41"/>
    <w:rsid w:val="00FB2030"/>
    <w:rsid w:val="00FB4E1E"/>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locked/>
    <w:rsid w:val="00E4371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41295EA004115980DCE9FCB6040EB"/>
        <w:category>
          <w:name w:val="General"/>
          <w:gallery w:val="placeholder"/>
        </w:category>
        <w:types>
          <w:type w:val="bbPlcHdr"/>
        </w:types>
        <w:behaviors>
          <w:behavior w:val="content"/>
        </w:behaviors>
        <w:guid w:val="{E59D0DC7-72BF-4825-9684-A67C982B4815}"/>
      </w:docPartPr>
      <w:docPartBody>
        <w:p w:rsidR="003A7F46" w:rsidRDefault="00235A1E" w:rsidP="00235A1E">
          <w:pPr>
            <w:pStyle w:val="25441295EA004115980DCE9FCB6040EB"/>
          </w:pPr>
          <w:r>
            <w:rPr>
              <w:rStyle w:val="PlaceholderText"/>
            </w:rPr>
            <w:t>Click here to enter a date.</w:t>
          </w:r>
        </w:p>
      </w:docPartBody>
    </w:docPart>
    <w:docPart>
      <w:docPartPr>
        <w:name w:val="5D743A7437044FF981E9F9551CA6E76E"/>
        <w:category>
          <w:name w:val="General"/>
          <w:gallery w:val="placeholder"/>
        </w:category>
        <w:types>
          <w:type w:val="bbPlcHdr"/>
        </w:types>
        <w:behaviors>
          <w:behavior w:val="content"/>
        </w:behaviors>
        <w:guid w:val="{1D94C547-0825-40BE-BB61-A8AA4876E35C}"/>
      </w:docPartPr>
      <w:docPartBody>
        <w:p w:rsidR="003A7F46" w:rsidRDefault="00235A1E" w:rsidP="00235A1E">
          <w:pPr>
            <w:pStyle w:val="5D743A7437044FF981E9F9551CA6E76E"/>
          </w:pPr>
          <w:r>
            <w:rPr>
              <w:rStyle w:val="PlaceholderText"/>
            </w:rPr>
            <w:t>Click here to enter a date.</w:t>
          </w:r>
        </w:p>
      </w:docPartBody>
    </w:docPart>
    <w:docPart>
      <w:docPartPr>
        <w:name w:val="5557CF747AA84FAF960DA558AF779575"/>
        <w:category>
          <w:name w:val="General"/>
          <w:gallery w:val="placeholder"/>
        </w:category>
        <w:types>
          <w:type w:val="bbPlcHdr"/>
        </w:types>
        <w:behaviors>
          <w:behavior w:val="content"/>
        </w:behaviors>
        <w:guid w:val="{DF95A096-CBCF-4A4D-8B53-097535A68C7D}"/>
      </w:docPartPr>
      <w:docPartBody>
        <w:p w:rsidR="00C44FEC" w:rsidRDefault="005B0F48" w:rsidP="005B0F48">
          <w:pPr>
            <w:pStyle w:val="5557CF747AA84FAF960DA558AF779575"/>
          </w:pPr>
          <w:r>
            <w:rPr>
              <w:rStyle w:val="PlaceholderText"/>
            </w:rPr>
            <w:t>Click here to enter a date.</w:t>
          </w:r>
        </w:p>
      </w:docPartBody>
    </w:docPart>
    <w:docPart>
      <w:docPartPr>
        <w:name w:val="5C16A419609D4C59BA5066CBD7F46E76"/>
        <w:category>
          <w:name w:val="General"/>
          <w:gallery w:val="placeholder"/>
        </w:category>
        <w:types>
          <w:type w:val="bbPlcHdr"/>
        </w:types>
        <w:behaviors>
          <w:behavior w:val="content"/>
        </w:behaviors>
        <w:guid w:val="{0328686F-D8EE-45AD-AE68-A8CCCB8E3F57}"/>
      </w:docPartPr>
      <w:docPartBody>
        <w:p w:rsidR="00C44FEC" w:rsidRDefault="005B0F48" w:rsidP="005B0F48">
          <w:pPr>
            <w:pStyle w:val="5C16A419609D4C59BA5066CBD7F46E76"/>
          </w:pPr>
          <w:r>
            <w:rPr>
              <w:rStyle w:val="PlaceholderText"/>
            </w:rPr>
            <w:t>Click here to enter a date.</w:t>
          </w:r>
        </w:p>
      </w:docPartBody>
    </w:docPart>
    <w:docPart>
      <w:docPartPr>
        <w:name w:val="3AC785ACB410409CA7AFAC15F5CE3211"/>
        <w:category>
          <w:name w:val="General"/>
          <w:gallery w:val="placeholder"/>
        </w:category>
        <w:types>
          <w:type w:val="bbPlcHdr"/>
        </w:types>
        <w:behaviors>
          <w:behavior w:val="content"/>
        </w:behaviors>
        <w:guid w:val="{BEF6D7A0-695D-4158-9C2A-4CC060D4E088}"/>
      </w:docPartPr>
      <w:docPartBody>
        <w:p w:rsidR="00C44FEC" w:rsidRDefault="005B0F48" w:rsidP="005B0F48">
          <w:pPr>
            <w:pStyle w:val="3AC785ACB410409CA7AFAC15F5CE3211"/>
          </w:pPr>
          <w:r>
            <w:rPr>
              <w:rStyle w:val="PlaceholderText"/>
            </w:rPr>
            <w:t>Click here to enter a date.</w:t>
          </w:r>
        </w:p>
      </w:docPartBody>
    </w:docPart>
    <w:docPart>
      <w:docPartPr>
        <w:name w:val="385764B1DC2B4E988E501659542BC85F"/>
        <w:category>
          <w:name w:val="General"/>
          <w:gallery w:val="placeholder"/>
        </w:category>
        <w:types>
          <w:type w:val="bbPlcHdr"/>
        </w:types>
        <w:behaviors>
          <w:behavior w:val="content"/>
        </w:behaviors>
        <w:guid w:val="{1A45AEBC-6EF1-4D14-A7B3-96CDD6C98BC3}"/>
      </w:docPartPr>
      <w:docPartBody>
        <w:p w:rsidR="00C44FEC" w:rsidRDefault="005B0F48" w:rsidP="005B0F48">
          <w:pPr>
            <w:pStyle w:val="385764B1DC2B4E988E501659542BC85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B56C9"/>
    <w:rsid w:val="001C35A9"/>
    <w:rsid w:val="00235A1E"/>
    <w:rsid w:val="00237556"/>
    <w:rsid w:val="0039303B"/>
    <w:rsid w:val="003A7F46"/>
    <w:rsid w:val="003E6CA8"/>
    <w:rsid w:val="004144A3"/>
    <w:rsid w:val="004160E7"/>
    <w:rsid w:val="004416C6"/>
    <w:rsid w:val="00456E96"/>
    <w:rsid w:val="004F5AB2"/>
    <w:rsid w:val="005074B9"/>
    <w:rsid w:val="005724B5"/>
    <w:rsid w:val="005B0F48"/>
    <w:rsid w:val="005C62E5"/>
    <w:rsid w:val="005D3925"/>
    <w:rsid w:val="005E40DD"/>
    <w:rsid w:val="005F1856"/>
    <w:rsid w:val="0064658E"/>
    <w:rsid w:val="007219C1"/>
    <w:rsid w:val="00753462"/>
    <w:rsid w:val="00772325"/>
    <w:rsid w:val="007A2FE0"/>
    <w:rsid w:val="007C6D1D"/>
    <w:rsid w:val="007F7BDD"/>
    <w:rsid w:val="008760FE"/>
    <w:rsid w:val="00887BE0"/>
    <w:rsid w:val="008B339B"/>
    <w:rsid w:val="0090074D"/>
    <w:rsid w:val="009B3BF0"/>
    <w:rsid w:val="009D5E5E"/>
    <w:rsid w:val="009F1BB4"/>
    <w:rsid w:val="00AB6ED4"/>
    <w:rsid w:val="00B14210"/>
    <w:rsid w:val="00B22ED6"/>
    <w:rsid w:val="00B23DC0"/>
    <w:rsid w:val="00B96656"/>
    <w:rsid w:val="00C2401D"/>
    <w:rsid w:val="00C250D7"/>
    <w:rsid w:val="00C44FEC"/>
    <w:rsid w:val="00C50026"/>
    <w:rsid w:val="00C53A68"/>
    <w:rsid w:val="00CA5BB4"/>
    <w:rsid w:val="00CB4BD1"/>
    <w:rsid w:val="00CD139C"/>
    <w:rsid w:val="00CE2DA9"/>
    <w:rsid w:val="00CE44BE"/>
    <w:rsid w:val="00D0142D"/>
    <w:rsid w:val="00D4356B"/>
    <w:rsid w:val="00D7162F"/>
    <w:rsid w:val="00DB4DB5"/>
    <w:rsid w:val="00DE4D10"/>
    <w:rsid w:val="00E44A86"/>
    <w:rsid w:val="00E522EB"/>
    <w:rsid w:val="00E60827"/>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B0F48"/>
    <w:rPr>
      <w:color w:val="808080"/>
    </w:rPr>
  </w:style>
  <w:style w:type="paragraph" w:customStyle="1" w:styleId="25441295EA004115980DCE9FCB6040EB">
    <w:name w:val="25441295EA004115980DCE9FCB6040EB"/>
    <w:rsid w:val="00235A1E"/>
    <w:rPr>
      <w:kern w:val="2"/>
      <w:lang w:val="en-GB" w:eastAsia="en-GB"/>
      <w14:ligatures w14:val="standardContextual"/>
    </w:rPr>
  </w:style>
  <w:style w:type="paragraph" w:customStyle="1" w:styleId="5D743A7437044FF981E9F9551CA6E76E">
    <w:name w:val="5D743A7437044FF981E9F9551CA6E76E"/>
    <w:rsid w:val="00235A1E"/>
    <w:rPr>
      <w:kern w:val="2"/>
      <w:lang w:val="en-GB" w:eastAsia="en-GB"/>
      <w14:ligatures w14:val="standardContextual"/>
    </w:rPr>
  </w:style>
  <w:style w:type="paragraph" w:customStyle="1" w:styleId="5557CF747AA84FAF960DA558AF779575">
    <w:name w:val="5557CF747AA84FAF960DA558AF779575"/>
    <w:rsid w:val="005B0F48"/>
  </w:style>
  <w:style w:type="paragraph" w:customStyle="1" w:styleId="5C16A419609D4C59BA5066CBD7F46E76">
    <w:name w:val="5C16A419609D4C59BA5066CBD7F46E76"/>
    <w:rsid w:val="005B0F48"/>
  </w:style>
  <w:style w:type="paragraph" w:customStyle="1" w:styleId="3AC785ACB410409CA7AFAC15F5CE3211">
    <w:name w:val="3AC785ACB410409CA7AFAC15F5CE3211"/>
    <w:rsid w:val="005B0F48"/>
  </w:style>
  <w:style w:type="paragraph" w:customStyle="1" w:styleId="385764B1DC2B4E988E501659542BC85F">
    <w:name w:val="385764B1DC2B4E988E501659542BC85F"/>
    <w:rsid w:val="005B0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7CBF1-E9EE-40D0-899C-6DD4618F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2189</Words>
  <Characters>12482</Characters>
  <Application>Microsoft Office Word</Application>
  <DocSecurity>0</DocSecurity>
  <Lines>104</Lines>
  <Paragraphs>29</Paragraphs>
  <ScaleCrop>false</ScaleCrop>
  <Company/>
  <LinksUpToDate>false</LinksUpToDate>
  <CharactersWithSpaces>14642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2023-12-22T06:30:00Z</dcterms:created>
  <dcterms:modified xsi:type="dcterms:W3CDTF">2024-01-03T13:47:00Z</dcterms:modified>
</cp:coreProperties>
</file>