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Default="005F7602" w:rsidP="002946C7">
      <w:pPr>
        <w:ind w:left="5529"/>
      </w:pPr>
    </w:p>
    <w:p w14:paraId="12FA4B9E" w14:textId="77777777" w:rsidR="001B3C5B" w:rsidRDefault="001B3C5B" w:rsidP="001B3C5B">
      <w:pPr>
        <w:ind w:left="6096"/>
      </w:pPr>
      <w:r>
        <w:t>Forma patvirtinta</w:t>
      </w:r>
    </w:p>
    <w:p w14:paraId="7206970B" w14:textId="70E9BD2E" w:rsidR="004C263A" w:rsidRDefault="001B3C5B" w:rsidP="001B3C5B">
      <w:pPr>
        <w:ind w:left="6096"/>
      </w:pPr>
      <w:r>
        <w:t>Valstybinės vaistų kontrolės tarnybos prie Lietuvos Respublikos sveikatos apsaugos ministerijos viršininko 2021 m</w:t>
      </w:r>
      <w:r w:rsidR="004C263A">
        <w:t xml:space="preserve">. lapkričio 12 </w:t>
      </w:r>
      <w:r>
        <w:t>d. įsakymu Nr.</w:t>
      </w:r>
      <w:r w:rsidR="004C263A">
        <w:t xml:space="preserve"> (1.72E)1A-1418</w:t>
      </w:r>
    </w:p>
    <w:p w14:paraId="5B219AA6" w14:textId="520B9136" w:rsidR="001B3C5B" w:rsidRDefault="004C263A" w:rsidP="001B3C5B">
      <w:pPr>
        <w:ind w:left="6096"/>
      </w:pPr>
      <w:r>
        <w:t>(Valstybinės vaistų kontrolės tarnybos prie Lietuvos Respublikos sveikatos apsaugos ministerijos viršininko 2022 m.                         d. įsakymo Nr.                    redakcija)</w:t>
      </w:r>
    </w:p>
    <w:p w14:paraId="3336BD74" w14:textId="77777777" w:rsidR="001B3C5B" w:rsidRPr="000A2492" w:rsidRDefault="001B3C5B" w:rsidP="00FA4169"/>
    <w:p w14:paraId="77AFB67E" w14:textId="16397257" w:rsidR="00613501" w:rsidRDefault="002F0E4F" w:rsidP="003B211A">
      <w:pPr>
        <w:jc w:val="center"/>
        <w:rPr>
          <w:b/>
          <w:bCs/>
          <w:caps/>
        </w:rPr>
      </w:pPr>
      <w:r>
        <w:rPr>
          <w:b/>
        </w:rPr>
        <w:t xml:space="preserve">REKOMENDACIJA DĖL VAISTINIO PREPARATO </w:t>
      </w:r>
      <w:r w:rsidRPr="002F0E4F">
        <w:rPr>
          <w:b/>
          <w:bCs/>
          <w:caps/>
        </w:rPr>
        <w:t>Lietuvos Respublikos Sveikatos apsaugos ministerijos vaistinių preparatų ir medicinos pagalbos priemonių kompensavimo komisijai</w:t>
      </w:r>
    </w:p>
    <w:p w14:paraId="34E4395D" w14:textId="15FB10DF" w:rsidR="00B13D65" w:rsidRDefault="00B13D65" w:rsidP="003B211A">
      <w:pPr>
        <w:jc w:val="center"/>
        <w:rPr>
          <w:b/>
        </w:rPr>
      </w:pPr>
    </w:p>
    <w:p w14:paraId="23B5C52C" w14:textId="77777777" w:rsidR="00A65E12" w:rsidRPr="00D05364" w:rsidRDefault="00A65E12" w:rsidP="00A65E12">
      <w:pPr>
        <w:jc w:val="center"/>
        <w:rPr>
          <w:b/>
        </w:rPr>
      </w:pPr>
      <w:r w:rsidRPr="001551DD">
        <w:rPr>
          <w:b/>
        </w:rPr>
        <w:t>Tecentriq</w:t>
      </w:r>
      <w:r w:rsidRPr="00D05364">
        <w:rPr>
          <w:b/>
        </w:rPr>
        <w:t xml:space="preserve"> </w:t>
      </w:r>
      <w:r w:rsidRPr="001551DD">
        <w:rPr>
          <w:b/>
        </w:rPr>
        <w:t>1200 mg koncentratas infuziniam tirpalui</w:t>
      </w:r>
    </w:p>
    <w:p w14:paraId="46C2D966" w14:textId="77777777" w:rsidR="00937907" w:rsidRPr="00880A44" w:rsidRDefault="00937907" w:rsidP="00937907">
      <w:pPr>
        <w:jc w:val="center"/>
      </w:pPr>
    </w:p>
    <w:p w14:paraId="6050C831" w14:textId="77777777" w:rsidR="00A65E12" w:rsidRPr="006C58BC" w:rsidRDefault="00A65E12" w:rsidP="00A65E12">
      <w:pPr>
        <w:jc w:val="center"/>
        <w:rPr>
          <w:b/>
        </w:rPr>
      </w:pPr>
      <w:r w:rsidRPr="006C58BC">
        <w:rPr>
          <w:b/>
        </w:rPr>
        <w:t>Atezolizumabas</w:t>
      </w:r>
    </w:p>
    <w:p w14:paraId="5A23F287" w14:textId="77777777" w:rsidR="00A65E12" w:rsidRPr="00880A44" w:rsidRDefault="00A65E12" w:rsidP="00A65E12">
      <w:pPr>
        <w:jc w:val="center"/>
      </w:pPr>
    </w:p>
    <w:p w14:paraId="461B0F76" w14:textId="3A3580B5" w:rsidR="00A65E12" w:rsidRPr="00F16991" w:rsidRDefault="00A65E12" w:rsidP="00A65E12">
      <w:pPr>
        <w:jc w:val="center"/>
        <w:rPr>
          <w:bCs/>
        </w:rPr>
      </w:pPr>
      <w:r w:rsidRPr="00F16991">
        <w:rPr>
          <w:bCs/>
        </w:rPr>
        <w:t>STV</w:t>
      </w:r>
      <w:r w:rsidR="007D1283">
        <w:rPr>
          <w:bCs/>
        </w:rPr>
        <w:t>-</w:t>
      </w:r>
      <w:r w:rsidRPr="00F16991">
        <w:rPr>
          <w:bCs/>
        </w:rPr>
        <w:t>45</w:t>
      </w:r>
    </w:p>
    <w:p w14:paraId="453197C8" w14:textId="77777777" w:rsidR="00D4708D" w:rsidRPr="004C263A" w:rsidRDefault="00D4708D" w:rsidP="00A65E12">
      <w:pPr>
        <w:rPr>
          <w:b/>
        </w:rPr>
      </w:pPr>
    </w:p>
    <w:p w14:paraId="78C89D1C" w14:textId="4461AED4" w:rsidR="00D4485B" w:rsidRDefault="00B13D65" w:rsidP="00937907">
      <w:pPr>
        <w:pStyle w:val="ListParagraph"/>
        <w:numPr>
          <w:ilvl w:val="0"/>
          <w:numId w:val="12"/>
        </w:numPr>
        <w:tabs>
          <w:tab w:val="left" w:pos="284"/>
        </w:tabs>
        <w:rPr>
          <w:b/>
          <w:bCs/>
          <w:caps/>
        </w:rPr>
      </w:pPr>
      <w:r>
        <w:rPr>
          <w:b/>
          <w:bCs/>
          <w:caps/>
        </w:rPr>
        <w:t>Bendroji dalis</w:t>
      </w:r>
    </w:p>
    <w:p w14:paraId="04A7C7A7" w14:textId="77777777" w:rsidR="00B13D65" w:rsidRDefault="00B13D65" w:rsidP="00E03C3F">
      <w:pPr>
        <w:pStyle w:val="ListParagraph"/>
        <w:tabs>
          <w:tab w:val="left" w:pos="284"/>
        </w:tabs>
        <w:ind w:left="0"/>
        <w:rPr>
          <w:b/>
          <w:bCs/>
          <w:caps/>
        </w:rPr>
      </w:pPr>
    </w:p>
    <w:tbl>
      <w:tblPr>
        <w:tblStyle w:val="TableGrid"/>
        <w:tblW w:w="9039" w:type="dxa"/>
        <w:tblLook w:val="04A0" w:firstRow="1" w:lastRow="0" w:firstColumn="1" w:lastColumn="0" w:noHBand="0" w:noVBand="1"/>
      </w:tblPr>
      <w:tblGrid>
        <w:gridCol w:w="632"/>
        <w:gridCol w:w="3694"/>
        <w:gridCol w:w="4713"/>
      </w:tblGrid>
      <w:tr w:rsidR="00A65E12" w:rsidRPr="00FE1635" w14:paraId="18A83EC2" w14:textId="77777777" w:rsidTr="006834D3">
        <w:trPr>
          <w:trHeight w:val="538"/>
        </w:trPr>
        <w:tc>
          <w:tcPr>
            <w:tcW w:w="632" w:type="dxa"/>
          </w:tcPr>
          <w:p w14:paraId="0646FBEA" w14:textId="77777777" w:rsidR="00A65E12" w:rsidRPr="006E501F" w:rsidRDefault="00A65E12" w:rsidP="00A65E12">
            <w:pPr>
              <w:tabs>
                <w:tab w:val="left" w:pos="284"/>
              </w:tabs>
              <w:spacing w:line="280" w:lineRule="atLeast"/>
              <w:rPr>
                <w:rFonts w:eastAsia="Arial"/>
                <w:b/>
              </w:rPr>
            </w:pPr>
            <w:r w:rsidRPr="006E501F">
              <w:rPr>
                <w:rFonts w:eastAsia="Arial"/>
                <w:b/>
              </w:rPr>
              <w:t>1.1</w:t>
            </w:r>
          </w:p>
        </w:tc>
        <w:tc>
          <w:tcPr>
            <w:tcW w:w="3694" w:type="dxa"/>
          </w:tcPr>
          <w:p w14:paraId="6C3AE864" w14:textId="77777777" w:rsidR="00A65E12" w:rsidRPr="006E501F" w:rsidRDefault="00A65E12" w:rsidP="00A65E12">
            <w:pPr>
              <w:tabs>
                <w:tab w:val="left" w:pos="284"/>
              </w:tabs>
              <w:spacing w:line="280" w:lineRule="atLeast"/>
              <w:rPr>
                <w:rFonts w:eastAsia="Arial"/>
                <w:b/>
              </w:rPr>
            </w:pPr>
            <w:r w:rsidRPr="006E501F">
              <w:rPr>
                <w:rFonts w:eastAsia="Arial"/>
                <w:b/>
              </w:rPr>
              <w:t>Pareiškėjas</w:t>
            </w:r>
          </w:p>
          <w:p w14:paraId="2AF240DC" w14:textId="77777777" w:rsidR="00A65E12" w:rsidRPr="00FE1635" w:rsidRDefault="00A65E12" w:rsidP="00A65E12">
            <w:pPr>
              <w:tabs>
                <w:tab w:val="left" w:pos="284"/>
              </w:tabs>
              <w:spacing w:line="280" w:lineRule="atLeast"/>
              <w:rPr>
                <w:rFonts w:eastAsia="Arial"/>
                <w:b/>
              </w:rPr>
            </w:pPr>
          </w:p>
        </w:tc>
        <w:tc>
          <w:tcPr>
            <w:tcW w:w="4713" w:type="dxa"/>
          </w:tcPr>
          <w:p w14:paraId="2AAF0D91" w14:textId="4D534807" w:rsidR="00A65E12" w:rsidRPr="00FE1635" w:rsidRDefault="00A65E12" w:rsidP="00A65E12">
            <w:pPr>
              <w:tabs>
                <w:tab w:val="left" w:pos="284"/>
              </w:tabs>
              <w:spacing w:line="280" w:lineRule="atLeast"/>
              <w:rPr>
                <w:rFonts w:eastAsia="Arial"/>
                <w:b/>
              </w:rPr>
            </w:pPr>
            <w:r w:rsidRPr="00DC1FA6">
              <w:t>UAB „Roche Lietuva”</w:t>
            </w:r>
          </w:p>
        </w:tc>
      </w:tr>
      <w:tr w:rsidR="00B13D65" w:rsidRPr="00FE1635" w14:paraId="31998B0D" w14:textId="77777777" w:rsidTr="006834D3">
        <w:trPr>
          <w:trHeight w:val="538"/>
        </w:trPr>
        <w:tc>
          <w:tcPr>
            <w:tcW w:w="632" w:type="dxa"/>
          </w:tcPr>
          <w:p w14:paraId="2005EC67" w14:textId="662300D0" w:rsidR="00B13D65" w:rsidRPr="00FE1635" w:rsidRDefault="002E0702" w:rsidP="00BD1E5A">
            <w:pPr>
              <w:tabs>
                <w:tab w:val="left" w:pos="284"/>
              </w:tabs>
              <w:spacing w:line="280" w:lineRule="atLeast"/>
              <w:rPr>
                <w:rFonts w:eastAsia="Arial"/>
                <w:b/>
              </w:rPr>
            </w:pPr>
            <w:r>
              <w:rPr>
                <w:rFonts w:eastAsia="Arial"/>
                <w:b/>
              </w:rPr>
              <w:t>1.2</w:t>
            </w:r>
          </w:p>
        </w:tc>
        <w:tc>
          <w:tcPr>
            <w:tcW w:w="3694" w:type="dxa"/>
          </w:tcPr>
          <w:p w14:paraId="1E4AE3B1" w14:textId="77777777" w:rsidR="00B13D65" w:rsidRPr="00FE1635" w:rsidRDefault="00B13D65" w:rsidP="00BD1E5A">
            <w:pPr>
              <w:tabs>
                <w:tab w:val="left" w:pos="284"/>
              </w:tabs>
              <w:spacing w:line="280" w:lineRule="atLeast"/>
              <w:rPr>
                <w:b/>
                <w:bCs/>
                <w:color w:val="000000"/>
                <w:lang w:eastAsia="lt-LT"/>
              </w:rPr>
            </w:pPr>
            <w:r w:rsidRPr="00FE1635">
              <w:rPr>
                <w:b/>
                <w:bCs/>
                <w:color w:val="000000"/>
                <w:lang w:eastAsia="lt-LT"/>
              </w:rPr>
              <w:t xml:space="preserve">Registracijos data </w:t>
            </w:r>
          </w:p>
          <w:p w14:paraId="3A0DC096" w14:textId="77777777" w:rsidR="00B13D65" w:rsidRPr="00FE1635" w:rsidRDefault="00B13D65" w:rsidP="00BD1E5A">
            <w:pPr>
              <w:tabs>
                <w:tab w:val="left" w:pos="284"/>
              </w:tabs>
              <w:spacing w:line="280" w:lineRule="atLeast"/>
              <w:rPr>
                <w:bCs/>
                <w:color w:val="000000"/>
                <w:lang w:eastAsia="lt-LT"/>
              </w:rPr>
            </w:pPr>
          </w:p>
        </w:tc>
        <w:tc>
          <w:tcPr>
            <w:tcW w:w="4713" w:type="dxa"/>
          </w:tcPr>
          <w:p w14:paraId="3CA218AD" w14:textId="134D514B" w:rsidR="00B13D65" w:rsidRPr="00B70629" w:rsidRDefault="006358C4" w:rsidP="00BD1E5A">
            <w:pPr>
              <w:pStyle w:val="ListParagraph"/>
              <w:spacing w:after="120"/>
              <w:ind w:left="0"/>
              <w:contextualSpacing w:val="0"/>
              <w:jc w:val="both"/>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A65E12" w:rsidRPr="00A65E12">
                  <w:t>2017 m. rugsėjo 25 d.</w:t>
                </w:r>
              </w:sdtContent>
            </w:sdt>
          </w:p>
        </w:tc>
      </w:tr>
      <w:tr w:rsidR="00B13D65" w:rsidRPr="00FE1635" w14:paraId="15968AE1" w14:textId="77777777" w:rsidTr="006834D3">
        <w:trPr>
          <w:trHeight w:val="1500"/>
        </w:trPr>
        <w:tc>
          <w:tcPr>
            <w:tcW w:w="632" w:type="dxa"/>
          </w:tcPr>
          <w:p w14:paraId="6A784245" w14:textId="1E461489" w:rsidR="00B13D65" w:rsidRPr="00FE1635" w:rsidRDefault="002E0702" w:rsidP="00BD1E5A">
            <w:pPr>
              <w:tabs>
                <w:tab w:val="left" w:pos="284"/>
              </w:tabs>
              <w:spacing w:line="280" w:lineRule="atLeast"/>
              <w:rPr>
                <w:rFonts w:eastAsia="Arial"/>
                <w:b/>
              </w:rPr>
            </w:pPr>
            <w:r>
              <w:rPr>
                <w:rFonts w:eastAsia="Arial"/>
                <w:b/>
              </w:rPr>
              <w:t>1.3</w:t>
            </w:r>
          </w:p>
        </w:tc>
        <w:tc>
          <w:tcPr>
            <w:tcW w:w="3694" w:type="dxa"/>
          </w:tcPr>
          <w:p w14:paraId="22933506" w14:textId="77777777" w:rsidR="00B13D65" w:rsidRPr="0039696E" w:rsidRDefault="00B13D65" w:rsidP="00BD1E5A">
            <w:pPr>
              <w:pStyle w:val="NoSpacing"/>
              <w:rPr>
                <w:rFonts w:ascii="Times New Roman" w:hAnsi="Times New Roman"/>
                <w:b/>
                <w:sz w:val="24"/>
                <w:szCs w:val="24"/>
              </w:rPr>
            </w:pPr>
            <w:r w:rsidRPr="0039696E">
              <w:rPr>
                <w:rFonts w:ascii="Times New Roman" w:hAnsi="Times New Roman"/>
                <w:b/>
                <w:sz w:val="24"/>
                <w:szCs w:val="24"/>
              </w:rPr>
              <w:t xml:space="preserve">Paraiškos tipas </w:t>
            </w:r>
          </w:p>
          <w:p w14:paraId="0465E680" w14:textId="7F0A0714" w:rsidR="00B13D65" w:rsidRPr="0039696E" w:rsidRDefault="00B13D65" w:rsidP="00BD1E5A">
            <w:pPr>
              <w:rPr>
                <w:b/>
              </w:rPr>
            </w:pPr>
            <w:r w:rsidRPr="0039696E">
              <w:rPr>
                <w:b/>
              </w:rPr>
              <w:t>(</w:t>
            </w:r>
            <w:r w:rsidR="00695CD3" w:rsidRPr="0039696E">
              <w:rPr>
                <w:b/>
              </w:rPr>
              <w:t xml:space="preserve">pagal </w:t>
            </w:r>
            <w:r w:rsidR="0039696E" w:rsidRPr="00100491">
              <w:rPr>
                <w:b/>
                <w:color w:val="333333"/>
                <w:shd w:val="clear" w:color="auto" w:fill="FFFFFF"/>
              </w:rPr>
              <w:t>vaistinio preparato registracijos tipą, įtvirtintą</w:t>
            </w:r>
            <w:r w:rsidR="0039696E" w:rsidRPr="0039696E">
              <w:rPr>
                <w:b/>
              </w:rPr>
              <w:t xml:space="preserve"> </w:t>
            </w:r>
            <w:r w:rsidRPr="0039696E">
              <w:rPr>
                <w:b/>
              </w:rPr>
              <w:t>Direktyv</w:t>
            </w:r>
            <w:r w:rsidR="00695CD3" w:rsidRPr="0039696E">
              <w:rPr>
                <w:b/>
              </w:rPr>
              <w:t>os</w:t>
            </w:r>
            <w:r w:rsidRPr="0039696E">
              <w:rPr>
                <w:b/>
              </w:rPr>
              <w:t xml:space="preserve"> 2001/83/EB</w:t>
            </w:r>
            <w:r w:rsidR="00695CD3" w:rsidRPr="0039696E">
              <w:rPr>
                <w:b/>
              </w:rPr>
              <w:t xml:space="preserve"> straips</w:t>
            </w:r>
            <w:r w:rsidR="0039696E">
              <w:rPr>
                <w:b/>
              </w:rPr>
              <w:t>iuose</w:t>
            </w:r>
            <w:r w:rsidRPr="0039696E">
              <w:rPr>
                <w:b/>
              </w:rPr>
              <w:t>)</w:t>
            </w:r>
          </w:p>
          <w:p w14:paraId="77089D80" w14:textId="6681D72A" w:rsidR="00B13D65" w:rsidRPr="0039696E" w:rsidRDefault="00B13D65" w:rsidP="0039696E">
            <w:pPr>
              <w:tabs>
                <w:tab w:val="left" w:pos="284"/>
              </w:tabs>
              <w:spacing w:line="280" w:lineRule="atLeast"/>
              <w:rPr>
                <w:b/>
                <w:bCs/>
                <w:color w:val="000000"/>
                <w:lang w:eastAsia="lt-LT"/>
              </w:rPr>
            </w:pPr>
          </w:p>
        </w:tc>
        <w:tc>
          <w:tcPr>
            <w:tcW w:w="4713" w:type="dxa"/>
          </w:tcPr>
          <w:p w14:paraId="208F40EC" w14:textId="4834E3CE" w:rsidR="00B13D65" w:rsidRPr="00A65E12" w:rsidRDefault="006358C4" w:rsidP="00937907">
            <w:pPr>
              <w:pStyle w:val="ListParagraph"/>
              <w:spacing w:after="120"/>
              <w:ind w:left="0"/>
              <w:contextualSpacing w:val="0"/>
              <w:jc w:val="both"/>
            </w:pPr>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A65E12" w:rsidRPr="00A65E12">
                  <w:rPr>
                    <w:rStyle w:val="Style2"/>
                    <w:rFonts w:ascii="Segoe UI Symbol" w:eastAsia="MS Gothic" w:hAnsi="Segoe UI Symbol" w:cs="Segoe UI Symbol"/>
                    <w:sz w:val="24"/>
                  </w:rPr>
                  <w:t>☒</w:t>
                </w:r>
              </w:sdtContent>
            </w:sdt>
            <w:r w:rsidR="00B13D65" w:rsidRPr="00A65E12">
              <w:t xml:space="preserve">8.3 str. (pilna byla, pagrįsta savais tyrimais) </w:t>
            </w:r>
          </w:p>
          <w:p w14:paraId="32BA564E" w14:textId="3FDA3E01" w:rsidR="00B13D65" w:rsidRPr="00A65E12" w:rsidRDefault="006358C4" w:rsidP="00937907">
            <w:pPr>
              <w:pStyle w:val="ListParagraph"/>
              <w:spacing w:after="120"/>
              <w:ind w:left="0"/>
              <w:contextualSpacing w:val="0"/>
              <w:jc w:val="both"/>
            </w:pPr>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CC7832" w:rsidRPr="00A65E12">
                  <w:rPr>
                    <w:rStyle w:val="Style2"/>
                    <w:rFonts w:ascii="Segoe UI Symbol" w:eastAsia="MS Gothic" w:hAnsi="Segoe UI Symbol" w:cs="Segoe UI Symbol"/>
                    <w:sz w:val="24"/>
                  </w:rPr>
                  <w:t>☐</w:t>
                </w:r>
              </w:sdtContent>
            </w:sdt>
            <w:r w:rsidR="00B13D65" w:rsidRPr="00A65E12">
              <w:t xml:space="preserve">10 a str. (pripažintas medicininis vartojimas) </w:t>
            </w:r>
          </w:p>
          <w:p w14:paraId="318DCD7F" w14:textId="32333E53" w:rsidR="00B13D65" w:rsidRPr="00A65E12" w:rsidRDefault="006358C4" w:rsidP="00937907">
            <w:pPr>
              <w:pStyle w:val="ListParagraph"/>
              <w:spacing w:after="120"/>
              <w:ind w:left="0"/>
              <w:contextualSpacing w:val="0"/>
              <w:jc w:val="both"/>
            </w:pPr>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CC7832" w:rsidRPr="00A65E12">
                  <w:rPr>
                    <w:rStyle w:val="Style2"/>
                    <w:rFonts w:ascii="Segoe UI Symbol" w:eastAsia="MS Gothic" w:hAnsi="Segoe UI Symbol" w:cs="Segoe UI Symbol"/>
                    <w:sz w:val="24"/>
                  </w:rPr>
                  <w:t>☐</w:t>
                </w:r>
              </w:sdtContent>
            </w:sdt>
            <w:r w:rsidR="00B13D65" w:rsidRPr="00A65E12">
              <w:t>10.1 str. (generinis)</w:t>
            </w:r>
          </w:p>
          <w:p w14:paraId="3B0A4F72" w14:textId="3F5FB073" w:rsidR="00B13D65" w:rsidRPr="00B70629" w:rsidRDefault="006358C4" w:rsidP="00937907">
            <w:pPr>
              <w:pStyle w:val="ListParagraph"/>
              <w:spacing w:after="120"/>
              <w:ind w:left="0"/>
              <w:contextualSpacing w:val="0"/>
              <w:jc w:val="both"/>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CC7832" w:rsidRPr="00A65E12">
                  <w:rPr>
                    <w:rStyle w:val="Style2"/>
                    <w:rFonts w:ascii="Segoe UI Symbol" w:eastAsia="MS Gothic" w:hAnsi="Segoe UI Symbol" w:cs="Segoe UI Symbol"/>
                    <w:sz w:val="24"/>
                  </w:rPr>
                  <w:t>☐</w:t>
                </w:r>
              </w:sdtContent>
            </w:sdt>
            <w:r w:rsidR="00B13D65" w:rsidRPr="00A65E12">
              <w:t>10.3 str. (hibridinis)</w:t>
            </w:r>
          </w:p>
        </w:tc>
      </w:tr>
      <w:tr w:rsidR="00B13D65" w:rsidRPr="00FE1635" w14:paraId="310E9662" w14:textId="77777777" w:rsidTr="006834D3">
        <w:trPr>
          <w:trHeight w:val="1442"/>
        </w:trPr>
        <w:tc>
          <w:tcPr>
            <w:tcW w:w="632" w:type="dxa"/>
          </w:tcPr>
          <w:p w14:paraId="4B5A91A2" w14:textId="561B5E5F" w:rsidR="00B13D65" w:rsidRPr="00FE1635" w:rsidRDefault="00B13D65" w:rsidP="002E0702">
            <w:pPr>
              <w:tabs>
                <w:tab w:val="left" w:pos="284"/>
              </w:tabs>
              <w:spacing w:line="280" w:lineRule="atLeast"/>
              <w:rPr>
                <w:rFonts w:eastAsia="Arial"/>
                <w:b/>
              </w:rPr>
            </w:pPr>
            <w:r w:rsidRPr="00FE1635">
              <w:rPr>
                <w:rFonts w:eastAsia="Arial"/>
                <w:b/>
              </w:rPr>
              <w:t>1.</w:t>
            </w:r>
            <w:r w:rsidR="002E0702">
              <w:rPr>
                <w:rFonts w:eastAsia="Arial"/>
                <w:b/>
              </w:rPr>
              <w:t>4</w:t>
            </w:r>
          </w:p>
        </w:tc>
        <w:tc>
          <w:tcPr>
            <w:tcW w:w="3694" w:type="dxa"/>
          </w:tcPr>
          <w:p w14:paraId="6C91E105" w14:textId="77777777" w:rsidR="00B13D65" w:rsidRPr="00FE1635" w:rsidRDefault="00B13D65" w:rsidP="00BD1E5A">
            <w:pPr>
              <w:tabs>
                <w:tab w:val="left" w:pos="284"/>
              </w:tabs>
              <w:spacing w:line="280" w:lineRule="atLeast"/>
              <w:rPr>
                <w:b/>
                <w:bCs/>
                <w:color w:val="000000"/>
                <w:lang w:eastAsia="lt-LT"/>
              </w:rPr>
            </w:pPr>
            <w:r w:rsidRPr="00FE1635">
              <w:rPr>
                <w:b/>
                <w:bCs/>
                <w:color w:val="000000"/>
                <w:lang w:eastAsia="lt-LT"/>
              </w:rPr>
              <w:t xml:space="preserve">Ar vaistinis preparatas įrašytas į Bendrijos retųjų vaistinių preparatų registrą? </w:t>
            </w:r>
          </w:p>
          <w:p w14:paraId="33726F9C" w14:textId="77777777" w:rsidR="00B13D65" w:rsidRPr="00FE1635" w:rsidRDefault="00B13D65" w:rsidP="00BD1E5A">
            <w:pPr>
              <w:tabs>
                <w:tab w:val="left" w:pos="284"/>
              </w:tabs>
              <w:spacing w:line="280" w:lineRule="atLeast"/>
              <w:rPr>
                <w:bCs/>
                <w:i/>
                <w:color w:val="000000"/>
                <w:lang w:eastAsia="lt-LT"/>
              </w:rPr>
            </w:pPr>
          </w:p>
          <w:p w14:paraId="483071A3" w14:textId="03A651C1" w:rsidR="00B13D65" w:rsidRPr="00FE1635" w:rsidRDefault="00B13D65" w:rsidP="00A06DBB">
            <w:pPr>
              <w:tabs>
                <w:tab w:val="left" w:pos="284"/>
              </w:tabs>
              <w:spacing w:line="280" w:lineRule="atLeast"/>
              <w:rPr>
                <w:b/>
                <w:bCs/>
                <w:color w:val="000000"/>
                <w:lang w:eastAsia="lt-LT"/>
              </w:rPr>
            </w:pPr>
          </w:p>
        </w:tc>
        <w:tc>
          <w:tcPr>
            <w:tcW w:w="4713" w:type="dxa"/>
          </w:tcPr>
          <w:p w14:paraId="05845C60" w14:textId="77777777" w:rsidR="00B13D65" w:rsidRPr="00A65E12" w:rsidRDefault="006358C4" w:rsidP="00BD1E5A">
            <w:pPr>
              <w:pStyle w:val="ListParagraph"/>
              <w:spacing w:after="120"/>
              <w:ind w:left="0"/>
              <w:contextualSpacing w:val="0"/>
              <w:jc w:val="both"/>
            </w:pPr>
            <w:sdt>
              <w:sdtPr>
                <w:rPr>
                  <w:rStyle w:val="Style2"/>
                  <w:sz w:val="24"/>
                </w:rPr>
                <w:id w:val="2024432173"/>
                <w15:color w:val="FFCC00"/>
                <w14:checkbox>
                  <w14:checked w14:val="0"/>
                  <w14:checkedState w14:val="2612" w14:font="MS Gothic"/>
                  <w14:uncheckedState w14:val="2610" w14:font="MS Gothic"/>
                </w14:checkbox>
              </w:sdtPr>
              <w:sdtEndPr>
                <w:rPr>
                  <w:rStyle w:val="Style2"/>
                </w:rPr>
              </w:sdtEndPr>
              <w:sdtContent>
                <w:r w:rsidR="00B13D65" w:rsidRPr="00A65E12">
                  <w:rPr>
                    <w:rStyle w:val="Style2"/>
                    <w:rFonts w:ascii="Segoe UI Symbol" w:eastAsia="MS Gothic" w:hAnsi="Segoe UI Symbol" w:cs="Segoe UI Symbol"/>
                    <w:sz w:val="24"/>
                  </w:rPr>
                  <w:t>☐</w:t>
                </w:r>
              </w:sdtContent>
            </w:sdt>
            <w:r w:rsidR="00B13D65" w:rsidRPr="00A65E12">
              <w:t xml:space="preserve"> Taip</w:t>
            </w:r>
          </w:p>
          <w:p w14:paraId="41D88067" w14:textId="713138ED" w:rsidR="00B13D65" w:rsidRPr="00A65E12" w:rsidRDefault="006358C4" w:rsidP="00BD1E5A">
            <w:pPr>
              <w:pStyle w:val="ListParagraph"/>
              <w:spacing w:after="120"/>
              <w:ind w:left="0"/>
              <w:contextualSpacing w:val="0"/>
              <w:jc w:val="both"/>
            </w:pPr>
            <w:sdt>
              <w:sdtPr>
                <w:rPr>
                  <w:rStyle w:val="Style2"/>
                  <w:sz w:val="24"/>
                </w:rPr>
                <w:id w:val="-970507926"/>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sz w:val="24"/>
                  </w:rPr>
                  <w:t>☒</w:t>
                </w:r>
              </w:sdtContent>
            </w:sdt>
            <w:r w:rsidR="00B13D65" w:rsidRPr="00A65E12">
              <w:t xml:space="preserve"> Ne</w:t>
            </w:r>
          </w:p>
          <w:p w14:paraId="29C2CBBB" w14:textId="77777777" w:rsidR="00B13D65" w:rsidRPr="006E501F" w:rsidRDefault="006358C4" w:rsidP="00BD1E5A">
            <w:pPr>
              <w:pStyle w:val="ListParagraph"/>
              <w:spacing w:after="120"/>
              <w:ind w:left="0"/>
              <w:contextualSpacing w:val="0"/>
              <w:jc w:val="both"/>
              <w:rPr>
                <w:rFonts w:eastAsia="Arial"/>
                <w:b/>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EndPr/>
              <w:sdtContent>
                <w:r w:rsidR="00B13D65" w:rsidRPr="00A65E12">
                  <w:rPr>
                    <w:rStyle w:val="PlaceholderText"/>
                  </w:rPr>
                  <w:t>Click here to enter a date.</w:t>
                </w:r>
              </w:sdtContent>
            </w:sdt>
          </w:p>
        </w:tc>
      </w:tr>
      <w:tr w:rsidR="00B13D65" w:rsidRPr="00FE1635" w14:paraId="274D1DAF" w14:textId="77777777" w:rsidTr="006834D3">
        <w:trPr>
          <w:trHeight w:val="1922"/>
        </w:trPr>
        <w:tc>
          <w:tcPr>
            <w:tcW w:w="632" w:type="dxa"/>
          </w:tcPr>
          <w:p w14:paraId="17ABF217" w14:textId="6D9EE8BB" w:rsidR="00B13D65" w:rsidRPr="00FE1635" w:rsidRDefault="00B13D65" w:rsidP="002E0702">
            <w:pPr>
              <w:tabs>
                <w:tab w:val="left" w:pos="284"/>
              </w:tabs>
              <w:spacing w:line="280" w:lineRule="atLeast"/>
              <w:rPr>
                <w:rFonts w:eastAsia="Arial"/>
                <w:b/>
              </w:rPr>
            </w:pPr>
            <w:r w:rsidRPr="00FE1635">
              <w:rPr>
                <w:rFonts w:eastAsia="Arial"/>
                <w:b/>
              </w:rPr>
              <w:t>1.</w:t>
            </w:r>
            <w:r w:rsidR="002E0702">
              <w:rPr>
                <w:rFonts w:eastAsia="Arial"/>
                <w:b/>
              </w:rPr>
              <w:t>5</w:t>
            </w:r>
          </w:p>
        </w:tc>
        <w:tc>
          <w:tcPr>
            <w:tcW w:w="3694" w:type="dxa"/>
          </w:tcPr>
          <w:p w14:paraId="3A731095" w14:textId="15E6927F" w:rsidR="00B13D65" w:rsidRPr="00FE1635" w:rsidRDefault="00B13D65" w:rsidP="00BD1E5A">
            <w:pPr>
              <w:tabs>
                <w:tab w:val="left" w:pos="284"/>
              </w:tabs>
              <w:spacing w:line="280" w:lineRule="atLeast"/>
              <w:rPr>
                <w:b/>
                <w:bCs/>
                <w:color w:val="000000"/>
                <w:lang w:eastAsia="lt-LT"/>
              </w:rPr>
            </w:pPr>
            <w:r w:rsidRPr="00FE1635">
              <w:rPr>
                <w:b/>
                <w:bCs/>
                <w:color w:val="000000"/>
                <w:lang w:eastAsia="lt-LT"/>
              </w:rPr>
              <w:t>Teikiama (-os) kompensuoti registruot</w:t>
            </w:r>
            <w:r>
              <w:rPr>
                <w:b/>
                <w:bCs/>
                <w:color w:val="000000"/>
                <w:lang w:eastAsia="lt-LT"/>
              </w:rPr>
              <w:t>a</w:t>
            </w:r>
            <w:r w:rsidRPr="00FE1635">
              <w:rPr>
                <w:b/>
                <w:bCs/>
                <w:color w:val="000000"/>
                <w:lang w:eastAsia="lt-LT"/>
              </w:rPr>
              <w:t xml:space="preserve"> (-os) vaistinio preparato indikacija (-os), </w:t>
            </w:r>
          </w:p>
          <w:p w14:paraId="6B4FEEC1" w14:textId="39613EA1" w:rsidR="00B13D65" w:rsidRPr="00FE1635" w:rsidRDefault="00B13D65" w:rsidP="00BD1E5A">
            <w:pPr>
              <w:tabs>
                <w:tab w:val="left" w:pos="284"/>
              </w:tabs>
              <w:spacing w:line="280" w:lineRule="atLeast"/>
              <w:rPr>
                <w:b/>
                <w:bCs/>
                <w:color w:val="000000"/>
                <w:lang w:eastAsia="lt-LT"/>
              </w:rPr>
            </w:pPr>
            <w:r>
              <w:rPr>
                <w:b/>
                <w:bCs/>
                <w:color w:val="000000"/>
                <w:lang w:eastAsia="lt-LT"/>
              </w:rPr>
              <w:t>TLK</w:t>
            </w:r>
            <w:r w:rsidRPr="00FE1635">
              <w:rPr>
                <w:b/>
                <w:bCs/>
                <w:color w:val="000000"/>
                <w:lang w:eastAsia="lt-LT"/>
              </w:rPr>
              <w:t xml:space="preserve"> kodas</w:t>
            </w:r>
          </w:p>
        </w:tc>
        <w:tc>
          <w:tcPr>
            <w:tcW w:w="4713" w:type="dxa"/>
          </w:tcPr>
          <w:p w14:paraId="0A161075" w14:textId="77777777" w:rsidR="00A65E12" w:rsidRDefault="00A65E12" w:rsidP="00A65E12">
            <w:pPr>
              <w:pStyle w:val="ListParagraph"/>
              <w:spacing w:after="120"/>
              <w:ind w:left="0"/>
              <w:contextualSpacing w:val="0"/>
              <w:jc w:val="both"/>
            </w:pPr>
            <w:r>
              <w:t>A</w:t>
            </w:r>
            <w:r w:rsidRPr="00BF4B7C">
              <w:t xml:space="preserve">tezolizumabas derinyje su bevacizumabu suaugusiųjų pacientų gydymui, kai yra išplitusi arba neoperabili hepatoceliulinė karcinoma (HCK) ir kai anksčiau nebuvo skirtas sisteminis gydymas. </w:t>
            </w:r>
          </w:p>
          <w:p w14:paraId="13F7DFB0" w14:textId="0B820A69" w:rsidR="00B13D65" w:rsidRPr="006E501F" w:rsidRDefault="00A65E12" w:rsidP="00A65E12">
            <w:pPr>
              <w:pStyle w:val="ListParagraph"/>
              <w:spacing w:after="120"/>
              <w:ind w:left="0"/>
              <w:contextualSpacing w:val="0"/>
              <w:jc w:val="both"/>
            </w:pPr>
            <w:r w:rsidRPr="00BF4B7C">
              <w:t>C22.0.</w:t>
            </w:r>
          </w:p>
        </w:tc>
      </w:tr>
      <w:tr w:rsidR="00B13D65" w:rsidRPr="00FE1635" w14:paraId="2F79DC08" w14:textId="77777777" w:rsidTr="006834D3">
        <w:trPr>
          <w:trHeight w:val="378"/>
        </w:trPr>
        <w:tc>
          <w:tcPr>
            <w:tcW w:w="632" w:type="dxa"/>
          </w:tcPr>
          <w:p w14:paraId="547885A2" w14:textId="08AA8055" w:rsidR="00B13D65" w:rsidRPr="00FE1635" w:rsidRDefault="00B13D65" w:rsidP="002E0702">
            <w:pPr>
              <w:tabs>
                <w:tab w:val="left" w:pos="284"/>
              </w:tabs>
              <w:spacing w:line="280" w:lineRule="atLeast"/>
              <w:rPr>
                <w:rFonts w:eastAsia="Arial"/>
                <w:b/>
              </w:rPr>
            </w:pPr>
            <w:r w:rsidRPr="00FE1635">
              <w:rPr>
                <w:rFonts w:eastAsia="Arial"/>
                <w:b/>
              </w:rPr>
              <w:t>1.</w:t>
            </w:r>
            <w:r w:rsidR="002E0702">
              <w:rPr>
                <w:rFonts w:eastAsia="Arial"/>
                <w:b/>
              </w:rPr>
              <w:t>6</w:t>
            </w:r>
          </w:p>
        </w:tc>
        <w:tc>
          <w:tcPr>
            <w:tcW w:w="3694" w:type="dxa"/>
          </w:tcPr>
          <w:p w14:paraId="2EAB877F" w14:textId="4D3F62F5" w:rsidR="00B13D65" w:rsidRPr="00FE1635" w:rsidRDefault="00B13D65" w:rsidP="00B13D65">
            <w:pPr>
              <w:tabs>
                <w:tab w:val="left" w:pos="284"/>
              </w:tabs>
              <w:spacing w:line="280" w:lineRule="atLeast"/>
              <w:rPr>
                <w:bCs/>
                <w:color w:val="000000"/>
                <w:u w:val="single"/>
                <w:lang w:eastAsia="lt-LT"/>
              </w:rPr>
            </w:pPr>
            <w:r>
              <w:rPr>
                <w:b/>
                <w:bCs/>
                <w:color w:val="000000"/>
                <w:lang w:eastAsia="lt-LT"/>
              </w:rPr>
              <w:t>Teikiamos</w:t>
            </w:r>
            <w:r w:rsidRPr="00FE1635">
              <w:rPr>
                <w:b/>
                <w:bCs/>
                <w:color w:val="000000"/>
                <w:lang w:eastAsia="lt-LT"/>
              </w:rPr>
              <w:t xml:space="preserve"> skyrimo sąlygos </w:t>
            </w:r>
          </w:p>
        </w:tc>
        <w:tc>
          <w:tcPr>
            <w:tcW w:w="4713" w:type="dxa"/>
          </w:tcPr>
          <w:p w14:paraId="5938B192" w14:textId="77777777" w:rsidR="00A65E12" w:rsidRPr="00BF4B7C" w:rsidRDefault="00A65E12" w:rsidP="00A65E12">
            <w:pPr>
              <w:spacing w:after="120"/>
              <w:jc w:val="both"/>
            </w:pPr>
            <w:r w:rsidRPr="00BF4B7C">
              <w:t>Atezolizumabas derinyje su bevacizumabu skirtas suaugusiųjų pacientų gydymui, kurie serga išplitusia arba neoperabilia HCK:</w:t>
            </w:r>
          </w:p>
          <w:p w14:paraId="6F011EF4" w14:textId="77777777" w:rsidR="00A65E12" w:rsidRPr="00BF4B7C" w:rsidRDefault="00A65E12" w:rsidP="00A65E12">
            <w:pPr>
              <w:spacing w:after="120"/>
              <w:jc w:val="both"/>
            </w:pPr>
            <w:r w:rsidRPr="00BF4B7C">
              <w:lastRenderedPageBreak/>
              <w:t>•</w:t>
            </w:r>
            <w:r>
              <w:t xml:space="preserve"> </w:t>
            </w:r>
            <w:r w:rsidRPr="00BF4B7C">
              <w:t xml:space="preserve">kurių kepenų funkcija yra A klasės pagal Child-Pugh klasifikaciją, ir </w:t>
            </w:r>
          </w:p>
          <w:p w14:paraId="190D6C95" w14:textId="77777777" w:rsidR="00A65E12" w:rsidRPr="00BF4B7C" w:rsidRDefault="00A65E12" w:rsidP="00A65E12">
            <w:pPr>
              <w:spacing w:after="120"/>
              <w:jc w:val="both"/>
            </w:pPr>
            <w:r w:rsidRPr="00BF4B7C">
              <w:t>•</w:t>
            </w:r>
            <w:r>
              <w:t xml:space="preserve"> </w:t>
            </w:r>
            <w:r w:rsidRPr="00BF4B7C">
              <w:t>funkcinė būklė pagal ECOG skalę įvertinta 0 ar 1 balu, ir</w:t>
            </w:r>
          </w:p>
          <w:p w14:paraId="0579DF58" w14:textId="330B4002" w:rsidR="00B13D65" w:rsidRPr="00FE1635" w:rsidRDefault="00A65E12" w:rsidP="00A65E12">
            <w:pPr>
              <w:pStyle w:val="ListParagraph"/>
              <w:spacing w:after="120"/>
              <w:ind w:left="0"/>
              <w:contextualSpacing w:val="0"/>
              <w:jc w:val="both"/>
            </w:pPr>
            <w:r w:rsidRPr="00BF4B7C">
              <w:t>•</w:t>
            </w:r>
            <w:r>
              <w:t xml:space="preserve"> </w:t>
            </w:r>
            <w:r w:rsidRPr="00BF4B7C">
              <w:t>kuriems anksčiau nebuvo skirtas sisteminio poveikio gydymas.</w:t>
            </w:r>
          </w:p>
        </w:tc>
      </w:tr>
      <w:tr w:rsidR="00B13D65" w:rsidRPr="00FE1635" w14:paraId="3B125269" w14:textId="77777777" w:rsidTr="006834D3">
        <w:trPr>
          <w:trHeight w:val="378"/>
        </w:trPr>
        <w:tc>
          <w:tcPr>
            <w:tcW w:w="632" w:type="dxa"/>
          </w:tcPr>
          <w:p w14:paraId="0058E11F" w14:textId="77777777" w:rsidR="00B13D65" w:rsidRPr="00FE1635" w:rsidRDefault="00B13D65" w:rsidP="00BD1E5A">
            <w:pPr>
              <w:tabs>
                <w:tab w:val="left" w:pos="284"/>
              </w:tabs>
              <w:spacing w:line="280" w:lineRule="atLeast"/>
              <w:rPr>
                <w:rFonts w:eastAsia="Arial"/>
                <w:b/>
              </w:rPr>
            </w:pPr>
            <w:r w:rsidRPr="00FE1635">
              <w:rPr>
                <w:rFonts w:eastAsia="Arial"/>
                <w:b/>
              </w:rPr>
              <w:lastRenderedPageBreak/>
              <w:t>1.7</w:t>
            </w:r>
          </w:p>
        </w:tc>
        <w:tc>
          <w:tcPr>
            <w:tcW w:w="3694" w:type="dxa"/>
          </w:tcPr>
          <w:p w14:paraId="6C15BB46" w14:textId="77777777" w:rsidR="00A65E12" w:rsidRDefault="00B13D65" w:rsidP="00B13D65">
            <w:pPr>
              <w:tabs>
                <w:tab w:val="left" w:pos="284"/>
              </w:tabs>
              <w:spacing w:line="280" w:lineRule="atLeast"/>
              <w:rPr>
                <w:b/>
                <w:bCs/>
                <w:color w:val="000000"/>
                <w:lang w:eastAsia="lt-LT"/>
              </w:rPr>
            </w:pPr>
            <w:r w:rsidRPr="00FE1635">
              <w:rPr>
                <w:b/>
                <w:bCs/>
                <w:color w:val="000000"/>
                <w:lang w:eastAsia="lt-LT"/>
              </w:rPr>
              <w:t>Palyginamasis gydymas</w:t>
            </w:r>
          </w:p>
          <w:p w14:paraId="6CC1022E" w14:textId="0874331E" w:rsidR="00B13D65" w:rsidRPr="006E501F" w:rsidRDefault="00A65E12" w:rsidP="00B13D65">
            <w:pPr>
              <w:tabs>
                <w:tab w:val="left" w:pos="284"/>
              </w:tabs>
              <w:spacing w:line="280" w:lineRule="atLeast"/>
              <w:rPr>
                <w:b/>
                <w:bCs/>
                <w:color w:val="000000"/>
                <w:lang w:eastAsia="lt-LT"/>
              </w:rPr>
            </w:pPr>
            <w:r>
              <w:rPr>
                <w:color w:val="000000"/>
                <w:lang w:eastAsia="lt-LT"/>
              </w:rPr>
              <w:t>Tiesioginis palyginimas su sorafenibu.</w:t>
            </w:r>
            <w:r w:rsidR="00B13D65" w:rsidRPr="00FE1635">
              <w:rPr>
                <w:b/>
                <w:bCs/>
                <w:color w:val="000000"/>
                <w:lang w:eastAsia="lt-LT"/>
              </w:rPr>
              <w:t xml:space="preserve"> </w:t>
            </w:r>
          </w:p>
        </w:tc>
        <w:tc>
          <w:tcPr>
            <w:tcW w:w="4713" w:type="dxa"/>
          </w:tcPr>
          <w:p w14:paraId="7ABD061C" w14:textId="77777777" w:rsidR="00A65E12" w:rsidRDefault="00A65E12" w:rsidP="00A65E12">
            <w:pPr>
              <w:rPr>
                <w:rStyle w:val="Style2"/>
                <w:sz w:val="24"/>
              </w:rPr>
            </w:pPr>
          </w:p>
          <w:p w14:paraId="68168EF4" w14:textId="6CD9CDE7" w:rsidR="00A65E12" w:rsidRPr="00E33EFF" w:rsidRDefault="006358C4" w:rsidP="00A65E12">
            <w:sdt>
              <w:sdtPr>
                <w:rPr>
                  <w:rStyle w:val="Style2"/>
                  <w:sz w:val="24"/>
                </w:rPr>
                <w:id w:val="193972182"/>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sz w:val="24"/>
                  </w:rPr>
                  <w:t>☒</w:t>
                </w:r>
              </w:sdtContent>
            </w:sdt>
            <w:r w:rsidR="00A65E12" w:rsidRPr="00E33EFF">
              <w:t xml:space="preserve"> Tinkamas</w:t>
            </w:r>
          </w:p>
          <w:p w14:paraId="41B44044" w14:textId="40A04F4A" w:rsidR="00B13D65" w:rsidRPr="006E501F" w:rsidRDefault="006358C4" w:rsidP="00A65E12">
            <w:sdt>
              <w:sdtPr>
                <w:rPr>
                  <w:rStyle w:val="Style2"/>
                  <w:sz w:val="24"/>
                </w:rPr>
                <w:id w:val="-1010446556"/>
                <w15:color w:val="FFCC00"/>
                <w14:checkbox>
                  <w14:checked w14:val="0"/>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sz w:val="24"/>
                  </w:rPr>
                  <w:t>☐</w:t>
                </w:r>
              </w:sdtContent>
            </w:sdt>
            <w:r w:rsidR="00A65E12" w:rsidRPr="00E33EFF">
              <w:t xml:space="preserve"> Netinkama</w:t>
            </w:r>
            <w:r w:rsidR="00A65E12">
              <w:t>s</w:t>
            </w:r>
          </w:p>
        </w:tc>
      </w:tr>
    </w:tbl>
    <w:p w14:paraId="108176F7" w14:textId="640C6F75" w:rsidR="00F70C9E" w:rsidRDefault="00F70C9E" w:rsidP="00E03C3F">
      <w:pPr>
        <w:pStyle w:val="ListParagraph"/>
        <w:tabs>
          <w:tab w:val="left" w:pos="426"/>
        </w:tabs>
        <w:ind w:left="0"/>
        <w:rPr>
          <w:b/>
          <w:bCs/>
          <w:caps/>
        </w:rPr>
      </w:pPr>
    </w:p>
    <w:p w14:paraId="2871CA7F" w14:textId="2370BDDB" w:rsidR="00F70C9E" w:rsidRPr="00177C8C" w:rsidRDefault="00F70C9E" w:rsidP="00880A44">
      <w:pPr>
        <w:spacing w:line="276" w:lineRule="auto"/>
        <w:jc w:val="both"/>
        <w:rPr>
          <w:rFonts w:eastAsia="Arial"/>
          <w:b/>
        </w:rPr>
      </w:pPr>
      <w:r w:rsidRPr="00177C8C">
        <w:rPr>
          <w:rFonts w:eastAsia="Arial"/>
          <w:b/>
        </w:rPr>
        <w:t>1.</w:t>
      </w:r>
      <w:r>
        <w:rPr>
          <w:rFonts w:eastAsia="Arial"/>
          <w:b/>
        </w:rPr>
        <w:t>8</w:t>
      </w:r>
      <w:r w:rsidRPr="00177C8C">
        <w:rPr>
          <w:rFonts w:eastAsia="Arial"/>
          <w:b/>
        </w:rPr>
        <w:t xml:space="preserve"> Kitų </w:t>
      </w:r>
      <w:r w:rsidR="00DF583C">
        <w:rPr>
          <w:rFonts w:eastAsia="Arial"/>
          <w:b/>
        </w:rPr>
        <w:t xml:space="preserve">valstybių </w:t>
      </w:r>
      <w:r>
        <w:rPr>
          <w:rFonts w:eastAsia="Arial"/>
          <w:b/>
        </w:rPr>
        <w:t xml:space="preserve">atsakingų institucijų atlikto </w:t>
      </w:r>
      <w:r w:rsidR="00DF583C">
        <w:rPr>
          <w:rFonts w:eastAsia="Arial"/>
          <w:b/>
        </w:rPr>
        <w:t>Sveikatos technologijų vertinimo (toliau – STV)</w:t>
      </w:r>
      <w:r w:rsidRPr="00177C8C">
        <w:rPr>
          <w:rFonts w:eastAsia="Arial"/>
          <w:b/>
        </w:rPr>
        <w:t xml:space="preserve"> išvados</w:t>
      </w:r>
    </w:p>
    <w:p w14:paraId="30721FDD" w14:textId="77777777" w:rsidR="00F70C9E" w:rsidRDefault="00F70C9E" w:rsidP="00F70C9E">
      <w:pPr>
        <w:spacing w:line="276" w:lineRule="auto"/>
        <w:rPr>
          <w:rFonts w:eastAsia="Arial"/>
        </w:rPr>
      </w:pPr>
    </w:p>
    <w:tbl>
      <w:tblPr>
        <w:tblStyle w:val="TableGrid"/>
        <w:tblW w:w="0" w:type="auto"/>
        <w:tblLook w:val="04A0" w:firstRow="1" w:lastRow="0" w:firstColumn="1" w:lastColumn="0" w:noHBand="0" w:noVBand="1"/>
      </w:tblPr>
      <w:tblGrid>
        <w:gridCol w:w="2855"/>
        <w:gridCol w:w="1851"/>
        <w:gridCol w:w="2244"/>
        <w:gridCol w:w="2679"/>
      </w:tblGrid>
      <w:tr w:rsidR="00A65E12" w14:paraId="7E72828B" w14:textId="77777777" w:rsidTr="00A65E12">
        <w:trPr>
          <w:trHeight w:val="924"/>
        </w:trPr>
        <w:tc>
          <w:tcPr>
            <w:tcW w:w="2855" w:type="dxa"/>
          </w:tcPr>
          <w:p w14:paraId="253D1DD4" w14:textId="6A580CCA" w:rsidR="00A65E12" w:rsidRDefault="00A65E12" w:rsidP="00A65E12">
            <w:pPr>
              <w:spacing w:line="276" w:lineRule="auto"/>
              <w:rPr>
                <w:rFonts w:eastAsia="Arial"/>
              </w:rPr>
            </w:pPr>
            <w:r w:rsidRPr="00D05364">
              <w:rPr>
                <w:rFonts w:eastAsia="Arial"/>
              </w:rPr>
              <w:t>STV agentūros pavadinimas, šalis</w:t>
            </w:r>
          </w:p>
        </w:tc>
        <w:tc>
          <w:tcPr>
            <w:tcW w:w="1851" w:type="dxa"/>
          </w:tcPr>
          <w:p w14:paraId="34AE1EDD" w14:textId="55E3B988" w:rsidR="00A65E12" w:rsidRDefault="00A65E12" w:rsidP="00A65E12">
            <w:pPr>
              <w:spacing w:line="276" w:lineRule="auto"/>
              <w:rPr>
                <w:rFonts w:eastAsia="Arial"/>
              </w:rPr>
            </w:pPr>
            <w:r w:rsidRPr="00D05364">
              <w:rPr>
                <w:rFonts w:eastAsia="Arial"/>
              </w:rPr>
              <w:t>STV vertinimas atliktas</w:t>
            </w:r>
          </w:p>
        </w:tc>
        <w:tc>
          <w:tcPr>
            <w:tcW w:w="2244" w:type="dxa"/>
          </w:tcPr>
          <w:p w14:paraId="16E2DDC1" w14:textId="7C3D67B1" w:rsidR="00A65E12" w:rsidRDefault="00A65E12" w:rsidP="00A65E12">
            <w:pPr>
              <w:spacing w:line="276" w:lineRule="auto"/>
              <w:rPr>
                <w:rFonts w:eastAsia="Arial"/>
              </w:rPr>
            </w:pPr>
            <w:r w:rsidRPr="00D05364">
              <w:rPr>
                <w:rFonts w:eastAsia="Arial"/>
              </w:rPr>
              <w:t>Klinikinio vertinimo išvada</w:t>
            </w:r>
          </w:p>
        </w:tc>
        <w:tc>
          <w:tcPr>
            <w:tcW w:w="2679" w:type="dxa"/>
          </w:tcPr>
          <w:p w14:paraId="1861E3F2" w14:textId="106CF5F1" w:rsidR="00A65E12" w:rsidRDefault="00A65E12" w:rsidP="00A65E12">
            <w:pPr>
              <w:spacing w:line="276" w:lineRule="auto"/>
              <w:rPr>
                <w:rFonts w:eastAsia="Arial"/>
              </w:rPr>
            </w:pPr>
            <w:r w:rsidRPr="00D05364">
              <w:rPr>
                <w:rFonts w:eastAsia="Arial"/>
              </w:rPr>
              <w:t>Farmakoekonominio vertinimo išvada</w:t>
            </w:r>
          </w:p>
        </w:tc>
      </w:tr>
      <w:tr w:rsidR="00A65E12" w14:paraId="129FA8F6" w14:textId="77777777" w:rsidTr="00A65E12">
        <w:trPr>
          <w:trHeight w:val="2267"/>
        </w:trPr>
        <w:tc>
          <w:tcPr>
            <w:tcW w:w="2855" w:type="dxa"/>
          </w:tcPr>
          <w:p w14:paraId="5CD5815C" w14:textId="77777777" w:rsidR="00A65E12" w:rsidRPr="00D05364" w:rsidRDefault="00A65E12" w:rsidP="00A65E12">
            <w:pPr>
              <w:autoSpaceDE w:val="0"/>
              <w:autoSpaceDN w:val="0"/>
              <w:adjustRightInd w:val="0"/>
              <w:rPr>
                <w:bCs/>
              </w:rPr>
            </w:pPr>
            <w:r w:rsidRPr="00D05364">
              <w:rPr>
                <w:bCs/>
              </w:rPr>
              <w:t>Nacionalinis sveikatos ir klinikinės kompetencijos institutas, Didžioji Britanija</w:t>
            </w:r>
          </w:p>
          <w:p w14:paraId="49C6520D" w14:textId="05D08B94" w:rsidR="00A65E12" w:rsidRPr="00177C8C" w:rsidRDefault="00A65E12" w:rsidP="00A65E12">
            <w:pPr>
              <w:spacing w:line="276" w:lineRule="auto"/>
              <w:rPr>
                <w:rFonts w:eastAsia="Arial"/>
                <w:lang w:val="en-GB"/>
              </w:rPr>
            </w:pPr>
            <w:r w:rsidRPr="00D05364">
              <w:rPr>
                <w:rFonts w:eastAsia="Arial"/>
              </w:rPr>
              <w:t xml:space="preserve">(angl. </w:t>
            </w:r>
            <w:r w:rsidRPr="00F069E8">
              <w:rPr>
                <w:rFonts w:eastAsia="Arial"/>
                <w:i/>
                <w:lang w:val="en-GB"/>
              </w:rPr>
              <w:t>National Institute for Health and Care Excellence, NICE</w:t>
            </w:r>
            <w:r w:rsidRPr="00D05364">
              <w:rPr>
                <w:rFonts w:eastAsia="Arial"/>
              </w:rPr>
              <w:t>)</w:t>
            </w:r>
          </w:p>
        </w:tc>
        <w:tc>
          <w:tcPr>
            <w:tcW w:w="1851" w:type="dxa"/>
          </w:tcPr>
          <w:p w14:paraId="61C02DF8" w14:textId="77777777" w:rsidR="00A65E12" w:rsidRPr="00D05364" w:rsidRDefault="006358C4" w:rsidP="00A65E12">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rPr>
                  <w:t>☒</w:t>
                </w:r>
              </w:sdtContent>
            </w:sdt>
            <w:r w:rsidR="00A65E12" w:rsidRPr="00D05364">
              <w:t xml:space="preserve"> Taip</w:t>
            </w:r>
          </w:p>
          <w:p w14:paraId="24B06387" w14:textId="77777777" w:rsidR="00A65E12" w:rsidRPr="00D05364" w:rsidRDefault="006358C4" w:rsidP="00A65E12">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rPr>
                  <w:t>☐</w:t>
                </w:r>
              </w:sdtContent>
            </w:sdt>
            <w:r w:rsidR="00A65E12" w:rsidRPr="00D05364">
              <w:t xml:space="preserve"> Ne</w:t>
            </w:r>
          </w:p>
          <w:p w14:paraId="7916359D" w14:textId="1DE7031E" w:rsidR="00A65E12" w:rsidRDefault="006358C4" w:rsidP="00A65E12">
            <w:pPr>
              <w:spacing w:line="276" w:lineRule="auto"/>
              <w:rPr>
                <w:rFonts w:eastAsia="Arial"/>
              </w:rPr>
            </w:pPr>
            <w:sdt>
              <w:sdtPr>
                <w:alias w:val="Nurodykite konkrečią dieną"/>
                <w:tag w:val="Nurodykite pradžios datą"/>
                <w:id w:val="922837954"/>
                <w:placeholder>
                  <w:docPart w:val="9476E7364CD5FB49AFBEFB91070E47A5"/>
                </w:placeholder>
                <w15:color w:val="FFCC99"/>
                <w:date w:fullDate="2020-11-12T00:00:00Z">
                  <w:dateFormat w:val="yyyy 'm.' MMMM d 'd.'"/>
                  <w:lid w:val="lt-LT"/>
                  <w:storeMappedDataAs w:val="dateTime"/>
                  <w:calendar w:val="gregorian"/>
                </w:date>
              </w:sdtPr>
              <w:sdtEndPr/>
              <w:sdtContent>
                <w:r w:rsidR="00A65E12">
                  <w:t>2020 m. lapkričio 12 d.</w:t>
                </w:r>
              </w:sdtContent>
            </w:sdt>
          </w:p>
        </w:tc>
        <w:tc>
          <w:tcPr>
            <w:tcW w:w="2244" w:type="dxa"/>
          </w:tcPr>
          <w:p w14:paraId="54F8FF3E" w14:textId="77777777" w:rsidR="00A65E12" w:rsidRPr="000B42E8" w:rsidRDefault="00A65E12" w:rsidP="00A65E12">
            <w:pPr>
              <w:spacing w:line="276" w:lineRule="auto"/>
              <w:rPr>
                <w:rFonts w:eastAsia="Arial"/>
              </w:rPr>
            </w:pPr>
            <w:r w:rsidRPr="000B42E8">
              <w:rPr>
                <w:rFonts w:eastAsia="Arial"/>
              </w:rPr>
              <w:t>Tecentriq derinyje su bevacizumabu skirtas suaugusiųjų pacientų gydymui, kai yra išplitusi arba nerezektabili hepatoceliulinė karcinoma (HCK) ir kai anksčiau nebuvo skirtas sisteminis gydymas:</w:t>
            </w:r>
          </w:p>
          <w:p w14:paraId="6F64DCF0" w14:textId="77777777" w:rsidR="00A65E12" w:rsidRPr="000B42E8" w:rsidRDefault="00A65E12" w:rsidP="00A65E12">
            <w:pPr>
              <w:spacing w:line="276" w:lineRule="auto"/>
              <w:rPr>
                <w:rFonts w:eastAsia="Arial"/>
              </w:rPr>
            </w:pPr>
            <w:r w:rsidRPr="000B42E8">
              <w:rPr>
                <w:rFonts w:eastAsia="Arial"/>
              </w:rPr>
              <w:t>•</w:t>
            </w:r>
            <w:r>
              <w:rPr>
                <w:rFonts w:eastAsia="Arial"/>
              </w:rPr>
              <w:t xml:space="preserve"> </w:t>
            </w:r>
            <w:r w:rsidRPr="000B42E8">
              <w:rPr>
                <w:rFonts w:eastAsia="Arial"/>
              </w:rPr>
              <w:t>esant Child Pugh A klasės kepenų funkcijos rodikliams ir paciento funkcinei būklei pagal ECOG 0–1.</w:t>
            </w:r>
          </w:p>
          <w:p w14:paraId="6413D0ED" w14:textId="0B7CE737" w:rsidR="00A65E12" w:rsidRDefault="00A65E12" w:rsidP="00A65E12">
            <w:pPr>
              <w:spacing w:line="276" w:lineRule="auto"/>
              <w:rPr>
                <w:rFonts w:eastAsia="Arial"/>
              </w:rPr>
            </w:pPr>
            <w:r w:rsidRPr="000B42E8">
              <w:rPr>
                <w:rFonts w:eastAsia="Arial"/>
              </w:rPr>
              <w:t>•</w:t>
            </w:r>
            <w:r>
              <w:rPr>
                <w:rFonts w:eastAsia="Arial"/>
              </w:rPr>
              <w:t xml:space="preserve"> </w:t>
            </w:r>
            <w:r w:rsidRPr="000B42E8">
              <w:rPr>
                <w:rFonts w:eastAsia="Arial"/>
              </w:rPr>
              <w:t>Kompanija vaistą tiekia pagal komercinį susitarimą.</w:t>
            </w:r>
          </w:p>
        </w:tc>
        <w:tc>
          <w:tcPr>
            <w:tcW w:w="2679" w:type="dxa"/>
          </w:tcPr>
          <w:p w14:paraId="67430EE7" w14:textId="51BEDE8E" w:rsidR="00A65E12" w:rsidRDefault="00A65E12" w:rsidP="00A65E12">
            <w:pPr>
              <w:spacing w:line="276" w:lineRule="auto"/>
              <w:rPr>
                <w:rFonts w:eastAsia="Arial"/>
              </w:rPr>
            </w:pPr>
            <w:r w:rsidRPr="0059604E">
              <w:rPr>
                <w:rFonts w:eastAsia="Arial"/>
              </w:rPr>
              <w:t>ICER &lt; £50,000/QALY. Tiksli vertė neatskleidžiama.</w:t>
            </w:r>
          </w:p>
        </w:tc>
      </w:tr>
      <w:tr w:rsidR="00A65E12" w14:paraId="1CC31474" w14:textId="77777777" w:rsidTr="00A65E12">
        <w:trPr>
          <w:trHeight w:val="1547"/>
        </w:trPr>
        <w:tc>
          <w:tcPr>
            <w:tcW w:w="2855" w:type="dxa"/>
          </w:tcPr>
          <w:p w14:paraId="41709AAD" w14:textId="77777777" w:rsidR="00A65E12" w:rsidRPr="00D05364" w:rsidRDefault="00A65E12" w:rsidP="00A65E12">
            <w:pPr>
              <w:spacing w:line="276" w:lineRule="auto"/>
              <w:rPr>
                <w:rFonts w:eastAsia="Arial"/>
              </w:rPr>
            </w:pPr>
            <w:r w:rsidRPr="00D05364">
              <w:rPr>
                <w:rFonts w:eastAsia="Arial"/>
              </w:rPr>
              <w:t>Kanados sveikatos technologijų agentūra</w:t>
            </w:r>
          </w:p>
          <w:p w14:paraId="2C593A82" w14:textId="17EAB791" w:rsidR="00A65E12" w:rsidRPr="00177C8C" w:rsidRDefault="00A65E12" w:rsidP="00A65E12">
            <w:pPr>
              <w:spacing w:line="276" w:lineRule="auto"/>
              <w:rPr>
                <w:rFonts w:eastAsia="Arial"/>
                <w:lang w:val="en-GB"/>
              </w:rPr>
            </w:pPr>
            <w:r w:rsidRPr="00D05364">
              <w:rPr>
                <w:rFonts w:eastAsia="Arial"/>
              </w:rPr>
              <w:t xml:space="preserve">(angl. </w:t>
            </w:r>
            <w:r w:rsidRPr="00F069E8">
              <w:rPr>
                <w:rFonts w:eastAsia="Arial"/>
                <w:i/>
                <w:lang w:val="en-GB"/>
              </w:rPr>
              <w:t>Canadian health Technology Assessment agency, CADTH</w:t>
            </w:r>
            <w:r w:rsidRPr="00D05364">
              <w:rPr>
                <w:rFonts w:eastAsia="Arial"/>
              </w:rPr>
              <w:t>)</w:t>
            </w:r>
          </w:p>
        </w:tc>
        <w:tc>
          <w:tcPr>
            <w:tcW w:w="1851" w:type="dxa"/>
          </w:tcPr>
          <w:p w14:paraId="2CA94AB4" w14:textId="77777777" w:rsidR="00A65E12" w:rsidRPr="00D05364" w:rsidRDefault="006358C4" w:rsidP="00A65E12">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rPr>
                  <w:t>☒</w:t>
                </w:r>
              </w:sdtContent>
            </w:sdt>
            <w:r w:rsidR="00A65E12" w:rsidRPr="00D05364">
              <w:t xml:space="preserve"> Taip</w:t>
            </w:r>
          </w:p>
          <w:p w14:paraId="75A3A3FE" w14:textId="77777777" w:rsidR="00A65E12" w:rsidRPr="00D05364" w:rsidRDefault="006358C4" w:rsidP="00A65E12">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A65E12" w:rsidRPr="00D05364">
                  <w:rPr>
                    <w:rStyle w:val="Style2"/>
                    <w:rFonts w:ascii="Segoe UI Symbol" w:eastAsia="MS Gothic" w:hAnsi="Segoe UI Symbol" w:cs="Segoe UI Symbol"/>
                  </w:rPr>
                  <w:t>☐</w:t>
                </w:r>
              </w:sdtContent>
            </w:sdt>
            <w:r w:rsidR="00A65E12" w:rsidRPr="00D05364">
              <w:t xml:space="preserve"> Ne</w:t>
            </w:r>
          </w:p>
          <w:p w14:paraId="0C0988CC" w14:textId="21D747DA" w:rsidR="00A65E12" w:rsidRDefault="006358C4" w:rsidP="00A65E12">
            <w:pPr>
              <w:spacing w:line="276" w:lineRule="auto"/>
              <w:rPr>
                <w:rFonts w:eastAsia="Arial"/>
              </w:rPr>
            </w:pPr>
            <w:sdt>
              <w:sdtPr>
                <w:alias w:val="Nurodykite konkrečią dieną"/>
                <w:tag w:val="Nurodykite pradžios datą"/>
                <w:id w:val="1072468416"/>
                <w:placeholder>
                  <w:docPart w:val="766FB099CF2AB84589C726242579F72D"/>
                </w:placeholder>
                <w15:color w:val="FFCC99"/>
                <w:date w:fullDate="2022-11-17T00:00:00Z">
                  <w:dateFormat w:val="yyyy 'm.' MMMM d 'd.'"/>
                  <w:lid w:val="lt-LT"/>
                  <w:storeMappedDataAs w:val="dateTime"/>
                  <w:calendar w:val="gregorian"/>
                </w:date>
              </w:sdtPr>
              <w:sdtEndPr/>
              <w:sdtContent>
                <w:r w:rsidR="00A65E12">
                  <w:t>2022 m. lapkričio 17 d.</w:t>
                </w:r>
              </w:sdtContent>
            </w:sdt>
          </w:p>
        </w:tc>
        <w:tc>
          <w:tcPr>
            <w:tcW w:w="2244" w:type="dxa"/>
          </w:tcPr>
          <w:p w14:paraId="64D1B800" w14:textId="25B5E3EF" w:rsidR="00A65E12" w:rsidRDefault="00A65E12" w:rsidP="00A65E12">
            <w:pPr>
              <w:spacing w:line="276" w:lineRule="auto"/>
              <w:rPr>
                <w:rFonts w:eastAsia="Arial"/>
              </w:rPr>
            </w:pPr>
            <w:r>
              <w:rPr>
                <w:rFonts w:eastAsia="Arial"/>
              </w:rPr>
              <w:t xml:space="preserve">pERC rekomenduoja atezolizumabo derinyje su bevacizumabu pirmos eilės sisteminiam nerezektabilios ar metastazavusios </w:t>
            </w:r>
            <w:r>
              <w:rPr>
                <w:rFonts w:eastAsia="Arial"/>
              </w:rPr>
              <w:lastRenderedPageBreak/>
              <w:t xml:space="preserve">kepenų ląstelių  karcinomos gydymui su sąlyga, kad bus pagerintas kainos ir veiksmingumo santykis.  Pacientams turi būti netaikytas sisteminis gydymas, pacientai turi būti geros fizinės būklės (0 arba 1 balas pagal ECOG), kepenų funkcija turi atitikti Child-Pugh A. Gydymas atezolizumabu derinyje su bevacizumabu turėtų būti tęsiamas kol nebebus klinikinio efekto arba pasireikš nepriimtinas toksiškumas. pERC šias rekomendacijas grindžia tuo, kad atezolizumabas derinyje su bevacizumabu sukuria papildomą terapinę naudą, nes gydymas šiuo preparatų deriniu statistiškai reikšmingai ilgina bendrą išgyvenamumą (BI) ir išgyvenamumą be ligos progresavimo (IBLP), lyginant su gydymu sorafenibu. pERC priėjo išvadą, kad gydymas atezolizumabu </w:t>
            </w:r>
            <w:r>
              <w:rPr>
                <w:rFonts w:eastAsia="Arial"/>
              </w:rPr>
              <w:lastRenderedPageBreak/>
              <w:t>derinyje su bevacizumabu atitinka pacientų interesus, kadangi tampa papildomu efektyvaus gydymo pasirinkimu, ilginančių laiką iki gyvenimo kokybės pablogėjimo, ir turinčiu patenkinamą saugumo profilį, lyginant su sorafenibu.</w:t>
            </w:r>
          </w:p>
        </w:tc>
        <w:tc>
          <w:tcPr>
            <w:tcW w:w="2679" w:type="dxa"/>
          </w:tcPr>
          <w:p w14:paraId="5C8CB330" w14:textId="4DF61107" w:rsidR="00A65E12" w:rsidRDefault="00A65E12" w:rsidP="00A65E12">
            <w:pPr>
              <w:spacing w:line="276" w:lineRule="auto"/>
              <w:rPr>
                <w:rFonts w:eastAsia="Arial"/>
              </w:rPr>
            </w:pPr>
            <w:r>
              <w:rPr>
                <w:rFonts w:eastAsia="Arial"/>
              </w:rPr>
              <w:lastRenderedPageBreak/>
              <w:t xml:space="preserve">Komitetas nusprendė, kad esant pateiktai kainai , gydymo atezolizumabo ir bevacizumabo deriniu kaštai yra per dideli, lyginant su sorafenibu ar lenvatinibu. pERC pažymi, kad kaštus </w:t>
            </w:r>
            <w:r>
              <w:rPr>
                <w:rFonts w:eastAsia="Arial"/>
              </w:rPr>
              <w:lastRenderedPageBreak/>
              <w:t xml:space="preserve">didino  didelės atezolizumabo ir bevacizumabo kainos, ir net esant reikšmingam preparatų kainos sumažinimui kiekvienam iš preparatų, mažai tikėtina, kad atezolizumabo ir bevacizumabo kainos-efektyvumo santykis būtų patenkinamas. pERC taip pat nuspendė, kad pateikta kaštų analizė gali nuvertinti gydymo kaštus ir gydymo atezolizumabo ir bevacizumabo derinio esant pateiktai kainai kaštai būtų didesni. Apibendrinant, mažai tikėtina, kad atezolizumabo ir bevacizumabo derinys būtų laikomas efektyviu Kanados sveikatos apsaugos sistemos resursų panaudojimu, laikantis </w:t>
            </w:r>
            <w:r w:rsidRPr="007E4C67">
              <w:rPr>
                <w:rFonts w:eastAsia="Arial"/>
              </w:rPr>
              <w:t>$50,000</w:t>
            </w:r>
            <w:r>
              <w:rPr>
                <w:rFonts w:eastAsia="Arial"/>
              </w:rPr>
              <w:t>/</w:t>
            </w:r>
            <w:r w:rsidRPr="007E4C67">
              <w:rPr>
                <w:rFonts w:eastAsia="Arial"/>
              </w:rPr>
              <w:t>QALY</w:t>
            </w:r>
            <w:r>
              <w:rPr>
                <w:rFonts w:eastAsia="Arial"/>
              </w:rPr>
              <w:t xml:space="preserve"> ribos, net jeigu būtų pasiūlytas reikšmingas kainos sumažinimas abiem preparatams.</w:t>
            </w:r>
          </w:p>
        </w:tc>
      </w:tr>
      <w:tr w:rsidR="00A65E12" w14:paraId="21C94D47" w14:textId="77777777" w:rsidTr="00A65E12">
        <w:trPr>
          <w:trHeight w:val="2160"/>
        </w:trPr>
        <w:tc>
          <w:tcPr>
            <w:tcW w:w="2855" w:type="dxa"/>
          </w:tcPr>
          <w:p w14:paraId="11B5A9A0" w14:textId="77777777" w:rsidR="00A65E12" w:rsidRPr="00F069E8" w:rsidRDefault="00A65E12" w:rsidP="00A65E12">
            <w:pPr>
              <w:spacing w:line="276" w:lineRule="auto"/>
              <w:rPr>
                <w:rFonts w:eastAsia="Arial"/>
                <w:lang w:val="en-GB"/>
              </w:rPr>
            </w:pPr>
            <w:r w:rsidRPr="00D05364">
              <w:rPr>
                <w:rFonts w:eastAsia="Arial"/>
              </w:rPr>
              <w:lastRenderedPageBreak/>
              <w:t xml:space="preserve">Nacionalinis farmakoekonomikos centras, </w:t>
            </w:r>
            <w:r w:rsidRPr="00F069E8">
              <w:rPr>
                <w:rFonts w:eastAsia="Arial"/>
                <w:lang w:val="en-GB"/>
              </w:rPr>
              <w:t>Airija</w:t>
            </w:r>
          </w:p>
          <w:p w14:paraId="736F5072" w14:textId="013926FC" w:rsidR="00A65E12" w:rsidRDefault="00A65E12" w:rsidP="00A65E12">
            <w:pPr>
              <w:spacing w:line="276" w:lineRule="auto"/>
              <w:rPr>
                <w:rFonts w:eastAsia="Arial"/>
              </w:rPr>
            </w:pPr>
            <w:r w:rsidRPr="00F069E8">
              <w:rPr>
                <w:rFonts w:eastAsia="Arial"/>
                <w:lang w:val="en-GB"/>
              </w:rPr>
              <w:t>(angl.</w:t>
            </w:r>
            <w:r w:rsidRPr="00F069E8">
              <w:rPr>
                <w:rFonts w:eastAsia="Arial"/>
                <w:i/>
                <w:lang w:val="en-GB"/>
              </w:rPr>
              <w:t xml:space="preserve"> National Centre for Pharmacoeconomics, NCPE</w:t>
            </w:r>
            <w:r w:rsidRPr="00D05364">
              <w:rPr>
                <w:rFonts w:eastAsia="Arial"/>
              </w:rPr>
              <w:t>)</w:t>
            </w:r>
          </w:p>
        </w:tc>
        <w:tc>
          <w:tcPr>
            <w:tcW w:w="1851" w:type="dxa"/>
          </w:tcPr>
          <w:p w14:paraId="7C165C0C" w14:textId="77777777" w:rsidR="00A65E12" w:rsidRPr="00D05364" w:rsidRDefault="006358C4" w:rsidP="00A65E12">
            <w:sdt>
              <w:sdtPr>
                <w:rPr>
                  <w:rStyle w:val="Style2"/>
                </w:rPr>
                <w:id w:val="-1888403732"/>
                <w15:color w:val="FFCC00"/>
                <w14:checkbox>
                  <w14:checked w14:val="0"/>
                  <w14:checkedState w14:val="2612" w14:font="MS Gothic"/>
                  <w14:uncheckedState w14:val="2610" w14:font="MS Gothic"/>
                </w14:checkbox>
              </w:sdtPr>
              <w:sdtEndPr>
                <w:rPr>
                  <w:rStyle w:val="Style2"/>
                </w:rPr>
              </w:sdtEndPr>
              <w:sdtContent>
                <w:r w:rsidR="00A65E12" w:rsidRPr="00D05364">
                  <w:rPr>
                    <w:rStyle w:val="Style2"/>
                    <w:rFonts w:ascii="Segoe UI Symbol" w:eastAsia="MS Gothic" w:hAnsi="Segoe UI Symbol" w:cs="Segoe UI Symbol"/>
                  </w:rPr>
                  <w:t>☐</w:t>
                </w:r>
              </w:sdtContent>
            </w:sdt>
            <w:r w:rsidR="00A65E12" w:rsidRPr="00D05364">
              <w:t xml:space="preserve"> Taip</w:t>
            </w:r>
          </w:p>
          <w:p w14:paraId="00D62B44" w14:textId="77777777" w:rsidR="00A65E12" w:rsidRPr="00D05364" w:rsidRDefault="006358C4" w:rsidP="00A65E12">
            <w:sdt>
              <w:sdtPr>
                <w:rPr>
                  <w:rStyle w:val="Style2"/>
                </w:rPr>
                <w:id w:val="1092201793"/>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rPr>
                  <w:t>☒</w:t>
                </w:r>
              </w:sdtContent>
            </w:sdt>
            <w:r w:rsidR="00A65E12" w:rsidRPr="00D05364">
              <w:t xml:space="preserve"> Ne</w:t>
            </w:r>
          </w:p>
          <w:p w14:paraId="69AA1151" w14:textId="08994C72" w:rsidR="00A65E12" w:rsidRDefault="00A65E12" w:rsidP="00A65E12">
            <w:pPr>
              <w:spacing w:line="276" w:lineRule="auto"/>
              <w:rPr>
                <w:rFonts w:eastAsia="Arial"/>
              </w:rPr>
            </w:pPr>
          </w:p>
        </w:tc>
        <w:tc>
          <w:tcPr>
            <w:tcW w:w="2244" w:type="dxa"/>
          </w:tcPr>
          <w:p w14:paraId="3C67423E" w14:textId="77777777" w:rsidR="00A65E12" w:rsidRDefault="00A65E12" w:rsidP="00A65E12">
            <w:pPr>
              <w:spacing w:line="276" w:lineRule="auto"/>
              <w:rPr>
                <w:rFonts w:eastAsia="Arial"/>
              </w:rPr>
            </w:pPr>
          </w:p>
        </w:tc>
        <w:tc>
          <w:tcPr>
            <w:tcW w:w="2679" w:type="dxa"/>
          </w:tcPr>
          <w:p w14:paraId="60651AFD" w14:textId="77777777" w:rsidR="00A65E12" w:rsidRDefault="00A65E12" w:rsidP="00A65E12">
            <w:pPr>
              <w:spacing w:line="276" w:lineRule="auto"/>
              <w:rPr>
                <w:rFonts w:eastAsia="Arial"/>
              </w:rPr>
            </w:pPr>
          </w:p>
        </w:tc>
      </w:tr>
    </w:tbl>
    <w:p w14:paraId="2EB7FD31" w14:textId="77777777" w:rsidR="00F70C9E" w:rsidRDefault="00F70C9E" w:rsidP="00E03C3F">
      <w:pPr>
        <w:pStyle w:val="ListParagraph"/>
        <w:tabs>
          <w:tab w:val="left" w:pos="426"/>
        </w:tabs>
        <w:ind w:left="0"/>
        <w:rPr>
          <w:b/>
          <w:bCs/>
          <w:caps/>
        </w:rPr>
      </w:pPr>
    </w:p>
    <w:p w14:paraId="483FFA36" w14:textId="77777777" w:rsidR="000B3E93" w:rsidRDefault="000B3E93">
      <w:pPr>
        <w:rPr>
          <w:b/>
          <w:bCs/>
          <w:caps/>
        </w:rPr>
      </w:pPr>
      <w:r>
        <w:rPr>
          <w:b/>
          <w:bCs/>
          <w:caps/>
        </w:rPr>
        <w:br w:type="page"/>
      </w:r>
    </w:p>
    <w:p w14:paraId="5CFA232C" w14:textId="60661BA9" w:rsidR="00A65E12" w:rsidRPr="00A65E12" w:rsidRDefault="00CC7832" w:rsidP="00A93AA6">
      <w:pPr>
        <w:pStyle w:val="ListParagraph"/>
        <w:numPr>
          <w:ilvl w:val="0"/>
          <w:numId w:val="12"/>
        </w:numPr>
        <w:tabs>
          <w:tab w:val="left" w:pos="284"/>
        </w:tabs>
        <w:rPr>
          <w:b/>
          <w:bCs/>
          <w:caps/>
        </w:rPr>
      </w:pPr>
      <w:r w:rsidRPr="00937907">
        <w:rPr>
          <w:b/>
          <w:bCs/>
          <w:caps/>
        </w:rPr>
        <w:lastRenderedPageBreak/>
        <w:t>Klinikinio vertinimo a</w:t>
      </w:r>
      <w:r w:rsidR="00D4485B" w:rsidRPr="00937907">
        <w:rPr>
          <w:b/>
          <w:bCs/>
          <w:caps/>
        </w:rPr>
        <w:t>pibendrinimas</w:t>
      </w:r>
    </w:p>
    <w:p w14:paraId="14B5CDF1" w14:textId="77777777" w:rsidR="00A65E12" w:rsidRDefault="00A65E12" w:rsidP="00A65E12">
      <w:pPr>
        <w:pStyle w:val="bazinis"/>
      </w:pPr>
      <w:r w:rsidRPr="00491770">
        <w:t>Suaugusiųjų kepenų ląstelių karcinoma (</w:t>
      </w:r>
      <w:r>
        <w:t>HCK</w:t>
      </w:r>
      <w:r w:rsidRPr="00491770">
        <w:t xml:space="preserve">) – dažniausias kepenų vėžio tipas. </w:t>
      </w:r>
      <w:r>
        <w:t>HCK</w:t>
      </w:r>
      <w:r w:rsidRPr="00491770">
        <w:t xml:space="preserve"> sudaro apie 75–80 proc. kepenų vėžio atvejų.</w:t>
      </w:r>
      <w:r>
        <w:t xml:space="preserve"> </w:t>
      </w:r>
      <w:r w:rsidRPr="001021FC">
        <w:t xml:space="preserve">Per metus Lietuvoje diagnozuojama apie 190 naujų </w:t>
      </w:r>
      <w:r>
        <w:t>HCK</w:t>
      </w:r>
      <w:r w:rsidRPr="001021FC">
        <w:t xml:space="preserve"> atvejų. Lietuvoje kasmet diagnozuojama apie 40 naujų </w:t>
      </w:r>
      <w:r>
        <w:t>HCK</w:t>
      </w:r>
      <w:r w:rsidRPr="001021FC">
        <w:t xml:space="preserve"> III–IV stadijos atvejų. </w:t>
      </w:r>
      <w:r>
        <w:t xml:space="preserve">Atezolizumabo-bevacizumabo derinys skirtas išplitusios arba neoperabilios HCK gydymui, esant išsaugotai kepenų funkcijai (Child-Pugh A) ir funkcinei būklei (ECOG 0 arba 1), bei ankščiau netaikytam sisteminiam gydymui, ir pakeistų šiuo metu išplitusios HCK sisteminiam gydymui naudojamą sorafenibą kaip pirmos eilės pirmo pasirinkimo sisteminis gydymas, sorafenibui tikėtina tampant antro pasirinkimo sisteminiu gydymu. Atezolizumabas derinyje su bevacizumabu yra efektyvesnis išplitusios HCK gydymas, lyginant su sorafenibu, kadangi reikšmingai mažina mirties riziką, ilgina išgyvenamumą be ligos progresavimo bei ilgiau išlaikoma esama gyvenimo kokybė, fizinė būklė bei funkcionavimas. Įrodymai paremti IMbrave150 </w:t>
      </w:r>
      <w:r w:rsidRPr="000D0F9B">
        <w:t>III</w:t>
      </w:r>
      <w:r w:rsidRPr="00BB6A37">
        <w:t>-ios faz</w:t>
      </w:r>
      <w:r>
        <w:t xml:space="preserve">ės, </w:t>
      </w:r>
      <w:r w:rsidRPr="00BB6A37">
        <w:t>atsitiktini</w:t>
      </w:r>
      <w:r>
        <w:t>ų imčių, atviru, aktyviu gydymu (sorafenibu) kontroliuojamu daugiacentriu klinikiniu tyrimu, kurio įrodymų kokybė yra aukšta ir trūkumai neesminiai.</w:t>
      </w:r>
    </w:p>
    <w:p w14:paraId="1DAA623B" w14:textId="77777777" w:rsidR="00A65E12" w:rsidRDefault="00A65E12" w:rsidP="00A65E12">
      <w:pPr>
        <w:pStyle w:val="bazinis"/>
      </w:pPr>
      <w:r w:rsidRPr="000D0F9B">
        <w:t>P</w:t>
      </w:r>
      <w:r>
        <w:t>reparatas sorafenibas atitinka palyginamajam preparatui keliamus kriterijus, šiuo metu Lietuvoje yra kompensuojamas HCK gydymui, taip pat SAM išleistose „S</w:t>
      </w:r>
      <w:r w:rsidRPr="003670EA">
        <w:t>uaugusiųjų kepenų ląstelių karcinomos diagnostika ir gydym</w:t>
      </w:r>
      <w:r>
        <w:t>o metodinės rekomendacijose“ rekomenduojamas kaip I eilės sisteminis gydymas, o skyrimo sąlygos atitinka siūlomas atezolizumabo-bevacizumabo derinio skyrimo sąlygas.</w:t>
      </w:r>
    </w:p>
    <w:p w14:paraId="2C873672" w14:textId="77777777" w:rsidR="00A65E12" w:rsidRDefault="00A65E12" w:rsidP="00A65E12">
      <w:pPr>
        <w:pStyle w:val="bazinis"/>
      </w:pPr>
    </w:p>
    <w:p w14:paraId="5A40720E" w14:textId="77777777" w:rsidR="00A65E12" w:rsidRDefault="00A65E12" w:rsidP="00A65E12">
      <w:pPr>
        <w:pStyle w:val="bazinis"/>
      </w:pPr>
      <w:r>
        <w:rPr>
          <w:i/>
          <w:iCs/>
        </w:rPr>
        <w:t>Klinikinis</w:t>
      </w:r>
      <w:r w:rsidRPr="00DE7359">
        <w:rPr>
          <w:i/>
          <w:iCs/>
        </w:rPr>
        <w:t xml:space="preserve"> </w:t>
      </w:r>
      <w:r>
        <w:rPr>
          <w:i/>
          <w:iCs/>
        </w:rPr>
        <w:t>veiksmingumas</w:t>
      </w:r>
    </w:p>
    <w:p w14:paraId="7564573A" w14:textId="77777777" w:rsidR="00A65E12" w:rsidRPr="00601EF5" w:rsidRDefault="00A65E12" w:rsidP="00A65E12">
      <w:pPr>
        <w:pStyle w:val="bazinis"/>
      </w:pPr>
      <w:r w:rsidRPr="000D0F9B">
        <w:t>Klinikinis veiksmingumas vertinamas remiantis IMbrave150 tyrimo rezultatais. IMbrave150 yra III</w:t>
      </w:r>
      <w:r w:rsidRPr="00BB6A37">
        <w:t>-ios faz</w:t>
      </w:r>
      <w:r>
        <w:t xml:space="preserve">ės, </w:t>
      </w:r>
      <w:r w:rsidRPr="00BB6A37">
        <w:t>atsitiktini</w:t>
      </w:r>
      <w:r>
        <w:t xml:space="preserve">ų imčių, atviras, aktyviu gydymu sorafenibu kontroliuojamas daugiacentris klinikinis tyrimas. </w:t>
      </w:r>
      <w:r>
        <w:rPr>
          <w:iCs/>
          <w:color w:val="000000" w:themeColor="text1"/>
        </w:rPr>
        <w:t xml:space="preserve">Vertinant pagrindines vertinamąsias baigtis, atezolizumabo-bevacizumabo grupės bendro išgyvenamumo (BI) ir išgyvenamumo be ligos progresavimo (IBLP) buvo statistiškai reikšmingai ilgesni, lyginant su sorafenibo grupe. Lyginant su sorafenibu, skiriant atezolizumabo-bevacizumabo derinį yra 42 proc. mažesnė mirties rizika </w:t>
      </w:r>
      <w:r>
        <w:t xml:space="preserve">(p&lt;0,001). BI vertinimas antrinės analizės metu papildo ir patvirtina pirminės analizės rezultatus ir rodo atezolizumabo-bevacizumabo derinio pranašumą (RS 0,66, PI 95% (0,52;0,85), p=0,0009). IBLP mediana  </w:t>
      </w:r>
      <w:r w:rsidRPr="002C3EFF">
        <w:t>atezolizumabo-bevacizumabo</w:t>
      </w:r>
      <w:r>
        <w:t xml:space="preserve"> grupėje buvo 6,8 mėn., palyginus su 4,3 mėn.: vartojant </w:t>
      </w:r>
      <w:r w:rsidRPr="002C3EFF">
        <w:t>atezolizumabo-bevacizumabo</w:t>
      </w:r>
      <w:r>
        <w:t xml:space="preserve"> ligos progresavimas reikšmingai atitolinamas (RS 0,59, 95% PI (0,47;0,76), p&lt;0,001). Objektyvaus atsako dažnis statistiškai reikšmingai ilgesnis vartojant atezolizumabą su bevacizumabu, tiek vertinant pagal RECIST v1.1, tiek pagal ligai specifišką mRECIST (didesnis 15,4%, p&lt;0,0001, ir 29,9%, p&lt;0,0001, atitinkamai). </w:t>
      </w:r>
      <w:r>
        <w:rPr>
          <w:iCs/>
          <w:color w:val="000000" w:themeColor="text1"/>
        </w:rPr>
        <w:t xml:space="preserve">Pacientų praneštų baigčių rezultatai parodė, kad  </w:t>
      </w:r>
      <w:r>
        <w:t xml:space="preserve">atezolizumabo-bevacizumabo terapija turi kliniškai reikšmingą pranašumą prieš sorafenibo terapiją, nes daugiau nei 20 proc. pageriną pacientų gyvenimo kokybę, fizines ir emocines funkcijas. Atsako į gydymą dažnis bei laiko iki gyvenimo kokybės pablogėjimo rezultatai paremia BI ir IBLP duomenis ir patvirtina klinikinę gydymo </w:t>
      </w:r>
      <w:r w:rsidRPr="002C3EFF">
        <w:t>atezolizumabo-bevacizumabo</w:t>
      </w:r>
      <w:r>
        <w:t xml:space="preserve"> deriniu naudą taikant pacientams su HCK, palyginus su gydymu </w:t>
      </w:r>
      <w:r w:rsidRPr="002C3EFF">
        <w:t>sorafenib</w:t>
      </w:r>
      <w:r>
        <w:t>u.</w:t>
      </w:r>
    </w:p>
    <w:p w14:paraId="25734B9A" w14:textId="77777777" w:rsidR="00A65E12" w:rsidRDefault="00A65E12" w:rsidP="00A65E12">
      <w:pPr>
        <w:pStyle w:val="bazinis"/>
      </w:pPr>
      <w:r>
        <w:t>Gydymo sorafenibu trukmė (mediana 2,8 mėnesio) buvo trumpesnė negu atezolizumabo (mediana 7,4 mėnesio) ir bevacizumabo (mediana 6,9 mėnesio). Nepageidaujamų reiškinių (NR), vertinamų kaip 3-4 laipsnio, dažnis tarp grupių buvo panašus. Rimtų NR dažnis atezolizumabo-bevacizumabo grupėje buvo didesnis (38%) nei sorafenibo grupėje (30,8%). Nebuvo nustatyta specifinių NR, kurie lemtų didesnį NR dažnį atezolizumabo-bevacizumabo grupėje, taip pat nefiksuota didesnio nei 2% skirtumo tarp grupių vertinant atskirtus rimtus NR.  Gydymo bet kuriuo iš vaistų nutraukimo dažnis dėl nepageidaujamų reiškinių (NR) buvo 15,5% atezolizumabo-bevacizumabo grupėje (7% nutraukė abu vaistus), sorafenibo grupėje 10,3%. Dozės keitimo arba gydymo rėžimo pažeidimo dažnis dėl nepageidaujamų reiškinių atezolizumabo-bevacizumabo grupėje buvo 49,5%, sorafenibo grupėje 60,9%. Sorafenibo grupėje vaisto dozės sumažinimas dėl NR buvo reikalingas 37,2% tiriamųjų, atezolizumabo-bevacizumabo grupėje dozės sumažinimas nebuvo leidžiamas. NR, būdingų atezolizumabui (imuninės reakcijos), dažnis sorafenibo grupėje (82,1%) buvo didesnis nei atezolizumabo-bevacizumabo grupėje (68,7%). Atezolizumabo-</w:t>
      </w:r>
      <w:r>
        <w:lastRenderedPageBreak/>
        <w:t xml:space="preserve">bevacizumabo grupėje ≥5% dažnesnis buvo hipotiroidizmas ir su infuzija susijusios reakcijos. Dauguma NR buvo 1 ir 2 laipsnio. NR, būdingų bevacizumabui (imuninės reakcijos), dažnis sorafenibo grupėje (47,8%) buvo retesnis, lyginant su atezolizumabo-bevacizumabo grupe (58,7%). Atezolizumabo-bevacizumabo grupėje dažiau pasireiškė hipertenzija (31,0% lyginant su 25,6%), kraujavimas (25,2% lyginant su 17,3%) ir proteinurija (21,3% lyginant su 8,3%). NR dažnis ir pobūdis sutampa su žinoma bevacizumabo saugumo informacija. Per 30 mėnesių nuo atsitiktinių imčių sudarymo laikotarpį kaip NR mirtis fiksuota 2 pacientams sorafenibo grupėje ir 1 pacientui atezolizumabo-bevacizumabo grupėje. </w:t>
      </w:r>
      <w:r w:rsidRPr="00DE7359">
        <w:rPr>
          <w:color w:val="000000"/>
          <w:lang w:eastAsia="lt-LT"/>
        </w:rPr>
        <w:t>Tyrimo metu reikšmingų saugumo problemų ar įvykių nenustatyta.</w:t>
      </w:r>
      <w:r>
        <w:rPr>
          <w:color w:val="000000"/>
          <w:lang w:eastAsia="lt-LT"/>
        </w:rPr>
        <w:t xml:space="preserve"> Apibendrinant saugumo duomenis, </w:t>
      </w:r>
      <w:r>
        <w:t>nors rimtų NR dažnis ir gydymo nutraukimo dėl NR dažnis atezolizumabu-bevacizumabu gydytų pacientų tarpe buvo didesnis, tačiau gydymo tiriamaisiais preparatais trukmė buvo ilgesnė, nei sorafenibu, taip pat nebuvo galima dozės korekcija, priešingai, nei skiriant sorafenibą. Didžiausia saugumo problema – didesnis kraujavimo dažnis skiriant bevacizumabą, atsižvelgiant į tai, kad HCK pacientai turi didesnę kraujavimo riziką.</w:t>
      </w:r>
    </w:p>
    <w:p w14:paraId="53280C6A" w14:textId="77777777" w:rsidR="00A65E12" w:rsidRDefault="00A65E12" w:rsidP="00A65E12">
      <w:pPr>
        <w:pStyle w:val="bazinis"/>
      </w:pPr>
    </w:p>
    <w:p w14:paraId="4271248F" w14:textId="77777777" w:rsidR="00A65E12" w:rsidRPr="006B7325" w:rsidRDefault="00A65E12" w:rsidP="00A65E12">
      <w:pPr>
        <w:pStyle w:val="bazinis"/>
        <w:rPr>
          <w:i/>
          <w:iCs/>
          <w:color w:val="000000"/>
        </w:rPr>
      </w:pPr>
      <w:r w:rsidRPr="006B7325">
        <w:rPr>
          <w:i/>
          <w:iCs/>
          <w:color w:val="000000"/>
        </w:rPr>
        <w:t>Privalumai ir trūkumai</w:t>
      </w:r>
    </w:p>
    <w:p w14:paraId="09946AED" w14:textId="77777777" w:rsidR="00A65E12" w:rsidRPr="00601EF5" w:rsidRDefault="00A65E12" w:rsidP="00A65E12">
      <w:pPr>
        <w:pStyle w:val="bazinis"/>
        <w:rPr>
          <w:color w:val="000000"/>
        </w:rPr>
      </w:pPr>
      <w:r w:rsidRPr="00601EF5">
        <w:rPr>
          <w:color w:val="000000"/>
        </w:rPr>
        <w:t>Jei vaistinis preparatas būtų įrašytas į kompensavimo sąrašus, gydymo šiuo vaistiniu preparatu taikymas klinikinėje praktikoje galėtų turėti privalumų ir trūkumų medicininėms paslaugoms ar pacientams.</w:t>
      </w:r>
    </w:p>
    <w:p w14:paraId="1DD6CBEF" w14:textId="77777777" w:rsidR="00A65E12" w:rsidRPr="00601EF5" w:rsidRDefault="00A65E12" w:rsidP="00A65E12">
      <w:pPr>
        <w:pStyle w:val="bazinis"/>
        <w:rPr>
          <w:color w:val="000000"/>
        </w:rPr>
      </w:pPr>
      <w:r w:rsidRPr="00601EF5">
        <w:rPr>
          <w:color w:val="000000"/>
        </w:rPr>
        <w:t xml:space="preserve">Privalumai. Pacientams – platesnės </w:t>
      </w:r>
      <w:r>
        <w:rPr>
          <w:color w:val="000000"/>
        </w:rPr>
        <w:t>gydymo</w:t>
      </w:r>
      <w:r w:rsidRPr="00601EF5">
        <w:rPr>
          <w:color w:val="000000"/>
        </w:rPr>
        <w:t xml:space="preserve"> pasirinkimo galimybės</w:t>
      </w:r>
      <w:r>
        <w:rPr>
          <w:color w:val="000000"/>
        </w:rPr>
        <w:t>, efektyvesnis gydymo būdas, ilgesnis išgyvenamumas ilgiau išliekant geresnei gyvenimo kokybei</w:t>
      </w:r>
      <w:r w:rsidRPr="00601EF5">
        <w:rPr>
          <w:color w:val="000000"/>
        </w:rPr>
        <w:t>. Medicinos paslaugoms – platesnis gydymo pasirinkimų spektras</w:t>
      </w:r>
      <w:r>
        <w:rPr>
          <w:color w:val="000000"/>
        </w:rPr>
        <w:t>, efektyvesnio gydymo galimybė</w:t>
      </w:r>
      <w:r w:rsidRPr="00601EF5">
        <w:rPr>
          <w:color w:val="000000"/>
        </w:rPr>
        <w:t>.</w:t>
      </w:r>
    </w:p>
    <w:p w14:paraId="545A4E63" w14:textId="77777777" w:rsidR="00A65E12" w:rsidRDefault="00A65E12" w:rsidP="00A65E12">
      <w:pPr>
        <w:pStyle w:val="bazinis"/>
        <w:rPr>
          <w:color w:val="000000"/>
        </w:rPr>
      </w:pPr>
      <w:r w:rsidRPr="00601EF5">
        <w:rPr>
          <w:color w:val="000000"/>
        </w:rPr>
        <w:t xml:space="preserve">Trūkumai. Pacientams – </w:t>
      </w:r>
      <w:r>
        <w:rPr>
          <w:color w:val="000000"/>
        </w:rPr>
        <w:t>intraveninis vaisto skyrimas, reikalaujantis papildomų apsilankymų</w:t>
      </w:r>
      <w:r w:rsidRPr="00601EF5">
        <w:rPr>
          <w:color w:val="000000"/>
        </w:rPr>
        <w:t xml:space="preserve">. Medicinos paslaugoms – </w:t>
      </w:r>
      <w:r>
        <w:rPr>
          <w:color w:val="000000"/>
        </w:rPr>
        <w:t>intraveninis vaisto skyrimas, reikalaujantis papildomų apsilankymų; galimi papildomi apsilankymai dėl kraujavimo</w:t>
      </w:r>
      <w:r w:rsidRPr="00601EF5">
        <w:rPr>
          <w:color w:val="000000"/>
        </w:rPr>
        <w:t>.</w:t>
      </w:r>
    </w:p>
    <w:p w14:paraId="277E1F82" w14:textId="77777777" w:rsidR="00A65E12" w:rsidRPr="00DD4732" w:rsidRDefault="00A65E12" w:rsidP="00A65E12">
      <w:pPr>
        <w:pStyle w:val="bazinis"/>
        <w:rPr>
          <w:color w:val="000000"/>
        </w:rPr>
      </w:pPr>
      <w:r>
        <w:rPr>
          <w:iCs/>
          <w:color w:val="000000" w:themeColor="text1"/>
        </w:rPr>
        <w:t>Apibendrinant tyrimo rezultatus galima teigti, kad skiriant atezolizumabo ir bevacizumabo derinį išplitusia, nerezktabilia HCK sergantiems pacientams, ankščiau negydytiems sistemine terapija, kurių kepenų funkcija vertinama Child-Pugh A, funkcinė būklė pagal ECOG ≤1 bendras išgyvenamumas ir išgyvenamumas be ligos progresavimo yra geresni, o gyvenimo kokybė pablogėja vėliau, nei gydant sorafenibu.</w:t>
      </w:r>
      <w:r>
        <w:t xml:space="preserve"> Remiantis šiais duomenimis, </w:t>
      </w:r>
      <w:r>
        <w:rPr>
          <w:iCs/>
          <w:color w:val="000000" w:themeColor="text1"/>
        </w:rPr>
        <w:t>atezolizumabo derinyje su bevacizumabu skyrimas pagal prašomą indikaciją ir sąlygas yra pagrįstas ir efektyvesnis už palyginamąjį gydymą, taip pat atitinka daugumą atnaujintų tarptautinių HCK sisteminio gydymo gairių (ESMO, EASL, NCCN, BCLC).</w:t>
      </w:r>
    </w:p>
    <w:p w14:paraId="1A00BC8E" w14:textId="75F4A354" w:rsidR="00A93AA6" w:rsidRPr="00797153" w:rsidRDefault="00A93AA6" w:rsidP="00A93AA6">
      <w:pPr>
        <w:tabs>
          <w:tab w:val="left" w:pos="284"/>
        </w:tabs>
        <w:rPr>
          <w:bCs/>
          <w:i/>
          <w:caps/>
          <w:sz w:val="22"/>
        </w:rPr>
      </w:pPr>
      <w:r w:rsidRPr="00797153">
        <w:rPr>
          <w:bCs/>
          <w:i/>
          <w:caps/>
          <w:sz w:val="22"/>
        </w:rPr>
        <w:t xml:space="preserve"> </w:t>
      </w:r>
    </w:p>
    <w:p w14:paraId="25F89291" w14:textId="0AA012E0" w:rsidR="00D4485B" w:rsidRPr="006D4C85" w:rsidRDefault="00D4485B" w:rsidP="00A93AA6">
      <w:pPr>
        <w:pStyle w:val="ListParagraph"/>
        <w:tabs>
          <w:tab w:val="left" w:pos="426"/>
        </w:tabs>
        <w:ind w:left="0"/>
        <w:rPr>
          <w:b/>
          <w:bCs/>
          <w:caps/>
        </w:rPr>
      </w:pPr>
    </w:p>
    <w:p w14:paraId="7DE09EB5" w14:textId="04C72FFD" w:rsidR="00E03C3F" w:rsidRPr="00A93AA6" w:rsidRDefault="00CC7832" w:rsidP="00937907">
      <w:pPr>
        <w:pStyle w:val="ListParagraph"/>
        <w:numPr>
          <w:ilvl w:val="0"/>
          <w:numId w:val="12"/>
        </w:numPr>
        <w:tabs>
          <w:tab w:val="left" w:pos="426"/>
        </w:tabs>
        <w:rPr>
          <w:b/>
          <w:bCs/>
          <w:caps/>
        </w:rPr>
      </w:pPr>
      <w:r w:rsidRPr="00A93AA6">
        <w:rPr>
          <w:b/>
          <w:bCs/>
          <w:caps/>
        </w:rPr>
        <w:t>Farmakoekonomin</w:t>
      </w:r>
      <w:r>
        <w:rPr>
          <w:b/>
          <w:bCs/>
          <w:caps/>
        </w:rPr>
        <w:t>io</w:t>
      </w:r>
      <w:r w:rsidRPr="00A93AA6">
        <w:rPr>
          <w:b/>
          <w:bCs/>
          <w:caps/>
        </w:rPr>
        <w:t xml:space="preserve"> vert</w:t>
      </w:r>
      <w:r>
        <w:rPr>
          <w:b/>
          <w:bCs/>
          <w:caps/>
        </w:rPr>
        <w:t xml:space="preserve">inimo </w:t>
      </w:r>
      <w:r w:rsidR="002F0E4F" w:rsidRPr="00A93AA6">
        <w:rPr>
          <w:b/>
          <w:bCs/>
          <w:caps/>
        </w:rPr>
        <w:t>apibendrinimas</w:t>
      </w:r>
    </w:p>
    <w:p w14:paraId="1A900598" w14:textId="36354E50" w:rsidR="00C62B36" w:rsidRDefault="00C62B36" w:rsidP="00A93AA6">
      <w:pPr>
        <w:tabs>
          <w:tab w:val="left" w:pos="426"/>
        </w:tabs>
        <w:rPr>
          <w:i/>
          <w:color w:val="00B050"/>
          <w:sz w:val="22"/>
          <w:szCs w:val="22"/>
        </w:rPr>
      </w:pPr>
    </w:p>
    <w:p w14:paraId="03823253" w14:textId="77777777" w:rsidR="00472038" w:rsidRDefault="000C5E0E" w:rsidP="00472038">
      <w:pPr>
        <w:ind w:firstLine="709"/>
        <w:jc w:val="both"/>
      </w:pPr>
      <w:r w:rsidRPr="00D05364">
        <w:rPr>
          <w:lang w:eastAsia="lt-LT"/>
        </w:rPr>
        <w:t xml:space="preserve">Į ekonominę analizę įtraukti pacientai </w:t>
      </w:r>
      <w:r>
        <w:rPr>
          <w:rFonts w:eastAsia="Arial"/>
        </w:rPr>
        <w:t xml:space="preserve">su ankščiau negydyta, vietiškai išplitusia arba metastazavusia </w:t>
      </w:r>
      <w:r w:rsidRPr="00BF4B7C">
        <w:t>neoperabili</w:t>
      </w:r>
      <w:r>
        <w:t>a hepatoceliuline</w:t>
      </w:r>
      <w:r w:rsidRPr="00BF4B7C">
        <w:t xml:space="preserve"> karcinoma </w:t>
      </w:r>
      <w:r>
        <w:t>(</w:t>
      </w:r>
      <w:r>
        <w:rPr>
          <w:rFonts w:eastAsia="Arial"/>
        </w:rPr>
        <w:t>HCK), kepenų funkcija vertinama A klase pagal Child-Pugh, ir vertinami ECOG funkcine būkle 0 arba 1.</w:t>
      </w:r>
      <w:r w:rsidRPr="00315853">
        <w:rPr>
          <w:rFonts w:eastAsia="Arial"/>
        </w:rPr>
        <w:t xml:space="preserve"> </w:t>
      </w:r>
      <w:r>
        <w:rPr>
          <w:rFonts w:eastAsia="Arial"/>
        </w:rPr>
        <w:t>Tyrimo populiacija iš esmės atitinka siūlomas skyrimo sąlygas ir indikaciją (</w:t>
      </w:r>
      <w:r w:rsidRPr="00562376">
        <w:rPr>
          <w:i/>
        </w:rPr>
        <w:t>atezolizumabas derinyje su bevacizumabu yra skiriamas suaugusiujų pacientų gydymui, kai yra išplitusi arba neoperabili hepatoceliulinė karcinoma (HCK) ir kai anksčiau nebuvo skirtas sisteminis gydymas</w:t>
      </w:r>
      <w:r>
        <w:t>)</w:t>
      </w:r>
      <w:r w:rsidRPr="00BF4B7C">
        <w:t xml:space="preserve">. </w:t>
      </w:r>
    </w:p>
    <w:p w14:paraId="1DB2C47C" w14:textId="77777777" w:rsidR="00472038" w:rsidRDefault="000C5E0E" w:rsidP="00472038">
      <w:pPr>
        <w:ind w:firstLine="709"/>
        <w:jc w:val="both"/>
      </w:pPr>
      <w:r>
        <w:t>Farmakoekonominėje analizėje (FEA)</w:t>
      </w:r>
      <w:r w:rsidRPr="0007396E">
        <w:t xml:space="preserve"> </w:t>
      </w:r>
      <w:r>
        <w:t>taikomas</w:t>
      </w:r>
      <w:r w:rsidRPr="0007396E">
        <w:t xml:space="preserve"> padalintos kohortos išgyvenamumo</w:t>
      </w:r>
      <w:r>
        <w:t xml:space="preserve"> </w:t>
      </w:r>
      <w:r w:rsidRPr="0007396E">
        <w:t xml:space="preserve">(angl. </w:t>
      </w:r>
      <w:r w:rsidRPr="006112FE">
        <w:rPr>
          <w:i/>
        </w:rPr>
        <w:t>partitioned survival model</w:t>
      </w:r>
      <w:r w:rsidRPr="0007396E">
        <w:t xml:space="preserve">) </w:t>
      </w:r>
      <w:r>
        <w:t xml:space="preserve">trijų tarpusavyje nesusijusių sveikatos būklių </w:t>
      </w:r>
      <w:r w:rsidRPr="0007396E">
        <w:t>model</w:t>
      </w:r>
      <w:r>
        <w:t xml:space="preserve">iavimas: </w:t>
      </w:r>
      <w:r w:rsidRPr="006112FE">
        <w:rPr>
          <w:lang w:val="en-US"/>
        </w:rPr>
        <w:t xml:space="preserve">1) </w:t>
      </w:r>
      <w:r w:rsidRPr="006112FE">
        <w:rPr>
          <w:i/>
        </w:rPr>
        <w:t>Būklė be ligos progresavimo; 2) Progresuojančios ligos būklė; 3) Mirties būklė</w:t>
      </w:r>
      <w:r w:rsidRPr="0007396E">
        <w:t>.</w:t>
      </w:r>
      <w:r>
        <w:t xml:space="preserve"> </w:t>
      </w:r>
      <w:r>
        <w:rPr>
          <w:lang w:eastAsia="lt-LT"/>
        </w:rPr>
        <w:t xml:space="preserve">Individualaus paciento lygmens duomenys įtraukti iš </w:t>
      </w:r>
      <w:r>
        <w:rPr>
          <w:rFonts w:eastAsia="Arial"/>
        </w:rPr>
        <w:t>IMbrave150</w:t>
      </w:r>
      <w:r>
        <w:rPr>
          <w:lang w:val="en-GB"/>
        </w:rPr>
        <w:t xml:space="preserve"> klinikinio tyrimo, </w:t>
      </w:r>
      <w:r w:rsidRPr="008A3A17">
        <w:rPr>
          <w:lang w:eastAsia="lt-LT"/>
        </w:rPr>
        <w:t xml:space="preserve">kurio </w:t>
      </w:r>
      <w:r w:rsidRPr="008A3A17">
        <w:t>įrodymų kokybė yra</w:t>
      </w:r>
      <w:r>
        <w:t xml:space="preserve"> aukšta ir trūkumai neesminiai (</w:t>
      </w:r>
      <w:r w:rsidRPr="000D0F9B">
        <w:rPr>
          <w:rFonts w:eastAsia="Arial"/>
        </w:rPr>
        <w:t>III</w:t>
      </w:r>
      <w:r w:rsidRPr="00BB6A37">
        <w:t>-ios faz</w:t>
      </w:r>
      <w:r>
        <w:t xml:space="preserve">ės, </w:t>
      </w:r>
      <w:r w:rsidRPr="00BB6A37">
        <w:t>atsitiktini</w:t>
      </w:r>
      <w:r>
        <w:t xml:space="preserve">ų imčių, atviru, aktyviu gydymu (sorafenibu) kontroliuojamas daugiacentris klinikinis tyrimas). </w:t>
      </w:r>
      <w:r>
        <w:rPr>
          <w:rFonts w:eastAsia="Arial"/>
        </w:rPr>
        <w:t xml:space="preserve">Vertinama, kad palyginamasis preparatas sorafenibas atitinka </w:t>
      </w:r>
      <w:r w:rsidRPr="00CD69B3">
        <w:rPr>
          <w:rFonts w:eastAsia="Arial"/>
        </w:rPr>
        <w:t>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w:t>
      </w:r>
      <w:r>
        <w:rPr>
          <w:rFonts w:eastAsia="Arial"/>
        </w:rPr>
        <w:t xml:space="preserve"> 116.1, 116.2 ir 119 punktus ir yra tinkamas palyginamasis.</w:t>
      </w:r>
    </w:p>
    <w:p w14:paraId="25B42AB6" w14:textId="77777777" w:rsidR="00472038" w:rsidRDefault="000C5E0E" w:rsidP="00472038">
      <w:pPr>
        <w:ind w:firstLine="709"/>
        <w:jc w:val="both"/>
      </w:pPr>
      <w:r w:rsidRPr="004B4987">
        <w:rPr>
          <w:lang w:eastAsia="lt-LT"/>
        </w:rPr>
        <w:lastRenderedPageBreak/>
        <w:t>Modelyje taikoma ilgesnė laiko perspektyva, besitęsianti po kliniki</w:t>
      </w:r>
      <w:r>
        <w:rPr>
          <w:lang w:eastAsia="lt-LT"/>
        </w:rPr>
        <w:t xml:space="preserve">nio tyrimo stebėsenos pabaigos. </w:t>
      </w:r>
      <w:r>
        <w:t xml:space="preserve">Dėl </w:t>
      </w:r>
      <w:r w:rsidRPr="008A3A17">
        <w:t>Pareiškėjo</w:t>
      </w:r>
      <w:r>
        <w:t xml:space="preserve"> modelyje taikytų prielaidų</w:t>
      </w:r>
      <w:r w:rsidRPr="008A3A17">
        <w:t xml:space="preserve"> duomenis ekstrapoliuojant </w:t>
      </w:r>
      <w:r w:rsidRPr="008A3A17">
        <w:rPr>
          <w:lang w:val="en-US"/>
        </w:rPr>
        <w:t>20 m. laiko perspektyvoje (po tyrimo steb</w:t>
      </w:r>
      <w:r w:rsidRPr="008A3A17">
        <w:t xml:space="preserve">ėjimo pabaigos) </w:t>
      </w:r>
      <w:r>
        <w:t xml:space="preserve">pagrindimo </w:t>
      </w:r>
      <w:r>
        <w:rPr>
          <w:snapToGrid w:val="0"/>
        </w:rPr>
        <w:t xml:space="preserve">Tarnyba kreipėsi pakartotinai į Pareiškėją. </w:t>
      </w:r>
      <w:r>
        <w:t>Apibendrinant Pareiškėjo pateiktus atsakymus dėl įprastinėje atvejo analizėje IBLP ir gydymo trukmės duomenų ekstrapoliacijai taikomų parametrinių funkcijų po klinikinių tyrimų baigties pagrindimo, Tarnyba vertina, kad Pareiškėjo pateikti atsakymai tinkami, pateikti literatūros šaltiniai patikimi. Pareiškėjas IBLP ir BI duomenų ekstrapoliacijai parametrinių funkcijų tinkamumui įvertinti vadovaujasi AIC/BIC didžiausios atitikties kriterijais (IBLP ir gydymo trukmės duomenų ekstrapoliacijai taikoma: atezo</w:t>
      </w:r>
      <w:r>
        <w:rPr>
          <w:lang w:val="en-US"/>
        </w:rPr>
        <w:t>+bev – gen gamma, sorafenibui – log normal). Tarnyba, s</w:t>
      </w:r>
      <w:r>
        <w:t xml:space="preserve">iekiant išlaikyti IBLP ir BI duomenų ekstrapoliacijai taikomų parametrinių skirstinių tolydumą tarp atezolizumabo ir bevacizumabo bei sorafenibo gydymo grupių, taiko log normal parametrines funkcijas. Vertinant gydymo trukmių ekstrapoliacijai taikomus metodus, Tarnyba atsižvelgia į klinikinės praktikos publikuojamuose literatūros šaltiniuose atitiktį modeliuojamiems rezultatams ir sutinka su </w:t>
      </w:r>
      <w:r w:rsidRPr="00DA1866">
        <w:t>Pareiškėjo taikomomis parametrinėmis funkcijomis atezo</w:t>
      </w:r>
      <w:r w:rsidRPr="00DA1866">
        <w:rPr>
          <w:lang w:val="en-US"/>
        </w:rPr>
        <w:t xml:space="preserve">+bev – gen gamma tinkamumu. </w:t>
      </w:r>
      <w:r w:rsidRPr="00DA1866">
        <w:t xml:space="preserve">Kadangi </w:t>
      </w:r>
      <w:r>
        <w:t xml:space="preserve">pagal literatūros duomenis sorafenibo </w:t>
      </w:r>
      <w:r w:rsidRPr="00DA1866">
        <w:t>gydymo trukmės pokyčiai nesiejami su IBLP trukmės kitimu (IBLP ir BI duomenų ekstrapoliacijai taikyta log normal) ir esminių skirtumų ICER pokyčiui taikant log normal arba gen gamma parametrines funkcijas nestebima, siekiant duomenis esktrapoliuoti metodologiškai išlaikant duomenų skirstinių tolydumą tarp gydymo grupių, atezo</w:t>
      </w:r>
      <w:r w:rsidRPr="00DA1866">
        <w:rPr>
          <w:lang w:val="en-US"/>
        </w:rPr>
        <w:t>+bev ir sorafenibo gydymo trukm</w:t>
      </w:r>
      <w:r w:rsidRPr="00DA1866">
        <w:t>ės modeliavimui taikoma gen gamma.</w:t>
      </w:r>
      <w:r>
        <w:t xml:space="preserve"> </w:t>
      </w:r>
      <w:r w:rsidRPr="00AD1E97">
        <w:t xml:space="preserve">Analizėje Pareiškėjo taikoma </w:t>
      </w:r>
      <w:r w:rsidRPr="008A73A8">
        <w:t>prielaida dėl HCK pacientų standartizuoto mirtingumo (nesant pagrindimo, kad išplitusia arba neoperabilia HCK sergančių pacientų, kuriems anksčiau nebuvo skirtas sisteminis gydymas, mirtingumas yra du kartus didesnis lyginant su bendrąja populiacija), kad  HCK sergančių pacientų mirtingumo rizika yra vienoda yra laikoma konservatyvi ir priimtina.</w:t>
      </w:r>
      <w:r w:rsidRPr="008A73A8">
        <w:rPr>
          <w:lang w:val="en-US"/>
        </w:rPr>
        <w:t xml:space="preserve"> </w:t>
      </w:r>
    </w:p>
    <w:p w14:paraId="407E5F7D" w14:textId="77777777" w:rsidR="00472038" w:rsidRDefault="000C5E0E" w:rsidP="00472038">
      <w:pPr>
        <w:ind w:firstLine="709"/>
        <w:jc w:val="both"/>
      </w:pPr>
      <w:r w:rsidRPr="008A73A8">
        <w:t xml:space="preserve">Sveikatai sukuriama nauda buvo vertinama pagal su sveikata susijusią gyvenimo kokybę (angl. </w:t>
      </w:r>
      <w:r w:rsidRPr="008A73A8">
        <w:rPr>
          <w:i/>
          <w:iCs/>
        </w:rPr>
        <w:t xml:space="preserve">Health realated quality of life, </w:t>
      </w:r>
      <w:r w:rsidRPr="008A73A8">
        <w:rPr>
          <w:i/>
        </w:rPr>
        <w:t>HRQoL</w:t>
      </w:r>
      <w:r w:rsidRPr="008A73A8">
        <w:t xml:space="preserve">), kuri buvo įvertinta klinikiniame tyrime </w:t>
      </w:r>
      <w:r w:rsidRPr="008A73A8">
        <w:rPr>
          <w:snapToGrid w:val="0"/>
          <w:lang w:val="en-GB"/>
        </w:rPr>
        <w:t>IMbrave150</w:t>
      </w:r>
      <w:r w:rsidRPr="008A73A8">
        <w:t>, naudojant EuroQoL EQ-5D-3L klausimyną. Laikoma, kad taikant gyvenimo kokybės įverčių apskaičiavimo iki mirties metodą (angl.</w:t>
      </w:r>
      <w:r w:rsidRPr="008A73A8">
        <w:rPr>
          <w:i/>
        </w:rPr>
        <w:t xml:space="preserve"> – proximity to death approach)</w:t>
      </w:r>
      <w:r w:rsidRPr="008A73A8">
        <w:t>, tiksliau įvertinami gyvenimo kokybės pokyčiai ligai progresuojant, todėl įprastinėje atve</w:t>
      </w:r>
      <w:r>
        <w:t>jo analizėje taikomas tinkamai.</w:t>
      </w:r>
    </w:p>
    <w:p w14:paraId="73A4745C" w14:textId="77777777" w:rsidR="00472038" w:rsidRDefault="000C5E0E" w:rsidP="00472038">
      <w:pPr>
        <w:ind w:firstLine="709"/>
        <w:jc w:val="both"/>
      </w:pPr>
      <w:r>
        <w:rPr>
          <w:rFonts w:eastAsia="Arial"/>
          <w:bCs/>
        </w:rPr>
        <w:t xml:space="preserve">Tarnybos vertinimu, esminiais prieštaravimais nustatyti kainų pokyčiai vertinamuoju laikotarpiu lėmę referencinės kaštų naudingumo vertės neatitiktį. </w:t>
      </w:r>
      <w:r>
        <w:t>Pareiškėjas atsižvelgiant į esminius prieštaravimus pateikė atnaujintą ekonominę analizę: atnaujintus paslaugų įkainius ir bazines vaistinių preparatų kainas (</w:t>
      </w:r>
      <w:r>
        <w:rPr>
          <w:lang w:val="en-US"/>
        </w:rPr>
        <w:t>2023 m. I ketv.), taip pat pateik</w:t>
      </w:r>
      <w:r>
        <w:t>ė naują atezolizumabui taikomą kainos nuolaidą (atnaujinta PGS sutartis).</w:t>
      </w:r>
      <w:r>
        <w:rPr>
          <w:i/>
        </w:rPr>
        <w:t xml:space="preserve"> </w:t>
      </w:r>
      <w:r w:rsidRPr="003F2C29">
        <w:t xml:space="preserve">Tarnyba įprastinėje atvejo analizėje atsižvelgė į Pareiškėjo pateiktus atnaujintus </w:t>
      </w:r>
      <w:r w:rsidRPr="003F2C29">
        <w:rPr>
          <w:lang w:eastAsia="lt-LT"/>
        </w:rPr>
        <w:t xml:space="preserve">sveikatos būklių gydymo kaštus, </w:t>
      </w:r>
      <w:r w:rsidRPr="003F2C29">
        <w:t xml:space="preserve"> apskaičiuojant </w:t>
      </w:r>
      <w:r w:rsidRPr="003F2C29">
        <w:rPr>
          <w:lang w:eastAsia="lt-LT"/>
        </w:rPr>
        <w:t>vaistinių preparatų dozavimą, taikė konservatyviausius rezultatus lemiančias prielaidas.</w:t>
      </w:r>
      <w:r w:rsidRPr="003F2C29">
        <w:t xml:space="preserve"> </w:t>
      </w:r>
      <w:r w:rsidRPr="003F2C29">
        <w:rPr>
          <w:bCs/>
          <w:color w:val="000000"/>
        </w:rPr>
        <w:t xml:space="preserve">Apibendrinant, Tarnyba vertina, kad kaštų analizė apima visus tiesiogiai su sveikata susijusius kaštus, </w:t>
      </w:r>
      <w:r w:rsidRPr="003F2C29">
        <w:t>analizė atlikta iš PSDF biudžeto perspektyvos.</w:t>
      </w:r>
      <w:r w:rsidRPr="003F2C29">
        <w:rPr>
          <w:bCs/>
          <w:color w:val="000000"/>
        </w:rPr>
        <w:t xml:space="preserve"> </w:t>
      </w:r>
      <w:r w:rsidRPr="003F2C29">
        <w:t>Kaštai ir nauda diskontuoti pagal teisės aktuose nustatytus paraiškos rengimo taisyklių reikalavimus. Taikytas 3,5% diskontavimas. Tai atitinka teisės aktuose nustatytus paraiškos rengimo taisyklių reikalavimus, l</w:t>
      </w:r>
      <w:r w:rsidRPr="003F2C29">
        <w:rPr>
          <w:rFonts w:eastAsia="Arial"/>
        </w:rPr>
        <w:t xml:space="preserve">aikoma, kad visi esminiai kaštai įtraukti ir prielaidos bei joms taikyti šaltiniai pagrįsti. </w:t>
      </w:r>
    </w:p>
    <w:p w14:paraId="579549CF" w14:textId="175E4E2F" w:rsidR="000C5E0E" w:rsidRPr="00472038" w:rsidRDefault="000C5E0E" w:rsidP="00472038">
      <w:pPr>
        <w:ind w:firstLine="709"/>
        <w:jc w:val="both"/>
      </w:pPr>
      <w:r w:rsidRPr="00F371AD">
        <w:rPr>
          <w:rFonts w:eastAsia="Arial"/>
          <w:lang w:val="en-US"/>
        </w:rPr>
        <w:t xml:space="preserve">Atsižvelgiant, kad </w:t>
      </w:r>
      <w:r>
        <w:rPr>
          <w:rFonts w:eastAsia="Arial"/>
          <w:lang w:val="en-US"/>
        </w:rPr>
        <w:t>po atsakymų pateikimo į Tarnybos klausimus, įprastinėje atvejo analizėje pritaikius galutines kaštų analizės prielaidas, apskaičiuotas ICER neatitiko</w:t>
      </w:r>
      <w:r w:rsidRPr="00F371AD">
        <w:rPr>
          <w:rFonts w:eastAsia="Arial"/>
          <w:lang w:val="en-US"/>
        </w:rPr>
        <w:t xml:space="preserve"> referencinės kaštų n</w:t>
      </w:r>
      <w:r>
        <w:rPr>
          <w:rFonts w:eastAsia="Arial"/>
          <w:lang w:val="en-US"/>
        </w:rPr>
        <w:t>audingumo vertės, tačiau viršijo</w:t>
      </w:r>
      <w:r w:rsidRPr="00F371AD">
        <w:rPr>
          <w:rFonts w:eastAsia="Arial"/>
          <w:lang w:val="en-US"/>
        </w:rPr>
        <w:t xml:space="preserve"> slenkstį minimaliai, Tarnyba kreipėsi į Pareiškėją pakartotinai prašant pritaiky</w:t>
      </w:r>
      <w:r>
        <w:rPr>
          <w:rFonts w:eastAsia="Arial"/>
          <w:lang w:val="en-US"/>
        </w:rPr>
        <w:t>ti atezolizumabo kainai nuolaidą</w:t>
      </w:r>
      <w:r w:rsidRPr="00F371AD">
        <w:rPr>
          <w:rFonts w:eastAsia="Arial"/>
          <w:lang w:val="en-US"/>
        </w:rPr>
        <w:t xml:space="preserve">, su kuria atezolizumabo kaštų efektyvumas būtų pasiektas. </w:t>
      </w:r>
      <w:r w:rsidRPr="00F371AD">
        <w:t>Pareiškėjas pateikė atnaujintą PGS sutartį,</w:t>
      </w:r>
      <w:r w:rsidRPr="00F371AD">
        <w:rPr>
          <w:color w:val="212121"/>
        </w:rPr>
        <w:t xml:space="preserve"> pagal kurią gamintojas įsipareigotų sumokėti sutarties galiojimo laikotarpiu apdraustiesiems parduoto vaisto Tecentriq 1200 mg (atezolizumab) koncentratas infuziniam tirpalui N1, paraiškoje aptariamai C22.0 indikacijai gydyti, tokią grąžintiną kainos dalį, kad šio vaisto faktinė bazinė kaina sudarytų ne daugiau nei </w:t>
      </w:r>
      <w:r w:rsidR="008917B2">
        <w:rPr>
          <w:b/>
          <w:bCs/>
          <w:sz w:val="22"/>
          <w:szCs w:val="22"/>
          <w:lang w:eastAsia="lt-LT"/>
        </w:rPr>
        <w:t>*****</w:t>
      </w:r>
      <w:r w:rsidR="008917B2">
        <w:rPr>
          <w:b/>
          <w:bCs/>
          <w:sz w:val="22"/>
          <w:szCs w:val="22"/>
          <w:lang w:eastAsia="lt-LT"/>
        </w:rPr>
        <w:t>.</w:t>
      </w:r>
      <w:r>
        <w:rPr>
          <w:color w:val="212121"/>
        </w:rPr>
        <w:t xml:space="preserve"> </w:t>
      </w:r>
      <w:r>
        <w:rPr>
          <w:rFonts w:eastAsia="Arial"/>
          <w:lang w:val="en-US"/>
        </w:rPr>
        <w:t xml:space="preserve"> </w:t>
      </w:r>
      <w:r w:rsidRPr="00B225EE">
        <w:rPr>
          <w:rFonts w:eastAsia="Arial"/>
          <w:lang w:val="en-US"/>
        </w:rPr>
        <w:t xml:space="preserve">Žemiau </w:t>
      </w:r>
      <w:r>
        <w:rPr>
          <w:rFonts w:eastAsia="Arial"/>
          <w:lang w:val="en-US"/>
        </w:rPr>
        <w:t>pateikiamas</w:t>
      </w:r>
      <w:r w:rsidRPr="00B225EE">
        <w:rPr>
          <w:rFonts w:eastAsia="Arial"/>
          <w:lang w:val="en-US"/>
        </w:rPr>
        <w:t xml:space="preserve"> atnaujint</w:t>
      </w:r>
      <w:r>
        <w:rPr>
          <w:rFonts w:eastAsia="Arial"/>
          <w:lang w:val="en-US"/>
        </w:rPr>
        <w:t>as kaštų analizės rezultatas</w:t>
      </w:r>
      <w:r w:rsidRPr="00B225EE">
        <w:rPr>
          <w:rFonts w:eastAsia="Arial"/>
          <w:lang w:val="en-US"/>
        </w:rPr>
        <w:t xml:space="preserve"> su pritaikyta atezolizumabo kainos nuolaida (atnaujinta PGS </w:t>
      </w:r>
      <w:r>
        <w:rPr>
          <w:rFonts w:eastAsia="Arial"/>
          <w:lang w:val="en-US"/>
        </w:rPr>
        <w:t>2023 m. sausio</w:t>
      </w:r>
      <w:r w:rsidRPr="00B225EE">
        <w:rPr>
          <w:rFonts w:eastAsia="Arial"/>
          <w:lang w:val="en-US"/>
        </w:rPr>
        <w:t xml:space="preserve"> 18</w:t>
      </w:r>
      <w:r>
        <w:rPr>
          <w:rFonts w:eastAsia="Arial"/>
          <w:lang w:val="en-US"/>
        </w:rPr>
        <w:t xml:space="preserve"> d.</w:t>
      </w:r>
      <w:r w:rsidRPr="00B225EE">
        <w:rPr>
          <w:rFonts w:eastAsia="Arial"/>
          <w:lang w:val="en-US"/>
        </w:rPr>
        <w:t>).</w:t>
      </w:r>
    </w:p>
    <w:p w14:paraId="153D60AB" w14:textId="78213C6E" w:rsidR="000C5E0E" w:rsidRDefault="000C5E0E" w:rsidP="000C5E0E">
      <w:pPr>
        <w:spacing w:line="280" w:lineRule="atLeast"/>
        <w:jc w:val="both"/>
        <w:rPr>
          <w:rFonts w:eastAsia="Arial"/>
          <w:lang w:val="en-US"/>
        </w:rPr>
      </w:pPr>
    </w:p>
    <w:p w14:paraId="2E1846F7" w14:textId="77777777" w:rsidR="00304DED" w:rsidRDefault="00304DED" w:rsidP="000C5E0E">
      <w:pPr>
        <w:spacing w:line="280" w:lineRule="atLeast"/>
        <w:jc w:val="both"/>
        <w:rPr>
          <w:rFonts w:eastAsia="Arial"/>
          <w:lang w:val="en-US"/>
        </w:rPr>
      </w:pPr>
      <w:bookmarkStart w:id="0" w:name="_GoBack"/>
      <w:bookmarkEnd w:id="0"/>
    </w:p>
    <w:p w14:paraId="6EB24B1F" w14:textId="77777777" w:rsidR="000C5E0E" w:rsidRPr="0035172D" w:rsidRDefault="000C5E0E" w:rsidP="000C5E0E">
      <w:pPr>
        <w:tabs>
          <w:tab w:val="left" w:pos="426"/>
        </w:tabs>
        <w:rPr>
          <w:b/>
          <w:lang w:eastAsia="lt-LT"/>
        </w:rPr>
      </w:pPr>
      <w:r w:rsidRPr="0035172D">
        <w:rPr>
          <w:b/>
          <w:lang w:eastAsia="lt-LT"/>
        </w:rPr>
        <w:lastRenderedPageBreak/>
        <w:t>Ekonominės analizės rezultatas</w:t>
      </w:r>
    </w:p>
    <w:p w14:paraId="48F8DDA5" w14:textId="77777777" w:rsidR="000C5E0E" w:rsidRDefault="000C5E0E" w:rsidP="000C5E0E">
      <w:pPr>
        <w:tabs>
          <w:tab w:val="left" w:pos="426"/>
        </w:tabs>
        <w:rPr>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80"/>
        <w:gridCol w:w="1984"/>
        <w:gridCol w:w="1701"/>
        <w:gridCol w:w="1843"/>
      </w:tblGrid>
      <w:tr w:rsidR="000C5E0E" w:rsidRPr="00D05364" w14:paraId="7719F2A1" w14:textId="77777777" w:rsidTr="00095484">
        <w:trPr>
          <w:jc w:val="center"/>
        </w:trPr>
        <w:tc>
          <w:tcPr>
            <w:tcW w:w="4380" w:type="dxa"/>
            <w:tcBorders>
              <w:top w:val="single" w:sz="12" w:space="0" w:color="auto"/>
              <w:bottom w:val="single" w:sz="4" w:space="0" w:color="auto"/>
            </w:tcBorders>
          </w:tcPr>
          <w:p w14:paraId="0E5BE6AD" w14:textId="77777777" w:rsidR="000C5E0E" w:rsidRPr="00C161F7" w:rsidRDefault="000C5E0E" w:rsidP="00095484">
            <w:pPr>
              <w:tabs>
                <w:tab w:val="left" w:pos="567"/>
              </w:tabs>
              <w:jc w:val="both"/>
              <w:rPr>
                <w:color w:val="00B050"/>
                <w:sz w:val="22"/>
                <w:szCs w:val="22"/>
                <w:lang w:eastAsia="lt-LT"/>
              </w:rPr>
            </w:pPr>
          </w:p>
        </w:tc>
        <w:tc>
          <w:tcPr>
            <w:tcW w:w="1984" w:type="dxa"/>
            <w:tcBorders>
              <w:top w:val="single" w:sz="12" w:space="0" w:color="auto"/>
              <w:bottom w:val="single" w:sz="4" w:space="0" w:color="auto"/>
            </w:tcBorders>
          </w:tcPr>
          <w:p w14:paraId="76AD2541" w14:textId="77777777" w:rsidR="000C5E0E" w:rsidRPr="00C161F7" w:rsidRDefault="000C5E0E" w:rsidP="00095484">
            <w:pPr>
              <w:tabs>
                <w:tab w:val="left" w:pos="567"/>
              </w:tabs>
              <w:jc w:val="both"/>
              <w:rPr>
                <w:b/>
                <w:i/>
                <w:iCs/>
                <w:sz w:val="22"/>
                <w:szCs w:val="22"/>
                <w:lang w:eastAsia="lt-LT"/>
              </w:rPr>
            </w:pPr>
            <w:r w:rsidRPr="00C161F7">
              <w:rPr>
                <w:b/>
                <w:i/>
                <w:iCs/>
                <w:sz w:val="22"/>
                <w:szCs w:val="22"/>
                <w:lang w:eastAsia="lt-LT"/>
              </w:rPr>
              <w:t>Tiriamasis vaistas</w:t>
            </w:r>
          </w:p>
        </w:tc>
        <w:tc>
          <w:tcPr>
            <w:tcW w:w="1701" w:type="dxa"/>
            <w:tcBorders>
              <w:top w:val="single" w:sz="12" w:space="0" w:color="auto"/>
              <w:bottom w:val="single" w:sz="4" w:space="0" w:color="auto"/>
            </w:tcBorders>
          </w:tcPr>
          <w:p w14:paraId="6B7B2778" w14:textId="77777777" w:rsidR="000C5E0E" w:rsidRPr="00C161F7" w:rsidRDefault="000C5E0E" w:rsidP="00095484">
            <w:pPr>
              <w:tabs>
                <w:tab w:val="left" w:pos="567"/>
              </w:tabs>
              <w:jc w:val="both"/>
              <w:rPr>
                <w:b/>
                <w:i/>
                <w:iCs/>
                <w:sz w:val="22"/>
                <w:szCs w:val="22"/>
                <w:lang w:eastAsia="lt-LT"/>
              </w:rPr>
            </w:pPr>
            <w:r w:rsidRPr="00C161F7">
              <w:rPr>
                <w:b/>
                <w:i/>
                <w:iCs/>
                <w:sz w:val="22"/>
                <w:szCs w:val="22"/>
                <w:lang w:eastAsia="lt-LT"/>
              </w:rPr>
              <w:t>Palyginamasis vaistas</w:t>
            </w:r>
          </w:p>
        </w:tc>
        <w:tc>
          <w:tcPr>
            <w:tcW w:w="1843" w:type="dxa"/>
            <w:tcBorders>
              <w:top w:val="single" w:sz="12" w:space="0" w:color="auto"/>
              <w:bottom w:val="single" w:sz="4" w:space="0" w:color="auto"/>
            </w:tcBorders>
          </w:tcPr>
          <w:p w14:paraId="6EA62658" w14:textId="77777777" w:rsidR="000C5E0E" w:rsidRPr="00C161F7" w:rsidRDefault="000C5E0E" w:rsidP="00095484">
            <w:pPr>
              <w:tabs>
                <w:tab w:val="left" w:pos="567"/>
              </w:tabs>
              <w:jc w:val="both"/>
              <w:rPr>
                <w:b/>
                <w:i/>
                <w:sz w:val="22"/>
                <w:szCs w:val="22"/>
                <w:lang w:eastAsia="lt-LT"/>
              </w:rPr>
            </w:pPr>
            <w:r w:rsidRPr="00C161F7">
              <w:rPr>
                <w:b/>
                <w:i/>
                <w:sz w:val="22"/>
                <w:szCs w:val="22"/>
                <w:lang w:eastAsia="lt-LT"/>
              </w:rPr>
              <w:t>Skirtumas</w:t>
            </w:r>
          </w:p>
        </w:tc>
      </w:tr>
      <w:tr w:rsidR="000C5E0E" w:rsidRPr="00D05364" w14:paraId="21657BCC" w14:textId="77777777" w:rsidTr="00095484">
        <w:trPr>
          <w:jc w:val="center"/>
        </w:trPr>
        <w:tc>
          <w:tcPr>
            <w:tcW w:w="4380" w:type="dxa"/>
            <w:tcBorders>
              <w:top w:val="single" w:sz="4" w:space="0" w:color="auto"/>
              <w:bottom w:val="single" w:sz="4" w:space="0" w:color="auto"/>
            </w:tcBorders>
            <w:vAlign w:val="bottom"/>
          </w:tcPr>
          <w:p w14:paraId="397E03A6" w14:textId="77777777" w:rsidR="000C5E0E" w:rsidRPr="00C161F7" w:rsidRDefault="000C5E0E" w:rsidP="00095484">
            <w:pPr>
              <w:tabs>
                <w:tab w:val="left" w:pos="567"/>
              </w:tabs>
              <w:rPr>
                <w:b/>
                <w:iCs/>
                <w:sz w:val="22"/>
                <w:szCs w:val="22"/>
                <w:lang w:eastAsia="lt-LT"/>
              </w:rPr>
            </w:pPr>
            <w:r w:rsidRPr="00C161F7">
              <w:rPr>
                <w:b/>
                <w:color w:val="000000"/>
                <w:sz w:val="22"/>
                <w:szCs w:val="22"/>
                <w:lang w:eastAsia="lt-LT"/>
              </w:rPr>
              <w:t>Kaštai</w:t>
            </w:r>
          </w:p>
        </w:tc>
        <w:tc>
          <w:tcPr>
            <w:tcW w:w="1984" w:type="dxa"/>
            <w:tcBorders>
              <w:top w:val="single" w:sz="4" w:space="0" w:color="auto"/>
              <w:bottom w:val="single" w:sz="4" w:space="0" w:color="auto"/>
            </w:tcBorders>
          </w:tcPr>
          <w:p w14:paraId="325EC635" w14:textId="52491F95" w:rsidR="000C5E0E" w:rsidRPr="00C161F7" w:rsidRDefault="00304DED" w:rsidP="00095484">
            <w:pPr>
              <w:tabs>
                <w:tab w:val="left" w:pos="567"/>
              </w:tabs>
              <w:jc w:val="both"/>
              <w:rPr>
                <w:b/>
                <w:color w:val="244062"/>
                <w:sz w:val="22"/>
                <w:szCs w:val="22"/>
                <w:lang w:eastAsia="lt-LT"/>
              </w:rPr>
            </w:pPr>
            <w:r>
              <w:rPr>
                <w:b/>
                <w:sz w:val="22"/>
                <w:szCs w:val="22"/>
              </w:rPr>
              <w:t>*****</w:t>
            </w:r>
          </w:p>
        </w:tc>
        <w:tc>
          <w:tcPr>
            <w:tcW w:w="1701" w:type="dxa"/>
            <w:tcBorders>
              <w:top w:val="single" w:sz="4" w:space="0" w:color="auto"/>
              <w:bottom w:val="single" w:sz="4" w:space="0" w:color="auto"/>
            </w:tcBorders>
          </w:tcPr>
          <w:p w14:paraId="78E69CFE" w14:textId="77777777" w:rsidR="000C5E0E" w:rsidRPr="00C161F7" w:rsidRDefault="000C5E0E" w:rsidP="00095484">
            <w:pPr>
              <w:tabs>
                <w:tab w:val="left" w:pos="567"/>
              </w:tabs>
              <w:jc w:val="both"/>
              <w:rPr>
                <w:b/>
                <w:color w:val="244062"/>
                <w:sz w:val="22"/>
                <w:szCs w:val="22"/>
                <w:lang w:eastAsia="lt-LT"/>
              </w:rPr>
            </w:pPr>
            <w:r w:rsidRPr="00C161F7">
              <w:rPr>
                <w:b/>
                <w:sz w:val="22"/>
                <w:szCs w:val="22"/>
              </w:rPr>
              <w:t>22 694</w:t>
            </w:r>
          </w:p>
        </w:tc>
        <w:tc>
          <w:tcPr>
            <w:tcW w:w="1843" w:type="dxa"/>
            <w:tcBorders>
              <w:top w:val="single" w:sz="4" w:space="0" w:color="auto"/>
              <w:bottom w:val="single" w:sz="4" w:space="0" w:color="auto"/>
            </w:tcBorders>
          </w:tcPr>
          <w:p w14:paraId="4221AFE3" w14:textId="54D2FE6E" w:rsidR="000C5E0E" w:rsidRPr="00C161F7" w:rsidRDefault="00304DED" w:rsidP="00095484">
            <w:pPr>
              <w:tabs>
                <w:tab w:val="left" w:pos="567"/>
              </w:tabs>
              <w:jc w:val="both"/>
              <w:rPr>
                <w:b/>
                <w:color w:val="244062"/>
                <w:sz w:val="22"/>
                <w:szCs w:val="22"/>
                <w:lang w:eastAsia="lt-LT"/>
              </w:rPr>
            </w:pPr>
            <w:r>
              <w:rPr>
                <w:b/>
                <w:sz w:val="22"/>
                <w:szCs w:val="22"/>
              </w:rPr>
              <w:t>*****</w:t>
            </w:r>
          </w:p>
        </w:tc>
      </w:tr>
      <w:tr w:rsidR="000C5E0E" w:rsidRPr="00D05364" w14:paraId="306BB91E" w14:textId="77777777" w:rsidTr="00095484">
        <w:trPr>
          <w:jc w:val="center"/>
        </w:trPr>
        <w:tc>
          <w:tcPr>
            <w:tcW w:w="4380" w:type="dxa"/>
            <w:tcBorders>
              <w:top w:val="single" w:sz="4" w:space="0" w:color="auto"/>
              <w:bottom w:val="single" w:sz="4" w:space="0" w:color="auto"/>
            </w:tcBorders>
            <w:vAlign w:val="bottom"/>
          </w:tcPr>
          <w:p w14:paraId="4D4AFCE7" w14:textId="77777777" w:rsidR="000C5E0E" w:rsidRPr="00C161F7" w:rsidRDefault="000C5E0E" w:rsidP="00095484">
            <w:pPr>
              <w:tabs>
                <w:tab w:val="left" w:pos="567"/>
              </w:tabs>
              <w:rPr>
                <w:b/>
                <w:color w:val="000000"/>
                <w:sz w:val="22"/>
                <w:szCs w:val="22"/>
                <w:lang w:eastAsia="lt-LT"/>
              </w:rPr>
            </w:pPr>
            <w:r w:rsidRPr="00C161F7">
              <w:rPr>
                <w:b/>
                <w:sz w:val="22"/>
                <w:szCs w:val="22"/>
                <w:lang w:eastAsia="lt-LT"/>
              </w:rPr>
              <w:t>Kokybiški gyvenimo metai (QALY)</w:t>
            </w:r>
          </w:p>
        </w:tc>
        <w:tc>
          <w:tcPr>
            <w:tcW w:w="1984" w:type="dxa"/>
            <w:tcBorders>
              <w:top w:val="single" w:sz="4" w:space="0" w:color="auto"/>
              <w:bottom w:val="single" w:sz="4" w:space="0" w:color="auto"/>
            </w:tcBorders>
          </w:tcPr>
          <w:p w14:paraId="50D501CF" w14:textId="00242409" w:rsidR="000C5E0E" w:rsidRPr="00C161F7" w:rsidRDefault="00304DED" w:rsidP="00095484">
            <w:pPr>
              <w:tabs>
                <w:tab w:val="left" w:pos="567"/>
              </w:tabs>
              <w:jc w:val="both"/>
              <w:rPr>
                <w:b/>
                <w:sz w:val="22"/>
                <w:szCs w:val="22"/>
              </w:rPr>
            </w:pPr>
            <w:r>
              <w:rPr>
                <w:b/>
                <w:bCs/>
                <w:sz w:val="22"/>
                <w:szCs w:val="22"/>
                <w:lang w:eastAsia="lt-LT"/>
              </w:rPr>
              <w:t>*****</w:t>
            </w:r>
          </w:p>
        </w:tc>
        <w:tc>
          <w:tcPr>
            <w:tcW w:w="1701" w:type="dxa"/>
            <w:tcBorders>
              <w:top w:val="single" w:sz="4" w:space="0" w:color="auto"/>
              <w:bottom w:val="single" w:sz="4" w:space="0" w:color="auto"/>
            </w:tcBorders>
          </w:tcPr>
          <w:p w14:paraId="16B33E84" w14:textId="77777777" w:rsidR="000C5E0E" w:rsidRPr="00C161F7" w:rsidRDefault="000C5E0E" w:rsidP="00095484">
            <w:pPr>
              <w:tabs>
                <w:tab w:val="left" w:pos="567"/>
              </w:tabs>
              <w:jc w:val="both"/>
              <w:rPr>
                <w:b/>
                <w:sz w:val="22"/>
                <w:szCs w:val="22"/>
              </w:rPr>
            </w:pPr>
            <w:r w:rsidRPr="00C161F7">
              <w:rPr>
                <w:b/>
                <w:bCs/>
                <w:sz w:val="22"/>
                <w:szCs w:val="22"/>
                <w:lang w:eastAsia="lt-LT"/>
              </w:rPr>
              <w:t>1,3</w:t>
            </w:r>
            <w:r w:rsidRPr="00C161F7">
              <w:rPr>
                <w:b/>
                <w:bCs/>
                <w:sz w:val="22"/>
                <w:szCs w:val="22"/>
                <w:lang w:val="en-US" w:eastAsia="lt-LT"/>
              </w:rPr>
              <w:t>3</w:t>
            </w:r>
          </w:p>
        </w:tc>
        <w:tc>
          <w:tcPr>
            <w:tcW w:w="1843" w:type="dxa"/>
            <w:tcBorders>
              <w:top w:val="single" w:sz="4" w:space="0" w:color="auto"/>
              <w:bottom w:val="single" w:sz="4" w:space="0" w:color="auto"/>
            </w:tcBorders>
          </w:tcPr>
          <w:p w14:paraId="7571F909" w14:textId="0CD8913E" w:rsidR="000C5E0E" w:rsidRPr="00C161F7" w:rsidRDefault="00304DED" w:rsidP="00095484">
            <w:pPr>
              <w:tabs>
                <w:tab w:val="left" w:pos="567"/>
              </w:tabs>
              <w:jc w:val="both"/>
              <w:rPr>
                <w:b/>
                <w:sz w:val="22"/>
                <w:szCs w:val="22"/>
              </w:rPr>
            </w:pPr>
            <w:r>
              <w:rPr>
                <w:b/>
                <w:bCs/>
                <w:sz w:val="22"/>
                <w:szCs w:val="22"/>
                <w:lang w:eastAsia="lt-LT"/>
              </w:rPr>
              <w:t>*****</w:t>
            </w:r>
          </w:p>
        </w:tc>
      </w:tr>
      <w:tr w:rsidR="000C5E0E" w:rsidRPr="00D05364" w14:paraId="16D1DBC8" w14:textId="77777777" w:rsidTr="00095484">
        <w:trPr>
          <w:trHeight w:val="347"/>
          <w:jc w:val="center"/>
        </w:trPr>
        <w:tc>
          <w:tcPr>
            <w:tcW w:w="9908" w:type="dxa"/>
            <w:gridSpan w:val="4"/>
            <w:tcBorders>
              <w:top w:val="single" w:sz="12" w:space="0" w:color="auto"/>
            </w:tcBorders>
            <w:vAlign w:val="center"/>
          </w:tcPr>
          <w:p w14:paraId="2FA98EA3" w14:textId="77777777" w:rsidR="000C5E0E" w:rsidRPr="002037A1" w:rsidRDefault="000C5E0E" w:rsidP="00095484">
            <w:pPr>
              <w:tabs>
                <w:tab w:val="left" w:pos="567"/>
              </w:tabs>
              <w:jc w:val="center"/>
              <w:rPr>
                <w:b/>
                <w:bCs/>
                <w:sz w:val="22"/>
                <w:szCs w:val="22"/>
                <w:lang w:eastAsia="lt-LT"/>
              </w:rPr>
            </w:pPr>
            <w:r w:rsidRPr="002037A1">
              <w:rPr>
                <w:b/>
                <w:bCs/>
                <w:sz w:val="22"/>
                <w:szCs w:val="22"/>
                <w:lang w:eastAsia="lt-LT"/>
              </w:rPr>
              <w:t>Rezultatai</w:t>
            </w:r>
          </w:p>
        </w:tc>
      </w:tr>
      <w:tr w:rsidR="000C5E0E" w:rsidRPr="00D05364" w14:paraId="5F72296D" w14:textId="77777777" w:rsidTr="00095484">
        <w:trPr>
          <w:jc w:val="center"/>
        </w:trPr>
        <w:tc>
          <w:tcPr>
            <w:tcW w:w="8065" w:type="dxa"/>
            <w:gridSpan w:val="3"/>
          </w:tcPr>
          <w:p w14:paraId="0BE955F6" w14:textId="77777777" w:rsidR="000C5E0E" w:rsidRPr="002037A1" w:rsidRDefault="000C5E0E" w:rsidP="00095484">
            <w:pPr>
              <w:tabs>
                <w:tab w:val="left" w:pos="567"/>
              </w:tabs>
              <w:jc w:val="right"/>
              <w:rPr>
                <w:iCs/>
                <w:sz w:val="22"/>
                <w:szCs w:val="22"/>
                <w:lang w:eastAsia="lt-LT"/>
              </w:rPr>
            </w:pPr>
            <w:r w:rsidRPr="002037A1">
              <w:rPr>
                <w:iCs/>
                <w:sz w:val="22"/>
                <w:szCs w:val="22"/>
                <w:lang w:eastAsia="lt-LT"/>
              </w:rPr>
              <w:t>ICER už LY</w:t>
            </w:r>
          </w:p>
        </w:tc>
        <w:tc>
          <w:tcPr>
            <w:tcW w:w="1843" w:type="dxa"/>
          </w:tcPr>
          <w:p w14:paraId="11936ABA" w14:textId="46363C4C" w:rsidR="000C5E0E" w:rsidRPr="00644C34" w:rsidRDefault="00304DED" w:rsidP="00095484">
            <w:pPr>
              <w:tabs>
                <w:tab w:val="left" w:pos="567"/>
              </w:tabs>
              <w:jc w:val="both"/>
              <w:rPr>
                <w:i/>
                <w:iCs/>
                <w:sz w:val="22"/>
                <w:szCs w:val="22"/>
                <w:lang w:eastAsia="lt-LT"/>
              </w:rPr>
            </w:pPr>
            <w:r>
              <w:rPr>
                <w:bCs/>
                <w:sz w:val="22"/>
                <w:szCs w:val="22"/>
                <w:lang w:eastAsia="lt-LT"/>
              </w:rPr>
              <w:t>*****</w:t>
            </w:r>
          </w:p>
        </w:tc>
      </w:tr>
      <w:tr w:rsidR="000C5E0E" w:rsidRPr="00D05364" w14:paraId="3DD23BFD" w14:textId="77777777" w:rsidTr="00095484">
        <w:trPr>
          <w:jc w:val="center"/>
        </w:trPr>
        <w:tc>
          <w:tcPr>
            <w:tcW w:w="8065" w:type="dxa"/>
            <w:gridSpan w:val="3"/>
          </w:tcPr>
          <w:p w14:paraId="39AC1BDB" w14:textId="77777777" w:rsidR="000C5E0E" w:rsidRPr="002037A1" w:rsidRDefault="000C5E0E" w:rsidP="00095484">
            <w:pPr>
              <w:tabs>
                <w:tab w:val="left" w:pos="567"/>
              </w:tabs>
              <w:jc w:val="right"/>
              <w:rPr>
                <w:iCs/>
                <w:sz w:val="22"/>
                <w:szCs w:val="22"/>
                <w:lang w:eastAsia="lt-LT"/>
              </w:rPr>
            </w:pPr>
            <w:r w:rsidRPr="002037A1">
              <w:rPr>
                <w:iCs/>
                <w:sz w:val="22"/>
                <w:szCs w:val="22"/>
                <w:lang w:eastAsia="lt-LT"/>
              </w:rPr>
              <w:t>ICER už QALY</w:t>
            </w:r>
          </w:p>
        </w:tc>
        <w:tc>
          <w:tcPr>
            <w:tcW w:w="1843" w:type="dxa"/>
          </w:tcPr>
          <w:p w14:paraId="1AB5718F" w14:textId="3BBFBD0F" w:rsidR="000C5E0E" w:rsidRPr="002037A1" w:rsidRDefault="00304DED" w:rsidP="00095484">
            <w:pPr>
              <w:jc w:val="both"/>
              <w:rPr>
                <w:b/>
                <w:bCs/>
                <w:sz w:val="22"/>
                <w:szCs w:val="22"/>
              </w:rPr>
            </w:pPr>
            <w:r>
              <w:rPr>
                <w:b/>
                <w:bCs/>
                <w:sz w:val="22"/>
                <w:szCs w:val="22"/>
              </w:rPr>
              <w:t>*****</w:t>
            </w:r>
          </w:p>
        </w:tc>
      </w:tr>
      <w:tr w:rsidR="000C5E0E" w:rsidRPr="00D05364" w14:paraId="7459006D" w14:textId="77777777" w:rsidTr="00095484">
        <w:trPr>
          <w:jc w:val="center"/>
        </w:trPr>
        <w:tc>
          <w:tcPr>
            <w:tcW w:w="8065" w:type="dxa"/>
            <w:gridSpan w:val="3"/>
          </w:tcPr>
          <w:p w14:paraId="455425DD" w14:textId="77777777" w:rsidR="000C5E0E" w:rsidRPr="002037A1" w:rsidRDefault="000C5E0E" w:rsidP="00095484">
            <w:pPr>
              <w:tabs>
                <w:tab w:val="left" w:pos="567"/>
              </w:tabs>
              <w:jc w:val="right"/>
              <w:rPr>
                <w:iCs/>
                <w:sz w:val="22"/>
                <w:szCs w:val="22"/>
                <w:lang w:eastAsia="lt-LT"/>
              </w:rPr>
            </w:pPr>
            <w:r w:rsidRPr="002037A1">
              <w:rPr>
                <w:iCs/>
                <w:sz w:val="22"/>
                <w:szCs w:val="22"/>
                <w:lang w:eastAsia="lt-LT"/>
              </w:rPr>
              <w:t>Referencinė kaštų naudingumo vertė</w:t>
            </w:r>
          </w:p>
        </w:tc>
        <w:tc>
          <w:tcPr>
            <w:tcW w:w="1843" w:type="dxa"/>
          </w:tcPr>
          <w:p w14:paraId="483D57AA" w14:textId="6056A4EC" w:rsidR="000C5E0E" w:rsidRPr="002037A1" w:rsidRDefault="00304DED" w:rsidP="00095484">
            <w:pPr>
              <w:tabs>
                <w:tab w:val="left" w:pos="567"/>
              </w:tabs>
              <w:jc w:val="both"/>
              <w:rPr>
                <w:i/>
                <w:iCs/>
                <w:sz w:val="22"/>
                <w:szCs w:val="22"/>
                <w:lang w:eastAsia="lt-LT"/>
              </w:rPr>
            </w:pPr>
            <w:r>
              <w:rPr>
                <w:i/>
                <w:iCs/>
                <w:sz w:val="22"/>
                <w:szCs w:val="22"/>
                <w:lang w:eastAsia="lt-LT"/>
              </w:rPr>
              <w:t>*****</w:t>
            </w:r>
          </w:p>
        </w:tc>
      </w:tr>
    </w:tbl>
    <w:p w14:paraId="1572567A" w14:textId="77777777" w:rsidR="000C5E0E" w:rsidRPr="00D05364" w:rsidRDefault="000C5E0E" w:rsidP="000C5E0E">
      <w:pPr>
        <w:tabs>
          <w:tab w:val="left" w:pos="567"/>
        </w:tabs>
        <w:jc w:val="both"/>
        <w:rPr>
          <w:iCs/>
          <w:sz w:val="20"/>
          <w:lang w:eastAsia="lt-LT"/>
        </w:rPr>
      </w:pPr>
      <w:r w:rsidRPr="00D05364">
        <w:rPr>
          <w:iCs/>
          <w:sz w:val="20"/>
          <w:lang w:eastAsia="lt-LT"/>
        </w:rPr>
        <w:t>ICER – (</w:t>
      </w:r>
      <w:r w:rsidRPr="00D05364">
        <w:rPr>
          <w:i/>
          <w:sz w:val="20"/>
          <w:lang w:eastAsia="lt-LT"/>
        </w:rPr>
        <w:t>angl. incremental cost-effectiveness ratio</w:t>
      </w:r>
      <w:r w:rsidRPr="00D05364">
        <w:rPr>
          <w:iCs/>
          <w:sz w:val="20"/>
          <w:lang w:eastAsia="lt-LT"/>
        </w:rPr>
        <w:t>) inkrementinis kaštų naudingumo koeficientas; LY – (</w:t>
      </w:r>
      <w:r w:rsidRPr="00D05364">
        <w:rPr>
          <w:i/>
          <w:sz w:val="20"/>
          <w:lang w:eastAsia="lt-LT"/>
        </w:rPr>
        <w:t>angl. life years</w:t>
      </w:r>
      <w:r w:rsidRPr="00D05364">
        <w:rPr>
          <w:iCs/>
          <w:sz w:val="20"/>
          <w:lang w:eastAsia="lt-LT"/>
        </w:rPr>
        <w:t>) gyvenimo metai; QALY- (</w:t>
      </w:r>
      <w:r w:rsidRPr="00D05364">
        <w:rPr>
          <w:i/>
          <w:sz w:val="20"/>
          <w:lang w:eastAsia="lt-LT"/>
        </w:rPr>
        <w:t xml:space="preserve">angl. quality adjusted life years) </w:t>
      </w:r>
      <w:r w:rsidRPr="00D05364">
        <w:rPr>
          <w:iCs/>
          <w:sz w:val="20"/>
          <w:lang w:eastAsia="lt-LT"/>
        </w:rPr>
        <w:t>kokybiški gyvenimo metai.</w:t>
      </w:r>
    </w:p>
    <w:p w14:paraId="1921AA52" w14:textId="6E55EE42" w:rsidR="000C5E0E" w:rsidRDefault="000C5E0E" w:rsidP="000C5E0E">
      <w:pPr>
        <w:spacing w:line="280" w:lineRule="atLeast"/>
        <w:jc w:val="both"/>
        <w:rPr>
          <w:rFonts w:eastAsia="Arial"/>
          <w:lang w:val="en-US"/>
        </w:rPr>
      </w:pPr>
    </w:p>
    <w:p w14:paraId="3B8FC1E3" w14:textId="7E5E6BC8" w:rsidR="000C5E0E" w:rsidRDefault="000C5E0E" w:rsidP="000C5E0E">
      <w:pPr>
        <w:ind w:firstLine="720"/>
        <w:jc w:val="both"/>
        <w:rPr>
          <w:bCs/>
        </w:rPr>
      </w:pPr>
      <w:r w:rsidRPr="00B862F9">
        <w:rPr>
          <w:rFonts w:eastAsia="Arial"/>
          <w:lang w:val="en-US"/>
        </w:rPr>
        <w:t>Galutiniais ka</w:t>
      </w:r>
      <w:r w:rsidRPr="00B862F9">
        <w:rPr>
          <w:rFonts w:eastAsia="Arial"/>
        </w:rPr>
        <w:t xml:space="preserve">štų analizės rezultatais, gydant atezolizumabu ir bevacizumabu per </w:t>
      </w:r>
      <w:r w:rsidRPr="00B862F9">
        <w:rPr>
          <w:rFonts w:eastAsia="Arial"/>
          <w:lang w:val="en-US"/>
        </w:rPr>
        <w:t>20 m. laiko perspektyv</w:t>
      </w:r>
      <w:r w:rsidRPr="00B862F9">
        <w:rPr>
          <w:rFonts w:eastAsia="Arial"/>
        </w:rPr>
        <w:t xml:space="preserve">ą </w:t>
      </w:r>
      <w:r>
        <w:rPr>
          <w:rFonts w:eastAsia="Arial"/>
        </w:rPr>
        <w:t xml:space="preserve">lyginant su sorafenibu </w:t>
      </w:r>
      <w:r w:rsidRPr="00B862F9">
        <w:rPr>
          <w:rFonts w:eastAsia="Arial"/>
        </w:rPr>
        <w:t xml:space="preserve">yra sukuriama </w:t>
      </w:r>
      <w:r w:rsidR="00304DED">
        <w:rPr>
          <w:rFonts w:eastAsia="Arial"/>
          <w:lang w:val="en-US"/>
        </w:rPr>
        <w:t>0,32</w:t>
      </w:r>
      <w:r w:rsidRPr="00B862F9">
        <w:rPr>
          <w:rFonts w:eastAsia="Arial"/>
          <w:lang w:val="en-US"/>
        </w:rPr>
        <w:t xml:space="preserve"> QALYS daugiau, kuri</w:t>
      </w:r>
      <w:r>
        <w:rPr>
          <w:rFonts w:eastAsia="Arial"/>
        </w:rPr>
        <w:t>ų kaštų skirtumas -</w:t>
      </w:r>
      <w:r w:rsidRPr="00B862F9">
        <w:rPr>
          <w:rFonts w:eastAsia="Arial"/>
        </w:rPr>
        <w:t xml:space="preserve"> </w:t>
      </w:r>
      <w:r w:rsidR="00304DED">
        <w:rPr>
          <w:rFonts w:eastAsia="Arial"/>
          <w:lang w:val="en-US"/>
        </w:rPr>
        <w:t>*****</w:t>
      </w:r>
      <w:r w:rsidRPr="00B862F9">
        <w:rPr>
          <w:rFonts w:eastAsia="Arial"/>
          <w:lang w:val="en-US"/>
        </w:rPr>
        <w:t xml:space="preserve"> Eur., apskai</w:t>
      </w:r>
      <w:r w:rsidRPr="00B862F9">
        <w:rPr>
          <w:rFonts w:eastAsia="Arial"/>
        </w:rPr>
        <w:t xml:space="preserve">čiuotas ICER - </w:t>
      </w:r>
      <w:r w:rsidR="00304DED">
        <w:rPr>
          <w:bCs/>
        </w:rPr>
        <w:t>*****</w:t>
      </w:r>
      <w:r w:rsidRPr="00B862F9">
        <w:rPr>
          <w:bCs/>
        </w:rPr>
        <w:t xml:space="preserve"> Eur./QALY ir atitinka sunkiai ligos naštai taikomą kaštų naudingumo referencinę vertę.</w:t>
      </w:r>
    </w:p>
    <w:p w14:paraId="33875138" w14:textId="24F129CC" w:rsidR="0035172D" w:rsidRDefault="000C5E0E" w:rsidP="000C5E0E">
      <w:pPr>
        <w:ind w:firstLine="720"/>
        <w:jc w:val="both"/>
        <w:rPr>
          <w:bCs/>
          <w:lang w:eastAsia="lt-LT"/>
        </w:rPr>
      </w:pPr>
      <w:r w:rsidRPr="00655D60">
        <w:rPr>
          <w:bCs/>
          <w:lang w:eastAsia="lt-LT"/>
        </w:rPr>
        <w:t xml:space="preserve">Tarnyba atkreipia dėmesį, kad pagal jautrumo analizės rezultatus, apskaičiuotas kaštų efektyvumo rezultatas (ICER) ribinis, t.y. keičiant prielaidas ICER neatitinka referencinės kaštų naudingumo vertės (viršijamas sunkiai ligos naštai taikomos slenkstis). Vertinama, kad tokie ICER pokyčiai (jautrumas prielaidoms) lemia kaštų analizės rezultato neapibrėžtumus. Šiuo atveju, kaštų analizės neapibrėžtumai </w:t>
      </w:r>
      <w:r w:rsidRPr="000C5E0E">
        <w:rPr>
          <w:bCs/>
          <w:lang w:eastAsia="lt-LT"/>
        </w:rPr>
        <w:t>Pareiškėjo sprendžiami</w:t>
      </w:r>
      <w:r w:rsidRPr="00655D60">
        <w:rPr>
          <w:bCs/>
          <w:lang w:eastAsia="lt-LT"/>
        </w:rPr>
        <w:t xml:space="preserve"> mažinant ateozlizumabo įsigijimo kaštus. Tarnyba vertina, kad pritaikius galutinę Pareiškėjo pateiktą prieinamumo gerinimo sutarties schemą atezolizumabo kainos nuolaidai (atnaujinta </w:t>
      </w:r>
      <w:r w:rsidRPr="00655D60">
        <w:rPr>
          <w:bCs/>
          <w:lang w:val="en-US" w:eastAsia="lt-LT"/>
        </w:rPr>
        <w:t xml:space="preserve">2023 -01-18) </w:t>
      </w:r>
      <w:r>
        <w:rPr>
          <w:bCs/>
          <w:lang w:eastAsia="lt-LT"/>
        </w:rPr>
        <w:t>yra pasiekiamas kaštų efek</w:t>
      </w:r>
      <w:r w:rsidRPr="00655D60">
        <w:rPr>
          <w:bCs/>
          <w:lang w:eastAsia="lt-LT"/>
        </w:rPr>
        <w:t>tyv</w:t>
      </w:r>
      <w:r>
        <w:rPr>
          <w:bCs/>
          <w:lang w:eastAsia="lt-LT"/>
        </w:rPr>
        <w:t>u</w:t>
      </w:r>
      <w:r w:rsidRPr="00655D60">
        <w:rPr>
          <w:bCs/>
          <w:lang w:eastAsia="lt-LT"/>
        </w:rPr>
        <w:t xml:space="preserve">mas lyginant su sorafenibu, o prielaidos, kurios yra tikėtinos klinikinėje praktikoje Tarnybos taikomos įprastinėje kaštų atvejo analizėje (angl. – </w:t>
      </w:r>
      <w:r w:rsidRPr="00655D60">
        <w:rPr>
          <w:bCs/>
          <w:i/>
          <w:lang w:eastAsia="lt-LT"/>
        </w:rPr>
        <w:t>base case</w:t>
      </w:r>
      <w:r w:rsidRPr="00655D60">
        <w:rPr>
          <w:bCs/>
          <w:lang w:eastAsia="lt-LT"/>
        </w:rPr>
        <w:t>).</w:t>
      </w:r>
    </w:p>
    <w:p w14:paraId="52DD4808" w14:textId="77777777" w:rsidR="000C5E0E" w:rsidRPr="000C5E0E" w:rsidRDefault="000C5E0E" w:rsidP="000C5E0E">
      <w:pPr>
        <w:ind w:firstLine="720"/>
        <w:jc w:val="both"/>
        <w:rPr>
          <w:bCs/>
          <w:lang w:eastAsia="lt-LT"/>
        </w:rPr>
      </w:pPr>
    </w:p>
    <w:p w14:paraId="4FC424F9" w14:textId="4E767245" w:rsidR="00C62B36" w:rsidRPr="00797153" w:rsidRDefault="00C62B36" w:rsidP="00937907">
      <w:pPr>
        <w:pStyle w:val="ListParagraph"/>
        <w:numPr>
          <w:ilvl w:val="0"/>
          <w:numId w:val="12"/>
        </w:numPr>
        <w:tabs>
          <w:tab w:val="left" w:pos="284"/>
        </w:tabs>
        <w:rPr>
          <w:b/>
          <w:bCs/>
          <w:caps/>
        </w:rPr>
      </w:pPr>
      <w:r w:rsidRPr="00797153">
        <w:rPr>
          <w:b/>
          <w:bCs/>
          <w:caps/>
        </w:rPr>
        <w:t xml:space="preserve">Pacientų organizacijų pateikti duomenys </w:t>
      </w:r>
    </w:p>
    <w:p w14:paraId="79BCFF40" w14:textId="68261D42" w:rsidR="00937907" w:rsidRPr="00797153" w:rsidRDefault="006358C4" w:rsidP="00937907">
      <w:pPr>
        <w:spacing w:after="120"/>
        <w:jc w:val="both"/>
      </w:pPr>
      <w:sdt>
        <w:sdtPr>
          <w:rPr>
            <w:rStyle w:val="Style2"/>
            <w:rFonts w:ascii="MS Gothic" w:eastAsia="MS Gothic" w:hAnsi="MS Gothic"/>
          </w:rPr>
          <w:id w:val="1150014178"/>
          <w15:color w:val="FFCC00"/>
          <w14:checkbox>
            <w14:checked w14:val="1"/>
            <w14:checkedState w14:val="2612" w14:font="MS Gothic"/>
            <w14:uncheckedState w14:val="2610" w14:font="MS Gothic"/>
          </w14:checkbox>
        </w:sdtPr>
        <w:sdtEndPr>
          <w:rPr>
            <w:rStyle w:val="Style2"/>
          </w:rPr>
        </w:sdtEndPr>
        <w:sdtContent>
          <w:r w:rsidR="00C32CB9">
            <w:rPr>
              <w:rStyle w:val="Style2"/>
              <w:rFonts w:ascii="MS Gothic" w:eastAsia="MS Gothic" w:hAnsi="MS Gothic" w:hint="eastAsia"/>
            </w:rPr>
            <w:t>☒</w:t>
          </w:r>
        </w:sdtContent>
      </w:sdt>
      <w:r w:rsidR="00937907" w:rsidRPr="00797153">
        <w:t xml:space="preserve"> Pacientų organizacijos pozicija pateikta. Žr. priedą.</w:t>
      </w:r>
    </w:p>
    <w:p w14:paraId="62992180" w14:textId="5A5F30D5" w:rsidR="00937907" w:rsidRPr="00797153" w:rsidRDefault="006358C4" w:rsidP="00937907">
      <w:pPr>
        <w:spacing w:after="120"/>
        <w:jc w:val="both"/>
      </w:pPr>
      <w:sdt>
        <w:sdtPr>
          <w:rPr>
            <w:rStyle w:val="Style2"/>
            <w:rFonts w:ascii="MS Gothic" w:eastAsia="MS Gothic" w:hAnsi="MS Gothic"/>
          </w:rPr>
          <w:id w:val="-1545513810"/>
          <w15:color w:val="FFCC00"/>
          <w14:checkbox>
            <w14:checked w14:val="0"/>
            <w14:checkedState w14:val="2612" w14:font="MS Gothic"/>
            <w14:uncheckedState w14:val="2610" w14:font="MS Gothic"/>
          </w14:checkbox>
        </w:sdtPr>
        <w:sdtEndPr>
          <w:rPr>
            <w:rStyle w:val="Style2"/>
          </w:rPr>
        </w:sdtEndPr>
        <w:sdtContent>
          <w:r w:rsidR="00937907" w:rsidRPr="00797153">
            <w:rPr>
              <w:rStyle w:val="Style2"/>
              <w:rFonts w:ascii="MS Gothic" w:eastAsia="MS Gothic" w:hAnsi="MS Gothic" w:hint="eastAsia"/>
            </w:rPr>
            <w:t>☐</w:t>
          </w:r>
        </w:sdtContent>
      </w:sdt>
      <w:r w:rsidR="00937907" w:rsidRPr="00797153">
        <w:t xml:space="preserve"> Pacientų organizacijos pozicija </w:t>
      </w:r>
      <w:r w:rsidR="00880A44">
        <w:t>ne</w:t>
      </w:r>
      <w:r w:rsidR="00937907" w:rsidRPr="00797153">
        <w:t>pateikta.</w:t>
      </w:r>
    </w:p>
    <w:p w14:paraId="3D3277FA" w14:textId="3CEEB2D2" w:rsidR="00C62B36" w:rsidRPr="00797153" w:rsidRDefault="00C62B36" w:rsidP="00937907">
      <w:pPr>
        <w:pStyle w:val="ListParagraph"/>
        <w:numPr>
          <w:ilvl w:val="0"/>
          <w:numId w:val="12"/>
        </w:numPr>
        <w:tabs>
          <w:tab w:val="left" w:pos="426"/>
        </w:tabs>
        <w:rPr>
          <w:b/>
          <w:bCs/>
          <w:caps/>
        </w:rPr>
      </w:pPr>
      <w:r w:rsidRPr="00797153">
        <w:rPr>
          <w:b/>
          <w:bCs/>
          <w:caps/>
        </w:rPr>
        <w:t>Gydytojų organizacijų pateikti duomenys</w:t>
      </w:r>
    </w:p>
    <w:p w14:paraId="389A346C" w14:textId="12519237" w:rsidR="00937907" w:rsidRPr="00797153" w:rsidRDefault="006358C4" w:rsidP="00662983">
      <w:pPr>
        <w:spacing w:after="120"/>
        <w:jc w:val="both"/>
      </w:pPr>
      <w:sdt>
        <w:sdtPr>
          <w:rPr>
            <w:rStyle w:val="Style2"/>
            <w:rFonts w:ascii="MS Gothic" w:eastAsia="MS Gothic" w:hAnsi="MS Gothic"/>
          </w:rPr>
          <w:id w:val="1613862788"/>
          <w15:color w:val="FFCC00"/>
          <w14:checkbox>
            <w14:checked w14:val="1"/>
            <w14:checkedState w14:val="2612" w14:font="MS Gothic"/>
            <w14:uncheckedState w14:val="2610" w14:font="MS Gothic"/>
          </w14:checkbox>
        </w:sdtPr>
        <w:sdtEndPr>
          <w:rPr>
            <w:rStyle w:val="Style2"/>
          </w:rPr>
        </w:sdtEndPr>
        <w:sdtContent>
          <w:r w:rsidR="00C32CB9">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pateikta. </w:t>
      </w:r>
      <w:r w:rsidR="00662983" w:rsidRPr="00797153">
        <w:t>Žr. priedą</w:t>
      </w:r>
      <w:r w:rsidR="00937907" w:rsidRPr="00797153">
        <w:t>.</w:t>
      </w:r>
    </w:p>
    <w:p w14:paraId="5D8CC48C" w14:textId="2804E133" w:rsidR="00662983" w:rsidRPr="006E501F" w:rsidRDefault="006358C4" w:rsidP="00662983">
      <w:pPr>
        <w:spacing w:after="120"/>
        <w:jc w:val="both"/>
      </w:pPr>
      <w:sdt>
        <w:sdtPr>
          <w:rPr>
            <w:rStyle w:val="Style2"/>
            <w:rFonts w:ascii="MS Gothic" w:eastAsia="MS Gothic" w:hAnsi="MS Gothic"/>
          </w:rPr>
          <w:id w:val="-41988141"/>
          <w15:color w:val="FFCC00"/>
          <w14:checkbox>
            <w14:checked w14:val="0"/>
            <w14:checkedState w14:val="2612" w14:font="MS Gothic"/>
            <w14:uncheckedState w14:val="2610" w14:font="MS Gothic"/>
          </w14:checkbox>
        </w:sdtPr>
        <w:sdtEndPr>
          <w:rPr>
            <w:rStyle w:val="Style2"/>
          </w:rPr>
        </w:sdtEndPr>
        <w:sdtContent>
          <w:r w:rsidR="00937907" w:rsidRPr="00797153">
            <w:rPr>
              <w:rStyle w:val="Style2"/>
              <w:rFonts w:ascii="MS Gothic" w:eastAsia="MS Gothic" w:hAnsi="MS Gothic" w:hint="eastAsia"/>
            </w:rPr>
            <w:t>☐</w:t>
          </w:r>
        </w:sdtContent>
      </w:sdt>
      <w:r w:rsidR="00662983" w:rsidRPr="00797153">
        <w:t xml:space="preserve"> </w:t>
      </w:r>
      <w:r w:rsidR="00937907" w:rsidRPr="00797153">
        <w:t xml:space="preserve">Gydytojų specialistų organizacijos pozicija </w:t>
      </w:r>
      <w:r w:rsidR="00880A44">
        <w:t>ne</w:t>
      </w:r>
      <w:r w:rsidR="00937907" w:rsidRPr="00797153">
        <w:t>pateikta.</w:t>
      </w:r>
    </w:p>
    <w:p w14:paraId="78F23ECB" w14:textId="23A3A002" w:rsidR="002F0E4F" w:rsidRDefault="002F0E4F" w:rsidP="00937907">
      <w:pPr>
        <w:pStyle w:val="ListParagraph"/>
        <w:numPr>
          <w:ilvl w:val="0"/>
          <w:numId w:val="12"/>
        </w:numPr>
        <w:tabs>
          <w:tab w:val="left" w:pos="426"/>
        </w:tabs>
        <w:rPr>
          <w:b/>
          <w:bCs/>
          <w:caps/>
        </w:rPr>
      </w:pPr>
      <w:r w:rsidRPr="00B4017A">
        <w:rPr>
          <w:b/>
          <w:bCs/>
          <w:caps/>
        </w:rPr>
        <w:t xml:space="preserve">Išvada </w:t>
      </w:r>
    </w:p>
    <w:p w14:paraId="573E407F" w14:textId="77777777" w:rsidR="00797153" w:rsidRPr="00797153"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B13D65" w14:paraId="25A2473E" w14:textId="77777777" w:rsidTr="00BD1E5A">
        <w:tc>
          <w:tcPr>
            <w:tcW w:w="4981" w:type="dxa"/>
          </w:tcPr>
          <w:p w14:paraId="7EFE6941" w14:textId="23B8BB6D"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kompensuoti</w:t>
            </w:r>
          </w:p>
        </w:tc>
        <w:tc>
          <w:tcPr>
            <w:tcW w:w="4981" w:type="dxa"/>
          </w:tcPr>
          <w:p w14:paraId="330A1A5E" w14:textId="19247DC1" w:rsidR="00B13D65"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Pr>
                <w:rStyle w:val="Style2"/>
                <w:rFonts w:eastAsia="MS Gothic"/>
                <w:b/>
                <w:bCs/>
                <w:sz w:val="24"/>
              </w:rPr>
              <w:t>Rekomenduojama nekompensuoti</w:t>
            </w:r>
            <w:r w:rsidRPr="00B13D65">
              <w:rPr>
                <w:rStyle w:val="Style2"/>
                <w:rFonts w:eastAsia="MS Gothic"/>
                <w:b/>
                <w:bCs/>
                <w:sz w:val="24"/>
              </w:rPr>
              <w:t xml:space="preserve"> </w:t>
            </w:r>
          </w:p>
        </w:tc>
      </w:tr>
      <w:tr w:rsidR="00B13D65" w:rsidRPr="00B13D65" w14:paraId="143A7356" w14:textId="77777777" w:rsidTr="00BD1E5A">
        <w:tc>
          <w:tcPr>
            <w:tcW w:w="9962" w:type="dxa"/>
            <w:gridSpan w:val="2"/>
          </w:tcPr>
          <w:p w14:paraId="5D93D24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Palyginamasis efektyvumas</w:t>
            </w:r>
          </w:p>
          <w:p w14:paraId="0AF5D6B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28A0C814" w14:textId="77777777" w:rsidTr="00BD1E5A">
        <w:tc>
          <w:tcPr>
            <w:tcW w:w="4981" w:type="dxa"/>
          </w:tcPr>
          <w:p w14:paraId="216769B5" w14:textId="4B5B9E63" w:rsid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sz w:val="24"/>
                  </w:rPr>
                  <w:t>☒</w:t>
                </w:r>
              </w:sdtContent>
            </w:sdt>
            <w:r w:rsidR="00B13D65" w:rsidRPr="00B13D65">
              <w:t xml:space="preserve"> 32.1. yra didesnis</w:t>
            </w:r>
          </w:p>
          <w:p w14:paraId="3B48F372"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280F398" w:rsidR="00B13D65" w:rsidRPr="00B13D65" w:rsidRDefault="006358C4"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32.1. iš esmės nesiskiria</w:t>
            </w:r>
          </w:p>
        </w:tc>
        <w:tc>
          <w:tcPr>
            <w:tcW w:w="4981" w:type="dxa"/>
          </w:tcPr>
          <w:p w14:paraId="507828D9" w14:textId="09AE523F" w:rsid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mažesnis</w:t>
            </w:r>
          </w:p>
          <w:p w14:paraId="7F95DEEC"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neįrodytas kaip toks pat</w:t>
            </w:r>
          </w:p>
          <w:p w14:paraId="35205E85" w14:textId="77777777" w:rsidR="00662983"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662983" w:rsidRPr="00B13D65">
              <w:t xml:space="preserve"> </w:t>
            </w:r>
            <w:r w:rsidR="00662983">
              <w:t xml:space="preserve">33.1 </w:t>
            </w:r>
            <w:r w:rsidR="00B13D65" w:rsidRPr="00B13D65">
              <w:t>neįrodytas kaip didesnis</w:t>
            </w:r>
          </w:p>
          <w:p w14:paraId="512E653B"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pateikti duomenys apie palyginamąjį efektyvumą yra netinkami vertinti</w:t>
            </w:r>
          </w:p>
          <w:p w14:paraId="5DDAA96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61CC3FE" w14:textId="77777777" w:rsidTr="00BD1E5A">
        <w:tc>
          <w:tcPr>
            <w:tcW w:w="9962" w:type="dxa"/>
            <w:gridSpan w:val="2"/>
          </w:tcPr>
          <w:p w14:paraId="3B2878F0"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Klinikinis veiksmingumas</w:t>
            </w:r>
          </w:p>
          <w:p w14:paraId="1AB4689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3C60570A" w14:textId="77777777" w:rsidTr="00BD1E5A">
        <w:tc>
          <w:tcPr>
            <w:tcW w:w="4981" w:type="dxa"/>
          </w:tcPr>
          <w:p w14:paraId="6897B306" w14:textId="3F7620C5" w:rsid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sz w:val="24"/>
                  </w:rPr>
                  <w:t>☒</w:t>
                </w:r>
              </w:sdtContent>
            </w:sdt>
            <w:r w:rsidR="00B13D65" w:rsidRPr="00B13D65">
              <w:t xml:space="preserve"> 32.2. yra įvertintas kaip pagrindžiantis papildomos naudos pacientų sveikatai sukūrimą, lyginant su įprasta klinikine praktika</w:t>
            </w:r>
          </w:p>
          <w:p w14:paraId="71D57105"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1179D09" w:rsidR="00B13D65" w:rsidRP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32.2. įvertintas kaip pagrindžiantis nesiskiriančios naudos pacientų sveikatai sukūrimą, lyginant su įprasta klinikine praktika</w:t>
            </w:r>
          </w:p>
          <w:p w14:paraId="287AD233"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B13D65" w:rsidRDefault="006358C4"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33.1. yra įvertintas kaip nepagrindžiantis papildomos </w:t>
            </w:r>
            <w:r w:rsidR="00662983" w:rsidRPr="00B13D65">
              <w:t>naudos pacientų sveikatai sukūrimo, lyginant su  įprasta klinikine praktika.</w:t>
            </w:r>
          </w:p>
          <w:p w14:paraId="6C70BCFC" w14:textId="77777777" w:rsidR="00662983" w:rsidRDefault="00662983" w:rsidP="00BD1E5A">
            <w:pPr>
              <w:jc w:val="both"/>
            </w:pPr>
          </w:p>
          <w:p w14:paraId="0ADEC30D" w14:textId="25150412" w:rsidR="00B13D65" w:rsidRPr="00B13D65" w:rsidRDefault="006358C4"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B13D65">
                  <w:rPr>
                    <w:rStyle w:val="Style2"/>
                    <w:rFonts w:ascii="Segoe UI Symbol" w:eastAsia="MS Gothic" w:hAnsi="Segoe UI Symbol" w:cs="Segoe UI Symbol"/>
                    <w:sz w:val="24"/>
                  </w:rPr>
                  <w:t>☐</w:t>
                </w:r>
              </w:sdtContent>
            </w:sdt>
            <w:r w:rsidR="00B13D65" w:rsidRPr="00B13D65">
              <w:t xml:space="preserve"> </w:t>
            </w:r>
            <w:r w:rsidR="00662983">
              <w:t xml:space="preserve">33.1. </w:t>
            </w:r>
            <w:r w:rsidR="00B13D65" w:rsidRPr="00B13D65">
              <w:t>nesiskiriančios naudos pacientų sveikatai sukūrimo, lyginant su įprasta klinikine praktika.</w:t>
            </w:r>
          </w:p>
          <w:p w14:paraId="1EED7901"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B13D65" w14:paraId="1C75AE76" w14:textId="77777777" w:rsidTr="00BD1E5A">
        <w:tc>
          <w:tcPr>
            <w:tcW w:w="9962" w:type="dxa"/>
            <w:gridSpan w:val="2"/>
          </w:tcPr>
          <w:p w14:paraId="56F7FA3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B13D65">
              <w:rPr>
                <w:rStyle w:val="Style2"/>
                <w:rFonts w:eastAsia="MS Gothic"/>
                <w:b/>
                <w:bCs/>
                <w:sz w:val="24"/>
              </w:rPr>
              <w:t>Kaštų naudingumas</w:t>
            </w:r>
          </w:p>
          <w:p w14:paraId="0247EDAD"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B13D65" w14:paraId="7091A05B" w14:textId="77777777" w:rsidTr="00BD1E5A">
        <w:tc>
          <w:tcPr>
            <w:tcW w:w="4981" w:type="dxa"/>
          </w:tcPr>
          <w:p w14:paraId="69B2A994" w14:textId="7A6C058D" w:rsid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EndPr>
                <w:rPr>
                  <w:rStyle w:val="Style2"/>
                </w:rPr>
              </w:sdtEndPr>
              <w:sdtContent>
                <w:r w:rsidR="00C32CB9">
                  <w:rPr>
                    <w:rStyle w:val="Style2"/>
                    <w:rFonts w:ascii="MS Gothic" w:eastAsia="MS Gothic" w:hAnsi="MS Gothic" w:hint="eastAsia"/>
                    <w:sz w:val="24"/>
                  </w:rPr>
                  <w:t>☒</w:t>
                </w:r>
              </w:sdtContent>
            </w:sdt>
            <w:r w:rsidR="00B13D65" w:rsidRPr="00B13D65">
              <w:t xml:space="preserve"> 32.3. atitink</w:t>
            </w:r>
            <w:r w:rsidR="00C32CB9">
              <w:t xml:space="preserve">a referencinę naudingumo vertę, </w:t>
            </w:r>
            <w:r w:rsidR="00B13D65" w:rsidRPr="00B13D65">
              <w:t>taikant</w:t>
            </w:r>
            <w:r w:rsidR="00C32CB9">
              <w:t xml:space="preserve"> PGS</w:t>
            </w:r>
          </w:p>
          <w:p w14:paraId="3F76F153"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3E0CBD07" w:rsidR="00B13D65" w:rsidRP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32.3. gydymo juo kaštai yra mažesni ar tokie patys esant iš esmės nesiskiriančiam palyginamajam efektyvumui, </w:t>
            </w:r>
            <w:r w:rsidR="00662983">
              <w:t>&lt;</w:t>
            </w:r>
            <w:r w:rsidR="00B13D65" w:rsidRPr="00B13D65">
              <w:t xml:space="preserve">taikant </w:t>
            </w:r>
            <w:r w:rsidR="00662983">
              <w:t>PGS&gt; &lt;</w:t>
            </w:r>
            <w:r w:rsidR="00B13D65" w:rsidRPr="00B13D65">
              <w:t>netaikant PGS</w:t>
            </w:r>
            <w:r w:rsidR="00662983">
              <w:t>&gt;</w:t>
            </w:r>
          </w:p>
          <w:p w14:paraId="25E4BD1E"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53380063" w14:textId="07F023EC" w:rsid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neatitinka referencinės naudingumo vertės Lietuvos Respublikoje;</w:t>
            </w:r>
          </w:p>
          <w:p w14:paraId="229ED51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4A009DAD" w:rsid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gydymo juo kaštai yra didesni esant iš esmės nesiskiriančiam palyginamajam efektyvumui, </w:t>
            </w:r>
            <w:r w:rsidR="00662983">
              <w:t>&lt;</w:t>
            </w:r>
            <w:r w:rsidR="00B13D65" w:rsidRPr="00B13D65">
              <w:t>taikant</w:t>
            </w:r>
            <w:r w:rsidR="00662983">
              <w:t xml:space="preserve"> PGS&gt;</w:t>
            </w:r>
            <w:r w:rsidR="00B13D65" w:rsidRPr="00B13D65">
              <w:t xml:space="preserve"> </w:t>
            </w:r>
            <w:r w:rsidR="00662983">
              <w:t>&lt;</w:t>
            </w:r>
            <w:r w:rsidR="00B13D65" w:rsidRPr="00B13D65">
              <w:t>netaikant PGS</w:t>
            </w:r>
            <w:r w:rsidR="00662983">
              <w:t>&gt;</w:t>
            </w:r>
          </w:p>
          <w:p w14:paraId="4A9C7D2A" w14:textId="77777777" w:rsidR="00662983" w:rsidRPr="00B13D65"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B13D65" w:rsidRDefault="006358C4"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B13D65">
                  <w:rPr>
                    <w:rStyle w:val="Style2"/>
                    <w:rFonts w:ascii="Segoe UI Symbol" w:eastAsia="MS Gothic" w:hAnsi="Segoe UI Symbol" w:cs="Segoe UI Symbol"/>
                    <w:sz w:val="24"/>
                  </w:rPr>
                  <w:t>☐</w:t>
                </w:r>
              </w:sdtContent>
            </w:sdt>
            <w:r w:rsidR="00B13D65" w:rsidRPr="00B13D65">
              <w:t xml:space="preserve"> 33.3. pateikti duomenys apie kaštų na</w:t>
            </w:r>
            <w:r w:rsidR="00662983">
              <w:t>udingumą yra netinkami vertinti</w:t>
            </w:r>
          </w:p>
          <w:p w14:paraId="470A48A4" w14:textId="77777777" w:rsidR="00B13D65" w:rsidRPr="00B13D65"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2B139788" w:rsidR="004A3A61" w:rsidRDefault="004A3A61" w:rsidP="00381024"/>
    <w:p w14:paraId="22E817DD" w14:textId="56731E52" w:rsidR="00A65E12" w:rsidRPr="00D05364" w:rsidRDefault="00A65E12" w:rsidP="00A65E12">
      <w:pPr>
        <w:pStyle w:val="ListParagraph"/>
        <w:numPr>
          <w:ilvl w:val="0"/>
          <w:numId w:val="12"/>
        </w:numPr>
        <w:rPr>
          <w:b/>
        </w:rPr>
      </w:pPr>
      <w:r w:rsidRPr="00D05364">
        <w:rPr>
          <w:b/>
        </w:rPr>
        <w:t>REKOMENDACIJA</w:t>
      </w:r>
    </w:p>
    <w:p w14:paraId="3CE84E41" w14:textId="77777777" w:rsidR="00A65E12" w:rsidRPr="00D05364" w:rsidRDefault="00A65E12" w:rsidP="00A65E12">
      <w:pPr>
        <w:rPr>
          <w:b/>
        </w:rPr>
      </w:pPr>
    </w:p>
    <w:p w14:paraId="189B5CD7" w14:textId="3BFF4005" w:rsidR="00A65E12" w:rsidRPr="00E33EFF" w:rsidRDefault="00A65E12" w:rsidP="00C32CB9">
      <w:pPr>
        <w:ind w:firstLine="360"/>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w:t>
      </w:r>
      <w:r w:rsidR="00C32CB9">
        <w:t xml:space="preserve"> </w:t>
      </w:r>
      <w:r w:rsidRPr="00E33EFF">
        <w:t xml:space="preserve">34.1. rekomenduojama </w:t>
      </w:r>
      <w:r w:rsidRPr="00E33EFF">
        <w:rPr>
          <w:i/>
        </w:rPr>
        <w:t xml:space="preserve">kompensuoti </w:t>
      </w:r>
      <w:r w:rsidRPr="00E33EFF">
        <w:t xml:space="preserve">vaistinį preparatą pagal </w:t>
      </w:r>
      <w:r w:rsidR="00C32CB9">
        <w:t>paraiškoje nurodytą indikaciją su skyrimo sąlygomis taikant PGS</w:t>
      </w:r>
      <w:r w:rsidRPr="00E33EFF">
        <w:t>, dėl didesnio palyginamojo efektyvumo ir gydymo sukuriamos papildomos naudos pacientų sveikatai, lyginant su įprasta klinikine praktika, ir atitikties r</w:t>
      </w:r>
      <w:r w:rsidR="00C32CB9">
        <w:t>eferencinei naudingumo vertei.</w:t>
      </w:r>
    </w:p>
    <w:p w14:paraId="25B4B037" w14:textId="77777777" w:rsidR="00A65E12" w:rsidRDefault="00A65E12" w:rsidP="00A65E12">
      <w:pPr>
        <w:jc w:val="both"/>
        <w:rPr>
          <w:color w:val="000000"/>
        </w:rPr>
      </w:pPr>
    </w:p>
    <w:p w14:paraId="36728070" w14:textId="15ED310F" w:rsidR="00A65E12" w:rsidRPr="00A65E12" w:rsidRDefault="00A65E12" w:rsidP="00A65E12">
      <w:pPr>
        <w:pStyle w:val="ListParagraph"/>
        <w:numPr>
          <w:ilvl w:val="0"/>
          <w:numId w:val="12"/>
        </w:numPr>
        <w:tabs>
          <w:tab w:val="left" w:pos="567"/>
        </w:tabs>
        <w:jc w:val="both"/>
        <w:rPr>
          <w:b/>
          <w:color w:val="000000"/>
          <w:lang w:eastAsia="lt-LT"/>
        </w:rPr>
      </w:pPr>
      <w:r w:rsidRPr="00A65E12">
        <w:rPr>
          <w:b/>
          <w:color w:val="000000"/>
          <w:lang w:eastAsia="lt-LT"/>
        </w:rPr>
        <w:t xml:space="preserve">SIŪLOMOS KOMPENSUOTI TERAPINĖS INDIKACIJOS IR SKYRIMO SĄLYGOS </w:t>
      </w:r>
    </w:p>
    <w:p w14:paraId="61B60980" w14:textId="77777777" w:rsidR="00A65E12" w:rsidRPr="00E33EFF" w:rsidRDefault="00A65E12" w:rsidP="00A65E12">
      <w:pPr>
        <w:tabs>
          <w:tab w:val="left" w:pos="426"/>
        </w:tabs>
        <w:jc w:val="both"/>
        <w:rPr>
          <w:b/>
          <w:color w:val="000000"/>
          <w:lang w:eastAsia="lt-LT"/>
        </w:rPr>
      </w:pPr>
    </w:p>
    <w:p w14:paraId="1F9751E9" w14:textId="77777777" w:rsidR="00A65E12" w:rsidRPr="00DC5BAC" w:rsidRDefault="00A65E12" w:rsidP="00A65E12">
      <w:pPr>
        <w:rPr>
          <w:b/>
          <w:lang w:eastAsia="lt-LT"/>
        </w:rPr>
      </w:pPr>
      <w:r w:rsidRPr="00DC5BAC">
        <w:rPr>
          <w:b/>
          <w:lang w:eastAsia="lt-LT"/>
        </w:rPr>
        <w:t>Terapinės indikacijos</w:t>
      </w:r>
    </w:p>
    <w:p w14:paraId="0B2E2C64" w14:textId="77777777" w:rsidR="00A65E12" w:rsidRDefault="006358C4" w:rsidP="00A65E12">
      <w:sdt>
        <w:sdtPr>
          <w:rPr>
            <w:rStyle w:val="Style2"/>
          </w:rPr>
          <w:id w:val="1146316688"/>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rPr>
            <w:t>☒</w:t>
          </w:r>
        </w:sdtContent>
      </w:sdt>
      <w:r w:rsidR="00A65E12" w:rsidRPr="00E33EFF">
        <w:t xml:space="preserve"> Siūloma kompensuoti Pareiškėjo teikiamą indikaciją be pakeitimų.</w:t>
      </w:r>
    </w:p>
    <w:p w14:paraId="0569BC84" w14:textId="77777777" w:rsidR="00A65E12" w:rsidRPr="00E33EFF" w:rsidRDefault="00A65E12" w:rsidP="00A65E12"/>
    <w:p w14:paraId="10666234" w14:textId="77777777" w:rsidR="00A65E12" w:rsidRPr="006F4A73" w:rsidRDefault="00A65E12" w:rsidP="00A65E12">
      <w:pPr>
        <w:pStyle w:val="ListParagraph"/>
        <w:spacing w:after="120"/>
        <w:ind w:left="0"/>
        <w:contextualSpacing w:val="0"/>
        <w:jc w:val="both"/>
        <w:rPr>
          <w:i/>
        </w:rPr>
      </w:pPr>
      <w:r w:rsidRPr="006F4A73">
        <w:rPr>
          <w:i/>
        </w:rPr>
        <w:t xml:space="preserve">Atezolizumabas derinyje su bevacizumabu suaugusiųjų pacientų gydymui, kai yra išplitusi arba neoperabili hepatoceliulinė karcinoma (HCK) ir kai anksčiau nebuvo skirtas sisteminis gydymas. </w:t>
      </w:r>
    </w:p>
    <w:p w14:paraId="5DABC53B" w14:textId="77777777" w:rsidR="00A65E12" w:rsidRPr="00E33EFF" w:rsidRDefault="006358C4" w:rsidP="00A65E12">
      <w:sdt>
        <w:sdtPr>
          <w:rPr>
            <w:rStyle w:val="Style2"/>
          </w:rPr>
          <w:id w:val="1467245146"/>
          <w15:color w:val="FFCC00"/>
          <w14:checkbox>
            <w14:checked w14:val="0"/>
            <w14:checkedState w14:val="2612" w14:font="MS Gothic"/>
            <w14:uncheckedState w14:val="2610" w14:font="MS Gothic"/>
          </w14:checkbox>
        </w:sdtPr>
        <w:sdtEndPr>
          <w:rPr>
            <w:rStyle w:val="Style2"/>
          </w:rPr>
        </w:sdtEndPr>
        <w:sdtContent>
          <w:r w:rsidR="00A65E12" w:rsidRPr="00E33EFF">
            <w:rPr>
              <w:rStyle w:val="Style2"/>
              <w:rFonts w:ascii="MS Gothic" w:eastAsia="MS Gothic" w:hAnsi="MS Gothic"/>
            </w:rPr>
            <w:t>☐</w:t>
          </w:r>
        </w:sdtContent>
      </w:sdt>
      <w:r w:rsidR="00A65E12" w:rsidRPr="00E33EFF">
        <w:t xml:space="preserve"> Siūloma kompensuoti Pareiškėjo teikiamą indikaciją su pakeitimais.</w:t>
      </w:r>
    </w:p>
    <w:p w14:paraId="21BA63D8" w14:textId="77777777" w:rsidR="00A65E12" w:rsidRDefault="00A65E12" w:rsidP="00A65E12"/>
    <w:p w14:paraId="06950F2B" w14:textId="77777777" w:rsidR="00A65E12" w:rsidRPr="00E33EFF" w:rsidRDefault="00A65E12" w:rsidP="00A65E12">
      <w:pPr>
        <w:rPr>
          <w:b/>
        </w:rPr>
      </w:pPr>
      <w:r w:rsidRPr="00E33EFF">
        <w:rPr>
          <w:b/>
        </w:rPr>
        <w:t>Skyrimo sąlygos</w:t>
      </w:r>
    </w:p>
    <w:p w14:paraId="1F7392DB" w14:textId="2ED56E61" w:rsidR="00A65E12" w:rsidRDefault="006358C4" w:rsidP="00A65E12">
      <w:sdt>
        <w:sdtPr>
          <w:rPr>
            <w:rStyle w:val="Style2"/>
          </w:rPr>
          <w:id w:val="169305347"/>
          <w15:color w:val="FFCC00"/>
          <w14:checkbox>
            <w14:checked w14:val="1"/>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rPr>
            <w:t>☒</w:t>
          </w:r>
        </w:sdtContent>
      </w:sdt>
      <w:r w:rsidR="00A65E12" w:rsidRPr="00E33EFF">
        <w:t xml:space="preserve"> Pareiškėjo siūlomos skyrimo sąlygos priimtinos. </w:t>
      </w:r>
    </w:p>
    <w:p w14:paraId="4CF85867" w14:textId="1A6BC72B" w:rsidR="00A65E12" w:rsidRDefault="00A65E12" w:rsidP="00A65E12"/>
    <w:p w14:paraId="33C481B5" w14:textId="198EAF30" w:rsidR="00A65E12" w:rsidRPr="00A65E12" w:rsidRDefault="00A65E12" w:rsidP="00A65E12">
      <w:pPr>
        <w:jc w:val="both"/>
        <w:rPr>
          <w:i/>
          <w:iCs/>
        </w:rPr>
      </w:pPr>
      <w:r w:rsidRPr="0068053D">
        <w:rPr>
          <w:i/>
          <w:iCs/>
        </w:rPr>
        <w:t xml:space="preserve">Atezolizumabas derinyje su bevacizumabu skirtas suaugusiųjų pacientų gydymui, kurie serga išplitusia arba neoperabilia HCK, 1) kurių kepenų funkcija yra A klasės pagal Child-Pugh </w:t>
      </w:r>
      <w:r w:rsidRPr="0068053D">
        <w:rPr>
          <w:i/>
          <w:iCs/>
        </w:rPr>
        <w:lastRenderedPageBreak/>
        <w:t>klasifikaciją, ir  2) funkcinė būklė pagal ECOG skalę įvertinta 0 ar 1 balu, ir 3) kuriems anksčiau nebuvo skirtas sisteminio poveikio gydymas</w:t>
      </w:r>
      <w:r>
        <w:rPr>
          <w:i/>
          <w:iCs/>
        </w:rPr>
        <w:t>.</w:t>
      </w:r>
    </w:p>
    <w:p w14:paraId="2FD591CF" w14:textId="77777777" w:rsidR="00A65E12" w:rsidRPr="00E33EFF" w:rsidRDefault="00A65E12" w:rsidP="00A65E12">
      <w:r w:rsidRPr="00E33EFF">
        <w:t xml:space="preserve"> </w:t>
      </w:r>
    </w:p>
    <w:p w14:paraId="1FD903DA" w14:textId="2692206B" w:rsidR="00A65E12" w:rsidRPr="00A65E12" w:rsidRDefault="006358C4" w:rsidP="00A65E12">
      <w:sdt>
        <w:sdtPr>
          <w:rPr>
            <w:rStyle w:val="Style2"/>
          </w:rPr>
          <w:id w:val="1823936883"/>
          <w15:color w:val="FFCC00"/>
          <w14:checkbox>
            <w14:checked w14:val="0"/>
            <w14:checkedState w14:val="2612" w14:font="MS Gothic"/>
            <w14:uncheckedState w14:val="2610" w14:font="MS Gothic"/>
          </w14:checkbox>
        </w:sdtPr>
        <w:sdtEndPr>
          <w:rPr>
            <w:rStyle w:val="Style2"/>
          </w:rPr>
        </w:sdtEndPr>
        <w:sdtContent>
          <w:r w:rsidR="00A65E12">
            <w:rPr>
              <w:rStyle w:val="Style2"/>
              <w:rFonts w:ascii="MS Gothic" w:eastAsia="MS Gothic" w:hAnsi="MS Gothic" w:hint="eastAsia"/>
            </w:rPr>
            <w:t>☐</w:t>
          </w:r>
        </w:sdtContent>
      </w:sdt>
      <w:r w:rsidR="00A65E12" w:rsidRPr="00E33EFF">
        <w:t xml:space="preserve"> Pareiškėjo siūlomos skyrimo sąlygos nepriimtinos. </w:t>
      </w:r>
    </w:p>
    <w:p w14:paraId="29A90384" w14:textId="53F8A0E4" w:rsidR="004A3A61" w:rsidRDefault="004A3A61" w:rsidP="00381024"/>
    <w:p w14:paraId="04411EAD" w14:textId="77777777" w:rsidR="004A3A61" w:rsidRDefault="004A3A61" w:rsidP="00381024"/>
    <w:sectPr w:rsidR="004A3A61"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CE42" w14:textId="77777777" w:rsidR="006358C4" w:rsidRDefault="006358C4">
      <w:r>
        <w:separator/>
      </w:r>
    </w:p>
  </w:endnote>
  <w:endnote w:type="continuationSeparator" w:id="0">
    <w:p w14:paraId="7B12E4B8" w14:textId="77777777" w:rsidR="006358C4" w:rsidRDefault="0063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8F241" w14:textId="77777777" w:rsidR="006358C4" w:rsidRDefault="006358C4">
      <w:r>
        <w:separator/>
      </w:r>
    </w:p>
  </w:footnote>
  <w:footnote w:type="continuationSeparator" w:id="0">
    <w:p w14:paraId="0C91469E" w14:textId="77777777" w:rsidR="006358C4" w:rsidRDefault="00635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16F167EB"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005">
      <w:rPr>
        <w:rStyle w:val="PageNumber"/>
        <w:noProof/>
      </w:rPr>
      <w:t>8</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A816B09"/>
    <w:multiLevelType w:val="hybridMultilevel"/>
    <w:tmpl w:val="8FBEE17A"/>
    <w:lvl w:ilvl="0" w:tplc="0427000F">
      <w:start w:val="1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8"/>
  </w:num>
  <w:num w:numId="5">
    <w:abstractNumId w:val="6"/>
  </w:num>
  <w:num w:numId="6">
    <w:abstractNumId w:val="5"/>
  </w:num>
  <w:num w:numId="7">
    <w:abstractNumId w:val="3"/>
  </w:num>
  <w:num w:numId="8">
    <w:abstractNumId w:val="12"/>
  </w:num>
  <w:num w:numId="9">
    <w:abstractNumId w:val="0"/>
  </w:num>
  <w:num w:numId="10">
    <w:abstractNumId w:val="10"/>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3F5B"/>
    <w:rsid w:val="000114DD"/>
    <w:rsid w:val="000136F7"/>
    <w:rsid w:val="0002686C"/>
    <w:rsid w:val="00031D0E"/>
    <w:rsid w:val="000337E6"/>
    <w:rsid w:val="0003402E"/>
    <w:rsid w:val="00034EAE"/>
    <w:rsid w:val="000606BE"/>
    <w:rsid w:val="000736B8"/>
    <w:rsid w:val="0008190F"/>
    <w:rsid w:val="00081D9C"/>
    <w:rsid w:val="00082907"/>
    <w:rsid w:val="0008378D"/>
    <w:rsid w:val="000908A5"/>
    <w:rsid w:val="00092805"/>
    <w:rsid w:val="000A5CC3"/>
    <w:rsid w:val="000B3E93"/>
    <w:rsid w:val="000C454C"/>
    <w:rsid w:val="000C5E0E"/>
    <w:rsid w:val="000D5038"/>
    <w:rsid w:val="000E29D4"/>
    <w:rsid w:val="000F3540"/>
    <w:rsid w:val="00100491"/>
    <w:rsid w:val="00104E2E"/>
    <w:rsid w:val="00107287"/>
    <w:rsid w:val="00117406"/>
    <w:rsid w:val="00121EF0"/>
    <w:rsid w:val="00124A9E"/>
    <w:rsid w:val="00130703"/>
    <w:rsid w:val="0013153F"/>
    <w:rsid w:val="001408B8"/>
    <w:rsid w:val="001521D9"/>
    <w:rsid w:val="001554E2"/>
    <w:rsid w:val="001627C8"/>
    <w:rsid w:val="00164146"/>
    <w:rsid w:val="0017369C"/>
    <w:rsid w:val="00180C39"/>
    <w:rsid w:val="00180D96"/>
    <w:rsid w:val="001921F3"/>
    <w:rsid w:val="001B3C5B"/>
    <w:rsid w:val="001D7917"/>
    <w:rsid w:val="001E4BBB"/>
    <w:rsid w:val="001E6304"/>
    <w:rsid w:val="0020381E"/>
    <w:rsid w:val="00213471"/>
    <w:rsid w:val="00215906"/>
    <w:rsid w:val="0025697F"/>
    <w:rsid w:val="00260258"/>
    <w:rsid w:val="00272428"/>
    <w:rsid w:val="00272948"/>
    <w:rsid w:val="002946C7"/>
    <w:rsid w:val="002B3CC1"/>
    <w:rsid w:val="002C09E0"/>
    <w:rsid w:val="002C3A10"/>
    <w:rsid w:val="002C4A90"/>
    <w:rsid w:val="002D02EF"/>
    <w:rsid w:val="002E0702"/>
    <w:rsid w:val="002E6F80"/>
    <w:rsid w:val="002F0E4F"/>
    <w:rsid w:val="002F1053"/>
    <w:rsid w:val="00304DED"/>
    <w:rsid w:val="00317B0E"/>
    <w:rsid w:val="00347FAA"/>
    <w:rsid w:val="0035172D"/>
    <w:rsid w:val="0036187D"/>
    <w:rsid w:val="00381024"/>
    <w:rsid w:val="00386307"/>
    <w:rsid w:val="003874DE"/>
    <w:rsid w:val="00393E9F"/>
    <w:rsid w:val="0039696E"/>
    <w:rsid w:val="003B211A"/>
    <w:rsid w:val="003C141F"/>
    <w:rsid w:val="003C6B0E"/>
    <w:rsid w:val="003C7257"/>
    <w:rsid w:val="003C7E35"/>
    <w:rsid w:val="00404E8A"/>
    <w:rsid w:val="00405B62"/>
    <w:rsid w:val="0040622F"/>
    <w:rsid w:val="00423160"/>
    <w:rsid w:val="00453862"/>
    <w:rsid w:val="00461338"/>
    <w:rsid w:val="004677DB"/>
    <w:rsid w:val="00472038"/>
    <w:rsid w:val="0048630F"/>
    <w:rsid w:val="004947A1"/>
    <w:rsid w:val="0049482A"/>
    <w:rsid w:val="004979D3"/>
    <w:rsid w:val="004A00E7"/>
    <w:rsid w:val="004A3A61"/>
    <w:rsid w:val="004B59BA"/>
    <w:rsid w:val="004C263A"/>
    <w:rsid w:val="004D7B8F"/>
    <w:rsid w:val="004E6458"/>
    <w:rsid w:val="004E6E7D"/>
    <w:rsid w:val="004F1AAC"/>
    <w:rsid w:val="004F1AE2"/>
    <w:rsid w:val="004F34F0"/>
    <w:rsid w:val="005005EF"/>
    <w:rsid w:val="00534E11"/>
    <w:rsid w:val="005400D9"/>
    <w:rsid w:val="005476A4"/>
    <w:rsid w:val="0055019B"/>
    <w:rsid w:val="00556E63"/>
    <w:rsid w:val="005601A4"/>
    <w:rsid w:val="00566DBB"/>
    <w:rsid w:val="005976CE"/>
    <w:rsid w:val="005A23D4"/>
    <w:rsid w:val="005A2D1E"/>
    <w:rsid w:val="005C493F"/>
    <w:rsid w:val="005C6BF7"/>
    <w:rsid w:val="005C71BF"/>
    <w:rsid w:val="005D002C"/>
    <w:rsid w:val="005D30E1"/>
    <w:rsid w:val="005D6555"/>
    <w:rsid w:val="005D7BDF"/>
    <w:rsid w:val="005F71D9"/>
    <w:rsid w:val="005F7602"/>
    <w:rsid w:val="00613501"/>
    <w:rsid w:val="006166A8"/>
    <w:rsid w:val="006174A1"/>
    <w:rsid w:val="00633B49"/>
    <w:rsid w:val="006358C4"/>
    <w:rsid w:val="0064297F"/>
    <w:rsid w:val="00646CF3"/>
    <w:rsid w:val="00662983"/>
    <w:rsid w:val="006834D3"/>
    <w:rsid w:val="00692625"/>
    <w:rsid w:val="00695CD3"/>
    <w:rsid w:val="006A38B6"/>
    <w:rsid w:val="006B1987"/>
    <w:rsid w:val="006B5B71"/>
    <w:rsid w:val="006B6CB0"/>
    <w:rsid w:val="006C2B64"/>
    <w:rsid w:val="006D4C85"/>
    <w:rsid w:val="006E33F6"/>
    <w:rsid w:val="006F1251"/>
    <w:rsid w:val="006F1C23"/>
    <w:rsid w:val="00703166"/>
    <w:rsid w:val="007127F3"/>
    <w:rsid w:val="007301CF"/>
    <w:rsid w:val="007316FB"/>
    <w:rsid w:val="00737E2D"/>
    <w:rsid w:val="007424D5"/>
    <w:rsid w:val="007523DD"/>
    <w:rsid w:val="00757B7E"/>
    <w:rsid w:val="00795DC5"/>
    <w:rsid w:val="00797153"/>
    <w:rsid w:val="007B0DDA"/>
    <w:rsid w:val="007B1548"/>
    <w:rsid w:val="007D1283"/>
    <w:rsid w:val="007E5466"/>
    <w:rsid w:val="007F1949"/>
    <w:rsid w:val="00817A84"/>
    <w:rsid w:val="008225A4"/>
    <w:rsid w:val="00826D5E"/>
    <w:rsid w:val="00832013"/>
    <w:rsid w:val="00834732"/>
    <w:rsid w:val="0085200C"/>
    <w:rsid w:val="00857C52"/>
    <w:rsid w:val="00880A44"/>
    <w:rsid w:val="0088345E"/>
    <w:rsid w:val="0088656F"/>
    <w:rsid w:val="008917B2"/>
    <w:rsid w:val="008A0303"/>
    <w:rsid w:val="008A5FDD"/>
    <w:rsid w:val="008C3947"/>
    <w:rsid w:val="008E7329"/>
    <w:rsid w:val="008F2ED5"/>
    <w:rsid w:val="0092297E"/>
    <w:rsid w:val="009341BF"/>
    <w:rsid w:val="00937907"/>
    <w:rsid w:val="00941739"/>
    <w:rsid w:val="00951573"/>
    <w:rsid w:val="00963003"/>
    <w:rsid w:val="00983471"/>
    <w:rsid w:val="009909AB"/>
    <w:rsid w:val="009B37DB"/>
    <w:rsid w:val="009C7A8C"/>
    <w:rsid w:val="009D23F9"/>
    <w:rsid w:val="009D4FA8"/>
    <w:rsid w:val="009E6CD6"/>
    <w:rsid w:val="00A00C3C"/>
    <w:rsid w:val="00A01091"/>
    <w:rsid w:val="00A06DBB"/>
    <w:rsid w:val="00A31E86"/>
    <w:rsid w:val="00A54D87"/>
    <w:rsid w:val="00A5553C"/>
    <w:rsid w:val="00A65E12"/>
    <w:rsid w:val="00A81785"/>
    <w:rsid w:val="00A84803"/>
    <w:rsid w:val="00A84C51"/>
    <w:rsid w:val="00A86F2B"/>
    <w:rsid w:val="00A91366"/>
    <w:rsid w:val="00A93AA6"/>
    <w:rsid w:val="00AA4E48"/>
    <w:rsid w:val="00AA6202"/>
    <w:rsid w:val="00AB2369"/>
    <w:rsid w:val="00AC4A99"/>
    <w:rsid w:val="00AC64D2"/>
    <w:rsid w:val="00AE0FE8"/>
    <w:rsid w:val="00AF60D5"/>
    <w:rsid w:val="00B04415"/>
    <w:rsid w:val="00B11D60"/>
    <w:rsid w:val="00B13D65"/>
    <w:rsid w:val="00B37245"/>
    <w:rsid w:val="00B4017A"/>
    <w:rsid w:val="00B4468D"/>
    <w:rsid w:val="00B71C72"/>
    <w:rsid w:val="00B81E92"/>
    <w:rsid w:val="00B93B30"/>
    <w:rsid w:val="00B94CB5"/>
    <w:rsid w:val="00BA0DD9"/>
    <w:rsid w:val="00BB6312"/>
    <w:rsid w:val="00BC4D06"/>
    <w:rsid w:val="00BD585E"/>
    <w:rsid w:val="00BF2E0D"/>
    <w:rsid w:val="00BF3F8B"/>
    <w:rsid w:val="00BF76DA"/>
    <w:rsid w:val="00C07C7B"/>
    <w:rsid w:val="00C24479"/>
    <w:rsid w:val="00C32CB9"/>
    <w:rsid w:val="00C37B53"/>
    <w:rsid w:val="00C517D2"/>
    <w:rsid w:val="00C62B36"/>
    <w:rsid w:val="00C7012C"/>
    <w:rsid w:val="00CC668D"/>
    <w:rsid w:val="00CC7832"/>
    <w:rsid w:val="00CF0C1C"/>
    <w:rsid w:val="00D23808"/>
    <w:rsid w:val="00D3016A"/>
    <w:rsid w:val="00D42960"/>
    <w:rsid w:val="00D43BD7"/>
    <w:rsid w:val="00D4485B"/>
    <w:rsid w:val="00D4708D"/>
    <w:rsid w:val="00D4744C"/>
    <w:rsid w:val="00D63068"/>
    <w:rsid w:val="00D6498C"/>
    <w:rsid w:val="00D8521E"/>
    <w:rsid w:val="00D9291C"/>
    <w:rsid w:val="00D93A97"/>
    <w:rsid w:val="00DB1F64"/>
    <w:rsid w:val="00DC2F53"/>
    <w:rsid w:val="00DC6816"/>
    <w:rsid w:val="00DC76C2"/>
    <w:rsid w:val="00DD1CF2"/>
    <w:rsid w:val="00DF41B7"/>
    <w:rsid w:val="00DF4A4A"/>
    <w:rsid w:val="00DF583C"/>
    <w:rsid w:val="00E03C3F"/>
    <w:rsid w:val="00E24D45"/>
    <w:rsid w:val="00E33DB8"/>
    <w:rsid w:val="00E34387"/>
    <w:rsid w:val="00E369FE"/>
    <w:rsid w:val="00E37C6F"/>
    <w:rsid w:val="00E475F8"/>
    <w:rsid w:val="00E5102E"/>
    <w:rsid w:val="00E5721C"/>
    <w:rsid w:val="00E619C6"/>
    <w:rsid w:val="00E745A1"/>
    <w:rsid w:val="00E81529"/>
    <w:rsid w:val="00E83A13"/>
    <w:rsid w:val="00E96005"/>
    <w:rsid w:val="00EC2356"/>
    <w:rsid w:val="00EC2582"/>
    <w:rsid w:val="00EC337C"/>
    <w:rsid w:val="00ED0CFF"/>
    <w:rsid w:val="00ED31D2"/>
    <w:rsid w:val="00EE0EAC"/>
    <w:rsid w:val="00EE33CB"/>
    <w:rsid w:val="00F0061A"/>
    <w:rsid w:val="00F02834"/>
    <w:rsid w:val="00F07CD7"/>
    <w:rsid w:val="00F127E9"/>
    <w:rsid w:val="00F36972"/>
    <w:rsid w:val="00F42426"/>
    <w:rsid w:val="00F456BC"/>
    <w:rsid w:val="00F50666"/>
    <w:rsid w:val="00F70C9E"/>
    <w:rsid w:val="00F74A74"/>
    <w:rsid w:val="00F8382C"/>
    <w:rsid w:val="00F855D7"/>
    <w:rsid w:val="00F92035"/>
    <w:rsid w:val="00F92748"/>
    <w:rsid w:val="00FA4169"/>
    <w:rsid w:val="00FB0D41"/>
    <w:rsid w:val="00FB2030"/>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
    <w:link w:val="ListParagraph"/>
    <w:locked/>
    <w:rsid w:val="00A65E12"/>
    <w:rPr>
      <w:sz w:val="24"/>
      <w:szCs w:val="24"/>
      <w:lang w:eastAsia="en-US"/>
    </w:rPr>
  </w:style>
  <w:style w:type="paragraph" w:customStyle="1" w:styleId="bazinis">
    <w:name w:val="bazinis"/>
    <w:basedOn w:val="Normal"/>
    <w:qFormat/>
    <w:rsid w:val="00A65E12"/>
    <w:pPr>
      <w:tabs>
        <w:tab w:val="left" w:pos="426"/>
      </w:tabs>
      <w:ind w:firstLine="737"/>
      <w:jc w:val="both"/>
    </w:pPr>
    <w:rPr>
      <w:rFonts w:eastAsia="Arial"/>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PlaceholderText"/>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PlaceholderText"/>
            </w:rPr>
            <w:t>Click here to enter a date.</w:t>
          </w:r>
        </w:p>
      </w:docPartBody>
    </w:docPart>
    <w:docPart>
      <w:docPartPr>
        <w:name w:val="9476E7364CD5FB49AFBEFB91070E47A5"/>
        <w:category>
          <w:name w:val="General"/>
          <w:gallery w:val="placeholder"/>
        </w:category>
        <w:types>
          <w:type w:val="bbPlcHdr"/>
        </w:types>
        <w:behaviors>
          <w:behavior w:val="content"/>
        </w:behaviors>
        <w:guid w:val="{78ACDF88-E8C3-8A48-9432-491A5F53D489}"/>
      </w:docPartPr>
      <w:docPartBody>
        <w:p w:rsidR="00325043" w:rsidRDefault="00131371" w:rsidP="00131371">
          <w:pPr>
            <w:pStyle w:val="9476E7364CD5FB49AFBEFB91070E47A5"/>
          </w:pPr>
          <w:r>
            <w:rPr>
              <w:rStyle w:val="PlaceholderText"/>
            </w:rPr>
            <w:t>Click here to enter a date.</w:t>
          </w:r>
        </w:p>
      </w:docPartBody>
    </w:docPart>
    <w:docPart>
      <w:docPartPr>
        <w:name w:val="766FB099CF2AB84589C726242579F72D"/>
        <w:category>
          <w:name w:val="General"/>
          <w:gallery w:val="placeholder"/>
        </w:category>
        <w:types>
          <w:type w:val="bbPlcHdr"/>
        </w:types>
        <w:behaviors>
          <w:behavior w:val="content"/>
        </w:behaviors>
        <w:guid w:val="{74E4782C-1E2D-2A4D-8FD0-F0DBD97F02D8}"/>
      </w:docPartPr>
      <w:docPartBody>
        <w:p w:rsidR="00325043" w:rsidRDefault="00131371" w:rsidP="00131371">
          <w:pPr>
            <w:pStyle w:val="766FB099CF2AB84589C726242579F72D"/>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937FE"/>
    <w:rsid w:val="000A559A"/>
    <w:rsid w:val="000D4859"/>
    <w:rsid w:val="00131371"/>
    <w:rsid w:val="00325043"/>
    <w:rsid w:val="004144A3"/>
    <w:rsid w:val="004160E7"/>
    <w:rsid w:val="005074B9"/>
    <w:rsid w:val="005E40DD"/>
    <w:rsid w:val="007C6D1D"/>
    <w:rsid w:val="009B3BF0"/>
    <w:rsid w:val="009D5E5E"/>
    <w:rsid w:val="00B23DC0"/>
    <w:rsid w:val="00CB4BD1"/>
    <w:rsid w:val="00CE2DA9"/>
    <w:rsid w:val="00CE44BE"/>
    <w:rsid w:val="00DD2CFA"/>
    <w:rsid w:val="00E44A86"/>
    <w:rsid w:val="00E50BC3"/>
    <w:rsid w:val="00EF6E0C"/>
    <w:rsid w:val="00F122DA"/>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1371"/>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9476E7364CD5FB49AFBEFB91070E47A5">
    <w:name w:val="9476E7364CD5FB49AFBEFB91070E47A5"/>
    <w:rsid w:val="00131371"/>
    <w:pPr>
      <w:spacing w:after="0" w:line="240" w:lineRule="auto"/>
    </w:pPr>
    <w:rPr>
      <w:sz w:val="24"/>
      <w:szCs w:val="24"/>
      <w:lang w:eastAsia="en-GB"/>
    </w:rPr>
  </w:style>
  <w:style w:type="paragraph" w:customStyle="1" w:styleId="766FB099CF2AB84589C726242579F72D">
    <w:name w:val="766FB099CF2AB84589C726242579F72D"/>
    <w:rsid w:val="00131371"/>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19398</Characters>
  <Application>Microsoft Office Word</Application>
  <DocSecurity>0</DocSecurity>
  <Lines>161</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22756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2023-02-10T11:22:00Z</dcterms:created>
  <dcterms:modified xsi:type="dcterms:W3CDTF">2023-02-10T11:22:00Z</dcterms:modified>
</cp:coreProperties>
</file>