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bookmarkStart w:id="0" w:name="_GoBack"/>
      <w:bookmarkEnd w:id="0"/>
    </w:p>
    <w:p w14:paraId="12FA4B9E" w14:textId="77777777" w:rsidR="001B3C5B" w:rsidRPr="00E33EFF" w:rsidRDefault="001B3C5B" w:rsidP="001B3C5B">
      <w:pPr>
        <w:ind w:left="6096"/>
      </w:pPr>
      <w:r w:rsidRPr="00E33EFF">
        <w:t>Forma patvirtinta</w:t>
      </w:r>
    </w:p>
    <w:p w14:paraId="7206970B" w14:textId="4B25813A" w:rsidR="004C263A" w:rsidRPr="008B63AB" w:rsidRDefault="001B3C5B" w:rsidP="001B3C5B">
      <w:pPr>
        <w:ind w:left="6096"/>
      </w:pPr>
      <w:r w:rsidRPr="00E33EFF">
        <w:t>Valstybinės vaistų ko</w:t>
      </w:r>
      <w:r w:rsidR="00122E01">
        <w:t xml:space="preserve"> </w:t>
      </w:r>
      <w:r w:rsidRPr="00E33EFF">
        <w:t>trolės tarnybos prie Lietuvos Respublikos sveikatos apsaugos ministerijos viršininko 2021 m</w:t>
      </w:r>
      <w:r w:rsidR="004C263A" w:rsidRPr="00E33EFF">
        <w:t xml:space="preserve">. lapkričio 12 </w:t>
      </w:r>
      <w:r w:rsidRPr="00E33EFF">
        <w:t xml:space="preserve">d. </w:t>
      </w:r>
      <w:r w:rsidRPr="008B63AB">
        <w:t>įsakymu Nr.</w:t>
      </w:r>
      <w:r w:rsidR="004C263A" w:rsidRPr="008B63AB">
        <w:t xml:space="preserve"> (1.72E)1A-1418</w:t>
      </w:r>
    </w:p>
    <w:p w14:paraId="5B219AA6" w14:textId="4FE0F7BA" w:rsidR="001B3C5B" w:rsidRPr="008B63AB" w:rsidRDefault="004C263A" w:rsidP="001B3C5B">
      <w:pPr>
        <w:ind w:left="6096"/>
      </w:pPr>
      <w:r w:rsidRPr="008B63AB">
        <w:t>(Valstybinės vaistų kontrolės tarnybos prie Lietuvos Respublikos sveikatos apsaugos ministerijos viršininko 2022 m.</w:t>
      </w:r>
      <w:r w:rsidR="00122E01">
        <w:t xml:space="preserve">            </w:t>
      </w:r>
      <w:r w:rsidRPr="008B63AB">
        <w:t xml:space="preserve"> d. įsakymo Nr.</w:t>
      </w:r>
      <w:r w:rsidR="00122E01">
        <w:t xml:space="preserve">          </w:t>
      </w:r>
      <w:r w:rsidRPr="008B63AB">
        <w:t>redakcija)</w:t>
      </w:r>
    </w:p>
    <w:p w14:paraId="3336BD74" w14:textId="77777777" w:rsidR="001B3C5B" w:rsidRPr="008B63AB" w:rsidRDefault="001B3C5B" w:rsidP="00FA4169"/>
    <w:p w14:paraId="77AFB67E" w14:textId="16397257" w:rsidR="00613501" w:rsidRPr="008B63AB" w:rsidRDefault="002F0E4F" w:rsidP="003B211A">
      <w:pPr>
        <w:jc w:val="center"/>
        <w:rPr>
          <w:b/>
          <w:bCs/>
          <w:caps/>
        </w:rPr>
      </w:pPr>
      <w:r w:rsidRPr="008B63AB">
        <w:rPr>
          <w:b/>
        </w:rPr>
        <w:t xml:space="preserve">REKOMENDACIJA DĖL VAISTINIO PREPARATO </w:t>
      </w:r>
      <w:r w:rsidRPr="008B63AB">
        <w:rPr>
          <w:b/>
          <w:bCs/>
          <w:caps/>
        </w:rPr>
        <w:t>Lietuvos Respublikos Sveikatos apsaugos ministerijos vaistinių preparatų ir medicinos pagalbos priemonių kompensavimo komisijai</w:t>
      </w:r>
    </w:p>
    <w:p w14:paraId="34E4395D" w14:textId="15FB10DF" w:rsidR="00B13D65" w:rsidRPr="008B63AB" w:rsidRDefault="00B13D65" w:rsidP="003B211A">
      <w:pPr>
        <w:jc w:val="center"/>
        <w:rPr>
          <w:b/>
        </w:rPr>
      </w:pPr>
    </w:p>
    <w:p w14:paraId="35CAB891" w14:textId="0D1B6A0E" w:rsidR="002A3179" w:rsidRPr="002A3179" w:rsidRDefault="00662CBF" w:rsidP="002A3179">
      <w:pPr>
        <w:jc w:val="center"/>
        <w:rPr>
          <w:b/>
        </w:rPr>
      </w:pPr>
      <w:r>
        <w:rPr>
          <w:b/>
        </w:rPr>
        <w:t xml:space="preserve">Tecentriq </w:t>
      </w:r>
      <w:r w:rsidR="002A3179" w:rsidRPr="002A3179">
        <w:rPr>
          <w:b/>
        </w:rPr>
        <w:t>840/1200 mg koncentratas infuziniam tirpalui</w:t>
      </w:r>
    </w:p>
    <w:p w14:paraId="3D1754B0" w14:textId="77777777" w:rsidR="002A3179" w:rsidRPr="002A3179" w:rsidRDefault="002A3179" w:rsidP="002A3179">
      <w:pPr>
        <w:jc w:val="center"/>
        <w:rPr>
          <w:b/>
        </w:rPr>
      </w:pPr>
    </w:p>
    <w:p w14:paraId="7245D69E" w14:textId="59B6DB6D" w:rsidR="00937907" w:rsidRDefault="002A3179" w:rsidP="002A3179">
      <w:pPr>
        <w:jc w:val="center"/>
        <w:rPr>
          <w:b/>
        </w:rPr>
      </w:pPr>
      <w:r w:rsidRPr="002A3179">
        <w:rPr>
          <w:b/>
        </w:rPr>
        <w:t>Atezolizumabas</w:t>
      </w:r>
    </w:p>
    <w:p w14:paraId="570CBEE3" w14:textId="77777777" w:rsidR="002A3179" w:rsidRPr="008B63AB" w:rsidRDefault="002A3179" w:rsidP="002A3179">
      <w:pPr>
        <w:jc w:val="center"/>
      </w:pPr>
    </w:p>
    <w:p w14:paraId="5BC2EA5D" w14:textId="628DD3DF" w:rsidR="00937907" w:rsidRPr="008B63AB" w:rsidRDefault="00937907" w:rsidP="00122E01">
      <w:pPr>
        <w:jc w:val="center"/>
        <w:outlineLvl w:val="0"/>
        <w:rPr>
          <w:b/>
        </w:rPr>
      </w:pPr>
      <w:r w:rsidRPr="008B63AB">
        <w:rPr>
          <w:b/>
        </w:rPr>
        <w:t>Paraiškos numeris</w:t>
      </w:r>
      <w:r w:rsidR="00A13E4E" w:rsidRPr="008B63AB">
        <w:rPr>
          <w:b/>
        </w:rPr>
        <w:t xml:space="preserve"> STV</w:t>
      </w:r>
      <w:r w:rsidR="002A3179">
        <w:rPr>
          <w:b/>
        </w:rPr>
        <w:t>-68</w:t>
      </w:r>
    </w:p>
    <w:p w14:paraId="453197C8" w14:textId="77777777" w:rsidR="00D4708D" w:rsidRPr="008B63AB" w:rsidRDefault="00D4708D" w:rsidP="003B211A">
      <w:pPr>
        <w:jc w:val="center"/>
        <w:rPr>
          <w:b/>
        </w:rPr>
      </w:pPr>
    </w:p>
    <w:p w14:paraId="78C89D1C" w14:textId="0DEFFAA5" w:rsidR="00D4485B" w:rsidRPr="008B63AB" w:rsidRDefault="00B13D65" w:rsidP="00CC09D4">
      <w:pPr>
        <w:pStyle w:val="ListParagraph"/>
        <w:numPr>
          <w:ilvl w:val="0"/>
          <w:numId w:val="12"/>
        </w:numPr>
        <w:tabs>
          <w:tab w:val="left" w:pos="567"/>
        </w:tabs>
        <w:ind w:left="567" w:hanging="567"/>
        <w:rPr>
          <w:b/>
          <w:bCs/>
          <w:caps/>
        </w:rPr>
      </w:pPr>
      <w:r w:rsidRPr="008B63AB">
        <w:rPr>
          <w:b/>
          <w:bCs/>
          <w:caps/>
        </w:rPr>
        <w:t>Bendroji dalis</w:t>
      </w:r>
    </w:p>
    <w:p w14:paraId="04A7C7A7" w14:textId="77777777" w:rsidR="00B13D65" w:rsidRPr="008B63AB"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8B63AB" w14:paraId="18A83EC2" w14:textId="77777777" w:rsidTr="00BE7489">
        <w:trPr>
          <w:trHeight w:val="538"/>
        </w:trPr>
        <w:tc>
          <w:tcPr>
            <w:tcW w:w="632" w:type="dxa"/>
          </w:tcPr>
          <w:p w14:paraId="0646FBEA" w14:textId="77777777" w:rsidR="00B13D65" w:rsidRPr="008B63AB" w:rsidRDefault="00B13D65" w:rsidP="00824B92">
            <w:pPr>
              <w:rPr>
                <w:rFonts w:eastAsia="Arial"/>
              </w:rPr>
            </w:pPr>
            <w:r w:rsidRPr="008B63AB">
              <w:rPr>
                <w:rFonts w:eastAsia="Arial"/>
              </w:rPr>
              <w:t>1.1</w:t>
            </w:r>
          </w:p>
        </w:tc>
        <w:tc>
          <w:tcPr>
            <w:tcW w:w="3694" w:type="dxa"/>
          </w:tcPr>
          <w:p w14:paraId="6C3AE864" w14:textId="77777777" w:rsidR="00B13D65" w:rsidRPr="008B63AB" w:rsidRDefault="00B13D65" w:rsidP="00824B92">
            <w:pPr>
              <w:rPr>
                <w:rFonts w:eastAsia="Arial"/>
              </w:rPr>
            </w:pPr>
            <w:r w:rsidRPr="008B63AB">
              <w:rPr>
                <w:rFonts w:eastAsia="Arial"/>
              </w:rPr>
              <w:t>Pareiškėjas</w:t>
            </w:r>
          </w:p>
          <w:p w14:paraId="2AF240DC" w14:textId="77777777" w:rsidR="00B13D65" w:rsidRPr="008B63AB" w:rsidRDefault="00B13D65" w:rsidP="00824B92">
            <w:pPr>
              <w:rPr>
                <w:rFonts w:eastAsia="Arial"/>
              </w:rPr>
            </w:pPr>
          </w:p>
        </w:tc>
        <w:tc>
          <w:tcPr>
            <w:tcW w:w="5167" w:type="dxa"/>
          </w:tcPr>
          <w:p w14:paraId="2AAF0D91" w14:textId="56603973" w:rsidR="00B13D65" w:rsidRPr="008B63AB" w:rsidRDefault="009866A5" w:rsidP="00824B92">
            <w:pPr>
              <w:rPr>
                <w:rFonts w:eastAsia="Arial"/>
              </w:rPr>
            </w:pPr>
            <w:r w:rsidRPr="00541FA7">
              <w:rPr>
                <w:szCs w:val="20"/>
              </w:rPr>
              <w:t xml:space="preserve">Roche Registration GmbH </w:t>
            </w:r>
          </w:p>
        </w:tc>
      </w:tr>
      <w:tr w:rsidR="00B13D65" w:rsidRPr="008B63AB" w14:paraId="31998B0D" w14:textId="77777777" w:rsidTr="00BE7489">
        <w:trPr>
          <w:trHeight w:val="538"/>
        </w:trPr>
        <w:tc>
          <w:tcPr>
            <w:tcW w:w="632" w:type="dxa"/>
          </w:tcPr>
          <w:p w14:paraId="2005EC67" w14:textId="662300D0" w:rsidR="00B13D65" w:rsidRPr="008B63AB" w:rsidRDefault="002E0702" w:rsidP="00824B92">
            <w:pPr>
              <w:rPr>
                <w:rFonts w:eastAsia="Arial"/>
              </w:rPr>
            </w:pPr>
            <w:r w:rsidRPr="008B63AB">
              <w:rPr>
                <w:rFonts w:eastAsia="Arial"/>
              </w:rPr>
              <w:t>1.2</w:t>
            </w:r>
          </w:p>
        </w:tc>
        <w:tc>
          <w:tcPr>
            <w:tcW w:w="3694" w:type="dxa"/>
          </w:tcPr>
          <w:p w14:paraId="1E4AE3B1" w14:textId="77777777" w:rsidR="00B13D65" w:rsidRPr="008B63AB" w:rsidRDefault="00B13D65" w:rsidP="00824B92">
            <w:pPr>
              <w:rPr>
                <w:bCs/>
                <w:color w:val="000000"/>
                <w:lang w:eastAsia="lt-LT"/>
              </w:rPr>
            </w:pPr>
            <w:r w:rsidRPr="008B63AB">
              <w:rPr>
                <w:bCs/>
                <w:color w:val="000000"/>
                <w:lang w:eastAsia="lt-LT"/>
              </w:rPr>
              <w:t xml:space="preserve">Registracijos data </w:t>
            </w:r>
          </w:p>
          <w:p w14:paraId="3A0DC096" w14:textId="77777777" w:rsidR="00B13D65" w:rsidRPr="008B63AB" w:rsidRDefault="00B13D65" w:rsidP="00824B92">
            <w:pPr>
              <w:rPr>
                <w:bCs/>
                <w:color w:val="000000"/>
                <w:lang w:eastAsia="lt-LT"/>
              </w:rPr>
            </w:pPr>
          </w:p>
        </w:tc>
        <w:tc>
          <w:tcPr>
            <w:tcW w:w="5167" w:type="dxa"/>
          </w:tcPr>
          <w:p w14:paraId="3CA218AD" w14:textId="1848B4E8" w:rsidR="00B13D65" w:rsidRPr="008B63AB" w:rsidRDefault="0022123B" w:rsidP="00824B92">
            <w:pPr>
              <w:rPr>
                <w:rStyle w:val="Style2"/>
                <w:sz w:val="24"/>
              </w:rPr>
            </w:pPr>
            <w:sdt>
              <w:sdtPr>
                <w:rPr>
                  <w:sz w:val="32"/>
                </w:rPr>
                <w:alias w:val="Nurodykite konkrečią dieną"/>
                <w:tag w:val="Nurodykite pradžios datą"/>
                <w:id w:val="423238108"/>
                <w:placeholder>
                  <w:docPart w:val="0A1DCC42A2974C359888226B925C8FF8"/>
                </w:placeholder>
                <w15:color w:val="FFCC99"/>
                <w:date w:fullDate="2017-09-21T00:00:00Z">
                  <w:dateFormat w:val="yyyy 'm.' MMMM d 'd.'"/>
                  <w:lid w:val="lt-LT"/>
                  <w:storeMappedDataAs w:val="dateTime"/>
                  <w:calendar w:val="gregorian"/>
                </w:date>
              </w:sdtPr>
              <w:sdtEndPr>
                <w:rPr>
                  <w:sz w:val="24"/>
                </w:rPr>
              </w:sdtEndPr>
              <w:sdtContent>
                <w:r w:rsidR="00315EE0" w:rsidRPr="00315EE0">
                  <w:t>2017 m. rugsėjo 21 d.</w:t>
                </w:r>
              </w:sdtContent>
            </w:sdt>
          </w:p>
        </w:tc>
      </w:tr>
      <w:tr w:rsidR="00B13D65" w:rsidRPr="008B63AB" w14:paraId="15968AE1" w14:textId="77777777" w:rsidTr="00BE7489">
        <w:trPr>
          <w:trHeight w:val="1500"/>
        </w:trPr>
        <w:tc>
          <w:tcPr>
            <w:tcW w:w="632" w:type="dxa"/>
          </w:tcPr>
          <w:p w14:paraId="6A784245" w14:textId="1E461489" w:rsidR="00B13D65" w:rsidRPr="008B63AB" w:rsidRDefault="002E0702" w:rsidP="00824B92">
            <w:pPr>
              <w:rPr>
                <w:rFonts w:eastAsia="Arial"/>
              </w:rPr>
            </w:pPr>
            <w:r w:rsidRPr="008B63AB">
              <w:rPr>
                <w:rFonts w:eastAsia="Arial"/>
              </w:rPr>
              <w:t>1.3</w:t>
            </w:r>
          </w:p>
        </w:tc>
        <w:tc>
          <w:tcPr>
            <w:tcW w:w="3694" w:type="dxa"/>
          </w:tcPr>
          <w:p w14:paraId="22933506" w14:textId="77777777" w:rsidR="00B13D65" w:rsidRPr="008B63AB" w:rsidRDefault="00B13D65" w:rsidP="00824B92">
            <w:r w:rsidRPr="008B63AB">
              <w:t xml:space="preserve">Paraiškos tipas </w:t>
            </w:r>
          </w:p>
          <w:p w14:paraId="0465E680" w14:textId="7F0A0714" w:rsidR="00B13D65" w:rsidRPr="008B63AB" w:rsidRDefault="00B13D65" w:rsidP="00824B92">
            <w:r w:rsidRPr="008B63AB">
              <w:t>(</w:t>
            </w:r>
            <w:r w:rsidR="00695CD3" w:rsidRPr="008B63AB">
              <w:t xml:space="preserve">pagal </w:t>
            </w:r>
            <w:r w:rsidR="0039696E" w:rsidRPr="008B63AB">
              <w:rPr>
                <w:color w:val="333333"/>
                <w:shd w:val="clear" w:color="auto" w:fill="FFFFFF"/>
              </w:rPr>
              <w:t>vaistinio preparato registracijos tipą, įtvirtintą</w:t>
            </w:r>
            <w:r w:rsidR="0039696E" w:rsidRPr="008B63AB">
              <w:t xml:space="preserve"> </w:t>
            </w:r>
            <w:r w:rsidRPr="008B63AB">
              <w:t>Direktyv</w:t>
            </w:r>
            <w:r w:rsidR="00695CD3" w:rsidRPr="008B63AB">
              <w:t>os</w:t>
            </w:r>
            <w:r w:rsidRPr="008B63AB">
              <w:t xml:space="preserve"> 2001/83/EB</w:t>
            </w:r>
            <w:r w:rsidR="00695CD3" w:rsidRPr="008B63AB">
              <w:t xml:space="preserve"> straips</w:t>
            </w:r>
            <w:r w:rsidR="0039696E" w:rsidRPr="008B63AB">
              <w:t>iuose</w:t>
            </w:r>
            <w:r w:rsidRPr="008B63AB">
              <w:t>)</w:t>
            </w:r>
          </w:p>
          <w:p w14:paraId="77089D80" w14:textId="6681D72A" w:rsidR="00B13D65" w:rsidRPr="008B63AB" w:rsidRDefault="00B13D65" w:rsidP="00824B92">
            <w:pPr>
              <w:rPr>
                <w:bCs/>
                <w:color w:val="000000"/>
                <w:lang w:eastAsia="lt-LT"/>
              </w:rPr>
            </w:pPr>
          </w:p>
        </w:tc>
        <w:tc>
          <w:tcPr>
            <w:tcW w:w="5167" w:type="dxa"/>
          </w:tcPr>
          <w:p w14:paraId="208F40EC" w14:textId="2A692DE9" w:rsidR="00B13D65" w:rsidRPr="008B63AB" w:rsidRDefault="0022123B"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EB0F54" w:rsidRPr="008B63AB">
                  <w:rPr>
                    <w:rStyle w:val="Style2"/>
                    <w:rFonts w:ascii="MS Gothic" w:eastAsia="MS Gothic" w:hAnsi="MS Gothic"/>
                    <w:sz w:val="22"/>
                    <w:szCs w:val="22"/>
                  </w:rPr>
                  <w:t>☒</w:t>
                </w:r>
              </w:sdtContent>
            </w:sdt>
            <w:r w:rsidR="00B13D65" w:rsidRPr="008B63AB">
              <w:rPr>
                <w:sz w:val="22"/>
                <w:szCs w:val="22"/>
              </w:rPr>
              <w:t xml:space="preserve">8.3 str. (pilna byla, pagrįsta savais tyrimais) </w:t>
            </w:r>
          </w:p>
          <w:p w14:paraId="32BA564E" w14:textId="6F1B495D" w:rsidR="00B13D65" w:rsidRPr="008B63AB" w:rsidRDefault="0022123B"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8B63AB">
                  <w:rPr>
                    <w:rStyle w:val="Style2"/>
                    <w:rFonts w:ascii="Segoe UI Symbol" w:eastAsia="MS Gothic" w:hAnsi="Segoe UI Symbol" w:cs="Segoe UI Symbol"/>
                    <w:sz w:val="22"/>
                    <w:szCs w:val="22"/>
                  </w:rPr>
                  <w:t>☐</w:t>
                </w:r>
              </w:sdtContent>
            </w:sdt>
            <w:r w:rsidR="00B13D65" w:rsidRPr="008B63AB">
              <w:rPr>
                <w:sz w:val="22"/>
                <w:szCs w:val="22"/>
              </w:rPr>
              <w:t xml:space="preserve">10 a str. (pripažintas medicininis vartojimas) </w:t>
            </w:r>
          </w:p>
          <w:p w14:paraId="318DCD7F" w14:textId="63EA3CD6" w:rsidR="00B13D65" w:rsidRPr="008B63AB" w:rsidRDefault="0022123B"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8B63AB">
                  <w:rPr>
                    <w:rStyle w:val="Style2"/>
                    <w:rFonts w:ascii="Segoe UI Symbol" w:eastAsia="MS Gothic" w:hAnsi="Segoe UI Symbol" w:cs="Segoe UI Symbol"/>
                    <w:sz w:val="22"/>
                    <w:szCs w:val="22"/>
                  </w:rPr>
                  <w:t>☐</w:t>
                </w:r>
              </w:sdtContent>
            </w:sdt>
            <w:r w:rsidR="00B13D65" w:rsidRPr="008B63AB">
              <w:rPr>
                <w:sz w:val="22"/>
                <w:szCs w:val="22"/>
              </w:rPr>
              <w:t>10.1 str. (generinis)</w:t>
            </w:r>
          </w:p>
          <w:p w14:paraId="3B0A4F72" w14:textId="54CED2F8" w:rsidR="00B13D65" w:rsidRPr="008B63AB" w:rsidRDefault="0022123B"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8B63AB">
                  <w:rPr>
                    <w:rStyle w:val="Style2"/>
                    <w:rFonts w:ascii="Segoe UI Symbol" w:eastAsia="MS Gothic" w:hAnsi="Segoe UI Symbol" w:cs="Segoe UI Symbol"/>
                    <w:sz w:val="22"/>
                    <w:szCs w:val="22"/>
                  </w:rPr>
                  <w:t>☐</w:t>
                </w:r>
              </w:sdtContent>
            </w:sdt>
            <w:r w:rsidR="00B13D65" w:rsidRPr="008B63AB">
              <w:rPr>
                <w:sz w:val="22"/>
                <w:szCs w:val="22"/>
              </w:rPr>
              <w:t>10.3 str. (hibridinis)</w:t>
            </w:r>
          </w:p>
        </w:tc>
      </w:tr>
      <w:tr w:rsidR="00B13D65" w:rsidRPr="008B63AB" w14:paraId="310E9662" w14:textId="77777777" w:rsidTr="00BE7489">
        <w:trPr>
          <w:trHeight w:val="1442"/>
        </w:trPr>
        <w:tc>
          <w:tcPr>
            <w:tcW w:w="632" w:type="dxa"/>
          </w:tcPr>
          <w:p w14:paraId="4B5A91A2" w14:textId="561B5E5F" w:rsidR="00B13D65" w:rsidRPr="008B63AB" w:rsidRDefault="00B13D65" w:rsidP="00824B92">
            <w:pPr>
              <w:rPr>
                <w:rFonts w:eastAsia="Arial"/>
              </w:rPr>
            </w:pPr>
            <w:r w:rsidRPr="008B63AB">
              <w:rPr>
                <w:rFonts w:eastAsia="Arial"/>
              </w:rPr>
              <w:t>1.</w:t>
            </w:r>
            <w:r w:rsidR="002E0702" w:rsidRPr="008B63AB">
              <w:rPr>
                <w:rFonts w:eastAsia="Arial"/>
              </w:rPr>
              <w:t>4</w:t>
            </w:r>
          </w:p>
        </w:tc>
        <w:tc>
          <w:tcPr>
            <w:tcW w:w="3694" w:type="dxa"/>
          </w:tcPr>
          <w:p w14:paraId="6C91E105" w14:textId="77777777" w:rsidR="00B13D65" w:rsidRPr="008B63AB" w:rsidRDefault="00B13D65" w:rsidP="00824B92">
            <w:pPr>
              <w:rPr>
                <w:bCs/>
                <w:color w:val="000000"/>
                <w:lang w:eastAsia="lt-LT"/>
              </w:rPr>
            </w:pPr>
            <w:r w:rsidRPr="008B63AB">
              <w:rPr>
                <w:bCs/>
                <w:color w:val="000000"/>
                <w:lang w:eastAsia="lt-LT"/>
              </w:rPr>
              <w:t xml:space="preserve">Ar vaistinis preparatas įrašytas į Bendrijos retųjų vaistinių preparatų registrą? </w:t>
            </w:r>
          </w:p>
          <w:p w14:paraId="483071A3" w14:textId="3F7119C9" w:rsidR="00B13D65" w:rsidRPr="008B63AB" w:rsidRDefault="00B13D65" w:rsidP="00824B92">
            <w:pPr>
              <w:rPr>
                <w:bCs/>
                <w:color w:val="000000"/>
                <w:lang w:eastAsia="lt-LT"/>
              </w:rPr>
            </w:pPr>
          </w:p>
        </w:tc>
        <w:tc>
          <w:tcPr>
            <w:tcW w:w="5167" w:type="dxa"/>
          </w:tcPr>
          <w:p w14:paraId="05845C60" w14:textId="22CFD997" w:rsidR="00B13D65" w:rsidRPr="008B63AB" w:rsidRDefault="0022123B"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8B63AB">
                  <w:rPr>
                    <w:rStyle w:val="Style2"/>
                    <w:rFonts w:ascii="MS Gothic" w:eastAsia="MS Gothic" w:hAnsi="MS Gothic"/>
                    <w:sz w:val="24"/>
                  </w:rPr>
                  <w:t>☐</w:t>
                </w:r>
              </w:sdtContent>
            </w:sdt>
            <w:r w:rsidR="00B13D65" w:rsidRPr="008B63AB">
              <w:t xml:space="preserve"> Taip</w:t>
            </w:r>
          </w:p>
          <w:p w14:paraId="41D88067" w14:textId="4E8B5B02" w:rsidR="00B13D65" w:rsidRPr="008B63AB" w:rsidRDefault="0022123B"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EB0F54" w:rsidRPr="008B63AB">
                  <w:rPr>
                    <w:rStyle w:val="Style2"/>
                    <w:rFonts w:ascii="MS Gothic" w:eastAsia="MS Gothic" w:hAnsi="MS Gothic"/>
                    <w:sz w:val="24"/>
                  </w:rPr>
                  <w:t>☒</w:t>
                </w:r>
              </w:sdtContent>
            </w:sdt>
            <w:r w:rsidR="00B13D65" w:rsidRPr="008B63AB">
              <w:t xml:space="preserve"> Ne</w:t>
            </w:r>
          </w:p>
          <w:p w14:paraId="29C2CBBB" w14:textId="32D70ACB" w:rsidR="00B13D65" w:rsidRPr="008B63AB" w:rsidRDefault="0022123B" w:rsidP="00824B92">
            <w:pPr>
              <w:rPr>
                <w:rFonts w:eastAsia="Arial"/>
              </w:rPr>
            </w:pPr>
            <w:sdt>
              <w:sdtPr>
                <w:alias w:val="Nurodykite konkrečią dieną"/>
                <w:tag w:val="Nurodykite pradžios datą"/>
                <w:id w:val="693498901"/>
                <w:showingPlcHdr/>
                <w15:color w:val="FFCC99"/>
                <w:date w:fullDate="2022-05-18T00:00:00Z">
                  <w:dateFormat w:val="yyyy 'm.' MMMM d 'd.'"/>
                  <w:lid w:val="lt-LT"/>
                  <w:storeMappedDataAs w:val="dateTime"/>
                  <w:calendar w:val="gregorian"/>
                </w:date>
              </w:sdtPr>
              <w:sdtEndPr/>
              <w:sdtContent>
                <w:r w:rsidR="00B13D65" w:rsidRPr="008B63AB">
                  <w:rPr>
                    <w:rStyle w:val="PlaceholderText"/>
                  </w:rPr>
                  <w:t>Click here to enter a date.</w:t>
                </w:r>
              </w:sdtContent>
            </w:sdt>
          </w:p>
        </w:tc>
      </w:tr>
      <w:tr w:rsidR="00D417D2" w:rsidRPr="008B63AB" w14:paraId="7841E5F8" w14:textId="77777777" w:rsidTr="00BE7489">
        <w:trPr>
          <w:trHeight w:val="476"/>
        </w:trPr>
        <w:tc>
          <w:tcPr>
            <w:tcW w:w="632" w:type="dxa"/>
          </w:tcPr>
          <w:p w14:paraId="109D2861" w14:textId="73BF27DF" w:rsidR="00D417D2" w:rsidRPr="008B63AB" w:rsidRDefault="00D417D2" w:rsidP="00824B92">
            <w:pPr>
              <w:rPr>
                <w:rFonts w:eastAsia="Arial"/>
              </w:rPr>
            </w:pPr>
            <w:r w:rsidRPr="008B63AB">
              <w:rPr>
                <w:rFonts w:eastAsia="Arial"/>
              </w:rPr>
              <w:t>1.5</w:t>
            </w:r>
          </w:p>
        </w:tc>
        <w:tc>
          <w:tcPr>
            <w:tcW w:w="3694" w:type="dxa"/>
          </w:tcPr>
          <w:p w14:paraId="7822D63E" w14:textId="68C38334" w:rsidR="00D417D2" w:rsidRPr="008B63AB" w:rsidRDefault="00D417D2" w:rsidP="00824B92">
            <w:pPr>
              <w:rPr>
                <w:bCs/>
                <w:color w:val="000000"/>
                <w:lang w:eastAsia="lt-LT"/>
              </w:rPr>
            </w:pPr>
            <w:r w:rsidRPr="008B63AB">
              <w:t>STV paraiškos pobūdis</w:t>
            </w:r>
          </w:p>
        </w:tc>
        <w:tc>
          <w:tcPr>
            <w:tcW w:w="5167" w:type="dxa"/>
          </w:tcPr>
          <w:p w14:paraId="403461B9" w14:textId="69596D63" w:rsidR="00D417D2" w:rsidRPr="008B63AB" w:rsidRDefault="0022123B"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EB0F54" w:rsidRPr="008B63AB">
                  <w:rPr>
                    <w:rStyle w:val="Style2"/>
                    <w:rFonts w:ascii="MS Gothic" w:eastAsia="MS Gothic" w:hAnsi="MS Gothic"/>
                    <w:sz w:val="24"/>
                  </w:rPr>
                  <w:t>☒</w:t>
                </w:r>
              </w:sdtContent>
            </w:sdt>
            <w:r w:rsidR="00D417D2" w:rsidRPr="008B63AB">
              <w:t xml:space="preserve"> Pilna paraiška</w:t>
            </w:r>
          </w:p>
          <w:p w14:paraId="6B8213E3" w14:textId="07B38C72" w:rsidR="00D417D2" w:rsidRPr="008B63AB" w:rsidRDefault="0022123B"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8B63AB">
                  <w:rPr>
                    <w:rStyle w:val="Style2"/>
                    <w:rFonts w:ascii="MS Gothic" w:eastAsia="MS Gothic" w:hAnsi="MS Gothic"/>
                    <w:sz w:val="24"/>
                  </w:rPr>
                  <w:t>☐</w:t>
                </w:r>
              </w:sdtContent>
            </w:sdt>
            <w:r w:rsidR="00D417D2" w:rsidRPr="008B63AB">
              <w:t xml:space="preserve"> Supaprastinta paraiška</w:t>
            </w:r>
          </w:p>
        </w:tc>
      </w:tr>
      <w:tr w:rsidR="00B13D65" w:rsidRPr="008B63AB" w14:paraId="274D1DAF" w14:textId="77777777" w:rsidTr="00BE7489">
        <w:trPr>
          <w:trHeight w:val="1922"/>
        </w:trPr>
        <w:tc>
          <w:tcPr>
            <w:tcW w:w="632" w:type="dxa"/>
          </w:tcPr>
          <w:p w14:paraId="17ABF217" w14:textId="14AC00D7" w:rsidR="00B13D65" w:rsidRPr="008B63AB" w:rsidRDefault="00B13D65" w:rsidP="00824B92">
            <w:pPr>
              <w:rPr>
                <w:rFonts w:eastAsia="Arial"/>
              </w:rPr>
            </w:pPr>
            <w:r w:rsidRPr="008B63AB">
              <w:rPr>
                <w:rFonts w:eastAsia="Arial"/>
              </w:rPr>
              <w:t>1.</w:t>
            </w:r>
            <w:r w:rsidR="00D417D2" w:rsidRPr="008B63AB">
              <w:rPr>
                <w:rFonts w:eastAsia="Arial"/>
              </w:rPr>
              <w:t>6</w:t>
            </w:r>
          </w:p>
        </w:tc>
        <w:tc>
          <w:tcPr>
            <w:tcW w:w="3694" w:type="dxa"/>
          </w:tcPr>
          <w:p w14:paraId="4D49DBF5" w14:textId="77777777" w:rsidR="007656B2" w:rsidRPr="008B63AB" w:rsidRDefault="00DE4484" w:rsidP="00824B92">
            <w:pPr>
              <w:rPr>
                <w:bCs/>
                <w:color w:val="000000"/>
                <w:lang w:eastAsia="lt-LT"/>
              </w:rPr>
            </w:pPr>
            <w:r w:rsidRPr="008B63AB">
              <w:rPr>
                <w:bCs/>
                <w:color w:val="000000"/>
                <w:lang w:eastAsia="lt-LT"/>
              </w:rPr>
              <w:t>Par</w:t>
            </w:r>
            <w:r w:rsidR="007656B2" w:rsidRPr="008B63AB">
              <w:rPr>
                <w:bCs/>
                <w:color w:val="000000"/>
                <w:lang w:eastAsia="lt-LT"/>
              </w:rPr>
              <w:t>eiškėjo t</w:t>
            </w:r>
            <w:r w:rsidR="00B13D65" w:rsidRPr="008B63AB">
              <w:rPr>
                <w:bCs/>
                <w:color w:val="000000"/>
                <w:lang w:eastAsia="lt-LT"/>
              </w:rPr>
              <w:t>eikiama (-os) kompensuoti vaistinio preparato indikacija (-os)</w:t>
            </w:r>
          </w:p>
          <w:p w14:paraId="3FB07EE5" w14:textId="77777777" w:rsidR="00AE1322" w:rsidRPr="008B63AB" w:rsidRDefault="00AE1322" w:rsidP="00824B92">
            <w:pPr>
              <w:rPr>
                <w:bCs/>
                <w:color w:val="000000"/>
                <w:lang w:eastAsia="lt-LT"/>
              </w:rPr>
            </w:pPr>
          </w:p>
          <w:p w14:paraId="3A6B054C" w14:textId="77777777" w:rsidR="00AE1322" w:rsidRPr="008B63AB" w:rsidRDefault="00AE1322" w:rsidP="00824B92">
            <w:pPr>
              <w:rPr>
                <w:bCs/>
                <w:color w:val="000000"/>
                <w:lang w:eastAsia="lt-LT"/>
              </w:rPr>
            </w:pPr>
          </w:p>
          <w:p w14:paraId="6B4FEEC1" w14:textId="378668B0" w:rsidR="00B13D65" w:rsidRPr="008B63AB" w:rsidRDefault="007656B2" w:rsidP="00824B92">
            <w:pPr>
              <w:rPr>
                <w:bCs/>
                <w:color w:val="000000"/>
                <w:lang w:eastAsia="lt-LT"/>
              </w:rPr>
            </w:pPr>
            <w:r w:rsidRPr="008B63AB">
              <w:rPr>
                <w:bCs/>
                <w:color w:val="000000"/>
                <w:lang w:eastAsia="lt-LT"/>
              </w:rPr>
              <w:t>K</w:t>
            </w:r>
            <w:r w:rsidR="00B13D65" w:rsidRPr="008B63AB">
              <w:rPr>
                <w:bCs/>
                <w:color w:val="000000"/>
                <w:lang w:eastAsia="lt-LT"/>
              </w:rPr>
              <w:t>odas</w:t>
            </w:r>
            <w:r w:rsidRPr="008B63AB">
              <w:rPr>
                <w:bCs/>
                <w:color w:val="000000"/>
                <w:lang w:eastAsia="lt-LT"/>
              </w:rPr>
              <w:t xml:space="preserve"> pagal TLK-10 AM</w:t>
            </w:r>
          </w:p>
        </w:tc>
        <w:tc>
          <w:tcPr>
            <w:tcW w:w="5167" w:type="dxa"/>
          </w:tcPr>
          <w:p w14:paraId="3D0CD3AF" w14:textId="77777777" w:rsidR="002A3179" w:rsidRDefault="002A3179" w:rsidP="002A3179">
            <w:pPr>
              <w:jc w:val="both"/>
            </w:pPr>
            <w:r>
              <w:t>Tecentriq monoterapija skirta suaugusių pacientų, kuriems yra metastazavęs nesmulkiųjų ląstelių plaučių vėžys (NSLPV), pirmos eilės gydymui, kai nustatyta PD-L1 raiška naviko ląstelėse (NL) yra ≥ 50 proc. arba naviko infiltruojančiose imuninėse ląstelėse (IL) yra ≥ 10 proc. bei kai nenustatyta EGFR mutacijų arba ALK teigiamo NSLPV.</w:t>
            </w:r>
          </w:p>
          <w:p w14:paraId="4A215C2C" w14:textId="6C7419C0" w:rsidR="002A3179" w:rsidRDefault="002A3179" w:rsidP="002A3179">
            <w:pPr>
              <w:jc w:val="both"/>
            </w:pPr>
            <w:r>
              <w:t xml:space="preserve"> </w:t>
            </w:r>
          </w:p>
          <w:p w14:paraId="13F7DFB0" w14:textId="7CD9DFC5" w:rsidR="00B13D65" w:rsidRPr="008B63AB" w:rsidRDefault="002A3179" w:rsidP="002A3179">
            <w:r>
              <w:t>TLK kodas – C34</w:t>
            </w:r>
          </w:p>
        </w:tc>
      </w:tr>
      <w:tr w:rsidR="00B13D65" w:rsidRPr="008B63AB" w14:paraId="2F79DC08" w14:textId="77777777" w:rsidTr="00BE7489">
        <w:trPr>
          <w:trHeight w:val="378"/>
        </w:trPr>
        <w:tc>
          <w:tcPr>
            <w:tcW w:w="632" w:type="dxa"/>
          </w:tcPr>
          <w:p w14:paraId="547885A2" w14:textId="08AA8055" w:rsidR="00B13D65" w:rsidRPr="008B63AB" w:rsidRDefault="00B13D65" w:rsidP="00824B92">
            <w:pPr>
              <w:rPr>
                <w:rFonts w:eastAsia="Arial"/>
              </w:rPr>
            </w:pPr>
            <w:r w:rsidRPr="008B63AB">
              <w:rPr>
                <w:rFonts w:eastAsia="Arial"/>
              </w:rPr>
              <w:lastRenderedPageBreak/>
              <w:t>1.</w:t>
            </w:r>
            <w:r w:rsidR="002E0702" w:rsidRPr="008B63AB">
              <w:rPr>
                <w:rFonts w:eastAsia="Arial"/>
              </w:rPr>
              <w:t>6</w:t>
            </w:r>
          </w:p>
        </w:tc>
        <w:tc>
          <w:tcPr>
            <w:tcW w:w="3694" w:type="dxa"/>
          </w:tcPr>
          <w:p w14:paraId="2EAB877F" w14:textId="39A36941" w:rsidR="00B13D65" w:rsidRPr="008B63AB" w:rsidRDefault="007656B2" w:rsidP="00824B92">
            <w:pPr>
              <w:rPr>
                <w:bCs/>
                <w:color w:val="000000"/>
                <w:u w:val="single"/>
                <w:lang w:eastAsia="lt-LT"/>
              </w:rPr>
            </w:pPr>
            <w:r w:rsidRPr="008B63AB">
              <w:rPr>
                <w:bCs/>
                <w:color w:val="000000"/>
                <w:lang w:eastAsia="lt-LT"/>
              </w:rPr>
              <w:t>Pareiškėjo t</w:t>
            </w:r>
            <w:r w:rsidR="00B13D65" w:rsidRPr="008B63AB">
              <w:rPr>
                <w:bCs/>
                <w:color w:val="000000"/>
                <w:lang w:eastAsia="lt-LT"/>
              </w:rPr>
              <w:t>eikiamos skyrimo sąlygos</w:t>
            </w:r>
            <w:r w:rsidR="005B3756" w:rsidRPr="008B63AB">
              <w:rPr>
                <w:bCs/>
                <w:color w:val="000000"/>
                <w:lang w:eastAsia="lt-LT"/>
              </w:rPr>
              <w:t xml:space="preserve"> </w:t>
            </w:r>
          </w:p>
        </w:tc>
        <w:tc>
          <w:tcPr>
            <w:tcW w:w="5167" w:type="dxa"/>
          </w:tcPr>
          <w:p w14:paraId="0579DF58" w14:textId="0D9F3D5E" w:rsidR="00B13D65" w:rsidRPr="008B63AB" w:rsidRDefault="002A3179" w:rsidP="00824B92">
            <w:r w:rsidRPr="002A3179">
              <w:rPr>
                <w:sz w:val="23"/>
                <w:szCs w:val="23"/>
              </w:rPr>
              <w:t>Gydymą Tecentriq privalo paskirti ir stebėti gydytojai, turintys vėžio gydymo patirties</w:t>
            </w:r>
            <w:r w:rsidR="00230A64" w:rsidRPr="008B63AB">
              <w:rPr>
                <w:sz w:val="23"/>
                <w:szCs w:val="23"/>
              </w:rPr>
              <w:t>.</w:t>
            </w:r>
          </w:p>
        </w:tc>
      </w:tr>
      <w:tr w:rsidR="00B13D65" w:rsidRPr="008B63AB" w14:paraId="3B125269" w14:textId="77777777" w:rsidTr="00BE7489">
        <w:trPr>
          <w:trHeight w:val="378"/>
        </w:trPr>
        <w:tc>
          <w:tcPr>
            <w:tcW w:w="632" w:type="dxa"/>
          </w:tcPr>
          <w:p w14:paraId="0058E11F" w14:textId="77777777" w:rsidR="00B13D65" w:rsidRPr="008B63AB" w:rsidRDefault="00B13D65" w:rsidP="00824B92">
            <w:pPr>
              <w:rPr>
                <w:rFonts w:eastAsia="Arial"/>
              </w:rPr>
            </w:pPr>
            <w:r w:rsidRPr="008B63AB">
              <w:rPr>
                <w:rFonts w:eastAsia="Arial"/>
              </w:rPr>
              <w:t>1.7</w:t>
            </w:r>
          </w:p>
        </w:tc>
        <w:tc>
          <w:tcPr>
            <w:tcW w:w="3694" w:type="dxa"/>
          </w:tcPr>
          <w:p w14:paraId="738E1926" w14:textId="17971FC7" w:rsidR="00B13D65" w:rsidRPr="008B63AB" w:rsidRDefault="007656B2" w:rsidP="00824B92">
            <w:pPr>
              <w:rPr>
                <w:bCs/>
                <w:color w:val="000000"/>
                <w:lang w:eastAsia="lt-LT"/>
              </w:rPr>
            </w:pPr>
            <w:r w:rsidRPr="008B63AB">
              <w:rPr>
                <w:bCs/>
                <w:color w:val="000000"/>
                <w:lang w:eastAsia="lt-LT"/>
              </w:rPr>
              <w:t>Pareiškėjo teikiamas p</w:t>
            </w:r>
            <w:r w:rsidR="00B13D65" w:rsidRPr="008B63AB">
              <w:rPr>
                <w:bCs/>
                <w:color w:val="000000"/>
                <w:lang w:eastAsia="lt-LT"/>
              </w:rPr>
              <w:t>alyginamasis</w:t>
            </w:r>
            <w:r w:rsidR="005B3756" w:rsidRPr="008B63AB">
              <w:rPr>
                <w:bCs/>
                <w:color w:val="000000"/>
                <w:lang w:eastAsia="lt-LT"/>
              </w:rPr>
              <w:t xml:space="preserve"> </w:t>
            </w:r>
            <w:r w:rsidR="00B13D65" w:rsidRPr="008B63AB">
              <w:rPr>
                <w:bCs/>
                <w:color w:val="000000"/>
                <w:lang w:eastAsia="lt-LT"/>
              </w:rPr>
              <w:t>gydymas</w:t>
            </w:r>
            <w:r w:rsidR="009341F7" w:rsidRPr="008B63AB">
              <w:rPr>
                <w:bCs/>
                <w:color w:val="000000"/>
                <w:lang w:eastAsia="lt-LT"/>
              </w:rPr>
              <w:t>:</w:t>
            </w:r>
            <w:r w:rsidR="00B13D65" w:rsidRPr="008B63AB">
              <w:rPr>
                <w:bCs/>
                <w:color w:val="000000"/>
                <w:lang w:eastAsia="lt-LT"/>
              </w:rPr>
              <w:t xml:space="preserve"> </w:t>
            </w:r>
          </w:p>
          <w:p w14:paraId="1BAAD642" w14:textId="6FB3F002" w:rsidR="00D56378" w:rsidRPr="008B63AB" w:rsidRDefault="00D56378" w:rsidP="00824B92">
            <w:pPr>
              <w:rPr>
                <w:bCs/>
                <w:color w:val="000000"/>
                <w:lang w:eastAsia="lt-LT"/>
              </w:rPr>
            </w:pPr>
          </w:p>
          <w:p w14:paraId="4CE1E623" w14:textId="7B8691B4" w:rsidR="00D56378" w:rsidRPr="008B63AB" w:rsidRDefault="00D56378" w:rsidP="002A3179">
            <w:pPr>
              <w:pStyle w:val="ListParagraph"/>
              <w:numPr>
                <w:ilvl w:val="0"/>
                <w:numId w:val="15"/>
              </w:numPr>
              <w:rPr>
                <w:bCs/>
                <w:color w:val="000000"/>
                <w:lang w:eastAsia="lt-LT"/>
              </w:rPr>
            </w:pPr>
            <w:r w:rsidRPr="008B63AB">
              <w:rPr>
                <w:bCs/>
                <w:color w:val="000000"/>
                <w:lang w:eastAsia="lt-LT"/>
              </w:rPr>
              <w:t xml:space="preserve">tiesioginiame palyginime </w:t>
            </w:r>
            <w:r w:rsidR="002A3179">
              <w:rPr>
                <w:bCs/>
                <w:color w:val="000000"/>
                <w:lang w:eastAsia="lt-LT"/>
              </w:rPr>
              <w:t>- chemoterapija</w:t>
            </w:r>
            <w:r w:rsidRPr="008B63AB">
              <w:rPr>
                <w:bCs/>
                <w:color w:val="000000"/>
                <w:lang w:eastAsia="lt-LT"/>
              </w:rPr>
              <w:t>;</w:t>
            </w:r>
          </w:p>
          <w:p w14:paraId="6CC1022E" w14:textId="4B449D39" w:rsidR="009F4D66" w:rsidRPr="002A3179" w:rsidRDefault="00D56378" w:rsidP="00824B92">
            <w:pPr>
              <w:pStyle w:val="ListParagraph"/>
              <w:numPr>
                <w:ilvl w:val="0"/>
                <w:numId w:val="15"/>
              </w:numPr>
              <w:rPr>
                <w:bCs/>
                <w:color w:val="000000"/>
                <w:lang w:eastAsia="lt-LT"/>
              </w:rPr>
            </w:pPr>
            <w:r w:rsidRPr="008B63AB">
              <w:rPr>
                <w:bCs/>
                <w:color w:val="000000"/>
                <w:lang w:eastAsia="lt-LT"/>
              </w:rPr>
              <w:t xml:space="preserve">netiesioginiame </w:t>
            </w:r>
            <w:r w:rsidR="001B45CD">
              <w:rPr>
                <w:bCs/>
                <w:color w:val="000000"/>
                <w:lang w:eastAsia="lt-LT"/>
              </w:rPr>
              <w:t>–</w:t>
            </w:r>
            <w:r w:rsidR="002A3179" w:rsidRPr="002A3179">
              <w:rPr>
                <w:bCs/>
                <w:color w:val="000000"/>
                <w:lang w:eastAsia="lt-LT"/>
              </w:rPr>
              <w:t>pembrolizumabas</w:t>
            </w:r>
          </w:p>
        </w:tc>
        <w:tc>
          <w:tcPr>
            <w:tcW w:w="5167" w:type="dxa"/>
          </w:tcPr>
          <w:p w14:paraId="4FC8C162" w14:textId="77777777" w:rsidR="000729E0" w:rsidRPr="008B63AB" w:rsidRDefault="000729E0" w:rsidP="00824B92">
            <w:pPr>
              <w:rPr>
                <w:rStyle w:val="Style2"/>
                <w:sz w:val="24"/>
              </w:rPr>
            </w:pPr>
          </w:p>
          <w:p w14:paraId="27AC4ACF" w14:textId="3D2D4D13" w:rsidR="00D56378" w:rsidRDefault="00D56378" w:rsidP="00824B92">
            <w:pPr>
              <w:rPr>
                <w:rStyle w:val="Style2"/>
                <w:sz w:val="24"/>
              </w:rPr>
            </w:pPr>
          </w:p>
          <w:p w14:paraId="0DF29E7C" w14:textId="77777777" w:rsidR="00662CBF" w:rsidRPr="008B63AB" w:rsidRDefault="00662CBF" w:rsidP="00824B92">
            <w:pPr>
              <w:rPr>
                <w:rStyle w:val="Style2"/>
                <w:sz w:val="24"/>
              </w:rPr>
            </w:pPr>
          </w:p>
          <w:p w14:paraId="1F113AC0" w14:textId="3540572D" w:rsidR="009F4D66" w:rsidRPr="008B63AB" w:rsidRDefault="0022123B"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0729E0">
                  <w:rPr>
                    <w:rStyle w:val="Style2"/>
                    <w:rFonts w:ascii="MS Gothic" w:eastAsia="MS Gothic" w:hAnsi="MS Gothic" w:hint="eastAsia"/>
                    <w:sz w:val="24"/>
                  </w:rPr>
                  <w:t>☒</w:t>
                </w:r>
              </w:sdtContent>
            </w:sdt>
            <w:r w:rsidR="009F4D66" w:rsidRPr="008B63AB">
              <w:t xml:space="preserve"> Tinkamas</w:t>
            </w:r>
          </w:p>
          <w:p w14:paraId="41B44044" w14:textId="225071BF" w:rsidR="00B13D65" w:rsidRPr="008B63AB" w:rsidRDefault="0022123B"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D56378" w:rsidRPr="008B63AB">
                  <w:rPr>
                    <w:rStyle w:val="Style2"/>
                    <w:rFonts w:ascii="MS Gothic" w:eastAsia="MS Gothic" w:hAnsi="MS Gothic"/>
                    <w:sz w:val="24"/>
                  </w:rPr>
                  <w:t>☐</w:t>
                </w:r>
              </w:sdtContent>
            </w:sdt>
            <w:r w:rsidR="009F4D66" w:rsidRPr="008B63AB">
              <w:t xml:space="preserve"> Netinkama</w:t>
            </w:r>
            <w:r w:rsidR="002A3179">
              <w:t>s</w:t>
            </w:r>
          </w:p>
        </w:tc>
      </w:tr>
    </w:tbl>
    <w:p w14:paraId="108176F7" w14:textId="640C6F75" w:rsidR="00F70C9E" w:rsidRPr="008B63AB" w:rsidRDefault="00F70C9E" w:rsidP="00E03C3F">
      <w:pPr>
        <w:pStyle w:val="ListParagraph"/>
        <w:tabs>
          <w:tab w:val="left" w:pos="426"/>
        </w:tabs>
        <w:ind w:left="0"/>
        <w:rPr>
          <w:b/>
          <w:bCs/>
          <w:caps/>
        </w:rPr>
      </w:pPr>
    </w:p>
    <w:p w14:paraId="2871CA7F" w14:textId="2370BDDB" w:rsidR="00F70C9E" w:rsidRPr="008B63AB" w:rsidRDefault="00F70C9E" w:rsidP="00880A44">
      <w:pPr>
        <w:spacing w:line="276" w:lineRule="auto"/>
        <w:jc w:val="both"/>
        <w:rPr>
          <w:rFonts w:eastAsia="Arial"/>
          <w:b/>
        </w:rPr>
      </w:pPr>
      <w:r w:rsidRPr="008B63AB">
        <w:rPr>
          <w:rFonts w:eastAsia="Arial"/>
          <w:b/>
        </w:rPr>
        <w:t xml:space="preserve">1.8 Kitų </w:t>
      </w:r>
      <w:r w:rsidR="00DF583C" w:rsidRPr="008B63AB">
        <w:rPr>
          <w:rFonts w:eastAsia="Arial"/>
          <w:b/>
        </w:rPr>
        <w:t xml:space="preserve">valstybių </w:t>
      </w:r>
      <w:r w:rsidRPr="008B63AB">
        <w:rPr>
          <w:rFonts w:eastAsia="Arial"/>
          <w:b/>
        </w:rPr>
        <w:t xml:space="preserve">atsakingų institucijų atlikto </w:t>
      </w:r>
      <w:r w:rsidR="00DF583C" w:rsidRPr="008B63AB">
        <w:rPr>
          <w:rFonts w:eastAsia="Arial"/>
          <w:b/>
        </w:rPr>
        <w:t>Sveikatos technologijų vertinimo (toliau – STV)</w:t>
      </w:r>
      <w:r w:rsidRPr="008B63AB">
        <w:rPr>
          <w:rFonts w:eastAsia="Arial"/>
          <w:b/>
        </w:rPr>
        <w:t xml:space="preserve"> išvados</w:t>
      </w:r>
    </w:p>
    <w:p w14:paraId="30721FDD" w14:textId="77777777" w:rsidR="00F70C9E" w:rsidRPr="008B63AB" w:rsidRDefault="00F70C9E" w:rsidP="00F70C9E">
      <w:pPr>
        <w:spacing w:line="276" w:lineRule="auto"/>
        <w:rPr>
          <w:rFonts w:eastAsia="Arial"/>
        </w:rPr>
      </w:pPr>
    </w:p>
    <w:tbl>
      <w:tblPr>
        <w:tblStyle w:val="TableGrid"/>
        <w:tblW w:w="9493" w:type="dxa"/>
        <w:tblLook w:val="04A0" w:firstRow="1" w:lastRow="0" w:firstColumn="1" w:lastColumn="0" w:noHBand="0" w:noVBand="1"/>
      </w:tblPr>
      <w:tblGrid>
        <w:gridCol w:w="2794"/>
        <w:gridCol w:w="1785"/>
        <w:gridCol w:w="2166"/>
        <w:gridCol w:w="68"/>
        <w:gridCol w:w="2680"/>
      </w:tblGrid>
      <w:tr w:rsidR="00F70C9E" w:rsidRPr="008B63AB" w14:paraId="7E72828B" w14:textId="77777777" w:rsidTr="002A3179">
        <w:trPr>
          <w:trHeight w:val="924"/>
        </w:trPr>
        <w:tc>
          <w:tcPr>
            <w:tcW w:w="2794" w:type="dxa"/>
          </w:tcPr>
          <w:p w14:paraId="253D1DD4" w14:textId="5B2616C0" w:rsidR="00F70C9E" w:rsidRPr="008B63AB" w:rsidRDefault="00F70C9E" w:rsidP="00824B92">
            <w:pPr>
              <w:rPr>
                <w:rFonts w:eastAsia="Arial"/>
              </w:rPr>
            </w:pPr>
            <w:r w:rsidRPr="008B63AB">
              <w:rPr>
                <w:rFonts w:eastAsia="Arial"/>
              </w:rPr>
              <w:t>ST</w:t>
            </w:r>
            <w:r w:rsidR="00DF583C" w:rsidRPr="008B63AB">
              <w:rPr>
                <w:rFonts w:eastAsia="Arial"/>
              </w:rPr>
              <w:t>V</w:t>
            </w:r>
            <w:r w:rsidRPr="008B63AB">
              <w:rPr>
                <w:rFonts w:eastAsia="Arial"/>
              </w:rPr>
              <w:t xml:space="preserve"> agentūros pavadinimas, šalis</w:t>
            </w:r>
          </w:p>
        </w:tc>
        <w:tc>
          <w:tcPr>
            <w:tcW w:w="1785" w:type="dxa"/>
          </w:tcPr>
          <w:p w14:paraId="34AE1EDD" w14:textId="77777777" w:rsidR="00F70C9E" w:rsidRPr="008B63AB" w:rsidRDefault="00F70C9E" w:rsidP="00824B92">
            <w:pPr>
              <w:rPr>
                <w:rFonts w:eastAsia="Arial"/>
              </w:rPr>
            </w:pPr>
            <w:r w:rsidRPr="008B63AB">
              <w:rPr>
                <w:rFonts w:eastAsia="Arial"/>
              </w:rPr>
              <w:t>STV vertinimas atliktas</w:t>
            </w:r>
          </w:p>
        </w:tc>
        <w:tc>
          <w:tcPr>
            <w:tcW w:w="2234" w:type="dxa"/>
            <w:gridSpan w:val="2"/>
          </w:tcPr>
          <w:p w14:paraId="16E2DDC1" w14:textId="77777777" w:rsidR="00F70C9E" w:rsidRPr="008B63AB" w:rsidRDefault="00F70C9E" w:rsidP="00824B92">
            <w:pPr>
              <w:rPr>
                <w:rFonts w:eastAsia="Arial"/>
              </w:rPr>
            </w:pPr>
            <w:r w:rsidRPr="008B63AB">
              <w:rPr>
                <w:rFonts w:eastAsia="Arial"/>
              </w:rPr>
              <w:t>Klinikinio vertinimo išvada</w:t>
            </w:r>
          </w:p>
        </w:tc>
        <w:tc>
          <w:tcPr>
            <w:tcW w:w="2680" w:type="dxa"/>
          </w:tcPr>
          <w:p w14:paraId="1861E3F2" w14:textId="74803B5B" w:rsidR="00F70C9E" w:rsidRPr="008B63AB" w:rsidRDefault="00F70C9E" w:rsidP="00824B92">
            <w:pPr>
              <w:rPr>
                <w:rFonts w:eastAsia="Arial"/>
              </w:rPr>
            </w:pPr>
            <w:r w:rsidRPr="008B63AB">
              <w:rPr>
                <w:rFonts w:eastAsia="Arial"/>
              </w:rPr>
              <w:t>Farmako</w:t>
            </w:r>
            <w:r w:rsidR="00CA217D" w:rsidRPr="008B63AB">
              <w:rPr>
                <w:rFonts w:eastAsia="Arial"/>
              </w:rPr>
              <w:t>e</w:t>
            </w:r>
            <w:r w:rsidR="00476256" w:rsidRPr="008B63AB">
              <w:rPr>
                <w:rFonts w:eastAsia="Arial"/>
              </w:rPr>
              <w:t>ko</w:t>
            </w:r>
            <w:r w:rsidRPr="008B63AB">
              <w:rPr>
                <w:rFonts w:eastAsia="Arial"/>
              </w:rPr>
              <w:t>nominio vertinimo išvada</w:t>
            </w:r>
          </w:p>
        </w:tc>
      </w:tr>
      <w:tr w:rsidR="002A3179" w:rsidRPr="008B63AB" w14:paraId="129FA8F6" w14:textId="77777777" w:rsidTr="002A3179">
        <w:trPr>
          <w:trHeight w:val="2267"/>
        </w:trPr>
        <w:tc>
          <w:tcPr>
            <w:tcW w:w="2794" w:type="dxa"/>
          </w:tcPr>
          <w:p w14:paraId="25DA2232" w14:textId="77777777" w:rsidR="002A3179" w:rsidRPr="00E36E74" w:rsidRDefault="002A3179" w:rsidP="002A3179">
            <w:pPr>
              <w:autoSpaceDE w:val="0"/>
              <w:autoSpaceDN w:val="0"/>
              <w:adjustRightInd w:val="0"/>
              <w:rPr>
                <w:bCs/>
              </w:rPr>
            </w:pPr>
            <w:r w:rsidRPr="00E36E74">
              <w:rPr>
                <w:bCs/>
              </w:rPr>
              <w:t>Nacionalinis sveikatos ir klinikinės kompetencijos institutas, Didžioji Britanija</w:t>
            </w:r>
          </w:p>
          <w:p w14:paraId="49C6520D" w14:textId="3C5E9F6C" w:rsidR="002A3179" w:rsidRPr="008B63AB" w:rsidRDefault="002A3179" w:rsidP="002A3179">
            <w:pPr>
              <w:rPr>
                <w:rFonts w:eastAsia="Arial"/>
              </w:rPr>
            </w:pPr>
            <w:r w:rsidRPr="00E36E74">
              <w:rPr>
                <w:rFonts w:eastAsia="Arial"/>
              </w:rPr>
              <w:t xml:space="preserve">(angl. </w:t>
            </w:r>
            <w:r w:rsidRPr="00E36E74">
              <w:rPr>
                <w:rFonts w:eastAsia="Arial"/>
                <w:i/>
              </w:rPr>
              <w:t>National Institute for Health and Care Excellence, NICE</w:t>
            </w:r>
            <w:r w:rsidRPr="00E36E74">
              <w:rPr>
                <w:rFonts w:eastAsia="Arial"/>
              </w:rPr>
              <w:t>)</w:t>
            </w:r>
          </w:p>
        </w:tc>
        <w:tc>
          <w:tcPr>
            <w:tcW w:w="1785" w:type="dxa"/>
          </w:tcPr>
          <w:p w14:paraId="252177C7" w14:textId="77777777" w:rsidR="002A3179" w:rsidRPr="00E36E74" w:rsidRDefault="0022123B" w:rsidP="002A3179">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2A3179">
                  <w:rPr>
                    <w:rStyle w:val="Style2"/>
                    <w:rFonts w:ascii="MS Gothic" w:eastAsia="MS Gothic" w:hAnsi="MS Gothic" w:hint="eastAsia"/>
                  </w:rPr>
                  <w:t>☒</w:t>
                </w:r>
              </w:sdtContent>
            </w:sdt>
            <w:r w:rsidR="002A3179" w:rsidRPr="00E36E74">
              <w:t xml:space="preserve"> Taip</w:t>
            </w:r>
          </w:p>
          <w:p w14:paraId="0FFCCB56" w14:textId="77777777" w:rsidR="002A3179" w:rsidRPr="00E36E74" w:rsidRDefault="0022123B" w:rsidP="002A3179">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2A3179" w:rsidRPr="00E36E74">
                  <w:rPr>
                    <w:rStyle w:val="Style2"/>
                    <w:rFonts w:ascii="MS Gothic" w:eastAsia="MS Gothic" w:hAnsi="MS Gothic" w:hint="eastAsia"/>
                  </w:rPr>
                  <w:t>☐</w:t>
                </w:r>
              </w:sdtContent>
            </w:sdt>
            <w:r w:rsidR="002A3179" w:rsidRPr="00E36E74">
              <w:t xml:space="preserve"> Ne</w:t>
            </w:r>
          </w:p>
          <w:p w14:paraId="7916359D" w14:textId="70116500" w:rsidR="002A3179" w:rsidRPr="008B63AB" w:rsidRDefault="0022123B" w:rsidP="002A3179">
            <w:pPr>
              <w:rPr>
                <w:rFonts w:eastAsia="Arial"/>
              </w:rPr>
            </w:pPr>
            <w:sdt>
              <w:sdtPr>
                <w:alias w:val="Nurodykite konkrečią dieną"/>
                <w:tag w:val="Nurodykite pradžios datą"/>
                <w:id w:val="922837954"/>
                <w15:color w:val="FFCC99"/>
                <w:date w:fullDate="2021-06-02T00:00:00Z">
                  <w:dateFormat w:val="yyyy 'm.' MMMM d 'd.'"/>
                  <w:lid w:val="lt-LT"/>
                  <w:storeMappedDataAs w:val="dateTime"/>
                  <w:calendar w:val="gregorian"/>
                </w:date>
              </w:sdtPr>
              <w:sdtEndPr/>
              <w:sdtContent>
                <w:r w:rsidR="002A3179">
                  <w:t>2021 m. birželio 2 d.</w:t>
                </w:r>
              </w:sdtContent>
            </w:sdt>
          </w:p>
        </w:tc>
        <w:tc>
          <w:tcPr>
            <w:tcW w:w="2234" w:type="dxa"/>
            <w:gridSpan w:val="2"/>
          </w:tcPr>
          <w:p w14:paraId="0C1E1431" w14:textId="77777777" w:rsidR="002A3179" w:rsidRPr="00B876EF" w:rsidRDefault="002A3179" w:rsidP="002A3179">
            <w:pPr>
              <w:pStyle w:val="Default"/>
              <w:rPr>
                <w:rFonts w:ascii="Lato" w:hAnsi="Lato"/>
                <w:color w:val="282828"/>
                <w:sz w:val="23"/>
                <w:szCs w:val="23"/>
              </w:rPr>
            </w:pPr>
            <w:r>
              <w:rPr>
                <w:rFonts w:ascii="Times New Roman" w:hAnsi="Times New Roman" w:cs="Times New Roman"/>
                <w:bCs/>
                <w:color w:val="auto"/>
              </w:rPr>
              <w:t>Atezolizumabas rekomenduojamas kaip pasirinktinis gydymas negydytiems suaugusiems pacientams su metastazavusiu nesmulkiųjų ląstelių plaučių vėžiu, jeigu:</w:t>
            </w:r>
          </w:p>
          <w:p w14:paraId="78F9514C" w14:textId="77777777" w:rsidR="002A3179" w:rsidRPr="001C771F" w:rsidRDefault="002A3179" w:rsidP="002A3179">
            <w:pPr>
              <w:pStyle w:val="ListParagraph"/>
              <w:numPr>
                <w:ilvl w:val="0"/>
                <w:numId w:val="17"/>
              </w:numPr>
              <w:autoSpaceDE w:val="0"/>
              <w:autoSpaceDN w:val="0"/>
              <w:adjustRightInd w:val="0"/>
              <w:rPr>
                <w:bCs/>
              </w:rPr>
            </w:pPr>
            <w:r w:rsidRPr="009124CB">
              <w:rPr>
                <w:bCs/>
              </w:rPr>
              <w:t>j</w:t>
            </w:r>
            <w:r w:rsidRPr="009124CB">
              <w:rPr>
                <w:rFonts w:hint="eastAsia"/>
                <w:bCs/>
              </w:rPr>
              <w:t>ų</w:t>
            </w:r>
            <w:r w:rsidRPr="001C771F">
              <w:rPr>
                <w:rFonts w:ascii="Lato" w:hAnsi="Lato"/>
                <w:color w:val="282828"/>
                <w:sz w:val="23"/>
                <w:szCs w:val="23"/>
              </w:rPr>
              <w:t xml:space="preserve"> </w:t>
            </w:r>
            <w:r w:rsidRPr="001C771F">
              <w:rPr>
                <w:bCs/>
              </w:rPr>
              <w:t>auglyje nustatyta PD-L1 raiška yra ≥ 50 proc. vėžio lą</w:t>
            </w:r>
            <w:r w:rsidRPr="00863936">
              <w:rPr>
                <w:bCs/>
              </w:rPr>
              <w:t xml:space="preserve">stelėse, ar ≥ </w:t>
            </w:r>
            <w:r w:rsidRPr="00792E6E">
              <w:t>infiltr</w:t>
            </w:r>
            <w:r>
              <w:t>uojančiose imuninėse ląstelėse -</w:t>
            </w:r>
            <w:r w:rsidRPr="00792E6E">
              <w:t xml:space="preserve"> ≥ 10 </w:t>
            </w:r>
            <w:r>
              <w:t>proc.;</w:t>
            </w:r>
          </w:p>
          <w:p w14:paraId="0FB0C4FA" w14:textId="77777777" w:rsidR="002A3179" w:rsidRPr="009124CB" w:rsidRDefault="002A3179" w:rsidP="002A3179">
            <w:pPr>
              <w:pStyle w:val="ListParagraph"/>
              <w:numPr>
                <w:ilvl w:val="0"/>
                <w:numId w:val="17"/>
              </w:numPr>
              <w:autoSpaceDE w:val="0"/>
              <w:autoSpaceDN w:val="0"/>
              <w:adjustRightInd w:val="0"/>
              <w:rPr>
                <w:bCs/>
              </w:rPr>
            </w:pPr>
            <w:r>
              <w:rPr>
                <w:bCs/>
              </w:rPr>
              <w:t xml:space="preserve">auglys neturi </w:t>
            </w:r>
            <w:r w:rsidRPr="00792E6E">
              <w:t>EGFR mutacijų arba ALK teigiamo NSLPV</w:t>
            </w:r>
          </w:p>
          <w:p w14:paraId="5F46A6FC" w14:textId="0B8161BF" w:rsidR="002A3179" w:rsidRPr="008B63AB" w:rsidRDefault="002A3179" w:rsidP="002A3179">
            <w:pPr>
              <w:rPr>
                <w:rFonts w:eastAsia="Arial"/>
              </w:rPr>
            </w:pPr>
            <w:r>
              <w:rPr>
                <w:bCs/>
              </w:rPr>
              <w:t xml:space="preserve">Pastaba: Netiesioginio palyginimo rezultatai nurodo, kad atezolizumabas yra toks pats efektyvus kaip pembrolizumabas, atitolinant ligos progresavimą ir prailginant pacientų </w:t>
            </w:r>
            <w:r>
              <w:rPr>
                <w:bCs/>
              </w:rPr>
              <w:lastRenderedPageBreak/>
              <w:t>gyvenimą. Tačiau nesant tiesioginio palyginimo tarp jų šis įrodymas nėra patikimas</w:t>
            </w:r>
            <w:r>
              <w:rPr>
                <w:szCs w:val="20"/>
              </w:rPr>
              <w:t>.</w:t>
            </w:r>
          </w:p>
        </w:tc>
        <w:tc>
          <w:tcPr>
            <w:tcW w:w="2680" w:type="dxa"/>
          </w:tcPr>
          <w:p w14:paraId="67430EE7" w14:textId="0860B985" w:rsidR="002A3179" w:rsidRPr="008B63AB" w:rsidRDefault="002A3179" w:rsidP="002A3179">
            <w:pPr>
              <w:jc w:val="both"/>
              <w:rPr>
                <w:rFonts w:eastAsia="Arial"/>
              </w:rPr>
            </w:pPr>
            <w:r>
              <w:rPr>
                <w:rFonts w:eastAsia="Arial"/>
              </w:rPr>
              <w:lastRenderedPageBreak/>
              <w:t>B</w:t>
            </w:r>
            <w:r w:rsidRPr="00371819">
              <w:rPr>
                <w:rFonts w:eastAsia="Arial"/>
              </w:rPr>
              <w:t xml:space="preserve">endrovė </w:t>
            </w:r>
            <w:r>
              <w:rPr>
                <w:rFonts w:eastAsia="Arial"/>
              </w:rPr>
              <w:t xml:space="preserve">įsipareigoja </w:t>
            </w:r>
            <w:r w:rsidRPr="00371819">
              <w:rPr>
                <w:rFonts w:eastAsia="Arial"/>
              </w:rPr>
              <w:t>tiek</w:t>
            </w:r>
            <w:r>
              <w:rPr>
                <w:rFonts w:eastAsia="Arial"/>
              </w:rPr>
              <w:t>ti</w:t>
            </w:r>
            <w:r w:rsidRPr="00371819">
              <w:rPr>
                <w:rFonts w:eastAsia="Arial"/>
              </w:rPr>
              <w:t xml:space="preserve"> atezolizumabą pagal komercinį susitarimą.</w:t>
            </w:r>
          </w:p>
        </w:tc>
      </w:tr>
      <w:tr w:rsidR="004532C0" w:rsidRPr="008B63AB" w14:paraId="1CC31474" w14:textId="77777777" w:rsidTr="002A3179">
        <w:trPr>
          <w:trHeight w:val="476"/>
        </w:trPr>
        <w:tc>
          <w:tcPr>
            <w:tcW w:w="2794" w:type="dxa"/>
          </w:tcPr>
          <w:p w14:paraId="12218E35" w14:textId="77777777" w:rsidR="004532C0" w:rsidRPr="008B63AB" w:rsidRDefault="004532C0" w:rsidP="00824B92">
            <w:pPr>
              <w:rPr>
                <w:rFonts w:eastAsia="Arial"/>
              </w:rPr>
            </w:pPr>
            <w:r w:rsidRPr="008B63AB">
              <w:rPr>
                <w:rFonts w:eastAsia="Arial"/>
              </w:rPr>
              <w:t>Kanados sveikatos technologijų agentūra</w:t>
            </w:r>
          </w:p>
          <w:p w14:paraId="2C593A82" w14:textId="77777777" w:rsidR="004532C0" w:rsidRPr="008B63AB" w:rsidRDefault="004532C0" w:rsidP="00824B92">
            <w:pPr>
              <w:rPr>
                <w:rFonts w:eastAsia="Arial"/>
              </w:rPr>
            </w:pPr>
            <w:r w:rsidRPr="008B63AB">
              <w:rPr>
                <w:rFonts w:eastAsia="Arial"/>
              </w:rPr>
              <w:t xml:space="preserve">(angl. </w:t>
            </w:r>
            <w:r w:rsidRPr="008B63AB">
              <w:rPr>
                <w:rFonts w:eastAsia="Arial"/>
                <w:i/>
              </w:rPr>
              <w:t>Canadian health Technology Assessment agency, CADTH</w:t>
            </w:r>
            <w:r w:rsidRPr="008B63AB">
              <w:rPr>
                <w:rFonts w:eastAsia="Arial"/>
              </w:rPr>
              <w:t>)</w:t>
            </w:r>
          </w:p>
        </w:tc>
        <w:tc>
          <w:tcPr>
            <w:tcW w:w="1785" w:type="dxa"/>
          </w:tcPr>
          <w:p w14:paraId="762649FE" w14:textId="670CCD46" w:rsidR="004532C0" w:rsidRPr="008B63AB" w:rsidRDefault="0022123B" w:rsidP="00824B92">
            <w:sdt>
              <w:sdtPr>
                <w:rPr>
                  <w:rStyle w:val="Style2"/>
                  <w:sz w:val="24"/>
                </w:rPr>
                <w:id w:val="-372539057"/>
                <w15:color w:val="FFCC00"/>
                <w14:checkbox>
                  <w14:checked w14:val="0"/>
                  <w14:checkedState w14:val="2612" w14:font="MS Gothic"/>
                  <w14:uncheckedState w14:val="2610" w14:font="MS Gothic"/>
                </w14:checkbox>
              </w:sdtPr>
              <w:sdtEndPr>
                <w:rPr>
                  <w:rStyle w:val="Style2"/>
                </w:rPr>
              </w:sdtEndPr>
              <w:sdtContent>
                <w:r w:rsidR="002A3179">
                  <w:rPr>
                    <w:rStyle w:val="Style2"/>
                    <w:rFonts w:ascii="MS Gothic" w:eastAsia="MS Gothic" w:hAnsi="MS Gothic" w:hint="eastAsia"/>
                    <w:sz w:val="24"/>
                  </w:rPr>
                  <w:t>☐</w:t>
                </w:r>
              </w:sdtContent>
            </w:sdt>
            <w:r w:rsidR="004532C0" w:rsidRPr="008B63AB">
              <w:t xml:space="preserve"> Taip</w:t>
            </w:r>
          </w:p>
          <w:p w14:paraId="35F17B07" w14:textId="36D34D11" w:rsidR="004532C0" w:rsidRPr="008B63AB" w:rsidRDefault="0022123B" w:rsidP="00824B92">
            <w:sdt>
              <w:sdtPr>
                <w:rPr>
                  <w:rStyle w:val="Style2"/>
                  <w:sz w:val="24"/>
                </w:rPr>
                <w:id w:val="594442222"/>
                <w15:color w:val="FFCC00"/>
                <w14:checkbox>
                  <w14:checked w14:val="1"/>
                  <w14:checkedState w14:val="2612" w14:font="MS Gothic"/>
                  <w14:uncheckedState w14:val="2610" w14:font="MS Gothic"/>
                </w14:checkbox>
              </w:sdtPr>
              <w:sdtEndPr>
                <w:rPr>
                  <w:rStyle w:val="Style2"/>
                </w:rPr>
              </w:sdtEndPr>
              <w:sdtContent>
                <w:r w:rsidR="002A3179">
                  <w:rPr>
                    <w:rStyle w:val="Style2"/>
                    <w:rFonts w:ascii="MS Gothic" w:eastAsia="MS Gothic" w:hAnsi="MS Gothic" w:hint="eastAsia"/>
                    <w:sz w:val="24"/>
                  </w:rPr>
                  <w:t>☒</w:t>
                </w:r>
              </w:sdtContent>
            </w:sdt>
            <w:r w:rsidR="004532C0" w:rsidRPr="008B63AB">
              <w:t xml:space="preserve"> Ne</w:t>
            </w:r>
          </w:p>
          <w:p w14:paraId="0C0988CC" w14:textId="5D5FAE92" w:rsidR="004532C0" w:rsidRPr="008B63AB" w:rsidRDefault="0022123B" w:rsidP="00824B92">
            <w:pPr>
              <w:rPr>
                <w:rFonts w:eastAsia="Arial"/>
              </w:rPr>
            </w:pPr>
            <w:sdt>
              <w:sdtPr>
                <w:alias w:val="Nurodykite konkrečią dieną"/>
                <w:tag w:val="Nurodykite pradžios datą"/>
                <w:id w:val="1072468416"/>
                <w:showingPlcHdr/>
                <w15:color w:val="FFCC99"/>
                <w:date w:fullDate="2020-04-20T00:00:00Z">
                  <w:dateFormat w:val="yyyy 'm.' MMMM d 'd.'"/>
                  <w:lid w:val="lt-LT"/>
                  <w:storeMappedDataAs w:val="dateTime"/>
                  <w:calendar w:val="gregorian"/>
                </w:date>
              </w:sdtPr>
              <w:sdtEndPr/>
              <w:sdtContent>
                <w:r w:rsidR="002A3179">
                  <w:t xml:space="preserve">     </w:t>
                </w:r>
              </w:sdtContent>
            </w:sdt>
          </w:p>
        </w:tc>
        <w:tc>
          <w:tcPr>
            <w:tcW w:w="4914" w:type="dxa"/>
            <w:gridSpan w:val="3"/>
          </w:tcPr>
          <w:p w14:paraId="5C8CB330" w14:textId="42470C15" w:rsidR="004532C0" w:rsidRPr="008B63AB" w:rsidRDefault="002A3179" w:rsidP="00824B92">
            <w:pPr>
              <w:rPr>
                <w:rFonts w:eastAsia="Arial"/>
              </w:rPr>
            </w:pPr>
            <w:r w:rsidRPr="00026000">
              <w:rPr>
                <w:rFonts w:eastAsia="Arial"/>
              </w:rPr>
              <w:t>Neatliktas STV vertinimas.</w:t>
            </w:r>
          </w:p>
        </w:tc>
      </w:tr>
      <w:tr w:rsidR="002A3179" w:rsidRPr="00D05364" w14:paraId="21E43995" w14:textId="77777777" w:rsidTr="002A3179">
        <w:trPr>
          <w:trHeight w:val="1927"/>
        </w:trPr>
        <w:tc>
          <w:tcPr>
            <w:tcW w:w="2794" w:type="dxa"/>
          </w:tcPr>
          <w:p w14:paraId="217A8E50" w14:textId="77777777" w:rsidR="002A3179" w:rsidRPr="00E36E74" w:rsidRDefault="002A3179" w:rsidP="00B53FC4">
            <w:pPr>
              <w:spacing w:line="276" w:lineRule="auto"/>
              <w:rPr>
                <w:rFonts w:eastAsia="Arial"/>
              </w:rPr>
            </w:pPr>
            <w:r w:rsidRPr="00E36E74">
              <w:rPr>
                <w:rFonts w:eastAsia="Arial"/>
              </w:rPr>
              <w:t>Nacionalinis farmakoekonomikos centras, Airija</w:t>
            </w:r>
          </w:p>
          <w:p w14:paraId="75B25705" w14:textId="77777777" w:rsidR="002A3179" w:rsidRPr="00541500" w:rsidRDefault="002A3179" w:rsidP="00B53FC4">
            <w:pPr>
              <w:spacing w:line="276" w:lineRule="auto"/>
              <w:rPr>
                <w:rFonts w:eastAsia="Arial"/>
                <w:highlight w:val="yellow"/>
              </w:rPr>
            </w:pPr>
            <w:r w:rsidRPr="00E36E74">
              <w:rPr>
                <w:rFonts w:eastAsia="Arial"/>
              </w:rPr>
              <w:t>(angl.</w:t>
            </w:r>
            <w:r w:rsidRPr="00E36E74">
              <w:rPr>
                <w:rFonts w:eastAsia="Arial"/>
                <w:i/>
              </w:rPr>
              <w:t xml:space="preserve"> National Centre for Pharmacoeconomics, NCPE</w:t>
            </w:r>
            <w:r w:rsidRPr="00E36E74">
              <w:rPr>
                <w:rFonts w:eastAsia="Arial"/>
              </w:rPr>
              <w:t>)</w:t>
            </w:r>
          </w:p>
        </w:tc>
        <w:tc>
          <w:tcPr>
            <w:tcW w:w="1785" w:type="dxa"/>
          </w:tcPr>
          <w:p w14:paraId="55C1515A" w14:textId="77777777" w:rsidR="002A3179" w:rsidRPr="00E36E74" w:rsidRDefault="0022123B" w:rsidP="00B53FC4">
            <w:sdt>
              <w:sdtPr>
                <w:rPr>
                  <w:rStyle w:val="Style2"/>
                </w:rPr>
                <w:id w:val="-969666745"/>
                <w15:color w:val="FFCC00"/>
                <w14:checkbox>
                  <w14:checked w14:val="0"/>
                  <w14:checkedState w14:val="2612" w14:font="MS Gothic"/>
                  <w14:uncheckedState w14:val="2610" w14:font="MS Gothic"/>
                </w14:checkbox>
              </w:sdtPr>
              <w:sdtEndPr>
                <w:rPr>
                  <w:rStyle w:val="Style2"/>
                </w:rPr>
              </w:sdtEndPr>
              <w:sdtContent>
                <w:r w:rsidR="002A3179">
                  <w:rPr>
                    <w:rStyle w:val="Style2"/>
                    <w:rFonts w:ascii="MS Gothic" w:eastAsia="MS Gothic" w:hAnsi="MS Gothic" w:hint="eastAsia"/>
                  </w:rPr>
                  <w:t>☐</w:t>
                </w:r>
              </w:sdtContent>
            </w:sdt>
            <w:r w:rsidR="002A3179" w:rsidRPr="00E36E74">
              <w:t xml:space="preserve"> Taip</w:t>
            </w:r>
          </w:p>
          <w:p w14:paraId="745AD151" w14:textId="77777777" w:rsidR="002A3179" w:rsidRPr="00E36E74" w:rsidRDefault="0022123B" w:rsidP="00B53FC4">
            <w:sdt>
              <w:sdtPr>
                <w:rPr>
                  <w:rStyle w:val="Style2"/>
                </w:rPr>
                <w:id w:val="1883360091"/>
                <w15:color w:val="FFCC00"/>
                <w14:checkbox>
                  <w14:checked w14:val="1"/>
                  <w14:checkedState w14:val="2612" w14:font="MS Gothic"/>
                  <w14:uncheckedState w14:val="2610" w14:font="MS Gothic"/>
                </w14:checkbox>
              </w:sdtPr>
              <w:sdtEndPr>
                <w:rPr>
                  <w:rStyle w:val="Style2"/>
                </w:rPr>
              </w:sdtEndPr>
              <w:sdtContent>
                <w:r w:rsidR="002A3179">
                  <w:rPr>
                    <w:rStyle w:val="Style2"/>
                    <w:rFonts w:ascii="MS Gothic" w:eastAsia="MS Gothic" w:hAnsi="MS Gothic" w:hint="eastAsia"/>
                  </w:rPr>
                  <w:t>☒</w:t>
                </w:r>
              </w:sdtContent>
            </w:sdt>
            <w:r w:rsidR="002A3179" w:rsidRPr="00E36E74">
              <w:t xml:space="preserve"> Ne</w:t>
            </w:r>
          </w:p>
          <w:p w14:paraId="5B1D18A5" w14:textId="77777777" w:rsidR="002A3179" w:rsidRDefault="0022123B" w:rsidP="00B53FC4">
            <w:pPr>
              <w:spacing w:line="276" w:lineRule="auto"/>
            </w:pPr>
            <w:sdt>
              <w:sdtPr>
                <w:alias w:val="Nurodykite konkrečią dieną"/>
                <w:tag w:val="Nurodykite pradžios datą"/>
                <w:id w:val="-154304504"/>
                <w15:color w:val="FFCC99"/>
                <w:date w:fullDate="2021-04-21T00:00:00Z">
                  <w:dateFormat w:val="yyyy 'm.' MMMM d 'd.'"/>
                  <w:lid w:val="lt-LT"/>
                  <w:storeMappedDataAs w:val="dateTime"/>
                  <w:calendar w:val="gregorian"/>
                </w:date>
              </w:sdtPr>
              <w:sdtEndPr/>
              <w:sdtContent>
                <w:r w:rsidR="002A3179">
                  <w:t>2021 m. balandžio 21 d.</w:t>
                </w:r>
              </w:sdtContent>
            </w:sdt>
          </w:p>
          <w:p w14:paraId="0647547A" w14:textId="77777777" w:rsidR="002A3179" w:rsidRDefault="002A3179" w:rsidP="00B53FC4">
            <w:pPr>
              <w:rPr>
                <w:rStyle w:val="Style2"/>
              </w:rPr>
            </w:pPr>
          </w:p>
          <w:p w14:paraId="79807A53" w14:textId="77777777" w:rsidR="002A3179" w:rsidRDefault="002A3179" w:rsidP="00B53FC4">
            <w:pPr>
              <w:rPr>
                <w:rStyle w:val="Style2"/>
              </w:rPr>
            </w:pPr>
          </w:p>
          <w:p w14:paraId="50E1B039" w14:textId="77777777" w:rsidR="002A3179" w:rsidRPr="00E36E74" w:rsidRDefault="0022123B" w:rsidP="00B53FC4">
            <w:sdt>
              <w:sdtPr>
                <w:rPr>
                  <w:rStyle w:val="Style2"/>
                </w:rPr>
                <w:id w:val="25915473"/>
                <w15:color w:val="FFCC00"/>
                <w14:checkbox>
                  <w14:checked w14:val="1"/>
                  <w14:checkedState w14:val="2612" w14:font="MS Gothic"/>
                  <w14:uncheckedState w14:val="2610" w14:font="MS Gothic"/>
                </w14:checkbox>
              </w:sdtPr>
              <w:sdtEndPr>
                <w:rPr>
                  <w:rStyle w:val="Style2"/>
                </w:rPr>
              </w:sdtEndPr>
              <w:sdtContent>
                <w:r w:rsidR="002A3179">
                  <w:rPr>
                    <w:rStyle w:val="Style2"/>
                    <w:rFonts w:ascii="MS Gothic" w:eastAsia="MS Gothic" w:hAnsi="MS Gothic" w:hint="eastAsia"/>
                  </w:rPr>
                  <w:t>☒</w:t>
                </w:r>
              </w:sdtContent>
            </w:sdt>
            <w:r w:rsidR="002A3179" w:rsidRPr="00E36E74">
              <w:t xml:space="preserve"> Taip</w:t>
            </w:r>
            <w:r w:rsidR="002A3179">
              <w:t>*</w:t>
            </w:r>
          </w:p>
          <w:p w14:paraId="7D324E19" w14:textId="77777777" w:rsidR="002A3179" w:rsidRPr="00E36E74" w:rsidRDefault="0022123B" w:rsidP="00B53FC4">
            <w:sdt>
              <w:sdtPr>
                <w:rPr>
                  <w:rStyle w:val="Style2"/>
                </w:rPr>
                <w:id w:val="1033390901"/>
                <w15:color w:val="FFCC00"/>
                <w14:checkbox>
                  <w14:checked w14:val="0"/>
                  <w14:checkedState w14:val="2612" w14:font="MS Gothic"/>
                  <w14:uncheckedState w14:val="2610" w14:font="MS Gothic"/>
                </w14:checkbox>
              </w:sdtPr>
              <w:sdtEndPr>
                <w:rPr>
                  <w:rStyle w:val="Style2"/>
                </w:rPr>
              </w:sdtEndPr>
              <w:sdtContent>
                <w:r w:rsidR="002A3179">
                  <w:rPr>
                    <w:rStyle w:val="Style2"/>
                    <w:rFonts w:ascii="MS Gothic" w:eastAsia="MS Gothic" w:hAnsi="MS Gothic" w:hint="eastAsia"/>
                  </w:rPr>
                  <w:t>☐</w:t>
                </w:r>
              </w:sdtContent>
            </w:sdt>
            <w:r w:rsidR="002A3179" w:rsidRPr="00E36E74">
              <w:t xml:space="preserve"> Ne</w:t>
            </w:r>
          </w:p>
          <w:p w14:paraId="0DEB1BA8" w14:textId="77777777" w:rsidR="002A3179" w:rsidRDefault="0022123B" w:rsidP="00B53FC4">
            <w:pPr>
              <w:spacing w:line="276" w:lineRule="auto"/>
            </w:pPr>
            <w:sdt>
              <w:sdtPr>
                <w:alias w:val="Nurodykite konkrečią dieną"/>
                <w:tag w:val="Nurodykite pradžios datą"/>
                <w:id w:val="2112470330"/>
                <w15:color w:val="FFCC99"/>
                <w:date w:fullDate="2021-10-01T00:00:00Z">
                  <w:dateFormat w:val="yyyy 'm.' MMMM d 'd.'"/>
                  <w:lid w:val="lt-LT"/>
                  <w:storeMappedDataAs w:val="dateTime"/>
                  <w:calendar w:val="gregorian"/>
                </w:date>
              </w:sdtPr>
              <w:sdtEndPr/>
              <w:sdtContent>
                <w:r w:rsidR="002A3179">
                  <w:t>2021 m. spalio 1 d.</w:t>
                </w:r>
              </w:sdtContent>
            </w:sdt>
          </w:p>
          <w:p w14:paraId="0F90B834" w14:textId="77777777" w:rsidR="002A3179" w:rsidRDefault="002A3179" w:rsidP="00B53FC4">
            <w:pPr>
              <w:spacing w:line="276" w:lineRule="auto"/>
            </w:pPr>
          </w:p>
          <w:p w14:paraId="3DF750E6" w14:textId="77777777" w:rsidR="002A3179" w:rsidRDefault="002A3179" w:rsidP="00B53FC4">
            <w:pPr>
              <w:spacing w:line="276" w:lineRule="auto"/>
            </w:pPr>
          </w:p>
          <w:p w14:paraId="53E74F43" w14:textId="77777777" w:rsidR="002A3179" w:rsidRPr="00541500" w:rsidRDefault="002A3179" w:rsidP="00B53FC4">
            <w:pPr>
              <w:spacing w:line="276" w:lineRule="auto"/>
              <w:rPr>
                <w:rFonts w:eastAsia="Arial"/>
                <w:highlight w:val="yellow"/>
              </w:rPr>
            </w:pPr>
          </w:p>
        </w:tc>
        <w:tc>
          <w:tcPr>
            <w:tcW w:w="2166" w:type="dxa"/>
          </w:tcPr>
          <w:p w14:paraId="6BD890A8" w14:textId="77777777" w:rsidR="002A3179" w:rsidRPr="00026000" w:rsidRDefault="002A3179" w:rsidP="00B53FC4">
            <w:pPr>
              <w:spacing w:line="276" w:lineRule="auto"/>
              <w:jc w:val="both"/>
              <w:rPr>
                <w:rFonts w:eastAsia="Arial"/>
              </w:rPr>
            </w:pPr>
            <w:r>
              <w:rPr>
                <w:rFonts w:eastAsia="Arial"/>
              </w:rPr>
              <w:t xml:space="preserve">Atezolizumabas skiriamas monoterapija negytiems pacientams, sergantiems mNSLPV, kai naviko ląstelių PD-L1 raiška </w:t>
            </w:r>
            <w:r w:rsidRPr="00424613">
              <w:rPr>
                <w:rFonts w:eastAsia="Arial"/>
              </w:rPr>
              <w:t>≥50%</w:t>
            </w:r>
            <w:r>
              <w:rPr>
                <w:rFonts w:eastAsia="Arial"/>
              </w:rPr>
              <w:t xml:space="preserve"> arba imuninių ląstelių raiška </w:t>
            </w:r>
            <w:r w:rsidRPr="009124CB">
              <w:rPr>
                <w:rFonts w:eastAsia="Arial"/>
              </w:rPr>
              <w:t xml:space="preserve"> ≥10%</w:t>
            </w:r>
            <w:r>
              <w:rPr>
                <w:rFonts w:eastAsia="Arial"/>
              </w:rPr>
              <w:t xml:space="preserve"> ir kuriems  nenustatyta EGFR mutacija arba </w:t>
            </w:r>
            <w:r w:rsidRPr="009124CB">
              <w:rPr>
                <w:rFonts w:eastAsia="Arial"/>
              </w:rPr>
              <w:t>ALK-</w:t>
            </w:r>
            <w:r>
              <w:rPr>
                <w:rFonts w:eastAsia="Arial"/>
              </w:rPr>
              <w:t>teigimas NSLPV.</w:t>
            </w:r>
          </w:p>
        </w:tc>
        <w:tc>
          <w:tcPr>
            <w:tcW w:w="2748" w:type="dxa"/>
            <w:gridSpan w:val="2"/>
          </w:tcPr>
          <w:p w14:paraId="6E327CA2" w14:textId="77777777" w:rsidR="002A3179" w:rsidRPr="009124CB" w:rsidRDefault="002A3179" w:rsidP="00B53FC4">
            <w:pPr>
              <w:spacing w:line="276" w:lineRule="auto"/>
              <w:jc w:val="both"/>
              <w:rPr>
                <w:rFonts w:eastAsia="Arial"/>
              </w:rPr>
            </w:pPr>
            <w:r w:rsidRPr="009124CB">
              <w:rPr>
                <w:rFonts w:eastAsia="Arial"/>
              </w:rPr>
              <w:t>Pilnas sveikatos technologijos vertinimas nerekomenduojamas. NFEC n</w:t>
            </w:r>
            <w:r>
              <w:rPr>
                <w:rFonts w:eastAsia="Arial"/>
              </w:rPr>
              <w:t>erekomenduoja kompensuoti atezo</w:t>
            </w:r>
            <w:r w:rsidRPr="009124CB">
              <w:rPr>
                <w:rFonts w:eastAsia="Arial"/>
              </w:rPr>
              <w:t>lizumabą pagal pateiktą kainą</w:t>
            </w:r>
            <w:r>
              <w:rPr>
                <w:rFonts w:eastAsia="Arial"/>
              </w:rPr>
              <w:t>. Suderinus kaina vaistinis preparatas buvo rekomenduojama kompensuoti*</w:t>
            </w:r>
            <w:r w:rsidRPr="009124CB">
              <w:rPr>
                <w:rFonts w:eastAsia="Arial"/>
              </w:rPr>
              <w:t>.</w:t>
            </w:r>
          </w:p>
        </w:tc>
      </w:tr>
    </w:tbl>
    <w:p w14:paraId="73290081" w14:textId="77777777" w:rsidR="007A2B68" w:rsidRPr="008B63AB" w:rsidRDefault="007A2B68">
      <w:pPr>
        <w:rPr>
          <w:b/>
          <w:bCs/>
          <w:caps/>
        </w:rPr>
      </w:pPr>
      <w:r w:rsidRPr="008B63AB">
        <w:rPr>
          <w:b/>
          <w:bCs/>
          <w:caps/>
        </w:rPr>
        <w:br w:type="page"/>
      </w:r>
    </w:p>
    <w:p w14:paraId="5055E8A8" w14:textId="09A31708" w:rsidR="002E6F80" w:rsidRPr="008B63AB" w:rsidRDefault="00CC7832" w:rsidP="00CC09D4">
      <w:pPr>
        <w:pStyle w:val="ListParagraph"/>
        <w:numPr>
          <w:ilvl w:val="0"/>
          <w:numId w:val="12"/>
        </w:numPr>
        <w:tabs>
          <w:tab w:val="left" w:pos="567"/>
        </w:tabs>
        <w:ind w:hanging="720"/>
        <w:rPr>
          <w:b/>
          <w:bCs/>
          <w:caps/>
        </w:rPr>
      </w:pPr>
      <w:r w:rsidRPr="008B63AB">
        <w:rPr>
          <w:b/>
          <w:bCs/>
          <w:caps/>
        </w:rPr>
        <w:lastRenderedPageBreak/>
        <w:t>Klinikinio vertinimo a</w:t>
      </w:r>
      <w:r w:rsidR="00D4485B" w:rsidRPr="008B63AB">
        <w:rPr>
          <w:b/>
          <w:bCs/>
          <w:caps/>
        </w:rPr>
        <w:t>pibendrinimas</w:t>
      </w:r>
    </w:p>
    <w:p w14:paraId="50B731F2" w14:textId="77777777" w:rsidR="00D04B0B" w:rsidRPr="008B63AB" w:rsidRDefault="00D04B0B" w:rsidP="00D56378">
      <w:pPr>
        <w:tabs>
          <w:tab w:val="left" w:pos="567"/>
        </w:tabs>
        <w:rPr>
          <w:b/>
          <w:bCs/>
          <w:caps/>
        </w:rPr>
      </w:pPr>
    </w:p>
    <w:p w14:paraId="5423F716" w14:textId="77777777" w:rsidR="002A3179" w:rsidRPr="00F31528" w:rsidRDefault="002A3179" w:rsidP="002A3179">
      <w:pPr>
        <w:tabs>
          <w:tab w:val="left" w:pos="284"/>
        </w:tabs>
        <w:rPr>
          <w:b/>
          <w:bCs/>
          <w:caps/>
        </w:rPr>
      </w:pPr>
    </w:p>
    <w:p w14:paraId="02CADCA4" w14:textId="77777777" w:rsidR="002A3179" w:rsidRPr="00EB4368" w:rsidRDefault="002A3179" w:rsidP="002A3179">
      <w:pPr>
        <w:tabs>
          <w:tab w:val="left" w:pos="426"/>
        </w:tabs>
        <w:spacing w:line="360" w:lineRule="auto"/>
        <w:jc w:val="both"/>
        <w:rPr>
          <w:color w:val="000000"/>
          <w:lang w:eastAsia="lt-LT"/>
        </w:rPr>
      </w:pPr>
      <w:r>
        <w:rPr>
          <w:color w:val="000000"/>
          <w:lang w:eastAsia="lt-LT"/>
        </w:rPr>
        <w:tab/>
      </w:r>
      <w:r>
        <w:rPr>
          <w:color w:val="000000"/>
          <w:lang w:eastAsia="lt-LT"/>
        </w:rPr>
        <w:tab/>
      </w:r>
      <w:r w:rsidRPr="00A01612">
        <w:rPr>
          <w:color w:val="000000"/>
          <w:lang w:eastAsia="lt-LT"/>
        </w:rPr>
        <w:t>Klinikinėje praktikoje atsižvelgiant į plaučių vėžio biologiją, prognozę ir gydymo</w:t>
      </w:r>
      <w:r>
        <w:rPr>
          <w:color w:val="000000"/>
          <w:lang w:eastAsia="lt-LT"/>
        </w:rPr>
        <w:t xml:space="preserve"> </w:t>
      </w:r>
      <w:r w:rsidRPr="00A01612">
        <w:rPr>
          <w:color w:val="000000"/>
          <w:lang w:eastAsia="lt-LT"/>
        </w:rPr>
        <w:t>taktiką plaučių piktybiniai navikai klasifikuojami į nesmulkiųjų ir smulkiųjų ląstelių plaučių</w:t>
      </w:r>
      <w:r>
        <w:rPr>
          <w:color w:val="000000"/>
          <w:lang w:eastAsia="lt-LT"/>
        </w:rPr>
        <w:t xml:space="preserve"> </w:t>
      </w:r>
      <w:r w:rsidRPr="00A01612">
        <w:rPr>
          <w:color w:val="000000"/>
          <w:lang w:eastAsia="lt-LT"/>
        </w:rPr>
        <w:t>vėžį</w:t>
      </w:r>
      <w:r>
        <w:rPr>
          <w:color w:val="000000"/>
          <w:lang w:eastAsia="lt-LT"/>
        </w:rPr>
        <w:t xml:space="preserve">. </w:t>
      </w:r>
      <w:r w:rsidRPr="00A01612">
        <w:rPr>
          <w:color w:val="000000"/>
          <w:lang w:eastAsia="lt-LT"/>
        </w:rPr>
        <w:t>Molekulinių pažaidų nustatymas vis plačiau taikomas molekul</w:t>
      </w:r>
      <w:r>
        <w:rPr>
          <w:color w:val="000000"/>
          <w:lang w:eastAsia="lt-LT"/>
        </w:rPr>
        <w:t xml:space="preserve">inei plaučių vėžio diagnostikai, nes jis nulemia vaistinių preparatų skyrimą. </w:t>
      </w:r>
      <w:r w:rsidRPr="00B20254">
        <w:rPr>
          <w:color w:val="000000"/>
          <w:lang w:eastAsia="lt-LT"/>
        </w:rPr>
        <w:t>Dažniausiai plaučių vėžys metastazuoja į kepenis, kaulus, antinksči</w:t>
      </w:r>
      <w:r>
        <w:rPr>
          <w:color w:val="000000"/>
          <w:lang w:eastAsia="lt-LT"/>
        </w:rPr>
        <w:t xml:space="preserve">us, smegenis, kaklo limfmazgius. </w:t>
      </w:r>
      <w:r w:rsidRPr="00B20254">
        <w:rPr>
          <w:color w:val="000000"/>
          <w:lang w:eastAsia="lt-LT"/>
        </w:rPr>
        <w:t>Dauguma pacientų (90 proc.) nurodo klinikinius metastazių simptomus.</w:t>
      </w:r>
      <w:r>
        <w:rPr>
          <w:color w:val="000000"/>
          <w:lang w:eastAsia="lt-LT"/>
        </w:rPr>
        <w:t xml:space="preserve"> </w:t>
      </w:r>
      <w:r w:rsidRPr="00020FC7">
        <w:rPr>
          <w:color w:val="000000"/>
          <w:lang w:eastAsia="lt-LT"/>
        </w:rPr>
        <w:t>Klinikinė klasifikacija (žymima TNM</w:t>
      </w:r>
      <w:r>
        <w:rPr>
          <w:color w:val="000000"/>
          <w:lang w:eastAsia="lt-LT"/>
        </w:rPr>
        <w:t xml:space="preserve"> </w:t>
      </w:r>
      <w:r w:rsidRPr="00020FC7">
        <w:rPr>
          <w:color w:val="000000"/>
          <w:lang w:eastAsia="lt-LT"/>
        </w:rPr>
        <w:t xml:space="preserve">arba cTNM) nustatoma prieš </w:t>
      </w:r>
      <w:r w:rsidRPr="00EB4368">
        <w:rPr>
          <w:color w:val="000000"/>
          <w:lang w:eastAsia="lt-LT"/>
        </w:rPr>
        <w:t xml:space="preserve">pradedant gydyti, o patologinė klasifikacija (pTNM) grindžiama papildomais duomenimis, gautais operacijos metu bei ištyrus operacinę medžiagą.  </w:t>
      </w:r>
    </w:p>
    <w:p w14:paraId="3B7F2FC2" w14:textId="77777777" w:rsidR="002A3179" w:rsidRPr="00EB4368" w:rsidRDefault="002A3179" w:rsidP="002A3179">
      <w:pPr>
        <w:spacing w:line="360" w:lineRule="auto"/>
        <w:ind w:firstLine="720"/>
        <w:jc w:val="both"/>
        <w:rPr>
          <w:rFonts w:eastAsia="Arial"/>
        </w:rPr>
      </w:pPr>
      <w:r w:rsidRPr="00EB4368">
        <w:rPr>
          <w:rFonts w:eastAsia="Arial"/>
        </w:rPr>
        <w:t xml:space="preserve">Lietuvos vėžio registro duomenimis, 2012 m. plaučių vėžys nustatytas 1122 vyrams ir 299 moterims ir nuo plaučių vėžio mirė 1107 vyrai ir 258 moterys. Higienos instituto duomenimis 2017 buvo nustatyti 1538 nauji C34 atvejai. Plaučių vėžys yra dažniausia vyrų mirties nuo onkologinių ligų priežastis Lietuvoje. </w:t>
      </w:r>
      <w:r w:rsidRPr="00EB4368">
        <w:rPr>
          <w:sz w:val="23"/>
          <w:szCs w:val="23"/>
        </w:rPr>
        <w:t>Nesmulkiųjų ląstelių plaučių vėžio (NSLPV) atvejai sudaro 85-88% visų C34 susirgimų, kurie histologiškai skirstomi į plokščiųjų ląstelių NSLPV (pNSLPV), ir ne plokščiųjų ląstelių NSLPV (npNSLPV).</w:t>
      </w:r>
    </w:p>
    <w:p w14:paraId="1957F774" w14:textId="6F3E706D" w:rsidR="002A3179" w:rsidRPr="00EB4368" w:rsidRDefault="002A3179" w:rsidP="002A3179">
      <w:pPr>
        <w:tabs>
          <w:tab w:val="left" w:pos="426"/>
        </w:tabs>
        <w:spacing w:line="360" w:lineRule="auto"/>
        <w:jc w:val="both"/>
        <w:rPr>
          <w:rFonts w:eastAsia="Arial"/>
        </w:rPr>
      </w:pPr>
      <w:r w:rsidRPr="00EB4368">
        <w:rPr>
          <w:rFonts w:eastAsia="Arial"/>
        </w:rPr>
        <w:tab/>
      </w:r>
      <w:r w:rsidRPr="00EB4368">
        <w:rPr>
          <w:rFonts w:eastAsia="Arial"/>
        </w:rPr>
        <w:tab/>
        <w:t>Šiuo metu gydymo pasirinkimas gydant pacientus, sergančius NSLPV, priklauso nuo mol</w:t>
      </w:r>
      <w:r w:rsidR="00662CBF">
        <w:rPr>
          <w:rFonts w:eastAsia="Arial"/>
        </w:rPr>
        <w:t>e</w:t>
      </w:r>
      <w:r w:rsidRPr="00EB4368">
        <w:rPr>
          <w:rFonts w:eastAsia="Arial"/>
        </w:rPr>
        <w:t>ku</w:t>
      </w:r>
      <w:r w:rsidR="00EE1097">
        <w:rPr>
          <w:rFonts w:eastAsia="Arial"/>
        </w:rPr>
        <w:t>l</w:t>
      </w:r>
      <w:r w:rsidRPr="00EB4368">
        <w:rPr>
          <w:rFonts w:eastAsia="Arial"/>
        </w:rPr>
        <w:t xml:space="preserve">inės plaučių vėžio diagnostikos. Genetiniai tyrimai EGFR geno mutacijų, ALK geno translokacijų ir ROS1 geno translokacijų nustatymui rekomenduojami visiems ligoniams. Tačiau III–IV stadijos nesmulkiųjų ląstelių plaučių vėžiu sergantiems pacientams, neturintiems diagnozuotų EGFR ir ALK pažaidų, taip pat svarbu atlikti savalaikės ląstelių žūties baltymo ligando (angl. </w:t>
      </w:r>
      <w:r w:rsidRPr="003311E7">
        <w:rPr>
          <w:rFonts w:eastAsia="Arial"/>
          <w:i/>
        </w:rPr>
        <w:t>programmed death-ligand 1, PD-L1</w:t>
      </w:r>
      <w:r w:rsidRPr="00EB4368">
        <w:rPr>
          <w:rFonts w:eastAsia="Arial"/>
        </w:rPr>
        <w:t xml:space="preserve">) testavimą, nes jis yra svarbus yra svarbus kriterijus, tikintis teigiamo atsako į anti-PD-1 ar anti-PD-L1 imunoterapiją. Navikinių ląstelių membranose PD-L1 raiška vertinama procentais: &lt; 1 proc. – neigiama reakcija; 1–49 proc. – teigiama reakcija; &gt; 50 proc. – aukšto laipsnio ekspresija pagal TPS vertinimo sistemą (angl. </w:t>
      </w:r>
      <w:r w:rsidRPr="003311E7">
        <w:rPr>
          <w:rFonts w:eastAsia="Arial"/>
          <w:i/>
        </w:rPr>
        <w:t>Tumor proportion score, TPS</w:t>
      </w:r>
      <w:r w:rsidRPr="00EB4368">
        <w:rPr>
          <w:rFonts w:eastAsia="Arial"/>
        </w:rPr>
        <w:t>).</w:t>
      </w:r>
    </w:p>
    <w:p w14:paraId="5EBCDCAE" w14:textId="77777777" w:rsidR="002A3179" w:rsidRPr="00EB4368" w:rsidRDefault="002A3179" w:rsidP="002A3179">
      <w:pPr>
        <w:tabs>
          <w:tab w:val="left" w:pos="426"/>
        </w:tabs>
        <w:spacing w:line="360" w:lineRule="auto"/>
        <w:jc w:val="both"/>
      </w:pPr>
      <w:r w:rsidRPr="00EB4368">
        <w:rPr>
          <w:rFonts w:eastAsia="Arial"/>
        </w:rPr>
        <w:tab/>
      </w:r>
      <w:r w:rsidRPr="00EB4368">
        <w:rPr>
          <w:rFonts w:eastAsia="Arial"/>
        </w:rPr>
        <w:tab/>
      </w:r>
      <w:r w:rsidRPr="00EB4368">
        <w:t>Atezolizumabas yra humanizuotas imunoglobulinų G1 (IgG1) klasės monokloninis antikūnas su aktyvuotu Fc fragmentu, kuris tiesiogiai prisijungia prie PD-L1 ir kartu blokuoja tiek PD-1, tiek B7.1 receptorius, tokiu būdu išjungdamas PD-L1/PD-1 reguliuojamą imuninio atsako slopinimą ir aktyvuodamas antinavikinį imuninį atsaką, tačiau neskatindamas nuo antikūnų priklausomo ląstelinio citotoksiškumo. Atezolizumabas neveikia PD-L2/PD-1 sąveikos, tokiu būdu leisdamas plisti nuo PD-L2/PD-1 priklausomiems slopinamiesiems signalams.</w:t>
      </w:r>
    </w:p>
    <w:p w14:paraId="0E6ADA41" w14:textId="77777777" w:rsidR="002A3179" w:rsidRPr="00EB4368" w:rsidRDefault="002A3179" w:rsidP="002A3179">
      <w:pPr>
        <w:tabs>
          <w:tab w:val="left" w:pos="426"/>
        </w:tabs>
        <w:spacing w:line="360" w:lineRule="auto"/>
        <w:jc w:val="both"/>
        <w:rPr>
          <w:rFonts w:eastAsia="Arial"/>
        </w:rPr>
      </w:pPr>
      <w:r w:rsidRPr="00EB4368">
        <w:rPr>
          <w:rFonts w:eastAsia="Arial"/>
        </w:rPr>
        <w:tab/>
      </w:r>
      <w:r w:rsidRPr="00EB4368">
        <w:rPr>
          <w:rFonts w:eastAsia="Arial"/>
        </w:rPr>
        <w:tab/>
        <w:t xml:space="preserve">Siūlomo kompensuoti vaistinio preparato </w:t>
      </w:r>
      <w:r w:rsidRPr="00EB4368">
        <w:t xml:space="preserve">atezolizumabo </w:t>
      </w:r>
      <w:r w:rsidRPr="00EB4368">
        <w:rPr>
          <w:rFonts w:eastAsia="Arial"/>
        </w:rPr>
        <w:t xml:space="preserve">indikacijos apimtis, - </w:t>
      </w:r>
      <w:r w:rsidRPr="00EB4368">
        <w:rPr>
          <w:rFonts w:eastAsia="Arial"/>
          <w:b/>
        </w:rPr>
        <w:t>tai gydymo chemoterapija negavę suaugusieji pacientai,</w:t>
      </w:r>
      <w:r w:rsidRPr="00EB4368">
        <w:rPr>
          <w:rFonts w:eastAsia="Arial"/>
        </w:rPr>
        <w:t xml:space="preserve"> sergantys metastazavusiu nesmulkiųjų ląstelių plaučių vėžiu (NSLPV), kai nustatyta PD-L1 raiška naviko ląstelėse (NL) yra ≥ 50 proc. arba naviką infiltruojančiose imuninėse ląstelėse (IL) yra ≥ 10 proc. bei kai nenustatyta EGFR mutacijų arba ALK </w:t>
      </w:r>
      <w:r w:rsidRPr="00EB4368">
        <w:rPr>
          <w:rFonts w:eastAsia="Arial"/>
        </w:rPr>
        <w:lastRenderedPageBreak/>
        <w:t xml:space="preserve">teigiamo NSLPV. Paraiškos indikacijos liga (NSLPV), jos stadija (metastazavusi), ir biologinio žymens (aukšta PD-L1 raiška) statusas, bei papildomos klinikinės aplinkybės, t.y. nesant EGFR arba ALK mutacijų, </w:t>
      </w:r>
      <w:r w:rsidRPr="00BC33C5">
        <w:rPr>
          <w:rFonts w:eastAsia="Arial"/>
        </w:rPr>
        <w:t>iš dalies</w:t>
      </w:r>
      <w:r w:rsidRPr="00EB4368">
        <w:rPr>
          <w:rFonts w:eastAsia="Arial"/>
        </w:rPr>
        <w:t xml:space="preserve"> atitinka šiuo metu jau kompensuojamo vaisto pembrolizumabo indikacijos pacientų imtį. </w:t>
      </w:r>
    </w:p>
    <w:p w14:paraId="34439754" w14:textId="44210CE6" w:rsidR="002A3179" w:rsidRPr="00EB4368" w:rsidRDefault="002A3179" w:rsidP="002A3179">
      <w:pPr>
        <w:spacing w:line="360" w:lineRule="auto"/>
        <w:jc w:val="both"/>
        <w:rPr>
          <w:rFonts w:eastAsia="Arial"/>
        </w:rPr>
      </w:pPr>
      <w:r w:rsidRPr="00EB4368">
        <w:rPr>
          <w:rFonts w:eastAsia="Arial"/>
        </w:rPr>
        <w:tab/>
        <w:t>Remiantis L</w:t>
      </w:r>
      <w:r w:rsidR="003F2CE7">
        <w:rPr>
          <w:rFonts w:eastAsia="Arial"/>
        </w:rPr>
        <w:t xml:space="preserve">ietuvos </w:t>
      </w:r>
      <w:r w:rsidR="003F2CE7" w:rsidRPr="00EE1097">
        <w:rPr>
          <w:rFonts w:eastAsia="Arial"/>
        </w:rPr>
        <w:t>res</w:t>
      </w:r>
      <w:r w:rsidR="00DA4457" w:rsidRPr="003311E7">
        <w:rPr>
          <w:rFonts w:eastAsia="Arial"/>
        </w:rPr>
        <w:t>p</w:t>
      </w:r>
      <w:r w:rsidR="003F2CE7" w:rsidRPr="00EE1097">
        <w:rPr>
          <w:rFonts w:eastAsia="Arial"/>
        </w:rPr>
        <w:t>ublikos</w:t>
      </w:r>
      <w:r w:rsidRPr="00EB4368">
        <w:rPr>
          <w:rFonts w:eastAsia="Arial"/>
        </w:rPr>
        <w:t xml:space="preserve"> Sveikatos apsaugos ministro </w:t>
      </w:r>
      <w:r w:rsidR="003F2CE7">
        <w:rPr>
          <w:rFonts w:eastAsia="Arial"/>
        </w:rPr>
        <w:t>2000 m</w:t>
      </w:r>
      <w:r w:rsidR="00DA4457">
        <w:rPr>
          <w:rFonts w:eastAsia="Arial"/>
        </w:rPr>
        <w:t>.</w:t>
      </w:r>
      <w:r w:rsidR="003F2CE7">
        <w:rPr>
          <w:rFonts w:eastAsia="Arial"/>
        </w:rPr>
        <w:t xml:space="preserve">, sausio 28 d. </w:t>
      </w:r>
      <w:r w:rsidRPr="00EB4368">
        <w:rPr>
          <w:rFonts w:eastAsia="Arial"/>
        </w:rPr>
        <w:t xml:space="preserve">įsakymu </w:t>
      </w:r>
      <w:r w:rsidR="003F2CE7" w:rsidRPr="00EB4368">
        <w:rPr>
          <w:rFonts w:eastAsia="Arial"/>
        </w:rPr>
        <w:t>Nr.</w:t>
      </w:r>
      <w:r w:rsidR="003F2CE7">
        <w:rPr>
          <w:rFonts w:eastAsia="Arial"/>
        </w:rPr>
        <w:t xml:space="preserve"> </w:t>
      </w:r>
      <w:r w:rsidR="003F2CE7" w:rsidRPr="00EB4368">
        <w:rPr>
          <w:rFonts w:eastAsia="Arial"/>
        </w:rPr>
        <w:t xml:space="preserve">49 </w:t>
      </w:r>
      <w:r w:rsidRPr="00EB4368">
        <w:rPr>
          <w:rFonts w:eastAsia="Arial"/>
        </w:rPr>
        <w:t>„Dėl kompensuojamųjų vaistų sąrašų patvirtinimo</w:t>
      </w:r>
      <w:r w:rsidR="003F2CE7">
        <w:rPr>
          <w:rFonts w:eastAsia="Arial"/>
        </w:rPr>
        <w:t>“</w:t>
      </w:r>
      <w:r w:rsidRPr="00EB4368">
        <w:rPr>
          <w:rFonts w:eastAsia="Arial"/>
        </w:rPr>
        <w:t xml:space="preserve"> pacientams, „kuriems diagnozuotas metastazavęs nesmulkiųjų ląstelių plaučių vėžys, kurių navikuose PD-L1 raiška naviko proporcijos balas yra ≥ 50 proc., o epidermio augimo faktoriaus receptoriaus raiška naviko mutacijų ar ALK translokacijų nenustatyta, skiriamas pembrolizumabas“. Gydymui pembrolizumabu tinkamiems pacientams atrinkti Lietuvos klinikinėje praktikoje yra naudojamas 22C3 (Dako) imunohistocheminis testas. Atezolizumabo monotoerapija būtų pasirinkimo gydymas, lyginant su pembrolizumabo monoterapija, kuri dabar yra įprastinė kliniki</w:t>
      </w:r>
      <w:r w:rsidR="000904CE">
        <w:rPr>
          <w:rFonts w:eastAsia="Arial"/>
        </w:rPr>
        <w:t>nė</w:t>
      </w:r>
      <w:r w:rsidRPr="00EB4368">
        <w:rPr>
          <w:rFonts w:eastAsia="Arial"/>
        </w:rPr>
        <w:t xml:space="preserve"> praktika Lietuvoje.</w:t>
      </w:r>
    </w:p>
    <w:p w14:paraId="20112F55" w14:textId="77777777" w:rsidR="002A3179" w:rsidRPr="00EB4368" w:rsidRDefault="002A3179" w:rsidP="002A3179">
      <w:pPr>
        <w:spacing w:line="360" w:lineRule="auto"/>
        <w:jc w:val="both"/>
        <w:rPr>
          <w:rFonts w:eastAsia="Arial"/>
          <w:i/>
        </w:rPr>
      </w:pPr>
    </w:p>
    <w:p w14:paraId="4E51A419" w14:textId="77777777" w:rsidR="002A3179" w:rsidRPr="00EB4368" w:rsidRDefault="002A3179" w:rsidP="002A3179">
      <w:pPr>
        <w:spacing w:line="360" w:lineRule="auto"/>
        <w:jc w:val="both"/>
        <w:rPr>
          <w:i/>
          <w:color w:val="000000"/>
          <w:lang w:eastAsia="lt-LT"/>
        </w:rPr>
      </w:pPr>
      <w:r w:rsidRPr="00EB4368">
        <w:rPr>
          <w:rFonts w:eastAsia="Arial"/>
          <w:i/>
        </w:rPr>
        <w:t>Tiesioginis palyginimas</w:t>
      </w:r>
    </w:p>
    <w:p w14:paraId="2D113337" w14:textId="3BC12E28" w:rsidR="002A3179" w:rsidRPr="00CB3FCC" w:rsidRDefault="002A3179" w:rsidP="002A3179">
      <w:pPr>
        <w:widowControl w:val="0"/>
        <w:pBdr>
          <w:top w:val="nil"/>
          <w:left w:val="nil"/>
          <w:bottom w:val="nil"/>
          <w:right w:val="nil"/>
          <w:between w:val="nil"/>
        </w:pBdr>
        <w:spacing w:line="360" w:lineRule="auto"/>
        <w:ind w:firstLine="720"/>
        <w:jc w:val="both"/>
        <w:rPr>
          <w:color w:val="000000" w:themeColor="text1"/>
        </w:rPr>
      </w:pPr>
      <w:r w:rsidRPr="00EB4368">
        <w:t>IMpower110 – atsitiktinių imčių, atvirasis, daugiacentris III fazės klinikinis tyrimas, kuriame dalyvavo metastazavusiu NSLPV</w:t>
      </w:r>
      <w:r w:rsidRPr="00786664">
        <w:t xml:space="preserve"> sergantys pacientai, kuriems anksčiau nebuvo skirta chemoterapija</w:t>
      </w:r>
      <w:r>
        <w:t xml:space="preserve">. </w:t>
      </w:r>
      <w:r>
        <w:rPr>
          <w:rFonts w:eastAsia="Arial"/>
        </w:rPr>
        <w:t>Siūlomą kompensuoti indikaciją atitinka trečdalis klinikiniame tyrime dalyvavusių pacientų</w:t>
      </w:r>
      <w:r w:rsidR="008D27C7">
        <w:rPr>
          <w:rFonts w:eastAsia="Arial"/>
        </w:rPr>
        <w:t xml:space="preserve"> (n</w:t>
      </w:r>
      <w:r w:rsidR="008D27C7">
        <w:rPr>
          <w:rFonts w:eastAsia="Arial"/>
          <w:lang w:val="en-US"/>
        </w:rPr>
        <w:t>=</w:t>
      </w:r>
      <w:r>
        <w:rPr>
          <w:rFonts w:eastAsia="Arial"/>
        </w:rPr>
        <w:t xml:space="preserve"> 205</w:t>
      </w:r>
      <w:r w:rsidR="008D27C7">
        <w:rPr>
          <w:rFonts w:eastAsia="Arial"/>
        </w:rPr>
        <w:t>)</w:t>
      </w:r>
      <w:r>
        <w:rPr>
          <w:rFonts w:eastAsia="Arial"/>
        </w:rPr>
        <w:t>.</w:t>
      </w:r>
      <w:r>
        <w:rPr>
          <w:rFonts w:eastAsia="Arial"/>
          <w:b/>
        </w:rPr>
        <w:t xml:space="preserve"> </w:t>
      </w:r>
      <w:r w:rsidR="008D27C7">
        <w:rPr>
          <w:color w:val="000000" w:themeColor="text1"/>
        </w:rPr>
        <w:t>P</w:t>
      </w:r>
      <w:r w:rsidRPr="00AE196C">
        <w:rPr>
          <w:color w:val="000000" w:themeColor="text1"/>
        </w:rPr>
        <w:t>aminėti</w:t>
      </w:r>
      <w:r w:rsidR="008D27C7">
        <w:rPr>
          <w:color w:val="000000" w:themeColor="text1"/>
        </w:rPr>
        <w:t>na</w:t>
      </w:r>
      <w:r w:rsidRPr="00AE196C">
        <w:rPr>
          <w:color w:val="000000" w:themeColor="text1"/>
        </w:rPr>
        <w:t>, kad tyrimas pradėtas 2015 m. Azetolizumabas buvo lyginamas su tuo metu I pasirinkimo chemoterapiniu gydymu. Šiuo metu nurodytos chemoterapijos schemos yra neaktualios Lietuvoje ir ESMO nerekomenduojamos NSLPV gydymui</w:t>
      </w:r>
      <w:r>
        <w:rPr>
          <w:color w:val="000000" w:themeColor="text1"/>
        </w:rPr>
        <w:t>.</w:t>
      </w:r>
    </w:p>
    <w:p w14:paraId="07E6A08C" w14:textId="6B60A0A5" w:rsidR="002A3179" w:rsidRDefault="002A3179" w:rsidP="002A3179">
      <w:pPr>
        <w:pStyle w:val="Default"/>
        <w:spacing w:line="360" w:lineRule="auto"/>
        <w:ind w:firstLine="720"/>
        <w:jc w:val="both"/>
        <w:rPr>
          <w:rFonts w:ascii="Times New Roman" w:eastAsia="Arial" w:hAnsi="Times New Roman" w:cs="Times New Roman"/>
          <w:color w:val="000000" w:themeColor="text1"/>
        </w:rPr>
      </w:pPr>
      <w:r w:rsidRPr="00826C5A">
        <w:rPr>
          <w:rFonts w:ascii="Times New Roman" w:eastAsia="Arial" w:hAnsi="Times New Roman" w:cs="Times New Roman"/>
          <w:color w:val="000000" w:themeColor="text1"/>
        </w:rPr>
        <w:t xml:space="preserve">IMpower110 tyrimo </w:t>
      </w:r>
      <w:r w:rsidRPr="00BC33C5">
        <w:rPr>
          <w:rFonts w:ascii="Times New Roman" w:eastAsia="Arial" w:hAnsi="Times New Roman" w:cs="Times New Roman"/>
          <w:color w:val="000000" w:themeColor="text1"/>
        </w:rPr>
        <w:t>pagrindinė</w:t>
      </w:r>
      <w:r w:rsidRPr="00826C5A">
        <w:rPr>
          <w:rFonts w:ascii="Times New Roman" w:eastAsia="Arial" w:hAnsi="Times New Roman" w:cs="Times New Roman"/>
          <w:color w:val="000000" w:themeColor="text1"/>
        </w:rPr>
        <w:t xml:space="preserve"> (pirminė) veiksmingumo vertinamoji </w:t>
      </w:r>
      <w:r w:rsidRPr="00BC33C5">
        <w:rPr>
          <w:rFonts w:ascii="Times New Roman" w:eastAsia="Arial" w:hAnsi="Times New Roman" w:cs="Times New Roman"/>
          <w:color w:val="000000" w:themeColor="text1"/>
        </w:rPr>
        <w:t>baigtis</w:t>
      </w:r>
      <w:r w:rsidRPr="00826C5A">
        <w:rPr>
          <w:rFonts w:ascii="Times New Roman" w:eastAsia="Arial" w:hAnsi="Times New Roman" w:cs="Times New Roman"/>
          <w:color w:val="000000" w:themeColor="text1"/>
        </w:rPr>
        <w:t xml:space="preserve"> buvo BI – yra</w:t>
      </w:r>
      <w:r w:rsidRPr="00E808A6">
        <w:rPr>
          <w:rFonts w:ascii="Times New Roman" w:eastAsia="Arial" w:hAnsi="Times New Roman" w:cs="Times New Roman"/>
          <w:color w:val="000000" w:themeColor="text1"/>
        </w:rPr>
        <w:t xml:space="preserve"> aiškiai apibrėžiama ir tinkama </w:t>
      </w:r>
      <w:r w:rsidR="00826C5A">
        <w:rPr>
          <w:rFonts w:ascii="Times New Roman" w:eastAsia="Arial" w:hAnsi="Times New Roman" w:cs="Times New Roman"/>
          <w:color w:val="000000" w:themeColor="text1"/>
        </w:rPr>
        <w:t>veiksmingumo</w:t>
      </w:r>
      <w:r w:rsidR="00826C5A" w:rsidRPr="00E808A6">
        <w:rPr>
          <w:rFonts w:ascii="Times New Roman" w:eastAsia="Arial" w:hAnsi="Times New Roman" w:cs="Times New Roman"/>
          <w:color w:val="000000" w:themeColor="text1"/>
        </w:rPr>
        <w:t xml:space="preserve"> </w:t>
      </w:r>
      <w:r w:rsidRPr="00E808A6">
        <w:rPr>
          <w:rFonts w:ascii="Times New Roman" w:eastAsia="Arial" w:hAnsi="Times New Roman" w:cs="Times New Roman"/>
          <w:color w:val="000000" w:themeColor="text1"/>
        </w:rPr>
        <w:t>vertinimui</w:t>
      </w:r>
      <w:r>
        <w:rPr>
          <w:rFonts w:ascii="Times New Roman" w:eastAsia="Arial" w:hAnsi="Times New Roman" w:cs="Times New Roman"/>
          <w:color w:val="000000" w:themeColor="text1"/>
        </w:rPr>
        <w:t xml:space="preserve">. </w:t>
      </w:r>
      <w:r w:rsidRPr="00A857FA">
        <w:rPr>
          <w:rFonts w:ascii="Times New Roman" w:eastAsia="Arial" w:hAnsi="Times New Roman" w:cs="Times New Roman"/>
          <w:color w:val="000000" w:themeColor="text1"/>
        </w:rPr>
        <w:t>BI rodmens</w:t>
      </w:r>
      <w:r>
        <w:rPr>
          <w:rFonts w:ascii="Times New Roman" w:eastAsia="Arial" w:hAnsi="Times New Roman" w:cs="Times New Roman"/>
          <w:color w:val="000000" w:themeColor="text1"/>
        </w:rPr>
        <w:t xml:space="preserve"> </w:t>
      </w:r>
      <w:r w:rsidRPr="00A857FA">
        <w:rPr>
          <w:rFonts w:ascii="Times New Roman" w:eastAsia="Arial" w:hAnsi="Times New Roman" w:cs="Times New Roman"/>
          <w:color w:val="000000" w:themeColor="text1"/>
        </w:rPr>
        <w:t>duomenų analizė rodo, kad pacientų, kuriems</w:t>
      </w:r>
      <w:r>
        <w:rPr>
          <w:rFonts w:ascii="Times New Roman" w:eastAsia="Arial" w:hAnsi="Times New Roman" w:cs="Times New Roman"/>
          <w:color w:val="000000" w:themeColor="text1"/>
        </w:rPr>
        <w:t xml:space="preserve"> nustatyta didelė PD-L1 raiška</w:t>
      </w:r>
      <w:r w:rsidRPr="00A857FA">
        <w:rPr>
          <w:rFonts w:ascii="Times New Roman" w:eastAsia="Arial" w:hAnsi="Times New Roman" w:cs="Times New Roman"/>
          <w:color w:val="000000" w:themeColor="text1"/>
        </w:rPr>
        <w:t xml:space="preserve"> buvo statistiškai reikšmingas BI</w:t>
      </w:r>
      <w:r>
        <w:rPr>
          <w:rFonts w:ascii="Times New Roman" w:eastAsia="Arial" w:hAnsi="Times New Roman" w:cs="Times New Roman"/>
          <w:color w:val="000000" w:themeColor="text1"/>
        </w:rPr>
        <w:t xml:space="preserve"> </w:t>
      </w:r>
      <w:r w:rsidRPr="00A857FA">
        <w:rPr>
          <w:rFonts w:ascii="Times New Roman" w:eastAsia="Arial" w:hAnsi="Times New Roman" w:cs="Times New Roman"/>
          <w:color w:val="000000" w:themeColor="text1"/>
        </w:rPr>
        <w:t>rodmens pagerėjimas atezol</w:t>
      </w:r>
      <w:r>
        <w:rPr>
          <w:rFonts w:ascii="Times New Roman" w:eastAsia="Arial" w:hAnsi="Times New Roman" w:cs="Times New Roman"/>
          <w:color w:val="000000" w:themeColor="text1"/>
        </w:rPr>
        <w:t>izumabo vartojusiųjų tarpe</w:t>
      </w:r>
      <w:r w:rsidRPr="00A857FA">
        <w:rPr>
          <w:rFonts w:ascii="Times New Roman" w:eastAsia="Arial" w:hAnsi="Times New Roman" w:cs="Times New Roman"/>
          <w:color w:val="000000" w:themeColor="text1"/>
        </w:rPr>
        <w:t>, lyginant su chemoterapijos grupe</w:t>
      </w:r>
      <w:r w:rsidR="007E31D4">
        <w:rPr>
          <w:rFonts w:ascii="Times New Roman" w:eastAsia="Arial" w:hAnsi="Times New Roman" w:cs="Times New Roman"/>
          <w:color w:val="000000" w:themeColor="text1"/>
        </w:rPr>
        <w:t>: BI mediana atezolizumabo grupėje buvo 20,2 mėn. bei 13,1 mėn. chemoterapijos grupėje (</w:t>
      </w:r>
      <w:r w:rsidR="007E31D4" w:rsidRPr="00A87EB2">
        <w:rPr>
          <w:rFonts w:ascii="Times New Roman" w:eastAsia="Arial" w:hAnsi="Times New Roman" w:cs="Times New Roman"/>
          <w:i/>
          <w:color w:val="auto"/>
        </w:rPr>
        <w:t>p</w:t>
      </w:r>
      <w:r w:rsidR="007E31D4" w:rsidRPr="00A87EB2">
        <w:rPr>
          <w:rFonts w:ascii="Times New Roman" w:eastAsia="Arial" w:hAnsi="Times New Roman" w:cs="Times New Roman"/>
          <w:color w:val="auto"/>
        </w:rPr>
        <w:t xml:space="preserve">  = 0,0106</w:t>
      </w:r>
      <w:r w:rsidR="007E31D4">
        <w:rPr>
          <w:rFonts w:ascii="Times New Roman" w:eastAsia="Arial" w:hAnsi="Times New Roman" w:cs="Times New Roman"/>
          <w:color w:val="auto"/>
        </w:rPr>
        <w:t xml:space="preserve">). </w:t>
      </w:r>
    </w:p>
    <w:p w14:paraId="35A9CCFD" w14:textId="213D63EE" w:rsidR="002A3179" w:rsidRDefault="002A3179" w:rsidP="002A3179">
      <w:pPr>
        <w:pStyle w:val="Default"/>
        <w:spacing w:line="360" w:lineRule="auto"/>
        <w:ind w:firstLine="720"/>
        <w:jc w:val="both"/>
      </w:pPr>
      <w:r w:rsidRPr="00E808A6">
        <w:rPr>
          <w:rFonts w:ascii="Times New Roman" w:eastAsia="Arial" w:hAnsi="Times New Roman" w:cs="Times New Roman"/>
          <w:color w:val="000000" w:themeColor="text1"/>
        </w:rPr>
        <w:t>Tyrėjo įvertinto IBLP rodmens duomenų analizė rodo, kad pacient</w:t>
      </w:r>
      <w:r w:rsidR="00EE1097">
        <w:rPr>
          <w:rFonts w:ascii="Times New Roman" w:eastAsia="Arial" w:hAnsi="Times New Roman" w:cs="Times New Roman"/>
          <w:color w:val="000000" w:themeColor="text1"/>
        </w:rPr>
        <w:t>ams</w:t>
      </w:r>
      <w:r w:rsidRPr="00E808A6">
        <w:rPr>
          <w:rFonts w:ascii="Times New Roman" w:eastAsia="Arial" w:hAnsi="Times New Roman" w:cs="Times New Roman"/>
          <w:color w:val="000000" w:themeColor="text1"/>
        </w:rPr>
        <w:t>, kuriems nustatyta didelė PD-L1 raiška, buvo statistiškai reikšmingas IBLP rodmens pagerėjimas atezolizumabo vartojusiųjų grupėje, lyginant su chemoterapijos grupe</w:t>
      </w:r>
      <w:r w:rsidR="00EE1097">
        <w:rPr>
          <w:rFonts w:ascii="Times New Roman" w:eastAsia="Arial" w:hAnsi="Times New Roman" w:cs="Times New Roman"/>
          <w:color w:val="000000" w:themeColor="text1"/>
        </w:rPr>
        <w:t>.</w:t>
      </w:r>
      <w:r w:rsidR="007E31D4">
        <w:rPr>
          <w:rFonts w:ascii="Times New Roman" w:eastAsia="Arial" w:hAnsi="Times New Roman" w:cs="Times New Roman"/>
          <w:color w:val="000000" w:themeColor="text1"/>
        </w:rPr>
        <w:t xml:space="preserve"> IBLP mediana atezolizumabo grupėje buvo 8,1 mėn.</w:t>
      </w:r>
      <w:r w:rsidR="00EE1097">
        <w:rPr>
          <w:rFonts w:ascii="Times New Roman" w:eastAsia="Arial" w:hAnsi="Times New Roman" w:cs="Times New Roman"/>
          <w:color w:val="000000" w:themeColor="text1"/>
        </w:rPr>
        <w:t xml:space="preserve"> palyginus su</w:t>
      </w:r>
      <w:r w:rsidR="007E31D4">
        <w:rPr>
          <w:rFonts w:ascii="Times New Roman" w:eastAsia="Arial" w:hAnsi="Times New Roman" w:cs="Times New Roman"/>
          <w:color w:val="000000" w:themeColor="text1"/>
        </w:rPr>
        <w:t xml:space="preserve"> 5,0 mėn. chemoterapijos grupėje (</w:t>
      </w:r>
      <w:r w:rsidR="007E31D4" w:rsidRPr="00A87EB2">
        <w:rPr>
          <w:rFonts w:ascii="Times New Roman" w:eastAsia="Arial" w:hAnsi="Times New Roman" w:cs="Times New Roman"/>
          <w:color w:val="auto"/>
        </w:rPr>
        <w:t xml:space="preserve">p </w:t>
      </w:r>
      <w:r w:rsidR="007E31D4" w:rsidRPr="00A87EB2">
        <w:rPr>
          <w:rFonts w:ascii="Times New Roman" w:eastAsia="Arial" w:hAnsi="Times New Roman" w:cs="Times New Roman"/>
          <w:color w:val="auto"/>
          <w:lang w:val="en-GB"/>
        </w:rPr>
        <w:t>=</w:t>
      </w:r>
      <w:r w:rsidR="007E31D4" w:rsidRPr="00A87EB2">
        <w:rPr>
          <w:rFonts w:ascii="Times New Roman" w:eastAsia="Arial" w:hAnsi="Times New Roman" w:cs="Times New Roman"/>
          <w:color w:val="auto"/>
        </w:rPr>
        <w:t xml:space="preserve"> 0,007</w:t>
      </w:r>
      <w:r w:rsidR="007E31D4">
        <w:rPr>
          <w:rFonts w:ascii="Times New Roman" w:eastAsia="Arial" w:hAnsi="Times New Roman" w:cs="Times New Roman"/>
          <w:color w:val="auto"/>
        </w:rPr>
        <w:t>).</w:t>
      </w:r>
    </w:p>
    <w:p w14:paraId="4E29CD3E" w14:textId="0ED0CE85" w:rsidR="002A3179" w:rsidRDefault="002A3179" w:rsidP="002A3179">
      <w:pPr>
        <w:tabs>
          <w:tab w:val="left" w:pos="426"/>
        </w:tabs>
        <w:spacing w:line="360" w:lineRule="auto"/>
        <w:jc w:val="both"/>
        <w:rPr>
          <w:iCs/>
        </w:rPr>
      </w:pPr>
      <w:r>
        <w:tab/>
      </w:r>
      <w:r>
        <w:tab/>
      </w:r>
      <w:r>
        <w:rPr>
          <w:iCs/>
        </w:rPr>
        <w:t xml:space="preserve">Pareiškėjas pateikė pacientų praneštų baigčių vidinę analizę, kurios rezultatai nurodo, kad </w:t>
      </w:r>
      <w:r w:rsidRPr="00E808A6">
        <w:rPr>
          <w:rFonts w:eastAsia="Arial"/>
          <w:color w:val="000000" w:themeColor="text1"/>
        </w:rPr>
        <w:t>atezolizumab</w:t>
      </w:r>
      <w:r w:rsidR="00EE1097">
        <w:rPr>
          <w:rFonts w:eastAsia="Arial"/>
          <w:color w:val="000000" w:themeColor="text1"/>
        </w:rPr>
        <w:t>1</w:t>
      </w:r>
      <w:r>
        <w:rPr>
          <w:rFonts w:eastAsia="Arial"/>
          <w:color w:val="000000" w:themeColor="text1"/>
        </w:rPr>
        <w:t xml:space="preserve"> pacient</w:t>
      </w:r>
      <w:r w:rsidR="00EE1097">
        <w:rPr>
          <w:rFonts w:eastAsia="Arial"/>
          <w:color w:val="000000" w:themeColor="text1"/>
        </w:rPr>
        <w:t>ai</w:t>
      </w:r>
      <w:r>
        <w:rPr>
          <w:rFonts w:eastAsia="Arial"/>
          <w:color w:val="000000" w:themeColor="text1"/>
        </w:rPr>
        <w:t xml:space="preserve"> toler</w:t>
      </w:r>
      <w:r w:rsidR="00EE1097">
        <w:rPr>
          <w:rFonts w:eastAsia="Arial"/>
          <w:color w:val="000000" w:themeColor="text1"/>
        </w:rPr>
        <w:t>avo</w:t>
      </w:r>
      <w:r>
        <w:rPr>
          <w:rFonts w:eastAsia="Arial"/>
          <w:color w:val="000000" w:themeColor="text1"/>
        </w:rPr>
        <w:t xml:space="preserve"> geriau, </w:t>
      </w:r>
      <w:r>
        <w:rPr>
          <w:iCs/>
        </w:rPr>
        <w:t>tačiau rezultatai nurodyti tik pateikiant Kaplan-</w:t>
      </w:r>
      <w:r w:rsidRPr="00ED4B74">
        <w:rPr>
          <w:rFonts w:eastAsia="Arial"/>
          <w:bCs/>
        </w:rPr>
        <w:t xml:space="preserve"> </w:t>
      </w:r>
      <w:r w:rsidRPr="007874A2">
        <w:rPr>
          <w:rFonts w:eastAsia="Arial"/>
          <w:bCs/>
        </w:rPr>
        <w:t xml:space="preserve">Meier </w:t>
      </w:r>
      <w:r>
        <w:rPr>
          <w:iCs/>
        </w:rPr>
        <w:t>grafikus nenurodant rizikos santykių, 95 proc. pasikliautinų</w:t>
      </w:r>
      <w:r w:rsidR="00DA4457">
        <w:rPr>
          <w:iCs/>
        </w:rPr>
        <w:t>jų</w:t>
      </w:r>
      <w:r>
        <w:rPr>
          <w:iCs/>
        </w:rPr>
        <w:t xml:space="preserve"> intervalų bei įrodymų </w:t>
      </w:r>
      <w:r w:rsidRPr="007676DA">
        <w:rPr>
          <w:iCs/>
        </w:rPr>
        <w:t xml:space="preserve">lygmens, todėl </w:t>
      </w:r>
      <w:r w:rsidR="005A1F1D">
        <w:rPr>
          <w:iCs/>
        </w:rPr>
        <w:t>neįmanoma į</w:t>
      </w:r>
      <w:r w:rsidRPr="007676DA">
        <w:rPr>
          <w:iCs/>
        </w:rPr>
        <w:t>vertin</w:t>
      </w:r>
      <w:r w:rsidR="005A1F1D">
        <w:rPr>
          <w:iCs/>
        </w:rPr>
        <w:t>ti</w:t>
      </w:r>
      <w:r w:rsidRPr="007676DA">
        <w:rPr>
          <w:iCs/>
        </w:rPr>
        <w:t xml:space="preserve"> ir teisinga</w:t>
      </w:r>
      <w:r w:rsidR="005A1F1D">
        <w:rPr>
          <w:iCs/>
        </w:rPr>
        <w:t>i</w:t>
      </w:r>
      <w:r w:rsidRPr="007676DA">
        <w:rPr>
          <w:iCs/>
        </w:rPr>
        <w:t xml:space="preserve"> </w:t>
      </w:r>
      <w:r w:rsidR="005A1F1D">
        <w:rPr>
          <w:iCs/>
        </w:rPr>
        <w:t xml:space="preserve">interpretuoti </w:t>
      </w:r>
      <w:r w:rsidRPr="007676DA">
        <w:rPr>
          <w:iCs/>
        </w:rPr>
        <w:t>pacientų praneštų baigčių rez</w:t>
      </w:r>
      <w:r>
        <w:rPr>
          <w:iCs/>
        </w:rPr>
        <w:t>ultatų</w:t>
      </w:r>
      <w:r w:rsidR="005A1F1D">
        <w:rPr>
          <w:iCs/>
        </w:rPr>
        <w:t>.</w:t>
      </w:r>
      <w:r>
        <w:rPr>
          <w:iCs/>
        </w:rPr>
        <w:t xml:space="preserve"> </w:t>
      </w:r>
    </w:p>
    <w:p w14:paraId="34B39A5E" w14:textId="77777777" w:rsidR="002A3179" w:rsidRDefault="002A3179" w:rsidP="002A3179">
      <w:pPr>
        <w:pStyle w:val="Default"/>
        <w:spacing w:line="360" w:lineRule="auto"/>
        <w:ind w:firstLine="72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Žvalgomosios analizės metu įvertintas BI prarado savo statistinį reikšmingumą, tačiau vertinant pacientų imtį, t.y. IV st. plaučių vėžio populiaciją, šis reikšmingumo praradimas ilguoju </w:t>
      </w:r>
      <w:r>
        <w:rPr>
          <w:rFonts w:ascii="Times New Roman" w:eastAsia="Arial" w:hAnsi="Times New Roman" w:cs="Times New Roman"/>
          <w:color w:val="000000" w:themeColor="text1"/>
        </w:rPr>
        <w:lastRenderedPageBreak/>
        <w:t>laikotarpiu yra priimtinas. Žvalgomosios analizės vertinto IBLP</w:t>
      </w:r>
      <w:r w:rsidRPr="00A857FA">
        <w:rPr>
          <w:rFonts w:ascii="Times New Roman" w:eastAsia="Arial" w:hAnsi="Times New Roman" w:cs="Times New Roman"/>
          <w:color w:val="000000" w:themeColor="text1"/>
        </w:rPr>
        <w:t xml:space="preserve"> duomenų analizė rodo, kad pacientų, kuriems nustatyt</w:t>
      </w:r>
      <w:r>
        <w:rPr>
          <w:rFonts w:ascii="Times New Roman" w:eastAsia="Arial" w:hAnsi="Times New Roman" w:cs="Times New Roman"/>
          <w:color w:val="000000" w:themeColor="text1"/>
        </w:rPr>
        <w:t>a didelė PD-L1 raiška</w:t>
      </w:r>
      <w:r w:rsidRPr="00A857FA">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 xml:space="preserve">vartojant </w:t>
      </w:r>
      <w:r w:rsidRPr="00A857FA">
        <w:rPr>
          <w:rFonts w:ascii="Times New Roman" w:eastAsia="Arial" w:hAnsi="Times New Roman" w:cs="Times New Roman"/>
          <w:color w:val="000000" w:themeColor="text1"/>
        </w:rPr>
        <w:t xml:space="preserve"> atezolizumab</w:t>
      </w:r>
      <w:r>
        <w:rPr>
          <w:rFonts w:ascii="Times New Roman" w:eastAsia="Arial" w:hAnsi="Times New Roman" w:cs="Times New Roman"/>
          <w:color w:val="000000" w:themeColor="text1"/>
        </w:rPr>
        <w:t>ą</w:t>
      </w:r>
      <w:r w:rsidRPr="00A857FA">
        <w:rPr>
          <w:rFonts w:ascii="Times New Roman" w:eastAsia="Arial" w:hAnsi="Times New Roman" w:cs="Times New Roman"/>
          <w:color w:val="000000" w:themeColor="text1"/>
        </w:rPr>
        <w:t xml:space="preserve"> buvo statistiškai reikšmingas </w:t>
      </w:r>
      <w:r>
        <w:rPr>
          <w:rFonts w:ascii="Times New Roman" w:eastAsia="Arial" w:hAnsi="Times New Roman" w:cs="Times New Roman"/>
          <w:color w:val="000000" w:themeColor="text1"/>
        </w:rPr>
        <w:t xml:space="preserve">IBLP </w:t>
      </w:r>
      <w:r w:rsidRPr="00A857FA">
        <w:rPr>
          <w:rFonts w:ascii="Times New Roman" w:eastAsia="Arial" w:hAnsi="Times New Roman" w:cs="Times New Roman"/>
          <w:color w:val="000000" w:themeColor="text1"/>
        </w:rPr>
        <w:t>pagerėjimas</w:t>
      </w:r>
      <w:r>
        <w:rPr>
          <w:rFonts w:ascii="Times New Roman" w:eastAsia="Arial" w:hAnsi="Times New Roman" w:cs="Times New Roman"/>
          <w:color w:val="000000" w:themeColor="text1"/>
        </w:rPr>
        <w:t>,</w:t>
      </w:r>
      <w:r w:rsidRPr="00A857FA">
        <w:rPr>
          <w:rFonts w:ascii="Times New Roman" w:eastAsia="Arial" w:hAnsi="Times New Roman" w:cs="Times New Roman"/>
          <w:color w:val="000000" w:themeColor="text1"/>
        </w:rPr>
        <w:t xml:space="preserve"> lyginant su </w:t>
      </w:r>
      <w:r>
        <w:rPr>
          <w:rFonts w:ascii="Times New Roman" w:eastAsia="Arial" w:hAnsi="Times New Roman" w:cs="Times New Roman"/>
          <w:color w:val="000000" w:themeColor="text1"/>
        </w:rPr>
        <w:t>pacientais, vartojusiais chemoterapiją.</w:t>
      </w:r>
    </w:p>
    <w:p w14:paraId="6935CFA1" w14:textId="77777777" w:rsidR="002A3179" w:rsidRDefault="002A3179" w:rsidP="002A3179">
      <w:pPr>
        <w:tabs>
          <w:tab w:val="left" w:pos="426"/>
        </w:tabs>
        <w:spacing w:line="360" w:lineRule="auto"/>
        <w:jc w:val="both"/>
        <w:rPr>
          <w:rFonts w:eastAsia="Arial"/>
          <w:color w:val="000000" w:themeColor="text1"/>
        </w:rPr>
      </w:pPr>
    </w:p>
    <w:p w14:paraId="506B3844" w14:textId="77777777" w:rsidR="002A3179" w:rsidRPr="00EB4368" w:rsidRDefault="002A3179" w:rsidP="002A3179">
      <w:pPr>
        <w:tabs>
          <w:tab w:val="left" w:pos="426"/>
        </w:tabs>
        <w:spacing w:line="360" w:lineRule="auto"/>
        <w:jc w:val="both"/>
        <w:rPr>
          <w:rFonts w:eastAsia="Arial"/>
          <w:i/>
          <w:color w:val="000000" w:themeColor="text1"/>
        </w:rPr>
      </w:pPr>
      <w:r w:rsidRPr="00EB4368">
        <w:rPr>
          <w:rFonts w:eastAsia="Arial"/>
          <w:i/>
          <w:color w:val="000000" w:themeColor="text1"/>
        </w:rPr>
        <w:t>Netiesioginis palyginimas</w:t>
      </w:r>
    </w:p>
    <w:p w14:paraId="3C5A6E4E" w14:textId="77777777" w:rsidR="002A3179" w:rsidRPr="00EB4368" w:rsidRDefault="002A3179" w:rsidP="002A3179">
      <w:pPr>
        <w:tabs>
          <w:tab w:val="left" w:pos="492"/>
        </w:tabs>
        <w:spacing w:line="360" w:lineRule="auto"/>
        <w:jc w:val="both"/>
        <w:outlineLvl w:val="1"/>
        <w:rPr>
          <w:rFonts w:eastAsia="Arial"/>
          <w:bCs/>
        </w:rPr>
      </w:pPr>
      <w:r>
        <w:rPr>
          <w:sz w:val="23"/>
          <w:szCs w:val="23"/>
        </w:rPr>
        <w:tab/>
      </w:r>
      <w:r>
        <w:rPr>
          <w:sz w:val="23"/>
          <w:szCs w:val="23"/>
        </w:rPr>
        <w:tab/>
        <w:t>Netiesioginio gydymų palyginimo pagrindas - trys klinikiniai tyrimai: a) IMpower110 (atezolizumabo monoterapija, lyginant su chemoterapija) pagrindinė (pirminė) vertinamoji baigtis indikaciją atitinkančių pacientų grupėje buvo BI; b) KEYNOTE 042 (pembrolizumabo monoterapija, lyginant su chemoterapija) pagrindinė (pirminė) vertinamoji baigtis indikaciją atitinkančių pacientų grupėje buvo BI; 3) KEYNOTE 024 (pembrolizumabo monoterapija, lyginant su chemoterapija) pagrindinė (pirminė) vertinamoji baigtis indikaciją atitinkančių pacientų grupėje buvo IBLP, o BI buvo antrinė vertinamoji baigtis.</w:t>
      </w:r>
      <w:r>
        <w:rPr>
          <w:rFonts w:eastAsia="Arial"/>
          <w:bCs/>
        </w:rPr>
        <w:t xml:space="preserve"> </w:t>
      </w:r>
      <w:r w:rsidRPr="009C1EC1">
        <w:rPr>
          <w:bCs/>
          <w:lang w:eastAsia="lt-LT"/>
        </w:rPr>
        <w:t>Netiesioginio palyginimo analizėje palyginamasis pem</w:t>
      </w:r>
      <w:r>
        <w:rPr>
          <w:bCs/>
          <w:lang w:eastAsia="lt-LT"/>
        </w:rPr>
        <w:t>b</w:t>
      </w:r>
      <w:r w:rsidRPr="009C1EC1">
        <w:rPr>
          <w:bCs/>
          <w:lang w:eastAsia="lt-LT"/>
        </w:rPr>
        <w:t xml:space="preserve">rolizumabas atitinka įprastinę klinikinę </w:t>
      </w:r>
      <w:r w:rsidRPr="00D9291F">
        <w:rPr>
          <w:bCs/>
          <w:lang w:eastAsia="lt-LT"/>
        </w:rPr>
        <w:t>praktiką Lietuvoje.</w:t>
      </w:r>
      <w:r>
        <w:rPr>
          <w:bCs/>
          <w:lang w:eastAsia="lt-LT"/>
        </w:rPr>
        <w:t xml:space="preserve"> Tinklinėje meta-analizėje vertinamos baigtys: BI, IBLP, OAD bei saugumo duomenys (su gydymu susijęs NR, bet koks su gydymu susijęs sunkus NR, NR ≥ 3 laipsnio, tyrimo gydymo nutraukimas dėl NR.</w:t>
      </w:r>
    </w:p>
    <w:p w14:paraId="74468BDC" w14:textId="7B8F7B3C" w:rsidR="002A3179" w:rsidRPr="00EB4368" w:rsidRDefault="002A3179" w:rsidP="002A3179">
      <w:pPr>
        <w:tabs>
          <w:tab w:val="left" w:pos="492"/>
        </w:tabs>
        <w:spacing w:line="360" w:lineRule="auto"/>
        <w:jc w:val="both"/>
        <w:outlineLvl w:val="1"/>
        <w:rPr>
          <w:rFonts w:eastAsia="Arial"/>
          <w:bCs/>
        </w:rPr>
      </w:pPr>
      <w:r>
        <w:rPr>
          <w:rFonts w:eastAsia="Arial"/>
          <w:b/>
        </w:rPr>
        <w:tab/>
      </w:r>
      <w:r>
        <w:rPr>
          <w:rFonts w:eastAsia="Arial"/>
          <w:b/>
        </w:rPr>
        <w:tab/>
      </w:r>
      <w:r>
        <w:rPr>
          <w:rFonts w:eastAsia="Arial"/>
          <w:bCs/>
        </w:rPr>
        <w:t xml:space="preserve">Tyrimuose naudotos skirtingos imties populiacijos, t.y. klinikiniai tyrimai taikė skirtingą </w:t>
      </w:r>
      <w:r>
        <w:rPr>
          <w:rFonts w:eastAsia="Arial"/>
        </w:rPr>
        <w:t>imunohistocheminį metodą įvertinti PD-L</w:t>
      </w:r>
      <w:r>
        <w:rPr>
          <w:rFonts w:eastAsia="Arial"/>
          <w:lang w:val="en-GB"/>
        </w:rPr>
        <w:t>1 rai</w:t>
      </w:r>
      <w:r>
        <w:rPr>
          <w:rFonts w:eastAsia="Arial"/>
        </w:rPr>
        <w:t>šką.</w:t>
      </w:r>
      <w:r>
        <w:rPr>
          <w:rFonts w:eastAsia="Arial"/>
          <w:bCs/>
        </w:rPr>
        <w:t xml:space="preserve"> IBLP duomenys </w:t>
      </w:r>
      <w:r>
        <w:t xml:space="preserve">IMpower110 tyrime buvo grindžiami tyrėjų vertinimu, o IBLP KEYTONE024 ir 042 tyrimuose buvo vertinami nepriklausomu stebėjimo komitetu. Atliktoje </w:t>
      </w:r>
      <w:r w:rsidR="006F3BE1" w:rsidRPr="00EB4368">
        <w:t>tinklin</w:t>
      </w:r>
      <w:r w:rsidR="006F3BE1">
        <w:t>ėj</w:t>
      </w:r>
      <w:r w:rsidR="006F3BE1" w:rsidRPr="00EB4368">
        <w:t xml:space="preserve"> </w:t>
      </w:r>
      <w:r w:rsidR="006F3BE1" w:rsidRPr="006F3BE1">
        <w:t>metaanalizėje (</w:t>
      </w:r>
      <w:r w:rsidRPr="006F3BE1">
        <w:t>TMA</w:t>
      </w:r>
      <w:r w:rsidR="006F3BE1" w:rsidRPr="006F3BE1">
        <w:t>)</w:t>
      </w:r>
      <w:r w:rsidRPr="006F3BE1">
        <w:t xml:space="preserve"> buvo</w:t>
      </w:r>
      <w:r>
        <w:t xml:space="preserve"> taikyta prielaida, kad IBLP yra ekvivalentiški, todėl skirtingas IBLP vertinimo metodas gali sąlygoti paklaidą palyginimo rezultatuose.  </w:t>
      </w:r>
    </w:p>
    <w:p w14:paraId="51707BD8" w14:textId="516E7B8D" w:rsidR="002A3179" w:rsidRDefault="002A3179" w:rsidP="002A3179">
      <w:pPr>
        <w:tabs>
          <w:tab w:val="left" w:pos="492"/>
        </w:tabs>
        <w:spacing w:line="360" w:lineRule="auto"/>
        <w:jc w:val="both"/>
        <w:outlineLvl w:val="1"/>
        <w:rPr>
          <w:rFonts w:eastAsia="Arial"/>
          <w:bCs/>
        </w:rPr>
      </w:pPr>
      <w:r>
        <w:tab/>
      </w:r>
      <w:r>
        <w:tab/>
      </w:r>
      <w:r>
        <w:rPr>
          <w:sz w:val="23"/>
          <w:szCs w:val="23"/>
        </w:rPr>
        <w:t xml:space="preserve">Netiesioginis palyginimas atliktas pagal NICE metodines gaires, t.y. tinklinė metaanalizė atlikta frakciniu polinominiu metodu tam, kad būtų atsižvelgta į skirtingą palyginime naudojamų gydymų (imunoterapija ir chemoterapija) veikimo mechanizmą ir naudos atsiradimą, bei kitimą laike (ne proporcinis rizikos santykis). </w:t>
      </w:r>
      <w:r w:rsidRPr="0039128F">
        <w:rPr>
          <w:sz w:val="23"/>
          <w:szCs w:val="23"/>
        </w:rPr>
        <w:t>Netiesioginio palyginimo rezultatai nurodo, kad nėra pagrindo teigti apie kurio nors gydymo pranašumą pagal netiesioginiame palyginime naudotas veiksmingumo išeitis (efektyvumas</w:t>
      </w:r>
      <w:r>
        <w:rPr>
          <w:sz w:val="23"/>
          <w:szCs w:val="23"/>
        </w:rPr>
        <w:t xml:space="preserve"> bei</w:t>
      </w:r>
      <w:r w:rsidRPr="0039128F">
        <w:rPr>
          <w:sz w:val="23"/>
          <w:szCs w:val="23"/>
        </w:rPr>
        <w:t xml:space="preserve"> saugumas), t.y. tiek rizikos tikimybių santykiai, tiek šansų santykiai ir jų pasitikėjimo intervalai (angl. </w:t>
      </w:r>
      <w:r w:rsidRPr="003311E7">
        <w:rPr>
          <w:i/>
          <w:sz w:val="23"/>
          <w:szCs w:val="23"/>
        </w:rPr>
        <w:t>credible intervals</w:t>
      </w:r>
      <w:r w:rsidRPr="0039128F">
        <w:rPr>
          <w:sz w:val="23"/>
          <w:szCs w:val="23"/>
        </w:rPr>
        <w:t>) nurodo, kad gydymų efektai netiesioginiame palyginime neturi pagrindo būti laikomais, kaip įrodančiais pranašumą pagal nors vieną palyginime naudotą parametrą</w:t>
      </w:r>
      <w:r>
        <w:rPr>
          <w:sz w:val="23"/>
          <w:szCs w:val="23"/>
        </w:rPr>
        <w:t xml:space="preserve">. </w:t>
      </w:r>
      <w:r w:rsidRPr="0039128F">
        <w:rPr>
          <w:rFonts w:eastAsia="Arial"/>
          <w:bCs/>
        </w:rPr>
        <w:t>Netiesioginiai palyginimai iš standartinės ir dalinės daugianario tinklo meta</w:t>
      </w:r>
      <w:r>
        <w:rPr>
          <w:rFonts w:eastAsia="Arial"/>
          <w:bCs/>
        </w:rPr>
        <w:t>-</w:t>
      </w:r>
      <w:r w:rsidRPr="0039128F">
        <w:rPr>
          <w:rFonts w:eastAsia="Arial"/>
          <w:bCs/>
        </w:rPr>
        <w:t xml:space="preserve">analizės nerodo reikšmingų skirtumų tarp atezolizumabo ir pembrolizumabo </w:t>
      </w:r>
      <w:r>
        <w:rPr>
          <w:rFonts w:eastAsia="Arial"/>
          <w:bCs/>
        </w:rPr>
        <w:t>BI</w:t>
      </w:r>
      <w:r w:rsidRPr="0039128F">
        <w:rPr>
          <w:rFonts w:eastAsia="Arial"/>
          <w:bCs/>
        </w:rPr>
        <w:t xml:space="preserve">, </w:t>
      </w:r>
      <w:r>
        <w:rPr>
          <w:rFonts w:eastAsia="Arial"/>
          <w:bCs/>
        </w:rPr>
        <w:t>IBLP</w:t>
      </w:r>
      <w:r w:rsidR="003311E7">
        <w:rPr>
          <w:rFonts w:eastAsia="Arial"/>
          <w:bCs/>
        </w:rPr>
        <w:t>, atsako trukmė</w:t>
      </w:r>
      <w:r w:rsidRPr="0039128F">
        <w:rPr>
          <w:rFonts w:eastAsia="Arial"/>
          <w:bCs/>
        </w:rPr>
        <w:t xml:space="preserve"> ir </w:t>
      </w:r>
      <w:r w:rsidR="003311E7">
        <w:rPr>
          <w:rFonts w:eastAsia="Arial"/>
          <w:bCs/>
        </w:rPr>
        <w:t>objektyvaus atsako į gydymą dažnis</w:t>
      </w:r>
      <w:r w:rsidRPr="0039128F">
        <w:rPr>
          <w:rFonts w:eastAsia="Arial"/>
          <w:bCs/>
        </w:rPr>
        <w:t>.</w:t>
      </w:r>
    </w:p>
    <w:p w14:paraId="634BF04C" w14:textId="2E9658EE" w:rsidR="002A3179" w:rsidRDefault="002A3179" w:rsidP="002A3179">
      <w:pPr>
        <w:tabs>
          <w:tab w:val="left" w:pos="492"/>
        </w:tabs>
        <w:spacing w:line="360" w:lineRule="auto"/>
        <w:jc w:val="both"/>
        <w:outlineLvl w:val="1"/>
        <w:rPr>
          <w:bCs/>
          <w:iCs/>
          <w:lang w:eastAsia="lt-LT"/>
        </w:rPr>
      </w:pPr>
      <w:r>
        <w:rPr>
          <w:rFonts w:eastAsia="Arial"/>
          <w:bCs/>
        </w:rPr>
        <w:tab/>
      </w:r>
      <w:r>
        <w:rPr>
          <w:rFonts w:eastAsia="Arial"/>
          <w:bCs/>
        </w:rPr>
        <w:tab/>
      </w:r>
      <w:r w:rsidRPr="00EB4368">
        <w:rPr>
          <w:rFonts w:eastAsia="Arial"/>
          <w:bCs/>
        </w:rPr>
        <w:t xml:space="preserve">Atlikta tinklinė meta-analizė turi rezultatų vertinimo ribotumą, dėl pačių pirminių įrodymų prieinamumo, jų tarpusavio palyginamumo ir modeliuojamų rezultatų ekstrapoliacijos. </w:t>
      </w:r>
      <w:r w:rsidRPr="00EB4368">
        <w:t xml:space="preserve">Paraiškoje nepateiktas tiesioginis efektyvumo palyginimas tarp atezolizumabo ir pembrolizumabo monoterapijų, todėl šių dviejų monoterapijų palyginimo rezultatai taikant </w:t>
      </w:r>
      <w:r w:rsidR="003311E7">
        <w:t>tinklinę meta-analizę (</w:t>
      </w:r>
      <w:r w:rsidR="006F3BE1">
        <w:t>TMA</w:t>
      </w:r>
      <w:r w:rsidR="003311E7">
        <w:t>)</w:t>
      </w:r>
      <w:r w:rsidRPr="00EB4368">
        <w:t xml:space="preserve"> turėtų būti </w:t>
      </w:r>
      <w:r w:rsidRPr="00EB4368">
        <w:lastRenderedPageBreak/>
        <w:t xml:space="preserve">interpretuojami atsargiai, atsižvelgiant į  tyrimų schemų skirtumus, pogrupių stratifikavimą ir jų dydį, pacientų populiaciją ir duomenų brandumą. Tačiau TMA rezultatai parodė, kad vertinant pagal BI ir IBLP reikšmingų skirtumų tarp palyginamųjų atezolizumabo ir pembrolizumabo monoterapijų anksčiau negydytiems pacientams, kuriems yra metastazavęs </w:t>
      </w:r>
      <w:r w:rsidR="003311E7">
        <w:t>NSLPV</w:t>
      </w:r>
      <w:r w:rsidRPr="00EB4368">
        <w:t xml:space="preserve">, nenustatyta. Taip pat </w:t>
      </w:r>
      <w:r w:rsidRPr="00EB4368">
        <w:rPr>
          <w:bCs/>
          <w:iCs/>
          <w:lang w:eastAsia="lt-LT"/>
        </w:rPr>
        <w:t>TMA palyginamasis saugumas nesiskyrė ab</w:t>
      </w:r>
      <w:r w:rsidR="00F83515">
        <w:rPr>
          <w:bCs/>
          <w:iCs/>
          <w:lang w:eastAsia="lt-LT"/>
        </w:rPr>
        <w:t>i</w:t>
      </w:r>
      <w:r w:rsidRPr="00EB4368">
        <w:rPr>
          <w:bCs/>
          <w:iCs/>
          <w:lang w:eastAsia="lt-LT"/>
        </w:rPr>
        <w:t>ej</w:t>
      </w:r>
      <w:r w:rsidR="00F83515">
        <w:rPr>
          <w:bCs/>
          <w:iCs/>
          <w:lang w:eastAsia="lt-LT"/>
        </w:rPr>
        <w:t>u</w:t>
      </w:r>
      <w:r w:rsidRPr="00EB4368">
        <w:rPr>
          <w:bCs/>
          <w:iCs/>
          <w:lang w:eastAsia="lt-LT"/>
        </w:rPr>
        <w:t>ose gydymo režimuose.</w:t>
      </w:r>
    </w:p>
    <w:p w14:paraId="63A895AE" w14:textId="77777777" w:rsidR="00D04B0B" w:rsidRPr="008B63AB" w:rsidRDefault="00D04B0B" w:rsidP="00A93AA6">
      <w:pPr>
        <w:pStyle w:val="ListParagraph"/>
        <w:tabs>
          <w:tab w:val="left" w:pos="426"/>
        </w:tabs>
        <w:ind w:left="0"/>
        <w:rPr>
          <w:b/>
          <w:bCs/>
          <w:caps/>
        </w:rPr>
      </w:pPr>
    </w:p>
    <w:p w14:paraId="7DE09EB5" w14:textId="69E9DD74" w:rsidR="00E03C3F" w:rsidRPr="008B63AB" w:rsidRDefault="00CC7832" w:rsidP="00CC09D4">
      <w:pPr>
        <w:pStyle w:val="ListParagraph"/>
        <w:numPr>
          <w:ilvl w:val="0"/>
          <w:numId w:val="12"/>
        </w:numPr>
        <w:tabs>
          <w:tab w:val="left" w:pos="567"/>
        </w:tabs>
        <w:ind w:hanging="720"/>
        <w:rPr>
          <w:b/>
          <w:bCs/>
          <w:caps/>
        </w:rPr>
      </w:pPr>
      <w:r w:rsidRPr="008B63AB">
        <w:rPr>
          <w:b/>
          <w:bCs/>
          <w:caps/>
        </w:rPr>
        <w:t xml:space="preserve">ekonominio vertinimo </w:t>
      </w:r>
      <w:r w:rsidR="002F0E4F" w:rsidRPr="008B63AB">
        <w:rPr>
          <w:b/>
          <w:bCs/>
          <w:caps/>
        </w:rPr>
        <w:t>apibendrinimas</w:t>
      </w:r>
    </w:p>
    <w:p w14:paraId="2FC05D7E" w14:textId="6126B70A" w:rsidR="002E6F80" w:rsidRPr="008B63AB" w:rsidRDefault="002E6F80" w:rsidP="002E6F80">
      <w:pPr>
        <w:tabs>
          <w:tab w:val="left" w:pos="284"/>
        </w:tabs>
        <w:rPr>
          <w:bCs/>
          <w:i/>
          <w:caps/>
          <w:sz w:val="22"/>
          <w:szCs w:val="22"/>
        </w:rPr>
      </w:pPr>
    </w:p>
    <w:p w14:paraId="08493B72" w14:textId="77777777" w:rsidR="00E449B7" w:rsidRPr="00601702" w:rsidRDefault="00E449B7" w:rsidP="00E449B7">
      <w:pPr>
        <w:spacing w:line="360" w:lineRule="auto"/>
        <w:ind w:firstLine="720"/>
        <w:jc w:val="both"/>
        <w:rPr>
          <w:rFonts w:eastAsia="Arial"/>
          <w:bCs/>
          <w:szCs w:val="22"/>
        </w:rPr>
      </w:pPr>
      <w:r w:rsidRPr="00601702">
        <w:rPr>
          <w:lang w:eastAsia="lt-LT"/>
        </w:rPr>
        <w:t xml:space="preserve">Vertinimui pateikta kaštų mažinimo analizė, kuri buvo sudaryta remiantis kaštų naudingumo analizės modeliu. Į ekonominę analizę įtraukti pacientai atitinka kompensacijai teikiamas terapines indikacijas. </w:t>
      </w:r>
      <w:r w:rsidRPr="00601702">
        <w:rPr>
          <w:rFonts w:eastAsia="Arial"/>
          <w:bCs/>
          <w:szCs w:val="22"/>
        </w:rPr>
        <w:t>Ekonominėje analizėje pateiktas palyginamasis gydymas atitinka klinikinio paraiškos vertinimo dalyje pateiktą palyginamąjį gydymą. Palyginamasis gydymas analizėje yra gydymas pembrolizumabo monoterapija. Tai atitinka šiuo metu prieinamą gydymą Lietuvos klinikinėje praktikoje. Analizės struktūra yra tinkama kaštų palyginimo analizei atlikti.</w:t>
      </w:r>
    </w:p>
    <w:p w14:paraId="7C7A2DC5" w14:textId="77777777" w:rsidR="00E449B7" w:rsidRPr="00601702" w:rsidRDefault="00E449B7" w:rsidP="00E449B7">
      <w:pPr>
        <w:spacing w:line="360" w:lineRule="auto"/>
        <w:ind w:firstLine="720"/>
        <w:jc w:val="both"/>
        <w:rPr>
          <w:bCs/>
          <w:iCs/>
          <w:lang w:eastAsia="lt-LT"/>
        </w:rPr>
      </w:pPr>
      <w:r w:rsidRPr="00601702">
        <w:rPr>
          <w:bCs/>
          <w:iCs/>
          <w:lang w:eastAsia="lt-LT"/>
        </w:rPr>
        <w:t xml:space="preserve">Šioje ekonominėje </w:t>
      </w:r>
      <w:r>
        <w:rPr>
          <w:bCs/>
          <w:iCs/>
          <w:lang w:eastAsia="lt-LT"/>
        </w:rPr>
        <w:t>(kaštų palyginimo) analizėje yra vertinami tik kaštai, todėl klinikiniai įrodymai nėra aprašomi. Remiamasi klinikinės dalies vertinimu dėl nesiskiriančios palyginamųjų gydymų naudos sukūrimo.</w:t>
      </w:r>
    </w:p>
    <w:p w14:paraId="763AE8F5" w14:textId="320DE52D" w:rsidR="00E449B7" w:rsidRDefault="00E449B7" w:rsidP="00E449B7">
      <w:pPr>
        <w:tabs>
          <w:tab w:val="left" w:pos="567"/>
        </w:tabs>
        <w:spacing w:line="360" w:lineRule="auto"/>
        <w:rPr>
          <w:bCs/>
          <w:iCs/>
          <w:lang w:eastAsia="lt-LT"/>
        </w:rPr>
      </w:pPr>
      <w:r>
        <w:rPr>
          <w:bCs/>
          <w:iCs/>
          <w:lang w:eastAsia="lt-LT"/>
        </w:rPr>
        <w:tab/>
      </w:r>
      <w:r w:rsidRPr="00770F6A">
        <w:rPr>
          <w:bCs/>
          <w:iCs/>
          <w:lang w:eastAsia="lt-LT"/>
        </w:rPr>
        <w:t xml:space="preserve">Ekonominėje kaštų palyginimo analizėje taikoma prielaida, kad atezolizumabo ir pembrolizumabo bendrojo išgyvenamumo (BI) ir išgyvenamumo be ligos progresavimo (IBLP) baigčių rezultatai yra vienodi. Dėl šios priežasties BI ir IBLP prielaidų keitimai įtaką analizės rezultatui daro tik įtakodami gydymo kaštus ir kaštus po ligos progresijos sveikatos būklėje. </w:t>
      </w:r>
    </w:p>
    <w:p w14:paraId="0C1067D5" w14:textId="77777777" w:rsidR="00E449B7" w:rsidRDefault="00E449B7" w:rsidP="00E449B7">
      <w:pPr>
        <w:tabs>
          <w:tab w:val="left" w:pos="567"/>
        </w:tabs>
        <w:spacing w:line="360" w:lineRule="auto"/>
        <w:rPr>
          <w:bCs/>
          <w:iCs/>
          <w:lang w:eastAsia="lt-LT"/>
        </w:rPr>
      </w:pPr>
      <w:r>
        <w:rPr>
          <w:bCs/>
          <w:iCs/>
          <w:lang w:eastAsia="lt-LT"/>
        </w:rPr>
        <w:tab/>
        <w:t xml:space="preserve">Analizėje taikoma prielaida dėl vienodos gydymo trukmės tarp palyginamųjų gydymo šakų. Gydymo trukmė apibrėžiama kaip laikas iki ligos progresijos ir yra lygi </w:t>
      </w:r>
      <w:r w:rsidRPr="00770F6A">
        <w:rPr>
          <w:bCs/>
          <w:iCs/>
          <w:lang w:eastAsia="lt-LT"/>
        </w:rPr>
        <w:t xml:space="preserve">IMpower110 </w:t>
      </w:r>
      <w:r>
        <w:rPr>
          <w:bCs/>
          <w:iCs/>
          <w:lang w:eastAsia="lt-LT"/>
        </w:rPr>
        <w:t xml:space="preserve">klinikiniame tyrime atezolizumabo nustatytam IBLP baigties rezultatui – 8,2 mėn. Taikoma prielaida, kad abu palyginamieji vaistiniai preparatai vartojami kas 3 savaičių dozavimo rėžimu. </w:t>
      </w:r>
    </w:p>
    <w:p w14:paraId="0545152D" w14:textId="77777777" w:rsidR="00E449B7" w:rsidRDefault="00E449B7" w:rsidP="00E449B7">
      <w:pPr>
        <w:tabs>
          <w:tab w:val="left" w:pos="567"/>
        </w:tabs>
        <w:spacing w:line="360" w:lineRule="auto"/>
        <w:rPr>
          <w:iCs/>
          <w:lang w:eastAsia="lt-LT"/>
        </w:rPr>
      </w:pPr>
      <w:r>
        <w:rPr>
          <w:bCs/>
          <w:iCs/>
          <w:lang w:eastAsia="lt-LT"/>
        </w:rPr>
        <w:tab/>
      </w:r>
      <w:r w:rsidRPr="00D05364">
        <w:t>Analizė atlikta iš PSDF biudžeto perspektyvos, įtraukti tiesiogiai su sveikatos sistema susiję kaštai. Tai atitinka teisės aktuose nustatytus paraiškos rengimo tai</w:t>
      </w:r>
      <w:r>
        <w:t>s</w:t>
      </w:r>
      <w:r w:rsidRPr="00D05364">
        <w:t>yklių reikalavimus.</w:t>
      </w:r>
      <w:r>
        <w:t xml:space="preserve"> </w:t>
      </w:r>
      <w:r w:rsidRPr="00D05364">
        <w:rPr>
          <w:color w:val="000000"/>
          <w:lang w:eastAsia="lt-LT"/>
        </w:rPr>
        <w:t xml:space="preserve">Analizėje taikoma </w:t>
      </w:r>
      <w:r>
        <w:rPr>
          <w:color w:val="000000"/>
          <w:lang w:eastAsia="lt-LT"/>
        </w:rPr>
        <w:t xml:space="preserve">20 </w:t>
      </w:r>
      <w:r w:rsidRPr="00D05364">
        <w:rPr>
          <w:color w:val="000000"/>
          <w:lang w:eastAsia="lt-LT"/>
        </w:rPr>
        <w:t>metų</w:t>
      </w:r>
      <w:r>
        <w:rPr>
          <w:color w:val="000000"/>
          <w:lang w:eastAsia="lt-LT"/>
        </w:rPr>
        <w:t xml:space="preserve"> </w:t>
      </w:r>
      <w:r w:rsidRPr="00D05364">
        <w:rPr>
          <w:color w:val="000000"/>
          <w:lang w:eastAsia="lt-LT"/>
        </w:rPr>
        <w:t xml:space="preserve">laiko perspektyva. Pasirinkta laiko perspektyva yra </w:t>
      </w:r>
      <w:r w:rsidRPr="00D05364">
        <w:rPr>
          <w:iCs/>
          <w:lang w:eastAsia="lt-LT"/>
        </w:rPr>
        <w:t>tinkama</w:t>
      </w:r>
      <w:r>
        <w:rPr>
          <w:iCs/>
          <w:lang w:eastAsia="lt-LT"/>
        </w:rPr>
        <w:t>.</w:t>
      </w:r>
    </w:p>
    <w:p w14:paraId="2A9062C9" w14:textId="0DC711FE" w:rsidR="00E449B7" w:rsidRPr="00E449B7" w:rsidRDefault="00E449B7" w:rsidP="00E449B7">
      <w:pPr>
        <w:tabs>
          <w:tab w:val="left" w:pos="567"/>
        </w:tabs>
        <w:spacing w:line="360" w:lineRule="auto"/>
        <w:rPr>
          <w:bCs/>
          <w:iCs/>
          <w:lang w:eastAsia="lt-LT"/>
        </w:rPr>
      </w:pPr>
      <w:r>
        <w:rPr>
          <w:iCs/>
          <w:lang w:eastAsia="lt-LT"/>
        </w:rPr>
        <w:tab/>
      </w:r>
      <w:r w:rsidRPr="00601702">
        <w:t>Kaštų mažinimo analizė atlikta taikant ilgalaikę laiko perspektyvą (ilgesnę nei klinikinio tyrimo IBLP baigties rezultatas). Tai yra tinkama, tačiau nėra</w:t>
      </w:r>
      <w:r>
        <w:t xml:space="preserve"> vienintelė </w:t>
      </w:r>
      <w:r w:rsidRPr="00601702">
        <w:t xml:space="preserve">praktika atliekant ir vertinant kaštų mažinimo analizės atlikimą. Dėl šios priežasties Tarnyba papildomai pateikia šios ekonominės analizės rezultatus, skaičiuojant pagal paprastą kaštų mažinimo analizės atlikimo metodiką taikant šias prielaidas: </w:t>
      </w:r>
    </w:p>
    <w:p w14:paraId="4C6BD15B" w14:textId="77777777" w:rsidR="00E449B7" w:rsidRDefault="00E449B7" w:rsidP="00E449B7">
      <w:pPr>
        <w:spacing w:line="360" w:lineRule="auto"/>
        <w:ind w:firstLine="720"/>
        <w:jc w:val="both"/>
      </w:pPr>
      <w:r>
        <w:t xml:space="preserve">- </w:t>
      </w:r>
      <w:r w:rsidRPr="00601702">
        <w:t>laiko perspektyva yra IMpower110 klinikinio tyrimo atezolizumabo IBLP baigties rezultatas – 8,2  mėn.</w:t>
      </w:r>
    </w:p>
    <w:p w14:paraId="0D0E0770" w14:textId="77777777" w:rsidR="00E449B7" w:rsidRDefault="00E449B7" w:rsidP="00E449B7">
      <w:pPr>
        <w:spacing w:line="360" w:lineRule="auto"/>
        <w:ind w:firstLine="720"/>
        <w:jc w:val="both"/>
      </w:pPr>
      <w:r>
        <w:t xml:space="preserve">- </w:t>
      </w:r>
      <w:r w:rsidRPr="00601702">
        <w:t>vienoda tikimybė pacientams pareiti iš vieno ciklo į kitą – tikimybė lygi 1</w:t>
      </w:r>
      <w:r>
        <w:t>.</w:t>
      </w:r>
    </w:p>
    <w:p w14:paraId="27C9358A" w14:textId="77777777" w:rsidR="00E449B7" w:rsidRDefault="00E449B7" w:rsidP="00E449B7">
      <w:pPr>
        <w:spacing w:line="360" w:lineRule="auto"/>
        <w:jc w:val="both"/>
      </w:pPr>
      <w:r>
        <w:lastRenderedPageBreak/>
        <w:t>Taikant šią kaštų mažinimo analizės atlikimo metodiką</w:t>
      </w:r>
      <w:r w:rsidRPr="00601702">
        <w:t xml:space="preserve"> gydymo kaštai apskaičiuojami juos skaičiuojant 8,2 mėn. gydymo trukmei.</w:t>
      </w:r>
    </w:p>
    <w:p w14:paraId="25264487" w14:textId="77777777" w:rsidR="00E449B7" w:rsidRDefault="00E449B7" w:rsidP="00E449B7">
      <w:pPr>
        <w:spacing w:line="360" w:lineRule="auto"/>
        <w:ind w:firstLine="720"/>
        <w:jc w:val="both"/>
      </w:pPr>
      <w:r w:rsidRPr="00601702">
        <w:t>Pareiškėjas neatsižvelgia į tai, kad yra galimi kiti atezolizumabo ir pembrolizumabo dozavimo rėžimai – atezolizumabo kas 2 savaites, kas 4 savaites, pembrolizumabo kas 6 savaites. Tarnyba šio trūkumo įtaką vertina jautrumo analizės dalyje.</w:t>
      </w:r>
    </w:p>
    <w:p w14:paraId="73A2FB03" w14:textId="0984B431" w:rsidR="00E449B7" w:rsidRDefault="00E449B7" w:rsidP="00E449B7">
      <w:pPr>
        <w:spacing w:line="360" w:lineRule="auto"/>
        <w:ind w:firstLine="720"/>
        <w:jc w:val="both"/>
        <w:rPr>
          <w:rFonts w:eastAsia="Arial"/>
          <w:bCs/>
        </w:rPr>
      </w:pPr>
      <w:r>
        <w:rPr>
          <w:rFonts w:eastAsia="Arial"/>
          <w:bCs/>
        </w:rPr>
        <w:t>Skaičiuojant ekonominės analizės rezultatus yra vertinami vaistų įsigijimo, vaistų administravimo (suleidimo) ir nepageidaujamų reiškinių kaštai.</w:t>
      </w:r>
    </w:p>
    <w:p w14:paraId="77167367" w14:textId="77777777" w:rsidR="00E449B7" w:rsidRDefault="00E449B7" w:rsidP="00E449B7">
      <w:pPr>
        <w:tabs>
          <w:tab w:val="left" w:pos="426"/>
        </w:tabs>
        <w:rPr>
          <w:b/>
          <w:lang w:eastAsia="lt-LT"/>
        </w:rPr>
      </w:pPr>
    </w:p>
    <w:p w14:paraId="51D2ACB9" w14:textId="7C021617" w:rsidR="00E449B7" w:rsidRPr="00E33EFF" w:rsidRDefault="00E449B7" w:rsidP="00E449B7">
      <w:pPr>
        <w:tabs>
          <w:tab w:val="left" w:pos="426"/>
        </w:tabs>
        <w:rPr>
          <w:b/>
          <w:lang w:eastAsia="lt-LT"/>
        </w:rPr>
      </w:pPr>
      <w:r w:rsidRPr="00E33EFF">
        <w:rPr>
          <w:b/>
          <w:lang w:eastAsia="lt-LT"/>
        </w:rPr>
        <w:t>Ekonominės analizės rezultatas</w:t>
      </w:r>
    </w:p>
    <w:p w14:paraId="430164B6" w14:textId="27817AB4" w:rsidR="00E449B7" w:rsidRDefault="00E449B7" w:rsidP="00BC6ED1">
      <w:pPr>
        <w:spacing w:line="360" w:lineRule="auto"/>
        <w:jc w:val="both"/>
        <w:rPr>
          <w:rFonts w:eastAsia="Arial"/>
          <w:bC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12"/>
        <w:gridCol w:w="1815"/>
        <w:gridCol w:w="2010"/>
        <w:gridCol w:w="1576"/>
        <w:gridCol w:w="1576"/>
      </w:tblGrid>
      <w:tr w:rsidR="00BC6ED1" w:rsidRPr="00D05364" w14:paraId="31A4FCC9" w14:textId="68F253E9" w:rsidTr="00654466">
        <w:trPr>
          <w:trHeight w:val="332"/>
          <w:jc w:val="center"/>
        </w:trPr>
        <w:tc>
          <w:tcPr>
            <w:tcW w:w="9889" w:type="dxa"/>
            <w:gridSpan w:val="5"/>
            <w:tcBorders>
              <w:top w:val="single" w:sz="12" w:space="0" w:color="auto"/>
              <w:bottom w:val="single" w:sz="4" w:space="0" w:color="auto"/>
            </w:tcBorders>
            <w:vAlign w:val="center"/>
          </w:tcPr>
          <w:p w14:paraId="3389F2C1" w14:textId="439DDACB" w:rsidR="00BC6ED1" w:rsidRPr="00D05364" w:rsidRDefault="00BC6ED1" w:rsidP="008C5D6B">
            <w:pPr>
              <w:tabs>
                <w:tab w:val="left" w:pos="567"/>
              </w:tabs>
              <w:jc w:val="center"/>
              <w:rPr>
                <w:b/>
                <w:lang w:eastAsia="lt-LT"/>
              </w:rPr>
            </w:pPr>
            <w:r w:rsidRPr="00E33EFF">
              <w:rPr>
                <w:b/>
                <w:bCs/>
                <w:sz w:val="26"/>
                <w:szCs w:val="26"/>
                <w:lang w:eastAsia="lt-LT"/>
              </w:rPr>
              <w:t>Rezultatai</w:t>
            </w:r>
          </w:p>
        </w:tc>
      </w:tr>
      <w:tr w:rsidR="00BC6ED1" w:rsidRPr="00D05364" w14:paraId="501990A5" w14:textId="4E32992C" w:rsidTr="00BC6ED1">
        <w:trPr>
          <w:trHeight w:val="252"/>
          <w:jc w:val="center"/>
        </w:trPr>
        <w:tc>
          <w:tcPr>
            <w:tcW w:w="3495" w:type="dxa"/>
            <w:tcBorders>
              <w:top w:val="single" w:sz="4" w:space="0" w:color="auto"/>
              <w:bottom w:val="single" w:sz="4" w:space="0" w:color="auto"/>
            </w:tcBorders>
          </w:tcPr>
          <w:p w14:paraId="21827563" w14:textId="77777777" w:rsidR="00BC6ED1" w:rsidRPr="00D05364" w:rsidRDefault="00BC6ED1" w:rsidP="008C5D6B">
            <w:pPr>
              <w:tabs>
                <w:tab w:val="left" w:pos="567"/>
              </w:tabs>
              <w:jc w:val="both"/>
              <w:rPr>
                <w:color w:val="00B050"/>
                <w:lang w:eastAsia="lt-LT"/>
              </w:rPr>
            </w:pPr>
          </w:p>
        </w:tc>
        <w:tc>
          <w:tcPr>
            <w:tcW w:w="1836" w:type="dxa"/>
            <w:tcBorders>
              <w:top w:val="single" w:sz="4" w:space="0" w:color="auto"/>
              <w:bottom w:val="single" w:sz="4" w:space="0" w:color="auto"/>
            </w:tcBorders>
            <w:vAlign w:val="center"/>
          </w:tcPr>
          <w:p w14:paraId="24DE284D" w14:textId="69FABB3D" w:rsidR="00BC6ED1" w:rsidRPr="00D05364" w:rsidRDefault="00BC6ED1" w:rsidP="00BC6ED1">
            <w:pPr>
              <w:tabs>
                <w:tab w:val="left" w:pos="567"/>
              </w:tabs>
              <w:jc w:val="center"/>
              <w:rPr>
                <w:i/>
                <w:iCs/>
                <w:lang w:eastAsia="lt-LT"/>
              </w:rPr>
            </w:pPr>
            <w:r>
              <w:rPr>
                <w:i/>
                <w:iCs/>
                <w:lang w:eastAsia="lt-LT"/>
              </w:rPr>
              <w:t>Atezolizumabas,</w:t>
            </w:r>
            <w:r>
              <w:rPr>
                <w:i/>
                <w:lang w:eastAsia="lt-LT"/>
              </w:rPr>
              <w:t xml:space="preserve"> Eur</w:t>
            </w:r>
          </w:p>
        </w:tc>
        <w:tc>
          <w:tcPr>
            <w:tcW w:w="1950" w:type="dxa"/>
            <w:tcBorders>
              <w:top w:val="single" w:sz="4" w:space="0" w:color="auto"/>
              <w:bottom w:val="single" w:sz="4" w:space="0" w:color="auto"/>
              <w:right w:val="single" w:sz="12" w:space="0" w:color="auto"/>
            </w:tcBorders>
            <w:vAlign w:val="center"/>
          </w:tcPr>
          <w:p w14:paraId="79BCDF2F" w14:textId="65A3BA4C" w:rsidR="00BC6ED1" w:rsidRPr="00D05364" w:rsidRDefault="00BC6ED1" w:rsidP="00BC6ED1">
            <w:pPr>
              <w:tabs>
                <w:tab w:val="left" w:pos="567"/>
              </w:tabs>
              <w:jc w:val="center"/>
              <w:rPr>
                <w:i/>
                <w:iCs/>
                <w:lang w:eastAsia="lt-LT"/>
              </w:rPr>
            </w:pPr>
            <w:r>
              <w:rPr>
                <w:i/>
                <w:iCs/>
                <w:lang w:eastAsia="lt-LT"/>
              </w:rPr>
              <w:t>Pembrolizumabas,</w:t>
            </w:r>
            <w:r>
              <w:rPr>
                <w:i/>
                <w:lang w:eastAsia="lt-LT"/>
              </w:rPr>
              <w:t xml:space="preserve"> Eur</w:t>
            </w:r>
          </w:p>
        </w:tc>
        <w:tc>
          <w:tcPr>
            <w:tcW w:w="1344" w:type="dxa"/>
            <w:tcBorders>
              <w:top w:val="single" w:sz="4" w:space="0" w:color="auto"/>
              <w:left w:val="single" w:sz="12" w:space="0" w:color="auto"/>
              <w:bottom w:val="single" w:sz="4" w:space="0" w:color="auto"/>
            </w:tcBorders>
            <w:vAlign w:val="center"/>
          </w:tcPr>
          <w:p w14:paraId="5DCB0206" w14:textId="00DB16F9" w:rsidR="00BC6ED1" w:rsidRPr="00D05364" w:rsidRDefault="00BC6ED1" w:rsidP="00BC6ED1">
            <w:pPr>
              <w:tabs>
                <w:tab w:val="left" w:pos="567"/>
              </w:tabs>
              <w:jc w:val="center"/>
              <w:rPr>
                <w:i/>
                <w:lang w:eastAsia="lt-LT"/>
              </w:rPr>
            </w:pPr>
            <w:r w:rsidRPr="00D05364">
              <w:rPr>
                <w:i/>
                <w:lang w:eastAsia="lt-LT"/>
              </w:rPr>
              <w:t>Skirtumas</w:t>
            </w:r>
            <w:r>
              <w:rPr>
                <w:i/>
                <w:lang w:eastAsia="lt-LT"/>
              </w:rPr>
              <w:t>, Eur</w:t>
            </w:r>
          </w:p>
        </w:tc>
        <w:tc>
          <w:tcPr>
            <w:tcW w:w="1264" w:type="dxa"/>
            <w:tcBorders>
              <w:top w:val="single" w:sz="4" w:space="0" w:color="auto"/>
              <w:bottom w:val="single" w:sz="4" w:space="0" w:color="auto"/>
            </w:tcBorders>
            <w:vAlign w:val="center"/>
          </w:tcPr>
          <w:p w14:paraId="062B1CA2" w14:textId="54978C3C" w:rsidR="00BC6ED1" w:rsidRPr="00D05364" w:rsidRDefault="00BC6ED1" w:rsidP="00BC6ED1">
            <w:pPr>
              <w:tabs>
                <w:tab w:val="left" w:pos="567"/>
              </w:tabs>
              <w:jc w:val="center"/>
              <w:rPr>
                <w:i/>
                <w:lang w:eastAsia="lt-LT"/>
              </w:rPr>
            </w:pPr>
            <w:r>
              <w:rPr>
                <w:i/>
                <w:lang w:eastAsia="lt-LT"/>
              </w:rPr>
              <w:t>Kaštų taupymo procentinė dalis</w:t>
            </w:r>
          </w:p>
        </w:tc>
      </w:tr>
      <w:tr w:rsidR="00BC6ED1" w:rsidRPr="00D05364" w14:paraId="45DCEF45" w14:textId="3EF618B1" w:rsidTr="00BC6ED1">
        <w:trPr>
          <w:trHeight w:val="493"/>
          <w:jc w:val="center"/>
        </w:trPr>
        <w:tc>
          <w:tcPr>
            <w:tcW w:w="3495" w:type="dxa"/>
            <w:tcBorders>
              <w:top w:val="single" w:sz="4" w:space="0" w:color="auto"/>
              <w:bottom w:val="single" w:sz="4" w:space="0" w:color="auto"/>
            </w:tcBorders>
            <w:vAlign w:val="center"/>
          </w:tcPr>
          <w:p w14:paraId="7FCEFC6E" w14:textId="53A9365B" w:rsidR="00BC6ED1" w:rsidRPr="00D05364" w:rsidRDefault="00BC6ED1" w:rsidP="008C5D6B">
            <w:pPr>
              <w:tabs>
                <w:tab w:val="left" w:pos="567"/>
              </w:tabs>
              <w:rPr>
                <w:iCs/>
                <w:color w:val="000000"/>
                <w:lang w:eastAsia="lt-LT"/>
              </w:rPr>
            </w:pPr>
            <w:r w:rsidRPr="00E33EFF">
              <w:rPr>
                <w:iCs/>
                <w:lang w:eastAsia="lt-LT"/>
              </w:rPr>
              <w:t>Kaštų skirtumas</w:t>
            </w:r>
            <w:r>
              <w:rPr>
                <w:iCs/>
                <w:lang w:eastAsia="lt-LT"/>
              </w:rPr>
              <w:t xml:space="preserve"> (pembrolizumabui netaikant PGS kainos) – taikant pareiškėjo metodiką</w:t>
            </w:r>
          </w:p>
        </w:tc>
        <w:tc>
          <w:tcPr>
            <w:tcW w:w="1836" w:type="dxa"/>
            <w:tcBorders>
              <w:top w:val="single" w:sz="4" w:space="0" w:color="auto"/>
              <w:bottom w:val="single" w:sz="4" w:space="0" w:color="auto"/>
            </w:tcBorders>
            <w:vAlign w:val="center"/>
          </w:tcPr>
          <w:p w14:paraId="42B6F6C8" w14:textId="104FE07D" w:rsidR="00BC6ED1" w:rsidRPr="00D05364" w:rsidRDefault="005023A3" w:rsidP="008C5D6B">
            <w:pPr>
              <w:tabs>
                <w:tab w:val="left" w:pos="567"/>
              </w:tabs>
              <w:jc w:val="center"/>
              <w:rPr>
                <w:i/>
                <w:iCs/>
                <w:lang w:eastAsia="lt-LT"/>
              </w:rPr>
            </w:pPr>
            <w:r>
              <w:t>(</w:t>
            </w:r>
            <w:r w:rsidRPr="005023A3">
              <w:rPr>
                <w:i/>
              </w:rPr>
              <w:t>neviešinama</w:t>
            </w:r>
            <w:r>
              <w:t>)</w:t>
            </w:r>
          </w:p>
        </w:tc>
        <w:tc>
          <w:tcPr>
            <w:tcW w:w="1950" w:type="dxa"/>
            <w:tcBorders>
              <w:top w:val="single" w:sz="4" w:space="0" w:color="auto"/>
              <w:bottom w:val="single" w:sz="4" w:space="0" w:color="auto"/>
              <w:right w:val="single" w:sz="12" w:space="0" w:color="auto"/>
            </w:tcBorders>
            <w:vAlign w:val="center"/>
          </w:tcPr>
          <w:p w14:paraId="00262303" w14:textId="5C876BA0" w:rsidR="00BC6ED1" w:rsidRPr="00D05364" w:rsidRDefault="005023A3" w:rsidP="008C5D6B">
            <w:pPr>
              <w:tabs>
                <w:tab w:val="left" w:pos="567"/>
              </w:tabs>
              <w:jc w:val="center"/>
              <w:rPr>
                <w:i/>
                <w:iCs/>
                <w:lang w:eastAsia="lt-LT"/>
              </w:rPr>
            </w:pPr>
            <w:r>
              <w:t>(</w:t>
            </w:r>
            <w:r w:rsidRPr="005023A3">
              <w:rPr>
                <w:i/>
              </w:rPr>
              <w:t>neviešinama</w:t>
            </w:r>
            <w:r>
              <w:t>)</w:t>
            </w:r>
          </w:p>
        </w:tc>
        <w:tc>
          <w:tcPr>
            <w:tcW w:w="1344" w:type="dxa"/>
            <w:tcBorders>
              <w:top w:val="single" w:sz="4" w:space="0" w:color="auto"/>
              <w:left w:val="single" w:sz="12" w:space="0" w:color="auto"/>
              <w:bottom w:val="single" w:sz="4" w:space="0" w:color="auto"/>
            </w:tcBorders>
            <w:vAlign w:val="center"/>
          </w:tcPr>
          <w:p w14:paraId="5219E116" w14:textId="650855F6" w:rsidR="00BC6ED1" w:rsidRPr="00D05364" w:rsidRDefault="005023A3" w:rsidP="008C5D6B">
            <w:pPr>
              <w:tabs>
                <w:tab w:val="left" w:pos="567"/>
              </w:tabs>
              <w:jc w:val="center"/>
              <w:rPr>
                <w:lang w:eastAsia="lt-LT"/>
              </w:rPr>
            </w:pPr>
            <w:r>
              <w:t>(</w:t>
            </w:r>
            <w:r w:rsidRPr="005023A3">
              <w:rPr>
                <w:i/>
              </w:rPr>
              <w:t>neviešinama</w:t>
            </w:r>
            <w:r>
              <w:t>)</w:t>
            </w:r>
          </w:p>
        </w:tc>
        <w:tc>
          <w:tcPr>
            <w:tcW w:w="1264" w:type="dxa"/>
            <w:tcBorders>
              <w:top w:val="single" w:sz="4" w:space="0" w:color="auto"/>
              <w:bottom w:val="single" w:sz="4" w:space="0" w:color="auto"/>
            </w:tcBorders>
            <w:vAlign w:val="center"/>
          </w:tcPr>
          <w:p w14:paraId="021E0DBB" w14:textId="1F521BD8" w:rsidR="00BC6ED1" w:rsidRPr="00BC6ED1" w:rsidRDefault="005023A3" w:rsidP="00BC6ED1">
            <w:pPr>
              <w:tabs>
                <w:tab w:val="left" w:pos="567"/>
              </w:tabs>
              <w:jc w:val="center"/>
              <w:rPr>
                <w:lang w:val="en-US"/>
              </w:rPr>
            </w:pPr>
            <w:r>
              <w:t>(</w:t>
            </w:r>
            <w:r w:rsidRPr="005023A3">
              <w:rPr>
                <w:i/>
              </w:rPr>
              <w:t>neviešinama</w:t>
            </w:r>
            <w:r>
              <w:t>)</w:t>
            </w:r>
          </w:p>
        </w:tc>
      </w:tr>
      <w:tr w:rsidR="00BC6ED1" w:rsidRPr="00D05364" w14:paraId="6E254983" w14:textId="560160BA" w:rsidTr="00BC6ED1">
        <w:trPr>
          <w:trHeight w:val="252"/>
          <w:jc w:val="center"/>
        </w:trPr>
        <w:tc>
          <w:tcPr>
            <w:tcW w:w="3495" w:type="dxa"/>
            <w:tcBorders>
              <w:top w:val="single" w:sz="4" w:space="0" w:color="auto"/>
              <w:bottom w:val="single" w:sz="4" w:space="0" w:color="auto"/>
            </w:tcBorders>
            <w:vAlign w:val="center"/>
          </w:tcPr>
          <w:p w14:paraId="47D40FF8" w14:textId="0B0319BB" w:rsidR="00BC6ED1" w:rsidRPr="00620839" w:rsidRDefault="00BC6ED1" w:rsidP="00BC6ED1">
            <w:pPr>
              <w:tabs>
                <w:tab w:val="left" w:pos="567"/>
              </w:tabs>
              <w:rPr>
                <w:iCs/>
                <w:color w:val="000000"/>
                <w:lang w:val="en-US" w:eastAsia="lt-LT"/>
              </w:rPr>
            </w:pPr>
            <w:r w:rsidRPr="00E33EFF">
              <w:rPr>
                <w:iCs/>
                <w:lang w:eastAsia="lt-LT"/>
              </w:rPr>
              <w:t>Kaštų skirtumas</w:t>
            </w:r>
            <w:r>
              <w:rPr>
                <w:iCs/>
                <w:lang w:eastAsia="lt-LT"/>
              </w:rPr>
              <w:t xml:space="preserve"> (pembrolizumabui netaikant PGS kainos) – taikant Tarnybos atliktą alternatyvią metodiką </w:t>
            </w:r>
          </w:p>
        </w:tc>
        <w:tc>
          <w:tcPr>
            <w:tcW w:w="1836" w:type="dxa"/>
            <w:tcBorders>
              <w:top w:val="single" w:sz="4" w:space="0" w:color="auto"/>
              <w:bottom w:val="single" w:sz="4" w:space="0" w:color="auto"/>
            </w:tcBorders>
            <w:vAlign w:val="center"/>
          </w:tcPr>
          <w:p w14:paraId="2D757822" w14:textId="4F393246" w:rsidR="00BC6ED1" w:rsidRPr="00B16164" w:rsidRDefault="005023A3" w:rsidP="00BC6ED1">
            <w:pPr>
              <w:tabs>
                <w:tab w:val="left" w:pos="567"/>
              </w:tabs>
              <w:jc w:val="center"/>
            </w:pPr>
            <w:r>
              <w:t>(</w:t>
            </w:r>
            <w:r w:rsidRPr="005023A3">
              <w:rPr>
                <w:i/>
              </w:rPr>
              <w:t>neviešinama</w:t>
            </w:r>
            <w:r>
              <w:t>)</w:t>
            </w:r>
          </w:p>
        </w:tc>
        <w:tc>
          <w:tcPr>
            <w:tcW w:w="1950" w:type="dxa"/>
            <w:tcBorders>
              <w:top w:val="single" w:sz="4" w:space="0" w:color="auto"/>
              <w:bottom w:val="single" w:sz="4" w:space="0" w:color="auto"/>
              <w:right w:val="single" w:sz="12" w:space="0" w:color="auto"/>
            </w:tcBorders>
            <w:vAlign w:val="center"/>
          </w:tcPr>
          <w:p w14:paraId="0E8E7E6E" w14:textId="280E460E" w:rsidR="00BC6ED1" w:rsidRPr="00B16164" w:rsidRDefault="005023A3" w:rsidP="00BC6ED1">
            <w:pPr>
              <w:tabs>
                <w:tab w:val="left" w:pos="567"/>
              </w:tabs>
              <w:jc w:val="center"/>
            </w:pPr>
            <w:r>
              <w:t>(</w:t>
            </w:r>
            <w:r w:rsidRPr="005023A3">
              <w:rPr>
                <w:i/>
              </w:rPr>
              <w:t>neviešinama</w:t>
            </w:r>
            <w:r>
              <w:t>)</w:t>
            </w:r>
          </w:p>
        </w:tc>
        <w:tc>
          <w:tcPr>
            <w:tcW w:w="1344" w:type="dxa"/>
            <w:tcBorders>
              <w:top w:val="single" w:sz="4" w:space="0" w:color="auto"/>
              <w:left w:val="single" w:sz="12" w:space="0" w:color="auto"/>
              <w:bottom w:val="single" w:sz="4" w:space="0" w:color="auto"/>
            </w:tcBorders>
            <w:vAlign w:val="center"/>
          </w:tcPr>
          <w:p w14:paraId="0B94FFC8" w14:textId="4371913A" w:rsidR="00BC6ED1" w:rsidRPr="00B16164" w:rsidRDefault="005023A3" w:rsidP="00BC6ED1">
            <w:pPr>
              <w:tabs>
                <w:tab w:val="left" w:pos="567"/>
              </w:tabs>
              <w:jc w:val="center"/>
            </w:pPr>
            <w:r>
              <w:t>(</w:t>
            </w:r>
            <w:r w:rsidRPr="005023A3">
              <w:rPr>
                <w:i/>
              </w:rPr>
              <w:t>neviešinama</w:t>
            </w:r>
            <w:r>
              <w:t>)</w:t>
            </w:r>
          </w:p>
        </w:tc>
        <w:tc>
          <w:tcPr>
            <w:tcW w:w="1264" w:type="dxa"/>
            <w:tcBorders>
              <w:top w:val="single" w:sz="4" w:space="0" w:color="auto"/>
              <w:bottom w:val="single" w:sz="4" w:space="0" w:color="auto"/>
            </w:tcBorders>
            <w:vAlign w:val="center"/>
          </w:tcPr>
          <w:p w14:paraId="0DE89658" w14:textId="09CC43EE" w:rsidR="00BC6ED1" w:rsidRPr="00D1083E" w:rsidRDefault="005023A3" w:rsidP="00BC6ED1">
            <w:pPr>
              <w:tabs>
                <w:tab w:val="left" w:pos="567"/>
              </w:tabs>
              <w:jc w:val="center"/>
            </w:pPr>
            <w:r>
              <w:t>(</w:t>
            </w:r>
            <w:r w:rsidRPr="005023A3">
              <w:rPr>
                <w:i/>
              </w:rPr>
              <w:t>neviešinama</w:t>
            </w:r>
            <w:r>
              <w:t>)</w:t>
            </w:r>
          </w:p>
        </w:tc>
      </w:tr>
    </w:tbl>
    <w:p w14:paraId="7ADB8037" w14:textId="77777777" w:rsidR="00E449B7" w:rsidRPr="00E449B7" w:rsidRDefault="00E449B7" w:rsidP="00BC6ED1">
      <w:pPr>
        <w:spacing w:line="360" w:lineRule="auto"/>
        <w:jc w:val="both"/>
      </w:pPr>
    </w:p>
    <w:p w14:paraId="4E8484EB" w14:textId="77777777" w:rsidR="00E449B7" w:rsidRDefault="00E449B7" w:rsidP="00E449B7">
      <w:pPr>
        <w:spacing w:line="360" w:lineRule="auto"/>
        <w:ind w:firstLine="720"/>
        <w:rPr>
          <w:rFonts w:eastAsia="Arial"/>
          <w:bCs/>
        </w:rPr>
      </w:pPr>
      <w:r w:rsidRPr="00D24795">
        <w:rPr>
          <w:rFonts w:eastAsia="Arial"/>
          <w:bCs/>
        </w:rPr>
        <w:t xml:space="preserve">Tarnybai yra žinoma, kad pembrolizumabo gamintojas yra sudaręs prieinamumo gerinimo sutartį su Valstybine ligonių kasa prie Sveikatos apsaugos ministerijos, ir kad pembrolizumabui yra taikoma nuolaida. Tarnyba skaičiavimus, kuriuose pembrolizumabui taikoma PGS kaina, pateikia šio vertinimo protokolo priede. Šiame priede skaičiavimai yra konfidencialūs, todėl priedas pateikiamas tik Kompensavimo komisijai. </w:t>
      </w:r>
    </w:p>
    <w:p w14:paraId="4D9561F0" w14:textId="573ACEAA" w:rsidR="00C378B5" w:rsidRPr="00BC6ED1" w:rsidRDefault="00E449B7" w:rsidP="00BC6ED1">
      <w:pPr>
        <w:spacing w:line="360" w:lineRule="auto"/>
        <w:ind w:firstLine="720"/>
        <w:rPr>
          <w:rFonts w:eastAsia="Arial"/>
          <w:bCs/>
        </w:rPr>
      </w:pPr>
      <w:r>
        <w:rPr>
          <w:rFonts w:eastAsia="Arial"/>
          <w:bCs/>
        </w:rPr>
        <w:t xml:space="preserve">Atsižvelgiant į skaičiavimų rezultatus, kuomet pembrolizumabui taikoma PGS kaina, bei į jautrumo analizės rezultatus dėl kitų dozavimo režimų įtakos analizės rezultatams, teikiama išvada, kad atezolizumabo ir pembrolizumabo gydymo kaštai iš esmės yra vienodi. </w:t>
      </w:r>
    </w:p>
    <w:p w14:paraId="2C6C2166" w14:textId="77777777" w:rsidR="00C378B5" w:rsidRPr="008B63AB" w:rsidRDefault="00C378B5" w:rsidP="00A93AA6">
      <w:pPr>
        <w:tabs>
          <w:tab w:val="left" w:pos="426"/>
        </w:tabs>
        <w:rPr>
          <w:b/>
          <w:bCs/>
          <w:caps/>
        </w:rPr>
      </w:pPr>
    </w:p>
    <w:p w14:paraId="4FC424F9" w14:textId="4E767245" w:rsidR="00C62B36" w:rsidRPr="008B63AB" w:rsidRDefault="00C62B36" w:rsidP="00CC09D4">
      <w:pPr>
        <w:pStyle w:val="ListParagraph"/>
        <w:numPr>
          <w:ilvl w:val="0"/>
          <w:numId w:val="12"/>
        </w:numPr>
        <w:tabs>
          <w:tab w:val="left" w:pos="567"/>
        </w:tabs>
        <w:ind w:hanging="720"/>
        <w:rPr>
          <w:b/>
          <w:bCs/>
          <w:caps/>
        </w:rPr>
      </w:pPr>
      <w:r w:rsidRPr="008B63AB">
        <w:rPr>
          <w:b/>
          <w:bCs/>
          <w:caps/>
        </w:rPr>
        <w:t xml:space="preserve">Pacientų organizacijų pateikti duomenys </w:t>
      </w:r>
    </w:p>
    <w:p w14:paraId="79BCFF40" w14:textId="596C7AC6" w:rsidR="00937907" w:rsidRPr="008B63AB" w:rsidRDefault="0022123B"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4C7EAD" w:rsidRPr="008B63AB">
            <w:rPr>
              <w:rStyle w:val="Style2"/>
              <w:rFonts w:ascii="MS Gothic" w:eastAsia="MS Gothic" w:hAnsi="MS Gothic"/>
              <w:sz w:val="24"/>
            </w:rPr>
            <w:t>☒</w:t>
          </w:r>
        </w:sdtContent>
      </w:sdt>
      <w:r w:rsidR="00937907" w:rsidRPr="008B63AB">
        <w:t xml:space="preserve"> Pacientų organizacijos pozicija pateikta. Žr. priedą.</w:t>
      </w:r>
    </w:p>
    <w:p w14:paraId="62992180" w14:textId="42E47EEB" w:rsidR="00937907" w:rsidRPr="008B63AB" w:rsidRDefault="0022123B"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4C7EAD" w:rsidRPr="008B63AB">
            <w:rPr>
              <w:rStyle w:val="Style2"/>
              <w:rFonts w:ascii="MS Gothic" w:eastAsia="MS Gothic" w:hAnsi="MS Gothic"/>
              <w:sz w:val="24"/>
            </w:rPr>
            <w:t>☐</w:t>
          </w:r>
        </w:sdtContent>
      </w:sdt>
      <w:r w:rsidR="00937907" w:rsidRPr="008B63AB">
        <w:t xml:space="preserve"> Pacientų organizacijos pozicija </w:t>
      </w:r>
      <w:r w:rsidR="00880A44" w:rsidRPr="008B63AB">
        <w:t>ne</w:t>
      </w:r>
      <w:r w:rsidR="00937907" w:rsidRPr="008B63AB">
        <w:t>pateikta.</w:t>
      </w:r>
    </w:p>
    <w:p w14:paraId="03E73D82" w14:textId="77777777" w:rsidR="00D417D2" w:rsidRPr="008B63AB" w:rsidRDefault="00D417D2" w:rsidP="00937907">
      <w:pPr>
        <w:spacing w:after="120"/>
        <w:jc w:val="both"/>
      </w:pPr>
    </w:p>
    <w:p w14:paraId="3D3277FA" w14:textId="3CEEB2D2" w:rsidR="00C62B36" w:rsidRPr="008B63AB" w:rsidRDefault="00C62B36" w:rsidP="00CC09D4">
      <w:pPr>
        <w:pStyle w:val="ListParagraph"/>
        <w:numPr>
          <w:ilvl w:val="0"/>
          <w:numId w:val="12"/>
        </w:numPr>
        <w:tabs>
          <w:tab w:val="left" w:pos="567"/>
        </w:tabs>
        <w:ind w:hanging="720"/>
        <w:rPr>
          <w:b/>
          <w:bCs/>
          <w:caps/>
        </w:rPr>
      </w:pPr>
      <w:r w:rsidRPr="008B63AB">
        <w:rPr>
          <w:b/>
          <w:bCs/>
          <w:caps/>
        </w:rPr>
        <w:t>Gydytojų organizacijų pateikti duomenys</w:t>
      </w:r>
    </w:p>
    <w:p w14:paraId="389A346C" w14:textId="7BC66E89" w:rsidR="00937907" w:rsidRPr="008B63AB" w:rsidRDefault="0022123B"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7041D4" w:rsidRPr="008B63AB">
            <w:rPr>
              <w:rStyle w:val="Style2"/>
              <w:rFonts w:ascii="MS Gothic" w:eastAsia="MS Gothic" w:hAnsi="MS Gothic"/>
              <w:sz w:val="24"/>
            </w:rPr>
            <w:t>☒</w:t>
          </w:r>
        </w:sdtContent>
      </w:sdt>
      <w:r w:rsidR="00662983" w:rsidRPr="008B63AB">
        <w:t xml:space="preserve"> </w:t>
      </w:r>
      <w:r w:rsidR="00937907" w:rsidRPr="008B63AB">
        <w:t xml:space="preserve">Gydytojų specialistų organizacijos pozicija pateikta. </w:t>
      </w:r>
      <w:r w:rsidR="00662983" w:rsidRPr="008B63AB">
        <w:t>Žr. priedą</w:t>
      </w:r>
      <w:r w:rsidR="00937907" w:rsidRPr="008B63AB">
        <w:t>.</w:t>
      </w:r>
    </w:p>
    <w:p w14:paraId="7EAD48C7" w14:textId="77777777" w:rsidR="00731BE9" w:rsidRDefault="0022123B" w:rsidP="00731BE9">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8B63AB">
            <w:rPr>
              <w:rStyle w:val="Style2"/>
              <w:rFonts w:ascii="MS Gothic" w:eastAsia="MS Gothic" w:hAnsi="MS Gothic"/>
              <w:sz w:val="24"/>
            </w:rPr>
            <w:t>☐</w:t>
          </w:r>
        </w:sdtContent>
      </w:sdt>
      <w:r w:rsidR="00662983" w:rsidRPr="008B63AB">
        <w:t xml:space="preserve"> </w:t>
      </w:r>
      <w:r w:rsidR="00937907" w:rsidRPr="008B63AB">
        <w:t xml:space="preserve">Gydytojų specialistų organizacijos pozicija </w:t>
      </w:r>
      <w:r w:rsidR="00880A44" w:rsidRPr="008B63AB">
        <w:t>ne</w:t>
      </w:r>
      <w:r w:rsidR="00937907" w:rsidRPr="008B63AB">
        <w:t>pateikta.</w:t>
      </w:r>
    </w:p>
    <w:p w14:paraId="55ADB5EB" w14:textId="552ED6F1" w:rsidR="00731BE9" w:rsidRDefault="00731BE9" w:rsidP="00731BE9">
      <w:pPr>
        <w:spacing w:after="120"/>
        <w:jc w:val="both"/>
      </w:pPr>
    </w:p>
    <w:p w14:paraId="00F8B385" w14:textId="600BB23B" w:rsidR="00BC6ED1" w:rsidRDefault="00BC6ED1" w:rsidP="00731BE9">
      <w:pPr>
        <w:spacing w:after="120"/>
        <w:jc w:val="both"/>
      </w:pPr>
    </w:p>
    <w:p w14:paraId="3BC17520" w14:textId="77777777" w:rsidR="00BC6ED1" w:rsidRDefault="00BC6ED1" w:rsidP="00731BE9">
      <w:pPr>
        <w:spacing w:after="120"/>
        <w:jc w:val="both"/>
      </w:pPr>
    </w:p>
    <w:p w14:paraId="78F23ECB" w14:textId="40F65C0C" w:rsidR="002F0E4F" w:rsidRPr="00731BE9" w:rsidRDefault="002F0E4F" w:rsidP="00731BE9">
      <w:pPr>
        <w:pStyle w:val="ListParagraph"/>
        <w:numPr>
          <w:ilvl w:val="0"/>
          <w:numId w:val="12"/>
        </w:numPr>
        <w:spacing w:after="120"/>
        <w:ind w:hanging="720"/>
        <w:jc w:val="both"/>
      </w:pPr>
      <w:r w:rsidRPr="00731BE9">
        <w:rPr>
          <w:b/>
          <w:bCs/>
          <w:caps/>
        </w:rPr>
        <w:t xml:space="preserve">Išvada </w:t>
      </w:r>
    </w:p>
    <w:p w14:paraId="08D5B3B6" w14:textId="0BE5130E" w:rsidR="0061611B" w:rsidRPr="008B63AB" w:rsidRDefault="0061611B" w:rsidP="0061611B">
      <w:pPr>
        <w:rPr>
          <w:i/>
          <w:color w:val="000000" w:themeColor="text1"/>
          <w:szCs w:val="22"/>
        </w:rPr>
      </w:pPr>
    </w:p>
    <w:tbl>
      <w:tblPr>
        <w:tblStyle w:val="TableGrid"/>
        <w:tblW w:w="0" w:type="auto"/>
        <w:tblLook w:val="04A0" w:firstRow="1" w:lastRow="0" w:firstColumn="1" w:lastColumn="0" w:noHBand="0" w:noVBand="1"/>
      </w:tblPr>
      <w:tblGrid>
        <w:gridCol w:w="4815"/>
        <w:gridCol w:w="4814"/>
      </w:tblGrid>
      <w:tr w:rsidR="00B13D65" w:rsidRPr="008B63AB" w14:paraId="25A2473E" w14:textId="77777777" w:rsidTr="00C16245">
        <w:trPr>
          <w:trHeight w:val="510"/>
        </w:trPr>
        <w:tc>
          <w:tcPr>
            <w:tcW w:w="4815" w:type="dxa"/>
            <w:vAlign w:val="center"/>
          </w:tcPr>
          <w:p w14:paraId="7EFE6941" w14:textId="23B8BB6D" w:rsidR="00B13D65"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8B63AB">
              <w:rPr>
                <w:rStyle w:val="Style2"/>
                <w:rFonts w:eastAsia="MS Gothic"/>
                <w:b/>
                <w:bCs/>
                <w:sz w:val="24"/>
              </w:rPr>
              <w:t>Rekomenduojama kompensuoti</w:t>
            </w:r>
          </w:p>
        </w:tc>
        <w:tc>
          <w:tcPr>
            <w:tcW w:w="4814" w:type="dxa"/>
            <w:vAlign w:val="center"/>
          </w:tcPr>
          <w:p w14:paraId="330A1A5E" w14:textId="19247DC1" w:rsidR="00B13D65"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8B63AB">
              <w:rPr>
                <w:rStyle w:val="Style2"/>
                <w:rFonts w:eastAsia="MS Gothic"/>
                <w:b/>
                <w:bCs/>
                <w:sz w:val="24"/>
              </w:rPr>
              <w:t xml:space="preserve">Rekomenduojama nekompensuoti </w:t>
            </w:r>
          </w:p>
        </w:tc>
      </w:tr>
      <w:tr w:rsidR="00B13D65" w:rsidRPr="008B63AB" w14:paraId="143A7356" w14:textId="77777777" w:rsidTr="00C16245">
        <w:trPr>
          <w:trHeight w:val="510"/>
        </w:trPr>
        <w:tc>
          <w:tcPr>
            <w:tcW w:w="9629" w:type="dxa"/>
            <w:gridSpan w:val="2"/>
            <w:vAlign w:val="center"/>
          </w:tcPr>
          <w:p w14:paraId="0AF5D6B4" w14:textId="6D8B6C59" w:rsidR="00B13D65" w:rsidRPr="008B63A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8B63AB">
              <w:rPr>
                <w:rStyle w:val="Style2"/>
                <w:rFonts w:eastAsia="MS Gothic"/>
                <w:b/>
                <w:bCs/>
                <w:sz w:val="24"/>
              </w:rPr>
              <w:t>Palyginamasis efektyvumas</w:t>
            </w:r>
          </w:p>
        </w:tc>
      </w:tr>
      <w:tr w:rsidR="00B13D65" w:rsidRPr="008B63AB" w14:paraId="28A0C814" w14:textId="77777777" w:rsidTr="0061611B">
        <w:tc>
          <w:tcPr>
            <w:tcW w:w="4815" w:type="dxa"/>
          </w:tcPr>
          <w:p w14:paraId="216769B5" w14:textId="153FBD0B"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A776A1" w:rsidRPr="008B63AB">
                  <w:rPr>
                    <w:rStyle w:val="Style2"/>
                    <w:rFonts w:ascii="MS Gothic" w:eastAsia="MS Gothic" w:hAnsi="MS Gothic"/>
                    <w:sz w:val="24"/>
                  </w:rPr>
                  <w:t>☐</w:t>
                </w:r>
              </w:sdtContent>
            </w:sdt>
            <w:r w:rsidR="00B13D65" w:rsidRPr="008B63AB">
              <w:t xml:space="preserve"> 32.1. yra didesnis</w:t>
            </w:r>
          </w:p>
          <w:p w14:paraId="3B48F372" w14:textId="77777777" w:rsidR="00662983"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7E69053" w:rsidR="00B13D65" w:rsidRPr="008B63AB" w:rsidRDefault="0022123B" w:rsidP="00F83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A776A1" w:rsidRPr="008B63AB">
                  <w:rPr>
                    <w:rStyle w:val="Style2"/>
                    <w:rFonts w:ascii="MS Gothic" w:eastAsia="MS Gothic" w:hAnsi="MS Gothic" w:cs="Segoe UI Symbol"/>
                    <w:sz w:val="24"/>
                  </w:rPr>
                  <w:t>☒</w:t>
                </w:r>
              </w:sdtContent>
            </w:sdt>
            <w:r w:rsidR="00B13D65" w:rsidRPr="008B63AB">
              <w:t xml:space="preserve"> 32.1. iš esmės nesiskiria</w:t>
            </w:r>
          </w:p>
        </w:tc>
        <w:tc>
          <w:tcPr>
            <w:tcW w:w="4814" w:type="dxa"/>
          </w:tcPr>
          <w:p w14:paraId="507828D9" w14:textId="029A1B2C"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8B63AB">
                  <w:rPr>
                    <w:rStyle w:val="Style2"/>
                    <w:rFonts w:ascii="Segoe UI Symbol" w:eastAsia="MS Gothic" w:hAnsi="Segoe UI Symbol" w:cs="Segoe UI Symbol"/>
                    <w:sz w:val="24"/>
                  </w:rPr>
                  <w:t>☐</w:t>
                </w:r>
              </w:sdtContent>
            </w:sdt>
            <w:r w:rsidR="00B13D65" w:rsidRPr="008B63AB">
              <w:t xml:space="preserve"> 33.1. yra mažesnis</w:t>
            </w:r>
          </w:p>
          <w:p w14:paraId="7F95DEEC" w14:textId="77777777" w:rsidR="00662983"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53F67A6" w:rsidR="00662983"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8B63AB">
                  <w:rPr>
                    <w:rStyle w:val="Style2"/>
                    <w:rFonts w:ascii="Segoe UI Symbol" w:eastAsia="MS Gothic" w:hAnsi="Segoe UI Symbol" w:cs="Segoe UI Symbol"/>
                    <w:sz w:val="24"/>
                  </w:rPr>
                  <w:t>☐</w:t>
                </w:r>
              </w:sdtContent>
            </w:sdt>
            <w:r w:rsidR="00B13D65" w:rsidRPr="008B63AB">
              <w:t xml:space="preserve"> 33.1. yra neįrodytas kaip toks pat</w:t>
            </w:r>
          </w:p>
          <w:p w14:paraId="35205E85" w14:textId="77777777" w:rsidR="00662983"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5AF8F0D2"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8B63AB">
                  <w:rPr>
                    <w:rStyle w:val="Style2"/>
                    <w:rFonts w:ascii="Segoe UI Symbol" w:eastAsia="MS Gothic" w:hAnsi="Segoe UI Symbol" w:cs="Segoe UI Symbol"/>
                    <w:sz w:val="24"/>
                  </w:rPr>
                  <w:t>☐</w:t>
                </w:r>
              </w:sdtContent>
            </w:sdt>
            <w:r w:rsidR="00662983" w:rsidRPr="008B63AB">
              <w:t xml:space="preserve"> 33.1 </w:t>
            </w:r>
            <w:r w:rsidR="00B00959" w:rsidRPr="008B63AB">
              <w:t xml:space="preserve">yra </w:t>
            </w:r>
            <w:r w:rsidR="00B13D65" w:rsidRPr="008B63AB">
              <w:t>neįrodytas kaip didesnis</w:t>
            </w:r>
          </w:p>
          <w:p w14:paraId="512E653B" w14:textId="77777777" w:rsidR="00662983"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330C1A6D"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8B63AB">
                  <w:rPr>
                    <w:rStyle w:val="Style2"/>
                    <w:rFonts w:ascii="Segoe UI Symbol" w:eastAsia="MS Gothic" w:hAnsi="Segoe UI Symbol" w:cs="Segoe UI Symbol"/>
                    <w:sz w:val="24"/>
                  </w:rPr>
                  <w:t>☐</w:t>
                </w:r>
              </w:sdtContent>
            </w:sdt>
            <w:r w:rsidR="00B13D65" w:rsidRPr="008B63AB">
              <w:t xml:space="preserve"> 33.1. pateikti duomenys apie palyginamąjį efektyvumą yra netinkami vertinti</w:t>
            </w:r>
          </w:p>
          <w:p w14:paraId="5DDAA961" w14:textId="77777777" w:rsidR="00B13D65" w:rsidRPr="008B63A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8B63AB" w14:paraId="161CC3FE" w14:textId="77777777" w:rsidTr="00C16245">
        <w:trPr>
          <w:trHeight w:val="510"/>
        </w:trPr>
        <w:tc>
          <w:tcPr>
            <w:tcW w:w="9629" w:type="dxa"/>
            <w:gridSpan w:val="2"/>
            <w:vAlign w:val="center"/>
          </w:tcPr>
          <w:p w14:paraId="1AB46894" w14:textId="3E765638" w:rsidR="00B13D65" w:rsidRPr="008B63A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8B63AB">
              <w:rPr>
                <w:rStyle w:val="Style2"/>
                <w:rFonts w:eastAsia="MS Gothic"/>
                <w:b/>
                <w:bCs/>
                <w:sz w:val="24"/>
              </w:rPr>
              <w:t>Klinikinis veiksmingumas</w:t>
            </w:r>
          </w:p>
        </w:tc>
      </w:tr>
      <w:tr w:rsidR="00B13D65" w:rsidRPr="008B63AB" w14:paraId="3C60570A" w14:textId="77777777" w:rsidTr="0061611B">
        <w:tc>
          <w:tcPr>
            <w:tcW w:w="4815" w:type="dxa"/>
          </w:tcPr>
          <w:p w14:paraId="6897B306" w14:textId="4CE08C95"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A776A1" w:rsidRPr="008B63AB">
                  <w:rPr>
                    <w:rStyle w:val="Style2"/>
                    <w:rFonts w:ascii="MS Gothic" w:eastAsia="MS Gothic" w:hAnsi="MS Gothic"/>
                    <w:sz w:val="24"/>
                  </w:rPr>
                  <w:t>☐</w:t>
                </w:r>
              </w:sdtContent>
            </w:sdt>
            <w:r w:rsidR="00B13D65" w:rsidRPr="008B63AB">
              <w:t xml:space="preserve"> 32.2. yra įvertintas kaip pagrindžiantis papildomos naudos pacientų sveikatai sukūrimą, lyginant su įprasta klinikine praktika</w:t>
            </w:r>
          </w:p>
          <w:p w14:paraId="71D57105" w14:textId="77777777" w:rsidR="00662983"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66774E42"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A776A1" w:rsidRPr="008B63AB">
                  <w:rPr>
                    <w:rStyle w:val="Style2"/>
                    <w:rFonts w:ascii="MS Gothic" w:eastAsia="MS Gothic" w:hAnsi="MS Gothic" w:cs="Segoe UI Symbol"/>
                    <w:sz w:val="24"/>
                  </w:rPr>
                  <w:t>☒</w:t>
                </w:r>
              </w:sdtContent>
            </w:sdt>
            <w:r w:rsidR="00B13D65" w:rsidRPr="008B63AB">
              <w:t xml:space="preserve"> 32.2. </w:t>
            </w:r>
            <w:r w:rsidR="00B00959" w:rsidRPr="008B63AB">
              <w:t xml:space="preserve">yra </w:t>
            </w:r>
            <w:r w:rsidR="00B13D65" w:rsidRPr="008B63AB">
              <w:t>įvertintas kaip pagrindžiantis nesiskiriančios naudos pacientų sveikatai sukūrimą, lyginant su įprasta klinikine praktika</w:t>
            </w:r>
          </w:p>
          <w:p w14:paraId="287AD233" w14:textId="77777777" w:rsidR="00B13D65" w:rsidRPr="008B63A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535D24F0" w:rsidR="00662983" w:rsidRPr="008B63AB" w:rsidRDefault="0022123B"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8B63AB">
                  <w:rPr>
                    <w:rStyle w:val="Style2"/>
                    <w:rFonts w:ascii="Segoe UI Symbol" w:eastAsia="MS Gothic" w:hAnsi="Segoe UI Symbol" w:cs="Segoe UI Symbol"/>
                    <w:sz w:val="24"/>
                  </w:rPr>
                  <w:t>☐</w:t>
                </w:r>
              </w:sdtContent>
            </w:sdt>
            <w:r w:rsidR="00B13D65" w:rsidRPr="008B63AB">
              <w:t xml:space="preserve"> 33.1. yra įvertintas kaip nepagrindžiantis papildomos </w:t>
            </w:r>
            <w:r w:rsidR="00662983" w:rsidRPr="008B63AB">
              <w:t>naudos pacientų sveikatai sukūrimo, lyginant su</w:t>
            </w:r>
            <w:r w:rsidR="00122E01">
              <w:t xml:space="preserve"> </w:t>
            </w:r>
            <w:r w:rsidR="00662983" w:rsidRPr="008B63AB">
              <w:t>įprasta klinikine praktika</w:t>
            </w:r>
          </w:p>
          <w:p w14:paraId="6C70BCFC" w14:textId="77777777" w:rsidR="00662983" w:rsidRPr="008B63AB" w:rsidRDefault="00662983" w:rsidP="00BD1E5A">
            <w:pPr>
              <w:jc w:val="both"/>
            </w:pPr>
          </w:p>
          <w:p w14:paraId="0ADEC30D" w14:textId="17661DBD" w:rsidR="00B13D65" w:rsidRPr="008B63AB" w:rsidRDefault="0022123B"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8B63AB">
                  <w:rPr>
                    <w:rStyle w:val="Style2"/>
                    <w:rFonts w:ascii="Segoe UI Symbol" w:eastAsia="MS Gothic" w:hAnsi="Segoe UI Symbol" w:cs="Segoe UI Symbol"/>
                    <w:sz w:val="24"/>
                  </w:rPr>
                  <w:t>☐</w:t>
                </w:r>
              </w:sdtContent>
            </w:sdt>
            <w:r w:rsidR="00B13D65" w:rsidRPr="008B63AB">
              <w:t xml:space="preserve"> </w:t>
            </w:r>
            <w:r w:rsidR="00662983" w:rsidRPr="008B63AB">
              <w:t xml:space="preserve">33.1. </w:t>
            </w:r>
            <w:r w:rsidR="00B00959" w:rsidRPr="008B63AB">
              <w:t xml:space="preserve">yra įvertintas kaip nepagrindžiantis </w:t>
            </w:r>
            <w:r w:rsidR="00B13D65" w:rsidRPr="008B63AB">
              <w:t>nesiskiriančios naudos pacientų sveikatai sukūrimo, lyginant su įprasta klinikine praktika</w:t>
            </w:r>
          </w:p>
          <w:p w14:paraId="1EED7901" w14:textId="77777777" w:rsidR="00B13D65" w:rsidRPr="008B63A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8B63A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8B63AB" w14:paraId="1C75AE76" w14:textId="77777777" w:rsidTr="00C16245">
        <w:trPr>
          <w:trHeight w:val="510"/>
        </w:trPr>
        <w:tc>
          <w:tcPr>
            <w:tcW w:w="9629" w:type="dxa"/>
            <w:gridSpan w:val="2"/>
            <w:vAlign w:val="center"/>
          </w:tcPr>
          <w:p w14:paraId="0247EDAD" w14:textId="7FBBB759" w:rsidR="00B13D65" w:rsidRPr="008B63A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8B63AB">
              <w:rPr>
                <w:rStyle w:val="Style2"/>
                <w:rFonts w:eastAsia="MS Gothic"/>
                <w:b/>
                <w:bCs/>
                <w:sz w:val="24"/>
              </w:rPr>
              <w:t>Kaštų naudingumas</w:t>
            </w:r>
          </w:p>
        </w:tc>
      </w:tr>
      <w:tr w:rsidR="00B13D65" w:rsidRPr="008B63AB" w14:paraId="7091A05B" w14:textId="77777777" w:rsidTr="0061611B">
        <w:tc>
          <w:tcPr>
            <w:tcW w:w="4815" w:type="dxa"/>
          </w:tcPr>
          <w:p w14:paraId="69B2A994" w14:textId="74F7E0F0"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8B63AB">
                  <w:rPr>
                    <w:rStyle w:val="Style2"/>
                    <w:rFonts w:ascii="MS Gothic" w:eastAsia="MS Gothic" w:hAnsi="MS Gothic"/>
                    <w:sz w:val="24"/>
                  </w:rPr>
                  <w:t>☐</w:t>
                </w:r>
              </w:sdtContent>
            </w:sdt>
            <w:r w:rsidR="00B13D65" w:rsidRPr="008B63AB">
              <w:t xml:space="preserve"> 32.3. atitinka referencinę naudingumo vertę, </w:t>
            </w:r>
          </w:p>
          <w:p w14:paraId="3F76F153" w14:textId="77777777" w:rsidR="00662983"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89BAE74"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85670A" w:rsidRPr="008B63AB">
                  <w:rPr>
                    <w:rStyle w:val="Style2"/>
                    <w:rFonts w:ascii="MS Gothic" w:eastAsia="MS Gothic" w:hAnsi="MS Gothic"/>
                    <w:sz w:val="24"/>
                  </w:rPr>
                  <w:t>☒</w:t>
                </w:r>
              </w:sdtContent>
            </w:sdt>
            <w:r w:rsidR="00B13D65" w:rsidRPr="008B63AB">
              <w:t xml:space="preserve"> 32.3. gydymo juo kaštai yra mažesni ar tokie patys esant iš esmės nesiskiriančiam palyginamajam efektyvumui, </w:t>
            </w:r>
            <w:r w:rsidR="00B00959" w:rsidRPr="008B63AB">
              <w:t>lyginant su įprasta klinikine praktika</w:t>
            </w:r>
          </w:p>
          <w:p w14:paraId="25E4BD1E" w14:textId="77777777" w:rsidR="00B13D65" w:rsidRPr="008B63A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7F33840A"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8B63AB">
                  <w:rPr>
                    <w:rStyle w:val="Style2"/>
                    <w:rFonts w:ascii="Segoe UI Symbol" w:eastAsia="MS Gothic" w:hAnsi="Segoe UI Symbol" w:cs="Segoe UI Symbol"/>
                    <w:sz w:val="24"/>
                  </w:rPr>
                  <w:t>☐</w:t>
                </w:r>
              </w:sdtContent>
            </w:sdt>
            <w:r w:rsidR="00B13D65" w:rsidRPr="008B63AB">
              <w:t xml:space="preserve"> 33.3. neatitinka referencinės naudingumo vertės Lietuvos Respublikoje</w:t>
            </w:r>
          </w:p>
          <w:p w14:paraId="229ED51A" w14:textId="77777777" w:rsidR="00662983"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26025D4"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8B63AB">
                  <w:rPr>
                    <w:rStyle w:val="Style2"/>
                    <w:rFonts w:ascii="Segoe UI Symbol" w:eastAsia="MS Gothic" w:hAnsi="Segoe UI Symbol" w:cs="Segoe UI Symbol"/>
                    <w:sz w:val="24"/>
                  </w:rPr>
                  <w:t>☐</w:t>
                </w:r>
              </w:sdtContent>
            </w:sdt>
            <w:r w:rsidR="00B13D65" w:rsidRPr="008B63AB">
              <w:t xml:space="preserve"> 33.3. gydymo juo kaštai yra didesni esant iš esmės nesiskiriančiam palyginamajam efektyvumui</w:t>
            </w:r>
            <w:r w:rsidR="00B00959" w:rsidRPr="008B63AB">
              <w:t>, lyginant su įprasta klinikine praktika</w:t>
            </w:r>
          </w:p>
          <w:p w14:paraId="4A9C7D2A" w14:textId="77777777" w:rsidR="00662983" w:rsidRPr="008B63A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6DB9C16B" w:rsidR="00B13D65" w:rsidRPr="008B63AB" w:rsidRDefault="0022123B"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85670A" w:rsidRPr="008B63AB">
                  <w:rPr>
                    <w:rStyle w:val="Style2"/>
                    <w:rFonts w:ascii="MS Gothic" w:eastAsia="MS Gothic" w:hAnsi="MS Gothic"/>
                    <w:sz w:val="24"/>
                  </w:rPr>
                  <w:t>☐</w:t>
                </w:r>
              </w:sdtContent>
            </w:sdt>
            <w:r w:rsidR="00B13D65" w:rsidRPr="008B63AB">
              <w:t xml:space="preserve"> 33.3. pateikti duomenys apie kaštų na</w:t>
            </w:r>
            <w:r w:rsidR="00662983" w:rsidRPr="008B63AB">
              <w:t>udingumą yra netinkami vertinti</w:t>
            </w:r>
          </w:p>
          <w:p w14:paraId="470A48A4" w14:textId="77777777" w:rsidR="00B13D65" w:rsidRPr="008B63A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3BDB0150" w14:textId="5BCE225E" w:rsidR="004C7EAD" w:rsidRPr="008B63AB" w:rsidRDefault="004C7EAD" w:rsidP="00381024"/>
    <w:p w14:paraId="0E0954DB" w14:textId="77777777" w:rsidR="004C7EAD" w:rsidRPr="008B63AB" w:rsidRDefault="004C7EAD" w:rsidP="00381024"/>
    <w:p w14:paraId="3B2D1F25" w14:textId="3A80E19F" w:rsidR="000001B0" w:rsidRPr="008B63AB" w:rsidRDefault="000001B0" w:rsidP="00CC09D4">
      <w:pPr>
        <w:pStyle w:val="ListParagraph"/>
        <w:numPr>
          <w:ilvl w:val="0"/>
          <w:numId w:val="12"/>
        </w:numPr>
        <w:ind w:left="567" w:hanging="567"/>
      </w:pPr>
      <w:r w:rsidRPr="008B63AB">
        <w:rPr>
          <w:b/>
        </w:rPr>
        <w:t>REKOME</w:t>
      </w:r>
      <w:r w:rsidR="00D83182" w:rsidRPr="008B63AB">
        <w:rPr>
          <w:b/>
        </w:rPr>
        <w:t>N</w:t>
      </w:r>
      <w:r w:rsidRPr="008B63AB">
        <w:rPr>
          <w:b/>
        </w:rPr>
        <w:t>DACIJA</w:t>
      </w:r>
    </w:p>
    <w:p w14:paraId="54A39A0C" w14:textId="1AC238A3" w:rsidR="004F3B2B" w:rsidRPr="008B63AB" w:rsidRDefault="004F3B2B" w:rsidP="004F3B2B">
      <w:pPr>
        <w:rPr>
          <w:i/>
          <w:color w:val="00B050"/>
        </w:rPr>
      </w:pPr>
    </w:p>
    <w:p w14:paraId="22325210" w14:textId="7513F5AF" w:rsidR="004F3B2B" w:rsidRPr="008B63AB" w:rsidRDefault="004F3B2B" w:rsidP="00BC33C5">
      <w:pPr>
        <w:spacing w:line="360" w:lineRule="auto"/>
        <w:ind w:firstLine="567"/>
        <w:jc w:val="both"/>
      </w:pPr>
      <w:r w:rsidRPr="008B63AB">
        <w:t xml:space="preserve">Vadovaujantis </w:t>
      </w:r>
      <w:r w:rsidR="00F259FC" w:rsidRPr="008B63AB">
        <w:t xml:space="preserve">Vaistinių preparatų ir medicinos pagalbos priemonių įrašymo į kompensavimo sąrašus ir jų keitimo tvarkos aprašo, patvirtinto </w:t>
      </w:r>
      <w:r w:rsidRPr="008B63AB">
        <w:t xml:space="preserve">Lietuvos Respublikos sveikatos apsaugos ministro </w:t>
      </w:r>
      <w:r w:rsidRPr="008B63AB">
        <w:lastRenderedPageBreak/>
        <w:t>2002 m. balandžio 5 d. įsakymu Nr. V-159 „Dėl vaistinių preparatų ir medicinos pagalbos priemonių įrašymo į kompensavimo sąrašus ir jų keitimo tvarkos aprašo patvirtinimo“</w:t>
      </w:r>
      <w:r w:rsidR="00F259FC" w:rsidRPr="008B63AB">
        <w:t>,</w:t>
      </w:r>
      <w:r w:rsidRPr="008B63AB">
        <w:t xml:space="preserve"> punktu</w:t>
      </w:r>
      <w:r w:rsidR="003B6ADA" w:rsidRPr="008B63AB">
        <w:t>:</w:t>
      </w:r>
    </w:p>
    <w:p w14:paraId="1F23BDC8" w14:textId="77777777" w:rsidR="00BC6ED1" w:rsidRPr="00DD6246" w:rsidRDefault="004F3B2B" w:rsidP="00BC33C5">
      <w:pPr>
        <w:spacing w:line="360" w:lineRule="auto"/>
        <w:jc w:val="both"/>
        <w:rPr>
          <w:lang w:val="en-US"/>
        </w:rPr>
      </w:pPr>
      <w:r w:rsidRPr="008B63AB">
        <w:t>34.</w:t>
      </w:r>
      <w:r w:rsidR="0085670A" w:rsidRPr="008B63AB">
        <w:t>3</w:t>
      </w:r>
      <w:r w:rsidRPr="008B63AB">
        <w:t xml:space="preserve">. </w:t>
      </w:r>
      <w:r w:rsidR="00B80666">
        <w:t xml:space="preserve">rekomenduojama </w:t>
      </w:r>
      <w:r w:rsidR="00BC6ED1" w:rsidRPr="00E33EFF">
        <w:t>kompensuoti vaistinį preparatą pagal paraiškoje nurodytą indikaciją be skyrimo sąlygų, taikant PGS</w:t>
      </w:r>
      <w:r w:rsidR="00BC6ED1">
        <w:t xml:space="preserve">, </w:t>
      </w:r>
      <w:r w:rsidR="00BC6ED1" w:rsidRPr="00E33EFF">
        <w:t>dėl iš esmės nesiskiriančio gydymo efektyvumo ir sukuriamos naudos pacientų sveikatai, lyginant su įprasta klinikine praktika, ir dėl tokių pačių gydymo kaštų dydžio</w:t>
      </w:r>
      <w:r w:rsidR="00BC6ED1">
        <w:t>.</w:t>
      </w:r>
    </w:p>
    <w:p w14:paraId="2DEF57FB" w14:textId="77777777" w:rsidR="004F3B2B" w:rsidRPr="008B63AB" w:rsidRDefault="004F3B2B" w:rsidP="00BC33C5">
      <w:pPr>
        <w:spacing w:line="360" w:lineRule="auto"/>
        <w:jc w:val="both"/>
      </w:pPr>
    </w:p>
    <w:p w14:paraId="4E7454EF" w14:textId="77777777" w:rsidR="00DF1781" w:rsidRPr="008B63AB" w:rsidRDefault="00DF1781" w:rsidP="00BC33C5">
      <w:pPr>
        <w:spacing w:line="360" w:lineRule="auto"/>
      </w:pPr>
    </w:p>
    <w:p w14:paraId="18B4292E" w14:textId="699118B7" w:rsidR="000723FF" w:rsidRPr="008B63AB" w:rsidRDefault="00CC09D4" w:rsidP="00BC33C5">
      <w:pPr>
        <w:tabs>
          <w:tab w:val="left" w:pos="567"/>
        </w:tabs>
        <w:spacing w:line="360" w:lineRule="auto"/>
        <w:ind w:left="567" w:hanging="567"/>
        <w:jc w:val="both"/>
        <w:rPr>
          <w:b/>
          <w:color w:val="000000"/>
          <w:lang w:eastAsia="lt-LT"/>
        </w:rPr>
      </w:pPr>
      <w:r w:rsidRPr="008B63AB">
        <w:rPr>
          <w:b/>
          <w:color w:val="000000"/>
          <w:lang w:eastAsia="lt-LT"/>
        </w:rPr>
        <w:t>8.</w:t>
      </w:r>
      <w:r w:rsidRPr="008B63AB">
        <w:rPr>
          <w:b/>
          <w:color w:val="000000"/>
          <w:lang w:eastAsia="lt-LT"/>
        </w:rPr>
        <w:tab/>
      </w:r>
      <w:r w:rsidR="000723FF" w:rsidRPr="008B63AB">
        <w:rPr>
          <w:b/>
          <w:color w:val="000000"/>
          <w:lang w:eastAsia="lt-LT"/>
        </w:rPr>
        <w:t xml:space="preserve">SIŪLOMOS KOMPENSUOTI TERAPINĖS INDIKACIJOS IR SKYRIMO SĄLYGOS </w:t>
      </w:r>
    </w:p>
    <w:p w14:paraId="691340BB" w14:textId="77777777" w:rsidR="000723FF" w:rsidRPr="008B63AB" w:rsidRDefault="000723FF" w:rsidP="00BC33C5">
      <w:pPr>
        <w:tabs>
          <w:tab w:val="left" w:pos="426"/>
        </w:tabs>
        <w:spacing w:line="360" w:lineRule="auto"/>
        <w:jc w:val="both"/>
        <w:rPr>
          <w:b/>
          <w:color w:val="000000"/>
          <w:lang w:eastAsia="lt-LT"/>
        </w:rPr>
      </w:pPr>
    </w:p>
    <w:p w14:paraId="529C92C4" w14:textId="152E5FB4" w:rsidR="000723FF" w:rsidRPr="008B63AB" w:rsidRDefault="000723FF" w:rsidP="00BC33C5">
      <w:pPr>
        <w:spacing w:line="360" w:lineRule="auto"/>
        <w:outlineLvl w:val="0"/>
        <w:rPr>
          <w:b/>
          <w:lang w:eastAsia="lt-LT"/>
        </w:rPr>
      </w:pPr>
      <w:r w:rsidRPr="008B63AB">
        <w:rPr>
          <w:b/>
          <w:lang w:eastAsia="lt-LT"/>
        </w:rPr>
        <w:t>Terapinės indikacijos</w:t>
      </w:r>
    </w:p>
    <w:p w14:paraId="5BB746DD" w14:textId="6061074A" w:rsidR="000723FF" w:rsidRDefault="0022123B" w:rsidP="00BC33C5">
      <w:pPr>
        <w:spacing w:line="360" w:lineRule="auto"/>
      </w:pPr>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5A4ACE" w:rsidRPr="008B63AB">
            <w:rPr>
              <w:rStyle w:val="Style2"/>
              <w:rFonts w:ascii="MS Gothic" w:eastAsia="MS Gothic" w:hAnsi="MS Gothic"/>
            </w:rPr>
            <w:t>☒</w:t>
          </w:r>
        </w:sdtContent>
      </w:sdt>
      <w:r w:rsidR="000723FF" w:rsidRPr="008B63AB">
        <w:t xml:space="preserve"> Siūloma kompensuoti Pareiškėjo teikiamą indikaciją be pakeitimų.</w:t>
      </w:r>
    </w:p>
    <w:p w14:paraId="50517778" w14:textId="624F3A84" w:rsidR="000E43C6" w:rsidRDefault="00B65FB4" w:rsidP="00BC33C5">
      <w:pPr>
        <w:spacing w:line="360" w:lineRule="auto"/>
        <w:rPr>
          <w:rFonts w:eastAsia="Arial"/>
        </w:rPr>
      </w:pPr>
      <w:r w:rsidRPr="00B65FB4">
        <w:rPr>
          <w:rFonts w:eastAsia="Arial"/>
        </w:rPr>
        <w:t>Tecentriq monoterapija skirta suaugusių pacientų, kuriems yra metastazavęs nesmulkiųjų ląstelių plaučių vėžys (NSLPV), pirmos eilės gydymui, kai nustatyta PD-L1 raiška naviko ląstelėse (NL) yra ≥ 50 proc. arba naviko infiltruojančiose imuninėse ląstelėse (IL) yra ≥ 10 proc. bei kai nenustatyta EGFR mutacijų arba ALK teigiamo NSLPV.</w:t>
      </w:r>
    </w:p>
    <w:p w14:paraId="597367EF" w14:textId="520CCC8A" w:rsidR="000723FF" w:rsidRPr="008B63AB" w:rsidRDefault="0022123B" w:rsidP="00BC33C5">
      <w:pPr>
        <w:spacing w:line="276" w:lineRule="auto"/>
      </w:pPr>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5A4ACE" w:rsidRPr="008B63AB">
            <w:rPr>
              <w:rStyle w:val="Style2"/>
              <w:rFonts w:ascii="MS Gothic" w:eastAsia="MS Gothic" w:hAnsi="MS Gothic"/>
            </w:rPr>
            <w:t>☐</w:t>
          </w:r>
        </w:sdtContent>
      </w:sdt>
      <w:r w:rsidR="000723FF" w:rsidRPr="008B63AB">
        <w:t xml:space="preserve"> Siūloma kompensuoti Pareiškėjo teikiamą indikaciją su pakeitimais.</w:t>
      </w:r>
    </w:p>
    <w:p w14:paraId="0E03C7B2" w14:textId="77777777" w:rsidR="00C305D1" w:rsidRPr="008B63AB" w:rsidRDefault="00C305D1" w:rsidP="00824B92">
      <w:pPr>
        <w:rPr>
          <w:b/>
        </w:rPr>
      </w:pPr>
    </w:p>
    <w:p w14:paraId="241A6E6B" w14:textId="339248E8" w:rsidR="000723FF" w:rsidRPr="008B63AB" w:rsidRDefault="000723FF" w:rsidP="00122E01">
      <w:pPr>
        <w:outlineLvl w:val="0"/>
        <w:rPr>
          <w:b/>
        </w:rPr>
      </w:pPr>
      <w:r w:rsidRPr="008B63AB">
        <w:rPr>
          <w:b/>
        </w:rPr>
        <w:t>Skyrimo sąlygos</w:t>
      </w:r>
    </w:p>
    <w:p w14:paraId="250ACC46" w14:textId="0E40BFF3" w:rsidR="000723FF" w:rsidRDefault="0022123B" w:rsidP="00824B92">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CD04D7" w:rsidRPr="008B63AB">
            <w:rPr>
              <w:rStyle w:val="Style2"/>
              <w:rFonts w:ascii="MS Gothic" w:eastAsia="MS Gothic" w:hAnsi="MS Gothic"/>
            </w:rPr>
            <w:t>☒</w:t>
          </w:r>
        </w:sdtContent>
      </w:sdt>
      <w:r w:rsidR="000723FF" w:rsidRPr="008B63AB">
        <w:t xml:space="preserve"> Pareiškėjo siūlomos skyrimo sąlygos priimtinos. </w:t>
      </w:r>
    </w:p>
    <w:p w14:paraId="65107FDA" w14:textId="4505BF56" w:rsidR="00B65FB4" w:rsidRDefault="00B65FB4" w:rsidP="00824B92"/>
    <w:p w14:paraId="4B19EA61" w14:textId="57CE1C08" w:rsidR="00B65FB4" w:rsidRDefault="00B65FB4" w:rsidP="00824B92">
      <w:r w:rsidRPr="00B65FB4">
        <w:t>Gydymą Tecentriq privalo paskirti ir stebėti gydytojai, turintys vėžio gydymo patirties.</w:t>
      </w:r>
    </w:p>
    <w:p w14:paraId="3398E465" w14:textId="77777777" w:rsidR="00B65FB4" w:rsidRDefault="00B65FB4" w:rsidP="00824B92"/>
    <w:p w14:paraId="297867ED" w14:textId="67D0AA16" w:rsidR="000723FF" w:rsidRPr="008B63AB" w:rsidRDefault="0022123B" w:rsidP="00824B92">
      <w:sdt>
        <w:sdtPr>
          <w:rPr>
            <w:rStyle w:val="Style2"/>
          </w:rPr>
          <w:id w:val="1823936883"/>
          <w15:color w:val="FFCC00"/>
          <w14:checkbox>
            <w14:checked w14:val="0"/>
            <w14:checkedState w14:val="2612" w14:font="MS Gothic"/>
            <w14:uncheckedState w14:val="2610" w14:font="MS Gothic"/>
          </w14:checkbox>
        </w:sdtPr>
        <w:sdtEndPr>
          <w:rPr>
            <w:rStyle w:val="Style2"/>
          </w:rPr>
        </w:sdtEndPr>
        <w:sdtContent>
          <w:r w:rsidR="000723FF" w:rsidRPr="008B63AB">
            <w:rPr>
              <w:rStyle w:val="Style2"/>
              <w:rFonts w:ascii="MS Gothic" w:eastAsia="MS Gothic" w:hAnsi="MS Gothic"/>
            </w:rPr>
            <w:t>☐</w:t>
          </w:r>
        </w:sdtContent>
      </w:sdt>
      <w:r w:rsidR="000723FF" w:rsidRPr="008B63AB">
        <w:t xml:space="preserve"> Pareiškėjo siūlomos skyrimo sąlygos nepriimtinos. </w:t>
      </w:r>
    </w:p>
    <w:p w14:paraId="7CDFF220" w14:textId="58191D98" w:rsidR="000723FF" w:rsidRPr="008B63AB" w:rsidRDefault="000723FF" w:rsidP="00824B92">
      <w:pPr>
        <w:rPr>
          <w:b/>
        </w:rPr>
      </w:pPr>
    </w:p>
    <w:sectPr w:rsidR="000723FF" w:rsidRPr="008B63AB" w:rsidSect="005D30E1">
      <w:headerReference w:type="even" r:id="rId8"/>
      <w:headerReference w:type="default" r:id="rId9"/>
      <w:foot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951DE" w14:textId="77777777" w:rsidR="0022123B" w:rsidRDefault="0022123B">
      <w:r>
        <w:separator/>
      </w:r>
    </w:p>
  </w:endnote>
  <w:endnote w:type="continuationSeparator" w:id="0">
    <w:p w14:paraId="362A4652" w14:textId="77777777" w:rsidR="0022123B" w:rsidRDefault="0022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altName w:val="Arial"/>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359C" w14:textId="77777777" w:rsidR="00B80666" w:rsidRDefault="00B8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309F66E" w:rsidR="00347FAA" w:rsidRDefault="00122E01">
    <w:pPr>
      <w:pStyle w:val="Footer"/>
      <w:jc w:val="right"/>
      <w:rPr>
        <w:i/>
        <w:sz w:val="16"/>
        <w:szCs w:val="16"/>
      </w:rPr>
    </w:pPr>
    <w:r>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83F9B" w14:textId="77777777" w:rsidR="0022123B" w:rsidRDefault="0022123B">
      <w:r>
        <w:separator/>
      </w:r>
    </w:p>
  </w:footnote>
  <w:footnote w:type="continuationSeparator" w:id="0">
    <w:p w14:paraId="3AE51A19" w14:textId="77777777" w:rsidR="0022123B" w:rsidRDefault="0022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DB01" w14:textId="78DB7DDC" w:rsidR="00347FAA" w:rsidRDefault="00122E01">
    <w:pPr>
      <w:pStyle w:val="Header"/>
    </w:pP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872E" w14:textId="1778616D" w:rsidR="00347FAA" w:rsidRDefault="00122E01">
    <w:pPr>
      <w:pStyle w:val="Header"/>
    </w:pP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003E59DC" w:rsidR="00347FAA" w:rsidRDefault="00122E01" w:rsidP="00FD793C">
    <w:pPr>
      <w:pStyle w:val="Header"/>
      <w:ind w:left="612"/>
      <w:rPr>
        <w:sz w:val="2"/>
        <w:szCs w:val="2"/>
      </w:rPr>
    </w:pPr>
    <w:r>
      <w:rPr>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F8865C9"/>
    <w:multiLevelType w:val="hybridMultilevel"/>
    <w:tmpl w:val="4B90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A76ED"/>
    <w:multiLevelType w:val="multilevel"/>
    <w:tmpl w:val="656C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E71AB7"/>
    <w:multiLevelType w:val="hybridMultilevel"/>
    <w:tmpl w:val="E3C0C962"/>
    <w:lvl w:ilvl="0" w:tplc="C9AAF4CC">
      <w:start w:val="202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F05756"/>
    <w:multiLevelType w:val="hybridMultilevel"/>
    <w:tmpl w:val="1FDA5184"/>
    <w:lvl w:ilvl="0" w:tplc="E108B4E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7B2D3830"/>
    <w:multiLevelType w:val="hybridMultilevel"/>
    <w:tmpl w:val="A4DC3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9"/>
  </w:num>
  <w:num w:numId="5">
    <w:abstractNumId w:val="6"/>
  </w:num>
  <w:num w:numId="6">
    <w:abstractNumId w:val="5"/>
  </w:num>
  <w:num w:numId="7">
    <w:abstractNumId w:val="3"/>
  </w:num>
  <w:num w:numId="8">
    <w:abstractNumId w:val="14"/>
  </w:num>
  <w:num w:numId="9">
    <w:abstractNumId w:val="0"/>
  </w:num>
  <w:num w:numId="10">
    <w:abstractNumId w:val="12"/>
  </w:num>
  <w:num w:numId="11">
    <w:abstractNumId w:val="13"/>
  </w:num>
  <w:num w:numId="12">
    <w:abstractNumId w:val="2"/>
  </w:num>
  <w:num w:numId="13">
    <w:abstractNumId w:val="15"/>
  </w:num>
  <w:num w:numId="14">
    <w:abstractNumId w:val="16"/>
  </w:num>
  <w:num w:numId="15">
    <w:abstractNumId w:val="4"/>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17534"/>
    <w:rsid w:val="0002686C"/>
    <w:rsid w:val="00031D0E"/>
    <w:rsid w:val="000337E6"/>
    <w:rsid w:val="0003402E"/>
    <w:rsid w:val="00034EAE"/>
    <w:rsid w:val="00042924"/>
    <w:rsid w:val="00053975"/>
    <w:rsid w:val="00057A2B"/>
    <w:rsid w:val="000606BE"/>
    <w:rsid w:val="000723FF"/>
    <w:rsid w:val="000729E0"/>
    <w:rsid w:val="000736B8"/>
    <w:rsid w:val="0008190F"/>
    <w:rsid w:val="00081D77"/>
    <w:rsid w:val="00081D9C"/>
    <w:rsid w:val="00082907"/>
    <w:rsid w:val="0008378D"/>
    <w:rsid w:val="00084EC2"/>
    <w:rsid w:val="000904CE"/>
    <w:rsid w:val="000908A5"/>
    <w:rsid w:val="00092805"/>
    <w:rsid w:val="000C454C"/>
    <w:rsid w:val="000D2FBE"/>
    <w:rsid w:val="000D5038"/>
    <w:rsid w:val="000D5171"/>
    <w:rsid w:val="000E143B"/>
    <w:rsid w:val="000E29D4"/>
    <w:rsid w:val="000E43C6"/>
    <w:rsid w:val="000F11DC"/>
    <w:rsid w:val="000F3540"/>
    <w:rsid w:val="00100491"/>
    <w:rsid w:val="00104E2E"/>
    <w:rsid w:val="00107287"/>
    <w:rsid w:val="00115D29"/>
    <w:rsid w:val="00117406"/>
    <w:rsid w:val="00121EF0"/>
    <w:rsid w:val="00122E01"/>
    <w:rsid w:val="00124A9E"/>
    <w:rsid w:val="00130703"/>
    <w:rsid w:val="0013153F"/>
    <w:rsid w:val="001408B8"/>
    <w:rsid w:val="00142DA4"/>
    <w:rsid w:val="001517E2"/>
    <w:rsid w:val="001521D9"/>
    <w:rsid w:val="001554E2"/>
    <w:rsid w:val="00164146"/>
    <w:rsid w:val="0017369C"/>
    <w:rsid w:val="00175D57"/>
    <w:rsid w:val="00180C39"/>
    <w:rsid w:val="00180D51"/>
    <w:rsid w:val="00180D96"/>
    <w:rsid w:val="0018388A"/>
    <w:rsid w:val="00184BD3"/>
    <w:rsid w:val="001921F3"/>
    <w:rsid w:val="001B2535"/>
    <w:rsid w:val="001B3C5B"/>
    <w:rsid w:val="001B45CD"/>
    <w:rsid w:val="001C70A0"/>
    <w:rsid w:val="001D746F"/>
    <w:rsid w:val="001E0533"/>
    <w:rsid w:val="001E4BBB"/>
    <w:rsid w:val="001E6304"/>
    <w:rsid w:val="001F7919"/>
    <w:rsid w:val="0020381E"/>
    <w:rsid w:val="00213471"/>
    <w:rsid w:val="00215906"/>
    <w:rsid w:val="0022123B"/>
    <w:rsid w:val="0023073E"/>
    <w:rsid w:val="00230A64"/>
    <w:rsid w:val="00233D56"/>
    <w:rsid w:val="00241CD8"/>
    <w:rsid w:val="00244B09"/>
    <w:rsid w:val="002503D0"/>
    <w:rsid w:val="002519CB"/>
    <w:rsid w:val="0025697F"/>
    <w:rsid w:val="00260258"/>
    <w:rsid w:val="0026588E"/>
    <w:rsid w:val="00272428"/>
    <w:rsid w:val="00272948"/>
    <w:rsid w:val="002801C3"/>
    <w:rsid w:val="00281671"/>
    <w:rsid w:val="0028297D"/>
    <w:rsid w:val="00283F59"/>
    <w:rsid w:val="00292392"/>
    <w:rsid w:val="002946C7"/>
    <w:rsid w:val="00294F05"/>
    <w:rsid w:val="002A3179"/>
    <w:rsid w:val="002B3CC1"/>
    <w:rsid w:val="002C09E0"/>
    <w:rsid w:val="002C1BB1"/>
    <w:rsid w:val="002C1C4B"/>
    <w:rsid w:val="002C2786"/>
    <w:rsid w:val="002C3A10"/>
    <w:rsid w:val="002C4A90"/>
    <w:rsid w:val="002C4ED5"/>
    <w:rsid w:val="002D02EF"/>
    <w:rsid w:val="002D35E2"/>
    <w:rsid w:val="002D3CDB"/>
    <w:rsid w:val="002E0702"/>
    <w:rsid w:val="002E11BC"/>
    <w:rsid w:val="002E57AD"/>
    <w:rsid w:val="002E6F80"/>
    <w:rsid w:val="002F0E4F"/>
    <w:rsid w:val="002F1053"/>
    <w:rsid w:val="002F69A0"/>
    <w:rsid w:val="0030593C"/>
    <w:rsid w:val="00315EE0"/>
    <w:rsid w:val="00316FA8"/>
    <w:rsid w:val="00317B0E"/>
    <w:rsid w:val="0032209C"/>
    <w:rsid w:val="003311E7"/>
    <w:rsid w:val="00345069"/>
    <w:rsid w:val="00347FAA"/>
    <w:rsid w:val="0035172D"/>
    <w:rsid w:val="0036187D"/>
    <w:rsid w:val="00364CF9"/>
    <w:rsid w:val="003668C8"/>
    <w:rsid w:val="00367EDB"/>
    <w:rsid w:val="003738DB"/>
    <w:rsid w:val="00381024"/>
    <w:rsid w:val="00386307"/>
    <w:rsid w:val="003874DE"/>
    <w:rsid w:val="003936CB"/>
    <w:rsid w:val="00393E9F"/>
    <w:rsid w:val="0039696E"/>
    <w:rsid w:val="003A54A6"/>
    <w:rsid w:val="003B211A"/>
    <w:rsid w:val="003B6ADA"/>
    <w:rsid w:val="003C141F"/>
    <w:rsid w:val="003C6B0E"/>
    <w:rsid w:val="003C7257"/>
    <w:rsid w:val="003C7E35"/>
    <w:rsid w:val="003D1E99"/>
    <w:rsid w:val="003D6208"/>
    <w:rsid w:val="003D75AC"/>
    <w:rsid w:val="003F2CE7"/>
    <w:rsid w:val="0040276D"/>
    <w:rsid w:val="00404E8A"/>
    <w:rsid w:val="0040622F"/>
    <w:rsid w:val="0040738D"/>
    <w:rsid w:val="00413D17"/>
    <w:rsid w:val="00413F24"/>
    <w:rsid w:val="00422853"/>
    <w:rsid w:val="00423160"/>
    <w:rsid w:val="00426F08"/>
    <w:rsid w:val="00427EFA"/>
    <w:rsid w:val="0043026B"/>
    <w:rsid w:val="004341D8"/>
    <w:rsid w:val="004532C0"/>
    <w:rsid w:val="00453862"/>
    <w:rsid w:val="0045469B"/>
    <w:rsid w:val="00456E4C"/>
    <w:rsid w:val="00461338"/>
    <w:rsid w:val="004677DB"/>
    <w:rsid w:val="00476256"/>
    <w:rsid w:val="00481245"/>
    <w:rsid w:val="004841E3"/>
    <w:rsid w:val="0048630F"/>
    <w:rsid w:val="004947A1"/>
    <w:rsid w:val="0049482A"/>
    <w:rsid w:val="004979D3"/>
    <w:rsid w:val="004A00E7"/>
    <w:rsid w:val="004A3A61"/>
    <w:rsid w:val="004B3210"/>
    <w:rsid w:val="004B59BA"/>
    <w:rsid w:val="004B5A03"/>
    <w:rsid w:val="004C263A"/>
    <w:rsid w:val="004C7EAD"/>
    <w:rsid w:val="004D19E9"/>
    <w:rsid w:val="004D48A6"/>
    <w:rsid w:val="004D7B8F"/>
    <w:rsid w:val="004E05F8"/>
    <w:rsid w:val="004E6458"/>
    <w:rsid w:val="004E6E7D"/>
    <w:rsid w:val="004F1AAC"/>
    <w:rsid w:val="004F1AE2"/>
    <w:rsid w:val="004F34F0"/>
    <w:rsid w:val="004F3B2B"/>
    <w:rsid w:val="004F6050"/>
    <w:rsid w:val="005005EF"/>
    <w:rsid w:val="005015FA"/>
    <w:rsid w:val="00502124"/>
    <w:rsid w:val="005023A3"/>
    <w:rsid w:val="005123C2"/>
    <w:rsid w:val="0052144B"/>
    <w:rsid w:val="00524066"/>
    <w:rsid w:val="00534E11"/>
    <w:rsid w:val="005378D8"/>
    <w:rsid w:val="005400D9"/>
    <w:rsid w:val="00540F5C"/>
    <w:rsid w:val="005476A4"/>
    <w:rsid w:val="0055019B"/>
    <w:rsid w:val="00556E63"/>
    <w:rsid w:val="005601A4"/>
    <w:rsid w:val="00563D64"/>
    <w:rsid w:val="00566DBB"/>
    <w:rsid w:val="005767DB"/>
    <w:rsid w:val="005815E6"/>
    <w:rsid w:val="0058712F"/>
    <w:rsid w:val="005976CE"/>
    <w:rsid w:val="005A1F1D"/>
    <w:rsid w:val="005A23D4"/>
    <w:rsid w:val="005A2D1E"/>
    <w:rsid w:val="005A4ACE"/>
    <w:rsid w:val="005B3756"/>
    <w:rsid w:val="005C493F"/>
    <w:rsid w:val="005C6BF7"/>
    <w:rsid w:val="005C71BF"/>
    <w:rsid w:val="005D002C"/>
    <w:rsid w:val="005D30E1"/>
    <w:rsid w:val="005D6555"/>
    <w:rsid w:val="005D78E8"/>
    <w:rsid w:val="005D7BDF"/>
    <w:rsid w:val="005E4870"/>
    <w:rsid w:val="005F71D9"/>
    <w:rsid w:val="005F7602"/>
    <w:rsid w:val="00605EF6"/>
    <w:rsid w:val="006062BE"/>
    <w:rsid w:val="00613143"/>
    <w:rsid w:val="00613501"/>
    <w:rsid w:val="0061611B"/>
    <w:rsid w:val="006166A8"/>
    <w:rsid w:val="006174A1"/>
    <w:rsid w:val="00621D6C"/>
    <w:rsid w:val="00623D7D"/>
    <w:rsid w:val="00633B49"/>
    <w:rsid w:val="00637158"/>
    <w:rsid w:val="0064265E"/>
    <w:rsid w:val="0064297F"/>
    <w:rsid w:val="00645102"/>
    <w:rsid w:val="00646CF3"/>
    <w:rsid w:val="00653D11"/>
    <w:rsid w:val="00662983"/>
    <w:rsid w:val="00662CBF"/>
    <w:rsid w:val="0066510D"/>
    <w:rsid w:val="006669FF"/>
    <w:rsid w:val="006834D3"/>
    <w:rsid w:val="00692625"/>
    <w:rsid w:val="00695CD3"/>
    <w:rsid w:val="006A38B6"/>
    <w:rsid w:val="006A4EA3"/>
    <w:rsid w:val="006B1987"/>
    <w:rsid w:val="006B2B86"/>
    <w:rsid w:val="006B5B71"/>
    <w:rsid w:val="006B6CB0"/>
    <w:rsid w:val="006C0296"/>
    <w:rsid w:val="006C2B64"/>
    <w:rsid w:val="006D2BC9"/>
    <w:rsid w:val="006D4C85"/>
    <w:rsid w:val="006D66AC"/>
    <w:rsid w:val="006E33F6"/>
    <w:rsid w:val="006F1251"/>
    <w:rsid w:val="006F1C23"/>
    <w:rsid w:val="006F3BE1"/>
    <w:rsid w:val="00701DB6"/>
    <w:rsid w:val="00702C18"/>
    <w:rsid w:val="00703166"/>
    <w:rsid w:val="007041D4"/>
    <w:rsid w:val="007127F3"/>
    <w:rsid w:val="007163E3"/>
    <w:rsid w:val="007301CF"/>
    <w:rsid w:val="007316FB"/>
    <w:rsid w:val="00731BE9"/>
    <w:rsid w:val="007339D5"/>
    <w:rsid w:val="007374D0"/>
    <w:rsid w:val="00737E2D"/>
    <w:rsid w:val="007424D5"/>
    <w:rsid w:val="007470E7"/>
    <w:rsid w:val="00750A88"/>
    <w:rsid w:val="007523DD"/>
    <w:rsid w:val="00757B7E"/>
    <w:rsid w:val="007656B2"/>
    <w:rsid w:val="0077016F"/>
    <w:rsid w:val="007713AD"/>
    <w:rsid w:val="00787925"/>
    <w:rsid w:val="007910E2"/>
    <w:rsid w:val="0079424A"/>
    <w:rsid w:val="00795DC5"/>
    <w:rsid w:val="00797153"/>
    <w:rsid w:val="007A21F7"/>
    <w:rsid w:val="007A2B68"/>
    <w:rsid w:val="007B09CB"/>
    <w:rsid w:val="007B0DDA"/>
    <w:rsid w:val="007B4CAA"/>
    <w:rsid w:val="007D3347"/>
    <w:rsid w:val="007E31D4"/>
    <w:rsid w:val="007E5466"/>
    <w:rsid w:val="007F1949"/>
    <w:rsid w:val="007F2592"/>
    <w:rsid w:val="007F44FB"/>
    <w:rsid w:val="00800A08"/>
    <w:rsid w:val="00815145"/>
    <w:rsid w:val="00817A84"/>
    <w:rsid w:val="008225A4"/>
    <w:rsid w:val="00824B92"/>
    <w:rsid w:val="00826C5A"/>
    <w:rsid w:val="00826D5E"/>
    <w:rsid w:val="00832013"/>
    <w:rsid w:val="00832DB7"/>
    <w:rsid w:val="00834732"/>
    <w:rsid w:val="0085200C"/>
    <w:rsid w:val="00852DFB"/>
    <w:rsid w:val="0085670A"/>
    <w:rsid w:val="00857C52"/>
    <w:rsid w:val="00860D5F"/>
    <w:rsid w:val="00863FBB"/>
    <w:rsid w:val="00880A44"/>
    <w:rsid w:val="0088345E"/>
    <w:rsid w:val="0088656F"/>
    <w:rsid w:val="00890934"/>
    <w:rsid w:val="00891EF6"/>
    <w:rsid w:val="008A0303"/>
    <w:rsid w:val="008A5FDD"/>
    <w:rsid w:val="008B0057"/>
    <w:rsid w:val="008B6121"/>
    <w:rsid w:val="008B63AB"/>
    <w:rsid w:val="008B76F5"/>
    <w:rsid w:val="008C2D84"/>
    <w:rsid w:val="008C3947"/>
    <w:rsid w:val="008C412A"/>
    <w:rsid w:val="008C4784"/>
    <w:rsid w:val="008D27C7"/>
    <w:rsid w:val="008E473B"/>
    <w:rsid w:val="008E51A6"/>
    <w:rsid w:val="008E51BB"/>
    <w:rsid w:val="008E7329"/>
    <w:rsid w:val="008F2ED5"/>
    <w:rsid w:val="00900626"/>
    <w:rsid w:val="0092297E"/>
    <w:rsid w:val="00923651"/>
    <w:rsid w:val="00927B56"/>
    <w:rsid w:val="009341BF"/>
    <w:rsid w:val="009341F7"/>
    <w:rsid w:val="009352B3"/>
    <w:rsid w:val="00937907"/>
    <w:rsid w:val="00941739"/>
    <w:rsid w:val="00951573"/>
    <w:rsid w:val="00951853"/>
    <w:rsid w:val="00951DA6"/>
    <w:rsid w:val="00953044"/>
    <w:rsid w:val="00963003"/>
    <w:rsid w:val="00966EEF"/>
    <w:rsid w:val="00971B28"/>
    <w:rsid w:val="00983471"/>
    <w:rsid w:val="009866A5"/>
    <w:rsid w:val="009909AB"/>
    <w:rsid w:val="009B37DB"/>
    <w:rsid w:val="009C7A8C"/>
    <w:rsid w:val="009D23F9"/>
    <w:rsid w:val="009D4FA8"/>
    <w:rsid w:val="009E15E7"/>
    <w:rsid w:val="009E44AE"/>
    <w:rsid w:val="009E6CD6"/>
    <w:rsid w:val="009F4D66"/>
    <w:rsid w:val="00A00C3C"/>
    <w:rsid w:val="00A01091"/>
    <w:rsid w:val="00A042B9"/>
    <w:rsid w:val="00A06DBB"/>
    <w:rsid w:val="00A13E4E"/>
    <w:rsid w:val="00A22ADF"/>
    <w:rsid w:val="00A31E86"/>
    <w:rsid w:val="00A32861"/>
    <w:rsid w:val="00A54054"/>
    <w:rsid w:val="00A54D87"/>
    <w:rsid w:val="00A5553C"/>
    <w:rsid w:val="00A701C9"/>
    <w:rsid w:val="00A7706B"/>
    <w:rsid w:val="00A776A1"/>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E5B93"/>
    <w:rsid w:val="00AF5A4D"/>
    <w:rsid w:val="00AF60D5"/>
    <w:rsid w:val="00B00959"/>
    <w:rsid w:val="00B04415"/>
    <w:rsid w:val="00B06509"/>
    <w:rsid w:val="00B11D60"/>
    <w:rsid w:val="00B13D65"/>
    <w:rsid w:val="00B21805"/>
    <w:rsid w:val="00B22CF3"/>
    <w:rsid w:val="00B2555C"/>
    <w:rsid w:val="00B3072E"/>
    <w:rsid w:val="00B36E15"/>
    <w:rsid w:val="00B37245"/>
    <w:rsid w:val="00B4017A"/>
    <w:rsid w:val="00B4468D"/>
    <w:rsid w:val="00B4474D"/>
    <w:rsid w:val="00B64ECE"/>
    <w:rsid w:val="00B65FB4"/>
    <w:rsid w:val="00B67617"/>
    <w:rsid w:val="00B71C72"/>
    <w:rsid w:val="00B80666"/>
    <w:rsid w:val="00B81E92"/>
    <w:rsid w:val="00B87E4F"/>
    <w:rsid w:val="00B908D7"/>
    <w:rsid w:val="00B915AB"/>
    <w:rsid w:val="00B92C20"/>
    <w:rsid w:val="00B935E8"/>
    <w:rsid w:val="00B93B30"/>
    <w:rsid w:val="00B94CB5"/>
    <w:rsid w:val="00BA0DD9"/>
    <w:rsid w:val="00BA5DBC"/>
    <w:rsid w:val="00BA7C96"/>
    <w:rsid w:val="00BB6312"/>
    <w:rsid w:val="00BC33C5"/>
    <w:rsid w:val="00BC4D06"/>
    <w:rsid w:val="00BC656E"/>
    <w:rsid w:val="00BC6ED1"/>
    <w:rsid w:val="00BD24DF"/>
    <w:rsid w:val="00BD585E"/>
    <w:rsid w:val="00BD6919"/>
    <w:rsid w:val="00BE1EA7"/>
    <w:rsid w:val="00BE7489"/>
    <w:rsid w:val="00BF2E0D"/>
    <w:rsid w:val="00BF3927"/>
    <w:rsid w:val="00BF3F8B"/>
    <w:rsid w:val="00BF76DA"/>
    <w:rsid w:val="00C07C7B"/>
    <w:rsid w:val="00C15A49"/>
    <w:rsid w:val="00C16245"/>
    <w:rsid w:val="00C17598"/>
    <w:rsid w:val="00C22DC5"/>
    <w:rsid w:val="00C24479"/>
    <w:rsid w:val="00C273F2"/>
    <w:rsid w:val="00C305D1"/>
    <w:rsid w:val="00C36C92"/>
    <w:rsid w:val="00C378B5"/>
    <w:rsid w:val="00C37B53"/>
    <w:rsid w:val="00C468E3"/>
    <w:rsid w:val="00C474FD"/>
    <w:rsid w:val="00C500FD"/>
    <w:rsid w:val="00C517D2"/>
    <w:rsid w:val="00C5772E"/>
    <w:rsid w:val="00C62B36"/>
    <w:rsid w:val="00C7012C"/>
    <w:rsid w:val="00C712EA"/>
    <w:rsid w:val="00C74CA8"/>
    <w:rsid w:val="00C82B21"/>
    <w:rsid w:val="00CA217D"/>
    <w:rsid w:val="00CC09D4"/>
    <w:rsid w:val="00CC668D"/>
    <w:rsid w:val="00CC7832"/>
    <w:rsid w:val="00CD04D7"/>
    <w:rsid w:val="00CD17BE"/>
    <w:rsid w:val="00CE0B78"/>
    <w:rsid w:val="00CE48C2"/>
    <w:rsid w:val="00CF0C1C"/>
    <w:rsid w:val="00CF27FD"/>
    <w:rsid w:val="00CF5F12"/>
    <w:rsid w:val="00D001A6"/>
    <w:rsid w:val="00D00D8F"/>
    <w:rsid w:val="00D04B0B"/>
    <w:rsid w:val="00D21F3A"/>
    <w:rsid w:val="00D23808"/>
    <w:rsid w:val="00D279C5"/>
    <w:rsid w:val="00D3016A"/>
    <w:rsid w:val="00D417D2"/>
    <w:rsid w:val="00D42960"/>
    <w:rsid w:val="00D43BD7"/>
    <w:rsid w:val="00D4485B"/>
    <w:rsid w:val="00D4708D"/>
    <w:rsid w:val="00D4744C"/>
    <w:rsid w:val="00D479FD"/>
    <w:rsid w:val="00D521DE"/>
    <w:rsid w:val="00D5470B"/>
    <w:rsid w:val="00D56378"/>
    <w:rsid w:val="00D63068"/>
    <w:rsid w:val="00D6498C"/>
    <w:rsid w:val="00D76A70"/>
    <w:rsid w:val="00D83182"/>
    <w:rsid w:val="00D8521E"/>
    <w:rsid w:val="00D853DC"/>
    <w:rsid w:val="00D9291C"/>
    <w:rsid w:val="00D93A97"/>
    <w:rsid w:val="00DA4457"/>
    <w:rsid w:val="00DB1F64"/>
    <w:rsid w:val="00DC1CC4"/>
    <w:rsid w:val="00DC2F53"/>
    <w:rsid w:val="00DC5BAC"/>
    <w:rsid w:val="00DC6816"/>
    <w:rsid w:val="00DC76C2"/>
    <w:rsid w:val="00DD1CF2"/>
    <w:rsid w:val="00DD6246"/>
    <w:rsid w:val="00DE4484"/>
    <w:rsid w:val="00DE5072"/>
    <w:rsid w:val="00DF1781"/>
    <w:rsid w:val="00DF41B7"/>
    <w:rsid w:val="00DF4A4A"/>
    <w:rsid w:val="00DF583C"/>
    <w:rsid w:val="00E03C3F"/>
    <w:rsid w:val="00E06FD7"/>
    <w:rsid w:val="00E07417"/>
    <w:rsid w:val="00E116E2"/>
    <w:rsid w:val="00E24D45"/>
    <w:rsid w:val="00E33DB8"/>
    <w:rsid w:val="00E33EFF"/>
    <w:rsid w:val="00E34387"/>
    <w:rsid w:val="00E348BA"/>
    <w:rsid w:val="00E369FE"/>
    <w:rsid w:val="00E3762A"/>
    <w:rsid w:val="00E37C6F"/>
    <w:rsid w:val="00E449B7"/>
    <w:rsid w:val="00E473F2"/>
    <w:rsid w:val="00E475F8"/>
    <w:rsid w:val="00E5102E"/>
    <w:rsid w:val="00E519E5"/>
    <w:rsid w:val="00E54504"/>
    <w:rsid w:val="00E5721C"/>
    <w:rsid w:val="00E619C6"/>
    <w:rsid w:val="00E745A1"/>
    <w:rsid w:val="00E749B6"/>
    <w:rsid w:val="00E81529"/>
    <w:rsid w:val="00E83A13"/>
    <w:rsid w:val="00E90F6F"/>
    <w:rsid w:val="00E93E19"/>
    <w:rsid w:val="00EB0F54"/>
    <w:rsid w:val="00EB6FC5"/>
    <w:rsid w:val="00EC2356"/>
    <w:rsid w:val="00EC2582"/>
    <w:rsid w:val="00EC337C"/>
    <w:rsid w:val="00EC54CA"/>
    <w:rsid w:val="00EC68A5"/>
    <w:rsid w:val="00ED0CFF"/>
    <w:rsid w:val="00ED31D2"/>
    <w:rsid w:val="00EE0549"/>
    <w:rsid w:val="00EE0EAC"/>
    <w:rsid w:val="00EE1097"/>
    <w:rsid w:val="00EE3322"/>
    <w:rsid w:val="00EE33CB"/>
    <w:rsid w:val="00EE449A"/>
    <w:rsid w:val="00EF2CFE"/>
    <w:rsid w:val="00EF52BE"/>
    <w:rsid w:val="00F0061A"/>
    <w:rsid w:val="00F02834"/>
    <w:rsid w:val="00F04EEB"/>
    <w:rsid w:val="00F05467"/>
    <w:rsid w:val="00F055D2"/>
    <w:rsid w:val="00F07CD7"/>
    <w:rsid w:val="00F127E9"/>
    <w:rsid w:val="00F14B5D"/>
    <w:rsid w:val="00F259FC"/>
    <w:rsid w:val="00F36972"/>
    <w:rsid w:val="00F36CF1"/>
    <w:rsid w:val="00F42426"/>
    <w:rsid w:val="00F456BC"/>
    <w:rsid w:val="00F50666"/>
    <w:rsid w:val="00F5096F"/>
    <w:rsid w:val="00F70C9E"/>
    <w:rsid w:val="00F74A74"/>
    <w:rsid w:val="00F7572C"/>
    <w:rsid w:val="00F766A1"/>
    <w:rsid w:val="00F83515"/>
    <w:rsid w:val="00F8382C"/>
    <w:rsid w:val="00F855D7"/>
    <w:rsid w:val="00F92035"/>
    <w:rsid w:val="00F92748"/>
    <w:rsid w:val="00FA2257"/>
    <w:rsid w:val="00FA2C47"/>
    <w:rsid w:val="00FA4169"/>
    <w:rsid w:val="00FA7915"/>
    <w:rsid w:val="00FB0D41"/>
    <w:rsid w:val="00FB2030"/>
    <w:rsid w:val="00FD0E46"/>
    <w:rsid w:val="00FD1CF2"/>
    <w:rsid w:val="00FD3EDF"/>
    <w:rsid w:val="00FD793C"/>
    <w:rsid w:val="00FE0FD5"/>
    <w:rsid w:val="00FE20E6"/>
    <w:rsid w:val="00FE3E3B"/>
    <w:rsid w:val="00FF3A06"/>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paragraph" w:styleId="Heading3">
    <w:name w:val="heading 3"/>
    <w:basedOn w:val="Normal"/>
    <w:next w:val="Normal"/>
    <w:link w:val="Heading3Char"/>
    <w:semiHidden/>
    <w:unhideWhenUsed/>
    <w:qFormat/>
    <w:rsid w:val="00B64EC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uiPriority w:val="99"/>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uiPriority w:val="99"/>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
    <w:link w:val="ListParagraph"/>
    <w:uiPriority w:val="34"/>
    <w:locked/>
    <w:rsid w:val="00D56378"/>
    <w:rPr>
      <w:sz w:val="24"/>
      <w:szCs w:val="24"/>
      <w:lang w:eastAsia="en-US"/>
    </w:rPr>
  </w:style>
  <w:style w:type="character" w:customStyle="1" w:styleId="Heading3Char">
    <w:name w:val="Heading 3 Char"/>
    <w:basedOn w:val="DefaultParagraphFont"/>
    <w:link w:val="Heading3"/>
    <w:semiHidden/>
    <w:rsid w:val="00B64ECE"/>
    <w:rPr>
      <w:rFonts w:asciiTheme="majorHAnsi" w:eastAsiaTheme="majorEastAsia" w:hAnsiTheme="majorHAnsi" w:cstheme="majorBidi"/>
      <w:color w:val="243F60" w:themeColor="accent1" w:themeShade="7F"/>
      <w:sz w:val="24"/>
      <w:szCs w:val="24"/>
      <w:lang w:eastAsia="en-US"/>
    </w:rPr>
  </w:style>
  <w:style w:type="character" w:customStyle="1" w:styleId="toptext">
    <w:name w:val="top__text"/>
    <w:basedOn w:val="DefaultParagraphFont"/>
    <w:rsid w:val="00B64ECE"/>
  </w:style>
  <w:style w:type="character" w:customStyle="1" w:styleId="label">
    <w:name w:val="label"/>
    <w:basedOn w:val="DefaultParagraphFont"/>
    <w:rsid w:val="00B64ECE"/>
  </w:style>
  <w:style w:type="paragraph" w:styleId="EndnoteText">
    <w:name w:val="endnote text"/>
    <w:basedOn w:val="Normal"/>
    <w:link w:val="EndnoteTextChar"/>
    <w:semiHidden/>
    <w:unhideWhenUsed/>
    <w:rsid w:val="00A32861"/>
    <w:rPr>
      <w:sz w:val="20"/>
      <w:szCs w:val="20"/>
    </w:rPr>
  </w:style>
  <w:style w:type="character" w:customStyle="1" w:styleId="EndnoteTextChar">
    <w:name w:val="Endnote Text Char"/>
    <w:basedOn w:val="DefaultParagraphFont"/>
    <w:link w:val="EndnoteText"/>
    <w:semiHidden/>
    <w:rsid w:val="00A32861"/>
    <w:rPr>
      <w:lang w:eastAsia="en-US"/>
    </w:rPr>
  </w:style>
  <w:style w:type="character" w:styleId="EndnoteReference">
    <w:name w:val="endnote reference"/>
    <w:basedOn w:val="DefaultParagraphFont"/>
    <w:semiHidden/>
    <w:unhideWhenUsed/>
    <w:rsid w:val="00A32861"/>
    <w:rPr>
      <w:vertAlign w:val="superscript"/>
    </w:rPr>
  </w:style>
  <w:style w:type="paragraph" w:styleId="FootnoteText">
    <w:name w:val="footnote text"/>
    <w:basedOn w:val="Normal"/>
    <w:link w:val="FootnoteTextChar"/>
    <w:semiHidden/>
    <w:unhideWhenUsed/>
    <w:rsid w:val="00DD6246"/>
    <w:rPr>
      <w:sz w:val="20"/>
      <w:szCs w:val="20"/>
    </w:rPr>
  </w:style>
  <w:style w:type="character" w:customStyle="1" w:styleId="FootnoteTextChar">
    <w:name w:val="Footnote Text Char"/>
    <w:basedOn w:val="DefaultParagraphFont"/>
    <w:link w:val="FootnoteText"/>
    <w:semiHidden/>
    <w:rsid w:val="00DD6246"/>
    <w:rPr>
      <w:lang w:eastAsia="en-US"/>
    </w:rPr>
  </w:style>
  <w:style w:type="character" w:styleId="FootnoteReference">
    <w:name w:val="footnote reference"/>
    <w:basedOn w:val="DefaultParagraphFont"/>
    <w:semiHidden/>
    <w:unhideWhenUsed/>
    <w:rsid w:val="00DD6246"/>
    <w:rPr>
      <w:vertAlign w:val="superscript"/>
    </w:rPr>
  </w:style>
  <w:style w:type="paragraph" w:customStyle="1" w:styleId="Default">
    <w:name w:val="Default"/>
    <w:rsid w:val="002A3179"/>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421">
      <w:bodyDiv w:val="1"/>
      <w:marLeft w:val="0"/>
      <w:marRight w:val="0"/>
      <w:marTop w:val="0"/>
      <w:marBottom w:val="0"/>
      <w:divBdr>
        <w:top w:val="none" w:sz="0" w:space="0" w:color="auto"/>
        <w:left w:val="none" w:sz="0" w:space="0" w:color="auto"/>
        <w:bottom w:val="none" w:sz="0" w:space="0" w:color="auto"/>
        <w:right w:val="none" w:sz="0" w:space="0" w:color="auto"/>
      </w:divBdr>
    </w:div>
    <w:div w:id="207376707">
      <w:bodyDiv w:val="1"/>
      <w:marLeft w:val="0"/>
      <w:marRight w:val="0"/>
      <w:marTop w:val="0"/>
      <w:marBottom w:val="0"/>
      <w:divBdr>
        <w:top w:val="none" w:sz="0" w:space="0" w:color="auto"/>
        <w:left w:val="none" w:sz="0" w:space="0" w:color="auto"/>
        <w:bottom w:val="none" w:sz="0" w:space="0" w:color="auto"/>
        <w:right w:val="none" w:sz="0" w:space="0" w:color="auto"/>
      </w:divBdr>
    </w:div>
    <w:div w:id="278463309">
      <w:bodyDiv w:val="1"/>
      <w:marLeft w:val="0"/>
      <w:marRight w:val="0"/>
      <w:marTop w:val="0"/>
      <w:marBottom w:val="0"/>
      <w:divBdr>
        <w:top w:val="none" w:sz="0" w:space="0" w:color="auto"/>
        <w:left w:val="none" w:sz="0" w:space="0" w:color="auto"/>
        <w:bottom w:val="none" w:sz="0" w:space="0" w:color="auto"/>
        <w:right w:val="none" w:sz="0" w:space="0" w:color="auto"/>
      </w:divBdr>
      <w:divsChild>
        <w:div w:id="564607461">
          <w:marLeft w:val="0"/>
          <w:marRight w:val="0"/>
          <w:marTop w:val="150"/>
          <w:marBottom w:val="270"/>
          <w:divBdr>
            <w:top w:val="none" w:sz="0" w:space="0" w:color="auto"/>
            <w:left w:val="none" w:sz="0" w:space="0" w:color="auto"/>
            <w:bottom w:val="none" w:sz="0" w:space="0" w:color="auto"/>
            <w:right w:val="none" w:sz="0" w:space="0" w:color="auto"/>
          </w:divBdr>
          <w:divsChild>
            <w:div w:id="4758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5764">
      <w:bodyDiv w:val="1"/>
      <w:marLeft w:val="0"/>
      <w:marRight w:val="0"/>
      <w:marTop w:val="0"/>
      <w:marBottom w:val="0"/>
      <w:divBdr>
        <w:top w:val="none" w:sz="0" w:space="0" w:color="auto"/>
        <w:left w:val="none" w:sz="0" w:space="0" w:color="auto"/>
        <w:bottom w:val="none" w:sz="0" w:space="0" w:color="auto"/>
        <w:right w:val="none" w:sz="0" w:space="0" w:color="auto"/>
      </w:divBdr>
    </w:div>
    <w:div w:id="510142003">
      <w:bodyDiv w:val="1"/>
      <w:marLeft w:val="0"/>
      <w:marRight w:val="0"/>
      <w:marTop w:val="0"/>
      <w:marBottom w:val="0"/>
      <w:divBdr>
        <w:top w:val="none" w:sz="0" w:space="0" w:color="auto"/>
        <w:left w:val="none" w:sz="0" w:space="0" w:color="auto"/>
        <w:bottom w:val="none" w:sz="0" w:space="0" w:color="auto"/>
        <w:right w:val="none" w:sz="0" w:space="0" w:color="auto"/>
      </w:divBdr>
    </w:div>
    <w:div w:id="1154685627">
      <w:bodyDiv w:val="1"/>
      <w:marLeft w:val="0"/>
      <w:marRight w:val="0"/>
      <w:marTop w:val="0"/>
      <w:marBottom w:val="0"/>
      <w:divBdr>
        <w:top w:val="none" w:sz="0" w:space="0" w:color="auto"/>
        <w:left w:val="none" w:sz="0" w:space="0" w:color="auto"/>
        <w:bottom w:val="none" w:sz="0" w:space="0" w:color="auto"/>
        <w:right w:val="none" w:sz="0" w:space="0" w:color="auto"/>
      </w:divBdr>
      <w:divsChild>
        <w:div w:id="2049795725">
          <w:marLeft w:val="360"/>
          <w:marRight w:val="0"/>
          <w:marTop w:val="200"/>
          <w:marBottom w:val="0"/>
          <w:divBdr>
            <w:top w:val="none" w:sz="0" w:space="0" w:color="auto"/>
            <w:left w:val="none" w:sz="0" w:space="0" w:color="auto"/>
            <w:bottom w:val="none" w:sz="0" w:space="0" w:color="auto"/>
            <w:right w:val="none" w:sz="0" w:space="0" w:color="auto"/>
          </w:divBdr>
        </w:div>
      </w:divsChild>
    </w:div>
    <w:div w:id="1288123038">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altName w:val="Arial"/>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56C60"/>
    <w:rsid w:val="00061157"/>
    <w:rsid w:val="000937FE"/>
    <w:rsid w:val="000A559A"/>
    <w:rsid w:val="000C572B"/>
    <w:rsid w:val="000D24D4"/>
    <w:rsid w:val="001C35A9"/>
    <w:rsid w:val="001D5D71"/>
    <w:rsid w:val="002005FD"/>
    <w:rsid w:val="00237556"/>
    <w:rsid w:val="00314A67"/>
    <w:rsid w:val="00330219"/>
    <w:rsid w:val="0034029B"/>
    <w:rsid w:val="0036676A"/>
    <w:rsid w:val="0039303B"/>
    <w:rsid w:val="003A2477"/>
    <w:rsid w:val="003A5FE7"/>
    <w:rsid w:val="004144A3"/>
    <w:rsid w:val="004160E7"/>
    <w:rsid w:val="004416C6"/>
    <w:rsid w:val="004B00C0"/>
    <w:rsid w:val="004F5AB2"/>
    <w:rsid w:val="005074B9"/>
    <w:rsid w:val="005E40DD"/>
    <w:rsid w:val="00701D33"/>
    <w:rsid w:val="0070315A"/>
    <w:rsid w:val="007219C1"/>
    <w:rsid w:val="00753462"/>
    <w:rsid w:val="007537A8"/>
    <w:rsid w:val="00772325"/>
    <w:rsid w:val="007A2FE0"/>
    <w:rsid w:val="007B6AFC"/>
    <w:rsid w:val="007C6D1D"/>
    <w:rsid w:val="007D68FE"/>
    <w:rsid w:val="008146D7"/>
    <w:rsid w:val="00866B4E"/>
    <w:rsid w:val="008B00C6"/>
    <w:rsid w:val="008D168C"/>
    <w:rsid w:val="0090074D"/>
    <w:rsid w:val="0094513F"/>
    <w:rsid w:val="009B3BF0"/>
    <w:rsid w:val="009D5E5E"/>
    <w:rsid w:val="009D7AE2"/>
    <w:rsid w:val="009F1BB4"/>
    <w:rsid w:val="00A32DC8"/>
    <w:rsid w:val="00A647A3"/>
    <w:rsid w:val="00A8727A"/>
    <w:rsid w:val="00AB6ED4"/>
    <w:rsid w:val="00B037F5"/>
    <w:rsid w:val="00B14210"/>
    <w:rsid w:val="00B23DC0"/>
    <w:rsid w:val="00B57317"/>
    <w:rsid w:val="00B96656"/>
    <w:rsid w:val="00BC2CA0"/>
    <w:rsid w:val="00BE29C1"/>
    <w:rsid w:val="00C04D02"/>
    <w:rsid w:val="00C2401D"/>
    <w:rsid w:val="00C41CDF"/>
    <w:rsid w:val="00C53A68"/>
    <w:rsid w:val="00CA5BB4"/>
    <w:rsid w:val="00CB4BD1"/>
    <w:rsid w:val="00CE2DA9"/>
    <w:rsid w:val="00CE44BE"/>
    <w:rsid w:val="00D4356B"/>
    <w:rsid w:val="00D7162F"/>
    <w:rsid w:val="00D8221B"/>
    <w:rsid w:val="00E44A86"/>
    <w:rsid w:val="00E522EB"/>
    <w:rsid w:val="00E60827"/>
    <w:rsid w:val="00E73FF6"/>
    <w:rsid w:val="00E76CC8"/>
    <w:rsid w:val="00EF6E0C"/>
    <w:rsid w:val="00F55028"/>
    <w:rsid w:val="00F77BEF"/>
    <w:rsid w:val="00FB2D62"/>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6C60"/>
    <w:rPr>
      <w:color w:val="808080"/>
    </w:rPr>
  </w:style>
  <w:style w:type="paragraph" w:customStyle="1" w:styleId="0A1DCC42A2974C359888226B925C8FF8">
    <w:name w:val="0A1DCC42A2974C359888226B925C8FF8"/>
    <w:rsid w:val="005E4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68FC-BE62-4403-89D6-7D1B8F8D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1</TotalTime>
  <Pages>10</Pages>
  <Words>3043</Words>
  <Characters>17351</Characters>
  <Application>Microsoft Office Word</Application>
  <DocSecurity>0</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S.M.C.A.</Company>
  <LinksUpToDate>false</LinksUpToDate>
  <CharactersWithSpaces>20354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Zekas, Egidijus {MWJC~Vilnius}</cp:lastModifiedBy>
  <cp:revision>2</cp:revision>
  <cp:lastPrinted>2015-11-17T07:39:00Z</cp:lastPrinted>
  <dcterms:created xsi:type="dcterms:W3CDTF">2022-12-15T14:28:00Z</dcterms:created>
  <dcterms:modified xsi:type="dcterms:W3CDTF">2022-12-15T14:28:00Z</dcterms:modified>
</cp:coreProperties>
</file>