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1E5EE8" w:rsidRDefault="005F7602" w:rsidP="002946C7">
      <w:pPr>
        <w:ind w:left="5529"/>
        <w:rPr>
          <w:lang w:val="en-US"/>
        </w:rPr>
      </w:pPr>
      <w:bookmarkStart w:id="0" w:name="_GoBack"/>
      <w:bookmarkEnd w:id="0"/>
    </w:p>
    <w:p w14:paraId="12FA4B9E" w14:textId="77777777" w:rsidR="001B3C5B" w:rsidRPr="004D1A34" w:rsidRDefault="001B3C5B" w:rsidP="001B3C5B">
      <w:pPr>
        <w:ind w:left="6096"/>
      </w:pPr>
      <w:r w:rsidRPr="004D1A34">
        <w:t>Forma patvirtinta</w:t>
      </w:r>
    </w:p>
    <w:p w14:paraId="7206970B" w14:textId="70E9BD2E" w:rsidR="004C263A" w:rsidRPr="004D1A34" w:rsidRDefault="001B3C5B" w:rsidP="001B3C5B">
      <w:pPr>
        <w:ind w:left="6096"/>
      </w:pPr>
      <w:r w:rsidRPr="004D1A34">
        <w:t>Valstybinės vaistų kontrolės tarnybos prie Lietuvos Respublikos sveikatos apsaugos ministerijos viršininko 2021 m</w:t>
      </w:r>
      <w:r w:rsidR="004C263A" w:rsidRPr="004D1A34">
        <w:t xml:space="preserve">. lapkričio 12 </w:t>
      </w:r>
      <w:r w:rsidRPr="004D1A34">
        <w:t>d. įsakymu Nr.</w:t>
      </w:r>
      <w:r w:rsidR="004C263A" w:rsidRPr="004D1A34">
        <w:t xml:space="preserve"> (1.72E)1A-1418</w:t>
      </w:r>
    </w:p>
    <w:p w14:paraId="5B219AA6" w14:textId="520B9136" w:rsidR="001B3C5B" w:rsidRPr="004D1A34" w:rsidRDefault="004C263A" w:rsidP="001B3C5B">
      <w:pPr>
        <w:ind w:left="6096"/>
      </w:pPr>
      <w:r w:rsidRPr="004D1A34">
        <w:t>(Valstybinės vaistų kontrolės tarnybos prie Lietuvos Respublikos sveikatos apsaugos ministerijos viršininko 2022 m.                         d. įsakymo Nr.                    redakcija)</w:t>
      </w:r>
    </w:p>
    <w:p w14:paraId="3336BD74" w14:textId="77777777" w:rsidR="001B3C5B" w:rsidRPr="004D1A34" w:rsidRDefault="001B3C5B" w:rsidP="00FA4169"/>
    <w:p w14:paraId="77AFB67E" w14:textId="16397257" w:rsidR="00613501" w:rsidRPr="004D1A34" w:rsidRDefault="002F0E4F" w:rsidP="003B211A">
      <w:pPr>
        <w:jc w:val="center"/>
        <w:rPr>
          <w:b/>
          <w:bCs/>
          <w:caps/>
        </w:rPr>
      </w:pPr>
      <w:r w:rsidRPr="004D1A34">
        <w:rPr>
          <w:b/>
        </w:rPr>
        <w:t xml:space="preserve">REKOMENDACIJA DĖL VAISTINIO PREPARATO </w:t>
      </w:r>
      <w:r w:rsidRPr="004D1A34">
        <w:rPr>
          <w:b/>
          <w:bCs/>
          <w:caps/>
        </w:rPr>
        <w:t>Lietuvos Respublikos Sveikatos apsaugos ministerijos vaistinių preparatų ir medicinos pagalbos priemonių kompensavimo komisijai</w:t>
      </w:r>
    </w:p>
    <w:p w14:paraId="34E4395D" w14:textId="15FB10DF" w:rsidR="00B13D65" w:rsidRPr="004D1A34" w:rsidRDefault="00B13D65" w:rsidP="003B211A">
      <w:pPr>
        <w:jc w:val="center"/>
        <w:rPr>
          <w:b/>
        </w:rPr>
      </w:pPr>
    </w:p>
    <w:p w14:paraId="3B4DC202" w14:textId="15B0434D" w:rsidR="001E5EE8" w:rsidRPr="004D1A34" w:rsidRDefault="001E5EE8" w:rsidP="001E5EE8">
      <w:pPr>
        <w:jc w:val="center"/>
        <w:rPr>
          <w:b/>
        </w:rPr>
      </w:pPr>
      <w:proofErr w:type="spellStart"/>
      <w:r w:rsidRPr="004D1A34">
        <w:rPr>
          <w:b/>
        </w:rPr>
        <w:t>Trimbow</w:t>
      </w:r>
      <w:proofErr w:type="spellEnd"/>
      <w:r w:rsidRPr="004D1A34">
        <w:rPr>
          <w:b/>
        </w:rPr>
        <w:t xml:space="preserve"> 87 </w:t>
      </w:r>
      <w:r w:rsidR="00383141" w:rsidRPr="004D1A34">
        <w:rPr>
          <w:b/>
        </w:rPr>
        <w:t>µ</w:t>
      </w:r>
      <w:r w:rsidRPr="004D1A34">
        <w:rPr>
          <w:b/>
        </w:rPr>
        <w:t xml:space="preserve">g/5 </w:t>
      </w:r>
      <w:r w:rsidR="00383141" w:rsidRPr="004D1A34">
        <w:rPr>
          <w:b/>
        </w:rPr>
        <w:t xml:space="preserve">µg </w:t>
      </w:r>
      <w:r w:rsidRPr="004D1A34">
        <w:rPr>
          <w:b/>
        </w:rPr>
        <w:t xml:space="preserve">/9 </w:t>
      </w:r>
      <w:r w:rsidR="00383141" w:rsidRPr="004D1A34">
        <w:rPr>
          <w:b/>
        </w:rPr>
        <w:t>µg</w:t>
      </w:r>
      <w:r w:rsidRPr="004D1A34">
        <w:rPr>
          <w:b/>
        </w:rPr>
        <w:t xml:space="preserve"> suslėgtasis įkvepiamasis tirpalas</w:t>
      </w:r>
    </w:p>
    <w:p w14:paraId="3118A07E" w14:textId="77777777" w:rsidR="001E5EE8" w:rsidRPr="004D1A34" w:rsidRDefault="001E5EE8" w:rsidP="001E5EE8">
      <w:pPr>
        <w:jc w:val="center"/>
      </w:pPr>
    </w:p>
    <w:p w14:paraId="18D1CC7B" w14:textId="77777777" w:rsidR="001E5EE8" w:rsidRPr="004D1A34" w:rsidRDefault="001E5EE8" w:rsidP="001E5EE8">
      <w:pPr>
        <w:jc w:val="center"/>
      </w:pPr>
      <w:r w:rsidRPr="004D1A34">
        <w:t>(</w:t>
      </w:r>
      <w:proofErr w:type="spellStart"/>
      <w:r w:rsidRPr="004D1A34">
        <w:rPr>
          <w:b/>
        </w:rPr>
        <w:t>Beklometazono</w:t>
      </w:r>
      <w:proofErr w:type="spellEnd"/>
      <w:r w:rsidRPr="004D1A34">
        <w:rPr>
          <w:b/>
        </w:rPr>
        <w:t xml:space="preserve"> </w:t>
      </w:r>
      <w:proofErr w:type="spellStart"/>
      <w:r w:rsidRPr="004D1A34">
        <w:rPr>
          <w:b/>
        </w:rPr>
        <w:t>dipropionatas</w:t>
      </w:r>
      <w:proofErr w:type="spellEnd"/>
      <w:r w:rsidRPr="004D1A34">
        <w:rPr>
          <w:b/>
        </w:rPr>
        <w:t>/</w:t>
      </w:r>
      <w:proofErr w:type="spellStart"/>
      <w:r w:rsidRPr="004D1A34">
        <w:rPr>
          <w:b/>
        </w:rPr>
        <w:t>Formoterolio</w:t>
      </w:r>
      <w:proofErr w:type="spellEnd"/>
      <w:r w:rsidRPr="004D1A34">
        <w:rPr>
          <w:b/>
        </w:rPr>
        <w:t xml:space="preserve"> </w:t>
      </w:r>
      <w:proofErr w:type="spellStart"/>
      <w:r w:rsidRPr="004D1A34">
        <w:rPr>
          <w:b/>
        </w:rPr>
        <w:t>fumaratas</w:t>
      </w:r>
      <w:proofErr w:type="spellEnd"/>
      <w:r w:rsidRPr="004D1A34">
        <w:rPr>
          <w:b/>
        </w:rPr>
        <w:t xml:space="preserve"> </w:t>
      </w:r>
      <w:proofErr w:type="spellStart"/>
      <w:r w:rsidRPr="004D1A34">
        <w:rPr>
          <w:b/>
        </w:rPr>
        <w:t>dihidratas</w:t>
      </w:r>
      <w:proofErr w:type="spellEnd"/>
      <w:r w:rsidRPr="004D1A34">
        <w:rPr>
          <w:b/>
        </w:rPr>
        <w:t>/</w:t>
      </w:r>
      <w:proofErr w:type="spellStart"/>
      <w:r w:rsidRPr="004D1A34">
        <w:rPr>
          <w:b/>
        </w:rPr>
        <w:t>Glikopironis</w:t>
      </w:r>
      <w:proofErr w:type="spellEnd"/>
      <w:r w:rsidRPr="004D1A34">
        <w:t>)</w:t>
      </w:r>
    </w:p>
    <w:p w14:paraId="439E41D5" w14:textId="77777777" w:rsidR="001E5EE8" w:rsidRPr="004D1A34" w:rsidRDefault="001E5EE8" w:rsidP="001E5EE8">
      <w:pPr>
        <w:jc w:val="center"/>
      </w:pPr>
    </w:p>
    <w:p w14:paraId="2950563B" w14:textId="113D380A" w:rsidR="001E5EE8" w:rsidRPr="004D1A34" w:rsidRDefault="001E5EE8" w:rsidP="001E5EE8">
      <w:pPr>
        <w:jc w:val="center"/>
        <w:rPr>
          <w:b/>
        </w:rPr>
      </w:pPr>
      <w:r w:rsidRPr="004D1A34">
        <w:rPr>
          <w:b/>
        </w:rPr>
        <w:t>STV - 41</w:t>
      </w:r>
    </w:p>
    <w:p w14:paraId="453197C8" w14:textId="77777777" w:rsidR="00D4708D" w:rsidRPr="004D1A34" w:rsidRDefault="00D4708D" w:rsidP="003B211A">
      <w:pPr>
        <w:jc w:val="center"/>
        <w:rPr>
          <w:b/>
        </w:rPr>
      </w:pPr>
    </w:p>
    <w:p w14:paraId="78C89D1C" w14:textId="095241E9" w:rsidR="00D4485B" w:rsidRPr="004D1A34" w:rsidRDefault="00B13D65" w:rsidP="00937907">
      <w:pPr>
        <w:pStyle w:val="Sraopastraipa"/>
        <w:numPr>
          <w:ilvl w:val="0"/>
          <w:numId w:val="12"/>
        </w:numPr>
        <w:tabs>
          <w:tab w:val="left" w:pos="284"/>
        </w:tabs>
        <w:rPr>
          <w:b/>
          <w:bCs/>
          <w:caps/>
        </w:rPr>
      </w:pPr>
      <w:r w:rsidRPr="004D1A34">
        <w:rPr>
          <w:b/>
          <w:bCs/>
          <w:caps/>
        </w:rPr>
        <w:t>Bendroji dalis</w:t>
      </w:r>
    </w:p>
    <w:p w14:paraId="04A7C7A7" w14:textId="77777777" w:rsidR="00B13D65" w:rsidRPr="004D1A34" w:rsidRDefault="00B13D65" w:rsidP="00E03C3F">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1E5EE8" w:rsidRPr="004D1A34" w14:paraId="18A83EC2" w14:textId="77777777" w:rsidTr="006834D3">
        <w:trPr>
          <w:trHeight w:val="538"/>
        </w:trPr>
        <w:tc>
          <w:tcPr>
            <w:tcW w:w="632" w:type="dxa"/>
          </w:tcPr>
          <w:p w14:paraId="0646FBEA" w14:textId="77777777" w:rsidR="001E5EE8" w:rsidRPr="004D1A34" w:rsidRDefault="001E5EE8" w:rsidP="001E5EE8">
            <w:pPr>
              <w:tabs>
                <w:tab w:val="left" w:pos="284"/>
              </w:tabs>
              <w:spacing w:line="280" w:lineRule="atLeast"/>
              <w:rPr>
                <w:rFonts w:eastAsia="Arial"/>
                <w:b/>
              </w:rPr>
            </w:pPr>
            <w:r w:rsidRPr="004D1A34">
              <w:rPr>
                <w:rFonts w:eastAsia="Arial"/>
                <w:b/>
              </w:rPr>
              <w:t>1.1</w:t>
            </w:r>
          </w:p>
        </w:tc>
        <w:tc>
          <w:tcPr>
            <w:tcW w:w="3694" w:type="dxa"/>
          </w:tcPr>
          <w:p w14:paraId="6C3AE864" w14:textId="77777777" w:rsidR="001E5EE8" w:rsidRPr="004D1A34" w:rsidRDefault="001E5EE8" w:rsidP="001E5EE8">
            <w:pPr>
              <w:tabs>
                <w:tab w:val="left" w:pos="284"/>
              </w:tabs>
              <w:spacing w:line="280" w:lineRule="atLeast"/>
              <w:rPr>
                <w:rFonts w:eastAsia="Arial"/>
                <w:b/>
              </w:rPr>
            </w:pPr>
            <w:r w:rsidRPr="004D1A34">
              <w:rPr>
                <w:rFonts w:eastAsia="Arial"/>
                <w:b/>
              </w:rPr>
              <w:t>Pareiškėjas</w:t>
            </w:r>
          </w:p>
          <w:p w14:paraId="2AF240DC" w14:textId="77777777" w:rsidR="001E5EE8" w:rsidRPr="004D1A34" w:rsidRDefault="001E5EE8" w:rsidP="001E5EE8">
            <w:pPr>
              <w:tabs>
                <w:tab w:val="left" w:pos="284"/>
              </w:tabs>
              <w:spacing w:line="280" w:lineRule="atLeast"/>
              <w:rPr>
                <w:rFonts w:eastAsia="Arial"/>
                <w:b/>
              </w:rPr>
            </w:pPr>
          </w:p>
        </w:tc>
        <w:tc>
          <w:tcPr>
            <w:tcW w:w="4713" w:type="dxa"/>
          </w:tcPr>
          <w:p w14:paraId="2AAF0D91" w14:textId="7B1C1CEC" w:rsidR="001E5EE8" w:rsidRPr="004D1A34" w:rsidRDefault="001E5EE8" w:rsidP="001E5EE8">
            <w:pPr>
              <w:tabs>
                <w:tab w:val="left" w:pos="284"/>
              </w:tabs>
              <w:spacing w:line="280" w:lineRule="atLeast"/>
              <w:rPr>
                <w:rFonts w:eastAsia="Arial"/>
                <w:b/>
              </w:rPr>
            </w:pPr>
            <w:r w:rsidRPr="004D1A34">
              <w:t>UAB „NORAMEDA“</w:t>
            </w:r>
          </w:p>
        </w:tc>
      </w:tr>
      <w:tr w:rsidR="001E5EE8" w:rsidRPr="004D1A34" w14:paraId="31998B0D" w14:textId="77777777" w:rsidTr="006834D3">
        <w:trPr>
          <w:trHeight w:val="538"/>
        </w:trPr>
        <w:tc>
          <w:tcPr>
            <w:tcW w:w="632" w:type="dxa"/>
          </w:tcPr>
          <w:p w14:paraId="2005EC67" w14:textId="662300D0" w:rsidR="001E5EE8" w:rsidRPr="004D1A34" w:rsidRDefault="001E5EE8" w:rsidP="001E5EE8">
            <w:pPr>
              <w:tabs>
                <w:tab w:val="left" w:pos="284"/>
              </w:tabs>
              <w:spacing w:line="280" w:lineRule="atLeast"/>
              <w:rPr>
                <w:rFonts w:eastAsia="Arial"/>
                <w:b/>
              </w:rPr>
            </w:pPr>
            <w:r w:rsidRPr="004D1A34">
              <w:rPr>
                <w:rFonts w:eastAsia="Arial"/>
                <w:b/>
              </w:rPr>
              <w:t>1.2</w:t>
            </w:r>
          </w:p>
        </w:tc>
        <w:tc>
          <w:tcPr>
            <w:tcW w:w="3694" w:type="dxa"/>
          </w:tcPr>
          <w:p w14:paraId="1E4AE3B1" w14:textId="77777777" w:rsidR="001E5EE8" w:rsidRPr="004D1A34" w:rsidRDefault="001E5EE8" w:rsidP="001E5EE8">
            <w:pPr>
              <w:tabs>
                <w:tab w:val="left" w:pos="284"/>
              </w:tabs>
              <w:spacing w:line="280" w:lineRule="atLeast"/>
              <w:rPr>
                <w:b/>
                <w:bCs/>
                <w:color w:val="000000"/>
                <w:lang w:eastAsia="lt-LT"/>
              </w:rPr>
            </w:pPr>
            <w:r w:rsidRPr="004D1A34">
              <w:rPr>
                <w:b/>
                <w:bCs/>
                <w:color w:val="000000"/>
                <w:lang w:eastAsia="lt-LT"/>
              </w:rPr>
              <w:t xml:space="preserve">Registracijos data </w:t>
            </w:r>
          </w:p>
          <w:p w14:paraId="3A0DC096" w14:textId="77777777" w:rsidR="001E5EE8" w:rsidRPr="004D1A34" w:rsidRDefault="001E5EE8" w:rsidP="001E5EE8">
            <w:pPr>
              <w:tabs>
                <w:tab w:val="left" w:pos="284"/>
              </w:tabs>
              <w:spacing w:line="280" w:lineRule="atLeast"/>
              <w:rPr>
                <w:bCs/>
                <w:color w:val="000000"/>
                <w:lang w:eastAsia="lt-LT"/>
              </w:rPr>
            </w:pPr>
          </w:p>
        </w:tc>
        <w:tc>
          <w:tcPr>
            <w:tcW w:w="4713" w:type="dxa"/>
          </w:tcPr>
          <w:p w14:paraId="3CA218AD" w14:textId="7454D047" w:rsidR="001E5EE8" w:rsidRPr="004D1A34" w:rsidRDefault="001C6208" w:rsidP="001E5EE8">
            <w:pPr>
              <w:pStyle w:val="Sraopastraipa"/>
              <w:spacing w:after="120"/>
              <w:ind w:left="0"/>
              <w:contextualSpacing w:val="0"/>
              <w:jc w:val="both"/>
              <w:rPr>
                <w:rStyle w:val="Style2"/>
              </w:rPr>
            </w:pPr>
            <w:sdt>
              <w:sdtPr>
                <w:rPr>
                  <w:sz w:val="32"/>
                </w:rPr>
                <w:alias w:val="Nurodykite konkrečią dieną"/>
                <w:tag w:val="Nurodykite pradžios datą"/>
                <w:id w:val="423238108"/>
                <w:placeholder>
                  <w:docPart w:val="78702B3CBDAD4CBB9AC6BD8608115F85"/>
                </w:placeholder>
                <w15:color w:val="FFCC99"/>
                <w:date w:fullDate="2017-07-17T00:00:00Z">
                  <w:dateFormat w:val="yyyy 'm.' MMMM d 'd.'"/>
                  <w:lid w:val="lt-LT"/>
                  <w:storeMappedDataAs w:val="dateTime"/>
                  <w:calendar w:val="gregorian"/>
                </w:date>
              </w:sdtPr>
              <w:sdtEndPr/>
              <w:sdtContent>
                <w:r w:rsidR="001E5EE8" w:rsidRPr="004D1A34">
                  <w:t>2017 m. liepos 17 d.</w:t>
                </w:r>
              </w:sdtContent>
            </w:sdt>
          </w:p>
        </w:tc>
      </w:tr>
      <w:tr w:rsidR="00B13D65" w:rsidRPr="004D1A34" w14:paraId="15968AE1" w14:textId="77777777" w:rsidTr="006834D3">
        <w:trPr>
          <w:trHeight w:val="1500"/>
        </w:trPr>
        <w:tc>
          <w:tcPr>
            <w:tcW w:w="632" w:type="dxa"/>
          </w:tcPr>
          <w:p w14:paraId="6A784245" w14:textId="1E461489" w:rsidR="00B13D65" w:rsidRPr="004D1A34" w:rsidRDefault="002E0702" w:rsidP="00BD1E5A">
            <w:pPr>
              <w:tabs>
                <w:tab w:val="left" w:pos="284"/>
              </w:tabs>
              <w:spacing w:line="280" w:lineRule="atLeast"/>
              <w:rPr>
                <w:rFonts w:eastAsia="Arial"/>
                <w:b/>
              </w:rPr>
            </w:pPr>
            <w:r w:rsidRPr="004D1A34">
              <w:rPr>
                <w:rFonts w:eastAsia="Arial"/>
                <w:b/>
              </w:rPr>
              <w:t>1.3</w:t>
            </w:r>
          </w:p>
        </w:tc>
        <w:tc>
          <w:tcPr>
            <w:tcW w:w="3694" w:type="dxa"/>
          </w:tcPr>
          <w:p w14:paraId="22933506" w14:textId="77777777" w:rsidR="00B13D65" w:rsidRPr="004D1A34" w:rsidRDefault="00B13D65" w:rsidP="00BD1E5A">
            <w:pPr>
              <w:pStyle w:val="Betarp"/>
              <w:rPr>
                <w:rFonts w:ascii="Times New Roman" w:hAnsi="Times New Roman"/>
                <w:b/>
                <w:sz w:val="24"/>
                <w:szCs w:val="24"/>
              </w:rPr>
            </w:pPr>
            <w:r w:rsidRPr="004D1A34">
              <w:rPr>
                <w:rFonts w:ascii="Times New Roman" w:hAnsi="Times New Roman"/>
                <w:b/>
                <w:sz w:val="24"/>
                <w:szCs w:val="24"/>
              </w:rPr>
              <w:t xml:space="preserve">Paraiškos tipas </w:t>
            </w:r>
          </w:p>
          <w:p w14:paraId="0465E680" w14:textId="7F0A0714" w:rsidR="00B13D65" w:rsidRPr="004D1A34" w:rsidRDefault="00B13D65" w:rsidP="00BD1E5A">
            <w:pPr>
              <w:rPr>
                <w:b/>
              </w:rPr>
            </w:pPr>
            <w:r w:rsidRPr="004D1A34">
              <w:rPr>
                <w:b/>
              </w:rPr>
              <w:t>(</w:t>
            </w:r>
            <w:r w:rsidR="00695CD3" w:rsidRPr="004D1A34">
              <w:rPr>
                <w:b/>
              </w:rPr>
              <w:t xml:space="preserve">pagal </w:t>
            </w:r>
            <w:r w:rsidR="0039696E" w:rsidRPr="004D1A34">
              <w:rPr>
                <w:b/>
                <w:color w:val="333333"/>
                <w:shd w:val="clear" w:color="auto" w:fill="FFFFFF"/>
              </w:rPr>
              <w:t>vaistinio preparato registracijos tipą, įtvirtintą</w:t>
            </w:r>
            <w:r w:rsidR="0039696E" w:rsidRPr="004D1A34">
              <w:rPr>
                <w:b/>
              </w:rPr>
              <w:t xml:space="preserve"> </w:t>
            </w:r>
            <w:r w:rsidRPr="004D1A34">
              <w:rPr>
                <w:b/>
              </w:rPr>
              <w:t>Direktyv</w:t>
            </w:r>
            <w:r w:rsidR="00695CD3" w:rsidRPr="004D1A34">
              <w:rPr>
                <w:b/>
              </w:rPr>
              <w:t>os</w:t>
            </w:r>
            <w:r w:rsidRPr="004D1A34">
              <w:rPr>
                <w:b/>
              </w:rPr>
              <w:t xml:space="preserve"> 2001/83/EB</w:t>
            </w:r>
            <w:r w:rsidR="00695CD3" w:rsidRPr="004D1A34">
              <w:rPr>
                <w:b/>
              </w:rPr>
              <w:t xml:space="preserve"> </w:t>
            </w:r>
            <w:proofErr w:type="spellStart"/>
            <w:r w:rsidR="00695CD3" w:rsidRPr="004D1A34">
              <w:rPr>
                <w:b/>
              </w:rPr>
              <w:t>straips</w:t>
            </w:r>
            <w:r w:rsidR="0039696E" w:rsidRPr="004D1A34">
              <w:rPr>
                <w:b/>
              </w:rPr>
              <w:t>iuose</w:t>
            </w:r>
            <w:proofErr w:type="spellEnd"/>
            <w:r w:rsidRPr="004D1A34">
              <w:rPr>
                <w:b/>
              </w:rPr>
              <w:t>)</w:t>
            </w:r>
          </w:p>
          <w:p w14:paraId="77089D80" w14:textId="6681D72A" w:rsidR="00B13D65" w:rsidRPr="004D1A34" w:rsidRDefault="00B13D65" w:rsidP="0039696E">
            <w:pPr>
              <w:tabs>
                <w:tab w:val="left" w:pos="284"/>
              </w:tabs>
              <w:spacing w:line="280" w:lineRule="atLeast"/>
              <w:rPr>
                <w:b/>
                <w:bCs/>
                <w:color w:val="000000"/>
                <w:lang w:eastAsia="lt-LT"/>
              </w:rPr>
            </w:pPr>
          </w:p>
        </w:tc>
        <w:tc>
          <w:tcPr>
            <w:tcW w:w="4713" w:type="dxa"/>
          </w:tcPr>
          <w:p w14:paraId="208F40EC" w14:textId="2405FE58" w:rsidR="00B13D65" w:rsidRPr="004D1A34" w:rsidRDefault="001C6208" w:rsidP="00937907">
            <w:pPr>
              <w:pStyle w:val="Sraopastraipa"/>
              <w:spacing w:after="120"/>
              <w:ind w:left="0"/>
              <w:contextualSpacing w:val="0"/>
              <w:jc w:val="both"/>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E5EE8" w:rsidRPr="004D1A34">
                  <w:rPr>
                    <w:rStyle w:val="Style2"/>
                    <w:rFonts w:ascii="MS Gothic" w:eastAsia="MS Gothic" w:hAnsi="MS Gothic" w:hint="eastAsia"/>
                    <w:sz w:val="22"/>
                    <w:szCs w:val="22"/>
                  </w:rPr>
                  <w:t>☒</w:t>
                </w:r>
              </w:sdtContent>
            </w:sdt>
            <w:r w:rsidR="00B13D65" w:rsidRPr="004D1A34">
              <w:rPr>
                <w:sz w:val="22"/>
                <w:szCs w:val="22"/>
              </w:rPr>
              <w:t xml:space="preserve">8.3 str. (pilna byla, pagrįsta savais tyrimais) </w:t>
            </w:r>
          </w:p>
          <w:p w14:paraId="32BA564E" w14:textId="3FDA3E01" w:rsidR="00B13D65" w:rsidRPr="004D1A34" w:rsidRDefault="001C6208" w:rsidP="00937907">
            <w:pPr>
              <w:pStyle w:val="Sraopastraipa"/>
              <w:spacing w:after="120"/>
              <w:ind w:left="0"/>
              <w:contextualSpacing w:val="0"/>
              <w:jc w:val="both"/>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4D1A34">
                  <w:rPr>
                    <w:rStyle w:val="Style2"/>
                    <w:rFonts w:ascii="Segoe UI Symbol" w:eastAsia="MS Gothic" w:hAnsi="Segoe UI Symbol" w:cs="Segoe UI Symbol"/>
                    <w:sz w:val="22"/>
                    <w:szCs w:val="22"/>
                  </w:rPr>
                  <w:t>☐</w:t>
                </w:r>
              </w:sdtContent>
            </w:sdt>
            <w:r w:rsidR="00B13D65" w:rsidRPr="004D1A34">
              <w:rPr>
                <w:sz w:val="22"/>
                <w:szCs w:val="22"/>
              </w:rPr>
              <w:t xml:space="preserve">10 a str. (pripažintas medicininis vartojimas) </w:t>
            </w:r>
          </w:p>
          <w:p w14:paraId="318DCD7F" w14:textId="32333E53" w:rsidR="00B13D65" w:rsidRPr="004D1A34" w:rsidRDefault="001C6208" w:rsidP="00937907">
            <w:pPr>
              <w:pStyle w:val="Sraopastraipa"/>
              <w:spacing w:after="120"/>
              <w:ind w:left="0"/>
              <w:contextualSpacing w:val="0"/>
              <w:jc w:val="both"/>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4D1A34">
                  <w:rPr>
                    <w:rStyle w:val="Style2"/>
                    <w:rFonts w:ascii="Segoe UI Symbol" w:eastAsia="MS Gothic" w:hAnsi="Segoe UI Symbol" w:cs="Segoe UI Symbol"/>
                    <w:sz w:val="22"/>
                    <w:szCs w:val="22"/>
                  </w:rPr>
                  <w:t>☐</w:t>
                </w:r>
              </w:sdtContent>
            </w:sdt>
            <w:r w:rsidR="00B13D65" w:rsidRPr="004D1A34">
              <w:rPr>
                <w:sz w:val="22"/>
                <w:szCs w:val="22"/>
              </w:rPr>
              <w:t>10.1 str. (</w:t>
            </w:r>
            <w:proofErr w:type="spellStart"/>
            <w:r w:rsidR="00B13D65" w:rsidRPr="004D1A34">
              <w:rPr>
                <w:sz w:val="22"/>
                <w:szCs w:val="22"/>
              </w:rPr>
              <w:t>generinis</w:t>
            </w:r>
            <w:proofErr w:type="spellEnd"/>
            <w:r w:rsidR="00B13D65" w:rsidRPr="004D1A34">
              <w:rPr>
                <w:sz w:val="22"/>
                <w:szCs w:val="22"/>
              </w:rPr>
              <w:t>)</w:t>
            </w:r>
          </w:p>
          <w:p w14:paraId="3B0A4F72" w14:textId="3F5FB073" w:rsidR="00B13D65" w:rsidRPr="004D1A34" w:rsidRDefault="001C6208" w:rsidP="00937907">
            <w:pPr>
              <w:pStyle w:val="Sraopastraipa"/>
              <w:spacing w:after="120"/>
              <w:ind w:left="0"/>
              <w:contextualSpacing w:val="0"/>
              <w:jc w:val="both"/>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4D1A34">
                  <w:rPr>
                    <w:rStyle w:val="Style2"/>
                    <w:rFonts w:ascii="Segoe UI Symbol" w:eastAsia="MS Gothic" w:hAnsi="Segoe UI Symbol" w:cs="Segoe UI Symbol"/>
                    <w:sz w:val="22"/>
                    <w:szCs w:val="22"/>
                  </w:rPr>
                  <w:t>☐</w:t>
                </w:r>
              </w:sdtContent>
            </w:sdt>
            <w:r w:rsidR="00B13D65" w:rsidRPr="004D1A34">
              <w:rPr>
                <w:sz w:val="22"/>
                <w:szCs w:val="22"/>
              </w:rPr>
              <w:t>10.3 str. (hibridinis)</w:t>
            </w:r>
          </w:p>
        </w:tc>
      </w:tr>
      <w:tr w:rsidR="00B13D65" w:rsidRPr="004D1A34" w14:paraId="310E9662" w14:textId="77777777" w:rsidTr="006834D3">
        <w:trPr>
          <w:trHeight w:val="1442"/>
        </w:trPr>
        <w:tc>
          <w:tcPr>
            <w:tcW w:w="632" w:type="dxa"/>
          </w:tcPr>
          <w:p w14:paraId="4B5A91A2" w14:textId="561B5E5F" w:rsidR="00B13D65" w:rsidRPr="004D1A34" w:rsidRDefault="00B13D65" w:rsidP="002E0702">
            <w:pPr>
              <w:tabs>
                <w:tab w:val="left" w:pos="284"/>
              </w:tabs>
              <w:spacing w:line="280" w:lineRule="atLeast"/>
              <w:rPr>
                <w:rFonts w:eastAsia="Arial"/>
                <w:b/>
              </w:rPr>
            </w:pPr>
            <w:r w:rsidRPr="004D1A34">
              <w:rPr>
                <w:rFonts w:eastAsia="Arial"/>
                <w:b/>
              </w:rPr>
              <w:t>1.</w:t>
            </w:r>
            <w:r w:rsidR="002E0702" w:rsidRPr="004D1A34">
              <w:rPr>
                <w:rFonts w:eastAsia="Arial"/>
                <w:b/>
              </w:rPr>
              <w:t>4</w:t>
            </w:r>
          </w:p>
        </w:tc>
        <w:tc>
          <w:tcPr>
            <w:tcW w:w="3694" w:type="dxa"/>
          </w:tcPr>
          <w:p w14:paraId="483071A3" w14:textId="5FC691C1" w:rsidR="00B13D65" w:rsidRPr="004D1A34" w:rsidRDefault="00B13D65" w:rsidP="00A06DBB">
            <w:pPr>
              <w:tabs>
                <w:tab w:val="left" w:pos="284"/>
              </w:tabs>
              <w:spacing w:line="280" w:lineRule="atLeast"/>
              <w:rPr>
                <w:b/>
                <w:bCs/>
                <w:color w:val="000000"/>
                <w:lang w:eastAsia="lt-LT"/>
              </w:rPr>
            </w:pPr>
            <w:r w:rsidRPr="004D1A34">
              <w:rPr>
                <w:b/>
                <w:bCs/>
                <w:color w:val="000000"/>
                <w:lang w:eastAsia="lt-LT"/>
              </w:rPr>
              <w:t xml:space="preserve">Ar vaistinis preparatas įrašytas į Bendrijos retųjų vaistinių preparatų registrą? </w:t>
            </w:r>
          </w:p>
        </w:tc>
        <w:tc>
          <w:tcPr>
            <w:tcW w:w="4713" w:type="dxa"/>
          </w:tcPr>
          <w:p w14:paraId="05845C60" w14:textId="77777777" w:rsidR="00B13D65" w:rsidRPr="004D1A34" w:rsidRDefault="001C6208" w:rsidP="00BD1E5A">
            <w:pPr>
              <w:pStyle w:val="Sraopastraipa"/>
              <w:spacing w:after="120"/>
              <w:ind w:left="0"/>
              <w:contextualSpacing w:val="0"/>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rPr>
                  <w:t>☐</w:t>
                </w:r>
              </w:sdtContent>
            </w:sdt>
            <w:r w:rsidR="00B13D65" w:rsidRPr="004D1A34">
              <w:t xml:space="preserve"> Taip</w:t>
            </w:r>
          </w:p>
          <w:p w14:paraId="41D88067" w14:textId="272AD364" w:rsidR="00B13D65" w:rsidRPr="004D1A34" w:rsidRDefault="001C6208" w:rsidP="00BD1E5A">
            <w:pPr>
              <w:pStyle w:val="Sraopastraipa"/>
              <w:spacing w:after="120"/>
              <w:ind w:left="0"/>
              <w:contextualSpacing w:val="0"/>
              <w:jc w:val="both"/>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1E5EE8" w:rsidRPr="004D1A34">
                  <w:rPr>
                    <w:rStyle w:val="Style2"/>
                    <w:rFonts w:ascii="MS Gothic" w:eastAsia="MS Gothic" w:hAnsi="MS Gothic" w:hint="eastAsia"/>
                  </w:rPr>
                  <w:t>☒</w:t>
                </w:r>
              </w:sdtContent>
            </w:sdt>
            <w:r w:rsidR="00B13D65" w:rsidRPr="004D1A34">
              <w:t xml:space="preserve"> Ne</w:t>
            </w:r>
          </w:p>
          <w:p w14:paraId="29C2CBBB" w14:textId="63308D1B" w:rsidR="00B13D65" w:rsidRPr="004D1A34" w:rsidRDefault="00B13D65" w:rsidP="00BD1E5A">
            <w:pPr>
              <w:pStyle w:val="Sraopastraipa"/>
              <w:spacing w:after="120"/>
              <w:ind w:left="0"/>
              <w:contextualSpacing w:val="0"/>
              <w:jc w:val="both"/>
              <w:rPr>
                <w:rFonts w:eastAsia="Arial"/>
                <w:b/>
              </w:rPr>
            </w:pPr>
          </w:p>
        </w:tc>
      </w:tr>
      <w:tr w:rsidR="00B13D65" w:rsidRPr="004D1A34" w14:paraId="274D1DAF" w14:textId="77777777" w:rsidTr="006834D3">
        <w:trPr>
          <w:trHeight w:val="1922"/>
        </w:trPr>
        <w:tc>
          <w:tcPr>
            <w:tcW w:w="632" w:type="dxa"/>
          </w:tcPr>
          <w:p w14:paraId="17ABF217" w14:textId="6D9EE8BB" w:rsidR="00B13D65" w:rsidRPr="004D1A34" w:rsidRDefault="00B13D65" w:rsidP="002E0702">
            <w:pPr>
              <w:tabs>
                <w:tab w:val="left" w:pos="284"/>
              </w:tabs>
              <w:spacing w:line="280" w:lineRule="atLeast"/>
              <w:rPr>
                <w:rFonts w:eastAsia="Arial"/>
                <w:b/>
              </w:rPr>
            </w:pPr>
            <w:r w:rsidRPr="004D1A34">
              <w:rPr>
                <w:rFonts w:eastAsia="Arial"/>
                <w:b/>
              </w:rPr>
              <w:t>1.</w:t>
            </w:r>
            <w:r w:rsidR="002E0702" w:rsidRPr="004D1A34">
              <w:rPr>
                <w:rFonts w:eastAsia="Arial"/>
                <w:b/>
              </w:rPr>
              <w:t>5</w:t>
            </w:r>
          </w:p>
        </w:tc>
        <w:tc>
          <w:tcPr>
            <w:tcW w:w="3694" w:type="dxa"/>
          </w:tcPr>
          <w:p w14:paraId="3A731095" w14:textId="15E6927F" w:rsidR="00B13D65" w:rsidRPr="004D1A34" w:rsidRDefault="00B13D65" w:rsidP="00BD1E5A">
            <w:pPr>
              <w:tabs>
                <w:tab w:val="left" w:pos="284"/>
              </w:tabs>
              <w:spacing w:line="280" w:lineRule="atLeast"/>
              <w:rPr>
                <w:b/>
                <w:bCs/>
                <w:color w:val="000000"/>
                <w:lang w:eastAsia="lt-LT"/>
              </w:rPr>
            </w:pPr>
            <w:r w:rsidRPr="004D1A34">
              <w:rPr>
                <w:b/>
                <w:bCs/>
                <w:color w:val="000000"/>
                <w:lang w:eastAsia="lt-LT"/>
              </w:rPr>
              <w:t>Teikiama (-</w:t>
            </w:r>
            <w:proofErr w:type="spellStart"/>
            <w:r w:rsidRPr="004D1A34">
              <w:rPr>
                <w:b/>
                <w:bCs/>
                <w:color w:val="000000"/>
                <w:lang w:eastAsia="lt-LT"/>
              </w:rPr>
              <w:t>os</w:t>
            </w:r>
            <w:proofErr w:type="spellEnd"/>
            <w:r w:rsidRPr="004D1A34">
              <w:rPr>
                <w:b/>
                <w:bCs/>
                <w:color w:val="000000"/>
                <w:lang w:eastAsia="lt-LT"/>
              </w:rPr>
              <w:t>) kompensuoti registruota (-</w:t>
            </w:r>
            <w:proofErr w:type="spellStart"/>
            <w:r w:rsidRPr="004D1A34">
              <w:rPr>
                <w:b/>
                <w:bCs/>
                <w:color w:val="000000"/>
                <w:lang w:eastAsia="lt-LT"/>
              </w:rPr>
              <w:t>os</w:t>
            </w:r>
            <w:proofErr w:type="spellEnd"/>
            <w:r w:rsidRPr="004D1A34">
              <w:rPr>
                <w:b/>
                <w:bCs/>
                <w:color w:val="000000"/>
                <w:lang w:eastAsia="lt-LT"/>
              </w:rPr>
              <w:t>) vaistinio preparato indikacija (-</w:t>
            </w:r>
            <w:proofErr w:type="spellStart"/>
            <w:r w:rsidRPr="004D1A34">
              <w:rPr>
                <w:b/>
                <w:bCs/>
                <w:color w:val="000000"/>
                <w:lang w:eastAsia="lt-LT"/>
              </w:rPr>
              <w:t>os</w:t>
            </w:r>
            <w:proofErr w:type="spellEnd"/>
            <w:r w:rsidRPr="004D1A34">
              <w:rPr>
                <w:b/>
                <w:bCs/>
                <w:color w:val="000000"/>
                <w:lang w:eastAsia="lt-LT"/>
              </w:rPr>
              <w:t xml:space="preserve">), </w:t>
            </w:r>
          </w:p>
          <w:p w14:paraId="6B4FEEC1" w14:textId="39613EA1" w:rsidR="00B13D65" w:rsidRPr="004D1A34" w:rsidRDefault="00B13D65" w:rsidP="00BD1E5A">
            <w:pPr>
              <w:tabs>
                <w:tab w:val="left" w:pos="284"/>
              </w:tabs>
              <w:spacing w:line="280" w:lineRule="atLeast"/>
              <w:rPr>
                <w:b/>
                <w:bCs/>
                <w:color w:val="000000"/>
                <w:lang w:eastAsia="lt-LT"/>
              </w:rPr>
            </w:pPr>
            <w:r w:rsidRPr="004D1A34">
              <w:rPr>
                <w:b/>
                <w:bCs/>
                <w:color w:val="000000"/>
                <w:lang w:eastAsia="lt-LT"/>
              </w:rPr>
              <w:t>TLK kodas</w:t>
            </w:r>
          </w:p>
        </w:tc>
        <w:tc>
          <w:tcPr>
            <w:tcW w:w="4713" w:type="dxa"/>
          </w:tcPr>
          <w:p w14:paraId="5B33DC6C" w14:textId="77777777" w:rsidR="001E5EE8" w:rsidRPr="004D1A34" w:rsidRDefault="001E5EE8" w:rsidP="001E5EE8">
            <w:pPr>
              <w:pStyle w:val="Sraopastraipa"/>
              <w:spacing w:after="120"/>
              <w:ind w:left="0"/>
              <w:contextualSpacing w:val="0"/>
              <w:jc w:val="both"/>
            </w:pPr>
            <w:r w:rsidRPr="004D1A34">
              <w:t xml:space="preserve">Palaikomasis astmos gydymas suaugusiesiems, kurių liga nėra pakankamai kontroliuojama, skiriant ilgai veikiančio beta 2 </w:t>
            </w:r>
            <w:proofErr w:type="spellStart"/>
            <w:r w:rsidRPr="004D1A34">
              <w:t>agonisto</w:t>
            </w:r>
            <w:proofErr w:type="spellEnd"/>
            <w:r w:rsidRPr="004D1A34">
              <w:t xml:space="preserve"> ir vidutinių dozių įkvepiamojo kortikosteroido palaikomąjį derinį, ir kuriems per pastaruosius metus buvo vienas ar daugiau astmos pasunkėjimų.</w:t>
            </w:r>
          </w:p>
          <w:p w14:paraId="13F7DFB0" w14:textId="2B199A6A" w:rsidR="00B13D65" w:rsidRPr="004D1A34" w:rsidRDefault="001E5EE8" w:rsidP="00BD1E5A">
            <w:pPr>
              <w:pStyle w:val="Sraopastraipa"/>
              <w:spacing w:after="120"/>
              <w:ind w:left="0"/>
              <w:contextualSpacing w:val="0"/>
              <w:jc w:val="both"/>
            </w:pPr>
            <w:r w:rsidRPr="004D1A34">
              <w:t>J45</w:t>
            </w:r>
          </w:p>
        </w:tc>
      </w:tr>
      <w:tr w:rsidR="00B13D65" w:rsidRPr="004D1A34" w14:paraId="2F79DC08" w14:textId="77777777" w:rsidTr="006834D3">
        <w:trPr>
          <w:trHeight w:val="378"/>
        </w:trPr>
        <w:tc>
          <w:tcPr>
            <w:tcW w:w="632" w:type="dxa"/>
          </w:tcPr>
          <w:p w14:paraId="547885A2" w14:textId="08AA8055" w:rsidR="00B13D65" w:rsidRPr="004D1A34" w:rsidRDefault="00B13D65" w:rsidP="002E0702">
            <w:pPr>
              <w:tabs>
                <w:tab w:val="left" w:pos="284"/>
              </w:tabs>
              <w:spacing w:line="280" w:lineRule="atLeast"/>
              <w:rPr>
                <w:rFonts w:eastAsia="Arial"/>
                <w:b/>
              </w:rPr>
            </w:pPr>
            <w:r w:rsidRPr="004D1A34">
              <w:rPr>
                <w:rFonts w:eastAsia="Arial"/>
                <w:b/>
              </w:rPr>
              <w:t>1.</w:t>
            </w:r>
            <w:r w:rsidR="002E0702" w:rsidRPr="004D1A34">
              <w:rPr>
                <w:rFonts w:eastAsia="Arial"/>
                <w:b/>
              </w:rPr>
              <w:t>6</w:t>
            </w:r>
          </w:p>
        </w:tc>
        <w:tc>
          <w:tcPr>
            <w:tcW w:w="3694" w:type="dxa"/>
          </w:tcPr>
          <w:p w14:paraId="2EAB877F" w14:textId="4D3F62F5" w:rsidR="00B13D65" w:rsidRPr="004D1A34" w:rsidRDefault="00B13D65" w:rsidP="00B13D65">
            <w:pPr>
              <w:tabs>
                <w:tab w:val="left" w:pos="284"/>
              </w:tabs>
              <w:spacing w:line="280" w:lineRule="atLeast"/>
              <w:rPr>
                <w:bCs/>
                <w:color w:val="000000"/>
                <w:u w:val="single"/>
                <w:lang w:eastAsia="lt-LT"/>
              </w:rPr>
            </w:pPr>
            <w:r w:rsidRPr="004D1A34">
              <w:rPr>
                <w:b/>
                <w:bCs/>
                <w:color w:val="000000"/>
                <w:lang w:eastAsia="lt-LT"/>
              </w:rPr>
              <w:t xml:space="preserve">Teikiamos skyrimo sąlygos </w:t>
            </w:r>
          </w:p>
        </w:tc>
        <w:tc>
          <w:tcPr>
            <w:tcW w:w="4713" w:type="dxa"/>
          </w:tcPr>
          <w:p w14:paraId="0579DF58" w14:textId="0F39E6B4" w:rsidR="00B13D65" w:rsidRPr="004D1A34" w:rsidRDefault="001E5EE8" w:rsidP="00BD1E5A">
            <w:pPr>
              <w:pStyle w:val="Sraopastraipa"/>
              <w:spacing w:after="120"/>
              <w:ind w:left="0"/>
              <w:contextualSpacing w:val="0"/>
              <w:jc w:val="both"/>
            </w:pPr>
            <w:r w:rsidRPr="004D1A34">
              <w:t xml:space="preserve">Parenkant pradinę dozę, reikia atsižvelgti į </w:t>
            </w:r>
            <w:proofErr w:type="spellStart"/>
            <w:r w:rsidRPr="004D1A34">
              <w:t>Trimbow</w:t>
            </w:r>
            <w:proofErr w:type="spellEnd"/>
            <w:r w:rsidRPr="004D1A34">
              <w:t xml:space="preserve"> stiprumą (87/5/9 </w:t>
            </w:r>
            <w:proofErr w:type="spellStart"/>
            <w:r w:rsidRPr="004D1A34">
              <w:t>mikrogramų</w:t>
            </w:r>
            <w:proofErr w:type="spellEnd"/>
            <w:r w:rsidRPr="004D1A34">
              <w:t xml:space="preserve"> arba 172/5/9 </w:t>
            </w:r>
            <w:proofErr w:type="spellStart"/>
            <w:r w:rsidRPr="004D1A34">
              <w:t>mikrogramų</w:t>
            </w:r>
            <w:proofErr w:type="spellEnd"/>
            <w:r w:rsidRPr="004D1A34">
              <w:t xml:space="preserve">), paciento ligos sunkumą, </w:t>
            </w:r>
            <w:r w:rsidRPr="004D1A34">
              <w:lastRenderedPageBreak/>
              <w:t>ankstesnį astmos gydymą, įskaitant įkvepiamojo kortikosteroido (ĮKS) dozę, dabartinę paciento astmos simptomų kontrolę ir būsimo paūmėjimo riziką.</w:t>
            </w:r>
          </w:p>
        </w:tc>
      </w:tr>
      <w:tr w:rsidR="00B13D65" w:rsidRPr="004D1A34" w14:paraId="3B125269" w14:textId="77777777" w:rsidTr="006834D3">
        <w:trPr>
          <w:trHeight w:val="378"/>
        </w:trPr>
        <w:tc>
          <w:tcPr>
            <w:tcW w:w="632" w:type="dxa"/>
          </w:tcPr>
          <w:p w14:paraId="0058E11F" w14:textId="77777777" w:rsidR="00B13D65" w:rsidRPr="004D1A34" w:rsidRDefault="00B13D65" w:rsidP="00BD1E5A">
            <w:pPr>
              <w:tabs>
                <w:tab w:val="left" w:pos="284"/>
              </w:tabs>
              <w:spacing w:line="280" w:lineRule="atLeast"/>
              <w:rPr>
                <w:rFonts w:eastAsia="Arial"/>
                <w:b/>
              </w:rPr>
            </w:pPr>
            <w:r w:rsidRPr="004D1A34">
              <w:rPr>
                <w:rFonts w:eastAsia="Arial"/>
                <w:b/>
              </w:rPr>
              <w:lastRenderedPageBreak/>
              <w:t>1.7</w:t>
            </w:r>
          </w:p>
        </w:tc>
        <w:tc>
          <w:tcPr>
            <w:tcW w:w="3694" w:type="dxa"/>
          </w:tcPr>
          <w:p w14:paraId="6CC1022E" w14:textId="67D8C43B" w:rsidR="00B13D65" w:rsidRPr="004D1A34" w:rsidRDefault="00B13D65" w:rsidP="00B13D65">
            <w:pPr>
              <w:tabs>
                <w:tab w:val="left" w:pos="284"/>
              </w:tabs>
              <w:spacing w:line="280" w:lineRule="atLeast"/>
              <w:rPr>
                <w:b/>
                <w:bCs/>
                <w:color w:val="000000"/>
                <w:lang w:eastAsia="lt-LT"/>
              </w:rPr>
            </w:pPr>
            <w:r w:rsidRPr="004D1A34">
              <w:rPr>
                <w:b/>
                <w:bCs/>
                <w:color w:val="000000"/>
                <w:lang w:eastAsia="lt-LT"/>
              </w:rPr>
              <w:t xml:space="preserve">Palyginamasis gydymas </w:t>
            </w:r>
          </w:p>
        </w:tc>
        <w:tc>
          <w:tcPr>
            <w:tcW w:w="4713" w:type="dxa"/>
          </w:tcPr>
          <w:p w14:paraId="5C3F3AF7" w14:textId="44C53A4A" w:rsidR="00383141" w:rsidRPr="004D1A34" w:rsidRDefault="00383141" w:rsidP="00F674CF">
            <w:pPr>
              <w:spacing w:after="120"/>
              <w:rPr>
                <w:rFonts w:ascii="Calibri" w:eastAsia="Calibri" w:hAnsi="Calibri"/>
                <w:szCs w:val="22"/>
              </w:rPr>
            </w:pPr>
            <w:proofErr w:type="spellStart"/>
            <w:r w:rsidRPr="004D1A34">
              <w:rPr>
                <w:rFonts w:eastAsia="Arial"/>
              </w:rPr>
              <w:t>Beklometazono</w:t>
            </w:r>
            <w:proofErr w:type="spellEnd"/>
            <w:r w:rsidRPr="004D1A34">
              <w:rPr>
                <w:rFonts w:eastAsia="Arial"/>
              </w:rPr>
              <w:t xml:space="preserve"> </w:t>
            </w:r>
            <w:proofErr w:type="spellStart"/>
            <w:r w:rsidRPr="004D1A34">
              <w:rPr>
                <w:rFonts w:eastAsia="Arial"/>
              </w:rPr>
              <w:t>dipropionatas</w:t>
            </w:r>
            <w:proofErr w:type="spellEnd"/>
            <w:r w:rsidRPr="004D1A34">
              <w:rPr>
                <w:rFonts w:eastAsia="Arial"/>
              </w:rPr>
              <w:t xml:space="preserve">/ </w:t>
            </w:r>
            <w:proofErr w:type="spellStart"/>
            <w:r w:rsidRPr="004D1A34">
              <w:rPr>
                <w:rFonts w:eastAsia="Arial"/>
              </w:rPr>
              <w:t>formoterolio</w:t>
            </w:r>
            <w:proofErr w:type="spellEnd"/>
            <w:r w:rsidRPr="004D1A34">
              <w:rPr>
                <w:rFonts w:eastAsia="Arial"/>
              </w:rPr>
              <w:t xml:space="preserve"> </w:t>
            </w:r>
            <w:proofErr w:type="spellStart"/>
            <w:r w:rsidRPr="004D1A34">
              <w:rPr>
                <w:rFonts w:eastAsia="Arial"/>
              </w:rPr>
              <w:t>fumaratas</w:t>
            </w:r>
            <w:proofErr w:type="spellEnd"/>
            <w:r w:rsidRPr="004D1A34">
              <w:rPr>
                <w:rFonts w:eastAsia="Arial"/>
              </w:rPr>
              <w:t xml:space="preserve"> </w:t>
            </w:r>
            <w:proofErr w:type="spellStart"/>
            <w:r w:rsidRPr="004D1A34">
              <w:rPr>
                <w:rFonts w:eastAsia="Arial"/>
              </w:rPr>
              <w:t>dihidratas</w:t>
            </w:r>
            <w:proofErr w:type="spellEnd"/>
            <w:r w:rsidR="00F674CF" w:rsidRPr="004D1A34">
              <w:rPr>
                <w:rFonts w:eastAsia="Arial"/>
              </w:rPr>
              <w:t xml:space="preserve"> </w:t>
            </w:r>
            <w:r w:rsidRPr="004D1A34">
              <w:t>(</w:t>
            </w:r>
            <w:proofErr w:type="spellStart"/>
            <w:r w:rsidRPr="004D1A34">
              <w:t>Foster</w:t>
            </w:r>
            <w:proofErr w:type="spellEnd"/>
            <w:r w:rsidRPr="004D1A34">
              <w:t xml:space="preserve"> 100 </w:t>
            </w:r>
            <w:proofErr w:type="spellStart"/>
            <w:r w:rsidRPr="004D1A34">
              <w:t>mikrogramų</w:t>
            </w:r>
            <w:proofErr w:type="spellEnd"/>
            <w:r w:rsidRPr="004D1A34">
              <w:t>/6 </w:t>
            </w:r>
            <w:proofErr w:type="spellStart"/>
            <w:r w:rsidRPr="004D1A34">
              <w:t>mikrogramai</w:t>
            </w:r>
            <w:proofErr w:type="spellEnd"/>
            <w:r w:rsidRPr="004D1A34">
              <w:t>/išpurškime įkvepiamieji milteliai)</w:t>
            </w:r>
          </w:p>
          <w:p w14:paraId="41B44044" w14:textId="04D3138E" w:rsidR="00B13D65" w:rsidRPr="004D1A34" w:rsidRDefault="00383141" w:rsidP="00383141">
            <w:pPr>
              <w:spacing w:after="120"/>
              <w:jc w:val="both"/>
            </w:pPr>
            <w:r w:rsidRPr="004D1A34">
              <w:rPr>
                <w:rFonts w:eastAsia="Arial"/>
              </w:rPr>
              <w:t xml:space="preserve"> </w:t>
            </w:r>
          </w:p>
        </w:tc>
      </w:tr>
    </w:tbl>
    <w:p w14:paraId="108176F7" w14:textId="640C6F75" w:rsidR="00F70C9E" w:rsidRPr="004D1A34" w:rsidRDefault="00F70C9E" w:rsidP="00E03C3F">
      <w:pPr>
        <w:pStyle w:val="Sraopastraipa"/>
        <w:tabs>
          <w:tab w:val="left" w:pos="426"/>
        </w:tabs>
        <w:ind w:left="0"/>
        <w:rPr>
          <w:b/>
          <w:bCs/>
          <w:caps/>
        </w:rPr>
      </w:pPr>
    </w:p>
    <w:p w14:paraId="2871CA7F" w14:textId="2370BDDB" w:rsidR="00F70C9E" w:rsidRPr="004D1A34" w:rsidRDefault="00F70C9E" w:rsidP="00880A44">
      <w:pPr>
        <w:spacing w:line="276" w:lineRule="auto"/>
        <w:jc w:val="both"/>
        <w:rPr>
          <w:rFonts w:eastAsia="Arial"/>
          <w:b/>
        </w:rPr>
      </w:pPr>
      <w:r w:rsidRPr="004D1A34">
        <w:rPr>
          <w:rFonts w:eastAsia="Arial"/>
          <w:b/>
        </w:rPr>
        <w:t xml:space="preserve">1.8 Kitų </w:t>
      </w:r>
      <w:r w:rsidR="00DF583C" w:rsidRPr="004D1A34">
        <w:rPr>
          <w:rFonts w:eastAsia="Arial"/>
          <w:b/>
        </w:rPr>
        <w:t xml:space="preserve">valstybių </w:t>
      </w:r>
      <w:r w:rsidRPr="004D1A34">
        <w:rPr>
          <w:rFonts w:eastAsia="Arial"/>
          <w:b/>
        </w:rPr>
        <w:t xml:space="preserve">atsakingų institucijų atlikto </w:t>
      </w:r>
      <w:r w:rsidR="00DF583C" w:rsidRPr="004D1A34">
        <w:rPr>
          <w:rFonts w:eastAsia="Arial"/>
          <w:b/>
        </w:rPr>
        <w:t>Sveikatos technologijų vertinimo (toliau – STV)</w:t>
      </w:r>
      <w:r w:rsidRPr="004D1A34">
        <w:rPr>
          <w:rFonts w:eastAsia="Arial"/>
          <w:b/>
        </w:rPr>
        <w:t xml:space="preserve"> išvados</w:t>
      </w:r>
    </w:p>
    <w:p w14:paraId="30721FDD" w14:textId="77777777" w:rsidR="00F70C9E" w:rsidRPr="004D1A34"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679"/>
      </w:tblGrid>
      <w:tr w:rsidR="00F70C9E" w:rsidRPr="004D1A34" w14:paraId="7E72828B" w14:textId="77777777" w:rsidTr="00197DC0">
        <w:trPr>
          <w:trHeight w:val="924"/>
        </w:trPr>
        <w:tc>
          <w:tcPr>
            <w:tcW w:w="2962" w:type="dxa"/>
          </w:tcPr>
          <w:p w14:paraId="253D1DD4" w14:textId="5B2616C0" w:rsidR="00F70C9E" w:rsidRPr="004D1A34" w:rsidRDefault="00F70C9E" w:rsidP="00197DC0">
            <w:pPr>
              <w:spacing w:line="276" w:lineRule="auto"/>
              <w:rPr>
                <w:rFonts w:eastAsia="Arial"/>
              </w:rPr>
            </w:pPr>
            <w:r w:rsidRPr="004D1A34">
              <w:rPr>
                <w:rFonts w:eastAsia="Arial"/>
              </w:rPr>
              <w:t>ST</w:t>
            </w:r>
            <w:r w:rsidR="00DF583C" w:rsidRPr="004D1A34">
              <w:rPr>
                <w:rFonts w:eastAsia="Arial"/>
              </w:rPr>
              <w:t>V</w:t>
            </w:r>
            <w:r w:rsidRPr="004D1A34">
              <w:rPr>
                <w:rFonts w:eastAsia="Arial"/>
              </w:rPr>
              <w:t xml:space="preserve"> agentūros pavadinimas, šalis</w:t>
            </w:r>
          </w:p>
        </w:tc>
        <w:tc>
          <w:tcPr>
            <w:tcW w:w="1969" w:type="dxa"/>
          </w:tcPr>
          <w:p w14:paraId="34AE1EDD" w14:textId="77777777" w:rsidR="00F70C9E" w:rsidRPr="004D1A34" w:rsidRDefault="00F70C9E" w:rsidP="00197DC0">
            <w:pPr>
              <w:spacing w:line="276" w:lineRule="auto"/>
              <w:rPr>
                <w:rFonts w:eastAsia="Arial"/>
              </w:rPr>
            </w:pPr>
            <w:r w:rsidRPr="004D1A34">
              <w:rPr>
                <w:rFonts w:eastAsia="Arial"/>
              </w:rPr>
              <w:t>STV vertinimas atliktas</w:t>
            </w:r>
          </w:p>
        </w:tc>
        <w:tc>
          <w:tcPr>
            <w:tcW w:w="2441" w:type="dxa"/>
          </w:tcPr>
          <w:p w14:paraId="16E2DDC1" w14:textId="77777777" w:rsidR="00F70C9E" w:rsidRPr="004D1A34" w:rsidRDefault="00F70C9E" w:rsidP="00197DC0">
            <w:pPr>
              <w:spacing w:line="276" w:lineRule="auto"/>
              <w:rPr>
                <w:rFonts w:eastAsia="Arial"/>
              </w:rPr>
            </w:pPr>
            <w:r w:rsidRPr="004D1A34">
              <w:rPr>
                <w:rFonts w:eastAsia="Arial"/>
              </w:rPr>
              <w:t>Klinikinio vertinimo išvada</w:t>
            </w:r>
          </w:p>
        </w:tc>
        <w:tc>
          <w:tcPr>
            <w:tcW w:w="2812" w:type="dxa"/>
          </w:tcPr>
          <w:p w14:paraId="1861E3F2" w14:textId="77777777" w:rsidR="00F70C9E" w:rsidRPr="004D1A34" w:rsidRDefault="00F70C9E" w:rsidP="00197DC0">
            <w:pPr>
              <w:spacing w:line="276" w:lineRule="auto"/>
              <w:rPr>
                <w:rFonts w:eastAsia="Arial"/>
              </w:rPr>
            </w:pPr>
            <w:proofErr w:type="spellStart"/>
            <w:r w:rsidRPr="004D1A34">
              <w:rPr>
                <w:rFonts w:eastAsia="Arial"/>
              </w:rPr>
              <w:t>Farmaekonominio</w:t>
            </w:r>
            <w:proofErr w:type="spellEnd"/>
            <w:r w:rsidRPr="004D1A34">
              <w:rPr>
                <w:rFonts w:eastAsia="Arial"/>
              </w:rPr>
              <w:t xml:space="preserve"> vertinimo išvada</w:t>
            </w:r>
          </w:p>
        </w:tc>
      </w:tr>
      <w:tr w:rsidR="00F70C9E" w:rsidRPr="004D1A34" w14:paraId="129FA8F6" w14:textId="77777777" w:rsidTr="00197DC0">
        <w:trPr>
          <w:trHeight w:val="2267"/>
        </w:trPr>
        <w:tc>
          <w:tcPr>
            <w:tcW w:w="2962" w:type="dxa"/>
          </w:tcPr>
          <w:p w14:paraId="0A070137" w14:textId="77777777" w:rsidR="00F70C9E" w:rsidRPr="004D1A34" w:rsidRDefault="00F70C9E" w:rsidP="00197DC0">
            <w:pPr>
              <w:autoSpaceDE w:val="0"/>
              <w:autoSpaceDN w:val="0"/>
              <w:adjustRightInd w:val="0"/>
              <w:rPr>
                <w:bCs/>
              </w:rPr>
            </w:pPr>
            <w:r w:rsidRPr="004D1A34">
              <w:rPr>
                <w:bCs/>
              </w:rPr>
              <w:t>Nacionalinis sveikatos ir klinikinės kompetencijos institutas, Didžioji Britanija</w:t>
            </w:r>
          </w:p>
          <w:p w14:paraId="49C6520D" w14:textId="77777777" w:rsidR="00F70C9E" w:rsidRPr="004D1A34" w:rsidRDefault="00F70C9E" w:rsidP="00197DC0">
            <w:pPr>
              <w:spacing w:line="276" w:lineRule="auto"/>
              <w:rPr>
                <w:rFonts w:eastAsia="Arial"/>
                <w:lang w:val="en-GB"/>
              </w:rPr>
            </w:pPr>
            <w:r w:rsidRPr="004D1A34">
              <w:rPr>
                <w:rFonts w:eastAsia="Arial"/>
                <w:lang w:val="en-GB"/>
              </w:rPr>
              <w:t>(</w:t>
            </w:r>
            <w:proofErr w:type="spellStart"/>
            <w:r w:rsidRPr="004D1A34">
              <w:rPr>
                <w:rFonts w:eastAsia="Arial"/>
                <w:lang w:val="en-GB"/>
              </w:rPr>
              <w:t>angl.</w:t>
            </w:r>
            <w:proofErr w:type="spellEnd"/>
            <w:r w:rsidRPr="004D1A34">
              <w:rPr>
                <w:rFonts w:eastAsia="Arial"/>
                <w:lang w:val="en-GB"/>
              </w:rPr>
              <w:t xml:space="preserve"> </w:t>
            </w:r>
            <w:r w:rsidRPr="004D1A34">
              <w:rPr>
                <w:rFonts w:eastAsia="Arial"/>
                <w:i/>
                <w:lang w:val="en-GB"/>
              </w:rPr>
              <w:t>National Institute for Health and Care  Excellence, NICE</w:t>
            </w:r>
            <w:r w:rsidRPr="004D1A34">
              <w:rPr>
                <w:rFonts w:eastAsia="Arial"/>
                <w:lang w:val="en-GB"/>
              </w:rPr>
              <w:t>)</w:t>
            </w:r>
          </w:p>
        </w:tc>
        <w:tc>
          <w:tcPr>
            <w:tcW w:w="1969" w:type="dxa"/>
          </w:tcPr>
          <w:p w14:paraId="5846A9F8" w14:textId="77777777" w:rsidR="00F70C9E" w:rsidRPr="004D1A34" w:rsidRDefault="001C6208" w:rsidP="00197DC0">
            <w:pPr>
              <w:pStyle w:val="Sraopastraipa"/>
              <w:spacing w:after="120"/>
              <w:ind w:left="0"/>
              <w:contextualSpacing w:val="0"/>
              <w:jc w:val="both"/>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F70C9E" w:rsidRPr="004D1A34">
                  <w:rPr>
                    <w:rStyle w:val="Style2"/>
                    <w:rFonts w:ascii="Segoe UI Symbol" w:eastAsia="MS Gothic" w:hAnsi="Segoe UI Symbol" w:cs="Segoe UI Symbol"/>
                  </w:rPr>
                  <w:t>☐</w:t>
                </w:r>
              </w:sdtContent>
            </w:sdt>
            <w:r w:rsidR="00F70C9E" w:rsidRPr="004D1A34">
              <w:t xml:space="preserve"> Taip</w:t>
            </w:r>
          </w:p>
          <w:p w14:paraId="29F3627E" w14:textId="16AA20A7" w:rsidR="00F70C9E" w:rsidRPr="004D1A34" w:rsidRDefault="001C6208" w:rsidP="00197DC0">
            <w:pPr>
              <w:pStyle w:val="Sraopastraipa"/>
              <w:spacing w:after="120"/>
              <w:ind w:left="0"/>
              <w:contextualSpacing w:val="0"/>
              <w:jc w:val="both"/>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F674CF" w:rsidRPr="004D1A34">
                  <w:rPr>
                    <w:rStyle w:val="Style2"/>
                    <w:rFonts w:ascii="MS Gothic" w:eastAsia="MS Gothic" w:hAnsi="MS Gothic" w:cs="Segoe UI Symbol" w:hint="eastAsia"/>
                  </w:rPr>
                  <w:t>☒</w:t>
                </w:r>
              </w:sdtContent>
            </w:sdt>
            <w:r w:rsidR="00F70C9E" w:rsidRPr="004D1A34">
              <w:t xml:space="preserve"> Ne</w:t>
            </w:r>
          </w:p>
          <w:p w14:paraId="7916359D" w14:textId="77777777" w:rsidR="00F70C9E" w:rsidRPr="004D1A34" w:rsidRDefault="001C6208" w:rsidP="00197DC0">
            <w:pPr>
              <w:spacing w:line="276" w:lineRule="auto"/>
              <w:rPr>
                <w:rFonts w:eastAsia="Arial"/>
              </w:rPr>
            </w:pPr>
            <w:sdt>
              <w:sdtPr>
                <w:alias w:val="Nurodykite konkrečią dieną"/>
                <w:tag w:val="Nurodykite pradžios datą"/>
                <w:id w:val="922837954"/>
                <w:placeholder>
                  <w:docPart w:val="1E86322BB2A046D9AA8EEC8813E5F165"/>
                </w:placeholder>
                <w:showingPlcHdr/>
                <w15:color w:val="FFCC99"/>
                <w:date w:fullDate="2022-05-18T00:00:00Z">
                  <w:dateFormat w:val="yyyy 'm.' MMMM d 'd.'"/>
                  <w:lid w:val="lt-LT"/>
                  <w:storeMappedDataAs w:val="dateTime"/>
                  <w:calendar w:val="gregorian"/>
                </w:date>
              </w:sdtPr>
              <w:sdtEndPr/>
              <w:sdtContent>
                <w:r w:rsidR="00F70C9E" w:rsidRPr="004D1A34">
                  <w:rPr>
                    <w:rStyle w:val="Vietosrezervavimoenklotekstas"/>
                  </w:rPr>
                  <w:t>Click here to enter a date.</w:t>
                </w:r>
              </w:sdtContent>
            </w:sdt>
          </w:p>
        </w:tc>
        <w:tc>
          <w:tcPr>
            <w:tcW w:w="2441" w:type="dxa"/>
          </w:tcPr>
          <w:p w14:paraId="6413D0ED" w14:textId="03188351" w:rsidR="00F70C9E" w:rsidRPr="004D1A34" w:rsidRDefault="00F70C9E" w:rsidP="00F674CF">
            <w:pPr>
              <w:spacing w:line="276" w:lineRule="auto"/>
              <w:rPr>
                <w:rFonts w:eastAsia="Arial"/>
              </w:rPr>
            </w:pPr>
          </w:p>
        </w:tc>
        <w:tc>
          <w:tcPr>
            <w:tcW w:w="2812" w:type="dxa"/>
          </w:tcPr>
          <w:p w14:paraId="67430EE7" w14:textId="77777777" w:rsidR="00F70C9E" w:rsidRPr="004D1A34" w:rsidRDefault="00F70C9E" w:rsidP="00197DC0">
            <w:pPr>
              <w:spacing w:line="276" w:lineRule="auto"/>
              <w:rPr>
                <w:rFonts w:eastAsia="Arial"/>
              </w:rPr>
            </w:pPr>
          </w:p>
        </w:tc>
      </w:tr>
      <w:tr w:rsidR="00F70C9E" w:rsidRPr="004D1A34" w14:paraId="1CC31474" w14:textId="77777777" w:rsidTr="00197DC0">
        <w:trPr>
          <w:trHeight w:val="1547"/>
        </w:trPr>
        <w:tc>
          <w:tcPr>
            <w:tcW w:w="2962" w:type="dxa"/>
          </w:tcPr>
          <w:p w14:paraId="12218E35" w14:textId="77777777" w:rsidR="00F70C9E" w:rsidRPr="004D1A34" w:rsidRDefault="00F70C9E" w:rsidP="00197DC0">
            <w:pPr>
              <w:spacing w:line="276" w:lineRule="auto"/>
              <w:rPr>
                <w:rFonts w:eastAsia="Arial"/>
                <w:lang w:val="en-GB"/>
              </w:rPr>
            </w:pPr>
            <w:proofErr w:type="spellStart"/>
            <w:r w:rsidRPr="004D1A34">
              <w:rPr>
                <w:rFonts w:eastAsia="Arial"/>
                <w:lang w:val="en-GB"/>
              </w:rPr>
              <w:t>Kanados</w:t>
            </w:r>
            <w:proofErr w:type="spellEnd"/>
            <w:r w:rsidRPr="004D1A34">
              <w:rPr>
                <w:rFonts w:eastAsia="Arial"/>
                <w:lang w:val="en-GB"/>
              </w:rPr>
              <w:t xml:space="preserve"> </w:t>
            </w:r>
            <w:proofErr w:type="spellStart"/>
            <w:r w:rsidRPr="004D1A34">
              <w:rPr>
                <w:rFonts w:eastAsia="Arial"/>
                <w:lang w:val="en-GB"/>
              </w:rPr>
              <w:t>sveikatos</w:t>
            </w:r>
            <w:proofErr w:type="spellEnd"/>
            <w:r w:rsidRPr="004D1A34">
              <w:rPr>
                <w:rFonts w:eastAsia="Arial"/>
                <w:lang w:val="en-GB"/>
              </w:rPr>
              <w:t xml:space="preserve"> </w:t>
            </w:r>
            <w:proofErr w:type="spellStart"/>
            <w:r w:rsidRPr="004D1A34">
              <w:rPr>
                <w:rFonts w:eastAsia="Arial"/>
                <w:lang w:val="en-GB"/>
              </w:rPr>
              <w:t>technologijų</w:t>
            </w:r>
            <w:proofErr w:type="spellEnd"/>
            <w:r w:rsidRPr="004D1A34">
              <w:rPr>
                <w:rFonts w:eastAsia="Arial"/>
                <w:lang w:val="en-GB"/>
              </w:rPr>
              <w:t xml:space="preserve"> </w:t>
            </w:r>
            <w:proofErr w:type="spellStart"/>
            <w:r w:rsidRPr="004D1A34">
              <w:rPr>
                <w:rFonts w:eastAsia="Arial"/>
                <w:lang w:val="en-GB"/>
              </w:rPr>
              <w:t>agentūra</w:t>
            </w:r>
            <w:proofErr w:type="spellEnd"/>
          </w:p>
          <w:p w14:paraId="2C593A82" w14:textId="77777777" w:rsidR="00F70C9E" w:rsidRPr="004D1A34" w:rsidRDefault="00F70C9E" w:rsidP="00197DC0">
            <w:pPr>
              <w:spacing w:line="276" w:lineRule="auto"/>
              <w:rPr>
                <w:rFonts w:eastAsia="Arial"/>
                <w:lang w:val="en-GB"/>
              </w:rPr>
            </w:pPr>
            <w:r w:rsidRPr="004D1A34">
              <w:rPr>
                <w:rFonts w:eastAsia="Arial"/>
                <w:lang w:val="en-GB"/>
              </w:rPr>
              <w:t>(</w:t>
            </w:r>
            <w:proofErr w:type="spellStart"/>
            <w:r w:rsidRPr="004D1A34">
              <w:rPr>
                <w:rFonts w:eastAsia="Arial"/>
                <w:lang w:val="en-GB"/>
              </w:rPr>
              <w:t>angl.</w:t>
            </w:r>
            <w:proofErr w:type="spellEnd"/>
            <w:r w:rsidRPr="004D1A34">
              <w:rPr>
                <w:rFonts w:eastAsia="Arial"/>
                <w:lang w:val="en-GB"/>
              </w:rPr>
              <w:t xml:space="preserve"> </w:t>
            </w:r>
            <w:r w:rsidRPr="004D1A34">
              <w:rPr>
                <w:rFonts w:eastAsia="Arial"/>
                <w:i/>
                <w:lang w:val="en-GB"/>
              </w:rPr>
              <w:t>Canadian health Technology Assessment agency, CADTH</w:t>
            </w:r>
            <w:r w:rsidRPr="004D1A34">
              <w:rPr>
                <w:rFonts w:eastAsia="Arial"/>
                <w:lang w:val="en-GB"/>
              </w:rPr>
              <w:t>)</w:t>
            </w:r>
          </w:p>
        </w:tc>
        <w:tc>
          <w:tcPr>
            <w:tcW w:w="1969" w:type="dxa"/>
          </w:tcPr>
          <w:p w14:paraId="762649FE" w14:textId="77777777" w:rsidR="00F70C9E" w:rsidRPr="004D1A34" w:rsidRDefault="001C6208" w:rsidP="00197DC0">
            <w:pPr>
              <w:pStyle w:val="Sraopastraipa"/>
              <w:spacing w:after="120"/>
              <w:ind w:left="0"/>
              <w:contextualSpacing w:val="0"/>
              <w:jc w:val="both"/>
            </w:pPr>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F70C9E" w:rsidRPr="004D1A34">
                  <w:rPr>
                    <w:rStyle w:val="Style2"/>
                    <w:rFonts w:ascii="Segoe UI Symbol" w:eastAsia="MS Gothic" w:hAnsi="Segoe UI Symbol" w:cs="Segoe UI Symbol"/>
                  </w:rPr>
                  <w:t>☐</w:t>
                </w:r>
              </w:sdtContent>
            </w:sdt>
            <w:r w:rsidR="00F70C9E" w:rsidRPr="004D1A34">
              <w:t xml:space="preserve"> Taip</w:t>
            </w:r>
          </w:p>
          <w:p w14:paraId="35F17B07" w14:textId="1EA09403" w:rsidR="00F70C9E" w:rsidRPr="004D1A34" w:rsidRDefault="001C6208" w:rsidP="00197DC0">
            <w:pPr>
              <w:pStyle w:val="Sraopastraipa"/>
              <w:spacing w:after="120"/>
              <w:ind w:left="0"/>
              <w:contextualSpacing w:val="0"/>
              <w:jc w:val="both"/>
            </w:pPr>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F674CF" w:rsidRPr="004D1A34">
                  <w:rPr>
                    <w:rStyle w:val="Style2"/>
                    <w:rFonts w:ascii="MS Gothic" w:eastAsia="MS Gothic" w:hAnsi="MS Gothic" w:cs="Segoe UI Symbol" w:hint="eastAsia"/>
                  </w:rPr>
                  <w:t>☒</w:t>
                </w:r>
              </w:sdtContent>
            </w:sdt>
            <w:r w:rsidR="00F70C9E" w:rsidRPr="004D1A34">
              <w:t xml:space="preserve"> Ne</w:t>
            </w:r>
          </w:p>
          <w:p w14:paraId="0C0988CC" w14:textId="77777777" w:rsidR="00F70C9E" w:rsidRPr="004D1A34" w:rsidRDefault="001C6208" w:rsidP="00197DC0">
            <w:pPr>
              <w:spacing w:line="276" w:lineRule="auto"/>
              <w:rPr>
                <w:rFonts w:eastAsia="Arial"/>
              </w:rPr>
            </w:pPr>
            <w:sdt>
              <w:sdtPr>
                <w:alias w:val="Nurodykite konkrečią dieną"/>
                <w:tag w:val="Nurodykite pradžios datą"/>
                <w:id w:val="1072468416"/>
                <w:placeholder>
                  <w:docPart w:val="57B9655BB938420B82BDAD6B82A66F50"/>
                </w:placeholder>
                <w:showingPlcHdr/>
                <w15:color w:val="FFCC99"/>
                <w:date w:fullDate="2022-05-18T00:00:00Z">
                  <w:dateFormat w:val="yyyy 'm.' MMMM d 'd.'"/>
                  <w:lid w:val="lt-LT"/>
                  <w:storeMappedDataAs w:val="dateTime"/>
                  <w:calendar w:val="gregorian"/>
                </w:date>
              </w:sdtPr>
              <w:sdtEndPr/>
              <w:sdtContent>
                <w:r w:rsidR="00F70C9E" w:rsidRPr="004D1A34">
                  <w:rPr>
                    <w:rStyle w:val="Vietosrezervavimoenklotekstas"/>
                  </w:rPr>
                  <w:t>Click here to enter a date.</w:t>
                </w:r>
              </w:sdtContent>
            </w:sdt>
          </w:p>
        </w:tc>
        <w:tc>
          <w:tcPr>
            <w:tcW w:w="2441" w:type="dxa"/>
          </w:tcPr>
          <w:p w14:paraId="64D1B800" w14:textId="07369A3A" w:rsidR="00F70C9E" w:rsidRPr="004D1A34" w:rsidRDefault="00F70C9E" w:rsidP="00F674CF">
            <w:pPr>
              <w:spacing w:line="276" w:lineRule="auto"/>
              <w:rPr>
                <w:rFonts w:eastAsia="Arial"/>
              </w:rPr>
            </w:pPr>
          </w:p>
        </w:tc>
        <w:tc>
          <w:tcPr>
            <w:tcW w:w="2812" w:type="dxa"/>
          </w:tcPr>
          <w:p w14:paraId="5C8CB330" w14:textId="77777777" w:rsidR="00F70C9E" w:rsidRPr="004D1A34" w:rsidRDefault="00F70C9E" w:rsidP="00197DC0">
            <w:pPr>
              <w:spacing w:line="276" w:lineRule="auto"/>
              <w:rPr>
                <w:rFonts w:eastAsia="Arial"/>
              </w:rPr>
            </w:pPr>
          </w:p>
        </w:tc>
      </w:tr>
      <w:tr w:rsidR="00F70C9E" w:rsidRPr="004D1A34" w14:paraId="21C94D47" w14:textId="77777777" w:rsidTr="00197DC0">
        <w:trPr>
          <w:trHeight w:val="2160"/>
        </w:trPr>
        <w:tc>
          <w:tcPr>
            <w:tcW w:w="2962" w:type="dxa"/>
          </w:tcPr>
          <w:p w14:paraId="02F45BB8" w14:textId="77777777" w:rsidR="00F70C9E" w:rsidRPr="004D1A34" w:rsidRDefault="00F70C9E" w:rsidP="00197DC0">
            <w:pPr>
              <w:spacing w:line="276" w:lineRule="auto"/>
              <w:rPr>
                <w:rFonts w:eastAsia="Arial"/>
              </w:rPr>
            </w:pPr>
            <w:r w:rsidRPr="004D1A34">
              <w:rPr>
                <w:rFonts w:eastAsia="Arial"/>
              </w:rPr>
              <w:t xml:space="preserve">Nacionalinis </w:t>
            </w:r>
            <w:proofErr w:type="spellStart"/>
            <w:r w:rsidRPr="004D1A34">
              <w:rPr>
                <w:rFonts w:eastAsia="Arial"/>
              </w:rPr>
              <w:t>farmakoekonomikos</w:t>
            </w:r>
            <w:proofErr w:type="spellEnd"/>
            <w:r w:rsidRPr="004D1A34">
              <w:rPr>
                <w:rFonts w:eastAsia="Arial"/>
              </w:rPr>
              <w:t xml:space="preserve"> centras, Airija</w:t>
            </w:r>
          </w:p>
          <w:p w14:paraId="736F5072" w14:textId="77777777" w:rsidR="00F70C9E" w:rsidRPr="004D1A34" w:rsidRDefault="00F70C9E" w:rsidP="00197DC0">
            <w:pPr>
              <w:spacing w:line="276" w:lineRule="auto"/>
              <w:rPr>
                <w:rFonts w:eastAsia="Arial"/>
              </w:rPr>
            </w:pPr>
            <w:r w:rsidRPr="004D1A34">
              <w:rPr>
                <w:rFonts w:eastAsia="Arial"/>
              </w:rPr>
              <w:t>(angl.</w:t>
            </w:r>
            <w:r w:rsidRPr="004D1A34">
              <w:rPr>
                <w:rFonts w:eastAsia="Arial"/>
                <w:i/>
              </w:rPr>
              <w:t xml:space="preserve"> </w:t>
            </w:r>
            <w:proofErr w:type="spellStart"/>
            <w:r w:rsidRPr="004D1A34">
              <w:rPr>
                <w:rFonts w:eastAsia="Arial"/>
                <w:i/>
              </w:rPr>
              <w:t>National</w:t>
            </w:r>
            <w:proofErr w:type="spellEnd"/>
            <w:r w:rsidRPr="004D1A34">
              <w:rPr>
                <w:rFonts w:eastAsia="Arial"/>
                <w:i/>
              </w:rPr>
              <w:t xml:space="preserve"> Centre </w:t>
            </w:r>
            <w:proofErr w:type="spellStart"/>
            <w:r w:rsidRPr="004D1A34">
              <w:rPr>
                <w:rFonts w:eastAsia="Arial"/>
                <w:i/>
              </w:rPr>
              <w:t>for</w:t>
            </w:r>
            <w:proofErr w:type="spellEnd"/>
            <w:r w:rsidRPr="004D1A34">
              <w:rPr>
                <w:rFonts w:eastAsia="Arial"/>
                <w:i/>
              </w:rPr>
              <w:t xml:space="preserve"> </w:t>
            </w:r>
            <w:proofErr w:type="spellStart"/>
            <w:r w:rsidRPr="004D1A34">
              <w:rPr>
                <w:rFonts w:eastAsia="Arial"/>
                <w:i/>
              </w:rPr>
              <w:t>Pharmacoeconomics</w:t>
            </w:r>
            <w:proofErr w:type="spellEnd"/>
            <w:r w:rsidRPr="004D1A34">
              <w:rPr>
                <w:rFonts w:eastAsia="Arial"/>
                <w:i/>
              </w:rPr>
              <w:t>, NCPE</w:t>
            </w:r>
            <w:r w:rsidRPr="004D1A34">
              <w:rPr>
                <w:rFonts w:eastAsia="Arial"/>
              </w:rPr>
              <w:t>)</w:t>
            </w:r>
          </w:p>
        </w:tc>
        <w:tc>
          <w:tcPr>
            <w:tcW w:w="1969" w:type="dxa"/>
          </w:tcPr>
          <w:p w14:paraId="106E24DF" w14:textId="77777777" w:rsidR="00F70C9E" w:rsidRPr="004D1A34" w:rsidRDefault="001C6208" w:rsidP="00197DC0">
            <w:pPr>
              <w:pStyle w:val="Sraopastraipa"/>
              <w:spacing w:after="120"/>
              <w:ind w:left="0"/>
              <w:contextualSpacing w:val="0"/>
              <w:jc w:val="both"/>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F70C9E" w:rsidRPr="004D1A34">
                  <w:rPr>
                    <w:rStyle w:val="Style2"/>
                    <w:rFonts w:ascii="Segoe UI Symbol" w:eastAsia="MS Gothic" w:hAnsi="Segoe UI Symbol" w:cs="Segoe UI Symbol"/>
                  </w:rPr>
                  <w:t>☐</w:t>
                </w:r>
              </w:sdtContent>
            </w:sdt>
            <w:r w:rsidR="00F70C9E" w:rsidRPr="004D1A34">
              <w:t xml:space="preserve"> Taip</w:t>
            </w:r>
          </w:p>
          <w:p w14:paraId="6C89485D" w14:textId="7F3D2A5E" w:rsidR="00F70C9E" w:rsidRPr="004D1A34" w:rsidRDefault="001C6208" w:rsidP="00197DC0">
            <w:pPr>
              <w:pStyle w:val="Sraopastraipa"/>
              <w:spacing w:after="120"/>
              <w:ind w:left="0"/>
              <w:contextualSpacing w:val="0"/>
              <w:jc w:val="both"/>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F674CF" w:rsidRPr="004D1A34">
                  <w:rPr>
                    <w:rStyle w:val="Style2"/>
                    <w:rFonts w:ascii="MS Gothic" w:eastAsia="MS Gothic" w:hAnsi="MS Gothic" w:cs="Segoe UI Symbol" w:hint="eastAsia"/>
                  </w:rPr>
                  <w:t>☒</w:t>
                </w:r>
              </w:sdtContent>
            </w:sdt>
            <w:r w:rsidR="00F70C9E" w:rsidRPr="004D1A34">
              <w:t xml:space="preserve"> Ne</w:t>
            </w:r>
          </w:p>
          <w:p w14:paraId="69AA1151" w14:textId="77777777" w:rsidR="00F70C9E" w:rsidRPr="004D1A34" w:rsidRDefault="001C6208" w:rsidP="00197DC0">
            <w:pPr>
              <w:spacing w:line="276" w:lineRule="auto"/>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EndPr/>
              <w:sdtContent>
                <w:r w:rsidR="00F70C9E" w:rsidRPr="004D1A34">
                  <w:rPr>
                    <w:rStyle w:val="Vietosrezervavimoenklotekstas"/>
                  </w:rPr>
                  <w:t>Click here to enter a date.</w:t>
                </w:r>
              </w:sdtContent>
            </w:sdt>
          </w:p>
        </w:tc>
        <w:tc>
          <w:tcPr>
            <w:tcW w:w="2441" w:type="dxa"/>
          </w:tcPr>
          <w:p w14:paraId="3C67423E" w14:textId="77777777" w:rsidR="00F70C9E" w:rsidRPr="004D1A34" w:rsidRDefault="00F70C9E" w:rsidP="00197DC0">
            <w:pPr>
              <w:spacing w:line="276" w:lineRule="auto"/>
              <w:rPr>
                <w:rFonts w:eastAsia="Arial"/>
              </w:rPr>
            </w:pPr>
          </w:p>
        </w:tc>
        <w:tc>
          <w:tcPr>
            <w:tcW w:w="2812" w:type="dxa"/>
          </w:tcPr>
          <w:p w14:paraId="60651AFD" w14:textId="77777777" w:rsidR="00F70C9E" w:rsidRPr="004D1A34" w:rsidRDefault="00F70C9E" w:rsidP="00197DC0">
            <w:pPr>
              <w:spacing w:line="276" w:lineRule="auto"/>
              <w:rPr>
                <w:rFonts w:eastAsia="Arial"/>
              </w:rPr>
            </w:pPr>
          </w:p>
        </w:tc>
      </w:tr>
    </w:tbl>
    <w:p w14:paraId="2EB7FD31" w14:textId="77777777" w:rsidR="00F70C9E" w:rsidRPr="004D1A34" w:rsidRDefault="00F70C9E" w:rsidP="00E03C3F">
      <w:pPr>
        <w:pStyle w:val="Sraopastraipa"/>
        <w:tabs>
          <w:tab w:val="left" w:pos="426"/>
        </w:tabs>
        <w:ind w:left="0"/>
        <w:rPr>
          <w:b/>
          <w:bCs/>
          <w:caps/>
        </w:rPr>
      </w:pPr>
    </w:p>
    <w:p w14:paraId="5055E8A8" w14:textId="6A25EAD8" w:rsidR="002E6F80" w:rsidRPr="004D1A34" w:rsidRDefault="00CC7832" w:rsidP="00937907">
      <w:pPr>
        <w:pStyle w:val="Sraopastraipa"/>
        <w:numPr>
          <w:ilvl w:val="0"/>
          <w:numId w:val="12"/>
        </w:numPr>
        <w:tabs>
          <w:tab w:val="left" w:pos="284"/>
        </w:tabs>
        <w:rPr>
          <w:b/>
          <w:bCs/>
          <w:caps/>
        </w:rPr>
      </w:pPr>
      <w:r w:rsidRPr="004D1A34">
        <w:rPr>
          <w:b/>
          <w:bCs/>
          <w:caps/>
        </w:rPr>
        <w:t>Klinikinio vertinimo a</w:t>
      </w:r>
      <w:r w:rsidR="00D4485B" w:rsidRPr="004D1A34">
        <w:rPr>
          <w:b/>
          <w:bCs/>
          <w:caps/>
        </w:rPr>
        <w:t>pibendrinimas</w:t>
      </w:r>
    </w:p>
    <w:p w14:paraId="4BAF5D73" w14:textId="4BED2665" w:rsidR="00BD1264" w:rsidRPr="004D1A34" w:rsidRDefault="00BD1264" w:rsidP="00BD1264">
      <w:pPr>
        <w:tabs>
          <w:tab w:val="left" w:pos="284"/>
        </w:tabs>
        <w:rPr>
          <w:bCs/>
          <w:caps/>
        </w:rPr>
      </w:pPr>
    </w:p>
    <w:p w14:paraId="7521A09E" w14:textId="61A103C4" w:rsidR="00BD1264" w:rsidRPr="004D1A34" w:rsidRDefault="00BD1264" w:rsidP="00BD1264">
      <w:pPr>
        <w:spacing w:line="276" w:lineRule="auto"/>
        <w:ind w:firstLine="720"/>
        <w:jc w:val="both"/>
        <w:rPr>
          <w:szCs w:val="20"/>
        </w:rPr>
      </w:pPr>
      <w:r w:rsidRPr="004D1A34">
        <w:rPr>
          <w:szCs w:val="20"/>
        </w:rPr>
        <w:t xml:space="preserve">Astma yra lėtinė uždegiminė kvėpavimo takų liga, pasireiškianti pasikartojančiais padidėjusio bronchų reaktyvumo ir kintamosios bronchų obstrukcijos sukeltais simptomais: švokštimu, dusuliu, krūtinės veržimu, kosuliu, praeinančiais savaime arba gydant. Pasaulyje astma serga apie 300 milijonų žmonių: nuo 1 iki 18 proc. visos populiacijos. Lietuvoje – apie 2-4 proc. gyventojų. Su amžiumi sergamumas astma didėja. Vyresnių nei 65 metai tarpe astma paplitimas </w:t>
      </w:r>
      <w:r w:rsidR="00F674CF" w:rsidRPr="004D1A34">
        <w:rPr>
          <w:szCs w:val="20"/>
        </w:rPr>
        <w:t xml:space="preserve">tarp </w:t>
      </w:r>
      <w:r w:rsidRPr="004D1A34">
        <w:rPr>
          <w:szCs w:val="20"/>
        </w:rPr>
        <w:t xml:space="preserve">vyrų buvo 2,1 proc., </w:t>
      </w:r>
      <w:r w:rsidR="00F674CF" w:rsidRPr="004D1A34">
        <w:rPr>
          <w:szCs w:val="20"/>
        </w:rPr>
        <w:t>tarp</w:t>
      </w:r>
      <w:r w:rsidRPr="004D1A34">
        <w:rPr>
          <w:szCs w:val="20"/>
        </w:rPr>
        <w:t xml:space="preserve"> moterų</w:t>
      </w:r>
      <w:r w:rsidR="00F674CF" w:rsidRPr="004D1A34">
        <w:rPr>
          <w:szCs w:val="20"/>
        </w:rPr>
        <w:t xml:space="preserve"> -</w:t>
      </w:r>
      <w:r w:rsidRPr="004D1A34">
        <w:rPr>
          <w:szCs w:val="20"/>
        </w:rPr>
        <w:t xml:space="preserve"> 6,0 proc. (bendras 4,7 proc.). Real</w:t>
      </w:r>
      <w:r w:rsidR="00F674CF" w:rsidRPr="004D1A34">
        <w:rPr>
          <w:szCs w:val="20"/>
        </w:rPr>
        <w:t xml:space="preserve">aus gyvenimo </w:t>
      </w:r>
      <w:r w:rsidRPr="004D1A34">
        <w:rPr>
          <w:szCs w:val="20"/>
        </w:rPr>
        <w:t>duomenų tyrimai rodo, kad 56</w:t>
      </w:r>
      <w:r w:rsidR="00F674CF" w:rsidRPr="004D1A34">
        <w:rPr>
          <w:szCs w:val="20"/>
        </w:rPr>
        <w:t xml:space="preserve"> </w:t>
      </w:r>
      <w:r w:rsidR="00390882" w:rsidRPr="004D1A34">
        <w:rPr>
          <w:szCs w:val="20"/>
        </w:rPr>
        <w:t xml:space="preserve">proc. </w:t>
      </w:r>
      <w:r w:rsidR="00F674CF" w:rsidRPr="004D1A34">
        <w:rPr>
          <w:szCs w:val="20"/>
        </w:rPr>
        <w:t xml:space="preserve">pacientų gydytų </w:t>
      </w:r>
      <w:proofErr w:type="spellStart"/>
      <w:r w:rsidRPr="004D1A34">
        <w:rPr>
          <w:szCs w:val="20"/>
        </w:rPr>
        <w:t>inhaliuojam</w:t>
      </w:r>
      <w:r w:rsidR="00F674CF" w:rsidRPr="004D1A34">
        <w:rPr>
          <w:szCs w:val="20"/>
        </w:rPr>
        <w:t>o</w:t>
      </w:r>
      <w:proofErr w:type="spellEnd"/>
      <w:r w:rsidRPr="004D1A34">
        <w:rPr>
          <w:szCs w:val="20"/>
        </w:rPr>
        <w:t xml:space="preserve"> kortikosteroid</w:t>
      </w:r>
      <w:r w:rsidR="00F674CF" w:rsidRPr="004D1A34">
        <w:rPr>
          <w:szCs w:val="20"/>
        </w:rPr>
        <w:t>o</w:t>
      </w:r>
      <w:r w:rsidRPr="004D1A34">
        <w:rPr>
          <w:szCs w:val="20"/>
        </w:rPr>
        <w:t xml:space="preserve"> </w:t>
      </w:r>
      <w:r w:rsidR="00F674CF" w:rsidRPr="004D1A34">
        <w:rPr>
          <w:szCs w:val="20"/>
        </w:rPr>
        <w:t xml:space="preserve">(IKS) </w:t>
      </w:r>
      <w:r w:rsidRPr="004D1A34">
        <w:rPr>
          <w:szCs w:val="20"/>
        </w:rPr>
        <w:t>ir ilgalaikio veikimo beta 2-agonisto (IVBA)</w:t>
      </w:r>
      <w:r w:rsidR="00F674CF" w:rsidRPr="004D1A34">
        <w:rPr>
          <w:szCs w:val="20"/>
        </w:rPr>
        <w:t xml:space="preserve"> deriniu</w:t>
      </w:r>
      <w:r w:rsidR="00A827F7" w:rsidRPr="004D1A34">
        <w:rPr>
          <w:szCs w:val="20"/>
        </w:rPr>
        <w:t xml:space="preserve"> </w:t>
      </w:r>
      <w:r w:rsidRPr="004D1A34">
        <w:rPr>
          <w:szCs w:val="20"/>
        </w:rPr>
        <w:t xml:space="preserve">astma nėra tinkamai kontroliuojama, be to pastebėta, kad didinant IKS dozę </w:t>
      </w:r>
      <w:r w:rsidRPr="004D1A34">
        <w:rPr>
          <w:szCs w:val="20"/>
        </w:rPr>
        <w:lastRenderedPageBreak/>
        <w:t>nekontroliuojamų pacientų skaičius dar padidėja (</w:t>
      </w:r>
      <w:r w:rsidR="00F674CF" w:rsidRPr="004D1A34">
        <w:rPr>
          <w:szCs w:val="20"/>
        </w:rPr>
        <w:t xml:space="preserve">vartojant </w:t>
      </w:r>
      <w:r w:rsidRPr="004D1A34">
        <w:rPr>
          <w:szCs w:val="20"/>
        </w:rPr>
        <w:t>mažesn</w:t>
      </w:r>
      <w:r w:rsidR="00F674CF" w:rsidRPr="004D1A34">
        <w:rPr>
          <w:szCs w:val="20"/>
        </w:rPr>
        <w:t>ę</w:t>
      </w:r>
      <w:r w:rsidRPr="004D1A34">
        <w:rPr>
          <w:szCs w:val="20"/>
        </w:rPr>
        <w:t xml:space="preserve"> doz</w:t>
      </w:r>
      <w:r w:rsidR="00F674CF" w:rsidRPr="004D1A34">
        <w:rPr>
          <w:szCs w:val="20"/>
        </w:rPr>
        <w:t>ę</w:t>
      </w:r>
      <w:r w:rsidRPr="004D1A34">
        <w:rPr>
          <w:szCs w:val="20"/>
        </w:rPr>
        <w:t xml:space="preserve"> - 45,7</w:t>
      </w:r>
      <w:r w:rsidR="00F674CF" w:rsidRPr="004D1A34">
        <w:rPr>
          <w:szCs w:val="20"/>
        </w:rPr>
        <w:t xml:space="preserve"> </w:t>
      </w:r>
      <w:r w:rsidRPr="004D1A34">
        <w:rPr>
          <w:szCs w:val="20"/>
        </w:rPr>
        <w:t>%; didesn</w:t>
      </w:r>
      <w:r w:rsidR="00F674CF" w:rsidRPr="004D1A34">
        <w:rPr>
          <w:szCs w:val="20"/>
        </w:rPr>
        <w:t>ę</w:t>
      </w:r>
      <w:r w:rsidRPr="004D1A34">
        <w:rPr>
          <w:szCs w:val="20"/>
        </w:rPr>
        <w:t xml:space="preserve"> - 59,7%). Jei liga nekontroliuojama, astmos paūmėjimai gali būti mirtini. Nemažai šių mirčių būtų galima išvengti, jei pacientai laiku kreiptųsi pagalbos ir būtų tinkamai gydomi. </w:t>
      </w:r>
    </w:p>
    <w:p w14:paraId="261BB5DA" w14:textId="2E823A64" w:rsidR="00BD1264" w:rsidRPr="004D1A34" w:rsidRDefault="00BD1264" w:rsidP="00BD1264">
      <w:pPr>
        <w:spacing w:line="276" w:lineRule="auto"/>
        <w:ind w:firstLine="720"/>
        <w:jc w:val="both"/>
        <w:rPr>
          <w:rFonts w:eastAsia="TimesNewRomanPSMT"/>
          <w:szCs w:val="20"/>
        </w:rPr>
      </w:pPr>
      <w:r w:rsidRPr="004D1A34">
        <w:rPr>
          <w:rFonts w:eastAsia="TimesNewRomanPSMT"/>
          <w:szCs w:val="20"/>
        </w:rPr>
        <w:t xml:space="preserve">Remiantis „Pasaulinė astmos iniciatyva. Pasaulinė astmos valdymo ir prevencijos strategija“ rekomendacijomis </w:t>
      </w:r>
      <w:r w:rsidRPr="004D1A34">
        <w:rPr>
          <w:rFonts w:eastAsia="TimesNewRomanPSMT"/>
          <w:szCs w:val="20"/>
          <w:lang w:val="en-US"/>
        </w:rPr>
        <w:t xml:space="preserve">(2022) </w:t>
      </w:r>
      <w:r w:rsidRPr="004D1A34">
        <w:rPr>
          <w:rFonts w:eastAsia="TimesNewRomanPSMT"/>
          <w:szCs w:val="20"/>
        </w:rPr>
        <w:t>(angl.</w:t>
      </w:r>
      <w:r w:rsidRPr="004D1A34">
        <w:rPr>
          <w:rFonts w:eastAsia="TimesNewRomanPSMT"/>
          <w:szCs w:val="20"/>
          <w:lang w:val="en-US"/>
        </w:rPr>
        <w:t xml:space="preserve"> </w:t>
      </w:r>
      <w:r w:rsidRPr="004D1A34">
        <w:rPr>
          <w:rFonts w:eastAsia="TimesNewRomanPSMT"/>
          <w:i/>
          <w:szCs w:val="20"/>
          <w:lang w:val="en-US"/>
        </w:rPr>
        <w:t>„Global initiative for asthma. Global strategy for asthma management and prevention”, GINA)</w:t>
      </w:r>
      <w:r w:rsidRPr="004D1A34">
        <w:rPr>
          <w:rFonts w:eastAsia="TimesNewRomanPSMT"/>
          <w:szCs w:val="20"/>
          <w:lang w:val="en-US"/>
        </w:rPr>
        <w:t xml:space="preserve"> </w:t>
      </w:r>
      <w:r w:rsidR="00F674CF" w:rsidRPr="004D1A34">
        <w:rPr>
          <w:rFonts w:eastAsia="TimesNewRomanPSMT"/>
          <w:szCs w:val="20"/>
        </w:rPr>
        <w:t xml:space="preserve">gydymas </w:t>
      </w:r>
      <w:r w:rsidRPr="004D1A34">
        <w:rPr>
          <w:rFonts w:eastAsia="TimesNewRomanPSMT"/>
          <w:szCs w:val="20"/>
        </w:rPr>
        <w:t xml:space="preserve">įkvepiamuoju kortikosteroidu derinyje (IKS) su ilgo veikimo beta-2 </w:t>
      </w:r>
      <w:proofErr w:type="spellStart"/>
      <w:r w:rsidRPr="004D1A34">
        <w:rPr>
          <w:rFonts w:eastAsia="TimesNewRomanPSMT"/>
          <w:szCs w:val="20"/>
        </w:rPr>
        <w:t>adrenerginiu</w:t>
      </w:r>
      <w:proofErr w:type="spellEnd"/>
      <w:r w:rsidRPr="004D1A34">
        <w:rPr>
          <w:rFonts w:eastAsia="TimesNewRomanPSMT"/>
          <w:szCs w:val="20"/>
        </w:rPr>
        <w:t xml:space="preserve"> </w:t>
      </w:r>
      <w:proofErr w:type="spellStart"/>
      <w:r w:rsidRPr="004D1A34">
        <w:rPr>
          <w:rFonts w:eastAsia="TimesNewRomanPSMT"/>
          <w:szCs w:val="20"/>
        </w:rPr>
        <w:t>agonistu</w:t>
      </w:r>
      <w:proofErr w:type="spellEnd"/>
      <w:r w:rsidRPr="004D1A34">
        <w:rPr>
          <w:rFonts w:eastAsia="TimesNewRomanPSMT"/>
          <w:szCs w:val="20"/>
        </w:rPr>
        <w:t xml:space="preserve"> (IVBA) ir papildomai ilgo veikimo </w:t>
      </w:r>
      <w:proofErr w:type="spellStart"/>
      <w:r w:rsidRPr="004D1A34">
        <w:rPr>
          <w:rFonts w:eastAsia="TimesNewRomanPSMT"/>
          <w:szCs w:val="20"/>
        </w:rPr>
        <w:t>muskarino</w:t>
      </w:r>
      <w:proofErr w:type="spellEnd"/>
      <w:r w:rsidRPr="004D1A34">
        <w:rPr>
          <w:rFonts w:eastAsia="TimesNewRomanPSMT"/>
          <w:szCs w:val="20"/>
        </w:rPr>
        <w:t xml:space="preserve"> receptoriaus antagonistu gali būti pasirinktin</w:t>
      </w:r>
      <w:r w:rsidR="00F674CF" w:rsidRPr="004D1A34">
        <w:rPr>
          <w:rFonts w:eastAsia="TimesNewRomanPSMT"/>
          <w:szCs w:val="20"/>
        </w:rPr>
        <w:t>is</w:t>
      </w:r>
      <w:r w:rsidRPr="004D1A34">
        <w:rPr>
          <w:rFonts w:eastAsia="TimesNewRomanPSMT"/>
          <w:szCs w:val="20"/>
        </w:rPr>
        <w:t xml:space="preserve"> </w:t>
      </w:r>
      <w:r w:rsidR="00F674CF" w:rsidRPr="004D1A34">
        <w:rPr>
          <w:rFonts w:eastAsia="TimesNewRomanPSMT"/>
          <w:szCs w:val="20"/>
        </w:rPr>
        <w:t>gydymas</w:t>
      </w:r>
      <w:r w:rsidRPr="004D1A34">
        <w:rPr>
          <w:rFonts w:eastAsia="TimesNewRomanPSMT"/>
          <w:szCs w:val="20"/>
        </w:rPr>
        <w:t xml:space="preserve">, kai astma nuolat nekontroliuojama nepaisant </w:t>
      </w:r>
      <w:r w:rsidR="00F674CF" w:rsidRPr="004D1A34">
        <w:rPr>
          <w:rFonts w:eastAsia="TimesNewRomanPSMT"/>
          <w:szCs w:val="20"/>
        </w:rPr>
        <w:t xml:space="preserve">vartojamos </w:t>
      </w:r>
      <w:r w:rsidRPr="004D1A34">
        <w:rPr>
          <w:rFonts w:eastAsia="TimesNewRomanPSMT"/>
          <w:szCs w:val="20"/>
        </w:rPr>
        <w:t>vidutinės arba didelės dozės IKS ir IVBA.</w:t>
      </w:r>
    </w:p>
    <w:p w14:paraId="101C27C4" w14:textId="761D7912" w:rsidR="00BD1264" w:rsidRPr="004D1A34" w:rsidRDefault="00BD1264" w:rsidP="00BD1264">
      <w:pPr>
        <w:tabs>
          <w:tab w:val="left" w:pos="492"/>
        </w:tabs>
        <w:spacing w:line="276" w:lineRule="auto"/>
        <w:jc w:val="both"/>
        <w:outlineLvl w:val="1"/>
        <w:rPr>
          <w:rFonts w:eastAsia="Arial"/>
        </w:rPr>
      </w:pPr>
      <w:r w:rsidRPr="004D1A34">
        <w:rPr>
          <w:rFonts w:eastAsia="Arial"/>
        </w:rPr>
        <w:tab/>
        <w:t xml:space="preserve">Pareiškėjas pateikė vertinimui 2 klinikinius tyrimus TRIMARAN it TRIGGER. TRIMARAN tyrime tiriamojo vaistinio preparato dozė – </w:t>
      </w:r>
      <w:proofErr w:type="spellStart"/>
      <w:r w:rsidRPr="004D1A34">
        <w:rPr>
          <w:rFonts w:eastAsia="Arial"/>
        </w:rPr>
        <w:t>beklometazono</w:t>
      </w:r>
      <w:proofErr w:type="spellEnd"/>
      <w:r w:rsidRPr="004D1A34">
        <w:rPr>
          <w:rFonts w:eastAsia="Arial"/>
        </w:rPr>
        <w:t xml:space="preserve"> </w:t>
      </w:r>
      <w:proofErr w:type="spellStart"/>
      <w:r w:rsidRPr="004D1A34">
        <w:rPr>
          <w:rFonts w:eastAsia="Arial"/>
        </w:rPr>
        <w:t>dipropionato</w:t>
      </w:r>
      <w:proofErr w:type="spellEnd"/>
      <w:r w:rsidRPr="004D1A34">
        <w:rPr>
          <w:rFonts w:eastAsia="Arial"/>
        </w:rPr>
        <w:t>/</w:t>
      </w:r>
      <w:proofErr w:type="spellStart"/>
      <w:r w:rsidRPr="004D1A34">
        <w:rPr>
          <w:rFonts w:eastAsia="Arial"/>
        </w:rPr>
        <w:t>formoterolio</w:t>
      </w:r>
      <w:proofErr w:type="spellEnd"/>
      <w:r w:rsidR="005356B7" w:rsidRPr="004D1A34">
        <w:rPr>
          <w:rFonts w:eastAsia="Arial"/>
        </w:rPr>
        <w:t xml:space="preserve"> </w:t>
      </w:r>
      <w:proofErr w:type="spellStart"/>
      <w:r w:rsidR="005356B7" w:rsidRPr="004D1A34">
        <w:rPr>
          <w:rFonts w:eastAsia="Arial"/>
        </w:rPr>
        <w:t>fumarato</w:t>
      </w:r>
      <w:proofErr w:type="spellEnd"/>
      <w:r w:rsidRPr="004D1A34">
        <w:rPr>
          <w:rFonts w:eastAsia="Arial"/>
        </w:rPr>
        <w:t>/</w:t>
      </w:r>
      <w:proofErr w:type="spellStart"/>
      <w:r w:rsidRPr="004D1A34">
        <w:rPr>
          <w:rFonts w:eastAsia="Arial"/>
        </w:rPr>
        <w:t>glikopironio</w:t>
      </w:r>
      <w:proofErr w:type="spellEnd"/>
      <w:r w:rsidRPr="004D1A34">
        <w:rPr>
          <w:rFonts w:eastAsia="Arial"/>
        </w:rPr>
        <w:t xml:space="preserve"> (BDP/FF/G) – buvo vidutinė ir atitinka paraiškoje siūlomą kompensuoti šio vaistinio preparato dozę (87/5/9 </w:t>
      </w:r>
      <w:r w:rsidR="00F674CF" w:rsidRPr="004D1A34">
        <w:rPr>
          <w:b/>
        </w:rPr>
        <w:t xml:space="preserve"> </w:t>
      </w:r>
      <w:r w:rsidR="00F674CF" w:rsidRPr="004D1A34">
        <w:t>µ</w:t>
      </w:r>
      <w:r w:rsidRPr="004D1A34">
        <w:rPr>
          <w:rFonts w:eastAsia="Arial"/>
        </w:rPr>
        <w:t xml:space="preserve">g). TRIGGER tyrime tiriamojo vaistinio preparato </w:t>
      </w:r>
      <w:r w:rsidR="00A827F7" w:rsidRPr="004D1A34">
        <w:rPr>
          <w:rFonts w:eastAsia="Arial"/>
        </w:rPr>
        <w:t xml:space="preserve">(BDP/FF/G) </w:t>
      </w:r>
      <w:r w:rsidRPr="004D1A34">
        <w:rPr>
          <w:rFonts w:eastAsia="Arial"/>
        </w:rPr>
        <w:t xml:space="preserve">dozė buvo didesnė - 172/5/9 </w:t>
      </w:r>
      <w:r w:rsidR="00F674CF" w:rsidRPr="004D1A34">
        <w:t>µ</w:t>
      </w:r>
      <w:r w:rsidRPr="004D1A34">
        <w:rPr>
          <w:rFonts w:eastAsia="Arial"/>
        </w:rPr>
        <w:t>g ir nebuvo pateikta nagrinėjimui, todėl šio tyrimo rezultatai vertin</w:t>
      </w:r>
      <w:r w:rsidR="00F674CF" w:rsidRPr="004D1A34">
        <w:rPr>
          <w:rFonts w:eastAsia="Arial"/>
        </w:rPr>
        <w:t>t</w:t>
      </w:r>
      <w:r w:rsidRPr="004D1A34">
        <w:rPr>
          <w:rFonts w:eastAsia="Arial"/>
        </w:rPr>
        <w:t>i kaip žvalgomieji</w:t>
      </w:r>
      <w:r w:rsidR="00D7479A" w:rsidRPr="004D1A34">
        <w:rPr>
          <w:rFonts w:eastAsia="Arial"/>
        </w:rPr>
        <w:t xml:space="preserve"> ir į pagrindin</w:t>
      </w:r>
      <w:r w:rsidR="00F674CF" w:rsidRPr="004D1A34">
        <w:rPr>
          <w:rFonts w:eastAsia="Arial"/>
        </w:rPr>
        <w:t>į</w:t>
      </w:r>
      <w:r w:rsidR="00D7479A" w:rsidRPr="004D1A34">
        <w:rPr>
          <w:rFonts w:eastAsia="Arial"/>
        </w:rPr>
        <w:t xml:space="preserve"> klinikin</w:t>
      </w:r>
      <w:r w:rsidR="00F674CF" w:rsidRPr="004D1A34">
        <w:rPr>
          <w:rFonts w:eastAsia="Arial"/>
        </w:rPr>
        <w:t>į</w:t>
      </w:r>
      <w:r w:rsidR="00D7479A" w:rsidRPr="004D1A34">
        <w:rPr>
          <w:rFonts w:eastAsia="Arial"/>
        </w:rPr>
        <w:t xml:space="preserve"> vertinimą neįtraukti</w:t>
      </w:r>
      <w:r w:rsidRPr="004D1A34">
        <w:rPr>
          <w:rFonts w:eastAsia="Arial"/>
        </w:rPr>
        <w:t>.</w:t>
      </w:r>
    </w:p>
    <w:p w14:paraId="232E4D31" w14:textId="343A5812" w:rsidR="00BD1264" w:rsidRPr="004D1A34" w:rsidRDefault="00BD1264" w:rsidP="00BD1264">
      <w:pPr>
        <w:tabs>
          <w:tab w:val="left" w:pos="492"/>
        </w:tabs>
        <w:spacing w:line="276" w:lineRule="auto"/>
        <w:jc w:val="both"/>
        <w:outlineLvl w:val="1"/>
        <w:rPr>
          <w:rFonts w:eastAsia="Arial"/>
        </w:rPr>
      </w:pPr>
      <w:r w:rsidRPr="004D1A34">
        <w:rPr>
          <w:rFonts w:eastAsia="Arial"/>
        </w:rPr>
        <w:tab/>
        <w:t xml:space="preserve">Palyginamasis vaistinis preparatas atitinka įprastinę praktiką Lietuvoje, </w:t>
      </w:r>
      <w:proofErr w:type="spellStart"/>
      <w:r w:rsidRPr="004D1A34">
        <w:rPr>
          <w:rFonts w:eastAsia="Arial"/>
        </w:rPr>
        <w:t>t.y</w:t>
      </w:r>
      <w:proofErr w:type="spellEnd"/>
      <w:r w:rsidRPr="004D1A34">
        <w:rPr>
          <w:rFonts w:eastAsia="Arial"/>
        </w:rPr>
        <w:t>. III pakopos astmos gydym</w:t>
      </w:r>
      <w:r w:rsidR="0080526A" w:rsidRPr="004D1A34">
        <w:rPr>
          <w:rFonts w:eastAsia="Arial"/>
        </w:rPr>
        <w:t>ą</w:t>
      </w:r>
      <w:r w:rsidRPr="004D1A34">
        <w:rPr>
          <w:rFonts w:eastAsia="Arial"/>
        </w:rPr>
        <w:t xml:space="preserve"> pagal </w:t>
      </w:r>
      <w:r w:rsidR="0080526A" w:rsidRPr="004D1A34">
        <w:rPr>
          <w:color w:val="000000"/>
        </w:rPr>
        <w:t>Lietuvos respublikos Sveikatos apsaugos ministro 2011 m. gruodžio 22 d. įsakymą Nr. V-1088 „Dėl a</w:t>
      </w:r>
      <w:r w:rsidR="0018107B" w:rsidRPr="004D1A34">
        <w:rPr>
          <w:color w:val="000000"/>
        </w:rPr>
        <w:t>stmos ambulatorinio gydymo kompensuoja</w:t>
      </w:r>
      <w:r w:rsidR="0080526A" w:rsidRPr="004D1A34">
        <w:rPr>
          <w:color w:val="000000"/>
        </w:rPr>
        <w:t>maisiais vaistais tvarkos aprašo patvirtinimo</w:t>
      </w:r>
      <w:r w:rsidR="0018107B" w:rsidRPr="004D1A34">
        <w:rPr>
          <w:color w:val="000000"/>
        </w:rPr>
        <w:t>“ (</w:t>
      </w:r>
      <w:r w:rsidR="0080526A" w:rsidRPr="004D1A34">
        <w:rPr>
          <w:color w:val="000000"/>
        </w:rPr>
        <w:t>t</w:t>
      </w:r>
      <w:r w:rsidR="0018107B" w:rsidRPr="004D1A34">
        <w:rPr>
          <w:color w:val="000000"/>
        </w:rPr>
        <w:t>oliau – Aprašas</w:t>
      </w:r>
      <w:r w:rsidR="0080526A" w:rsidRPr="004D1A34">
        <w:rPr>
          <w:color w:val="000000"/>
        </w:rPr>
        <w:t>).</w:t>
      </w:r>
      <w:r w:rsidR="0018107B" w:rsidRPr="004D1A34">
        <w:rPr>
          <w:color w:val="000000"/>
        </w:rPr>
        <w:t xml:space="preserve"> </w:t>
      </w:r>
      <w:r w:rsidRPr="004D1A34">
        <w:rPr>
          <w:rFonts w:eastAsia="Arial"/>
        </w:rPr>
        <w:t xml:space="preserve">Palyginamasis vaistinis preparatas – </w:t>
      </w:r>
      <w:proofErr w:type="spellStart"/>
      <w:r w:rsidR="00A77A46" w:rsidRPr="004D1A34">
        <w:rPr>
          <w:rFonts w:eastAsia="Arial"/>
        </w:rPr>
        <w:t>beklometazono</w:t>
      </w:r>
      <w:proofErr w:type="spellEnd"/>
      <w:r w:rsidR="00A77A46" w:rsidRPr="004D1A34">
        <w:rPr>
          <w:rFonts w:eastAsia="Arial"/>
        </w:rPr>
        <w:t xml:space="preserve"> </w:t>
      </w:r>
      <w:proofErr w:type="spellStart"/>
      <w:r w:rsidR="00A77A46" w:rsidRPr="004D1A34">
        <w:rPr>
          <w:rFonts w:eastAsia="Arial"/>
        </w:rPr>
        <w:t>dipropionato</w:t>
      </w:r>
      <w:proofErr w:type="spellEnd"/>
      <w:r w:rsidR="00A77A46" w:rsidRPr="004D1A34">
        <w:rPr>
          <w:rFonts w:eastAsia="Arial"/>
        </w:rPr>
        <w:t xml:space="preserve">/ </w:t>
      </w:r>
      <w:proofErr w:type="spellStart"/>
      <w:r w:rsidR="00A77A46" w:rsidRPr="004D1A34">
        <w:rPr>
          <w:rFonts w:eastAsia="Arial"/>
        </w:rPr>
        <w:t>formoterolio</w:t>
      </w:r>
      <w:proofErr w:type="spellEnd"/>
      <w:r w:rsidR="00A77A46" w:rsidRPr="004D1A34">
        <w:rPr>
          <w:rFonts w:eastAsia="Arial"/>
        </w:rPr>
        <w:t xml:space="preserve"> </w:t>
      </w:r>
      <w:proofErr w:type="spellStart"/>
      <w:r w:rsidR="00A77A46" w:rsidRPr="004D1A34">
        <w:rPr>
          <w:rFonts w:eastAsia="Arial"/>
        </w:rPr>
        <w:t>fumarato</w:t>
      </w:r>
      <w:proofErr w:type="spellEnd"/>
      <w:r w:rsidR="00A77A46" w:rsidRPr="004D1A34">
        <w:rPr>
          <w:rFonts w:eastAsia="Arial"/>
        </w:rPr>
        <w:t xml:space="preserve"> derinys (</w:t>
      </w:r>
      <w:r w:rsidRPr="004D1A34">
        <w:rPr>
          <w:rFonts w:eastAsia="Arial"/>
        </w:rPr>
        <w:t>BDP/FF</w:t>
      </w:r>
      <w:r w:rsidR="00A77A46" w:rsidRPr="004D1A34">
        <w:rPr>
          <w:rFonts w:eastAsia="Arial"/>
        </w:rPr>
        <w:t>)</w:t>
      </w:r>
      <w:r w:rsidRPr="004D1A34">
        <w:rPr>
          <w:rFonts w:eastAsia="Arial"/>
        </w:rPr>
        <w:t xml:space="preserve"> – atitinka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116 - 119 punktus.</w:t>
      </w:r>
    </w:p>
    <w:p w14:paraId="4254131D" w14:textId="4CEC2DC8" w:rsidR="00BD1264" w:rsidRPr="004D1A34" w:rsidRDefault="00BD1264" w:rsidP="00BD1264">
      <w:pPr>
        <w:tabs>
          <w:tab w:val="left" w:pos="426"/>
        </w:tabs>
        <w:spacing w:line="276" w:lineRule="auto"/>
        <w:jc w:val="both"/>
        <w:rPr>
          <w:rFonts w:eastAsia="Arial"/>
        </w:rPr>
      </w:pPr>
      <w:r w:rsidRPr="004D1A34">
        <w:rPr>
          <w:rFonts w:eastAsia="Arial"/>
        </w:rPr>
        <w:tab/>
      </w:r>
      <w:r w:rsidRPr="004D1A34">
        <w:rPr>
          <w:lang w:eastAsia="lt-LT"/>
        </w:rPr>
        <w:t>Pacientų populiacija atitiko pateiktą indikaciją</w:t>
      </w:r>
      <w:r w:rsidR="00A77A46" w:rsidRPr="004D1A34">
        <w:rPr>
          <w:lang w:eastAsia="lt-LT"/>
        </w:rPr>
        <w:t xml:space="preserve"> (</w:t>
      </w:r>
      <w:r w:rsidRPr="004D1A34">
        <w:rPr>
          <w:lang w:eastAsia="lt-LT"/>
        </w:rPr>
        <w:t>suaugusieji pacientai nuo 18 iki 75 metų, sirg</w:t>
      </w:r>
      <w:r w:rsidR="00A77A46" w:rsidRPr="004D1A34">
        <w:rPr>
          <w:lang w:eastAsia="lt-LT"/>
        </w:rPr>
        <w:t>ę</w:t>
      </w:r>
      <w:r w:rsidRPr="004D1A34">
        <w:rPr>
          <w:lang w:eastAsia="lt-LT"/>
        </w:rPr>
        <w:t xml:space="preserve"> nekontroliuojama astma ir gyd</w:t>
      </w:r>
      <w:r w:rsidR="00A77A46" w:rsidRPr="004D1A34">
        <w:rPr>
          <w:lang w:eastAsia="lt-LT"/>
        </w:rPr>
        <w:t>yti</w:t>
      </w:r>
      <w:r w:rsidRPr="004D1A34">
        <w:rPr>
          <w:lang w:eastAsia="lt-LT"/>
        </w:rPr>
        <w:t xml:space="preserve"> deriniu BDP</w:t>
      </w:r>
      <w:r w:rsidR="00A77A46" w:rsidRPr="004D1A34">
        <w:rPr>
          <w:lang w:eastAsia="lt-LT"/>
        </w:rPr>
        <w:t>/</w:t>
      </w:r>
      <w:r w:rsidRPr="004D1A34">
        <w:rPr>
          <w:lang w:eastAsia="lt-LT"/>
        </w:rPr>
        <w:t>FF. Pacientai turėjo mažiausiai nors vieną vidutinio sunkumo arba sunkų paūmėjimą per metus iki tyrimo pradžios. Pastebėtina, kad didžioji pacientų dal</w:t>
      </w:r>
      <w:r w:rsidR="00A77A46" w:rsidRPr="004D1A34">
        <w:rPr>
          <w:lang w:eastAsia="lt-LT"/>
        </w:rPr>
        <w:t>i</w:t>
      </w:r>
      <w:r w:rsidRPr="004D1A34">
        <w:rPr>
          <w:lang w:eastAsia="lt-LT"/>
        </w:rPr>
        <w:t xml:space="preserve">s niekada nerūkė. </w:t>
      </w:r>
      <w:r w:rsidRPr="004D1A34">
        <w:rPr>
          <w:rFonts w:eastAsia="Arial"/>
        </w:rPr>
        <w:t xml:space="preserve">Pirminės </w:t>
      </w:r>
      <w:r w:rsidR="00A77A46" w:rsidRPr="004D1A34">
        <w:rPr>
          <w:rFonts w:eastAsia="Arial"/>
        </w:rPr>
        <w:t xml:space="preserve">vertinamosios  </w:t>
      </w:r>
      <w:r w:rsidRPr="004D1A34">
        <w:rPr>
          <w:rFonts w:eastAsia="Arial"/>
        </w:rPr>
        <w:t xml:space="preserve">baigtys buvo </w:t>
      </w:r>
      <w:r w:rsidRPr="004D1A34">
        <w:rPr>
          <w:szCs w:val="20"/>
        </w:rPr>
        <w:t>didžiausias forsuoto iškvėpimo tūris per pirmą sekundę (FEV</w:t>
      </w:r>
      <w:r w:rsidRPr="004D1A34">
        <w:rPr>
          <w:szCs w:val="20"/>
          <w:vertAlign w:val="subscript"/>
        </w:rPr>
        <w:t>1</w:t>
      </w:r>
      <w:r w:rsidRPr="004D1A34">
        <w:rPr>
          <w:szCs w:val="20"/>
        </w:rPr>
        <w:t>)</w:t>
      </w:r>
      <w:r w:rsidRPr="004D1A34">
        <w:rPr>
          <w:rFonts w:eastAsia="Arial"/>
        </w:rPr>
        <w:t xml:space="preserve"> 26 gydymo savaitę bei vidutinių ir sunkių paūmėjimų dažnis per 52 gydymo savaites </w:t>
      </w:r>
      <w:r w:rsidR="00A77A46" w:rsidRPr="004D1A34">
        <w:rPr>
          <w:rFonts w:eastAsia="Arial"/>
        </w:rPr>
        <w:t>(</w:t>
      </w:r>
      <w:proofErr w:type="spellStart"/>
      <w:r w:rsidR="00A77A46" w:rsidRPr="004D1A34">
        <w:rPr>
          <w:rFonts w:eastAsia="Arial"/>
        </w:rPr>
        <w:t>t.y</w:t>
      </w:r>
      <w:proofErr w:type="spellEnd"/>
      <w:r w:rsidR="00A77A46" w:rsidRPr="004D1A34">
        <w:rPr>
          <w:rFonts w:eastAsia="Arial"/>
        </w:rPr>
        <w:t>.</w:t>
      </w:r>
      <w:r w:rsidR="002E4739" w:rsidRPr="004D1A34">
        <w:rPr>
          <w:rFonts w:eastAsia="Arial"/>
        </w:rPr>
        <w:t xml:space="preserve"> </w:t>
      </w:r>
      <w:r w:rsidRPr="004D1A34">
        <w:rPr>
          <w:rFonts w:eastAsia="Arial"/>
        </w:rPr>
        <w:t>metinis dažnis).</w:t>
      </w:r>
    </w:p>
    <w:p w14:paraId="2E6E0FDC" w14:textId="242ECFE6" w:rsidR="00BD1264" w:rsidRPr="004D1A34" w:rsidRDefault="00BD1264" w:rsidP="00BD1264">
      <w:pPr>
        <w:tabs>
          <w:tab w:val="left" w:pos="426"/>
        </w:tabs>
        <w:spacing w:line="276" w:lineRule="auto"/>
        <w:jc w:val="both"/>
        <w:rPr>
          <w:lang w:eastAsia="lt-LT"/>
        </w:rPr>
      </w:pPr>
      <w:r w:rsidRPr="004D1A34">
        <w:rPr>
          <w:lang w:eastAsia="lt-LT"/>
        </w:rPr>
        <w:tab/>
        <w:t>Pagrindiniame klinikiniame tyrime TRIMARAN nepavyko įrodyti</w:t>
      </w:r>
      <w:r w:rsidR="00A77A46" w:rsidRPr="004D1A34">
        <w:rPr>
          <w:lang w:eastAsia="lt-LT"/>
        </w:rPr>
        <w:t xml:space="preserve"> BDP</w:t>
      </w:r>
      <w:r w:rsidR="0080526A" w:rsidRPr="004D1A34">
        <w:rPr>
          <w:lang w:eastAsia="lt-LT"/>
        </w:rPr>
        <w:t>/</w:t>
      </w:r>
      <w:r w:rsidR="00A77A46" w:rsidRPr="004D1A34">
        <w:rPr>
          <w:lang w:eastAsia="lt-LT"/>
        </w:rPr>
        <w:t>FF</w:t>
      </w:r>
      <w:r w:rsidR="0080526A" w:rsidRPr="004D1A34">
        <w:rPr>
          <w:lang w:eastAsia="lt-LT"/>
        </w:rPr>
        <w:t>/</w:t>
      </w:r>
      <w:r w:rsidR="00A77A46" w:rsidRPr="004D1A34">
        <w:rPr>
          <w:lang w:eastAsia="lt-LT"/>
        </w:rPr>
        <w:t>G</w:t>
      </w:r>
      <w:r w:rsidR="00A827F7" w:rsidRPr="004D1A34">
        <w:rPr>
          <w:lang w:eastAsia="lt-LT"/>
        </w:rPr>
        <w:t xml:space="preserve"> derinio</w:t>
      </w:r>
      <w:r w:rsidRPr="004D1A34">
        <w:rPr>
          <w:lang w:eastAsia="lt-LT"/>
        </w:rPr>
        <w:t xml:space="preserve"> pranašumo (angl. </w:t>
      </w:r>
      <w:proofErr w:type="gramStart"/>
      <w:r w:rsidRPr="004D1A34">
        <w:rPr>
          <w:i/>
          <w:lang w:val="en-US" w:eastAsia="lt-LT"/>
        </w:rPr>
        <w:t>superiority</w:t>
      </w:r>
      <w:proofErr w:type="gramEnd"/>
      <w:r w:rsidRPr="004D1A34">
        <w:rPr>
          <w:lang w:val="en-US" w:eastAsia="lt-LT"/>
        </w:rPr>
        <w:t xml:space="preserve">), </w:t>
      </w:r>
      <w:r w:rsidRPr="004D1A34">
        <w:rPr>
          <w:lang w:eastAsia="lt-LT"/>
        </w:rPr>
        <w:t>palyginus su BDP</w:t>
      </w:r>
      <w:r w:rsidR="0080526A" w:rsidRPr="004D1A34">
        <w:rPr>
          <w:lang w:eastAsia="lt-LT"/>
        </w:rPr>
        <w:t>/</w:t>
      </w:r>
      <w:r w:rsidRPr="004D1A34">
        <w:rPr>
          <w:lang w:eastAsia="lt-LT"/>
        </w:rPr>
        <w:t>FF deriniu. Toki</w:t>
      </w:r>
      <w:r w:rsidR="00A77A46" w:rsidRPr="004D1A34">
        <w:rPr>
          <w:lang w:eastAsia="lt-LT"/>
        </w:rPr>
        <w:t>a</w:t>
      </w:r>
      <w:r w:rsidRPr="004D1A34">
        <w:rPr>
          <w:lang w:eastAsia="lt-LT"/>
        </w:rPr>
        <w:t xml:space="preserve"> išvada padaryta, remiantis iš anksto numatytu statistiniu planu: 99 proc. galia buvo numatyta įrodyti pranašumą, kai FEV</w:t>
      </w:r>
      <w:r w:rsidRPr="004D1A34">
        <w:rPr>
          <w:vertAlign w:val="subscript"/>
          <w:lang w:eastAsia="lt-LT"/>
        </w:rPr>
        <w:t>1</w:t>
      </w:r>
      <w:r w:rsidRPr="004D1A34">
        <w:rPr>
          <w:lang w:eastAsia="lt-LT"/>
        </w:rPr>
        <w:t xml:space="preserve"> skirtumas tarp turimųjų grupių siekia 90 </w:t>
      </w:r>
      <w:r w:rsidR="00667F91" w:rsidRPr="004D1A34">
        <w:rPr>
          <w:lang w:eastAsia="lt-LT"/>
        </w:rPr>
        <w:t>ml</w:t>
      </w:r>
      <w:r w:rsidRPr="004D1A34">
        <w:rPr>
          <w:lang w:eastAsia="lt-LT"/>
        </w:rPr>
        <w:t xml:space="preserve"> trigubo derinio naudai, lyginant pokyčius 26 savaitę nuo gydymo pradžios. Pagal TRIMARAN tyrimo duomenis taikytas gydymas atitiko 4 žingsnį pagal GINA (2019) gydymo rekomendacijas. Gauti TRIMARAN tyrim</w:t>
      </w:r>
      <w:r w:rsidR="00A77A46" w:rsidRPr="004D1A34">
        <w:rPr>
          <w:lang w:eastAsia="lt-LT"/>
        </w:rPr>
        <w:t>o</w:t>
      </w:r>
      <w:r w:rsidRPr="004D1A34">
        <w:rPr>
          <w:lang w:eastAsia="lt-LT"/>
        </w:rPr>
        <w:t xml:space="preserve"> rezultatai parodė, kad pirminė </w:t>
      </w:r>
      <w:r w:rsidR="00667F91" w:rsidRPr="004D1A34">
        <w:rPr>
          <w:lang w:eastAsia="lt-LT"/>
        </w:rPr>
        <w:t xml:space="preserve">vertinamoji </w:t>
      </w:r>
      <w:r w:rsidRPr="004D1A34">
        <w:rPr>
          <w:lang w:eastAsia="lt-LT"/>
        </w:rPr>
        <w:t>baigtis – FEV</w:t>
      </w:r>
      <w:r w:rsidRPr="004D1A34">
        <w:rPr>
          <w:vertAlign w:val="subscript"/>
          <w:lang w:eastAsia="lt-LT"/>
        </w:rPr>
        <w:t>1</w:t>
      </w:r>
      <w:r w:rsidRPr="004D1A34">
        <w:rPr>
          <w:lang w:eastAsia="lt-LT"/>
        </w:rPr>
        <w:t xml:space="preserve"> pokytis 26 savaitę nuo gydymo pradžios - buvo statistiškai reikšmingai didesnis BDP/FF/G derinio grupėje,</w:t>
      </w:r>
      <w:r w:rsidR="00A77A46" w:rsidRPr="004D1A34">
        <w:rPr>
          <w:lang w:eastAsia="lt-LT"/>
        </w:rPr>
        <w:t xml:space="preserve"> palyginus su</w:t>
      </w:r>
      <w:r w:rsidRPr="004D1A34">
        <w:rPr>
          <w:lang w:eastAsia="lt-LT"/>
        </w:rPr>
        <w:t xml:space="preserve"> BDP/FF, bet šis pranašumas buvo nežymus: FEV1 26 gydymo savaitę buvo statistiškai reikšmingai geresnis BDP/FF/G pacientų grupėje. Pritaikytas skirtumo vidurkis + 57 </w:t>
      </w:r>
      <w:r w:rsidR="00667F91" w:rsidRPr="004D1A34">
        <w:rPr>
          <w:lang w:eastAsia="lt-LT"/>
        </w:rPr>
        <w:t>ml</w:t>
      </w:r>
      <w:r w:rsidRPr="004D1A34">
        <w:rPr>
          <w:lang w:eastAsia="lt-LT"/>
        </w:rPr>
        <w:t xml:space="preserve"> (p=0,0080), palyginus su FEV</w:t>
      </w:r>
      <w:r w:rsidRPr="004D1A34">
        <w:rPr>
          <w:vertAlign w:val="subscript"/>
          <w:lang w:eastAsia="lt-LT"/>
        </w:rPr>
        <w:t>1</w:t>
      </w:r>
      <w:r w:rsidRPr="004D1A34">
        <w:rPr>
          <w:lang w:eastAsia="lt-LT"/>
        </w:rPr>
        <w:t xml:space="preserve"> gydant BDP/FF. Statistiniame plane buvo numatytas + 90 </w:t>
      </w:r>
      <w:r w:rsidR="00667F91" w:rsidRPr="004D1A34">
        <w:rPr>
          <w:lang w:eastAsia="lt-LT"/>
        </w:rPr>
        <w:t>ml</w:t>
      </w:r>
      <w:r w:rsidRPr="004D1A34">
        <w:rPr>
          <w:lang w:eastAsia="lt-LT"/>
        </w:rPr>
        <w:t>, todėl pranašumas buvo neįrodytas, nors pasiektas skirtumas tarp grupių pagal FEV1 statistiškai reikšmingas. Pažymėtina, kad FEV</w:t>
      </w:r>
      <w:r w:rsidRPr="004D1A34">
        <w:rPr>
          <w:vertAlign w:val="subscript"/>
          <w:lang w:eastAsia="lt-LT"/>
        </w:rPr>
        <w:t>1</w:t>
      </w:r>
      <w:r w:rsidRPr="004D1A34">
        <w:rPr>
          <w:lang w:eastAsia="lt-LT"/>
        </w:rPr>
        <w:t xml:space="preserve"> pokytis vertinant 52 tyrimo savaitę buvo +38 </w:t>
      </w:r>
      <w:r w:rsidR="00667F91" w:rsidRPr="004D1A34">
        <w:rPr>
          <w:lang w:eastAsia="lt-LT"/>
        </w:rPr>
        <w:t>ml</w:t>
      </w:r>
      <w:r w:rsidRPr="004D1A34">
        <w:rPr>
          <w:lang w:eastAsia="lt-LT"/>
        </w:rPr>
        <w:t xml:space="preserve"> </w:t>
      </w:r>
      <w:r w:rsidR="00902F8B" w:rsidRPr="004D1A34">
        <w:rPr>
          <w:lang w:eastAsia="lt-LT"/>
        </w:rPr>
        <w:t xml:space="preserve"> </w:t>
      </w:r>
      <w:r w:rsidRPr="004D1A34">
        <w:rPr>
          <w:lang w:eastAsia="lt-LT"/>
        </w:rPr>
        <w:t>BDP/FF/G naudai, tačiau jis nebuvo statistiškai reikšmingas</w:t>
      </w:r>
      <w:r w:rsidR="00902F8B" w:rsidRPr="004D1A34">
        <w:rPr>
          <w:lang w:eastAsia="lt-LT"/>
        </w:rPr>
        <w:t xml:space="preserve"> (</w:t>
      </w:r>
      <w:r w:rsidR="00016E1B" w:rsidRPr="004D1A34">
        <w:rPr>
          <w:lang w:eastAsia="lt-LT"/>
        </w:rPr>
        <w:t>95 proc. PI: -7 ml - +82 ml</w:t>
      </w:r>
      <w:r w:rsidR="00016E1B" w:rsidRPr="004D1A34">
        <w:rPr>
          <w:lang w:val="en-US" w:eastAsia="lt-LT"/>
        </w:rPr>
        <w:t>) (</w:t>
      </w:r>
      <w:r w:rsidR="00016E1B" w:rsidRPr="004D1A34">
        <w:rPr>
          <w:i/>
          <w:lang w:eastAsia="lt-LT"/>
        </w:rPr>
        <w:t xml:space="preserve">TRIMBOW </w:t>
      </w:r>
      <w:proofErr w:type="spellStart"/>
      <w:r w:rsidR="00016E1B" w:rsidRPr="004D1A34">
        <w:rPr>
          <w:i/>
          <w:lang w:eastAsia="lt-LT"/>
        </w:rPr>
        <w:t>public</w:t>
      </w:r>
      <w:proofErr w:type="spellEnd"/>
      <w:r w:rsidR="00016E1B" w:rsidRPr="004D1A34">
        <w:rPr>
          <w:i/>
          <w:lang w:eastAsia="lt-LT"/>
        </w:rPr>
        <w:t xml:space="preserve"> </w:t>
      </w:r>
      <w:proofErr w:type="spellStart"/>
      <w:r w:rsidR="00016E1B" w:rsidRPr="004D1A34">
        <w:rPr>
          <w:i/>
          <w:lang w:eastAsia="lt-LT"/>
        </w:rPr>
        <w:t>assessment</w:t>
      </w:r>
      <w:proofErr w:type="spellEnd"/>
      <w:r w:rsidR="00016E1B" w:rsidRPr="004D1A34">
        <w:rPr>
          <w:i/>
          <w:lang w:eastAsia="lt-LT"/>
        </w:rPr>
        <w:t>,</w:t>
      </w:r>
      <w:r w:rsidR="00016E1B" w:rsidRPr="004D1A34">
        <w:rPr>
          <w:lang w:eastAsia="lt-LT"/>
        </w:rPr>
        <w:t xml:space="preserve"> EVA 2020).</w:t>
      </w:r>
      <w:r w:rsidRPr="004D1A34">
        <w:rPr>
          <w:lang w:eastAsia="lt-LT"/>
        </w:rPr>
        <w:t xml:space="preserve"> </w:t>
      </w:r>
    </w:p>
    <w:p w14:paraId="4F6339F8" w14:textId="47B5E7A0" w:rsidR="00BD1264" w:rsidRPr="004D1A34" w:rsidRDefault="00BD1264" w:rsidP="00BD1264">
      <w:pPr>
        <w:tabs>
          <w:tab w:val="left" w:pos="426"/>
        </w:tabs>
        <w:spacing w:line="276" w:lineRule="auto"/>
        <w:jc w:val="both"/>
        <w:rPr>
          <w:lang w:eastAsia="lt-LT"/>
        </w:rPr>
      </w:pPr>
      <w:r w:rsidRPr="004D1A34">
        <w:rPr>
          <w:lang w:eastAsia="lt-LT"/>
        </w:rPr>
        <w:tab/>
      </w:r>
      <w:r w:rsidR="007A07AC" w:rsidRPr="004D1A34">
        <w:rPr>
          <w:lang w:eastAsia="lt-LT"/>
        </w:rPr>
        <w:t xml:space="preserve">Metinis paūmėjimų dažnis vertinant 52 savaitę sumažėjo 15,4 proc., vertinant pagal koreguotą dažnio santykį. </w:t>
      </w:r>
      <w:r w:rsidRPr="004D1A34">
        <w:rPr>
          <w:lang w:eastAsia="lt-LT"/>
        </w:rPr>
        <w:t xml:space="preserve">Vidutinio sunkumo ir sunkių paūmėjimų metinis dažnis buvo BDP/FF/G grupėje 1,83 ir BDP/FF grupėje – 2,16. </w:t>
      </w:r>
      <w:r w:rsidR="00BF0F5C" w:rsidRPr="004D1A34">
        <w:rPr>
          <w:lang w:eastAsia="lt-LT"/>
        </w:rPr>
        <w:t xml:space="preserve">Koreguotas </w:t>
      </w:r>
      <w:r w:rsidRPr="004D1A34">
        <w:rPr>
          <w:lang w:eastAsia="lt-LT"/>
        </w:rPr>
        <w:t>dažnio santykis buvo 0,85 palyginus su numatytu s</w:t>
      </w:r>
      <w:r w:rsidR="00902F8B" w:rsidRPr="004D1A34">
        <w:rPr>
          <w:lang w:eastAsia="lt-LT"/>
        </w:rPr>
        <w:t>tat</w:t>
      </w:r>
      <w:r w:rsidRPr="004D1A34">
        <w:rPr>
          <w:lang w:eastAsia="lt-LT"/>
        </w:rPr>
        <w:t xml:space="preserve">istiniame </w:t>
      </w:r>
      <w:r w:rsidRPr="004D1A34">
        <w:rPr>
          <w:lang w:eastAsia="lt-LT"/>
        </w:rPr>
        <w:lastRenderedPageBreak/>
        <w:t xml:space="preserve">plane - 0,80, </w:t>
      </w:r>
      <w:r w:rsidR="007A07AC" w:rsidRPr="004D1A34">
        <w:rPr>
          <w:lang w:eastAsia="lt-LT"/>
        </w:rPr>
        <w:t xml:space="preserve">derinio BDP/FF/G derinio </w:t>
      </w:r>
      <w:r w:rsidRPr="004D1A34">
        <w:rPr>
          <w:lang w:eastAsia="lt-LT"/>
        </w:rPr>
        <w:t xml:space="preserve">pranašumas </w:t>
      </w:r>
      <w:r w:rsidR="007A07AC" w:rsidRPr="004D1A34">
        <w:rPr>
          <w:lang w:eastAsia="lt-LT"/>
        </w:rPr>
        <w:t xml:space="preserve">prieš BDP/FF derinį taip </w:t>
      </w:r>
      <w:r w:rsidRPr="004D1A34">
        <w:rPr>
          <w:lang w:eastAsia="lt-LT"/>
        </w:rPr>
        <w:t>pat buvo neįrodytas, bet skirtumas buvo statistiškai reikšmingas</w:t>
      </w:r>
      <w:r w:rsidR="00667F91" w:rsidRPr="004D1A34">
        <w:rPr>
          <w:lang w:eastAsia="lt-LT"/>
        </w:rPr>
        <w:t xml:space="preserve"> </w:t>
      </w:r>
      <w:r w:rsidR="005E27B0" w:rsidRPr="004D1A34">
        <w:rPr>
          <w:lang w:eastAsia="lt-LT"/>
        </w:rPr>
        <w:t>(95 proc.  PI 0,73-0,99; p=0,033)</w:t>
      </w:r>
      <w:r w:rsidRPr="004D1A34">
        <w:rPr>
          <w:lang w:eastAsia="lt-LT"/>
        </w:rPr>
        <w:t xml:space="preserve">. </w:t>
      </w:r>
    </w:p>
    <w:p w14:paraId="1A48F543" w14:textId="77777777" w:rsidR="005679BE" w:rsidRPr="004D1A34" w:rsidRDefault="00BD1264" w:rsidP="002308CC">
      <w:pPr>
        <w:tabs>
          <w:tab w:val="left" w:pos="426"/>
        </w:tabs>
        <w:spacing w:line="276" w:lineRule="auto"/>
        <w:jc w:val="both"/>
        <w:rPr>
          <w:lang w:eastAsia="lt-LT"/>
        </w:rPr>
      </w:pPr>
      <w:r w:rsidRPr="004D1A34">
        <w:rPr>
          <w:lang w:eastAsia="lt-LT"/>
        </w:rPr>
        <w:tab/>
        <w:t xml:space="preserve">Vertinant pacientų, kuriems buvo FEV1 pokytis nuo gydymo pradžios ≥ 100 </w:t>
      </w:r>
      <w:r w:rsidR="00667F91" w:rsidRPr="004D1A34">
        <w:rPr>
          <w:lang w:eastAsia="lt-LT"/>
        </w:rPr>
        <w:t>ml</w:t>
      </w:r>
      <w:r w:rsidRPr="004D1A34">
        <w:rPr>
          <w:lang w:eastAsia="lt-LT"/>
        </w:rPr>
        <w:t>, duomenis, tokių pacientų TRIMARAN tyrime buvo 57,4% ir 57,1 % BDP/FF/G grupėje bei 45,0</w:t>
      </w:r>
      <w:r w:rsidRPr="004D1A34">
        <w:rPr>
          <w:lang w:val="en-GB" w:eastAsia="lt-LT"/>
        </w:rPr>
        <w:t xml:space="preserve">% </w:t>
      </w:r>
      <w:proofErr w:type="spellStart"/>
      <w:r w:rsidRPr="004D1A34">
        <w:rPr>
          <w:lang w:val="en-GB" w:eastAsia="lt-LT"/>
        </w:rPr>
        <w:t>ir</w:t>
      </w:r>
      <w:proofErr w:type="spellEnd"/>
      <w:r w:rsidRPr="004D1A34">
        <w:rPr>
          <w:lang w:val="en-GB" w:eastAsia="lt-LT"/>
        </w:rPr>
        <w:t xml:space="preserve"> 42,2% BDP/FF </w:t>
      </w:r>
      <w:proofErr w:type="spellStart"/>
      <w:r w:rsidRPr="004D1A34">
        <w:rPr>
          <w:lang w:val="en-GB" w:eastAsia="lt-LT"/>
        </w:rPr>
        <w:t>grup</w:t>
      </w:r>
      <w:r w:rsidRPr="004D1A34">
        <w:rPr>
          <w:lang w:eastAsia="lt-LT"/>
        </w:rPr>
        <w:t>ėje</w:t>
      </w:r>
      <w:proofErr w:type="spellEnd"/>
      <w:r w:rsidRPr="004D1A34">
        <w:rPr>
          <w:lang w:eastAsia="lt-LT"/>
        </w:rPr>
        <w:t>, 26 bei 52 savaitę atitinkamai. Nors minimalus kliniškai reikšmingas FEV</w:t>
      </w:r>
      <w:r w:rsidRPr="004D1A34">
        <w:rPr>
          <w:vertAlign w:val="subscript"/>
          <w:lang w:eastAsia="lt-LT"/>
        </w:rPr>
        <w:t>1</w:t>
      </w:r>
      <w:r w:rsidRPr="004D1A34">
        <w:rPr>
          <w:lang w:eastAsia="lt-LT"/>
        </w:rPr>
        <w:t xml:space="preserve"> </w:t>
      </w:r>
      <w:r w:rsidR="00667F91" w:rsidRPr="004D1A34">
        <w:rPr>
          <w:lang w:eastAsia="lt-LT"/>
        </w:rPr>
        <w:t xml:space="preserve">pagerėjimas gydant astmą nėra </w:t>
      </w:r>
      <w:r w:rsidRPr="004D1A34">
        <w:rPr>
          <w:lang w:eastAsia="lt-LT"/>
        </w:rPr>
        <w:t>nustatytas,</w:t>
      </w:r>
      <w:r w:rsidR="00667F91" w:rsidRPr="004D1A34">
        <w:rPr>
          <w:lang w:eastAsia="lt-LT"/>
        </w:rPr>
        <w:t xml:space="preserve"> laikoma, kad</w:t>
      </w:r>
      <w:r w:rsidRPr="004D1A34">
        <w:rPr>
          <w:lang w:eastAsia="lt-LT"/>
        </w:rPr>
        <w:t xml:space="preserve"> 100-200 </w:t>
      </w:r>
      <w:r w:rsidR="00667F91" w:rsidRPr="004D1A34">
        <w:rPr>
          <w:lang w:eastAsia="lt-LT"/>
        </w:rPr>
        <w:t>ml</w:t>
      </w:r>
      <w:r w:rsidRPr="004D1A34">
        <w:rPr>
          <w:lang w:eastAsia="lt-LT"/>
        </w:rPr>
        <w:t xml:space="preserve"> FEV</w:t>
      </w:r>
      <w:r w:rsidRPr="004D1A34">
        <w:rPr>
          <w:vertAlign w:val="subscript"/>
          <w:lang w:eastAsia="lt-LT"/>
        </w:rPr>
        <w:t>1</w:t>
      </w:r>
      <w:r w:rsidRPr="004D1A34">
        <w:rPr>
          <w:lang w:eastAsia="lt-LT"/>
        </w:rPr>
        <w:t xml:space="preserve"> pokytis nuo gydymo pradžios yra svarbus ir kliniškai reikšmingas (</w:t>
      </w:r>
      <w:r w:rsidRPr="004D1A34">
        <w:rPr>
          <w:i/>
          <w:lang w:eastAsia="lt-LT"/>
        </w:rPr>
        <w:t xml:space="preserve">TRIMBOW </w:t>
      </w:r>
      <w:proofErr w:type="spellStart"/>
      <w:r w:rsidRPr="004D1A34">
        <w:rPr>
          <w:i/>
          <w:lang w:eastAsia="lt-LT"/>
        </w:rPr>
        <w:t>public</w:t>
      </w:r>
      <w:proofErr w:type="spellEnd"/>
      <w:r w:rsidRPr="004D1A34">
        <w:rPr>
          <w:i/>
          <w:lang w:eastAsia="lt-LT"/>
        </w:rPr>
        <w:t xml:space="preserve"> </w:t>
      </w:r>
      <w:proofErr w:type="spellStart"/>
      <w:r w:rsidRPr="004D1A34">
        <w:rPr>
          <w:i/>
          <w:lang w:eastAsia="lt-LT"/>
        </w:rPr>
        <w:t>assessment</w:t>
      </w:r>
      <w:proofErr w:type="spellEnd"/>
      <w:r w:rsidRPr="004D1A34">
        <w:rPr>
          <w:i/>
          <w:lang w:eastAsia="lt-LT"/>
        </w:rPr>
        <w:t>,</w:t>
      </w:r>
      <w:r w:rsidRPr="004D1A34">
        <w:rPr>
          <w:lang w:eastAsia="lt-LT"/>
        </w:rPr>
        <w:t xml:space="preserve"> EVA 2020), tačiau TRIMARAN tyrime FEV1 pokyčio vidurkis buvo tik +57</w:t>
      </w:r>
      <w:r w:rsidR="00667F91" w:rsidRPr="004D1A34">
        <w:rPr>
          <w:lang w:eastAsia="lt-LT"/>
        </w:rPr>
        <w:t>ml</w:t>
      </w:r>
      <w:r w:rsidRPr="004D1A34">
        <w:rPr>
          <w:lang w:eastAsia="lt-LT"/>
        </w:rPr>
        <w:t>.</w:t>
      </w:r>
    </w:p>
    <w:p w14:paraId="2AB3CAA5" w14:textId="006CDC45" w:rsidR="00253720" w:rsidRPr="004D1A34" w:rsidRDefault="005679BE" w:rsidP="002308CC">
      <w:pPr>
        <w:tabs>
          <w:tab w:val="left" w:pos="426"/>
        </w:tabs>
        <w:spacing w:line="276" w:lineRule="auto"/>
        <w:jc w:val="both"/>
        <w:rPr>
          <w:rFonts w:eastAsia="Arial"/>
          <w:lang w:val="en-GB"/>
        </w:rPr>
      </w:pPr>
      <w:r w:rsidRPr="004D1A34">
        <w:rPr>
          <w:lang w:eastAsia="lt-LT"/>
        </w:rPr>
        <w:tab/>
      </w:r>
      <w:r w:rsidR="00253720" w:rsidRPr="004D1A34">
        <w:rPr>
          <w:rFonts w:eastAsia="Arial"/>
        </w:rPr>
        <w:t>Vertinant antrinių baigčių rezultatus, nustatyta, kad 26 gydymo savaitę FEV</w:t>
      </w:r>
      <w:r w:rsidR="00253720" w:rsidRPr="004D1A34">
        <w:rPr>
          <w:rFonts w:eastAsia="Arial"/>
          <w:vertAlign w:val="subscript"/>
        </w:rPr>
        <w:t xml:space="preserve">1 </w:t>
      </w:r>
      <w:r w:rsidR="00B108F3" w:rsidRPr="004D1A34">
        <w:rPr>
          <w:rFonts w:eastAsia="Arial"/>
        </w:rPr>
        <w:t xml:space="preserve">absoliutus </w:t>
      </w:r>
      <w:r w:rsidR="00253720" w:rsidRPr="004D1A34">
        <w:rPr>
          <w:rFonts w:eastAsia="Arial"/>
        </w:rPr>
        <w:t>pokytis buvo reikšmingai didesnis BDP/FF/G pacientų grupėje (+485 ml), nei BDP/FF grupėje (+401 ml) (</w:t>
      </w:r>
      <w:r w:rsidR="00253720" w:rsidRPr="004D1A34">
        <w:rPr>
          <w:rFonts w:eastAsia="Arial"/>
          <w:lang w:val="en-GB"/>
        </w:rPr>
        <w:t xml:space="preserve">p=0,0002). </w:t>
      </w:r>
      <w:r w:rsidR="00253720" w:rsidRPr="004D1A34">
        <w:rPr>
          <w:rFonts w:eastAsia="Arial"/>
        </w:rPr>
        <w:t>Vidutinis rytinis maksimalus iškvėpimo srovės greitis (ang</w:t>
      </w:r>
      <w:r w:rsidR="0080526A" w:rsidRPr="004D1A34">
        <w:rPr>
          <w:rFonts w:eastAsia="Arial"/>
        </w:rPr>
        <w:t>l</w:t>
      </w:r>
      <w:r w:rsidR="00253720" w:rsidRPr="004D1A34">
        <w:rPr>
          <w:rFonts w:eastAsia="Arial"/>
        </w:rPr>
        <w:t xml:space="preserve">. PEF – </w:t>
      </w:r>
      <w:proofErr w:type="spellStart"/>
      <w:r w:rsidR="00253720" w:rsidRPr="004D1A34">
        <w:rPr>
          <w:rFonts w:eastAsia="Arial"/>
          <w:i/>
        </w:rPr>
        <w:t>peak</w:t>
      </w:r>
      <w:proofErr w:type="spellEnd"/>
      <w:r w:rsidR="00253720" w:rsidRPr="004D1A34">
        <w:rPr>
          <w:rFonts w:eastAsia="Arial"/>
          <w:i/>
        </w:rPr>
        <w:t xml:space="preserve"> </w:t>
      </w:r>
      <w:proofErr w:type="spellStart"/>
      <w:r w:rsidR="00253720" w:rsidRPr="004D1A34">
        <w:rPr>
          <w:rFonts w:eastAsia="Arial"/>
          <w:i/>
        </w:rPr>
        <w:t>expiratory</w:t>
      </w:r>
      <w:proofErr w:type="spellEnd"/>
      <w:r w:rsidR="00253720" w:rsidRPr="004D1A34">
        <w:rPr>
          <w:rFonts w:eastAsia="Arial"/>
          <w:i/>
        </w:rPr>
        <w:t xml:space="preserve"> </w:t>
      </w:r>
      <w:proofErr w:type="spellStart"/>
      <w:r w:rsidR="00253720" w:rsidRPr="004D1A34">
        <w:rPr>
          <w:rFonts w:eastAsia="Arial"/>
          <w:i/>
        </w:rPr>
        <w:t>flow</w:t>
      </w:r>
      <w:proofErr w:type="spellEnd"/>
      <w:r w:rsidR="003F5DDA" w:rsidRPr="004D1A34">
        <w:rPr>
          <w:rFonts w:eastAsia="Arial"/>
        </w:rPr>
        <w:t>,</w:t>
      </w:r>
      <w:r w:rsidR="00253720" w:rsidRPr="004D1A34">
        <w:rPr>
          <w:rFonts w:eastAsia="Arial"/>
        </w:rPr>
        <w:t xml:space="preserve"> didžiausias oro srovės greitis, kuris matuojamas forsuoto iškvėpimo pradžioje per pirmas 26 tyrimo savaites</w:t>
      </w:r>
      <w:r w:rsidR="003F5DDA" w:rsidRPr="004D1A34">
        <w:rPr>
          <w:rFonts w:eastAsia="Arial"/>
        </w:rPr>
        <w:t>)</w:t>
      </w:r>
      <w:r w:rsidR="00253720" w:rsidRPr="004D1A34">
        <w:rPr>
          <w:rFonts w:eastAsia="Arial"/>
        </w:rPr>
        <w:t>, taip pat buvo reikšmingai didesnis BDP/FF/G grupėje</w:t>
      </w:r>
      <w:r w:rsidR="003F5DDA" w:rsidRPr="004D1A34">
        <w:rPr>
          <w:rFonts w:eastAsia="Arial"/>
        </w:rPr>
        <w:t xml:space="preserve"> (+5,3 l/min)</w:t>
      </w:r>
      <w:r w:rsidR="00253720" w:rsidRPr="004D1A34">
        <w:rPr>
          <w:rFonts w:eastAsia="Arial"/>
        </w:rPr>
        <w:t>, palyginus su BDP/FF grupe (</w:t>
      </w:r>
      <w:r w:rsidR="003F5DDA" w:rsidRPr="004D1A34">
        <w:rPr>
          <w:rFonts w:eastAsia="Arial"/>
        </w:rPr>
        <w:t>-3,1 l/min</w:t>
      </w:r>
      <w:r w:rsidR="00253720" w:rsidRPr="004D1A34">
        <w:rPr>
          <w:rFonts w:eastAsia="Arial"/>
        </w:rPr>
        <w:t>).</w:t>
      </w:r>
      <w:r w:rsidR="003F5DDA" w:rsidRPr="004D1A34">
        <w:rPr>
          <w:rFonts w:eastAsia="Arial"/>
        </w:rPr>
        <w:t xml:space="preserve"> Koreguotas PEF pokyčio vidurkis </w:t>
      </w:r>
      <w:r w:rsidR="008C4714" w:rsidRPr="004D1A34">
        <w:rPr>
          <w:rFonts w:eastAsia="Arial"/>
        </w:rPr>
        <w:t>+</w:t>
      </w:r>
      <w:r w:rsidR="003F5DDA" w:rsidRPr="004D1A34">
        <w:rPr>
          <w:rFonts w:eastAsia="Arial"/>
        </w:rPr>
        <w:t xml:space="preserve"> 8,4 l/min (p</w:t>
      </w:r>
      <w:r w:rsidR="003F5DDA" w:rsidRPr="004D1A34">
        <w:rPr>
          <w:rFonts w:eastAsia="Arial"/>
          <w:lang w:val="en-GB"/>
        </w:rPr>
        <w:t>=0,0006).</w:t>
      </w:r>
      <w:r w:rsidR="00B13629" w:rsidRPr="004D1A34">
        <w:rPr>
          <w:rFonts w:eastAsia="Arial"/>
          <w:lang w:val="en-GB"/>
        </w:rPr>
        <w:t xml:space="preserve"> </w:t>
      </w:r>
      <w:r w:rsidR="00B13629" w:rsidRPr="004D1A34">
        <w:rPr>
          <w:rFonts w:eastAsia="Arial"/>
        </w:rPr>
        <w:t xml:space="preserve">Laikas iki pirmo vidutinio sunkumo ir sunkaus paūmėjimo buvo ilgesnis BDP/FF/G grupėje, palyginus su BDP/FF grupe: rizikos santykis (RS) – 0,84 (95 proc. PI 0,73-0,98; </w:t>
      </w:r>
      <w:r w:rsidR="00B13629" w:rsidRPr="004D1A34">
        <w:rPr>
          <w:rFonts w:eastAsia="Arial"/>
          <w:lang w:val="en-GB"/>
        </w:rPr>
        <w:t>p=</w:t>
      </w:r>
      <w:r w:rsidR="00B13629" w:rsidRPr="004D1A34">
        <w:rPr>
          <w:rFonts w:eastAsia="Arial"/>
        </w:rPr>
        <w:t>0,022).</w:t>
      </w:r>
    </w:p>
    <w:p w14:paraId="096AF0BA" w14:textId="6E4D06F2" w:rsidR="00BD1264" w:rsidRPr="004D1A34" w:rsidRDefault="003F5DDA" w:rsidP="003F5DDA">
      <w:pPr>
        <w:tabs>
          <w:tab w:val="left" w:pos="426"/>
        </w:tabs>
        <w:spacing w:line="276" w:lineRule="auto"/>
        <w:jc w:val="both"/>
        <w:rPr>
          <w:lang w:eastAsia="lt-LT"/>
        </w:rPr>
      </w:pPr>
      <w:r w:rsidRPr="004D1A34">
        <w:rPr>
          <w:lang w:eastAsia="lt-LT"/>
        </w:rPr>
        <w:tab/>
      </w:r>
      <w:r w:rsidR="0080526A" w:rsidRPr="004D1A34">
        <w:rPr>
          <w:lang w:eastAsia="lt-LT"/>
        </w:rPr>
        <w:t>Tyrimo du</w:t>
      </w:r>
      <w:r w:rsidR="00466E83" w:rsidRPr="004D1A34">
        <w:rPr>
          <w:lang w:eastAsia="lt-LT"/>
        </w:rPr>
        <w:t xml:space="preserve">omenys rodo, </w:t>
      </w:r>
      <w:r w:rsidRPr="004D1A34">
        <w:rPr>
          <w:lang w:eastAsia="lt-LT"/>
        </w:rPr>
        <w:t xml:space="preserve">kad </w:t>
      </w:r>
      <w:r w:rsidR="00BD1264" w:rsidRPr="004D1A34">
        <w:rPr>
          <w:lang w:eastAsia="lt-LT"/>
        </w:rPr>
        <w:t>tri</w:t>
      </w:r>
      <w:r w:rsidR="00667F91" w:rsidRPr="004D1A34">
        <w:rPr>
          <w:lang w:eastAsia="lt-LT"/>
        </w:rPr>
        <w:t>jų veikliųjų medžiagų</w:t>
      </w:r>
      <w:r w:rsidR="00BD1264" w:rsidRPr="004D1A34">
        <w:rPr>
          <w:lang w:eastAsia="lt-LT"/>
        </w:rPr>
        <w:t xml:space="preserve"> derinys BDP</w:t>
      </w:r>
      <w:r w:rsidR="00667F91" w:rsidRPr="004D1A34">
        <w:rPr>
          <w:lang w:eastAsia="lt-LT"/>
        </w:rPr>
        <w:t>/</w:t>
      </w:r>
      <w:r w:rsidR="00BD1264" w:rsidRPr="004D1A34">
        <w:rPr>
          <w:lang w:eastAsia="lt-LT"/>
        </w:rPr>
        <w:t>FF</w:t>
      </w:r>
      <w:r w:rsidR="00667F91" w:rsidRPr="004D1A34">
        <w:rPr>
          <w:lang w:eastAsia="lt-LT"/>
        </w:rPr>
        <w:t>/</w:t>
      </w:r>
      <w:r w:rsidR="00BD1264" w:rsidRPr="004D1A34">
        <w:rPr>
          <w:lang w:eastAsia="lt-LT"/>
        </w:rPr>
        <w:t xml:space="preserve">G pagerina </w:t>
      </w:r>
      <w:r w:rsidR="00667F91" w:rsidRPr="004D1A34">
        <w:rPr>
          <w:lang w:eastAsia="lt-LT"/>
        </w:rPr>
        <w:t>bronchų plečiamąjį poveikį</w:t>
      </w:r>
      <w:r w:rsidR="00BD1264" w:rsidRPr="004D1A34">
        <w:rPr>
          <w:lang w:eastAsia="lt-LT"/>
        </w:rPr>
        <w:t>, tačiau kliniškai plaučių funkcij</w:t>
      </w:r>
      <w:r w:rsidR="00466E83" w:rsidRPr="004D1A34">
        <w:rPr>
          <w:lang w:eastAsia="lt-LT"/>
        </w:rPr>
        <w:t>a</w:t>
      </w:r>
      <w:r w:rsidR="00BD1264" w:rsidRPr="004D1A34">
        <w:rPr>
          <w:lang w:eastAsia="lt-LT"/>
        </w:rPr>
        <w:t xml:space="preserve"> ir paūmėjimų dažnis </w:t>
      </w:r>
      <w:r w:rsidR="00667F91" w:rsidRPr="004D1A34">
        <w:rPr>
          <w:lang w:eastAsia="lt-LT"/>
        </w:rPr>
        <w:t>pa</w:t>
      </w:r>
      <w:r w:rsidR="00BD1264" w:rsidRPr="004D1A34">
        <w:rPr>
          <w:lang w:eastAsia="lt-LT"/>
        </w:rPr>
        <w:t>gerėj</w:t>
      </w:r>
      <w:r w:rsidR="00466E83" w:rsidRPr="004D1A34">
        <w:rPr>
          <w:lang w:eastAsia="lt-LT"/>
        </w:rPr>
        <w:t>o</w:t>
      </w:r>
      <w:r w:rsidR="00BD1264" w:rsidRPr="004D1A34">
        <w:rPr>
          <w:lang w:eastAsia="lt-LT"/>
        </w:rPr>
        <w:t xml:space="preserve"> nežymiai. Simptomų pagerėjimas ir gyvenimo kokybė </w:t>
      </w:r>
      <w:r w:rsidR="00466E83" w:rsidRPr="004D1A34">
        <w:rPr>
          <w:lang w:eastAsia="lt-LT"/>
        </w:rPr>
        <w:t>skirtingų</w:t>
      </w:r>
      <w:r w:rsidR="00BD1264" w:rsidRPr="004D1A34">
        <w:rPr>
          <w:lang w:eastAsia="lt-LT"/>
        </w:rPr>
        <w:t xml:space="preserve"> grup</w:t>
      </w:r>
      <w:r w:rsidR="00466E83" w:rsidRPr="004D1A34">
        <w:rPr>
          <w:lang w:eastAsia="lt-LT"/>
        </w:rPr>
        <w:t>ių tiriamiesiems</w:t>
      </w:r>
      <w:r w:rsidR="00BD1264" w:rsidRPr="004D1A34">
        <w:rPr>
          <w:lang w:eastAsia="lt-LT"/>
        </w:rPr>
        <w:t xml:space="preserve"> buvo įvertinti panašiai, todėl papildomas pranašum</w:t>
      </w:r>
      <w:r w:rsidR="00466E83" w:rsidRPr="004D1A34">
        <w:rPr>
          <w:lang w:eastAsia="lt-LT"/>
        </w:rPr>
        <w:t>o</w:t>
      </w:r>
      <w:r w:rsidR="00667F91" w:rsidRPr="004D1A34">
        <w:rPr>
          <w:lang w:eastAsia="lt-LT"/>
        </w:rPr>
        <w:t xml:space="preserve"> </w:t>
      </w:r>
      <w:r w:rsidR="00466E83" w:rsidRPr="004D1A34">
        <w:rPr>
          <w:lang w:eastAsia="lt-LT"/>
        </w:rPr>
        <w:t>lengvinant</w:t>
      </w:r>
      <w:r w:rsidR="00BD1264" w:rsidRPr="004D1A34">
        <w:rPr>
          <w:lang w:eastAsia="lt-LT"/>
        </w:rPr>
        <w:t xml:space="preserve"> astmos simptom</w:t>
      </w:r>
      <w:r w:rsidR="00667F91" w:rsidRPr="004D1A34">
        <w:rPr>
          <w:lang w:eastAsia="lt-LT"/>
        </w:rPr>
        <w:t>us</w:t>
      </w:r>
      <w:r w:rsidR="00BD1264" w:rsidRPr="004D1A34">
        <w:rPr>
          <w:lang w:eastAsia="lt-LT"/>
        </w:rPr>
        <w:t xml:space="preserve"> ir </w:t>
      </w:r>
      <w:r w:rsidR="00667F91" w:rsidRPr="004D1A34">
        <w:rPr>
          <w:lang w:eastAsia="lt-LT"/>
        </w:rPr>
        <w:t xml:space="preserve">gerinant </w:t>
      </w:r>
      <w:r w:rsidR="00BD1264" w:rsidRPr="004D1A34">
        <w:rPr>
          <w:lang w:eastAsia="lt-LT"/>
        </w:rPr>
        <w:t>gyvenimo kokyb</w:t>
      </w:r>
      <w:r w:rsidR="00667F91" w:rsidRPr="004D1A34">
        <w:rPr>
          <w:lang w:eastAsia="lt-LT"/>
        </w:rPr>
        <w:t>ę</w:t>
      </w:r>
      <w:r w:rsidR="00BD1264" w:rsidRPr="004D1A34">
        <w:rPr>
          <w:lang w:eastAsia="lt-LT"/>
        </w:rPr>
        <w:t xml:space="preserve">, </w:t>
      </w:r>
      <w:r w:rsidR="00466E83" w:rsidRPr="004D1A34">
        <w:rPr>
          <w:lang w:eastAsia="lt-LT"/>
        </w:rPr>
        <w:t>vartojant trijų vaistų derinį</w:t>
      </w:r>
      <w:r w:rsidR="00BD1264" w:rsidRPr="004D1A34">
        <w:rPr>
          <w:lang w:eastAsia="lt-LT"/>
        </w:rPr>
        <w:t xml:space="preserve">, nebuvo </w:t>
      </w:r>
      <w:r w:rsidR="00667F91" w:rsidRPr="004D1A34">
        <w:rPr>
          <w:lang w:eastAsia="lt-LT"/>
        </w:rPr>
        <w:t>nustatyta</w:t>
      </w:r>
      <w:r w:rsidR="00BD1264" w:rsidRPr="004D1A34">
        <w:rPr>
          <w:lang w:eastAsia="lt-LT"/>
        </w:rPr>
        <w:t>.</w:t>
      </w:r>
    </w:p>
    <w:p w14:paraId="1CCB7DE9" w14:textId="77777777" w:rsidR="00CB3C97" w:rsidRPr="004D1A34" w:rsidRDefault="00CB3C97" w:rsidP="003F5DDA">
      <w:pPr>
        <w:tabs>
          <w:tab w:val="left" w:pos="426"/>
        </w:tabs>
        <w:spacing w:line="276" w:lineRule="auto"/>
        <w:jc w:val="both"/>
        <w:rPr>
          <w:i/>
          <w:lang w:eastAsia="lt-LT"/>
        </w:rPr>
      </w:pPr>
    </w:p>
    <w:p w14:paraId="408F9BF6" w14:textId="4EC954EA" w:rsidR="00F35521" w:rsidRPr="004D1A34" w:rsidRDefault="00F35521" w:rsidP="003F5DDA">
      <w:pPr>
        <w:tabs>
          <w:tab w:val="left" w:pos="426"/>
        </w:tabs>
        <w:spacing w:line="276" w:lineRule="auto"/>
        <w:jc w:val="both"/>
        <w:rPr>
          <w:i/>
          <w:lang w:eastAsia="lt-LT"/>
        </w:rPr>
      </w:pPr>
      <w:r w:rsidRPr="004D1A34">
        <w:rPr>
          <w:i/>
          <w:lang w:eastAsia="lt-LT"/>
        </w:rPr>
        <w:t>Saugumas</w:t>
      </w:r>
      <w:r w:rsidRPr="004D1A34">
        <w:rPr>
          <w:i/>
          <w:lang w:eastAsia="lt-LT"/>
        </w:rPr>
        <w:tab/>
      </w:r>
    </w:p>
    <w:p w14:paraId="6DEF7286" w14:textId="782B3E7F" w:rsidR="00E37C75" w:rsidRPr="004D1A34" w:rsidRDefault="00F35521" w:rsidP="003F5DDA">
      <w:pPr>
        <w:tabs>
          <w:tab w:val="left" w:pos="426"/>
        </w:tabs>
        <w:spacing w:line="276" w:lineRule="auto"/>
        <w:jc w:val="both"/>
        <w:rPr>
          <w:rFonts w:eastAsia="Arial"/>
        </w:rPr>
      </w:pPr>
      <w:r w:rsidRPr="004D1A34">
        <w:rPr>
          <w:rFonts w:eastAsia="Arial"/>
        </w:rPr>
        <w:tab/>
        <w:t>Astma sergantiems pacientams dažniausiai nustat</w:t>
      </w:r>
      <w:r w:rsidR="00466E83" w:rsidRPr="004D1A34">
        <w:rPr>
          <w:rFonts w:eastAsia="Arial"/>
        </w:rPr>
        <w:t>yto</w:t>
      </w:r>
      <w:r w:rsidRPr="004D1A34">
        <w:rPr>
          <w:rFonts w:eastAsia="Arial"/>
        </w:rPr>
        <w:t xml:space="preserve"> nepageidaujamos reakcijos</w:t>
      </w:r>
      <w:r w:rsidR="00E65543" w:rsidRPr="004D1A34">
        <w:rPr>
          <w:rFonts w:eastAsia="Arial"/>
        </w:rPr>
        <w:t xml:space="preserve"> (NR)</w:t>
      </w:r>
      <w:r w:rsidR="00466E83" w:rsidRPr="004D1A34">
        <w:rPr>
          <w:rFonts w:eastAsia="Arial"/>
        </w:rPr>
        <w:t xml:space="preserve"> buvo</w:t>
      </w:r>
      <w:r w:rsidRPr="004D1A34">
        <w:rPr>
          <w:rFonts w:eastAsia="Arial"/>
        </w:rPr>
        <w:t xml:space="preserve"> </w:t>
      </w:r>
      <w:proofErr w:type="spellStart"/>
      <w:r w:rsidRPr="004D1A34">
        <w:rPr>
          <w:rFonts w:eastAsia="Arial"/>
        </w:rPr>
        <w:t>disfonija</w:t>
      </w:r>
      <w:proofErr w:type="spellEnd"/>
      <w:r w:rsidRPr="004D1A34">
        <w:rPr>
          <w:rFonts w:eastAsia="Arial"/>
        </w:rPr>
        <w:t xml:space="preserve"> (0,3 % ir 1,5 %) bei burnos kandid</w:t>
      </w:r>
      <w:r w:rsidR="00466E83" w:rsidRPr="004D1A34">
        <w:rPr>
          <w:rFonts w:eastAsia="Arial"/>
        </w:rPr>
        <w:t>amik</w:t>
      </w:r>
      <w:r w:rsidRPr="004D1A34">
        <w:rPr>
          <w:rFonts w:eastAsia="Arial"/>
        </w:rPr>
        <w:t>ozė (0,8 % ir 0,3 %), susijusios su įkvepiam</w:t>
      </w:r>
      <w:r w:rsidR="00466E83" w:rsidRPr="004D1A34">
        <w:rPr>
          <w:rFonts w:eastAsia="Arial"/>
        </w:rPr>
        <w:t>ųjų</w:t>
      </w:r>
      <w:r w:rsidRPr="004D1A34">
        <w:rPr>
          <w:rFonts w:eastAsia="Arial"/>
        </w:rPr>
        <w:t xml:space="preserve"> kortikosteroid</w:t>
      </w:r>
      <w:r w:rsidR="00466E83" w:rsidRPr="004D1A34">
        <w:rPr>
          <w:rFonts w:eastAsia="Arial"/>
        </w:rPr>
        <w:t>ų poveikiu</w:t>
      </w:r>
      <w:r w:rsidRPr="004D1A34">
        <w:rPr>
          <w:rFonts w:eastAsia="Arial"/>
        </w:rPr>
        <w:t>; raumenų spazmai (0,4 % ir 0,2 %), kuriuos gali</w:t>
      </w:r>
      <w:r w:rsidR="00466E83" w:rsidRPr="004D1A34">
        <w:rPr>
          <w:rFonts w:eastAsia="Arial"/>
        </w:rPr>
        <w:t xml:space="preserve"> sukelti il</w:t>
      </w:r>
      <w:r w:rsidRPr="004D1A34">
        <w:rPr>
          <w:rFonts w:eastAsia="Arial"/>
        </w:rPr>
        <w:t>gai veikian</w:t>
      </w:r>
      <w:r w:rsidR="00466E83" w:rsidRPr="004D1A34">
        <w:rPr>
          <w:rFonts w:eastAsia="Arial"/>
        </w:rPr>
        <w:t>tis</w:t>
      </w:r>
      <w:r w:rsidRPr="004D1A34">
        <w:rPr>
          <w:rFonts w:eastAsia="Arial"/>
        </w:rPr>
        <w:t xml:space="preserve"> beta-2 </w:t>
      </w:r>
      <w:proofErr w:type="spellStart"/>
      <w:r w:rsidRPr="004D1A34">
        <w:rPr>
          <w:rFonts w:eastAsia="Arial"/>
        </w:rPr>
        <w:t>agonist</w:t>
      </w:r>
      <w:r w:rsidR="00466E83" w:rsidRPr="004D1A34">
        <w:rPr>
          <w:rFonts w:eastAsia="Arial"/>
        </w:rPr>
        <w:t>as</w:t>
      </w:r>
      <w:proofErr w:type="spellEnd"/>
      <w:r w:rsidR="00466E83" w:rsidRPr="004D1A34">
        <w:rPr>
          <w:rFonts w:eastAsia="Arial"/>
        </w:rPr>
        <w:t xml:space="preserve"> </w:t>
      </w:r>
      <w:proofErr w:type="spellStart"/>
      <w:r w:rsidR="00466E83" w:rsidRPr="004D1A34">
        <w:rPr>
          <w:rFonts w:eastAsia="Arial"/>
        </w:rPr>
        <w:t>formoterolis</w:t>
      </w:r>
      <w:proofErr w:type="spellEnd"/>
      <w:r w:rsidRPr="004D1A34">
        <w:rPr>
          <w:rFonts w:eastAsia="Arial"/>
        </w:rPr>
        <w:t xml:space="preserve">; bei burnos džiūvimas (0,4 % ir 0,5 %), kuris yra </w:t>
      </w:r>
      <w:r w:rsidR="00466E83" w:rsidRPr="004D1A34">
        <w:rPr>
          <w:rFonts w:eastAsia="Arial"/>
        </w:rPr>
        <w:t>būdingas</w:t>
      </w:r>
      <w:r w:rsidRPr="004D1A34">
        <w:rPr>
          <w:rFonts w:eastAsia="Arial"/>
        </w:rPr>
        <w:t xml:space="preserve"> </w:t>
      </w:r>
      <w:proofErr w:type="spellStart"/>
      <w:r w:rsidRPr="004D1A34">
        <w:rPr>
          <w:rFonts w:eastAsia="Arial"/>
        </w:rPr>
        <w:t>anticholinerginis</w:t>
      </w:r>
      <w:proofErr w:type="spellEnd"/>
      <w:r w:rsidR="00466E83" w:rsidRPr="004D1A34">
        <w:rPr>
          <w:rFonts w:eastAsia="Arial"/>
        </w:rPr>
        <w:t xml:space="preserve"> </w:t>
      </w:r>
      <w:proofErr w:type="spellStart"/>
      <w:r w:rsidR="00466E83" w:rsidRPr="004D1A34">
        <w:rPr>
          <w:rFonts w:eastAsia="Arial"/>
        </w:rPr>
        <w:t>glikopironio</w:t>
      </w:r>
      <w:proofErr w:type="spellEnd"/>
      <w:r w:rsidR="00466E83" w:rsidRPr="004D1A34">
        <w:rPr>
          <w:rFonts w:eastAsia="Arial"/>
        </w:rPr>
        <w:t xml:space="preserve"> </w:t>
      </w:r>
      <w:r w:rsidRPr="004D1A34">
        <w:rPr>
          <w:rFonts w:eastAsia="Arial"/>
        </w:rPr>
        <w:t>poveikis.</w:t>
      </w:r>
      <w:r w:rsidR="00E65543" w:rsidRPr="004D1A34">
        <w:rPr>
          <w:rFonts w:eastAsia="Arial"/>
        </w:rPr>
        <w:t xml:space="preserve"> </w:t>
      </w:r>
    </w:p>
    <w:p w14:paraId="4CD5A031" w14:textId="77777777" w:rsidR="00381FA0" w:rsidRPr="004D1A34" w:rsidRDefault="00381FA0" w:rsidP="003F5DDA">
      <w:pPr>
        <w:tabs>
          <w:tab w:val="left" w:pos="426"/>
        </w:tabs>
        <w:spacing w:line="276" w:lineRule="auto"/>
        <w:jc w:val="both"/>
        <w:rPr>
          <w:lang w:eastAsia="lt-LT"/>
        </w:rPr>
      </w:pPr>
    </w:p>
    <w:p w14:paraId="00FFA638" w14:textId="77777777" w:rsidR="000B28B6" w:rsidRPr="004D1A34" w:rsidRDefault="000B28B6" w:rsidP="000B28B6">
      <w:pPr>
        <w:spacing w:line="360" w:lineRule="auto"/>
        <w:ind w:firstLine="720"/>
        <w:jc w:val="both"/>
        <w:outlineLvl w:val="0"/>
        <w:rPr>
          <w:b/>
          <w:color w:val="000000"/>
          <w:lang w:eastAsia="lt-LT"/>
        </w:rPr>
      </w:pPr>
      <w:proofErr w:type="spellStart"/>
      <w:r w:rsidRPr="004D1A34">
        <w:rPr>
          <w:b/>
          <w:color w:val="000000"/>
          <w:lang w:eastAsia="lt-LT"/>
        </w:rPr>
        <w:t>Privalumai</w:t>
      </w:r>
      <w:proofErr w:type="spellEnd"/>
      <w:r w:rsidRPr="004D1A34">
        <w:rPr>
          <w:b/>
          <w:color w:val="000000"/>
          <w:lang w:eastAsia="lt-LT"/>
        </w:rPr>
        <w:t xml:space="preserve"> medicininėms paslaugoms ar pacientams</w:t>
      </w:r>
    </w:p>
    <w:p w14:paraId="68724823" w14:textId="439343AE" w:rsidR="000B28B6" w:rsidRPr="004D1A34" w:rsidRDefault="00D477F3" w:rsidP="000B28B6">
      <w:pPr>
        <w:spacing w:line="276" w:lineRule="auto"/>
        <w:ind w:firstLine="720"/>
        <w:jc w:val="both"/>
      </w:pPr>
      <w:r w:rsidRPr="004D1A34">
        <w:rPr>
          <w:color w:val="000000"/>
          <w:lang w:eastAsia="lt-LT"/>
        </w:rPr>
        <w:t>Šis vaistinis preparatas p</w:t>
      </w:r>
      <w:r w:rsidRPr="004D1A34">
        <w:rPr>
          <w:rFonts w:eastAsia="Arial"/>
        </w:rPr>
        <w:t xml:space="preserve">adidintų pasirinkimo galimybes, gydant pacientus, sergančius </w:t>
      </w:r>
      <w:r w:rsidR="00C00427" w:rsidRPr="004D1A34">
        <w:rPr>
          <w:rFonts w:eastAsia="Arial"/>
        </w:rPr>
        <w:t>vidutinio sunkumo ar</w:t>
      </w:r>
      <w:r w:rsidRPr="004D1A34">
        <w:t xml:space="preserve"> sunkia astma</w:t>
      </w:r>
      <w:r w:rsidRPr="004D1A34">
        <w:rPr>
          <w:rFonts w:eastAsia="Arial"/>
        </w:rPr>
        <w:t xml:space="preserve">. </w:t>
      </w:r>
      <w:r w:rsidRPr="004D1A34">
        <w:t>Remiantis TRIMARAN klinikinio tyrimo rezultatais</w:t>
      </w:r>
      <w:r w:rsidR="007E5BD3" w:rsidRPr="004D1A34">
        <w:t xml:space="preserve">, tikėtina, kad, </w:t>
      </w:r>
      <w:r w:rsidR="000B28B6" w:rsidRPr="004D1A34">
        <w:t xml:space="preserve">papildomai pridėjus </w:t>
      </w:r>
      <w:proofErr w:type="spellStart"/>
      <w:r w:rsidR="000B28B6" w:rsidRPr="004D1A34">
        <w:t>glikopironį</w:t>
      </w:r>
      <w:proofErr w:type="spellEnd"/>
      <w:r w:rsidR="000B28B6" w:rsidRPr="004D1A34">
        <w:t xml:space="preserve"> (G) prie </w:t>
      </w:r>
      <w:proofErr w:type="spellStart"/>
      <w:r w:rsidR="000B28B6" w:rsidRPr="004D1A34">
        <w:t>beklometazono</w:t>
      </w:r>
      <w:proofErr w:type="spellEnd"/>
      <w:r w:rsidR="000B28B6" w:rsidRPr="004D1A34">
        <w:t xml:space="preserve"> </w:t>
      </w:r>
      <w:proofErr w:type="spellStart"/>
      <w:r w:rsidR="000B28B6" w:rsidRPr="004D1A34">
        <w:t>dipropionato</w:t>
      </w:r>
      <w:proofErr w:type="spellEnd"/>
      <w:r w:rsidR="000B28B6" w:rsidRPr="004D1A34">
        <w:t xml:space="preserve"> ir </w:t>
      </w:r>
      <w:proofErr w:type="spellStart"/>
      <w:r w:rsidR="000B28B6" w:rsidRPr="004D1A34">
        <w:t>formote</w:t>
      </w:r>
      <w:r w:rsidR="007E5BD3" w:rsidRPr="004D1A34">
        <w:t>rolio</w:t>
      </w:r>
      <w:proofErr w:type="spellEnd"/>
      <w:r w:rsidR="007E5BD3" w:rsidRPr="004D1A34">
        <w:t xml:space="preserve"> </w:t>
      </w:r>
      <w:proofErr w:type="spellStart"/>
      <w:r w:rsidR="007E5BD3" w:rsidRPr="004D1A34">
        <w:t>fumarato</w:t>
      </w:r>
      <w:proofErr w:type="spellEnd"/>
      <w:r w:rsidR="007E5BD3" w:rsidRPr="004D1A34">
        <w:t xml:space="preserve"> (BDP/FF) derinio, pacientams nežymiai gėrės  </w:t>
      </w:r>
      <w:r w:rsidR="000B28B6" w:rsidRPr="004D1A34">
        <w:t xml:space="preserve">plaučių funkcija </w:t>
      </w:r>
      <w:r w:rsidR="007E5BD3" w:rsidRPr="004D1A34">
        <w:t xml:space="preserve">bei </w:t>
      </w:r>
      <w:r w:rsidR="000B28B6" w:rsidRPr="004D1A34">
        <w:t>mažė</w:t>
      </w:r>
      <w:r w:rsidR="007E5BD3" w:rsidRPr="004D1A34">
        <w:t>s</w:t>
      </w:r>
      <w:r w:rsidR="000B28B6" w:rsidRPr="004D1A34">
        <w:t xml:space="preserve"> metinis vidutinio sunkumo ir sunkių paūmėjimų dažnis</w:t>
      </w:r>
      <w:r w:rsidR="007E5BD3" w:rsidRPr="004D1A34">
        <w:t>, palyginus su gydimu tik BDP/FF</w:t>
      </w:r>
      <w:r w:rsidR="000B28B6" w:rsidRPr="004D1A34">
        <w:t xml:space="preserve">. </w:t>
      </w:r>
    </w:p>
    <w:p w14:paraId="2F5E8FA0" w14:textId="77777777" w:rsidR="003150EA" w:rsidRPr="004D1A34" w:rsidRDefault="003150EA" w:rsidP="000B28B6">
      <w:pPr>
        <w:spacing w:line="276" w:lineRule="auto"/>
        <w:ind w:firstLine="720"/>
        <w:jc w:val="both"/>
        <w:rPr>
          <w:rFonts w:eastAsia="Arial"/>
        </w:rPr>
      </w:pPr>
    </w:p>
    <w:p w14:paraId="7416B47E" w14:textId="77777777" w:rsidR="000B28B6" w:rsidRPr="004D1A34" w:rsidRDefault="000B28B6" w:rsidP="000B28B6">
      <w:pPr>
        <w:spacing w:line="360" w:lineRule="auto"/>
        <w:ind w:left="720"/>
        <w:jc w:val="both"/>
        <w:outlineLvl w:val="0"/>
        <w:rPr>
          <w:b/>
          <w:color w:val="000000"/>
          <w:lang w:eastAsia="lt-LT"/>
        </w:rPr>
      </w:pPr>
      <w:r w:rsidRPr="004D1A34">
        <w:rPr>
          <w:b/>
          <w:color w:val="000000"/>
          <w:lang w:eastAsia="lt-LT"/>
        </w:rPr>
        <w:t>Trūkumai medicininėms paslaugoms ar pacientams</w:t>
      </w:r>
    </w:p>
    <w:p w14:paraId="48C62F01" w14:textId="4A7A71DC" w:rsidR="00BD1264" w:rsidRPr="004D1A34" w:rsidRDefault="00B108F3" w:rsidP="00B108F3">
      <w:pPr>
        <w:spacing w:line="276" w:lineRule="auto"/>
        <w:ind w:firstLine="720"/>
        <w:jc w:val="both"/>
        <w:rPr>
          <w:b/>
          <w:color w:val="000000"/>
          <w:lang w:val="en-US" w:eastAsia="lt-LT"/>
        </w:rPr>
      </w:pPr>
      <w:r w:rsidRPr="004D1A34">
        <w:t>Remiantis k</w:t>
      </w:r>
      <w:r w:rsidR="000B28B6" w:rsidRPr="004D1A34">
        <w:t>linikinio tyrimo TRIMARAN rezultat</w:t>
      </w:r>
      <w:r w:rsidRPr="004D1A34">
        <w:t>ais</w:t>
      </w:r>
      <w:r w:rsidR="000B28B6" w:rsidRPr="004D1A34">
        <w:t xml:space="preserve">, papildomai pridėjus </w:t>
      </w:r>
      <w:proofErr w:type="spellStart"/>
      <w:r w:rsidR="000B28B6" w:rsidRPr="004D1A34">
        <w:t>glikopironį</w:t>
      </w:r>
      <w:proofErr w:type="spellEnd"/>
      <w:r w:rsidR="000B28B6" w:rsidRPr="004D1A34">
        <w:t xml:space="preserve"> (G) prie </w:t>
      </w:r>
      <w:proofErr w:type="spellStart"/>
      <w:r w:rsidR="000B28B6" w:rsidRPr="004D1A34">
        <w:t>beklometazono</w:t>
      </w:r>
      <w:proofErr w:type="spellEnd"/>
      <w:r w:rsidR="000B28B6" w:rsidRPr="004D1A34">
        <w:t xml:space="preserve"> </w:t>
      </w:r>
      <w:proofErr w:type="spellStart"/>
      <w:r w:rsidR="000B28B6" w:rsidRPr="004D1A34">
        <w:t>dipropionato</w:t>
      </w:r>
      <w:proofErr w:type="spellEnd"/>
      <w:r w:rsidR="000B28B6" w:rsidRPr="004D1A34">
        <w:t xml:space="preserve"> ir </w:t>
      </w:r>
      <w:proofErr w:type="spellStart"/>
      <w:r w:rsidR="000B28B6" w:rsidRPr="004D1A34">
        <w:t>formoterolio</w:t>
      </w:r>
      <w:proofErr w:type="spellEnd"/>
      <w:r w:rsidR="000B28B6" w:rsidRPr="004D1A34">
        <w:t xml:space="preserve"> </w:t>
      </w:r>
      <w:proofErr w:type="spellStart"/>
      <w:r w:rsidR="000B28B6" w:rsidRPr="004D1A34">
        <w:t>fumarato</w:t>
      </w:r>
      <w:proofErr w:type="spellEnd"/>
      <w:r w:rsidR="000B28B6" w:rsidRPr="004D1A34">
        <w:t xml:space="preserve"> (BDP/FF) derinio sergantiems </w:t>
      </w:r>
      <w:r w:rsidR="00C00427" w:rsidRPr="004D1A34">
        <w:t xml:space="preserve">vidutinio sunkumo ar </w:t>
      </w:r>
      <w:r w:rsidR="000B28B6" w:rsidRPr="004D1A34">
        <w:t>sunkia astma pacientams nepag</w:t>
      </w:r>
      <w:r w:rsidR="00CA144D" w:rsidRPr="004D1A34">
        <w:t>e</w:t>
      </w:r>
      <w:r w:rsidR="000B28B6" w:rsidRPr="004D1A34">
        <w:t xml:space="preserve">rino pacientų gyvenimo kokybės ir kliniškai reikšmingai nemažino ligos simptomus. </w:t>
      </w:r>
    </w:p>
    <w:p w14:paraId="63E6CE0D" w14:textId="4A7393A6" w:rsidR="00BD1264" w:rsidRPr="004D1A34" w:rsidRDefault="00BD1264" w:rsidP="00BD1264">
      <w:pPr>
        <w:tabs>
          <w:tab w:val="left" w:pos="284"/>
        </w:tabs>
        <w:rPr>
          <w:bCs/>
          <w:caps/>
        </w:rPr>
      </w:pPr>
    </w:p>
    <w:p w14:paraId="4EF43706" w14:textId="77777777" w:rsidR="00BD1264" w:rsidRPr="004D1A34" w:rsidRDefault="00BD1264" w:rsidP="00BD1264">
      <w:pPr>
        <w:tabs>
          <w:tab w:val="left" w:pos="284"/>
        </w:tabs>
        <w:rPr>
          <w:bCs/>
          <w:caps/>
        </w:rPr>
      </w:pPr>
    </w:p>
    <w:p w14:paraId="7DE09EB5" w14:textId="04C72FFD" w:rsidR="00E03C3F" w:rsidRPr="004D1A34" w:rsidRDefault="00CC7832" w:rsidP="00937907">
      <w:pPr>
        <w:pStyle w:val="Sraopastraipa"/>
        <w:numPr>
          <w:ilvl w:val="0"/>
          <w:numId w:val="12"/>
        </w:numPr>
        <w:tabs>
          <w:tab w:val="left" w:pos="426"/>
        </w:tabs>
        <w:rPr>
          <w:b/>
          <w:bCs/>
          <w:caps/>
        </w:rPr>
      </w:pPr>
      <w:r w:rsidRPr="004D1A34">
        <w:rPr>
          <w:b/>
          <w:bCs/>
          <w:caps/>
        </w:rPr>
        <w:t xml:space="preserve">Farmakoekonominio vertinimo </w:t>
      </w:r>
      <w:r w:rsidR="002F0E4F" w:rsidRPr="004D1A34">
        <w:rPr>
          <w:b/>
          <w:bCs/>
          <w:caps/>
        </w:rPr>
        <w:t>apibendrinimas</w:t>
      </w:r>
    </w:p>
    <w:p w14:paraId="1A900598" w14:textId="3D8F11F6" w:rsidR="00C62B36" w:rsidRPr="004D1A34" w:rsidRDefault="00C62B36" w:rsidP="00A93AA6">
      <w:pPr>
        <w:tabs>
          <w:tab w:val="left" w:pos="426"/>
        </w:tabs>
        <w:rPr>
          <w:b/>
          <w:bCs/>
          <w:caps/>
        </w:rPr>
      </w:pPr>
    </w:p>
    <w:p w14:paraId="345090A9" w14:textId="5109675F" w:rsidR="009C14DD" w:rsidRPr="004D1A34" w:rsidRDefault="009C14DD" w:rsidP="00185F87">
      <w:pPr>
        <w:tabs>
          <w:tab w:val="left" w:pos="426"/>
        </w:tabs>
        <w:spacing w:line="276" w:lineRule="auto"/>
        <w:jc w:val="both"/>
      </w:pPr>
      <w:r w:rsidRPr="004D1A34">
        <w:lastRenderedPageBreak/>
        <w:tab/>
      </w:r>
      <w:proofErr w:type="spellStart"/>
      <w:r w:rsidR="001E5EE8" w:rsidRPr="004D1A34">
        <w:t>Farmakoekonominė</w:t>
      </w:r>
      <w:proofErr w:type="spellEnd"/>
      <w:r w:rsidR="001E5EE8" w:rsidRPr="004D1A34">
        <w:t xml:space="preserve"> analizė atliekama populiacijai atitinkančiai </w:t>
      </w:r>
      <w:proofErr w:type="spellStart"/>
      <w:r w:rsidR="001E5EE8" w:rsidRPr="004D1A34">
        <w:t>Trimaran</w:t>
      </w:r>
      <w:proofErr w:type="spellEnd"/>
      <w:r w:rsidR="001E5EE8" w:rsidRPr="004D1A34">
        <w:t xml:space="preserve"> klinikinio tyrimo populiaciją, </w:t>
      </w:r>
      <w:proofErr w:type="spellStart"/>
      <w:r w:rsidR="001E5EE8" w:rsidRPr="004D1A34">
        <w:t>t.y</w:t>
      </w:r>
      <w:proofErr w:type="spellEnd"/>
      <w:r w:rsidR="001E5EE8" w:rsidRPr="004D1A34">
        <w:t xml:space="preserve">.  astma sergančių suaugusių palaikomajam gydymui, kuriems nepavyksta adekvačiai kontroliuoti ligos taikant ilgalaikio veikimo beta2-agonisto ir </w:t>
      </w:r>
      <w:proofErr w:type="spellStart"/>
      <w:r w:rsidR="001E5EE8" w:rsidRPr="004D1A34">
        <w:t>inhaliuojamojo</w:t>
      </w:r>
      <w:proofErr w:type="spellEnd"/>
      <w:r w:rsidR="001E5EE8" w:rsidRPr="004D1A34">
        <w:t xml:space="preserve"> kortikosteroido vidutinių dozių palaikomuoju deriniu. </w:t>
      </w:r>
      <w:bookmarkStart w:id="1" w:name="_Hlk62896574"/>
      <w:r w:rsidRPr="004D1A34">
        <w:t>V</w:t>
      </w:r>
      <w:r w:rsidRPr="004D1A34">
        <w:rPr>
          <w:rFonts w:eastAsia="Arial"/>
        </w:rPr>
        <w:t xml:space="preserve">aistinis preparatas </w:t>
      </w:r>
      <w:proofErr w:type="spellStart"/>
      <w:r w:rsidRPr="004D1A34">
        <w:t>Trimbow</w:t>
      </w:r>
      <w:proofErr w:type="spellEnd"/>
      <w:r w:rsidRPr="004D1A34">
        <w:t xml:space="preserve"> (</w:t>
      </w:r>
      <w:r w:rsidR="000A3817" w:rsidRPr="004D1A34">
        <w:rPr>
          <w:rFonts w:eastAsia="Arial"/>
        </w:rPr>
        <w:t xml:space="preserve">BDP/FF/G, </w:t>
      </w:r>
      <w:r w:rsidRPr="004D1A34">
        <w:t xml:space="preserve">kurio kiekvienoje išmatuotoje dozėje yra 100 </w:t>
      </w:r>
      <w:proofErr w:type="spellStart"/>
      <w:r w:rsidRPr="004D1A34">
        <w:t>mikrogramų</w:t>
      </w:r>
      <w:proofErr w:type="spellEnd"/>
      <w:r w:rsidRPr="004D1A34">
        <w:t xml:space="preserve"> </w:t>
      </w:r>
      <w:proofErr w:type="spellStart"/>
      <w:r w:rsidRPr="004D1A34">
        <w:t>beklometazono</w:t>
      </w:r>
      <w:proofErr w:type="spellEnd"/>
      <w:r w:rsidRPr="004D1A34">
        <w:t xml:space="preserve"> </w:t>
      </w:r>
      <w:proofErr w:type="spellStart"/>
      <w:r w:rsidRPr="004D1A34">
        <w:t>dipropionato</w:t>
      </w:r>
      <w:proofErr w:type="spellEnd"/>
      <w:r w:rsidRPr="004D1A34">
        <w:t xml:space="preserve">, 6 </w:t>
      </w:r>
      <w:proofErr w:type="spellStart"/>
      <w:r w:rsidRPr="004D1A34">
        <w:t>mikrogramai</w:t>
      </w:r>
      <w:proofErr w:type="spellEnd"/>
      <w:r w:rsidRPr="004D1A34">
        <w:t xml:space="preserve"> </w:t>
      </w:r>
      <w:proofErr w:type="spellStart"/>
      <w:r w:rsidRPr="004D1A34">
        <w:t>formoterolio</w:t>
      </w:r>
      <w:proofErr w:type="spellEnd"/>
      <w:r w:rsidRPr="004D1A34">
        <w:t xml:space="preserve"> </w:t>
      </w:r>
      <w:proofErr w:type="spellStart"/>
      <w:r w:rsidRPr="004D1A34">
        <w:t>fumarato</w:t>
      </w:r>
      <w:proofErr w:type="spellEnd"/>
      <w:r w:rsidRPr="004D1A34">
        <w:t xml:space="preserve"> </w:t>
      </w:r>
      <w:proofErr w:type="spellStart"/>
      <w:r w:rsidRPr="004D1A34">
        <w:t>dihidrato</w:t>
      </w:r>
      <w:proofErr w:type="spellEnd"/>
      <w:r w:rsidRPr="004D1A34">
        <w:t xml:space="preserve"> ir 10 </w:t>
      </w:r>
      <w:proofErr w:type="spellStart"/>
      <w:r w:rsidRPr="004D1A34">
        <w:t>mikrogramų</w:t>
      </w:r>
      <w:proofErr w:type="spellEnd"/>
      <w:r w:rsidRPr="004D1A34">
        <w:t xml:space="preserve"> </w:t>
      </w:r>
      <w:proofErr w:type="spellStart"/>
      <w:r w:rsidRPr="004D1A34">
        <w:t>glikopironio</w:t>
      </w:r>
      <w:proofErr w:type="spellEnd"/>
      <w:r w:rsidRPr="004D1A34">
        <w:t xml:space="preserve"> kaip 12,5 </w:t>
      </w:r>
      <w:proofErr w:type="spellStart"/>
      <w:r w:rsidRPr="004D1A34">
        <w:t>mikrogramų</w:t>
      </w:r>
      <w:proofErr w:type="spellEnd"/>
      <w:r w:rsidRPr="004D1A34">
        <w:t xml:space="preserve"> </w:t>
      </w:r>
      <w:proofErr w:type="spellStart"/>
      <w:r w:rsidRPr="004D1A34">
        <w:t>glikopironio</w:t>
      </w:r>
      <w:proofErr w:type="spellEnd"/>
      <w:r w:rsidRPr="004D1A34">
        <w:t xml:space="preserve"> </w:t>
      </w:r>
      <w:proofErr w:type="spellStart"/>
      <w:r w:rsidRPr="004D1A34">
        <w:t>bromido</w:t>
      </w:r>
      <w:proofErr w:type="spellEnd"/>
      <w:r w:rsidR="000A3817" w:rsidRPr="004D1A34">
        <w:t xml:space="preserve">, </w:t>
      </w:r>
      <w:r w:rsidRPr="004D1A34">
        <w:t xml:space="preserve"> (</w:t>
      </w:r>
      <w:r w:rsidRPr="004D1A34">
        <w:rPr>
          <w:szCs w:val="22"/>
        </w:rPr>
        <w:t>vidutinio stiprumo ĮKS dozės</w:t>
      </w:r>
      <w:r w:rsidR="000A3817" w:rsidRPr="004D1A34">
        <w:t xml:space="preserve">)) yra lyginamas su </w:t>
      </w:r>
      <w:proofErr w:type="spellStart"/>
      <w:r w:rsidR="000A3817" w:rsidRPr="004D1A34">
        <w:t>Foster</w:t>
      </w:r>
      <w:proofErr w:type="spellEnd"/>
      <w:r w:rsidRPr="004D1A34">
        <w:t xml:space="preserve">, </w:t>
      </w:r>
      <w:r w:rsidR="000A3817" w:rsidRPr="004D1A34">
        <w:t>(</w:t>
      </w:r>
      <w:r w:rsidR="000A3817" w:rsidRPr="004D1A34">
        <w:rPr>
          <w:rFonts w:eastAsia="Arial"/>
        </w:rPr>
        <w:t xml:space="preserve">BDP/FF, </w:t>
      </w:r>
      <w:r w:rsidRPr="004D1A34">
        <w:t>kurio kiekvienoje išmatuotoje 10 mg įkvepiamųjų miltelių dozėje yra 100 </w:t>
      </w:r>
      <w:proofErr w:type="spellStart"/>
      <w:r w:rsidRPr="004D1A34">
        <w:t>mikrogramų</w:t>
      </w:r>
      <w:proofErr w:type="spellEnd"/>
      <w:r w:rsidRPr="004D1A34">
        <w:t xml:space="preserve"> bevandenio </w:t>
      </w:r>
      <w:proofErr w:type="spellStart"/>
      <w:r w:rsidRPr="004D1A34">
        <w:t>beklometazono</w:t>
      </w:r>
      <w:proofErr w:type="spellEnd"/>
      <w:r w:rsidRPr="004D1A34">
        <w:t xml:space="preserve"> </w:t>
      </w:r>
      <w:proofErr w:type="spellStart"/>
      <w:r w:rsidRPr="004D1A34">
        <w:t>dipropionato</w:t>
      </w:r>
      <w:proofErr w:type="spellEnd"/>
      <w:r w:rsidRPr="004D1A34">
        <w:t xml:space="preserve"> ir 6 </w:t>
      </w:r>
      <w:proofErr w:type="spellStart"/>
      <w:r w:rsidRPr="004D1A34">
        <w:t>mikrogramai</w:t>
      </w:r>
      <w:proofErr w:type="spellEnd"/>
      <w:r w:rsidRPr="004D1A34">
        <w:t xml:space="preserve"> </w:t>
      </w:r>
      <w:proofErr w:type="spellStart"/>
      <w:r w:rsidRPr="004D1A34">
        <w:t>formoterolio</w:t>
      </w:r>
      <w:proofErr w:type="spellEnd"/>
      <w:r w:rsidRPr="004D1A34">
        <w:t xml:space="preserve"> </w:t>
      </w:r>
      <w:proofErr w:type="spellStart"/>
      <w:r w:rsidRPr="004D1A34">
        <w:t>fumarato</w:t>
      </w:r>
      <w:proofErr w:type="spellEnd"/>
      <w:r w:rsidRPr="004D1A34">
        <w:t xml:space="preserve"> </w:t>
      </w:r>
      <w:proofErr w:type="spellStart"/>
      <w:r w:rsidRPr="004D1A34">
        <w:t>dihidrato</w:t>
      </w:r>
      <w:proofErr w:type="spellEnd"/>
      <w:r w:rsidR="000A3817" w:rsidRPr="004D1A34">
        <w:t>),</w:t>
      </w:r>
      <w:r w:rsidRPr="004D1A34">
        <w:t xml:space="preserve"> (tiesioginis palyginimas).</w:t>
      </w:r>
    </w:p>
    <w:p w14:paraId="271DDBEC" w14:textId="05376CDA" w:rsidR="009C14DD" w:rsidRPr="004D1A34" w:rsidRDefault="0067695E" w:rsidP="00185F87">
      <w:pPr>
        <w:tabs>
          <w:tab w:val="left" w:pos="426"/>
        </w:tabs>
        <w:spacing w:line="276" w:lineRule="auto"/>
        <w:jc w:val="both"/>
      </w:pPr>
      <w:r w:rsidRPr="004D1A34">
        <w:tab/>
      </w:r>
      <w:r w:rsidR="009C14DD" w:rsidRPr="004D1A34">
        <w:t xml:space="preserve">Pareiškėjas taiko penkių sveikatos būklių tikimybinį atskirų laikotarpių </w:t>
      </w:r>
      <w:proofErr w:type="spellStart"/>
      <w:r w:rsidR="009C14DD" w:rsidRPr="004D1A34">
        <w:t>Markovo</w:t>
      </w:r>
      <w:proofErr w:type="spellEnd"/>
      <w:r w:rsidR="009C14DD" w:rsidRPr="004D1A34">
        <w:t xml:space="preserve"> modelį (angl. </w:t>
      </w:r>
      <w:proofErr w:type="spellStart"/>
      <w:r w:rsidR="009C14DD" w:rsidRPr="004D1A34">
        <w:rPr>
          <w:i/>
        </w:rPr>
        <w:t>probabilistic</w:t>
      </w:r>
      <w:proofErr w:type="spellEnd"/>
      <w:r w:rsidR="009C14DD" w:rsidRPr="004D1A34">
        <w:rPr>
          <w:i/>
        </w:rPr>
        <w:t xml:space="preserve"> </w:t>
      </w:r>
      <w:proofErr w:type="spellStart"/>
      <w:r w:rsidR="009C14DD" w:rsidRPr="004D1A34">
        <w:rPr>
          <w:i/>
        </w:rPr>
        <w:t>discrete-time</w:t>
      </w:r>
      <w:proofErr w:type="spellEnd"/>
      <w:r w:rsidR="009C14DD" w:rsidRPr="004D1A34">
        <w:rPr>
          <w:i/>
        </w:rPr>
        <w:t xml:space="preserve"> </w:t>
      </w:r>
      <w:proofErr w:type="spellStart"/>
      <w:r w:rsidR="009C14DD" w:rsidRPr="004D1A34">
        <w:rPr>
          <w:i/>
        </w:rPr>
        <w:t>Markov</w:t>
      </w:r>
      <w:proofErr w:type="spellEnd"/>
      <w:r w:rsidR="009C14DD" w:rsidRPr="004D1A34">
        <w:rPr>
          <w:i/>
        </w:rPr>
        <w:t xml:space="preserve"> </w:t>
      </w:r>
      <w:proofErr w:type="spellStart"/>
      <w:r w:rsidR="009C14DD" w:rsidRPr="004D1A34">
        <w:rPr>
          <w:i/>
        </w:rPr>
        <w:t>model</w:t>
      </w:r>
      <w:proofErr w:type="spellEnd"/>
      <w:r w:rsidR="009C14DD" w:rsidRPr="004D1A34">
        <w:t>), sveikatos būkles išskiriant pagal ligos paūmėjimą: (</w:t>
      </w:r>
      <w:r w:rsidR="009C14DD" w:rsidRPr="004D1A34">
        <w:rPr>
          <w:lang w:val="en-US"/>
        </w:rPr>
        <w:t xml:space="preserve">1) be </w:t>
      </w:r>
      <w:proofErr w:type="spellStart"/>
      <w:r w:rsidR="009C14DD" w:rsidRPr="004D1A34">
        <w:rPr>
          <w:lang w:val="en-US"/>
        </w:rPr>
        <w:t>paūmėjimo</w:t>
      </w:r>
      <w:proofErr w:type="spellEnd"/>
      <w:r w:rsidR="009C14DD" w:rsidRPr="004D1A34">
        <w:rPr>
          <w:lang w:val="en-US"/>
        </w:rPr>
        <w:t xml:space="preserve">,  (2) </w:t>
      </w:r>
      <w:r w:rsidR="009C14DD" w:rsidRPr="004D1A34">
        <w:t xml:space="preserve">vidutinio paūmėjimo, (3) sunkių paūmėjimų be hospitalizavimo, (4) sunkių paūmėjimų hospitalizuojant. </w:t>
      </w:r>
      <w:r w:rsidR="009306C7" w:rsidRPr="004D1A34">
        <w:t xml:space="preserve">Laikyta, kad modeliavimas neišskiriant sveikatos būklių pagal astmos ligos kontrolę tinkamas, atsižvelgiant, kad taikoma modelio struktūra galėtų geriau atspindėti astmos gydymo išteklių ir kaštų poreikį, kadangi įtraukiamas ne tik medikamentinio gydymo poreikio vertinimas, tačiau ir kitų sveikatos priežiūros paslaugų poreikis dėl pacientų patiriamų ligos paūmėjimų (būtinosios pagalbos, </w:t>
      </w:r>
      <w:proofErr w:type="spellStart"/>
      <w:r w:rsidR="009306C7" w:rsidRPr="004D1A34">
        <w:t>hospitalizacijų</w:t>
      </w:r>
      <w:proofErr w:type="spellEnd"/>
      <w:r w:rsidR="009306C7" w:rsidRPr="004D1A34">
        <w:t>, konsultacijų ir kt.).</w:t>
      </w:r>
      <w:bookmarkEnd w:id="1"/>
    </w:p>
    <w:p w14:paraId="7C1CEAC2" w14:textId="2B9C8491" w:rsidR="007857B8" w:rsidRPr="004D1A34" w:rsidRDefault="007857B8" w:rsidP="00185F87">
      <w:pPr>
        <w:tabs>
          <w:tab w:val="left" w:pos="426"/>
        </w:tabs>
        <w:spacing w:line="276" w:lineRule="auto"/>
      </w:pPr>
      <w:r w:rsidRPr="004D1A34">
        <w:tab/>
      </w:r>
      <w:r w:rsidR="000F7BB1" w:rsidRPr="004D1A34">
        <w:t xml:space="preserve">Analizė atliekama iš mokėtojo (PSDF biudžeto lėšų) perspektyvos. Ekonominiam vertinimui taikomi kaštų – efektyvumo ir kaštų - naudingumo ekonominio vertinimo metodai. Analizėje </w:t>
      </w:r>
      <w:r w:rsidR="000F7BB1" w:rsidRPr="004D1A34">
        <w:rPr>
          <w:rFonts w:eastAsia="Arial"/>
        </w:rPr>
        <w:t xml:space="preserve">įtraukiami tiesiogiai su sveikatos sistema susiję kaštai ir vertinama nauda, kuriems taikomas 3,5 proc. metinis diskontavimas. </w:t>
      </w:r>
      <w:r w:rsidR="000F7BB1" w:rsidRPr="004D1A34">
        <w:t>Analizėje taikoma viso gyvenimo laiko perspektyva (</w:t>
      </w:r>
      <w:r w:rsidR="000F7BB1" w:rsidRPr="004D1A34">
        <w:rPr>
          <w:lang w:val="en-US"/>
        </w:rPr>
        <w:t>40 m.)</w:t>
      </w:r>
      <w:r w:rsidR="000F7BB1" w:rsidRPr="004D1A34">
        <w:t>.</w:t>
      </w:r>
    </w:p>
    <w:p w14:paraId="4556790E" w14:textId="37533002" w:rsidR="007857B8" w:rsidRPr="004D1A34" w:rsidRDefault="007857B8" w:rsidP="00185F87">
      <w:pPr>
        <w:spacing w:line="276" w:lineRule="auto"/>
        <w:ind w:firstLine="567"/>
        <w:jc w:val="both"/>
        <w:rPr>
          <w:lang w:val="en-US"/>
        </w:rPr>
      </w:pPr>
      <w:proofErr w:type="spellStart"/>
      <w:r w:rsidRPr="004D1A34">
        <w:rPr>
          <w:lang w:val="en-US"/>
        </w:rPr>
        <w:t>Tarnyba</w:t>
      </w:r>
      <w:proofErr w:type="spellEnd"/>
      <w:r w:rsidRPr="004D1A34">
        <w:rPr>
          <w:lang w:val="en-US"/>
        </w:rPr>
        <w:t xml:space="preserve"> </w:t>
      </w:r>
      <w:proofErr w:type="spellStart"/>
      <w:r w:rsidRPr="004D1A34">
        <w:rPr>
          <w:lang w:val="en-US"/>
        </w:rPr>
        <w:t>vertina</w:t>
      </w:r>
      <w:proofErr w:type="spellEnd"/>
      <w:r w:rsidRPr="004D1A34">
        <w:rPr>
          <w:lang w:val="en-US"/>
        </w:rPr>
        <w:t xml:space="preserve">, </w:t>
      </w:r>
      <w:proofErr w:type="spellStart"/>
      <w:r w:rsidRPr="004D1A34">
        <w:rPr>
          <w:lang w:val="en-US"/>
        </w:rPr>
        <w:t>kad</w:t>
      </w:r>
      <w:proofErr w:type="spellEnd"/>
      <w:r w:rsidRPr="004D1A34">
        <w:rPr>
          <w:lang w:val="en-US"/>
        </w:rPr>
        <w:t xml:space="preserve"> </w:t>
      </w:r>
      <w:proofErr w:type="spellStart"/>
      <w:r w:rsidRPr="004D1A34">
        <w:rPr>
          <w:lang w:val="en-US"/>
        </w:rPr>
        <w:t>kaštų</w:t>
      </w:r>
      <w:proofErr w:type="spellEnd"/>
      <w:r w:rsidRPr="004D1A34">
        <w:rPr>
          <w:lang w:val="en-US"/>
        </w:rPr>
        <w:t xml:space="preserve"> </w:t>
      </w:r>
      <w:proofErr w:type="spellStart"/>
      <w:r w:rsidRPr="004D1A34">
        <w:rPr>
          <w:lang w:val="en-US"/>
        </w:rPr>
        <w:t>analizės</w:t>
      </w:r>
      <w:proofErr w:type="spellEnd"/>
      <w:r w:rsidRPr="004D1A34">
        <w:rPr>
          <w:lang w:val="en-US"/>
        </w:rPr>
        <w:t xml:space="preserve"> </w:t>
      </w:r>
      <w:proofErr w:type="spellStart"/>
      <w:r w:rsidRPr="004D1A34">
        <w:rPr>
          <w:lang w:val="en-US"/>
        </w:rPr>
        <w:t>rezultatai</w:t>
      </w:r>
      <w:proofErr w:type="spellEnd"/>
      <w:r w:rsidRPr="004D1A34">
        <w:rPr>
          <w:lang w:val="en-US"/>
        </w:rPr>
        <w:t xml:space="preserve"> </w:t>
      </w:r>
      <w:proofErr w:type="spellStart"/>
      <w:r w:rsidRPr="004D1A34">
        <w:rPr>
          <w:lang w:val="en-US"/>
        </w:rPr>
        <w:t>pasižymi</w:t>
      </w:r>
      <w:proofErr w:type="spellEnd"/>
      <w:r w:rsidRPr="004D1A34">
        <w:rPr>
          <w:lang w:val="en-US"/>
        </w:rPr>
        <w:t xml:space="preserve"> </w:t>
      </w:r>
      <w:proofErr w:type="spellStart"/>
      <w:r w:rsidRPr="004D1A34">
        <w:rPr>
          <w:lang w:val="en-US"/>
        </w:rPr>
        <w:t>dideliais</w:t>
      </w:r>
      <w:proofErr w:type="spellEnd"/>
      <w:r w:rsidRPr="004D1A34">
        <w:rPr>
          <w:lang w:val="en-US"/>
        </w:rPr>
        <w:t xml:space="preserve"> </w:t>
      </w:r>
      <w:proofErr w:type="spellStart"/>
      <w:r w:rsidRPr="004D1A34">
        <w:rPr>
          <w:lang w:val="en-US"/>
        </w:rPr>
        <w:t>neapibrėžtumais</w:t>
      </w:r>
      <w:proofErr w:type="spellEnd"/>
      <w:r w:rsidRPr="004D1A34">
        <w:rPr>
          <w:lang w:val="en-US"/>
        </w:rPr>
        <w:t xml:space="preserve"> </w:t>
      </w:r>
      <w:proofErr w:type="spellStart"/>
      <w:proofErr w:type="gramStart"/>
      <w:r w:rsidRPr="004D1A34">
        <w:rPr>
          <w:lang w:val="en-US"/>
        </w:rPr>
        <w:t>dėl</w:t>
      </w:r>
      <w:proofErr w:type="spellEnd"/>
      <w:proofErr w:type="gramEnd"/>
      <w:r w:rsidRPr="004D1A34">
        <w:rPr>
          <w:lang w:val="en-US"/>
        </w:rPr>
        <w:t xml:space="preserve"> </w:t>
      </w:r>
      <w:proofErr w:type="spellStart"/>
      <w:r w:rsidRPr="004D1A34">
        <w:rPr>
          <w:lang w:val="en-US"/>
        </w:rPr>
        <w:t>tikimybių</w:t>
      </w:r>
      <w:proofErr w:type="spellEnd"/>
      <w:r w:rsidRPr="004D1A34">
        <w:rPr>
          <w:lang w:val="en-US"/>
        </w:rPr>
        <w:t xml:space="preserve"> </w:t>
      </w:r>
      <w:proofErr w:type="spellStart"/>
      <w:r w:rsidRPr="004D1A34">
        <w:rPr>
          <w:lang w:val="en-US"/>
        </w:rPr>
        <w:t>apskaičiavimo</w:t>
      </w:r>
      <w:proofErr w:type="spellEnd"/>
      <w:r w:rsidRPr="004D1A34">
        <w:rPr>
          <w:lang w:val="en-US"/>
        </w:rPr>
        <w:t xml:space="preserve"> </w:t>
      </w:r>
      <w:proofErr w:type="spellStart"/>
      <w:r w:rsidRPr="004D1A34">
        <w:rPr>
          <w:lang w:val="en-US"/>
        </w:rPr>
        <w:t>sveikatos</w:t>
      </w:r>
      <w:proofErr w:type="spellEnd"/>
      <w:r w:rsidRPr="004D1A34">
        <w:rPr>
          <w:lang w:val="en-US"/>
        </w:rPr>
        <w:t xml:space="preserve"> </w:t>
      </w:r>
      <w:proofErr w:type="spellStart"/>
      <w:r w:rsidRPr="004D1A34">
        <w:rPr>
          <w:lang w:val="en-US"/>
        </w:rPr>
        <w:t>būklėse</w:t>
      </w:r>
      <w:proofErr w:type="spellEnd"/>
      <w:r w:rsidRPr="004D1A34">
        <w:rPr>
          <w:lang w:val="en-US"/>
        </w:rPr>
        <w:t xml:space="preserve"> </w:t>
      </w:r>
      <w:proofErr w:type="spellStart"/>
      <w:r w:rsidRPr="004D1A34">
        <w:rPr>
          <w:lang w:val="en-US"/>
        </w:rPr>
        <w:t>ir</w:t>
      </w:r>
      <w:proofErr w:type="spellEnd"/>
      <w:r w:rsidRPr="004D1A34">
        <w:rPr>
          <w:lang w:val="en-US"/>
        </w:rPr>
        <w:t xml:space="preserve"> </w:t>
      </w:r>
      <w:proofErr w:type="spellStart"/>
      <w:r w:rsidRPr="004D1A34">
        <w:rPr>
          <w:lang w:val="en-US"/>
        </w:rPr>
        <w:t>perėjimo</w:t>
      </w:r>
      <w:proofErr w:type="spellEnd"/>
      <w:r w:rsidRPr="004D1A34">
        <w:rPr>
          <w:lang w:val="en-US"/>
        </w:rPr>
        <w:t xml:space="preserve"> tarp </w:t>
      </w:r>
      <w:proofErr w:type="spellStart"/>
      <w:r w:rsidRPr="004D1A34">
        <w:rPr>
          <w:lang w:val="en-US"/>
        </w:rPr>
        <w:t>jų</w:t>
      </w:r>
      <w:proofErr w:type="spellEnd"/>
      <w:r w:rsidRPr="004D1A34">
        <w:rPr>
          <w:lang w:val="en-US"/>
        </w:rPr>
        <w:t xml:space="preserve">, </w:t>
      </w:r>
      <w:proofErr w:type="spellStart"/>
      <w:r w:rsidRPr="004D1A34">
        <w:rPr>
          <w:lang w:val="en-US"/>
        </w:rPr>
        <w:t>dėl</w:t>
      </w:r>
      <w:proofErr w:type="spellEnd"/>
      <w:r w:rsidRPr="004D1A34">
        <w:rPr>
          <w:lang w:val="en-US"/>
        </w:rPr>
        <w:t xml:space="preserve"> </w:t>
      </w:r>
      <w:proofErr w:type="spellStart"/>
      <w:r w:rsidRPr="004D1A34">
        <w:rPr>
          <w:lang w:val="en-US"/>
        </w:rPr>
        <w:t>mažų</w:t>
      </w:r>
      <w:proofErr w:type="spellEnd"/>
      <w:r w:rsidRPr="004D1A34">
        <w:rPr>
          <w:lang w:val="en-US"/>
        </w:rPr>
        <w:t xml:space="preserve"> </w:t>
      </w:r>
      <w:proofErr w:type="spellStart"/>
      <w:r w:rsidRPr="004D1A34">
        <w:rPr>
          <w:lang w:val="en-US"/>
        </w:rPr>
        <w:t>pacientų</w:t>
      </w:r>
      <w:proofErr w:type="spellEnd"/>
      <w:r w:rsidRPr="004D1A34">
        <w:rPr>
          <w:lang w:val="en-US"/>
        </w:rPr>
        <w:t xml:space="preserve"> </w:t>
      </w:r>
      <w:proofErr w:type="spellStart"/>
      <w:r w:rsidRPr="004D1A34">
        <w:rPr>
          <w:lang w:val="en-US"/>
        </w:rPr>
        <w:t>pasiskirstymo</w:t>
      </w:r>
      <w:proofErr w:type="spellEnd"/>
      <w:r w:rsidRPr="004D1A34">
        <w:rPr>
          <w:lang w:val="en-US"/>
        </w:rPr>
        <w:t xml:space="preserve"> </w:t>
      </w:r>
      <w:proofErr w:type="spellStart"/>
      <w:r w:rsidRPr="004D1A34">
        <w:rPr>
          <w:lang w:val="en-US"/>
        </w:rPr>
        <w:t>apimčių</w:t>
      </w:r>
      <w:proofErr w:type="spellEnd"/>
      <w:r w:rsidRPr="004D1A34">
        <w:rPr>
          <w:lang w:val="en-US"/>
        </w:rPr>
        <w:t xml:space="preserve"> </w:t>
      </w:r>
      <w:proofErr w:type="spellStart"/>
      <w:r w:rsidRPr="004D1A34">
        <w:rPr>
          <w:lang w:val="en-US"/>
        </w:rPr>
        <w:t>jose</w:t>
      </w:r>
      <w:proofErr w:type="spellEnd"/>
      <w:r w:rsidRPr="004D1A34">
        <w:rPr>
          <w:lang w:val="en-US"/>
        </w:rPr>
        <w:t xml:space="preserve">. </w:t>
      </w:r>
      <w:r w:rsidRPr="004D1A34">
        <w:t>Pagal pateiktus Pareiškėjo duomenis, vieno paciento ligos pokyčiai lemia, kad apskaičiuotos tikimybės tarp sveikatos būklių varijuoja nuo 0 iki 100 proc. (kai kuriose sveikatos būklėse yra pavieniai atvejai arba tokių visai nefiksuojama). Atitinkamai Tarnyba vertina, kad prielaidos taikomos duomenų ekstrapoliacijai po tyrimo pabaigos yra neapibrėžtos dėl minėtų mažos imties apskaičiavimo ypatumų sveikatos būklėse: 1) t</w:t>
      </w:r>
      <w:r w:rsidRPr="004D1A34">
        <w:rPr>
          <w:bCs/>
          <w:lang w:eastAsia="lt-LT"/>
        </w:rPr>
        <w:t xml:space="preserve">ais atvejais, kai pacientų imtys būklėse per mažos (0 proc.), Pareiškėjas taiko prielaidą, kad pacientai turi vienodas tikimybes patekti į kiekvieną iš būklių ir taikomas 25 proc. tikimybių pasiskirstymas; 2) </w:t>
      </w:r>
      <w:proofErr w:type="spellStart"/>
      <w:r w:rsidRPr="004D1A34">
        <w:t>ekstrapoliuojant</w:t>
      </w:r>
      <w:proofErr w:type="spellEnd"/>
      <w:r w:rsidRPr="004D1A34">
        <w:t xml:space="preserve"> duomenis už tyrimo pabaigos laikotarpio (</w:t>
      </w:r>
      <w:r w:rsidRPr="004D1A34">
        <w:rPr>
          <w:lang w:val="en-US"/>
        </w:rPr>
        <w:t xml:space="preserve">52 </w:t>
      </w:r>
      <w:proofErr w:type="spellStart"/>
      <w:r w:rsidRPr="004D1A34">
        <w:rPr>
          <w:lang w:val="en-US"/>
        </w:rPr>
        <w:t>sav</w:t>
      </w:r>
      <w:proofErr w:type="spellEnd"/>
      <w:r w:rsidRPr="004D1A34">
        <w:rPr>
          <w:lang w:val="en-US"/>
        </w:rPr>
        <w:t xml:space="preserve">.), </w:t>
      </w:r>
      <w:r w:rsidRPr="004D1A34">
        <w:t>perėjimo tarp būklių tikimybės apskaičiuojamos pagal vidurkį dviejų paskutinių tyrimo laikotarpių (</w:t>
      </w:r>
      <w:r w:rsidRPr="004D1A34">
        <w:rPr>
          <w:lang w:val="en-GB"/>
        </w:rPr>
        <w:t xml:space="preserve">27-40 </w:t>
      </w:r>
      <w:r w:rsidRPr="004D1A34">
        <w:t xml:space="preserve">ir </w:t>
      </w:r>
      <w:r w:rsidRPr="004D1A34">
        <w:rPr>
          <w:lang w:val="en-GB"/>
        </w:rPr>
        <w:t xml:space="preserve">41-52 </w:t>
      </w:r>
      <w:r w:rsidRPr="004D1A34">
        <w:t>sav.</w:t>
      </w:r>
      <w:r w:rsidRPr="004D1A34">
        <w:rPr>
          <w:lang w:val="en-GB"/>
        </w:rPr>
        <w:t xml:space="preserve">). </w:t>
      </w:r>
      <w:proofErr w:type="spellStart"/>
      <w:r w:rsidRPr="004D1A34">
        <w:rPr>
          <w:lang w:val="en-GB"/>
        </w:rPr>
        <w:t>Duomenų</w:t>
      </w:r>
      <w:proofErr w:type="spellEnd"/>
      <w:r w:rsidRPr="004D1A34">
        <w:rPr>
          <w:lang w:val="en-GB"/>
        </w:rPr>
        <w:t xml:space="preserve"> </w:t>
      </w:r>
      <w:proofErr w:type="spellStart"/>
      <w:r w:rsidRPr="004D1A34">
        <w:rPr>
          <w:lang w:val="en-GB"/>
        </w:rPr>
        <w:t>ekstrapoli</w:t>
      </w:r>
      <w:r w:rsidR="005C6EC1" w:rsidRPr="004D1A34">
        <w:rPr>
          <w:lang w:val="en-GB"/>
        </w:rPr>
        <w:t>acijai</w:t>
      </w:r>
      <w:proofErr w:type="spellEnd"/>
      <w:r w:rsidR="005C6EC1" w:rsidRPr="004D1A34">
        <w:rPr>
          <w:lang w:val="en-GB"/>
        </w:rPr>
        <w:t xml:space="preserve"> </w:t>
      </w:r>
      <w:proofErr w:type="spellStart"/>
      <w:r w:rsidR="005C6EC1" w:rsidRPr="004D1A34">
        <w:rPr>
          <w:lang w:val="en-GB"/>
        </w:rPr>
        <w:t>ilguoju</w:t>
      </w:r>
      <w:proofErr w:type="spellEnd"/>
      <w:r w:rsidR="005C6EC1" w:rsidRPr="004D1A34">
        <w:rPr>
          <w:lang w:val="en-GB"/>
        </w:rPr>
        <w:t xml:space="preserve"> </w:t>
      </w:r>
      <w:proofErr w:type="spellStart"/>
      <w:r w:rsidR="005C6EC1" w:rsidRPr="004D1A34">
        <w:rPr>
          <w:lang w:val="en-GB"/>
        </w:rPr>
        <w:t>laikotarpiu</w:t>
      </w:r>
      <w:proofErr w:type="spellEnd"/>
      <w:r w:rsidR="005C6EC1" w:rsidRPr="004D1A34">
        <w:rPr>
          <w:lang w:val="en-GB"/>
        </w:rPr>
        <w:t xml:space="preserve"> </w:t>
      </w:r>
      <w:proofErr w:type="spellStart"/>
      <w:r w:rsidR="005C6EC1" w:rsidRPr="004D1A34">
        <w:rPr>
          <w:lang w:val="en-GB"/>
        </w:rPr>
        <w:t>taikymas</w:t>
      </w:r>
      <w:proofErr w:type="spellEnd"/>
      <w:r w:rsidRPr="004D1A34">
        <w:rPr>
          <w:lang w:val="en-GB"/>
        </w:rPr>
        <w:t xml:space="preserve"> “</w:t>
      </w:r>
      <w:proofErr w:type="spellStart"/>
      <w:r w:rsidRPr="004D1A34">
        <w:rPr>
          <w:lang w:val="en-GB"/>
        </w:rPr>
        <w:t>paskutiniojo</w:t>
      </w:r>
      <w:proofErr w:type="spellEnd"/>
      <w:r w:rsidRPr="004D1A34">
        <w:rPr>
          <w:lang w:val="en-GB"/>
        </w:rPr>
        <w:t xml:space="preserve"> </w:t>
      </w:r>
      <w:proofErr w:type="spellStart"/>
      <w:r w:rsidRPr="004D1A34">
        <w:rPr>
          <w:lang w:val="en-GB"/>
        </w:rPr>
        <w:t>ciklo</w:t>
      </w:r>
      <w:proofErr w:type="spellEnd"/>
      <w:r w:rsidRPr="004D1A34">
        <w:rPr>
          <w:lang w:val="en-GB"/>
        </w:rPr>
        <w:t xml:space="preserve">” (41-52 </w:t>
      </w:r>
      <w:r w:rsidRPr="004D1A34">
        <w:t>sav.</w:t>
      </w:r>
      <w:r w:rsidRPr="004D1A34">
        <w:rPr>
          <w:lang w:val="en-GB"/>
        </w:rPr>
        <w:t xml:space="preserve">) </w:t>
      </w:r>
      <w:proofErr w:type="spellStart"/>
      <w:r w:rsidR="005C6EC1" w:rsidRPr="004D1A34">
        <w:rPr>
          <w:lang w:val="en-GB"/>
        </w:rPr>
        <w:t>perėjimo</w:t>
      </w:r>
      <w:proofErr w:type="spellEnd"/>
      <w:r w:rsidR="005C6EC1" w:rsidRPr="004D1A34">
        <w:rPr>
          <w:lang w:val="en-GB"/>
        </w:rPr>
        <w:t xml:space="preserve"> tarp </w:t>
      </w:r>
      <w:proofErr w:type="spellStart"/>
      <w:r w:rsidR="005C6EC1" w:rsidRPr="004D1A34">
        <w:rPr>
          <w:lang w:val="en-GB"/>
        </w:rPr>
        <w:t>būklių</w:t>
      </w:r>
      <w:proofErr w:type="spellEnd"/>
      <w:r w:rsidR="005C6EC1" w:rsidRPr="004D1A34">
        <w:rPr>
          <w:lang w:val="en-GB"/>
        </w:rPr>
        <w:t xml:space="preserve"> </w:t>
      </w:r>
      <w:proofErr w:type="spellStart"/>
      <w:r w:rsidR="005C6EC1" w:rsidRPr="004D1A34">
        <w:rPr>
          <w:lang w:val="en-GB"/>
        </w:rPr>
        <w:t>tikimybių</w:t>
      </w:r>
      <w:proofErr w:type="spellEnd"/>
      <w:r w:rsidR="005C6EC1" w:rsidRPr="004D1A34">
        <w:rPr>
          <w:lang w:val="en-GB"/>
        </w:rPr>
        <w:t xml:space="preserve"> </w:t>
      </w:r>
      <w:proofErr w:type="spellStart"/>
      <w:r w:rsidRPr="004D1A34">
        <w:rPr>
          <w:lang w:val="en-GB"/>
        </w:rPr>
        <w:t>lemia</w:t>
      </w:r>
      <w:proofErr w:type="spellEnd"/>
      <w:r w:rsidRPr="004D1A34">
        <w:rPr>
          <w:lang w:val="en-GB"/>
        </w:rPr>
        <w:t xml:space="preserve"> </w:t>
      </w:r>
      <w:proofErr w:type="spellStart"/>
      <w:r w:rsidRPr="004D1A34">
        <w:rPr>
          <w:lang w:val="en-GB"/>
        </w:rPr>
        <w:t>konservatyvesnį</w:t>
      </w:r>
      <w:proofErr w:type="spellEnd"/>
      <w:r w:rsidRPr="004D1A34">
        <w:rPr>
          <w:lang w:val="en-GB"/>
        </w:rPr>
        <w:t xml:space="preserve"> </w:t>
      </w:r>
      <w:proofErr w:type="spellStart"/>
      <w:r w:rsidRPr="004D1A34">
        <w:rPr>
          <w:lang w:val="en-GB"/>
        </w:rPr>
        <w:t>kaštų</w:t>
      </w:r>
      <w:proofErr w:type="spellEnd"/>
      <w:r w:rsidRPr="004D1A34">
        <w:rPr>
          <w:lang w:val="en-GB"/>
        </w:rPr>
        <w:t xml:space="preserve"> </w:t>
      </w:r>
      <w:proofErr w:type="spellStart"/>
      <w:r w:rsidRPr="004D1A34">
        <w:rPr>
          <w:lang w:val="en-GB"/>
        </w:rPr>
        <w:t>analizės</w:t>
      </w:r>
      <w:proofErr w:type="spellEnd"/>
      <w:r w:rsidRPr="004D1A34">
        <w:rPr>
          <w:lang w:val="en-GB"/>
        </w:rPr>
        <w:t xml:space="preserve"> </w:t>
      </w:r>
      <w:proofErr w:type="spellStart"/>
      <w:r w:rsidRPr="004D1A34">
        <w:rPr>
          <w:lang w:val="en-GB"/>
        </w:rPr>
        <w:t>rezultatą</w:t>
      </w:r>
      <w:proofErr w:type="spellEnd"/>
      <w:r w:rsidRPr="004D1A34">
        <w:rPr>
          <w:lang w:val="en-GB"/>
        </w:rPr>
        <w:t xml:space="preserve"> </w:t>
      </w:r>
      <w:proofErr w:type="spellStart"/>
      <w:r w:rsidRPr="004D1A34">
        <w:rPr>
          <w:lang w:val="en-GB"/>
        </w:rPr>
        <w:t>ir</w:t>
      </w:r>
      <w:proofErr w:type="spellEnd"/>
      <w:r w:rsidRPr="004D1A34">
        <w:rPr>
          <w:lang w:val="en-GB"/>
        </w:rPr>
        <w:t xml:space="preserve"> </w:t>
      </w:r>
      <w:proofErr w:type="spellStart"/>
      <w:r w:rsidRPr="004D1A34">
        <w:rPr>
          <w:lang w:val="en-GB"/>
        </w:rPr>
        <w:t>apskaičiuotas</w:t>
      </w:r>
      <w:proofErr w:type="spellEnd"/>
      <w:r w:rsidRPr="004D1A34">
        <w:rPr>
          <w:lang w:val="en-GB"/>
        </w:rPr>
        <w:t xml:space="preserve"> ICER </w:t>
      </w:r>
      <w:proofErr w:type="spellStart"/>
      <w:r w:rsidRPr="004D1A34">
        <w:rPr>
          <w:lang w:val="en-GB"/>
        </w:rPr>
        <w:t>neatitinka</w:t>
      </w:r>
      <w:proofErr w:type="spellEnd"/>
      <w:r w:rsidRPr="004D1A34">
        <w:rPr>
          <w:lang w:val="en-GB"/>
        </w:rPr>
        <w:t xml:space="preserve"> </w:t>
      </w:r>
      <w:proofErr w:type="spellStart"/>
      <w:r w:rsidRPr="004D1A34">
        <w:rPr>
          <w:lang w:val="en-GB"/>
        </w:rPr>
        <w:t>referencinės</w:t>
      </w:r>
      <w:proofErr w:type="spellEnd"/>
      <w:r w:rsidRPr="004D1A34">
        <w:rPr>
          <w:lang w:val="en-GB"/>
        </w:rPr>
        <w:t xml:space="preserve"> </w:t>
      </w:r>
      <w:proofErr w:type="spellStart"/>
      <w:r w:rsidRPr="004D1A34">
        <w:rPr>
          <w:lang w:val="en-GB"/>
        </w:rPr>
        <w:t>kaštų</w:t>
      </w:r>
      <w:proofErr w:type="spellEnd"/>
      <w:r w:rsidRPr="004D1A34">
        <w:rPr>
          <w:lang w:val="en-GB"/>
        </w:rPr>
        <w:t xml:space="preserve"> </w:t>
      </w:r>
      <w:proofErr w:type="spellStart"/>
      <w:r w:rsidRPr="004D1A34">
        <w:rPr>
          <w:lang w:val="en-GB"/>
        </w:rPr>
        <w:t>naudingumo</w:t>
      </w:r>
      <w:proofErr w:type="spellEnd"/>
      <w:r w:rsidRPr="004D1A34">
        <w:rPr>
          <w:lang w:val="en-GB"/>
        </w:rPr>
        <w:t xml:space="preserve"> </w:t>
      </w:r>
      <w:proofErr w:type="spellStart"/>
      <w:r w:rsidRPr="004D1A34">
        <w:rPr>
          <w:lang w:val="en-GB"/>
        </w:rPr>
        <w:t>vertės</w:t>
      </w:r>
      <w:proofErr w:type="spellEnd"/>
      <w:r w:rsidRPr="004D1A34">
        <w:rPr>
          <w:lang w:val="en-GB"/>
        </w:rPr>
        <w:t>.</w:t>
      </w:r>
      <w:r w:rsidRPr="004D1A34">
        <w:rPr>
          <w:lang w:val="en-US"/>
        </w:rPr>
        <w:t xml:space="preserve"> </w:t>
      </w:r>
    </w:p>
    <w:p w14:paraId="2DDB603A" w14:textId="7DDDE992" w:rsidR="007857B8" w:rsidRPr="004D1A34" w:rsidRDefault="007857B8" w:rsidP="00185F87">
      <w:pPr>
        <w:spacing w:line="276" w:lineRule="auto"/>
        <w:ind w:firstLine="567"/>
        <w:jc w:val="both"/>
        <w:rPr>
          <w:lang w:val="en-US"/>
        </w:rPr>
      </w:pPr>
      <w:r w:rsidRPr="004D1A34">
        <w:t xml:space="preserve">Atkreipiamas dėmesys, kad duomenys iš klinikinio tyrimo įtraukti iki 52 sav. (~1 m.), toliau rezultatai kaštų analizėje (39 m.) </w:t>
      </w:r>
      <w:proofErr w:type="spellStart"/>
      <w:r w:rsidRPr="004D1A34">
        <w:t>ekstrapoliuojami</w:t>
      </w:r>
      <w:proofErr w:type="spellEnd"/>
      <w:r w:rsidRPr="004D1A34">
        <w:t xml:space="preserve"> remiantis prielaidomis, kurios laikomos nepagrįstomis. Vertinant klinikinio tyrimo laikotarpiu, pareiškėjas papildomai sukuria tik 0,02 QALYS ,</w:t>
      </w:r>
      <w:proofErr w:type="spellStart"/>
      <w:r w:rsidRPr="004D1A34">
        <w:t>t.y</w:t>
      </w:r>
      <w:proofErr w:type="spellEnd"/>
      <w:r w:rsidRPr="004D1A34">
        <w:t xml:space="preserve">. didžioji nauda gaunama prielaidomis grįstomis </w:t>
      </w:r>
      <w:proofErr w:type="spellStart"/>
      <w:r w:rsidRPr="004D1A34">
        <w:t>ekstrapoliuotų</w:t>
      </w:r>
      <w:proofErr w:type="spellEnd"/>
      <w:r w:rsidRPr="004D1A34">
        <w:t xml:space="preserve"> duomenų laikotarpio metu.</w:t>
      </w:r>
    </w:p>
    <w:p w14:paraId="3BD3DBDC" w14:textId="1FEC2678" w:rsidR="007857B8" w:rsidRPr="004D1A34" w:rsidRDefault="007857B8" w:rsidP="00185F87">
      <w:pPr>
        <w:spacing w:line="276" w:lineRule="auto"/>
        <w:ind w:firstLine="567"/>
        <w:jc w:val="both"/>
      </w:pPr>
      <w:r w:rsidRPr="004D1A34">
        <w:t xml:space="preserve">Tarnyba vertina, kad astma priskiriama lengvai ligos naštai ir nėra siejama su mirčių įtaka: kaštų analizė yra pagrįsta vertinimu sukuriamos naudos pagal gyvenimo kokybės pranašumą, o ne </w:t>
      </w:r>
      <w:proofErr w:type="spellStart"/>
      <w:r w:rsidRPr="004D1A34">
        <w:t>išgyvenamumo</w:t>
      </w:r>
      <w:proofErr w:type="spellEnd"/>
      <w:r w:rsidRPr="004D1A34">
        <w:t xml:space="preserve"> prailginimo (modelyje taikoma prielaida, kad palyginamieji gyvenimo metų sukuria vienodai (po 16,86 QALY). Kaštų analizėje pritaikius papildomą mirtingumo riziką dėl astmos pagal amžiaus grupes sunkių paūmėjimų su </w:t>
      </w:r>
      <w:proofErr w:type="spellStart"/>
      <w:r w:rsidRPr="004D1A34">
        <w:t>hospitalizacijomis</w:t>
      </w:r>
      <w:proofErr w:type="spellEnd"/>
      <w:r w:rsidRPr="004D1A34">
        <w:t xml:space="preserve"> būklėje, ICER neatitinka kaštų naudingumo referencinės vertės ir yra dominuojantis (palyginamojo vaistinio preparato nauda didesnė/kaštai mažesni).</w:t>
      </w:r>
      <w:r w:rsidR="005C6EC1" w:rsidRPr="004D1A34">
        <w:t xml:space="preserve"> </w:t>
      </w:r>
      <w:r w:rsidRPr="004D1A34">
        <w:t xml:space="preserve">Atkreipiamas dėmesys, kad pagal </w:t>
      </w:r>
      <w:proofErr w:type="spellStart"/>
      <w:r w:rsidRPr="004D1A34">
        <w:t>vienveiksnę</w:t>
      </w:r>
      <w:proofErr w:type="spellEnd"/>
      <w:r w:rsidRPr="004D1A34">
        <w:t xml:space="preserve"> jautrumo analizę, gyvenimo kokybės </w:t>
      </w:r>
      <w:r w:rsidRPr="004D1A34">
        <w:lastRenderedPageBreak/>
        <w:t>koeficientų taikymas turi didžiausią įtaką kaštų analizės rezultatams. Pareiškėjas kaštų analizėje taiko gyvenimo kokybės koeficientus publikuotus literatūros šaltiniuose (</w:t>
      </w:r>
      <w:proofErr w:type="spellStart"/>
      <w:r w:rsidRPr="004D1A34">
        <w:rPr>
          <w:i/>
          <w:iCs/>
        </w:rPr>
        <w:t>Lloyd</w:t>
      </w:r>
      <w:proofErr w:type="spellEnd"/>
      <w:r w:rsidRPr="004D1A34">
        <w:rPr>
          <w:i/>
          <w:iCs/>
        </w:rPr>
        <w:t xml:space="preserve"> A. et al, </w:t>
      </w:r>
      <w:r w:rsidRPr="004D1A34">
        <w:rPr>
          <w:i/>
          <w:iCs/>
          <w:lang w:val="en-US"/>
        </w:rPr>
        <w:t xml:space="preserve">2007, </w:t>
      </w:r>
      <w:proofErr w:type="spellStart"/>
      <w:r w:rsidRPr="004D1A34">
        <w:rPr>
          <w:i/>
          <w:iCs/>
          <w:lang w:val="en-US"/>
        </w:rPr>
        <w:t>Willson</w:t>
      </w:r>
      <w:proofErr w:type="spellEnd"/>
      <w:r w:rsidRPr="004D1A34">
        <w:rPr>
          <w:i/>
          <w:iCs/>
          <w:lang w:val="en-US"/>
        </w:rPr>
        <w:t xml:space="preserve"> et al, 2014). </w:t>
      </w:r>
      <w:r w:rsidRPr="004D1A34">
        <w:rPr>
          <w:bCs/>
        </w:rPr>
        <w:t xml:space="preserve">Dėl kitų gyvenimo kokybės koeficientų reikšmių palyginamoms sveikatos būklėms anksčiau publikuotose tyrimuose, kurių pagalba būtų galima įvertinti ar šioje analizėje naudojamos reikšmės yra tinkamos, Pareiškėjas papildomų duomenų nepateikė. </w:t>
      </w:r>
    </w:p>
    <w:p w14:paraId="49A65EBD" w14:textId="77777777" w:rsidR="007857B8" w:rsidRPr="004D1A34" w:rsidRDefault="007857B8" w:rsidP="00185F87">
      <w:pPr>
        <w:spacing w:line="276" w:lineRule="auto"/>
        <w:ind w:firstLine="720"/>
        <w:jc w:val="both"/>
      </w:pPr>
      <w:proofErr w:type="spellStart"/>
      <w:r w:rsidRPr="004D1A34">
        <w:t>Trimbow</w:t>
      </w:r>
      <w:proofErr w:type="spellEnd"/>
      <w:r w:rsidRPr="004D1A34">
        <w:t xml:space="preserve"> klinikiniuose tyrimuose pacientų gyvenimo kokybė pagal ligos paūmėjimą nevertinta. Pagal bendruosius ACQ-7 (astmos kontrolės klausimyno) balus, kurie apima dienos ir nakties metu nustatytus astmos simptomus, vaistų vartojimą ir </w:t>
      </w:r>
      <w:proofErr w:type="spellStart"/>
      <w:r w:rsidRPr="004D1A34">
        <w:t>spirometriją</w:t>
      </w:r>
      <w:proofErr w:type="spellEnd"/>
      <w:r w:rsidRPr="004D1A34">
        <w:t xml:space="preserve"> 52 savaičių laikotarpiu, </w:t>
      </w:r>
      <w:proofErr w:type="spellStart"/>
      <w:r w:rsidRPr="004D1A34">
        <w:t>Trimaran</w:t>
      </w:r>
      <w:proofErr w:type="spellEnd"/>
      <w:r w:rsidRPr="004D1A34">
        <w:t xml:space="preserve"> klinikinio tyrimo gyvenimo kokybės įverčiai tarp palyginamųjų – panašūs. (EQ-5D-3L klausimyno įverčiai Pareiškėjo nepateikti). </w:t>
      </w:r>
      <w:r w:rsidRPr="004D1A34">
        <w:rPr>
          <w:rFonts w:eastAsiaTheme="minorHAnsi"/>
        </w:rPr>
        <w:t>P</w:t>
      </w:r>
      <w:r w:rsidRPr="004D1A34">
        <w:t xml:space="preserve">areiškėjas argumentuoja, kad modeliavimas pagal ligos kontrolės lygį turėtų mažai įtakos kaštų analizės rezultatams ir modeliavimas pagal sveikatos būkles yra tinkamesnis, kadangi dėl pacientų patiriamų ligos paūmėjimų (būtinosios pagalbos, </w:t>
      </w:r>
      <w:proofErr w:type="spellStart"/>
      <w:r w:rsidRPr="004D1A34">
        <w:t>hospitalizacijų</w:t>
      </w:r>
      <w:proofErr w:type="spellEnd"/>
      <w:r w:rsidRPr="004D1A34">
        <w:t>, konsultacijų ir kt.), geriau atspindi sveikatos priežiūros resursų ir kaštų poreikį.</w:t>
      </w:r>
    </w:p>
    <w:p w14:paraId="0E8D4E02" w14:textId="77777777" w:rsidR="007857B8" w:rsidRPr="004D1A34" w:rsidRDefault="007857B8" w:rsidP="00185F87">
      <w:pPr>
        <w:spacing w:line="276" w:lineRule="auto"/>
        <w:ind w:firstLine="720"/>
        <w:jc w:val="both"/>
      </w:pPr>
      <w:r w:rsidRPr="004D1A34">
        <w:t>Tarnyba atkreipia dėmesį, kad vertinant sveikatai sukuriamą naudą pagal pareiškėjo modeliuojamas ligos paūmėjimo sveikatos būkles, matyti, kad daugiausiai kokybiškų gyvenimo metų (</w:t>
      </w:r>
      <w:proofErr w:type="spellStart"/>
      <w:r w:rsidRPr="004D1A34">
        <w:t>QALYs</w:t>
      </w:r>
      <w:proofErr w:type="spellEnd"/>
      <w:r w:rsidRPr="004D1A34">
        <w:t xml:space="preserve">) </w:t>
      </w:r>
      <w:proofErr w:type="spellStart"/>
      <w:r w:rsidRPr="004D1A34">
        <w:t>Trimbow</w:t>
      </w:r>
      <w:proofErr w:type="spellEnd"/>
      <w:r w:rsidRPr="004D1A34">
        <w:t xml:space="preserve"> lyginant su </w:t>
      </w:r>
      <w:proofErr w:type="spellStart"/>
      <w:r w:rsidRPr="004D1A34">
        <w:t>Foster</w:t>
      </w:r>
      <w:proofErr w:type="spellEnd"/>
      <w:r w:rsidRPr="004D1A34">
        <w:t xml:space="preserve"> sukuria ligos be paūmėjimų būklėje, kuri pagal resursų poreikį yra agreguota atsižvelgiant į </w:t>
      </w:r>
      <w:proofErr w:type="spellStart"/>
      <w:r w:rsidRPr="004D1A34">
        <w:t>Willson</w:t>
      </w:r>
      <w:proofErr w:type="spellEnd"/>
      <w:r w:rsidRPr="004D1A34">
        <w:t xml:space="preserve"> et al, 2014 publikacijos duomenis pagal astmos ligos kontrolę. (Tarnyba primena, kad pagal </w:t>
      </w:r>
      <w:proofErr w:type="spellStart"/>
      <w:r w:rsidRPr="004D1A34">
        <w:t>Trimaran</w:t>
      </w:r>
      <w:proofErr w:type="spellEnd"/>
      <w:r w:rsidRPr="004D1A34">
        <w:t xml:space="preserve"> klinikinio tyrimo astmos ligos kontrolės klausimyno rezultatus, reikšmingų skirtumų tarp pacientų gyvenimo kokybės nenustatyta). Lyginant kitas sveikatos būkles, kurios pagal modelio struktūrą lemia didžiausius sveikatos priežiūros resursus ir kaštus, vertinamuoju viso gyvenimo perspektyvos laikotarpiu (40 m.), </w:t>
      </w:r>
      <w:proofErr w:type="spellStart"/>
      <w:r w:rsidRPr="004D1A34">
        <w:t>Trimbow</w:t>
      </w:r>
      <w:proofErr w:type="spellEnd"/>
      <w:r w:rsidRPr="004D1A34">
        <w:t xml:space="preserve"> sukuriama nauda minimali (sunkių su </w:t>
      </w:r>
      <w:proofErr w:type="spellStart"/>
      <w:r w:rsidRPr="004D1A34">
        <w:t>hospitalizacijomis</w:t>
      </w:r>
      <w:proofErr w:type="spellEnd"/>
      <w:r w:rsidRPr="004D1A34">
        <w:t xml:space="preserve"> paūmėjimų sveikatos būklėje sveikatai sukuriamų kokybiškų gyvenimo metų skirtumas </w:t>
      </w:r>
      <w:proofErr w:type="spellStart"/>
      <w:r w:rsidRPr="004D1A34">
        <w:t>Foster</w:t>
      </w:r>
      <w:proofErr w:type="spellEnd"/>
      <w:r w:rsidRPr="004D1A34">
        <w:t xml:space="preserve"> naudai minimalus: 0,02 </w:t>
      </w:r>
      <w:proofErr w:type="spellStart"/>
      <w:r w:rsidRPr="004D1A34">
        <w:t>QALYs</w:t>
      </w:r>
      <w:proofErr w:type="spellEnd"/>
      <w:r w:rsidRPr="004D1A34">
        <w:t xml:space="preserve"> per 40 m.) arba mažesnė nei palyginamojo (vidutinių (-0,54 </w:t>
      </w:r>
      <w:proofErr w:type="spellStart"/>
      <w:r w:rsidRPr="004D1A34">
        <w:t>QALYs</w:t>
      </w:r>
      <w:proofErr w:type="spellEnd"/>
      <w:r w:rsidRPr="004D1A34">
        <w:t xml:space="preserve">) ir sunkių paūmėjimų (-0,18 </w:t>
      </w:r>
      <w:proofErr w:type="spellStart"/>
      <w:r w:rsidRPr="004D1A34">
        <w:t>QALYs</w:t>
      </w:r>
      <w:proofErr w:type="spellEnd"/>
      <w:r w:rsidRPr="004D1A34">
        <w:t xml:space="preserve">) būklėse sveikatai sukuriama nauda didesnė </w:t>
      </w:r>
      <w:proofErr w:type="spellStart"/>
      <w:r w:rsidRPr="004D1A34">
        <w:t>Foster</w:t>
      </w:r>
      <w:proofErr w:type="spellEnd"/>
      <w:r w:rsidRPr="004D1A34">
        <w:t xml:space="preserve">). </w:t>
      </w:r>
    </w:p>
    <w:p w14:paraId="5DF651EE" w14:textId="77777777" w:rsidR="007857B8" w:rsidRPr="004D1A34" w:rsidRDefault="007857B8" w:rsidP="00185F87">
      <w:pPr>
        <w:spacing w:line="276" w:lineRule="auto"/>
        <w:ind w:firstLine="567"/>
        <w:jc w:val="both"/>
      </w:pPr>
      <w:r w:rsidRPr="004D1A34">
        <w:t xml:space="preserve">Apibendrinant, Tarnyba vertina, kad sveikatai sukuriama nauda yra panaši ir sukuriami kokybiškų gyvenimo metų skirtumai tarp palyginamųjų yra per maži, kad būtų galima tinkamai įvertinti kaštų analizės rezultatus. Tai pagrindžia scenarijų analizės rezultatai, kuriais remiantis keičiant bet kurį kintamųjų apskaičiuotas ICER ženkliai kinta (nuo dominuojančio iki 120 574 </w:t>
      </w:r>
      <w:proofErr w:type="spellStart"/>
      <w:r w:rsidRPr="004D1A34">
        <w:t>Eur</w:t>
      </w:r>
      <w:proofErr w:type="spellEnd"/>
      <w:r w:rsidRPr="004D1A34">
        <w:t xml:space="preserve">./QALY), kas rodo modelio nepatikimumą. </w:t>
      </w:r>
    </w:p>
    <w:p w14:paraId="16B548A6" w14:textId="2CA728BB" w:rsidR="009C14DD" w:rsidRPr="004D1A34" w:rsidRDefault="009C14DD" w:rsidP="00A93AA6">
      <w:pPr>
        <w:tabs>
          <w:tab w:val="left" w:pos="426"/>
        </w:tabs>
        <w:rPr>
          <w:b/>
          <w:bCs/>
          <w:caps/>
        </w:rPr>
      </w:pPr>
    </w:p>
    <w:p w14:paraId="33875138" w14:textId="77777777" w:rsidR="0035172D" w:rsidRPr="004D1A34" w:rsidRDefault="0035172D" w:rsidP="00A93AA6">
      <w:pPr>
        <w:tabs>
          <w:tab w:val="left" w:pos="426"/>
        </w:tabs>
        <w:rPr>
          <w:b/>
          <w:bCs/>
          <w:caps/>
        </w:rPr>
      </w:pPr>
    </w:p>
    <w:p w14:paraId="4FC424F9" w14:textId="4E767245" w:rsidR="00C62B36" w:rsidRPr="004D1A34" w:rsidRDefault="00C62B36" w:rsidP="00937907">
      <w:pPr>
        <w:pStyle w:val="Sraopastraipa"/>
        <w:numPr>
          <w:ilvl w:val="0"/>
          <w:numId w:val="12"/>
        </w:numPr>
        <w:tabs>
          <w:tab w:val="left" w:pos="284"/>
        </w:tabs>
        <w:rPr>
          <w:b/>
          <w:bCs/>
          <w:caps/>
        </w:rPr>
      </w:pPr>
      <w:r w:rsidRPr="004D1A34">
        <w:rPr>
          <w:b/>
          <w:bCs/>
          <w:caps/>
        </w:rPr>
        <w:t xml:space="preserve">Pacientų organizacijų pateikti duomenys </w:t>
      </w:r>
    </w:p>
    <w:p w14:paraId="79BCFF40" w14:textId="1992DF4A" w:rsidR="00937907" w:rsidRPr="004D1A34" w:rsidRDefault="001C6208"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937907" w:rsidRPr="004D1A34">
            <w:rPr>
              <w:rStyle w:val="Style2"/>
              <w:rFonts w:ascii="MS Gothic" w:eastAsia="MS Gothic" w:hAnsi="MS Gothic" w:hint="eastAsia"/>
            </w:rPr>
            <w:t>☐</w:t>
          </w:r>
        </w:sdtContent>
      </w:sdt>
      <w:r w:rsidR="00937907" w:rsidRPr="004D1A34">
        <w:t xml:space="preserve"> Pacientų organizacijos pozicija pateikta. Žr. priedą.</w:t>
      </w:r>
    </w:p>
    <w:p w14:paraId="62992180" w14:textId="46D11557" w:rsidR="00937907" w:rsidRPr="004D1A34" w:rsidRDefault="001C6208"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67695E" w:rsidRPr="004D1A34">
            <w:rPr>
              <w:rStyle w:val="Style2"/>
              <w:rFonts w:ascii="MS Gothic" w:eastAsia="MS Gothic" w:hAnsi="MS Gothic" w:hint="eastAsia"/>
            </w:rPr>
            <w:t>☒</w:t>
          </w:r>
        </w:sdtContent>
      </w:sdt>
      <w:r w:rsidR="00937907" w:rsidRPr="004D1A34">
        <w:t xml:space="preserve"> Pacientų organizacijos pozicija </w:t>
      </w:r>
      <w:r w:rsidR="00880A44" w:rsidRPr="004D1A34">
        <w:t>ne</w:t>
      </w:r>
      <w:r w:rsidR="00937907" w:rsidRPr="004D1A34">
        <w:t>pateikta.</w:t>
      </w:r>
    </w:p>
    <w:p w14:paraId="3D3277FA" w14:textId="3CEEB2D2" w:rsidR="00C62B36" w:rsidRPr="004D1A34" w:rsidRDefault="00C62B36" w:rsidP="00937907">
      <w:pPr>
        <w:pStyle w:val="Sraopastraipa"/>
        <w:numPr>
          <w:ilvl w:val="0"/>
          <w:numId w:val="12"/>
        </w:numPr>
        <w:tabs>
          <w:tab w:val="left" w:pos="426"/>
        </w:tabs>
        <w:rPr>
          <w:b/>
          <w:bCs/>
          <w:caps/>
        </w:rPr>
      </w:pPr>
      <w:r w:rsidRPr="004D1A34">
        <w:rPr>
          <w:b/>
          <w:bCs/>
          <w:caps/>
        </w:rPr>
        <w:t>Gydytojų organizacijų pateikti duomenys</w:t>
      </w:r>
    </w:p>
    <w:p w14:paraId="389A346C" w14:textId="54569886" w:rsidR="00937907" w:rsidRPr="004D1A34" w:rsidRDefault="001C6208"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67695E" w:rsidRPr="004D1A34">
            <w:rPr>
              <w:rStyle w:val="Style2"/>
              <w:rFonts w:ascii="MS Gothic" w:eastAsia="MS Gothic" w:hAnsi="MS Gothic" w:hint="eastAsia"/>
            </w:rPr>
            <w:t>☒</w:t>
          </w:r>
        </w:sdtContent>
      </w:sdt>
      <w:r w:rsidR="00662983" w:rsidRPr="004D1A34">
        <w:t xml:space="preserve"> </w:t>
      </w:r>
      <w:r w:rsidR="00937907" w:rsidRPr="004D1A34">
        <w:t xml:space="preserve">Gydytojų specialistų organizacijos pozicija pateikta. </w:t>
      </w:r>
      <w:r w:rsidR="00662983" w:rsidRPr="004D1A34">
        <w:t>Žr. priedą</w:t>
      </w:r>
      <w:r w:rsidR="00937907" w:rsidRPr="004D1A34">
        <w:t>.</w:t>
      </w:r>
    </w:p>
    <w:p w14:paraId="5D8CC48C" w14:textId="2804E133" w:rsidR="00662983" w:rsidRPr="004D1A34" w:rsidRDefault="001C6208"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937907" w:rsidRPr="004D1A34">
            <w:rPr>
              <w:rStyle w:val="Style2"/>
              <w:rFonts w:ascii="MS Gothic" w:eastAsia="MS Gothic" w:hAnsi="MS Gothic" w:hint="eastAsia"/>
            </w:rPr>
            <w:t>☐</w:t>
          </w:r>
        </w:sdtContent>
      </w:sdt>
      <w:r w:rsidR="00662983" w:rsidRPr="004D1A34">
        <w:t xml:space="preserve"> </w:t>
      </w:r>
      <w:r w:rsidR="00937907" w:rsidRPr="004D1A34">
        <w:t xml:space="preserve">Gydytojų specialistų organizacijos pozicija </w:t>
      </w:r>
      <w:r w:rsidR="00880A44" w:rsidRPr="004D1A34">
        <w:t>ne</w:t>
      </w:r>
      <w:r w:rsidR="00937907" w:rsidRPr="004D1A34">
        <w:t>pateikta.</w:t>
      </w:r>
    </w:p>
    <w:p w14:paraId="78F23ECB" w14:textId="23A3A002" w:rsidR="002F0E4F" w:rsidRPr="004D1A34" w:rsidRDefault="002F0E4F" w:rsidP="00937907">
      <w:pPr>
        <w:pStyle w:val="Sraopastraipa"/>
        <w:numPr>
          <w:ilvl w:val="0"/>
          <w:numId w:val="12"/>
        </w:numPr>
        <w:tabs>
          <w:tab w:val="left" w:pos="426"/>
        </w:tabs>
        <w:rPr>
          <w:b/>
          <w:bCs/>
          <w:caps/>
        </w:rPr>
      </w:pPr>
      <w:r w:rsidRPr="004D1A34">
        <w:rPr>
          <w:b/>
          <w:bCs/>
          <w:caps/>
        </w:rPr>
        <w:t xml:space="preserve">Išvada </w:t>
      </w:r>
    </w:p>
    <w:p w14:paraId="573E407F" w14:textId="77777777" w:rsidR="00797153" w:rsidRPr="004D1A34"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4D1A34" w14:paraId="25A2473E" w14:textId="77777777" w:rsidTr="00BD1E5A">
        <w:tc>
          <w:tcPr>
            <w:tcW w:w="4981" w:type="dxa"/>
          </w:tcPr>
          <w:p w14:paraId="7EFE6941" w14:textId="23B8BB6D" w:rsidR="00B13D65"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D1A34">
              <w:rPr>
                <w:rStyle w:val="Style2"/>
                <w:rFonts w:eastAsia="MS Gothic"/>
                <w:b/>
                <w:bCs/>
                <w:sz w:val="24"/>
              </w:rPr>
              <w:t>Rekomenduojama kompensuoti</w:t>
            </w:r>
          </w:p>
        </w:tc>
        <w:tc>
          <w:tcPr>
            <w:tcW w:w="4981" w:type="dxa"/>
          </w:tcPr>
          <w:p w14:paraId="330A1A5E" w14:textId="19247DC1" w:rsidR="00B13D65"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D1A34">
              <w:rPr>
                <w:rStyle w:val="Style2"/>
                <w:rFonts w:eastAsia="MS Gothic"/>
                <w:b/>
                <w:bCs/>
                <w:sz w:val="24"/>
              </w:rPr>
              <w:t xml:space="preserve">Rekomenduojama nekompensuoti </w:t>
            </w:r>
          </w:p>
        </w:tc>
      </w:tr>
      <w:tr w:rsidR="00B13D65" w:rsidRPr="004D1A34" w14:paraId="143A7356" w14:textId="77777777" w:rsidTr="00BD1E5A">
        <w:tc>
          <w:tcPr>
            <w:tcW w:w="9962" w:type="dxa"/>
            <w:gridSpan w:val="2"/>
          </w:tcPr>
          <w:p w14:paraId="5D93D240"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D1A34">
              <w:rPr>
                <w:rStyle w:val="Style2"/>
                <w:rFonts w:eastAsia="MS Gothic"/>
                <w:b/>
                <w:bCs/>
                <w:sz w:val="24"/>
              </w:rPr>
              <w:t>Palyginamasis efektyvumas</w:t>
            </w:r>
          </w:p>
          <w:p w14:paraId="0AF5D6B4"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4D1A34" w14:paraId="28A0C814" w14:textId="77777777" w:rsidTr="00BD1E5A">
        <w:tc>
          <w:tcPr>
            <w:tcW w:w="4981" w:type="dxa"/>
          </w:tcPr>
          <w:p w14:paraId="216769B5" w14:textId="0B881A0A"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2308CC" w:rsidRPr="004D1A34">
                  <w:rPr>
                    <w:rStyle w:val="Style2"/>
                    <w:rFonts w:ascii="MS Gothic" w:eastAsia="MS Gothic" w:hAnsi="MS Gothic" w:cs="Segoe UI Symbol" w:hint="eastAsia"/>
                    <w:sz w:val="24"/>
                  </w:rPr>
                  <w:t>☒</w:t>
                </w:r>
              </w:sdtContent>
            </w:sdt>
            <w:r w:rsidR="00B13D65" w:rsidRPr="004D1A34">
              <w:t xml:space="preserve"> 32.1. yra didesnis</w:t>
            </w:r>
          </w:p>
          <w:p w14:paraId="3B48F372"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4D1A34" w:rsidRDefault="001C6208"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32.1. iš esmės nesiskiria</w:t>
            </w:r>
          </w:p>
        </w:tc>
        <w:tc>
          <w:tcPr>
            <w:tcW w:w="4981" w:type="dxa"/>
          </w:tcPr>
          <w:p w14:paraId="507828D9" w14:textId="09AE523F"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33.1. yra mažesnis</w:t>
            </w:r>
          </w:p>
          <w:p w14:paraId="7F95DEEC"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33.1. yra neįrodytas kaip toks pat</w:t>
            </w:r>
          </w:p>
          <w:p w14:paraId="35205E85"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4D1A34">
                  <w:rPr>
                    <w:rStyle w:val="Style2"/>
                    <w:rFonts w:ascii="Segoe UI Symbol" w:eastAsia="MS Gothic" w:hAnsi="Segoe UI Symbol" w:cs="Segoe UI Symbol"/>
                    <w:sz w:val="24"/>
                  </w:rPr>
                  <w:t>☐</w:t>
                </w:r>
              </w:sdtContent>
            </w:sdt>
            <w:r w:rsidR="00662983" w:rsidRPr="004D1A34">
              <w:t xml:space="preserve"> 33.1 </w:t>
            </w:r>
            <w:r w:rsidR="00B13D65" w:rsidRPr="004D1A34">
              <w:t>neįrodytas kaip didesnis</w:t>
            </w:r>
          </w:p>
          <w:p w14:paraId="512E653B"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33.1. pateikti duomenys apie palyginamąjį efektyvumą yra netinkami vertinti</w:t>
            </w:r>
          </w:p>
          <w:p w14:paraId="5DDAA961"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4D1A34" w14:paraId="161CC3FE" w14:textId="77777777" w:rsidTr="00BD1E5A">
        <w:tc>
          <w:tcPr>
            <w:tcW w:w="9962" w:type="dxa"/>
            <w:gridSpan w:val="2"/>
          </w:tcPr>
          <w:p w14:paraId="3B2878F0"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D1A34">
              <w:rPr>
                <w:rStyle w:val="Style2"/>
                <w:rFonts w:eastAsia="MS Gothic"/>
                <w:b/>
                <w:bCs/>
                <w:sz w:val="24"/>
              </w:rPr>
              <w:lastRenderedPageBreak/>
              <w:t>Klinikinis veiksmingumas</w:t>
            </w:r>
          </w:p>
          <w:p w14:paraId="1AB46894"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4D1A34" w14:paraId="3C60570A" w14:textId="77777777" w:rsidTr="00BD1E5A">
        <w:tc>
          <w:tcPr>
            <w:tcW w:w="4981" w:type="dxa"/>
          </w:tcPr>
          <w:p w14:paraId="6897B306" w14:textId="59AEE499"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D00597" w:rsidRPr="004D1A34">
                  <w:rPr>
                    <w:rStyle w:val="Style2"/>
                    <w:rFonts w:ascii="MS Gothic" w:eastAsia="MS Gothic" w:hAnsi="MS Gothic" w:hint="eastAsia"/>
                    <w:sz w:val="24"/>
                  </w:rPr>
                  <w:t>☒</w:t>
                </w:r>
              </w:sdtContent>
            </w:sdt>
            <w:r w:rsidR="00B13D65" w:rsidRPr="004D1A34">
              <w:t xml:space="preserve"> 32.2. yra įvertintas kaip pagrindžiantis papildomos naudos pacientų sveikatai sukūrimą, lyginant su įprasta klinikine praktika</w:t>
            </w:r>
          </w:p>
          <w:p w14:paraId="71D57105"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32.2. įvertintas kaip pagrindžiantis nesiskiriančios naudos pacientų sveikatai sukūrimą, lyginant su įprasta klinikine praktika</w:t>
            </w:r>
          </w:p>
          <w:p w14:paraId="287AD233"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4D1A34" w:rsidRDefault="001C6208"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33.1. yra įvertintas kaip nepagrindžiantis papildomos </w:t>
            </w:r>
            <w:r w:rsidR="00662983" w:rsidRPr="004D1A34">
              <w:t>naudos pacientų sveikatai sukūrimo, lyginant su  įprasta klinikine praktika.</w:t>
            </w:r>
          </w:p>
          <w:p w14:paraId="6C70BCFC" w14:textId="77777777" w:rsidR="00662983" w:rsidRPr="004D1A34" w:rsidRDefault="00662983" w:rsidP="00BD1E5A">
            <w:pPr>
              <w:jc w:val="both"/>
            </w:pPr>
          </w:p>
          <w:p w14:paraId="0ADEC30D" w14:textId="25150412" w:rsidR="00B13D65" w:rsidRPr="004D1A34" w:rsidRDefault="001C6208"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4D1A34">
                  <w:rPr>
                    <w:rStyle w:val="Style2"/>
                    <w:rFonts w:ascii="Segoe UI Symbol" w:eastAsia="MS Gothic" w:hAnsi="Segoe UI Symbol" w:cs="Segoe UI Symbol"/>
                    <w:sz w:val="24"/>
                  </w:rPr>
                  <w:t>☐</w:t>
                </w:r>
              </w:sdtContent>
            </w:sdt>
            <w:r w:rsidR="00B13D65" w:rsidRPr="004D1A34">
              <w:t xml:space="preserve"> </w:t>
            </w:r>
            <w:r w:rsidR="00662983" w:rsidRPr="004D1A34">
              <w:t xml:space="preserve">33.1. </w:t>
            </w:r>
            <w:r w:rsidR="00B13D65" w:rsidRPr="004D1A34">
              <w:t>nesiskiriančios naudos pacientų sveikatai sukūrimo, lyginant su įprasta klinikine praktika.</w:t>
            </w:r>
          </w:p>
          <w:p w14:paraId="1EED7901"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4D1A34" w14:paraId="1C75AE76" w14:textId="77777777" w:rsidTr="00BD1E5A">
        <w:tc>
          <w:tcPr>
            <w:tcW w:w="9962" w:type="dxa"/>
            <w:gridSpan w:val="2"/>
          </w:tcPr>
          <w:p w14:paraId="56F7FA3E"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D1A34">
              <w:rPr>
                <w:rStyle w:val="Style2"/>
                <w:rFonts w:eastAsia="MS Gothic"/>
                <w:b/>
                <w:bCs/>
                <w:sz w:val="24"/>
              </w:rPr>
              <w:t>Kaštų naudingumas</w:t>
            </w:r>
          </w:p>
          <w:p w14:paraId="0247EDAD"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4D1A34" w14:paraId="7091A05B" w14:textId="77777777" w:rsidTr="00BD1E5A">
        <w:tc>
          <w:tcPr>
            <w:tcW w:w="4981" w:type="dxa"/>
          </w:tcPr>
          <w:p w14:paraId="69B2A994" w14:textId="079C8C4D"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4D1A34">
                  <w:rPr>
                    <w:rStyle w:val="Style2"/>
                    <w:rFonts w:ascii="MS Gothic" w:eastAsia="MS Gothic" w:hAnsi="MS Gothic" w:hint="eastAsia"/>
                    <w:sz w:val="24"/>
                  </w:rPr>
                  <w:t>☐</w:t>
                </w:r>
              </w:sdtContent>
            </w:sdt>
            <w:r w:rsidR="00B13D65" w:rsidRPr="004D1A34">
              <w:t xml:space="preserve"> 32.3. atitinka referencinę naudingumo vertę, </w:t>
            </w:r>
          </w:p>
          <w:p w14:paraId="3F76F153"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01CE6D5B" w:rsidR="00B13D65" w:rsidRPr="004D1A34" w:rsidRDefault="001C6208" w:rsidP="0092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32.3. gydymo juo kaštai yra mažesni ar tokie patys esant iš esmės nesiskiriančiam palyginamajam efektyvumui </w:t>
            </w:r>
          </w:p>
        </w:tc>
        <w:tc>
          <w:tcPr>
            <w:tcW w:w="4981" w:type="dxa"/>
          </w:tcPr>
          <w:p w14:paraId="53380063" w14:textId="07F023EC"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33.3. neatitinka referencinės naudingumo vertės Lietuvos Respublikoje;</w:t>
            </w:r>
          </w:p>
          <w:p w14:paraId="229ED51A" w14:textId="77777777" w:rsidR="00662983" w:rsidRPr="004D1A34"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A9C7D2A" w14:textId="0D1AF9EB" w:rsidR="00662983"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4D1A34">
                  <w:rPr>
                    <w:rStyle w:val="Style2"/>
                    <w:rFonts w:ascii="Segoe UI Symbol" w:eastAsia="MS Gothic" w:hAnsi="Segoe UI Symbol" w:cs="Segoe UI Symbol"/>
                    <w:sz w:val="24"/>
                  </w:rPr>
                  <w:t>☐</w:t>
                </w:r>
              </w:sdtContent>
            </w:sdt>
            <w:r w:rsidR="00B13D65" w:rsidRPr="004D1A34">
              <w:t xml:space="preserve"> 33.3. gydymo juo kaštai yra didesni esant iš esmės nesiskiriančiam palyginamajam efektyvumui</w:t>
            </w:r>
          </w:p>
          <w:p w14:paraId="4226013D" w14:textId="23A0B76F" w:rsidR="00B13D65" w:rsidRPr="004D1A34" w:rsidRDefault="001C620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67695E" w:rsidRPr="004D1A34">
                  <w:rPr>
                    <w:rStyle w:val="Style2"/>
                    <w:rFonts w:ascii="MS Gothic" w:eastAsia="MS Gothic" w:hAnsi="MS Gothic" w:hint="eastAsia"/>
                    <w:sz w:val="24"/>
                  </w:rPr>
                  <w:t>☒</w:t>
                </w:r>
              </w:sdtContent>
            </w:sdt>
            <w:r w:rsidR="00B13D65" w:rsidRPr="004D1A34">
              <w:t xml:space="preserve"> 33.3. pateikti duomenys apie kaštų na</w:t>
            </w:r>
            <w:r w:rsidR="00662983" w:rsidRPr="004D1A34">
              <w:t>udingumą yra netinkami vertinti</w:t>
            </w:r>
          </w:p>
          <w:p w14:paraId="470A48A4" w14:textId="77777777" w:rsidR="00B13D65" w:rsidRPr="004D1A34"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392787F7" w:rsidR="004A3A61" w:rsidRPr="004D1A34" w:rsidRDefault="004A3A61" w:rsidP="00381024"/>
    <w:p w14:paraId="154D0E30" w14:textId="0AE14ACE" w:rsidR="0067695E" w:rsidRPr="004D1A34" w:rsidRDefault="0067695E" w:rsidP="0067695E">
      <w:pPr>
        <w:ind w:firstLine="360"/>
        <w:rPr>
          <w:b/>
        </w:rPr>
      </w:pPr>
      <w:r w:rsidRPr="004D1A34">
        <w:rPr>
          <w:b/>
        </w:rPr>
        <w:t>7. REKOMENDACIJA</w:t>
      </w:r>
    </w:p>
    <w:p w14:paraId="4825FA77" w14:textId="77777777" w:rsidR="0067695E" w:rsidRPr="004D1A34" w:rsidRDefault="0067695E" w:rsidP="0067695E">
      <w:pPr>
        <w:rPr>
          <w:b/>
        </w:rPr>
      </w:pPr>
    </w:p>
    <w:p w14:paraId="5718AFA4" w14:textId="44BC0A2C" w:rsidR="0067695E" w:rsidRPr="004D1A34" w:rsidRDefault="0067695E" w:rsidP="000811EE">
      <w:pPr>
        <w:spacing w:line="276" w:lineRule="auto"/>
        <w:ind w:firstLine="360"/>
        <w:jc w:val="both"/>
      </w:pPr>
      <w:r w:rsidRPr="004D1A34">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69170450" w14:textId="79FCD3DE" w:rsidR="0067695E" w:rsidRPr="004D1A34" w:rsidRDefault="0067695E" w:rsidP="000811EE">
      <w:pPr>
        <w:pStyle w:val="Sraopastraipa"/>
        <w:spacing w:after="120" w:line="276" w:lineRule="auto"/>
        <w:ind w:left="0"/>
        <w:contextualSpacing w:val="0"/>
        <w:jc w:val="both"/>
      </w:pPr>
      <w:r w:rsidRPr="004D1A34">
        <w:t xml:space="preserve">34.4. rekomenduojama </w:t>
      </w:r>
      <w:r w:rsidRPr="004D1A34">
        <w:rPr>
          <w:i/>
        </w:rPr>
        <w:t xml:space="preserve">nekompensuoti </w:t>
      </w:r>
      <w:r w:rsidRPr="004D1A34">
        <w:t>vaistinio preparato pagal paraiškoje nurodytą indikaciją „</w:t>
      </w:r>
      <w:r w:rsidRPr="004D1A34">
        <w:rPr>
          <w:i/>
        </w:rPr>
        <w:t xml:space="preserve">Palaikomasis astmos gydymas suaugusiesiems, kurių liga nėra pakankamai kontroliuojama, skiriant ilgai veikiančio beta 2 </w:t>
      </w:r>
      <w:proofErr w:type="spellStart"/>
      <w:r w:rsidRPr="004D1A34">
        <w:rPr>
          <w:i/>
        </w:rPr>
        <w:t>agonisto</w:t>
      </w:r>
      <w:proofErr w:type="spellEnd"/>
      <w:r w:rsidRPr="004D1A34">
        <w:rPr>
          <w:i/>
        </w:rPr>
        <w:t xml:space="preserve"> ir vidutinių dozių įkvepiamojo kortikosteroido palaikomąjį derinį, ir kuriems per pastaruosius metus buvo vienas ar daugiau astmos pasunkėjimų</w:t>
      </w:r>
      <w:r w:rsidR="008C4714" w:rsidRPr="004D1A34">
        <w:t xml:space="preserve">“, </w:t>
      </w:r>
      <w:r w:rsidRPr="004D1A34">
        <w:t>taikant PGS dėl vertinimo išvadų, nurodytų 33.</w:t>
      </w:r>
      <w:r w:rsidR="00D00597" w:rsidRPr="004D1A34">
        <w:t>3</w:t>
      </w:r>
      <w:r w:rsidRPr="004D1A34">
        <w:t xml:space="preserve"> papunktyje (</w:t>
      </w:r>
      <w:r w:rsidRPr="004D1A34">
        <w:rPr>
          <w:color w:val="000000"/>
        </w:rPr>
        <w:t>pateikti duomenys apie kaštų naudingumą yra netinkami vertinti)</w:t>
      </w:r>
      <w:r w:rsidRPr="004D1A34">
        <w:t>, neatitikties.</w:t>
      </w:r>
    </w:p>
    <w:p w14:paraId="4A188C24" w14:textId="77777777" w:rsidR="00D00597" w:rsidRPr="004D1A34" w:rsidRDefault="00D00597" w:rsidP="00D00597">
      <w:pPr>
        <w:pStyle w:val="prastasiniatinklio"/>
        <w:spacing w:after="0" w:afterAutospacing="0" w:line="276" w:lineRule="auto"/>
        <w:ind w:firstLine="567"/>
        <w:jc w:val="both"/>
        <w:rPr>
          <w:b/>
        </w:rPr>
      </w:pPr>
      <w:r w:rsidRPr="004D1A34">
        <w:rPr>
          <w:b/>
        </w:rPr>
        <w:t>Papildomas siūlymas</w:t>
      </w:r>
    </w:p>
    <w:p w14:paraId="1DD10B87" w14:textId="77777777" w:rsidR="00D00597" w:rsidRPr="004D1A34" w:rsidRDefault="0067695E" w:rsidP="000811EE">
      <w:pPr>
        <w:pStyle w:val="prastasiniatinklio"/>
        <w:spacing w:after="0" w:afterAutospacing="0" w:line="276" w:lineRule="auto"/>
        <w:ind w:firstLine="426"/>
        <w:jc w:val="both"/>
      </w:pPr>
      <w:r w:rsidRPr="004D1A34">
        <w:t xml:space="preserve">Tarnyba, remiantis Vaistinių preparatų ir medicinos pagalbos priemonių įrašymo į kompensavimo sąrašus ir jų keitimo tvarkos aprašo, patvirtinto Lietuvos Respublikos sveikatos apsaugos ministro 2002 m. balandžio 5 d. įsakymu Nr. 159 „Dėl Vaistinių preparatų ir medicinos </w:t>
      </w:r>
      <w:r w:rsidRPr="004D1A34">
        <w:lastRenderedPageBreak/>
        <w:t>pagalbos priemonių įrašymo į kompensavimo sąrašus ir jų keitimo tvarkos aprašo patvirtinimo“ 35 punktu,  Komisijai teikia papildomas pastabas ir pasiūlymus, susijusius su Paraiškos vertinimu.</w:t>
      </w:r>
    </w:p>
    <w:p w14:paraId="330D53D2" w14:textId="2117124A" w:rsidR="0067695E" w:rsidRPr="004D1A34" w:rsidRDefault="0067695E" w:rsidP="000811EE">
      <w:pPr>
        <w:pStyle w:val="prastasiniatinklio"/>
        <w:spacing w:after="0" w:afterAutospacing="0" w:line="276" w:lineRule="auto"/>
        <w:ind w:firstLine="426"/>
        <w:jc w:val="both"/>
      </w:pPr>
      <w:r w:rsidRPr="004D1A34">
        <w:t xml:space="preserve">Atsižvelgiant į tai, kad pagal klinikinius duomenis ir kaštų analizės rezultatus yra vertinama, kad vaistinių preparatų sveikatai sukuriama nauda yra panaši, rekomenduoja kompensuoti </w:t>
      </w:r>
      <w:proofErr w:type="spellStart"/>
      <w:r w:rsidRPr="004D1A34">
        <w:t>Trimbow</w:t>
      </w:r>
      <w:proofErr w:type="spellEnd"/>
      <w:r w:rsidRPr="004D1A34">
        <w:t xml:space="preserve"> </w:t>
      </w:r>
      <w:r w:rsidR="00925400" w:rsidRPr="004D1A34">
        <w:t xml:space="preserve">87 µg/5 µg /9 µg suslėgtasis įkvepiamasis tirpalas </w:t>
      </w:r>
      <w:r w:rsidRPr="004D1A34">
        <w:t xml:space="preserve">su sąlyga, kad </w:t>
      </w:r>
      <w:proofErr w:type="spellStart"/>
      <w:r w:rsidRPr="004D1A34">
        <w:t>Trimbow</w:t>
      </w:r>
      <w:proofErr w:type="spellEnd"/>
      <w:r w:rsidRPr="004D1A34">
        <w:t xml:space="preserve"> kaina būtų ne didesnė nei palyginamojo </w:t>
      </w:r>
      <w:r w:rsidR="00925400" w:rsidRPr="004D1A34">
        <w:t xml:space="preserve">vaistinio preparato </w:t>
      </w:r>
      <w:proofErr w:type="spellStart"/>
      <w:r w:rsidRPr="004D1A34">
        <w:t>Foster</w:t>
      </w:r>
      <w:proofErr w:type="spellEnd"/>
      <w:r w:rsidR="00925400" w:rsidRPr="004D1A34">
        <w:t xml:space="preserve"> 100 </w:t>
      </w:r>
      <w:proofErr w:type="spellStart"/>
      <w:r w:rsidR="00925400" w:rsidRPr="004D1A34">
        <w:t>mikrogramų</w:t>
      </w:r>
      <w:proofErr w:type="spellEnd"/>
      <w:r w:rsidR="00925400" w:rsidRPr="004D1A34">
        <w:t>/6 </w:t>
      </w:r>
      <w:proofErr w:type="spellStart"/>
      <w:r w:rsidR="00925400" w:rsidRPr="004D1A34">
        <w:t>mikrogramai</w:t>
      </w:r>
      <w:proofErr w:type="spellEnd"/>
      <w:r w:rsidR="00925400" w:rsidRPr="004D1A34">
        <w:t>/išpurškime įkvepiamieji milteliai</w:t>
      </w:r>
      <w:r w:rsidRPr="004D1A34">
        <w:t>.</w:t>
      </w:r>
    </w:p>
    <w:p w14:paraId="36D4D542" w14:textId="77777777" w:rsidR="0067695E" w:rsidRPr="004D1A34" w:rsidRDefault="0067695E" w:rsidP="0067695E">
      <w:pPr>
        <w:jc w:val="both"/>
        <w:rPr>
          <w:color w:val="000000"/>
        </w:rPr>
      </w:pPr>
    </w:p>
    <w:p w14:paraId="1E061108" w14:textId="282A3274" w:rsidR="0067695E" w:rsidRPr="004D1A34" w:rsidRDefault="0067695E" w:rsidP="0067695E">
      <w:pPr>
        <w:tabs>
          <w:tab w:val="left" w:pos="426"/>
        </w:tabs>
        <w:jc w:val="both"/>
        <w:rPr>
          <w:b/>
          <w:color w:val="000000"/>
          <w:lang w:eastAsia="lt-LT"/>
        </w:rPr>
      </w:pPr>
      <w:r w:rsidRPr="004D1A34">
        <w:rPr>
          <w:b/>
          <w:color w:val="000000"/>
          <w:lang w:eastAsia="lt-LT"/>
        </w:rPr>
        <w:tab/>
        <w:t xml:space="preserve">8. SIŪLOMOS KOMPENSUOTI TERAPINĖS INDIKACIJOS IR SKYRIMO SĄLYGOS </w:t>
      </w:r>
    </w:p>
    <w:p w14:paraId="69C82164" w14:textId="77777777" w:rsidR="0067695E" w:rsidRPr="004D1A34" w:rsidRDefault="0067695E" w:rsidP="0067695E">
      <w:pPr>
        <w:tabs>
          <w:tab w:val="left" w:pos="426"/>
        </w:tabs>
        <w:jc w:val="both"/>
        <w:rPr>
          <w:b/>
          <w:color w:val="000000"/>
          <w:lang w:eastAsia="lt-LT"/>
        </w:rPr>
      </w:pPr>
    </w:p>
    <w:p w14:paraId="3DB5F017" w14:textId="77777777" w:rsidR="0067695E" w:rsidRPr="004D1A34" w:rsidRDefault="0067695E" w:rsidP="0067695E">
      <w:pPr>
        <w:rPr>
          <w:b/>
          <w:lang w:eastAsia="lt-LT"/>
        </w:rPr>
      </w:pPr>
      <w:r w:rsidRPr="004D1A34">
        <w:rPr>
          <w:b/>
          <w:lang w:eastAsia="lt-LT"/>
        </w:rPr>
        <w:t>Terapinės indikacijos</w:t>
      </w:r>
    </w:p>
    <w:p w14:paraId="07C87860" w14:textId="77777777" w:rsidR="0067695E" w:rsidRPr="004D1A34" w:rsidRDefault="001C6208" w:rsidP="000811EE">
      <w:pPr>
        <w:spacing w:line="276" w:lineRule="auto"/>
      </w:pPr>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67695E" w:rsidRPr="004D1A34">
            <w:rPr>
              <w:rStyle w:val="Style2"/>
              <w:rFonts w:ascii="MS Gothic" w:eastAsia="MS Gothic" w:hAnsi="MS Gothic" w:hint="eastAsia"/>
            </w:rPr>
            <w:t>☒</w:t>
          </w:r>
        </w:sdtContent>
      </w:sdt>
      <w:r w:rsidR="0067695E" w:rsidRPr="004D1A34">
        <w:t xml:space="preserve"> Siūloma kompensuoti Pareiškėjo teikiamą indikaciją be pakeitimų.</w:t>
      </w:r>
    </w:p>
    <w:p w14:paraId="130E5EBB" w14:textId="77777777" w:rsidR="0067695E" w:rsidRPr="004D1A34" w:rsidRDefault="0067695E" w:rsidP="0067695E">
      <w:pPr>
        <w:pStyle w:val="Sraopastraipa"/>
        <w:spacing w:after="120"/>
        <w:ind w:left="0"/>
        <w:contextualSpacing w:val="0"/>
        <w:jc w:val="both"/>
        <w:rPr>
          <w:i/>
        </w:rPr>
      </w:pPr>
    </w:p>
    <w:p w14:paraId="76618C98" w14:textId="4FF20749" w:rsidR="0067695E" w:rsidRPr="004D1A34" w:rsidRDefault="0067695E" w:rsidP="00895C2F">
      <w:pPr>
        <w:pStyle w:val="Sraopastraipa"/>
        <w:spacing w:after="120" w:line="276" w:lineRule="auto"/>
        <w:ind w:left="0"/>
        <w:contextualSpacing w:val="0"/>
        <w:jc w:val="both"/>
        <w:rPr>
          <w:i/>
        </w:rPr>
      </w:pPr>
      <w:r w:rsidRPr="004D1A34">
        <w:rPr>
          <w:i/>
        </w:rPr>
        <w:t xml:space="preserve">Palaikomasis astmos gydymas suaugusiesiems, kurių liga nėra pakankamai kontroliuojama, skiriant ilgai veikiančio beta 2 </w:t>
      </w:r>
      <w:proofErr w:type="spellStart"/>
      <w:r w:rsidRPr="004D1A34">
        <w:rPr>
          <w:i/>
        </w:rPr>
        <w:t>agonisto</w:t>
      </w:r>
      <w:proofErr w:type="spellEnd"/>
      <w:r w:rsidRPr="004D1A34">
        <w:rPr>
          <w:i/>
        </w:rPr>
        <w:t xml:space="preserve"> ir vidutinių dozių įkvepiamojo kortikosteroido palaikomąjį derinį, ir kuriems per pastaruosius metus buvo vienas ar daugiau astmos pasunkėjimų.</w:t>
      </w:r>
    </w:p>
    <w:p w14:paraId="30BEC26F" w14:textId="77777777" w:rsidR="0067695E" w:rsidRPr="004D1A34" w:rsidRDefault="0067695E" w:rsidP="00895C2F">
      <w:pPr>
        <w:spacing w:line="276" w:lineRule="auto"/>
      </w:pPr>
    </w:p>
    <w:p w14:paraId="2B20BE3D" w14:textId="77777777" w:rsidR="0067695E" w:rsidRPr="004D1A34" w:rsidRDefault="001C6208" w:rsidP="00895C2F">
      <w:pPr>
        <w:spacing w:line="276" w:lineRule="auto"/>
      </w:pPr>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67695E" w:rsidRPr="004D1A34">
            <w:rPr>
              <w:rStyle w:val="Style2"/>
              <w:rFonts w:ascii="MS Gothic" w:eastAsia="MS Gothic" w:hAnsi="MS Gothic"/>
            </w:rPr>
            <w:t>☐</w:t>
          </w:r>
        </w:sdtContent>
      </w:sdt>
      <w:r w:rsidR="0067695E" w:rsidRPr="004D1A34">
        <w:t xml:space="preserve"> Siūloma kompensuoti Pareiškėjo teikiamą indikaciją su pakeitimais.</w:t>
      </w:r>
    </w:p>
    <w:p w14:paraId="222EE9B4" w14:textId="77777777" w:rsidR="0067695E" w:rsidRPr="004D1A34" w:rsidRDefault="0067695E" w:rsidP="00895C2F">
      <w:pPr>
        <w:spacing w:line="276" w:lineRule="auto"/>
      </w:pPr>
    </w:p>
    <w:p w14:paraId="7CC85310" w14:textId="77777777" w:rsidR="0067695E" w:rsidRPr="004D1A34" w:rsidRDefault="0067695E" w:rsidP="00895C2F">
      <w:pPr>
        <w:spacing w:line="276" w:lineRule="auto"/>
        <w:rPr>
          <w:b/>
        </w:rPr>
      </w:pPr>
      <w:r w:rsidRPr="004D1A34">
        <w:rPr>
          <w:b/>
        </w:rPr>
        <w:t>Skyrimo sąlygos</w:t>
      </w:r>
    </w:p>
    <w:p w14:paraId="2C278141" w14:textId="63331862" w:rsidR="0067695E" w:rsidRPr="004D1A34" w:rsidRDefault="001C6208" w:rsidP="00895C2F">
      <w:pPr>
        <w:spacing w:line="276" w:lineRule="auto"/>
      </w:pPr>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B108F3" w:rsidRPr="004D1A34">
            <w:rPr>
              <w:rStyle w:val="Style2"/>
              <w:rFonts w:ascii="MS Gothic" w:eastAsia="MS Gothic" w:hAnsi="MS Gothic" w:hint="eastAsia"/>
            </w:rPr>
            <w:t>☐</w:t>
          </w:r>
        </w:sdtContent>
      </w:sdt>
      <w:r w:rsidR="0067695E" w:rsidRPr="004D1A34">
        <w:t xml:space="preserve"> Pareiškėjo siūlomos skyrimo sąlygos priimtinos. </w:t>
      </w:r>
    </w:p>
    <w:p w14:paraId="02965895" w14:textId="77777777" w:rsidR="0067695E" w:rsidRPr="004D1A34" w:rsidRDefault="0067695E" w:rsidP="00895C2F">
      <w:pPr>
        <w:spacing w:line="276" w:lineRule="auto"/>
      </w:pPr>
    </w:p>
    <w:p w14:paraId="0ECFAD71" w14:textId="2B5CD500" w:rsidR="0067695E" w:rsidRPr="004D1A34" w:rsidRDefault="001C6208" w:rsidP="00895C2F">
      <w:pPr>
        <w:spacing w:line="276" w:lineRule="auto"/>
      </w:pPr>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B108F3" w:rsidRPr="004D1A34">
            <w:rPr>
              <w:rStyle w:val="Style2"/>
              <w:rFonts w:ascii="MS Gothic" w:eastAsia="MS Gothic" w:hAnsi="MS Gothic" w:hint="eastAsia"/>
            </w:rPr>
            <w:t>☒</w:t>
          </w:r>
        </w:sdtContent>
      </w:sdt>
      <w:r w:rsidR="0067695E" w:rsidRPr="004D1A34">
        <w:t xml:space="preserve"> Pareiškėjo siūlomos skyrimo sąlygos nepriimtinos. </w:t>
      </w:r>
    </w:p>
    <w:p w14:paraId="479C1117" w14:textId="77777777" w:rsidR="00FB347C" w:rsidRPr="004D1A34" w:rsidRDefault="00FB347C" w:rsidP="00F4130B">
      <w:pPr>
        <w:pStyle w:val="Betarp"/>
        <w:spacing w:line="276" w:lineRule="auto"/>
        <w:rPr>
          <w:rFonts w:ascii="Times New Roman" w:hAnsi="Times New Roman"/>
          <w:sz w:val="24"/>
          <w:szCs w:val="24"/>
        </w:rPr>
      </w:pPr>
      <w:r w:rsidRPr="004D1A34">
        <w:rPr>
          <w:rFonts w:ascii="Times New Roman" w:hAnsi="Times New Roman"/>
          <w:sz w:val="24"/>
          <w:szCs w:val="24"/>
        </w:rPr>
        <w:t>Siūlomos skyrimo sąlygos:</w:t>
      </w:r>
    </w:p>
    <w:p w14:paraId="594726F1" w14:textId="568CCE2A" w:rsidR="000D285B" w:rsidRPr="00895C2F" w:rsidRDefault="002D4D32" w:rsidP="00895C2F">
      <w:pPr>
        <w:spacing w:line="276" w:lineRule="auto"/>
        <w:rPr>
          <w:i/>
        </w:rPr>
      </w:pPr>
      <w:r w:rsidRPr="004D1A34">
        <w:rPr>
          <w:i/>
        </w:rPr>
        <w:t xml:space="preserve">Skiriama vidutinio sunkumo ar sunkia astma sergantiems pacientams, kurių astmos kontrolei nepakanka gydymo vidutine </w:t>
      </w:r>
      <w:proofErr w:type="spellStart"/>
      <w:r w:rsidRPr="004D1A34">
        <w:rPr>
          <w:i/>
        </w:rPr>
        <w:t>inhaliuojamojo</w:t>
      </w:r>
      <w:proofErr w:type="spellEnd"/>
      <w:r w:rsidRPr="004D1A34">
        <w:rPr>
          <w:i/>
        </w:rPr>
        <w:t xml:space="preserve"> </w:t>
      </w:r>
      <w:proofErr w:type="spellStart"/>
      <w:r w:rsidRPr="004D1A34">
        <w:rPr>
          <w:i/>
        </w:rPr>
        <w:t>gliukokortikoido</w:t>
      </w:r>
      <w:proofErr w:type="spellEnd"/>
      <w:r w:rsidRPr="004D1A34">
        <w:rPr>
          <w:i/>
        </w:rPr>
        <w:t xml:space="preserve"> doze kartu su ilgai veikiančiu </w:t>
      </w:r>
      <w:proofErr w:type="spellStart"/>
      <w:r w:rsidRPr="004D1A34">
        <w:rPr>
          <w:i/>
        </w:rPr>
        <w:t>agonistu</w:t>
      </w:r>
      <w:proofErr w:type="spellEnd"/>
      <w:r w:rsidRPr="004D1A34">
        <w:rPr>
          <w:i/>
        </w:rPr>
        <w:t>.</w:t>
      </w:r>
    </w:p>
    <w:p w14:paraId="77C24E66" w14:textId="77777777" w:rsidR="002D4D32" w:rsidRPr="00A65E12" w:rsidRDefault="002D4D32" w:rsidP="00895C2F">
      <w:pPr>
        <w:spacing w:line="276" w:lineRule="auto"/>
      </w:pPr>
    </w:p>
    <w:p w14:paraId="04411EAD" w14:textId="7C7DB907" w:rsidR="004A3A61" w:rsidRDefault="004A3A61" w:rsidP="00895C2F">
      <w:pPr>
        <w:widowControl w:val="0"/>
        <w:tabs>
          <w:tab w:val="left" w:pos="270"/>
        </w:tabs>
        <w:spacing w:line="276" w:lineRule="auto"/>
        <w:jc w:val="both"/>
      </w:pPr>
    </w:p>
    <w:sectPr w:rsidR="004A3A6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B96B" w14:textId="77777777" w:rsidR="001C6208" w:rsidRDefault="001C6208">
      <w:r>
        <w:separator/>
      </w:r>
    </w:p>
  </w:endnote>
  <w:endnote w:type="continuationSeparator" w:id="0">
    <w:p w14:paraId="32A1A05F" w14:textId="77777777" w:rsidR="001C6208" w:rsidRDefault="001C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60906" w14:textId="77777777" w:rsidR="001C6208" w:rsidRDefault="001C6208">
      <w:r>
        <w:separator/>
      </w:r>
    </w:p>
  </w:footnote>
  <w:footnote w:type="continuationSeparator" w:id="0">
    <w:p w14:paraId="6E1DE1DB" w14:textId="77777777" w:rsidR="001C6208" w:rsidRDefault="001C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446830D1"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465C">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D5B47"/>
    <w:multiLevelType w:val="hybridMultilevel"/>
    <w:tmpl w:val="B5B67506"/>
    <w:lvl w:ilvl="0" w:tplc="5808AFFA">
      <w:start w:val="7"/>
      <w:numFmt w:val="bullet"/>
      <w:lvlText w:val="-"/>
      <w:lvlJc w:val="left"/>
      <w:pPr>
        <w:ind w:left="1080" w:hanging="360"/>
      </w:pPr>
      <w:rPr>
        <w:rFonts w:ascii="Times New Roman" w:eastAsia="Arial"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6"/>
  </w:num>
  <w:num w:numId="6">
    <w:abstractNumId w:val="5"/>
  </w:num>
  <w:num w:numId="7">
    <w:abstractNumId w:val="3"/>
  </w:num>
  <w:num w:numId="8">
    <w:abstractNumId w:val="13"/>
  </w:num>
  <w:num w:numId="9">
    <w:abstractNumId w:val="0"/>
  </w:num>
  <w:num w:numId="10">
    <w:abstractNumId w:val="11"/>
  </w:num>
  <w:num w:numId="11">
    <w:abstractNumId w:val="12"/>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36F7"/>
    <w:rsid w:val="00016E1B"/>
    <w:rsid w:val="0002686C"/>
    <w:rsid w:val="00031D0E"/>
    <w:rsid w:val="000337E6"/>
    <w:rsid w:val="0003402E"/>
    <w:rsid w:val="00034EAE"/>
    <w:rsid w:val="000438DE"/>
    <w:rsid w:val="000606BE"/>
    <w:rsid w:val="000736B8"/>
    <w:rsid w:val="000811EE"/>
    <w:rsid w:val="0008190F"/>
    <w:rsid w:val="00081D9C"/>
    <w:rsid w:val="00082907"/>
    <w:rsid w:val="0008378D"/>
    <w:rsid w:val="000856B5"/>
    <w:rsid w:val="000908A5"/>
    <w:rsid w:val="00092805"/>
    <w:rsid w:val="000A3817"/>
    <w:rsid w:val="000B28B6"/>
    <w:rsid w:val="000C454C"/>
    <w:rsid w:val="000D285B"/>
    <w:rsid w:val="000D5038"/>
    <w:rsid w:val="000E29D4"/>
    <w:rsid w:val="000F3540"/>
    <w:rsid w:val="000F7BB1"/>
    <w:rsid w:val="00100491"/>
    <w:rsid w:val="00104E2E"/>
    <w:rsid w:val="00107287"/>
    <w:rsid w:val="00117406"/>
    <w:rsid w:val="00121EF0"/>
    <w:rsid w:val="00124A9E"/>
    <w:rsid w:val="00130703"/>
    <w:rsid w:val="0013153F"/>
    <w:rsid w:val="001408B8"/>
    <w:rsid w:val="0014776F"/>
    <w:rsid w:val="001521D9"/>
    <w:rsid w:val="001554E2"/>
    <w:rsid w:val="00164146"/>
    <w:rsid w:val="001719B3"/>
    <w:rsid w:val="00172BE8"/>
    <w:rsid w:val="0017369C"/>
    <w:rsid w:val="00180C39"/>
    <w:rsid w:val="00180D96"/>
    <w:rsid w:val="0018107B"/>
    <w:rsid w:val="00185F87"/>
    <w:rsid w:val="001921F3"/>
    <w:rsid w:val="001B3C5B"/>
    <w:rsid w:val="001C6208"/>
    <w:rsid w:val="001D4CB8"/>
    <w:rsid w:val="001E4BBB"/>
    <w:rsid w:val="001E5EE8"/>
    <w:rsid w:val="001E6304"/>
    <w:rsid w:val="001F2740"/>
    <w:rsid w:val="0020381E"/>
    <w:rsid w:val="00213471"/>
    <w:rsid w:val="00215906"/>
    <w:rsid w:val="002308CC"/>
    <w:rsid w:val="00253720"/>
    <w:rsid w:val="0025697F"/>
    <w:rsid w:val="00260258"/>
    <w:rsid w:val="00272428"/>
    <w:rsid w:val="00272948"/>
    <w:rsid w:val="002946C7"/>
    <w:rsid w:val="002B3CC1"/>
    <w:rsid w:val="002C09E0"/>
    <w:rsid w:val="002C3A10"/>
    <w:rsid w:val="002C4A90"/>
    <w:rsid w:val="002D02EF"/>
    <w:rsid w:val="002D4D32"/>
    <w:rsid w:val="002E0702"/>
    <w:rsid w:val="002E3A05"/>
    <w:rsid w:val="002E4739"/>
    <w:rsid w:val="002E6F80"/>
    <w:rsid w:val="002F0E4F"/>
    <w:rsid w:val="002F1053"/>
    <w:rsid w:val="002F3B51"/>
    <w:rsid w:val="003150EA"/>
    <w:rsid w:val="00317B0E"/>
    <w:rsid w:val="00347FAA"/>
    <w:rsid w:val="0035172D"/>
    <w:rsid w:val="0036187D"/>
    <w:rsid w:val="00381024"/>
    <w:rsid w:val="00381FA0"/>
    <w:rsid w:val="00383141"/>
    <w:rsid w:val="00386307"/>
    <w:rsid w:val="003874DE"/>
    <w:rsid w:val="003875DD"/>
    <w:rsid w:val="00390882"/>
    <w:rsid w:val="00393E9F"/>
    <w:rsid w:val="0039696E"/>
    <w:rsid w:val="003B211A"/>
    <w:rsid w:val="003C141F"/>
    <w:rsid w:val="003C6B0E"/>
    <w:rsid w:val="003C7257"/>
    <w:rsid w:val="003C7E35"/>
    <w:rsid w:val="003F3FBD"/>
    <w:rsid w:val="003F5DDA"/>
    <w:rsid w:val="00404E8A"/>
    <w:rsid w:val="0040622F"/>
    <w:rsid w:val="00423160"/>
    <w:rsid w:val="00453862"/>
    <w:rsid w:val="00461338"/>
    <w:rsid w:val="00466E83"/>
    <w:rsid w:val="004677DB"/>
    <w:rsid w:val="00477F67"/>
    <w:rsid w:val="0048630F"/>
    <w:rsid w:val="004947A1"/>
    <w:rsid w:val="0049482A"/>
    <w:rsid w:val="004979D3"/>
    <w:rsid w:val="004A00E7"/>
    <w:rsid w:val="004A3A61"/>
    <w:rsid w:val="004B59BA"/>
    <w:rsid w:val="004C263A"/>
    <w:rsid w:val="004D1A34"/>
    <w:rsid w:val="004D2ABC"/>
    <w:rsid w:val="004D7B8F"/>
    <w:rsid w:val="004E6458"/>
    <w:rsid w:val="004E6E7D"/>
    <w:rsid w:val="004F1AAC"/>
    <w:rsid w:val="004F1AE2"/>
    <w:rsid w:val="004F34F0"/>
    <w:rsid w:val="005005EF"/>
    <w:rsid w:val="00534E11"/>
    <w:rsid w:val="005356B7"/>
    <w:rsid w:val="005400D9"/>
    <w:rsid w:val="005476A4"/>
    <w:rsid w:val="0055019B"/>
    <w:rsid w:val="00556E63"/>
    <w:rsid w:val="005601A4"/>
    <w:rsid w:val="00566DBB"/>
    <w:rsid w:val="005676D0"/>
    <w:rsid w:val="005679BE"/>
    <w:rsid w:val="005976CE"/>
    <w:rsid w:val="005A23D4"/>
    <w:rsid w:val="005A2D1E"/>
    <w:rsid w:val="005C493F"/>
    <w:rsid w:val="005C6BF7"/>
    <w:rsid w:val="005C6EC1"/>
    <w:rsid w:val="005C71BF"/>
    <w:rsid w:val="005D002C"/>
    <w:rsid w:val="005D30E1"/>
    <w:rsid w:val="005D6555"/>
    <w:rsid w:val="005D7BDF"/>
    <w:rsid w:val="005E00A4"/>
    <w:rsid w:val="005E27B0"/>
    <w:rsid w:val="005F03E7"/>
    <w:rsid w:val="005F71D9"/>
    <w:rsid w:val="005F7602"/>
    <w:rsid w:val="00613501"/>
    <w:rsid w:val="006166A8"/>
    <w:rsid w:val="006174A1"/>
    <w:rsid w:val="00633B49"/>
    <w:rsid w:val="0064297F"/>
    <w:rsid w:val="00646CF3"/>
    <w:rsid w:val="00657FFB"/>
    <w:rsid w:val="00662983"/>
    <w:rsid w:val="00667F91"/>
    <w:rsid w:val="0067695E"/>
    <w:rsid w:val="006830E0"/>
    <w:rsid w:val="006834D3"/>
    <w:rsid w:val="00692625"/>
    <w:rsid w:val="00695CD3"/>
    <w:rsid w:val="006A38B6"/>
    <w:rsid w:val="006B1987"/>
    <w:rsid w:val="006B22BD"/>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6388B"/>
    <w:rsid w:val="0076753D"/>
    <w:rsid w:val="007857B8"/>
    <w:rsid w:val="00795B62"/>
    <w:rsid w:val="00795DC5"/>
    <w:rsid w:val="00797153"/>
    <w:rsid w:val="007A07AC"/>
    <w:rsid w:val="007B0DDA"/>
    <w:rsid w:val="007D7E10"/>
    <w:rsid w:val="007E5466"/>
    <w:rsid w:val="007E5BD3"/>
    <w:rsid w:val="007F1949"/>
    <w:rsid w:val="00800730"/>
    <w:rsid w:val="0080526A"/>
    <w:rsid w:val="00817A84"/>
    <w:rsid w:val="008225A4"/>
    <w:rsid w:val="00826D5E"/>
    <w:rsid w:val="00832013"/>
    <w:rsid w:val="00834732"/>
    <w:rsid w:val="0085200C"/>
    <w:rsid w:val="00857C52"/>
    <w:rsid w:val="00863174"/>
    <w:rsid w:val="00880A44"/>
    <w:rsid w:val="0088345E"/>
    <w:rsid w:val="0088656F"/>
    <w:rsid w:val="00895C2F"/>
    <w:rsid w:val="008A0303"/>
    <w:rsid w:val="008A5FDD"/>
    <w:rsid w:val="008C3947"/>
    <w:rsid w:val="008C4714"/>
    <w:rsid w:val="008E7329"/>
    <w:rsid w:val="008F2ED5"/>
    <w:rsid w:val="00902F8B"/>
    <w:rsid w:val="0092297E"/>
    <w:rsid w:val="00925400"/>
    <w:rsid w:val="009306C7"/>
    <w:rsid w:val="009341BF"/>
    <w:rsid w:val="00937907"/>
    <w:rsid w:val="00941739"/>
    <w:rsid w:val="00951573"/>
    <w:rsid w:val="00963003"/>
    <w:rsid w:val="00983471"/>
    <w:rsid w:val="009909AB"/>
    <w:rsid w:val="009B37DB"/>
    <w:rsid w:val="009C14DD"/>
    <w:rsid w:val="009C7A8C"/>
    <w:rsid w:val="009D23F9"/>
    <w:rsid w:val="009D4FA8"/>
    <w:rsid w:val="009D78FC"/>
    <w:rsid w:val="009E6CD6"/>
    <w:rsid w:val="00A00C3C"/>
    <w:rsid w:val="00A01091"/>
    <w:rsid w:val="00A06DBB"/>
    <w:rsid w:val="00A23CFE"/>
    <w:rsid w:val="00A31E86"/>
    <w:rsid w:val="00A353AD"/>
    <w:rsid w:val="00A5068C"/>
    <w:rsid w:val="00A54D87"/>
    <w:rsid w:val="00A5553C"/>
    <w:rsid w:val="00A66533"/>
    <w:rsid w:val="00A77A46"/>
    <w:rsid w:val="00A81785"/>
    <w:rsid w:val="00A827F7"/>
    <w:rsid w:val="00A84803"/>
    <w:rsid w:val="00A84C51"/>
    <w:rsid w:val="00A86F2B"/>
    <w:rsid w:val="00A91366"/>
    <w:rsid w:val="00A93AA6"/>
    <w:rsid w:val="00AA3463"/>
    <w:rsid w:val="00AA4E48"/>
    <w:rsid w:val="00AA6202"/>
    <w:rsid w:val="00AB7A78"/>
    <w:rsid w:val="00AC4A99"/>
    <w:rsid w:val="00AC64D2"/>
    <w:rsid w:val="00AE0FE8"/>
    <w:rsid w:val="00AF60D5"/>
    <w:rsid w:val="00B04415"/>
    <w:rsid w:val="00B108F3"/>
    <w:rsid w:val="00B11D60"/>
    <w:rsid w:val="00B1301F"/>
    <w:rsid w:val="00B13629"/>
    <w:rsid w:val="00B13D65"/>
    <w:rsid w:val="00B37245"/>
    <w:rsid w:val="00B4017A"/>
    <w:rsid w:val="00B4468D"/>
    <w:rsid w:val="00B71C72"/>
    <w:rsid w:val="00B81E92"/>
    <w:rsid w:val="00B93B30"/>
    <w:rsid w:val="00B94CB5"/>
    <w:rsid w:val="00BA0DD9"/>
    <w:rsid w:val="00BB6312"/>
    <w:rsid w:val="00BC4D06"/>
    <w:rsid w:val="00BD1264"/>
    <w:rsid w:val="00BD585E"/>
    <w:rsid w:val="00BF0F5C"/>
    <w:rsid w:val="00BF2E0D"/>
    <w:rsid w:val="00BF3F8B"/>
    <w:rsid w:val="00BF76DA"/>
    <w:rsid w:val="00C00427"/>
    <w:rsid w:val="00C07C7B"/>
    <w:rsid w:val="00C24479"/>
    <w:rsid w:val="00C37B53"/>
    <w:rsid w:val="00C517D2"/>
    <w:rsid w:val="00C5539C"/>
    <w:rsid w:val="00C62B36"/>
    <w:rsid w:val="00C7012C"/>
    <w:rsid w:val="00CA144D"/>
    <w:rsid w:val="00CB3C97"/>
    <w:rsid w:val="00CB465C"/>
    <w:rsid w:val="00CC668D"/>
    <w:rsid w:val="00CC67FD"/>
    <w:rsid w:val="00CC7832"/>
    <w:rsid w:val="00CD429B"/>
    <w:rsid w:val="00CF0C1C"/>
    <w:rsid w:val="00D00597"/>
    <w:rsid w:val="00D23808"/>
    <w:rsid w:val="00D3016A"/>
    <w:rsid w:val="00D42960"/>
    <w:rsid w:val="00D43BD7"/>
    <w:rsid w:val="00D4485B"/>
    <w:rsid w:val="00D4708D"/>
    <w:rsid w:val="00D4744C"/>
    <w:rsid w:val="00D477F3"/>
    <w:rsid w:val="00D620CA"/>
    <w:rsid w:val="00D63068"/>
    <w:rsid w:val="00D6498C"/>
    <w:rsid w:val="00D7479A"/>
    <w:rsid w:val="00D8521E"/>
    <w:rsid w:val="00D9291C"/>
    <w:rsid w:val="00D93A97"/>
    <w:rsid w:val="00DB1F64"/>
    <w:rsid w:val="00DB1F84"/>
    <w:rsid w:val="00DC2F53"/>
    <w:rsid w:val="00DC6816"/>
    <w:rsid w:val="00DC76C2"/>
    <w:rsid w:val="00DD1CF2"/>
    <w:rsid w:val="00DF41B7"/>
    <w:rsid w:val="00DF4A4A"/>
    <w:rsid w:val="00DF583C"/>
    <w:rsid w:val="00E03C3F"/>
    <w:rsid w:val="00E24D45"/>
    <w:rsid w:val="00E33DB8"/>
    <w:rsid w:val="00E34387"/>
    <w:rsid w:val="00E369FE"/>
    <w:rsid w:val="00E37C6F"/>
    <w:rsid w:val="00E37C75"/>
    <w:rsid w:val="00E475F8"/>
    <w:rsid w:val="00E5102E"/>
    <w:rsid w:val="00E5721C"/>
    <w:rsid w:val="00E619C6"/>
    <w:rsid w:val="00E65543"/>
    <w:rsid w:val="00E70941"/>
    <w:rsid w:val="00E745A1"/>
    <w:rsid w:val="00E746D8"/>
    <w:rsid w:val="00E80777"/>
    <w:rsid w:val="00E81529"/>
    <w:rsid w:val="00E83A13"/>
    <w:rsid w:val="00EB791C"/>
    <w:rsid w:val="00EC2356"/>
    <w:rsid w:val="00EC2582"/>
    <w:rsid w:val="00EC337C"/>
    <w:rsid w:val="00ED0CFF"/>
    <w:rsid w:val="00ED31D2"/>
    <w:rsid w:val="00ED4D6B"/>
    <w:rsid w:val="00EE0EAC"/>
    <w:rsid w:val="00EE33CB"/>
    <w:rsid w:val="00F0061A"/>
    <w:rsid w:val="00F02834"/>
    <w:rsid w:val="00F07CD7"/>
    <w:rsid w:val="00F127E9"/>
    <w:rsid w:val="00F30D4D"/>
    <w:rsid w:val="00F35521"/>
    <w:rsid w:val="00F36972"/>
    <w:rsid w:val="00F4130B"/>
    <w:rsid w:val="00F42426"/>
    <w:rsid w:val="00F456BC"/>
    <w:rsid w:val="00F45DD9"/>
    <w:rsid w:val="00F50666"/>
    <w:rsid w:val="00F57255"/>
    <w:rsid w:val="00F674CF"/>
    <w:rsid w:val="00F70C9E"/>
    <w:rsid w:val="00F74A74"/>
    <w:rsid w:val="00F8382C"/>
    <w:rsid w:val="00F855D7"/>
    <w:rsid w:val="00F92035"/>
    <w:rsid w:val="00F92748"/>
    <w:rsid w:val="00FA4169"/>
    <w:rsid w:val="00FB0D41"/>
    <w:rsid w:val="00FB2030"/>
    <w:rsid w:val="00FB30AD"/>
    <w:rsid w:val="00FB347C"/>
    <w:rsid w:val="00FD1CF2"/>
    <w:rsid w:val="00FD3914"/>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Vietosrezervavimoenklotekstas"/>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78702B3CBDAD4CBB9AC6BD8608115F85"/>
        <w:category>
          <w:name w:val="General"/>
          <w:gallery w:val="placeholder"/>
        </w:category>
        <w:types>
          <w:type w:val="bbPlcHdr"/>
        </w:types>
        <w:behaviors>
          <w:behavior w:val="content"/>
        </w:behaviors>
        <w:guid w:val="{606D4791-4D85-458A-9343-49D603A1FBDC}"/>
      </w:docPartPr>
      <w:docPartBody>
        <w:p w:rsidR="00224936" w:rsidRDefault="007A31E1" w:rsidP="007A31E1">
          <w:pPr>
            <w:pStyle w:val="78702B3CBDAD4CBB9AC6BD8608115F85"/>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224936"/>
    <w:rsid w:val="00373B25"/>
    <w:rsid w:val="004144A3"/>
    <w:rsid w:val="004160E7"/>
    <w:rsid w:val="005074B9"/>
    <w:rsid w:val="005E40DD"/>
    <w:rsid w:val="006C49E0"/>
    <w:rsid w:val="007559E8"/>
    <w:rsid w:val="007A31E1"/>
    <w:rsid w:val="007C6D1D"/>
    <w:rsid w:val="0086302E"/>
    <w:rsid w:val="00916905"/>
    <w:rsid w:val="009B3BF0"/>
    <w:rsid w:val="009D5E5E"/>
    <w:rsid w:val="00AD13D2"/>
    <w:rsid w:val="00AE63A0"/>
    <w:rsid w:val="00B23DC0"/>
    <w:rsid w:val="00BC0606"/>
    <w:rsid w:val="00CB4BD1"/>
    <w:rsid w:val="00CE2DA9"/>
    <w:rsid w:val="00CE44BE"/>
    <w:rsid w:val="00D1553F"/>
    <w:rsid w:val="00E44A86"/>
    <w:rsid w:val="00E56A4B"/>
    <w:rsid w:val="00E93F5A"/>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A31E1"/>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78702B3CBDAD4CBB9AC6BD8608115F85">
    <w:name w:val="78702B3CBDAD4CBB9AC6BD8608115F85"/>
    <w:rsid w:val="007A31E1"/>
  </w:style>
  <w:style w:type="paragraph" w:customStyle="1" w:styleId="4C31B78BEC0748298BFABAD343F46C49">
    <w:name w:val="4C31B78BEC0748298BFABAD343F46C49"/>
    <w:rsid w:val="007A3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56D2-7AE6-48DA-AB34-89F3A19A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13965</Words>
  <Characters>7961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2023-03-15T12:01:00Z</dcterms:created>
  <dcterms:modified xsi:type="dcterms:W3CDTF">2023-03-15T12:01:00Z</dcterms:modified>
</cp:coreProperties>
</file>