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Default="004C263A" w:rsidP="001B3C5B">
      <w:pPr>
        <w:ind w:left="6096"/>
      </w:pPr>
      <w:r>
        <w:t>(Valstybinės vaistų kontrolės tarnybos prie Lietuvos Respublikos sveikatos apsaugos ministerijos viršininko 2022 m.                         d. įsakymo Nr.                    redakcija)</w:t>
      </w:r>
    </w:p>
    <w:p w14:paraId="3336BD74" w14:textId="77777777" w:rsidR="001B3C5B" w:rsidRPr="000A2492" w:rsidRDefault="001B3C5B" w:rsidP="00FA4169"/>
    <w:p w14:paraId="77AFB67E" w14:textId="16397257" w:rsidR="00613501" w:rsidRDefault="002F0E4F" w:rsidP="003B211A">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4E4395D" w14:textId="15FB10DF" w:rsidR="00B13D65" w:rsidRDefault="00B13D65" w:rsidP="003B211A">
      <w:pPr>
        <w:jc w:val="center"/>
        <w:rPr>
          <w:b/>
        </w:rPr>
      </w:pPr>
    </w:p>
    <w:p w14:paraId="6EDD5FCD" w14:textId="77777777" w:rsidR="00007B88" w:rsidRPr="00D05364" w:rsidRDefault="00007B88" w:rsidP="00007B88">
      <w:pPr>
        <w:jc w:val="center"/>
        <w:rPr>
          <w:b/>
        </w:rPr>
      </w:pPr>
      <w:r w:rsidRPr="00CC06D8">
        <w:rPr>
          <w:b/>
        </w:rPr>
        <w:t>Calafos</w:t>
      </w:r>
      <w:r w:rsidRPr="00D05364">
        <w:rPr>
          <w:b/>
        </w:rPr>
        <w:t xml:space="preserve"> </w:t>
      </w:r>
      <w:r>
        <w:rPr>
          <w:b/>
        </w:rPr>
        <w:t>750 mg</w:t>
      </w:r>
      <w:r w:rsidRPr="00D05364">
        <w:rPr>
          <w:b/>
        </w:rPr>
        <w:t xml:space="preserve"> </w:t>
      </w:r>
      <w:r>
        <w:rPr>
          <w:b/>
        </w:rPr>
        <w:t>kramtomosios tabletės</w:t>
      </w:r>
    </w:p>
    <w:p w14:paraId="3DB13F92" w14:textId="77777777" w:rsidR="00007B88" w:rsidRPr="00D05364" w:rsidRDefault="00007B88" w:rsidP="00007B88">
      <w:pPr>
        <w:jc w:val="center"/>
      </w:pPr>
    </w:p>
    <w:p w14:paraId="53E0A6DE" w14:textId="77777777" w:rsidR="00007B88" w:rsidRPr="00D05364" w:rsidRDefault="00007B88" w:rsidP="00007B88">
      <w:pPr>
        <w:jc w:val="center"/>
      </w:pPr>
      <w:r w:rsidRPr="00D05364">
        <w:t>(</w:t>
      </w:r>
      <w:r w:rsidRPr="00CC06D8">
        <w:rPr>
          <w:b/>
        </w:rPr>
        <w:t>Lantano karbonato oktahidratas</w:t>
      </w:r>
      <w:r w:rsidRPr="00D05364">
        <w:t>)</w:t>
      </w:r>
    </w:p>
    <w:p w14:paraId="6C6E82E3" w14:textId="77777777" w:rsidR="00007B88" w:rsidRPr="00D05364" w:rsidRDefault="00007B88" w:rsidP="00007B88">
      <w:pPr>
        <w:jc w:val="center"/>
      </w:pPr>
    </w:p>
    <w:p w14:paraId="66A04269" w14:textId="68A51AC7" w:rsidR="00007B88" w:rsidRPr="00D05364" w:rsidRDefault="00007B88" w:rsidP="00007B88">
      <w:pPr>
        <w:jc w:val="center"/>
        <w:rPr>
          <w:b/>
        </w:rPr>
      </w:pPr>
      <w:r>
        <w:rPr>
          <w:b/>
        </w:rPr>
        <w:t xml:space="preserve">STV </w:t>
      </w:r>
      <w:r w:rsidR="00EC7996">
        <w:rPr>
          <w:b/>
        </w:rPr>
        <w:t xml:space="preserve">- </w:t>
      </w:r>
      <w:r>
        <w:rPr>
          <w:b/>
        </w:rPr>
        <w:t>82</w:t>
      </w:r>
    </w:p>
    <w:p w14:paraId="5BC2EA5D" w14:textId="2AADF6AF" w:rsidR="00937907" w:rsidRDefault="00937907" w:rsidP="00007B88">
      <w:pPr>
        <w:rPr>
          <w:b/>
        </w:rPr>
      </w:pPr>
    </w:p>
    <w:p w14:paraId="453197C8" w14:textId="77777777" w:rsidR="00D4708D" w:rsidRPr="004C263A" w:rsidRDefault="00D4708D" w:rsidP="003B211A">
      <w:pPr>
        <w:jc w:val="center"/>
        <w:rPr>
          <w:b/>
        </w:rPr>
      </w:pPr>
    </w:p>
    <w:p w14:paraId="78C89D1C" w14:textId="39FAAAA4" w:rsidR="00D4485B" w:rsidRDefault="00B13D65" w:rsidP="00937907">
      <w:pPr>
        <w:pStyle w:val="Sraopastraipa"/>
        <w:numPr>
          <w:ilvl w:val="0"/>
          <w:numId w:val="12"/>
        </w:numPr>
        <w:tabs>
          <w:tab w:val="left" w:pos="284"/>
        </w:tabs>
        <w:rPr>
          <w:b/>
          <w:bCs/>
          <w:caps/>
        </w:rPr>
      </w:pPr>
      <w:r>
        <w:rPr>
          <w:b/>
          <w:bCs/>
          <w:caps/>
        </w:rPr>
        <w:t>Bendroji dalis</w:t>
      </w:r>
    </w:p>
    <w:p w14:paraId="04A7C7A7" w14:textId="77777777" w:rsidR="00B13D65" w:rsidRDefault="00B13D65" w:rsidP="00E03C3F">
      <w:pPr>
        <w:pStyle w:val="Sraopastraipa"/>
        <w:tabs>
          <w:tab w:val="left" w:pos="284"/>
        </w:tabs>
        <w:ind w:left="0"/>
        <w:rPr>
          <w:b/>
          <w:bCs/>
          <w:caps/>
        </w:rPr>
      </w:pPr>
    </w:p>
    <w:tbl>
      <w:tblPr>
        <w:tblStyle w:val="Lentelstinklelis"/>
        <w:tblW w:w="9039" w:type="dxa"/>
        <w:tblLook w:val="04A0" w:firstRow="1" w:lastRow="0" w:firstColumn="1" w:lastColumn="0" w:noHBand="0" w:noVBand="1"/>
      </w:tblPr>
      <w:tblGrid>
        <w:gridCol w:w="632"/>
        <w:gridCol w:w="3694"/>
        <w:gridCol w:w="4713"/>
      </w:tblGrid>
      <w:tr w:rsidR="00B13D65" w:rsidRPr="00FE1635" w14:paraId="18A83EC2" w14:textId="77777777" w:rsidTr="006834D3">
        <w:trPr>
          <w:trHeight w:val="538"/>
        </w:trPr>
        <w:tc>
          <w:tcPr>
            <w:tcW w:w="632" w:type="dxa"/>
          </w:tcPr>
          <w:p w14:paraId="0646FBEA" w14:textId="77777777" w:rsidR="00B13D65" w:rsidRPr="006E501F" w:rsidRDefault="00B13D65" w:rsidP="00BD1E5A">
            <w:pPr>
              <w:tabs>
                <w:tab w:val="left" w:pos="284"/>
              </w:tabs>
              <w:spacing w:line="280" w:lineRule="atLeast"/>
              <w:rPr>
                <w:rFonts w:eastAsia="Arial"/>
                <w:b/>
              </w:rPr>
            </w:pPr>
            <w:r w:rsidRPr="006E501F">
              <w:rPr>
                <w:rFonts w:eastAsia="Arial"/>
                <w:b/>
              </w:rPr>
              <w:t>1.1</w:t>
            </w:r>
          </w:p>
        </w:tc>
        <w:tc>
          <w:tcPr>
            <w:tcW w:w="3694" w:type="dxa"/>
          </w:tcPr>
          <w:p w14:paraId="6C3AE864" w14:textId="77777777" w:rsidR="00B13D65" w:rsidRPr="006E501F" w:rsidRDefault="00B13D65" w:rsidP="00BD1E5A">
            <w:pPr>
              <w:tabs>
                <w:tab w:val="left" w:pos="284"/>
              </w:tabs>
              <w:spacing w:line="280" w:lineRule="atLeast"/>
              <w:rPr>
                <w:rFonts w:eastAsia="Arial"/>
                <w:b/>
              </w:rPr>
            </w:pPr>
            <w:r w:rsidRPr="006E501F">
              <w:rPr>
                <w:rFonts w:eastAsia="Arial"/>
                <w:b/>
              </w:rPr>
              <w:t>Pareiškėjas</w:t>
            </w:r>
          </w:p>
          <w:p w14:paraId="2AF240DC" w14:textId="77777777" w:rsidR="00B13D65" w:rsidRPr="00FE1635" w:rsidRDefault="00B13D65" w:rsidP="00BD1E5A">
            <w:pPr>
              <w:tabs>
                <w:tab w:val="left" w:pos="284"/>
              </w:tabs>
              <w:spacing w:line="280" w:lineRule="atLeast"/>
              <w:rPr>
                <w:rFonts w:eastAsia="Arial"/>
                <w:b/>
              </w:rPr>
            </w:pPr>
          </w:p>
        </w:tc>
        <w:tc>
          <w:tcPr>
            <w:tcW w:w="4713" w:type="dxa"/>
          </w:tcPr>
          <w:p w14:paraId="1ABCE5DE" w14:textId="7CD74932" w:rsidR="00937907" w:rsidRPr="006E501F" w:rsidRDefault="00007B88" w:rsidP="00937907">
            <w:pPr>
              <w:tabs>
                <w:tab w:val="left" w:pos="284"/>
              </w:tabs>
              <w:spacing w:line="280" w:lineRule="atLeast"/>
            </w:pPr>
            <w:r w:rsidRPr="00CC06D8">
              <w:rPr>
                <w:lang w:eastAsia="lt-LT"/>
              </w:rPr>
              <w:t>Mylan Healthcare, UAB</w:t>
            </w:r>
          </w:p>
          <w:p w14:paraId="2AAF0D91" w14:textId="77777777" w:rsidR="00B13D65" w:rsidRPr="00FE1635" w:rsidRDefault="00B13D65" w:rsidP="00BD1E5A">
            <w:pPr>
              <w:tabs>
                <w:tab w:val="left" w:pos="284"/>
              </w:tabs>
              <w:spacing w:line="280" w:lineRule="atLeast"/>
              <w:rPr>
                <w:rFonts w:eastAsia="Arial"/>
                <w:b/>
              </w:rPr>
            </w:pPr>
          </w:p>
        </w:tc>
      </w:tr>
      <w:tr w:rsidR="00B13D65" w:rsidRPr="00FE1635" w14:paraId="31998B0D" w14:textId="77777777" w:rsidTr="006834D3">
        <w:trPr>
          <w:trHeight w:val="538"/>
        </w:trPr>
        <w:tc>
          <w:tcPr>
            <w:tcW w:w="632" w:type="dxa"/>
          </w:tcPr>
          <w:p w14:paraId="2005EC67" w14:textId="662300D0" w:rsidR="00B13D65" w:rsidRPr="00FE1635" w:rsidRDefault="002E0702" w:rsidP="00BD1E5A">
            <w:pPr>
              <w:tabs>
                <w:tab w:val="left" w:pos="284"/>
              </w:tabs>
              <w:spacing w:line="280" w:lineRule="atLeast"/>
              <w:rPr>
                <w:rFonts w:eastAsia="Arial"/>
                <w:b/>
              </w:rPr>
            </w:pPr>
            <w:r>
              <w:rPr>
                <w:rFonts w:eastAsia="Arial"/>
                <w:b/>
              </w:rPr>
              <w:t>1.2</w:t>
            </w:r>
          </w:p>
        </w:tc>
        <w:tc>
          <w:tcPr>
            <w:tcW w:w="3694" w:type="dxa"/>
          </w:tcPr>
          <w:p w14:paraId="1E4AE3B1" w14:textId="77777777" w:rsidR="00B13D65" w:rsidRPr="00FE1635" w:rsidRDefault="00B13D65" w:rsidP="00BD1E5A">
            <w:pPr>
              <w:tabs>
                <w:tab w:val="left" w:pos="284"/>
              </w:tabs>
              <w:spacing w:line="280" w:lineRule="atLeast"/>
              <w:rPr>
                <w:b/>
                <w:bCs/>
                <w:color w:val="000000"/>
                <w:lang w:eastAsia="lt-LT"/>
              </w:rPr>
            </w:pPr>
            <w:r w:rsidRPr="00FE1635">
              <w:rPr>
                <w:b/>
                <w:bCs/>
                <w:color w:val="000000"/>
                <w:lang w:eastAsia="lt-LT"/>
              </w:rPr>
              <w:t xml:space="preserve">Registracijos data </w:t>
            </w:r>
          </w:p>
          <w:p w14:paraId="3A0DC096" w14:textId="77777777" w:rsidR="00B13D65" w:rsidRPr="00FE1635" w:rsidRDefault="00B13D65" w:rsidP="00BD1E5A">
            <w:pPr>
              <w:tabs>
                <w:tab w:val="left" w:pos="284"/>
              </w:tabs>
              <w:spacing w:line="280" w:lineRule="atLeast"/>
              <w:rPr>
                <w:bCs/>
                <w:color w:val="000000"/>
                <w:lang w:eastAsia="lt-LT"/>
              </w:rPr>
            </w:pPr>
          </w:p>
        </w:tc>
        <w:tc>
          <w:tcPr>
            <w:tcW w:w="4713" w:type="dxa"/>
          </w:tcPr>
          <w:p w14:paraId="3CA218AD" w14:textId="5DF2C188" w:rsidR="00B13D65" w:rsidRPr="00B70629" w:rsidRDefault="00000000" w:rsidP="00BD1E5A">
            <w:pPr>
              <w:pStyle w:val="Sraopastraipa"/>
              <w:spacing w:after="120"/>
              <w:ind w:left="0"/>
              <w:contextualSpacing w:val="0"/>
              <w:jc w:val="both"/>
              <w:rPr>
                <w:rStyle w:val="Style2"/>
              </w:rPr>
            </w:pPr>
            <w:sdt>
              <w:sdtPr>
                <w:rPr>
                  <w:sz w:val="32"/>
                  <w:lang w:eastAsia="lt-LT"/>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Content>
                <w:r w:rsidR="00007B88" w:rsidRPr="00007B88">
                  <w:rPr>
                    <w:lang w:eastAsia="lt-LT"/>
                  </w:rPr>
                  <w:t>EVA neregistruotas</w:t>
                </w:r>
              </w:sdtContent>
            </w:sdt>
          </w:p>
        </w:tc>
      </w:tr>
      <w:tr w:rsidR="00B13D65" w:rsidRPr="00FE1635" w14:paraId="15968AE1" w14:textId="77777777" w:rsidTr="006834D3">
        <w:trPr>
          <w:trHeight w:val="1500"/>
        </w:trPr>
        <w:tc>
          <w:tcPr>
            <w:tcW w:w="632" w:type="dxa"/>
          </w:tcPr>
          <w:p w14:paraId="6A784245" w14:textId="1E461489" w:rsidR="00B13D65" w:rsidRPr="00FE1635" w:rsidRDefault="002E0702" w:rsidP="00BD1E5A">
            <w:pPr>
              <w:tabs>
                <w:tab w:val="left" w:pos="284"/>
              </w:tabs>
              <w:spacing w:line="280" w:lineRule="atLeast"/>
              <w:rPr>
                <w:rFonts w:eastAsia="Arial"/>
                <w:b/>
              </w:rPr>
            </w:pPr>
            <w:r>
              <w:rPr>
                <w:rFonts w:eastAsia="Arial"/>
                <w:b/>
              </w:rPr>
              <w:t>1.3</w:t>
            </w:r>
          </w:p>
        </w:tc>
        <w:tc>
          <w:tcPr>
            <w:tcW w:w="3694" w:type="dxa"/>
          </w:tcPr>
          <w:p w14:paraId="22933506" w14:textId="77777777" w:rsidR="00B13D65" w:rsidRPr="0039696E" w:rsidRDefault="00B13D65" w:rsidP="00BD1E5A">
            <w:pPr>
              <w:pStyle w:val="Betarp"/>
              <w:rPr>
                <w:rFonts w:ascii="Times New Roman" w:hAnsi="Times New Roman"/>
                <w:b/>
                <w:sz w:val="24"/>
                <w:szCs w:val="24"/>
              </w:rPr>
            </w:pPr>
            <w:r w:rsidRPr="0039696E">
              <w:rPr>
                <w:rFonts w:ascii="Times New Roman" w:hAnsi="Times New Roman"/>
                <w:b/>
                <w:sz w:val="24"/>
                <w:szCs w:val="24"/>
              </w:rPr>
              <w:t xml:space="preserve">Paraiškos tipas </w:t>
            </w:r>
          </w:p>
          <w:p w14:paraId="0465E680" w14:textId="7F0A0714" w:rsidR="00B13D65" w:rsidRPr="0039696E" w:rsidRDefault="00B13D65" w:rsidP="00BD1E5A">
            <w:pPr>
              <w:rPr>
                <w:b/>
              </w:rPr>
            </w:pPr>
            <w:r w:rsidRPr="0039696E">
              <w:rPr>
                <w:b/>
              </w:rPr>
              <w:t>(</w:t>
            </w:r>
            <w:r w:rsidR="00695CD3" w:rsidRPr="0039696E">
              <w:rPr>
                <w:b/>
              </w:rPr>
              <w:t xml:space="preserve">pagal </w:t>
            </w:r>
            <w:r w:rsidR="0039696E" w:rsidRPr="00100491">
              <w:rPr>
                <w:b/>
                <w:color w:val="333333"/>
                <w:shd w:val="clear" w:color="auto" w:fill="FFFFFF"/>
              </w:rPr>
              <w:t>vaistinio preparato registracijos tipą, įtvirtintą</w:t>
            </w:r>
            <w:r w:rsidR="0039696E" w:rsidRPr="0039696E">
              <w:rPr>
                <w:b/>
              </w:rPr>
              <w:t xml:space="preserve"> </w:t>
            </w:r>
            <w:r w:rsidRPr="0039696E">
              <w:rPr>
                <w:b/>
              </w:rPr>
              <w:t>Direktyv</w:t>
            </w:r>
            <w:r w:rsidR="00695CD3" w:rsidRPr="0039696E">
              <w:rPr>
                <w:b/>
              </w:rPr>
              <w:t>os</w:t>
            </w:r>
            <w:r w:rsidRPr="0039696E">
              <w:rPr>
                <w:b/>
              </w:rPr>
              <w:t xml:space="preserve"> 2001/83/EB</w:t>
            </w:r>
            <w:r w:rsidR="00695CD3" w:rsidRPr="0039696E">
              <w:rPr>
                <w:b/>
              </w:rPr>
              <w:t xml:space="preserve"> straips</w:t>
            </w:r>
            <w:r w:rsidR="0039696E">
              <w:rPr>
                <w:b/>
              </w:rPr>
              <w:t>iuose</w:t>
            </w:r>
            <w:r w:rsidRPr="0039696E">
              <w:rPr>
                <w:b/>
              </w:rPr>
              <w:t>)</w:t>
            </w:r>
          </w:p>
          <w:p w14:paraId="77089D80" w14:textId="6681D72A" w:rsidR="00B13D65" w:rsidRPr="0039696E" w:rsidRDefault="00B13D65" w:rsidP="0039696E">
            <w:pPr>
              <w:tabs>
                <w:tab w:val="left" w:pos="284"/>
              </w:tabs>
              <w:spacing w:line="280" w:lineRule="atLeast"/>
              <w:rPr>
                <w:b/>
                <w:bCs/>
                <w:color w:val="000000"/>
                <w:lang w:eastAsia="lt-LT"/>
              </w:rPr>
            </w:pPr>
          </w:p>
        </w:tc>
        <w:tc>
          <w:tcPr>
            <w:tcW w:w="4713" w:type="dxa"/>
          </w:tcPr>
          <w:p w14:paraId="208F40EC" w14:textId="276DDF59" w:rsidR="00B13D65" w:rsidRPr="00937907" w:rsidRDefault="00000000" w:rsidP="00937907">
            <w:pPr>
              <w:pStyle w:val="Sraopastraipa"/>
              <w:spacing w:after="120"/>
              <w:ind w:left="0"/>
              <w:contextualSpacing w:val="0"/>
              <w:jc w:val="both"/>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007B88">
                  <w:rPr>
                    <w:rStyle w:val="Style2"/>
                    <w:rFonts w:ascii="MS Gothic" w:eastAsia="MS Gothic" w:hAnsi="MS Gothic" w:hint="eastAsia"/>
                    <w:sz w:val="22"/>
                    <w:szCs w:val="22"/>
                  </w:rPr>
                  <w:t>☒</w:t>
                </w:r>
              </w:sdtContent>
            </w:sdt>
            <w:r w:rsidR="00B13D65" w:rsidRPr="00937907">
              <w:rPr>
                <w:sz w:val="22"/>
                <w:szCs w:val="22"/>
              </w:rPr>
              <w:t xml:space="preserve">8.3 str. (pilna byla, pagrįsta savais tyrimais) </w:t>
            </w:r>
          </w:p>
          <w:p w14:paraId="32BA564E" w14:textId="7892A791" w:rsidR="00B13D65" w:rsidRPr="00937907" w:rsidRDefault="00000000" w:rsidP="00937907">
            <w:pPr>
              <w:pStyle w:val="Sraopastraipa"/>
              <w:spacing w:after="120"/>
              <w:ind w:left="0"/>
              <w:contextualSpacing w:val="0"/>
              <w:jc w:val="both"/>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007B88">
                  <w:rPr>
                    <w:rStyle w:val="Style2"/>
                    <w:rFonts w:ascii="MS Gothic" w:eastAsia="MS Gothic" w:hAnsi="MS Gothic" w:hint="eastAsia"/>
                    <w:sz w:val="22"/>
                    <w:szCs w:val="22"/>
                  </w:rPr>
                  <w:t>☐</w:t>
                </w:r>
              </w:sdtContent>
            </w:sdt>
            <w:r w:rsidR="00B13D65" w:rsidRPr="00937907">
              <w:rPr>
                <w:sz w:val="22"/>
                <w:szCs w:val="22"/>
              </w:rPr>
              <w:t xml:space="preserve">10 a str. (pripažintas medicininis vartojimas) </w:t>
            </w:r>
          </w:p>
          <w:p w14:paraId="318DCD7F" w14:textId="32333E53" w:rsidR="00B13D65" w:rsidRPr="00937907" w:rsidRDefault="00000000" w:rsidP="00937907">
            <w:pPr>
              <w:pStyle w:val="Sraopastraipa"/>
              <w:spacing w:after="120"/>
              <w:ind w:left="0"/>
              <w:contextualSpacing w:val="0"/>
              <w:jc w:val="both"/>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937907">
                  <w:rPr>
                    <w:rStyle w:val="Style2"/>
                    <w:rFonts w:ascii="Segoe UI Symbol" w:eastAsia="MS Gothic" w:hAnsi="Segoe UI Symbol" w:cs="Segoe UI Symbol"/>
                    <w:sz w:val="22"/>
                    <w:szCs w:val="22"/>
                  </w:rPr>
                  <w:t>☐</w:t>
                </w:r>
              </w:sdtContent>
            </w:sdt>
            <w:r w:rsidR="00B13D65" w:rsidRPr="00937907">
              <w:rPr>
                <w:sz w:val="22"/>
                <w:szCs w:val="22"/>
              </w:rPr>
              <w:t>10.1 str. (generinis)</w:t>
            </w:r>
          </w:p>
          <w:p w14:paraId="3B0A4F72" w14:textId="3F5FB073" w:rsidR="00B13D65" w:rsidRPr="00B70629" w:rsidRDefault="00000000" w:rsidP="00937907">
            <w:pPr>
              <w:pStyle w:val="Sraopastraipa"/>
              <w:spacing w:after="120"/>
              <w:ind w:left="0"/>
              <w:contextualSpacing w:val="0"/>
              <w:jc w:val="both"/>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937907">
                  <w:rPr>
                    <w:rStyle w:val="Style2"/>
                    <w:rFonts w:ascii="Segoe UI Symbol" w:eastAsia="MS Gothic" w:hAnsi="Segoe UI Symbol" w:cs="Segoe UI Symbol"/>
                    <w:sz w:val="22"/>
                    <w:szCs w:val="22"/>
                  </w:rPr>
                  <w:t>☐</w:t>
                </w:r>
              </w:sdtContent>
            </w:sdt>
            <w:r w:rsidR="00B13D65" w:rsidRPr="00937907">
              <w:rPr>
                <w:sz w:val="22"/>
                <w:szCs w:val="22"/>
              </w:rPr>
              <w:t>10.3 str. (hibridinis)</w:t>
            </w:r>
          </w:p>
        </w:tc>
      </w:tr>
      <w:tr w:rsidR="00B13D65" w:rsidRPr="00FE1635" w14:paraId="310E9662" w14:textId="77777777" w:rsidTr="006834D3">
        <w:trPr>
          <w:trHeight w:val="1442"/>
        </w:trPr>
        <w:tc>
          <w:tcPr>
            <w:tcW w:w="632" w:type="dxa"/>
          </w:tcPr>
          <w:p w14:paraId="4B5A91A2" w14:textId="561B5E5F" w:rsidR="00B13D65" w:rsidRPr="00FE1635" w:rsidRDefault="00B13D65" w:rsidP="002E0702">
            <w:pPr>
              <w:tabs>
                <w:tab w:val="left" w:pos="284"/>
              </w:tabs>
              <w:spacing w:line="280" w:lineRule="atLeast"/>
              <w:rPr>
                <w:rFonts w:eastAsia="Arial"/>
                <w:b/>
              </w:rPr>
            </w:pPr>
            <w:r w:rsidRPr="00FE1635">
              <w:rPr>
                <w:rFonts w:eastAsia="Arial"/>
                <w:b/>
              </w:rPr>
              <w:t>1.</w:t>
            </w:r>
            <w:r w:rsidR="002E0702">
              <w:rPr>
                <w:rFonts w:eastAsia="Arial"/>
                <w:b/>
              </w:rPr>
              <w:t>4</w:t>
            </w:r>
          </w:p>
        </w:tc>
        <w:tc>
          <w:tcPr>
            <w:tcW w:w="3694" w:type="dxa"/>
          </w:tcPr>
          <w:p w14:paraId="6C91E105" w14:textId="77777777" w:rsidR="00B13D65" w:rsidRPr="00FE1635" w:rsidRDefault="00B13D65" w:rsidP="00BD1E5A">
            <w:pPr>
              <w:tabs>
                <w:tab w:val="left" w:pos="284"/>
              </w:tabs>
              <w:spacing w:line="280" w:lineRule="atLeast"/>
              <w:rPr>
                <w:b/>
                <w:bCs/>
                <w:color w:val="000000"/>
                <w:lang w:eastAsia="lt-LT"/>
              </w:rPr>
            </w:pPr>
            <w:r w:rsidRPr="00FE1635">
              <w:rPr>
                <w:b/>
                <w:bCs/>
                <w:color w:val="000000"/>
                <w:lang w:eastAsia="lt-LT"/>
              </w:rPr>
              <w:t xml:space="preserve">Ar vaistinis preparatas įrašytas į Bendrijos retųjų vaistinių preparatų registrą? </w:t>
            </w:r>
          </w:p>
          <w:p w14:paraId="33726F9C" w14:textId="77777777" w:rsidR="00B13D65" w:rsidRPr="00FE1635" w:rsidRDefault="00B13D65" w:rsidP="00BD1E5A">
            <w:pPr>
              <w:tabs>
                <w:tab w:val="left" w:pos="284"/>
              </w:tabs>
              <w:spacing w:line="280" w:lineRule="atLeast"/>
              <w:rPr>
                <w:bCs/>
                <w:i/>
                <w:color w:val="000000"/>
                <w:lang w:eastAsia="lt-LT"/>
              </w:rPr>
            </w:pPr>
          </w:p>
          <w:p w14:paraId="483071A3" w14:textId="0B418225" w:rsidR="00B13D65" w:rsidRPr="00FE1635" w:rsidRDefault="00B13D65" w:rsidP="00A06DBB">
            <w:pPr>
              <w:tabs>
                <w:tab w:val="left" w:pos="284"/>
              </w:tabs>
              <w:spacing w:line="280" w:lineRule="atLeast"/>
              <w:rPr>
                <w:b/>
                <w:bCs/>
                <w:color w:val="000000"/>
                <w:lang w:eastAsia="lt-LT"/>
              </w:rPr>
            </w:pPr>
          </w:p>
        </w:tc>
        <w:tc>
          <w:tcPr>
            <w:tcW w:w="4713" w:type="dxa"/>
          </w:tcPr>
          <w:p w14:paraId="05845C60" w14:textId="77777777" w:rsidR="00B13D65" w:rsidRPr="006E501F" w:rsidRDefault="00000000" w:rsidP="00BD1E5A">
            <w:pPr>
              <w:pStyle w:val="Sraopastraipa"/>
              <w:spacing w:after="120"/>
              <w:ind w:left="0"/>
              <w:contextualSpacing w:val="0"/>
              <w:jc w:val="both"/>
            </w:pPr>
            <w:sdt>
              <w:sdtPr>
                <w:rPr>
                  <w:rStyle w:val="Style2"/>
                </w:rPr>
                <w:id w:val="2024432173"/>
                <w15:color w:val="FFCC00"/>
                <w14:checkbox>
                  <w14:checked w14:val="0"/>
                  <w14:checkedState w14:val="2612" w14:font="MS Gothic"/>
                  <w14:uncheckedState w14:val="2610" w14:font="MS Gothic"/>
                </w14:checkbox>
              </w:sdtPr>
              <w:sdtContent>
                <w:r w:rsidR="00B13D65" w:rsidRPr="00B70629">
                  <w:rPr>
                    <w:rStyle w:val="Style2"/>
                    <w:rFonts w:ascii="Segoe UI Symbol" w:eastAsia="MS Gothic" w:hAnsi="Segoe UI Symbol" w:cs="Segoe UI Symbol"/>
                  </w:rPr>
                  <w:t>☐</w:t>
                </w:r>
              </w:sdtContent>
            </w:sdt>
            <w:r w:rsidR="00B13D65" w:rsidRPr="006E501F">
              <w:t xml:space="preserve"> Taip</w:t>
            </w:r>
          </w:p>
          <w:p w14:paraId="41D88067" w14:textId="46BE3D46" w:rsidR="00B13D65" w:rsidRPr="006E501F" w:rsidRDefault="00000000" w:rsidP="00BD1E5A">
            <w:pPr>
              <w:pStyle w:val="Sraopastraipa"/>
              <w:spacing w:after="120"/>
              <w:ind w:left="0"/>
              <w:contextualSpacing w:val="0"/>
              <w:jc w:val="both"/>
            </w:pPr>
            <w:sdt>
              <w:sdtPr>
                <w:rPr>
                  <w:rStyle w:val="Style2"/>
                </w:rPr>
                <w:id w:val="-970507926"/>
                <w15:color w:val="FFCC00"/>
                <w14:checkbox>
                  <w14:checked w14:val="1"/>
                  <w14:checkedState w14:val="2612" w14:font="MS Gothic"/>
                  <w14:uncheckedState w14:val="2610" w14:font="MS Gothic"/>
                </w14:checkbox>
              </w:sdtPr>
              <w:sdtContent>
                <w:r w:rsidR="00007B88">
                  <w:rPr>
                    <w:rStyle w:val="Style2"/>
                    <w:rFonts w:ascii="MS Gothic" w:eastAsia="MS Gothic" w:hAnsi="MS Gothic" w:hint="eastAsia"/>
                  </w:rPr>
                  <w:t>☒</w:t>
                </w:r>
              </w:sdtContent>
            </w:sdt>
            <w:r w:rsidR="00B13D65" w:rsidRPr="006E501F">
              <w:t xml:space="preserve"> Ne</w:t>
            </w:r>
          </w:p>
          <w:p w14:paraId="29C2CBBB" w14:textId="77777777" w:rsidR="00B13D65" w:rsidRPr="006E501F" w:rsidRDefault="00000000" w:rsidP="00BD1E5A">
            <w:pPr>
              <w:pStyle w:val="Sraopastraipa"/>
              <w:spacing w:after="120"/>
              <w:ind w:left="0"/>
              <w:contextualSpacing w:val="0"/>
              <w:jc w:val="both"/>
              <w:rPr>
                <w:rFonts w:eastAsia="Arial"/>
                <w:b/>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6E501F">
                  <w:rPr>
                    <w:rStyle w:val="Vietosrezervavimoenklotekstas"/>
                  </w:rPr>
                  <w:t>Click here to enter a date.</w:t>
                </w:r>
              </w:sdtContent>
            </w:sdt>
          </w:p>
        </w:tc>
      </w:tr>
      <w:tr w:rsidR="00007B88" w:rsidRPr="00FE1635" w14:paraId="274D1DAF" w14:textId="77777777" w:rsidTr="006834D3">
        <w:trPr>
          <w:trHeight w:val="1922"/>
        </w:trPr>
        <w:tc>
          <w:tcPr>
            <w:tcW w:w="632" w:type="dxa"/>
          </w:tcPr>
          <w:p w14:paraId="17ABF217" w14:textId="6D9EE8BB" w:rsidR="00007B88" w:rsidRPr="00FE1635" w:rsidRDefault="00007B88" w:rsidP="00007B88">
            <w:pPr>
              <w:tabs>
                <w:tab w:val="left" w:pos="284"/>
              </w:tabs>
              <w:spacing w:line="280" w:lineRule="atLeast"/>
              <w:rPr>
                <w:rFonts w:eastAsia="Arial"/>
                <w:b/>
              </w:rPr>
            </w:pPr>
            <w:r w:rsidRPr="00FE1635">
              <w:rPr>
                <w:rFonts w:eastAsia="Arial"/>
                <w:b/>
              </w:rPr>
              <w:t>1.</w:t>
            </w:r>
            <w:r>
              <w:rPr>
                <w:rFonts w:eastAsia="Arial"/>
                <w:b/>
              </w:rPr>
              <w:t>5</w:t>
            </w:r>
          </w:p>
        </w:tc>
        <w:tc>
          <w:tcPr>
            <w:tcW w:w="3694" w:type="dxa"/>
          </w:tcPr>
          <w:p w14:paraId="3A731095" w14:textId="16A6FD24" w:rsidR="00007B88" w:rsidRDefault="00007B88" w:rsidP="00007B88">
            <w:pPr>
              <w:tabs>
                <w:tab w:val="left" w:pos="284"/>
              </w:tabs>
              <w:spacing w:line="280" w:lineRule="atLeast"/>
              <w:rPr>
                <w:b/>
                <w:bCs/>
                <w:color w:val="000000"/>
                <w:lang w:eastAsia="lt-LT"/>
              </w:rPr>
            </w:pPr>
            <w:r w:rsidRPr="00FE1635">
              <w:rPr>
                <w:b/>
                <w:bCs/>
                <w:color w:val="000000"/>
                <w:lang w:eastAsia="lt-LT"/>
              </w:rPr>
              <w:t>Teikiama (-os) kompensuoti registruot</w:t>
            </w:r>
            <w:r>
              <w:rPr>
                <w:b/>
                <w:bCs/>
                <w:color w:val="000000"/>
                <w:lang w:eastAsia="lt-LT"/>
              </w:rPr>
              <w:t>a</w:t>
            </w:r>
            <w:r w:rsidRPr="00FE1635">
              <w:rPr>
                <w:b/>
                <w:bCs/>
                <w:color w:val="000000"/>
                <w:lang w:eastAsia="lt-LT"/>
              </w:rPr>
              <w:t xml:space="preserve"> (-os) vaistinio preparato indikacija (-os), </w:t>
            </w:r>
          </w:p>
          <w:p w14:paraId="1F4A102B" w14:textId="77777777" w:rsidR="00007B88" w:rsidRPr="00FE1635" w:rsidRDefault="00007B88" w:rsidP="00007B88">
            <w:pPr>
              <w:tabs>
                <w:tab w:val="left" w:pos="284"/>
              </w:tabs>
              <w:spacing w:line="280" w:lineRule="atLeast"/>
              <w:rPr>
                <w:b/>
                <w:bCs/>
                <w:color w:val="000000"/>
                <w:lang w:eastAsia="lt-LT"/>
              </w:rPr>
            </w:pPr>
          </w:p>
          <w:p w14:paraId="6B4FEEC1" w14:textId="39613EA1" w:rsidR="00007B88" w:rsidRPr="00FE1635" w:rsidRDefault="00007B88" w:rsidP="00007B88">
            <w:pPr>
              <w:tabs>
                <w:tab w:val="left" w:pos="284"/>
              </w:tabs>
              <w:spacing w:line="280" w:lineRule="atLeast"/>
              <w:rPr>
                <w:b/>
                <w:bCs/>
                <w:color w:val="000000"/>
                <w:lang w:eastAsia="lt-LT"/>
              </w:rPr>
            </w:pPr>
            <w:r>
              <w:rPr>
                <w:b/>
                <w:bCs/>
                <w:color w:val="000000"/>
                <w:lang w:eastAsia="lt-LT"/>
              </w:rPr>
              <w:t>TLK</w:t>
            </w:r>
            <w:r w:rsidRPr="00FE1635">
              <w:rPr>
                <w:b/>
                <w:bCs/>
                <w:color w:val="000000"/>
                <w:lang w:eastAsia="lt-LT"/>
              </w:rPr>
              <w:t xml:space="preserve"> kodas</w:t>
            </w:r>
          </w:p>
        </w:tc>
        <w:tc>
          <w:tcPr>
            <w:tcW w:w="4713" w:type="dxa"/>
          </w:tcPr>
          <w:p w14:paraId="003FB76C" w14:textId="77777777" w:rsidR="00007B88" w:rsidRPr="00D05364" w:rsidRDefault="00007B88" w:rsidP="00007B88">
            <w:pPr>
              <w:pStyle w:val="Sraopastraipa"/>
              <w:spacing w:after="120"/>
              <w:ind w:left="0"/>
              <w:contextualSpacing w:val="0"/>
              <w:jc w:val="both"/>
            </w:pPr>
            <w:r>
              <w:t>H</w:t>
            </w:r>
            <w:r w:rsidRPr="00CC06D8">
              <w:t>iperfosfatemijos gydymui lėtiniu inkstų nepakankamumu sergantiems ir hemodialize ar ambulatoriškai nuolatine peritonine dialize gydomiems suaugusiems pacientams.</w:t>
            </w:r>
          </w:p>
          <w:p w14:paraId="13F7DFB0" w14:textId="276C6521" w:rsidR="00007B88" w:rsidRPr="006E501F" w:rsidRDefault="00007B88" w:rsidP="00007B88">
            <w:pPr>
              <w:pStyle w:val="Sraopastraipa"/>
              <w:spacing w:after="120"/>
              <w:ind w:left="0"/>
              <w:contextualSpacing w:val="0"/>
              <w:jc w:val="both"/>
            </w:pPr>
            <w:r>
              <w:t>N18</w:t>
            </w:r>
          </w:p>
        </w:tc>
      </w:tr>
      <w:tr w:rsidR="00007B88" w:rsidRPr="00FE1635" w14:paraId="2F79DC08" w14:textId="77777777" w:rsidTr="006834D3">
        <w:trPr>
          <w:trHeight w:val="378"/>
        </w:trPr>
        <w:tc>
          <w:tcPr>
            <w:tcW w:w="632" w:type="dxa"/>
          </w:tcPr>
          <w:p w14:paraId="547885A2" w14:textId="08AA8055" w:rsidR="00007B88" w:rsidRPr="00FE1635" w:rsidRDefault="00007B88" w:rsidP="00007B88">
            <w:pPr>
              <w:tabs>
                <w:tab w:val="left" w:pos="284"/>
              </w:tabs>
              <w:spacing w:line="280" w:lineRule="atLeast"/>
              <w:rPr>
                <w:rFonts w:eastAsia="Arial"/>
                <w:b/>
              </w:rPr>
            </w:pPr>
            <w:r w:rsidRPr="00FE1635">
              <w:rPr>
                <w:rFonts w:eastAsia="Arial"/>
                <w:b/>
              </w:rPr>
              <w:t>1.</w:t>
            </w:r>
            <w:r>
              <w:rPr>
                <w:rFonts w:eastAsia="Arial"/>
                <w:b/>
              </w:rPr>
              <w:t>6</w:t>
            </w:r>
          </w:p>
        </w:tc>
        <w:tc>
          <w:tcPr>
            <w:tcW w:w="3694" w:type="dxa"/>
          </w:tcPr>
          <w:p w14:paraId="2EAB877F" w14:textId="4D3F62F5" w:rsidR="00007B88" w:rsidRPr="00FE1635" w:rsidRDefault="00007B88" w:rsidP="00007B88">
            <w:pPr>
              <w:tabs>
                <w:tab w:val="left" w:pos="284"/>
              </w:tabs>
              <w:spacing w:line="280" w:lineRule="atLeast"/>
              <w:rPr>
                <w:bCs/>
                <w:color w:val="000000"/>
                <w:u w:val="single"/>
                <w:lang w:eastAsia="lt-LT"/>
              </w:rPr>
            </w:pPr>
            <w:r>
              <w:rPr>
                <w:b/>
                <w:bCs/>
                <w:color w:val="000000"/>
                <w:lang w:eastAsia="lt-LT"/>
              </w:rPr>
              <w:t>Teikiamos</w:t>
            </w:r>
            <w:r w:rsidRPr="00FE1635">
              <w:rPr>
                <w:b/>
                <w:bCs/>
                <w:color w:val="000000"/>
                <w:lang w:eastAsia="lt-LT"/>
              </w:rPr>
              <w:t xml:space="preserve"> skyrimo sąlygos </w:t>
            </w:r>
          </w:p>
        </w:tc>
        <w:tc>
          <w:tcPr>
            <w:tcW w:w="4713" w:type="dxa"/>
          </w:tcPr>
          <w:p w14:paraId="0579DF58" w14:textId="5EAA508B" w:rsidR="00007B88" w:rsidRPr="00FE1635" w:rsidRDefault="00007B88" w:rsidP="00007B88">
            <w:pPr>
              <w:pStyle w:val="Sraopastraipa"/>
              <w:spacing w:after="120"/>
              <w:ind w:left="0"/>
              <w:contextualSpacing w:val="0"/>
              <w:jc w:val="both"/>
            </w:pPr>
            <w:r w:rsidRPr="00CC06D8">
              <w:rPr>
                <w:color w:val="000000"/>
                <w:lang w:eastAsia="lt-LT"/>
              </w:rPr>
              <w:t>Skyrimo sąlygos atitinka registruot</w:t>
            </w:r>
            <w:r>
              <w:rPr>
                <w:color w:val="000000"/>
                <w:lang w:eastAsia="lt-LT"/>
              </w:rPr>
              <w:t>ą indikaciją</w:t>
            </w:r>
            <w:r w:rsidRPr="00CC06D8">
              <w:rPr>
                <w:color w:val="000000"/>
                <w:lang w:eastAsia="lt-LT"/>
              </w:rPr>
              <w:t>.</w:t>
            </w:r>
          </w:p>
        </w:tc>
      </w:tr>
      <w:tr w:rsidR="00007B88" w:rsidRPr="00FE1635" w14:paraId="3B125269" w14:textId="77777777" w:rsidTr="006834D3">
        <w:trPr>
          <w:trHeight w:val="378"/>
        </w:trPr>
        <w:tc>
          <w:tcPr>
            <w:tcW w:w="632" w:type="dxa"/>
          </w:tcPr>
          <w:p w14:paraId="0058E11F" w14:textId="77777777" w:rsidR="00007B88" w:rsidRPr="00FE1635" w:rsidRDefault="00007B88" w:rsidP="00007B88">
            <w:pPr>
              <w:tabs>
                <w:tab w:val="left" w:pos="284"/>
              </w:tabs>
              <w:spacing w:line="280" w:lineRule="atLeast"/>
              <w:rPr>
                <w:rFonts w:eastAsia="Arial"/>
                <w:b/>
              </w:rPr>
            </w:pPr>
            <w:r w:rsidRPr="00FE1635">
              <w:rPr>
                <w:rFonts w:eastAsia="Arial"/>
                <w:b/>
              </w:rPr>
              <w:t>1.7</w:t>
            </w:r>
          </w:p>
        </w:tc>
        <w:tc>
          <w:tcPr>
            <w:tcW w:w="3694" w:type="dxa"/>
          </w:tcPr>
          <w:p w14:paraId="6CC1022E" w14:textId="67D8C43B" w:rsidR="00007B88" w:rsidRPr="006E501F" w:rsidRDefault="00007B88" w:rsidP="00007B88">
            <w:pPr>
              <w:tabs>
                <w:tab w:val="left" w:pos="284"/>
              </w:tabs>
              <w:spacing w:line="280" w:lineRule="atLeast"/>
              <w:rPr>
                <w:b/>
                <w:bCs/>
                <w:color w:val="000000"/>
                <w:lang w:eastAsia="lt-LT"/>
              </w:rPr>
            </w:pPr>
            <w:r w:rsidRPr="00FE1635">
              <w:rPr>
                <w:b/>
                <w:bCs/>
                <w:color w:val="000000"/>
                <w:lang w:eastAsia="lt-LT"/>
              </w:rPr>
              <w:t xml:space="preserve">Palyginamasis gydymas </w:t>
            </w:r>
          </w:p>
        </w:tc>
        <w:tc>
          <w:tcPr>
            <w:tcW w:w="4713" w:type="dxa"/>
          </w:tcPr>
          <w:p w14:paraId="41B44044" w14:textId="5A6BD01A" w:rsidR="00007B88" w:rsidRPr="006E501F" w:rsidRDefault="00007B88" w:rsidP="00007B88">
            <w:pPr>
              <w:spacing w:after="120"/>
              <w:jc w:val="both"/>
            </w:pPr>
            <w:r>
              <w:t>Kalcio acetatas/magnio subkarbonatas</w:t>
            </w:r>
          </w:p>
        </w:tc>
      </w:tr>
    </w:tbl>
    <w:p w14:paraId="108176F7" w14:textId="640C6F75" w:rsidR="00F70C9E" w:rsidRDefault="00F70C9E" w:rsidP="00E03C3F">
      <w:pPr>
        <w:pStyle w:val="Sraopastraipa"/>
        <w:tabs>
          <w:tab w:val="left" w:pos="426"/>
        </w:tabs>
        <w:ind w:left="0"/>
        <w:rPr>
          <w:b/>
          <w:bCs/>
          <w:caps/>
        </w:rPr>
      </w:pPr>
    </w:p>
    <w:p w14:paraId="2871CA7F" w14:textId="2370BDDB" w:rsidR="00F70C9E" w:rsidRPr="00177C8C" w:rsidRDefault="00F70C9E" w:rsidP="00880A44">
      <w:pPr>
        <w:spacing w:line="276" w:lineRule="auto"/>
        <w:jc w:val="both"/>
        <w:rPr>
          <w:rFonts w:eastAsia="Arial"/>
          <w:b/>
        </w:rPr>
      </w:pPr>
      <w:r w:rsidRPr="00177C8C">
        <w:rPr>
          <w:rFonts w:eastAsia="Arial"/>
          <w:b/>
        </w:rPr>
        <w:lastRenderedPageBreak/>
        <w:t>1.</w:t>
      </w:r>
      <w:r>
        <w:rPr>
          <w:rFonts w:eastAsia="Arial"/>
          <w:b/>
        </w:rPr>
        <w:t>8</w:t>
      </w:r>
      <w:r w:rsidRPr="00177C8C">
        <w:rPr>
          <w:rFonts w:eastAsia="Arial"/>
          <w:b/>
        </w:rPr>
        <w:t xml:space="preserve"> Kitų </w:t>
      </w:r>
      <w:r w:rsidR="00DF583C">
        <w:rPr>
          <w:rFonts w:eastAsia="Arial"/>
          <w:b/>
        </w:rPr>
        <w:t xml:space="preserve">valstybių </w:t>
      </w:r>
      <w:r>
        <w:rPr>
          <w:rFonts w:eastAsia="Arial"/>
          <w:b/>
        </w:rPr>
        <w:t xml:space="preserve">atsakingų institucijų atlikto </w:t>
      </w:r>
      <w:r w:rsidR="00DF583C">
        <w:rPr>
          <w:rFonts w:eastAsia="Arial"/>
          <w:b/>
        </w:rPr>
        <w:t>Sveikatos technologijų vertinimo (toliau – STV)</w:t>
      </w:r>
      <w:r w:rsidRPr="00177C8C">
        <w:rPr>
          <w:rFonts w:eastAsia="Arial"/>
          <w:b/>
        </w:rPr>
        <w:t xml:space="preserve"> išvados</w:t>
      </w:r>
    </w:p>
    <w:p w14:paraId="30721FDD" w14:textId="77777777" w:rsidR="00F70C9E"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23"/>
        <w:gridCol w:w="1816"/>
        <w:gridCol w:w="2350"/>
        <w:gridCol w:w="2640"/>
      </w:tblGrid>
      <w:tr w:rsidR="00F70C9E" w14:paraId="7E72828B" w14:textId="77777777" w:rsidTr="00007B88">
        <w:trPr>
          <w:trHeight w:val="924"/>
        </w:trPr>
        <w:tc>
          <w:tcPr>
            <w:tcW w:w="2823" w:type="dxa"/>
          </w:tcPr>
          <w:p w14:paraId="253D1DD4" w14:textId="5B2616C0" w:rsidR="00F70C9E" w:rsidRDefault="00F70C9E" w:rsidP="00197DC0">
            <w:pPr>
              <w:spacing w:line="276" w:lineRule="auto"/>
              <w:rPr>
                <w:rFonts w:eastAsia="Arial"/>
              </w:rPr>
            </w:pPr>
            <w:r>
              <w:rPr>
                <w:rFonts w:eastAsia="Arial"/>
              </w:rPr>
              <w:t>ST</w:t>
            </w:r>
            <w:r w:rsidR="00DF583C">
              <w:rPr>
                <w:rFonts w:eastAsia="Arial"/>
              </w:rPr>
              <w:t>V</w:t>
            </w:r>
            <w:r>
              <w:rPr>
                <w:rFonts w:eastAsia="Arial"/>
              </w:rPr>
              <w:t xml:space="preserve"> agentūros pavadinimas, šalis</w:t>
            </w:r>
          </w:p>
        </w:tc>
        <w:tc>
          <w:tcPr>
            <w:tcW w:w="1816" w:type="dxa"/>
          </w:tcPr>
          <w:p w14:paraId="34AE1EDD" w14:textId="77777777" w:rsidR="00F70C9E" w:rsidRDefault="00F70C9E" w:rsidP="00197DC0">
            <w:pPr>
              <w:spacing w:line="276" w:lineRule="auto"/>
              <w:rPr>
                <w:rFonts w:eastAsia="Arial"/>
              </w:rPr>
            </w:pPr>
            <w:r>
              <w:rPr>
                <w:rFonts w:eastAsia="Arial"/>
              </w:rPr>
              <w:t>STV vertinimas atliktas</w:t>
            </w:r>
          </w:p>
        </w:tc>
        <w:tc>
          <w:tcPr>
            <w:tcW w:w="2350" w:type="dxa"/>
          </w:tcPr>
          <w:p w14:paraId="16E2DDC1" w14:textId="77777777" w:rsidR="00F70C9E" w:rsidRDefault="00F70C9E" w:rsidP="00197DC0">
            <w:pPr>
              <w:spacing w:line="276" w:lineRule="auto"/>
              <w:rPr>
                <w:rFonts w:eastAsia="Arial"/>
              </w:rPr>
            </w:pPr>
            <w:r>
              <w:rPr>
                <w:rFonts w:eastAsia="Arial"/>
              </w:rPr>
              <w:t>Klinikinio vertinimo išvada</w:t>
            </w:r>
          </w:p>
        </w:tc>
        <w:tc>
          <w:tcPr>
            <w:tcW w:w="2640" w:type="dxa"/>
          </w:tcPr>
          <w:p w14:paraId="1861E3F2" w14:textId="77777777" w:rsidR="00F70C9E" w:rsidRDefault="00F70C9E" w:rsidP="00197DC0">
            <w:pPr>
              <w:spacing w:line="276" w:lineRule="auto"/>
              <w:rPr>
                <w:rFonts w:eastAsia="Arial"/>
              </w:rPr>
            </w:pPr>
            <w:r>
              <w:rPr>
                <w:rFonts w:eastAsia="Arial"/>
              </w:rPr>
              <w:t>Farmaekonominio vertinimo išvada</w:t>
            </w:r>
          </w:p>
        </w:tc>
      </w:tr>
      <w:tr w:rsidR="00F70C9E" w14:paraId="129FA8F6" w14:textId="77777777" w:rsidTr="00007B88">
        <w:trPr>
          <w:trHeight w:val="2267"/>
        </w:trPr>
        <w:tc>
          <w:tcPr>
            <w:tcW w:w="2823" w:type="dxa"/>
          </w:tcPr>
          <w:p w14:paraId="0A070137" w14:textId="77777777" w:rsidR="00F70C9E" w:rsidRDefault="00F70C9E" w:rsidP="00197DC0">
            <w:pPr>
              <w:autoSpaceDE w:val="0"/>
              <w:autoSpaceDN w:val="0"/>
              <w:adjustRightInd w:val="0"/>
              <w:rPr>
                <w:bCs/>
              </w:rPr>
            </w:pPr>
            <w:r w:rsidRPr="00177C8C">
              <w:rPr>
                <w:bCs/>
              </w:rPr>
              <w:t>Nacionalinis sveikatos ir</w:t>
            </w:r>
            <w:r>
              <w:rPr>
                <w:bCs/>
              </w:rPr>
              <w:t xml:space="preserve"> </w:t>
            </w:r>
            <w:r w:rsidRPr="00177C8C">
              <w:rPr>
                <w:bCs/>
              </w:rPr>
              <w:t>klinikinės kompetencijos institutas</w:t>
            </w:r>
            <w:r>
              <w:rPr>
                <w:bCs/>
              </w:rPr>
              <w:t>, Didžioji Britanija</w:t>
            </w:r>
          </w:p>
          <w:p w14:paraId="49C6520D" w14:textId="77777777" w:rsidR="00F70C9E" w:rsidRPr="00177C8C" w:rsidRDefault="00F70C9E" w:rsidP="00197DC0">
            <w:pPr>
              <w:spacing w:line="276" w:lineRule="auto"/>
              <w:rPr>
                <w:rFonts w:eastAsia="Arial"/>
                <w:lang w:val="en-GB"/>
              </w:rPr>
            </w:pPr>
            <w:r>
              <w:rPr>
                <w:rFonts w:eastAsia="Arial"/>
                <w:lang w:val="en-GB"/>
              </w:rPr>
              <w:t xml:space="preserve">(angl. </w:t>
            </w:r>
            <w:r w:rsidRPr="00177C8C">
              <w:rPr>
                <w:rFonts w:eastAsia="Arial"/>
                <w:i/>
                <w:lang w:val="en-GB"/>
              </w:rPr>
              <w:t>National Institute for Health and Care  Excellence, NICE</w:t>
            </w:r>
            <w:r>
              <w:rPr>
                <w:rFonts w:eastAsia="Arial"/>
                <w:lang w:val="en-GB"/>
              </w:rPr>
              <w:t>)</w:t>
            </w:r>
          </w:p>
        </w:tc>
        <w:tc>
          <w:tcPr>
            <w:tcW w:w="1816" w:type="dxa"/>
          </w:tcPr>
          <w:p w14:paraId="5846A9F8" w14:textId="77777777" w:rsidR="00F70C9E" w:rsidRPr="007162F4" w:rsidRDefault="00000000" w:rsidP="00197DC0">
            <w:pPr>
              <w:pStyle w:val="Sraopastraipa"/>
              <w:spacing w:after="120"/>
              <w:ind w:left="0"/>
              <w:contextualSpacing w:val="0"/>
              <w:jc w:val="both"/>
            </w:pPr>
            <w:sdt>
              <w:sdtPr>
                <w:rPr>
                  <w:rStyle w:val="Style2"/>
                </w:rPr>
                <w:id w:val="1558205022"/>
                <w15:color w:val="FFCC00"/>
                <w14:checkbox>
                  <w14:checked w14:val="0"/>
                  <w14:checkedState w14:val="2612" w14:font="MS Gothic"/>
                  <w14:uncheckedState w14:val="2610" w14:font="MS Gothic"/>
                </w14:checkbox>
              </w:sdtPr>
              <w:sdtContent>
                <w:r w:rsidR="00F70C9E" w:rsidRPr="007162F4">
                  <w:rPr>
                    <w:rStyle w:val="Style2"/>
                    <w:rFonts w:ascii="Segoe UI Symbol" w:eastAsia="MS Gothic" w:hAnsi="Segoe UI Symbol" w:cs="Segoe UI Symbol"/>
                  </w:rPr>
                  <w:t>☐</w:t>
                </w:r>
              </w:sdtContent>
            </w:sdt>
            <w:r w:rsidR="00F70C9E" w:rsidRPr="007162F4">
              <w:t xml:space="preserve"> Taip</w:t>
            </w:r>
          </w:p>
          <w:p w14:paraId="29F3627E" w14:textId="3874BEE0" w:rsidR="00F70C9E" w:rsidRPr="007162F4" w:rsidRDefault="00000000" w:rsidP="00197DC0">
            <w:pPr>
              <w:pStyle w:val="Sraopastraipa"/>
              <w:spacing w:after="120"/>
              <w:ind w:left="0"/>
              <w:contextualSpacing w:val="0"/>
              <w:jc w:val="both"/>
            </w:pPr>
            <w:sdt>
              <w:sdtPr>
                <w:rPr>
                  <w:rStyle w:val="Style2"/>
                </w:rPr>
                <w:id w:val="866029625"/>
                <w15:color w:val="FFCC00"/>
                <w14:checkbox>
                  <w14:checked w14:val="1"/>
                  <w14:checkedState w14:val="2612" w14:font="MS Gothic"/>
                  <w14:uncheckedState w14:val="2610" w14:font="MS Gothic"/>
                </w14:checkbox>
              </w:sdtPr>
              <w:sdtContent>
                <w:r w:rsidR="00007B88">
                  <w:rPr>
                    <w:rStyle w:val="Style2"/>
                    <w:rFonts w:ascii="MS Gothic" w:eastAsia="MS Gothic" w:hAnsi="MS Gothic" w:hint="eastAsia"/>
                  </w:rPr>
                  <w:t>☒</w:t>
                </w:r>
              </w:sdtContent>
            </w:sdt>
            <w:r w:rsidR="00F70C9E" w:rsidRPr="007162F4">
              <w:t xml:space="preserve"> Ne</w:t>
            </w:r>
          </w:p>
          <w:p w14:paraId="7916359D" w14:textId="77777777" w:rsidR="00F70C9E" w:rsidRDefault="00000000" w:rsidP="00197DC0">
            <w:pPr>
              <w:spacing w:line="276" w:lineRule="auto"/>
              <w:rPr>
                <w:rFonts w:eastAsia="Arial"/>
              </w:rPr>
            </w:pPr>
            <w:sdt>
              <w:sdtPr>
                <w:alias w:val="Nurodykite konkrečią dieną"/>
                <w:tag w:val="Nurodykite pradžios datą"/>
                <w:id w:val="922837954"/>
                <w:placeholder>
                  <w:docPart w:val="1E86322BB2A046D9AA8EEC8813E5F165"/>
                </w:placeholder>
                <w:showingPlcHdr/>
                <w15:color w:val="FFCC99"/>
                <w:date w:fullDate="2022-05-18T00:00:00Z">
                  <w:dateFormat w:val="yyyy 'm.' MMMM d 'd.'"/>
                  <w:lid w:val="lt-LT"/>
                  <w:storeMappedDataAs w:val="dateTime"/>
                  <w:calendar w:val="gregorian"/>
                </w:date>
              </w:sdtPr>
              <w:sdtContent>
                <w:r w:rsidR="00F70C9E" w:rsidRPr="007162F4">
                  <w:rPr>
                    <w:rStyle w:val="Vietosrezervavimoenklotekstas"/>
                  </w:rPr>
                  <w:t>Click here to enter a date.</w:t>
                </w:r>
              </w:sdtContent>
            </w:sdt>
          </w:p>
        </w:tc>
        <w:tc>
          <w:tcPr>
            <w:tcW w:w="2350" w:type="dxa"/>
          </w:tcPr>
          <w:p w14:paraId="6413D0ED" w14:textId="77777777" w:rsidR="00F70C9E" w:rsidRDefault="00F70C9E" w:rsidP="00197DC0">
            <w:pPr>
              <w:spacing w:line="276" w:lineRule="auto"/>
              <w:rPr>
                <w:rFonts w:eastAsia="Arial"/>
              </w:rPr>
            </w:pPr>
          </w:p>
        </w:tc>
        <w:tc>
          <w:tcPr>
            <w:tcW w:w="2640" w:type="dxa"/>
          </w:tcPr>
          <w:p w14:paraId="67430EE7" w14:textId="77777777" w:rsidR="00F70C9E" w:rsidRDefault="00F70C9E" w:rsidP="00197DC0">
            <w:pPr>
              <w:spacing w:line="276" w:lineRule="auto"/>
              <w:rPr>
                <w:rFonts w:eastAsia="Arial"/>
              </w:rPr>
            </w:pPr>
          </w:p>
        </w:tc>
      </w:tr>
      <w:tr w:rsidR="00F70C9E" w14:paraId="1CC31474" w14:textId="77777777" w:rsidTr="00007B88">
        <w:trPr>
          <w:trHeight w:val="1547"/>
        </w:trPr>
        <w:tc>
          <w:tcPr>
            <w:tcW w:w="2823" w:type="dxa"/>
          </w:tcPr>
          <w:p w14:paraId="12218E35" w14:textId="77777777" w:rsidR="00F70C9E" w:rsidRDefault="00F70C9E" w:rsidP="00197DC0">
            <w:pPr>
              <w:spacing w:line="276" w:lineRule="auto"/>
              <w:rPr>
                <w:rFonts w:eastAsia="Arial"/>
                <w:lang w:val="en-GB"/>
              </w:rPr>
            </w:pPr>
            <w:r>
              <w:rPr>
                <w:rFonts w:eastAsia="Arial"/>
                <w:lang w:val="en-GB"/>
              </w:rPr>
              <w:t>Kanados sveikatos technologijų agentūra</w:t>
            </w:r>
          </w:p>
          <w:p w14:paraId="2C593A82" w14:textId="77777777" w:rsidR="00F70C9E" w:rsidRPr="00177C8C" w:rsidRDefault="00F70C9E" w:rsidP="00197DC0">
            <w:pPr>
              <w:spacing w:line="276" w:lineRule="auto"/>
              <w:rPr>
                <w:rFonts w:eastAsia="Arial"/>
                <w:lang w:val="en-GB"/>
              </w:rPr>
            </w:pPr>
            <w:r>
              <w:rPr>
                <w:rFonts w:eastAsia="Arial"/>
                <w:lang w:val="en-GB"/>
              </w:rPr>
              <w:t xml:space="preserve">(angl. </w:t>
            </w:r>
            <w:r w:rsidRPr="00177C8C">
              <w:rPr>
                <w:rFonts w:eastAsia="Arial"/>
                <w:i/>
                <w:lang w:val="en-GB"/>
              </w:rPr>
              <w:t>Canadian health Technology Assessment agency, CADTH</w:t>
            </w:r>
            <w:r>
              <w:rPr>
                <w:rFonts w:eastAsia="Arial"/>
                <w:lang w:val="en-GB"/>
              </w:rPr>
              <w:t>)</w:t>
            </w:r>
          </w:p>
        </w:tc>
        <w:tc>
          <w:tcPr>
            <w:tcW w:w="1816" w:type="dxa"/>
          </w:tcPr>
          <w:p w14:paraId="762649FE" w14:textId="77777777" w:rsidR="00F70C9E" w:rsidRPr="007162F4" w:rsidRDefault="00000000" w:rsidP="00197DC0">
            <w:pPr>
              <w:pStyle w:val="Sraopastraipa"/>
              <w:spacing w:after="120"/>
              <w:ind w:left="0"/>
              <w:contextualSpacing w:val="0"/>
              <w:jc w:val="both"/>
            </w:pPr>
            <w:sdt>
              <w:sdtPr>
                <w:rPr>
                  <w:rStyle w:val="Style2"/>
                </w:rPr>
                <w:id w:val="-372539057"/>
                <w15:color w:val="FFCC00"/>
                <w14:checkbox>
                  <w14:checked w14:val="0"/>
                  <w14:checkedState w14:val="2612" w14:font="MS Gothic"/>
                  <w14:uncheckedState w14:val="2610" w14:font="MS Gothic"/>
                </w14:checkbox>
              </w:sdtPr>
              <w:sdtContent>
                <w:r w:rsidR="00F70C9E" w:rsidRPr="007162F4">
                  <w:rPr>
                    <w:rStyle w:val="Style2"/>
                    <w:rFonts w:ascii="Segoe UI Symbol" w:eastAsia="MS Gothic" w:hAnsi="Segoe UI Symbol" w:cs="Segoe UI Symbol"/>
                  </w:rPr>
                  <w:t>☐</w:t>
                </w:r>
              </w:sdtContent>
            </w:sdt>
            <w:r w:rsidR="00F70C9E" w:rsidRPr="007162F4">
              <w:t xml:space="preserve"> Taip</w:t>
            </w:r>
          </w:p>
          <w:p w14:paraId="35F17B07" w14:textId="240B24EE" w:rsidR="00F70C9E" w:rsidRPr="007162F4" w:rsidRDefault="00000000" w:rsidP="00197DC0">
            <w:pPr>
              <w:pStyle w:val="Sraopastraipa"/>
              <w:spacing w:after="120"/>
              <w:ind w:left="0"/>
              <w:contextualSpacing w:val="0"/>
              <w:jc w:val="both"/>
            </w:pPr>
            <w:sdt>
              <w:sdtPr>
                <w:rPr>
                  <w:rStyle w:val="Style2"/>
                </w:rPr>
                <w:id w:val="594442222"/>
                <w15:color w:val="FFCC00"/>
                <w14:checkbox>
                  <w14:checked w14:val="1"/>
                  <w14:checkedState w14:val="2612" w14:font="MS Gothic"/>
                  <w14:uncheckedState w14:val="2610" w14:font="MS Gothic"/>
                </w14:checkbox>
              </w:sdtPr>
              <w:sdtContent>
                <w:r w:rsidR="00007B88">
                  <w:rPr>
                    <w:rStyle w:val="Style2"/>
                    <w:rFonts w:ascii="MS Gothic" w:eastAsia="MS Gothic" w:hAnsi="MS Gothic" w:hint="eastAsia"/>
                  </w:rPr>
                  <w:t>☒</w:t>
                </w:r>
              </w:sdtContent>
            </w:sdt>
            <w:r w:rsidR="00F70C9E" w:rsidRPr="007162F4">
              <w:t xml:space="preserve"> Ne</w:t>
            </w:r>
          </w:p>
          <w:p w14:paraId="0C0988CC" w14:textId="77777777" w:rsidR="00F70C9E" w:rsidRDefault="00000000" w:rsidP="00197DC0">
            <w:pPr>
              <w:spacing w:line="276" w:lineRule="auto"/>
              <w:rPr>
                <w:rFonts w:eastAsia="Arial"/>
              </w:rPr>
            </w:pPr>
            <w:sdt>
              <w:sdtPr>
                <w:alias w:val="Nurodykite konkrečią dieną"/>
                <w:tag w:val="Nurodykite pradžios datą"/>
                <w:id w:val="1072468416"/>
                <w:placeholder>
                  <w:docPart w:val="57B9655BB938420B82BDAD6B82A66F50"/>
                </w:placeholder>
                <w:showingPlcHdr/>
                <w15:color w:val="FFCC99"/>
                <w:date w:fullDate="2022-05-18T00:00:00Z">
                  <w:dateFormat w:val="yyyy 'm.' MMMM d 'd.'"/>
                  <w:lid w:val="lt-LT"/>
                  <w:storeMappedDataAs w:val="dateTime"/>
                  <w:calendar w:val="gregorian"/>
                </w:date>
              </w:sdtPr>
              <w:sdtContent>
                <w:r w:rsidR="00F70C9E" w:rsidRPr="007162F4">
                  <w:rPr>
                    <w:rStyle w:val="Vietosrezervavimoenklotekstas"/>
                  </w:rPr>
                  <w:t>Click here to enter a date.</w:t>
                </w:r>
              </w:sdtContent>
            </w:sdt>
          </w:p>
        </w:tc>
        <w:tc>
          <w:tcPr>
            <w:tcW w:w="2350" w:type="dxa"/>
          </w:tcPr>
          <w:p w14:paraId="64D1B800" w14:textId="77777777" w:rsidR="00F70C9E" w:rsidRDefault="00F70C9E" w:rsidP="00197DC0">
            <w:pPr>
              <w:spacing w:line="276" w:lineRule="auto"/>
              <w:rPr>
                <w:rFonts w:eastAsia="Arial"/>
              </w:rPr>
            </w:pPr>
          </w:p>
        </w:tc>
        <w:tc>
          <w:tcPr>
            <w:tcW w:w="2640" w:type="dxa"/>
          </w:tcPr>
          <w:p w14:paraId="5C8CB330" w14:textId="77777777" w:rsidR="00F70C9E" w:rsidRDefault="00F70C9E" w:rsidP="00197DC0">
            <w:pPr>
              <w:spacing w:line="276" w:lineRule="auto"/>
              <w:rPr>
                <w:rFonts w:eastAsia="Arial"/>
              </w:rPr>
            </w:pPr>
          </w:p>
        </w:tc>
      </w:tr>
      <w:tr w:rsidR="00F70C9E" w14:paraId="21C94D47" w14:textId="77777777" w:rsidTr="00007B88">
        <w:trPr>
          <w:trHeight w:val="2160"/>
        </w:trPr>
        <w:tc>
          <w:tcPr>
            <w:tcW w:w="2823" w:type="dxa"/>
          </w:tcPr>
          <w:p w14:paraId="02F45BB8" w14:textId="77777777" w:rsidR="00F70C9E" w:rsidRDefault="00F70C9E" w:rsidP="00197DC0">
            <w:pPr>
              <w:spacing w:line="276" w:lineRule="auto"/>
              <w:rPr>
                <w:rFonts w:eastAsia="Arial"/>
              </w:rPr>
            </w:pPr>
            <w:r>
              <w:rPr>
                <w:rFonts w:eastAsia="Arial"/>
              </w:rPr>
              <w:t>Nacionalinis farmakoekonomikos centras, Airija</w:t>
            </w:r>
          </w:p>
          <w:p w14:paraId="736F5072" w14:textId="77777777" w:rsidR="00F70C9E" w:rsidRDefault="00F70C9E" w:rsidP="00197DC0">
            <w:pPr>
              <w:spacing w:line="276" w:lineRule="auto"/>
              <w:rPr>
                <w:rFonts w:eastAsia="Arial"/>
              </w:rPr>
            </w:pPr>
            <w:r w:rsidRPr="00177C8C">
              <w:rPr>
                <w:rFonts w:eastAsia="Arial"/>
              </w:rPr>
              <w:t>(angl.</w:t>
            </w:r>
            <w:r w:rsidRPr="00177C8C">
              <w:rPr>
                <w:rFonts w:eastAsia="Arial"/>
                <w:i/>
              </w:rPr>
              <w:t xml:space="preserve"> National Centre for</w:t>
            </w:r>
            <w:r>
              <w:rPr>
                <w:rFonts w:eastAsia="Arial"/>
                <w:i/>
              </w:rPr>
              <w:t xml:space="preserve"> </w:t>
            </w:r>
            <w:r w:rsidRPr="00177C8C">
              <w:rPr>
                <w:rFonts w:eastAsia="Arial"/>
                <w:i/>
              </w:rPr>
              <w:t>Pharmacoeconomics, NCPE</w:t>
            </w:r>
            <w:r w:rsidRPr="00177C8C">
              <w:rPr>
                <w:rFonts w:eastAsia="Arial"/>
              </w:rPr>
              <w:t>)</w:t>
            </w:r>
          </w:p>
        </w:tc>
        <w:tc>
          <w:tcPr>
            <w:tcW w:w="1816" w:type="dxa"/>
          </w:tcPr>
          <w:p w14:paraId="106E24DF" w14:textId="77777777" w:rsidR="00F70C9E" w:rsidRPr="007162F4" w:rsidRDefault="00000000" w:rsidP="00197DC0">
            <w:pPr>
              <w:pStyle w:val="Sraopastraipa"/>
              <w:spacing w:after="120"/>
              <w:ind w:left="0"/>
              <w:contextualSpacing w:val="0"/>
              <w:jc w:val="both"/>
            </w:pPr>
            <w:sdt>
              <w:sdtPr>
                <w:rPr>
                  <w:rStyle w:val="Style2"/>
                </w:rPr>
                <w:id w:val="-1888403732"/>
                <w15:color w:val="FFCC00"/>
                <w14:checkbox>
                  <w14:checked w14:val="0"/>
                  <w14:checkedState w14:val="2612" w14:font="MS Gothic"/>
                  <w14:uncheckedState w14:val="2610" w14:font="MS Gothic"/>
                </w14:checkbox>
              </w:sdtPr>
              <w:sdtContent>
                <w:r w:rsidR="00F70C9E" w:rsidRPr="007162F4">
                  <w:rPr>
                    <w:rStyle w:val="Style2"/>
                    <w:rFonts w:ascii="Segoe UI Symbol" w:eastAsia="MS Gothic" w:hAnsi="Segoe UI Symbol" w:cs="Segoe UI Symbol"/>
                  </w:rPr>
                  <w:t>☐</w:t>
                </w:r>
              </w:sdtContent>
            </w:sdt>
            <w:r w:rsidR="00F70C9E" w:rsidRPr="007162F4">
              <w:t xml:space="preserve"> Taip</w:t>
            </w:r>
          </w:p>
          <w:p w14:paraId="6C89485D" w14:textId="10E01C71" w:rsidR="00F70C9E" w:rsidRPr="007162F4" w:rsidRDefault="00000000" w:rsidP="00197DC0">
            <w:pPr>
              <w:pStyle w:val="Sraopastraipa"/>
              <w:spacing w:after="120"/>
              <w:ind w:left="0"/>
              <w:contextualSpacing w:val="0"/>
              <w:jc w:val="both"/>
            </w:pPr>
            <w:sdt>
              <w:sdtPr>
                <w:rPr>
                  <w:rStyle w:val="Style2"/>
                </w:rPr>
                <w:id w:val="1092201793"/>
                <w15:color w:val="FFCC00"/>
                <w14:checkbox>
                  <w14:checked w14:val="1"/>
                  <w14:checkedState w14:val="2612" w14:font="MS Gothic"/>
                  <w14:uncheckedState w14:val="2610" w14:font="MS Gothic"/>
                </w14:checkbox>
              </w:sdtPr>
              <w:sdtContent>
                <w:r w:rsidR="00007B88">
                  <w:rPr>
                    <w:rStyle w:val="Style2"/>
                    <w:rFonts w:ascii="MS Gothic" w:eastAsia="MS Gothic" w:hAnsi="MS Gothic" w:hint="eastAsia"/>
                  </w:rPr>
                  <w:t>☒</w:t>
                </w:r>
              </w:sdtContent>
            </w:sdt>
            <w:r w:rsidR="00F70C9E" w:rsidRPr="007162F4">
              <w:t xml:space="preserve"> Ne</w:t>
            </w:r>
          </w:p>
          <w:p w14:paraId="69AA1151" w14:textId="77777777" w:rsidR="00F70C9E" w:rsidRDefault="00000000" w:rsidP="00197DC0">
            <w:pPr>
              <w:spacing w:line="276" w:lineRule="auto"/>
              <w:rPr>
                <w:rFonts w:eastAsia="Arial"/>
              </w:rPr>
            </w:pPr>
            <w:sdt>
              <w:sdtPr>
                <w:alias w:val="Nurodykite konkrečią dieną"/>
                <w:tag w:val="Nurodykite pradžios datą"/>
                <w:id w:val="-198323198"/>
                <w:placeholder>
                  <w:docPart w:val="5830794711CC4E92887B7A7DBFC23A3F"/>
                </w:placeholder>
                <w:showingPlcHdr/>
                <w15:color w:val="FFCC99"/>
                <w:date w:fullDate="2022-05-18T00:00:00Z">
                  <w:dateFormat w:val="yyyy 'm.' MMMM d 'd.'"/>
                  <w:lid w:val="lt-LT"/>
                  <w:storeMappedDataAs w:val="dateTime"/>
                  <w:calendar w:val="gregorian"/>
                </w:date>
              </w:sdtPr>
              <w:sdtContent>
                <w:r w:rsidR="00F70C9E" w:rsidRPr="007162F4">
                  <w:rPr>
                    <w:rStyle w:val="Vietosrezervavimoenklotekstas"/>
                  </w:rPr>
                  <w:t>Click here to enter a date.</w:t>
                </w:r>
              </w:sdtContent>
            </w:sdt>
          </w:p>
        </w:tc>
        <w:tc>
          <w:tcPr>
            <w:tcW w:w="2350" w:type="dxa"/>
          </w:tcPr>
          <w:p w14:paraId="3C67423E" w14:textId="77777777" w:rsidR="00F70C9E" w:rsidRDefault="00F70C9E" w:rsidP="00197DC0">
            <w:pPr>
              <w:spacing w:line="276" w:lineRule="auto"/>
              <w:rPr>
                <w:rFonts w:eastAsia="Arial"/>
              </w:rPr>
            </w:pPr>
          </w:p>
        </w:tc>
        <w:tc>
          <w:tcPr>
            <w:tcW w:w="2640" w:type="dxa"/>
          </w:tcPr>
          <w:p w14:paraId="60651AFD" w14:textId="77777777" w:rsidR="00F70C9E" w:rsidRDefault="00F70C9E" w:rsidP="00197DC0">
            <w:pPr>
              <w:spacing w:line="276" w:lineRule="auto"/>
              <w:rPr>
                <w:rFonts w:eastAsia="Arial"/>
              </w:rPr>
            </w:pPr>
          </w:p>
        </w:tc>
      </w:tr>
      <w:tr w:rsidR="00007B88" w14:paraId="69ACC59E" w14:textId="77777777" w:rsidTr="00007B88">
        <w:trPr>
          <w:trHeight w:val="2160"/>
        </w:trPr>
        <w:tc>
          <w:tcPr>
            <w:tcW w:w="2823" w:type="dxa"/>
          </w:tcPr>
          <w:p w14:paraId="0C4FF939" w14:textId="55821D7D" w:rsidR="00007B88" w:rsidRDefault="00007B88" w:rsidP="00007B88">
            <w:pPr>
              <w:spacing w:line="276" w:lineRule="auto"/>
              <w:rPr>
                <w:rFonts w:eastAsia="Arial"/>
              </w:rPr>
            </w:pPr>
            <w:r w:rsidRPr="00CC06D8">
              <w:rPr>
                <w:rFonts w:eastAsia="Arial"/>
              </w:rPr>
              <w:t>Federalinis vaistų ir medicinos prietaisų institutas</w:t>
            </w:r>
            <w:r>
              <w:rPr>
                <w:rFonts w:eastAsia="Arial"/>
              </w:rPr>
              <w:t>, Vokietija</w:t>
            </w:r>
            <w:r w:rsidRPr="00CC06D8">
              <w:rPr>
                <w:rFonts w:eastAsia="Arial"/>
              </w:rPr>
              <w:t xml:space="preserve"> </w:t>
            </w:r>
            <w:r>
              <w:rPr>
                <w:rFonts w:eastAsia="Arial"/>
              </w:rPr>
              <w:t xml:space="preserve">(vok. </w:t>
            </w:r>
            <w:r w:rsidRPr="00CC06D8">
              <w:rPr>
                <w:rFonts w:eastAsia="Arial"/>
                <w:i/>
                <w:iCs/>
              </w:rPr>
              <w:t>Bundesinstitut für Arzneimittel und Medizinprodukte (BfArM)</w:t>
            </w:r>
            <w:r>
              <w:rPr>
                <w:i/>
                <w:iCs/>
              </w:rPr>
              <w:t>).</w:t>
            </w:r>
            <w:r w:rsidRPr="00D05364">
              <w:rPr>
                <w:rFonts w:eastAsia="Arial"/>
              </w:rPr>
              <w:t xml:space="preserve"> </w:t>
            </w:r>
          </w:p>
        </w:tc>
        <w:tc>
          <w:tcPr>
            <w:tcW w:w="1816" w:type="dxa"/>
          </w:tcPr>
          <w:p w14:paraId="7BB23553" w14:textId="77777777" w:rsidR="00007B88" w:rsidRPr="00D05364" w:rsidRDefault="00000000" w:rsidP="00007B88">
            <w:sdt>
              <w:sdtPr>
                <w:rPr>
                  <w:rStyle w:val="Style2"/>
                </w:rPr>
                <w:id w:val="1634437882"/>
                <w15:color w:val="FFCC00"/>
                <w14:checkbox>
                  <w14:checked w14:val="1"/>
                  <w14:checkedState w14:val="2612" w14:font="MS Gothic"/>
                  <w14:uncheckedState w14:val="2610" w14:font="MS Gothic"/>
                </w14:checkbox>
              </w:sdtPr>
              <w:sdtContent>
                <w:r w:rsidR="00007B88">
                  <w:rPr>
                    <w:rStyle w:val="Style2"/>
                    <w:rFonts w:ascii="MS Gothic" w:eastAsia="MS Gothic" w:hAnsi="MS Gothic" w:hint="eastAsia"/>
                  </w:rPr>
                  <w:t>☒</w:t>
                </w:r>
              </w:sdtContent>
            </w:sdt>
            <w:r w:rsidR="00007B88" w:rsidRPr="00D05364">
              <w:t xml:space="preserve"> Taip</w:t>
            </w:r>
          </w:p>
          <w:p w14:paraId="7EB4A716" w14:textId="77777777" w:rsidR="00007B88" w:rsidRPr="00D05364" w:rsidRDefault="00000000" w:rsidP="00007B88">
            <w:sdt>
              <w:sdtPr>
                <w:rPr>
                  <w:rStyle w:val="Style2"/>
                </w:rPr>
                <w:id w:val="85655384"/>
                <w15:color w:val="FFCC00"/>
                <w14:checkbox>
                  <w14:checked w14:val="0"/>
                  <w14:checkedState w14:val="2612" w14:font="MS Gothic"/>
                  <w14:uncheckedState w14:val="2610" w14:font="MS Gothic"/>
                </w14:checkbox>
              </w:sdtPr>
              <w:sdtContent>
                <w:r w:rsidR="00007B88" w:rsidRPr="00D05364">
                  <w:rPr>
                    <w:rStyle w:val="Style2"/>
                    <w:rFonts w:ascii="Segoe UI Symbol" w:eastAsia="MS Gothic" w:hAnsi="Segoe UI Symbol" w:cs="Segoe UI Symbol"/>
                  </w:rPr>
                  <w:t>☐</w:t>
                </w:r>
              </w:sdtContent>
            </w:sdt>
            <w:r w:rsidR="00007B88" w:rsidRPr="00D05364">
              <w:t xml:space="preserve"> Ne</w:t>
            </w:r>
          </w:p>
          <w:p w14:paraId="7318B401" w14:textId="737AF398" w:rsidR="00007B88" w:rsidRDefault="00000000" w:rsidP="00007B88">
            <w:pPr>
              <w:pStyle w:val="Sraopastraipa"/>
              <w:spacing w:after="120"/>
              <w:ind w:left="0"/>
              <w:contextualSpacing w:val="0"/>
              <w:jc w:val="both"/>
              <w:rPr>
                <w:rStyle w:val="Style2"/>
              </w:rPr>
            </w:pPr>
            <w:sdt>
              <w:sdtPr>
                <w:rPr>
                  <w:sz w:val="32"/>
                </w:rPr>
                <w:alias w:val="Nurodykite konkrečią dieną"/>
                <w:tag w:val="Nurodykite pradžios datą"/>
                <w:id w:val="1004862963"/>
                <w:placeholder>
                  <w:docPart w:val="C62857F5DFADCC46915BD50EA1EFA02D"/>
                </w:placeholder>
                <w15:color w:val="FFCC99"/>
                <w:date>
                  <w:dateFormat w:val="yyyy 'm.' MMMM d 'd.'"/>
                  <w:lid w:val="lt-LT"/>
                  <w:storeMappedDataAs w:val="dateTime"/>
                  <w:calendar w:val="gregorian"/>
                </w:date>
              </w:sdtPr>
              <w:sdtContent>
                <w:r w:rsidR="00007B88" w:rsidRPr="00CC06D8">
                  <w:t>2021 rugsėjo 20 d.</w:t>
                </w:r>
              </w:sdtContent>
            </w:sdt>
          </w:p>
        </w:tc>
        <w:tc>
          <w:tcPr>
            <w:tcW w:w="4990" w:type="dxa"/>
            <w:gridSpan w:val="2"/>
          </w:tcPr>
          <w:p w14:paraId="489A7CA6" w14:textId="7610B6B4" w:rsidR="00007B88" w:rsidRDefault="00007B88" w:rsidP="00007B88">
            <w:pPr>
              <w:spacing w:line="276" w:lineRule="auto"/>
              <w:rPr>
                <w:rFonts w:eastAsia="Arial"/>
              </w:rPr>
            </w:pPr>
            <w:r>
              <w:rPr>
                <w:rFonts w:eastAsia="Arial"/>
              </w:rPr>
              <w:t xml:space="preserve">Bioekvivalentiškumas pagrįstas referenciniu preparatu 1000 mg ir kitų stiprumų dozėms. Visi klinikiniai klausimai kurie buvo iškilę paraiškos nagrinėjimo metu Pareiškėjo buvo atsakyti. Vertinant iš klinikinės pusės, rekomenduojama patvirtinti paraišką. Naudos/rizikos santykis yra teigiamas. </w:t>
            </w:r>
          </w:p>
        </w:tc>
      </w:tr>
    </w:tbl>
    <w:p w14:paraId="2EB7FD31" w14:textId="77777777" w:rsidR="00F70C9E" w:rsidRDefault="00F70C9E" w:rsidP="00E03C3F">
      <w:pPr>
        <w:pStyle w:val="Sraopastraipa"/>
        <w:tabs>
          <w:tab w:val="left" w:pos="426"/>
        </w:tabs>
        <w:ind w:left="0"/>
        <w:rPr>
          <w:b/>
          <w:bCs/>
          <w:caps/>
        </w:rPr>
      </w:pPr>
    </w:p>
    <w:p w14:paraId="5055E8A8" w14:textId="0FD74C5A" w:rsidR="002E6F80" w:rsidRDefault="00CC7832" w:rsidP="00937907">
      <w:pPr>
        <w:pStyle w:val="Sraopastraipa"/>
        <w:numPr>
          <w:ilvl w:val="0"/>
          <w:numId w:val="12"/>
        </w:numPr>
        <w:tabs>
          <w:tab w:val="left" w:pos="284"/>
        </w:tabs>
        <w:rPr>
          <w:b/>
          <w:bCs/>
          <w:caps/>
        </w:rPr>
      </w:pPr>
      <w:r w:rsidRPr="00937907">
        <w:rPr>
          <w:b/>
          <w:bCs/>
          <w:caps/>
        </w:rPr>
        <w:t>Klinikinio vertinimo a</w:t>
      </w:r>
      <w:r w:rsidR="00D4485B" w:rsidRPr="00937907">
        <w:rPr>
          <w:b/>
          <w:bCs/>
          <w:caps/>
        </w:rPr>
        <w:t>pibendrinimas</w:t>
      </w:r>
    </w:p>
    <w:p w14:paraId="5198CBA5" w14:textId="77777777" w:rsidR="00EC7996" w:rsidRDefault="00EC7996" w:rsidP="00EC7996">
      <w:pPr>
        <w:pStyle w:val="Sraopastraipa"/>
        <w:tabs>
          <w:tab w:val="left" w:pos="284"/>
        </w:tabs>
        <w:rPr>
          <w:b/>
          <w:bCs/>
          <w:caps/>
        </w:rPr>
      </w:pPr>
    </w:p>
    <w:p w14:paraId="49648514" w14:textId="6AE0DD2D" w:rsidR="00007B88" w:rsidRDefault="00007B88" w:rsidP="00007B88">
      <w:pPr>
        <w:pStyle w:val="VVKT"/>
      </w:pPr>
      <w:r w:rsidRPr="007013FC">
        <w:t xml:space="preserve">Lėtinė inkstų liga (LIL) yra bet kuri pirminė arba antrinė inkstų liga, besitęsianti tris ar daugiau mėnesių ir galinti sukelti inkstų nepakankamumą. </w:t>
      </w:r>
      <w:r w:rsidRPr="007013FC">
        <w:rPr>
          <w:color w:val="000000"/>
        </w:rPr>
        <w:t xml:space="preserve">Sergant </w:t>
      </w:r>
      <w:r>
        <w:rPr>
          <w:color w:val="000000"/>
        </w:rPr>
        <w:t>LIL</w:t>
      </w:r>
      <w:r w:rsidRPr="007013FC">
        <w:rPr>
          <w:color w:val="000000"/>
        </w:rPr>
        <w:t>, kai GFG būna mažesnis negu 60 ml/min, sutrinka kalcio ir fosforo apykaita</w:t>
      </w:r>
      <w:r>
        <w:rPr>
          <w:color w:val="000000"/>
        </w:rPr>
        <w:t>: v</w:t>
      </w:r>
      <w:r w:rsidRPr="007013FC">
        <w:rPr>
          <w:color w:val="000000"/>
        </w:rPr>
        <w:t>ystosi hipokalcemija, hiperfosfatemija ir antrinis hiperparatireoidizmas. Pamažu ryškėja kraujagyslių ir minkštųjų audiniu kalcifikacija, progresuoja širdies nepakankamumas, sunkiau gydoma inkstinė anemija, hipertenzija, vystosi inkstinė osteodistrofija. Išsivysčius galutiniam inkstų funkcijos nepakankamumui, nepaisant gydymo dializėmis, minėti pakitimai ypač sparčiai progresuoja, blogėja ligoni</w:t>
      </w:r>
      <w:r>
        <w:rPr>
          <w:color w:val="000000"/>
        </w:rPr>
        <w:t>ų</w:t>
      </w:r>
      <w:r w:rsidRPr="007013FC">
        <w:rPr>
          <w:color w:val="000000"/>
        </w:rPr>
        <w:t xml:space="preserve"> gyvenimo kokyb</w:t>
      </w:r>
      <w:r>
        <w:rPr>
          <w:color w:val="000000"/>
        </w:rPr>
        <w:t>ė</w:t>
      </w:r>
      <w:r w:rsidRPr="007013FC">
        <w:rPr>
          <w:color w:val="000000"/>
        </w:rPr>
        <w:t>, sutrumpėja išgyvenamumas.</w:t>
      </w:r>
      <w:r>
        <w:t xml:space="preserve"> </w:t>
      </w:r>
      <w:r w:rsidRPr="00CD2147">
        <w:rPr>
          <w:color w:val="000000"/>
        </w:rPr>
        <w:t>Hemodializės metu nėra pilnai pašalinamas su maistų gaunamas fosfatų kiekis, todėl fosfatų kiekis nuolatos auga ir pacientui išsivysto hiperfosfatemija (fosfatų kiekis didesnis nei 1,78 mmol/L)</w:t>
      </w:r>
      <w:r>
        <w:rPr>
          <w:color w:val="000000"/>
        </w:rPr>
        <w:t>, kuri sukelia a</w:t>
      </w:r>
      <w:r w:rsidRPr="00CD2147">
        <w:rPr>
          <w:color w:val="000000"/>
        </w:rPr>
        <w:t>ntrin</w:t>
      </w:r>
      <w:r>
        <w:rPr>
          <w:color w:val="000000"/>
        </w:rPr>
        <w:t>į</w:t>
      </w:r>
      <w:r w:rsidRPr="00CD2147">
        <w:rPr>
          <w:color w:val="000000"/>
        </w:rPr>
        <w:t xml:space="preserve"> hiperparatiroidizm</w:t>
      </w:r>
      <w:r>
        <w:rPr>
          <w:color w:val="000000"/>
        </w:rPr>
        <w:t xml:space="preserve">ą ir </w:t>
      </w:r>
      <w:r w:rsidRPr="00CD2147">
        <w:rPr>
          <w:color w:val="000000"/>
        </w:rPr>
        <w:t xml:space="preserve"> </w:t>
      </w:r>
      <w:r>
        <w:rPr>
          <w:color w:val="000000"/>
        </w:rPr>
        <w:t>vystosi p</w:t>
      </w:r>
      <w:r w:rsidRPr="00CD2147">
        <w:rPr>
          <w:color w:val="000000"/>
        </w:rPr>
        <w:t>olinkis į metastazinę kalcifikaciją</w:t>
      </w:r>
      <w:r>
        <w:rPr>
          <w:color w:val="000000"/>
        </w:rPr>
        <w:t xml:space="preserve"> </w:t>
      </w:r>
      <w:r>
        <w:rPr>
          <w:color w:val="000000"/>
        </w:rPr>
        <w:lastRenderedPageBreak/>
        <w:t>(kalcio atsidėjimas minkštuosiuose audiniuose, vidaus organuose, sąnariuose), o šie veiksniai lemia p</w:t>
      </w:r>
      <w:r w:rsidRPr="00CD2147">
        <w:rPr>
          <w:color w:val="000000"/>
        </w:rPr>
        <w:t>adidėj</w:t>
      </w:r>
      <w:r>
        <w:rPr>
          <w:color w:val="000000"/>
        </w:rPr>
        <w:t>u</w:t>
      </w:r>
      <w:r w:rsidRPr="00CD2147">
        <w:rPr>
          <w:color w:val="000000"/>
        </w:rPr>
        <w:t>s</w:t>
      </w:r>
      <w:r>
        <w:rPr>
          <w:color w:val="000000"/>
        </w:rPr>
        <w:t>į</w:t>
      </w:r>
      <w:r w:rsidRPr="00CD2147">
        <w:rPr>
          <w:color w:val="000000"/>
        </w:rPr>
        <w:t xml:space="preserve"> pacientų mirtingum</w:t>
      </w:r>
      <w:r>
        <w:rPr>
          <w:color w:val="000000"/>
        </w:rPr>
        <w:t xml:space="preserve">ą. </w:t>
      </w:r>
    </w:p>
    <w:p w14:paraId="30523306" w14:textId="77777777" w:rsidR="00007B88" w:rsidRPr="007013FC" w:rsidRDefault="00007B88" w:rsidP="00007B88">
      <w:pPr>
        <w:pStyle w:val="VVKT"/>
        <w:rPr>
          <w:color w:val="000000"/>
        </w:rPr>
      </w:pPr>
      <w:r w:rsidRPr="007013FC">
        <w:rPr>
          <w:color w:val="000000"/>
        </w:rPr>
        <w:t>Hiperfosfatemijos gydymui yra naudojami savo sudėtyje kalcio turintys (kalciniai) ir kalcio neturintys (ne kalciniai)</w:t>
      </w:r>
      <w:r>
        <w:rPr>
          <w:color w:val="000000"/>
        </w:rPr>
        <w:t xml:space="preserve"> </w:t>
      </w:r>
      <w:r w:rsidRPr="007013FC">
        <w:rPr>
          <w:color w:val="000000"/>
        </w:rPr>
        <w:t>fosfatus surišantys vaistai (fosfat</w:t>
      </w:r>
      <w:r>
        <w:rPr>
          <w:color w:val="000000"/>
        </w:rPr>
        <w:t>ų</w:t>
      </w:r>
      <w:r w:rsidRPr="007013FC">
        <w:rPr>
          <w:color w:val="000000"/>
        </w:rPr>
        <w:t xml:space="preserve"> surišėjai). Prieš pradedant gydymą fosfatus surišančiais vaistais, reikia ištirti ligonio prieskydinių liaukų hormono (PTH), kalcio (Ca, Ca2+) ir fosfat</w:t>
      </w:r>
      <w:r>
        <w:rPr>
          <w:color w:val="000000"/>
        </w:rPr>
        <w:t>ų</w:t>
      </w:r>
      <w:r w:rsidRPr="007013FC">
        <w:rPr>
          <w:color w:val="000000"/>
        </w:rPr>
        <w:t xml:space="preserve"> (P) kiekius kraujo serume. </w:t>
      </w:r>
    </w:p>
    <w:p w14:paraId="5C7C3017" w14:textId="77777777" w:rsidR="00007B88" w:rsidRDefault="00007B88" w:rsidP="00007B88">
      <w:pPr>
        <w:pStyle w:val="VVKT"/>
      </w:pPr>
      <w:r>
        <w:t xml:space="preserve">Tarptautinėse </w:t>
      </w:r>
      <w:r>
        <w:rPr>
          <w:i/>
          <w:iCs/>
        </w:rPr>
        <w:t>Kidney Disease – Improving Global Outcome (KIDGO)</w:t>
      </w:r>
      <w:r>
        <w:t xml:space="preserve"> gairėse rekomenduojama svarstyti fosforą surišančių preparatų skyrimą esant 3a-5 stadijų inkstų nepakankamumui esant nuolatiniam arba progresuojančiam fosfatų koncentracijos serume padidėjimui, su tikslu sumažinti fosfatų koncentraciją iki normalios. Skiriant fosfatus surišančius preparatus, turinčius kalcio, rekomenduojama riboti preparatų dozę. Gairėse nėra tvirtos rekomendacijos dėl fosfatus surišančių preparatų pasirinkimo, kadangi nėra surinkta pakankamai tvirtų įrodymų apie kalcio neturinčių surišėjų pranašumą.</w:t>
      </w:r>
    </w:p>
    <w:p w14:paraId="234DC410" w14:textId="77777777" w:rsidR="00007B88" w:rsidRDefault="00007B88" w:rsidP="00007B88">
      <w:pPr>
        <w:pStyle w:val="VVKT"/>
        <w:rPr>
          <w:rFonts w:eastAsia="Arial"/>
          <w:bCs/>
          <w:szCs w:val="24"/>
        </w:rPr>
      </w:pPr>
      <w:r>
        <w:rPr>
          <w:rFonts w:eastAsia="Arial"/>
          <w:bCs/>
          <w:szCs w:val="24"/>
        </w:rPr>
        <w:t>Remiantis Lietuvos inkstų fondu, Lietuvoje hiperfosfatemija dializuojamiems pacientams gydoma kompensuojamu preparatu kalcio acetatu/magnio subkarbonatu. Tai kalcio turintis fosforo surišėjas. Numatomas pacientų, kuriems galėtų būti skiriamas šis preparatas, skaičius būtų apie 650 per metus, vaistą turėtų skirti gydytojas nefrologas ambulatoriniam pacientų gydymui.</w:t>
      </w:r>
    </w:p>
    <w:p w14:paraId="79676E41" w14:textId="16C2D41B" w:rsidR="00007B88" w:rsidRDefault="00007B88" w:rsidP="00007B88">
      <w:pPr>
        <w:pStyle w:val="VVKT"/>
        <w:rPr>
          <w:iCs/>
        </w:rPr>
      </w:pPr>
      <w:r>
        <w:rPr>
          <w:rFonts w:eastAsia="Arial"/>
        </w:rPr>
        <w:t xml:space="preserve">Tinkamas palyginamasis gydymas teikiamai indikacijai - </w:t>
      </w:r>
      <w:r w:rsidR="00EC7996">
        <w:rPr>
          <w:rFonts w:eastAsia="Arial"/>
        </w:rPr>
        <w:t>k</w:t>
      </w:r>
      <w:r>
        <w:t>alcio acetatas / sunkus</w:t>
      </w:r>
      <w:r w:rsidR="00EC7996">
        <w:t>is</w:t>
      </w:r>
      <w:r>
        <w:t xml:space="preserve"> magnio subkarbonatas</w:t>
      </w:r>
      <w:r>
        <w:rPr>
          <w:iCs/>
        </w:rPr>
        <w:t xml:space="preserve">. Palyginamasis gydymas atitinka </w:t>
      </w:r>
      <w:r w:rsidRPr="00E35A11">
        <w:rPr>
          <w:iCs/>
        </w:rPr>
        <w:t>Lietuvos Respublikos sveikatos apsaugos ministro 2002 m. balandžio 5 d. įsakym</w:t>
      </w:r>
      <w:r>
        <w:rPr>
          <w:iCs/>
        </w:rPr>
        <w:t>o</w:t>
      </w:r>
      <w:r w:rsidRPr="00E35A11">
        <w:rPr>
          <w:iCs/>
        </w:rPr>
        <w:t xml:space="preserve"> Nr. V-159 „Dėl vaistinių preparatų ir medicinos pagalbos priemonių įrašymo į kompensavimo sąrašus ir jų keitimo tvarkos aprašo patvirtinimo“ 116 </w:t>
      </w:r>
      <w:r>
        <w:rPr>
          <w:iCs/>
        </w:rPr>
        <w:t xml:space="preserve">ir </w:t>
      </w:r>
      <w:r w:rsidRPr="00E35A11">
        <w:rPr>
          <w:iCs/>
        </w:rPr>
        <w:t>119 punkt</w:t>
      </w:r>
      <w:r>
        <w:rPr>
          <w:iCs/>
        </w:rPr>
        <w:t>us.</w:t>
      </w:r>
    </w:p>
    <w:p w14:paraId="0FFDA8A8" w14:textId="77777777" w:rsidR="00007B88" w:rsidRDefault="00007B88" w:rsidP="00007B88">
      <w:pPr>
        <w:pStyle w:val="VVKT"/>
        <w:rPr>
          <w:iCs/>
        </w:rPr>
      </w:pPr>
      <w:r w:rsidRPr="00230FE6">
        <w:rPr>
          <w:iCs/>
        </w:rPr>
        <w:t>Kalcio acetatas ir magnio karbonatas yra fosfatus prijungiančios medžiagos, kurios žarnyne kartu su maiste esančiais fosfatais tampa mažai tirpiomis kalcio fosfato ir magnio fosfato druskomis, kurios paskui išsiskiria su išmatomis.</w:t>
      </w:r>
    </w:p>
    <w:p w14:paraId="113BDE05" w14:textId="77777777" w:rsidR="00007B88" w:rsidRDefault="00007B88" w:rsidP="00007B88">
      <w:pPr>
        <w:pStyle w:val="VVKT"/>
        <w:rPr>
          <w:iCs/>
        </w:rPr>
      </w:pPr>
    </w:p>
    <w:p w14:paraId="40C12701" w14:textId="77777777" w:rsidR="00007B88" w:rsidRPr="0033489D" w:rsidRDefault="00007B88" w:rsidP="00007B88">
      <w:pPr>
        <w:pStyle w:val="VVKT"/>
        <w:rPr>
          <w:rFonts w:eastAsia="Arial"/>
          <w:szCs w:val="24"/>
        </w:rPr>
      </w:pPr>
      <w:r>
        <w:rPr>
          <w:rFonts w:eastAsia="Arial"/>
          <w:i/>
          <w:iCs/>
          <w:szCs w:val="24"/>
        </w:rPr>
        <w:t>Tiesioginis palyginimas</w:t>
      </w:r>
    </w:p>
    <w:p w14:paraId="4D022C40" w14:textId="38506BEB" w:rsidR="00007B88" w:rsidRDefault="00007B88" w:rsidP="00007B88">
      <w:pPr>
        <w:pStyle w:val="VVKT"/>
        <w:rPr>
          <w:rFonts w:eastAsia="Arial"/>
        </w:rPr>
      </w:pPr>
      <w:r>
        <w:t xml:space="preserve">Tiesioginiame palyginime pateiktas </w:t>
      </w:r>
      <w:r>
        <w:rPr>
          <w:rFonts w:eastAsia="Arial"/>
        </w:rPr>
        <w:t xml:space="preserve">atsitiktinių imčių, dvigubai aklas, placebo kontroliuojamas, daugiacentris II fazės klinikinis tyrimas (KAIT). Šio populiacija neatitinka vertinamos indikacijos. Tyrimo populiaciją sudarė suaugę, 3-4 stadijos LIL sergantys pacientai, kuriems netaikoma dializė, ir kurių populiaciją iš esmės apibrėžia svarbiausi įtraukimo kriterijai „apskaičiuotas GFG (aGFG) nuo 15 iki </w:t>
      </w:r>
      <w:r w:rsidRPr="002B0EA3">
        <w:rPr>
          <w:rFonts w:eastAsia="Arial"/>
        </w:rPr>
        <w:t>59 ml/min/1</w:t>
      </w:r>
      <w:r>
        <w:rPr>
          <w:rFonts w:eastAsia="Arial"/>
        </w:rPr>
        <w:t>,</w:t>
      </w:r>
      <w:r w:rsidRPr="002B0EA3">
        <w:rPr>
          <w:rFonts w:eastAsia="Arial"/>
        </w:rPr>
        <w:t>73 m</w:t>
      </w:r>
      <w:r w:rsidRPr="002B0EA3">
        <w:rPr>
          <w:rFonts w:eastAsia="Arial"/>
          <w:vertAlign w:val="superscript"/>
        </w:rPr>
        <w:t>2</w:t>
      </w:r>
      <w:r>
        <w:rPr>
          <w:rFonts w:eastAsia="Arial"/>
        </w:rPr>
        <w:t xml:space="preserve">“ ir „nesitikima pradėti dializės ≥4 mėnesius“. Siūlomos indikacijos populiaciją sudaro </w:t>
      </w:r>
      <w:r w:rsidRPr="003F648B">
        <w:rPr>
          <w:rFonts w:eastAsia="Arial"/>
        </w:rPr>
        <w:t>lėtiniu inkstų nepakankamumu sergant</w:t>
      </w:r>
      <w:r>
        <w:rPr>
          <w:rFonts w:eastAsia="Arial"/>
        </w:rPr>
        <w:t>ys</w:t>
      </w:r>
      <w:r w:rsidRPr="003F648B">
        <w:rPr>
          <w:rFonts w:eastAsia="Arial"/>
        </w:rPr>
        <w:t xml:space="preserve"> ir hemodialize ar ambulatoriškai nuolatine peritonine dialize gydomi suaugę pacienta</w:t>
      </w:r>
      <w:r>
        <w:rPr>
          <w:rFonts w:eastAsia="Arial"/>
        </w:rPr>
        <w:t>i</w:t>
      </w:r>
      <w:r w:rsidRPr="003F648B">
        <w:rPr>
          <w:rFonts w:eastAsia="Arial"/>
        </w:rPr>
        <w:t>.</w:t>
      </w:r>
      <w:r>
        <w:rPr>
          <w:rFonts w:eastAsia="Arial"/>
        </w:rPr>
        <w:t xml:space="preserve"> Pateikus esminius prieštaravimus, Pareiškėjas pateikė papildomus klinikinius duomenis. Pateikti tyrimai, lyginantys lantano karbonato ir kitų kalcio surišėjų efektyvumą gydant hiperfosfatemiją </w:t>
      </w:r>
      <w:r w:rsidRPr="00254F85">
        <w:rPr>
          <w:rFonts w:eastAsia="Arial"/>
        </w:rPr>
        <w:t>lėtine inkstų liga sergantiems ir hemodializuojamiems ar peritonine dialize gydomiems pacientams</w:t>
      </w:r>
      <w:r>
        <w:rPr>
          <w:rFonts w:eastAsia="Arial"/>
        </w:rPr>
        <w:t>. Remiantis šių tyrimų duomenimis,</w:t>
      </w:r>
      <w:r w:rsidRPr="00254F85">
        <w:rPr>
          <w:rFonts w:eastAsia="Arial"/>
        </w:rPr>
        <w:t xml:space="preserve"> hiperfosfatemijos gydymui skiriant lantano karbonatą efektyvumas kontroliuojant fosforo koncentraciją yra panašus ar nesiskiriantis nuo kitų klinikinėje praktikoje naudojamų fosfatų surišėju, tuo tarpu bendras mirštamumas ir hiperkalcemijos rizika yra mažesni</w:t>
      </w:r>
      <w:r>
        <w:rPr>
          <w:rFonts w:eastAsia="Arial"/>
        </w:rPr>
        <w:t xml:space="preserve">: remiantis </w:t>
      </w:r>
      <w:r w:rsidRPr="00111242">
        <w:rPr>
          <w:i/>
          <w:iCs/>
          <w:shd w:val="clear" w:color="auto" w:fill="FFFFFF"/>
        </w:rPr>
        <w:t>F. Wang et al</w:t>
      </w:r>
      <w:r>
        <w:rPr>
          <w:i/>
          <w:iCs/>
          <w:shd w:val="clear" w:color="auto" w:fill="FFFFFF"/>
        </w:rPr>
        <w:t xml:space="preserve"> 2018</w:t>
      </w:r>
      <w:r w:rsidRPr="00111242">
        <w:rPr>
          <w:i/>
          <w:iCs/>
          <w:shd w:val="clear" w:color="auto" w:fill="FFFFFF"/>
        </w:rPr>
        <w:t>.</w:t>
      </w:r>
      <w:r>
        <w:rPr>
          <w:shd w:val="clear" w:color="auto" w:fill="FFFFFF"/>
        </w:rPr>
        <w:t xml:space="preserve"> atlikta KAIT metaanalize, m</w:t>
      </w:r>
      <w:r w:rsidRPr="00C26898">
        <w:rPr>
          <w:shd w:val="clear" w:color="auto" w:fill="FFFFFF"/>
        </w:rPr>
        <w:t>irštamumas dėl visų priežasčių buvo mažesnis tarp pacientų, kuriems buvo skirta Lantano karbonatas, lyginant su standartinė terapija (šansų santykis (ŠS): 0,45, 95 % PI (0,32-0,63), p&lt;0,00001)</w:t>
      </w:r>
      <w:r>
        <w:rPr>
          <w:shd w:val="clear" w:color="auto" w:fill="FFFFFF"/>
        </w:rPr>
        <w:t>; reikšmingų skirtumų vertinant kardiovaskulinių įvykių dažnį ar fosforo koncentraciją nebuvo</w:t>
      </w:r>
      <w:r w:rsidRPr="00254F85">
        <w:rPr>
          <w:rFonts w:eastAsia="Arial"/>
        </w:rPr>
        <w:t>.</w:t>
      </w:r>
      <w:r>
        <w:rPr>
          <w:rFonts w:eastAsia="Arial"/>
        </w:rPr>
        <w:t xml:space="preserve"> </w:t>
      </w:r>
      <w:r w:rsidRPr="0033489D">
        <w:rPr>
          <w:i/>
          <w:iCs/>
          <w:color w:val="000000" w:themeColor="text1"/>
          <w:szCs w:val="24"/>
          <w:shd w:val="clear" w:color="auto" w:fill="FFFFFF"/>
        </w:rPr>
        <w:t>L. Zhao  et al. 2021</w:t>
      </w:r>
      <w:r w:rsidRPr="0033489D">
        <w:rPr>
          <w:color w:val="000000" w:themeColor="text1"/>
          <w:szCs w:val="24"/>
          <w:shd w:val="clear" w:color="auto" w:fill="FFFFFF"/>
        </w:rPr>
        <w:t xml:space="preserve"> atliktoje 26 KAIT meta-analizėje. Lantano karbonatas lygintas su fosfatų surišėjais kalcio pagrindu, sevelameru, kitais kalcio surišėjais ir placebo. Reikšmingo mirštamumo skirtumo tarp lantano ir fosfatų surišėjų kalcio </w:t>
      </w:r>
      <w:r w:rsidRPr="0033489D">
        <w:rPr>
          <w:color w:val="000000" w:themeColor="text1"/>
          <w:szCs w:val="24"/>
          <w:shd w:val="clear" w:color="auto" w:fill="FFFFFF"/>
        </w:rPr>
        <w:lastRenderedPageBreak/>
        <w:t>pagrindu nenustatyta (p&gt;0,05), tačiau hiperkalemijos dažnis buvo mažesnis lantano grupėje (rizikos santykis 0,08, 95% PI (0,02; 0,34), p=0,001).</w:t>
      </w:r>
    </w:p>
    <w:p w14:paraId="676879C0" w14:textId="77777777" w:rsidR="00007B88" w:rsidRDefault="00007B88" w:rsidP="00007B88">
      <w:pPr>
        <w:pStyle w:val="VVKT"/>
        <w:rPr>
          <w:rFonts w:eastAsia="Arial"/>
        </w:rPr>
      </w:pPr>
      <w:r w:rsidRPr="004313E6">
        <w:rPr>
          <w:rFonts w:eastAsia="Arial"/>
        </w:rPr>
        <w:t xml:space="preserve">Pareiškėjo pateiktame </w:t>
      </w:r>
      <w:r w:rsidRPr="004313E6">
        <w:rPr>
          <w:rFonts w:eastAsia="Arial"/>
          <w:i/>
          <w:iCs/>
        </w:rPr>
        <w:t>R. Ekart et al. 2015</w:t>
      </w:r>
      <w:r w:rsidRPr="004313E6">
        <w:rPr>
          <w:rFonts w:eastAsia="Arial"/>
        </w:rPr>
        <w:t xml:space="preserve"> </w:t>
      </w:r>
      <w:r>
        <w:rPr>
          <w:rFonts w:eastAsia="Arial"/>
        </w:rPr>
        <w:t xml:space="preserve"> </w:t>
      </w:r>
      <w:r w:rsidRPr="004313E6">
        <w:rPr>
          <w:rFonts w:eastAsia="Arial"/>
        </w:rPr>
        <w:t>KAIT buvo atliktas tiesioginis lantano karbonato, kalcio acetato/magnio subkarbonato ir sevelamero palyginimas. Tyrimo populiacija 111 lėtine inkstų liga sergančių ir hemodialize pacientų, tyrimo populiacija atitinka vertinamą indikaciją. Aktyvus gydymas taikytas 72 pacientams, iš kurių 25 pacientams skirtas sevelameras, 24 skirtas lantano karbonatas ir 23 kalcio acetatas/magnio subkarbonatas. Tiriamųjų demografiniai rodikliai ir laboratorinių tyrimų rodikliai tarp grupių pasiskirstę panašiai, atitinka tikslinę indikacijos populiaciją. Tyrime nenustatyta statistiškai reikšmingo fosforo (1,62±0,39 vs 1,68±0,36 vs 1,73±0,55, p= 0,663), kalcio (2,24±0,17 vs 2,19±0,19 vs 2,29±0,22, p=0,202), CRB (5,6±6,06 vs 12,2±33,9 vs 11,4±15,3 p= 0.507), albumino (40,2±5,9 vs 38,8±2,7 vs 38,1±3, p=0,209) ir iPTH (319,4±202,6 vs 410,3±476,9 vs 342±19, p=0,592) koncentracijos serume skirtumo tarp sevelamero, lantano karbonato ir kalcio acetato/magnio subkarbonato grupių.</w:t>
      </w:r>
      <w:r>
        <w:rPr>
          <w:rFonts w:eastAsia="Arial"/>
        </w:rPr>
        <w:t xml:space="preserve"> </w:t>
      </w:r>
    </w:p>
    <w:p w14:paraId="2E13A72C" w14:textId="77777777" w:rsidR="00007B88" w:rsidRDefault="00007B88" w:rsidP="00007B88">
      <w:pPr>
        <w:pStyle w:val="VVKT"/>
        <w:rPr>
          <w:rFonts w:eastAsia="Arial"/>
        </w:rPr>
      </w:pPr>
    </w:p>
    <w:p w14:paraId="43011674" w14:textId="77777777" w:rsidR="00007B88" w:rsidRPr="0033489D" w:rsidRDefault="00007B88" w:rsidP="00007B88">
      <w:pPr>
        <w:tabs>
          <w:tab w:val="left" w:pos="492"/>
        </w:tabs>
        <w:spacing w:line="276" w:lineRule="auto"/>
        <w:ind w:firstLine="709"/>
        <w:jc w:val="both"/>
        <w:outlineLvl w:val="1"/>
        <w:rPr>
          <w:rFonts w:eastAsia="Arial"/>
          <w:bCs/>
          <w:i/>
          <w:iCs/>
          <w:szCs w:val="20"/>
        </w:rPr>
      </w:pPr>
      <w:r>
        <w:rPr>
          <w:rFonts w:eastAsia="Arial"/>
          <w:bCs/>
          <w:i/>
          <w:iCs/>
        </w:rPr>
        <w:t>Palyginamasis s</w:t>
      </w:r>
      <w:r w:rsidRPr="00387953">
        <w:rPr>
          <w:rFonts w:eastAsia="Arial"/>
          <w:bCs/>
          <w:i/>
          <w:iCs/>
        </w:rPr>
        <w:t>augumas</w:t>
      </w:r>
    </w:p>
    <w:p w14:paraId="1BC74752" w14:textId="77777777" w:rsidR="00007B88" w:rsidRDefault="00007B88" w:rsidP="00007B88">
      <w:pPr>
        <w:pStyle w:val="VVKT"/>
        <w:rPr>
          <w:rFonts w:eastAsia="Arial"/>
        </w:rPr>
      </w:pPr>
      <w:r w:rsidRPr="0033489D">
        <w:rPr>
          <w:i/>
          <w:iCs/>
          <w:color w:val="000000" w:themeColor="text1"/>
          <w:szCs w:val="24"/>
          <w:shd w:val="clear" w:color="auto" w:fill="FFFFFF"/>
        </w:rPr>
        <w:t>L. Zhao  et al. 2021</w:t>
      </w:r>
      <w:r w:rsidRPr="0033489D">
        <w:rPr>
          <w:color w:val="000000" w:themeColor="text1"/>
          <w:szCs w:val="24"/>
          <w:shd w:val="clear" w:color="auto" w:fill="FFFFFF"/>
        </w:rPr>
        <w:t xml:space="preserve"> atliktoje 26 KAIT meta-analizėje</w:t>
      </w:r>
      <w:r>
        <w:rPr>
          <w:color w:val="000000" w:themeColor="text1"/>
          <w:szCs w:val="24"/>
          <w:shd w:val="clear" w:color="auto" w:fill="FFFFFF"/>
        </w:rPr>
        <w:t xml:space="preserve"> r</w:t>
      </w:r>
      <w:r w:rsidRPr="0033489D">
        <w:rPr>
          <w:color w:val="000000" w:themeColor="text1"/>
          <w:szCs w:val="24"/>
          <w:shd w:val="clear" w:color="auto" w:fill="FFFFFF"/>
        </w:rPr>
        <w:t>eikšmingų skirtumų tarp su gydymu susijusių NR tarp grupių nenustatyta (p=0,294). Lantano grupėje buvo Gydymo nutraukimo dėl NR dažnio skirtumo tarp lantano ir kalcio pagrindo surišėjų grupių nenustatyta (p=0,295).</w:t>
      </w:r>
      <w:r w:rsidRPr="0033489D">
        <w:t xml:space="preserve"> </w:t>
      </w:r>
      <w:r w:rsidRPr="0033489D">
        <w:rPr>
          <w:i/>
          <w:iCs/>
          <w:color w:val="000000" w:themeColor="text1"/>
          <w:szCs w:val="24"/>
          <w:shd w:val="clear" w:color="auto" w:fill="FFFFFF"/>
        </w:rPr>
        <w:t>W.F. Finn et al. 2006</w:t>
      </w:r>
      <w:r w:rsidRPr="0033489D">
        <w:rPr>
          <w:color w:val="000000" w:themeColor="text1"/>
          <w:szCs w:val="24"/>
          <w:shd w:val="clear" w:color="auto" w:fill="FFFFFF"/>
        </w:rPr>
        <w:t xml:space="preserve"> tyrime vertintas lantano karbonato palyginamasis saugumas 2 metų laikotarpiu. NR dažnis lantano grupėje buvo 14%, standartinio gydymo grupėje 4%, tuo tarpu mirčių dažnis lantano grupėje buvo 6%, standartinio gydymo grupėje 16%. Suminis gydymo nutraukimo dažnis dėl NR ar mirties tarp grupių buvo panašus: 18% lantano grupėje ir 20% standartinio gydymo grupėje. Su gydymu susijusių NR dažnis lantano grupėje buvo 22%, standartinio gydymo grupėje 13%. 3 rimti NR (pankreatitas, kraujavimas iš virškinamojo trakto ir vidurių užkietėjimas) laikomi galimai susiję su gydymu lantano karbonatu. Dažniausi NR buvo pykinimas, vėmimas, viduriavimas. Hiperkalcemijos dažnis lantano grupėje buvo mažesnis (4,3 vs 8,4%). Toksiškumo kepenims nenustatyta.</w:t>
      </w:r>
      <w:r>
        <w:rPr>
          <w:rFonts w:eastAsia="Arial"/>
        </w:rPr>
        <w:t xml:space="preserve"> </w:t>
      </w:r>
      <w:r w:rsidRPr="00863B3C">
        <w:t>Lantano karbonatą vartojant po registraciniu laikotarpiu, pranešta apie alergines odos reakcijas (įskaitant odos išbėrimus, dilgėlinę ir niežulį), turinčias glaudžiai laiko prasme susijusias su gydymu lantano karbonatu. Klinikinių tyrimų metu alerginės odos reakcijos stebėtos tiek lantano karbonato, tiek placebo / aktyvaus palyginamojo vaistinio preparato grupėse, o jų dažnis vertintas kaip labai dažnas (≥1/10). Nors buvo nustatytas tam tikras skaičius pavienių reakcijų, tačiau nei viena iš šių pavienių reakcijų nebuvo įvertinta kaip netikėta šioje pacientų grupėje. Buvo pastebėti laikini QT pokyčiai, tačiau jie nesusiję su šalutiniu poveikiu širdžiai.</w:t>
      </w:r>
      <w:r>
        <w:t xml:space="preserve"> </w:t>
      </w:r>
      <w:r w:rsidRPr="00863B3C">
        <w:rPr>
          <w:rFonts w:eastAsia="Arial"/>
        </w:rPr>
        <w:t>Reikšmingų saugumo problemų, lyginant lantano karbonatą su kitais kalcio surišėjais, nenustatyta.</w:t>
      </w:r>
    </w:p>
    <w:p w14:paraId="4707CCD6" w14:textId="77777777" w:rsidR="00007B88" w:rsidRPr="0033489D" w:rsidRDefault="00007B88" w:rsidP="00007B88">
      <w:pPr>
        <w:pStyle w:val="VVKT"/>
        <w:rPr>
          <w:i/>
          <w:iCs/>
        </w:rPr>
      </w:pPr>
      <w:r w:rsidRPr="0033489D">
        <w:rPr>
          <w:i/>
          <w:iCs/>
        </w:rPr>
        <w:t>Privalumai ir trūkumai</w:t>
      </w:r>
    </w:p>
    <w:p w14:paraId="114A027D" w14:textId="77777777" w:rsidR="00007B88" w:rsidRDefault="00007B88" w:rsidP="00007B88">
      <w:pPr>
        <w:pStyle w:val="VVKT"/>
      </w:pPr>
      <w:r>
        <w:t>Jei vaistinis preparatas būtų įrašytas į kompensavimo sąrašus, gydymo šiuo vaistiniu preparatu taikymas klinikinėje praktikoje galėtų turėti privalumų ir trūkumų medicininėms paslaugoms ar pacientams.</w:t>
      </w:r>
    </w:p>
    <w:p w14:paraId="5F4E3998" w14:textId="77777777" w:rsidR="00007B88" w:rsidRDefault="00007B88" w:rsidP="00007B88">
      <w:pPr>
        <w:pStyle w:val="VVKT"/>
      </w:pPr>
      <w:r w:rsidRPr="0033489D">
        <w:rPr>
          <w:i/>
          <w:iCs/>
        </w:rPr>
        <w:t>Privalumai</w:t>
      </w:r>
      <w:r>
        <w:t xml:space="preserve">. Pacientams – didesnis gydymo galimybių pasirinkimas, ypač negalint taikyti standartinio gydymo dėl hiperkalcemijos, nepageidaujamų reiškinių ar kitų kontraindikacijų. Sveikatos priežiūros specialistams – didesnis gydymo galimybių pasirinkimas. </w:t>
      </w:r>
    </w:p>
    <w:p w14:paraId="5704614C" w14:textId="77777777" w:rsidR="00007B88" w:rsidRDefault="00007B88" w:rsidP="00007B88">
      <w:pPr>
        <w:pStyle w:val="VVKT"/>
      </w:pPr>
      <w:r w:rsidRPr="0033489D">
        <w:rPr>
          <w:i/>
          <w:iCs/>
        </w:rPr>
        <w:t>Trūkumai</w:t>
      </w:r>
      <w:r>
        <w:t>. Pacientams ir medicinos paslaugoms –  esminių trūkumų nėra.</w:t>
      </w:r>
    </w:p>
    <w:p w14:paraId="79383D3F" w14:textId="77777777" w:rsidR="00007B88" w:rsidRPr="00F51FAE" w:rsidRDefault="00007B88" w:rsidP="00007B88">
      <w:pPr>
        <w:pStyle w:val="VVKT"/>
      </w:pPr>
      <w:r>
        <w:t xml:space="preserve">Apibendrinant paraiškoje pateiktus duomenis galima teigti, kad lantano karbonatas yra efektyvus ir pakankamai saugus fosfatų surišėjas. Tiesioginio palyginimo imtis yra nedidelė, gydymo laikotarpis yra trumpas, todėl nepakanka klinikinių duomenų, kad lantano karbonatas būtų pranašesnis už palyginamąjį gydymą kalcio acetatu/magnio subkarbonatu. Daroma išvada, kad </w:t>
      </w:r>
      <w:r>
        <w:lastRenderedPageBreak/>
        <w:t xml:space="preserve">lantano karbonatas yra iš esmės nesiskiriančio palyginamojo efektyvumo ir klinikinio veiksmingumo ir gali būti skiriamas kaip alternatyvus gydymas šiuo metu analogiškai indikacijai kompensuojama kalcio acetatui/magnio subkarbonatui. </w:t>
      </w:r>
    </w:p>
    <w:p w14:paraId="25F89291" w14:textId="0AA012E0" w:rsidR="00D4485B" w:rsidRPr="006D4C85" w:rsidRDefault="00D4485B" w:rsidP="00A93AA6">
      <w:pPr>
        <w:pStyle w:val="Sraopastraipa"/>
        <w:tabs>
          <w:tab w:val="left" w:pos="426"/>
        </w:tabs>
        <w:ind w:left="0"/>
        <w:rPr>
          <w:b/>
          <w:bCs/>
          <w:caps/>
        </w:rPr>
      </w:pPr>
    </w:p>
    <w:p w14:paraId="7DE09EB5" w14:textId="1474A10B" w:rsidR="00E03C3F" w:rsidRDefault="00CC7832" w:rsidP="00937907">
      <w:pPr>
        <w:pStyle w:val="Sraopastraipa"/>
        <w:numPr>
          <w:ilvl w:val="0"/>
          <w:numId w:val="12"/>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384C907A" w14:textId="77777777" w:rsidR="002E3C97" w:rsidRDefault="002E3C97" w:rsidP="002E3C97">
      <w:pPr>
        <w:pStyle w:val="VVKT"/>
      </w:pPr>
      <w:r>
        <w:t xml:space="preserve">Vadovaujantis Lietuvos Respublikos sveikatos apsaugos ministro 2002 m. balandžio 5 d. įsakymu Nr. 159 „Dėl vaistinių preparatų ir medicinos pagalbos priemonių įrašymo į kompensavimo sąrašus ir jų keitimo tvarkos aprašo patvirtinimo“ (toliau – Tvarkos aprašas) 171 punktu „Jei atlikus išsamų klinikinį vertinimą nustatoma, kad Paraiškoje pateiktas palyginamasis gydymas yra netinkamas arba klinikinės dalies vertinimo išvada atitinka Aprašo 33.1 papunktį, tai laikoma esminiu Paraiškos trūkumu ir ekonominis vertinimas neatliekamas“, kadangi farmakoekonominę analizę reikalinga atnaujinti įtraukiant duomenis, kuriais remiantis būtų išsprendžiami esminiai prieštaravimai. Svarbu paminėti, kad Pareiškėjui pakartotinai pateikus šaltinius klinikinei daliai dėl esminių prieštaravimų (netinkama populiacija ir palyginamasis), Pareiškėjas ekonominės analizės neatnaujino. </w:t>
      </w:r>
    </w:p>
    <w:p w14:paraId="6C4F62B9" w14:textId="77777777" w:rsidR="002E3C97" w:rsidRDefault="002E3C97" w:rsidP="002E3C97">
      <w:pPr>
        <w:pStyle w:val="VVKT"/>
      </w:pPr>
      <w:r>
        <w:t>Tarnyba, atsižvelgdama į klinikinei daliai pakartotinai pateiktus klinikinės dalies įrodymus ir formuluojamą išvadą, kad sveikatai sukuriama nauda tarp palyginamųjų yra panaši, kreipėsi į Pareiškėją prašant pateikti kaštų mažinimo analizę, kai sveikatai sukuriama nauda nėra vertinama ir analizuojami tik palyginamųjų terapijų kaštų skirtumai. Pareiškėjas nurodė, kad galimybių pateikti atnaujintą kaštų analizę neturi. Tarnyba laiko, kad esminių prieštaravimų klausimai ekonominėje dalyje lieka neišspręsti ir pirminė Paraiškoje pateikta kaštų naudingumo analizė yra netinkama tolesniam vertinimui dėl žemiau aprašomų duomenų pagrindimo trūkumų:</w:t>
      </w:r>
    </w:p>
    <w:p w14:paraId="3C8B3B35" w14:textId="77777777" w:rsidR="002E3C97" w:rsidRDefault="002E3C97" w:rsidP="002E3C97">
      <w:pPr>
        <w:pStyle w:val="VVKT"/>
      </w:pPr>
      <w:r>
        <w:t>Klinikiniai įrodymai, naudojami ekonominio vertinimo dalyje, neatitinka vertinimo protokolo 3.1 ir 3.2 skyriuose naudojamus įrodymus, t.y. klinikinikinėje ir ekonominėje analizėje naudojami klinikinių duomenų šaltiniai nesutampa, dėl ko ekonominėje analizėje taikomi populiacijos, palyginamojo ir klinikinio efektyvumo/saugumo duomenys laikomi nepagrįstais.</w:t>
      </w:r>
    </w:p>
    <w:p w14:paraId="446B3E97" w14:textId="77777777" w:rsidR="002E3C97" w:rsidRDefault="002E3C97" w:rsidP="002E3C97">
      <w:pPr>
        <w:pStyle w:val="VVKT"/>
      </w:pPr>
      <w:r>
        <w:t xml:space="preserve"> Pareiškėjas pirminėje paraiškoje klinikinėje dalyje teikia vieną atsitiktinių imčių, dvigubai aklą, placebu kontroliuojamą, daugiacentrį II fazės klinikinį tyrimą „Efficacy and Safety of Lanthanum Carbonate in Reducing Serum Phosphorus Levels in Subjects With Stage 3 and 4 Chronic Kidney Disease (NCT00234702)“. Tyrimo populiaciją sudarė sugaugę, 3-4 stadijos LIL sergantys pacientai, kurių populiaciją iš esmės apibrėžia svarbiausi įtraukimo kriterijai „apskaičiuotas GFG (aGFG) nuo 15 iki 59 ml/min/1,73 m2“ ir „nesitikima pradėti dializės ≥4 mėnesius“. Tarnyba įvertino, kad pateikto klinikinio tyrimo populiacija neatitinka populiacijos, kuriai siūloma indikacija – lėtiniu inkstų nepakankamumu sergantys ir hemodialize ar ambulatoriškai nuolatine peritonine dialize gydomi suaugę pacientai, kadangi tyrimo įtraukimo kriterijai lemia tikslinės (siauresnės apimties) ir  kuriems nesitikima pradėti dializės pacientų įtraukimą. Tuo tarpu ekonominė analizė pagrįsta Kanadoje atliktos kaštų-efektyvumo analizės duomenimis pagal publikuotos LIL pacientų meta-analizės rezultatus lyginant sevelamerą ir lantaną su kalcio pagrindo rišikliais (angl. calcium-based binders). Tarnyba atkreipia dėmesį, kad remiantis publikuota kaštų efektyvumo analize, įprastinėje atvejo analizėje nėra įtraukiami paciento lygmens duomenys remiantis konkretaus klinikinio tyrimo rezultatais (pvz.: teikiamo klinikinėje dalyje). O klinikinės dalies vertinimui nėra teikiami meta-analizės duomenys, kurios pagrindu įtraukiami susisteminti klinikinio efektyvumo duomenys taikomi ekonominėje analizėje, (perėjimo tarp sveikatos būklių tikimybės pagrįstos susistemintais meta-analizėje įtrauktų klinikinių tyrimų efektyvumo ir saugumo rezultatais). Pareiškėjas išsamaus meta-analizės šaltinio bei jo pagrindimo taikant ekonominėje analizėje dėl lantano karbonato </w:t>
      </w:r>
      <w:r>
        <w:lastRenderedPageBreak/>
        <w:t>kompensavimo nepateikė, todėl Tarnyba negali įvertinti klinikinių duomenų tinkamumo pagal PICOS (angl. population, intervention, comparison, outcomes and study) kriterijus.</w:t>
      </w:r>
    </w:p>
    <w:p w14:paraId="614CF4A1" w14:textId="77777777" w:rsidR="002E3C97" w:rsidRDefault="002E3C97" w:rsidP="002E3C97">
      <w:pPr>
        <w:pStyle w:val="VVKT"/>
      </w:pPr>
      <w:r>
        <w:t xml:space="preserve">Ekonominėje analizėje lieka nepagrįsti palyginamojo gydymo duomenys, kadangi Pareiškėjas pirminės paraiškos metu pateikia II fazės klinikinį tyrimą (NCT00234702), kuriame lantano karbonatas lyginamas su placebu. Tarnyba kreipėsi į Pareiškėją prašant atnaujinti duomenis ir nurodant, kad tinkamas palyginamas Lietuvos klinikinėje praktikoje, kuris yra kompensuojamas tai pačiai indikacijai yra kalcio acetatas / sunkus magnio subkarbonatas, kadangi Paraiškoje siūloma indikacija „hiperfosfatemijos gydymui lėtiniu inkstų nepakankamumu sergantiems ir hemodialize ar ambulatoriškai nuolatine peritonine dialize gydomiems suaugusiems pacientams“ neapima visos lėtine inkstų liga sergančios populiacijos, atitinkančios TLK-10-AM N18 kodą, o tik pacientus, kuriems atliekama dializė. Ši indikacija iš esmės atitinka ir TLK-10-AM Z49 kodą „Priežiūra atliekant dializę“, pagal kurį šiuo metu Lietuvoje kompensuojamas kalcio acetatas / sunkus magnio subkarbonatas. Pareiškėjas ekonominės analizės rezultatuose nurodo – placebą, tačiau analizuodama modelio parametrus, bei atsižvelgdama į Kanadoje rengtos publikuotos kaštų-efektyvumo analizės duomenis, Tarnyba pastebi, kad placebo grupė atitinka kalcio pagrindo rišiklius (angl. calcium-based binders).  Pareiškėjui neatnaujinus kaštų analizės, Tarnybai lieka neaišku, kurį taikomą/netaikomą gydymą Pareiškėjas laikė placebu, bei ekonominėje analizėje neįtraukus  kalcio acetato / sunkus magnio subkarbonato įsigijimo kaštų  Tarnyba vertina, kad pateikta kaštų naudingumo analizė yra netinkama vertinimui. </w:t>
      </w:r>
    </w:p>
    <w:p w14:paraId="6051B328" w14:textId="77777777" w:rsidR="002E3C97" w:rsidRDefault="002E3C97" w:rsidP="002E3C97">
      <w:pPr>
        <w:pStyle w:val="VVKT"/>
      </w:pPr>
      <w:r>
        <w:t>Pirminiais paraiškos duomenimis pagrįsti ekonominės analizės duomenys vertinami netinkamais, taip pat dėl to, kad Pareiškėjas nepateikė išsamaus aprašymo leidžiančio įverti prielaidų taikymą ekonominėje analizėje: pateiktos iškarpos iš publikuotos Kanadoje atliktos kaštų efektyvumo analizės, duomenis neadaptuojant pagal Lietuvos populiacijos ypatumus. Paraiškoje nepateiktos nuorodos į šaltinius, todėl duomenys dėl taikomų prielaidų bei gyvenimo kokybės koeficientų yra nepagrįsti. Pagal kompensavimui teikiamą indikaciją – pacientai atitinka dializuojamų pacientų pogrupį, todėl vertinimui aktualus tik B scenarijus, modeliavimas įtraukiant tinkamą pogrupį neaprašytas. Tarnyba vertina, kad ekonominėje analizė nėra įtraukti visi tiesiogiai su sveikata susiję kaštai (pvz.: hemodializė stacionare, nepageidaujamų reiškinių kaštai), neįtraukti aktualaus palyginamojo - kalcio acetato / sunkus magnio subkarbonato kaštai, neaišku dėl diskontavimo taikymo, ligos naštos apskaičiavimo, išteklių poreikio ir kitų įverčių taikymo ekonominėje analizėje.</w:t>
      </w:r>
    </w:p>
    <w:p w14:paraId="5952ED06" w14:textId="3952EA3C" w:rsidR="002E3C97" w:rsidRPr="00A93AA6" w:rsidRDefault="002E3C97" w:rsidP="002E3C97">
      <w:pPr>
        <w:pStyle w:val="VVKT"/>
      </w:pPr>
      <w:r>
        <w:t>Apibendrinant, Tarnyba vertina, kad Pareiškėjo pateiktos kaštų naudingumo analizės duomenys yra netinkami vertinimui.</w:t>
      </w:r>
    </w:p>
    <w:p w14:paraId="33875138" w14:textId="77777777" w:rsidR="0035172D" w:rsidRDefault="0035172D" w:rsidP="00A93AA6">
      <w:pPr>
        <w:tabs>
          <w:tab w:val="left" w:pos="426"/>
        </w:tabs>
        <w:rPr>
          <w:b/>
          <w:bCs/>
          <w:caps/>
        </w:rPr>
      </w:pPr>
    </w:p>
    <w:p w14:paraId="4FC424F9" w14:textId="4E767245" w:rsidR="00C62B36" w:rsidRPr="00797153" w:rsidRDefault="00C62B36" w:rsidP="00937907">
      <w:pPr>
        <w:pStyle w:val="Sraopastraipa"/>
        <w:numPr>
          <w:ilvl w:val="0"/>
          <w:numId w:val="12"/>
        </w:numPr>
        <w:tabs>
          <w:tab w:val="left" w:pos="284"/>
        </w:tabs>
        <w:rPr>
          <w:b/>
          <w:bCs/>
          <w:caps/>
        </w:rPr>
      </w:pPr>
      <w:r w:rsidRPr="00797153">
        <w:rPr>
          <w:b/>
          <w:bCs/>
          <w:caps/>
        </w:rPr>
        <w:t xml:space="preserve">Pacientų organizacijų pateikti duomenys </w:t>
      </w:r>
    </w:p>
    <w:p w14:paraId="79BCFF40" w14:textId="1992DF4A" w:rsidR="00937907" w:rsidRPr="00797153"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937907" w:rsidRPr="00797153">
            <w:rPr>
              <w:rStyle w:val="Style2"/>
              <w:rFonts w:ascii="MS Gothic" w:eastAsia="MS Gothic" w:hAnsi="MS Gothic" w:hint="eastAsia"/>
            </w:rPr>
            <w:t>☐</w:t>
          </w:r>
        </w:sdtContent>
      </w:sdt>
      <w:r w:rsidR="00937907" w:rsidRPr="00797153">
        <w:t xml:space="preserve"> Pacientų organizacijos pozicija pateikta. Žr. priedą.</w:t>
      </w:r>
    </w:p>
    <w:p w14:paraId="62992180" w14:textId="0955E0D7" w:rsidR="00937907" w:rsidRPr="00797153"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2E3C97">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D3277FA" w14:textId="3CEEB2D2" w:rsidR="00C62B36" w:rsidRPr="00797153" w:rsidRDefault="00C62B36" w:rsidP="00937907">
      <w:pPr>
        <w:pStyle w:val="Sraopastraipa"/>
        <w:numPr>
          <w:ilvl w:val="0"/>
          <w:numId w:val="12"/>
        </w:numPr>
        <w:tabs>
          <w:tab w:val="left" w:pos="426"/>
        </w:tabs>
        <w:rPr>
          <w:b/>
          <w:bCs/>
          <w:caps/>
        </w:rPr>
      </w:pPr>
      <w:r w:rsidRPr="00797153">
        <w:rPr>
          <w:b/>
          <w:bCs/>
          <w:caps/>
        </w:rPr>
        <w:t>Gydytojų organizacijų pateikti duomenys</w:t>
      </w:r>
    </w:p>
    <w:p w14:paraId="389A346C" w14:textId="63E7675F" w:rsidR="00937907" w:rsidRPr="00797153" w:rsidRDefault="00000000"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2E3C97">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pateikta. </w:t>
      </w:r>
      <w:r w:rsidR="00662983" w:rsidRPr="00797153">
        <w:t>Žr. priedą</w:t>
      </w:r>
      <w:r w:rsidR="00937907" w:rsidRPr="00797153">
        <w:t>.</w:t>
      </w:r>
    </w:p>
    <w:p w14:paraId="5D8CC48C" w14:textId="433019C0" w:rsidR="00662983" w:rsidRPr="006E501F" w:rsidRDefault="00000000"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2E3C97">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w:t>
      </w:r>
      <w:r w:rsidR="00880A44">
        <w:t>ne</w:t>
      </w:r>
      <w:r w:rsidR="00937907" w:rsidRPr="00797153">
        <w:t>pateikta.</w:t>
      </w:r>
    </w:p>
    <w:p w14:paraId="78F23ECB" w14:textId="23A3A002" w:rsidR="002F0E4F" w:rsidRDefault="002F0E4F" w:rsidP="00937907">
      <w:pPr>
        <w:pStyle w:val="Sraopastraipa"/>
        <w:numPr>
          <w:ilvl w:val="0"/>
          <w:numId w:val="12"/>
        </w:numPr>
        <w:tabs>
          <w:tab w:val="left" w:pos="426"/>
        </w:tabs>
        <w:rPr>
          <w:b/>
          <w:bCs/>
          <w:caps/>
        </w:rPr>
      </w:pPr>
      <w:r w:rsidRPr="00B4017A">
        <w:rPr>
          <w:b/>
          <w:bCs/>
          <w:caps/>
        </w:rPr>
        <w:t xml:space="preserve">Išvada </w:t>
      </w:r>
    </w:p>
    <w:p w14:paraId="573E407F" w14:textId="77777777" w:rsidR="00797153" w:rsidRPr="00797153"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B13D65" w14:paraId="25A2473E" w14:textId="77777777" w:rsidTr="002E3C97">
        <w:tc>
          <w:tcPr>
            <w:tcW w:w="4815" w:type="dxa"/>
          </w:tcPr>
          <w:p w14:paraId="7EFE6941" w14:textId="23B8BB6D"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814" w:type="dxa"/>
          </w:tcPr>
          <w:p w14:paraId="330A1A5E" w14:textId="19247DC1"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2E3C97">
        <w:tc>
          <w:tcPr>
            <w:tcW w:w="9629" w:type="dxa"/>
            <w:gridSpan w:val="2"/>
          </w:tcPr>
          <w:p w14:paraId="5D93D24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0AF5D6B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2E3C97">
        <w:tc>
          <w:tcPr>
            <w:tcW w:w="4815" w:type="dxa"/>
          </w:tcPr>
          <w:p w14:paraId="216769B5" w14:textId="1B919F91"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32.1. yra didesnis</w:t>
            </w:r>
          </w:p>
          <w:p w14:paraId="3B48F372"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DC01A6C" w:rsidR="00B13D65" w:rsidRPr="00B13D65"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007B88">
                  <w:rPr>
                    <w:rStyle w:val="Style2"/>
                    <w:rFonts w:ascii="MS Gothic" w:eastAsia="MS Gothic" w:hAnsi="MS Gothic" w:hint="eastAsia"/>
                    <w:sz w:val="24"/>
                  </w:rPr>
                  <w:t>☒</w:t>
                </w:r>
              </w:sdtContent>
            </w:sdt>
            <w:r w:rsidR="00B13D65" w:rsidRPr="00B13D65">
              <w:t xml:space="preserve"> 32.1. iš esmės nesiskiria</w:t>
            </w:r>
          </w:p>
        </w:tc>
        <w:tc>
          <w:tcPr>
            <w:tcW w:w="4814" w:type="dxa"/>
          </w:tcPr>
          <w:p w14:paraId="507828D9" w14:textId="09AE523F"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7F95DEEC"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35205E85" w14:textId="77777777" w:rsidR="0066298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512E653B"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5DDAA96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61CC3FE" w14:textId="77777777" w:rsidTr="002E3C97">
        <w:tc>
          <w:tcPr>
            <w:tcW w:w="9629" w:type="dxa"/>
            <w:gridSpan w:val="2"/>
          </w:tcPr>
          <w:p w14:paraId="3B2878F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Klinikinis veiksmingumas</w:t>
            </w:r>
          </w:p>
          <w:p w14:paraId="1AB4689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2E3C97">
        <w:tc>
          <w:tcPr>
            <w:tcW w:w="4815" w:type="dxa"/>
          </w:tcPr>
          <w:p w14:paraId="6897B306" w14:textId="70C15EA4"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32.2. yra įvertintas kaip pagrindžiantis papildomos naudos pacientų sveikatai sukūrimą, lyginant su įprasta klinikine praktika</w:t>
            </w:r>
          </w:p>
          <w:p w14:paraId="71D57105"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67D606A2"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007B88">
                  <w:rPr>
                    <w:rStyle w:val="Style2"/>
                    <w:rFonts w:ascii="MS Gothic" w:eastAsia="MS Gothic" w:hAnsi="MS Gothic" w:hint="eastAsia"/>
                    <w:sz w:val="24"/>
                  </w:rPr>
                  <w:t>☒</w:t>
                </w:r>
              </w:sdtContent>
            </w:sdt>
            <w:r w:rsidR="00B13D65" w:rsidRPr="00B13D65">
              <w:t xml:space="preserve"> 32.2. įvertintas kaip pagrindžiantis nesiskiriančios naudos pacientų sveikatai sukūrimą, lyginant su įprasta klinikine praktika</w:t>
            </w:r>
          </w:p>
          <w:p w14:paraId="287AD233"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77777777" w:rsidR="00662983" w:rsidRPr="00B13D65"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6C70BCFC" w14:textId="77777777" w:rsidR="00662983" w:rsidRDefault="00662983" w:rsidP="00BD1E5A">
            <w:pPr>
              <w:jc w:val="both"/>
            </w:pPr>
          </w:p>
          <w:p w14:paraId="0ADEC30D" w14:textId="25150412" w:rsidR="00B13D65" w:rsidRPr="00B13D65"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1EED790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C75AE76" w14:textId="77777777" w:rsidTr="002E3C97">
        <w:tc>
          <w:tcPr>
            <w:tcW w:w="9629" w:type="dxa"/>
            <w:gridSpan w:val="2"/>
          </w:tcPr>
          <w:p w14:paraId="56F7FA3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Kaštų naudingumas</w:t>
            </w:r>
          </w:p>
          <w:p w14:paraId="0247EDAD"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2E3C97" w:rsidRPr="00B13D65" w14:paraId="7091A05B" w14:textId="77777777" w:rsidTr="002E3C97">
        <w:tc>
          <w:tcPr>
            <w:tcW w:w="4815" w:type="dxa"/>
          </w:tcPr>
          <w:p w14:paraId="2D0699F5" w14:textId="77777777" w:rsidR="002E3C97" w:rsidRPr="00E33EFF" w:rsidRDefault="00000000" w:rsidP="002E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2E3C97" w:rsidRPr="00E33EFF">
                  <w:rPr>
                    <w:rStyle w:val="Style2"/>
                    <w:rFonts w:ascii="MS Gothic" w:eastAsia="MS Gothic" w:hAnsi="MS Gothic" w:hint="eastAsia"/>
                    <w:sz w:val="24"/>
                  </w:rPr>
                  <w:t>☐</w:t>
                </w:r>
              </w:sdtContent>
            </w:sdt>
            <w:r w:rsidR="002E3C97" w:rsidRPr="00E33EFF">
              <w:t xml:space="preserve"> 32.3. atitink</w:t>
            </w:r>
            <w:r w:rsidR="002E3C97">
              <w:t>a referencinę naudingumo vertę</w:t>
            </w:r>
          </w:p>
          <w:p w14:paraId="714D156E" w14:textId="77777777" w:rsidR="002E3C97" w:rsidRPr="00E33EFF" w:rsidRDefault="002E3C97" w:rsidP="002E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3C1D77" w14:textId="77777777" w:rsidR="002E3C97" w:rsidRPr="00E33EFF" w:rsidRDefault="00000000" w:rsidP="002E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2E3C97" w:rsidRPr="00E33EFF">
                  <w:rPr>
                    <w:rStyle w:val="Style2"/>
                    <w:rFonts w:ascii="Segoe UI Symbol" w:eastAsia="MS Gothic" w:hAnsi="Segoe UI Symbol" w:cs="Segoe UI Symbol"/>
                    <w:sz w:val="24"/>
                  </w:rPr>
                  <w:t>☐</w:t>
                </w:r>
              </w:sdtContent>
            </w:sdt>
            <w:r w:rsidR="002E3C97" w:rsidRPr="00E33EFF">
              <w:t xml:space="preserve"> 32.3. gydymo juo kaštai yra mažesni ar tokie patys esant iš esmės nesiskirian</w:t>
            </w:r>
            <w:r w:rsidR="002E3C97">
              <w:t>čiam palyginamajam efektyvumui</w:t>
            </w:r>
            <w:r w:rsidR="002E3C97" w:rsidRPr="00E33EFF">
              <w:t>, lyginant su įprasta klinikine praktika</w:t>
            </w:r>
          </w:p>
          <w:p w14:paraId="25E4BD1E" w14:textId="77777777" w:rsidR="002E3C97" w:rsidRPr="00B13D65" w:rsidRDefault="002E3C97" w:rsidP="002E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E43257C" w14:textId="77777777" w:rsidR="002E3C97" w:rsidRPr="00E33EFF" w:rsidRDefault="00000000" w:rsidP="002E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2E3C97" w:rsidRPr="00E33EFF">
                  <w:rPr>
                    <w:rStyle w:val="Style2"/>
                    <w:rFonts w:ascii="Segoe UI Symbol" w:eastAsia="MS Gothic" w:hAnsi="Segoe UI Symbol" w:cs="Segoe UI Symbol"/>
                    <w:sz w:val="24"/>
                  </w:rPr>
                  <w:t>☐</w:t>
                </w:r>
              </w:sdtContent>
            </w:sdt>
            <w:r w:rsidR="002E3C97" w:rsidRPr="00E33EFF">
              <w:t xml:space="preserve"> 33.3. neatitinka referencinės naudingumo vertės Lietuvos Respublikoje</w:t>
            </w:r>
          </w:p>
          <w:p w14:paraId="5101FC48" w14:textId="77777777" w:rsidR="002E3C97" w:rsidRPr="00E33EFF" w:rsidRDefault="002E3C97" w:rsidP="002E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438481F" w14:textId="77777777" w:rsidR="002E3C97" w:rsidRPr="00E33EFF" w:rsidRDefault="00000000" w:rsidP="002E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2E3C97" w:rsidRPr="00E33EFF">
                  <w:rPr>
                    <w:rStyle w:val="Style2"/>
                    <w:rFonts w:ascii="Segoe UI Symbol" w:eastAsia="MS Gothic" w:hAnsi="Segoe UI Symbol" w:cs="Segoe UI Symbol"/>
                    <w:sz w:val="24"/>
                  </w:rPr>
                  <w:t>☐</w:t>
                </w:r>
              </w:sdtContent>
            </w:sdt>
            <w:r w:rsidR="002E3C97" w:rsidRPr="00E33EFF">
              <w:t xml:space="preserve"> 33.3. gydymo juo kaštai yra didesni esant iš esmės nesiskirian</w:t>
            </w:r>
            <w:r w:rsidR="002E3C97">
              <w:t>čiam palyginamajam efektyvumui</w:t>
            </w:r>
            <w:r w:rsidR="002E3C97" w:rsidRPr="00E33EFF">
              <w:t xml:space="preserve"> lyginant su įprasta klinikine praktika</w:t>
            </w:r>
          </w:p>
          <w:p w14:paraId="0E33B1AB" w14:textId="77777777" w:rsidR="002E3C97" w:rsidRPr="00E33EFF" w:rsidRDefault="002E3C97" w:rsidP="002E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033AFE1" w14:textId="77777777" w:rsidR="002E3C97" w:rsidRPr="00E33EFF" w:rsidRDefault="00000000" w:rsidP="002E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1"/>
                  <w14:checkedState w14:val="2612" w14:font="MS Gothic"/>
                  <w14:uncheckedState w14:val="2610" w14:font="MS Gothic"/>
                </w14:checkbox>
              </w:sdtPr>
              <w:sdtContent>
                <w:r w:rsidR="002E3C97">
                  <w:rPr>
                    <w:rStyle w:val="Style2"/>
                    <w:rFonts w:ascii="MS Gothic" w:eastAsia="MS Gothic" w:hAnsi="MS Gothic" w:hint="eastAsia"/>
                    <w:sz w:val="24"/>
                  </w:rPr>
                  <w:t>☒</w:t>
                </w:r>
              </w:sdtContent>
            </w:sdt>
            <w:r w:rsidR="002E3C97" w:rsidRPr="00E33EFF">
              <w:t xml:space="preserve"> 33.3. pateikti duomenys apie kaštų naudingumą yra netinkami vertinti</w:t>
            </w:r>
          </w:p>
          <w:p w14:paraId="470A48A4" w14:textId="77777777" w:rsidR="002E3C97" w:rsidRPr="00B13D65" w:rsidRDefault="002E3C97" w:rsidP="002E3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2B139788" w:rsidR="004A3A61" w:rsidRDefault="004A3A61" w:rsidP="00381024"/>
    <w:p w14:paraId="29A90384" w14:textId="53F8A0E4" w:rsidR="004A3A61" w:rsidRDefault="004A3A61" w:rsidP="00381024"/>
    <w:p w14:paraId="5A117E4C" w14:textId="77777777" w:rsidR="002E3C97" w:rsidRPr="00E33EFF" w:rsidRDefault="002E3C97" w:rsidP="002E3C97">
      <w:pPr>
        <w:pStyle w:val="Sraopastraipa"/>
        <w:numPr>
          <w:ilvl w:val="0"/>
          <w:numId w:val="12"/>
        </w:numPr>
        <w:ind w:left="567" w:hanging="567"/>
      </w:pPr>
      <w:r w:rsidRPr="00E33EFF">
        <w:rPr>
          <w:b/>
        </w:rPr>
        <w:t>REKOMENDACIJA</w:t>
      </w:r>
    </w:p>
    <w:p w14:paraId="6C271667" w14:textId="77777777" w:rsidR="002E3C97" w:rsidRPr="00E33EFF" w:rsidRDefault="002E3C97" w:rsidP="002E3C97">
      <w:pPr>
        <w:pStyle w:val="Sraopastraipa"/>
        <w:ind w:left="426"/>
      </w:pPr>
    </w:p>
    <w:p w14:paraId="5B65CF94" w14:textId="7BA67B0B" w:rsidR="002E3C97" w:rsidRPr="00DF16F6" w:rsidRDefault="002E3C97" w:rsidP="002E3C97">
      <w:pPr>
        <w:pStyle w:val="VVKT"/>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w:t>
      </w:r>
      <w:r w:rsidRPr="00040894">
        <w:t xml:space="preserve">d. įsakymu Nr. V-159 „Dėl vaistinių preparatų ir medicinos pagalbos priemonių įrašymo į kompensavimo sąrašus ir jų keitimo tvarkos aprašo patvirtinimo“, punktu 34.4. rekomenduojama </w:t>
      </w:r>
      <w:r w:rsidRPr="00040894">
        <w:rPr>
          <w:i/>
        </w:rPr>
        <w:t xml:space="preserve">nekompensuoti </w:t>
      </w:r>
      <w:r w:rsidRPr="00040894">
        <w:t xml:space="preserve">vaistinio preparato pagal paraiškoje nurodytą indikacijos dalį be skyrimo sąlygų, netaikant PGS dėl vertinimo išvadų, nurodytų 33.3 papunktyje (žr. </w:t>
      </w:r>
      <w:r w:rsidR="00EC7996">
        <w:t>6</w:t>
      </w:r>
      <w:r w:rsidRPr="00040894">
        <w:t xml:space="preserve"> skyri</w:t>
      </w:r>
      <w:r w:rsidR="00EC7996">
        <w:t>ų</w:t>
      </w:r>
      <w:r w:rsidRPr="00040894">
        <w:t>), neatitikties 34.2 papunktyje išdėstytoms sąlygoms.</w:t>
      </w:r>
    </w:p>
    <w:p w14:paraId="6BD94804" w14:textId="77777777" w:rsidR="002E3C97" w:rsidRPr="000723FF" w:rsidRDefault="002E3C97" w:rsidP="002E3C97">
      <w:pPr>
        <w:rPr>
          <w:b/>
        </w:rPr>
      </w:pPr>
    </w:p>
    <w:p w14:paraId="04411EAD" w14:textId="77777777" w:rsidR="004A3A61" w:rsidRDefault="004A3A61" w:rsidP="00381024"/>
    <w:sectPr w:rsidR="004A3A61"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D659" w14:textId="77777777" w:rsidR="00632B97" w:rsidRDefault="00632B97">
      <w:r>
        <w:separator/>
      </w:r>
    </w:p>
  </w:endnote>
  <w:endnote w:type="continuationSeparator" w:id="0">
    <w:p w14:paraId="3DEDE1C8" w14:textId="77777777" w:rsidR="00632B97" w:rsidRDefault="0063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3DCE" w14:textId="77777777" w:rsidR="00632B97" w:rsidRDefault="00632B97">
      <w:r>
        <w:separator/>
      </w:r>
    </w:p>
  </w:footnote>
  <w:footnote w:type="continuationSeparator" w:id="0">
    <w:p w14:paraId="31B89278" w14:textId="77777777" w:rsidR="00632B97" w:rsidRDefault="00632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09C721EF"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7996">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4BC5D64"/>
    <w:lvl w:ilvl="0" w:tplc="5E126014">
      <w:start w:val="1"/>
      <w:numFmt w:val="decimal"/>
      <w:lvlText w:val="%1."/>
      <w:lvlJc w:val="left"/>
      <w:pPr>
        <w:ind w:left="502"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4380572">
    <w:abstractNumId w:val="6"/>
  </w:num>
  <w:num w:numId="2" w16cid:durableId="1981030375">
    <w:abstractNumId w:val="1"/>
  </w:num>
  <w:num w:numId="3" w16cid:durableId="924875305">
    <w:abstractNumId w:val="8"/>
  </w:num>
  <w:num w:numId="4" w16cid:durableId="909733363">
    <w:abstractNumId w:val="7"/>
  </w:num>
  <w:num w:numId="5" w16cid:durableId="2073650556">
    <w:abstractNumId w:val="5"/>
  </w:num>
  <w:num w:numId="6" w16cid:durableId="1042482786">
    <w:abstractNumId w:val="4"/>
  </w:num>
  <w:num w:numId="7" w16cid:durableId="941188400">
    <w:abstractNumId w:val="3"/>
  </w:num>
  <w:num w:numId="8" w16cid:durableId="385613894">
    <w:abstractNumId w:val="11"/>
  </w:num>
  <w:num w:numId="9" w16cid:durableId="312760627">
    <w:abstractNumId w:val="0"/>
  </w:num>
  <w:num w:numId="10" w16cid:durableId="1039932280">
    <w:abstractNumId w:val="9"/>
  </w:num>
  <w:num w:numId="11" w16cid:durableId="957685404">
    <w:abstractNumId w:val="10"/>
  </w:num>
  <w:num w:numId="12" w16cid:durableId="527261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07B88"/>
    <w:rsid w:val="000114DD"/>
    <w:rsid w:val="000136F7"/>
    <w:rsid w:val="0002686C"/>
    <w:rsid w:val="00031D0E"/>
    <w:rsid w:val="000337E6"/>
    <w:rsid w:val="0003402E"/>
    <w:rsid w:val="00034EAE"/>
    <w:rsid w:val="000606BE"/>
    <w:rsid w:val="000736B8"/>
    <w:rsid w:val="0008190F"/>
    <w:rsid w:val="00081D9C"/>
    <w:rsid w:val="00082907"/>
    <w:rsid w:val="0008378D"/>
    <w:rsid w:val="000908A5"/>
    <w:rsid w:val="00092805"/>
    <w:rsid w:val="000C454C"/>
    <w:rsid w:val="000D5038"/>
    <w:rsid w:val="000E29D4"/>
    <w:rsid w:val="000F129A"/>
    <w:rsid w:val="000F3540"/>
    <w:rsid w:val="00100491"/>
    <w:rsid w:val="00104E2E"/>
    <w:rsid w:val="00107287"/>
    <w:rsid w:val="00117406"/>
    <w:rsid w:val="00121EF0"/>
    <w:rsid w:val="00122122"/>
    <w:rsid w:val="00124A9E"/>
    <w:rsid w:val="00130703"/>
    <w:rsid w:val="0013153F"/>
    <w:rsid w:val="001408B8"/>
    <w:rsid w:val="001521D9"/>
    <w:rsid w:val="001554E2"/>
    <w:rsid w:val="00164146"/>
    <w:rsid w:val="0017369C"/>
    <w:rsid w:val="00180C39"/>
    <w:rsid w:val="00180D96"/>
    <w:rsid w:val="001921F3"/>
    <w:rsid w:val="001B3C5B"/>
    <w:rsid w:val="001E4BBB"/>
    <w:rsid w:val="001E6304"/>
    <w:rsid w:val="0020381E"/>
    <w:rsid w:val="00213471"/>
    <w:rsid w:val="00215906"/>
    <w:rsid w:val="0025697F"/>
    <w:rsid w:val="00260258"/>
    <w:rsid w:val="00272428"/>
    <w:rsid w:val="00272948"/>
    <w:rsid w:val="002946C7"/>
    <w:rsid w:val="002B3CC1"/>
    <w:rsid w:val="002C09E0"/>
    <w:rsid w:val="002C3A10"/>
    <w:rsid w:val="002C4A90"/>
    <w:rsid w:val="002D02EF"/>
    <w:rsid w:val="002E0702"/>
    <w:rsid w:val="002E3C97"/>
    <w:rsid w:val="002E6F80"/>
    <w:rsid w:val="002F0E4F"/>
    <w:rsid w:val="002F1053"/>
    <w:rsid w:val="00317B0E"/>
    <w:rsid w:val="00347FAA"/>
    <w:rsid w:val="0035172D"/>
    <w:rsid w:val="0036187D"/>
    <w:rsid w:val="00381024"/>
    <w:rsid w:val="00386307"/>
    <w:rsid w:val="003874DE"/>
    <w:rsid w:val="00393E9F"/>
    <w:rsid w:val="0039696E"/>
    <w:rsid w:val="003B211A"/>
    <w:rsid w:val="003C141F"/>
    <w:rsid w:val="003C6B0E"/>
    <w:rsid w:val="003C7257"/>
    <w:rsid w:val="003C7E35"/>
    <w:rsid w:val="00404E8A"/>
    <w:rsid w:val="0040622F"/>
    <w:rsid w:val="00423160"/>
    <w:rsid w:val="00453862"/>
    <w:rsid w:val="00461338"/>
    <w:rsid w:val="004677DB"/>
    <w:rsid w:val="0048630F"/>
    <w:rsid w:val="004947A1"/>
    <w:rsid w:val="0049482A"/>
    <w:rsid w:val="004979D3"/>
    <w:rsid w:val="004A00E7"/>
    <w:rsid w:val="004A3A61"/>
    <w:rsid w:val="004B59BA"/>
    <w:rsid w:val="004C263A"/>
    <w:rsid w:val="004D7B8F"/>
    <w:rsid w:val="004E6458"/>
    <w:rsid w:val="004E6E7D"/>
    <w:rsid w:val="004F1AAC"/>
    <w:rsid w:val="004F1AE2"/>
    <w:rsid w:val="004F34F0"/>
    <w:rsid w:val="005005EF"/>
    <w:rsid w:val="00534E11"/>
    <w:rsid w:val="005400D9"/>
    <w:rsid w:val="005476A4"/>
    <w:rsid w:val="0055019B"/>
    <w:rsid w:val="00556E63"/>
    <w:rsid w:val="005601A4"/>
    <w:rsid w:val="00566DBB"/>
    <w:rsid w:val="005976CE"/>
    <w:rsid w:val="005A23D4"/>
    <w:rsid w:val="005A2D1E"/>
    <w:rsid w:val="005C493F"/>
    <w:rsid w:val="005C6BF7"/>
    <w:rsid w:val="005C71BF"/>
    <w:rsid w:val="005D002C"/>
    <w:rsid w:val="005D30E1"/>
    <w:rsid w:val="005D6555"/>
    <w:rsid w:val="005D7BDF"/>
    <w:rsid w:val="005F71D9"/>
    <w:rsid w:val="005F7602"/>
    <w:rsid w:val="00613501"/>
    <w:rsid w:val="006166A8"/>
    <w:rsid w:val="006174A1"/>
    <w:rsid w:val="00632B97"/>
    <w:rsid w:val="00633B49"/>
    <w:rsid w:val="0064297F"/>
    <w:rsid w:val="00646CF3"/>
    <w:rsid w:val="00662983"/>
    <w:rsid w:val="006834D3"/>
    <w:rsid w:val="00692625"/>
    <w:rsid w:val="00695CD3"/>
    <w:rsid w:val="006A38B6"/>
    <w:rsid w:val="006B1987"/>
    <w:rsid w:val="006B5B71"/>
    <w:rsid w:val="006B6CB0"/>
    <w:rsid w:val="006C2B64"/>
    <w:rsid w:val="006D4C85"/>
    <w:rsid w:val="006E33F6"/>
    <w:rsid w:val="006F1251"/>
    <w:rsid w:val="006F1C23"/>
    <w:rsid w:val="00703166"/>
    <w:rsid w:val="007127F3"/>
    <w:rsid w:val="007301CF"/>
    <w:rsid w:val="007316FB"/>
    <w:rsid w:val="00737E2D"/>
    <w:rsid w:val="007424D5"/>
    <w:rsid w:val="007523DD"/>
    <w:rsid w:val="00757B7E"/>
    <w:rsid w:val="00795DC5"/>
    <w:rsid w:val="00797153"/>
    <w:rsid w:val="007B0DDA"/>
    <w:rsid w:val="007E5466"/>
    <w:rsid w:val="007F1949"/>
    <w:rsid w:val="00817A84"/>
    <w:rsid w:val="008225A4"/>
    <w:rsid w:val="00826D5E"/>
    <w:rsid w:val="00832013"/>
    <w:rsid w:val="00834732"/>
    <w:rsid w:val="0085200C"/>
    <w:rsid w:val="00857C52"/>
    <w:rsid w:val="00880A44"/>
    <w:rsid w:val="0088345E"/>
    <w:rsid w:val="0088656F"/>
    <w:rsid w:val="008A0303"/>
    <w:rsid w:val="008A5FDD"/>
    <w:rsid w:val="008C3947"/>
    <w:rsid w:val="008D5D25"/>
    <w:rsid w:val="008E7329"/>
    <w:rsid w:val="008F2ED5"/>
    <w:rsid w:val="0092297E"/>
    <w:rsid w:val="009341BF"/>
    <w:rsid w:val="00937907"/>
    <w:rsid w:val="00941739"/>
    <w:rsid w:val="00951573"/>
    <w:rsid w:val="00963003"/>
    <w:rsid w:val="00983471"/>
    <w:rsid w:val="009909AB"/>
    <w:rsid w:val="009B37DB"/>
    <w:rsid w:val="009C7A8C"/>
    <w:rsid w:val="009D23F9"/>
    <w:rsid w:val="009D4FA8"/>
    <w:rsid w:val="009E6CD6"/>
    <w:rsid w:val="00A00C3C"/>
    <w:rsid w:val="00A01091"/>
    <w:rsid w:val="00A06DBB"/>
    <w:rsid w:val="00A31E86"/>
    <w:rsid w:val="00A54D87"/>
    <w:rsid w:val="00A5553C"/>
    <w:rsid w:val="00A81785"/>
    <w:rsid w:val="00A84803"/>
    <w:rsid w:val="00A84C51"/>
    <w:rsid w:val="00A86F2B"/>
    <w:rsid w:val="00A91366"/>
    <w:rsid w:val="00A93AA6"/>
    <w:rsid w:val="00AA4E48"/>
    <w:rsid w:val="00AA6202"/>
    <w:rsid w:val="00AC4A99"/>
    <w:rsid w:val="00AC64D2"/>
    <w:rsid w:val="00AE0FE8"/>
    <w:rsid w:val="00AF60D5"/>
    <w:rsid w:val="00B04415"/>
    <w:rsid w:val="00B11D60"/>
    <w:rsid w:val="00B13D65"/>
    <w:rsid w:val="00B37245"/>
    <w:rsid w:val="00B4017A"/>
    <w:rsid w:val="00B4468D"/>
    <w:rsid w:val="00B71C72"/>
    <w:rsid w:val="00B81E92"/>
    <w:rsid w:val="00B93B30"/>
    <w:rsid w:val="00B94CB5"/>
    <w:rsid w:val="00BA0DD9"/>
    <w:rsid w:val="00BB6312"/>
    <w:rsid w:val="00BC4D06"/>
    <w:rsid w:val="00BD585E"/>
    <w:rsid w:val="00BF2E0D"/>
    <w:rsid w:val="00BF3F8B"/>
    <w:rsid w:val="00BF76DA"/>
    <w:rsid w:val="00C07C7B"/>
    <w:rsid w:val="00C24479"/>
    <w:rsid w:val="00C37B53"/>
    <w:rsid w:val="00C517D2"/>
    <w:rsid w:val="00C62B36"/>
    <w:rsid w:val="00C7012C"/>
    <w:rsid w:val="00CC668D"/>
    <w:rsid w:val="00CC7832"/>
    <w:rsid w:val="00CF0C1C"/>
    <w:rsid w:val="00D2254B"/>
    <w:rsid w:val="00D23808"/>
    <w:rsid w:val="00D3016A"/>
    <w:rsid w:val="00D42960"/>
    <w:rsid w:val="00D43BD7"/>
    <w:rsid w:val="00D4485B"/>
    <w:rsid w:val="00D4708D"/>
    <w:rsid w:val="00D4744C"/>
    <w:rsid w:val="00D63068"/>
    <w:rsid w:val="00D6498C"/>
    <w:rsid w:val="00D8521E"/>
    <w:rsid w:val="00D9291C"/>
    <w:rsid w:val="00D93A97"/>
    <w:rsid w:val="00DB1F64"/>
    <w:rsid w:val="00DC2F53"/>
    <w:rsid w:val="00DC6816"/>
    <w:rsid w:val="00DC76C2"/>
    <w:rsid w:val="00DD1CF2"/>
    <w:rsid w:val="00DF41B7"/>
    <w:rsid w:val="00DF4A4A"/>
    <w:rsid w:val="00DF583C"/>
    <w:rsid w:val="00E03C3F"/>
    <w:rsid w:val="00E24D45"/>
    <w:rsid w:val="00E33DB8"/>
    <w:rsid w:val="00E34387"/>
    <w:rsid w:val="00E369FE"/>
    <w:rsid w:val="00E37C6F"/>
    <w:rsid w:val="00E475F8"/>
    <w:rsid w:val="00E5102E"/>
    <w:rsid w:val="00E5721C"/>
    <w:rsid w:val="00E619C6"/>
    <w:rsid w:val="00E745A1"/>
    <w:rsid w:val="00E81529"/>
    <w:rsid w:val="00E83A13"/>
    <w:rsid w:val="00EC2356"/>
    <w:rsid w:val="00EC2582"/>
    <w:rsid w:val="00EC337C"/>
    <w:rsid w:val="00EC7996"/>
    <w:rsid w:val="00ED0CFF"/>
    <w:rsid w:val="00ED31D2"/>
    <w:rsid w:val="00EE0EAC"/>
    <w:rsid w:val="00EE33CB"/>
    <w:rsid w:val="00F0061A"/>
    <w:rsid w:val="00F02834"/>
    <w:rsid w:val="00F07CD7"/>
    <w:rsid w:val="00F127E9"/>
    <w:rsid w:val="00F36972"/>
    <w:rsid w:val="00F42426"/>
    <w:rsid w:val="00F456BC"/>
    <w:rsid w:val="00F50666"/>
    <w:rsid w:val="00F70C9E"/>
    <w:rsid w:val="00F74A74"/>
    <w:rsid w:val="00F8382C"/>
    <w:rsid w:val="00F855D7"/>
    <w:rsid w:val="00F92035"/>
    <w:rsid w:val="00F92748"/>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rsid w:val="00007B88"/>
    <w:rPr>
      <w:sz w:val="24"/>
      <w:szCs w:val="24"/>
      <w:lang w:eastAsia="en-US"/>
    </w:rPr>
  </w:style>
  <w:style w:type="paragraph" w:customStyle="1" w:styleId="VVKT">
    <w:name w:val="VVKT"/>
    <w:basedOn w:val="prastasis"/>
    <w:qFormat/>
    <w:rsid w:val="00007B88"/>
    <w:pPr>
      <w:spacing w:line="276" w:lineRule="auto"/>
      <w:ind w:firstLine="645"/>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1E86322BB2A046D9AA8EEC8813E5F165"/>
        <w:category>
          <w:name w:val="Bendrosios nuostatos"/>
          <w:gallery w:val="placeholder"/>
        </w:category>
        <w:types>
          <w:type w:val="bbPlcHdr"/>
        </w:types>
        <w:behaviors>
          <w:behavior w:val="content"/>
        </w:behaviors>
        <w:guid w:val="{65FDD86D-4B7F-4634-A9B6-04FEB2A59D92}"/>
      </w:docPartPr>
      <w:docPartBody>
        <w:p w:rsidR="004160E7" w:rsidRDefault="004144A3" w:rsidP="004144A3">
          <w:pPr>
            <w:pStyle w:val="1E86322BB2A046D9AA8EEC8813E5F165"/>
          </w:pPr>
          <w:r>
            <w:rPr>
              <w:rStyle w:val="Vietosrezervavimoenklotekstas"/>
            </w:rPr>
            <w:t>Click here to enter a date.</w:t>
          </w:r>
        </w:p>
      </w:docPartBody>
    </w:docPart>
    <w:docPart>
      <w:docPartPr>
        <w:name w:val="57B9655BB938420B82BDAD6B82A66F50"/>
        <w:category>
          <w:name w:val="Bendrosios nuostatos"/>
          <w:gallery w:val="placeholder"/>
        </w:category>
        <w:types>
          <w:type w:val="bbPlcHdr"/>
        </w:types>
        <w:behaviors>
          <w:behavior w:val="content"/>
        </w:behaviors>
        <w:guid w:val="{B50508B3-61AE-42C0-9ED2-473525764A20}"/>
      </w:docPartPr>
      <w:docPartBody>
        <w:p w:rsidR="004160E7" w:rsidRDefault="004144A3" w:rsidP="004144A3">
          <w:pPr>
            <w:pStyle w:val="57B9655BB938420B82BDAD6B82A66F50"/>
          </w:pPr>
          <w:r>
            <w:rPr>
              <w:rStyle w:val="Vietosrezervavimoenklotekstas"/>
            </w:rPr>
            <w:t>Click here to enter a date.</w:t>
          </w:r>
        </w:p>
      </w:docPartBody>
    </w:docPart>
    <w:docPart>
      <w:docPartPr>
        <w:name w:val="5830794711CC4E92887B7A7DBFC23A3F"/>
        <w:category>
          <w:name w:val="Bendrosios nuostatos"/>
          <w:gallery w:val="placeholder"/>
        </w:category>
        <w:types>
          <w:type w:val="bbPlcHdr"/>
        </w:types>
        <w:behaviors>
          <w:behavior w:val="content"/>
        </w:behaviors>
        <w:guid w:val="{BA4CDDB2-6993-4673-A936-90356C93B8E2}"/>
      </w:docPartPr>
      <w:docPartBody>
        <w:p w:rsidR="004160E7" w:rsidRDefault="004144A3" w:rsidP="004144A3">
          <w:pPr>
            <w:pStyle w:val="5830794711CC4E92887B7A7DBFC23A3F"/>
          </w:pPr>
          <w:r>
            <w:rPr>
              <w:rStyle w:val="Vietosrezervavimoenklotekstas"/>
            </w:rPr>
            <w:t>Click here to enter a date.</w:t>
          </w:r>
        </w:p>
      </w:docPartBody>
    </w:docPart>
    <w:docPart>
      <w:docPartPr>
        <w:name w:val="C62857F5DFADCC46915BD50EA1EFA02D"/>
        <w:category>
          <w:name w:val="General"/>
          <w:gallery w:val="placeholder"/>
        </w:category>
        <w:types>
          <w:type w:val="bbPlcHdr"/>
        </w:types>
        <w:behaviors>
          <w:behavior w:val="content"/>
        </w:behaviors>
        <w:guid w:val="{CDC47950-91C4-2E44-A10A-04983E4D45A3}"/>
      </w:docPartPr>
      <w:docPartBody>
        <w:p w:rsidR="00D22746" w:rsidRDefault="00C06BAC" w:rsidP="00C06BAC">
          <w:pPr>
            <w:pStyle w:val="C62857F5DFADCC46915BD50EA1EFA02D"/>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1F0239"/>
    <w:rsid w:val="004144A3"/>
    <w:rsid w:val="004160E7"/>
    <w:rsid w:val="005074B9"/>
    <w:rsid w:val="005E40DD"/>
    <w:rsid w:val="007C6D1D"/>
    <w:rsid w:val="009553CC"/>
    <w:rsid w:val="009B3BF0"/>
    <w:rsid w:val="009D5E5E"/>
    <w:rsid w:val="00B23DC0"/>
    <w:rsid w:val="00BE14CB"/>
    <w:rsid w:val="00C06BAC"/>
    <w:rsid w:val="00CB4BD1"/>
    <w:rsid w:val="00CE23E5"/>
    <w:rsid w:val="00CE2DA9"/>
    <w:rsid w:val="00CE44BE"/>
    <w:rsid w:val="00D22746"/>
    <w:rsid w:val="00E44A86"/>
    <w:rsid w:val="00EF6E0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C06BAC"/>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C62857F5DFADCC46915BD50EA1EFA02D">
    <w:name w:val="C62857F5DFADCC46915BD50EA1EFA02D"/>
    <w:rsid w:val="00C06BAC"/>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13172</Words>
  <Characters>7509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20640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2023-12-22T07:07:00Z</dcterms:created>
  <dcterms:modified xsi:type="dcterms:W3CDTF">2023-12-22T07:07:00Z</dcterms:modified>
</cp:coreProperties>
</file>