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Default="005F7602" w:rsidP="002946C7">
      <w:pPr>
        <w:ind w:left="5529"/>
      </w:pPr>
    </w:p>
    <w:p w14:paraId="12FA4B9E" w14:textId="77777777" w:rsidR="001B3C5B" w:rsidRDefault="001B3C5B" w:rsidP="001B3C5B">
      <w:pPr>
        <w:ind w:left="6096"/>
      </w:pPr>
      <w:r>
        <w:t>Forma patvirtinta</w:t>
      </w:r>
    </w:p>
    <w:p w14:paraId="7206970B" w14:textId="70E9BD2E" w:rsidR="004C263A" w:rsidRDefault="001B3C5B" w:rsidP="001B3C5B">
      <w:pPr>
        <w:ind w:left="6096"/>
      </w:pPr>
      <w:r>
        <w:t>Valstybinės vaistų kontrolės tarnybos prie Lietuvos Respublikos sveikatos apsaugos ministerijos viršininko 2021 m</w:t>
      </w:r>
      <w:r w:rsidR="004C263A">
        <w:t xml:space="preserve">. lapkričio 12 </w:t>
      </w:r>
      <w:r>
        <w:t>d. įsakymu Nr.</w:t>
      </w:r>
      <w:r w:rsidR="004C263A">
        <w:t xml:space="preserve"> (1.72E)1A-1418</w:t>
      </w:r>
    </w:p>
    <w:p w14:paraId="5B219AA6" w14:textId="520B9136" w:rsidR="001B3C5B" w:rsidRDefault="004C263A" w:rsidP="001B3C5B">
      <w:pPr>
        <w:ind w:left="6096"/>
      </w:pPr>
      <w:r>
        <w:t>(Valstybinės vaistų kontrolės tarnybos prie Lietuvos Respublikos sveikatos apsaugos ministerijos viršininko 2022 m.                         d. įsakymo Nr.                    redakcija)</w:t>
      </w:r>
    </w:p>
    <w:p w14:paraId="3336BD74" w14:textId="77777777" w:rsidR="001B3C5B" w:rsidRPr="000A2492" w:rsidRDefault="001B3C5B" w:rsidP="00FA4169"/>
    <w:p w14:paraId="77AFB67E" w14:textId="16397257" w:rsidR="00613501" w:rsidRDefault="002F0E4F" w:rsidP="003B211A">
      <w:pPr>
        <w:jc w:val="center"/>
        <w:rPr>
          <w:b/>
          <w:bCs/>
          <w:caps/>
        </w:rPr>
      </w:pPr>
      <w:r>
        <w:rPr>
          <w:b/>
        </w:rPr>
        <w:t xml:space="preserve">REKOMENDACIJA DĖL VAISTINIO PREPARATO </w:t>
      </w:r>
      <w:r w:rsidRPr="002F0E4F">
        <w:rPr>
          <w:b/>
          <w:bCs/>
          <w:caps/>
        </w:rPr>
        <w:t>Lietuvos Respublikos Sveikatos apsaugos ministerijos vaistinių preparatų ir medicinos pagalbos priemonių kompensavimo komisijai</w:t>
      </w:r>
    </w:p>
    <w:p w14:paraId="34E4395D" w14:textId="15FB10DF" w:rsidR="00B13D65" w:rsidRDefault="00B13D65" w:rsidP="003B211A">
      <w:pPr>
        <w:jc w:val="center"/>
        <w:rPr>
          <w:b/>
        </w:rPr>
      </w:pPr>
    </w:p>
    <w:p w14:paraId="168350E3" w14:textId="61133508" w:rsidR="00937907" w:rsidRPr="00880A44" w:rsidRDefault="00F60C95" w:rsidP="00937907">
      <w:pPr>
        <w:jc w:val="center"/>
        <w:rPr>
          <w:b/>
        </w:rPr>
      </w:pPr>
      <w:proofErr w:type="spellStart"/>
      <w:r>
        <w:rPr>
          <w:b/>
        </w:rPr>
        <w:t>Rinvoq</w:t>
      </w:r>
      <w:proofErr w:type="spellEnd"/>
      <w:r w:rsidR="008651E2">
        <w:rPr>
          <w:b/>
        </w:rPr>
        <w:t>,</w:t>
      </w:r>
      <w:r w:rsidR="00937907" w:rsidRPr="00880A44">
        <w:rPr>
          <w:b/>
        </w:rPr>
        <w:t xml:space="preserve"> </w:t>
      </w:r>
      <w:r>
        <w:rPr>
          <w:b/>
        </w:rPr>
        <w:t xml:space="preserve">15 </w:t>
      </w:r>
      <w:r w:rsidRPr="00F60C95">
        <w:rPr>
          <w:b/>
        </w:rPr>
        <w:t xml:space="preserve">mg </w:t>
      </w:r>
      <w:r w:rsidRPr="00F60C95">
        <w:rPr>
          <w:b/>
          <w:lang w:eastAsia="lt-LT"/>
        </w:rPr>
        <w:t>pailginto atpalaidavimo tabletės</w:t>
      </w:r>
    </w:p>
    <w:p w14:paraId="46C2D966" w14:textId="77777777" w:rsidR="00937907" w:rsidRPr="00880A44" w:rsidRDefault="00937907" w:rsidP="00937907">
      <w:pPr>
        <w:jc w:val="center"/>
      </w:pPr>
    </w:p>
    <w:p w14:paraId="3C1AFC17" w14:textId="68472356" w:rsidR="00937907" w:rsidRPr="00880A44" w:rsidRDefault="00F60C95" w:rsidP="00937907">
      <w:pPr>
        <w:jc w:val="center"/>
      </w:pPr>
      <w:proofErr w:type="spellStart"/>
      <w:r>
        <w:rPr>
          <w:b/>
        </w:rPr>
        <w:t>Upadacitinibas</w:t>
      </w:r>
      <w:proofErr w:type="spellEnd"/>
      <w:r>
        <w:rPr>
          <w:b/>
        </w:rPr>
        <w:t xml:space="preserve"> </w:t>
      </w:r>
    </w:p>
    <w:p w14:paraId="7245D69E" w14:textId="77777777" w:rsidR="00937907" w:rsidRPr="00880A44" w:rsidRDefault="00937907" w:rsidP="00937907">
      <w:pPr>
        <w:jc w:val="center"/>
      </w:pPr>
    </w:p>
    <w:p w14:paraId="5BC2EA5D" w14:textId="5415BD7D" w:rsidR="00937907" w:rsidRDefault="00F60C95" w:rsidP="003B211A">
      <w:pPr>
        <w:jc w:val="center"/>
        <w:rPr>
          <w:b/>
        </w:rPr>
      </w:pPr>
      <w:r>
        <w:rPr>
          <w:b/>
        </w:rPr>
        <w:t>STV</w:t>
      </w:r>
      <w:r w:rsidR="008651E2">
        <w:rPr>
          <w:b/>
        </w:rPr>
        <w:t>-</w:t>
      </w:r>
      <w:r>
        <w:rPr>
          <w:b/>
        </w:rPr>
        <w:t>57</w:t>
      </w:r>
    </w:p>
    <w:p w14:paraId="453197C8" w14:textId="77777777" w:rsidR="00D4708D" w:rsidRPr="004C263A" w:rsidRDefault="00D4708D" w:rsidP="003B211A">
      <w:pPr>
        <w:jc w:val="center"/>
        <w:rPr>
          <w:b/>
        </w:rPr>
      </w:pPr>
    </w:p>
    <w:p w14:paraId="78C89D1C" w14:textId="62B17FFB" w:rsidR="00D4485B" w:rsidRDefault="00B13D65" w:rsidP="00937907">
      <w:pPr>
        <w:pStyle w:val="ListParagraph"/>
        <w:numPr>
          <w:ilvl w:val="0"/>
          <w:numId w:val="12"/>
        </w:numPr>
        <w:tabs>
          <w:tab w:val="left" w:pos="284"/>
        </w:tabs>
        <w:rPr>
          <w:b/>
          <w:bCs/>
          <w:caps/>
        </w:rPr>
      </w:pPr>
      <w:r>
        <w:rPr>
          <w:b/>
          <w:bCs/>
          <w:caps/>
        </w:rPr>
        <w:t>Bendroji dalis</w:t>
      </w:r>
    </w:p>
    <w:p w14:paraId="4E87B525" w14:textId="11626F93" w:rsidR="00E959C9" w:rsidRDefault="00E959C9" w:rsidP="00E959C9">
      <w:pPr>
        <w:tabs>
          <w:tab w:val="left" w:pos="284"/>
        </w:tabs>
        <w:rPr>
          <w:b/>
          <w:bCs/>
          <w:caps/>
        </w:rPr>
      </w:pPr>
    </w:p>
    <w:tbl>
      <w:tblPr>
        <w:tblStyle w:val="TableGrid"/>
        <w:tblW w:w="9493" w:type="dxa"/>
        <w:tblLook w:val="04A0" w:firstRow="1" w:lastRow="0" w:firstColumn="1" w:lastColumn="0" w:noHBand="0" w:noVBand="1"/>
      </w:tblPr>
      <w:tblGrid>
        <w:gridCol w:w="632"/>
        <w:gridCol w:w="3694"/>
        <w:gridCol w:w="5167"/>
      </w:tblGrid>
      <w:tr w:rsidR="00E959C9" w:rsidRPr="000203E1" w14:paraId="022058E5" w14:textId="77777777" w:rsidTr="00A843C9">
        <w:trPr>
          <w:trHeight w:val="538"/>
        </w:trPr>
        <w:tc>
          <w:tcPr>
            <w:tcW w:w="632" w:type="dxa"/>
          </w:tcPr>
          <w:p w14:paraId="531ED89F" w14:textId="77777777" w:rsidR="00E959C9" w:rsidRPr="000203E1" w:rsidRDefault="00E959C9" w:rsidP="00A843C9">
            <w:pPr>
              <w:rPr>
                <w:rFonts w:eastAsia="Arial"/>
              </w:rPr>
            </w:pPr>
            <w:r w:rsidRPr="000203E1">
              <w:rPr>
                <w:rFonts w:eastAsia="Arial"/>
              </w:rPr>
              <w:t>1.1</w:t>
            </w:r>
          </w:p>
        </w:tc>
        <w:tc>
          <w:tcPr>
            <w:tcW w:w="3694" w:type="dxa"/>
          </w:tcPr>
          <w:p w14:paraId="6169247A" w14:textId="77777777" w:rsidR="00E959C9" w:rsidRPr="000203E1" w:rsidRDefault="00E959C9" w:rsidP="00A843C9">
            <w:pPr>
              <w:rPr>
                <w:rFonts w:eastAsia="Arial"/>
              </w:rPr>
            </w:pPr>
            <w:r w:rsidRPr="000203E1">
              <w:rPr>
                <w:rFonts w:eastAsia="Arial"/>
              </w:rPr>
              <w:t>Pareiškėjas</w:t>
            </w:r>
          </w:p>
          <w:p w14:paraId="19A9388F" w14:textId="77777777" w:rsidR="00E959C9" w:rsidRPr="000203E1" w:rsidRDefault="00E959C9" w:rsidP="00A843C9">
            <w:pPr>
              <w:rPr>
                <w:rFonts w:eastAsia="Arial"/>
              </w:rPr>
            </w:pPr>
          </w:p>
        </w:tc>
        <w:tc>
          <w:tcPr>
            <w:tcW w:w="5167" w:type="dxa"/>
          </w:tcPr>
          <w:p w14:paraId="67109490" w14:textId="0CB98BDF" w:rsidR="00E959C9" w:rsidRPr="00E959C9" w:rsidRDefault="00E959C9" w:rsidP="00A843C9">
            <w:pPr>
              <w:rPr>
                <w:rFonts w:eastAsia="Arial"/>
              </w:rPr>
            </w:pPr>
            <w:r w:rsidRPr="00E959C9">
              <w:t>UAB „</w:t>
            </w:r>
            <w:proofErr w:type="spellStart"/>
            <w:r w:rsidRPr="00E959C9">
              <w:t>AbbVie</w:t>
            </w:r>
            <w:proofErr w:type="spellEnd"/>
            <w:r w:rsidRPr="00E959C9">
              <w:t>“</w:t>
            </w:r>
          </w:p>
        </w:tc>
      </w:tr>
      <w:tr w:rsidR="00E959C9" w:rsidRPr="000203E1" w14:paraId="6C77222C" w14:textId="77777777" w:rsidTr="00A843C9">
        <w:trPr>
          <w:trHeight w:val="538"/>
        </w:trPr>
        <w:tc>
          <w:tcPr>
            <w:tcW w:w="632" w:type="dxa"/>
          </w:tcPr>
          <w:p w14:paraId="2DFEF0FB" w14:textId="77777777" w:rsidR="00E959C9" w:rsidRPr="000203E1" w:rsidRDefault="00E959C9" w:rsidP="00A843C9">
            <w:pPr>
              <w:rPr>
                <w:rFonts w:eastAsia="Arial"/>
              </w:rPr>
            </w:pPr>
            <w:r w:rsidRPr="000203E1">
              <w:rPr>
                <w:rFonts w:eastAsia="Arial"/>
              </w:rPr>
              <w:t>1.2</w:t>
            </w:r>
          </w:p>
        </w:tc>
        <w:tc>
          <w:tcPr>
            <w:tcW w:w="3694" w:type="dxa"/>
          </w:tcPr>
          <w:p w14:paraId="286F91F9" w14:textId="77777777" w:rsidR="00E959C9" w:rsidRPr="000203E1" w:rsidRDefault="00E959C9" w:rsidP="00A843C9">
            <w:pPr>
              <w:rPr>
                <w:bCs/>
                <w:lang w:eastAsia="lt-LT"/>
              </w:rPr>
            </w:pPr>
            <w:r w:rsidRPr="000203E1">
              <w:rPr>
                <w:bCs/>
                <w:lang w:eastAsia="lt-LT"/>
              </w:rPr>
              <w:t xml:space="preserve">Registracijos data </w:t>
            </w:r>
          </w:p>
          <w:p w14:paraId="5B3FBE32" w14:textId="77777777" w:rsidR="00E959C9" w:rsidRPr="000203E1" w:rsidRDefault="00E959C9" w:rsidP="00A843C9">
            <w:pPr>
              <w:rPr>
                <w:bCs/>
                <w:lang w:eastAsia="lt-LT"/>
              </w:rPr>
            </w:pPr>
          </w:p>
        </w:tc>
        <w:tc>
          <w:tcPr>
            <w:tcW w:w="5167" w:type="dxa"/>
          </w:tcPr>
          <w:p w14:paraId="37705B9B" w14:textId="2E5459D1" w:rsidR="00E959C9" w:rsidRPr="00E959C9" w:rsidRDefault="00F713E6" w:rsidP="00A843C9">
            <w:pPr>
              <w:rPr>
                <w:rStyle w:val="Style2"/>
                <w:sz w:val="24"/>
              </w:rPr>
            </w:pPr>
            <w:sdt>
              <w:sdtPr>
                <w:rPr>
                  <w:sz w:val="32"/>
                  <w:shd w:val="clear" w:color="auto" w:fill="FFFFFF"/>
                  <w:lang w:eastAsia="en-GB"/>
                </w:rPr>
                <w:alias w:val="Nurodykite konkrečią dieną"/>
                <w:tag w:val="Nurodykite pradžios datą"/>
                <w:id w:val="-785663628"/>
                <w:placeholder>
                  <w:docPart w:val="432820D3A71F48418AC9E5F8B3D5D21E"/>
                </w:placeholder>
                <w15:color w:val="FFCC99"/>
                <w:date>
                  <w:dateFormat w:val="yyyy 'm.' MMMM d 'd.'"/>
                  <w:lid w:val="lt-LT"/>
                  <w:storeMappedDataAs w:val="dateTime"/>
                  <w:calendar w:val="gregorian"/>
                </w:date>
              </w:sdtPr>
              <w:sdtEndPr/>
              <w:sdtContent>
                <w:r w:rsidR="00E959C9" w:rsidRPr="00E959C9">
                  <w:rPr>
                    <w:shd w:val="clear" w:color="auto" w:fill="FFFFFF"/>
                    <w:lang w:eastAsia="en-GB"/>
                  </w:rPr>
                  <w:t>2019 m. gruodžio 16 d.</w:t>
                </w:r>
              </w:sdtContent>
            </w:sdt>
          </w:p>
        </w:tc>
      </w:tr>
      <w:tr w:rsidR="00E959C9" w:rsidRPr="000203E1" w14:paraId="2F3158FA" w14:textId="77777777" w:rsidTr="00A843C9">
        <w:trPr>
          <w:trHeight w:val="1500"/>
        </w:trPr>
        <w:tc>
          <w:tcPr>
            <w:tcW w:w="632" w:type="dxa"/>
          </w:tcPr>
          <w:p w14:paraId="3166DC29" w14:textId="77777777" w:rsidR="00E959C9" w:rsidRPr="000203E1" w:rsidRDefault="00E959C9" w:rsidP="00A843C9">
            <w:pPr>
              <w:rPr>
                <w:rFonts w:eastAsia="Arial"/>
              </w:rPr>
            </w:pPr>
            <w:r w:rsidRPr="000203E1">
              <w:rPr>
                <w:rFonts w:eastAsia="Arial"/>
              </w:rPr>
              <w:t>1.3</w:t>
            </w:r>
          </w:p>
        </w:tc>
        <w:tc>
          <w:tcPr>
            <w:tcW w:w="3694" w:type="dxa"/>
          </w:tcPr>
          <w:p w14:paraId="5218D335" w14:textId="77777777" w:rsidR="00E959C9" w:rsidRPr="000203E1" w:rsidRDefault="00E959C9" w:rsidP="00A843C9">
            <w:r w:rsidRPr="000203E1">
              <w:t xml:space="preserve">Paraiškos tipas </w:t>
            </w:r>
          </w:p>
          <w:p w14:paraId="1D6B6894" w14:textId="77777777" w:rsidR="00E959C9" w:rsidRPr="000203E1" w:rsidRDefault="00E959C9" w:rsidP="00A843C9">
            <w:r w:rsidRPr="000203E1">
              <w:t xml:space="preserve">(pagal </w:t>
            </w:r>
            <w:r w:rsidRPr="000203E1">
              <w:rPr>
                <w:shd w:val="clear" w:color="auto" w:fill="FFFFFF"/>
              </w:rPr>
              <w:t>vaistinio preparato registracijos tipą, įtvirtintą</w:t>
            </w:r>
            <w:r w:rsidRPr="000203E1">
              <w:t xml:space="preserve"> Direktyvos 2001/83/EB </w:t>
            </w:r>
            <w:proofErr w:type="spellStart"/>
            <w:r w:rsidRPr="000203E1">
              <w:t>straipsiuose</w:t>
            </w:r>
            <w:proofErr w:type="spellEnd"/>
            <w:r w:rsidRPr="000203E1">
              <w:t>)</w:t>
            </w:r>
          </w:p>
          <w:p w14:paraId="3C97C4D1" w14:textId="77777777" w:rsidR="00E959C9" w:rsidRPr="000203E1" w:rsidRDefault="00E959C9" w:rsidP="00A843C9">
            <w:pPr>
              <w:rPr>
                <w:bCs/>
                <w:lang w:eastAsia="lt-LT"/>
              </w:rPr>
            </w:pPr>
          </w:p>
        </w:tc>
        <w:tc>
          <w:tcPr>
            <w:tcW w:w="5167" w:type="dxa"/>
          </w:tcPr>
          <w:p w14:paraId="2566519B" w14:textId="4591FB32" w:rsidR="00E959C9" w:rsidRPr="000203E1" w:rsidRDefault="00F713E6" w:rsidP="00A843C9">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E959C9">
                  <w:rPr>
                    <w:rStyle w:val="Style2"/>
                    <w:rFonts w:ascii="MS Gothic" w:eastAsia="MS Gothic" w:hAnsi="MS Gothic" w:hint="eastAsia"/>
                    <w:sz w:val="22"/>
                    <w:szCs w:val="22"/>
                  </w:rPr>
                  <w:t>☒</w:t>
                </w:r>
              </w:sdtContent>
            </w:sdt>
            <w:r w:rsidR="00E959C9" w:rsidRPr="000203E1">
              <w:rPr>
                <w:sz w:val="22"/>
                <w:szCs w:val="22"/>
              </w:rPr>
              <w:t xml:space="preserve">8.3 str. (pilna byla, pagrįsta savais tyrimais) </w:t>
            </w:r>
          </w:p>
          <w:p w14:paraId="61556C51" w14:textId="77777777" w:rsidR="00E959C9" w:rsidRPr="000203E1" w:rsidRDefault="00F713E6" w:rsidP="00A843C9">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E959C9" w:rsidRPr="000203E1">
                  <w:rPr>
                    <w:rStyle w:val="Style2"/>
                    <w:rFonts w:ascii="Segoe UI Symbol" w:eastAsia="MS Gothic" w:hAnsi="Segoe UI Symbol" w:cs="Segoe UI Symbol"/>
                    <w:sz w:val="22"/>
                    <w:szCs w:val="22"/>
                  </w:rPr>
                  <w:t>☐</w:t>
                </w:r>
              </w:sdtContent>
            </w:sdt>
            <w:r w:rsidR="00E959C9" w:rsidRPr="000203E1">
              <w:rPr>
                <w:sz w:val="22"/>
                <w:szCs w:val="22"/>
              </w:rPr>
              <w:t xml:space="preserve">10 a str. (pripažintas medicininis vartojimas) </w:t>
            </w:r>
          </w:p>
          <w:p w14:paraId="2529446E" w14:textId="77777777" w:rsidR="00E959C9" w:rsidRPr="000203E1" w:rsidRDefault="00F713E6" w:rsidP="00A843C9">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E959C9" w:rsidRPr="000203E1">
                  <w:rPr>
                    <w:rStyle w:val="Style2"/>
                    <w:rFonts w:ascii="Segoe UI Symbol" w:eastAsia="MS Gothic" w:hAnsi="Segoe UI Symbol" w:cs="Segoe UI Symbol"/>
                    <w:sz w:val="22"/>
                    <w:szCs w:val="22"/>
                  </w:rPr>
                  <w:t>☐</w:t>
                </w:r>
              </w:sdtContent>
            </w:sdt>
            <w:r w:rsidR="00E959C9" w:rsidRPr="000203E1">
              <w:rPr>
                <w:sz w:val="22"/>
                <w:szCs w:val="22"/>
              </w:rPr>
              <w:t>10.1 str. (</w:t>
            </w:r>
            <w:proofErr w:type="spellStart"/>
            <w:r w:rsidR="00E959C9" w:rsidRPr="000203E1">
              <w:rPr>
                <w:sz w:val="22"/>
                <w:szCs w:val="22"/>
              </w:rPr>
              <w:t>generinis</w:t>
            </w:r>
            <w:proofErr w:type="spellEnd"/>
            <w:r w:rsidR="00E959C9" w:rsidRPr="000203E1">
              <w:rPr>
                <w:sz w:val="22"/>
                <w:szCs w:val="22"/>
              </w:rPr>
              <w:t>)</w:t>
            </w:r>
          </w:p>
          <w:p w14:paraId="3B33041B" w14:textId="77777777" w:rsidR="00E959C9" w:rsidRPr="000203E1" w:rsidRDefault="00F713E6" w:rsidP="00A843C9">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E959C9" w:rsidRPr="000203E1">
                  <w:rPr>
                    <w:rStyle w:val="Style2"/>
                    <w:rFonts w:ascii="Segoe UI Symbol" w:eastAsia="MS Gothic" w:hAnsi="Segoe UI Symbol" w:cs="Segoe UI Symbol"/>
                    <w:sz w:val="22"/>
                    <w:szCs w:val="22"/>
                  </w:rPr>
                  <w:t>☐</w:t>
                </w:r>
              </w:sdtContent>
            </w:sdt>
            <w:r w:rsidR="00E959C9" w:rsidRPr="000203E1">
              <w:rPr>
                <w:sz w:val="22"/>
                <w:szCs w:val="22"/>
              </w:rPr>
              <w:t>10.3 str. (hibridinis)</w:t>
            </w:r>
          </w:p>
        </w:tc>
      </w:tr>
      <w:tr w:rsidR="00E959C9" w:rsidRPr="000203E1" w14:paraId="292A21A5" w14:textId="77777777" w:rsidTr="00A843C9">
        <w:trPr>
          <w:trHeight w:val="1442"/>
        </w:trPr>
        <w:tc>
          <w:tcPr>
            <w:tcW w:w="632" w:type="dxa"/>
          </w:tcPr>
          <w:p w14:paraId="132F2825" w14:textId="77777777" w:rsidR="00E959C9" w:rsidRPr="000203E1" w:rsidRDefault="00E959C9" w:rsidP="00A843C9">
            <w:pPr>
              <w:rPr>
                <w:rFonts w:eastAsia="Arial"/>
              </w:rPr>
            </w:pPr>
            <w:r w:rsidRPr="000203E1">
              <w:rPr>
                <w:rFonts w:eastAsia="Arial"/>
              </w:rPr>
              <w:t>1.4</w:t>
            </w:r>
          </w:p>
        </w:tc>
        <w:tc>
          <w:tcPr>
            <w:tcW w:w="3694" w:type="dxa"/>
          </w:tcPr>
          <w:p w14:paraId="1323C532" w14:textId="77777777" w:rsidR="00E959C9" w:rsidRPr="000203E1" w:rsidRDefault="00E959C9" w:rsidP="00A843C9">
            <w:pPr>
              <w:rPr>
                <w:bCs/>
                <w:lang w:eastAsia="lt-LT"/>
              </w:rPr>
            </w:pPr>
            <w:r w:rsidRPr="000203E1">
              <w:rPr>
                <w:bCs/>
                <w:lang w:eastAsia="lt-LT"/>
              </w:rPr>
              <w:t xml:space="preserve">Ar vaistinis preparatas įrašytas į Bendrijos retųjų vaistinių preparatų registrą? </w:t>
            </w:r>
          </w:p>
          <w:p w14:paraId="5E50DA04" w14:textId="77777777" w:rsidR="00E959C9" w:rsidRPr="000203E1" w:rsidRDefault="00E959C9" w:rsidP="00A843C9">
            <w:pPr>
              <w:rPr>
                <w:bCs/>
                <w:i/>
                <w:lang w:eastAsia="lt-LT"/>
              </w:rPr>
            </w:pPr>
          </w:p>
          <w:p w14:paraId="5EC8B6E6" w14:textId="77777777" w:rsidR="00E959C9" w:rsidRPr="000203E1" w:rsidRDefault="00E959C9" w:rsidP="00A843C9">
            <w:pPr>
              <w:rPr>
                <w:bCs/>
                <w:lang w:eastAsia="lt-LT"/>
              </w:rPr>
            </w:pPr>
            <w:r w:rsidRPr="000203E1">
              <w:rPr>
                <w:bCs/>
                <w:i/>
                <w:sz w:val="20"/>
                <w:lang w:eastAsia="lt-LT"/>
              </w:rPr>
              <w:t>Jei taip, nurodykite įrašymo datą ir numerį</w:t>
            </w:r>
          </w:p>
        </w:tc>
        <w:tc>
          <w:tcPr>
            <w:tcW w:w="5167" w:type="dxa"/>
          </w:tcPr>
          <w:p w14:paraId="551D8187" w14:textId="77777777" w:rsidR="00E959C9" w:rsidRPr="000203E1" w:rsidRDefault="00F713E6" w:rsidP="00A843C9">
            <w:sdt>
              <w:sdtPr>
                <w:rPr>
                  <w:rStyle w:val="Style2"/>
                  <w:sz w:val="24"/>
                </w:rPr>
                <w:id w:val="-182826855"/>
                <w15:color w:val="FFCC00"/>
                <w14:checkbox>
                  <w14:checked w14:val="0"/>
                  <w14:checkedState w14:val="2612" w14:font="MS Gothic"/>
                  <w14:uncheckedState w14:val="2610" w14:font="MS Gothic"/>
                </w14:checkbox>
              </w:sdtPr>
              <w:sdtEndPr>
                <w:rPr>
                  <w:rStyle w:val="Style2"/>
                </w:rPr>
              </w:sdtEndPr>
              <w:sdtContent>
                <w:r w:rsidR="00E959C9" w:rsidRPr="000203E1">
                  <w:rPr>
                    <w:rStyle w:val="Style2"/>
                    <w:rFonts w:ascii="MS Gothic" w:eastAsia="MS Gothic" w:hAnsi="MS Gothic" w:hint="eastAsia"/>
                    <w:sz w:val="24"/>
                  </w:rPr>
                  <w:t>☐</w:t>
                </w:r>
              </w:sdtContent>
            </w:sdt>
            <w:r w:rsidR="00E959C9" w:rsidRPr="000203E1">
              <w:t xml:space="preserve"> Taip</w:t>
            </w:r>
          </w:p>
          <w:p w14:paraId="67FEE810" w14:textId="1808AC5D" w:rsidR="00E959C9" w:rsidRPr="000203E1" w:rsidRDefault="00F713E6" w:rsidP="00A843C9">
            <w:sdt>
              <w:sdtPr>
                <w:rPr>
                  <w:rStyle w:val="Style2"/>
                  <w:sz w:val="24"/>
                </w:rPr>
                <w:id w:val="1712300014"/>
                <w15:color w:val="FFCC00"/>
                <w14:checkbox>
                  <w14:checked w14:val="1"/>
                  <w14:checkedState w14:val="2612" w14:font="MS Gothic"/>
                  <w14:uncheckedState w14:val="2610" w14:font="MS Gothic"/>
                </w14:checkbox>
              </w:sdtPr>
              <w:sdtEndPr>
                <w:rPr>
                  <w:rStyle w:val="Style2"/>
                </w:rPr>
              </w:sdtEndPr>
              <w:sdtContent>
                <w:r w:rsidR="00E959C9">
                  <w:rPr>
                    <w:rStyle w:val="Style2"/>
                    <w:rFonts w:ascii="MS Gothic" w:eastAsia="MS Gothic" w:hAnsi="MS Gothic" w:hint="eastAsia"/>
                    <w:sz w:val="24"/>
                  </w:rPr>
                  <w:t>☒</w:t>
                </w:r>
              </w:sdtContent>
            </w:sdt>
            <w:r w:rsidR="00E959C9" w:rsidRPr="000203E1">
              <w:t xml:space="preserve"> Ne</w:t>
            </w:r>
          </w:p>
          <w:p w14:paraId="3919ADB7" w14:textId="705F1C6D" w:rsidR="00E959C9" w:rsidRPr="000203E1" w:rsidRDefault="00E959C9" w:rsidP="00E959C9">
            <w:pPr>
              <w:rPr>
                <w:rFonts w:eastAsia="Arial"/>
              </w:rPr>
            </w:pPr>
          </w:p>
        </w:tc>
      </w:tr>
      <w:tr w:rsidR="00E959C9" w:rsidRPr="000203E1" w14:paraId="48794605" w14:textId="77777777" w:rsidTr="00A843C9">
        <w:trPr>
          <w:trHeight w:val="476"/>
        </w:trPr>
        <w:tc>
          <w:tcPr>
            <w:tcW w:w="632" w:type="dxa"/>
          </w:tcPr>
          <w:p w14:paraId="50597A73" w14:textId="77777777" w:rsidR="00E959C9" w:rsidRPr="000203E1" w:rsidRDefault="00E959C9" w:rsidP="00A843C9">
            <w:pPr>
              <w:rPr>
                <w:rFonts w:eastAsia="Arial"/>
              </w:rPr>
            </w:pPr>
            <w:r w:rsidRPr="000203E1">
              <w:rPr>
                <w:rFonts w:eastAsia="Arial"/>
              </w:rPr>
              <w:t>1.5</w:t>
            </w:r>
          </w:p>
        </w:tc>
        <w:tc>
          <w:tcPr>
            <w:tcW w:w="3694" w:type="dxa"/>
          </w:tcPr>
          <w:p w14:paraId="13BB80DF" w14:textId="77777777" w:rsidR="00E959C9" w:rsidRPr="000203E1" w:rsidRDefault="00E959C9" w:rsidP="00A843C9">
            <w:pPr>
              <w:rPr>
                <w:bCs/>
                <w:lang w:eastAsia="lt-LT"/>
              </w:rPr>
            </w:pPr>
            <w:r w:rsidRPr="000203E1">
              <w:t>STV paraiškos pobūdis</w:t>
            </w:r>
          </w:p>
        </w:tc>
        <w:tc>
          <w:tcPr>
            <w:tcW w:w="5167" w:type="dxa"/>
          </w:tcPr>
          <w:p w14:paraId="1B4B9E7D" w14:textId="5AB32190" w:rsidR="00E959C9" w:rsidRPr="000203E1" w:rsidRDefault="00F713E6" w:rsidP="00A843C9">
            <w:sdt>
              <w:sdtPr>
                <w:rPr>
                  <w:rStyle w:val="Style2"/>
                  <w:sz w:val="24"/>
                </w:rPr>
                <w:id w:val="-888955962"/>
                <w15:color w:val="FFCC00"/>
                <w14:checkbox>
                  <w14:checked w14:val="1"/>
                  <w14:checkedState w14:val="2612" w14:font="MS Gothic"/>
                  <w14:uncheckedState w14:val="2610" w14:font="MS Gothic"/>
                </w14:checkbox>
              </w:sdtPr>
              <w:sdtEndPr>
                <w:rPr>
                  <w:rStyle w:val="Style2"/>
                </w:rPr>
              </w:sdtEndPr>
              <w:sdtContent>
                <w:r w:rsidR="00F76F0A">
                  <w:rPr>
                    <w:rStyle w:val="Style2"/>
                    <w:rFonts w:ascii="MS Gothic" w:eastAsia="MS Gothic" w:hAnsi="MS Gothic" w:hint="eastAsia"/>
                    <w:sz w:val="24"/>
                  </w:rPr>
                  <w:t>☒</w:t>
                </w:r>
              </w:sdtContent>
            </w:sdt>
            <w:r w:rsidR="00E959C9" w:rsidRPr="000203E1">
              <w:t xml:space="preserve"> Pilna paraiška</w:t>
            </w:r>
          </w:p>
          <w:p w14:paraId="3F0BF315" w14:textId="77777777" w:rsidR="00E959C9" w:rsidRPr="000203E1" w:rsidRDefault="00F713E6" w:rsidP="00A843C9">
            <w:sdt>
              <w:sdtPr>
                <w:rPr>
                  <w:rStyle w:val="Style2"/>
                  <w:sz w:val="24"/>
                </w:rPr>
                <w:id w:val="1838334643"/>
                <w15:color w:val="FFCC00"/>
                <w14:checkbox>
                  <w14:checked w14:val="0"/>
                  <w14:checkedState w14:val="2612" w14:font="MS Gothic"/>
                  <w14:uncheckedState w14:val="2610" w14:font="MS Gothic"/>
                </w14:checkbox>
              </w:sdtPr>
              <w:sdtEndPr>
                <w:rPr>
                  <w:rStyle w:val="Style2"/>
                </w:rPr>
              </w:sdtEndPr>
              <w:sdtContent>
                <w:r w:rsidR="00E959C9" w:rsidRPr="000203E1">
                  <w:rPr>
                    <w:rStyle w:val="Style2"/>
                    <w:rFonts w:ascii="MS Gothic" w:eastAsia="MS Gothic" w:hAnsi="MS Gothic" w:hint="eastAsia"/>
                    <w:sz w:val="24"/>
                  </w:rPr>
                  <w:t>☐</w:t>
                </w:r>
              </w:sdtContent>
            </w:sdt>
            <w:r w:rsidR="00E959C9" w:rsidRPr="000203E1">
              <w:t xml:space="preserve"> Supaprastinta paraiška</w:t>
            </w:r>
          </w:p>
        </w:tc>
      </w:tr>
      <w:tr w:rsidR="00E959C9" w:rsidRPr="000203E1" w14:paraId="13B63604" w14:textId="77777777" w:rsidTr="00A843C9">
        <w:trPr>
          <w:trHeight w:val="1922"/>
        </w:trPr>
        <w:tc>
          <w:tcPr>
            <w:tcW w:w="632" w:type="dxa"/>
          </w:tcPr>
          <w:p w14:paraId="6F7FFC0A" w14:textId="77777777" w:rsidR="00E959C9" w:rsidRPr="000203E1" w:rsidRDefault="00E959C9" w:rsidP="00A843C9">
            <w:pPr>
              <w:rPr>
                <w:rFonts w:eastAsia="Arial"/>
              </w:rPr>
            </w:pPr>
            <w:r w:rsidRPr="000203E1">
              <w:rPr>
                <w:rFonts w:eastAsia="Arial"/>
              </w:rPr>
              <w:t>1.6</w:t>
            </w:r>
          </w:p>
        </w:tc>
        <w:tc>
          <w:tcPr>
            <w:tcW w:w="3694" w:type="dxa"/>
          </w:tcPr>
          <w:p w14:paraId="1BF4FDC0" w14:textId="77777777" w:rsidR="00E959C9" w:rsidRPr="000203E1" w:rsidRDefault="00E959C9" w:rsidP="00A843C9">
            <w:pPr>
              <w:rPr>
                <w:bCs/>
                <w:lang w:eastAsia="lt-LT"/>
              </w:rPr>
            </w:pPr>
            <w:r w:rsidRPr="000203E1">
              <w:rPr>
                <w:bCs/>
                <w:lang w:eastAsia="lt-LT"/>
              </w:rPr>
              <w:t>Pareiškėjo teikiama (-</w:t>
            </w:r>
            <w:proofErr w:type="spellStart"/>
            <w:r w:rsidRPr="000203E1">
              <w:rPr>
                <w:bCs/>
                <w:lang w:eastAsia="lt-LT"/>
              </w:rPr>
              <w:t>os</w:t>
            </w:r>
            <w:proofErr w:type="spellEnd"/>
            <w:r w:rsidRPr="000203E1">
              <w:rPr>
                <w:bCs/>
                <w:lang w:eastAsia="lt-LT"/>
              </w:rPr>
              <w:t>) kompensuoti vaistinio preparato indikacija (-</w:t>
            </w:r>
            <w:proofErr w:type="spellStart"/>
            <w:r w:rsidRPr="000203E1">
              <w:rPr>
                <w:bCs/>
                <w:lang w:eastAsia="lt-LT"/>
              </w:rPr>
              <w:t>os</w:t>
            </w:r>
            <w:proofErr w:type="spellEnd"/>
            <w:r w:rsidRPr="000203E1">
              <w:rPr>
                <w:bCs/>
                <w:lang w:eastAsia="lt-LT"/>
              </w:rPr>
              <w:t>)</w:t>
            </w:r>
          </w:p>
          <w:p w14:paraId="20B77ACE" w14:textId="77777777" w:rsidR="00E959C9" w:rsidRPr="000203E1" w:rsidRDefault="00E959C9" w:rsidP="00A843C9">
            <w:pPr>
              <w:rPr>
                <w:bCs/>
                <w:lang w:eastAsia="lt-LT"/>
              </w:rPr>
            </w:pPr>
            <w:r w:rsidRPr="000203E1">
              <w:rPr>
                <w:bCs/>
                <w:lang w:eastAsia="lt-LT"/>
              </w:rPr>
              <w:t>Kodas pagal TLK-10 AM</w:t>
            </w:r>
          </w:p>
        </w:tc>
        <w:tc>
          <w:tcPr>
            <w:tcW w:w="5167" w:type="dxa"/>
          </w:tcPr>
          <w:p w14:paraId="70E4C714" w14:textId="765F93BE" w:rsidR="00E959C9" w:rsidRPr="000203E1" w:rsidRDefault="00E959C9" w:rsidP="00E959C9">
            <w:pPr>
              <w:jc w:val="both"/>
            </w:pPr>
            <w:r w:rsidRPr="00E959C9">
              <w:t>RINVOQ yra skiriamas suaugusiems pacientams aktyviam psoriaziniam artritui gydyti, jeigu atsakas į gydymą vienu ar daugiau LMVR buvo nepakankamas, arba kai pacientas vieno ar daugiau pastarųjų vaistinių preparatų netoleruoja. RINVOQ gali būti vartojamas vienas arba derinyje su metotreksatu; TLK-10 AM M07.</w:t>
            </w:r>
          </w:p>
        </w:tc>
      </w:tr>
      <w:tr w:rsidR="00E959C9" w:rsidRPr="000203E1" w14:paraId="50305756" w14:textId="77777777" w:rsidTr="00A843C9">
        <w:trPr>
          <w:trHeight w:val="378"/>
        </w:trPr>
        <w:tc>
          <w:tcPr>
            <w:tcW w:w="632" w:type="dxa"/>
          </w:tcPr>
          <w:p w14:paraId="5042F2B9" w14:textId="77777777" w:rsidR="00E959C9" w:rsidRPr="000203E1" w:rsidRDefault="00E959C9" w:rsidP="00A843C9">
            <w:pPr>
              <w:rPr>
                <w:rFonts w:eastAsia="Arial"/>
              </w:rPr>
            </w:pPr>
            <w:r w:rsidRPr="000203E1">
              <w:rPr>
                <w:rFonts w:eastAsia="Arial"/>
              </w:rPr>
              <w:t>1.</w:t>
            </w:r>
            <w:r>
              <w:rPr>
                <w:rFonts w:eastAsia="Arial"/>
              </w:rPr>
              <w:t>7</w:t>
            </w:r>
          </w:p>
        </w:tc>
        <w:tc>
          <w:tcPr>
            <w:tcW w:w="3694" w:type="dxa"/>
          </w:tcPr>
          <w:p w14:paraId="336670AF" w14:textId="77777777" w:rsidR="00E959C9" w:rsidRPr="000203E1" w:rsidRDefault="00E959C9" w:rsidP="00A843C9">
            <w:pPr>
              <w:rPr>
                <w:bCs/>
                <w:u w:val="single"/>
                <w:lang w:eastAsia="lt-LT"/>
              </w:rPr>
            </w:pPr>
            <w:r w:rsidRPr="000203E1">
              <w:rPr>
                <w:bCs/>
                <w:lang w:eastAsia="lt-LT"/>
              </w:rPr>
              <w:t xml:space="preserve">Pareiškėjo teikiamos skyrimo sąlygos </w:t>
            </w:r>
          </w:p>
        </w:tc>
        <w:tc>
          <w:tcPr>
            <w:tcW w:w="5167" w:type="dxa"/>
          </w:tcPr>
          <w:p w14:paraId="7BFDBC5E" w14:textId="20BACE61" w:rsidR="00E959C9" w:rsidRPr="000203E1" w:rsidRDefault="00E959C9" w:rsidP="00E959C9">
            <w:pPr>
              <w:jc w:val="both"/>
            </w:pPr>
            <w:proofErr w:type="spellStart"/>
            <w:r w:rsidRPr="00E959C9">
              <w:t>Rinvoq</w:t>
            </w:r>
            <w:proofErr w:type="spellEnd"/>
            <w:r w:rsidRPr="00E959C9">
              <w:t xml:space="preserve"> vienas arba derinyje su metotreksatu skiriamas jei gydant vienu ar daugiau biologinių ligą modifikuojančių vaistinių preparatų (</w:t>
            </w:r>
            <w:proofErr w:type="spellStart"/>
            <w:r w:rsidRPr="00E959C9">
              <w:t>bLMV</w:t>
            </w:r>
            <w:proofErr w:type="spellEnd"/>
            <w:r w:rsidRPr="00E959C9">
              <w:t xml:space="preserve">)  </w:t>
            </w:r>
            <w:r w:rsidRPr="00E959C9">
              <w:lastRenderedPageBreak/>
              <w:t>gydymo tikslas nepasiekiamas per 6 mėnesius ar 3 mėnesius nuo gydymo pradžios nėra gydymo efekto, ar pastebimas ligos pablogėjimas.</w:t>
            </w:r>
          </w:p>
        </w:tc>
      </w:tr>
      <w:tr w:rsidR="00E959C9" w:rsidRPr="000203E1" w14:paraId="49669AD2" w14:textId="77777777" w:rsidTr="00A843C9">
        <w:trPr>
          <w:trHeight w:val="378"/>
        </w:trPr>
        <w:tc>
          <w:tcPr>
            <w:tcW w:w="632" w:type="dxa"/>
          </w:tcPr>
          <w:p w14:paraId="69935B60" w14:textId="77777777" w:rsidR="00E959C9" w:rsidRPr="000203E1" w:rsidRDefault="00E959C9" w:rsidP="00A843C9">
            <w:pPr>
              <w:rPr>
                <w:rFonts w:eastAsia="Arial"/>
              </w:rPr>
            </w:pPr>
            <w:r w:rsidRPr="000203E1">
              <w:rPr>
                <w:rFonts w:eastAsia="Arial"/>
              </w:rPr>
              <w:lastRenderedPageBreak/>
              <w:t>1.</w:t>
            </w:r>
            <w:r>
              <w:rPr>
                <w:rFonts w:eastAsia="Arial"/>
              </w:rPr>
              <w:t>8</w:t>
            </w:r>
          </w:p>
        </w:tc>
        <w:tc>
          <w:tcPr>
            <w:tcW w:w="3694" w:type="dxa"/>
          </w:tcPr>
          <w:p w14:paraId="5525699C" w14:textId="7F42CD44" w:rsidR="00E959C9" w:rsidRDefault="00E959C9" w:rsidP="00A843C9">
            <w:pPr>
              <w:rPr>
                <w:bCs/>
                <w:lang w:eastAsia="lt-LT"/>
              </w:rPr>
            </w:pPr>
            <w:r w:rsidRPr="000203E1">
              <w:rPr>
                <w:bCs/>
                <w:lang w:eastAsia="lt-LT"/>
              </w:rPr>
              <w:t xml:space="preserve">Pareiškėjo teikiamas palyginamasis gydymas </w:t>
            </w:r>
          </w:p>
          <w:p w14:paraId="0392301D" w14:textId="0EF89BB5" w:rsidR="00F76F0A" w:rsidRDefault="00F76F0A" w:rsidP="00A843C9">
            <w:pPr>
              <w:rPr>
                <w:bCs/>
                <w:lang w:eastAsia="lt-LT"/>
              </w:rPr>
            </w:pPr>
          </w:p>
          <w:p w14:paraId="6911D5F3" w14:textId="77777777" w:rsidR="00F76F0A" w:rsidRPr="000203E1" w:rsidRDefault="00F76F0A" w:rsidP="00F76F0A">
            <w:pPr>
              <w:rPr>
                <w:bCs/>
                <w:lang w:eastAsia="lt-LT"/>
              </w:rPr>
            </w:pPr>
            <w:r>
              <w:rPr>
                <w:bCs/>
                <w:lang w:eastAsia="lt-LT"/>
              </w:rPr>
              <w:t xml:space="preserve">Tiesioginiame palyginime – su </w:t>
            </w:r>
            <w:proofErr w:type="spellStart"/>
            <w:r>
              <w:rPr>
                <w:bCs/>
                <w:lang w:eastAsia="lt-LT"/>
              </w:rPr>
              <w:t>placebu</w:t>
            </w:r>
            <w:proofErr w:type="spellEnd"/>
          </w:p>
          <w:p w14:paraId="6C49BEBD" w14:textId="77777777" w:rsidR="00F76F0A" w:rsidRPr="000203E1" w:rsidRDefault="00F76F0A" w:rsidP="00F76F0A">
            <w:pPr>
              <w:rPr>
                <w:bCs/>
                <w:lang w:eastAsia="lt-LT"/>
              </w:rPr>
            </w:pPr>
          </w:p>
          <w:p w14:paraId="294B24EF" w14:textId="64388F80" w:rsidR="00E959C9" w:rsidRPr="000203E1" w:rsidRDefault="00F76F0A" w:rsidP="00A843C9">
            <w:pPr>
              <w:rPr>
                <w:bCs/>
                <w:lang w:eastAsia="lt-LT"/>
              </w:rPr>
            </w:pPr>
            <w:r>
              <w:rPr>
                <w:bCs/>
                <w:lang w:eastAsia="lt-LT"/>
              </w:rPr>
              <w:t xml:space="preserve">Netiesioginiame palyginime – su </w:t>
            </w:r>
            <w:proofErr w:type="spellStart"/>
            <w:r>
              <w:rPr>
                <w:bCs/>
                <w:lang w:eastAsia="lt-LT"/>
              </w:rPr>
              <w:t>sekukinumabu</w:t>
            </w:r>
            <w:proofErr w:type="spellEnd"/>
            <w:r>
              <w:rPr>
                <w:bCs/>
                <w:lang w:eastAsia="lt-LT"/>
              </w:rPr>
              <w:t xml:space="preserve"> ir </w:t>
            </w:r>
            <w:proofErr w:type="spellStart"/>
            <w:r>
              <w:rPr>
                <w:bCs/>
                <w:lang w:eastAsia="lt-LT"/>
              </w:rPr>
              <w:t>ustekinumabu</w:t>
            </w:r>
            <w:proofErr w:type="spellEnd"/>
          </w:p>
          <w:p w14:paraId="42D4AF14" w14:textId="77777777" w:rsidR="00E959C9" w:rsidRPr="000203E1" w:rsidRDefault="00E959C9" w:rsidP="00A843C9">
            <w:pPr>
              <w:rPr>
                <w:bCs/>
                <w:lang w:eastAsia="lt-LT"/>
              </w:rPr>
            </w:pPr>
          </w:p>
        </w:tc>
        <w:tc>
          <w:tcPr>
            <w:tcW w:w="5167" w:type="dxa"/>
          </w:tcPr>
          <w:p w14:paraId="5A2635B6" w14:textId="77777777" w:rsidR="00E959C9" w:rsidRDefault="00E959C9" w:rsidP="00A843C9">
            <w:pPr>
              <w:rPr>
                <w:rStyle w:val="Style2"/>
                <w:rFonts w:ascii="MS Gothic" w:eastAsia="MS Gothic" w:hAnsi="MS Gothic"/>
              </w:rPr>
            </w:pPr>
          </w:p>
          <w:p w14:paraId="07C054BE" w14:textId="77777777" w:rsidR="00F76F0A" w:rsidRDefault="00F76F0A" w:rsidP="00A843C9">
            <w:pPr>
              <w:rPr>
                <w:rStyle w:val="Style2"/>
                <w:rFonts w:ascii="MS Gothic" w:eastAsia="MS Gothic" w:hAnsi="MS Gothic"/>
              </w:rPr>
            </w:pPr>
          </w:p>
          <w:p w14:paraId="2F109A9F" w14:textId="77777777" w:rsidR="00F76F0A" w:rsidRPr="000203E1" w:rsidRDefault="00F713E6" w:rsidP="00F76F0A">
            <w:sdt>
              <w:sdtPr>
                <w:rPr>
                  <w:rStyle w:val="Style2"/>
                  <w:sz w:val="24"/>
                </w:rPr>
                <w:id w:val="1480955706"/>
                <w15:color w:val="FFCC00"/>
                <w14:checkbox>
                  <w14:checked w14:val="0"/>
                  <w14:checkedState w14:val="2612" w14:font="MS Gothic"/>
                  <w14:uncheckedState w14:val="2610" w14:font="MS Gothic"/>
                </w14:checkbox>
              </w:sdtPr>
              <w:sdtEndPr>
                <w:rPr>
                  <w:rStyle w:val="Style2"/>
                </w:rPr>
              </w:sdtEndPr>
              <w:sdtContent>
                <w:r w:rsidR="00F76F0A">
                  <w:rPr>
                    <w:rStyle w:val="Style2"/>
                    <w:rFonts w:ascii="MS Gothic" w:eastAsia="MS Gothic" w:hAnsi="MS Gothic" w:hint="eastAsia"/>
                    <w:sz w:val="24"/>
                  </w:rPr>
                  <w:t>☐</w:t>
                </w:r>
              </w:sdtContent>
            </w:sdt>
            <w:r w:rsidR="00F76F0A" w:rsidRPr="000203E1">
              <w:t xml:space="preserve"> Tinkamas</w:t>
            </w:r>
          </w:p>
          <w:p w14:paraId="2B088B72" w14:textId="77777777" w:rsidR="00F76F0A" w:rsidRDefault="00F713E6" w:rsidP="00F76F0A">
            <w:sdt>
              <w:sdtPr>
                <w:rPr>
                  <w:rStyle w:val="Style2"/>
                  <w:sz w:val="24"/>
                </w:rPr>
                <w:id w:val="-352420698"/>
                <w15:color w:val="FFCC00"/>
                <w14:checkbox>
                  <w14:checked w14:val="1"/>
                  <w14:checkedState w14:val="2612" w14:font="MS Gothic"/>
                  <w14:uncheckedState w14:val="2610" w14:font="MS Gothic"/>
                </w14:checkbox>
              </w:sdtPr>
              <w:sdtEndPr>
                <w:rPr>
                  <w:rStyle w:val="Style2"/>
                </w:rPr>
              </w:sdtEndPr>
              <w:sdtContent>
                <w:r w:rsidR="00F76F0A">
                  <w:rPr>
                    <w:rStyle w:val="Style2"/>
                    <w:rFonts w:ascii="MS Gothic" w:eastAsia="MS Gothic" w:hAnsi="MS Gothic" w:hint="eastAsia"/>
                    <w:sz w:val="24"/>
                  </w:rPr>
                  <w:t>☒</w:t>
                </w:r>
              </w:sdtContent>
            </w:sdt>
            <w:r w:rsidR="00F76F0A" w:rsidRPr="000203E1">
              <w:t xml:space="preserve"> Netinkama</w:t>
            </w:r>
          </w:p>
          <w:p w14:paraId="01DA6B69" w14:textId="77777777" w:rsidR="00F76F0A" w:rsidRDefault="00F76F0A" w:rsidP="00F76F0A"/>
          <w:p w14:paraId="33574A33" w14:textId="77777777" w:rsidR="00F76F0A" w:rsidRPr="000203E1" w:rsidRDefault="00F713E6" w:rsidP="00F76F0A">
            <w:sdt>
              <w:sdtPr>
                <w:rPr>
                  <w:rStyle w:val="Style2"/>
                  <w:sz w:val="24"/>
                </w:rPr>
                <w:id w:val="1628585367"/>
                <w15:color w:val="FFCC00"/>
                <w14:checkbox>
                  <w14:checked w14:val="1"/>
                  <w14:checkedState w14:val="2612" w14:font="MS Gothic"/>
                  <w14:uncheckedState w14:val="2610" w14:font="MS Gothic"/>
                </w14:checkbox>
              </w:sdtPr>
              <w:sdtEndPr>
                <w:rPr>
                  <w:rStyle w:val="Style2"/>
                </w:rPr>
              </w:sdtEndPr>
              <w:sdtContent>
                <w:r w:rsidR="00F76F0A">
                  <w:rPr>
                    <w:rStyle w:val="Style2"/>
                    <w:rFonts w:ascii="MS Gothic" w:eastAsia="MS Gothic" w:hAnsi="MS Gothic" w:hint="eastAsia"/>
                    <w:sz w:val="24"/>
                  </w:rPr>
                  <w:t>☒</w:t>
                </w:r>
              </w:sdtContent>
            </w:sdt>
            <w:r w:rsidR="00F76F0A" w:rsidRPr="000203E1">
              <w:t xml:space="preserve"> Tinkamas</w:t>
            </w:r>
          </w:p>
          <w:p w14:paraId="5941B917" w14:textId="36C66311" w:rsidR="00F76F0A" w:rsidRPr="000203E1" w:rsidRDefault="00F713E6" w:rsidP="00F76F0A">
            <w:sdt>
              <w:sdtPr>
                <w:rPr>
                  <w:rStyle w:val="Style2"/>
                  <w:sz w:val="24"/>
                </w:rPr>
                <w:id w:val="642861802"/>
                <w15:color w:val="FFCC00"/>
                <w14:checkbox>
                  <w14:checked w14:val="0"/>
                  <w14:checkedState w14:val="2612" w14:font="MS Gothic"/>
                  <w14:uncheckedState w14:val="2610" w14:font="MS Gothic"/>
                </w14:checkbox>
              </w:sdtPr>
              <w:sdtEndPr>
                <w:rPr>
                  <w:rStyle w:val="Style2"/>
                </w:rPr>
              </w:sdtEndPr>
              <w:sdtContent>
                <w:r w:rsidR="00F76F0A">
                  <w:rPr>
                    <w:rStyle w:val="Style2"/>
                    <w:rFonts w:ascii="MS Gothic" w:eastAsia="MS Gothic" w:hAnsi="MS Gothic" w:hint="eastAsia"/>
                    <w:sz w:val="24"/>
                  </w:rPr>
                  <w:t>☐</w:t>
                </w:r>
              </w:sdtContent>
            </w:sdt>
            <w:r w:rsidR="00F76F0A" w:rsidRPr="000203E1">
              <w:t xml:space="preserve"> Netinkama</w:t>
            </w:r>
          </w:p>
        </w:tc>
      </w:tr>
    </w:tbl>
    <w:p w14:paraId="108176F7" w14:textId="652D51CA" w:rsidR="00F70C9E" w:rsidRDefault="00F70C9E" w:rsidP="00E03C3F">
      <w:pPr>
        <w:pStyle w:val="ListParagraph"/>
        <w:tabs>
          <w:tab w:val="left" w:pos="426"/>
        </w:tabs>
        <w:ind w:left="0"/>
        <w:rPr>
          <w:b/>
          <w:bCs/>
          <w:caps/>
        </w:rPr>
      </w:pPr>
    </w:p>
    <w:p w14:paraId="2871CA7F" w14:textId="332521DB" w:rsidR="00F70C9E" w:rsidRPr="00177C8C" w:rsidRDefault="00F70C9E" w:rsidP="00880A44">
      <w:pPr>
        <w:spacing w:line="276" w:lineRule="auto"/>
        <w:jc w:val="both"/>
        <w:rPr>
          <w:rFonts w:eastAsia="Arial"/>
          <w:b/>
        </w:rPr>
      </w:pPr>
      <w:r w:rsidRPr="00177C8C">
        <w:rPr>
          <w:rFonts w:eastAsia="Arial"/>
          <w:b/>
        </w:rPr>
        <w:t>1.</w:t>
      </w:r>
      <w:r w:rsidR="00E959C9">
        <w:rPr>
          <w:rFonts w:eastAsia="Arial"/>
          <w:b/>
        </w:rPr>
        <w:t>9</w:t>
      </w:r>
      <w:r w:rsidRPr="00177C8C">
        <w:rPr>
          <w:rFonts w:eastAsia="Arial"/>
          <w:b/>
        </w:rPr>
        <w:t xml:space="preserve"> Kitų </w:t>
      </w:r>
      <w:r w:rsidR="00DF583C">
        <w:rPr>
          <w:rFonts w:eastAsia="Arial"/>
          <w:b/>
        </w:rPr>
        <w:t xml:space="preserve">valstybių </w:t>
      </w:r>
      <w:r>
        <w:rPr>
          <w:rFonts w:eastAsia="Arial"/>
          <w:b/>
        </w:rPr>
        <w:t xml:space="preserve">atsakingų institucijų atlikto </w:t>
      </w:r>
      <w:r w:rsidR="00DF583C">
        <w:rPr>
          <w:rFonts w:eastAsia="Arial"/>
          <w:b/>
        </w:rPr>
        <w:t>Sveikatos technologijų vertinimo (toliau – STV)</w:t>
      </w:r>
      <w:r w:rsidRPr="00177C8C">
        <w:rPr>
          <w:rFonts w:eastAsia="Arial"/>
          <w:b/>
        </w:rPr>
        <w:t xml:space="preserve"> išvados</w:t>
      </w:r>
    </w:p>
    <w:p w14:paraId="30721FDD" w14:textId="77777777" w:rsidR="00F70C9E" w:rsidRDefault="00F70C9E" w:rsidP="00F70C9E">
      <w:pPr>
        <w:spacing w:line="276" w:lineRule="auto"/>
        <w:rPr>
          <w:rFonts w:eastAsia="Arial"/>
        </w:rPr>
      </w:pPr>
    </w:p>
    <w:tbl>
      <w:tblPr>
        <w:tblStyle w:val="TableGrid"/>
        <w:tblW w:w="9918" w:type="dxa"/>
        <w:tblLook w:val="04A0" w:firstRow="1" w:lastRow="0" w:firstColumn="1" w:lastColumn="0" w:noHBand="0" w:noVBand="1"/>
      </w:tblPr>
      <w:tblGrid>
        <w:gridCol w:w="2927"/>
        <w:gridCol w:w="1915"/>
        <w:gridCol w:w="2351"/>
        <w:gridCol w:w="2725"/>
      </w:tblGrid>
      <w:tr w:rsidR="008651E2" w:rsidRPr="00D05364" w14:paraId="68AD014C" w14:textId="77777777" w:rsidTr="00A915CD">
        <w:trPr>
          <w:trHeight w:val="924"/>
        </w:trPr>
        <w:tc>
          <w:tcPr>
            <w:tcW w:w="2927" w:type="dxa"/>
          </w:tcPr>
          <w:p w14:paraId="5BF2C8E2" w14:textId="77777777" w:rsidR="008651E2" w:rsidRPr="00D05364" w:rsidRDefault="008651E2" w:rsidP="00A915CD">
            <w:pPr>
              <w:spacing w:line="276" w:lineRule="auto"/>
              <w:rPr>
                <w:rFonts w:eastAsia="Arial"/>
              </w:rPr>
            </w:pPr>
            <w:r w:rsidRPr="00D05364">
              <w:rPr>
                <w:rFonts w:eastAsia="Arial"/>
              </w:rPr>
              <w:t>STV agentūros pavadinimas, šalis</w:t>
            </w:r>
          </w:p>
        </w:tc>
        <w:tc>
          <w:tcPr>
            <w:tcW w:w="1915" w:type="dxa"/>
          </w:tcPr>
          <w:p w14:paraId="0C11651D" w14:textId="77777777" w:rsidR="008651E2" w:rsidRPr="00D05364" w:rsidRDefault="008651E2" w:rsidP="00A915CD">
            <w:pPr>
              <w:spacing w:line="276" w:lineRule="auto"/>
              <w:rPr>
                <w:rFonts w:eastAsia="Arial"/>
              </w:rPr>
            </w:pPr>
            <w:r w:rsidRPr="00D05364">
              <w:rPr>
                <w:rFonts w:eastAsia="Arial"/>
              </w:rPr>
              <w:t>STV vertinimas atliktas</w:t>
            </w:r>
          </w:p>
        </w:tc>
        <w:tc>
          <w:tcPr>
            <w:tcW w:w="2351" w:type="dxa"/>
          </w:tcPr>
          <w:p w14:paraId="1260C94D" w14:textId="77777777" w:rsidR="008651E2" w:rsidRPr="00D05364" w:rsidRDefault="008651E2" w:rsidP="00A915CD">
            <w:pPr>
              <w:spacing w:line="276" w:lineRule="auto"/>
              <w:rPr>
                <w:rFonts w:eastAsia="Arial"/>
              </w:rPr>
            </w:pPr>
            <w:r w:rsidRPr="00D05364">
              <w:rPr>
                <w:rFonts w:eastAsia="Arial"/>
              </w:rPr>
              <w:t>Klinikinio vertinimo išvada</w:t>
            </w:r>
          </w:p>
        </w:tc>
        <w:tc>
          <w:tcPr>
            <w:tcW w:w="2725" w:type="dxa"/>
          </w:tcPr>
          <w:p w14:paraId="2617588E" w14:textId="77777777" w:rsidR="008651E2" w:rsidRPr="00D05364" w:rsidRDefault="008651E2" w:rsidP="00A915CD">
            <w:pPr>
              <w:spacing w:line="276" w:lineRule="auto"/>
              <w:rPr>
                <w:rFonts w:eastAsia="Arial"/>
              </w:rPr>
            </w:pPr>
            <w:proofErr w:type="spellStart"/>
            <w:r w:rsidRPr="00D05364">
              <w:rPr>
                <w:rFonts w:eastAsia="Arial"/>
              </w:rPr>
              <w:t>Farmakoekonominio</w:t>
            </w:r>
            <w:proofErr w:type="spellEnd"/>
            <w:r w:rsidRPr="00D05364">
              <w:rPr>
                <w:rFonts w:eastAsia="Arial"/>
              </w:rPr>
              <w:t xml:space="preserve"> vertinimo išvada</w:t>
            </w:r>
          </w:p>
        </w:tc>
      </w:tr>
      <w:tr w:rsidR="008651E2" w:rsidRPr="00D05364" w14:paraId="48832A97" w14:textId="77777777" w:rsidTr="00A915CD">
        <w:trPr>
          <w:trHeight w:val="1765"/>
        </w:trPr>
        <w:tc>
          <w:tcPr>
            <w:tcW w:w="2927" w:type="dxa"/>
          </w:tcPr>
          <w:p w14:paraId="5017A5E9" w14:textId="77777777" w:rsidR="008651E2" w:rsidRPr="00D05364" w:rsidRDefault="008651E2" w:rsidP="00A915CD">
            <w:pPr>
              <w:autoSpaceDE w:val="0"/>
              <w:autoSpaceDN w:val="0"/>
              <w:adjustRightInd w:val="0"/>
              <w:rPr>
                <w:bCs/>
              </w:rPr>
            </w:pPr>
            <w:r w:rsidRPr="00D05364">
              <w:rPr>
                <w:bCs/>
              </w:rPr>
              <w:t>Nacionalinis sveikatos ir klinikinės kompetencijos institutas, Didžioji Britanija</w:t>
            </w:r>
          </w:p>
          <w:p w14:paraId="3644CBAA" w14:textId="77777777" w:rsidR="008651E2" w:rsidRPr="00D05364" w:rsidRDefault="008651E2" w:rsidP="00A915CD">
            <w:pPr>
              <w:spacing w:line="276" w:lineRule="auto"/>
              <w:rPr>
                <w:rFonts w:eastAsia="Arial"/>
              </w:rPr>
            </w:pPr>
            <w:r w:rsidRPr="00D05364">
              <w:rPr>
                <w:rFonts w:eastAsia="Arial"/>
              </w:rPr>
              <w:t xml:space="preserve">(angl. </w:t>
            </w:r>
            <w:proofErr w:type="spellStart"/>
            <w:r w:rsidRPr="00D05364">
              <w:rPr>
                <w:rFonts w:eastAsia="Arial"/>
                <w:i/>
              </w:rPr>
              <w:t>National</w:t>
            </w:r>
            <w:proofErr w:type="spellEnd"/>
            <w:r w:rsidRPr="00D05364">
              <w:rPr>
                <w:rFonts w:eastAsia="Arial"/>
                <w:i/>
              </w:rPr>
              <w:t xml:space="preserve"> Institute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and</w:t>
            </w:r>
            <w:proofErr w:type="spellEnd"/>
            <w:r w:rsidRPr="00D05364">
              <w:rPr>
                <w:rFonts w:eastAsia="Arial"/>
                <w:i/>
              </w:rPr>
              <w:t xml:space="preserve"> Care </w:t>
            </w:r>
            <w:proofErr w:type="spellStart"/>
            <w:r w:rsidRPr="00D05364">
              <w:rPr>
                <w:rFonts w:eastAsia="Arial"/>
                <w:i/>
              </w:rPr>
              <w:t>Excellence</w:t>
            </w:r>
            <w:proofErr w:type="spellEnd"/>
            <w:r w:rsidRPr="00D05364">
              <w:rPr>
                <w:rFonts w:eastAsia="Arial"/>
                <w:i/>
              </w:rPr>
              <w:t>, NICE</w:t>
            </w:r>
            <w:r w:rsidRPr="00D05364">
              <w:rPr>
                <w:rFonts w:eastAsia="Arial"/>
              </w:rPr>
              <w:t>)</w:t>
            </w:r>
          </w:p>
        </w:tc>
        <w:tc>
          <w:tcPr>
            <w:tcW w:w="1915" w:type="dxa"/>
          </w:tcPr>
          <w:p w14:paraId="08460171" w14:textId="77777777" w:rsidR="008651E2" w:rsidRPr="00D05364" w:rsidRDefault="00F713E6" w:rsidP="00A915CD">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8651E2">
                  <w:rPr>
                    <w:rStyle w:val="Style2"/>
                    <w:rFonts w:ascii="MS Gothic" w:eastAsia="MS Gothic" w:hAnsi="MS Gothic" w:hint="eastAsia"/>
                  </w:rPr>
                  <w:t>☒</w:t>
                </w:r>
              </w:sdtContent>
            </w:sdt>
            <w:r w:rsidR="008651E2" w:rsidRPr="00D05364">
              <w:t xml:space="preserve"> Taip</w:t>
            </w:r>
          </w:p>
          <w:p w14:paraId="00B206E0" w14:textId="77777777" w:rsidR="008651E2" w:rsidRPr="00D05364" w:rsidRDefault="00F713E6" w:rsidP="00A915CD">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8651E2" w:rsidRPr="00D05364">
                  <w:rPr>
                    <w:rStyle w:val="Style2"/>
                    <w:rFonts w:ascii="MS Gothic" w:eastAsia="MS Gothic" w:hAnsi="MS Gothic" w:hint="eastAsia"/>
                  </w:rPr>
                  <w:t>☐</w:t>
                </w:r>
              </w:sdtContent>
            </w:sdt>
            <w:r w:rsidR="008651E2" w:rsidRPr="00D05364">
              <w:t xml:space="preserve"> Ne</w:t>
            </w:r>
          </w:p>
          <w:p w14:paraId="48BE630A" w14:textId="77777777" w:rsidR="008651E2" w:rsidRPr="00D05364" w:rsidRDefault="00F713E6" w:rsidP="00A915CD">
            <w:pPr>
              <w:rPr>
                <w:rFonts w:eastAsia="Arial"/>
              </w:rPr>
            </w:pPr>
            <w:sdt>
              <w:sdtPr>
                <w:alias w:val="Nurodykite konkrečią dieną"/>
                <w:tag w:val="Nurodykite pradžios datą"/>
                <w:id w:val="922837954"/>
                <w:placeholder>
                  <w:docPart w:val="AE336E47A58DDE42BAB132C7007EBCC9"/>
                </w:placeholder>
                <w15:color w:val="FFCC99"/>
                <w:date w:fullDate="2022-02-02T00:00:00Z">
                  <w:dateFormat w:val="yyyy 'm.' MMMM d 'd.'"/>
                  <w:lid w:val="lt-LT"/>
                  <w:storeMappedDataAs w:val="dateTime"/>
                  <w:calendar w:val="gregorian"/>
                </w:date>
              </w:sdtPr>
              <w:sdtEndPr/>
              <w:sdtContent>
                <w:r w:rsidR="008651E2">
                  <w:t>2022 m. vasario 2 d.</w:t>
                </w:r>
              </w:sdtContent>
            </w:sdt>
          </w:p>
        </w:tc>
        <w:tc>
          <w:tcPr>
            <w:tcW w:w="2351" w:type="dxa"/>
            <w:shd w:val="clear" w:color="auto" w:fill="FFFFFF" w:themeFill="background1"/>
          </w:tcPr>
          <w:p w14:paraId="4AEA6228" w14:textId="77777777" w:rsidR="008651E2" w:rsidRPr="00336F7F" w:rsidRDefault="008651E2" w:rsidP="00A915CD">
            <w:pPr>
              <w:pStyle w:val="HTMLPreformatted"/>
              <w:shd w:val="clear" w:color="auto" w:fill="FFFFFF" w:themeFill="background1"/>
              <w:spacing w:line="276" w:lineRule="auto"/>
              <w:rPr>
                <w:rStyle w:val="y2iqfc"/>
                <w:rFonts w:ascii="Times New Roman" w:hAnsi="Times New Roman" w:cs="Times New Roman"/>
                <w:color w:val="202124"/>
              </w:rPr>
            </w:pPr>
            <w:proofErr w:type="spellStart"/>
            <w:r w:rsidRPr="00336F7F">
              <w:rPr>
                <w:rStyle w:val="y2iqfc"/>
                <w:rFonts w:ascii="Times New Roman" w:hAnsi="Times New Roman" w:cs="Times New Roman"/>
                <w:color w:val="202124"/>
              </w:rPr>
              <w:t>Upadacitinibas</w:t>
            </w:r>
            <w:proofErr w:type="spellEnd"/>
            <w:r w:rsidRPr="00336F7F">
              <w:rPr>
                <w:rStyle w:val="y2iqfc"/>
                <w:rFonts w:ascii="Times New Roman" w:hAnsi="Times New Roman" w:cs="Times New Roman"/>
                <w:color w:val="202124"/>
              </w:rPr>
              <w:t xml:space="preserve"> vienas arba kartu su metotreksatu, rekomenduojamas kaip alternatyva gydyti aktyvų </w:t>
            </w:r>
            <w:proofErr w:type="spellStart"/>
            <w:r w:rsidRPr="00336F7F">
              <w:rPr>
                <w:rStyle w:val="y2iqfc"/>
                <w:rFonts w:ascii="Times New Roman" w:hAnsi="Times New Roman" w:cs="Times New Roman"/>
                <w:color w:val="202124"/>
              </w:rPr>
              <w:t>psoriazinį</w:t>
            </w:r>
            <w:proofErr w:type="spellEnd"/>
            <w:r w:rsidRPr="00336F7F">
              <w:rPr>
                <w:rStyle w:val="y2iqfc"/>
                <w:rFonts w:ascii="Times New Roman" w:hAnsi="Times New Roman" w:cs="Times New Roman"/>
                <w:color w:val="202124"/>
              </w:rPr>
              <w:t xml:space="preserve"> artritą suaugusiesiems, kurių liga nepakankamai reagavo į ligą modifikuojančius </w:t>
            </w:r>
            <w:proofErr w:type="spellStart"/>
            <w:r w:rsidRPr="00336F7F">
              <w:rPr>
                <w:rStyle w:val="y2iqfc"/>
                <w:rFonts w:ascii="Times New Roman" w:hAnsi="Times New Roman" w:cs="Times New Roman"/>
                <w:color w:val="202124"/>
              </w:rPr>
              <w:t>antireumatinius</w:t>
            </w:r>
            <w:proofErr w:type="spellEnd"/>
            <w:r w:rsidRPr="00336F7F">
              <w:rPr>
                <w:rStyle w:val="y2iqfc"/>
                <w:rFonts w:ascii="Times New Roman" w:hAnsi="Times New Roman" w:cs="Times New Roman"/>
                <w:color w:val="202124"/>
              </w:rPr>
              <w:t xml:space="preserve"> vaistus (DMARD) arba kurie jų netoleruoja. Jis rekomenduojamas tik esant periferiniam artritui su 3 ar daugiau jautrių sąnarių ir 3 ar daugiau patinusių sąnarių ir</w:t>
            </w:r>
            <w:r>
              <w:rPr>
                <w:rStyle w:val="y2iqfc"/>
                <w:rFonts w:ascii="Times New Roman" w:hAnsi="Times New Roman" w:cs="Times New Roman"/>
                <w:color w:val="202124"/>
              </w:rPr>
              <w:t xml:space="preserve"> buvo gydyti</w:t>
            </w:r>
            <w:r w:rsidRPr="00336F7F">
              <w:rPr>
                <w:rStyle w:val="y2iqfc"/>
                <w:rFonts w:ascii="Times New Roman" w:hAnsi="Times New Roman" w:cs="Times New Roman"/>
                <w:color w:val="202124"/>
              </w:rPr>
              <w:t xml:space="preserve"> 2 įprastiniais DMARD ir bent 1 biologiniu DMARD arba</w:t>
            </w:r>
          </w:p>
          <w:p w14:paraId="1CC47093" w14:textId="77777777" w:rsidR="008651E2" w:rsidRPr="00336F7F" w:rsidRDefault="008651E2" w:rsidP="00A915CD">
            <w:pPr>
              <w:pStyle w:val="HTMLPreformatted"/>
              <w:shd w:val="clear" w:color="auto" w:fill="FFFFFF" w:themeFill="background1"/>
              <w:spacing w:line="276" w:lineRule="auto"/>
              <w:rPr>
                <w:rStyle w:val="y2iqfc"/>
                <w:rFonts w:ascii="Times New Roman" w:hAnsi="Times New Roman" w:cs="Times New Roman"/>
                <w:color w:val="202124"/>
              </w:rPr>
            </w:pPr>
            <w:r w:rsidRPr="00336F7F">
              <w:rPr>
                <w:rStyle w:val="y2iqfc"/>
                <w:rFonts w:ascii="Times New Roman" w:hAnsi="Times New Roman" w:cs="Times New Roman"/>
                <w:color w:val="202124"/>
              </w:rPr>
              <w:t xml:space="preserve">TNF-alfa inhibitoriai yra </w:t>
            </w:r>
            <w:proofErr w:type="spellStart"/>
            <w:r w:rsidRPr="00336F7F">
              <w:rPr>
                <w:rStyle w:val="y2iqfc"/>
                <w:rFonts w:ascii="Times New Roman" w:hAnsi="Times New Roman" w:cs="Times New Roman"/>
                <w:color w:val="202124"/>
              </w:rPr>
              <w:t>kontraindikuotini</w:t>
            </w:r>
            <w:proofErr w:type="spellEnd"/>
            <w:r w:rsidRPr="00336F7F">
              <w:rPr>
                <w:rStyle w:val="y2iqfc"/>
                <w:rFonts w:ascii="Times New Roman" w:hAnsi="Times New Roman" w:cs="Times New Roman"/>
                <w:color w:val="202124"/>
              </w:rPr>
              <w:t xml:space="preserve">, </w:t>
            </w:r>
          </w:p>
          <w:p w14:paraId="371F7B4A" w14:textId="77777777" w:rsidR="008651E2" w:rsidRPr="00CB3387" w:rsidRDefault="008651E2" w:rsidP="00A915CD">
            <w:pPr>
              <w:pStyle w:val="HTMLPreformatted"/>
              <w:shd w:val="clear" w:color="auto" w:fill="FFFFFF" w:themeFill="background1"/>
              <w:spacing w:line="276" w:lineRule="auto"/>
              <w:rPr>
                <w:rFonts w:ascii="Times New Roman" w:hAnsi="Times New Roman" w:cs="Times New Roman"/>
                <w:color w:val="202124"/>
              </w:rPr>
            </w:pPr>
            <w:proofErr w:type="spellStart"/>
            <w:r w:rsidRPr="00336F7F">
              <w:rPr>
                <w:rStyle w:val="y2iqfc"/>
                <w:rFonts w:ascii="Times New Roman" w:hAnsi="Times New Roman" w:cs="Times New Roman"/>
                <w:color w:val="202124"/>
              </w:rPr>
              <w:t>Upadacitinibą</w:t>
            </w:r>
            <w:proofErr w:type="spellEnd"/>
            <w:r w:rsidRPr="00336F7F">
              <w:rPr>
                <w:rStyle w:val="y2iqfc"/>
                <w:rFonts w:ascii="Times New Roman" w:hAnsi="Times New Roman" w:cs="Times New Roman"/>
                <w:color w:val="202124"/>
              </w:rPr>
              <w:t xml:space="preserve"> rekomenduojama </w:t>
            </w:r>
            <w:r>
              <w:rPr>
                <w:rStyle w:val="y2iqfc"/>
                <w:rFonts w:ascii="Times New Roman" w:hAnsi="Times New Roman" w:cs="Times New Roman"/>
                <w:color w:val="202124"/>
              </w:rPr>
              <w:t xml:space="preserve">kompensuoti </w:t>
            </w:r>
            <w:r w:rsidRPr="00336F7F">
              <w:rPr>
                <w:rStyle w:val="y2iqfc"/>
                <w:rFonts w:ascii="Times New Roman" w:hAnsi="Times New Roman" w:cs="Times New Roman"/>
                <w:color w:val="202124"/>
              </w:rPr>
              <w:t xml:space="preserve">tik tuo atveju, jei </w:t>
            </w:r>
            <w:r>
              <w:rPr>
                <w:rStyle w:val="y2iqfc"/>
                <w:rFonts w:ascii="Times New Roman" w:hAnsi="Times New Roman" w:cs="Times New Roman"/>
                <w:color w:val="202124"/>
              </w:rPr>
              <w:t xml:space="preserve">kompanija </w:t>
            </w:r>
            <w:r w:rsidRPr="00336F7F">
              <w:rPr>
                <w:rStyle w:val="y2iqfc"/>
                <w:rFonts w:ascii="Times New Roman" w:hAnsi="Times New Roman" w:cs="Times New Roman"/>
                <w:color w:val="202124"/>
              </w:rPr>
              <w:t>jį tiekia pagal komercinį susitarimą.</w:t>
            </w:r>
          </w:p>
        </w:tc>
        <w:tc>
          <w:tcPr>
            <w:tcW w:w="2725" w:type="dxa"/>
          </w:tcPr>
          <w:p w14:paraId="4DC98F16" w14:textId="77777777" w:rsidR="008651E2" w:rsidRPr="00D05364" w:rsidRDefault="008651E2" w:rsidP="00A915CD">
            <w:pPr>
              <w:spacing w:line="276" w:lineRule="auto"/>
              <w:rPr>
                <w:rFonts w:eastAsia="Arial"/>
              </w:rPr>
            </w:pPr>
          </w:p>
        </w:tc>
      </w:tr>
      <w:tr w:rsidR="008651E2" w:rsidRPr="00D05364" w14:paraId="314B5E48" w14:textId="77777777" w:rsidTr="00A915CD">
        <w:trPr>
          <w:trHeight w:val="1547"/>
        </w:trPr>
        <w:tc>
          <w:tcPr>
            <w:tcW w:w="2927" w:type="dxa"/>
          </w:tcPr>
          <w:p w14:paraId="6B05B666" w14:textId="77777777" w:rsidR="008651E2" w:rsidRPr="00D05364" w:rsidRDefault="008651E2" w:rsidP="00A915CD">
            <w:pPr>
              <w:spacing w:line="276" w:lineRule="auto"/>
              <w:rPr>
                <w:rFonts w:eastAsia="Arial"/>
              </w:rPr>
            </w:pPr>
            <w:r w:rsidRPr="00D05364">
              <w:rPr>
                <w:rFonts w:eastAsia="Arial"/>
              </w:rPr>
              <w:t>Kanados sveikatos technologijų agentūra</w:t>
            </w:r>
          </w:p>
          <w:p w14:paraId="55335533" w14:textId="77777777" w:rsidR="008651E2" w:rsidRPr="00D05364" w:rsidRDefault="008651E2" w:rsidP="00A915CD">
            <w:pPr>
              <w:spacing w:line="276" w:lineRule="auto"/>
              <w:rPr>
                <w:rFonts w:eastAsia="Arial"/>
              </w:rPr>
            </w:pPr>
            <w:r w:rsidRPr="00D05364">
              <w:rPr>
                <w:rFonts w:eastAsia="Arial"/>
              </w:rPr>
              <w:t xml:space="preserve">(angl. </w:t>
            </w:r>
            <w:bookmarkStart w:id="0" w:name="OLE_LINK1"/>
            <w:bookmarkStart w:id="1" w:name="OLE_LINK2"/>
            <w:proofErr w:type="spellStart"/>
            <w:r w:rsidRPr="00D05364">
              <w:rPr>
                <w:rFonts w:eastAsia="Arial"/>
                <w:i/>
              </w:rPr>
              <w:t>Canadian</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Technology</w:t>
            </w:r>
            <w:proofErr w:type="spellEnd"/>
            <w:r w:rsidRPr="00D05364">
              <w:rPr>
                <w:rFonts w:eastAsia="Arial"/>
                <w:i/>
              </w:rPr>
              <w:t xml:space="preserve"> </w:t>
            </w:r>
            <w:proofErr w:type="spellStart"/>
            <w:r w:rsidRPr="00D05364">
              <w:rPr>
                <w:rFonts w:eastAsia="Arial"/>
                <w:i/>
              </w:rPr>
              <w:t>Assessment</w:t>
            </w:r>
            <w:proofErr w:type="spellEnd"/>
            <w:r w:rsidRPr="00D05364">
              <w:rPr>
                <w:rFonts w:eastAsia="Arial"/>
                <w:i/>
              </w:rPr>
              <w:t xml:space="preserve"> </w:t>
            </w:r>
            <w:proofErr w:type="spellStart"/>
            <w:r w:rsidRPr="00D05364">
              <w:rPr>
                <w:rFonts w:eastAsia="Arial"/>
                <w:i/>
              </w:rPr>
              <w:t>agency</w:t>
            </w:r>
            <w:proofErr w:type="spellEnd"/>
            <w:r w:rsidRPr="00D05364">
              <w:rPr>
                <w:rFonts w:eastAsia="Arial"/>
                <w:i/>
              </w:rPr>
              <w:t>, CADTH</w:t>
            </w:r>
            <w:bookmarkEnd w:id="0"/>
            <w:bookmarkEnd w:id="1"/>
            <w:r w:rsidRPr="00D05364">
              <w:rPr>
                <w:rFonts w:eastAsia="Arial"/>
              </w:rPr>
              <w:t>)</w:t>
            </w:r>
          </w:p>
        </w:tc>
        <w:tc>
          <w:tcPr>
            <w:tcW w:w="1915" w:type="dxa"/>
          </w:tcPr>
          <w:p w14:paraId="2D585FF8" w14:textId="77777777" w:rsidR="008651E2" w:rsidRPr="00D05364" w:rsidRDefault="00F713E6" w:rsidP="00A915CD">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8651E2">
                  <w:rPr>
                    <w:rStyle w:val="Style2"/>
                    <w:rFonts w:ascii="MS Gothic" w:eastAsia="MS Gothic" w:hAnsi="MS Gothic" w:hint="eastAsia"/>
                  </w:rPr>
                  <w:t>☒</w:t>
                </w:r>
              </w:sdtContent>
            </w:sdt>
            <w:r w:rsidR="008651E2" w:rsidRPr="00D05364">
              <w:t xml:space="preserve"> Taip</w:t>
            </w:r>
          </w:p>
          <w:p w14:paraId="326669C9" w14:textId="77777777" w:rsidR="008651E2" w:rsidRPr="00D05364" w:rsidRDefault="00F713E6" w:rsidP="00A915CD">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8651E2" w:rsidRPr="00D05364">
                  <w:rPr>
                    <w:rStyle w:val="Style2"/>
                    <w:rFonts w:ascii="Segoe UI Symbol" w:eastAsia="MS Gothic" w:hAnsi="Segoe UI Symbol" w:cs="Segoe UI Symbol"/>
                  </w:rPr>
                  <w:t>☐</w:t>
                </w:r>
              </w:sdtContent>
            </w:sdt>
            <w:r w:rsidR="008651E2" w:rsidRPr="00D05364">
              <w:t xml:space="preserve"> Ne</w:t>
            </w:r>
          </w:p>
          <w:p w14:paraId="1DF522CE" w14:textId="77777777" w:rsidR="008651E2" w:rsidRPr="00D05364" w:rsidRDefault="00F713E6" w:rsidP="00A915CD">
            <w:pPr>
              <w:spacing w:line="276" w:lineRule="auto"/>
              <w:rPr>
                <w:rFonts w:eastAsia="Arial"/>
              </w:rPr>
            </w:pPr>
            <w:sdt>
              <w:sdtPr>
                <w:alias w:val="Nurodykite konkrečią dieną"/>
                <w:tag w:val="Nurodykite pradžios datą"/>
                <w:id w:val="1072468416"/>
                <w:placeholder>
                  <w:docPart w:val="E659E8407BFD8F43AD61936A4EB6F39E"/>
                </w:placeholder>
                <w15:color w:val="FFCC99"/>
                <w:date w:fullDate="2021-08-21T00:00:00Z">
                  <w:dateFormat w:val="yyyy 'm.' MMMM d 'd.'"/>
                  <w:lid w:val="lt-LT"/>
                  <w:storeMappedDataAs w:val="dateTime"/>
                  <w:calendar w:val="gregorian"/>
                </w:date>
              </w:sdtPr>
              <w:sdtEndPr/>
              <w:sdtContent>
                <w:r w:rsidR="008651E2">
                  <w:t>2021 m. rugpjūčio 21 d.</w:t>
                </w:r>
              </w:sdtContent>
            </w:sdt>
          </w:p>
        </w:tc>
        <w:tc>
          <w:tcPr>
            <w:tcW w:w="2351" w:type="dxa"/>
          </w:tcPr>
          <w:p w14:paraId="60450A0E" w14:textId="77777777" w:rsidR="008651E2" w:rsidRPr="00E07431" w:rsidRDefault="008651E2" w:rsidP="00A915CD">
            <w:pPr>
              <w:spacing w:line="276" w:lineRule="auto"/>
              <w:rPr>
                <w:rFonts w:eastAsia="Arial"/>
                <w:sz w:val="20"/>
              </w:rPr>
            </w:pPr>
            <w:proofErr w:type="spellStart"/>
            <w:r w:rsidRPr="00E07431">
              <w:rPr>
                <w:rFonts w:eastAsia="Arial"/>
                <w:sz w:val="20"/>
              </w:rPr>
              <w:t>Rinvoq</w:t>
            </w:r>
            <w:proofErr w:type="spellEnd"/>
            <w:r w:rsidRPr="00E07431">
              <w:rPr>
                <w:rFonts w:eastAsia="Arial"/>
                <w:sz w:val="20"/>
              </w:rPr>
              <w:t xml:space="preserve"> turėtų būti kompensuojamas tuo atveju, jeigu jį skiria gydytojas </w:t>
            </w:r>
            <w:proofErr w:type="spellStart"/>
            <w:r w:rsidRPr="00E07431">
              <w:rPr>
                <w:rFonts w:eastAsia="Arial"/>
                <w:sz w:val="20"/>
              </w:rPr>
              <w:t>reumatologas</w:t>
            </w:r>
            <w:proofErr w:type="spellEnd"/>
            <w:r w:rsidRPr="00E07431">
              <w:rPr>
                <w:rFonts w:eastAsia="Arial"/>
                <w:sz w:val="20"/>
              </w:rPr>
              <w:t xml:space="preserve"> arba kitas gydytojas, turintis patirties su </w:t>
            </w:r>
            <w:r w:rsidRPr="00E07431">
              <w:rPr>
                <w:rFonts w:eastAsia="Arial"/>
                <w:sz w:val="20"/>
              </w:rPr>
              <w:lastRenderedPageBreak/>
              <w:t xml:space="preserve">aktyvaus </w:t>
            </w:r>
            <w:proofErr w:type="spellStart"/>
            <w:r w:rsidRPr="00E07431">
              <w:rPr>
                <w:rFonts w:eastAsia="Arial"/>
                <w:sz w:val="20"/>
              </w:rPr>
              <w:t>psoriazinio</w:t>
            </w:r>
            <w:proofErr w:type="spellEnd"/>
            <w:r w:rsidRPr="00E07431">
              <w:rPr>
                <w:rFonts w:eastAsia="Arial"/>
                <w:sz w:val="20"/>
              </w:rPr>
              <w:t xml:space="preserve"> artrito gydymu biologinės terapijos vaistais. </w:t>
            </w:r>
            <w:proofErr w:type="spellStart"/>
            <w:r w:rsidRPr="00E07431">
              <w:rPr>
                <w:rFonts w:eastAsia="Arial"/>
                <w:sz w:val="20"/>
              </w:rPr>
              <w:t>Rinvoq</w:t>
            </w:r>
            <w:proofErr w:type="spellEnd"/>
            <w:r w:rsidRPr="00E07431">
              <w:rPr>
                <w:rFonts w:eastAsia="Arial"/>
                <w:sz w:val="20"/>
              </w:rPr>
              <w:t xml:space="preserve"> neturėtų kainuoti daugiau nei kiti biologiniai ar sintetiniai ligą modifikuojantys vaistai, skiriami psoriaziniam artritui gydyti</w:t>
            </w:r>
            <w:r>
              <w:rPr>
                <w:rFonts w:eastAsia="Arial"/>
                <w:sz w:val="20"/>
              </w:rPr>
              <w:t>.</w:t>
            </w:r>
          </w:p>
        </w:tc>
        <w:tc>
          <w:tcPr>
            <w:tcW w:w="2725" w:type="dxa"/>
          </w:tcPr>
          <w:p w14:paraId="539FB764" w14:textId="77777777" w:rsidR="008651E2" w:rsidRPr="00D05364" w:rsidRDefault="008651E2" w:rsidP="00A915CD">
            <w:pPr>
              <w:spacing w:line="276" w:lineRule="auto"/>
              <w:rPr>
                <w:rFonts w:eastAsia="Arial"/>
              </w:rPr>
            </w:pPr>
          </w:p>
        </w:tc>
      </w:tr>
      <w:tr w:rsidR="008651E2" w:rsidRPr="00D05364" w14:paraId="7286DA3C" w14:textId="77777777" w:rsidTr="00A915CD">
        <w:trPr>
          <w:trHeight w:val="1927"/>
        </w:trPr>
        <w:tc>
          <w:tcPr>
            <w:tcW w:w="2927" w:type="dxa"/>
          </w:tcPr>
          <w:p w14:paraId="336CB9A9" w14:textId="77777777" w:rsidR="008651E2" w:rsidRPr="00D05364" w:rsidRDefault="008651E2" w:rsidP="00A915CD">
            <w:pPr>
              <w:spacing w:line="276" w:lineRule="auto"/>
              <w:rPr>
                <w:rFonts w:eastAsia="Arial"/>
              </w:rPr>
            </w:pPr>
            <w:r w:rsidRPr="00D05364">
              <w:rPr>
                <w:rFonts w:eastAsia="Arial"/>
              </w:rPr>
              <w:t xml:space="preserve">Nacionalinis </w:t>
            </w:r>
            <w:proofErr w:type="spellStart"/>
            <w:r w:rsidRPr="00D05364">
              <w:rPr>
                <w:rFonts w:eastAsia="Arial"/>
              </w:rPr>
              <w:t>farmakoekonomikos</w:t>
            </w:r>
            <w:proofErr w:type="spellEnd"/>
            <w:r w:rsidRPr="00D05364">
              <w:rPr>
                <w:rFonts w:eastAsia="Arial"/>
              </w:rPr>
              <w:t xml:space="preserve"> centras, Airija</w:t>
            </w:r>
          </w:p>
          <w:p w14:paraId="6D1B6980" w14:textId="77777777" w:rsidR="008651E2" w:rsidRPr="00D05364" w:rsidRDefault="008651E2" w:rsidP="00A915CD">
            <w:pPr>
              <w:spacing w:line="276" w:lineRule="auto"/>
              <w:rPr>
                <w:rFonts w:eastAsia="Arial"/>
              </w:rPr>
            </w:pPr>
            <w:r w:rsidRPr="00D05364">
              <w:rPr>
                <w:rFonts w:eastAsia="Arial"/>
              </w:rPr>
              <w:t>(angl.</w:t>
            </w:r>
            <w:r w:rsidRPr="00D05364">
              <w:rPr>
                <w:rFonts w:eastAsia="Arial"/>
                <w:i/>
              </w:rPr>
              <w:t xml:space="preserve"> </w:t>
            </w:r>
            <w:proofErr w:type="spellStart"/>
            <w:r w:rsidRPr="00D05364">
              <w:rPr>
                <w:rFonts w:eastAsia="Arial"/>
                <w:i/>
              </w:rPr>
              <w:t>National</w:t>
            </w:r>
            <w:proofErr w:type="spellEnd"/>
            <w:r w:rsidRPr="00D05364">
              <w:rPr>
                <w:rFonts w:eastAsia="Arial"/>
                <w:i/>
              </w:rPr>
              <w:t xml:space="preserve"> Centre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Pharmacoeconomics</w:t>
            </w:r>
            <w:proofErr w:type="spellEnd"/>
            <w:r w:rsidRPr="00D05364">
              <w:rPr>
                <w:rFonts w:eastAsia="Arial"/>
                <w:i/>
              </w:rPr>
              <w:t>, NCPE</w:t>
            </w:r>
            <w:r w:rsidRPr="00D05364">
              <w:rPr>
                <w:rFonts w:eastAsia="Arial"/>
              </w:rPr>
              <w:t>)</w:t>
            </w:r>
          </w:p>
        </w:tc>
        <w:tc>
          <w:tcPr>
            <w:tcW w:w="1915" w:type="dxa"/>
          </w:tcPr>
          <w:p w14:paraId="4FAB3CEC" w14:textId="77777777" w:rsidR="008651E2" w:rsidRPr="00D05364" w:rsidRDefault="00F713E6" w:rsidP="00A915CD">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8651E2">
                  <w:rPr>
                    <w:rStyle w:val="Style2"/>
                    <w:rFonts w:ascii="MS Gothic" w:eastAsia="MS Gothic" w:hAnsi="MS Gothic" w:hint="eastAsia"/>
                  </w:rPr>
                  <w:t>☒</w:t>
                </w:r>
              </w:sdtContent>
            </w:sdt>
            <w:r w:rsidR="008651E2" w:rsidRPr="00D05364">
              <w:t xml:space="preserve"> Taip</w:t>
            </w:r>
          </w:p>
          <w:p w14:paraId="774D1973" w14:textId="77777777" w:rsidR="008651E2" w:rsidRPr="00D05364" w:rsidRDefault="00F713E6" w:rsidP="00A915CD">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8651E2" w:rsidRPr="00D05364">
                  <w:rPr>
                    <w:rStyle w:val="Style2"/>
                    <w:rFonts w:ascii="Segoe UI Symbol" w:eastAsia="MS Gothic" w:hAnsi="Segoe UI Symbol" w:cs="Segoe UI Symbol"/>
                  </w:rPr>
                  <w:t>☐</w:t>
                </w:r>
              </w:sdtContent>
            </w:sdt>
            <w:r w:rsidR="008651E2" w:rsidRPr="00D05364">
              <w:t xml:space="preserve"> Ne</w:t>
            </w:r>
          </w:p>
          <w:p w14:paraId="63D64A4F" w14:textId="77777777" w:rsidR="008651E2" w:rsidRPr="00D05364" w:rsidRDefault="00F713E6" w:rsidP="00A915CD">
            <w:pPr>
              <w:spacing w:line="276" w:lineRule="auto"/>
              <w:rPr>
                <w:rFonts w:eastAsia="Arial"/>
              </w:rPr>
            </w:pPr>
            <w:sdt>
              <w:sdtPr>
                <w:alias w:val="Nurodykite konkrečią dieną"/>
                <w:tag w:val="Nurodykite pradžios datą"/>
                <w:id w:val="-198323198"/>
                <w:placeholder>
                  <w:docPart w:val="5EDDD3AEB67C0546BDA0452D8A07C74C"/>
                </w:placeholder>
                <w15:color w:val="FFCC99"/>
                <w:date w:fullDate="2021-11-19T00:00:00Z">
                  <w:dateFormat w:val="yyyy 'm.' MMMM d 'd.'"/>
                  <w:lid w:val="lt-LT"/>
                  <w:storeMappedDataAs w:val="dateTime"/>
                  <w:calendar w:val="gregorian"/>
                </w:date>
              </w:sdtPr>
              <w:sdtEndPr/>
              <w:sdtContent>
                <w:r w:rsidR="008651E2">
                  <w:t>2021 m. lapkričio 19 d.</w:t>
                </w:r>
              </w:sdtContent>
            </w:sdt>
          </w:p>
        </w:tc>
        <w:tc>
          <w:tcPr>
            <w:tcW w:w="2351" w:type="dxa"/>
          </w:tcPr>
          <w:p w14:paraId="2EEDAA84" w14:textId="77777777" w:rsidR="008651E2" w:rsidRPr="00B27A82" w:rsidRDefault="008651E2" w:rsidP="00A915CD">
            <w:pPr>
              <w:spacing w:line="276" w:lineRule="auto"/>
              <w:rPr>
                <w:rFonts w:eastAsia="Arial"/>
                <w:sz w:val="20"/>
              </w:rPr>
            </w:pPr>
            <w:r w:rsidRPr="00B27A82">
              <w:rPr>
                <w:rFonts w:eastAsia="Arial"/>
                <w:sz w:val="20"/>
              </w:rPr>
              <w:t xml:space="preserve">Pagal pateikiamą kainą </w:t>
            </w:r>
            <w:proofErr w:type="spellStart"/>
            <w:r w:rsidRPr="00B27A82">
              <w:rPr>
                <w:rFonts w:eastAsia="Arial"/>
                <w:sz w:val="20"/>
              </w:rPr>
              <w:t>Rinvoq</w:t>
            </w:r>
            <w:proofErr w:type="spellEnd"/>
            <w:r w:rsidRPr="00B27A82">
              <w:rPr>
                <w:rFonts w:eastAsia="Arial"/>
                <w:sz w:val="20"/>
              </w:rPr>
              <w:t xml:space="preserve"> neturėtų būti kompensuojamas.</w:t>
            </w:r>
          </w:p>
        </w:tc>
        <w:tc>
          <w:tcPr>
            <w:tcW w:w="2725" w:type="dxa"/>
          </w:tcPr>
          <w:p w14:paraId="6EB3606B" w14:textId="77777777" w:rsidR="008651E2" w:rsidRPr="00D05364" w:rsidRDefault="008651E2" w:rsidP="00A915CD">
            <w:pPr>
              <w:spacing w:line="276" w:lineRule="auto"/>
              <w:rPr>
                <w:rFonts w:eastAsia="Arial"/>
              </w:rPr>
            </w:pPr>
          </w:p>
        </w:tc>
      </w:tr>
    </w:tbl>
    <w:p w14:paraId="2EB7FD31" w14:textId="69A0F277" w:rsidR="00F70C9E" w:rsidRDefault="00F70C9E" w:rsidP="00E03C3F">
      <w:pPr>
        <w:pStyle w:val="ListParagraph"/>
        <w:tabs>
          <w:tab w:val="left" w:pos="426"/>
        </w:tabs>
        <w:ind w:left="0"/>
        <w:rPr>
          <w:b/>
          <w:bCs/>
          <w:caps/>
        </w:rPr>
      </w:pPr>
    </w:p>
    <w:p w14:paraId="5E82BD7C" w14:textId="77777777" w:rsidR="008651E2" w:rsidRDefault="008651E2" w:rsidP="00E03C3F">
      <w:pPr>
        <w:pStyle w:val="ListParagraph"/>
        <w:tabs>
          <w:tab w:val="left" w:pos="426"/>
        </w:tabs>
        <w:ind w:left="0"/>
        <w:rPr>
          <w:b/>
          <w:bCs/>
          <w:caps/>
        </w:rPr>
      </w:pPr>
    </w:p>
    <w:p w14:paraId="5055E8A8" w14:textId="471A9757" w:rsidR="002E6F80" w:rsidRPr="00937907" w:rsidRDefault="00CC7832" w:rsidP="00937907">
      <w:pPr>
        <w:pStyle w:val="ListParagraph"/>
        <w:numPr>
          <w:ilvl w:val="0"/>
          <w:numId w:val="12"/>
        </w:numPr>
        <w:tabs>
          <w:tab w:val="left" w:pos="284"/>
        </w:tabs>
        <w:rPr>
          <w:b/>
          <w:bCs/>
          <w:caps/>
        </w:rPr>
      </w:pPr>
      <w:r w:rsidRPr="00937907">
        <w:rPr>
          <w:b/>
          <w:bCs/>
          <w:caps/>
        </w:rPr>
        <w:t>Klinikinio vertinimo a</w:t>
      </w:r>
      <w:r w:rsidR="00D4485B" w:rsidRPr="00937907">
        <w:rPr>
          <w:b/>
          <w:bCs/>
          <w:caps/>
        </w:rPr>
        <w:t>pibendrinimas</w:t>
      </w:r>
    </w:p>
    <w:p w14:paraId="25F89291" w14:textId="47FFF2FE" w:rsidR="00D4485B" w:rsidRDefault="00D4485B" w:rsidP="00A93AA6">
      <w:pPr>
        <w:pStyle w:val="ListParagraph"/>
        <w:tabs>
          <w:tab w:val="left" w:pos="426"/>
        </w:tabs>
        <w:ind w:left="0"/>
        <w:rPr>
          <w:b/>
          <w:bCs/>
          <w:caps/>
        </w:rPr>
      </w:pPr>
    </w:p>
    <w:p w14:paraId="2271ABD9" w14:textId="664CA6FF" w:rsidR="003C12B3" w:rsidRPr="00FD53A8" w:rsidRDefault="003C12B3" w:rsidP="003C12B3">
      <w:pPr>
        <w:spacing w:after="80" w:line="276" w:lineRule="auto"/>
        <w:jc w:val="both"/>
      </w:pPr>
      <w:bookmarkStart w:id="2" w:name="_Hlk495387007"/>
      <w:proofErr w:type="spellStart"/>
      <w:r w:rsidRPr="00FD53A8">
        <w:rPr>
          <w:b/>
        </w:rPr>
        <w:t>Psoriazinis</w:t>
      </w:r>
      <w:proofErr w:type="spellEnd"/>
      <w:r w:rsidRPr="00FD53A8">
        <w:rPr>
          <w:b/>
        </w:rPr>
        <w:t xml:space="preserve"> artritas arba </w:t>
      </w:r>
      <w:proofErr w:type="spellStart"/>
      <w:r w:rsidRPr="00FD53A8">
        <w:rPr>
          <w:b/>
        </w:rPr>
        <w:t>psoriatinė</w:t>
      </w:r>
      <w:proofErr w:type="spellEnd"/>
      <w:r w:rsidRPr="00FD53A8">
        <w:rPr>
          <w:b/>
        </w:rPr>
        <w:t xml:space="preserve"> liga (PsA) – </w:t>
      </w:r>
      <w:r w:rsidRPr="00FD53A8">
        <w:t xml:space="preserve">yra autoimuninės kilmės lėtinis artritas nustatomas psoriaze sergantiems ligoniams. Jis priskiriamas </w:t>
      </w:r>
      <w:proofErr w:type="spellStart"/>
      <w:r w:rsidRPr="00FD53A8">
        <w:t>spondiloartropatijų</w:t>
      </w:r>
      <w:proofErr w:type="spellEnd"/>
      <w:r w:rsidRPr="00FD53A8">
        <w:t xml:space="preserve"> grupės ligoms. Ligos sunkumas skiriasi įvairiems asmenims ir gali būti nuo lengvo sąnarių patinimo bei uždegimo iki sąnarių pažeidimo, sukeliančio neįgalumą. </w:t>
      </w:r>
    </w:p>
    <w:p w14:paraId="7DDA73DA" w14:textId="77777777" w:rsidR="003C12B3" w:rsidRPr="00FD53A8" w:rsidRDefault="003C12B3" w:rsidP="003C12B3">
      <w:pPr>
        <w:spacing w:after="240" w:line="276" w:lineRule="auto"/>
        <w:jc w:val="both"/>
      </w:pPr>
      <w:r w:rsidRPr="00FD53A8">
        <w:t xml:space="preserve">Kaip ir kitoms </w:t>
      </w:r>
      <w:proofErr w:type="spellStart"/>
      <w:r w:rsidRPr="00FD53A8">
        <w:t>spondiloartropatijų</w:t>
      </w:r>
      <w:proofErr w:type="spellEnd"/>
      <w:r w:rsidRPr="00FD53A8">
        <w:t xml:space="preserve"> grupės ligoms, </w:t>
      </w:r>
      <w:proofErr w:type="spellStart"/>
      <w:r w:rsidRPr="00FD53A8">
        <w:t>PsA</w:t>
      </w:r>
      <w:proofErr w:type="spellEnd"/>
      <w:r w:rsidRPr="00FD53A8">
        <w:t xml:space="preserve"> būdingas periferinis artritas, </w:t>
      </w:r>
      <w:proofErr w:type="spellStart"/>
      <w:r w:rsidRPr="00FD53A8">
        <w:t>entezitai</w:t>
      </w:r>
      <w:proofErr w:type="spellEnd"/>
      <w:r w:rsidRPr="00FD53A8">
        <w:t xml:space="preserve">, </w:t>
      </w:r>
      <w:proofErr w:type="spellStart"/>
      <w:r w:rsidRPr="00FD53A8">
        <w:t>daktilitas</w:t>
      </w:r>
      <w:proofErr w:type="spellEnd"/>
      <w:r w:rsidRPr="00FD53A8">
        <w:t xml:space="preserve"> ir ašinio skeleto uždegimas (</w:t>
      </w:r>
      <w:proofErr w:type="spellStart"/>
      <w:r w:rsidRPr="00FD53A8">
        <w:t>sakroiliitas</w:t>
      </w:r>
      <w:proofErr w:type="spellEnd"/>
      <w:r w:rsidRPr="00FD53A8">
        <w:t xml:space="preserve"> ir (arba) </w:t>
      </w:r>
      <w:proofErr w:type="spellStart"/>
      <w:r w:rsidRPr="00FD53A8">
        <w:t>spondilitas</w:t>
      </w:r>
      <w:proofErr w:type="spellEnd"/>
      <w:r w:rsidRPr="00FD53A8">
        <w:t xml:space="preserve">). PsA metu nerandama reumatoidiniam artritui būdingų žymenų. </w:t>
      </w:r>
      <w:r w:rsidRPr="00FD53A8">
        <w:rPr>
          <w:bCs/>
        </w:rPr>
        <w:t xml:space="preserve">60 – 70 </w:t>
      </w:r>
      <w:r w:rsidRPr="00FD53A8">
        <w:t xml:space="preserve">proc. pacientų </w:t>
      </w:r>
      <w:proofErr w:type="spellStart"/>
      <w:r w:rsidRPr="00FD53A8">
        <w:t>PsO</w:t>
      </w:r>
      <w:proofErr w:type="spellEnd"/>
      <w:r w:rsidRPr="00FD53A8">
        <w:t xml:space="preserve"> diagnozuojama anksčiau nei PsA, </w:t>
      </w:r>
      <w:r w:rsidRPr="00FD53A8">
        <w:rPr>
          <w:bCs/>
        </w:rPr>
        <w:t xml:space="preserve">15 – 20 </w:t>
      </w:r>
      <w:r w:rsidRPr="00FD53A8">
        <w:t xml:space="preserve">proc.  atvejų artritas yra pirmasis </w:t>
      </w:r>
      <w:proofErr w:type="spellStart"/>
      <w:r w:rsidRPr="00FD53A8">
        <w:t>PsO</w:t>
      </w:r>
      <w:proofErr w:type="spellEnd"/>
      <w:r w:rsidRPr="00FD53A8">
        <w:t xml:space="preserve"> pasireiškimas. </w:t>
      </w:r>
    </w:p>
    <w:p w14:paraId="409B7219" w14:textId="77777777" w:rsidR="003C12B3" w:rsidRPr="00FD53A8" w:rsidRDefault="003C12B3" w:rsidP="003C12B3">
      <w:pPr>
        <w:spacing w:after="80" w:line="276" w:lineRule="auto"/>
        <w:jc w:val="both"/>
        <w:rPr>
          <w:b/>
          <w:vertAlign w:val="superscript"/>
        </w:rPr>
      </w:pPr>
      <w:r w:rsidRPr="00FD53A8">
        <w:rPr>
          <w:b/>
        </w:rPr>
        <w:t>Sergamumas</w:t>
      </w:r>
    </w:p>
    <w:p w14:paraId="26750552" w14:textId="77777777" w:rsidR="003C12B3" w:rsidRPr="00FD53A8" w:rsidRDefault="003C12B3" w:rsidP="003C12B3">
      <w:pPr>
        <w:pStyle w:val="ListParagraph"/>
        <w:numPr>
          <w:ilvl w:val="0"/>
          <w:numId w:val="13"/>
        </w:numPr>
        <w:spacing w:after="80" w:line="276" w:lineRule="auto"/>
        <w:jc w:val="both"/>
      </w:pPr>
      <w:r w:rsidRPr="00FD53A8">
        <w:rPr>
          <w:b/>
          <w:bCs/>
        </w:rPr>
        <w:t>0,1 – 23,1</w:t>
      </w:r>
      <w:r w:rsidRPr="00FD53A8">
        <w:t xml:space="preserve"> atvejo </w:t>
      </w:r>
      <w:r w:rsidRPr="00FD53A8">
        <w:rPr>
          <w:b/>
          <w:bCs/>
        </w:rPr>
        <w:t xml:space="preserve">100,000 </w:t>
      </w:r>
      <w:r w:rsidRPr="00FD53A8">
        <w:t xml:space="preserve">gyventojų (vidutiniškai 6,4/100,000) </w:t>
      </w:r>
    </w:p>
    <w:p w14:paraId="7259E544" w14:textId="77777777" w:rsidR="003C12B3" w:rsidRPr="00FD53A8" w:rsidRDefault="003C12B3" w:rsidP="003C12B3">
      <w:pPr>
        <w:pStyle w:val="ListParagraph"/>
        <w:numPr>
          <w:ilvl w:val="0"/>
          <w:numId w:val="13"/>
        </w:numPr>
        <w:spacing w:after="80" w:line="276" w:lineRule="auto"/>
        <w:jc w:val="both"/>
      </w:pPr>
      <w:r w:rsidRPr="00FD53A8">
        <w:t>Dideli skirtumai tarp šalių</w:t>
      </w:r>
    </w:p>
    <w:p w14:paraId="7DBD50AB" w14:textId="77777777" w:rsidR="003C12B3" w:rsidRPr="00FD53A8" w:rsidRDefault="003C12B3" w:rsidP="003C12B3">
      <w:pPr>
        <w:pStyle w:val="ListParagraph"/>
        <w:numPr>
          <w:ilvl w:val="0"/>
          <w:numId w:val="13"/>
        </w:numPr>
        <w:spacing w:after="80" w:line="276" w:lineRule="auto"/>
        <w:jc w:val="both"/>
      </w:pPr>
      <w:r w:rsidRPr="00FD53A8">
        <w:t xml:space="preserve">Vidutinis diagnozės nustatymo laikas </w:t>
      </w:r>
      <w:r w:rsidRPr="00FD53A8">
        <w:rPr>
          <w:b/>
          <w:bCs/>
        </w:rPr>
        <w:t xml:space="preserve">40,7 – 52,0 </w:t>
      </w:r>
      <w:r w:rsidRPr="00FD53A8">
        <w:t>metai (vidutiniškai 47,7 metai)</w:t>
      </w:r>
    </w:p>
    <w:p w14:paraId="62CCB0C5" w14:textId="77777777" w:rsidR="003C12B3" w:rsidRDefault="003C12B3" w:rsidP="003C12B3">
      <w:pPr>
        <w:pStyle w:val="ListParagraph"/>
        <w:numPr>
          <w:ilvl w:val="0"/>
          <w:numId w:val="13"/>
        </w:numPr>
        <w:spacing w:after="80" w:line="276" w:lineRule="auto"/>
        <w:jc w:val="both"/>
      </w:pPr>
      <w:r w:rsidRPr="00FD53A8">
        <w:t xml:space="preserve">PsA diagnozuojamas </w:t>
      </w:r>
      <w:r w:rsidRPr="00FD53A8">
        <w:rPr>
          <w:b/>
          <w:bCs/>
        </w:rPr>
        <w:t>4 – 30 proc</w:t>
      </w:r>
      <w:r w:rsidRPr="00FD53A8">
        <w:t xml:space="preserve">. </w:t>
      </w:r>
      <w:proofErr w:type="spellStart"/>
      <w:r w:rsidRPr="00FD53A8">
        <w:t>PsO</w:t>
      </w:r>
      <w:proofErr w:type="spellEnd"/>
      <w:r w:rsidRPr="00FD53A8">
        <w:t xml:space="preserve"> pacientų, iki 20 proc. sergan</w:t>
      </w:r>
      <w:r w:rsidRPr="00297B0C">
        <w:t xml:space="preserve">čių vidutine/sunkia </w:t>
      </w:r>
      <w:proofErr w:type="spellStart"/>
      <w:r w:rsidRPr="00297B0C">
        <w:t>PsO</w:t>
      </w:r>
      <w:proofErr w:type="spellEnd"/>
      <w:r w:rsidRPr="00297B0C">
        <w:t xml:space="preserve"> forma</w:t>
      </w:r>
      <w:bookmarkStart w:id="3" w:name="_Hlk495387034"/>
      <w:bookmarkEnd w:id="2"/>
      <w:r>
        <w:t>.</w:t>
      </w:r>
    </w:p>
    <w:p w14:paraId="61A6711F" w14:textId="77777777" w:rsidR="003C12B3" w:rsidRPr="00FD53A8" w:rsidRDefault="003C12B3" w:rsidP="003C12B3">
      <w:pPr>
        <w:spacing w:line="276" w:lineRule="auto"/>
        <w:jc w:val="both"/>
        <w:rPr>
          <w:vertAlign w:val="superscript"/>
        </w:rPr>
      </w:pPr>
      <w:proofErr w:type="spellStart"/>
      <w:r w:rsidRPr="00FD53A8">
        <w:rPr>
          <w:b/>
        </w:rPr>
        <w:t>Patofiziologija</w:t>
      </w:r>
      <w:proofErr w:type="spellEnd"/>
    </w:p>
    <w:p w14:paraId="494EA042" w14:textId="77777777" w:rsidR="003C12B3" w:rsidRPr="00FD53A8" w:rsidRDefault="003C12B3" w:rsidP="003C12B3">
      <w:pPr>
        <w:pStyle w:val="ListParagraph"/>
        <w:numPr>
          <w:ilvl w:val="0"/>
          <w:numId w:val="14"/>
        </w:numPr>
        <w:spacing w:line="276" w:lineRule="auto"/>
        <w:jc w:val="both"/>
      </w:pPr>
      <w:proofErr w:type="spellStart"/>
      <w:r w:rsidRPr="00FD53A8">
        <w:t>Fleksorių</w:t>
      </w:r>
      <w:proofErr w:type="spellEnd"/>
      <w:r w:rsidRPr="00FD53A8">
        <w:t xml:space="preserve"> </w:t>
      </w:r>
      <w:proofErr w:type="spellStart"/>
      <w:r w:rsidRPr="00FD53A8">
        <w:t>tendosinovito</w:t>
      </w:r>
      <w:proofErr w:type="spellEnd"/>
      <w:r w:rsidRPr="00FD53A8">
        <w:t>, sąnarių išsiveržimo ir poodinio patinimo kombinacija, kurią sunku diferencijuoti kliniškai.</w:t>
      </w:r>
    </w:p>
    <w:p w14:paraId="6866D054" w14:textId="77777777" w:rsidR="003C12B3" w:rsidRPr="00FD53A8" w:rsidRDefault="003C12B3" w:rsidP="003C12B3">
      <w:pPr>
        <w:pStyle w:val="ListParagraph"/>
        <w:numPr>
          <w:ilvl w:val="0"/>
          <w:numId w:val="14"/>
        </w:numPr>
        <w:spacing w:line="276" w:lineRule="auto"/>
        <w:jc w:val="both"/>
      </w:pPr>
      <w:r w:rsidRPr="00FD53A8">
        <w:t xml:space="preserve">Sausgyslių, raiščių, sąnarių kapsulių, </w:t>
      </w:r>
      <w:proofErr w:type="spellStart"/>
      <w:r w:rsidRPr="00FD53A8">
        <w:t>fascijos</w:t>
      </w:r>
      <w:proofErr w:type="spellEnd"/>
      <w:r w:rsidRPr="00FD53A8">
        <w:t xml:space="preserve"> prisijungimo prie kaulo vietų uždegimas – </w:t>
      </w:r>
      <w:proofErr w:type="spellStart"/>
      <w:r w:rsidRPr="00FD53A8">
        <w:t>entezitas</w:t>
      </w:r>
      <w:proofErr w:type="spellEnd"/>
      <w:r w:rsidRPr="00FD53A8">
        <w:t xml:space="preserve"> (dažniausios vietos – Achilo sausgyslės, </w:t>
      </w:r>
      <w:proofErr w:type="spellStart"/>
      <w:r w:rsidRPr="00FD53A8">
        <w:t>plantarinė</w:t>
      </w:r>
      <w:proofErr w:type="spellEnd"/>
      <w:r w:rsidRPr="00FD53A8">
        <w:t xml:space="preserve"> </w:t>
      </w:r>
      <w:proofErr w:type="spellStart"/>
      <w:r w:rsidRPr="00FD53A8">
        <w:t>fascija</w:t>
      </w:r>
      <w:proofErr w:type="spellEnd"/>
      <w:r w:rsidRPr="00FD53A8">
        <w:t xml:space="preserve">, šlaunikaulių </w:t>
      </w:r>
      <w:proofErr w:type="spellStart"/>
      <w:r w:rsidRPr="00FD53A8">
        <w:t>trochanterijų</w:t>
      </w:r>
      <w:proofErr w:type="spellEnd"/>
      <w:r w:rsidRPr="00FD53A8">
        <w:t xml:space="preserve"> tuberkulai, </w:t>
      </w:r>
      <w:proofErr w:type="spellStart"/>
      <w:r w:rsidRPr="00FD53A8">
        <w:t>medialiniai</w:t>
      </w:r>
      <w:proofErr w:type="spellEnd"/>
      <w:r w:rsidRPr="00FD53A8">
        <w:t xml:space="preserve"> šlaunikaulio </w:t>
      </w:r>
      <w:proofErr w:type="spellStart"/>
      <w:r w:rsidRPr="00FD53A8">
        <w:t>kondilai</w:t>
      </w:r>
      <w:proofErr w:type="spellEnd"/>
      <w:r w:rsidRPr="00FD53A8">
        <w:t xml:space="preserve"> ir alkūnkaulio </w:t>
      </w:r>
      <w:proofErr w:type="spellStart"/>
      <w:r w:rsidRPr="00FD53A8">
        <w:t>epikondilai</w:t>
      </w:r>
      <w:proofErr w:type="spellEnd"/>
      <w:r w:rsidRPr="00FD53A8">
        <w:t>).</w:t>
      </w:r>
    </w:p>
    <w:p w14:paraId="4B5303E0" w14:textId="77777777" w:rsidR="003C12B3" w:rsidRPr="00FD53A8" w:rsidRDefault="003C12B3" w:rsidP="003C12B3">
      <w:pPr>
        <w:pStyle w:val="ListParagraph"/>
        <w:numPr>
          <w:ilvl w:val="0"/>
          <w:numId w:val="14"/>
        </w:numPr>
        <w:spacing w:line="276" w:lineRule="auto"/>
        <w:jc w:val="both"/>
      </w:pPr>
      <w:r w:rsidRPr="00FD53A8">
        <w:t>Pusei PsA pacientų būdingas sąnarių patinimas ir skausmas</w:t>
      </w:r>
    </w:p>
    <w:p w14:paraId="4AC88EA7" w14:textId="77777777" w:rsidR="003C12B3" w:rsidRPr="00FD53A8" w:rsidRDefault="003C12B3" w:rsidP="003C12B3">
      <w:pPr>
        <w:pStyle w:val="ListParagraph"/>
        <w:numPr>
          <w:ilvl w:val="0"/>
          <w:numId w:val="14"/>
        </w:numPr>
        <w:spacing w:line="276" w:lineRule="auto"/>
        <w:jc w:val="both"/>
      </w:pPr>
      <w:r w:rsidRPr="00FD53A8">
        <w:t xml:space="preserve">Nagų pažeidimas (būdingi simptomai) dažniau pasireiškia pacientams, kuriems diagnozuota PsA nei pacientams, sergantiems </w:t>
      </w:r>
      <w:proofErr w:type="spellStart"/>
      <w:r w:rsidRPr="00FD53A8">
        <w:t>PsO</w:t>
      </w:r>
      <w:proofErr w:type="spellEnd"/>
      <w:r w:rsidRPr="00FD53A8">
        <w:t xml:space="preserve"> be artrito pasireiškimo.</w:t>
      </w:r>
    </w:p>
    <w:p w14:paraId="434E4878" w14:textId="77777777" w:rsidR="003C12B3" w:rsidRDefault="003C12B3" w:rsidP="003C12B3">
      <w:pPr>
        <w:spacing w:line="276" w:lineRule="auto"/>
        <w:jc w:val="both"/>
      </w:pPr>
    </w:p>
    <w:p w14:paraId="2D3EE921" w14:textId="77777777" w:rsidR="003C12B3" w:rsidRPr="006E244B" w:rsidRDefault="003C12B3" w:rsidP="003C12B3">
      <w:pPr>
        <w:spacing w:line="276" w:lineRule="auto"/>
        <w:jc w:val="both"/>
        <w:rPr>
          <w:b/>
        </w:rPr>
      </w:pPr>
      <w:r w:rsidRPr="006E244B">
        <w:rPr>
          <w:b/>
        </w:rPr>
        <w:t>Gydymas</w:t>
      </w:r>
    </w:p>
    <w:p w14:paraId="6182600B" w14:textId="77777777" w:rsidR="003C12B3" w:rsidRPr="00FD53A8" w:rsidRDefault="003C12B3" w:rsidP="003C12B3">
      <w:pPr>
        <w:pStyle w:val="NormalWeb"/>
        <w:numPr>
          <w:ilvl w:val="0"/>
          <w:numId w:val="16"/>
        </w:numPr>
        <w:spacing w:before="0" w:beforeAutospacing="0" w:after="135" w:afterAutospacing="0" w:line="276" w:lineRule="auto"/>
        <w:jc w:val="both"/>
        <w:rPr>
          <w:color w:val="000000"/>
          <w:shd w:val="clear" w:color="auto" w:fill="FFFFFF"/>
          <w:lang w:val="lt-LT"/>
        </w:rPr>
      </w:pPr>
      <w:r w:rsidRPr="00FD53A8">
        <w:rPr>
          <w:color w:val="000000"/>
          <w:shd w:val="clear" w:color="auto" w:fill="FFFFFF"/>
          <w:lang w:val="lt-LT"/>
        </w:rPr>
        <w:lastRenderedPageBreak/>
        <w:t>PsA b</w:t>
      </w:r>
      <w:r w:rsidRPr="00297B0C">
        <w:rPr>
          <w:color w:val="000000"/>
          <w:shd w:val="clear" w:color="auto" w:fill="FFFFFF"/>
          <w:lang w:val="lt-LT"/>
        </w:rPr>
        <w:t>ūdinga banguojanti eiga, pasireiškianti</w:t>
      </w:r>
      <w:r w:rsidRPr="00FD53A8">
        <w:rPr>
          <w:color w:val="000000"/>
          <w:shd w:val="clear" w:color="auto" w:fill="FFFFFF"/>
          <w:lang w:val="lt-LT"/>
        </w:rPr>
        <w:t xml:space="preserve"> </w:t>
      </w:r>
      <w:proofErr w:type="spellStart"/>
      <w:r w:rsidRPr="00FD53A8">
        <w:rPr>
          <w:color w:val="000000"/>
          <w:shd w:val="clear" w:color="auto" w:fill="FFFFFF"/>
          <w:lang w:val="lt-LT"/>
        </w:rPr>
        <w:t>paūmėjimais</w:t>
      </w:r>
      <w:proofErr w:type="spellEnd"/>
      <w:r w:rsidRPr="00FD53A8">
        <w:rPr>
          <w:color w:val="000000"/>
          <w:shd w:val="clear" w:color="auto" w:fill="FFFFFF"/>
          <w:lang w:val="lt-LT"/>
        </w:rPr>
        <w:t xml:space="preserve"> ir remisijomis. Jaunesnis paciento amžius, moteriška lytis, ūmi artrito pradžia, pažeistų sąnarių skaičius, aukšti ENG rodikliai, teigiamas ŽLA-B27 antigenas nurodo blogesnę ligos prognozę, todėl svarbu reguliariai sekti PsA pacientus dėl aktyvaus uždegimo ir tinkamai gydyti tam, kad būtų išvengta tolimesnio sąnarių pažeidimo.</w:t>
      </w:r>
    </w:p>
    <w:p w14:paraId="31D4E253" w14:textId="77777777" w:rsidR="003C12B3" w:rsidRPr="00F4752A" w:rsidRDefault="003C12B3" w:rsidP="003C12B3">
      <w:pPr>
        <w:pStyle w:val="HTMLPreformatted"/>
        <w:numPr>
          <w:ilvl w:val="0"/>
          <w:numId w:val="15"/>
        </w:numPr>
        <w:spacing w:line="276" w:lineRule="auto"/>
        <w:jc w:val="both"/>
        <w:rPr>
          <w:rFonts w:ascii="Times New Roman" w:hAnsi="Times New Roman" w:cs="Times New Roman"/>
          <w:color w:val="000000"/>
          <w:sz w:val="24"/>
          <w:szCs w:val="24"/>
          <w:shd w:val="clear" w:color="auto" w:fill="FFFFFF"/>
        </w:rPr>
      </w:pPr>
      <w:r w:rsidRPr="00FD53A8">
        <w:rPr>
          <w:rFonts w:ascii="Times New Roman" w:hAnsi="Times New Roman" w:cs="Times New Roman"/>
          <w:color w:val="000000"/>
          <w:sz w:val="24"/>
          <w:szCs w:val="24"/>
          <w:shd w:val="clear" w:color="auto" w:fill="FFFFFF"/>
        </w:rPr>
        <w:t>PsA gydymas apima medikamentin</w:t>
      </w:r>
      <w:r w:rsidRPr="00297B0C">
        <w:rPr>
          <w:rFonts w:ascii="Times New Roman" w:hAnsi="Times New Roman" w:cs="Times New Roman"/>
          <w:color w:val="000000"/>
          <w:sz w:val="24"/>
          <w:szCs w:val="24"/>
          <w:shd w:val="clear" w:color="auto" w:fill="FFFFFF"/>
        </w:rPr>
        <w:t>į gydymą</w:t>
      </w:r>
      <w:r w:rsidRPr="00FD53A8">
        <w:rPr>
          <w:rFonts w:ascii="Times New Roman" w:hAnsi="Times New Roman" w:cs="Times New Roman"/>
          <w:color w:val="000000"/>
          <w:sz w:val="24"/>
          <w:szCs w:val="24"/>
          <w:shd w:val="clear" w:color="auto" w:fill="FFFFFF"/>
        </w:rPr>
        <w:t xml:space="preserve">, reabilitaciją ir kartais chirurginę rekonstrukciją kartu su </w:t>
      </w:r>
      <w:proofErr w:type="spellStart"/>
      <w:r w:rsidRPr="00FD53A8">
        <w:rPr>
          <w:rFonts w:ascii="Times New Roman" w:hAnsi="Times New Roman" w:cs="Times New Roman"/>
          <w:color w:val="000000"/>
          <w:sz w:val="24"/>
          <w:szCs w:val="24"/>
          <w:shd w:val="clear" w:color="auto" w:fill="FFFFFF"/>
        </w:rPr>
        <w:t>psoriazinių</w:t>
      </w:r>
      <w:proofErr w:type="spellEnd"/>
      <w:r w:rsidRPr="00FD53A8">
        <w:rPr>
          <w:rFonts w:ascii="Times New Roman" w:hAnsi="Times New Roman" w:cs="Times New Roman"/>
          <w:color w:val="000000"/>
          <w:sz w:val="24"/>
          <w:szCs w:val="24"/>
          <w:shd w:val="clear" w:color="auto" w:fill="FFFFFF"/>
        </w:rPr>
        <w:t xml:space="preserve"> odos pažeidimų valdymu. Lengvas odos ir sąnarių pasireiškimas PsA gali būti veiksmingai gydomas vietiniais vaistais, NVNU ir ultravioletinių spindulių terapija. Pacientams, turintiems didesnį ligos aktyvumą ir sunkesnius simptomus, </w:t>
      </w:r>
      <w:proofErr w:type="spellStart"/>
      <w:r w:rsidRPr="00FD53A8">
        <w:rPr>
          <w:rFonts w:ascii="Times New Roman" w:hAnsi="Times New Roman" w:cs="Times New Roman"/>
          <w:color w:val="000000"/>
          <w:sz w:val="24"/>
          <w:szCs w:val="24"/>
          <w:shd w:val="clear" w:color="auto" w:fill="FFFFFF"/>
        </w:rPr>
        <w:t>csLMVR</w:t>
      </w:r>
      <w:proofErr w:type="spellEnd"/>
      <w:r w:rsidRPr="00FD53A8">
        <w:rPr>
          <w:rFonts w:ascii="Times New Roman" w:hAnsi="Times New Roman" w:cs="Times New Roman"/>
          <w:color w:val="000000"/>
          <w:sz w:val="24"/>
          <w:szCs w:val="24"/>
          <w:shd w:val="clear" w:color="auto" w:fill="FFFFFF"/>
        </w:rPr>
        <w:t xml:space="preserve"> skiriami kaip pradinis gydymas. </w:t>
      </w:r>
      <w:proofErr w:type="spellStart"/>
      <w:r w:rsidRPr="00FD53A8">
        <w:rPr>
          <w:rFonts w:ascii="Times New Roman" w:hAnsi="Times New Roman" w:cs="Times New Roman"/>
          <w:color w:val="000000"/>
          <w:sz w:val="24"/>
          <w:szCs w:val="24"/>
          <w:shd w:val="clear" w:color="auto" w:fill="FFFFFF"/>
        </w:rPr>
        <w:t>bLMVR</w:t>
      </w:r>
      <w:proofErr w:type="spellEnd"/>
      <w:r w:rsidRPr="00FD53A8">
        <w:rPr>
          <w:rFonts w:ascii="Times New Roman" w:hAnsi="Times New Roman" w:cs="Times New Roman"/>
          <w:color w:val="000000"/>
          <w:sz w:val="24"/>
          <w:szCs w:val="24"/>
          <w:shd w:val="clear" w:color="auto" w:fill="FFFFFF"/>
        </w:rPr>
        <w:t xml:space="preserve">, įskaitant TNF ir IL inhibitorius, rekomenduojami vartoti pacientams, netoleruojantiems ar nereaguojantiems į </w:t>
      </w:r>
      <w:proofErr w:type="spellStart"/>
      <w:r w:rsidRPr="00FD53A8">
        <w:rPr>
          <w:rFonts w:ascii="Times New Roman" w:hAnsi="Times New Roman" w:cs="Times New Roman"/>
          <w:color w:val="000000"/>
          <w:sz w:val="24"/>
          <w:szCs w:val="24"/>
          <w:shd w:val="clear" w:color="auto" w:fill="FFFFFF"/>
        </w:rPr>
        <w:t>csLMVR</w:t>
      </w:r>
      <w:proofErr w:type="spellEnd"/>
      <w:r w:rsidRPr="00FD53A8">
        <w:rPr>
          <w:rFonts w:ascii="Times New Roman" w:hAnsi="Times New Roman" w:cs="Times New Roman"/>
          <w:color w:val="000000"/>
          <w:sz w:val="24"/>
          <w:szCs w:val="24"/>
          <w:shd w:val="clear" w:color="auto" w:fill="FFFFFF"/>
        </w:rPr>
        <w:t xml:space="preserve"> / NVNU arba turintiems ašinę ligą. Įrodyta, kad TNF inhibitoriai veiksmingi mažinant uždegimą, skausmą pacientams, sergantiems PsA.</w:t>
      </w:r>
    </w:p>
    <w:p w14:paraId="4EFB451F" w14:textId="77777777" w:rsidR="003C12B3" w:rsidRPr="00695887" w:rsidRDefault="003C12B3" w:rsidP="003C12B3">
      <w:pPr>
        <w:pStyle w:val="NormalWeb"/>
        <w:numPr>
          <w:ilvl w:val="0"/>
          <w:numId w:val="15"/>
        </w:numPr>
        <w:spacing w:before="0" w:beforeAutospacing="0" w:after="135" w:afterAutospacing="0" w:line="276" w:lineRule="auto"/>
        <w:jc w:val="both"/>
        <w:rPr>
          <w:color w:val="000000"/>
          <w:shd w:val="clear" w:color="auto" w:fill="FFFFFF"/>
          <w:lang w:val="lt-LT"/>
        </w:rPr>
      </w:pPr>
      <w:r w:rsidRPr="00FD53A8">
        <w:rPr>
          <w:color w:val="000000"/>
          <w:shd w:val="clear" w:color="auto" w:fill="FFFFFF"/>
          <w:lang w:val="lt-LT"/>
        </w:rPr>
        <w:t xml:space="preserve">Medikamentinis gydymas priklauso nuo PsA pažeidimo tipo. Sergantiems </w:t>
      </w:r>
      <w:proofErr w:type="spellStart"/>
      <w:r w:rsidRPr="00FD53A8">
        <w:rPr>
          <w:color w:val="000000"/>
          <w:shd w:val="clear" w:color="auto" w:fill="FFFFFF"/>
          <w:lang w:val="lt-LT"/>
        </w:rPr>
        <w:t>oligoartritine</w:t>
      </w:r>
      <w:proofErr w:type="spellEnd"/>
      <w:r w:rsidRPr="00FD53A8">
        <w:rPr>
          <w:color w:val="000000"/>
          <w:shd w:val="clear" w:color="auto" w:fill="FFFFFF"/>
          <w:lang w:val="lt-LT"/>
        </w:rPr>
        <w:t xml:space="preserve"> ar distalinių </w:t>
      </w:r>
      <w:proofErr w:type="spellStart"/>
      <w:r w:rsidRPr="00FD53A8">
        <w:rPr>
          <w:color w:val="000000"/>
          <w:shd w:val="clear" w:color="auto" w:fill="FFFFFF"/>
          <w:lang w:val="lt-LT"/>
        </w:rPr>
        <w:t>interfalanginių</w:t>
      </w:r>
      <w:proofErr w:type="spellEnd"/>
      <w:r w:rsidRPr="00FD53A8">
        <w:rPr>
          <w:color w:val="000000"/>
          <w:shd w:val="clear" w:color="auto" w:fill="FFFFFF"/>
          <w:lang w:val="lt-LT"/>
        </w:rPr>
        <w:t xml:space="preserve"> sąnarių PsA forma gydymas dažnai apsiriboja nesteroidiniais priešuždegiminiais vaistais (NVNU), o sunkiam </w:t>
      </w:r>
      <w:proofErr w:type="spellStart"/>
      <w:r w:rsidRPr="00FD53A8">
        <w:rPr>
          <w:color w:val="000000"/>
          <w:shd w:val="clear" w:color="auto" w:fill="FFFFFF"/>
          <w:lang w:val="lt-LT"/>
        </w:rPr>
        <w:t>mutiliuojančiam</w:t>
      </w:r>
      <w:proofErr w:type="spellEnd"/>
      <w:r w:rsidRPr="00FD53A8">
        <w:rPr>
          <w:color w:val="000000"/>
          <w:shd w:val="clear" w:color="auto" w:fill="FFFFFF"/>
          <w:lang w:val="lt-LT"/>
        </w:rPr>
        <w:t xml:space="preserve"> artritui ar </w:t>
      </w:r>
      <w:proofErr w:type="spellStart"/>
      <w:r w:rsidRPr="00FD53A8">
        <w:rPr>
          <w:color w:val="000000"/>
          <w:shd w:val="clear" w:color="auto" w:fill="FFFFFF"/>
          <w:lang w:val="lt-LT"/>
        </w:rPr>
        <w:t>spondiloartropatijai</w:t>
      </w:r>
      <w:proofErr w:type="spellEnd"/>
      <w:r w:rsidRPr="00FD53A8">
        <w:rPr>
          <w:color w:val="000000"/>
          <w:shd w:val="clear" w:color="auto" w:fill="FFFFFF"/>
          <w:lang w:val="lt-LT"/>
        </w:rPr>
        <w:t xml:space="preserve"> gydyti taikoma LMVR ir biologinė terapija. </w:t>
      </w:r>
      <w:proofErr w:type="spellStart"/>
      <w:r w:rsidRPr="00FD53A8">
        <w:rPr>
          <w:color w:val="000000"/>
          <w:shd w:val="clear" w:color="auto" w:fill="FFFFFF"/>
          <w:lang w:val="lt-LT"/>
        </w:rPr>
        <w:t>Peroralinių</w:t>
      </w:r>
      <w:proofErr w:type="spellEnd"/>
      <w:r w:rsidRPr="00FD53A8">
        <w:rPr>
          <w:color w:val="000000"/>
          <w:shd w:val="clear" w:color="auto" w:fill="FFFFFF"/>
          <w:lang w:val="lt-LT"/>
        </w:rPr>
        <w:t xml:space="preserve"> steroidų vartojimas neretai sukelia psoriazės paūmėjimą, todėl šie preparatai vengtini, tačiau rekomenduojamos lokalios jų injekcijos į pažeistus sąnarius.</w:t>
      </w:r>
    </w:p>
    <w:p w14:paraId="18978E3B" w14:textId="77777777" w:rsidR="003C12B3" w:rsidRDefault="003C12B3" w:rsidP="003C12B3">
      <w:pPr>
        <w:pStyle w:val="NormalWeb"/>
        <w:numPr>
          <w:ilvl w:val="0"/>
          <w:numId w:val="15"/>
        </w:numPr>
        <w:spacing w:before="0" w:beforeAutospacing="0" w:after="135" w:afterAutospacing="0" w:line="276" w:lineRule="auto"/>
        <w:jc w:val="both"/>
        <w:rPr>
          <w:color w:val="000000"/>
          <w:shd w:val="clear" w:color="auto" w:fill="FFFFFF"/>
          <w:lang w:val="lt-LT"/>
        </w:rPr>
      </w:pPr>
      <w:proofErr w:type="spellStart"/>
      <w:r w:rsidRPr="00FD53A8">
        <w:rPr>
          <w:color w:val="000000"/>
          <w:shd w:val="clear" w:color="auto" w:fill="FFFFFF"/>
          <w:lang w:val="lt-LT"/>
        </w:rPr>
        <w:t>Psoriazinis</w:t>
      </w:r>
      <w:proofErr w:type="spellEnd"/>
      <w:r w:rsidRPr="00FD53A8">
        <w:rPr>
          <w:color w:val="000000"/>
          <w:shd w:val="clear" w:color="auto" w:fill="FFFFFF"/>
          <w:lang w:val="lt-LT"/>
        </w:rPr>
        <w:t xml:space="preserve"> artritas gydomas tradiciniais sisteminiais medikamentais (</w:t>
      </w:r>
      <w:proofErr w:type="spellStart"/>
      <w:r w:rsidRPr="00FD53A8">
        <w:rPr>
          <w:color w:val="000000"/>
          <w:shd w:val="clear" w:color="auto" w:fill="FFFFFF"/>
          <w:lang w:val="lt-LT"/>
        </w:rPr>
        <w:t>metotreksatu</w:t>
      </w:r>
      <w:proofErr w:type="spellEnd"/>
      <w:r w:rsidRPr="00FD53A8">
        <w:rPr>
          <w:color w:val="000000"/>
          <w:shd w:val="clear" w:color="auto" w:fill="FFFFFF"/>
          <w:lang w:val="lt-LT"/>
        </w:rPr>
        <w:t xml:space="preserve">, </w:t>
      </w:r>
      <w:proofErr w:type="spellStart"/>
      <w:r w:rsidRPr="00FD53A8">
        <w:rPr>
          <w:color w:val="000000"/>
          <w:shd w:val="clear" w:color="auto" w:fill="FFFFFF"/>
          <w:lang w:val="lt-LT"/>
        </w:rPr>
        <w:t>ciklosporinu</w:t>
      </w:r>
      <w:proofErr w:type="spellEnd"/>
      <w:r w:rsidRPr="00FD53A8">
        <w:rPr>
          <w:color w:val="000000"/>
          <w:shd w:val="clear" w:color="auto" w:fill="FFFFFF"/>
          <w:lang w:val="lt-LT"/>
        </w:rPr>
        <w:t>), kurie derinami su biologine terapija TNF</w:t>
      </w:r>
      <w:r w:rsidRPr="00FD53A8">
        <w:rPr>
          <w:i/>
          <w:color w:val="000000"/>
          <w:shd w:val="clear" w:color="auto" w:fill="FFFFFF"/>
          <w:lang w:val="lt-LT"/>
        </w:rPr>
        <w:t xml:space="preserve"> alfa</w:t>
      </w:r>
      <w:r w:rsidRPr="00FD53A8">
        <w:rPr>
          <w:color w:val="000000"/>
          <w:shd w:val="clear" w:color="auto" w:fill="FFFFFF"/>
          <w:lang w:val="lt-LT"/>
        </w:rPr>
        <w:t xml:space="preserve"> inhibitoriais – </w:t>
      </w:r>
      <w:proofErr w:type="spellStart"/>
      <w:r w:rsidRPr="00FD53A8">
        <w:rPr>
          <w:color w:val="000000"/>
          <w:shd w:val="clear" w:color="auto" w:fill="FFFFFF"/>
          <w:lang w:val="lt-LT"/>
        </w:rPr>
        <w:t>etanerceptu</w:t>
      </w:r>
      <w:proofErr w:type="spellEnd"/>
      <w:r w:rsidRPr="00FD53A8">
        <w:rPr>
          <w:color w:val="000000"/>
          <w:shd w:val="clear" w:color="auto" w:fill="FFFFFF"/>
          <w:lang w:val="lt-LT"/>
        </w:rPr>
        <w:t xml:space="preserve">, </w:t>
      </w:r>
      <w:proofErr w:type="spellStart"/>
      <w:r w:rsidRPr="00FD53A8">
        <w:rPr>
          <w:color w:val="000000"/>
          <w:shd w:val="clear" w:color="auto" w:fill="FFFFFF"/>
          <w:lang w:val="lt-LT"/>
        </w:rPr>
        <w:t>adalimumabu</w:t>
      </w:r>
      <w:proofErr w:type="spellEnd"/>
      <w:r w:rsidRPr="00FD53A8">
        <w:rPr>
          <w:color w:val="000000"/>
          <w:shd w:val="clear" w:color="auto" w:fill="FFFFFF"/>
          <w:lang w:val="lt-LT"/>
        </w:rPr>
        <w:t xml:space="preserve">, </w:t>
      </w:r>
      <w:proofErr w:type="spellStart"/>
      <w:r w:rsidRPr="00FD53A8">
        <w:rPr>
          <w:color w:val="000000"/>
          <w:shd w:val="clear" w:color="auto" w:fill="FFFFFF"/>
          <w:lang w:val="lt-LT"/>
        </w:rPr>
        <w:t>infliksimabu</w:t>
      </w:r>
      <w:proofErr w:type="spellEnd"/>
      <w:r w:rsidRPr="00FD53A8">
        <w:rPr>
          <w:color w:val="000000"/>
          <w:shd w:val="clear" w:color="auto" w:fill="FFFFFF"/>
          <w:lang w:val="lt-LT"/>
        </w:rPr>
        <w:t>, IL-12 ir IL-23</w:t>
      </w:r>
      <w:r w:rsidRPr="00FD53A8">
        <w:rPr>
          <w:color w:val="000000"/>
          <w:lang w:val="lt-LT"/>
        </w:rPr>
        <w:t xml:space="preserve"> </w:t>
      </w:r>
      <w:r w:rsidRPr="00FD53A8">
        <w:rPr>
          <w:color w:val="000000"/>
          <w:shd w:val="clear" w:color="auto" w:fill="FFFFFF"/>
          <w:lang w:val="lt-LT"/>
        </w:rPr>
        <w:t>blokatoriais (</w:t>
      </w:r>
      <w:proofErr w:type="spellStart"/>
      <w:r w:rsidRPr="00FD53A8">
        <w:rPr>
          <w:color w:val="000000"/>
          <w:shd w:val="clear" w:color="auto" w:fill="FFFFFF"/>
          <w:lang w:val="lt-LT"/>
        </w:rPr>
        <w:t>ustekinumabu</w:t>
      </w:r>
      <w:proofErr w:type="spellEnd"/>
      <w:r w:rsidRPr="00FD53A8">
        <w:rPr>
          <w:color w:val="000000"/>
          <w:shd w:val="clear" w:color="auto" w:fill="FFFFFF"/>
          <w:lang w:val="lt-LT"/>
        </w:rPr>
        <w:t xml:space="preserve">) ar IL-17A inhibitoriumi sekukinumabu. Nepaisant taikomo gydymo, kuris veikia </w:t>
      </w:r>
      <w:proofErr w:type="spellStart"/>
      <w:r w:rsidRPr="00FD53A8">
        <w:rPr>
          <w:color w:val="000000"/>
          <w:shd w:val="clear" w:color="auto" w:fill="FFFFFF"/>
          <w:lang w:val="lt-LT"/>
        </w:rPr>
        <w:t>patogenezines</w:t>
      </w:r>
      <w:proofErr w:type="spellEnd"/>
      <w:r w:rsidRPr="00FD53A8">
        <w:rPr>
          <w:color w:val="000000"/>
          <w:shd w:val="clear" w:color="auto" w:fill="FFFFFF"/>
          <w:lang w:val="lt-LT"/>
        </w:rPr>
        <w:t xml:space="preserve"> </w:t>
      </w:r>
      <w:proofErr w:type="spellStart"/>
      <w:r w:rsidRPr="00FD53A8">
        <w:rPr>
          <w:color w:val="000000"/>
          <w:shd w:val="clear" w:color="auto" w:fill="FFFFFF"/>
          <w:lang w:val="lt-LT"/>
        </w:rPr>
        <w:t>psoriazinio</w:t>
      </w:r>
      <w:proofErr w:type="spellEnd"/>
      <w:r w:rsidRPr="00FD53A8">
        <w:rPr>
          <w:color w:val="000000"/>
          <w:shd w:val="clear" w:color="auto" w:fill="FFFFFF"/>
          <w:lang w:val="lt-LT"/>
        </w:rPr>
        <w:t xml:space="preserve"> artrito grandis, ne visi pacientai gydymą toleruoja ir ne visiems stebimas norimas teigiamas atsakas.</w:t>
      </w:r>
    </w:p>
    <w:p w14:paraId="09382A5B" w14:textId="77777777" w:rsidR="003C12B3" w:rsidRPr="00695887" w:rsidRDefault="003C12B3" w:rsidP="003C12B3">
      <w:pPr>
        <w:pStyle w:val="NormalWeb"/>
        <w:numPr>
          <w:ilvl w:val="0"/>
          <w:numId w:val="15"/>
        </w:numPr>
        <w:spacing w:before="0" w:beforeAutospacing="0" w:after="135" w:afterAutospacing="0" w:line="276" w:lineRule="auto"/>
        <w:jc w:val="both"/>
        <w:rPr>
          <w:color w:val="000000"/>
          <w:shd w:val="clear" w:color="auto" w:fill="FFFFFF"/>
          <w:lang w:val="lt-LT"/>
        </w:rPr>
      </w:pPr>
      <w:proofErr w:type="spellStart"/>
      <w:r w:rsidRPr="00695887">
        <w:rPr>
          <w:color w:val="000000"/>
          <w:shd w:val="clear" w:color="auto" w:fill="FFFFFF"/>
          <w:lang w:val="lt-LT"/>
        </w:rPr>
        <w:t>Psoriaziniam</w:t>
      </w:r>
      <w:proofErr w:type="spellEnd"/>
      <w:r w:rsidRPr="00695887">
        <w:rPr>
          <w:color w:val="000000"/>
          <w:shd w:val="clear" w:color="auto" w:fill="FFFFFF"/>
          <w:lang w:val="lt-LT"/>
        </w:rPr>
        <w:t xml:space="preserve"> artritui gydyti </w:t>
      </w:r>
      <w:proofErr w:type="spellStart"/>
      <w:r w:rsidRPr="00695887">
        <w:rPr>
          <w:color w:val="000000"/>
          <w:shd w:val="clear" w:color="auto" w:fill="FFFFFF"/>
          <w:lang w:val="lt-LT"/>
        </w:rPr>
        <w:t>bLMVR</w:t>
      </w:r>
      <w:proofErr w:type="spellEnd"/>
      <w:r w:rsidRPr="00695887">
        <w:rPr>
          <w:color w:val="000000"/>
          <w:shd w:val="clear" w:color="auto" w:fill="FFFFFF"/>
          <w:lang w:val="lt-LT"/>
        </w:rPr>
        <w:t xml:space="preserve"> vaistai skiriami pagal VLK nustatytą gydymo eilę, skelbiamą kiekvieną ketvirtį. </w:t>
      </w:r>
      <w:r w:rsidRPr="00695887">
        <w:rPr>
          <w:color w:val="000000"/>
          <w:shd w:val="clear" w:color="auto" w:fill="FFFFFF"/>
        </w:rPr>
        <w:t xml:space="preserve">2021 m. II </w:t>
      </w:r>
      <w:proofErr w:type="spellStart"/>
      <w:r w:rsidRPr="00695887">
        <w:rPr>
          <w:color w:val="000000"/>
          <w:shd w:val="clear" w:color="auto" w:fill="FFFFFF"/>
        </w:rPr>
        <w:t>ketvirtį</w:t>
      </w:r>
      <w:proofErr w:type="spellEnd"/>
      <w:r w:rsidRPr="00695887">
        <w:rPr>
          <w:color w:val="000000"/>
          <w:shd w:val="clear" w:color="auto" w:fill="FFFFFF"/>
        </w:rPr>
        <w:t xml:space="preserve"> </w:t>
      </w:r>
      <w:proofErr w:type="spellStart"/>
      <w:r w:rsidRPr="00695887">
        <w:rPr>
          <w:color w:val="000000"/>
          <w:shd w:val="clear" w:color="auto" w:fill="FFFFFF"/>
        </w:rPr>
        <w:t>gydymo</w:t>
      </w:r>
      <w:proofErr w:type="spellEnd"/>
      <w:r w:rsidRPr="00695887">
        <w:rPr>
          <w:color w:val="000000"/>
          <w:shd w:val="clear" w:color="auto" w:fill="FFFFFF"/>
        </w:rPr>
        <w:t xml:space="preserve"> </w:t>
      </w:r>
      <w:proofErr w:type="spellStart"/>
      <w:r w:rsidRPr="00695887">
        <w:rPr>
          <w:color w:val="000000"/>
          <w:shd w:val="clear" w:color="auto" w:fill="FFFFFF"/>
        </w:rPr>
        <w:t>eiliškumas</w:t>
      </w:r>
      <w:proofErr w:type="spellEnd"/>
      <w:r w:rsidRPr="00695887">
        <w:rPr>
          <w:color w:val="000000"/>
          <w:shd w:val="clear" w:color="auto" w:fill="FFFFFF"/>
        </w:rPr>
        <w:t xml:space="preserve">: </w:t>
      </w:r>
    </w:p>
    <w:p w14:paraId="4ABD8C05" w14:textId="77777777" w:rsidR="003C12B3" w:rsidRPr="00695887" w:rsidRDefault="003C12B3" w:rsidP="003C12B3">
      <w:pPr>
        <w:pStyle w:val="NormalWeb"/>
        <w:numPr>
          <w:ilvl w:val="1"/>
          <w:numId w:val="15"/>
        </w:numPr>
        <w:spacing w:before="0" w:beforeAutospacing="0" w:after="135" w:afterAutospacing="0" w:line="276" w:lineRule="auto"/>
        <w:jc w:val="both"/>
        <w:rPr>
          <w:color w:val="000000"/>
          <w:shd w:val="clear" w:color="auto" w:fill="FFFFFF"/>
          <w:lang w:val="lt-LT"/>
        </w:rPr>
      </w:pPr>
      <w:proofErr w:type="spellStart"/>
      <w:r w:rsidRPr="00FD53A8">
        <w:t>Pirmos</w:t>
      </w:r>
      <w:proofErr w:type="spellEnd"/>
      <w:r w:rsidRPr="00FD53A8">
        <w:t xml:space="preserve"> </w:t>
      </w:r>
      <w:proofErr w:type="spellStart"/>
      <w:r w:rsidRPr="00FD53A8">
        <w:t>eilės</w:t>
      </w:r>
      <w:proofErr w:type="spellEnd"/>
      <w:r w:rsidRPr="00FD53A8">
        <w:t xml:space="preserve"> </w:t>
      </w:r>
      <w:proofErr w:type="spellStart"/>
      <w:r w:rsidRPr="00FD53A8">
        <w:t>gydymui</w:t>
      </w:r>
      <w:proofErr w:type="spellEnd"/>
      <w:r w:rsidRPr="00FD53A8">
        <w:t xml:space="preserve">: </w:t>
      </w:r>
      <w:proofErr w:type="spellStart"/>
      <w:r w:rsidRPr="00695887">
        <w:rPr>
          <w:color w:val="000000"/>
          <w:shd w:val="clear" w:color="auto" w:fill="FFFFFF"/>
        </w:rPr>
        <w:t>TNFa</w:t>
      </w:r>
      <w:proofErr w:type="spellEnd"/>
      <w:r w:rsidRPr="00695887">
        <w:rPr>
          <w:color w:val="000000"/>
          <w:shd w:val="clear" w:color="auto" w:fill="FFFFFF"/>
        </w:rPr>
        <w:t xml:space="preserve"> </w:t>
      </w:r>
      <w:proofErr w:type="spellStart"/>
      <w:r w:rsidRPr="00695887">
        <w:rPr>
          <w:color w:val="000000"/>
          <w:shd w:val="clear" w:color="auto" w:fill="FFFFFF"/>
        </w:rPr>
        <w:t>inhibitoriai</w:t>
      </w:r>
      <w:proofErr w:type="spellEnd"/>
      <w:r w:rsidRPr="00695887">
        <w:rPr>
          <w:color w:val="000000"/>
          <w:shd w:val="clear" w:color="auto" w:fill="FFFFFF"/>
        </w:rPr>
        <w:t xml:space="preserve"> (</w:t>
      </w:r>
      <w:proofErr w:type="spellStart"/>
      <w:r>
        <w:rPr>
          <w:color w:val="000000"/>
          <w:shd w:val="clear" w:color="auto" w:fill="FFFFFF"/>
        </w:rPr>
        <w:t>a</w:t>
      </w:r>
      <w:r w:rsidRPr="00695887">
        <w:rPr>
          <w:color w:val="000000"/>
          <w:shd w:val="clear" w:color="auto" w:fill="FFFFFF"/>
        </w:rPr>
        <w:t>dalimumabas</w:t>
      </w:r>
      <w:proofErr w:type="spellEnd"/>
      <w:r w:rsidRPr="00695887">
        <w:rPr>
          <w:color w:val="000000"/>
          <w:shd w:val="clear" w:color="auto" w:fill="FFFFFF"/>
        </w:rPr>
        <w:t xml:space="preserve">, </w:t>
      </w:r>
      <w:proofErr w:type="spellStart"/>
      <w:r>
        <w:rPr>
          <w:color w:val="000000"/>
          <w:shd w:val="clear" w:color="auto" w:fill="FFFFFF"/>
        </w:rPr>
        <w:t>e</w:t>
      </w:r>
      <w:r w:rsidRPr="00695887">
        <w:rPr>
          <w:color w:val="000000"/>
          <w:shd w:val="clear" w:color="auto" w:fill="FFFFFF"/>
        </w:rPr>
        <w:t>tanerceptas</w:t>
      </w:r>
      <w:proofErr w:type="spellEnd"/>
      <w:r w:rsidRPr="00695887">
        <w:rPr>
          <w:color w:val="000000"/>
          <w:shd w:val="clear" w:color="auto" w:fill="FFFFFF"/>
        </w:rPr>
        <w:t xml:space="preserve">, </w:t>
      </w:r>
      <w:proofErr w:type="spellStart"/>
      <w:r>
        <w:rPr>
          <w:color w:val="000000"/>
          <w:shd w:val="clear" w:color="auto" w:fill="FFFFFF"/>
        </w:rPr>
        <w:t>i</w:t>
      </w:r>
      <w:r w:rsidRPr="00695887">
        <w:rPr>
          <w:color w:val="000000"/>
          <w:shd w:val="clear" w:color="auto" w:fill="FFFFFF"/>
        </w:rPr>
        <w:t>nfiksimabas</w:t>
      </w:r>
      <w:proofErr w:type="spellEnd"/>
      <w:r w:rsidRPr="00695887">
        <w:rPr>
          <w:color w:val="000000"/>
          <w:shd w:val="clear" w:color="auto" w:fill="FFFFFF"/>
        </w:rPr>
        <w:t>)</w:t>
      </w:r>
    </w:p>
    <w:p w14:paraId="64B18709" w14:textId="77777777" w:rsidR="003C12B3" w:rsidRPr="00375A77" w:rsidRDefault="003C12B3" w:rsidP="003C12B3">
      <w:pPr>
        <w:pStyle w:val="NormalWeb"/>
        <w:numPr>
          <w:ilvl w:val="1"/>
          <w:numId w:val="15"/>
        </w:numPr>
        <w:spacing w:before="0" w:beforeAutospacing="0" w:after="135" w:afterAutospacing="0" w:line="276" w:lineRule="auto"/>
        <w:jc w:val="both"/>
        <w:rPr>
          <w:color w:val="000000"/>
          <w:shd w:val="clear" w:color="auto" w:fill="FFFFFF"/>
          <w:lang w:val="lt-LT"/>
        </w:rPr>
      </w:pPr>
      <w:r w:rsidRPr="00695887">
        <w:rPr>
          <w:lang w:val="lt-LT"/>
        </w:rPr>
        <w:t xml:space="preserve">Antros eilės gydymui: </w:t>
      </w:r>
      <w:proofErr w:type="spellStart"/>
      <w:r>
        <w:rPr>
          <w:color w:val="000000"/>
          <w:shd w:val="clear" w:color="auto" w:fill="FFFFFF"/>
          <w:lang w:val="lt-LT"/>
        </w:rPr>
        <w:t>i</w:t>
      </w:r>
      <w:r w:rsidRPr="00695887">
        <w:rPr>
          <w:color w:val="000000"/>
          <w:shd w:val="clear" w:color="auto" w:fill="FFFFFF"/>
          <w:lang w:val="lt-LT"/>
        </w:rPr>
        <w:t>nterleukin</w:t>
      </w:r>
      <w:r>
        <w:rPr>
          <w:color w:val="000000"/>
          <w:shd w:val="clear" w:color="auto" w:fill="FFFFFF"/>
          <w:lang w:val="lt-LT"/>
        </w:rPr>
        <w:t>ų</w:t>
      </w:r>
      <w:proofErr w:type="spellEnd"/>
      <w:r w:rsidRPr="00695887">
        <w:rPr>
          <w:color w:val="000000"/>
          <w:shd w:val="clear" w:color="auto" w:fill="FFFFFF"/>
          <w:lang w:val="lt-LT"/>
        </w:rPr>
        <w:t xml:space="preserve"> inhibitori</w:t>
      </w:r>
      <w:r>
        <w:rPr>
          <w:color w:val="000000"/>
          <w:shd w:val="clear" w:color="auto" w:fill="FFFFFF"/>
          <w:lang w:val="lt-LT"/>
        </w:rPr>
        <w:t>ai (</w:t>
      </w:r>
      <w:proofErr w:type="spellStart"/>
      <w:r>
        <w:rPr>
          <w:color w:val="000000"/>
          <w:shd w:val="clear" w:color="auto" w:fill="FFFFFF"/>
          <w:lang w:val="lt-LT"/>
        </w:rPr>
        <w:t>s</w:t>
      </w:r>
      <w:r w:rsidRPr="00695887">
        <w:rPr>
          <w:color w:val="000000"/>
          <w:shd w:val="clear" w:color="auto" w:fill="FFFFFF"/>
          <w:lang w:val="lt-LT"/>
        </w:rPr>
        <w:t>ekukinumabas</w:t>
      </w:r>
      <w:proofErr w:type="spellEnd"/>
      <w:r w:rsidRPr="00695887">
        <w:rPr>
          <w:color w:val="000000"/>
          <w:shd w:val="clear" w:color="auto" w:fill="FFFFFF"/>
          <w:lang w:val="lt-LT"/>
        </w:rPr>
        <w:t xml:space="preserve">, </w:t>
      </w:r>
      <w:proofErr w:type="spellStart"/>
      <w:r>
        <w:rPr>
          <w:color w:val="000000"/>
          <w:shd w:val="clear" w:color="auto" w:fill="FFFFFF"/>
          <w:lang w:val="lt-LT"/>
        </w:rPr>
        <w:t>u</w:t>
      </w:r>
      <w:r w:rsidRPr="00695887">
        <w:rPr>
          <w:color w:val="000000"/>
          <w:shd w:val="clear" w:color="auto" w:fill="FFFFFF"/>
          <w:lang w:val="lt-LT"/>
        </w:rPr>
        <w:t>stekinumabas</w:t>
      </w:r>
      <w:proofErr w:type="spellEnd"/>
      <w:r>
        <w:rPr>
          <w:color w:val="000000"/>
          <w:shd w:val="clear" w:color="auto" w:fill="FFFFFF"/>
          <w:lang w:val="lt-LT"/>
        </w:rPr>
        <w:t>).</w:t>
      </w:r>
    </w:p>
    <w:bookmarkEnd w:id="3"/>
    <w:p w14:paraId="011BEA98" w14:textId="5E5E4DBD" w:rsidR="008651E2" w:rsidRDefault="006705B8" w:rsidP="00A93AA6">
      <w:pPr>
        <w:pStyle w:val="ListParagraph"/>
        <w:tabs>
          <w:tab w:val="left" w:pos="426"/>
        </w:tabs>
        <w:ind w:left="0"/>
      </w:pPr>
      <w:proofErr w:type="spellStart"/>
      <w:r>
        <w:t>Upadacitinibo</w:t>
      </w:r>
      <w:proofErr w:type="spellEnd"/>
      <w:r>
        <w:t xml:space="preserve"> paraiška pateikta antros eilės </w:t>
      </w:r>
      <w:proofErr w:type="spellStart"/>
      <w:r>
        <w:t>bLMVR</w:t>
      </w:r>
      <w:proofErr w:type="spellEnd"/>
      <w:r>
        <w:t xml:space="preserve"> gydymui.</w:t>
      </w:r>
    </w:p>
    <w:p w14:paraId="62D93C5A" w14:textId="42ED29BA" w:rsidR="006705B8" w:rsidRDefault="006705B8" w:rsidP="00A93AA6">
      <w:pPr>
        <w:pStyle w:val="ListParagraph"/>
        <w:tabs>
          <w:tab w:val="left" w:pos="426"/>
        </w:tabs>
        <w:ind w:left="0"/>
      </w:pPr>
    </w:p>
    <w:p w14:paraId="5715147B" w14:textId="563253C6" w:rsidR="008075B7" w:rsidRPr="008075B7" w:rsidRDefault="008075B7" w:rsidP="00A93AA6">
      <w:pPr>
        <w:pStyle w:val="ListParagraph"/>
        <w:tabs>
          <w:tab w:val="left" w:pos="426"/>
        </w:tabs>
        <w:ind w:left="0"/>
        <w:rPr>
          <w:i/>
          <w:iCs/>
          <w:u w:val="single"/>
        </w:rPr>
      </w:pPr>
      <w:r w:rsidRPr="008075B7">
        <w:rPr>
          <w:i/>
          <w:iCs/>
          <w:u w:val="single"/>
        </w:rPr>
        <w:t>Tiesioginis palyginimas:</w:t>
      </w:r>
    </w:p>
    <w:p w14:paraId="2983551D" w14:textId="5D6AF48A" w:rsidR="00CB1C5E" w:rsidRDefault="006705B8" w:rsidP="00CB1C5E">
      <w:pPr>
        <w:tabs>
          <w:tab w:val="left" w:pos="426"/>
        </w:tabs>
        <w:spacing w:line="276" w:lineRule="auto"/>
        <w:jc w:val="both"/>
      </w:pPr>
      <w:r>
        <w:t xml:space="preserve">Palyginamajam efektyvumui ir klinikiniam veiksmingumui </w:t>
      </w:r>
      <w:r w:rsidR="008075B7">
        <w:t xml:space="preserve">pareiškėjas pateikė tiesioginį klinikinį tyrimą </w:t>
      </w:r>
      <w:r w:rsidR="008075B7" w:rsidRPr="00D81521">
        <w:t>SELECT-PsA 2</w:t>
      </w:r>
      <w:r w:rsidR="008075B7">
        <w:t xml:space="preserve">. Tai </w:t>
      </w:r>
      <w:r w:rsidR="008075B7" w:rsidRPr="00FD53A8">
        <w:t xml:space="preserve">III fazės, </w:t>
      </w:r>
      <w:proofErr w:type="spellStart"/>
      <w:r w:rsidR="008075B7" w:rsidRPr="00FD53A8">
        <w:t>daugiacentri</w:t>
      </w:r>
      <w:r w:rsidR="008075B7">
        <w:t>s</w:t>
      </w:r>
      <w:proofErr w:type="spellEnd"/>
      <w:r w:rsidR="008075B7" w:rsidRPr="00FD53A8">
        <w:t>, atsitiktinių imčių, dvigubai koduot</w:t>
      </w:r>
      <w:r w:rsidR="008075B7">
        <w:t>as</w:t>
      </w:r>
      <w:r w:rsidR="008075B7" w:rsidRPr="00FD53A8">
        <w:t xml:space="preserve">, </w:t>
      </w:r>
      <w:proofErr w:type="spellStart"/>
      <w:r w:rsidR="008075B7" w:rsidRPr="00FD53A8">
        <w:t>placebu</w:t>
      </w:r>
      <w:proofErr w:type="spellEnd"/>
      <w:r w:rsidR="008075B7" w:rsidRPr="00FD53A8">
        <w:t xml:space="preserve"> kontroliuojam</w:t>
      </w:r>
      <w:r w:rsidR="008075B7">
        <w:t xml:space="preserve">as klinikinis tyrimas. </w:t>
      </w:r>
      <w:r w:rsidR="009145D2">
        <w:t xml:space="preserve">Į tyrimą įtraukti pacientai, sergantys vidurinio sunkumo ar sunkiu </w:t>
      </w:r>
      <w:proofErr w:type="spellStart"/>
      <w:r w:rsidR="009145D2">
        <w:t>psorizainiu</w:t>
      </w:r>
      <w:proofErr w:type="spellEnd"/>
      <w:r w:rsidR="009145D2">
        <w:t xml:space="preserve"> artritu, kurie jau anksčiau buvo gavę gydymą bent viena biologinės terapijos eile. Tyrime buvo lyginama </w:t>
      </w:r>
      <w:proofErr w:type="spellStart"/>
      <w:r w:rsidR="009145D2">
        <w:t>upadacitinibo</w:t>
      </w:r>
      <w:proofErr w:type="spellEnd"/>
      <w:r w:rsidR="009145D2">
        <w:t xml:space="preserve"> </w:t>
      </w:r>
      <w:r w:rsidR="008075B7" w:rsidRPr="00297B0C">
        <w:t xml:space="preserve">15 mg ir 30 mg </w:t>
      </w:r>
      <w:proofErr w:type="spellStart"/>
      <w:r w:rsidR="008075B7">
        <w:t>dozuotės</w:t>
      </w:r>
      <w:proofErr w:type="spellEnd"/>
      <w:r w:rsidR="008075B7">
        <w:t xml:space="preserve"> su </w:t>
      </w:r>
      <w:proofErr w:type="spellStart"/>
      <w:r w:rsidR="008075B7">
        <w:t>placebu</w:t>
      </w:r>
      <w:proofErr w:type="spellEnd"/>
      <w:r w:rsidR="007D6482">
        <w:t xml:space="preserve"> ir įrodytas </w:t>
      </w:r>
      <w:proofErr w:type="spellStart"/>
      <w:r w:rsidR="007D6482">
        <w:t>upadacitinibo</w:t>
      </w:r>
      <w:proofErr w:type="spellEnd"/>
      <w:r w:rsidR="007D6482">
        <w:t xml:space="preserve"> abiejų </w:t>
      </w:r>
      <w:proofErr w:type="spellStart"/>
      <w:r w:rsidR="007D6482">
        <w:t>dozuočių</w:t>
      </w:r>
      <w:proofErr w:type="spellEnd"/>
      <w:r w:rsidR="007D6482">
        <w:t xml:space="preserve"> pranašumas prieš </w:t>
      </w:r>
      <w:proofErr w:type="spellStart"/>
      <w:r w:rsidR="007D6482">
        <w:t>placebą</w:t>
      </w:r>
      <w:proofErr w:type="spellEnd"/>
      <w:r w:rsidR="007D6482">
        <w:t>.</w:t>
      </w:r>
      <w:r w:rsidR="009145D2">
        <w:t xml:space="preserve"> </w:t>
      </w:r>
      <w:r w:rsidR="002A6B73">
        <w:t xml:space="preserve">Šis tyrimas vertinamas kaip neatitinkantis Lietuvos klinikinės praktikos, kadangi žinoma, jog II-ai biologinės eilei psoriaziniam artritui gydyti kompensuojami ir yra prieinami </w:t>
      </w:r>
      <w:proofErr w:type="spellStart"/>
      <w:r w:rsidR="002A6B73">
        <w:t>interleukinų</w:t>
      </w:r>
      <w:proofErr w:type="spellEnd"/>
      <w:r w:rsidR="002A6B73">
        <w:t xml:space="preserve"> inhibitoriai (</w:t>
      </w:r>
      <w:proofErr w:type="spellStart"/>
      <w:r w:rsidR="002A6B73">
        <w:t>sekukinumabas</w:t>
      </w:r>
      <w:proofErr w:type="spellEnd"/>
      <w:r w:rsidR="002A6B73">
        <w:t xml:space="preserve">, </w:t>
      </w:r>
      <w:proofErr w:type="spellStart"/>
      <w:r w:rsidR="002A6B73">
        <w:t>ustekinumabas</w:t>
      </w:r>
      <w:proofErr w:type="spellEnd"/>
      <w:r w:rsidR="002A6B73">
        <w:t>).</w:t>
      </w:r>
      <w:r w:rsidR="00CB1C5E">
        <w:t xml:space="preserve"> Taip pat, remiantis </w:t>
      </w:r>
      <w:proofErr w:type="spellStart"/>
      <w:r w:rsidR="00CB1C5E">
        <w:t>Rinvoq</w:t>
      </w:r>
      <w:proofErr w:type="spellEnd"/>
      <w:r w:rsidR="00CB1C5E">
        <w:t xml:space="preserve"> Preparato charakteristikos santrauka, psoriaziniam artritui gydyti yra registruota </w:t>
      </w:r>
      <w:proofErr w:type="spellStart"/>
      <w:r w:rsidR="00CB1C5E">
        <w:t>upadacitinibo</w:t>
      </w:r>
      <w:proofErr w:type="spellEnd"/>
      <w:r w:rsidR="00CB1C5E">
        <w:t xml:space="preserve"> 15 mg </w:t>
      </w:r>
      <w:proofErr w:type="spellStart"/>
      <w:r w:rsidR="00CB1C5E">
        <w:t>dozuotė</w:t>
      </w:r>
      <w:proofErr w:type="spellEnd"/>
      <w:r w:rsidR="00CB1C5E">
        <w:t xml:space="preserve">, todėl tyrime </w:t>
      </w:r>
      <w:r w:rsidR="00CB1C5E" w:rsidRPr="00D81521">
        <w:t>SELECT-</w:t>
      </w:r>
      <w:proofErr w:type="spellStart"/>
      <w:r w:rsidR="00CB1C5E">
        <w:t>PsA</w:t>
      </w:r>
      <w:proofErr w:type="spellEnd"/>
      <w:r w:rsidR="00CB1C5E">
        <w:t xml:space="preserve"> </w:t>
      </w:r>
      <w:r w:rsidR="00CB1C5E" w:rsidRPr="00D81521">
        <w:t>2</w:t>
      </w:r>
      <w:r w:rsidR="00CB1C5E">
        <w:t xml:space="preserve"> </w:t>
      </w:r>
      <w:proofErr w:type="spellStart"/>
      <w:r w:rsidR="00CB1C5E">
        <w:t>upadacitinibo</w:t>
      </w:r>
      <w:proofErr w:type="spellEnd"/>
      <w:r w:rsidR="00CB1C5E">
        <w:t xml:space="preserve"> </w:t>
      </w:r>
      <w:r w:rsidR="00CB1C5E" w:rsidRPr="00CB1C5E">
        <w:t xml:space="preserve">30 mg </w:t>
      </w:r>
      <w:proofErr w:type="spellStart"/>
      <w:r w:rsidR="00CB1C5E" w:rsidRPr="00CB1C5E">
        <w:t>dozuot</w:t>
      </w:r>
      <w:r w:rsidR="00CB1C5E">
        <w:t>ės</w:t>
      </w:r>
      <w:proofErr w:type="spellEnd"/>
      <w:r w:rsidR="00CB1C5E">
        <w:t xml:space="preserve"> palyginimas nėra tinkamas.</w:t>
      </w:r>
    </w:p>
    <w:p w14:paraId="38C04D4E" w14:textId="44628965" w:rsidR="00CB1C5E" w:rsidRDefault="00CB1C5E" w:rsidP="00CB1C5E">
      <w:pPr>
        <w:tabs>
          <w:tab w:val="left" w:pos="426"/>
        </w:tabs>
        <w:spacing w:line="276" w:lineRule="auto"/>
        <w:jc w:val="both"/>
      </w:pPr>
    </w:p>
    <w:p w14:paraId="133DBC4A" w14:textId="7E4695C2" w:rsidR="00CB1C5E" w:rsidRDefault="00CB1C5E" w:rsidP="00CB1C5E">
      <w:pPr>
        <w:tabs>
          <w:tab w:val="left" w:pos="426"/>
        </w:tabs>
        <w:spacing w:line="276" w:lineRule="auto"/>
        <w:jc w:val="both"/>
        <w:rPr>
          <w:i/>
          <w:iCs/>
          <w:u w:val="single"/>
        </w:rPr>
      </w:pPr>
      <w:r w:rsidRPr="00CB1C5E">
        <w:rPr>
          <w:i/>
          <w:iCs/>
          <w:u w:val="single"/>
        </w:rPr>
        <w:lastRenderedPageBreak/>
        <w:t xml:space="preserve">Netiesioginis palyginimas </w:t>
      </w:r>
    </w:p>
    <w:p w14:paraId="1BEDFBD5" w14:textId="3C19D985" w:rsidR="007D6482" w:rsidRPr="00F713E6" w:rsidRDefault="00F713E6" w:rsidP="00CB1C5E">
      <w:pPr>
        <w:tabs>
          <w:tab w:val="left" w:pos="426"/>
        </w:tabs>
        <w:spacing w:line="276" w:lineRule="auto"/>
        <w:jc w:val="both"/>
        <w:rPr>
          <w:u w:val="single"/>
        </w:rPr>
      </w:pPr>
      <w:r w:rsidRPr="00F713E6">
        <w:rPr>
          <w:highlight w:val="red"/>
        </w:rPr>
        <w:t>****</w:t>
      </w:r>
    </w:p>
    <w:p w14:paraId="05435903" w14:textId="77777777" w:rsidR="008651E2" w:rsidRPr="006D4C85" w:rsidRDefault="008651E2" w:rsidP="00A93AA6">
      <w:pPr>
        <w:pStyle w:val="ListParagraph"/>
        <w:tabs>
          <w:tab w:val="left" w:pos="426"/>
        </w:tabs>
        <w:ind w:left="0"/>
        <w:rPr>
          <w:b/>
          <w:bCs/>
          <w:caps/>
        </w:rPr>
      </w:pPr>
      <w:bookmarkStart w:id="4" w:name="_GoBack"/>
      <w:bookmarkEnd w:id="4"/>
    </w:p>
    <w:p w14:paraId="7DE09EB5" w14:textId="04C72FFD" w:rsidR="00E03C3F" w:rsidRPr="00A93AA6" w:rsidRDefault="00CC7832" w:rsidP="00937907">
      <w:pPr>
        <w:pStyle w:val="ListParagraph"/>
        <w:numPr>
          <w:ilvl w:val="0"/>
          <w:numId w:val="12"/>
        </w:numPr>
        <w:tabs>
          <w:tab w:val="left" w:pos="426"/>
        </w:tabs>
        <w:rPr>
          <w:b/>
          <w:bCs/>
          <w:caps/>
        </w:rPr>
      </w:pPr>
      <w:r w:rsidRPr="00A93AA6">
        <w:rPr>
          <w:b/>
          <w:bCs/>
          <w:caps/>
        </w:rPr>
        <w:t>Farmakoekonomin</w:t>
      </w:r>
      <w:r>
        <w:rPr>
          <w:b/>
          <w:bCs/>
          <w:caps/>
        </w:rPr>
        <w:t>io</w:t>
      </w:r>
      <w:r w:rsidRPr="00A93AA6">
        <w:rPr>
          <w:b/>
          <w:bCs/>
          <w:caps/>
        </w:rPr>
        <w:t xml:space="preserve"> vert</w:t>
      </w:r>
      <w:r>
        <w:rPr>
          <w:b/>
          <w:bCs/>
          <w:caps/>
        </w:rPr>
        <w:t xml:space="preserve">inimo </w:t>
      </w:r>
      <w:r w:rsidR="002F0E4F" w:rsidRPr="00A93AA6">
        <w:rPr>
          <w:b/>
          <w:bCs/>
          <w:caps/>
        </w:rPr>
        <w:t>apibendrinimas</w:t>
      </w:r>
    </w:p>
    <w:p w14:paraId="1A900598" w14:textId="65638B29" w:rsidR="00C62B36" w:rsidRDefault="00C62B36" w:rsidP="00A93AA6">
      <w:pPr>
        <w:tabs>
          <w:tab w:val="left" w:pos="426"/>
        </w:tabs>
        <w:rPr>
          <w:i/>
          <w:color w:val="00B050"/>
          <w:sz w:val="22"/>
          <w:szCs w:val="22"/>
        </w:rPr>
      </w:pPr>
    </w:p>
    <w:p w14:paraId="2E51F0E8" w14:textId="77777777" w:rsidR="00E84FAD" w:rsidRDefault="00E84FAD" w:rsidP="00E84FAD">
      <w:pPr>
        <w:ind w:firstLine="709"/>
        <w:jc w:val="both"/>
        <w:rPr>
          <w:rFonts w:asciiTheme="majorBidi" w:hAnsiTheme="majorBidi" w:cstheme="majorBidi"/>
        </w:rPr>
      </w:pPr>
      <w:r>
        <w:t xml:space="preserve">Pareiškėjo pateiktoje </w:t>
      </w:r>
      <w:proofErr w:type="spellStart"/>
      <w:r>
        <w:t>farmakoekonominėje</w:t>
      </w:r>
      <w:proofErr w:type="spellEnd"/>
      <w:r>
        <w:t xml:space="preserve"> analizėje (toliau – FEA)</w:t>
      </w:r>
      <w:r w:rsidRPr="004D765E">
        <w:t xml:space="preserve"> įtrauktas pacientų pogrupis pagal kompensavimui teikiamą indikaciją su skyrimo sąlyga: suaugę (18 m. ir vyresni) pacientai, kuriems nustatytas aktyvus </w:t>
      </w:r>
      <w:proofErr w:type="spellStart"/>
      <w:r w:rsidRPr="004D765E">
        <w:t>psoriazinis</w:t>
      </w:r>
      <w:proofErr w:type="spellEnd"/>
      <w:r w:rsidRPr="004D765E">
        <w:t xml:space="preserve"> artritas</w:t>
      </w:r>
      <w:r>
        <w:t xml:space="preserve"> (</w:t>
      </w:r>
      <w:proofErr w:type="spellStart"/>
      <w:r>
        <w:t>PsA</w:t>
      </w:r>
      <w:proofErr w:type="spellEnd"/>
      <w:r>
        <w:t>)</w:t>
      </w:r>
      <w:r w:rsidRPr="004D765E">
        <w:t xml:space="preserve"> ir kuriems nepasiektas gydymo atsakas į ankstesnį </w:t>
      </w:r>
      <w:r w:rsidRPr="00C951FB">
        <w:rPr>
          <w:u w:val="single"/>
        </w:rPr>
        <w:t>biologinį gydym</w:t>
      </w:r>
      <w:r>
        <w:rPr>
          <w:u w:val="single"/>
        </w:rPr>
        <w:t xml:space="preserve">ą (gydant vienu ar daugiau </w:t>
      </w:r>
      <w:proofErr w:type="spellStart"/>
      <w:r>
        <w:rPr>
          <w:u w:val="single"/>
        </w:rPr>
        <w:t>bLMV</w:t>
      </w:r>
      <w:proofErr w:type="spellEnd"/>
      <w:r w:rsidRPr="00C951FB">
        <w:rPr>
          <w:rFonts w:asciiTheme="majorBidi" w:hAnsiTheme="majorBidi" w:cstheme="majorBidi"/>
          <w:u w:val="single"/>
        </w:rPr>
        <w:t>)</w:t>
      </w:r>
      <w:r w:rsidRPr="004D765E">
        <w:rPr>
          <w:rFonts w:asciiTheme="majorBidi" w:hAnsiTheme="majorBidi" w:cstheme="majorBidi"/>
        </w:rPr>
        <w:t>.</w:t>
      </w:r>
    </w:p>
    <w:p w14:paraId="59B7795A" w14:textId="77777777" w:rsidR="00E84FAD" w:rsidRDefault="00E84FAD" w:rsidP="00E84FAD">
      <w:pPr>
        <w:ind w:firstLine="709"/>
        <w:jc w:val="both"/>
        <w:rPr>
          <w:rFonts w:asciiTheme="majorBidi" w:hAnsiTheme="majorBidi" w:cstheme="majorBidi"/>
        </w:rPr>
      </w:pPr>
      <w:r w:rsidRPr="002B419A">
        <w:rPr>
          <w:rFonts w:eastAsia="Arial"/>
          <w:bCs/>
          <w:szCs w:val="22"/>
        </w:rPr>
        <w:t xml:space="preserve">Įprastinėje atvejo analizėje </w:t>
      </w:r>
      <w:proofErr w:type="spellStart"/>
      <w:r w:rsidRPr="002B419A">
        <w:rPr>
          <w:rFonts w:eastAsia="Arial"/>
          <w:bCs/>
          <w:szCs w:val="22"/>
        </w:rPr>
        <w:t>upadacitinibas</w:t>
      </w:r>
      <w:proofErr w:type="spellEnd"/>
      <w:r w:rsidRPr="002B419A">
        <w:rPr>
          <w:rFonts w:eastAsia="Arial"/>
          <w:bCs/>
          <w:szCs w:val="22"/>
        </w:rPr>
        <w:t xml:space="preserve"> </w:t>
      </w:r>
      <w:r>
        <w:rPr>
          <w:rFonts w:eastAsia="Arial"/>
          <w:bCs/>
          <w:szCs w:val="22"/>
        </w:rPr>
        <w:t xml:space="preserve">yra lyginamas su </w:t>
      </w:r>
      <w:proofErr w:type="spellStart"/>
      <w:r>
        <w:rPr>
          <w:rFonts w:eastAsia="Arial"/>
          <w:bCs/>
          <w:szCs w:val="22"/>
        </w:rPr>
        <w:t>sekukinamabu</w:t>
      </w:r>
      <w:proofErr w:type="spellEnd"/>
      <w:r w:rsidRPr="002B419A">
        <w:rPr>
          <w:rFonts w:eastAsia="Arial"/>
          <w:bCs/>
          <w:szCs w:val="22"/>
        </w:rPr>
        <w:t xml:space="preserve">. Tarnyba vertina, kad </w:t>
      </w:r>
      <w:r w:rsidRPr="00C81829">
        <w:rPr>
          <w:rFonts w:eastAsia="Arial"/>
          <w:bCs/>
          <w:szCs w:val="22"/>
        </w:rPr>
        <w:t xml:space="preserve">palyginamasis yra tinkamas, kadangi atitinka </w:t>
      </w:r>
      <w:r w:rsidRPr="00C81829">
        <w:rPr>
          <w:rFonts w:eastAsia="Arial"/>
          <w:bCs/>
        </w:rPr>
        <w:t xml:space="preserve">paraiškos įrašyti vaistinį preparatą į kompensavimo sąrašus rengimo taisyklių patvirtintų Lietuvos Respublikos sveikatos apsaugos ministro 2002 m. balandžio 5 d. įsakymu Nr. V-159 „Dėl vaistinių preparatų ir medicinos pagalbos priemonių įrašymo į kompensavimo sąrašus ir jų keitimo tvarkos aprašo patvirtinimo“ 116.1, 116.2 ir 119 punktus, </w:t>
      </w:r>
      <w:proofErr w:type="spellStart"/>
      <w:r w:rsidRPr="00C81829">
        <w:rPr>
          <w:rFonts w:eastAsia="Arial"/>
          <w:bCs/>
        </w:rPr>
        <w:t>t.y</w:t>
      </w:r>
      <w:proofErr w:type="spellEnd"/>
      <w:r w:rsidRPr="00C81829">
        <w:rPr>
          <w:rFonts w:eastAsia="Arial"/>
          <w:bCs/>
        </w:rPr>
        <w:t xml:space="preserve">. atitinka įprastinę LR klinikinę praktiką: </w:t>
      </w:r>
      <w:r w:rsidRPr="00C81829">
        <w:rPr>
          <w:rFonts w:eastAsia="Arial"/>
          <w:bCs/>
          <w:szCs w:val="22"/>
        </w:rPr>
        <w:t xml:space="preserve">sutampa vaistinių  preparatų indikacijos, </w:t>
      </w:r>
      <w:proofErr w:type="spellStart"/>
      <w:r w:rsidRPr="00C81829">
        <w:rPr>
          <w:rFonts w:eastAsia="Arial"/>
          <w:bCs/>
          <w:szCs w:val="22"/>
        </w:rPr>
        <w:t>sekukinumabas</w:t>
      </w:r>
      <w:proofErr w:type="spellEnd"/>
      <w:r w:rsidRPr="00C81829">
        <w:rPr>
          <w:rFonts w:eastAsia="Arial"/>
          <w:bCs/>
          <w:szCs w:val="22"/>
        </w:rPr>
        <w:t xml:space="preserve"> Lietuvoje yra kompensuojamas </w:t>
      </w:r>
      <w:proofErr w:type="spellStart"/>
      <w:r w:rsidRPr="00C81829">
        <w:rPr>
          <w:rFonts w:eastAsia="Arial"/>
          <w:bCs/>
          <w:szCs w:val="22"/>
        </w:rPr>
        <w:t>psoriazinio</w:t>
      </w:r>
      <w:proofErr w:type="spellEnd"/>
      <w:r w:rsidRPr="00C81829">
        <w:rPr>
          <w:rFonts w:eastAsia="Arial"/>
          <w:bCs/>
          <w:szCs w:val="22"/>
        </w:rPr>
        <w:t xml:space="preserve"> </w:t>
      </w:r>
      <w:proofErr w:type="spellStart"/>
      <w:r w:rsidRPr="00C81829">
        <w:rPr>
          <w:rFonts w:eastAsia="Arial"/>
          <w:bCs/>
          <w:szCs w:val="22"/>
        </w:rPr>
        <w:t>artito</w:t>
      </w:r>
      <w:proofErr w:type="spellEnd"/>
      <w:r w:rsidRPr="00C81829">
        <w:rPr>
          <w:rFonts w:eastAsia="Arial"/>
          <w:bCs/>
          <w:szCs w:val="22"/>
        </w:rPr>
        <w:t xml:space="preserve"> gydymui ir yra dažniausiai skiriamas antroje gydymo eilėje po negauto atsako į  biologinį gydymą pagal biologinių ligą modifikuojančių vaistinių preparatų 202</w:t>
      </w:r>
      <w:r w:rsidRPr="00C638D6">
        <w:rPr>
          <w:rFonts w:eastAsia="Arial"/>
          <w:bCs/>
          <w:szCs w:val="22"/>
        </w:rPr>
        <w:t>3</w:t>
      </w:r>
      <w:r w:rsidRPr="00C81829">
        <w:rPr>
          <w:rFonts w:eastAsia="Arial"/>
          <w:bCs/>
          <w:szCs w:val="22"/>
        </w:rPr>
        <w:t xml:space="preserve"> </w:t>
      </w:r>
      <w:r w:rsidRPr="002B419A">
        <w:rPr>
          <w:rFonts w:eastAsia="Arial"/>
          <w:bCs/>
          <w:szCs w:val="22"/>
        </w:rPr>
        <w:t>m. skyrimo eilę.</w:t>
      </w:r>
    </w:p>
    <w:p w14:paraId="19B93521" w14:textId="77777777" w:rsidR="00E84FAD" w:rsidRDefault="00E84FAD" w:rsidP="00E84FAD">
      <w:pPr>
        <w:ind w:firstLine="709"/>
        <w:jc w:val="both"/>
        <w:rPr>
          <w:rFonts w:asciiTheme="majorBidi" w:hAnsiTheme="majorBidi" w:cstheme="majorBidi"/>
        </w:rPr>
      </w:pPr>
      <w:r w:rsidRPr="00475852">
        <w:t xml:space="preserve">Pareiškėjas taiko </w:t>
      </w:r>
      <w:proofErr w:type="spellStart"/>
      <w:r w:rsidRPr="00475852">
        <w:t>Markovo</w:t>
      </w:r>
      <w:proofErr w:type="spellEnd"/>
      <w:r w:rsidRPr="00475852">
        <w:t xml:space="preserve"> grandinių modelį, sveikatos būkles apibrėžiant pagal gydymo būseną (</w:t>
      </w:r>
      <w:proofErr w:type="spellStart"/>
      <w:r w:rsidRPr="00475852">
        <w:t>t.y</w:t>
      </w:r>
      <w:proofErr w:type="spellEnd"/>
      <w:r w:rsidRPr="00475852">
        <w:t xml:space="preserve">. </w:t>
      </w:r>
      <w:r>
        <w:t>bandomą</w:t>
      </w:r>
      <w:r w:rsidRPr="0064740F">
        <w:t xml:space="preserve">jį laikotarpį ir nepertraukiamo gydymo laikotarpį, slaugą) ir mirtį. Sveikatai sukuriama nauda nepertraukiamo gydymo laikotarpiu buvo apskaičiuota remiantis HAQ-DI ir PASI balais, kurie priklauso </w:t>
      </w:r>
      <w:r w:rsidRPr="00FE5261">
        <w:t xml:space="preserve">nuo </w:t>
      </w:r>
      <w:proofErr w:type="spellStart"/>
      <w:r w:rsidRPr="00FE5261">
        <w:t>PsARC</w:t>
      </w:r>
      <w:proofErr w:type="spellEnd"/>
      <w:r w:rsidRPr="00FE5261">
        <w:t xml:space="preserve"> atsako. Klinikinio veiksmingumo duomenys FEA įtraukti iš netiesioginio palyginimo</w:t>
      </w:r>
      <w:r>
        <w:t xml:space="preserve"> tinklinės meta analizės</w:t>
      </w:r>
      <w:r w:rsidRPr="00FE5261">
        <w:t xml:space="preserve">. Laikoma, kad šaltinis yra tinkamas klinikinio efektyvumo duomenų pagrindimui ir taikymui FEA. Modelyje taikoma ilgesnė (viso gyvenimo) laiko perspektyva, laikoma, kad duomenų ekstrapoliacijai po klinikinio tyrimo stebėsenos pabaigos taikomos prielaidos yra pagrįstos. Paminėtina, kad </w:t>
      </w:r>
      <w:r w:rsidRPr="00FE5261">
        <w:rPr>
          <w:rFonts w:eastAsia="Arial"/>
        </w:rPr>
        <w:t>Pareiškėjo pateiktas modelis rengtas kaštų naudingumo analizei, pritaikant prielaidas taikytas QALYS pranašumui bei ICER apskaičiuoti (bei klinikiniam pranašumui įrodyti)</w:t>
      </w:r>
      <w:r w:rsidRPr="00FE5261">
        <w:t>, tačiau</w:t>
      </w:r>
      <w:r w:rsidRPr="00FE5261">
        <w:rPr>
          <w:rFonts w:eastAsia="Arial"/>
        </w:rPr>
        <w:t xml:space="preserve"> kompensavimui teikiama kaštų mažinimo analizė, todėl daroma prielaida, kad sveikatai sukuriama nauda yra panaši ir </w:t>
      </w:r>
      <w:r w:rsidRPr="00FE5261">
        <w:t>vertinami tik kaštų skirtumai.</w:t>
      </w:r>
    </w:p>
    <w:p w14:paraId="535F2972" w14:textId="603AAABC" w:rsidR="00E84FAD" w:rsidRDefault="00E84FAD" w:rsidP="00E84FAD">
      <w:pPr>
        <w:ind w:firstLine="709"/>
        <w:jc w:val="both"/>
        <w:rPr>
          <w:rFonts w:asciiTheme="majorBidi" w:hAnsiTheme="majorBidi" w:cstheme="majorBidi"/>
        </w:rPr>
      </w:pPr>
      <w:r w:rsidRPr="00F43785">
        <w:t xml:space="preserve">KMA įtraukti vaistinių preparatų įsigijimo ir stebėsenos kaštai, bei su </w:t>
      </w:r>
      <w:proofErr w:type="spellStart"/>
      <w:r w:rsidR="00772970" w:rsidRPr="00F43785">
        <w:t>upadacitinibo</w:t>
      </w:r>
      <w:proofErr w:type="spellEnd"/>
      <w:r w:rsidRPr="00F43785">
        <w:t xml:space="preserve"> ir </w:t>
      </w:r>
      <w:proofErr w:type="spellStart"/>
      <w:r w:rsidRPr="00F43785">
        <w:t>sekukinumabo</w:t>
      </w:r>
      <w:proofErr w:type="spellEnd"/>
      <w:r w:rsidRPr="00F43785">
        <w:t xml:space="preserve"> gydymo nepageidaujamais reiškiniais susiję kaštai.  </w:t>
      </w:r>
      <w:r w:rsidRPr="00F43785">
        <w:rPr>
          <w:rFonts w:asciiTheme="majorBidi" w:hAnsiTheme="majorBidi" w:cstheme="majorBidi"/>
        </w:rPr>
        <w:t xml:space="preserve">Pareiškėjas atnaujintoje paraiškoje </w:t>
      </w:r>
      <w:proofErr w:type="spellStart"/>
      <w:r w:rsidRPr="00F43785">
        <w:rPr>
          <w:rFonts w:asciiTheme="majorBidi" w:hAnsiTheme="majorBidi" w:cstheme="majorBidi"/>
        </w:rPr>
        <w:t>upadacitinibo</w:t>
      </w:r>
      <w:proofErr w:type="spellEnd"/>
      <w:r w:rsidRPr="00F43785">
        <w:rPr>
          <w:rFonts w:asciiTheme="majorBidi" w:hAnsiTheme="majorBidi" w:cstheme="majorBidi"/>
        </w:rPr>
        <w:t xml:space="preserve"> bazinę kainą nurodo pagal kainyną (2022 m. II </w:t>
      </w:r>
      <w:proofErr w:type="spellStart"/>
      <w:r w:rsidRPr="00F43785">
        <w:rPr>
          <w:rFonts w:asciiTheme="majorBidi" w:hAnsiTheme="majorBidi" w:cstheme="majorBidi"/>
        </w:rPr>
        <w:t>ketv</w:t>
      </w:r>
      <w:proofErr w:type="spellEnd"/>
      <w:r w:rsidRPr="00F43785">
        <w:rPr>
          <w:rFonts w:asciiTheme="majorBidi" w:hAnsiTheme="majorBidi" w:cstheme="majorBidi"/>
        </w:rPr>
        <w:t xml:space="preserve">.) – 607,78 </w:t>
      </w:r>
      <w:proofErr w:type="spellStart"/>
      <w:r w:rsidRPr="00F43785">
        <w:rPr>
          <w:rFonts w:asciiTheme="majorBidi" w:hAnsiTheme="majorBidi" w:cstheme="majorBidi"/>
        </w:rPr>
        <w:t>Eur</w:t>
      </w:r>
      <w:proofErr w:type="spellEnd"/>
      <w:r w:rsidRPr="00F43785">
        <w:rPr>
          <w:rFonts w:asciiTheme="majorBidi" w:hAnsiTheme="majorBidi" w:cstheme="majorBidi"/>
        </w:rPr>
        <w:t xml:space="preserve">., </w:t>
      </w:r>
      <w:r w:rsidRPr="00F43785">
        <w:rPr>
          <w:rFonts w:asciiTheme="majorBidi" w:hAnsiTheme="majorBidi" w:cstheme="majorBidi"/>
          <w:b/>
        </w:rPr>
        <w:t xml:space="preserve">tačiau ekonominiame modelyje Pareiškėjas rezultatus skaičiuoja su </w:t>
      </w:r>
      <w:r w:rsidR="009D4013" w:rsidRPr="009D4013">
        <w:rPr>
          <w:rFonts w:asciiTheme="majorBidi" w:hAnsiTheme="majorBidi" w:cstheme="majorBidi"/>
          <w:b/>
          <w:highlight w:val="red"/>
        </w:rPr>
        <w:t>****</w:t>
      </w:r>
      <w:r w:rsidRPr="00F43785">
        <w:rPr>
          <w:rFonts w:asciiTheme="majorBidi" w:hAnsiTheme="majorBidi" w:cstheme="majorBidi"/>
          <w:b/>
        </w:rPr>
        <w:t xml:space="preserve"> </w:t>
      </w:r>
      <w:proofErr w:type="spellStart"/>
      <w:r w:rsidRPr="00F43785">
        <w:rPr>
          <w:rFonts w:asciiTheme="majorBidi" w:hAnsiTheme="majorBidi" w:cstheme="majorBidi"/>
          <w:b/>
        </w:rPr>
        <w:t>Eur</w:t>
      </w:r>
      <w:proofErr w:type="spellEnd"/>
      <w:r w:rsidRPr="00F43785">
        <w:rPr>
          <w:rFonts w:asciiTheme="majorBidi" w:hAnsiTheme="majorBidi" w:cstheme="majorBidi"/>
          <w:b/>
        </w:rPr>
        <w:t xml:space="preserve">. </w:t>
      </w:r>
      <w:proofErr w:type="spellStart"/>
      <w:r w:rsidRPr="00F43785">
        <w:rPr>
          <w:rFonts w:asciiTheme="majorBidi" w:hAnsiTheme="majorBidi" w:cstheme="majorBidi"/>
          <w:b/>
        </w:rPr>
        <w:t>upadacitinibo</w:t>
      </w:r>
      <w:proofErr w:type="spellEnd"/>
      <w:r w:rsidRPr="00F43785">
        <w:rPr>
          <w:rFonts w:asciiTheme="majorBidi" w:hAnsiTheme="majorBidi" w:cstheme="majorBidi"/>
          <w:b/>
        </w:rPr>
        <w:t xml:space="preserve"> kaina.</w:t>
      </w:r>
      <w:r w:rsidRPr="00F43785">
        <w:rPr>
          <w:rFonts w:asciiTheme="majorBidi" w:hAnsiTheme="majorBidi" w:cstheme="majorBidi"/>
        </w:rPr>
        <w:t xml:space="preserve"> Tarnyba ekonominį modelį laiko pagrindiniu duomenų šaltiniu kaštų analizės vertinimui atlikti ir įprastinėje atvejo analizėje taiko </w:t>
      </w:r>
      <w:proofErr w:type="spellStart"/>
      <w:r w:rsidRPr="00F43785">
        <w:rPr>
          <w:rFonts w:asciiTheme="majorBidi" w:hAnsiTheme="majorBidi" w:cstheme="majorBidi"/>
        </w:rPr>
        <w:t>upadacitinibo</w:t>
      </w:r>
      <w:proofErr w:type="spellEnd"/>
      <w:r w:rsidRPr="00F43785">
        <w:rPr>
          <w:rFonts w:asciiTheme="majorBidi" w:hAnsiTheme="majorBidi" w:cstheme="majorBidi"/>
        </w:rPr>
        <w:t xml:space="preserve"> bazinę kainą – </w:t>
      </w:r>
      <w:r w:rsidR="009D4013" w:rsidRPr="009D4013">
        <w:rPr>
          <w:rFonts w:asciiTheme="majorBidi" w:hAnsiTheme="majorBidi" w:cstheme="majorBidi"/>
          <w:b/>
          <w:highlight w:val="red"/>
        </w:rPr>
        <w:t>****</w:t>
      </w:r>
      <w:r w:rsidRPr="00F43785">
        <w:rPr>
          <w:rFonts w:asciiTheme="majorBidi" w:hAnsiTheme="majorBidi" w:cstheme="majorBidi"/>
        </w:rPr>
        <w:t xml:space="preserve"> </w:t>
      </w:r>
      <w:proofErr w:type="spellStart"/>
      <w:r w:rsidRPr="00F43785">
        <w:rPr>
          <w:rFonts w:asciiTheme="majorBidi" w:hAnsiTheme="majorBidi" w:cstheme="majorBidi"/>
        </w:rPr>
        <w:t>Eur</w:t>
      </w:r>
      <w:proofErr w:type="spellEnd"/>
      <w:r w:rsidRPr="00F43785">
        <w:rPr>
          <w:rFonts w:asciiTheme="majorBidi" w:hAnsiTheme="majorBidi" w:cstheme="majorBidi"/>
        </w:rPr>
        <w:t xml:space="preserve">. Atkreiptinas dėmesys, kad taikant kainą 607,78 </w:t>
      </w:r>
      <w:proofErr w:type="spellStart"/>
      <w:r w:rsidRPr="00F43785">
        <w:rPr>
          <w:rFonts w:asciiTheme="majorBidi" w:hAnsiTheme="majorBidi" w:cstheme="majorBidi"/>
        </w:rPr>
        <w:t>Eur</w:t>
      </w:r>
      <w:proofErr w:type="spellEnd"/>
      <w:r w:rsidRPr="00F43785">
        <w:rPr>
          <w:rFonts w:asciiTheme="majorBidi" w:hAnsiTheme="majorBidi" w:cstheme="majorBidi"/>
        </w:rPr>
        <w:t>. – kaštų mažinimas nėra pasiekiamas.</w:t>
      </w:r>
      <w:r w:rsidRPr="00F43785">
        <w:t xml:space="preserve"> </w:t>
      </w:r>
      <w:r w:rsidRPr="00F43785">
        <w:rPr>
          <w:iCs/>
        </w:rPr>
        <w:t xml:space="preserve">Dėl vaistinio preparato </w:t>
      </w:r>
      <w:proofErr w:type="spellStart"/>
      <w:r w:rsidRPr="00F43785">
        <w:rPr>
          <w:iCs/>
        </w:rPr>
        <w:t>sekukinumabo</w:t>
      </w:r>
      <w:proofErr w:type="spellEnd"/>
      <w:r w:rsidRPr="00F43785">
        <w:rPr>
          <w:iCs/>
        </w:rPr>
        <w:t xml:space="preserve"> yra sudaryta prieinamumo gerinimo sutartis ir kadangi, Lietuvai taikoma </w:t>
      </w:r>
      <w:proofErr w:type="spellStart"/>
      <w:r w:rsidRPr="00F43785">
        <w:rPr>
          <w:iCs/>
        </w:rPr>
        <w:t>sekukinumabo</w:t>
      </w:r>
      <w:proofErr w:type="spellEnd"/>
      <w:r w:rsidRPr="00F43785">
        <w:rPr>
          <w:iCs/>
        </w:rPr>
        <w:t xml:space="preserve"> kainos nuolaida yra konfidenciali (2023 m. sausio 17 d. VLK duomenys), galutiniai KMA rezultatai pateikiami atskiru dokumentu</w:t>
      </w:r>
      <w:r w:rsidR="00772970" w:rsidRPr="00F43785">
        <w:rPr>
          <w:iCs/>
        </w:rPr>
        <w:t xml:space="preserve"> (</w:t>
      </w:r>
      <w:r w:rsidR="00ED552D" w:rsidRPr="00F43785">
        <w:rPr>
          <w:i/>
          <w:iCs/>
        </w:rPr>
        <w:t>P</w:t>
      </w:r>
      <w:r w:rsidR="00772970" w:rsidRPr="00F43785">
        <w:rPr>
          <w:i/>
          <w:iCs/>
        </w:rPr>
        <w:t>riedas 1)</w:t>
      </w:r>
      <w:r w:rsidRPr="00F43785">
        <w:rPr>
          <w:iCs/>
        </w:rPr>
        <w:t>.</w:t>
      </w:r>
    </w:p>
    <w:p w14:paraId="7C29AB8F" w14:textId="77777777" w:rsidR="00E84FAD" w:rsidRDefault="00E84FAD" w:rsidP="00E84FAD">
      <w:pPr>
        <w:ind w:firstLine="709"/>
        <w:jc w:val="both"/>
        <w:rPr>
          <w:rFonts w:asciiTheme="majorBidi" w:hAnsiTheme="majorBidi" w:cstheme="majorBidi"/>
        </w:rPr>
      </w:pPr>
      <w:r>
        <w:rPr>
          <w:color w:val="000000"/>
        </w:rPr>
        <w:t xml:space="preserve">Vaistinių preparatų skyrimo kaštai KMA netaikomi, atsižvelgiant į </w:t>
      </w:r>
      <w:proofErr w:type="spellStart"/>
      <w:r>
        <w:rPr>
          <w:color w:val="000000"/>
        </w:rPr>
        <w:t>upadacitinibo</w:t>
      </w:r>
      <w:proofErr w:type="spellEnd"/>
      <w:r>
        <w:rPr>
          <w:color w:val="000000"/>
        </w:rPr>
        <w:t xml:space="preserve"> (p</w:t>
      </w:r>
      <w:r w:rsidRPr="00FD53A8">
        <w:rPr>
          <w:color w:val="000000"/>
        </w:rPr>
        <w:t>ailginto atpalaidavimo tabletės</w:t>
      </w:r>
      <w:r>
        <w:rPr>
          <w:color w:val="000000"/>
        </w:rPr>
        <w:t xml:space="preserve">) ir </w:t>
      </w:r>
      <w:proofErr w:type="spellStart"/>
      <w:r>
        <w:rPr>
          <w:color w:val="000000"/>
        </w:rPr>
        <w:t>sekukinumabo</w:t>
      </w:r>
      <w:proofErr w:type="spellEnd"/>
      <w:r>
        <w:rPr>
          <w:color w:val="000000"/>
        </w:rPr>
        <w:t xml:space="preserve"> (</w:t>
      </w:r>
      <w:r w:rsidRPr="006D70EE">
        <w:t xml:space="preserve">injekcinis tirpalas užpildytame </w:t>
      </w:r>
      <w:proofErr w:type="spellStart"/>
      <w:r w:rsidRPr="006D70EE">
        <w:t>švirkštiklyje</w:t>
      </w:r>
      <w:proofErr w:type="spellEnd"/>
      <w:r>
        <w:t>)</w:t>
      </w:r>
      <w:r>
        <w:rPr>
          <w:color w:val="000000"/>
        </w:rPr>
        <w:t xml:space="preserve"> farmacines formas, laikoma, kad pacientai vartoja </w:t>
      </w:r>
      <w:proofErr w:type="spellStart"/>
      <w:r>
        <w:rPr>
          <w:color w:val="000000"/>
        </w:rPr>
        <w:t>ambulatoriškai</w:t>
      </w:r>
      <w:proofErr w:type="spellEnd"/>
      <w:r>
        <w:rPr>
          <w:color w:val="000000"/>
        </w:rPr>
        <w:t xml:space="preserve"> ir papildomai skyrimo kaštai nepatiriami.</w:t>
      </w:r>
    </w:p>
    <w:p w14:paraId="135EAC27" w14:textId="77777777" w:rsidR="00E84FAD" w:rsidRDefault="00E84FAD" w:rsidP="00E84FAD">
      <w:pPr>
        <w:ind w:firstLine="709"/>
        <w:jc w:val="both"/>
        <w:rPr>
          <w:rFonts w:asciiTheme="majorBidi" w:hAnsiTheme="majorBidi" w:cstheme="majorBidi"/>
        </w:rPr>
      </w:pPr>
      <w:r>
        <w:rPr>
          <w:color w:val="000000"/>
        </w:rPr>
        <w:t xml:space="preserve">Apskaičiuojant stebėjimo kaštus Pareiškėjas taiko prielaidą, kad konsultacijos bei visi reikalingi tyrimai (kraujo, šlapimo, kepenų funkciniai, krūties rentgeno ir kt.) bus atliekami </w:t>
      </w:r>
      <w:proofErr w:type="spellStart"/>
      <w:r>
        <w:rPr>
          <w:color w:val="000000"/>
        </w:rPr>
        <w:t>reumatogolo</w:t>
      </w:r>
      <w:proofErr w:type="spellEnd"/>
      <w:r>
        <w:rPr>
          <w:color w:val="000000"/>
        </w:rPr>
        <w:t xml:space="preserve"> konsultacijos apimtyje (</w:t>
      </w:r>
      <w:proofErr w:type="spellStart"/>
      <w:r w:rsidRPr="00D11065">
        <w:rPr>
          <w:color w:val="000000"/>
        </w:rPr>
        <w:t>Reumatologo</w:t>
      </w:r>
      <w:proofErr w:type="spellEnd"/>
      <w:r w:rsidRPr="00D11065">
        <w:rPr>
          <w:color w:val="000000"/>
        </w:rPr>
        <w:t xml:space="preserve"> III paslauga,</w:t>
      </w:r>
      <w:r>
        <w:rPr>
          <w:color w:val="000000"/>
        </w:rPr>
        <w:t xml:space="preserve"> paslaugos kodas</w:t>
      </w:r>
      <w:r w:rsidRPr="00D11065">
        <w:rPr>
          <w:color w:val="000000"/>
        </w:rPr>
        <w:t xml:space="preserve"> 1691</w:t>
      </w:r>
      <w:r>
        <w:rPr>
          <w:color w:val="000000"/>
        </w:rPr>
        <w:t xml:space="preserve">, </w:t>
      </w:r>
      <w:r w:rsidRPr="00D11065">
        <w:rPr>
          <w:color w:val="000000"/>
        </w:rPr>
        <w:t>202</w:t>
      </w:r>
      <w:r w:rsidRPr="00C638D6">
        <w:rPr>
          <w:color w:val="000000"/>
        </w:rPr>
        <w:t>3</w:t>
      </w:r>
      <w:r>
        <w:rPr>
          <w:color w:val="000000"/>
        </w:rPr>
        <w:t xml:space="preserve">m I </w:t>
      </w:r>
      <w:proofErr w:type="spellStart"/>
      <w:r w:rsidRPr="00D11065">
        <w:rPr>
          <w:color w:val="000000"/>
        </w:rPr>
        <w:t>ketv</w:t>
      </w:r>
      <w:proofErr w:type="spellEnd"/>
      <w:r>
        <w:rPr>
          <w:color w:val="000000"/>
        </w:rPr>
        <w:t>.) ir papildomi kaštai neįtraukiami.</w:t>
      </w:r>
    </w:p>
    <w:p w14:paraId="733F816D" w14:textId="77777777" w:rsidR="00E84FAD" w:rsidRDefault="00E84FAD" w:rsidP="00E84FAD">
      <w:pPr>
        <w:ind w:firstLine="709"/>
        <w:jc w:val="both"/>
        <w:rPr>
          <w:rFonts w:asciiTheme="majorBidi" w:hAnsiTheme="majorBidi" w:cstheme="majorBidi"/>
        </w:rPr>
      </w:pPr>
      <w:r w:rsidRPr="00B408C6">
        <w:t xml:space="preserve">Dozavimas ir gydymo trukmė ekonominėje analizėje atitinka </w:t>
      </w:r>
      <w:r>
        <w:t xml:space="preserve">vaistinių preparatų charakteristikų santraukose nurodytą bei </w:t>
      </w:r>
      <w:r w:rsidRPr="00B408C6">
        <w:t xml:space="preserve">klinikiniuose </w:t>
      </w:r>
      <w:proofErr w:type="spellStart"/>
      <w:r w:rsidRPr="00B408C6">
        <w:t>į</w:t>
      </w:r>
      <w:r>
        <w:t>rodymuose</w:t>
      </w:r>
      <w:proofErr w:type="spellEnd"/>
      <w:r>
        <w:t xml:space="preserve"> pateiktą informaciją. </w:t>
      </w:r>
      <w:proofErr w:type="spellStart"/>
      <w:r>
        <w:t>Sekukinumabo</w:t>
      </w:r>
      <w:proofErr w:type="spellEnd"/>
      <w:r>
        <w:t xml:space="preserve"> k</w:t>
      </w:r>
      <w:r>
        <w:rPr>
          <w:iCs/>
        </w:rPr>
        <w:t>ainai apskaičiuoti taikytas 150 ir 300 mg skiriamų dozių dažnių svertinis vidurkis pagal faktinius VLK duomenis (</w:t>
      </w:r>
      <w:r w:rsidRPr="00C638D6">
        <w:rPr>
          <w:iCs/>
        </w:rPr>
        <w:t xml:space="preserve">2021 m.). </w:t>
      </w:r>
    </w:p>
    <w:p w14:paraId="48F04806" w14:textId="3EF869D6" w:rsidR="00E84FAD" w:rsidRDefault="00E84FAD" w:rsidP="00E84FAD">
      <w:pPr>
        <w:ind w:firstLine="709"/>
        <w:jc w:val="both"/>
        <w:rPr>
          <w:rFonts w:asciiTheme="majorBidi" w:hAnsiTheme="majorBidi" w:cstheme="majorBidi"/>
        </w:rPr>
      </w:pPr>
      <w:r w:rsidRPr="00C638D6">
        <w:rPr>
          <w:iCs/>
        </w:rPr>
        <w:lastRenderedPageBreak/>
        <w:t>Gydymo kaštų Pareiškėjas atnaujintoje analizėje neįtraukia. Tarnyba vertina, kad gydymo kaštai dėl KMA taikomos prielaidos, kad klinikinė vaistinių prep</w:t>
      </w:r>
      <w:r w:rsidR="00F43785">
        <w:rPr>
          <w:iCs/>
        </w:rPr>
        <w:t>a</w:t>
      </w:r>
      <w:r w:rsidRPr="00C638D6">
        <w:rPr>
          <w:iCs/>
        </w:rPr>
        <w:t>ratų nauda panaši, laikomi panašiais ir nėra esminiai kaštų struktūros skirtumai.</w:t>
      </w:r>
    </w:p>
    <w:p w14:paraId="444FE76D" w14:textId="01462C1D" w:rsidR="00E84FAD" w:rsidRPr="00E959C9" w:rsidRDefault="00E84FAD" w:rsidP="00E84FAD">
      <w:pPr>
        <w:ind w:firstLine="709"/>
        <w:jc w:val="both"/>
        <w:rPr>
          <w:rFonts w:asciiTheme="majorBidi" w:hAnsiTheme="majorBidi" w:cstheme="majorBidi"/>
        </w:rPr>
      </w:pPr>
      <w:r>
        <w:rPr>
          <w:bCs/>
          <w:color w:val="000000"/>
        </w:rPr>
        <w:t xml:space="preserve">Apibendrinant, </w:t>
      </w:r>
      <w:r w:rsidRPr="009A6671">
        <w:rPr>
          <w:bCs/>
          <w:color w:val="000000"/>
        </w:rPr>
        <w:t>Tarnyba vertina, kad KMA apima visus tiesiogiai su sveikata susiju</w:t>
      </w:r>
      <w:r w:rsidR="00306D00">
        <w:rPr>
          <w:bCs/>
          <w:color w:val="000000"/>
        </w:rPr>
        <w:t>sius vaistinių preparatų kaštus. A</w:t>
      </w:r>
      <w:r w:rsidRPr="009A6671">
        <w:rPr>
          <w:bCs/>
          <w:color w:val="000000"/>
        </w:rPr>
        <w:t>p</w:t>
      </w:r>
      <w:r w:rsidRPr="009A6671">
        <w:t>skaičiuojant kaštus buvo vadovaujamasi Valstybinės vaistų kontrolės tarnybos prie Lietuvos Respublikos sveikatos apsaugos ministerijos kaštų skaičiavimo metodika</w:t>
      </w:r>
      <w:r>
        <w:t xml:space="preserve">. Pareiškėjas kaštų analizėje įtraukė Lietuvos sveikatos sistemos paslaugas ir jų įkainius (2022 m. II </w:t>
      </w:r>
      <w:proofErr w:type="spellStart"/>
      <w:r>
        <w:t>ketv</w:t>
      </w:r>
      <w:proofErr w:type="spellEnd"/>
      <w:r>
        <w:t xml:space="preserve">.). </w:t>
      </w:r>
      <w:r w:rsidRPr="006D70EE">
        <w:t>Tarnyba teikia atnaujintus sveikatos priežiūros paslaugų įkainius ir</w:t>
      </w:r>
      <w:r>
        <w:t xml:space="preserve"> bazines vaistinių preparatų kainas (2023 m. I </w:t>
      </w:r>
      <w:proofErr w:type="spellStart"/>
      <w:r>
        <w:t>ketv</w:t>
      </w:r>
      <w:proofErr w:type="spellEnd"/>
      <w:r>
        <w:t xml:space="preserve">.) su taikomomis kainų nuolaidomis. </w:t>
      </w:r>
      <w:r w:rsidRPr="00B408C6">
        <w:t>Analizė atlikta iš PSDF biudžeto perspektyvos, įtraukti tiesiogiai su sveikatos sistema susiję kaštai. Kaštai ir nauda diskontuoti pagal teisės aktuose nustatytus paraiškos rengimo taisyklių reikalavimus. Taikyt</w:t>
      </w:r>
      <w:r>
        <w:t xml:space="preserve">as 3,5% diskontavimas. </w:t>
      </w:r>
      <w:r w:rsidRPr="00B408C6">
        <w:t xml:space="preserve">Tai atitinka teisės aktuose nustatytus paraiškos </w:t>
      </w:r>
      <w:r>
        <w:t>rengimo taisyklių reikalavimus, l</w:t>
      </w:r>
      <w:r w:rsidRPr="00CE1783">
        <w:rPr>
          <w:rFonts w:eastAsia="Arial"/>
        </w:rPr>
        <w:t>aikoma, ka</w:t>
      </w:r>
      <w:r>
        <w:rPr>
          <w:rFonts w:eastAsia="Arial"/>
        </w:rPr>
        <w:t xml:space="preserve">d visi esminiai </w:t>
      </w:r>
      <w:r w:rsidRPr="00E959C9">
        <w:rPr>
          <w:rFonts w:eastAsia="Arial"/>
        </w:rPr>
        <w:t xml:space="preserve">kaštai įtraukti ir prielaidos bei joms taikyti šaltiniai pagrįsti. </w:t>
      </w:r>
    </w:p>
    <w:p w14:paraId="7F3BEE68" w14:textId="1F728015" w:rsidR="00E84FAD" w:rsidRPr="00E84FAD" w:rsidRDefault="00E84FAD" w:rsidP="00E84FAD">
      <w:pPr>
        <w:ind w:firstLine="709"/>
        <w:jc w:val="both"/>
        <w:rPr>
          <w:rFonts w:asciiTheme="majorBidi" w:hAnsiTheme="majorBidi" w:cstheme="majorBidi"/>
        </w:rPr>
      </w:pPr>
      <w:r w:rsidRPr="00E959C9">
        <w:rPr>
          <w:lang w:eastAsia="lt-LT"/>
        </w:rPr>
        <w:t xml:space="preserve">Dėl konfidencialios </w:t>
      </w:r>
      <w:proofErr w:type="spellStart"/>
      <w:r w:rsidRPr="00E959C9">
        <w:rPr>
          <w:lang w:eastAsia="lt-LT"/>
        </w:rPr>
        <w:t>sekukinumabui</w:t>
      </w:r>
      <w:proofErr w:type="spellEnd"/>
      <w:r w:rsidRPr="00E959C9">
        <w:rPr>
          <w:lang w:eastAsia="lt-LT"/>
        </w:rPr>
        <w:t xml:space="preserve"> taikomos kainos nuolaidos, ekonominės analizės rezultatas pateikiamas atskiru dokumentu</w:t>
      </w:r>
      <w:r w:rsidR="00772970" w:rsidRPr="00E959C9">
        <w:rPr>
          <w:lang w:eastAsia="lt-LT"/>
        </w:rPr>
        <w:t xml:space="preserve"> (</w:t>
      </w:r>
      <w:r w:rsidR="00772970" w:rsidRPr="00E959C9">
        <w:rPr>
          <w:i/>
          <w:lang w:eastAsia="lt-LT"/>
        </w:rPr>
        <w:t>priedas 1</w:t>
      </w:r>
      <w:r w:rsidR="00772970" w:rsidRPr="00E959C9">
        <w:rPr>
          <w:lang w:eastAsia="lt-LT"/>
        </w:rPr>
        <w:t>)</w:t>
      </w:r>
      <w:r w:rsidRPr="00E959C9">
        <w:rPr>
          <w:lang w:eastAsia="lt-LT"/>
        </w:rPr>
        <w:t xml:space="preserve">. </w:t>
      </w:r>
      <w:r w:rsidRPr="00E959C9">
        <w:t xml:space="preserve">Tarnyba atkreipia dėmesį, kad </w:t>
      </w:r>
      <w:r w:rsidRPr="00E959C9">
        <w:rPr>
          <w:rFonts w:eastAsia="Arial"/>
        </w:rPr>
        <w:t xml:space="preserve">vertinant viso gyvenimo laiko perspektyvoje, </w:t>
      </w:r>
      <w:proofErr w:type="spellStart"/>
      <w:r w:rsidRPr="00E959C9">
        <w:rPr>
          <w:rFonts w:eastAsia="Arial"/>
        </w:rPr>
        <w:t>upadacinibo</w:t>
      </w:r>
      <w:proofErr w:type="spellEnd"/>
      <w:r w:rsidRPr="00E959C9">
        <w:rPr>
          <w:rFonts w:eastAsia="Arial"/>
        </w:rPr>
        <w:t xml:space="preserve"> kaštai mažesni nei </w:t>
      </w:r>
      <w:proofErr w:type="spellStart"/>
      <w:r w:rsidRPr="00E959C9">
        <w:rPr>
          <w:rFonts w:eastAsia="Arial"/>
        </w:rPr>
        <w:t>sekukinumabo</w:t>
      </w:r>
      <w:proofErr w:type="spellEnd"/>
      <w:r w:rsidRPr="00E959C9">
        <w:rPr>
          <w:rFonts w:eastAsia="Arial"/>
        </w:rPr>
        <w:t xml:space="preserve">, </w:t>
      </w:r>
      <w:r w:rsidRPr="00E959C9">
        <w:rPr>
          <w:rFonts w:eastAsia="Arial"/>
          <w:b/>
        </w:rPr>
        <w:t xml:space="preserve">kai taikoma </w:t>
      </w:r>
      <w:proofErr w:type="spellStart"/>
      <w:r w:rsidRPr="00E959C9">
        <w:rPr>
          <w:rFonts w:eastAsia="Arial"/>
          <w:b/>
        </w:rPr>
        <w:t>upadacitinibo</w:t>
      </w:r>
      <w:proofErr w:type="spellEnd"/>
      <w:r w:rsidRPr="00E959C9">
        <w:rPr>
          <w:rFonts w:eastAsia="Arial"/>
          <w:b/>
        </w:rPr>
        <w:t xml:space="preserve"> bazinė pakuotės kaina – </w:t>
      </w:r>
      <w:r w:rsidR="009D4013" w:rsidRPr="009D4013">
        <w:rPr>
          <w:rFonts w:eastAsia="Arial"/>
          <w:b/>
          <w:highlight w:val="red"/>
          <w:lang w:val="en-US"/>
        </w:rPr>
        <w:t>****</w:t>
      </w:r>
      <w:r w:rsidRPr="00E959C9">
        <w:rPr>
          <w:rFonts w:eastAsia="Arial"/>
          <w:b/>
        </w:rPr>
        <w:t xml:space="preserve"> </w:t>
      </w:r>
      <w:proofErr w:type="spellStart"/>
      <w:r w:rsidRPr="00E959C9">
        <w:rPr>
          <w:rFonts w:eastAsia="Arial"/>
          <w:b/>
        </w:rPr>
        <w:t>Eur</w:t>
      </w:r>
      <w:proofErr w:type="spellEnd"/>
      <w:r w:rsidRPr="00E959C9">
        <w:rPr>
          <w:rFonts w:eastAsia="Arial"/>
          <w:b/>
        </w:rPr>
        <w:t>.</w:t>
      </w:r>
      <w:r w:rsidRPr="00E959C9">
        <w:rPr>
          <w:b/>
        </w:rPr>
        <w:t xml:space="preserve"> </w:t>
      </w:r>
      <w:r w:rsidRPr="00E959C9">
        <w:t xml:space="preserve">(Pareiškėjo modelyje taikyta kaina) bei </w:t>
      </w:r>
      <w:proofErr w:type="spellStart"/>
      <w:r w:rsidRPr="00E959C9">
        <w:t>sekukinamubui</w:t>
      </w:r>
      <w:proofErr w:type="spellEnd"/>
      <w:r w:rsidRPr="00E959C9">
        <w:t xml:space="preserve"> pritaikyta PGS. Kai KMA taikoma </w:t>
      </w:r>
      <w:proofErr w:type="spellStart"/>
      <w:r w:rsidRPr="00E959C9">
        <w:t>upadacitinibo</w:t>
      </w:r>
      <w:proofErr w:type="spellEnd"/>
      <w:r w:rsidRPr="00E959C9">
        <w:t xml:space="preserve"> kaina – 607,78 </w:t>
      </w:r>
      <w:proofErr w:type="spellStart"/>
      <w:r w:rsidRPr="00E959C9">
        <w:t>Eur</w:t>
      </w:r>
      <w:proofErr w:type="spellEnd"/>
      <w:r w:rsidRPr="00E959C9">
        <w:t xml:space="preserve">., kaštų mažinimas nėra pasiekiamas ir gydymas </w:t>
      </w:r>
      <w:proofErr w:type="spellStart"/>
      <w:r w:rsidRPr="00E959C9">
        <w:t>upadacitinibu</w:t>
      </w:r>
      <w:proofErr w:type="spellEnd"/>
      <w:r w:rsidRPr="00E959C9">
        <w:t xml:space="preserve"> vertinant ilguoju laikotarpiu yra brangesnis nei sekukinumabu.</w:t>
      </w:r>
    </w:p>
    <w:p w14:paraId="36DEA333" w14:textId="77777777" w:rsidR="00E84FAD" w:rsidRDefault="00E84FAD" w:rsidP="00A93AA6">
      <w:pPr>
        <w:tabs>
          <w:tab w:val="left" w:pos="426"/>
        </w:tabs>
        <w:rPr>
          <w:b/>
          <w:bCs/>
          <w:caps/>
        </w:rPr>
      </w:pPr>
    </w:p>
    <w:p w14:paraId="4FC424F9" w14:textId="4E767245" w:rsidR="00C62B36" w:rsidRPr="00797153" w:rsidRDefault="00C62B36" w:rsidP="00937907">
      <w:pPr>
        <w:pStyle w:val="ListParagraph"/>
        <w:numPr>
          <w:ilvl w:val="0"/>
          <w:numId w:val="12"/>
        </w:numPr>
        <w:tabs>
          <w:tab w:val="left" w:pos="284"/>
        </w:tabs>
        <w:rPr>
          <w:b/>
          <w:bCs/>
          <w:caps/>
        </w:rPr>
      </w:pPr>
      <w:r w:rsidRPr="00797153">
        <w:rPr>
          <w:b/>
          <w:bCs/>
          <w:caps/>
        </w:rPr>
        <w:t xml:space="preserve">Pacientų organizacijų pateikti duomenys </w:t>
      </w:r>
    </w:p>
    <w:p w14:paraId="79BCFF40" w14:textId="1992DF4A" w:rsidR="00937907" w:rsidRPr="00797153" w:rsidRDefault="00F713E6" w:rsidP="00937907">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EndPr>
          <w:rPr>
            <w:rStyle w:val="Style2"/>
          </w:rPr>
        </w:sdtEndPr>
        <w:sdtContent>
          <w:r w:rsidR="00937907" w:rsidRPr="00797153">
            <w:rPr>
              <w:rStyle w:val="Style2"/>
              <w:rFonts w:ascii="MS Gothic" w:eastAsia="MS Gothic" w:hAnsi="MS Gothic" w:hint="eastAsia"/>
            </w:rPr>
            <w:t>☐</w:t>
          </w:r>
        </w:sdtContent>
      </w:sdt>
      <w:r w:rsidR="00937907" w:rsidRPr="00797153">
        <w:t xml:space="preserve"> Pacientų organizacijos pozicija pateikta. Žr. priedą.</w:t>
      </w:r>
    </w:p>
    <w:p w14:paraId="62992180" w14:textId="2F285823" w:rsidR="00937907" w:rsidRPr="00797153" w:rsidRDefault="00F713E6" w:rsidP="0093790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EndPr>
          <w:rPr>
            <w:rStyle w:val="Style2"/>
          </w:rPr>
        </w:sdtEndPr>
        <w:sdtContent>
          <w:r w:rsidR="00B35176">
            <w:rPr>
              <w:rStyle w:val="Style2"/>
              <w:rFonts w:ascii="MS Gothic" w:eastAsia="MS Gothic" w:hAnsi="MS Gothic" w:hint="eastAsia"/>
            </w:rPr>
            <w:t>☒</w:t>
          </w:r>
        </w:sdtContent>
      </w:sdt>
      <w:r w:rsidR="00937907" w:rsidRPr="00797153">
        <w:t xml:space="preserve"> Pacientų organizacijos pozicija </w:t>
      </w:r>
      <w:r w:rsidR="00880A44">
        <w:t>ne</w:t>
      </w:r>
      <w:r w:rsidR="00937907" w:rsidRPr="00797153">
        <w:t>pateikta.</w:t>
      </w:r>
    </w:p>
    <w:p w14:paraId="3D3277FA" w14:textId="3CEEB2D2" w:rsidR="00C62B36" w:rsidRPr="00797153" w:rsidRDefault="00C62B36" w:rsidP="00937907">
      <w:pPr>
        <w:pStyle w:val="ListParagraph"/>
        <w:numPr>
          <w:ilvl w:val="0"/>
          <w:numId w:val="12"/>
        </w:numPr>
        <w:tabs>
          <w:tab w:val="left" w:pos="426"/>
        </w:tabs>
        <w:rPr>
          <w:b/>
          <w:bCs/>
          <w:caps/>
        </w:rPr>
      </w:pPr>
      <w:r w:rsidRPr="00797153">
        <w:rPr>
          <w:b/>
          <w:bCs/>
          <w:caps/>
        </w:rPr>
        <w:t>Gydytojų organizacijų pateikti duomenys</w:t>
      </w:r>
    </w:p>
    <w:p w14:paraId="389A346C" w14:textId="73B325B7" w:rsidR="00937907" w:rsidRPr="00797153" w:rsidRDefault="00F713E6" w:rsidP="00662983">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EndPr>
          <w:rPr>
            <w:rStyle w:val="Style2"/>
          </w:rPr>
        </w:sdtEndPr>
        <w:sdtContent>
          <w:r w:rsidR="00B35176">
            <w:rPr>
              <w:rStyle w:val="Style2"/>
              <w:rFonts w:ascii="MS Gothic" w:eastAsia="MS Gothic" w:hAnsi="MS Gothic" w:hint="eastAsia"/>
            </w:rPr>
            <w:t>☒</w:t>
          </w:r>
        </w:sdtContent>
      </w:sdt>
      <w:r w:rsidR="00662983" w:rsidRPr="00797153">
        <w:t xml:space="preserve"> </w:t>
      </w:r>
      <w:r w:rsidR="00937907" w:rsidRPr="00797153">
        <w:t xml:space="preserve">Gydytojų specialistų organizacijos pozicija pateikta. </w:t>
      </w:r>
      <w:r w:rsidR="00662983" w:rsidRPr="00797153">
        <w:t>Žr. priedą</w:t>
      </w:r>
      <w:r w:rsidR="00937907" w:rsidRPr="00797153">
        <w:t>.</w:t>
      </w:r>
    </w:p>
    <w:p w14:paraId="5D8CC48C" w14:textId="26425340" w:rsidR="00662983" w:rsidRPr="006E501F" w:rsidRDefault="00F713E6" w:rsidP="00662983">
      <w:pPr>
        <w:spacing w:after="120"/>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EndPr>
          <w:rPr>
            <w:rStyle w:val="Style2"/>
          </w:rPr>
        </w:sdtEndPr>
        <w:sdtContent>
          <w:r w:rsidR="00B35176">
            <w:rPr>
              <w:rStyle w:val="Style2"/>
              <w:rFonts w:ascii="MS Gothic" w:eastAsia="MS Gothic" w:hAnsi="MS Gothic" w:hint="eastAsia"/>
            </w:rPr>
            <w:t>☐</w:t>
          </w:r>
        </w:sdtContent>
      </w:sdt>
      <w:r w:rsidR="00662983" w:rsidRPr="00797153">
        <w:t xml:space="preserve"> </w:t>
      </w:r>
      <w:r w:rsidR="00937907" w:rsidRPr="00797153">
        <w:t xml:space="preserve">Gydytojų specialistų organizacijos pozicija </w:t>
      </w:r>
      <w:r w:rsidR="00880A44">
        <w:t>ne</w:t>
      </w:r>
      <w:r w:rsidR="00937907" w:rsidRPr="00797153">
        <w:t>pateikta.</w:t>
      </w:r>
    </w:p>
    <w:p w14:paraId="78F23ECB" w14:textId="23A3A002" w:rsidR="002F0E4F" w:rsidRDefault="002F0E4F" w:rsidP="00937907">
      <w:pPr>
        <w:pStyle w:val="ListParagraph"/>
        <w:numPr>
          <w:ilvl w:val="0"/>
          <w:numId w:val="12"/>
        </w:numPr>
        <w:tabs>
          <w:tab w:val="left" w:pos="426"/>
        </w:tabs>
        <w:rPr>
          <w:b/>
          <w:bCs/>
          <w:caps/>
        </w:rPr>
      </w:pPr>
      <w:r w:rsidRPr="00B4017A">
        <w:rPr>
          <w:b/>
          <w:bCs/>
          <w:caps/>
        </w:rPr>
        <w:t xml:space="preserve">Išvada </w:t>
      </w:r>
    </w:p>
    <w:p w14:paraId="573E407F" w14:textId="77777777" w:rsidR="00797153" w:rsidRPr="00797153" w:rsidRDefault="00797153" w:rsidP="00797153">
      <w:pPr>
        <w:tabs>
          <w:tab w:val="left" w:pos="426"/>
        </w:tabs>
        <w:rPr>
          <w:b/>
          <w:bCs/>
          <w:caps/>
        </w:rPr>
      </w:pPr>
    </w:p>
    <w:tbl>
      <w:tblPr>
        <w:tblStyle w:val="TableGrid"/>
        <w:tblW w:w="0" w:type="auto"/>
        <w:tblLook w:val="04A0" w:firstRow="1" w:lastRow="0" w:firstColumn="1" w:lastColumn="0" w:noHBand="0" w:noVBand="1"/>
      </w:tblPr>
      <w:tblGrid>
        <w:gridCol w:w="4815"/>
        <w:gridCol w:w="4814"/>
      </w:tblGrid>
      <w:tr w:rsidR="00B13D65" w:rsidRPr="00B13D65" w14:paraId="25A2473E" w14:textId="77777777" w:rsidTr="00BD1E5A">
        <w:tc>
          <w:tcPr>
            <w:tcW w:w="4981" w:type="dxa"/>
          </w:tcPr>
          <w:p w14:paraId="7EFE6941" w14:textId="23B8BB6D"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kompensuoti</w:t>
            </w:r>
          </w:p>
        </w:tc>
        <w:tc>
          <w:tcPr>
            <w:tcW w:w="4981" w:type="dxa"/>
          </w:tcPr>
          <w:p w14:paraId="330A1A5E" w14:textId="19247DC1"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nekompensuoti</w:t>
            </w:r>
            <w:r w:rsidRPr="00B13D65">
              <w:rPr>
                <w:rStyle w:val="Style2"/>
                <w:rFonts w:eastAsia="MS Gothic"/>
                <w:b/>
                <w:bCs/>
                <w:sz w:val="24"/>
              </w:rPr>
              <w:t xml:space="preserve"> </w:t>
            </w:r>
          </w:p>
        </w:tc>
      </w:tr>
      <w:tr w:rsidR="00B13D65" w:rsidRPr="00B13D65" w14:paraId="143A7356" w14:textId="77777777" w:rsidTr="00BD1E5A">
        <w:tc>
          <w:tcPr>
            <w:tcW w:w="9962" w:type="dxa"/>
            <w:gridSpan w:val="2"/>
          </w:tcPr>
          <w:p w14:paraId="5D93D240"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Palyginamasis efektyvumas</w:t>
            </w:r>
          </w:p>
          <w:p w14:paraId="0AF5D6B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28A0C814" w14:textId="77777777" w:rsidTr="00BD1E5A">
        <w:tc>
          <w:tcPr>
            <w:tcW w:w="4981" w:type="dxa"/>
          </w:tcPr>
          <w:p w14:paraId="216769B5" w14:textId="1B919F91" w:rsidR="00B13D65" w:rsidRDefault="00F713E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32.1. yra didesnis</w:t>
            </w:r>
          </w:p>
          <w:p w14:paraId="3B48F372"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885712E" w:rsidR="00B13D65" w:rsidRPr="00B13D65" w:rsidRDefault="00F713E6"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EndPr>
                <w:rPr>
                  <w:rStyle w:val="Style2"/>
                </w:rPr>
              </w:sdtEndPr>
              <w:sdtContent>
                <w:r w:rsidR="00D2102A">
                  <w:rPr>
                    <w:rStyle w:val="Style2"/>
                    <w:rFonts w:ascii="MS Gothic" w:eastAsia="MS Gothic" w:hAnsi="MS Gothic" w:hint="eastAsia"/>
                    <w:sz w:val="24"/>
                  </w:rPr>
                  <w:t>☒</w:t>
                </w:r>
              </w:sdtContent>
            </w:sdt>
            <w:r w:rsidR="00B13D65" w:rsidRPr="00B13D65">
              <w:t xml:space="preserve"> 32.1. iš esmės nesiskiria</w:t>
            </w:r>
          </w:p>
        </w:tc>
        <w:tc>
          <w:tcPr>
            <w:tcW w:w="4981" w:type="dxa"/>
          </w:tcPr>
          <w:p w14:paraId="507828D9" w14:textId="09AE523F" w:rsidR="00B13D65" w:rsidRDefault="00F713E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33.1. yra mažesnis</w:t>
            </w:r>
          </w:p>
          <w:p w14:paraId="7F95DEEC"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Default="00F713E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33.1. yra neįrodytas kaip toks pat</w:t>
            </w:r>
          </w:p>
          <w:p w14:paraId="35205E85" w14:textId="77777777" w:rsidR="0066298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Default="00F713E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B13D65">
                  <w:rPr>
                    <w:rStyle w:val="Style2"/>
                    <w:rFonts w:ascii="Segoe UI Symbol" w:eastAsia="MS Gothic" w:hAnsi="Segoe UI Symbol" w:cs="Segoe UI Symbol"/>
                    <w:sz w:val="24"/>
                  </w:rPr>
                  <w:t>☐</w:t>
                </w:r>
              </w:sdtContent>
            </w:sdt>
            <w:r w:rsidR="00662983" w:rsidRPr="00B13D65">
              <w:t xml:space="preserve"> </w:t>
            </w:r>
            <w:r w:rsidR="00662983">
              <w:t xml:space="preserve">33.1 </w:t>
            </w:r>
            <w:r w:rsidR="00B13D65" w:rsidRPr="00B13D65">
              <w:t>neįrodytas kaip didesnis</w:t>
            </w:r>
          </w:p>
          <w:p w14:paraId="512E653B"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B13D65" w:rsidRDefault="00F713E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33.1. pateikti duomenys apie palyginamąjį efektyvumą yra netinkami vertinti</w:t>
            </w:r>
          </w:p>
          <w:p w14:paraId="5DDAA961"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161CC3FE" w14:textId="77777777" w:rsidTr="00BD1E5A">
        <w:tc>
          <w:tcPr>
            <w:tcW w:w="9962" w:type="dxa"/>
            <w:gridSpan w:val="2"/>
          </w:tcPr>
          <w:p w14:paraId="3B2878F0"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Klinikinis veiksmingumas</w:t>
            </w:r>
          </w:p>
          <w:p w14:paraId="1AB4689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3C60570A" w14:textId="77777777" w:rsidTr="00BD1E5A">
        <w:tc>
          <w:tcPr>
            <w:tcW w:w="4981" w:type="dxa"/>
          </w:tcPr>
          <w:p w14:paraId="6897B306" w14:textId="70C15EA4" w:rsidR="00B13D65" w:rsidRDefault="00F713E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32.2. yra įvertintas kaip pagrindžiantis papildomos naudos pacientų sveikatai sukūrimą, lyginant su įprasta klinikine praktika</w:t>
            </w:r>
          </w:p>
          <w:p w14:paraId="71D57105"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BBA234" w:rsidR="00B13D65" w:rsidRPr="00B13D65" w:rsidRDefault="00F713E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EndPr>
                <w:rPr>
                  <w:rStyle w:val="Style2"/>
                </w:rPr>
              </w:sdtEndPr>
              <w:sdtContent>
                <w:r w:rsidR="00D2102A">
                  <w:rPr>
                    <w:rStyle w:val="Style2"/>
                    <w:rFonts w:ascii="MS Gothic" w:eastAsia="MS Gothic" w:hAnsi="MS Gothic" w:hint="eastAsia"/>
                    <w:sz w:val="24"/>
                  </w:rPr>
                  <w:t>☒</w:t>
                </w:r>
              </w:sdtContent>
            </w:sdt>
            <w:r w:rsidR="00B13D65" w:rsidRPr="00B13D65">
              <w:t xml:space="preserve"> 32.2. įvertintas kaip pagrindžiantis nesiskiriančios naudos pacientų sveikatai sukūrimą, lyginant su įprasta klinikine praktika</w:t>
            </w:r>
          </w:p>
          <w:p w14:paraId="287AD233"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74A2DECF" w14:textId="77777777" w:rsidR="00662983" w:rsidRPr="00B13D65" w:rsidRDefault="00F713E6"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33.1. yra įvertintas kaip nepagrindžiantis papildomos </w:t>
            </w:r>
            <w:r w:rsidR="00662983" w:rsidRPr="00B13D65">
              <w:t>naudos pacientų sveikatai sukūrimo, lyginant su  įprasta klinikine praktika.</w:t>
            </w:r>
          </w:p>
          <w:p w14:paraId="6C70BCFC" w14:textId="77777777" w:rsidR="00662983" w:rsidRDefault="00662983" w:rsidP="00BD1E5A">
            <w:pPr>
              <w:jc w:val="both"/>
            </w:pPr>
          </w:p>
          <w:p w14:paraId="0ADEC30D" w14:textId="25150412" w:rsidR="00B13D65" w:rsidRPr="00B13D65" w:rsidRDefault="00F713E6"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B13D65">
                  <w:rPr>
                    <w:rStyle w:val="Style2"/>
                    <w:rFonts w:ascii="Segoe UI Symbol" w:eastAsia="MS Gothic" w:hAnsi="Segoe UI Symbol" w:cs="Segoe UI Symbol"/>
                    <w:sz w:val="24"/>
                  </w:rPr>
                  <w:t>☐</w:t>
                </w:r>
              </w:sdtContent>
            </w:sdt>
            <w:r w:rsidR="00B13D65" w:rsidRPr="00B13D65">
              <w:t xml:space="preserve"> </w:t>
            </w:r>
            <w:r w:rsidR="00662983">
              <w:t xml:space="preserve">33.1. </w:t>
            </w:r>
            <w:r w:rsidR="00B13D65" w:rsidRPr="00B13D65">
              <w:t>nesiskiriančios naudos pacientų sveikatai sukūrimo, lyginant su įprasta klinikine praktika.</w:t>
            </w:r>
          </w:p>
          <w:p w14:paraId="1EED7901"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1C75AE76" w14:textId="77777777" w:rsidTr="00BD1E5A">
        <w:tc>
          <w:tcPr>
            <w:tcW w:w="9962" w:type="dxa"/>
            <w:gridSpan w:val="2"/>
          </w:tcPr>
          <w:p w14:paraId="56F7FA3E"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lastRenderedPageBreak/>
              <w:t>Kaštų naudingumas</w:t>
            </w:r>
          </w:p>
          <w:p w14:paraId="0247EDAD"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7091A05B" w14:textId="77777777" w:rsidTr="00BD1E5A">
        <w:tc>
          <w:tcPr>
            <w:tcW w:w="4981" w:type="dxa"/>
          </w:tcPr>
          <w:p w14:paraId="69B2A994" w14:textId="6C7161C0" w:rsidR="00B13D65" w:rsidRDefault="00F713E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Pr>
                    <w:rStyle w:val="Style2"/>
                    <w:rFonts w:ascii="MS Gothic" w:eastAsia="MS Gothic" w:hAnsi="MS Gothic" w:hint="eastAsia"/>
                    <w:sz w:val="24"/>
                  </w:rPr>
                  <w:t>☐</w:t>
                </w:r>
              </w:sdtContent>
            </w:sdt>
            <w:r w:rsidR="00B13D65" w:rsidRPr="00B13D65">
              <w:t xml:space="preserve"> 32.3. atitinka referencinę naudingumo vertę, </w:t>
            </w:r>
          </w:p>
          <w:p w14:paraId="3F76F153"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09578C76" w:rsidR="00B13D65" w:rsidRPr="00B13D65" w:rsidRDefault="00F713E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1"/>
                  <w14:checkedState w14:val="2612" w14:font="MS Gothic"/>
                  <w14:uncheckedState w14:val="2610" w14:font="MS Gothic"/>
                </w14:checkbox>
              </w:sdtPr>
              <w:sdtEndPr>
                <w:rPr>
                  <w:rStyle w:val="Style2"/>
                </w:rPr>
              </w:sdtEndPr>
              <w:sdtContent>
                <w:r w:rsidR="00B35176">
                  <w:rPr>
                    <w:rStyle w:val="Style2"/>
                    <w:rFonts w:ascii="MS Gothic" w:eastAsia="MS Gothic" w:hAnsi="MS Gothic" w:hint="eastAsia"/>
                    <w:sz w:val="24"/>
                  </w:rPr>
                  <w:t>☒</w:t>
                </w:r>
              </w:sdtContent>
            </w:sdt>
            <w:r w:rsidR="00B13D65" w:rsidRPr="00B13D65">
              <w:t xml:space="preserve"> 32.3. gydymo juo kaštai yra mažesni ar tokie patys esant iš esmės nesiskirian</w:t>
            </w:r>
            <w:r w:rsidR="00B35176">
              <w:t xml:space="preserve">čiam palyginamajam </w:t>
            </w:r>
            <w:r w:rsidR="00B35176" w:rsidRPr="00772970">
              <w:t xml:space="preserve">efektyvumui, </w:t>
            </w:r>
            <w:r w:rsidR="00B13D65" w:rsidRPr="00772970">
              <w:t>netaikant PGS</w:t>
            </w:r>
          </w:p>
          <w:p w14:paraId="25E4BD1E"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53380063" w14:textId="07F023EC" w:rsidR="00B13D65" w:rsidRDefault="00F713E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33.3. neatitinka referencinės naudingumo vertės Lietuvos Respublikoje;</w:t>
            </w:r>
          </w:p>
          <w:p w14:paraId="229ED51A"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1E6BD151" w:rsidR="00B13D65" w:rsidRDefault="00F713E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33.3. gydymo juo kaštai yra didesni esant iš esmės nesiskiriančiam palyginamajam efektyvumui</w:t>
            </w:r>
          </w:p>
          <w:p w14:paraId="4A9C7D2A"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B13D65" w:rsidRDefault="00F713E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33.3. pateikti duomenys apie kaštų na</w:t>
            </w:r>
            <w:r w:rsidR="00662983">
              <w:t>udingumą yra netinkami vertinti</w:t>
            </w:r>
          </w:p>
          <w:p w14:paraId="470A48A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E54D44C" w14:textId="77777777" w:rsidR="0055060B" w:rsidRPr="0055060B" w:rsidRDefault="0055060B" w:rsidP="0055060B">
      <w:pPr>
        <w:rPr>
          <w:b/>
        </w:rPr>
      </w:pPr>
    </w:p>
    <w:p w14:paraId="4761590D" w14:textId="77777777" w:rsidR="0055060B" w:rsidRPr="0055060B" w:rsidRDefault="0055060B" w:rsidP="0055060B">
      <w:pPr>
        <w:pStyle w:val="ListParagraph"/>
        <w:numPr>
          <w:ilvl w:val="0"/>
          <w:numId w:val="12"/>
        </w:numPr>
        <w:ind w:left="567" w:hanging="567"/>
        <w:rPr>
          <w:b/>
        </w:rPr>
      </w:pPr>
      <w:r w:rsidRPr="0055060B">
        <w:rPr>
          <w:b/>
        </w:rPr>
        <w:t>REKOMENDACIJA</w:t>
      </w:r>
    </w:p>
    <w:p w14:paraId="7CA221DC" w14:textId="77777777" w:rsidR="0055060B" w:rsidRPr="008B63AB" w:rsidRDefault="0055060B" w:rsidP="0055060B">
      <w:pPr>
        <w:rPr>
          <w:i/>
          <w:color w:val="00B050"/>
        </w:rPr>
      </w:pPr>
    </w:p>
    <w:p w14:paraId="72F9E277" w14:textId="77777777" w:rsidR="0055060B" w:rsidRPr="00B351ED" w:rsidRDefault="0055060B" w:rsidP="0055060B">
      <w:pPr>
        <w:ind w:firstLine="567"/>
        <w:jc w:val="both"/>
        <w:rPr>
          <w:color w:val="000000" w:themeColor="text1"/>
        </w:rPr>
      </w:pPr>
      <w:r w:rsidRPr="00B351ED">
        <w:rPr>
          <w:color w:val="000000" w:themeColor="text1"/>
        </w:rPr>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w:t>
      </w:r>
    </w:p>
    <w:p w14:paraId="7771DEA5" w14:textId="77777777" w:rsidR="0055060B" w:rsidRPr="00772970" w:rsidRDefault="0055060B" w:rsidP="0055060B">
      <w:pPr>
        <w:jc w:val="both"/>
      </w:pPr>
    </w:p>
    <w:p w14:paraId="47E57CF7" w14:textId="04A6D5C6" w:rsidR="00F174C8" w:rsidRPr="00B351ED" w:rsidRDefault="0055060B" w:rsidP="0055060B">
      <w:pPr>
        <w:jc w:val="both"/>
        <w:rPr>
          <w:color w:val="000000" w:themeColor="text1"/>
        </w:rPr>
      </w:pPr>
      <w:r w:rsidRPr="00772970">
        <w:t xml:space="preserve">34.3. rekomenduojama kompensuoti vaistinį preparatą pagal paraiškoje nurodytą indikaciją </w:t>
      </w:r>
      <w:r w:rsidR="004A0D38" w:rsidRPr="00772970">
        <w:t>su</w:t>
      </w:r>
      <w:r w:rsidRPr="00772970">
        <w:t xml:space="preserve"> skyrimo sąly</w:t>
      </w:r>
      <w:r w:rsidR="004A0D38" w:rsidRPr="00772970">
        <w:t>gomis</w:t>
      </w:r>
      <w:r w:rsidRPr="00772970">
        <w:t xml:space="preserve">, netaikant PGS, taikant atnaujintą </w:t>
      </w:r>
      <w:proofErr w:type="spellStart"/>
      <w:r w:rsidRPr="00772970">
        <w:t>upadacitinibo</w:t>
      </w:r>
      <w:proofErr w:type="spellEnd"/>
      <w:r w:rsidRPr="00772970">
        <w:t xml:space="preserve"> kainą</w:t>
      </w:r>
      <w:r w:rsidRPr="00772970">
        <w:rPr>
          <w:rStyle w:val="EndnoteReference"/>
        </w:rPr>
        <w:endnoteReference w:id="1"/>
      </w:r>
      <w:r w:rsidRPr="00772970">
        <w:t xml:space="preserve">, dėl iš esmės </w:t>
      </w:r>
      <w:r w:rsidRPr="00B351ED">
        <w:rPr>
          <w:color w:val="000000" w:themeColor="text1"/>
        </w:rPr>
        <w:t>nesiskiriančio gydymo efektyvumo ir sukuriamos naudos pacientų sveikatai, lyginant su įprasta klinikine praktika, ir dėl mažesnių gydymo kaštų dydžio (kaštų m</w:t>
      </w:r>
      <w:r w:rsidR="00EE0ACF" w:rsidRPr="00B351ED">
        <w:rPr>
          <w:color w:val="000000" w:themeColor="text1"/>
        </w:rPr>
        <w:t>inimizavimas</w:t>
      </w:r>
      <w:r w:rsidRPr="00B351ED">
        <w:rPr>
          <w:color w:val="000000" w:themeColor="text1"/>
        </w:rPr>
        <w:t>).</w:t>
      </w:r>
    </w:p>
    <w:p w14:paraId="0D45B677" w14:textId="77777777" w:rsidR="0055060B" w:rsidRPr="008B63AB" w:rsidRDefault="0055060B" w:rsidP="0055060B">
      <w:pPr>
        <w:jc w:val="both"/>
      </w:pPr>
    </w:p>
    <w:p w14:paraId="4675BD1C" w14:textId="77777777" w:rsidR="0055060B" w:rsidRPr="008B63AB" w:rsidRDefault="0055060B" w:rsidP="0055060B"/>
    <w:p w14:paraId="2DE4B8C2" w14:textId="77777777" w:rsidR="0055060B" w:rsidRPr="008B63AB" w:rsidRDefault="0055060B" w:rsidP="0055060B">
      <w:pPr>
        <w:tabs>
          <w:tab w:val="left" w:pos="567"/>
        </w:tabs>
        <w:ind w:left="567" w:hanging="567"/>
        <w:jc w:val="both"/>
        <w:rPr>
          <w:b/>
          <w:color w:val="000000"/>
          <w:lang w:eastAsia="lt-LT"/>
        </w:rPr>
      </w:pPr>
      <w:r w:rsidRPr="008B63AB">
        <w:rPr>
          <w:b/>
          <w:color w:val="000000"/>
          <w:lang w:eastAsia="lt-LT"/>
        </w:rPr>
        <w:t>8.</w:t>
      </w:r>
      <w:r w:rsidRPr="008B63AB">
        <w:rPr>
          <w:b/>
          <w:color w:val="000000"/>
          <w:lang w:eastAsia="lt-LT"/>
        </w:rPr>
        <w:tab/>
        <w:t xml:space="preserve">SIŪLOMOS KOMPENSUOTI TERAPINĖS INDIKACIJOS IR SKYRIMO SĄLYGOS </w:t>
      </w:r>
    </w:p>
    <w:p w14:paraId="3A90BF4C" w14:textId="77777777" w:rsidR="0055060B" w:rsidRPr="008B63AB" w:rsidRDefault="0055060B" w:rsidP="0055060B">
      <w:pPr>
        <w:tabs>
          <w:tab w:val="left" w:pos="426"/>
        </w:tabs>
        <w:jc w:val="both"/>
        <w:rPr>
          <w:b/>
          <w:color w:val="000000"/>
          <w:lang w:eastAsia="lt-LT"/>
        </w:rPr>
      </w:pPr>
    </w:p>
    <w:p w14:paraId="5E0791C3" w14:textId="77777777" w:rsidR="0055060B" w:rsidRPr="008B63AB" w:rsidRDefault="0055060B" w:rsidP="0055060B">
      <w:pPr>
        <w:outlineLvl w:val="0"/>
        <w:rPr>
          <w:b/>
          <w:lang w:eastAsia="lt-LT"/>
        </w:rPr>
      </w:pPr>
      <w:r w:rsidRPr="008B63AB">
        <w:rPr>
          <w:b/>
          <w:lang w:eastAsia="lt-LT"/>
        </w:rPr>
        <w:t>Terapinės indikacijos</w:t>
      </w:r>
    </w:p>
    <w:p w14:paraId="636FC6CC" w14:textId="4001F812" w:rsidR="0055060B" w:rsidRDefault="00F713E6" w:rsidP="0055060B">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55060B" w:rsidRPr="008B63AB">
            <w:rPr>
              <w:rStyle w:val="Style2"/>
              <w:rFonts w:ascii="MS Gothic" w:eastAsia="MS Gothic" w:hAnsi="MS Gothic"/>
            </w:rPr>
            <w:t>☒</w:t>
          </w:r>
        </w:sdtContent>
      </w:sdt>
      <w:r w:rsidR="0055060B" w:rsidRPr="008B63AB">
        <w:t xml:space="preserve"> Siūloma kompensuoti Pareiškėjo teikiamą indikaciją be pakeitimų.</w:t>
      </w:r>
    </w:p>
    <w:p w14:paraId="26969997" w14:textId="77777777" w:rsidR="00F174C8" w:rsidRDefault="00F174C8" w:rsidP="0055060B"/>
    <w:p w14:paraId="49BAA3A6" w14:textId="77777777" w:rsidR="00F174C8" w:rsidRPr="00D2102A" w:rsidRDefault="00F174C8" w:rsidP="00D2102A">
      <w:pPr>
        <w:jc w:val="both"/>
        <w:rPr>
          <w:i/>
          <w:iCs/>
        </w:rPr>
      </w:pPr>
      <w:proofErr w:type="spellStart"/>
      <w:r w:rsidRPr="00D2102A">
        <w:rPr>
          <w:i/>
          <w:iCs/>
        </w:rPr>
        <w:t>Rinvoq</w:t>
      </w:r>
      <w:proofErr w:type="spellEnd"/>
      <w:r w:rsidRPr="00D2102A">
        <w:rPr>
          <w:i/>
          <w:iCs/>
        </w:rPr>
        <w:t xml:space="preserve"> skiriamas suaugusiems pacientams aktyviam psoriaziniam artritui gydyti, jeigu atsakas į gydymą vienu ar daugiau ligą modifikuojančių vaistinių preparatų nuo reumato (LMVR) buvo nepakankamas, arba kai pacientas vieno ar daugiau pastarųjų vaistinių preparatų netoleruoja. </w:t>
      </w:r>
      <w:proofErr w:type="spellStart"/>
      <w:r w:rsidRPr="00D2102A">
        <w:rPr>
          <w:i/>
          <w:iCs/>
        </w:rPr>
        <w:t>Rinvoq</w:t>
      </w:r>
      <w:proofErr w:type="spellEnd"/>
      <w:r w:rsidRPr="00D2102A">
        <w:rPr>
          <w:i/>
          <w:iCs/>
        </w:rPr>
        <w:t xml:space="preserve"> gali būti vartojamas vienas arba derinyje su metotreksatu.</w:t>
      </w:r>
    </w:p>
    <w:p w14:paraId="72D7AD42" w14:textId="09C2B36B" w:rsidR="0055060B" w:rsidRPr="000E43C6" w:rsidRDefault="0055060B" w:rsidP="0055060B"/>
    <w:p w14:paraId="571EB9CE" w14:textId="77777777" w:rsidR="0055060B" w:rsidRPr="008B63AB" w:rsidRDefault="00F713E6" w:rsidP="0055060B">
      <w:sdt>
        <w:sdtPr>
          <w:rPr>
            <w:rStyle w:val="Style2"/>
          </w:rPr>
          <w:id w:val="1467245146"/>
          <w15:color w:val="FFCC00"/>
          <w14:checkbox>
            <w14:checked w14:val="0"/>
            <w14:checkedState w14:val="2612" w14:font="MS Gothic"/>
            <w14:uncheckedState w14:val="2610" w14:font="MS Gothic"/>
          </w14:checkbox>
        </w:sdtPr>
        <w:sdtEndPr>
          <w:rPr>
            <w:rStyle w:val="Style2"/>
          </w:rPr>
        </w:sdtEndPr>
        <w:sdtContent>
          <w:r w:rsidR="0055060B" w:rsidRPr="008B63AB">
            <w:rPr>
              <w:rStyle w:val="Style2"/>
              <w:rFonts w:ascii="MS Gothic" w:eastAsia="MS Gothic" w:hAnsi="MS Gothic"/>
            </w:rPr>
            <w:t>☐</w:t>
          </w:r>
        </w:sdtContent>
      </w:sdt>
      <w:r w:rsidR="0055060B" w:rsidRPr="008B63AB">
        <w:t xml:space="preserve"> Siūloma kompensuoti Pareiškėjo teikiamą indikaciją su pakeitimais.</w:t>
      </w:r>
    </w:p>
    <w:p w14:paraId="17992EA8" w14:textId="77777777" w:rsidR="0055060B" w:rsidRPr="008B63AB" w:rsidRDefault="0055060B" w:rsidP="0055060B">
      <w:pPr>
        <w:rPr>
          <w:b/>
        </w:rPr>
      </w:pPr>
    </w:p>
    <w:p w14:paraId="6A9F9827" w14:textId="77777777" w:rsidR="0055060B" w:rsidRPr="008B63AB" w:rsidRDefault="0055060B" w:rsidP="0055060B">
      <w:pPr>
        <w:outlineLvl w:val="0"/>
        <w:rPr>
          <w:b/>
        </w:rPr>
      </w:pPr>
      <w:r w:rsidRPr="008B63AB">
        <w:rPr>
          <w:b/>
        </w:rPr>
        <w:t>Skyrimo sąlygos</w:t>
      </w:r>
    </w:p>
    <w:p w14:paraId="223B363D" w14:textId="254A997C" w:rsidR="00F174C8" w:rsidRDefault="00F713E6" w:rsidP="0055060B">
      <w:sdt>
        <w:sdtPr>
          <w:rPr>
            <w:rStyle w:val="Style2"/>
          </w:rPr>
          <w:id w:val="169305347"/>
          <w15:color w:val="FFCC00"/>
          <w14:checkbox>
            <w14:checked w14:val="1"/>
            <w14:checkedState w14:val="2612" w14:font="MS Gothic"/>
            <w14:uncheckedState w14:val="2610" w14:font="MS Gothic"/>
          </w14:checkbox>
        </w:sdtPr>
        <w:sdtEndPr>
          <w:rPr>
            <w:rStyle w:val="Style2"/>
          </w:rPr>
        </w:sdtEndPr>
        <w:sdtContent>
          <w:r w:rsidR="0055060B" w:rsidRPr="008B63AB">
            <w:rPr>
              <w:rStyle w:val="Style2"/>
              <w:rFonts w:ascii="MS Gothic" w:eastAsia="MS Gothic" w:hAnsi="MS Gothic"/>
            </w:rPr>
            <w:t>☒</w:t>
          </w:r>
        </w:sdtContent>
      </w:sdt>
      <w:r w:rsidR="0055060B" w:rsidRPr="008B63AB">
        <w:t xml:space="preserve"> Pareiškėjo siūlomos skyrimo sąlygos priimtinos. </w:t>
      </w:r>
    </w:p>
    <w:p w14:paraId="68BA7ED9" w14:textId="2AE76632" w:rsidR="00F174C8" w:rsidRPr="00D2102A" w:rsidRDefault="00F174C8" w:rsidP="00D2102A">
      <w:pPr>
        <w:spacing w:line="276" w:lineRule="auto"/>
        <w:jc w:val="both"/>
        <w:rPr>
          <w:i/>
          <w:iCs/>
        </w:rPr>
      </w:pPr>
      <w:proofErr w:type="spellStart"/>
      <w:r w:rsidRPr="00D2102A">
        <w:rPr>
          <w:i/>
          <w:iCs/>
        </w:rPr>
        <w:t>Rinvoq</w:t>
      </w:r>
      <w:proofErr w:type="spellEnd"/>
      <w:r w:rsidRPr="00D2102A">
        <w:rPr>
          <w:i/>
          <w:iCs/>
        </w:rPr>
        <w:t xml:space="preserve"> vienas arba derinyje su metotreksatu skiriamas jei gydant vienu ar </w:t>
      </w:r>
      <w:r w:rsidRPr="00ED552D">
        <w:rPr>
          <w:i/>
          <w:iCs/>
        </w:rPr>
        <w:t>daugiau biologinių ligą modifikuojančių vaistinių preparatų</w:t>
      </w:r>
      <w:r w:rsidRPr="00D2102A">
        <w:rPr>
          <w:i/>
          <w:iCs/>
        </w:rPr>
        <w:t xml:space="preserve"> (</w:t>
      </w:r>
      <w:proofErr w:type="spellStart"/>
      <w:r w:rsidRPr="00D2102A">
        <w:rPr>
          <w:i/>
          <w:iCs/>
        </w:rPr>
        <w:t>bLMV</w:t>
      </w:r>
      <w:proofErr w:type="spellEnd"/>
      <w:r w:rsidRPr="00D2102A">
        <w:rPr>
          <w:i/>
          <w:iCs/>
        </w:rPr>
        <w:t>)  gydymo tikslas nepasiekiamas per 6 mėnesius ar 3 mėnesius nuo gydymo pradžios nėra gydymo efekto, ar pastebimas ligos pablogėjimas.</w:t>
      </w:r>
    </w:p>
    <w:p w14:paraId="04411EAD" w14:textId="77777777" w:rsidR="004A3A61" w:rsidRDefault="004A3A61" w:rsidP="00381024"/>
    <w:sectPr w:rsidR="004A3A61" w:rsidSect="005D30E1">
      <w:headerReference w:type="even" r:id="rId10"/>
      <w:head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8FE0A" w16cex:dateUtc="2023-01-23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E94D1F" w16cid:durableId="2778DD82"/>
  <w16cid:commentId w16cid:paraId="516602E5" w16cid:durableId="2778FE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69E61" w14:textId="77777777" w:rsidR="00C96915" w:rsidRDefault="00C96915">
      <w:r>
        <w:separator/>
      </w:r>
    </w:p>
  </w:endnote>
  <w:endnote w:type="continuationSeparator" w:id="0">
    <w:p w14:paraId="112EF2F7" w14:textId="77777777" w:rsidR="00C96915" w:rsidRDefault="00C96915">
      <w:r>
        <w:continuationSeparator/>
      </w:r>
    </w:p>
  </w:endnote>
  <w:endnote w:id="1">
    <w:p w14:paraId="353EFEF3" w14:textId="38130D9B" w:rsidR="0055060B" w:rsidRPr="00F174C8" w:rsidRDefault="0055060B" w:rsidP="0055060B">
      <w:pPr>
        <w:pStyle w:val="EndnoteText"/>
        <w:rPr>
          <w:lang w:val="en-US"/>
        </w:rPr>
      </w:pPr>
      <w:r>
        <w:rPr>
          <w:rStyle w:val="EndnoteReference"/>
        </w:rPr>
        <w:endnoteRef/>
      </w:r>
      <w:r>
        <w:t xml:space="preserve"> Pareiškėjo </w:t>
      </w:r>
      <w:proofErr w:type="spellStart"/>
      <w:r>
        <w:t>farmakoekonominės</w:t>
      </w:r>
      <w:proofErr w:type="spellEnd"/>
      <w:r>
        <w:t xml:space="preserve"> analizės Excel modelyje taikyta </w:t>
      </w:r>
      <w:proofErr w:type="spellStart"/>
      <w:r>
        <w:t>upadacitinibo</w:t>
      </w:r>
      <w:proofErr w:type="spellEnd"/>
      <w:r>
        <w:t xml:space="preserve"> </w:t>
      </w:r>
      <w:r>
        <w:rPr>
          <w:lang w:val="en-US"/>
        </w:rPr>
        <w:t>15 mg N28</w:t>
      </w:r>
      <w:r>
        <w:t xml:space="preserve"> pakuotės </w:t>
      </w:r>
      <w:r w:rsidRPr="00F43785">
        <w:t>kaina</w:t>
      </w:r>
      <w:r w:rsidR="00F43785" w:rsidRPr="00F43785">
        <w:t xml:space="preserve"> - </w:t>
      </w:r>
      <w:r w:rsidR="009D4013" w:rsidRPr="009D4013">
        <w:rPr>
          <w:rFonts w:eastAsia="Arial"/>
          <w:highlight w:val="red"/>
        </w:rPr>
        <w:t>****</w:t>
      </w:r>
      <w:r w:rsidR="00F43785" w:rsidRPr="00F43785">
        <w:rPr>
          <w:rFonts w:eastAsia="Arial"/>
        </w:rPr>
        <w:t xml:space="preserve"> </w:t>
      </w:r>
      <w:proofErr w:type="spellStart"/>
      <w:r w:rsidR="00F43785" w:rsidRPr="00F43785">
        <w:rPr>
          <w:rFonts w:eastAsia="Arial"/>
        </w:rPr>
        <w:t>Eur</w:t>
      </w:r>
      <w:proofErr w:type="spellEnd"/>
      <w:r w:rsidR="00F43785" w:rsidRPr="00F43785">
        <w:rPr>
          <w:rFonts w:eastAsia="Arial"/>
        </w:rPr>
        <w:t>.</w:t>
      </w:r>
      <w:r w:rsidRPr="00F43785">
        <w:t>,</w:t>
      </w:r>
      <w:r>
        <w:t xml:space="preserve"> Paraiškos atnaujinimo data </w:t>
      </w:r>
      <w:r w:rsidR="00F174C8" w:rsidRPr="00F43785">
        <w:rPr>
          <w:bCs/>
          <w:lang w:val="en-US"/>
        </w:rPr>
        <w:t>2022-08-25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E6585" w14:textId="77777777" w:rsidR="00C96915" w:rsidRDefault="00C96915">
      <w:r>
        <w:separator/>
      </w:r>
    </w:p>
  </w:footnote>
  <w:footnote w:type="continuationSeparator" w:id="0">
    <w:p w14:paraId="6B2BAC50" w14:textId="77777777" w:rsidR="00C96915" w:rsidRDefault="00C96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27D93992"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13E6">
      <w:rPr>
        <w:rStyle w:val="PageNumber"/>
        <w:noProof/>
      </w:rPr>
      <w:t>6</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73B1625"/>
    <w:multiLevelType w:val="hybridMultilevel"/>
    <w:tmpl w:val="5B00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A1538D"/>
    <w:multiLevelType w:val="hybridMultilevel"/>
    <w:tmpl w:val="2F7C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5D5412"/>
    <w:multiLevelType w:val="hybridMultilevel"/>
    <w:tmpl w:val="59A0DE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E12046"/>
    <w:multiLevelType w:val="hybridMultilevel"/>
    <w:tmpl w:val="AF527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8"/>
  </w:num>
  <w:num w:numId="5">
    <w:abstractNumId w:val="6"/>
  </w:num>
  <w:num w:numId="6">
    <w:abstractNumId w:val="5"/>
  </w:num>
  <w:num w:numId="7">
    <w:abstractNumId w:val="4"/>
  </w:num>
  <w:num w:numId="8">
    <w:abstractNumId w:val="14"/>
  </w:num>
  <w:num w:numId="9">
    <w:abstractNumId w:val="0"/>
  </w:num>
  <w:num w:numId="10">
    <w:abstractNumId w:val="10"/>
  </w:num>
  <w:num w:numId="11">
    <w:abstractNumId w:val="12"/>
  </w:num>
  <w:num w:numId="12">
    <w:abstractNumId w:val="3"/>
  </w:num>
  <w:num w:numId="13">
    <w:abstractNumId w:val="1"/>
  </w:num>
  <w:num w:numId="14">
    <w:abstractNumId w:val="11"/>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3F5B"/>
    <w:rsid w:val="000114DD"/>
    <w:rsid w:val="000136F7"/>
    <w:rsid w:val="0002686C"/>
    <w:rsid w:val="00031D0E"/>
    <w:rsid w:val="000337E6"/>
    <w:rsid w:val="0003402E"/>
    <w:rsid w:val="00034EAE"/>
    <w:rsid w:val="000606BE"/>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21D9"/>
    <w:rsid w:val="001554E2"/>
    <w:rsid w:val="00164146"/>
    <w:rsid w:val="0017369C"/>
    <w:rsid w:val="00180C39"/>
    <w:rsid w:val="00180D96"/>
    <w:rsid w:val="001921F3"/>
    <w:rsid w:val="001B3C5B"/>
    <w:rsid w:val="001E4BBB"/>
    <w:rsid w:val="001E6304"/>
    <w:rsid w:val="0020381E"/>
    <w:rsid w:val="00213471"/>
    <w:rsid w:val="00214F6C"/>
    <w:rsid w:val="00215906"/>
    <w:rsid w:val="0025697F"/>
    <w:rsid w:val="00260258"/>
    <w:rsid w:val="00272428"/>
    <w:rsid w:val="00272948"/>
    <w:rsid w:val="002946C7"/>
    <w:rsid w:val="002A6B73"/>
    <w:rsid w:val="002B3CC1"/>
    <w:rsid w:val="002C09E0"/>
    <w:rsid w:val="002C3A10"/>
    <w:rsid w:val="002C4A90"/>
    <w:rsid w:val="002D02EF"/>
    <w:rsid w:val="002E0702"/>
    <w:rsid w:val="002E6F80"/>
    <w:rsid w:val="002F0E4F"/>
    <w:rsid w:val="002F1053"/>
    <w:rsid w:val="00306D00"/>
    <w:rsid w:val="00317B0E"/>
    <w:rsid w:val="00347FAA"/>
    <w:rsid w:val="0035172D"/>
    <w:rsid w:val="0036187D"/>
    <w:rsid w:val="00381024"/>
    <w:rsid w:val="00386307"/>
    <w:rsid w:val="003874DE"/>
    <w:rsid w:val="00390F3E"/>
    <w:rsid w:val="00393E9F"/>
    <w:rsid w:val="0039696E"/>
    <w:rsid w:val="003B211A"/>
    <w:rsid w:val="003C12B3"/>
    <w:rsid w:val="003C141F"/>
    <w:rsid w:val="003C6B0E"/>
    <w:rsid w:val="003C7257"/>
    <w:rsid w:val="003C7E35"/>
    <w:rsid w:val="003E5FCD"/>
    <w:rsid w:val="00404E8A"/>
    <w:rsid w:val="0040622F"/>
    <w:rsid w:val="00423160"/>
    <w:rsid w:val="00453862"/>
    <w:rsid w:val="00461338"/>
    <w:rsid w:val="004677DB"/>
    <w:rsid w:val="0048630F"/>
    <w:rsid w:val="004947A1"/>
    <w:rsid w:val="0049482A"/>
    <w:rsid w:val="004979D3"/>
    <w:rsid w:val="004A00E7"/>
    <w:rsid w:val="004A0D38"/>
    <w:rsid w:val="004A3A61"/>
    <w:rsid w:val="004B59BA"/>
    <w:rsid w:val="004C263A"/>
    <w:rsid w:val="004D7B8F"/>
    <w:rsid w:val="004E6458"/>
    <w:rsid w:val="004E6E7D"/>
    <w:rsid w:val="004F1AAC"/>
    <w:rsid w:val="004F1AE2"/>
    <w:rsid w:val="004F34F0"/>
    <w:rsid w:val="005005EF"/>
    <w:rsid w:val="005270F1"/>
    <w:rsid w:val="00534E11"/>
    <w:rsid w:val="005400D9"/>
    <w:rsid w:val="005476A4"/>
    <w:rsid w:val="0055019B"/>
    <w:rsid w:val="0055060B"/>
    <w:rsid w:val="00556E63"/>
    <w:rsid w:val="005601A4"/>
    <w:rsid w:val="00566DBB"/>
    <w:rsid w:val="005976CE"/>
    <w:rsid w:val="005A23D4"/>
    <w:rsid w:val="005A2D1E"/>
    <w:rsid w:val="005C493F"/>
    <w:rsid w:val="005C6BF7"/>
    <w:rsid w:val="005C71BF"/>
    <w:rsid w:val="005D002C"/>
    <w:rsid w:val="005D30E1"/>
    <w:rsid w:val="005D6555"/>
    <w:rsid w:val="005D7BDF"/>
    <w:rsid w:val="005F71D9"/>
    <w:rsid w:val="005F7602"/>
    <w:rsid w:val="006108BA"/>
    <w:rsid w:val="00613501"/>
    <w:rsid w:val="006166A8"/>
    <w:rsid w:val="006174A1"/>
    <w:rsid w:val="00633B49"/>
    <w:rsid w:val="0064297F"/>
    <w:rsid w:val="00646CF3"/>
    <w:rsid w:val="00662983"/>
    <w:rsid w:val="006661F8"/>
    <w:rsid w:val="006705B8"/>
    <w:rsid w:val="006834D3"/>
    <w:rsid w:val="00692625"/>
    <w:rsid w:val="00695CD3"/>
    <w:rsid w:val="006A38B6"/>
    <w:rsid w:val="006B1987"/>
    <w:rsid w:val="006B5B71"/>
    <w:rsid w:val="006B6CB0"/>
    <w:rsid w:val="006C2B64"/>
    <w:rsid w:val="006D4C85"/>
    <w:rsid w:val="006E33F6"/>
    <w:rsid w:val="006F1251"/>
    <w:rsid w:val="006F1C23"/>
    <w:rsid w:val="00703166"/>
    <w:rsid w:val="007127F3"/>
    <w:rsid w:val="007301CF"/>
    <w:rsid w:val="007316FB"/>
    <w:rsid w:val="00737E2D"/>
    <w:rsid w:val="007424D5"/>
    <w:rsid w:val="007523DD"/>
    <w:rsid w:val="00757B7E"/>
    <w:rsid w:val="00772970"/>
    <w:rsid w:val="00795DC5"/>
    <w:rsid w:val="00797153"/>
    <w:rsid w:val="007B0DDA"/>
    <w:rsid w:val="007D6482"/>
    <w:rsid w:val="007E5466"/>
    <w:rsid w:val="007F1949"/>
    <w:rsid w:val="00802956"/>
    <w:rsid w:val="008075B7"/>
    <w:rsid w:val="00817A84"/>
    <w:rsid w:val="008225A4"/>
    <w:rsid w:val="00826D5E"/>
    <w:rsid w:val="00832013"/>
    <w:rsid w:val="00834732"/>
    <w:rsid w:val="00843554"/>
    <w:rsid w:val="0085200C"/>
    <w:rsid w:val="00857C52"/>
    <w:rsid w:val="008651E2"/>
    <w:rsid w:val="00880A44"/>
    <w:rsid w:val="0088345E"/>
    <w:rsid w:val="0088656F"/>
    <w:rsid w:val="008A0303"/>
    <w:rsid w:val="008A5FDD"/>
    <w:rsid w:val="008C3947"/>
    <w:rsid w:val="008E7329"/>
    <w:rsid w:val="008F2ED5"/>
    <w:rsid w:val="009145D2"/>
    <w:rsid w:val="00916202"/>
    <w:rsid w:val="0092297E"/>
    <w:rsid w:val="0093069F"/>
    <w:rsid w:val="009341BF"/>
    <w:rsid w:val="00937907"/>
    <w:rsid w:val="00941739"/>
    <w:rsid w:val="00951573"/>
    <w:rsid w:val="00963003"/>
    <w:rsid w:val="00983471"/>
    <w:rsid w:val="009909AB"/>
    <w:rsid w:val="009B37DB"/>
    <w:rsid w:val="009C7A8C"/>
    <w:rsid w:val="009D23F9"/>
    <w:rsid w:val="009D4013"/>
    <w:rsid w:val="009D4FA8"/>
    <w:rsid w:val="009E6CD6"/>
    <w:rsid w:val="00A00C3C"/>
    <w:rsid w:val="00A01091"/>
    <w:rsid w:val="00A06DBB"/>
    <w:rsid w:val="00A31E86"/>
    <w:rsid w:val="00A54D87"/>
    <w:rsid w:val="00A5553C"/>
    <w:rsid w:val="00A71554"/>
    <w:rsid w:val="00A81785"/>
    <w:rsid w:val="00A84803"/>
    <w:rsid w:val="00A84C51"/>
    <w:rsid w:val="00A86F2B"/>
    <w:rsid w:val="00A91366"/>
    <w:rsid w:val="00A93AA6"/>
    <w:rsid w:val="00AA4E48"/>
    <w:rsid w:val="00AA6202"/>
    <w:rsid w:val="00AC4A99"/>
    <w:rsid w:val="00AC64D2"/>
    <w:rsid w:val="00AE0FE8"/>
    <w:rsid w:val="00AF60D5"/>
    <w:rsid w:val="00B04415"/>
    <w:rsid w:val="00B11D60"/>
    <w:rsid w:val="00B11E4B"/>
    <w:rsid w:val="00B13D65"/>
    <w:rsid w:val="00B35176"/>
    <w:rsid w:val="00B351ED"/>
    <w:rsid w:val="00B37245"/>
    <w:rsid w:val="00B4017A"/>
    <w:rsid w:val="00B4468D"/>
    <w:rsid w:val="00B71C72"/>
    <w:rsid w:val="00B81E92"/>
    <w:rsid w:val="00B93B30"/>
    <w:rsid w:val="00B94CB5"/>
    <w:rsid w:val="00BA0DD9"/>
    <w:rsid w:val="00BB6312"/>
    <w:rsid w:val="00BC4D06"/>
    <w:rsid w:val="00BD585E"/>
    <w:rsid w:val="00BF2E0D"/>
    <w:rsid w:val="00BF3F8B"/>
    <w:rsid w:val="00BF76DA"/>
    <w:rsid w:val="00C07C7B"/>
    <w:rsid w:val="00C24479"/>
    <w:rsid w:val="00C37B53"/>
    <w:rsid w:val="00C517D2"/>
    <w:rsid w:val="00C62B36"/>
    <w:rsid w:val="00C638D6"/>
    <w:rsid w:val="00C7012C"/>
    <w:rsid w:val="00C96915"/>
    <w:rsid w:val="00CB1C5E"/>
    <w:rsid w:val="00CC668D"/>
    <w:rsid w:val="00CC7832"/>
    <w:rsid w:val="00CD2589"/>
    <w:rsid w:val="00CD31D4"/>
    <w:rsid w:val="00CF0C1C"/>
    <w:rsid w:val="00CF1FFA"/>
    <w:rsid w:val="00D2102A"/>
    <w:rsid w:val="00D23808"/>
    <w:rsid w:val="00D2781D"/>
    <w:rsid w:val="00D3016A"/>
    <w:rsid w:val="00D42960"/>
    <w:rsid w:val="00D43BD7"/>
    <w:rsid w:val="00D4485B"/>
    <w:rsid w:val="00D4708D"/>
    <w:rsid w:val="00D4744C"/>
    <w:rsid w:val="00D63068"/>
    <w:rsid w:val="00D6498C"/>
    <w:rsid w:val="00D8521E"/>
    <w:rsid w:val="00D9291C"/>
    <w:rsid w:val="00D93A97"/>
    <w:rsid w:val="00DB1F64"/>
    <w:rsid w:val="00DC2F53"/>
    <w:rsid w:val="00DC6816"/>
    <w:rsid w:val="00DC76C2"/>
    <w:rsid w:val="00DD1CF2"/>
    <w:rsid w:val="00DF41B7"/>
    <w:rsid w:val="00DF4A4A"/>
    <w:rsid w:val="00DF583C"/>
    <w:rsid w:val="00E03C3F"/>
    <w:rsid w:val="00E24D45"/>
    <w:rsid w:val="00E33DB8"/>
    <w:rsid w:val="00E34387"/>
    <w:rsid w:val="00E369FE"/>
    <w:rsid w:val="00E37C6F"/>
    <w:rsid w:val="00E475F8"/>
    <w:rsid w:val="00E5102E"/>
    <w:rsid w:val="00E5721C"/>
    <w:rsid w:val="00E619C6"/>
    <w:rsid w:val="00E745A1"/>
    <w:rsid w:val="00E81529"/>
    <w:rsid w:val="00E83A13"/>
    <w:rsid w:val="00E84FAD"/>
    <w:rsid w:val="00E959C9"/>
    <w:rsid w:val="00EC2356"/>
    <w:rsid w:val="00EC2582"/>
    <w:rsid w:val="00EC337C"/>
    <w:rsid w:val="00ED0CFF"/>
    <w:rsid w:val="00ED31D2"/>
    <w:rsid w:val="00ED552D"/>
    <w:rsid w:val="00EE0ACF"/>
    <w:rsid w:val="00EE0EAC"/>
    <w:rsid w:val="00EE33CB"/>
    <w:rsid w:val="00F0061A"/>
    <w:rsid w:val="00F02834"/>
    <w:rsid w:val="00F07CD7"/>
    <w:rsid w:val="00F127E9"/>
    <w:rsid w:val="00F174C8"/>
    <w:rsid w:val="00F36972"/>
    <w:rsid w:val="00F42426"/>
    <w:rsid w:val="00F43785"/>
    <w:rsid w:val="00F456BC"/>
    <w:rsid w:val="00F50666"/>
    <w:rsid w:val="00F60C95"/>
    <w:rsid w:val="00F70C9E"/>
    <w:rsid w:val="00F713E6"/>
    <w:rsid w:val="00F74A74"/>
    <w:rsid w:val="00F76F0A"/>
    <w:rsid w:val="00F8382C"/>
    <w:rsid w:val="00F855D7"/>
    <w:rsid w:val="00F92035"/>
    <w:rsid w:val="00F92748"/>
    <w:rsid w:val="00F953C7"/>
    <w:rsid w:val="00FA4169"/>
    <w:rsid w:val="00FB0D41"/>
    <w:rsid w:val="00FB2030"/>
    <w:rsid w:val="00FD1CF2"/>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15:docId w15:val="{EAE663F4-E9D4-4801-9B3D-DF72203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Bullet 1,1. Bullet Blank,Bulleted - 2,Use Case List Paragraph,List Paragraph1,Body Bullet,Table Number Paragraph,Ref,B1,bu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character" w:customStyle="1" w:styleId="ListParagraphChar">
    <w:name w:val="List Paragraph Char"/>
    <w:aliases w:val="Bullets Points Char,Table Header Row Char,Bullet Paragraph Char,Bullet Point Char,Dairy Paragraphe Char,Table Legend Char,Bullet List Char,Bullet1 Char,Bullet 1 Char,1. Bullet Blank Char,Bulleted - 2 Char,Use Case List Paragraph Char"/>
    <w:link w:val="ListParagraph"/>
    <w:uiPriority w:val="34"/>
    <w:locked/>
    <w:rsid w:val="0055060B"/>
    <w:rPr>
      <w:sz w:val="24"/>
      <w:szCs w:val="24"/>
      <w:lang w:eastAsia="en-US"/>
    </w:rPr>
  </w:style>
  <w:style w:type="paragraph" w:styleId="EndnoteText">
    <w:name w:val="endnote text"/>
    <w:basedOn w:val="Normal"/>
    <w:link w:val="EndnoteTextChar"/>
    <w:semiHidden/>
    <w:unhideWhenUsed/>
    <w:rsid w:val="0055060B"/>
    <w:rPr>
      <w:sz w:val="20"/>
      <w:szCs w:val="20"/>
    </w:rPr>
  </w:style>
  <w:style w:type="character" w:customStyle="1" w:styleId="EndnoteTextChar">
    <w:name w:val="Endnote Text Char"/>
    <w:basedOn w:val="DefaultParagraphFont"/>
    <w:link w:val="EndnoteText"/>
    <w:semiHidden/>
    <w:rsid w:val="0055060B"/>
    <w:rPr>
      <w:lang w:eastAsia="en-US"/>
    </w:rPr>
  </w:style>
  <w:style w:type="character" w:styleId="EndnoteReference">
    <w:name w:val="endnote reference"/>
    <w:basedOn w:val="DefaultParagraphFont"/>
    <w:semiHidden/>
    <w:unhideWhenUsed/>
    <w:rsid w:val="0055060B"/>
    <w:rPr>
      <w:vertAlign w:val="superscript"/>
    </w:rPr>
  </w:style>
  <w:style w:type="paragraph" w:styleId="HTMLPreformatted">
    <w:name w:val="HTML Preformatted"/>
    <w:basedOn w:val="Normal"/>
    <w:link w:val="HTMLPreformattedChar"/>
    <w:uiPriority w:val="99"/>
    <w:unhideWhenUsed/>
    <w:rsid w:val="0086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651E2"/>
    <w:rPr>
      <w:rFonts w:ascii="Courier New" w:hAnsi="Courier New" w:cs="Courier New"/>
      <w:lang w:eastAsia="en-GB"/>
    </w:rPr>
  </w:style>
  <w:style w:type="character" w:customStyle="1" w:styleId="y2iqfc">
    <w:name w:val="y2iqfc"/>
    <w:basedOn w:val="DefaultParagraphFont"/>
    <w:rsid w:val="008651E2"/>
  </w:style>
  <w:style w:type="paragraph" w:styleId="NormalWeb">
    <w:name w:val="Normal (Web)"/>
    <w:basedOn w:val="Normal"/>
    <w:uiPriority w:val="99"/>
    <w:unhideWhenUsed/>
    <w:rsid w:val="003C12B3"/>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ceviciute\Documents\VVKT%20rasta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336E47A58DDE42BAB132C7007EBCC9"/>
        <w:category>
          <w:name w:val="General"/>
          <w:gallery w:val="placeholder"/>
        </w:category>
        <w:types>
          <w:type w:val="bbPlcHdr"/>
        </w:types>
        <w:behaviors>
          <w:behavior w:val="content"/>
        </w:behaviors>
        <w:guid w:val="{B03F662B-F34D-6C4D-8E85-4B7EE9BDEC76}"/>
      </w:docPartPr>
      <w:docPartBody>
        <w:p w:rsidR="00936288" w:rsidRDefault="00843AE5" w:rsidP="00843AE5">
          <w:pPr>
            <w:pStyle w:val="AE336E47A58DDE42BAB132C7007EBCC9"/>
          </w:pPr>
          <w:r>
            <w:rPr>
              <w:rStyle w:val="PlaceholderText"/>
            </w:rPr>
            <w:t>Click here to enter a date.</w:t>
          </w:r>
        </w:p>
      </w:docPartBody>
    </w:docPart>
    <w:docPart>
      <w:docPartPr>
        <w:name w:val="E659E8407BFD8F43AD61936A4EB6F39E"/>
        <w:category>
          <w:name w:val="General"/>
          <w:gallery w:val="placeholder"/>
        </w:category>
        <w:types>
          <w:type w:val="bbPlcHdr"/>
        </w:types>
        <w:behaviors>
          <w:behavior w:val="content"/>
        </w:behaviors>
        <w:guid w:val="{BB6D99F5-1161-7D45-B817-6A417AD59EF0}"/>
      </w:docPartPr>
      <w:docPartBody>
        <w:p w:rsidR="00936288" w:rsidRDefault="00843AE5" w:rsidP="00843AE5">
          <w:pPr>
            <w:pStyle w:val="E659E8407BFD8F43AD61936A4EB6F39E"/>
          </w:pPr>
          <w:r>
            <w:rPr>
              <w:rStyle w:val="PlaceholderText"/>
            </w:rPr>
            <w:t>Click here to enter a date.</w:t>
          </w:r>
        </w:p>
      </w:docPartBody>
    </w:docPart>
    <w:docPart>
      <w:docPartPr>
        <w:name w:val="5EDDD3AEB67C0546BDA0452D8A07C74C"/>
        <w:category>
          <w:name w:val="General"/>
          <w:gallery w:val="placeholder"/>
        </w:category>
        <w:types>
          <w:type w:val="bbPlcHdr"/>
        </w:types>
        <w:behaviors>
          <w:behavior w:val="content"/>
        </w:behaviors>
        <w:guid w:val="{A26108BC-E278-EE48-8B4B-FCB789E8443C}"/>
      </w:docPartPr>
      <w:docPartBody>
        <w:p w:rsidR="00936288" w:rsidRDefault="00843AE5" w:rsidP="00843AE5">
          <w:pPr>
            <w:pStyle w:val="5EDDD3AEB67C0546BDA0452D8A07C74C"/>
          </w:pPr>
          <w:r>
            <w:rPr>
              <w:rStyle w:val="PlaceholderText"/>
            </w:rPr>
            <w:t>Click here to enter a date.</w:t>
          </w:r>
        </w:p>
      </w:docPartBody>
    </w:docPart>
    <w:docPart>
      <w:docPartPr>
        <w:name w:val="432820D3A71F48418AC9E5F8B3D5D21E"/>
        <w:category>
          <w:name w:val="General"/>
          <w:gallery w:val="placeholder"/>
        </w:category>
        <w:types>
          <w:type w:val="bbPlcHdr"/>
        </w:types>
        <w:behaviors>
          <w:behavior w:val="content"/>
        </w:behaviors>
        <w:guid w:val="{5D44AD90-DB95-4F14-A147-26E0DD95A985}"/>
      </w:docPartPr>
      <w:docPartBody>
        <w:p w:rsidR="008D0681" w:rsidRDefault="004F5C63" w:rsidP="004F5C63">
          <w:pPr>
            <w:pStyle w:val="432820D3A71F48418AC9E5F8B3D5D21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937FE"/>
    <w:rsid w:val="000A559A"/>
    <w:rsid w:val="001227E4"/>
    <w:rsid w:val="003A2F2A"/>
    <w:rsid w:val="003C1AE1"/>
    <w:rsid w:val="004144A3"/>
    <w:rsid w:val="004160E7"/>
    <w:rsid w:val="004F5C63"/>
    <w:rsid w:val="005074B9"/>
    <w:rsid w:val="005E40DD"/>
    <w:rsid w:val="007C6D1D"/>
    <w:rsid w:val="00843AE5"/>
    <w:rsid w:val="008C49D4"/>
    <w:rsid w:val="008D0681"/>
    <w:rsid w:val="00936288"/>
    <w:rsid w:val="009B3BF0"/>
    <w:rsid w:val="009D5E5E"/>
    <w:rsid w:val="00B23DC0"/>
    <w:rsid w:val="00CB4BD1"/>
    <w:rsid w:val="00CE2DA9"/>
    <w:rsid w:val="00CE44BE"/>
    <w:rsid w:val="00CE49F2"/>
    <w:rsid w:val="00E44A86"/>
    <w:rsid w:val="00EF6E0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F5C63"/>
    <w:rPr>
      <w:color w:val="808080"/>
    </w:rPr>
  </w:style>
  <w:style w:type="paragraph" w:customStyle="1" w:styleId="4AC4F33C27544D40B80D84C4599D76B3">
    <w:name w:val="4AC4F33C27544D40B80D84C4599D76B3"/>
    <w:rsid w:val="00843AE5"/>
    <w:pPr>
      <w:spacing w:after="0" w:line="240" w:lineRule="auto"/>
    </w:pPr>
    <w:rPr>
      <w:sz w:val="24"/>
      <w:szCs w:val="24"/>
      <w:lang w:eastAsia="en-GB"/>
    </w:rPr>
  </w:style>
  <w:style w:type="paragraph" w:customStyle="1" w:styleId="57EC0D485871B445B85D14CF013F1B67">
    <w:name w:val="57EC0D485871B445B85D14CF013F1B67"/>
    <w:rsid w:val="00843AE5"/>
    <w:pPr>
      <w:spacing w:after="0" w:line="240" w:lineRule="auto"/>
    </w:pPr>
    <w:rPr>
      <w:sz w:val="24"/>
      <w:szCs w:val="24"/>
      <w:lang w:eastAsia="en-GB"/>
    </w:rPr>
  </w:style>
  <w:style w:type="paragraph" w:customStyle="1" w:styleId="AE336E47A58DDE42BAB132C7007EBCC9">
    <w:name w:val="AE336E47A58DDE42BAB132C7007EBCC9"/>
    <w:rsid w:val="00843AE5"/>
    <w:pPr>
      <w:spacing w:after="0" w:line="240" w:lineRule="auto"/>
    </w:pPr>
    <w:rPr>
      <w:sz w:val="24"/>
      <w:szCs w:val="24"/>
      <w:lang w:eastAsia="en-GB"/>
    </w:rPr>
  </w:style>
  <w:style w:type="paragraph" w:customStyle="1" w:styleId="E659E8407BFD8F43AD61936A4EB6F39E">
    <w:name w:val="E659E8407BFD8F43AD61936A4EB6F39E"/>
    <w:rsid w:val="00843AE5"/>
    <w:pPr>
      <w:spacing w:after="0" w:line="240" w:lineRule="auto"/>
    </w:pPr>
    <w:rPr>
      <w:sz w:val="24"/>
      <w:szCs w:val="24"/>
      <w:lang w:eastAsia="en-GB"/>
    </w:rPr>
  </w:style>
  <w:style w:type="paragraph" w:customStyle="1" w:styleId="5EDDD3AEB67C0546BDA0452D8A07C74C">
    <w:name w:val="5EDDD3AEB67C0546BDA0452D8A07C74C"/>
    <w:rsid w:val="00843AE5"/>
    <w:pPr>
      <w:spacing w:after="0" w:line="240" w:lineRule="auto"/>
    </w:pPr>
    <w:rPr>
      <w:sz w:val="24"/>
      <w:szCs w:val="24"/>
      <w:lang w:eastAsia="en-GB"/>
    </w:rPr>
  </w:style>
  <w:style w:type="paragraph" w:customStyle="1" w:styleId="432820D3A71F48418AC9E5F8B3D5D21E">
    <w:name w:val="432820D3A71F48418AC9E5F8B3D5D21E"/>
    <w:rsid w:val="004F5C63"/>
  </w:style>
  <w:style w:type="paragraph" w:customStyle="1" w:styleId="A82B588E02A9449484B2B054F58B9427">
    <w:name w:val="A82B588E02A9449484B2B054F58B9427"/>
    <w:rsid w:val="004F5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3B67235628E7F46AF2BA15FF369754F" ma:contentTypeVersion="12" ma:contentTypeDescription="Kurkite naują dokumentą." ma:contentTypeScope="" ma:versionID="7896cec6a881105de0b62eeda7f7519d">
  <xsd:schema xmlns:xsd="http://www.w3.org/2001/XMLSchema" xmlns:xs="http://www.w3.org/2001/XMLSchema" xmlns:p="http://schemas.microsoft.com/office/2006/metadata/properties" xmlns:ns2="0cbfc325-95d3-4267-a4df-efb99666e73f" xmlns:ns3="58c78cca-ba62-460a-8b2d-a5f76cdde1ab" targetNamespace="http://schemas.microsoft.com/office/2006/metadata/properties" ma:root="true" ma:fieldsID="bff511d3fd5ce467215635241e287862" ns2:_="" ns3:_="">
    <xsd:import namespace="0cbfc325-95d3-4267-a4df-efb99666e73f"/>
    <xsd:import namespace="58c78cca-ba62-460a-8b2d-a5f76cdde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fc325-95d3-4267-a4df-efb99666e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c78cca-ba62-460a-8b2d-a5f76cdde1ab"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0CEA3-6378-4095-9F5D-B11A517684E3}">
  <ds:schemaRefs>
    <ds:schemaRef ds:uri="http://schemas.microsoft.com/sharepoint/v3/contenttype/forms"/>
  </ds:schemaRefs>
</ds:datastoreItem>
</file>

<file path=customXml/itemProps2.xml><?xml version="1.0" encoding="utf-8"?>
<ds:datastoreItem xmlns:ds="http://schemas.openxmlformats.org/officeDocument/2006/customXml" ds:itemID="{E52D15DB-29AC-4619-86CC-8EC99F50D060}">
  <ds:schemaRefs>
    <ds:schemaRef ds:uri="http://schemas.openxmlformats.org/package/2006/metadata/core-properties"/>
    <ds:schemaRef ds:uri="0cbfc325-95d3-4267-a4df-efb99666e73f"/>
    <ds:schemaRef ds:uri="http://schemas.microsoft.com/office/2006/documentManagement/types"/>
    <ds:schemaRef ds:uri="http://purl.org/dc/elements/1.1/"/>
    <ds:schemaRef ds:uri="58c78cca-ba62-460a-8b2d-a5f76cdde1ab"/>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36F4A4C-3AA2-45D0-B907-E8A8DC638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fc325-95d3-4267-a4df-efb99666e73f"/>
    <ds:schemaRef ds:uri="58c78cca-ba62-460a-8b2d-a5f76cdde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VVKT rastams</Template>
  <TotalTime>6</TotalTime>
  <Pages>8</Pages>
  <Words>2154</Words>
  <Characters>15706</Characters>
  <Application>Microsoft Office Word</Application>
  <DocSecurity>0</DocSecurity>
  <Lines>130</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S.M.C.A.</Company>
  <LinksUpToDate>false</LinksUpToDate>
  <CharactersWithSpaces>17825</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Kudelienė</dc:creator>
  <cp:keywords/>
  <dc:description/>
  <cp:lastModifiedBy>Akvilė Ūsaitė</cp:lastModifiedBy>
  <cp:revision>5</cp:revision>
  <cp:lastPrinted>2015-11-17T07:39:00Z</cp:lastPrinted>
  <dcterms:created xsi:type="dcterms:W3CDTF">2023-02-05T14:30:00Z</dcterms:created>
  <dcterms:modified xsi:type="dcterms:W3CDTF">2023-02-06T08:55:00Z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0x010100E3B67235628E7F46AF2BA15FF369754F</vt:lpwstr>
  </property>
</Properties>
</file>