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Pr="00D27F81" w:rsidRDefault="005F7602" w:rsidP="002946C7">
      <w:pPr>
        <w:ind w:left="5529"/>
        <w:rPr>
          <w:lang w:val="en-US"/>
        </w:rPr>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Default="004C263A" w:rsidP="001B3C5B">
      <w:pPr>
        <w:ind w:left="6096"/>
      </w:pPr>
      <w:r w:rsidRPr="00E33EFF">
        <w:t>(Valstybinės vaistų kontrolės tarnybos prie Lietuvos Respublikos sveikatos apsaugos ministerijos viršininko 2022 m.                         d. įsakymo Nr.                    redakcija)</w:t>
      </w:r>
    </w:p>
    <w:p w14:paraId="45DD017B" w14:textId="77777777" w:rsidR="00171488" w:rsidRPr="00D874B3" w:rsidRDefault="00171488" w:rsidP="007C2705"/>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7C9F497C" w14:textId="77777777" w:rsidR="00121011" w:rsidRPr="00BE4BE5" w:rsidRDefault="00121011" w:rsidP="00121011">
      <w:pPr>
        <w:jc w:val="center"/>
        <w:rPr>
          <w:b/>
        </w:rPr>
      </w:pPr>
      <w:proofErr w:type="spellStart"/>
      <w:r w:rsidRPr="00BE4BE5">
        <w:rPr>
          <w:b/>
        </w:rPr>
        <w:t>Adcetris</w:t>
      </w:r>
      <w:proofErr w:type="spellEnd"/>
      <w:r w:rsidRPr="00BE4BE5">
        <w:rPr>
          <w:b/>
        </w:rPr>
        <w:t>, 50 mg milteliai infuzinio tirpalo koncentratui</w:t>
      </w:r>
    </w:p>
    <w:p w14:paraId="05D31EE6" w14:textId="77777777" w:rsidR="00121011" w:rsidRPr="00D05364" w:rsidRDefault="00121011" w:rsidP="00121011">
      <w:pPr>
        <w:jc w:val="center"/>
      </w:pPr>
    </w:p>
    <w:p w14:paraId="0F5512FB" w14:textId="6B2D7CA3" w:rsidR="00121011" w:rsidRPr="007A68A5" w:rsidRDefault="00121011" w:rsidP="00121011">
      <w:pPr>
        <w:jc w:val="center"/>
      </w:pPr>
      <w:proofErr w:type="spellStart"/>
      <w:r w:rsidRPr="007A68A5">
        <w:t>Br</w:t>
      </w:r>
      <w:r>
        <w:t>e</w:t>
      </w:r>
      <w:r w:rsidR="009042EB">
        <w:t>n</w:t>
      </w:r>
      <w:r>
        <w:t>tuksimab</w:t>
      </w:r>
      <w:r w:rsidR="0016615F">
        <w:t>as</w:t>
      </w:r>
      <w:proofErr w:type="spellEnd"/>
      <w:r>
        <w:t xml:space="preserve"> </w:t>
      </w:r>
      <w:proofErr w:type="spellStart"/>
      <w:r>
        <w:t>vedotinas</w:t>
      </w:r>
      <w:proofErr w:type="spellEnd"/>
    </w:p>
    <w:p w14:paraId="4DC5EE37" w14:textId="77777777" w:rsidR="00121011" w:rsidRPr="00D05364" w:rsidRDefault="00121011" w:rsidP="00121011">
      <w:pPr>
        <w:jc w:val="center"/>
      </w:pPr>
    </w:p>
    <w:p w14:paraId="3D509550" w14:textId="77777777" w:rsidR="00121011" w:rsidRPr="00C57FF3" w:rsidRDefault="00121011" w:rsidP="00121011">
      <w:pPr>
        <w:jc w:val="center"/>
        <w:rPr>
          <w:bCs/>
          <w:lang w:val="en-US"/>
        </w:rPr>
      </w:pPr>
      <w:r w:rsidRPr="00C57FF3">
        <w:rPr>
          <w:bCs/>
        </w:rPr>
        <w:t>STV – 39</w:t>
      </w:r>
    </w:p>
    <w:p w14:paraId="169E0322" w14:textId="2A50E001" w:rsidR="00CB56BF" w:rsidRDefault="00CB56BF" w:rsidP="003B211A">
      <w:pPr>
        <w:jc w:val="center"/>
        <w:rPr>
          <w:b/>
        </w:rP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18A83EC2" w14:textId="77777777" w:rsidTr="31357FE3">
        <w:trPr>
          <w:trHeight w:val="314"/>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2AF240DC" w14:textId="15734F1E" w:rsidR="00B13D65" w:rsidRPr="00E33EFF" w:rsidRDefault="00B13D65" w:rsidP="00824B92">
            <w:pPr>
              <w:rPr>
                <w:rFonts w:eastAsia="Arial"/>
              </w:rPr>
            </w:pPr>
            <w:r w:rsidRPr="00E33EFF">
              <w:rPr>
                <w:rFonts w:eastAsia="Arial"/>
              </w:rPr>
              <w:t>Pareiškėjas</w:t>
            </w:r>
          </w:p>
        </w:tc>
        <w:tc>
          <w:tcPr>
            <w:tcW w:w="5167" w:type="dxa"/>
          </w:tcPr>
          <w:p w14:paraId="2AAF0D91" w14:textId="178D1765" w:rsidR="00B13D65" w:rsidRPr="00B87B84" w:rsidRDefault="005D1FDB" w:rsidP="00824B92">
            <w:pPr>
              <w:rPr>
                <w:lang w:val="en-US"/>
              </w:rPr>
            </w:pPr>
            <w:r>
              <w:t xml:space="preserve">UAB </w:t>
            </w:r>
            <w:proofErr w:type="spellStart"/>
            <w:r w:rsidR="00B87B84">
              <w:t>Takeda</w:t>
            </w:r>
            <w:proofErr w:type="spellEnd"/>
          </w:p>
        </w:tc>
      </w:tr>
      <w:tr w:rsidR="00B13D65" w:rsidRPr="00E33EFF" w14:paraId="31998B0D" w14:textId="77777777" w:rsidTr="31357FE3">
        <w:trPr>
          <w:trHeight w:val="156"/>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3A0DC096" w14:textId="6369A966" w:rsidR="00B13D65" w:rsidRPr="004B001C" w:rsidRDefault="00B13D65" w:rsidP="00824B92">
            <w:pPr>
              <w:rPr>
                <w:bCs/>
                <w:color w:val="000000"/>
                <w:lang w:eastAsia="lt-LT"/>
              </w:rPr>
            </w:pPr>
            <w:r w:rsidRPr="00E33EFF">
              <w:rPr>
                <w:bCs/>
                <w:color w:val="000000"/>
                <w:lang w:eastAsia="lt-LT"/>
              </w:rPr>
              <w:t xml:space="preserve">Registracijos data </w:t>
            </w:r>
          </w:p>
        </w:tc>
        <w:tc>
          <w:tcPr>
            <w:tcW w:w="5167" w:type="dxa"/>
          </w:tcPr>
          <w:p w14:paraId="3CA218AD" w14:textId="20CA347A" w:rsidR="00B13D65" w:rsidRPr="009F6B35" w:rsidRDefault="00054D0A" w:rsidP="00824B92">
            <w:pPr>
              <w:rPr>
                <w:rStyle w:val="Style2"/>
                <w:sz w:val="24"/>
              </w:rPr>
            </w:pPr>
            <w:sdt>
              <w:sdtPr>
                <w:rPr>
                  <w:color w:val="000000" w:themeColor="text1"/>
                  <w:sz w:val="32"/>
                  <w:shd w:val="clear" w:color="auto" w:fill="FFFFFF"/>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sdtContent>
                <w:r w:rsidR="005D1FDB" w:rsidRPr="005D1FDB">
                  <w:rPr>
                    <w:color w:val="000000" w:themeColor="text1"/>
                    <w:shd w:val="clear" w:color="auto" w:fill="FFFFFF"/>
                  </w:rPr>
                  <w:t>201</w:t>
                </w:r>
                <w:r w:rsidR="00B87B84">
                  <w:rPr>
                    <w:color w:val="000000" w:themeColor="text1"/>
                    <w:shd w:val="clear" w:color="auto" w:fill="FFFFFF"/>
                    <w:lang w:val="en-US"/>
                  </w:rPr>
                  <w:t>8</w:t>
                </w:r>
                <w:r w:rsidR="005D1FDB" w:rsidRPr="005D1FDB">
                  <w:rPr>
                    <w:color w:val="000000" w:themeColor="text1"/>
                    <w:shd w:val="clear" w:color="auto" w:fill="FFFFFF"/>
                  </w:rPr>
                  <w:t xml:space="preserve"> m. </w:t>
                </w:r>
                <w:proofErr w:type="spellStart"/>
                <w:r w:rsidR="00B87B84">
                  <w:rPr>
                    <w:color w:val="000000" w:themeColor="text1"/>
                    <w:shd w:val="clear" w:color="auto" w:fill="FFFFFF"/>
                    <w:lang w:val="en-US"/>
                  </w:rPr>
                  <w:t>lapkri</w:t>
                </w:r>
                <w:r w:rsidR="00B87B84">
                  <w:rPr>
                    <w:color w:val="000000" w:themeColor="text1"/>
                    <w:shd w:val="clear" w:color="auto" w:fill="FFFFFF"/>
                  </w:rPr>
                  <w:t>čio</w:t>
                </w:r>
                <w:proofErr w:type="spellEnd"/>
                <w:r w:rsidR="005D1FDB" w:rsidRPr="005D1FDB">
                  <w:rPr>
                    <w:color w:val="000000" w:themeColor="text1"/>
                    <w:shd w:val="clear" w:color="auto" w:fill="FFFFFF"/>
                  </w:rPr>
                  <w:t xml:space="preserve"> </w:t>
                </w:r>
                <w:r w:rsidR="00B87B84">
                  <w:rPr>
                    <w:color w:val="000000" w:themeColor="text1"/>
                    <w:shd w:val="clear" w:color="auto" w:fill="FFFFFF"/>
                    <w:lang w:val="en-US"/>
                  </w:rPr>
                  <w:t>22</w:t>
                </w:r>
                <w:r w:rsidR="005D1FDB" w:rsidRPr="005D1FDB">
                  <w:rPr>
                    <w:color w:val="000000" w:themeColor="text1"/>
                    <w:shd w:val="clear" w:color="auto" w:fill="FFFFFF"/>
                  </w:rPr>
                  <w:t xml:space="preserve"> d.</w:t>
                </w:r>
              </w:sdtContent>
            </w:sdt>
            <w:r w:rsidR="005D1FDB">
              <w:rPr>
                <w:color w:val="000000" w:themeColor="text1"/>
                <w:sz w:val="32"/>
                <w:shd w:val="clear" w:color="auto" w:fill="FFFFFF"/>
              </w:rPr>
              <w:t xml:space="preserve"> </w:t>
            </w:r>
          </w:p>
        </w:tc>
      </w:tr>
      <w:tr w:rsidR="00B13D65" w:rsidRPr="00E33EFF" w14:paraId="15968AE1" w14:textId="77777777" w:rsidTr="31357FE3">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1F31726E"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A83470">
              <w:t>n</w:t>
            </w:r>
            <w:r w:rsidR="0039696E" w:rsidRPr="00E33EFF">
              <w:t>iuose</w:t>
            </w:r>
            <w:r w:rsidRPr="00E33EFF">
              <w:t>)</w:t>
            </w:r>
          </w:p>
          <w:p w14:paraId="77089D80" w14:textId="6681D72A" w:rsidR="00B13D65" w:rsidRPr="00E33EFF" w:rsidRDefault="00B13D65" w:rsidP="00824B92">
            <w:pPr>
              <w:rPr>
                <w:bCs/>
                <w:color w:val="000000"/>
                <w:lang w:eastAsia="lt-LT"/>
              </w:rPr>
            </w:pPr>
          </w:p>
        </w:tc>
        <w:tc>
          <w:tcPr>
            <w:tcW w:w="5167" w:type="dxa"/>
          </w:tcPr>
          <w:p w14:paraId="208F40EC" w14:textId="69E70B6C" w:rsidR="00B13D65" w:rsidRPr="006870F1" w:rsidRDefault="00054D0A" w:rsidP="00824B92">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9A5B40" w:rsidRPr="006870F1">
                  <w:rPr>
                    <w:rStyle w:val="Style2"/>
                    <w:rFonts w:ascii="Segoe UI Symbol" w:eastAsia="MS Gothic" w:hAnsi="Segoe UI Symbol" w:cs="Segoe UI Symbol"/>
                    <w:sz w:val="24"/>
                  </w:rPr>
                  <w:t>☒</w:t>
                </w:r>
              </w:sdtContent>
            </w:sdt>
            <w:r w:rsidR="00B13D65" w:rsidRPr="006870F1">
              <w:t xml:space="preserve">8.3 str. (pilna byla, pagrįsta savais tyrimais) </w:t>
            </w:r>
          </w:p>
          <w:p w14:paraId="32BA564E" w14:textId="3FDA3E01" w:rsidR="00B13D65" w:rsidRPr="006870F1" w:rsidRDefault="00054D0A" w:rsidP="00824B92">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CC7832" w:rsidRPr="006870F1">
                  <w:rPr>
                    <w:rStyle w:val="Style2"/>
                    <w:rFonts w:ascii="Segoe UI Symbol" w:eastAsia="MS Gothic" w:hAnsi="Segoe UI Symbol" w:cs="Segoe UI Symbol"/>
                    <w:sz w:val="24"/>
                  </w:rPr>
                  <w:t>☐</w:t>
                </w:r>
              </w:sdtContent>
            </w:sdt>
            <w:r w:rsidR="00B13D65" w:rsidRPr="006870F1">
              <w:t xml:space="preserve">10 a str. (pripažintas medicininis vartojimas) </w:t>
            </w:r>
          </w:p>
          <w:p w14:paraId="318DCD7F" w14:textId="32333E53" w:rsidR="00B13D65" w:rsidRPr="006870F1" w:rsidRDefault="00054D0A" w:rsidP="00824B92">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CC7832" w:rsidRPr="006870F1">
                  <w:rPr>
                    <w:rStyle w:val="Style2"/>
                    <w:rFonts w:ascii="Segoe UI Symbol" w:eastAsia="MS Gothic" w:hAnsi="Segoe UI Symbol" w:cs="Segoe UI Symbol"/>
                    <w:sz w:val="24"/>
                  </w:rPr>
                  <w:t>☐</w:t>
                </w:r>
              </w:sdtContent>
            </w:sdt>
            <w:r w:rsidR="00B13D65" w:rsidRPr="006870F1">
              <w:t>10.1 str. (</w:t>
            </w:r>
            <w:proofErr w:type="spellStart"/>
            <w:r w:rsidR="00B13D65" w:rsidRPr="006870F1">
              <w:t>generinis</w:t>
            </w:r>
            <w:proofErr w:type="spellEnd"/>
            <w:r w:rsidR="00B13D65" w:rsidRPr="006870F1">
              <w:t>)</w:t>
            </w:r>
          </w:p>
          <w:p w14:paraId="3B0A4F72" w14:textId="3F5FB073" w:rsidR="00B13D65" w:rsidRPr="00E33EFF" w:rsidRDefault="00054D0A"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CC7832" w:rsidRPr="006870F1">
                  <w:rPr>
                    <w:rStyle w:val="Style2"/>
                    <w:rFonts w:ascii="Segoe UI Symbol" w:eastAsia="MS Gothic" w:hAnsi="Segoe UI Symbol" w:cs="Segoe UI Symbol"/>
                    <w:sz w:val="24"/>
                  </w:rPr>
                  <w:t>☐</w:t>
                </w:r>
              </w:sdtContent>
            </w:sdt>
            <w:r w:rsidR="00B13D65" w:rsidRPr="006870F1">
              <w:t>10.3 str. (hibridinis)</w:t>
            </w:r>
          </w:p>
        </w:tc>
      </w:tr>
      <w:tr w:rsidR="00B13D65" w:rsidRPr="00E33EFF" w14:paraId="310E9662" w14:textId="77777777" w:rsidTr="00B87B84">
        <w:trPr>
          <w:trHeight w:val="1035"/>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483071A3" w14:textId="2CB03165"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5845C60" w14:textId="7060881F" w:rsidR="00B13D65" w:rsidRPr="00E33EFF" w:rsidRDefault="00054D0A"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4B001C">
                  <w:rPr>
                    <w:rStyle w:val="Style2"/>
                    <w:rFonts w:ascii="MS Gothic" w:eastAsia="MS Gothic" w:hAnsi="MS Gothic" w:hint="eastAsia"/>
                    <w:sz w:val="24"/>
                  </w:rPr>
                  <w:t>☐</w:t>
                </w:r>
              </w:sdtContent>
            </w:sdt>
            <w:r w:rsidR="00B13D65" w:rsidRPr="00E33EFF">
              <w:t xml:space="preserve"> Taip</w:t>
            </w:r>
          </w:p>
          <w:p w14:paraId="41D88067" w14:textId="50ED090B" w:rsidR="00B13D65" w:rsidRPr="00E33EFF" w:rsidRDefault="00054D0A"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4B001C">
                  <w:rPr>
                    <w:rStyle w:val="Style2"/>
                    <w:rFonts w:ascii="MS Gothic" w:eastAsia="MS Gothic" w:hAnsi="MS Gothic" w:hint="eastAsia"/>
                    <w:sz w:val="24"/>
                  </w:rPr>
                  <w:t>☒</w:t>
                </w:r>
              </w:sdtContent>
            </w:sdt>
            <w:r w:rsidR="00B13D65" w:rsidRPr="00E33EFF">
              <w:t xml:space="preserve"> Ne</w:t>
            </w:r>
          </w:p>
          <w:p w14:paraId="29C2CBBB" w14:textId="37BE5F4A" w:rsidR="00B13D65" w:rsidRPr="00E33EFF" w:rsidRDefault="00B13D65" w:rsidP="31357FE3"/>
        </w:tc>
      </w:tr>
      <w:tr w:rsidR="00D417D2" w:rsidRPr="00E33EFF" w14:paraId="7841E5F8" w14:textId="77777777" w:rsidTr="31357FE3">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0E3D3DB9" w:rsidR="00D417D2" w:rsidRPr="00E33EFF" w:rsidRDefault="00054D0A"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45326F">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54D0A"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273F8C">
        <w:trPr>
          <w:trHeight w:val="699"/>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13473BFF" w14:textId="38A74064" w:rsidR="00D2043F" w:rsidRDefault="00D2043F" w:rsidP="00824B92">
            <w:pPr>
              <w:rPr>
                <w:bCs/>
                <w:color w:val="000000"/>
                <w:lang w:eastAsia="lt-LT"/>
              </w:rPr>
            </w:pPr>
          </w:p>
          <w:p w14:paraId="035E09F5" w14:textId="49B0B65F" w:rsidR="0016615F" w:rsidRDefault="0016615F" w:rsidP="00824B92">
            <w:pPr>
              <w:rPr>
                <w:bCs/>
                <w:color w:val="000000"/>
                <w:lang w:eastAsia="lt-LT"/>
              </w:rPr>
            </w:pPr>
          </w:p>
          <w:p w14:paraId="1B514776" w14:textId="182F3164" w:rsidR="0016615F" w:rsidRDefault="0016615F" w:rsidP="00824B92">
            <w:pPr>
              <w:rPr>
                <w:bCs/>
                <w:color w:val="000000"/>
                <w:lang w:eastAsia="lt-LT"/>
              </w:rPr>
            </w:pPr>
          </w:p>
          <w:p w14:paraId="658693A8" w14:textId="6F51347C" w:rsidR="0016615F" w:rsidRDefault="0016615F" w:rsidP="00824B92">
            <w:pPr>
              <w:rPr>
                <w:bCs/>
                <w:color w:val="000000"/>
                <w:lang w:eastAsia="lt-LT"/>
              </w:rPr>
            </w:pPr>
          </w:p>
          <w:p w14:paraId="195768FE" w14:textId="77777777" w:rsidR="0016615F" w:rsidRDefault="0016615F" w:rsidP="00824B92">
            <w:pPr>
              <w:rPr>
                <w:bCs/>
                <w:color w:val="000000"/>
                <w:lang w:eastAsia="lt-LT"/>
              </w:rPr>
            </w:pPr>
          </w:p>
          <w:p w14:paraId="6B4FEEC1" w14:textId="19775D69"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36237113" w14:textId="77777777" w:rsidR="00121011" w:rsidRPr="00BD4F39" w:rsidRDefault="00121011" w:rsidP="00121011">
            <w:pPr>
              <w:spacing w:line="276" w:lineRule="auto"/>
              <w:jc w:val="both"/>
              <w:rPr>
                <w:rFonts w:eastAsia="Arial"/>
              </w:rPr>
            </w:pPr>
            <w:r w:rsidRPr="00BD4F39">
              <w:rPr>
                <w:rFonts w:eastAsia="Arial"/>
              </w:rPr>
              <w:t xml:space="preserve">Sisteminė </w:t>
            </w:r>
            <w:proofErr w:type="spellStart"/>
            <w:r w:rsidRPr="00BD4F39">
              <w:rPr>
                <w:rFonts w:eastAsia="Arial"/>
              </w:rPr>
              <w:t>anaplazinė</w:t>
            </w:r>
            <w:proofErr w:type="spellEnd"/>
            <w:r w:rsidRPr="00BD4F39">
              <w:rPr>
                <w:rFonts w:eastAsia="Arial"/>
              </w:rPr>
              <w:t xml:space="preserve"> didelių ląstelių limfoma (</w:t>
            </w:r>
            <w:proofErr w:type="spellStart"/>
            <w:r w:rsidRPr="00BD4F39">
              <w:rPr>
                <w:rFonts w:eastAsia="Arial"/>
              </w:rPr>
              <w:t>sADLL</w:t>
            </w:r>
            <w:proofErr w:type="spellEnd"/>
            <w:r w:rsidRPr="00BD4F39">
              <w:rPr>
                <w:rFonts w:eastAsia="Arial"/>
              </w:rPr>
              <w:t>)</w:t>
            </w:r>
          </w:p>
          <w:p w14:paraId="4A5092F1" w14:textId="77777777" w:rsidR="00B13D65" w:rsidRDefault="00121011" w:rsidP="00121011">
            <w:pPr>
              <w:pStyle w:val="ListParagraph"/>
              <w:spacing w:after="120"/>
              <w:ind w:left="0"/>
              <w:contextualSpacing w:val="0"/>
              <w:jc w:val="both"/>
              <w:rPr>
                <w:rFonts w:eastAsia="Arial"/>
              </w:rPr>
            </w:pPr>
            <w:r w:rsidRPr="00C13759">
              <w:rPr>
                <w:rFonts w:eastAsia="Arial"/>
              </w:rPr>
              <w:t xml:space="preserve">ADCETRIS kartu su </w:t>
            </w:r>
            <w:proofErr w:type="spellStart"/>
            <w:r w:rsidRPr="00C13759">
              <w:rPr>
                <w:rFonts w:eastAsia="Arial"/>
              </w:rPr>
              <w:t>ciklofosfamidu</w:t>
            </w:r>
            <w:proofErr w:type="spellEnd"/>
            <w:r w:rsidRPr="00C13759">
              <w:rPr>
                <w:rFonts w:eastAsia="Arial"/>
              </w:rPr>
              <w:t xml:space="preserve">, </w:t>
            </w:r>
            <w:proofErr w:type="spellStart"/>
            <w:r w:rsidRPr="00C13759">
              <w:rPr>
                <w:rFonts w:eastAsia="Arial"/>
              </w:rPr>
              <w:t>doksorubicinu</w:t>
            </w:r>
            <w:proofErr w:type="spellEnd"/>
            <w:r w:rsidRPr="00C13759">
              <w:rPr>
                <w:rFonts w:eastAsia="Arial"/>
              </w:rPr>
              <w:t xml:space="preserve"> ir prednizonu (CHP) yra skirtas gydyti suaugusiems pacientams, kuriems anksčiau nebuvo gydyta sisteminė </w:t>
            </w:r>
            <w:proofErr w:type="spellStart"/>
            <w:r w:rsidRPr="00C13759">
              <w:rPr>
                <w:rFonts w:eastAsia="Arial"/>
              </w:rPr>
              <w:t>anaplazinė</w:t>
            </w:r>
            <w:proofErr w:type="spellEnd"/>
            <w:r w:rsidRPr="00C13759">
              <w:rPr>
                <w:rFonts w:eastAsia="Arial"/>
              </w:rPr>
              <w:t xml:space="preserve"> didelių ląstelių limfoma (</w:t>
            </w:r>
            <w:proofErr w:type="spellStart"/>
            <w:r w:rsidRPr="00C13759">
              <w:rPr>
                <w:rFonts w:eastAsia="Arial"/>
              </w:rPr>
              <w:t>sADLL</w:t>
            </w:r>
            <w:proofErr w:type="spellEnd"/>
            <w:r w:rsidRPr="00C13759">
              <w:rPr>
                <w:rFonts w:eastAsia="Arial"/>
              </w:rPr>
              <w:t>).</w:t>
            </w:r>
          </w:p>
          <w:p w14:paraId="2F78937F" w14:textId="71B7ED7B" w:rsidR="0016615F" w:rsidRDefault="00121011" w:rsidP="00121011">
            <w:pPr>
              <w:pStyle w:val="ListParagraph"/>
              <w:spacing w:after="120"/>
              <w:ind w:left="0"/>
              <w:contextualSpacing w:val="0"/>
              <w:jc w:val="both"/>
            </w:pPr>
            <w:r w:rsidRPr="00C13759">
              <w:t>C84.6 (</w:t>
            </w:r>
            <w:proofErr w:type="spellStart"/>
            <w:r w:rsidRPr="00C13759">
              <w:t>anaplazinė</w:t>
            </w:r>
            <w:proofErr w:type="spellEnd"/>
            <w:r w:rsidRPr="00C13759">
              <w:t xml:space="preserve"> didelių ląstelių limfoma, ALK teigiama)</w:t>
            </w:r>
          </w:p>
          <w:p w14:paraId="13F7DFB0" w14:textId="381E8A96" w:rsidR="00121011" w:rsidRPr="00121011" w:rsidRDefault="00121011" w:rsidP="0016615F">
            <w:pPr>
              <w:pStyle w:val="ListParagraph"/>
              <w:spacing w:after="120"/>
              <w:ind w:left="0"/>
              <w:contextualSpacing w:val="0"/>
              <w:jc w:val="both"/>
            </w:pPr>
            <w:r w:rsidRPr="00C13759">
              <w:lastRenderedPageBreak/>
              <w:t xml:space="preserve"> C84.7 (</w:t>
            </w:r>
            <w:proofErr w:type="spellStart"/>
            <w:r w:rsidRPr="00C13759">
              <w:t>anaplazinė</w:t>
            </w:r>
            <w:proofErr w:type="spellEnd"/>
            <w:r w:rsidRPr="00C13759">
              <w:t xml:space="preserve"> didelių ląstelių limfoma, ALK neigiama).</w:t>
            </w:r>
          </w:p>
        </w:tc>
      </w:tr>
      <w:tr w:rsidR="00B13D65" w:rsidRPr="00E33EFF" w14:paraId="2F79DC08" w14:textId="77777777" w:rsidTr="31357FE3">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9C5586">
              <w:rPr>
                <w:color w:val="000000"/>
                <w:lang w:eastAsia="lt-LT"/>
              </w:rPr>
              <w:t>Pareiškėjo t</w:t>
            </w:r>
            <w:r w:rsidR="00B13D65" w:rsidRPr="009C5586">
              <w:rPr>
                <w:color w:val="000000"/>
                <w:lang w:eastAsia="lt-LT"/>
              </w:rPr>
              <w:t>eikiamos skyrimo sąlygos</w:t>
            </w:r>
            <w:r w:rsidR="005B3756" w:rsidRPr="00E33EFF">
              <w:rPr>
                <w:bCs/>
                <w:color w:val="000000"/>
                <w:lang w:eastAsia="lt-LT"/>
              </w:rPr>
              <w:t xml:space="preserve"> </w:t>
            </w:r>
          </w:p>
        </w:tc>
        <w:tc>
          <w:tcPr>
            <w:tcW w:w="5167" w:type="dxa"/>
          </w:tcPr>
          <w:p w14:paraId="0579DF58" w14:textId="525AEEBD" w:rsidR="00B13D65" w:rsidRPr="00B87B84" w:rsidRDefault="00B87B84" w:rsidP="00286873">
            <w:pPr>
              <w:jc w:val="both"/>
            </w:pPr>
            <w:proofErr w:type="spellStart"/>
            <w:r>
              <w:rPr>
                <w:lang w:val="en-US"/>
              </w:rPr>
              <w:t>Pagal</w:t>
            </w:r>
            <w:proofErr w:type="spellEnd"/>
            <w:r>
              <w:rPr>
                <w:lang w:val="en-US"/>
              </w:rPr>
              <w:t xml:space="preserve"> </w:t>
            </w:r>
            <w:proofErr w:type="spellStart"/>
            <w:r>
              <w:rPr>
                <w:lang w:val="en-US"/>
              </w:rPr>
              <w:t>registruot</w:t>
            </w:r>
            <w:proofErr w:type="spellEnd"/>
            <w:r>
              <w:t>ą indikaciją.</w:t>
            </w:r>
          </w:p>
        </w:tc>
      </w:tr>
      <w:tr w:rsidR="00B13D65" w:rsidRPr="00E33EFF" w14:paraId="3B125269" w14:textId="77777777" w:rsidTr="31357FE3">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4D953FBB"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71BACB50" w14:textId="5B7DD057" w:rsidR="008967C6" w:rsidRDefault="008967C6" w:rsidP="00824B92">
            <w:pPr>
              <w:rPr>
                <w:bCs/>
                <w:color w:val="000000"/>
                <w:lang w:eastAsia="lt-LT"/>
              </w:rPr>
            </w:pPr>
          </w:p>
          <w:p w14:paraId="071E7B9A" w14:textId="77777777" w:rsidR="00D777C0" w:rsidRDefault="008967C6" w:rsidP="00824B92">
            <w:pPr>
              <w:rPr>
                <w:bCs/>
                <w:color w:val="000000"/>
                <w:lang w:eastAsia="lt-LT"/>
              </w:rPr>
            </w:pPr>
            <w:r>
              <w:rPr>
                <w:bCs/>
                <w:color w:val="000000"/>
                <w:lang w:eastAsia="lt-LT"/>
              </w:rPr>
              <w:t xml:space="preserve">Tiesioginis </w:t>
            </w:r>
            <w:r w:rsidR="00D777C0">
              <w:rPr>
                <w:bCs/>
                <w:color w:val="000000"/>
                <w:lang w:eastAsia="lt-LT"/>
              </w:rPr>
              <w:t>palyginimas:</w:t>
            </w:r>
          </w:p>
          <w:p w14:paraId="04AE6DE7" w14:textId="71B6B628" w:rsidR="008967C6" w:rsidRPr="00BD4F39" w:rsidRDefault="008967C6" w:rsidP="00BD4F39">
            <w:pPr>
              <w:pStyle w:val="ListParagraph"/>
              <w:numPr>
                <w:ilvl w:val="0"/>
                <w:numId w:val="29"/>
              </w:numPr>
              <w:rPr>
                <w:bCs/>
                <w:color w:val="000000"/>
                <w:lang w:eastAsia="lt-LT"/>
              </w:rPr>
            </w:pPr>
            <w:proofErr w:type="spellStart"/>
            <w:r w:rsidRPr="00BD4F39">
              <w:rPr>
                <w:bCs/>
                <w:color w:val="000000"/>
                <w:lang w:eastAsia="lt-LT"/>
              </w:rPr>
              <w:t>ciklofosfamid</w:t>
            </w:r>
            <w:r w:rsidR="00D777C0">
              <w:rPr>
                <w:bCs/>
                <w:color w:val="000000"/>
                <w:lang w:eastAsia="lt-LT"/>
              </w:rPr>
              <w:t>o</w:t>
            </w:r>
            <w:proofErr w:type="spellEnd"/>
            <w:r w:rsidRPr="00BD4F39">
              <w:rPr>
                <w:bCs/>
                <w:color w:val="000000"/>
                <w:lang w:eastAsia="lt-LT"/>
              </w:rPr>
              <w:t xml:space="preserve">, </w:t>
            </w:r>
            <w:proofErr w:type="spellStart"/>
            <w:r w:rsidRPr="00BD4F39">
              <w:rPr>
                <w:bCs/>
                <w:color w:val="000000"/>
                <w:lang w:eastAsia="lt-LT"/>
              </w:rPr>
              <w:t>doksorubicino</w:t>
            </w:r>
            <w:proofErr w:type="spellEnd"/>
            <w:r w:rsidRPr="00BD4F39">
              <w:rPr>
                <w:bCs/>
                <w:color w:val="000000"/>
                <w:lang w:eastAsia="lt-LT"/>
              </w:rPr>
              <w:t xml:space="preserve">, </w:t>
            </w:r>
            <w:proofErr w:type="spellStart"/>
            <w:r w:rsidRPr="00BD4F39">
              <w:rPr>
                <w:bCs/>
                <w:color w:val="000000"/>
                <w:lang w:eastAsia="lt-LT"/>
              </w:rPr>
              <w:t>vinkristin</w:t>
            </w:r>
            <w:r w:rsidR="00D777C0">
              <w:rPr>
                <w:bCs/>
                <w:color w:val="000000"/>
                <w:lang w:eastAsia="lt-LT"/>
              </w:rPr>
              <w:t>o</w:t>
            </w:r>
            <w:proofErr w:type="spellEnd"/>
            <w:r w:rsidRPr="00BD4F39">
              <w:rPr>
                <w:bCs/>
                <w:color w:val="000000"/>
                <w:lang w:eastAsia="lt-LT"/>
              </w:rPr>
              <w:t xml:space="preserve"> ir prednizolon</w:t>
            </w:r>
            <w:r w:rsidR="00D777C0">
              <w:rPr>
                <w:bCs/>
                <w:color w:val="000000"/>
                <w:lang w:eastAsia="lt-LT"/>
              </w:rPr>
              <w:t>o derinys</w:t>
            </w:r>
            <w:r w:rsidRPr="00BD4F39">
              <w:rPr>
                <w:bCs/>
                <w:color w:val="000000"/>
                <w:lang w:eastAsia="lt-LT"/>
              </w:rPr>
              <w:t xml:space="preserve"> (CHOP)</w:t>
            </w:r>
          </w:p>
          <w:p w14:paraId="6CC1022E" w14:textId="2B6BCEE1" w:rsidR="009F4D66" w:rsidRPr="00E33EFF" w:rsidRDefault="009F4D66" w:rsidP="00824B92">
            <w:pPr>
              <w:rPr>
                <w:bCs/>
                <w:color w:val="000000"/>
                <w:lang w:eastAsia="lt-LT"/>
              </w:rPr>
            </w:pPr>
          </w:p>
        </w:tc>
        <w:tc>
          <w:tcPr>
            <w:tcW w:w="5167" w:type="dxa"/>
          </w:tcPr>
          <w:p w14:paraId="1F113AC0" w14:textId="2CF14144" w:rsidR="009F4D66" w:rsidRPr="00E33EFF" w:rsidRDefault="00054D0A"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A67196">
                  <w:rPr>
                    <w:rStyle w:val="Style2"/>
                    <w:rFonts w:ascii="MS Gothic" w:eastAsia="MS Gothic" w:hAnsi="MS Gothic" w:hint="eastAsia"/>
                    <w:sz w:val="24"/>
                  </w:rPr>
                  <w:t>☒</w:t>
                </w:r>
              </w:sdtContent>
            </w:sdt>
            <w:r w:rsidR="009F4D66" w:rsidRPr="00E33EFF">
              <w:t xml:space="preserve"> Tinkamas</w:t>
            </w:r>
          </w:p>
          <w:p w14:paraId="41B44044" w14:textId="3E662AB8" w:rsidR="00B13D65" w:rsidRPr="00E33EFF" w:rsidRDefault="00054D0A"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A67196">
                  <w:rPr>
                    <w:rStyle w:val="Style2"/>
                    <w:rFonts w:ascii="MS Gothic" w:eastAsia="MS Gothic" w:hAnsi="MS Gothic" w:hint="eastAsia"/>
                    <w:sz w:val="24"/>
                  </w:rPr>
                  <w:t>☐</w:t>
                </w:r>
              </w:sdtContent>
            </w:sdt>
            <w:r w:rsidR="009F4D66" w:rsidRPr="00E33EFF">
              <w:t xml:space="preserve"> Netinkama</w:t>
            </w:r>
            <w:r w:rsidR="009F6B35">
              <w:t>s</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B87B84" w:rsidRPr="00D05364" w14:paraId="5F11B5B5" w14:textId="77777777" w:rsidTr="00EB114F">
        <w:trPr>
          <w:trHeight w:val="924"/>
        </w:trPr>
        <w:tc>
          <w:tcPr>
            <w:tcW w:w="2927" w:type="dxa"/>
          </w:tcPr>
          <w:p w14:paraId="45814C6A" w14:textId="77777777" w:rsidR="00B87B84" w:rsidRPr="00D05364" w:rsidRDefault="00B87B84" w:rsidP="00EB114F">
            <w:pPr>
              <w:spacing w:line="276" w:lineRule="auto"/>
              <w:rPr>
                <w:rFonts w:eastAsia="Arial"/>
              </w:rPr>
            </w:pPr>
            <w:r w:rsidRPr="00D05364">
              <w:rPr>
                <w:rFonts w:eastAsia="Arial"/>
              </w:rPr>
              <w:t>STV agentūros pavadinimas, šalis</w:t>
            </w:r>
          </w:p>
        </w:tc>
        <w:tc>
          <w:tcPr>
            <w:tcW w:w="1915" w:type="dxa"/>
          </w:tcPr>
          <w:p w14:paraId="0C5D63D1" w14:textId="77777777" w:rsidR="00B87B84" w:rsidRPr="00D05364" w:rsidRDefault="00B87B84" w:rsidP="00EB114F">
            <w:pPr>
              <w:spacing w:line="276" w:lineRule="auto"/>
              <w:rPr>
                <w:rFonts w:eastAsia="Arial"/>
              </w:rPr>
            </w:pPr>
            <w:r w:rsidRPr="00D05364">
              <w:rPr>
                <w:rFonts w:eastAsia="Arial"/>
              </w:rPr>
              <w:t>STV vertinimas atliktas</w:t>
            </w:r>
          </w:p>
        </w:tc>
        <w:tc>
          <w:tcPr>
            <w:tcW w:w="2351" w:type="dxa"/>
          </w:tcPr>
          <w:p w14:paraId="75CAF7AE" w14:textId="77777777" w:rsidR="00B87B84" w:rsidRPr="00D05364" w:rsidRDefault="00B87B84" w:rsidP="00EB114F">
            <w:pPr>
              <w:spacing w:line="276" w:lineRule="auto"/>
              <w:rPr>
                <w:rFonts w:eastAsia="Arial"/>
              </w:rPr>
            </w:pPr>
            <w:r w:rsidRPr="00D05364">
              <w:rPr>
                <w:rFonts w:eastAsia="Arial"/>
              </w:rPr>
              <w:t>Klinikinio vertinimo išvada</w:t>
            </w:r>
          </w:p>
        </w:tc>
        <w:tc>
          <w:tcPr>
            <w:tcW w:w="2725" w:type="dxa"/>
          </w:tcPr>
          <w:p w14:paraId="068CB53E" w14:textId="77777777" w:rsidR="00B87B84" w:rsidRPr="00D05364" w:rsidRDefault="00B87B84" w:rsidP="00EB114F">
            <w:pPr>
              <w:spacing w:line="276" w:lineRule="auto"/>
              <w:rPr>
                <w:rFonts w:eastAsia="Arial"/>
              </w:rPr>
            </w:pPr>
            <w:proofErr w:type="spellStart"/>
            <w:r w:rsidRPr="00D05364">
              <w:rPr>
                <w:rFonts w:eastAsia="Arial"/>
              </w:rPr>
              <w:t>Farmakoekonominio</w:t>
            </w:r>
            <w:proofErr w:type="spellEnd"/>
            <w:r w:rsidRPr="00D05364">
              <w:rPr>
                <w:rFonts w:eastAsia="Arial"/>
              </w:rPr>
              <w:t xml:space="preserve"> vertinimo išvada</w:t>
            </w:r>
          </w:p>
        </w:tc>
      </w:tr>
      <w:tr w:rsidR="002A1AC4" w:rsidRPr="00D05364" w14:paraId="4B5C947E" w14:textId="77777777" w:rsidTr="004D47FD">
        <w:trPr>
          <w:trHeight w:val="1765"/>
        </w:trPr>
        <w:tc>
          <w:tcPr>
            <w:tcW w:w="2927" w:type="dxa"/>
          </w:tcPr>
          <w:p w14:paraId="4574C4B5" w14:textId="77777777" w:rsidR="002A1AC4" w:rsidRPr="00D05364" w:rsidRDefault="002A1AC4" w:rsidP="00EB114F">
            <w:pPr>
              <w:autoSpaceDE w:val="0"/>
              <w:autoSpaceDN w:val="0"/>
              <w:adjustRightInd w:val="0"/>
              <w:rPr>
                <w:bCs/>
              </w:rPr>
            </w:pPr>
            <w:r w:rsidRPr="00D05364">
              <w:rPr>
                <w:bCs/>
              </w:rPr>
              <w:t>Nacionalinis sveikatos ir klinikinės kompetencijos institutas, Didžioji Britanija</w:t>
            </w:r>
          </w:p>
          <w:p w14:paraId="2BAB396F" w14:textId="77777777" w:rsidR="002A1AC4" w:rsidRPr="00D05364" w:rsidRDefault="002A1AC4" w:rsidP="00EB114F">
            <w:pPr>
              <w:spacing w:line="276" w:lineRule="auto"/>
              <w:rPr>
                <w:rFonts w:eastAsia="Arial"/>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915" w:type="dxa"/>
          </w:tcPr>
          <w:p w14:paraId="62C71D75" w14:textId="77777777" w:rsidR="002A1AC4" w:rsidRPr="00D05364" w:rsidRDefault="00054D0A" w:rsidP="00EB114F">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2A1AC4">
                  <w:rPr>
                    <w:rStyle w:val="Style2"/>
                    <w:rFonts w:ascii="MS Gothic" w:eastAsia="MS Gothic" w:hAnsi="MS Gothic" w:hint="eastAsia"/>
                  </w:rPr>
                  <w:t>☒</w:t>
                </w:r>
              </w:sdtContent>
            </w:sdt>
            <w:r w:rsidR="002A1AC4" w:rsidRPr="00D05364">
              <w:t xml:space="preserve"> Taip</w:t>
            </w:r>
          </w:p>
          <w:p w14:paraId="0BC1EBF2" w14:textId="77777777" w:rsidR="002A1AC4" w:rsidRPr="00D05364" w:rsidRDefault="00054D0A" w:rsidP="00EB114F">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2A1AC4" w:rsidRPr="00D05364">
                  <w:rPr>
                    <w:rStyle w:val="Style2"/>
                    <w:rFonts w:ascii="MS Gothic" w:eastAsia="MS Gothic" w:hAnsi="MS Gothic" w:hint="eastAsia"/>
                  </w:rPr>
                  <w:t>☐</w:t>
                </w:r>
              </w:sdtContent>
            </w:sdt>
            <w:r w:rsidR="002A1AC4" w:rsidRPr="00D05364">
              <w:t xml:space="preserve"> Ne</w:t>
            </w:r>
          </w:p>
          <w:p w14:paraId="29855F9C" w14:textId="1ADEE775" w:rsidR="002A1AC4" w:rsidRPr="00D05364" w:rsidRDefault="00054D0A" w:rsidP="00EB114F">
            <w:pPr>
              <w:rPr>
                <w:rFonts w:eastAsia="Arial"/>
              </w:rPr>
            </w:pPr>
            <w:sdt>
              <w:sdtPr>
                <w:alias w:val="Nurodykite konkrečią dieną"/>
                <w:tag w:val="Nurodykite pradžios datą"/>
                <w:id w:val="922837954"/>
                <w:placeholder>
                  <w:docPart w:val="E57862C8178949AF9E2077D8E9F9B240"/>
                </w:placeholder>
                <w15:color w:val="FFCC99"/>
                <w:date>
                  <w:dateFormat w:val="yyyy 'm.' MMMM d 'd.'"/>
                  <w:lid w:val="lt-LT"/>
                  <w:storeMappedDataAs w:val="dateTime"/>
                  <w:calendar w:val="gregorian"/>
                </w:date>
              </w:sdtPr>
              <w:sdtEndPr/>
              <w:sdtContent>
                <w:r w:rsidR="002A1AC4" w:rsidRPr="00D27F81">
                  <w:t>2020 m. rugpjūčio 12 d.</w:t>
                </w:r>
              </w:sdtContent>
            </w:sdt>
          </w:p>
        </w:tc>
        <w:tc>
          <w:tcPr>
            <w:tcW w:w="5076" w:type="dxa"/>
            <w:gridSpan w:val="2"/>
          </w:tcPr>
          <w:p w14:paraId="4868C068" w14:textId="77777777" w:rsidR="002A1AC4" w:rsidRDefault="002A1AC4" w:rsidP="00F83073">
            <w:pPr>
              <w:pStyle w:val="ListParagraph"/>
              <w:spacing w:after="120"/>
              <w:ind w:left="0"/>
              <w:contextualSpacing w:val="0"/>
              <w:jc w:val="both"/>
              <w:rPr>
                <w:rFonts w:eastAsia="Arial"/>
              </w:rPr>
            </w:pPr>
            <w:r>
              <w:rPr>
                <w:rFonts w:eastAsia="Arial"/>
              </w:rPr>
              <w:t xml:space="preserve">Rekomenduojama gydymui </w:t>
            </w:r>
            <w:r w:rsidRPr="00C13759">
              <w:rPr>
                <w:rFonts w:eastAsia="Arial"/>
              </w:rPr>
              <w:t xml:space="preserve">su </w:t>
            </w:r>
            <w:proofErr w:type="spellStart"/>
            <w:r w:rsidRPr="00C13759">
              <w:rPr>
                <w:rFonts w:eastAsia="Arial"/>
              </w:rPr>
              <w:t>ciklofosfamidu</w:t>
            </w:r>
            <w:proofErr w:type="spellEnd"/>
            <w:r w:rsidRPr="00C13759">
              <w:rPr>
                <w:rFonts w:eastAsia="Arial"/>
              </w:rPr>
              <w:t xml:space="preserve">, </w:t>
            </w:r>
            <w:proofErr w:type="spellStart"/>
            <w:r w:rsidRPr="00C13759">
              <w:rPr>
                <w:rFonts w:eastAsia="Arial"/>
              </w:rPr>
              <w:t>doksorubicinu</w:t>
            </w:r>
            <w:proofErr w:type="spellEnd"/>
            <w:r w:rsidRPr="00C13759">
              <w:rPr>
                <w:rFonts w:eastAsia="Arial"/>
              </w:rPr>
              <w:t xml:space="preserve"> ir prednizonu (CHP) suaugusiems pacientams, kuriems anksčiau nebuvo gydyta sisteminė </w:t>
            </w:r>
            <w:proofErr w:type="spellStart"/>
            <w:r w:rsidRPr="00C13759">
              <w:rPr>
                <w:rFonts w:eastAsia="Arial"/>
              </w:rPr>
              <w:t>anaplazinė</w:t>
            </w:r>
            <w:proofErr w:type="spellEnd"/>
            <w:r w:rsidRPr="00C13759">
              <w:rPr>
                <w:rFonts w:eastAsia="Arial"/>
              </w:rPr>
              <w:t xml:space="preserve"> didelių ląstelių limfoma (</w:t>
            </w:r>
            <w:proofErr w:type="spellStart"/>
            <w:r w:rsidRPr="00C13759">
              <w:rPr>
                <w:rFonts w:eastAsia="Arial"/>
              </w:rPr>
              <w:t>sADLL</w:t>
            </w:r>
            <w:proofErr w:type="spellEnd"/>
            <w:r w:rsidRPr="00C13759">
              <w:rPr>
                <w:rFonts w:eastAsia="Arial"/>
              </w:rPr>
              <w:t>)</w:t>
            </w:r>
            <w:r>
              <w:rPr>
                <w:rFonts w:eastAsia="Arial"/>
              </w:rPr>
              <w:t>, jeigu bus pasiektas susitarimas dėl vaisto kainos.</w:t>
            </w:r>
          </w:p>
          <w:p w14:paraId="44BE15F1" w14:textId="77777777" w:rsidR="002A1AC4" w:rsidRPr="00D05364" w:rsidRDefault="002A1AC4" w:rsidP="00EB114F">
            <w:pPr>
              <w:spacing w:line="276" w:lineRule="auto"/>
              <w:rPr>
                <w:rFonts w:eastAsia="Arial"/>
              </w:rPr>
            </w:pPr>
          </w:p>
        </w:tc>
      </w:tr>
      <w:tr w:rsidR="002A1AC4" w:rsidRPr="00D05364" w14:paraId="17C04DD5" w14:textId="77777777" w:rsidTr="00A94155">
        <w:trPr>
          <w:trHeight w:val="1125"/>
        </w:trPr>
        <w:tc>
          <w:tcPr>
            <w:tcW w:w="2927" w:type="dxa"/>
          </w:tcPr>
          <w:p w14:paraId="39B98CBA" w14:textId="77777777" w:rsidR="002A1AC4" w:rsidRPr="00D05364" w:rsidRDefault="002A1AC4" w:rsidP="00EB114F">
            <w:pPr>
              <w:spacing w:line="276" w:lineRule="auto"/>
              <w:rPr>
                <w:rFonts w:eastAsia="Arial"/>
              </w:rPr>
            </w:pPr>
            <w:r w:rsidRPr="00D05364">
              <w:rPr>
                <w:rFonts w:eastAsia="Arial"/>
              </w:rPr>
              <w:t>Kanados sveikatos technologijų agentūra</w:t>
            </w:r>
          </w:p>
          <w:p w14:paraId="1E588514" w14:textId="77777777" w:rsidR="002A1AC4" w:rsidRPr="00D05364" w:rsidRDefault="002A1AC4" w:rsidP="00EB114F">
            <w:pPr>
              <w:spacing w:line="276" w:lineRule="auto"/>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915" w:type="dxa"/>
          </w:tcPr>
          <w:p w14:paraId="44F60B02" w14:textId="764DE358" w:rsidR="002A1AC4" w:rsidRPr="00D05364" w:rsidRDefault="00054D0A" w:rsidP="00EB114F">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2A1AC4">
                  <w:rPr>
                    <w:rStyle w:val="Style2"/>
                    <w:rFonts w:ascii="MS Gothic" w:eastAsia="MS Gothic" w:hAnsi="MS Gothic" w:hint="eastAsia"/>
                  </w:rPr>
                  <w:t>☐</w:t>
                </w:r>
              </w:sdtContent>
            </w:sdt>
            <w:r w:rsidR="002A1AC4" w:rsidRPr="00D05364">
              <w:t xml:space="preserve"> Taip</w:t>
            </w:r>
          </w:p>
          <w:p w14:paraId="2E113527" w14:textId="2CFC079E" w:rsidR="002A1AC4" w:rsidRPr="00D05364" w:rsidRDefault="00054D0A" w:rsidP="00EB114F">
            <w:sdt>
              <w:sdtPr>
                <w:rPr>
                  <w:rStyle w:val="Style2"/>
                </w:rPr>
                <w:id w:val="594442222"/>
                <w15:color w:val="FFCC00"/>
                <w14:checkbox>
                  <w14:checked w14:val="1"/>
                  <w14:checkedState w14:val="2612" w14:font="MS Gothic"/>
                  <w14:uncheckedState w14:val="2610" w14:font="MS Gothic"/>
                </w14:checkbox>
              </w:sdtPr>
              <w:sdtEndPr>
                <w:rPr>
                  <w:rStyle w:val="Style2"/>
                </w:rPr>
              </w:sdtEndPr>
              <w:sdtContent>
                <w:r w:rsidR="002A1AC4">
                  <w:rPr>
                    <w:rStyle w:val="Style2"/>
                    <w:rFonts w:ascii="MS Gothic" w:eastAsia="MS Gothic" w:hAnsi="MS Gothic" w:hint="eastAsia"/>
                  </w:rPr>
                  <w:t>☒</w:t>
                </w:r>
              </w:sdtContent>
            </w:sdt>
            <w:r w:rsidR="002A1AC4" w:rsidRPr="00D05364">
              <w:t xml:space="preserve"> Ne</w:t>
            </w:r>
          </w:p>
          <w:p w14:paraId="6530E272" w14:textId="108E974E" w:rsidR="002A1AC4" w:rsidRPr="00AF7E9C" w:rsidRDefault="002A1AC4" w:rsidP="00EB114F">
            <w:pPr>
              <w:spacing w:line="276" w:lineRule="auto"/>
              <w:rPr>
                <w:rFonts w:eastAsia="Arial"/>
              </w:rPr>
            </w:pPr>
          </w:p>
        </w:tc>
        <w:tc>
          <w:tcPr>
            <w:tcW w:w="5076" w:type="dxa"/>
            <w:gridSpan w:val="2"/>
          </w:tcPr>
          <w:p w14:paraId="1260699C" w14:textId="1B3D75F3" w:rsidR="002A1AC4" w:rsidRPr="00D05364" w:rsidRDefault="002A1AC4" w:rsidP="00EB114F">
            <w:pPr>
              <w:spacing w:line="276" w:lineRule="auto"/>
              <w:rPr>
                <w:rFonts w:eastAsia="Arial"/>
              </w:rPr>
            </w:pPr>
            <w:r>
              <w:rPr>
                <w:rFonts w:eastAsia="Arial"/>
              </w:rPr>
              <w:t>Vertinimas pagal šią indikaciją neatliktas.</w:t>
            </w:r>
          </w:p>
        </w:tc>
      </w:tr>
      <w:tr w:rsidR="002A1AC4" w:rsidRPr="00D05364" w14:paraId="4A848586" w14:textId="77777777" w:rsidTr="00513F2D">
        <w:trPr>
          <w:trHeight w:val="1927"/>
        </w:trPr>
        <w:tc>
          <w:tcPr>
            <w:tcW w:w="2927" w:type="dxa"/>
          </w:tcPr>
          <w:p w14:paraId="477694C8" w14:textId="77777777" w:rsidR="002A1AC4" w:rsidRPr="00D05364" w:rsidRDefault="002A1AC4" w:rsidP="00EB114F">
            <w:pPr>
              <w:spacing w:line="276" w:lineRule="auto"/>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2B36A389" w14:textId="77777777" w:rsidR="002A1AC4" w:rsidRPr="00D05364" w:rsidRDefault="002A1AC4" w:rsidP="00EB114F">
            <w:pPr>
              <w:spacing w:line="276" w:lineRule="auto"/>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915" w:type="dxa"/>
          </w:tcPr>
          <w:p w14:paraId="6A2C814E" w14:textId="77777777" w:rsidR="002A1AC4" w:rsidRPr="00D05364" w:rsidRDefault="00054D0A" w:rsidP="00EB114F">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2A1AC4">
                  <w:rPr>
                    <w:rStyle w:val="Style2"/>
                    <w:rFonts w:ascii="MS Gothic" w:eastAsia="MS Gothic" w:hAnsi="MS Gothic" w:hint="eastAsia"/>
                  </w:rPr>
                  <w:t>☒</w:t>
                </w:r>
              </w:sdtContent>
            </w:sdt>
            <w:r w:rsidR="002A1AC4" w:rsidRPr="00D05364">
              <w:t xml:space="preserve"> Taip</w:t>
            </w:r>
          </w:p>
          <w:p w14:paraId="48697290" w14:textId="77777777" w:rsidR="002A1AC4" w:rsidRPr="00D05364" w:rsidRDefault="00054D0A" w:rsidP="00EB114F">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2A1AC4" w:rsidRPr="00D05364">
                  <w:rPr>
                    <w:rStyle w:val="Style2"/>
                    <w:rFonts w:ascii="Segoe UI Symbol" w:eastAsia="MS Gothic" w:hAnsi="Segoe UI Symbol" w:cs="Segoe UI Symbol"/>
                  </w:rPr>
                  <w:t>☐</w:t>
                </w:r>
              </w:sdtContent>
            </w:sdt>
            <w:r w:rsidR="002A1AC4" w:rsidRPr="00D05364">
              <w:t xml:space="preserve"> Ne</w:t>
            </w:r>
          </w:p>
          <w:p w14:paraId="105CE75D" w14:textId="73A2CC1A" w:rsidR="002A1AC4" w:rsidRPr="00D05364" w:rsidRDefault="00054D0A" w:rsidP="00EB114F">
            <w:pPr>
              <w:spacing w:line="276" w:lineRule="auto"/>
              <w:rPr>
                <w:rFonts w:eastAsia="Arial"/>
              </w:rPr>
            </w:pPr>
            <w:sdt>
              <w:sdtPr>
                <w:alias w:val="Nurodykite konkrečią dieną"/>
                <w:tag w:val="Nurodykite pradžios datą"/>
                <w:id w:val="-198323198"/>
                <w:placeholder>
                  <w:docPart w:val="9C009F480B3745ECAD4FB1D76CDD3DA1"/>
                </w:placeholder>
                <w15:color w:val="FFCC99"/>
                <w:date w:fullDate="2021-04-23T00:00:00Z">
                  <w:dateFormat w:val="yyyy 'm.' MMMM d 'd.'"/>
                  <w:lid w:val="lt-LT"/>
                  <w:storeMappedDataAs w:val="dateTime"/>
                  <w:calendar w:val="gregorian"/>
                </w:date>
              </w:sdtPr>
              <w:sdtEndPr/>
              <w:sdtContent>
                <w:r w:rsidR="002A1AC4">
                  <w:t>2021 m. balandžio 23 d.</w:t>
                </w:r>
              </w:sdtContent>
            </w:sdt>
          </w:p>
        </w:tc>
        <w:tc>
          <w:tcPr>
            <w:tcW w:w="5076" w:type="dxa"/>
            <w:gridSpan w:val="2"/>
          </w:tcPr>
          <w:p w14:paraId="343E064D" w14:textId="008192ED" w:rsidR="002A1AC4" w:rsidRPr="00D05364" w:rsidRDefault="002A1AC4" w:rsidP="00EB114F">
            <w:pPr>
              <w:spacing w:line="276" w:lineRule="auto"/>
              <w:rPr>
                <w:rFonts w:eastAsia="Arial"/>
              </w:rPr>
            </w:pPr>
            <w:r>
              <w:rPr>
                <w:rFonts w:eastAsia="Arial"/>
              </w:rPr>
              <w:t>Rekomenduojama atlikti visą HTA siekiant įvertinti gydymo ir kaštų efektyvumą lyginant su šiuo metu taikomu standartiniu gydymu.</w:t>
            </w:r>
          </w:p>
        </w:tc>
      </w:tr>
    </w:tbl>
    <w:p w14:paraId="2EB7FD31" w14:textId="4D2A8479" w:rsidR="007A2B68" w:rsidRPr="00B87B84" w:rsidRDefault="007A2B68" w:rsidP="00E03C3F">
      <w:pPr>
        <w:pStyle w:val="ListParagraph"/>
        <w:tabs>
          <w:tab w:val="left" w:pos="426"/>
        </w:tabs>
        <w:ind w:left="0"/>
        <w:rPr>
          <w:b/>
          <w:bCs/>
          <w:caps/>
        </w:rPr>
      </w:pPr>
    </w:p>
    <w:p w14:paraId="5055E8A8" w14:textId="6CCB4EBD" w:rsidR="002E6F80" w:rsidRPr="00B87B84" w:rsidRDefault="00CC7832" w:rsidP="00B87B84">
      <w:pPr>
        <w:pStyle w:val="ListParagraph"/>
        <w:numPr>
          <w:ilvl w:val="0"/>
          <w:numId w:val="12"/>
        </w:numPr>
        <w:rPr>
          <w:b/>
          <w:bCs/>
          <w:caps/>
        </w:rPr>
      </w:pPr>
      <w:r w:rsidRPr="00B87B84">
        <w:rPr>
          <w:b/>
          <w:bCs/>
          <w:caps/>
        </w:rPr>
        <w:t>Klinikinio vertinimo a</w:t>
      </w:r>
      <w:r w:rsidR="00D4485B" w:rsidRPr="00B87B84">
        <w:rPr>
          <w:b/>
          <w:bCs/>
          <w:caps/>
        </w:rPr>
        <w:t>pibendrinimas</w:t>
      </w:r>
    </w:p>
    <w:p w14:paraId="7D229D83" w14:textId="2DC6EA12" w:rsidR="001317EF" w:rsidRDefault="001317EF" w:rsidP="001317EF">
      <w:pPr>
        <w:rPr>
          <w:rStyle w:val="Emphasis"/>
          <w:i w:val="0"/>
        </w:rPr>
      </w:pPr>
    </w:p>
    <w:p w14:paraId="03B87EC2" w14:textId="77777777" w:rsidR="009C182B" w:rsidRPr="00C13759" w:rsidRDefault="009C182B" w:rsidP="00C57FF3">
      <w:pPr>
        <w:pStyle w:val="Tekstas"/>
        <w:spacing w:line="360" w:lineRule="auto"/>
        <w:ind w:firstLine="360"/>
      </w:pPr>
      <w:r w:rsidRPr="00C13759">
        <w:rPr>
          <w:rFonts w:eastAsia="Arial"/>
        </w:rPr>
        <w:t xml:space="preserve">Sisteminė </w:t>
      </w:r>
      <w:proofErr w:type="spellStart"/>
      <w:r w:rsidRPr="00C13759">
        <w:rPr>
          <w:rFonts w:eastAsia="Arial"/>
        </w:rPr>
        <w:t>anaplazinė</w:t>
      </w:r>
      <w:proofErr w:type="spellEnd"/>
      <w:r w:rsidRPr="00C13759">
        <w:rPr>
          <w:rFonts w:eastAsia="Arial"/>
        </w:rPr>
        <w:t xml:space="preserve"> didelių ląstelių limfoma (</w:t>
      </w:r>
      <w:proofErr w:type="spellStart"/>
      <w:r w:rsidRPr="00C13759">
        <w:t>sADLL</w:t>
      </w:r>
      <w:proofErr w:type="spellEnd"/>
      <w:r w:rsidRPr="00C13759">
        <w:t xml:space="preserve">) yra periferinės T-ląstelių limfomos (PTLL) potipis. </w:t>
      </w:r>
      <w:proofErr w:type="spellStart"/>
      <w:r w:rsidRPr="00C13759">
        <w:t>sADLL</w:t>
      </w:r>
      <w:proofErr w:type="spellEnd"/>
      <w:r w:rsidRPr="00C13759">
        <w:t xml:space="preserve"> – reta ir </w:t>
      </w:r>
      <w:proofErr w:type="spellStart"/>
      <w:r w:rsidRPr="00C13759">
        <w:t>heterogeniška</w:t>
      </w:r>
      <w:proofErr w:type="spellEnd"/>
      <w:r w:rsidRPr="00C13759">
        <w:t xml:space="preserve"> piktybinių navikų grupė, Europoje sudaranti ~20% visų PTLL atvejų.  Europos šalių sergamumo </w:t>
      </w:r>
      <w:proofErr w:type="spellStart"/>
      <w:r w:rsidRPr="00C13759">
        <w:t>sADLL</w:t>
      </w:r>
      <w:proofErr w:type="spellEnd"/>
      <w:r w:rsidRPr="00C13759">
        <w:t xml:space="preserve"> rodiklis – 0,13 </w:t>
      </w:r>
      <w:proofErr w:type="spellStart"/>
      <w:r w:rsidRPr="00C13759">
        <w:t>atv</w:t>
      </w:r>
      <w:proofErr w:type="spellEnd"/>
      <w:r w:rsidRPr="00C13759">
        <w:t xml:space="preserve">. iš 100,000 gyv. Remiantis VLK pateiktais duomenimis, 2019-2020 m. sergamumo rodiklis Lietuvoje – </w:t>
      </w:r>
      <w:r w:rsidRPr="00C13759">
        <w:rPr>
          <w:rFonts w:cstheme="minorHAnsi"/>
        </w:rPr>
        <w:t xml:space="preserve">0,39 </w:t>
      </w:r>
      <w:proofErr w:type="spellStart"/>
      <w:r w:rsidRPr="00C13759">
        <w:rPr>
          <w:rFonts w:cstheme="minorHAnsi"/>
        </w:rPr>
        <w:t>atv</w:t>
      </w:r>
      <w:proofErr w:type="spellEnd"/>
      <w:r w:rsidRPr="00C13759">
        <w:rPr>
          <w:rFonts w:cstheme="minorHAnsi"/>
        </w:rPr>
        <w:t xml:space="preserve">. iš 100,000 gyv. </w:t>
      </w:r>
    </w:p>
    <w:p w14:paraId="143CA26C" w14:textId="77777777" w:rsidR="009C182B" w:rsidRDefault="009C182B" w:rsidP="00C57FF3">
      <w:pPr>
        <w:spacing w:line="360" w:lineRule="auto"/>
        <w:jc w:val="both"/>
      </w:pPr>
      <w:proofErr w:type="spellStart"/>
      <w:r w:rsidRPr="00C13759">
        <w:lastRenderedPageBreak/>
        <w:t>sADLL</w:t>
      </w:r>
      <w:proofErr w:type="spellEnd"/>
      <w:r w:rsidRPr="00C13759">
        <w:t xml:space="preserve"> pasižymi greitai progresuojančia </w:t>
      </w:r>
      <w:proofErr w:type="spellStart"/>
      <w:r w:rsidRPr="00C13759">
        <w:t>adenopatija</w:t>
      </w:r>
      <w:proofErr w:type="spellEnd"/>
      <w:r w:rsidRPr="00C13759">
        <w:t xml:space="preserve"> ir sisteminio pobūdžio simptomais – </w:t>
      </w:r>
      <w:proofErr w:type="spellStart"/>
      <w:r w:rsidRPr="00C13759">
        <w:t>karščiavimais</w:t>
      </w:r>
      <w:proofErr w:type="spellEnd"/>
      <w:r w:rsidRPr="00C13759">
        <w:t xml:space="preserve">, naktiniu prakaitavimu ir svorio kritimu. Dažni ir </w:t>
      </w:r>
      <w:proofErr w:type="spellStart"/>
      <w:r w:rsidRPr="00C13759">
        <w:t>ekstranodaliniai</w:t>
      </w:r>
      <w:proofErr w:type="spellEnd"/>
      <w:r w:rsidRPr="00C13759">
        <w:t xml:space="preserve"> pažeidimai – odos, kaulų, minkštųjų audinių, plaučių ir kepenų.</w:t>
      </w:r>
    </w:p>
    <w:p w14:paraId="2ACD9D3C" w14:textId="1800202B" w:rsidR="003D50C4" w:rsidRDefault="009C182B" w:rsidP="003D50C4">
      <w:pPr>
        <w:spacing w:after="120" w:line="360" w:lineRule="auto"/>
        <w:jc w:val="both"/>
      </w:pPr>
      <w:r w:rsidRPr="00C13759">
        <w:t xml:space="preserve">Naujausias </w:t>
      </w:r>
      <w:proofErr w:type="spellStart"/>
      <w:r w:rsidRPr="00C13759">
        <w:t>sADLL</w:t>
      </w:r>
      <w:proofErr w:type="spellEnd"/>
      <w:r w:rsidRPr="00C13759">
        <w:t xml:space="preserve"> gydymo rekomendacijas (klinikinės praktikos gaires) paskelbė </w:t>
      </w:r>
      <w:proofErr w:type="spellStart"/>
      <w:r w:rsidRPr="00C13759">
        <w:rPr>
          <w:i/>
          <w:iCs/>
        </w:rPr>
        <w:t>National</w:t>
      </w:r>
      <w:proofErr w:type="spellEnd"/>
      <w:r w:rsidRPr="00C13759">
        <w:rPr>
          <w:i/>
          <w:iCs/>
        </w:rPr>
        <w:t xml:space="preserve"> </w:t>
      </w:r>
      <w:proofErr w:type="spellStart"/>
      <w:r w:rsidRPr="00C13759">
        <w:rPr>
          <w:i/>
          <w:iCs/>
        </w:rPr>
        <w:t>Comprehensive</w:t>
      </w:r>
      <w:proofErr w:type="spellEnd"/>
      <w:r w:rsidRPr="00C13759">
        <w:rPr>
          <w:i/>
          <w:iCs/>
        </w:rPr>
        <w:t xml:space="preserve"> </w:t>
      </w:r>
      <w:proofErr w:type="spellStart"/>
      <w:r w:rsidRPr="00C13759">
        <w:rPr>
          <w:i/>
          <w:iCs/>
        </w:rPr>
        <w:t>Cancer</w:t>
      </w:r>
      <w:proofErr w:type="spellEnd"/>
      <w:r w:rsidRPr="00C13759">
        <w:rPr>
          <w:i/>
          <w:iCs/>
        </w:rPr>
        <w:t xml:space="preserve"> Network</w:t>
      </w:r>
      <w:r w:rsidRPr="00C13759">
        <w:t xml:space="preserve"> (NCCN). 2020 m. lapkričio 2 d. publikuotose T-ląstelių limfomų klinikinės praktikos gairėse pirmos eilės ADLL gydymui pirmenybė teikiama BV+CHP (</w:t>
      </w:r>
      <w:proofErr w:type="spellStart"/>
      <w:r w:rsidRPr="00C13759">
        <w:t>b</w:t>
      </w:r>
      <w:r w:rsidRPr="00C13759">
        <w:rPr>
          <w:color w:val="333333"/>
          <w:shd w:val="clear" w:color="auto" w:fill="FFFFFF"/>
        </w:rPr>
        <w:t>rentuksimabas</w:t>
      </w:r>
      <w:proofErr w:type="spellEnd"/>
      <w:r w:rsidRPr="00C13759">
        <w:rPr>
          <w:color w:val="333333"/>
          <w:shd w:val="clear" w:color="auto" w:fill="FFFFFF"/>
        </w:rPr>
        <w:t xml:space="preserve"> </w:t>
      </w:r>
      <w:proofErr w:type="spellStart"/>
      <w:r w:rsidRPr="00C13759">
        <w:rPr>
          <w:color w:val="333333"/>
          <w:shd w:val="clear" w:color="auto" w:fill="FFFFFF"/>
        </w:rPr>
        <w:t>vedotinas</w:t>
      </w:r>
      <w:proofErr w:type="spellEnd"/>
      <w:r w:rsidRPr="00C13759">
        <w:rPr>
          <w:color w:val="333333"/>
          <w:shd w:val="clear" w:color="auto" w:fill="FFFFFF"/>
        </w:rPr>
        <w:t xml:space="preserve"> + </w:t>
      </w:r>
      <w:proofErr w:type="spellStart"/>
      <w:r w:rsidRPr="00C13759">
        <w:rPr>
          <w:rFonts w:eastAsia="Arial"/>
        </w:rPr>
        <w:t>ciklofosfamidas</w:t>
      </w:r>
      <w:proofErr w:type="spellEnd"/>
      <w:r w:rsidRPr="00C13759">
        <w:rPr>
          <w:rFonts w:eastAsia="Arial"/>
        </w:rPr>
        <w:t xml:space="preserve">, </w:t>
      </w:r>
      <w:proofErr w:type="spellStart"/>
      <w:r w:rsidRPr="00C13759">
        <w:rPr>
          <w:rFonts w:eastAsia="Arial"/>
        </w:rPr>
        <w:t>doksorubicinas</w:t>
      </w:r>
      <w:proofErr w:type="spellEnd"/>
      <w:r w:rsidRPr="00C13759">
        <w:rPr>
          <w:rFonts w:eastAsia="Arial"/>
        </w:rPr>
        <w:t>, prednizonas)</w:t>
      </w:r>
      <w:r w:rsidRPr="00C13759">
        <w:t xml:space="preserve"> deriniui (įrodymų </w:t>
      </w:r>
      <w:r w:rsidR="003D50C4">
        <w:t>lygmuo</w:t>
      </w:r>
      <w:r w:rsidR="003D50C4" w:rsidRPr="00C13759">
        <w:t xml:space="preserve"> </w:t>
      </w:r>
      <w:r w:rsidRPr="00C13759">
        <w:t>– 1). Kiti galimi pasirinkimai – CHOP (</w:t>
      </w:r>
      <w:proofErr w:type="spellStart"/>
      <w:r w:rsidRPr="00C13759">
        <w:rPr>
          <w:rFonts w:eastAsia="Arial"/>
        </w:rPr>
        <w:t>ciklofosfamidas</w:t>
      </w:r>
      <w:proofErr w:type="spellEnd"/>
      <w:r w:rsidRPr="00C13759">
        <w:rPr>
          <w:rFonts w:eastAsia="Arial"/>
        </w:rPr>
        <w:t xml:space="preserve">, </w:t>
      </w:r>
      <w:proofErr w:type="spellStart"/>
      <w:r w:rsidRPr="00C13759">
        <w:rPr>
          <w:rFonts w:eastAsia="Arial"/>
        </w:rPr>
        <w:t>doksorubicinas</w:t>
      </w:r>
      <w:proofErr w:type="spellEnd"/>
      <w:r w:rsidRPr="00C13759">
        <w:rPr>
          <w:rFonts w:eastAsia="Arial"/>
        </w:rPr>
        <w:t xml:space="preserve">, </w:t>
      </w:r>
      <w:proofErr w:type="spellStart"/>
      <w:r w:rsidRPr="00C13759">
        <w:rPr>
          <w:rFonts w:eastAsia="Arial"/>
        </w:rPr>
        <w:t>vinkristinas</w:t>
      </w:r>
      <w:proofErr w:type="spellEnd"/>
      <w:r w:rsidRPr="00C13759">
        <w:rPr>
          <w:rFonts w:eastAsia="Arial"/>
        </w:rPr>
        <w:t xml:space="preserve"> ir prednizonas)</w:t>
      </w:r>
      <w:r w:rsidRPr="00C13759">
        <w:t>, CHOEP (</w:t>
      </w:r>
      <w:proofErr w:type="spellStart"/>
      <w:r w:rsidRPr="00C13759">
        <w:rPr>
          <w:rFonts w:eastAsia="Arial"/>
        </w:rPr>
        <w:t>ciklofosfamidas</w:t>
      </w:r>
      <w:proofErr w:type="spellEnd"/>
      <w:r w:rsidRPr="00C13759">
        <w:rPr>
          <w:rFonts w:eastAsia="Arial"/>
        </w:rPr>
        <w:t xml:space="preserve">, </w:t>
      </w:r>
      <w:proofErr w:type="spellStart"/>
      <w:r w:rsidRPr="00C13759">
        <w:rPr>
          <w:rFonts w:eastAsia="Arial"/>
        </w:rPr>
        <w:t>doksorubicinas</w:t>
      </w:r>
      <w:proofErr w:type="spellEnd"/>
      <w:r w:rsidRPr="00C13759">
        <w:rPr>
          <w:rFonts w:eastAsia="Arial"/>
        </w:rPr>
        <w:t xml:space="preserve">, </w:t>
      </w:r>
      <w:proofErr w:type="spellStart"/>
      <w:r w:rsidRPr="00C13759">
        <w:rPr>
          <w:rFonts w:eastAsia="Arial"/>
        </w:rPr>
        <w:t>vinkristinas</w:t>
      </w:r>
      <w:proofErr w:type="spellEnd"/>
      <w:r w:rsidRPr="00C13759">
        <w:rPr>
          <w:rFonts w:eastAsia="Arial"/>
        </w:rPr>
        <w:t xml:space="preserve">, prednizonas ir </w:t>
      </w:r>
      <w:proofErr w:type="spellStart"/>
      <w:r w:rsidRPr="00C13759">
        <w:t>etopozidas</w:t>
      </w:r>
      <w:proofErr w:type="spellEnd"/>
      <w:r w:rsidRPr="00C13759">
        <w:rPr>
          <w:rFonts w:eastAsia="Arial"/>
        </w:rPr>
        <w:t>)</w:t>
      </w:r>
      <w:r w:rsidRPr="00C13759">
        <w:t xml:space="preserve"> ir EPOCH (</w:t>
      </w:r>
      <w:proofErr w:type="spellStart"/>
      <w:r w:rsidRPr="00C13759">
        <w:t>etopozidas</w:t>
      </w:r>
      <w:proofErr w:type="spellEnd"/>
      <w:r w:rsidRPr="00C13759">
        <w:t xml:space="preserve">, prednizonas, </w:t>
      </w:r>
      <w:proofErr w:type="spellStart"/>
      <w:r w:rsidRPr="00C13759">
        <w:t>vinkristinas</w:t>
      </w:r>
      <w:proofErr w:type="spellEnd"/>
      <w:r w:rsidRPr="00C13759">
        <w:t xml:space="preserve">, </w:t>
      </w:r>
      <w:proofErr w:type="spellStart"/>
      <w:r w:rsidRPr="00C13759">
        <w:t>ciklofosfamidas</w:t>
      </w:r>
      <w:proofErr w:type="spellEnd"/>
      <w:r w:rsidRPr="00C13759">
        <w:t xml:space="preserve">, </w:t>
      </w:r>
      <w:proofErr w:type="spellStart"/>
      <w:r w:rsidRPr="00C13759">
        <w:t>doksorubicinas</w:t>
      </w:r>
      <w:proofErr w:type="spellEnd"/>
      <w:r w:rsidRPr="00C13759">
        <w:t>)</w:t>
      </w:r>
      <w:r>
        <w:t xml:space="preserve">. </w:t>
      </w:r>
      <w:r w:rsidRPr="00C13759">
        <w:t xml:space="preserve">2020 m. rugpjūčio 12 d. publikuotose NICE pirmos eilės </w:t>
      </w:r>
      <w:proofErr w:type="spellStart"/>
      <w:r w:rsidRPr="00C13759">
        <w:t>sADLL</w:t>
      </w:r>
      <w:proofErr w:type="spellEnd"/>
      <w:r w:rsidRPr="00C13759">
        <w:t xml:space="preserve"> gydymo </w:t>
      </w:r>
      <w:proofErr w:type="spellStart"/>
      <w:r w:rsidRPr="00C13759">
        <w:t>brentuksimabo</w:t>
      </w:r>
      <w:proofErr w:type="spellEnd"/>
      <w:r w:rsidRPr="00C13759">
        <w:t xml:space="preserve"> </w:t>
      </w:r>
      <w:proofErr w:type="spellStart"/>
      <w:r w:rsidRPr="00C13759">
        <w:t>vedotino</w:t>
      </w:r>
      <w:proofErr w:type="spellEnd"/>
      <w:r w:rsidRPr="00C13759">
        <w:t xml:space="preserve"> deriniu su CHP gairėse teigiama, kad standartinis </w:t>
      </w:r>
      <w:proofErr w:type="spellStart"/>
      <w:r w:rsidRPr="00C13759">
        <w:t>sADLL</w:t>
      </w:r>
      <w:proofErr w:type="spellEnd"/>
      <w:r w:rsidRPr="00C13759">
        <w:t xml:space="preserve"> pirmos eilės gydymas - CHOP.</w:t>
      </w:r>
      <w:r w:rsidR="00AB5F60">
        <w:t xml:space="preserve"> </w:t>
      </w:r>
      <w:r w:rsidRPr="00C13759">
        <w:t xml:space="preserve">Lietuvos Respublikoje nėra galiojančio </w:t>
      </w:r>
      <w:proofErr w:type="spellStart"/>
      <w:r w:rsidRPr="00C13759">
        <w:t>sADLL</w:t>
      </w:r>
      <w:proofErr w:type="spellEnd"/>
      <w:r w:rsidRPr="00C13759">
        <w:t xml:space="preserve"> gydymo teisinio reglamentavimo.</w:t>
      </w:r>
      <w:r w:rsidR="00DD69B2">
        <w:t xml:space="preserve"> </w:t>
      </w:r>
      <w:r w:rsidRPr="00C13759">
        <w:t xml:space="preserve">Pagal Lietuvos Hematologijos, onkologijos ir </w:t>
      </w:r>
      <w:proofErr w:type="spellStart"/>
      <w:r w:rsidRPr="00C13759">
        <w:t>transfuziologijos</w:t>
      </w:r>
      <w:proofErr w:type="spellEnd"/>
      <w:r w:rsidRPr="00C13759">
        <w:t xml:space="preserve"> (HOT) gaires, sergant </w:t>
      </w:r>
      <w:proofErr w:type="spellStart"/>
      <w:r w:rsidRPr="00C13759">
        <w:t>sADLL</w:t>
      </w:r>
      <w:proofErr w:type="spellEnd"/>
      <w:r w:rsidRPr="00C13759">
        <w:t xml:space="preserve"> ir esant biologiniam amžiui ≤ 60 m., pirmos eilės gydymui rekomenduojamas gydymas CHOEP deriniu, o esant biologiniam amžiui &gt; 60 m. - gydymas CHOP deriniu.</w:t>
      </w:r>
      <w:r w:rsidR="00AB5F60">
        <w:t xml:space="preserve"> P</w:t>
      </w:r>
      <w:r w:rsidRPr="00C13759">
        <w:t>agal naujausias tarptautines gaires (2</w:t>
      </w:r>
      <w:r w:rsidRPr="00C13759">
        <w:softHyphen/>
        <w:t>020 m. NICE rekomendacij</w:t>
      </w:r>
      <w:r w:rsidR="003D50C4">
        <w:t>o</w:t>
      </w:r>
      <w:r w:rsidRPr="00C13759">
        <w:t xml:space="preserve">s), standartinis šios ligos pirmos eilės gydymas – CHOP derinys, nes pagal atliktą </w:t>
      </w:r>
      <w:proofErr w:type="spellStart"/>
      <w:r w:rsidRPr="00C13759">
        <w:t>metaanalizę</w:t>
      </w:r>
      <w:proofErr w:type="spellEnd"/>
      <w:r w:rsidRPr="00C13759">
        <w:t xml:space="preserve"> skiriant CHOEP derinį teigiamo poveikio bendram </w:t>
      </w:r>
      <w:proofErr w:type="spellStart"/>
      <w:r w:rsidRPr="00C13759">
        <w:t>išgyvenamumui</w:t>
      </w:r>
      <w:proofErr w:type="spellEnd"/>
      <w:r w:rsidR="00434B5A">
        <w:t xml:space="preserve"> (BI)</w:t>
      </w:r>
      <w:r w:rsidRPr="00C13759">
        <w:t xml:space="preserve"> arba atsakui į gydymą nebuvo</w:t>
      </w:r>
      <w:r>
        <w:t>.</w:t>
      </w:r>
      <w:r w:rsidR="00AB5F60">
        <w:t xml:space="preserve"> </w:t>
      </w:r>
      <w:r w:rsidRPr="00C13759">
        <w:t xml:space="preserve">Siūlomas kompensuoti </w:t>
      </w:r>
      <w:r w:rsidR="003D50C4">
        <w:t xml:space="preserve">vaistinis </w:t>
      </w:r>
      <w:r w:rsidRPr="00C13759">
        <w:t xml:space="preserve">preparatas </w:t>
      </w:r>
      <w:proofErr w:type="spellStart"/>
      <w:r w:rsidR="0016615F" w:rsidRPr="00C13759">
        <w:t>brentuksimab</w:t>
      </w:r>
      <w:r w:rsidR="0016615F">
        <w:t>as</w:t>
      </w:r>
      <w:proofErr w:type="spellEnd"/>
      <w:r w:rsidR="0016615F" w:rsidRPr="00C13759">
        <w:t xml:space="preserve"> </w:t>
      </w:r>
      <w:proofErr w:type="spellStart"/>
      <w:r w:rsidR="0016615F" w:rsidRPr="00C13759">
        <w:t>vedotin</w:t>
      </w:r>
      <w:r w:rsidR="0016615F">
        <w:t>as</w:t>
      </w:r>
      <w:proofErr w:type="spellEnd"/>
      <w:r w:rsidR="0016615F">
        <w:t xml:space="preserve"> </w:t>
      </w:r>
      <w:r w:rsidR="003D50C4">
        <w:t>(</w:t>
      </w:r>
      <w:r w:rsidRPr="00C13759">
        <w:t>BV</w:t>
      </w:r>
      <w:r w:rsidR="003D50C4">
        <w:t>)</w:t>
      </w:r>
      <w:r w:rsidRPr="00C13759">
        <w:t xml:space="preserve">skiriamas kartu su </w:t>
      </w:r>
      <w:proofErr w:type="spellStart"/>
      <w:r w:rsidR="003D50C4" w:rsidRPr="00C13759">
        <w:rPr>
          <w:rFonts w:eastAsia="Arial"/>
        </w:rPr>
        <w:t>ciklofosfamidu</w:t>
      </w:r>
      <w:proofErr w:type="spellEnd"/>
      <w:r w:rsidR="003D50C4" w:rsidRPr="00C13759">
        <w:rPr>
          <w:rFonts w:eastAsia="Arial"/>
        </w:rPr>
        <w:t xml:space="preserve">, </w:t>
      </w:r>
      <w:proofErr w:type="spellStart"/>
      <w:r w:rsidR="003D50C4" w:rsidRPr="00C13759">
        <w:rPr>
          <w:rFonts w:eastAsia="Arial"/>
        </w:rPr>
        <w:t>doksorubicinu</w:t>
      </w:r>
      <w:proofErr w:type="spellEnd"/>
      <w:r w:rsidR="003D50C4" w:rsidRPr="00C13759">
        <w:rPr>
          <w:rFonts w:eastAsia="Arial"/>
        </w:rPr>
        <w:t xml:space="preserve"> ir prednizonu</w:t>
      </w:r>
      <w:r w:rsidR="003D50C4">
        <w:rPr>
          <w:rFonts w:eastAsia="Arial"/>
        </w:rPr>
        <w:t xml:space="preserve"> (</w:t>
      </w:r>
      <w:r w:rsidRPr="00C13759">
        <w:t xml:space="preserve">CHP) galėtų suteikti </w:t>
      </w:r>
      <w:r w:rsidR="003D50C4">
        <w:t xml:space="preserve">dar vieną </w:t>
      </w:r>
      <w:r w:rsidRPr="00C13759">
        <w:t xml:space="preserve">gydymo galimybę pacientams, sergantiems </w:t>
      </w:r>
      <w:proofErr w:type="spellStart"/>
      <w:r w:rsidRPr="00C13759">
        <w:t>sADLL</w:t>
      </w:r>
      <w:proofErr w:type="spellEnd"/>
      <w:r w:rsidRPr="00C13759">
        <w:t>.</w:t>
      </w:r>
      <w:r w:rsidR="00AB5F60">
        <w:t xml:space="preserve"> </w:t>
      </w:r>
    </w:p>
    <w:p w14:paraId="3F6340E9" w14:textId="02524FD7" w:rsidR="003D50C4" w:rsidRDefault="003D50C4" w:rsidP="003D50C4">
      <w:pPr>
        <w:spacing w:after="120" w:line="360" w:lineRule="auto"/>
        <w:jc w:val="both"/>
      </w:pPr>
      <w:r w:rsidRPr="00C13759">
        <w:t xml:space="preserve">BV+CHP deriniui </w:t>
      </w:r>
      <w:r>
        <w:t xml:space="preserve">tinkamu </w:t>
      </w:r>
      <w:r w:rsidRPr="00C13759">
        <w:t>palyginam</w:t>
      </w:r>
      <w:r>
        <w:t xml:space="preserve">uoju </w:t>
      </w:r>
      <w:r w:rsidRPr="00C13759">
        <w:t>vaistini</w:t>
      </w:r>
      <w:r>
        <w:t xml:space="preserve">ų </w:t>
      </w:r>
      <w:r w:rsidRPr="00C13759">
        <w:t xml:space="preserve"> preparat</w:t>
      </w:r>
      <w:r>
        <w:t>ų deriniu</w:t>
      </w:r>
      <w:r w:rsidRPr="00C13759">
        <w:t xml:space="preserve"> laikomas CHOP</w:t>
      </w:r>
      <w:r>
        <w:t xml:space="preserve"> (</w:t>
      </w:r>
      <w:proofErr w:type="spellStart"/>
      <w:r w:rsidRPr="00C13759">
        <w:t>ciklofosfamidas</w:t>
      </w:r>
      <w:proofErr w:type="spellEnd"/>
      <w:r w:rsidRPr="00C13759">
        <w:t xml:space="preserve"> [C], </w:t>
      </w:r>
      <w:proofErr w:type="spellStart"/>
      <w:r w:rsidRPr="00C13759">
        <w:t>doksorubicinas</w:t>
      </w:r>
      <w:proofErr w:type="spellEnd"/>
      <w:r w:rsidRPr="00C13759">
        <w:t xml:space="preserve"> [H], </w:t>
      </w:r>
      <w:proofErr w:type="spellStart"/>
      <w:r w:rsidRPr="00C13759">
        <w:t>vinkristinas</w:t>
      </w:r>
      <w:proofErr w:type="spellEnd"/>
      <w:r w:rsidRPr="00C13759">
        <w:t xml:space="preserve"> [O] ir prednizonas [P]</w:t>
      </w:r>
      <w:r>
        <w:t>)</w:t>
      </w:r>
      <w:r w:rsidRPr="00C13759">
        <w:t>.</w:t>
      </w:r>
      <w:r>
        <w:t xml:space="preserve"> </w:t>
      </w:r>
    </w:p>
    <w:p w14:paraId="575AB1CF" w14:textId="59493151" w:rsidR="009C182B" w:rsidRPr="00C13759" w:rsidRDefault="003D50C4" w:rsidP="00C57FF3">
      <w:pPr>
        <w:spacing w:after="120" w:line="360" w:lineRule="auto"/>
        <w:jc w:val="both"/>
      </w:pPr>
      <w:r>
        <w:t xml:space="preserve">Tokį palyginamojo vaistinių preparatų derinio pasirinkimą pagrindžia žemiau išvardyti </w:t>
      </w:r>
      <w:r w:rsidR="009C182B" w:rsidRPr="00C13759">
        <w:t>argumentais</w:t>
      </w:r>
      <w:r>
        <w:t>.</w:t>
      </w:r>
    </w:p>
    <w:p w14:paraId="4D643A46" w14:textId="77777777" w:rsidR="009C182B" w:rsidRPr="00C13759" w:rsidRDefault="009C182B" w:rsidP="00C57FF3">
      <w:pPr>
        <w:pStyle w:val="ListParagraph"/>
        <w:numPr>
          <w:ilvl w:val="0"/>
          <w:numId w:val="25"/>
        </w:numPr>
        <w:spacing w:after="120" w:line="360" w:lineRule="auto"/>
        <w:jc w:val="both"/>
      </w:pPr>
      <w:r w:rsidRPr="00C13759">
        <w:t xml:space="preserve">NCCN nuo 2020 m. spalio 5 d. ADLL pirmos eilės gydymui pirmenybę teikia </w:t>
      </w:r>
      <w:proofErr w:type="spellStart"/>
      <w:r w:rsidRPr="00C13759">
        <w:t>brentuksimabo</w:t>
      </w:r>
      <w:proofErr w:type="spellEnd"/>
      <w:r w:rsidRPr="00C13759">
        <w:t xml:space="preserve"> </w:t>
      </w:r>
      <w:proofErr w:type="spellStart"/>
      <w:r w:rsidRPr="00C13759">
        <w:t>vedotino</w:t>
      </w:r>
      <w:proofErr w:type="spellEnd"/>
      <w:r w:rsidRPr="00C13759">
        <w:t xml:space="preserve"> deriniui su CHP, su kitais galimais </w:t>
      </w:r>
      <w:proofErr w:type="spellStart"/>
      <w:r w:rsidRPr="00C13759">
        <w:t>pasirinkimais</w:t>
      </w:r>
      <w:proofErr w:type="spellEnd"/>
      <w:r w:rsidRPr="00C13759">
        <w:t xml:space="preserve"> - CHOP, CHOEP ir EPOCH.</w:t>
      </w:r>
    </w:p>
    <w:p w14:paraId="191C74BC" w14:textId="77777777" w:rsidR="009C182B" w:rsidRPr="00C13759" w:rsidRDefault="009C182B" w:rsidP="00C57FF3">
      <w:pPr>
        <w:pStyle w:val="ListParagraph"/>
        <w:numPr>
          <w:ilvl w:val="0"/>
          <w:numId w:val="25"/>
        </w:numPr>
        <w:spacing w:after="120" w:line="360" w:lineRule="auto"/>
        <w:jc w:val="both"/>
      </w:pPr>
      <w:r w:rsidRPr="00C13759">
        <w:t xml:space="preserve">HOT </w:t>
      </w:r>
      <w:proofErr w:type="spellStart"/>
      <w:r w:rsidRPr="00C13759">
        <w:t>sADDL</w:t>
      </w:r>
      <w:proofErr w:type="spellEnd"/>
      <w:r w:rsidRPr="00C13759">
        <w:t xml:space="preserve"> gydymo gairės </w:t>
      </w:r>
      <w:proofErr w:type="spellStart"/>
      <w:r w:rsidRPr="00C13759">
        <w:t>paskebtos</w:t>
      </w:r>
      <w:proofErr w:type="spellEnd"/>
      <w:r w:rsidRPr="00C13759">
        <w:t xml:space="preserve"> 2015 m.</w:t>
      </w:r>
    </w:p>
    <w:p w14:paraId="1481148C" w14:textId="77777777" w:rsidR="009C182B" w:rsidRDefault="009C182B" w:rsidP="00C57FF3">
      <w:pPr>
        <w:pStyle w:val="ListParagraph"/>
        <w:numPr>
          <w:ilvl w:val="0"/>
          <w:numId w:val="25"/>
        </w:numPr>
        <w:spacing w:after="120" w:line="360" w:lineRule="auto"/>
        <w:jc w:val="both"/>
      </w:pPr>
      <w:r w:rsidRPr="00C13759">
        <w:t xml:space="preserve">NICE standartiniu pirmos eilės </w:t>
      </w:r>
      <w:proofErr w:type="spellStart"/>
      <w:r w:rsidRPr="00C13759">
        <w:t>sADLL</w:t>
      </w:r>
      <w:proofErr w:type="spellEnd"/>
      <w:r w:rsidRPr="00C13759">
        <w:t xml:space="preserve"> gydymu laiko CHOP, o nuo 2020 m. spalio 5 d. rekomenduoja </w:t>
      </w:r>
      <w:proofErr w:type="spellStart"/>
      <w:r w:rsidRPr="00C13759">
        <w:t>brentuksimabo</w:t>
      </w:r>
      <w:proofErr w:type="spellEnd"/>
      <w:r w:rsidRPr="00C13759">
        <w:t xml:space="preserve"> </w:t>
      </w:r>
      <w:proofErr w:type="spellStart"/>
      <w:r w:rsidRPr="00C13759">
        <w:t>vedotino</w:t>
      </w:r>
      <w:proofErr w:type="spellEnd"/>
      <w:r w:rsidRPr="00C13759">
        <w:t xml:space="preserve"> derinį su CHP.</w:t>
      </w:r>
    </w:p>
    <w:p w14:paraId="24A81A82" w14:textId="397A7352" w:rsidR="005A0D64" w:rsidRPr="00BD4F39" w:rsidRDefault="009C182B" w:rsidP="00BD4F39">
      <w:pPr>
        <w:pStyle w:val="ListParagraph"/>
        <w:numPr>
          <w:ilvl w:val="0"/>
          <w:numId w:val="25"/>
        </w:numPr>
        <w:spacing w:after="120" w:line="360" w:lineRule="auto"/>
        <w:jc w:val="both"/>
      </w:pPr>
      <w:r w:rsidRPr="00C13759">
        <w:t xml:space="preserve">CHOEP efektyvumas ir saugumas </w:t>
      </w:r>
      <w:proofErr w:type="spellStart"/>
      <w:r w:rsidRPr="00C13759">
        <w:t>sADDL</w:t>
      </w:r>
      <w:proofErr w:type="spellEnd"/>
      <w:r w:rsidRPr="00C13759">
        <w:t xml:space="preserve"> pirmos eilės gydymui (lyginant su CHOP) nėra įrodytas dvigubai </w:t>
      </w:r>
      <w:r w:rsidR="005A0D64">
        <w:t>koduo</w:t>
      </w:r>
      <w:r w:rsidR="003D50C4">
        <w:t>to</w:t>
      </w:r>
      <w:r w:rsidRPr="00C13759">
        <w:t xml:space="preserve">, </w:t>
      </w:r>
      <w:proofErr w:type="spellStart"/>
      <w:r w:rsidRPr="00C13759">
        <w:t>randomizuoto</w:t>
      </w:r>
      <w:proofErr w:type="spellEnd"/>
      <w:r w:rsidRPr="00C13759">
        <w:t xml:space="preserve">, </w:t>
      </w:r>
      <w:proofErr w:type="spellStart"/>
      <w:r w:rsidRPr="00C13759">
        <w:t>daugiacentrinio</w:t>
      </w:r>
      <w:proofErr w:type="spellEnd"/>
      <w:r w:rsidRPr="00C13759">
        <w:t xml:space="preserve"> klinikinio tyrimo duomenimis</w:t>
      </w:r>
      <w:r>
        <w:t>;</w:t>
      </w:r>
    </w:p>
    <w:p w14:paraId="46D7541A" w14:textId="0E08ECBF" w:rsidR="005A0D64" w:rsidRPr="00BD4F39" w:rsidRDefault="005A0D64" w:rsidP="00C57FF3">
      <w:pPr>
        <w:tabs>
          <w:tab w:val="left" w:pos="426"/>
        </w:tabs>
        <w:spacing w:line="360" w:lineRule="auto"/>
        <w:jc w:val="both"/>
        <w:rPr>
          <w:i/>
          <w:iCs/>
        </w:rPr>
      </w:pPr>
      <w:r w:rsidRPr="00BD4F39">
        <w:rPr>
          <w:i/>
          <w:iCs/>
        </w:rPr>
        <w:t>Tiesioginis palyginimas</w:t>
      </w:r>
    </w:p>
    <w:p w14:paraId="52644CB9" w14:textId="46DFFC1E" w:rsidR="003537A7" w:rsidRDefault="00A91C99" w:rsidP="00C57FF3">
      <w:pPr>
        <w:tabs>
          <w:tab w:val="left" w:pos="426"/>
        </w:tabs>
        <w:spacing w:line="360" w:lineRule="auto"/>
        <w:jc w:val="both"/>
        <w:rPr>
          <w:bCs/>
          <w:color w:val="212121"/>
          <w:shd w:val="clear" w:color="auto" w:fill="FFFFFF"/>
        </w:rPr>
      </w:pPr>
      <w:r w:rsidRPr="003935AD">
        <w:rPr>
          <w:iCs/>
        </w:rPr>
        <w:t xml:space="preserve">Palyginamajam efektyvumui ir klinikiniam veiksmingumui pagrįsti Pareiškėjas pateikė </w:t>
      </w:r>
      <w:r w:rsidR="004B25D6">
        <w:rPr>
          <w:iCs/>
        </w:rPr>
        <w:t xml:space="preserve">klinikinį tyrimą </w:t>
      </w:r>
      <w:r w:rsidR="00EF485D">
        <w:rPr>
          <w:iCs/>
        </w:rPr>
        <w:t>EC</w:t>
      </w:r>
      <w:r w:rsidR="00A61ACC">
        <w:rPr>
          <w:iCs/>
        </w:rPr>
        <w:t>H</w:t>
      </w:r>
      <w:r w:rsidR="00EF485D">
        <w:rPr>
          <w:iCs/>
        </w:rPr>
        <w:t xml:space="preserve">ELON-2 – tai </w:t>
      </w:r>
      <w:r w:rsidR="00D27F81" w:rsidRPr="00C13759">
        <w:rPr>
          <w:rFonts w:eastAsia="Arial"/>
        </w:rPr>
        <w:t>dvigubai</w:t>
      </w:r>
      <w:r w:rsidR="00D27F81">
        <w:rPr>
          <w:rFonts w:eastAsia="Arial"/>
        </w:rPr>
        <w:t xml:space="preserve"> </w:t>
      </w:r>
      <w:r w:rsidR="005A0D64">
        <w:rPr>
          <w:rFonts w:eastAsia="Arial"/>
        </w:rPr>
        <w:t>koduotas</w:t>
      </w:r>
      <w:r w:rsidR="00D27F81" w:rsidRPr="00C13759">
        <w:rPr>
          <w:rFonts w:eastAsia="Arial"/>
        </w:rPr>
        <w:t>, dvigubai maskuotas, atsitiktinių imčių,</w:t>
      </w:r>
      <w:r w:rsidR="00D27F81">
        <w:rPr>
          <w:rFonts w:eastAsia="Arial"/>
        </w:rPr>
        <w:t xml:space="preserve"> </w:t>
      </w:r>
      <w:proofErr w:type="spellStart"/>
      <w:r w:rsidR="00D27F81">
        <w:rPr>
          <w:rFonts w:eastAsia="Arial"/>
        </w:rPr>
        <w:t>randomizuotas</w:t>
      </w:r>
      <w:proofErr w:type="spellEnd"/>
      <w:r w:rsidR="00D27F81">
        <w:rPr>
          <w:rFonts w:eastAsia="Arial"/>
        </w:rPr>
        <w:t xml:space="preserve"> </w:t>
      </w:r>
      <w:r w:rsidR="00D27F81">
        <w:rPr>
          <w:rFonts w:eastAsia="Arial"/>
        </w:rPr>
        <w:lastRenderedPageBreak/>
        <w:t xml:space="preserve">santykiu </w:t>
      </w:r>
      <w:r w:rsidR="00D27F81" w:rsidRPr="00126256">
        <w:rPr>
          <w:rFonts w:eastAsia="Arial"/>
        </w:rPr>
        <w:t>1:</w:t>
      </w:r>
      <w:r w:rsidR="00D27F81">
        <w:rPr>
          <w:rFonts w:eastAsia="Arial"/>
        </w:rPr>
        <w:t>1</w:t>
      </w:r>
      <w:r w:rsidR="00D27F81" w:rsidRPr="00C13759">
        <w:rPr>
          <w:rFonts w:eastAsia="Arial"/>
        </w:rPr>
        <w:t xml:space="preserve"> </w:t>
      </w:r>
      <w:proofErr w:type="spellStart"/>
      <w:r w:rsidR="00D27F81" w:rsidRPr="00C13759">
        <w:rPr>
          <w:rFonts w:eastAsia="Arial"/>
        </w:rPr>
        <w:t>daugiacentris</w:t>
      </w:r>
      <w:proofErr w:type="spellEnd"/>
      <w:r w:rsidR="00D27F81" w:rsidRPr="00C13759">
        <w:rPr>
          <w:rFonts w:eastAsia="Arial"/>
        </w:rPr>
        <w:t xml:space="preserve"> III fazės tyrimas</w:t>
      </w:r>
      <w:r w:rsidR="00EF485D">
        <w:rPr>
          <w:rFonts w:eastAsia="Arial"/>
        </w:rPr>
        <w:t xml:space="preserve">. </w:t>
      </w:r>
      <w:r w:rsidR="00D27F81" w:rsidRPr="00C13759">
        <w:rPr>
          <w:rFonts w:eastAsia="Arial"/>
        </w:rPr>
        <w:t>Tyrime dalyvavo 452 suaugę pacientai, kuriems diagnozuota ir anksčiau nebuvo gydyta CD30+ periferinė T ląstelių limfoma (</w:t>
      </w:r>
      <w:r w:rsidR="006B3FB4">
        <w:rPr>
          <w:rFonts w:eastAsia="Arial"/>
        </w:rPr>
        <w:t xml:space="preserve">iš viso šiame tyrime buvo </w:t>
      </w:r>
      <w:proofErr w:type="spellStart"/>
      <w:r w:rsidR="006B3FB4">
        <w:rPr>
          <w:rFonts w:eastAsia="Arial"/>
        </w:rPr>
        <w:t>įtrauta</w:t>
      </w:r>
      <w:proofErr w:type="spellEnd"/>
      <w:r w:rsidR="006B3FB4">
        <w:rPr>
          <w:rFonts w:eastAsia="Arial"/>
        </w:rPr>
        <w:t xml:space="preserve"> </w:t>
      </w:r>
      <w:r w:rsidR="00D27F81" w:rsidRPr="00C13759">
        <w:rPr>
          <w:rFonts w:eastAsia="Arial"/>
        </w:rPr>
        <w:t>75% pacientų</w:t>
      </w:r>
      <w:r w:rsidR="00D27F81">
        <w:rPr>
          <w:rFonts w:eastAsia="Arial"/>
        </w:rPr>
        <w:t xml:space="preserve">, </w:t>
      </w:r>
      <w:r w:rsidR="006B3FB4">
        <w:rPr>
          <w:rFonts w:eastAsia="Arial"/>
        </w:rPr>
        <w:t xml:space="preserve">kuriems </w:t>
      </w:r>
      <w:r w:rsidR="00D27F81" w:rsidRPr="00C13759">
        <w:rPr>
          <w:rFonts w:eastAsia="Arial"/>
        </w:rPr>
        <w:t xml:space="preserve">buvo diagnozuota </w:t>
      </w:r>
      <w:proofErr w:type="spellStart"/>
      <w:r w:rsidR="00D27F81" w:rsidRPr="00C13759">
        <w:rPr>
          <w:rFonts w:eastAsia="Arial"/>
        </w:rPr>
        <w:t>sADLL</w:t>
      </w:r>
      <w:proofErr w:type="spellEnd"/>
      <w:r w:rsidR="00D27F81" w:rsidRPr="00C13759">
        <w:rPr>
          <w:rFonts w:eastAsia="Arial"/>
        </w:rPr>
        <w:t>).</w:t>
      </w:r>
      <w:r w:rsidR="00EF485D">
        <w:rPr>
          <w:rFonts w:eastAsia="Arial"/>
        </w:rPr>
        <w:t xml:space="preserve"> </w:t>
      </w:r>
      <w:r w:rsidR="00AE2D7F">
        <w:rPr>
          <w:rFonts w:eastAsia="Arial"/>
        </w:rPr>
        <w:t>I-</w:t>
      </w:r>
      <w:proofErr w:type="spellStart"/>
      <w:r w:rsidR="00AE2D7F">
        <w:rPr>
          <w:rFonts w:eastAsia="Arial"/>
        </w:rPr>
        <w:t>oji</w:t>
      </w:r>
      <w:proofErr w:type="spellEnd"/>
      <w:r w:rsidR="00AE2D7F">
        <w:rPr>
          <w:rFonts w:eastAsia="Arial"/>
        </w:rPr>
        <w:t xml:space="preserve"> pacientų grupė (BV + CHP</w:t>
      </w:r>
      <w:r w:rsidR="006B3FB4">
        <w:rPr>
          <w:rFonts w:eastAsia="Arial"/>
        </w:rPr>
        <w:t xml:space="preserve"> gydymo schema</w:t>
      </w:r>
      <w:r w:rsidR="00AE2D7F">
        <w:rPr>
          <w:rFonts w:eastAsia="Arial"/>
        </w:rPr>
        <w:t xml:space="preserve">) gavo gydymą </w:t>
      </w:r>
      <w:r w:rsidR="00AE2D7F" w:rsidRPr="00C13759">
        <w:rPr>
          <w:rFonts w:eastAsia="Arial"/>
        </w:rPr>
        <w:t xml:space="preserve">1,8 mg/kg  </w:t>
      </w:r>
      <w:proofErr w:type="spellStart"/>
      <w:r w:rsidR="00AE2D7F" w:rsidRPr="00C13759">
        <w:t>bre</w:t>
      </w:r>
      <w:r w:rsidR="006B3FB4">
        <w:t>ntuksimabo</w:t>
      </w:r>
      <w:proofErr w:type="spellEnd"/>
      <w:r w:rsidR="006B3FB4">
        <w:t xml:space="preserve"> </w:t>
      </w:r>
      <w:proofErr w:type="spellStart"/>
      <w:r w:rsidR="006B3FB4">
        <w:t>vedotinu</w:t>
      </w:r>
      <w:proofErr w:type="spellEnd"/>
      <w:r w:rsidR="006B3FB4">
        <w:t xml:space="preserve"> + CHP </w:t>
      </w:r>
      <w:r w:rsidR="00AE2D7F" w:rsidRPr="00C13759">
        <w:t>(</w:t>
      </w:r>
      <w:proofErr w:type="spellStart"/>
      <w:r w:rsidR="00AE2D7F" w:rsidRPr="00C13759">
        <w:t>ciklofosfamidas</w:t>
      </w:r>
      <w:proofErr w:type="spellEnd"/>
      <w:r w:rsidR="00AE2D7F" w:rsidRPr="00C13759">
        <w:t xml:space="preserve"> 750 mg/m</w:t>
      </w:r>
      <w:r w:rsidR="00AE2D7F" w:rsidRPr="00C13759">
        <w:rPr>
          <w:vertAlign w:val="superscript"/>
        </w:rPr>
        <w:t>2</w:t>
      </w:r>
      <w:r w:rsidR="00AE2D7F" w:rsidRPr="00C13759">
        <w:t xml:space="preserve"> kas 3 savaites infuzijos į veną būdu; </w:t>
      </w:r>
      <w:proofErr w:type="spellStart"/>
      <w:r w:rsidR="00AE2D7F" w:rsidRPr="00C13759">
        <w:t>doksorubicinas</w:t>
      </w:r>
      <w:proofErr w:type="spellEnd"/>
      <w:r w:rsidR="00AE2D7F" w:rsidRPr="00C13759">
        <w:t xml:space="preserve"> 50 mg/m</w:t>
      </w:r>
      <w:r w:rsidR="00AE2D7F" w:rsidRPr="00C13759">
        <w:rPr>
          <w:vertAlign w:val="superscript"/>
        </w:rPr>
        <w:t>2</w:t>
      </w:r>
      <w:r w:rsidR="006B3FB4">
        <w:t xml:space="preserve"> kas 3 savaites infuzijos į veną</w:t>
      </w:r>
      <w:r w:rsidR="00AE2D7F" w:rsidRPr="00C13759">
        <w:t xml:space="preserve"> būdu ir prednizolonas 100 mg kiekvieno 3-ų savaičių ciklo 1-5 dienomis skiriant per burną)</w:t>
      </w:r>
      <w:r w:rsidR="00AE2D7F">
        <w:t>, II-</w:t>
      </w:r>
      <w:proofErr w:type="spellStart"/>
      <w:r w:rsidR="00AE2D7F">
        <w:t>oji</w:t>
      </w:r>
      <w:proofErr w:type="spellEnd"/>
      <w:r w:rsidR="00AE2D7F">
        <w:t xml:space="preserve"> pacientų grupė (CHOP)</w:t>
      </w:r>
      <w:r w:rsidR="00A61ACC">
        <w:t xml:space="preserve"> </w:t>
      </w:r>
      <w:r w:rsidR="00A61ACC" w:rsidRPr="00C13759">
        <w:rPr>
          <w:rFonts w:eastAsia="Arial"/>
        </w:rPr>
        <w:t xml:space="preserve">gavo gydymą </w:t>
      </w:r>
      <w:proofErr w:type="spellStart"/>
      <w:r w:rsidR="00A61ACC" w:rsidRPr="00C13759">
        <w:t>ciklofosfamidu</w:t>
      </w:r>
      <w:proofErr w:type="spellEnd"/>
      <w:r w:rsidR="00A61ACC" w:rsidRPr="00C13759">
        <w:t xml:space="preserve"> 750 mg/m</w:t>
      </w:r>
      <w:r w:rsidR="00A61ACC" w:rsidRPr="00C13759">
        <w:rPr>
          <w:vertAlign w:val="superscript"/>
        </w:rPr>
        <w:t>2</w:t>
      </w:r>
      <w:r w:rsidR="00A61ACC" w:rsidRPr="00C13759">
        <w:t xml:space="preserve"> kas 3</w:t>
      </w:r>
      <w:r w:rsidR="006B3FB4">
        <w:t xml:space="preserve"> savaites infuzijos į veną būdu, </w:t>
      </w:r>
      <w:r w:rsidR="00A61ACC" w:rsidRPr="00C13759">
        <w:t xml:space="preserve"> </w:t>
      </w:r>
      <w:proofErr w:type="spellStart"/>
      <w:r w:rsidR="00A61ACC" w:rsidRPr="00C13759">
        <w:t>doksorubicinu</w:t>
      </w:r>
      <w:proofErr w:type="spellEnd"/>
      <w:r w:rsidR="00A61ACC" w:rsidRPr="00C13759">
        <w:t xml:space="preserve"> 50 mg/m</w:t>
      </w:r>
      <w:r w:rsidR="00A61ACC" w:rsidRPr="00C13759">
        <w:rPr>
          <w:vertAlign w:val="superscript"/>
        </w:rPr>
        <w:t>2</w:t>
      </w:r>
      <w:r w:rsidR="00A61ACC" w:rsidRPr="00C13759">
        <w:t xml:space="preserve"> kas 3 savaites infuzijos į vena būdu, prednizolonu 100 mg kiekvieno 3-ų savaičių ciklo 1-5 dienomis skiriant per burną ir </w:t>
      </w:r>
      <w:proofErr w:type="spellStart"/>
      <w:r w:rsidR="00A61ACC" w:rsidRPr="00C13759">
        <w:t>vinkristinu</w:t>
      </w:r>
      <w:proofErr w:type="spellEnd"/>
      <w:r w:rsidR="00A61ACC" w:rsidRPr="00C13759">
        <w:t xml:space="preserve"> 1,4 mg/m</w:t>
      </w:r>
      <w:r w:rsidR="00A61ACC" w:rsidRPr="00C13759">
        <w:rPr>
          <w:vertAlign w:val="superscript"/>
        </w:rPr>
        <w:t>2</w:t>
      </w:r>
      <w:r w:rsidR="00A61ACC" w:rsidRPr="00C13759">
        <w:t xml:space="preserve"> (maksimali dozė 2 mg) kas 3 savaites infuzijos į vena būdu.</w:t>
      </w:r>
      <w:r w:rsidR="00A61ACC">
        <w:t xml:space="preserve"> P</w:t>
      </w:r>
      <w:r w:rsidR="00F63FEA">
        <w:t>irminė</w:t>
      </w:r>
      <w:r w:rsidR="00A61ACC">
        <w:t xml:space="preserve"> vertinamoji baigtis </w:t>
      </w:r>
      <w:r w:rsidR="00F63FEA">
        <w:rPr>
          <w:iCs/>
        </w:rPr>
        <w:t xml:space="preserve">ECHELON-2 tyrime buvo </w:t>
      </w:r>
      <w:proofErr w:type="spellStart"/>
      <w:r w:rsidR="00F63FEA">
        <w:rPr>
          <w:iCs/>
        </w:rPr>
        <w:t>išgyvenamumas</w:t>
      </w:r>
      <w:proofErr w:type="spellEnd"/>
      <w:r w:rsidR="00F63FEA">
        <w:rPr>
          <w:iCs/>
        </w:rPr>
        <w:t xml:space="preserve"> be ligos progresavimo (IBLP) bendroje </w:t>
      </w:r>
      <w:r w:rsidR="00F63FEA" w:rsidRPr="00C13759">
        <w:rPr>
          <w:rFonts w:eastAsia="Arial"/>
        </w:rPr>
        <w:t>CD30+ periferin</w:t>
      </w:r>
      <w:r w:rsidR="00F63FEA">
        <w:rPr>
          <w:rFonts w:eastAsia="Arial"/>
        </w:rPr>
        <w:t>e</w:t>
      </w:r>
      <w:r w:rsidR="00F63FEA" w:rsidRPr="00C13759">
        <w:rPr>
          <w:rFonts w:eastAsia="Arial"/>
        </w:rPr>
        <w:t xml:space="preserve"> T ląstelių limfoma</w:t>
      </w:r>
      <w:r w:rsidR="00F63FEA">
        <w:rPr>
          <w:rFonts w:eastAsia="Arial"/>
        </w:rPr>
        <w:t xml:space="preserve"> sergančių pacientų populiacijoje, svarbiausios antrinės vertinamosios baigtys buvo IBLP </w:t>
      </w:r>
      <w:proofErr w:type="spellStart"/>
      <w:r w:rsidR="00F63FEA">
        <w:rPr>
          <w:rFonts w:eastAsia="Arial"/>
        </w:rPr>
        <w:t>sADLL</w:t>
      </w:r>
      <w:proofErr w:type="spellEnd"/>
      <w:r w:rsidR="00F63FEA">
        <w:rPr>
          <w:rFonts w:eastAsia="Arial"/>
        </w:rPr>
        <w:t xml:space="preserve"> pacientų populiacijoje bei bendrasis </w:t>
      </w:r>
      <w:proofErr w:type="spellStart"/>
      <w:r w:rsidR="00F63FEA">
        <w:rPr>
          <w:rFonts w:eastAsia="Arial"/>
        </w:rPr>
        <w:t>išgyvenamumas</w:t>
      </w:r>
      <w:proofErr w:type="spellEnd"/>
      <w:r w:rsidR="00F63FEA">
        <w:rPr>
          <w:rFonts w:eastAsia="Arial"/>
        </w:rPr>
        <w:t xml:space="preserve">. </w:t>
      </w:r>
      <w:r w:rsidR="00AD4CEB" w:rsidRPr="00C13759">
        <w:rPr>
          <w:color w:val="000000"/>
          <w:lang w:eastAsia="lt-LT"/>
        </w:rPr>
        <w:t xml:space="preserve">IBLP mediana </w:t>
      </w:r>
      <w:r w:rsidR="00AD4CEB">
        <w:rPr>
          <w:iCs/>
        </w:rPr>
        <w:t xml:space="preserve">bendroje </w:t>
      </w:r>
      <w:r w:rsidR="00AD4CEB" w:rsidRPr="00C13759">
        <w:rPr>
          <w:rFonts w:eastAsia="Arial"/>
        </w:rPr>
        <w:t>CD30+ periferin</w:t>
      </w:r>
      <w:r w:rsidR="00AD4CEB">
        <w:rPr>
          <w:rFonts w:eastAsia="Arial"/>
        </w:rPr>
        <w:t>e</w:t>
      </w:r>
      <w:r w:rsidR="00AD4CEB" w:rsidRPr="00C13759">
        <w:rPr>
          <w:rFonts w:eastAsia="Arial"/>
        </w:rPr>
        <w:t xml:space="preserve"> T ląstelių limfoma</w:t>
      </w:r>
      <w:r w:rsidR="00AD4CEB">
        <w:rPr>
          <w:rFonts w:eastAsia="Arial"/>
        </w:rPr>
        <w:t xml:space="preserve"> sergančių pacientų populiacijoje</w:t>
      </w:r>
      <w:r w:rsidR="00AD4CEB">
        <w:rPr>
          <w:color w:val="000000"/>
          <w:lang w:eastAsia="lt-LT"/>
        </w:rPr>
        <w:t xml:space="preserve"> </w:t>
      </w:r>
      <w:r w:rsidR="00AD4CEB" w:rsidRPr="00C13759">
        <w:rPr>
          <w:color w:val="000000"/>
          <w:lang w:eastAsia="lt-LT"/>
        </w:rPr>
        <w:t>buvo 48,2 mėnesio BV+CHP grupėje, palyginus su 20,8 mėnesio CHOP grupėje</w:t>
      </w:r>
      <w:r w:rsidR="00AD4CEB">
        <w:rPr>
          <w:color w:val="000000"/>
          <w:lang w:eastAsia="lt-LT"/>
        </w:rPr>
        <w:t xml:space="preserve">; RS </w:t>
      </w:r>
      <w:r w:rsidR="00AD4CEB" w:rsidRPr="00C13759">
        <w:rPr>
          <w:rFonts w:eastAsia="Arial"/>
        </w:rPr>
        <w:t>0,71 (95% PI 0,54</w:t>
      </w:r>
      <w:r w:rsidR="00AD4CEB">
        <w:rPr>
          <w:rFonts w:eastAsia="Arial"/>
        </w:rPr>
        <w:t xml:space="preserve"> - </w:t>
      </w:r>
      <w:r w:rsidR="00AD4CEB" w:rsidRPr="00C13759">
        <w:rPr>
          <w:rFonts w:eastAsia="Arial"/>
        </w:rPr>
        <w:t>0,93, p=0,011)</w:t>
      </w:r>
      <w:r w:rsidR="00AD4CEB">
        <w:rPr>
          <w:rFonts w:eastAsia="Arial"/>
        </w:rPr>
        <w:t xml:space="preserve">. IBLP mediana </w:t>
      </w:r>
      <w:proofErr w:type="spellStart"/>
      <w:r w:rsidR="00AD4CEB" w:rsidRPr="00C13759">
        <w:rPr>
          <w:color w:val="000000"/>
          <w:lang w:eastAsia="lt-LT"/>
        </w:rPr>
        <w:t>sADLL</w:t>
      </w:r>
      <w:proofErr w:type="spellEnd"/>
      <w:r w:rsidR="00AD4CEB">
        <w:rPr>
          <w:color w:val="000000"/>
          <w:lang w:eastAsia="lt-LT"/>
        </w:rPr>
        <w:t xml:space="preserve"> pacientų grupėje buvo </w:t>
      </w:r>
      <w:r w:rsidR="00AD4CEB" w:rsidRPr="00C13759">
        <w:rPr>
          <w:color w:val="000000"/>
          <w:lang w:eastAsia="lt-LT"/>
        </w:rPr>
        <w:t>55,7 mėnesio BV+CHP grupėje, palyginus su 54,2 mėnesio CHOP grupėje</w:t>
      </w:r>
      <w:r w:rsidR="00AD4CEB">
        <w:rPr>
          <w:color w:val="000000"/>
          <w:lang w:eastAsia="lt-LT"/>
        </w:rPr>
        <w:t>; RS</w:t>
      </w:r>
      <w:r w:rsidR="00AD4CEB" w:rsidRPr="00C13759">
        <w:rPr>
          <w:color w:val="000000"/>
          <w:lang w:eastAsia="lt-LT"/>
        </w:rPr>
        <w:t xml:space="preserve"> 0,59 (95% PI 0,42</w:t>
      </w:r>
      <w:r w:rsidR="00AD4CEB">
        <w:rPr>
          <w:color w:val="000000"/>
          <w:lang w:eastAsia="lt-LT"/>
        </w:rPr>
        <w:t xml:space="preserve"> - </w:t>
      </w:r>
      <w:r w:rsidR="00AD4CEB" w:rsidRPr="00C13759">
        <w:rPr>
          <w:color w:val="000000"/>
          <w:lang w:eastAsia="lt-LT"/>
        </w:rPr>
        <w:t>0,84</w:t>
      </w:r>
      <w:r w:rsidR="00AD4CEB">
        <w:rPr>
          <w:color w:val="000000"/>
          <w:lang w:eastAsia="lt-LT"/>
        </w:rPr>
        <w:t xml:space="preserve">, </w:t>
      </w:r>
      <w:r w:rsidR="00AD4CEB" w:rsidRPr="00C13759">
        <w:rPr>
          <w:color w:val="000000"/>
          <w:lang w:eastAsia="lt-LT"/>
        </w:rPr>
        <w:t xml:space="preserve">p=0,003). </w:t>
      </w:r>
      <w:r w:rsidR="00E3734A">
        <w:rPr>
          <w:color w:val="000000"/>
          <w:lang w:eastAsia="lt-LT"/>
        </w:rPr>
        <w:t xml:space="preserve">Bendrojo </w:t>
      </w:r>
      <w:proofErr w:type="spellStart"/>
      <w:r w:rsidR="00E3734A">
        <w:rPr>
          <w:color w:val="000000"/>
          <w:lang w:eastAsia="lt-LT"/>
        </w:rPr>
        <w:t>išgyvenamumo</w:t>
      </w:r>
      <w:proofErr w:type="spellEnd"/>
      <w:r w:rsidR="00E3734A">
        <w:rPr>
          <w:color w:val="000000"/>
          <w:lang w:eastAsia="lt-LT"/>
        </w:rPr>
        <w:t xml:space="preserve"> medianos nebuvo pasiektos nei BV</w:t>
      </w:r>
      <w:r w:rsidR="00E3734A" w:rsidRPr="00E3734A">
        <w:rPr>
          <w:color w:val="000000"/>
          <w:lang w:eastAsia="lt-LT"/>
        </w:rPr>
        <w:t>+CHP</w:t>
      </w:r>
      <w:r w:rsidR="00E3734A">
        <w:rPr>
          <w:color w:val="000000"/>
          <w:lang w:eastAsia="lt-LT"/>
        </w:rPr>
        <w:t xml:space="preserve">, nei CHOP grupėje: </w:t>
      </w:r>
      <w:r w:rsidR="00E3734A">
        <w:rPr>
          <w:rFonts w:eastAsia="Arial"/>
          <w:bCs/>
        </w:rPr>
        <w:t>p</w:t>
      </w:r>
      <w:r w:rsidR="00E3734A" w:rsidRPr="00C13759">
        <w:rPr>
          <w:rFonts w:eastAsia="Arial"/>
          <w:bCs/>
        </w:rPr>
        <w:t>o 42,1 mėnesio stebėjimo</w:t>
      </w:r>
      <w:r w:rsidR="00C92843">
        <w:rPr>
          <w:rFonts w:eastAsia="Arial"/>
          <w:bCs/>
        </w:rPr>
        <w:t xml:space="preserve">, </w:t>
      </w:r>
      <w:r w:rsidR="00E3734A" w:rsidRPr="00C13759">
        <w:rPr>
          <w:rFonts w:eastAsia="Arial"/>
          <w:bCs/>
        </w:rPr>
        <w:t xml:space="preserve">bendrojo </w:t>
      </w:r>
      <w:proofErr w:type="spellStart"/>
      <w:r w:rsidR="00E3734A" w:rsidRPr="00C13759">
        <w:rPr>
          <w:rFonts w:eastAsia="Arial"/>
          <w:bCs/>
        </w:rPr>
        <w:t>išgyvenamumo</w:t>
      </w:r>
      <w:proofErr w:type="spellEnd"/>
      <w:r w:rsidR="00E3734A" w:rsidRPr="00C13759">
        <w:rPr>
          <w:rFonts w:eastAsia="Arial"/>
          <w:bCs/>
        </w:rPr>
        <w:t xml:space="preserve"> mediana nepasiekta nė vienoje grupėje. Gydymas BV+CHP sumažino mirties riziką 34 %, palyginti su CHOP, rizikos santykis 0,66</w:t>
      </w:r>
      <w:r w:rsidR="00C92843">
        <w:rPr>
          <w:rFonts w:eastAsia="Arial"/>
          <w:bCs/>
        </w:rPr>
        <w:t xml:space="preserve"> </w:t>
      </w:r>
      <w:r w:rsidR="00E3734A" w:rsidRPr="00C13759">
        <w:rPr>
          <w:rFonts w:eastAsia="Arial"/>
          <w:bCs/>
        </w:rPr>
        <w:t>(95% PI 0,46</w:t>
      </w:r>
      <w:r w:rsidR="00C92843">
        <w:rPr>
          <w:rFonts w:eastAsia="Arial"/>
          <w:bCs/>
        </w:rPr>
        <w:t xml:space="preserve"> </w:t>
      </w:r>
      <w:r w:rsidR="00C92843">
        <w:rPr>
          <w:color w:val="000000"/>
          <w:lang w:eastAsia="lt-LT"/>
        </w:rPr>
        <w:t xml:space="preserve">- </w:t>
      </w:r>
      <w:r w:rsidR="00E3734A" w:rsidRPr="00C13759">
        <w:rPr>
          <w:rFonts w:eastAsia="Arial"/>
          <w:bCs/>
        </w:rPr>
        <w:t>0,95</w:t>
      </w:r>
      <w:r w:rsidR="00C92843">
        <w:rPr>
          <w:rFonts w:eastAsia="Arial"/>
          <w:bCs/>
        </w:rPr>
        <w:t>,</w:t>
      </w:r>
      <w:r w:rsidR="00E3734A" w:rsidRPr="00C13759">
        <w:rPr>
          <w:rFonts w:eastAsia="Arial"/>
          <w:bCs/>
        </w:rPr>
        <w:t xml:space="preserve"> p=0,0244</w:t>
      </w:r>
      <w:r w:rsidR="00E3734A" w:rsidRPr="007B544C">
        <w:rPr>
          <w:rFonts w:eastAsia="Arial"/>
          <w:bCs/>
        </w:rPr>
        <w:t xml:space="preserve">). </w:t>
      </w:r>
      <w:r w:rsidR="00AD4CEB" w:rsidRPr="007B544C">
        <w:rPr>
          <w:rFonts w:eastAsia="Arial"/>
          <w:bCs/>
        </w:rPr>
        <w:t>2022 m. kovo mėn. buvo išpublikuoti tyrimo ECHELON-2 duomenys po 5 metų stebėjimo. 5 metų</w:t>
      </w:r>
      <w:r w:rsidR="006B3FB4">
        <w:rPr>
          <w:rFonts w:eastAsia="Arial"/>
          <w:bCs/>
        </w:rPr>
        <w:t xml:space="preserve"> pacientų</w:t>
      </w:r>
      <w:r w:rsidR="00AD4CEB" w:rsidRPr="007B544C">
        <w:rPr>
          <w:rFonts w:eastAsia="Arial"/>
          <w:bCs/>
        </w:rPr>
        <w:t xml:space="preserve"> </w:t>
      </w:r>
      <w:proofErr w:type="spellStart"/>
      <w:r w:rsidR="00AD4CEB" w:rsidRPr="007B544C">
        <w:rPr>
          <w:rFonts w:eastAsia="Arial"/>
          <w:bCs/>
        </w:rPr>
        <w:t>išgyvenamumas</w:t>
      </w:r>
      <w:proofErr w:type="spellEnd"/>
      <w:r w:rsidR="00AD4CEB" w:rsidRPr="007B544C">
        <w:rPr>
          <w:rFonts w:eastAsia="Arial"/>
          <w:bCs/>
        </w:rPr>
        <w:t xml:space="preserve"> BV+CHP grupėje buvo </w:t>
      </w:r>
      <w:r w:rsidR="00AD4CEB" w:rsidRPr="007B544C">
        <w:rPr>
          <w:bCs/>
          <w:color w:val="212121"/>
          <w:shd w:val="clear" w:color="auto" w:fill="FFFFFF"/>
        </w:rPr>
        <w:t>70,1% (95% PI 63,3% - 75</w:t>
      </w:r>
      <w:r w:rsidR="00E3734A" w:rsidRPr="007B544C">
        <w:rPr>
          <w:bCs/>
          <w:color w:val="212121"/>
          <w:shd w:val="clear" w:color="auto" w:fill="FFFFFF"/>
        </w:rPr>
        <w:t>,</w:t>
      </w:r>
      <w:r w:rsidR="00AD4CEB" w:rsidRPr="007B544C">
        <w:rPr>
          <w:bCs/>
          <w:color w:val="212121"/>
          <w:shd w:val="clear" w:color="auto" w:fill="FFFFFF"/>
        </w:rPr>
        <w:t>9%) , o CHOP grupėje 61,0% (95% PI</w:t>
      </w:r>
      <w:r w:rsidR="00C57FF3" w:rsidRPr="007B544C">
        <w:rPr>
          <w:bCs/>
          <w:color w:val="212121"/>
          <w:shd w:val="clear" w:color="auto" w:fill="FFFFFF"/>
        </w:rPr>
        <w:t xml:space="preserve"> </w:t>
      </w:r>
      <w:r w:rsidR="00AD4CEB" w:rsidRPr="007B544C">
        <w:rPr>
          <w:bCs/>
          <w:color w:val="212121"/>
          <w:shd w:val="clear" w:color="auto" w:fill="FFFFFF"/>
        </w:rPr>
        <w:t>54,0% - 67,3%), RS 0,72 (95 % PI</w:t>
      </w:r>
      <w:r w:rsidR="00C57FF3" w:rsidRPr="007B544C">
        <w:rPr>
          <w:bCs/>
          <w:color w:val="212121"/>
          <w:shd w:val="clear" w:color="auto" w:fill="FFFFFF"/>
        </w:rPr>
        <w:t xml:space="preserve"> </w:t>
      </w:r>
      <w:r w:rsidR="00AD4CEB" w:rsidRPr="007B544C">
        <w:rPr>
          <w:bCs/>
          <w:color w:val="212121"/>
          <w:shd w:val="clear" w:color="auto" w:fill="FFFFFF"/>
        </w:rPr>
        <w:t>0</w:t>
      </w:r>
      <w:r w:rsidR="00C92843" w:rsidRPr="007B544C">
        <w:rPr>
          <w:bCs/>
          <w:color w:val="212121"/>
          <w:shd w:val="clear" w:color="auto" w:fill="FFFFFF"/>
        </w:rPr>
        <w:t>,</w:t>
      </w:r>
      <w:r w:rsidR="00AD4CEB" w:rsidRPr="007B544C">
        <w:rPr>
          <w:bCs/>
          <w:color w:val="212121"/>
          <w:shd w:val="clear" w:color="auto" w:fill="FFFFFF"/>
        </w:rPr>
        <w:t>53</w:t>
      </w:r>
      <w:r w:rsidR="00C92843" w:rsidRPr="007B544C">
        <w:rPr>
          <w:bCs/>
          <w:color w:val="212121"/>
          <w:shd w:val="clear" w:color="auto" w:fill="FFFFFF"/>
        </w:rPr>
        <w:t xml:space="preserve"> </w:t>
      </w:r>
      <w:r w:rsidR="00AD4CEB" w:rsidRPr="007B544C">
        <w:rPr>
          <w:bCs/>
          <w:color w:val="212121"/>
          <w:shd w:val="clear" w:color="auto" w:fill="FFFFFF"/>
        </w:rPr>
        <w:t>-</w:t>
      </w:r>
      <w:r w:rsidR="00C92843" w:rsidRPr="007B544C">
        <w:rPr>
          <w:bCs/>
          <w:color w:val="212121"/>
          <w:shd w:val="clear" w:color="auto" w:fill="FFFFFF"/>
        </w:rPr>
        <w:t xml:space="preserve"> </w:t>
      </w:r>
      <w:r w:rsidR="00AD4CEB" w:rsidRPr="007B544C">
        <w:rPr>
          <w:bCs/>
          <w:color w:val="212121"/>
          <w:shd w:val="clear" w:color="auto" w:fill="FFFFFF"/>
        </w:rPr>
        <w:t>0</w:t>
      </w:r>
      <w:r w:rsidR="00E3734A" w:rsidRPr="007B544C">
        <w:rPr>
          <w:bCs/>
          <w:color w:val="212121"/>
          <w:shd w:val="clear" w:color="auto" w:fill="FFFFFF"/>
        </w:rPr>
        <w:t>,</w:t>
      </w:r>
      <w:r w:rsidR="00AD4CEB" w:rsidRPr="007B544C">
        <w:rPr>
          <w:bCs/>
          <w:color w:val="212121"/>
          <w:shd w:val="clear" w:color="auto" w:fill="FFFFFF"/>
        </w:rPr>
        <w:t>99).</w:t>
      </w:r>
      <w:r w:rsidR="00C92843">
        <w:rPr>
          <w:bCs/>
          <w:color w:val="212121"/>
          <w:shd w:val="clear" w:color="auto" w:fill="FFFFFF"/>
        </w:rPr>
        <w:t xml:space="preserve"> Gyvenimo kokybės rezultatai statistiškai reikšmingai nesiskyrė nei BV</w:t>
      </w:r>
      <w:r w:rsidR="00C92843" w:rsidRPr="00C92843">
        <w:rPr>
          <w:bCs/>
          <w:color w:val="212121"/>
          <w:shd w:val="clear" w:color="auto" w:fill="FFFFFF"/>
        </w:rPr>
        <w:t>+CHP, n</w:t>
      </w:r>
      <w:r w:rsidR="00C92843">
        <w:rPr>
          <w:bCs/>
          <w:color w:val="212121"/>
          <w:shd w:val="clear" w:color="auto" w:fill="FFFFFF"/>
        </w:rPr>
        <w:t xml:space="preserve">ei CHOP gydymo grupėse. </w:t>
      </w:r>
    </w:p>
    <w:p w14:paraId="102A4252" w14:textId="29A6EF6D" w:rsidR="005A0D64" w:rsidRPr="00BD4F39" w:rsidRDefault="003537A7" w:rsidP="00C57FF3">
      <w:pPr>
        <w:tabs>
          <w:tab w:val="left" w:pos="426"/>
        </w:tabs>
        <w:spacing w:line="360" w:lineRule="auto"/>
        <w:jc w:val="both"/>
        <w:rPr>
          <w:rFonts w:eastAsia="Arial"/>
        </w:rPr>
      </w:pPr>
      <w:r>
        <w:rPr>
          <w:bCs/>
          <w:color w:val="212121"/>
          <w:shd w:val="clear" w:color="auto" w:fill="FFFFFF"/>
        </w:rPr>
        <w:tab/>
        <w:t xml:space="preserve">Vertinant </w:t>
      </w:r>
      <w:r w:rsidR="005A0D64">
        <w:rPr>
          <w:bCs/>
          <w:color w:val="212121"/>
          <w:shd w:val="clear" w:color="auto" w:fill="FFFFFF"/>
        </w:rPr>
        <w:t>palyginamąjį</w:t>
      </w:r>
      <w:r>
        <w:rPr>
          <w:bCs/>
          <w:color w:val="212121"/>
          <w:shd w:val="clear" w:color="auto" w:fill="FFFFFF"/>
        </w:rPr>
        <w:t xml:space="preserve"> saugumą, </w:t>
      </w:r>
      <w:r>
        <w:rPr>
          <w:rFonts w:eastAsia="Arial"/>
        </w:rPr>
        <w:t>g</w:t>
      </w:r>
      <w:r w:rsidR="00E3734A" w:rsidRPr="00C13759">
        <w:rPr>
          <w:rFonts w:eastAsia="Arial"/>
        </w:rPr>
        <w:t>ydymo</w:t>
      </w:r>
      <w:r w:rsidR="005A0D64">
        <w:rPr>
          <w:rFonts w:eastAsia="Arial"/>
        </w:rPr>
        <w:t xml:space="preserve"> </w:t>
      </w:r>
      <w:r w:rsidR="00E3734A" w:rsidRPr="00C13759">
        <w:rPr>
          <w:rFonts w:eastAsia="Arial"/>
        </w:rPr>
        <w:t>sukeltų nepageidaujamų re</w:t>
      </w:r>
      <w:r w:rsidR="00C57FF3">
        <w:rPr>
          <w:rFonts w:eastAsia="Arial"/>
        </w:rPr>
        <w:t>akcijų</w:t>
      </w:r>
      <w:r w:rsidR="00E3734A" w:rsidRPr="00C13759">
        <w:rPr>
          <w:rFonts w:eastAsia="Arial"/>
        </w:rPr>
        <w:t xml:space="preserve"> dažnis ir sunkumas panašus</w:t>
      </w:r>
      <w:r>
        <w:rPr>
          <w:rFonts w:eastAsia="Arial"/>
        </w:rPr>
        <w:t xml:space="preserve"> abiejose gydymo grupėse</w:t>
      </w:r>
      <w:r w:rsidR="00E3734A" w:rsidRPr="00C13759">
        <w:rPr>
          <w:rFonts w:eastAsia="Arial"/>
        </w:rPr>
        <w:t>. Buvo pranešta apie didesnį viduriavimo (bet kokio laipsnio) dažnį BV+CHP grupėje (85 [38%] pacientai) nei CHOP grupėje (46 [20%]). Dauguma (49 [58%] iš 85) viduriavimo atvejų BV+CHP grupėje buvo 1 laipsnio; likę atvejai buvo 2 laipsnio (23 [27 %]) ir 3 laipsnio (13 [15 %]). Kit</w:t>
      </w:r>
      <w:r w:rsidR="00AF7E9C">
        <w:rPr>
          <w:rFonts w:eastAsia="Arial"/>
        </w:rPr>
        <w:t>os</w:t>
      </w:r>
      <w:r w:rsidR="00E3734A" w:rsidRPr="00C13759">
        <w:rPr>
          <w:rFonts w:eastAsia="Arial"/>
        </w:rPr>
        <w:t xml:space="preserve"> su gydymu susij</w:t>
      </w:r>
      <w:r w:rsidR="00AF7E9C">
        <w:rPr>
          <w:rFonts w:eastAsia="Arial"/>
        </w:rPr>
        <w:t>usios</w:t>
      </w:r>
      <w:r w:rsidR="00E3734A" w:rsidRPr="00C13759">
        <w:rPr>
          <w:rFonts w:eastAsia="Arial"/>
        </w:rPr>
        <w:t xml:space="preserve"> bet kokio laipsnio nepageidaujam</w:t>
      </w:r>
      <w:r w:rsidR="00AF7E9C">
        <w:rPr>
          <w:rFonts w:eastAsia="Arial"/>
        </w:rPr>
        <w:t>os</w:t>
      </w:r>
      <w:r w:rsidR="00E3734A" w:rsidRPr="00C13759">
        <w:rPr>
          <w:rFonts w:eastAsia="Arial"/>
        </w:rPr>
        <w:t xml:space="preserve"> re</w:t>
      </w:r>
      <w:r w:rsidR="00AF7E9C">
        <w:rPr>
          <w:rFonts w:eastAsia="Arial"/>
        </w:rPr>
        <w:t>akcijos</w:t>
      </w:r>
      <w:r w:rsidR="00E3734A" w:rsidRPr="00C13759">
        <w:rPr>
          <w:rFonts w:eastAsia="Arial"/>
        </w:rPr>
        <w:t>, apie kuri</w:t>
      </w:r>
      <w:r w:rsidR="0024148F">
        <w:rPr>
          <w:rFonts w:eastAsia="Arial"/>
        </w:rPr>
        <w:t>as</w:t>
      </w:r>
      <w:r w:rsidR="00E3734A" w:rsidRPr="00C13759">
        <w:rPr>
          <w:rFonts w:eastAsia="Arial"/>
        </w:rPr>
        <w:t xml:space="preserve"> pranešta 20 % ar daugiau pacientų BV+CHP grupėje (palyginti su CHOP grupe), buvo pykinimas (103 [46 %] ir 87 [38 %]), periferinė sensorinė neuropatija (100 [45%] ir 92 [41%]), </w:t>
      </w:r>
      <w:proofErr w:type="spellStart"/>
      <w:r w:rsidR="00E3734A" w:rsidRPr="00C13759">
        <w:rPr>
          <w:rFonts w:eastAsia="Arial"/>
        </w:rPr>
        <w:t>neutropenija</w:t>
      </w:r>
      <w:proofErr w:type="spellEnd"/>
      <w:r w:rsidR="00E3734A" w:rsidRPr="00C13759">
        <w:rPr>
          <w:rFonts w:eastAsia="Arial"/>
        </w:rPr>
        <w:t xml:space="preserve"> (85 [38%] abiejuose), vidurių užkietėjimas (64 [29%] ir 67 [30%]), </w:t>
      </w:r>
      <w:proofErr w:type="spellStart"/>
      <w:r w:rsidR="00E3734A" w:rsidRPr="00C13759">
        <w:rPr>
          <w:rFonts w:eastAsia="Arial"/>
        </w:rPr>
        <w:t>alopecija</w:t>
      </w:r>
      <w:proofErr w:type="spellEnd"/>
      <w:r w:rsidR="00E3734A" w:rsidRPr="00C13759">
        <w:rPr>
          <w:rFonts w:eastAsia="Arial"/>
        </w:rPr>
        <w:t xml:space="preserve"> (58 [26%] ir 56 [25% ]), karščiavimas (58 [26 %] ir 42 [19</w:t>
      </w:r>
      <w:r w:rsidR="00C57FF3">
        <w:rPr>
          <w:rFonts w:eastAsia="Arial"/>
        </w:rPr>
        <w:t xml:space="preserve"> </w:t>
      </w:r>
      <w:r w:rsidR="00E3734A" w:rsidRPr="00C13759">
        <w:rPr>
          <w:rFonts w:eastAsia="Arial"/>
        </w:rPr>
        <w:t xml:space="preserve">%]), vėmimas (57 [26 %] ir 39 [17 %)], nuovargis (54 [24 %] ir 46 [20 %]) ir anemija (46 [21 %] ir 36 [16 %]).  </w:t>
      </w:r>
    </w:p>
    <w:p w14:paraId="605FAB86" w14:textId="04C4E24C" w:rsidR="005A0D64" w:rsidRDefault="005A0D64" w:rsidP="00C57FF3">
      <w:pPr>
        <w:tabs>
          <w:tab w:val="left" w:pos="426"/>
        </w:tabs>
        <w:spacing w:line="360" w:lineRule="auto"/>
        <w:jc w:val="both"/>
        <w:rPr>
          <w:rFonts w:eastAsia="Arial"/>
          <w:i/>
        </w:rPr>
      </w:pPr>
      <w:r w:rsidRPr="00BD4F39">
        <w:rPr>
          <w:rFonts w:eastAsia="Arial"/>
          <w:i/>
        </w:rPr>
        <w:t>Netiesioginis palyginimas</w:t>
      </w:r>
    </w:p>
    <w:p w14:paraId="642FFC19" w14:textId="69FAD60D" w:rsidR="005A0D64" w:rsidRPr="005A0D64" w:rsidRDefault="005A0D64" w:rsidP="00C57FF3">
      <w:pPr>
        <w:tabs>
          <w:tab w:val="left" w:pos="426"/>
        </w:tabs>
        <w:spacing w:line="360" w:lineRule="auto"/>
        <w:jc w:val="both"/>
        <w:rPr>
          <w:rFonts w:eastAsia="Arial"/>
          <w:bCs/>
        </w:rPr>
      </w:pPr>
      <w:r>
        <w:rPr>
          <w:rFonts w:eastAsia="Arial"/>
        </w:rPr>
        <w:t>Netiesioginio palyginimo tyrimo duomenų pateikta nebuvo.</w:t>
      </w:r>
    </w:p>
    <w:p w14:paraId="69D278DA" w14:textId="7843B6B5" w:rsidR="008B5F43" w:rsidRPr="00DC0109" w:rsidRDefault="008B5F43" w:rsidP="66B2306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4826E5DF" w:rsidR="00C62B36" w:rsidRPr="00434B5A" w:rsidRDefault="00C62B36" w:rsidP="00A93AA6">
      <w:pPr>
        <w:tabs>
          <w:tab w:val="left" w:pos="426"/>
        </w:tabs>
        <w:rPr>
          <w:i/>
          <w:sz w:val="22"/>
          <w:szCs w:val="22"/>
        </w:rPr>
      </w:pPr>
    </w:p>
    <w:p w14:paraId="1960A2FD" w14:textId="77777777" w:rsidR="002A1AC4" w:rsidRDefault="00EF2973" w:rsidP="00BD4F39">
      <w:pPr>
        <w:tabs>
          <w:tab w:val="left" w:pos="567"/>
        </w:tabs>
        <w:spacing w:line="360" w:lineRule="auto"/>
        <w:jc w:val="both"/>
        <w:rPr>
          <w:iCs/>
          <w:lang w:eastAsia="lt-LT"/>
        </w:rPr>
      </w:pPr>
      <w:r>
        <w:rPr>
          <w:bCs/>
          <w:color w:val="000000"/>
        </w:rPr>
        <w:tab/>
      </w:r>
      <w:r w:rsidR="00D54D68">
        <w:rPr>
          <w:bCs/>
        </w:rPr>
        <w:t xml:space="preserve"> </w:t>
      </w:r>
      <w:r w:rsidR="002A1AC4">
        <w:rPr>
          <w:iCs/>
          <w:lang w:eastAsia="lt-LT"/>
        </w:rPr>
        <w:t xml:space="preserve">Analizei pateikta kaštų naudingumo analizė BV+CHP kaštų naudingumą lyginant su CHOP, prieš tai negydyta sistemine </w:t>
      </w:r>
      <w:proofErr w:type="spellStart"/>
      <w:r w:rsidR="002A1AC4">
        <w:rPr>
          <w:iCs/>
          <w:lang w:eastAsia="lt-LT"/>
        </w:rPr>
        <w:t>anaplazine</w:t>
      </w:r>
      <w:proofErr w:type="spellEnd"/>
      <w:r w:rsidR="002A1AC4">
        <w:rPr>
          <w:iCs/>
          <w:lang w:eastAsia="lt-LT"/>
        </w:rPr>
        <w:t xml:space="preserve"> didelių ląstelių limfoma sergančių pacientų populiacijai. Analizėje remtasi ECHELON-2 klinikiniu tyrimu. Tarnyba po pirminio išsamaus vertinimo Pareiškėjui pateikė esminį prieštaravimą – pirminio vertinimo metu Pareiškėjas buvo netinkamai įvertinęs ligos naštą (naudoti diskontuoti </w:t>
      </w:r>
      <w:proofErr w:type="spellStart"/>
      <w:r w:rsidR="002A1AC4">
        <w:rPr>
          <w:iCs/>
          <w:lang w:eastAsia="lt-LT"/>
        </w:rPr>
        <w:t>QALY‘s</w:t>
      </w:r>
      <w:proofErr w:type="spellEnd"/>
      <w:r w:rsidR="002A1AC4">
        <w:rPr>
          <w:iCs/>
          <w:lang w:eastAsia="lt-LT"/>
        </w:rPr>
        <w:t xml:space="preserve">), kaip vidutinio sunkumo. Tarnybai atlikus ligos naštos perskaičiavimą pirminio vertinimo metu, ligos našta pateko į lengvos ligos naštos grupę – referentinė kaštų naudingumo vertė – 1 BVP. Atsakydamas į Tarnybos klausimus, Pareiškėjas pateikė atnaujintą ekonominę analizę su pakeistomis prielaidomis, kai kurioms iš jų Tarnyba pastabų neturėjo. Suprantama, jog tai buvo atliekama tikslingai siekiant norimo rezultato – vidutinio sunkumo ligos naštos įverčio. Pareiškėjo pateiktoje atnaujintoje analizėje, ligos našta įvertinama kaip vidutinio sunkumo. Vis dėlto, atnaujintoje analizėje ligos naštos įvertis gali svyruoti priklausomai nuo taikomų prielaidų (nors ligos našta po išsamaus Tarnybos atlikto vertinimo ir įvertinta kaip vidutinio sunkumo, tačiau šis įvertinimas yra ribinis, nes santykinis kokybiškos gyvenimo trukmės praradimas yra 0,51. </w:t>
      </w:r>
    </w:p>
    <w:p w14:paraId="2B59919D" w14:textId="77777777" w:rsidR="002A1AC4" w:rsidRDefault="002A1AC4" w:rsidP="00BD4F39">
      <w:pPr>
        <w:tabs>
          <w:tab w:val="left" w:pos="567"/>
        </w:tabs>
        <w:spacing w:line="360" w:lineRule="auto"/>
        <w:jc w:val="both"/>
        <w:rPr>
          <w:iCs/>
          <w:lang w:eastAsia="lt-LT"/>
        </w:rPr>
      </w:pPr>
      <w:r>
        <w:rPr>
          <w:iCs/>
          <w:lang w:eastAsia="lt-LT"/>
        </w:rPr>
        <w:t>Pateikiamos Tarnybos atnaujintos prielaidos:</w:t>
      </w:r>
    </w:p>
    <w:p w14:paraId="2633F560" w14:textId="77777777" w:rsidR="002A1AC4" w:rsidRDefault="002A1AC4" w:rsidP="00BD4F39">
      <w:pPr>
        <w:pStyle w:val="ListParagraph"/>
        <w:numPr>
          <w:ilvl w:val="0"/>
          <w:numId w:val="28"/>
        </w:numPr>
        <w:tabs>
          <w:tab w:val="left" w:pos="567"/>
        </w:tabs>
        <w:spacing w:line="360" w:lineRule="auto"/>
        <w:jc w:val="both"/>
        <w:rPr>
          <w:bCs/>
          <w:lang w:eastAsia="lt-LT"/>
        </w:rPr>
      </w:pPr>
      <w:r>
        <w:rPr>
          <w:bCs/>
          <w:lang w:eastAsia="lt-LT"/>
        </w:rPr>
        <w:t xml:space="preserve">Pirminio išsamaus vertinimo metu BI įvertinimui, kaip konservatyvi prielaida buvo taikoma </w:t>
      </w:r>
      <w:proofErr w:type="spellStart"/>
      <w:r>
        <w:rPr>
          <w:bCs/>
          <w:lang w:eastAsia="lt-LT"/>
        </w:rPr>
        <w:t>gen</w:t>
      </w:r>
      <w:proofErr w:type="spellEnd"/>
      <w:r>
        <w:rPr>
          <w:bCs/>
          <w:lang w:eastAsia="lt-LT"/>
        </w:rPr>
        <w:t xml:space="preserve"> </w:t>
      </w:r>
      <w:proofErr w:type="spellStart"/>
      <w:r>
        <w:rPr>
          <w:bCs/>
          <w:lang w:eastAsia="lt-LT"/>
        </w:rPr>
        <w:t>gamma</w:t>
      </w:r>
      <w:proofErr w:type="spellEnd"/>
      <w:r>
        <w:rPr>
          <w:bCs/>
          <w:lang w:eastAsia="lt-LT"/>
        </w:rPr>
        <w:t xml:space="preserve"> parametrinė funkcija. Po pirminio išsamaus vertinimo, Pareiškėjas pakeitė parametrinę funkciją BI įvertinimui į </w:t>
      </w:r>
      <w:proofErr w:type="spellStart"/>
      <w:r>
        <w:rPr>
          <w:bCs/>
          <w:lang w:eastAsia="lt-LT"/>
        </w:rPr>
        <w:t>log</w:t>
      </w:r>
      <w:proofErr w:type="spellEnd"/>
      <w:r>
        <w:rPr>
          <w:bCs/>
          <w:lang w:eastAsia="lt-LT"/>
        </w:rPr>
        <w:t xml:space="preserve"> </w:t>
      </w:r>
      <w:proofErr w:type="spellStart"/>
      <w:r>
        <w:rPr>
          <w:bCs/>
          <w:lang w:eastAsia="lt-LT"/>
        </w:rPr>
        <w:t>normal</w:t>
      </w:r>
      <w:proofErr w:type="spellEnd"/>
      <w:r>
        <w:rPr>
          <w:bCs/>
          <w:lang w:eastAsia="lt-LT"/>
        </w:rPr>
        <w:t xml:space="preserve"> (antrą tinkamiausią pagal AIC ir BIC, nes pirma – </w:t>
      </w:r>
      <w:proofErr w:type="spellStart"/>
      <w:r>
        <w:rPr>
          <w:bCs/>
          <w:lang w:eastAsia="lt-LT"/>
        </w:rPr>
        <w:t>gompertz</w:t>
      </w:r>
      <w:proofErr w:type="spellEnd"/>
      <w:r>
        <w:rPr>
          <w:bCs/>
          <w:lang w:eastAsia="lt-LT"/>
        </w:rPr>
        <w:t xml:space="preserve"> – yra netinkama ilgalaikiam BI įvertinimui), šitaip sumažindamas palyginamojo gydymo </w:t>
      </w:r>
      <w:proofErr w:type="spellStart"/>
      <w:r>
        <w:rPr>
          <w:bCs/>
          <w:lang w:eastAsia="lt-LT"/>
        </w:rPr>
        <w:t>QALY‘s</w:t>
      </w:r>
      <w:proofErr w:type="spellEnd"/>
      <w:r>
        <w:rPr>
          <w:bCs/>
          <w:lang w:eastAsia="lt-LT"/>
        </w:rPr>
        <w:t xml:space="preserve">. Vis dėlto, BIC skirtumas tarp </w:t>
      </w:r>
      <w:proofErr w:type="spellStart"/>
      <w:r>
        <w:rPr>
          <w:bCs/>
          <w:lang w:eastAsia="lt-LT"/>
        </w:rPr>
        <w:t>log</w:t>
      </w:r>
      <w:proofErr w:type="spellEnd"/>
      <w:r>
        <w:rPr>
          <w:bCs/>
          <w:lang w:eastAsia="lt-LT"/>
        </w:rPr>
        <w:t xml:space="preserve"> </w:t>
      </w:r>
      <w:proofErr w:type="spellStart"/>
      <w:r>
        <w:rPr>
          <w:bCs/>
          <w:lang w:eastAsia="lt-LT"/>
        </w:rPr>
        <w:t>normal</w:t>
      </w:r>
      <w:proofErr w:type="spellEnd"/>
      <w:r>
        <w:rPr>
          <w:bCs/>
          <w:lang w:eastAsia="lt-LT"/>
        </w:rPr>
        <w:t xml:space="preserve"> ir </w:t>
      </w:r>
      <w:proofErr w:type="spellStart"/>
      <w:r>
        <w:rPr>
          <w:bCs/>
          <w:lang w:eastAsia="lt-LT"/>
        </w:rPr>
        <w:t>gen</w:t>
      </w:r>
      <w:proofErr w:type="spellEnd"/>
      <w:r>
        <w:rPr>
          <w:bCs/>
          <w:lang w:eastAsia="lt-LT"/>
        </w:rPr>
        <w:t xml:space="preserve"> </w:t>
      </w:r>
      <w:proofErr w:type="spellStart"/>
      <w:r>
        <w:rPr>
          <w:bCs/>
          <w:lang w:eastAsia="lt-LT"/>
        </w:rPr>
        <w:t>gamma</w:t>
      </w:r>
      <w:proofErr w:type="spellEnd"/>
      <w:r>
        <w:rPr>
          <w:bCs/>
          <w:lang w:eastAsia="lt-LT"/>
        </w:rPr>
        <w:t xml:space="preserve"> yra nedidelis, o </w:t>
      </w:r>
      <w:proofErr w:type="spellStart"/>
      <w:r>
        <w:rPr>
          <w:bCs/>
          <w:lang w:eastAsia="lt-LT"/>
        </w:rPr>
        <w:t>gen</w:t>
      </w:r>
      <w:proofErr w:type="spellEnd"/>
      <w:r>
        <w:rPr>
          <w:bCs/>
          <w:lang w:eastAsia="lt-LT"/>
        </w:rPr>
        <w:t xml:space="preserve"> </w:t>
      </w:r>
      <w:proofErr w:type="spellStart"/>
      <w:r>
        <w:rPr>
          <w:bCs/>
          <w:lang w:eastAsia="lt-LT"/>
        </w:rPr>
        <w:t>gamma</w:t>
      </w:r>
      <w:proofErr w:type="spellEnd"/>
      <w:r>
        <w:rPr>
          <w:bCs/>
          <w:lang w:eastAsia="lt-LT"/>
        </w:rPr>
        <w:t xml:space="preserve"> funkcija buvo parekomenduota Pareiškėjo ekspertų tarybos. Todėl, pagrindinio atvejo analizėje Tarnyba pasirinko naudoti </w:t>
      </w:r>
      <w:proofErr w:type="spellStart"/>
      <w:r>
        <w:rPr>
          <w:bCs/>
          <w:lang w:eastAsia="lt-LT"/>
        </w:rPr>
        <w:t>gen</w:t>
      </w:r>
      <w:proofErr w:type="spellEnd"/>
      <w:r>
        <w:rPr>
          <w:bCs/>
          <w:lang w:eastAsia="lt-LT"/>
        </w:rPr>
        <w:t xml:space="preserve"> </w:t>
      </w:r>
      <w:proofErr w:type="spellStart"/>
      <w:r>
        <w:rPr>
          <w:bCs/>
          <w:lang w:eastAsia="lt-LT"/>
        </w:rPr>
        <w:t>gamma</w:t>
      </w:r>
      <w:proofErr w:type="spellEnd"/>
      <w:r>
        <w:rPr>
          <w:bCs/>
          <w:lang w:eastAsia="lt-LT"/>
        </w:rPr>
        <w:t xml:space="preserve"> funkciją ir </w:t>
      </w:r>
      <w:proofErr w:type="spellStart"/>
      <w:r>
        <w:rPr>
          <w:bCs/>
          <w:lang w:eastAsia="lt-LT"/>
        </w:rPr>
        <w:t>joint</w:t>
      </w:r>
      <w:proofErr w:type="spellEnd"/>
      <w:r>
        <w:rPr>
          <w:bCs/>
          <w:lang w:eastAsia="lt-LT"/>
        </w:rPr>
        <w:t xml:space="preserve"> </w:t>
      </w:r>
      <w:proofErr w:type="spellStart"/>
      <w:r>
        <w:rPr>
          <w:bCs/>
          <w:lang w:eastAsia="lt-LT"/>
        </w:rPr>
        <w:t>approach</w:t>
      </w:r>
      <w:proofErr w:type="spellEnd"/>
      <w:r>
        <w:rPr>
          <w:bCs/>
          <w:lang w:eastAsia="lt-LT"/>
        </w:rPr>
        <w:t xml:space="preserve"> ir BI ir IBLP įvertinimui.</w:t>
      </w:r>
    </w:p>
    <w:p w14:paraId="32592656" w14:textId="77777777" w:rsidR="002A1AC4" w:rsidRDefault="002A1AC4" w:rsidP="00BD4F39">
      <w:pPr>
        <w:pStyle w:val="ListParagraph"/>
        <w:numPr>
          <w:ilvl w:val="0"/>
          <w:numId w:val="28"/>
        </w:numPr>
        <w:tabs>
          <w:tab w:val="left" w:pos="567"/>
        </w:tabs>
        <w:spacing w:line="360" w:lineRule="auto"/>
        <w:jc w:val="both"/>
        <w:rPr>
          <w:bCs/>
          <w:lang w:eastAsia="lt-LT"/>
        </w:rPr>
      </w:pPr>
      <w:r>
        <w:rPr>
          <w:bCs/>
          <w:lang w:eastAsia="lt-LT"/>
        </w:rPr>
        <w:t xml:space="preserve"> Pareiškėjas teigia, jog pacientai, patiriantys ilgalaikę remisiją, tikėtina, jog turės trumpesnę gyvenimo trukmę, palyginus su to paties amžiaus ir lyties bendros populiacijos įverčiais – dėl </w:t>
      </w:r>
      <w:proofErr w:type="spellStart"/>
      <w:r>
        <w:rPr>
          <w:bCs/>
          <w:lang w:eastAsia="lt-LT"/>
        </w:rPr>
        <w:t>kardiotoksiškumo</w:t>
      </w:r>
      <w:proofErr w:type="spellEnd"/>
      <w:r>
        <w:rPr>
          <w:bCs/>
          <w:lang w:eastAsia="lt-LT"/>
        </w:rPr>
        <w:t xml:space="preserve"> ar antrinių piktybinių susirgimų tikimybės. Siekiant tai atspindėti, analizėje taikomas mirtingumo daugiklis 1,28  - 6,5 </w:t>
      </w:r>
      <w:r w:rsidRPr="00BD4F39">
        <w:rPr>
          <w:bCs/>
          <w:lang w:eastAsia="lt-LT"/>
        </w:rPr>
        <w:t xml:space="preserve">% </w:t>
      </w:r>
      <w:r>
        <w:rPr>
          <w:bCs/>
          <w:lang w:eastAsia="lt-LT"/>
        </w:rPr>
        <w:t xml:space="preserve">padidėjusi mirtingumo tikimybė (atnaujintoje analizėje). Tarnyba Pareiškėjo pakartotinai teiravosi dėl mirtingumo daugiklio pasirinkimo – prašydama pateikti pirminį šaltinį šios prielaidos pagrindimui. Pareiškėjas šaltinio nepateikė, o NICE tarnybos ekspertų vertinimas nėra laikomas tinkamu šaltiniu. Tarnyba sutinka, jog tikėtina, kad ilgalaikėje remisijoje esantys pacientai patirs didesnę mirtingumo riziką nei bendrosios populiacijos mirtingumas. Vis dėlto, klinikinių duomenų šios prielaidos pagrindimui Pareiškėjas nepateikė. Analizėje ilgalaikėje remisijoje esantiems pacientams pritaikius bendrosios populiacijos mirtingumą, palyginamojo gydymo </w:t>
      </w:r>
      <w:proofErr w:type="spellStart"/>
      <w:r>
        <w:rPr>
          <w:bCs/>
          <w:lang w:eastAsia="lt-LT"/>
        </w:rPr>
        <w:t>QALY‘s</w:t>
      </w:r>
      <w:proofErr w:type="spellEnd"/>
      <w:r>
        <w:rPr>
          <w:bCs/>
          <w:lang w:eastAsia="lt-LT"/>
        </w:rPr>
        <w:t xml:space="preserve"> reikšminga </w:t>
      </w:r>
      <w:r>
        <w:rPr>
          <w:bCs/>
          <w:lang w:eastAsia="lt-LT"/>
        </w:rPr>
        <w:lastRenderedPageBreak/>
        <w:t>padidėja ir ligos našta įvertinama kaip lengva. Pagrindinio atvejo analizei pasirinkta 3</w:t>
      </w:r>
      <w:r>
        <w:rPr>
          <w:bCs/>
          <w:lang w:val="en-US" w:eastAsia="lt-LT"/>
        </w:rPr>
        <w:t>%</w:t>
      </w:r>
      <w:r>
        <w:rPr>
          <w:bCs/>
          <w:lang w:eastAsia="lt-LT"/>
        </w:rPr>
        <w:t xml:space="preserve"> padidėjusi mirtingumo rizika </w:t>
      </w:r>
      <w:proofErr w:type="spellStart"/>
      <w:r>
        <w:rPr>
          <w:bCs/>
          <w:lang w:eastAsia="lt-LT"/>
        </w:rPr>
        <w:t>igalaikėje</w:t>
      </w:r>
      <w:proofErr w:type="spellEnd"/>
      <w:r>
        <w:rPr>
          <w:bCs/>
          <w:lang w:eastAsia="lt-LT"/>
        </w:rPr>
        <w:t xml:space="preserve"> remisijoje esantiems pacientams;</w:t>
      </w:r>
    </w:p>
    <w:p w14:paraId="21208F81" w14:textId="77777777" w:rsidR="002A1AC4" w:rsidRDefault="002A1AC4" w:rsidP="00BD4F39">
      <w:pPr>
        <w:pStyle w:val="ListParagraph"/>
        <w:numPr>
          <w:ilvl w:val="0"/>
          <w:numId w:val="28"/>
        </w:numPr>
        <w:tabs>
          <w:tab w:val="left" w:pos="567"/>
        </w:tabs>
        <w:spacing w:line="360" w:lineRule="auto"/>
        <w:jc w:val="both"/>
        <w:rPr>
          <w:bCs/>
          <w:lang w:eastAsia="lt-LT"/>
        </w:rPr>
      </w:pPr>
      <w:r>
        <w:rPr>
          <w:bCs/>
          <w:lang w:eastAsia="lt-LT"/>
        </w:rPr>
        <w:t xml:space="preserve"> Tarnyba pateikia skaičiavimą, taikydama 8 ciklų gydymo trukmę (pagal PCS rekomendacijas galima gydymo trukmė 6-8 ciklai);</w:t>
      </w:r>
    </w:p>
    <w:p w14:paraId="792E0EAB" w14:textId="77777777" w:rsidR="002A1AC4" w:rsidRPr="008E6275" w:rsidRDefault="002A1AC4" w:rsidP="00BD4F39">
      <w:pPr>
        <w:pStyle w:val="ListParagraph"/>
        <w:numPr>
          <w:ilvl w:val="0"/>
          <w:numId w:val="28"/>
        </w:numPr>
        <w:shd w:val="clear" w:color="auto" w:fill="FFFFFF"/>
        <w:tabs>
          <w:tab w:val="left" w:pos="567"/>
        </w:tabs>
        <w:spacing w:line="360" w:lineRule="auto"/>
        <w:jc w:val="both"/>
        <w:rPr>
          <w:rFonts w:eastAsia="Arial"/>
          <w:b/>
        </w:rPr>
      </w:pPr>
      <w:r w:rsidRPr="00641A1D">
        <w:rPr>
          <w:bCs/>
          <w:lang w:eastAsia="lt-LT"/>
        </w:rPr>
        <w:t xml:space="preserve"> Pirminio vertinimo metu nebuvo pilnai aišku, kokios gyvenimo kokybės vertės buvo naudotos analizėje, Tarnybai pasiteiravus, Pareiškėjas įvardino, jog </w:t>
      </w:r>
      <w:r>
        <w:rPr>
          <w:bCs/>
          <w:lang w:eastAsia="lt-LT"/>
        </w:rPr>
        <w:t xml:space="preserve">gyvenimo kokybė analizėje įvertinama pagal paciento sveikatos būklę (ligos būklė iki progresavimo ir po). Ligos būklės iki progresavimo vertės buvo naudojamos iš ECHELON-2 klinikinio tyrimo, o vertei po progresavimo naudojamas svertinis vidurkis iš </w:t>
      </w:r>
      <w:proofErr w:type="spellStart"/>
      <w:r>
        <w:rPr>
          <w:bCs/>
          <w:lang w:eastAsia="lt-LT"/>
        </w:rPr>
        <w:t>Swinburn</w:t>
      </w:r>
      <w:proofErr w:type="spellEnd"/>
      <w:r>
        <w:rPr>
          <w:bCs/>
          <w:lang w:eastAsia="lt-LT"/>
        </w:rPr>
        <w:t xml:space="preserve"> et al., 2015 publikacijos (ekspertai įvardino, jog progresavusios ligos būklės įverčiai, grįsti ECHELON-2 tyrimo duomenimis buvo kliniškai netinkami, todėl progresavusios ligos būklei pasirinktas kitas šaltinis gyvenimo kokybės įvertinimui). Tarnybos vertinimu gyvenimo kokybė tiksliau įvertinama naudojant laiko iki mirties metodą. Šis metodas pasirinktas pagrindinio atvejo analizei.</w:t>
      </w:r>
    </w:p>
    <w:p w14:paraId="76F5A8E9" w14:textId="36632682" w:rsidR="002A1AC4" w:rsidRPr="00BD4F39" w:rsidRDefault="005A0D64" w:rsidP="00BD4F39">
      <w:pPr>
        <w:shd w:val="clear" w:color="auto" w:fill="FFFFFF"/>
        <w:tabs>
          <w:tab w:val="left" w:pos="567"/>
        </w:tabs>
        <w:spacing w:line="360" w:lineRule="auto"/>
        <w:jc w:val="both"/>
        <w:rPr>
          <w:rFonts w:eastAsia="Arial"/>
        </w:rPr>
      </w:pPr>
      <w:r>
        <w:rPr>
          <w:rFonts w:eastAsia="Arial"/>
        </w:rPr>
        <w:tab/>
      </w:r>
      <w:r w:rsidR="002A1AC4" w:rsidRPr="008E6275">
        <w:rPr>
          <w:rFonts w:eastAsia="Arial"/>
        </w:rPr>
        <w:t>Pritaikius</w:t>
      </w:r>
      <w:r w:rsidR="002A1AC4">
        <w:rPr>
          <w:rFonts w:eastAsia="Arial"/>
        </w:rPr>
        <w:t xml:space="preserve"> šiuos pakeitimus analizėje bei atnaujinus kainas, ligos našta įvertinta kaip vidutinio  sunkumo (santykinis gyvenimo trukmės praradimas </w:t>
      </w:r>
      <w:r w:rsidR="002A1AC4" w:rsidRPr="00BD4F39">
        <w:rPr>
          <w:rFonts w:eastAsia="Arial"/>
        </w:rPr>
        <w:t>= 0,51). Taip pat, Tarnybos įvertintas ICER viršija referentinę kaštų naudingumo vertę (nežymiai), referentinė kaštų naudingumo vertė viršijama daugumoje atvejų ir ja</w:t>
      </w:r>
      <w:r w:rsidR="00EE2168">
        <w:rPr>
          <w:rFonts w:eastAsia="Arial"/>
        </w:rPr>
        <w:t>u</w:t>
      </w:r>
      <w:r w:rsidR="002A1AC4" w:rsidRPr="00BD4F39">
        <w:rPr>
          <w:rFonts w:eastAsia="Arial"/>
        </w:rPr>
        <w:t xml:space="preserve">trumo analizėje. Dėl šių priežasčių, Tarnyba vertina, jog </w:t>
      </w:r>
      <w:proofErr w:type="spellStart"/>
      <w:r w:rsidR="002A1AC4" w:rsidRPr="00BD4F39">
        <w:rPr>
          <w:rFonts w:eastAsia="Arial"/>
        </w:rPr>
        <w:t>brentuksimabas-vedotinas</w:t>
      </w:r>
      <w:proofErr w:type="spellEnd"/>
      <w:r w:rsidR="002A1AC4" w:rsidRPr="00BD4F39">
        <w:rPr>
          <w:rFonts w:eastAsia="Arial"/>
        </w:rPr>
        <w:t xml:space="preserve"> nėra kaštais efektyvus ir rekomenduoja kaštų </w:t>
      </w:r>
      <w:r w:rsidR="007B544C" w:rsidRPr="00BD4F39">
        <w:rPr>
          <w:rFonts w:eastAsia="Arial"/>
        </w:rPr>
        <w:t xml:space="preserve">naudingumą </w:t>
      </w:r>
      <w:r w:rsidR="002A1AC4" w:rsidRPr="00BD4F39">
        <w:rPr>
          <w:rFonts w:eastAsia="Arial"/>
        </w:rPr>
        <w:t>pagerinti sumažinus vaisto kainą.</w:t>
      </w:r>
    </w:p>
    <w:p w14:paraId="5B69A0EF" w14:textId="77777777" w:rsidR="00744F45" w:rsidRPr="00E33EFF" w:rsidRDefault="00744F45"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604CF5A0" w14:textId="77777777" w:rsidR="00B870CE" w:rsidRDefault="00B870C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BF36AB" w:rsidRPr="00E33EFF" w14:paraId="7A86FC72" w14:textId="77777777" w:rsidTr="00DA7FB0">
        <w:trPr>
          <w:trHeight w:val="344"/>
          <w:jc w:val="center"/>
        </w:trPr>
        <w:tc>
          <w:tcPr>
            <w:tcW w:w="9439" w:type="dxa"/>
            <w:gridSpan w:val="2"/>
            <w:tcBorders>
              <w:top w:val="single" w:sz="12" w:space="0" w:color="auto"/>
              <w:left w:val="single" w:sz="4" w:space="0" w:color="auto"/>
              <w:right w:val="single" w:sz="4" w:space="0" w:color="auto"/>
            </w:tcBorders>
            <w:vAlign w:val="center"/>
          </w:tcPr>
          <w:p w14:paraId="4D6D70A3" w14:textId="77777777" w:rsidR="00BF36AB" w:rsidRPr="00E33EFF" w:rsidRDefault="00BF36AB" w:rsidP="00DA7FB0">
            <w:pPr>
              <w:tabs>
                <w:tab w:val="left" w:pos="567"/>
              </w:tabs>
              <w:jc w:val="center"/>
              <w:rPr>
                <w:b/>
                <w:bCs/>
                <w:sz w:val="26"/>
                <w:szCs w:val="26"/>
                <w:lang w:eastAsia="lt-LT"/>
              </w:rPr>
            </w:pPr>
            <w:r w:rsidRPr="00E33EFF">
              <w:rPr>
                <w:b/>
                <w:bCs/>
                <w:sz w:val="26"/>
                <w:szCs w:val="26"/>
                <w:lang w:eastAsia="lt-LT"/>
              </w:rPr>
              <w:t>Rezultatai</w:t>
            </w:r>
          </w:p>
        </w:tc>
      </w:tr>
      <w:tr w:rsidR="00BF36AB" w:rsidRPr="00E33EFF" w14:paraId="61D94D36" w14:textId="77777777" w:rsidTr="00BF36AB">
        <w:trPr>
          <w:trHeight w:val="267"/>
          <w:jc w:val="center"/>
        </w:trPr>
        <w:tc>
          <w:tcPr>
            <w:tcW w:w="6200" w:type="dxa"/>
            <w:tcBorders>
              <w:left w:val="single" w:sz="4" w:space="0" w:color="auto"/>
            </w:tcBorders>
          </w:tcPr>
          <w:p w14:paraId="278F9C73" w14:textId="77777777" w:rsidR="00BF36AB" w:rsidRPr="00E33EFF" w:rsidRDefault="00BF36AB" w:rsidP="00DA7FB0">
            <w:pPr>
              <w:tabs>
                <w:tab w:val="left" w:pos="567"/>
              </w:tabs>
              <w:jc w:val="right"/>
              <w:rPr>
                <w:iCs/>
                <w:lang w:eastAsia="lt-LT"/>
              </w:rPr>
            </w:pPr>
            <w:r w:rsidRPr="00E33EFF">
              <w:rPr>
                <w:iCs/>
                <w:lang w:eastAsia="lt-LT"/>
              </w:rPr>
              <w:t>Kaštų skirtumas</w:t>
            </w:r>
          </w:p>
        </w:tc>
        <w:tc>
          <w:tcPr>
            <w:tcW w:w="3239" w:type="dxa"/>
            <w:tcBorders>
              <w:right w:val="single" w:sz="4" w:space="0" w:color="auto"/>
            </w:tcBorders>
          </w:tcPr>
          <w:p w14:paraId="4B71A525" w14:textId="25904AC9" w:rsidR="00BF36AB" w:rsidRPr="00E33EFF" w:rsidRDefault="00054D0A" w:rsidP="00AD0174">
            <w:pPr>
              <w:tabs>
                <w:tab w:val="left" w:pos="567"/>
              </w:tabs>
              <w:jc w:val="center"/>
              <w:rPr>
                <w:i/>
                <w:iCs/>
                <w:lang w:eastAsia="lt-LT"/>
              </w:rPr>
            </w:pPr>
            <w:r>
              <w:rPr>
                <w:i/>
                <w:iCs/>
                <w:lang w:eastAsia="lt-LT"/>
              </w:rPr>
              <w:t>*******</w:t>
            </w:r>
            <w:r w:rsidR="002A1AC4">
              <w:rPr>
                <w:i/>
                <w:iCs/>
                <w:lang w:eastAsia="lt-LT"/>
              </w:rPr>
              <w:t xml:space="preserve"> </w:t>
            </w:r>
            <w:proofErr w:type="spellStart"/>
            <w:r w:rsidR="002A1AC4">
              <w:rPr>
                <w:i/>
                <w:iCs/>
                <w:lang w:eastAsia="lt-LT"/>
              </w:rPr>
              <w:t>Eur</w:t>
            </w:r>
            <w:proofErr w:type="spellEnd"/>
          </w:p>
        </w:tc>
      </w:tr>
      <w:tr w:rsidR="00BF36AB" w:rsidRPr="00E33EFF" w14:paraId="56C5E267" w14:textId="77777777" w:rsidTr="00BF36AB">
        <w:trPr>
          <w:trHeight w:val="267"/>
          <w:jc w:val="center"/>
        </w:trPr>
        <w:tc>
          <w:tcPr>
            <w:tcW w:w="6200" w:type="dxa"/>
            <w:tcBorders>
              <w:left w:val="single" w:sz="4" w:space="0" w:color="auto"/>
            </w:tcBorders>
          </w:tcPr>
          <w:p w14:paraId="7F74EBD4" w14:textId="77777777" w:rsidR="00BF36AB" w:rsidRPr="00E33EFF" w:rsidRDefault="00BF36AB" w:rsidP="00DA7FB0">
            <w:pPr>
              <w:tabs>
                <w:tab w:val="left" w:pos="567"/>
              </w:tabs>
              <w:jc w:val="right"/>
              <w:rPr>
                <w:iCs/>
                <w:lang w:eastAsia="lt-LT"/>
              </w:rPr>
            </w:pPr>
            <w:r w:rsidRPr="00E33EFF">
              <w:rPr>
                <w:iCs/>
                <w:lang w:eastAsia="lt-LT"/>
              </w:rPr>
              <w:t>Papildomi kokybiški gyvenimo metai (QALY)</w:t>
            </w:r>
          </w:p>
        </w:tc>
        <w:tc>
          <w:tcPr>
            <w:tcW w:w="3239" w:type="dxa"/>
            <w:tcBorders>
              <w:right w:val="single" w:sz="4" w:space="0" w:color="auto"/>
            </w:tcBorders>
          </w:tcPr>
          <w:p w14:paraId="43881622" w14:textId="6DA2E79D" w:rsidR="00BF36AB" w:rsidRPr="00E33EFF" w:rsidRDefault="00054D0A" w:rsidP="00AD0174">
            <w:pPr>
              <w:tabs>
                <w:tab w:val="left" w:pos="567"/>
              </w:tabs>
              <w:jc w:val="center"/>
              <w:rPr>
                <w:i/>
                <w:iCs/>
                <w:lang w:eastAsia="lt-LT"/>
              </w:rPr>
            </w:pPr>
            <w:r>
              <w:rPr>
                <w:i/>
                <w:iCs/>
                <w:lang w:eastAsia="lt-LT"/>
              </w:rPr>
              <w:t>*******</w:t>
            </w:r>
            <w:r>
              <w:rPr>
                <w:i/>
                <w:iCs/>
                <w:lang w:eastAsia="lt-LT"/>
              </w:rPr>
              <w:t xml:space="preserve"> </w:t>
            </w:r>
            <w:proofErr w:type="spellStart"/>
            <w:r w:rsidR="002A1AC4">
              <w:rPr>
                <w:i/>
                <w:iCs/>
                <w:lang w:eastAsia="lt-LT"/>
              </w:rPr>
              <w:t>QALY‘s</w:t>
            </w:r>
            <w:proofErr w:type="spellEnd"/>
          </w:p>
        </w:tc>
      </w:tr>
      <w:tr w:rsidR="00BF36AB" w:rsidRPr="00E33EFF" w14:paraId="72A03687" w14:textId="77777777" w:rsidTr="00BF36AB">
        <w:trPr>
          <w:trHeight w:val="267"/>
          <w:jc w:val="center"/>
        </w:trPr>
        <w:tc>
          <w:tcPr>
            <w:tcW w:w="6200" w:type="dxa"/>
            <w:tcBorders>
              <w:left w:val="single" w:sz="4" w:space="0" w:color="auto"/>
            </w:tcBorders>
          </w:tcPr>
          <w:p w14:paraId="0E965D4F" w14:textId="77777777" w:rsidR="00BF36AB" w:rsidRPr="00E33EFF" w:rsidRDefault="00BF36AB" w:rsidP="00DA7FB0">
            <w:pPr>
              <w:tabs>
                <w:tab w:val="left" w:pos="567"/>
              </w:tabs>
              <w:jc w:val="right"/>
              <w:rPr>
                <w:iCs/>
                <w:lang w:eastAsia="lt-LT"/>
              </w:rPr>
            </w:pPr>
            <w:r w:rsidRPr="00E33EFF">
              <w:rPr>
                <w:iCs/>
                <w:lang w:eastAsia="lt-LT"/>
              </w:rPr>
              <w:t>ICER už QALY</w:t>
            </w:r>
          </w:p>
        </w:tc>
        <w:tc>
          <w:tcPr>
            <w:tcW w:w="3239" w:type="dxa"/>
            <w:tcBorders>
              <w:right w:val="single" w:sz="4" w:space="0" w:color="auto"/>
            </w:tcBorders>
          </w:tcPr>
          <w:p w14:paraId="39865CBB" w14:textId="336CFF9C" w:rsidR="00BF36AB" w:rsidRPr="00E33EFF" w:rsidRDefault="00054D0A" w:rsidP="00AD0174">
            <w:pPr>
              <w:tabs>
                <w:tab w:val="left" w:pos="567"/>
              </w:tabs>
              <w:jc w:val="center"/>
              <w:rPr>
                <w:i/>
                <w:iCs/>
                <w:lang w:eastAsia="lt-LT"/>
              </w:rPr>
            </w:pPr>
            <w:r>
              <w:rPr>
                <w:i/>
                <w:iCs/>
                <w:lang w:eastAsia="lt-LT"/>
              </w:rPr>
              <w:t>*******</w:t>
            </w:r>
            <w:proofErr w:type="spellStart"/>
            <w:r w:rsidR="002A1AC4">
              <w:rPr>
                <w:i/>
                <w:iCs/>
                <w:lang w:eastAsia="lt-LT"/>
              </w:rPr>
              <w:t>Eur</w:t>
            </w:r>
            <w:proofErr w:type="spellEnd"/>
            <w:r w:rsidR="002A1AC4">
              <w:rPr>
                <w:i/>
                <w:iCs/>
                <w:lang w:eastAsia="lt-LT"/>
              </w:rPr>
              <w:t>/QALY</w:t>
            </w:r>
          </w:p>
        </w:tc>
      </w:tr>
      <w:tr w:rsidR="00BF36AB" w:rsidRPr="00E33EFF" w14:paraId="6C8D6009" w14:textId="77777777" w:rsidTr="00BF36AB">
        <w:trPr>
          <w:trHeight w:val="267"/>
          <w:jc w:val="center"/>
        </w:trPr>
        <w:tc>
          <w:tcPr>
            <w:tcW w:w="6200" w:type="dxa"/>
            <w:tcBorders>
              <w:left w:val="single" w:sz="4" w:space="0" w:color="auto"/>
              <w:bottom w:val="single" w:sz="4" w:space="0" w:color="auto"/>
              <w:right w:val="single" w:sz="4" w:space="0" w:color="auto"/>
            </w:tcBorders>
          </w:tcPr>
          <w:p w14:paraId="0758D13B" w14:textId="77777777" w:rsidR="00BF36AB" w:rsidRPr="00E33EFF" w:rsidRDefault="00BF36AB" w:rsidP="00DA7FB0">
            <w:pPr>
              <w:tabs>
                <w:tab w:val="left" w:pos="567"/>
              </w:tabs>
              <w:jc w:val="right"/>
              <w:rPr>
                <w:iCs/>
                <w:lang w:eastAsia="lt-LT"/>
              </w:rPr>
            </w:pPr>
            <w:r w:rsidRPr="00E33EFF">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755F8565" w14:textId="01F424C5" w:rsidR="00BF36AB" w:rsidRPr="00E33EFF" w:rsidRDefault="00054D0A" w:rsidP="00AD0174">
            <w:pPr>
              <w:tabs>
                <w:tab w:val="left" w:pos="567"/>
              </w:tabs>
              <w:jc w:val="center"/>
              <w:rPr>
                <w:i/>
                <w:iCs/>
                <w:lang w:eastAsia="lt-LT"/>
              </w:rPr>
            </w:pPr>
            <w:r>
              <w:rPr>
                <w:i/>
                <w:iCs/>
                <w:lang w:eastAsia="lt-LT"/>
              </w:rPr>
              <w:t>*******</w:t>
            </w:r>
            <w:r>
              <w:rPr>
                <w:i/>
                <w:iCs/>
                <w:lang w:eastAsia="lt-LT"/>
              </w:rPr>
              <w:t xml:space="preserve"> </w:t>
            </w:r>
            <w:bookmarkStart w:id="0" w:name="_GoBack"/>
            <w:bookmarkEnd w:id="0"/>
            <w:proofErr w:type="spellStart"/>
            <w:r w:rsidR="002A1AC4">
              <w:rPr>
                <w:i/>
                <w:iCs/>
                <w:lang w:eastAsia="lt-LT"/>
              </w:rPr>
              <w:t>Eur</w:t>
            </w:r>
            <w:proofErr w:type="spellEnd"/>
            <w:r w:rsidR="002A1AC4">
              <w:rPr>
                <w:i/>
                <w:iCs/>
                <w:lang w:eastAsia="lt-LT"/>
              </w:rPr>
              <w:t>/QALY</w:t>
            </w:r>
          </w:p>
        </w:tc>
      </w:tr>
    </w:tbl>
    <w:p w14:paraId="06AA2C4A" w14:textId="6AB3F564" w:rsidR="00BF36AB" w:rsidRPr="00E33EFF" w:rsidRDefault="00BF36AB" w:rsidP="00BF36AB">
      <w:pPr>
        <w:tabs>
          <w:tab w:val="left" w:pos="567"/>
        </w:tabs>
        <w:jc w:val="both"/>
        <w:rPr>
          <w:iCs/>
          <w:sz w:val="20"/>
          <w:lang w:eastAsia="lt-LT"/>
        </w:rPr>
      </w:pPr>
      <w:r w:rsidRPr="00E33EFF">
        <w:rPr>
          <w:iCs/>
          <w:sz w:val="20"/>
          <w:lang w:eastAsia="lt-LT"/>
        </w:rPr>
        <w:t>ICER – (</w:t>
      </w:r>
      <w:r w:rsidRPr="00E33EFF">
        <w:rPr>
          <w:i/>
          <w:sz w:val="20"/>
          <w:lang w:eastAsia="lt-LT"/>
        </w:rPr>
        <w:t xml:space="preserve">angl. </w:t>
      </w:r>
      <w:proofErr w:type="spellStart"/>
      <w:r w:rsidRPr="00E33EFF">
        <w:rPr>
          <w:i/>
          <w:sz w:val="20"/>
          <w:lang w:eastAsia="lt-LT"/>
        </w:rPr>
        <w:t>incremental</w:t>
      </w:r>
      <w:proofErr w:type="spellEnd"/>
      <w:r w:rsidRPr="00E33EFF">
        <w:rPr>
          <w:i/>
          <w:sz w:val="20"/>
          <w:lang w:eastAsia="lt-LT"/>
        </w:rPr>
        <w:t xml:space="preserve"> </w:t>
      </w:r>
      <w:proofErr w:type="spellStart"/>
      <w:r w:rsidRPr="00E33EFF">
        <w:rPr>
          <w:i/>
          <w:sz w:val="20"/>
          <w:lang w:eastAsia="lt-LT"/>
        </w:rPr>
        <w:t>cost-effectiveness</w:t>
      </w:r>
      <w:proofErr w:type="spellEnd"/>
      <w:r w:rsidRPr="00E33EFF">
        <w:rPr>
          <w:i/>
          <w:sz w:val="20"/>
          <w:lang w:eastAsia="lt-LT"/>
        </w:rPr>
        <w:t xml:space="preserve"> </w:t>
      </w:r>
      <w:proofErr w:type="spellStart"/>
      <w:r w:rsidRPr="00E33EFF">
        <w:rPr>
          <w:i/>
          <w:sz w:val="20"/>
          <w:lang w:eastAsia="lt-LT"/>
        </w:rPr>
        <w:t>ratio</w:t>
      </w:r>
      <w:proofErr w:type="spellEnd"/>
      <w:r w:rsidRPr="00E33EFF">
        <w:rPr>
          <w:iCs/>
          <w:sz w:val="20"/>
          <w:lang w:eastAsia="lt-LT"/>
        </w:rPr>
        <w:t xml:space="preserve">) </w:t>
      </w:r>
      <w:proofErr w:type="spellStart"/>
      <w:r w:rsidRPr="00E33EFF">
        <w:rPr>
          <w:iCs/>
          <w:sz w:val="20"/>
          <w:lang w:eastAsia="lt-LT"/>
        </w:rPr>
        <w:t>inkrementinis</w:t>
      </w:r>
      <w:proofErr w:type="spellEnd"/>
      <w:r w:rsidRPr="00E33EFF">
        <w:rPr>
          <w:iCs/>
          <w:sz w:val="20"/>
          <w:lang w:eastAsia="lt-LT"/>
        </w:rPr>
        <w:t xml:space="preserve"> kaštų naudingumo koeficientas; QALY- (</w:t>
      </w:r>
      <w:r w:rsidRPr="00E33EFF">
        <w:rPr>
          <w:i/>
          <w:sz w:val="20"/>
          <w:lang w:eastAsia="lt-LT"/>
        </w:rPr>
        <w:t xml:space="preserve">angl. </w:t>
      </w:r>
      <w:proofErr w:type="spellStart"/>
      <w:r w:rsidRPr="00E33EFF">
        <w:rPr>
          <w:i/>
          <w:sz w:val="20"/>
          <w:lang w:eastAsia="lt-LT"/>
        </w:rPr>
        <w:t>quality</w:t>
      </w:r>
      <w:proofErr w:type="spellEnd"/>
      <w:r w:rsidRPr="00E33EFF">
        <w:rPr>
          <w:i/>
          <w:sz w:val="20"/>
          <w:lang w:eastAsia="lt-LT"/>
        </w:rPr>
        <w:t xml:space="preserve"> </w:t>
      </w:r>
      <w:proofErr w:type="spellStart"/>
      <w:r w:rsidRPr="00E33EFF">
        <w:rPr>
          <w:i/>
          <w:sz w:val="20"/>
          <w:lang w:eastAsia="lt-LT"/>
        </w:rPr>
        <w:t>adjusted</w:t>
      </w:r>
      <w:proofErr w:type="spellEnd"/>
      <w:r w:rsidRPr="00E33EFF">
        <w:rPr>
          <w:i/>
          <w:sz w:val="20"/>
          <w:lang w:eastAsia="lt-LT"/>
        </w:rPr>
        <w:t xml:space="preserve"> </w:t>
      </w:r>
      <w:proofErr w:type="spellStart"/>
      <w:r w:rsidRPr="00E33EFF">
        <w:rPr>
          <w:i/>
          <w:sz w:val="20"/>
          <w:lang w:eastAsia="lt-LT"/>
        </w:rPr>
        <w:t>life</w:t>
      </w:r>
      <w:proofErr w:type="spellEnd"/>
      <w:r w:rsidRPr="00E33EFF">
        <w:rPr>
          <w:i/>
          <w:sz w:val="20"/>
          <w:lang w:eastAsia="lt-LT"/>
        </w:rPr>
        <w:t xml:space="preserve"> </w:t>
      </w:r>
      <w:proofErr w:type="spellStart"/>
      <w:r w:rsidRPr="00E33EFF">
        <w:rPr>
          <w:i/>
          <w:sz w:val="20"/>
          <w:lang w:eastAsia="lt-LT"/>
        </w:rPr>
        <w:t>years</w:t>
      </w:r>
      <w:proofErr w:type="spellEnd"/>
      <w:r w:rsidRPr="00E33EFF">
        <w:rPr>
          <w:i/>
          <w:sz w:val="20"/>
          <w:lang w:eastAsia="lt-LT"/>
        </w:rPr>
        <w:t xml:space="preserve">) </w:t>
      </w:r>
      <w:r w:rsidRPr="00E33EFF">
        <w:rPr>
          <w:iCs/>
          <w:sz w:val="20"/>
          <w:lang w:eastAsia="lt-LT"/>
        </w:rPr>
        <w:t>kokybiški gyvenimo metai.</w:t>
      </w:r>
    </w:p>
    <w:p w14:paraId="2B900719" w14:textId="77777777" w:rsidR="00B870CE" w:rsidRPr="00E33EFF" w:rsidRDefault="00B870CE" w:rsidP="00A93AA6">
      <w:pPr>
        <w:tabs>
          <w:tab w:val="left" w:pos="426"/>
        </w:tabs>
        <w:rPr>
          <w:b/>
          <w:lang w:eastAsia="lt-LT"/>
        </w:rPr>
      </w:pPr>
    </w:p>
    <w:p w14:paraId="4FC424F9" w14:textId="4E767245" w:rsidR="00C62B36" w:rsidRPr="00964286" w:rsidRDefault="00C62B36" w:rsidP="00CC09D4">
      <w:pPr>
        <w:pStyle w:val="ListParagraph"/>
        <w:numPr>
          <w:ilvl w:val="0"/>
          <w:numId w:val="12"/>
        </w:numPr>
        <w:tabs>
          <w:tab w:val="left" w:pos="567"/>
        </w:tabs>
        <w:ind w:hanging="720"/>
        <w:rPr>
          <w:b/>
          <w:bCs/>
          <w:caps/>
        </w:rPr>
      </w:pPr>
      <w:r w:rsidRPr="00964286">
        <w:rPr>
          <w:b/>
          <w:bCs/>
          <w:caps/>
        </w:rPr>
        <w:t xml:space="preserve">Pacientų organizacijų pateikti duomenys </w:t>
      </w:r>
    </w:p>
    <w:p w14:paraId="79BCFF40" w14:textId="696D9AED" w:rsidR="00937907" w:rsidRPr="00E33EFF" w:rsidRDefault="00054D0A"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8035F9">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19A5FDA4" w:rsidR="00937907" w:rsidRPr="00E33EFF" w:rsidRDefault="00054D0A"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9E08BF">
            <w:rPr>
              <w:rStyle w:val="Style2"/>
              <w:rFonts w:ascii="MS Gothic" w:eastAsia="MS Gothic" w:hAnsi="MS Gothic" w:hint="eastAsia"/>
              <w:sz w:val="24"/>
            </w:rPr>
            <w:t>☒</w:t>
          </w:r>
        </w:sdtContent>
      </w:sdt>
      <w:r w:rsidR="00937907" w:rsidRPr="00E33EFF">
        <w:t xml:space="preserve"> </w:t>
      </w:r>
      <w:r w:rsidR="00937907" w:rsidRPr="0055320D">
        <w:t xml:space="preserve">Pacientų organizacijos pozicija </w:t>
      </w:r>
      <w:r w:rsidR="00880A44" w:rsidRPr="0055320D">
        <w:t>ne</w:t>
      </w:r>
      <w:r w:rsidR="00937907" w:rsidRPr="0055320D">
        <w:t>pateikta.</w:t>
      </w:r>
    </w:p>
    <w:p w14:paraId="03E73D82" w14:textId="77777777" w:rsidR="00D417D2" w:rsidRPr="00E33EFF" w:rsidRDefault="00D417D2" w:rsidP="00937907">
      <w:pPr>
        <w:spacing w:after="120"/>
        <w:jc w:val="both"/>
      </w:pPr>
    </w:p>
    <w:p w14:paraId="3D3277FA" w14:textId="3CEEB2D2" w:rsidR="00C62B36" w:rsidRPr="000E5CD8" w:rsidRDefault="00C62B36" w:rsidP="00CC09D4">
      <w:pPr>
        <w:pStyle w:val="ListParagraph"/>
        <w:numPr>
          <w:ilvl w:val="0"/>
          <w:numId w:val="12"/>
        </w:numPr>
        <w:tabs>
          <w:tab w:val="left" w:pos="567"/>
        </w:tabs>
        <w:ind w:hanging="720"/>
        <w:rPr>
          <w:b/>
          <w:bCs/>
          <w:caps/>
        </w:rPr>
      </w:pPr>
      <w:r w:rsidRPr="000E5CD8">
        <w:rPr>
          <w:b/>
          <w:bCs/>
          <w:caps/>
        </w:rPr>
        <w:t>Gydytojų organizacijų pateikti duomenys</w:t>
      </w:r>
    </w:p>
    <w:p w14:paraId="389A346C" w14:textId="14C79E4A" w:rsidR="00937907" w:rsidRPr="0055320D" w:rsidRDefault="00054D0A" w:rsidP="00662983">
      <w:pPr>
        <w:spacing w:after="120"/>
        <w:jc w:val="both"/>
        <w:rPr>
          <w:lang w:val="en-US"/>
        </w:rPr>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8514DF">
            <w:rPr>
              <w:rStyle w:val="Style2"/>
              <w:rFonts w:ascii="MS Gothic" w:eastAsia="MS Gothic" w:hAnsi="MS Gothic" w:hint="eastAsia"/>
              <w:sz w:val="24"/>
            </w:rPr>
            <w:t>☐</w:t>
          </w:r>
        </w:sdtContent>
      </w:sdt>
      <w:r w:rsidR="00662983" w:rsidRPr="00E33EFF">
        <w:t xml:space="preserve"> </w:t>
      </w:r>
      <w:r w:rsidR="00937907" w:rsidRPr="0055320D">
        <w:t xml:space="preserve">Gydytojų specialistų organizacijos pozicija pateikta. </w:t>
      </w:r>
    </w:p>
    <w:p w14:paraId="5D8CC48C" w14:textId="41145B9F" w:rsidR="00662983" w:rsidRPr="00E33EFF" w:rsidRDefault="00054D0A"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8514DF" w:rsidRPr="0055320D">
            <w:rPr>
              <w:rStyle w:val="Style2"/>
              <w:rFonts w:ascii="MS Gothic" w:eastAsia="MS Gothic" w:hAnsi="MS Gothic" w:hint="eastAsia"/>
              <w:sz w:val="24"/>
            </w:rPr>
            <w:t>☒</w:t>
          </w:r>
        </w:sdtContent>
      </w:sdt>
      <w:r w:rsidR="00662983" w:rsidRPr="0055320D">
        <w:t xml:space="preserve"> </w:t>
      </w:r>
      <w:r w:rsidR="00937907" w:rsidRPr="0055320D">
        <w:t xml:space="preserve">Gydytojų specialistų organizacijos pozicija </w:t>
      </w:r>
      <w:r w:rsidR="00880A44" w:rsidRPr="0055320D">
        <w:t>ne</w:t>
      </w:r>
      <w:r w:rsidR="00937907" w:rsidRPr="0055320D">
        <w:t>pateikta.</w:t>
      </w:r>
    </w:p>
    <w:p w14:paraId="186B6FDA" w14:textId="77777777" w:rsidR="00093A6A" w:rsidRPr="00E33EFF" w:rsidRDefault="00093A6A"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08D5B3B6" w14:textId="4B19EB3F" w:rsidR="0061611B" w:rsidRPr="00E33EFF" w:rsidRDefault="0061611B"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489643EF" w:rsidR="00B13D65" w:rsidRPr="00E33EFF" w:rsidRDefault="00054D0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0E4FB6">
                  <w:rPr>
                    <w:rStyle w:val="Style2"/>
                    <w:rFonts w:ascii="MS Gothic" w:eastAsia="MS Gothic" w:hAnsi="MS Gothic" w:hint="eastAsia"/>
                    <w:sz w:val="24"/>
                  </w:rPr>
                  <w:t>☒</w:t>
                </w:r>
              </w:sdtContent>
            </w:sdt>
            <w:r w:rsidR="00B13D65" w:rsidRPr="00E33EFF">
              <w:t xml:space="preserve"> 32.1. yra didesnis</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02B40CD" w:rsidR="00B13D65" w:rsidRPr="00E33EFF" w:rsidRDefault="00054D0A"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0E4FB6">
                  <w:rPr>
                    <w:rStyle w:val="Style2"/>
                    <w:rFonts w:ascii="MS Gothic" w:eastAsia="MS Gothic" w:hAnsi="MS Gothic" w:hint="eastAsia"/>
                    <w:sz w:val="24"/>
                  </w:rPr>
                  <w:t>☐</w:t>
                </w:r>
              </w:sdtContent>
            </w:sdt>
            <w:r w:rsidR="00B13D65" w:rsidRPr="00E33EFF">
              <w:t xml:space="preserve"> 32.1. iš esmės nesiskiria</w:t>
            </w:r>
          </w:p>
        </w:tc>
        <w:tc>
          <w:tcPr>
            <w:tcW w:w="4814" w:type="dxa"/>
          </w:tcPr>
          <w:p w14:paraId="507828D9" w14:textId="795AE382" w:rsidR="00B13D65" w:rsidRPr="00E33EFF" w:rsidRDefault="00054D0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5205E85" w14:textId="3300F0A7" w:rsidR="00662983" w:rsidRDefault="00054D0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461D0A96" w14:textId="77777777" w:rsidR="008514DF" w:rsidRPr="00E33EFF" w:rsidRDefault="008514D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183D5E20" w:rsidR="00B13D65" w:rsidRPr="00E33EFF" w:rsidRDefault="00054D0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5FED5325" w:rsidR="00B13D65" w:rsidRPr="00E33EFF" w:rsidRDefault="00054D0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627D2D">
                  <w:rPr>
                    <w:rStyle w:val="Style2"/>
                    <w:rFonts w:ascii="MS Gothic" w:eastAsia="MS Gothic" w:hAnsi="MS Gothic" w:hint="eastAsia"/>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5FCB8FE2" w:rsidR="00B13D65" w:rsidRPr="00E33EFF" w:rsidRDefault="00054D0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0E4FB6">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1BF8C2DF" w:rsidR="00B13D65" w:rsidRPr="00E33EFF" w:rsidRDefault="00054D0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0E4FB6">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415361C0" w:rsidR="00662983" w:rsidRPr="00E33EFF" w:rsidRDefault="00054D0A"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627D2D">
                  <w:rPr>
                    <w:rStyle w:val="Style2"/>
                    <w:rFonts w:ascii="MS Gothic" w:eastAsia="MS Gothic" w:hAnsi="MS Gothic" w:hint="eastAsia"/>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54D0A"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05516DF4" w:rsidR="00B13D65" w:rsidRPr="00093A6A" w:rsidRDefault="00054D0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093A6A">
                  <w:rPr>
                    <w:rStyle w:val="Style2"/>
                    <w:rFonts w:ascii="MS Gothic" w:eastAsia="MS Gothic" w:hAnsi="MS Gothic"/>
                    <w:sz w:val="24"/>
                  </w:rPr>
                  <w:t>☐</w:t>
                </w:r>
              </w:sdtContent>
            </w:sdt>
            <w:r w:rsidR="00B13D65" w:rsidRPr="00093A6A">
              <w:t xml:space="preserve"> 32.3. atitinka referencinę naudingumo vertę</w:t>
            </w:r>
          </w:p>
          <w:p w14:paraId="3F76F153" w14:textId="77777777" w:rsidR="00662983" w:rsidRPr="00093A6A"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69F05F3" w:rsidR="00B13D65" w:rsidRPr="00E33EFF" w:rsidRDefault="00054D0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093A6A">
                  <w:rPr>
                    <w:rStyle w:val="Style2"/>
                    <w:rFonts w:ascii="Segoe UI Symbol" w:eastAsia="MS Gothic" w:hAnsi="Segoe UI Symbol" w:cs="Segoe UI Symbol"/>
                    <w:sz w:val="24"/>
                  </w:rPr>
                  <w:t>☐</w:t>
                </w:r>
              </w:sdtContent>
            </w:sdt>
            <w:r w:rsidR="00B13D65" w:rsidRPr="00093A6A">
              <w:t xml:space="preserve"> 32.3. gydymo juo kaštai yra mažesni ar tokie patys esant iš esmės nesiskiriančiam palyginamajam efektyvumui,</w:t>
            </w:r>
            <w:r w:rsidR="00093A6A" w:rsidRPr="00093A6A">
              <w:t xml:space="preserve"> </w:t>
            </w:r>
            <w:r w:rsidR="00B00959" w:rsidRPr="00093A6A">
              <w:t>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11F94EAC" w:rsidR="00B13D65" w:rsidRPr="00E33EFF" w:rsidRDefault="00054D0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2A1AC4">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5DD586B7" w:rsidR="00B13D65" w:rsidRPr="00E33EFF" w:rsidRDefault="00054D0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w:t>
            </w:r>
            <w:r w:rsidR="00B13D65" w:rsidRPr="00093A6A">
              <w:t xml:space="preserve">efektyvumui, </w:t>
            </w:r>
            <w:r w:rsidR="00B00959" w:rsidRPr="00093A6A">
              <w:t>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38AAD610" w:rsidR="00B13D65" w:rsidRPr="00E33EFF" w:rsidRDefault="00054D0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381904">
                  <w:rPr>
                    <w:rStyle w:val="Style2"/>
                    <w:rFonts w:ascii="MS Gothic" w:eastAsia="MS Gothic" w:hAnsi="MS Gothic" w:hint="eastAsia"/>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30C71F6" w14:textId="2F7C9E72" w:rsidR="006929B9" w:rsidRPr="007567F2" w:rsidRDefault="006929B9" w:rsidP="00381024">
      <w:pPr>
        <w:rPr>
          <w:lang w:val="en-US"/>
        </w:rPr>
      </w:pPr>
    </w:p>
    <w:p w14:paraId="5AD7381B" w14:textId="77777777" w:rsidR="006929B9" w:rsidRPr="00E33EFF" w:rsidRDefault="006929B9" w:rsidP="00381024"/>
    <w:p w14:paraId="3B2D1F25" w14:textId="6510F3C9" w:rsidR="000001B0" w:rsidRPr="00363ADE"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56655703" w14:textId="5B375E59" w:rsidR="00363ADE" w:rsidRDefault="00363ADE" w:rsidP="00363ADE"/>
    <w:p w14:paraId="12DAE03B" w14:textId="77777777" w:rsidR="002A1AC4" w:rsidRPr="00E33EFF" w:rsidRDefault="002A1AC4" w:rsidP="00BD4F39">
      <w:pPr>
        <w:spacing w:line="360" w:lineRule="auto"/>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 </w:t>
      </w:r>
    </w:p>
    <w:p w14:paraId="71D8EA75" w14:textId="77777777" w:rsidR="002A1AC4" w:rsidRPr="001003F7" w:rsidRDefault="002A1AC4" w:rsidP="00BD4F39">
      <w:pPr>
        <w:spacing w:line="360" w:lineRule="auto"/>
        <w:jc w:val="both"/>
      </w:pPr>
      <w:r w:rsidRPr="00E33EFF">
        <w:lastRenderedPageBreak/>
        <w:t xml:space="preserve">34.4. rekomenduojama </w:t>
      </w:r>
      <w:r w:rsidRPr="00E33EFF">
        <w:rPr>
          <w:i/>
        </w:rPr>
        <w:t xml:space="preserve">nekompensuoti </w:t>
      </w:r>
      <w:r w:rsidRPr="00E33EFF">
        <w:t>vaistinio prepa</w:t>
      </w:r>
      <w:r>
        <w:t>rato pagal paraiškoje nurodytą indikaciją be skyrimo sąlygų</w:t>
      </w:r>
      <w:r w:rsidRPr="00E33EFF">
        <w:t xml:space="preserve">, </w:t>
      </w:r>
      <w:r>
        <w:t xml:space="preserve">netaikant PGS </w:t>
      </w:r>
      <w:r w:rsidRPr="00E33EFF">
        <w:t>dėl vertinimo išvadų</w:t>
      </w:r>
      <w:r>
        <w:t xml:space="preserve">, nurodytų 33.3 papunktyje (žr. 8 ir 17 skyrius),  neatitikties </w:t>
      </w:r>
      <w:r w:rsidRPr="003D6208">
        <w:t>34.1 papunktyje išdėstytoms sąlygoms</w:t>
      </w:r>
      <w:r>
        <w:t>.</w:t>
      </w:r>
    </w:p>
    <w:p w14:paraId="1C14AF43" w14:textId="2F360B72" w:rsidR="002A1AC4" w:rsidRDefault="002A1AC4" w:rsidP="00BD4F39">
      <w:pPr>
        <w:spacing w:line="360" w:lineRule="auto"/>
        <w:jc w:val="both"/>
      </w:pPr>
    </w:p>
    <w:p w14:paraId="1FEB76E9" w14:textId="77FCA533" w:rsidR="002A1AC4" w:rsidRDefault="002A1AC4" w:rsidP="00BD4F39">
      <w:pPr>
        <w:spacing w:line="360" w:lineRule="auto"/>
        <w:jc w:val="both"/>
        <w:rPr>
          <w:i/>
        </w:rPr>
      </w:pPr>
      <w:r w:rsidRPr="002A1AC4">
        <w:rPr>
          <w:i/>
        </w:rPr>
        <w:t>Papildomos pastabos ir pasiūlymai</w:t>
      </w:r>
    </w:p>
    <w:p w14:paraId="531C466F" w14:textId="5AED2D45" w:rsidR="00703A1E" w:rsidRPr="00D05364" w:rsidRDefault="002A1AC4" w:rsidP="00BD4F39">
      <w:pPr>
        <w:tabs>
          <w:tab w:val="left" w:pos="567"/>
        </w:tabs>
        <w:spacing w:line="360" w:lineRule="auto"/>
        <w:jc w:val="both"/>
        <w:rPr>
          <w:bCs/>
          <w:i/>
          <w:color w:val="00B050"/>
          <w:lang w:eastAsia="lt-LT"/>
        </w:rPr>
      </w:pPr>
      <w:r>
        <w:t xml:space="preserve">Atsižvelgiant į didelį atkryčių riziką reikšmingai sumažinančio, efektyvaus pirmos eilės </w:t>
      </w:r>
      <w:proofErr w:type="spellStart"/>
      <w:r>
        <w:t>sADLL</w:t>
      </w:r>
      <w:proofErr w:type="spellEnd"/>
      <w:r>
        <w:t xml:space="preserve"> gydymo poreikį, Tarnyba vertina, jog tokiu gydymu galėtų tapti BV+CHP derinys (IA įrodymų lygmuo). Tarnyba, </w:t>
      </w:r>
      <w:r>
        <w:rPr>
          <w:bCs/>
        </w:rPr>
        <w:t>vadovaud</w:t>
      </w:r>
      <w:r w:rsidRPr="004817CE">
        <w:rPr>
          <w:bCs/>
        </w:rPr>
        <w:t>a</w:t>
      </w:r>
      <w:r>
        <w:rPr>
          <w:bCs/>
        </w:rPr>
        <w:t>masi</w:t>
      </w:r>
      <w:r w:rsidRPr="004817CE">
        <w:rPr>
          <w:bCs/>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FE303B">
        <w:rPr>
          <w:b/>
          <w:bCs/>
        </w:rPr>
        <w:t>kompensuoti</w:t>
      </w:r>
      <w:r>
        <w:rPr>
          <w:b/>
          <w:bCs/>
        </w:rPr>
        <w:t xml:space="preserve"> </w:t>
      </w:r>
      <w:r w:rsidRPr="002A1AC4">
        <w:rPr>
          <w:bCs/>
        </w:rPr>
        <w:t>vaistinį preparatą</w:t>
      </w:r>
      <w:r w:rsidR="00FF56BF">
        <w:rPr>
          <w:bCs/>
        </w:rPr>
        <w:t xml:space="preserve">, sumažinus jo kainą, kad </w:t>
      </w:r>
      <w:r w:rsidR="007B544C">
        <w:rPr>
          <w:bCs/>
        </w:rPr>
        <w:t xml:space="preserve">nė vienu atveju </w:t>
      </w:r>
      <w:r w:rsidR="005A0D64">
        <w:rPr>
          <w:bCs/>
        </w:rPr>
        <w:t xml:space="preserve">(išskyrus pirmąjį) </w:t>
      </w:r>
      <w:r w:rsidR="007B544C">
        <w:rPr>
          <w:bCs/>
        </w:rPr>
        <w:t xml:space="preserve">jautrumo analizėje nebūtų viršijama referentinė kaštų naudingumo </w:t>
      </w:r>
      <w:r w:rsidR="005A0D64">
        <w:rPr>
          <w:bCs/>
        </w:rPr>
        <w:t xml:space="preserve"> vertė. </w:t>
      </w:r>
    </w:p>
    <w:p w14:paraId="63A80A9D" w14:textId="723488FC" w:rsidR="002A1AC4" w:rsidRDefault="002A1AC4" w:rsidP="00BD4F39">
      <w:pPr>
        <w:tabs>
          <w:tab w:val="left" w:pos="426"/>
        </w:tabs>
        <w:spacing w:line="360" w:lineRule="auto"/>
        <w:jc w:val="both"/>
      </w:pPr>
    </w:p>
    <w:p w14:paraId="6540F105" w14:textId="4D79C2C9" w:rsidR="002A1AC4" w:rsidRDefault="002A1AC4" w:rsidP="00363ADE">
      <w:pPr>
        <w:jc w:val="both"/>
      </w:pPr>
    </w:p>
    <w:p w14:paraId="779D1F2C" w14:textId="77777777" w:rsidR="00B96AB4" w:rsidRDefault="00B96AB4" w:rsidP="00363ADE">
      <w:pPr>
        <w:jc w:val="both"/>
      </w:pPr>
    </w:p>
    <w:p w14:paraId="7CDFF220" w14:textId="58191D98" w:rsidR="000723FF" w:rsidRPr="000723FF" w:rsidRDefault="000723FF" w:rsidP="00824B92">
      <w:pPr>
        <w:rPr>
          <w:b/>
        </w:rPr>
      </w:pPr>
    </w:p>
    <w:sectPr w:rsidR="000723FF" w:rsidRPr="000723FF" w:rsidSect="005D30E1">
      <w:headerReference w:type="even" r:id="rId11"/>
      <w:headerReference w:type="default" r:id="rId12"/>
      <w:headerReference w:type="first" r:id="rId13"/>
      <w:footerReference w:type="first" r:id="rId14"/>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8FD3C" w14:textId="77777777" w:rsidR="00DD385E" w:rsidRDefault="00DD385E">
      <w:r>
        <w:separator/>
      </w:r>
    </w:p>
  </w:endnote>
  <w:endnote w:type="continuationSeparator" w:id="0">
    <w:p w14:paraId="1B842241" w14:textId="77777777" w:rsidR="00DD385E" w:rsidRDefault="00DD385E">
      <w:r>
        <w:continuationSeparator/>
      </w:r>
    </w:p>
  </w:endnote>
  <w:endnote w:type="continuationNotice" w:id="1">
    <w:p w14:paraId="4EB04DB0" w14:textId="77777777" w:rsidR="00DD385E" w:rsidRDefault="00DD3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9A2BA" w14:textId="77777777" w:rsidR="00DD385E" w:rsidRDefault="00DD385E">
      <w:r>
        <w:separator/>
      </w:r>
    </w:p>
  </w:footnote>
  <w:footnote w:type="continuationSeparator" w:id="0">
    <w:p w14:paraId="3567E443" w14:textId="77777777" w:rsidR="00DD385E" w:rsidRDefault="00DD385E">
      <w:r>
        <w:continuationSeparator/>
      </w:r>
    </w:p>
  </w:footnote>
  <w:footnote w:type="continuationNotice" w:id="1">
    <w:p w14:paraId="17813E9C" w14:textId="77777777" w:rsidR="00DD385E" w:rsidRDefault="00DD38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48856700"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4D0A">
      <w:rPr>
        <w:rStyle w:val="PageNumber"/>
        <w:noProof/>
      </w:rPr>
      <w:t>6</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3158EE"/>
    <w:multiLevelType w:val="hybridMultilevel"/>
    <w:tmpl w:val="E1B2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21E75"/>
    <w:multiLevelType w:val="hybridMultilevel"/>
    <w:tmpl w:val="499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B7D08"/>
    <w:multiLevelType w:val="hybridMultilevel"/>
    <w:tmpl w:val="0DC6D344"/>
    <w:lvl w:ilvl="0" w:tplc="7938C79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B5286D"/>
    <w:multiLevelType w:val="hybridMultilevel"/>
    <w:tmpl w:val="1BACDAC8"/>
    <w:lvl w:ilvl="0" w:tplc="5B38CC2A">
      <w:start w:val="1"/>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8" w15:restartNumberingAfterBreak="0">
    <w:nsid w:val="1EC47D73"/>
    <w:multiLevelType w:val="hybridMultilevel"/>
    <w:tmpl w:val="06F2E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D040A3"/>
    <w:multiLevelType w:val="hybridMultilevel"/>
    <w:tmpl w:val="E0DA95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1505AA"/>
    <w:multiLevelType w:val="hybridMultilevel"/>
    <w:tmpl w:val="F9106AB2"/>
    <w:lvl w:ilvl="0" w:tplc="9A82F144">
      <w:start w:val="1"/>
      <w:numFmt w:val="bullet"/>
      <w:lvlText w:val=""/>
      <w:lvlJc w:val="left"/>
      <w:pPr>
        <w:ind w:left="785" w:hanging="360"/>
      </w:pPr>
      <w:rPr>
        <w:rFonts w:ascii="Symbol" w:hAnsi="Symbol" w:hint="default"/>
        <w:strike w:val="0"/>
      </w:rPr>
    </w:lvl>
    <w:lvl w:ilvl="1" w:tplc="9CAC1EB8">
      <w:start w:val="1"/>
      <w:numFmt w:val="bullet"/>
      <w:lvlText w:val="o"/>
      <w:lvlJc w:val="left"/>
      <w:pPr>
        <w:ind w:left="2149" w:hanging="360"/>
      </w:pPr>
      <w:rPr>
        <w:rFonts w:ascii="Courier New" w:hAnsi="Courier New" w:cs="Courier New" w:hint="default"/>
        <w:strike w:val="0"/>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89C6719"/>
    <w:multiLevelType w:val="multilevel"/>
    <w:tmpl w:val="11B2533C"/>
    <w:lvl w:ilvl="0">
      <w:start w:val="1"/>
      <w:numFmt w:val="bullet"/>
      <w:pStyle w:val="Head2"/>
      <w:lvlText w:val="●"/>
      <w:lvlJc w:val="left"/>
      <w:pPr>
        <w:ind w:left="720" w:hanging="360"/>
      </w:pPr>
      <w:rPr>
        <w:rFonts w:ascii="Noto Sans Symbols" w:eastAsia="Noto Sans Symbols" w:hAnsi="Noto Sans Symbols" w:cs="Noto Sans Symbols"/>
      </w:rPr>
    </w:lvl>
    <w:lvl w:ilvl="1">
      <w:start w:val="1"/>
      <w:numFmt w:val="bullet"/>
      <w:pStyle w:val="Head3"/>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4"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C368A7"/>
    <w:multiLevelType w:val="hybridMultilevel"/>
    <w:tmpl w:val="42A2AD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7D2182"/>
    <w:multiLevelType w:val="hybridMultilevel"/>
    <w:tmpl w:val="EAF45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F04B5"/>
    <w:multiLevelType w:val="hybridMultilevel"/>
    <w:tmpl w:val="E40430B6"/>
    <w:lvl w:ilvl="0" w:tplc="0824B90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286546"/>
    <w:multiLevelType w:val="hybridMultilevel"/>
    <w:tmpl w:val="E662D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90123B"/>
    <w:multiLevelType w:val="hybridMultilevel"/>
    <w:tmpl w:val="2598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836E22"/>
    <w:multiLevelType w:val="hybridMultilevel"/>
    <w:tmpl w:val="CD2EE7F2"/>
    <w:lvl w:ilvl="0" w:tplc="08090001">
      <w:start w:val="1"/>
      <w:numFmt w:val="bullet"/>
      <w:lvlText w:val=""/>
      <w:lvlJc w:val="left"/>
      <w:pPr>
        <w:ind w:left="2869" w:hanging="360"/>
      </w:pPr>
      <w:rPr>
        <w:rFonts w:ascii="Symbol" w:hAnsi="Symbol" w:hint="default"/>
      </w:rPr>
    </w:lvl>
    <w:lvl w:ilvl="1" w:tplc="08090003" w:tentative="1">
      <w:start w:val="1"/>
      <w:numFmt w:val="bullet"/>
      <w:lvlText w:val="o"/>
      <w:lvlJc w:val="left"/>
      <w:pPr>
        <w:ind w:left="3589" w:hanging="360"/>
      </w:pPr>
      <w:rPr>
        <w:rFonts w:ascii="Courier New" w:hAnsi="Courier New" w:cs="Courier New" w:hint="default"/>
      </w:rPr>
    </w:lvl>
    <w:lvl w:ilvl="2" w:tplc="08090005" w:tentative="1">
      <w:start w:val="1"/>
      <w:numFmt w:val="bullet"/>
      <w:lvlText w:val=""/>
      <w:lvlJc w:val="left"/>
      <w:pPr>
        <w:ind w:left="4309" w:hanging="360"/>
      </w:pPr>
      <w:rPr>
        <w:rFonts w:ascii="Wingdings" w:hAnsi="Wingdings" w:hint="default"/>
      </w:rPr>
    </w:lvl>
    <w:lvl w:ilvl="3" w:tplc="08090001" w:tentative="1">
      <w:start w:val="1"/>
      <w:numFmt w:val="bullet"/>
      <w:lvlText w:val=""/>
      <w:lvlJc w:val="left"/>
      <w:pPr>
        <w:ind w:left="5029" w:hanging="360"/>
      </w:pPr>
      <w:rPr>
        <w:rFonts w:ascii="Symbol" w:hAnsi="Symbol" w:hint="default"/>
      </w:rPr>
    </w:lvl>
    <w:lvl w:ilvl="4" w:tplc="08090003" w:tentative="1">
      <w:start w:val="1"/>
      <w:numFmt w:val="bullet"/>
      <w:lvlText w:val="o"/>
      <w:lvlJc w:val="left"/>
      <w:pPr>
        <w:ind w:left="5749" w:hanging="360"/>
      </w:pPr>
      <w:rPr>
        <w:rFonts w:ascii="Courier New" w:hAnsi="Courier New" w:cs="Courier New" w:hint="default"/>
      </w:rPr>
    </w:lvl>
    <w:lvl w:ilvl="5" w:tplc="08090005" w:tentative="1">
      <w:start w:val="1"/>
      <w:numFmt w:val="bullet"/>
      <w:lvlText w:val=""/>
      <w:lvlJc w:val="left"/>
      <w:pPr>
        <w:ind w:left="6469" w:hanging="360"/>
      </w:pPr>
      <w:rPr>
        <w:rFonts w:ascii="Wingdings" w:hAnsi="Wingdings" w:hint="default"/>
      </w:rPr>
    </w:lvl>
    <w:lvl w:ilvl="6" w:tplc="08090001" w:tentative="1">
      <w:start w:val="1"/>
      <w:numFmt w:val="bullet"/>
      <w:lvlText w:val=""/>
      <w:lvlJc w:val="left"/>
      <w:pPr>
        <w:ind w:left="7189" w:hanging="360"/>
      </w:pPr>
      <w:rPr>
        <w:rFonts w:ascii="Symbol" w:hAnsi="Symbol" w:hint="default"/>
      </w:rPr>
    </w:lvl>
    <w:lvl w:ilvl="7" w:tplc="08090003" w:tentative="1">
      <w:start w:val="1"/>
      <w:numFmt w:val="bullet"/>
      <w:lvlText w:val="o"/>
      <w:lvlJc w:val="left"/>
      <w:pPr>
        <w:ind w:left="7909" w:hanging="360"/>
      </w:pPr>
      <w:rPr>
        <w:rFonts w:ascii="Courier New" w:hAnsi="Courier New" w:cs="Courier New" w:hint="default"/>
      </w:rPr>
    </w:lvl>
    <w:lvl w:ilvl="8" w:tplc="08090005" w:tentative="1">
      <w:start w:val="1"/>
      <w:numFmt w:val="bullet"/>
      <w:lvlText w:val=""/>
      <w:lvlJc w:val="left"/>
      <w:pPr>
        <w:ind w:left="8629" w:hanging="360"/>
      </w:pPr>
      <w:rPr>
        <w:rFonts w:ascii="Wingdings" w:hAnsi="Wingdings" w:hint="default"/>
      </w:rPr>
    </w:lvl>
  </w:abstractNum>
  <w:abstractNum w:abstractNumId="26" w15:restartNumberingAfterBreak="0">
    <w:nsid w:val="79866489"/>
    <w:multiLevelType w:val="hybridMultilevel"/>
    <w:tmpl w:val="381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C01C3"/>
    <w:multiLevelType w:val="multilevel"/>
    <w:tmpl w:val="ABA69FF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EE910B5"/>
    <w:multiLevelType w:val="hybridMultilevel"/>
    <w:tmpl w:val="39F8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7"/>
  </w:num>
  <w:num w:numId="4">
    <w:abstractNumId w:val="15"/>
  </w:num>
  <w:num w:numId="5">
    <w:abstractNumId w:val="13"/>
  </w:num>
  <w:num w:numId="6">
    <w:abstractNumId w:val="12"/>
  </w:num>
  <w:num w:numId="7">
    <w:abstractNumId w:val="7"/>
  </w:num>
  <w:num w:numId="8">
    <w:abstractNumId w:val="24"/>
  </w:num>
  <w:num w:numId="9">
    <w:abstractNumId w:val="0"/>
  </w:num>
  <w:num w:numId="10">
    <w:abstractNumId w:val="18"/>
  </w:num>
  <w:num w:numId="11">
    <w:abstractNumId w:val="22"/>
  </w:num>
  <w:num w:numId="12">
    <w:abstractNumId w:val="5"/>
  </w:num>
  <w:num w:numId="13">
    <w:abstractNumId w:val="9"/>
  </w:num>
  <w:num w:numId="14">
    <w:abstractNumId w:val="27"/>
  </w:num>
  <w:num w:numId="15">
    <w:abstractNumId w:val="23"/>
  </w:num>
  <w:num w:numId="16">
    <w:abstractNumId w:val="1"/>
  </w:num>
  <w:num w:numId="17">
    <w:abstractNumId w:val="21"/>
  </w:num>
  <w:num w:numId="18">
    <w:abstractNumId w:val="3"/>
  </w:num>
  <w:num w:numId="19">
    <w:abstractNumId w:val="11"/>
  </w:num>
  <w:num w:numId="20">
    <w:abstractNumId w:val="26"/>
  </w:num>
  <w:num w:numId="21">
    <w:abstractNumId w:val="8"/>
  </w:num>
  <w:num w:numId="22">
    <w:abstractNumId w:val="10"/>
  </w:num>
  <w:num w:numId="23">
    <w:abstractNumId w:val="25"/>
  </w:num>
  <w:num w:numId="24">
    <w:abstractNumId w:val="6"/>
  </w:num>
  <w:num w:numId="25">
    <w:abstractNumId w:val="19"/>
  </w:num>
  <w:num w:numId="26">
    <w:abstractNumId w:val="2"/>
  </w:num>
  <w:num w:numId="27">
    <w:abstractNumId w:val="28"/>
  </w:num>
  <w:num w:numId="28">
    <w:abstractNumId w:val="2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01B0"/>
    <w:rsid w:val="0000137A"/>
    <w:rsid w:val="00002B30"/>
    <w:rsid w:val="00003EAA"/>
    <w:rsid w:val="00003F5B"/>
    <w:rsid w:val="0000653D"/>
    <w:rsid w:val="000114DD"/>
    <w:rsid w:val="000136F7"/>
    <w:rsid w:val="0002686C"/>
    <w:rsid w:val="0002715E"/>
    <w:rsid w:val="0003157B"/>
    <w:rsid w:val="00031D0E"/>
    <w:rsid w:val="000337E6"/>
    <w:rsid w:val="0003402E"/>
    <w:rsid w:val="00034EAE"/>
    <w:rsid w:val="0004158E"/>
    <w:rsid w:val="00042924"/>
    <w:rsid w:val="00043B68"/>
    <w:rsid w:val="00044028"/>
    <w:rsid w:val="00053975"/>
    <w:rsid w:val="00054D0A"/>
    <w:rsid w:val="00057A2B"/>
    <w:rsid w:val="000606BE"/>
    <w:rsid w:val="000632EF"/>
    <w:rsid w:val="00064C3F"/>
    <w:rsid w:val="000673C0"/>
    <w:rsid w:val="000723FF"/>
    <w:rsid w:val="000736B8"/>
    <w:rsid w:val="00074D36"/>
    <w:rsid w:val="0008190F"/>
    <w:rsid w:val="00081D9C"/>
    <w:rsid w:val="0008213F"/>
    <w:rsid w:val="00082907"/>
    <w:rsid w:val="0008378D"/>
    <w:rsid w:val="000908A5"/>
    <w:rsid w:val="00092805"/>
    <w:rsid w:val="00093A6A"/>
    <w:rsid w:val="00093CBB"/>
    <w:rsid w:val="00094192"/>
    <w:rsid w:val="00096C64"/>
    <w:rsid w:val="000A03C9"/>
    <w:rsid w:val="000A2387"/>
    <w:rsid w:val="000A7ABC"/>
    <w:rsid w:val="000A7B01"/>
    <w:rsid w:val="000B3083"/>
    <w:rsid w:val="000B3F68"/>
    <w:rsid w:val="000C3121"/>
    <w:rsid w:val="000C454C"/>
    <w:rsid w:val="000D5038"/>
    <w:rsid w:val="000D5A96"/>
    <w:rsid w:val="000E29D4"/>
    <w:rsid w:val="000E2F1C"/>
    <w:rsid w:val="000E30ED"/>
    <w:rsid w:val="000E4FB6"/>
    <w:rsid w:val="000E5CD8"/>
    <w:rsid w:val="000F0FC3"/>
    <w:rsid w:val="000F3445"/>
    <w:rsid w:val="000F3540"/>
    <w:rsid w:val="000F530D"/>
    <w:rsid w:val="000F71A5"/>
    <w:rsid w:val="00100491"/>
    <w:rsid w:val="00104294"/>
    <w:rsid w:val="00104E2E"/>
    <w:rsid w:val="001055F8"/>
    <w:rsid w:val="00107287"/>
    <w:rsid w:val="001142FC"/>
    <w:rsid w:val="00114506"/>
    <w:rsid w:val="00117406"/>
    <w:rsid w:val="00121011"/>
    <w:rsid w:val="00121EF0"/>
    <w:rsid w:val="00122115"/>
    <w:rsid w:val="00124A9E"/>
    <w:rsid w:val="001261AB"/>
    <w:rsid w:val="00130703"/>
    <w:rsid w:val="0013153F"/>
    <w:rsid w:val="001317EF"/>
    <w:rsid w:val="00132E4F"/>
    <w:rsid w:val="001408B8"/>
    <w:rsid w:val="00141E68"/>
    <w:rsid w:val="001517E2"/>
    <w:rsid w:val="001521D9"/>
    <w:rsid w:val="0015418E"/>
    <w:rsid w:val="001544C1"/>
    <w:rsid w:val="001554E2"/>
    <w:rsid w:val="001601EE"/>
    <w:rsid w:val="00164146"/>
    <w:rsid w:val="0016615F"/>
    <w:rsid w:val="00171488"/>
    <w:rsid w:val="0017369C"/>
    <w:rsid w:val="0017430E"/>
    <w:rsid w:val="00175D57"/>
    <w:rsid w:val="00180C39"/>
    <w:rsid w:val="00180D96"/>
    <w:rsid w:val="00183187"/>
    <w:rsid w:val="00184BD3"/>
    <w:rsid w:val="001921F3"/>
    <w:rsid w:val="001A051D"/>
    <w:rsid w:val="001A3E3D"/>
    <w:rsid w:val="001B3C5B"/>
    <w:rsid w:val="001B40D2"/>
    <w:rsid w:val="001D0BF9"/>
    <w:rsid w:val="001D3F77"/>
    <w:rsid w:val="001D583C"/>
    <w:rsid w:val="001D746F"/>
    <w:rsid w:val="001E394D"/>
    <w:rsid w:val="001E4AB0"/>
    <w:rsid w:val="001E4BBB"/>
    <w:rsid w:val="001E6304"/>
    <w:rsid w:val="001F2041"/>
    <w:rsid w:val="001F6F9F"/>
    <w:rsid w:val="0020381E"/>
    <w:rsid w:val="00206990"/>
    <w:rsid w:val="0021319A"/>
    <w:rsid w:val="00213471"/>
    <w:rsid w:val="00213FED"/>
    <w:rsid w:val="00214B93"/>
    <w:rsid w:val="00215906"/>
    <w:rsid w:val="00217699"/>
    <w:rsid w:val="00222F0B"/>
    <w:rsid w:val="0024148F"/>
    <w:rsid w:val="00241CD8"/>
    <w:rsid w:val="0024363A"/>
    <w:rsid w:val="00244B09"/>
    <w:rsid w:val="00246F4D"/>
    <w:rsid w:val="002519CB"/>
    <w:rsid w:val="0025697F"/>
    <w:rsid w:val="00260258"/>
    <w:rsid w:val="0026588E"/>
    <w:rsid w:val="002673E4"/>
    <w:rsid w:val="002702B3"/>
    <w:rsid w:val="00272428"/>
    <w:rsid w:val="00272948"/>
    <w:rsid w:val="00273F8C"/>
    <w:rsid w:val="002829B2"/>
    <w:rsid w:val="00285CBD"/>
    <w:rsid w:val="00286873"/>
    <w:rsid w:val="00292392"/>
    <w:rsid w:val="002946C7"/>
    <w:rsid w:val="002A1AC4"/>
    <w:rsid w:val="002B2F17"/>
    <w:rsid w:val="002B3CC1"/>
    <w:rsid w:val="002B3D8F"/>
    <w:rsid w:val="002B6C8B"/>
    <w:rsid w:val="002B74D8"/>
    <w:rsid w:val="002B7C18"/>
    <w:rsid w:val="002C09E0"/>
    <w:rsid w:val="002C1424"/>
    <w:rsid w:val="002C1BB1"/>
    <w:rsid w:val="002C2786"/>
    <w:rsid w:val="002C370B"/>
    <w:rsid w:val="002C3A10"/>
    <w:rsid w:val="002C4A90"/>
    <w:rsid w:val="002C4ED5"/>
    <w:rsid w:val="002C71D8"/>
    <w:rsid w:val="002D02EF"/>
    <w:rsid w:val="002D3F93"/>
    <w:rsid w:val="002D6560"/>
    <w:rsid w:val="002D7116"/>
    <w:rsid w:val="002E0109"/>
    <w:rsid w:val="002E0702"/>
    <w:rsid w:val="002E2F32"/>
    <w:rsid w:val="002E57AD"/>
    <w:rsid w:val="002E6F80"/>
    <w:rsid w:val="002F0E4F"/>
    <w:rsid w:val="002F1053"/>
    <w:rsid w:val="002F5297"/>
    <w:rsid w:val="002F705D"/>
    <w:rsid w:val="002F7D36"/>
    <w:rsid w:val="003035A6"/>
    <w:rsid w:val="0030445B"/>
    <w:rsid w:val="00317B0E"/>
    <w:rsid w:val="0032523A"/>
    <w:rsid w:val="00325937"/>
    <w:rsid w:val="00330612"/>
    <w:rsid w:val="0033140A"/>
    <w:rsid w:val="00347FAA"/>
    <w:rsid w:val="0035172D"/>
    <w:rsid w:val="003537A7"/>
    <w:rsid w:val="003578EE"/>
    <w:rsid w:val="003606B5"/>
    <w:rsid w:val="0036187D"/>
    <w:rsid w:val="00363ADE"/>
    <w:rsid w:val="00366394"/>
    <w:rsid w:val="00367957"/>
    <w:rsid w:val="00367EDB"/>
    <w:rsid w:val="00381024"/>
    <w:rsid w:val="00381904"/>
    <w:rsid w:val="00381EBB"/>
    <w:rsid w:val="00384168"/>
    <w:rsid w:val="00386307"/>
    <w:rsid w:val="003874DE"/>
    <w:rsid w:val="00387D17"/>
    <w:rsid w:val="00392ABE"/>
    <w:rsid w:val="00393E9F"/>
    <w:rsid w:val="00393EB5"/>
    <w:rsid w:val="0039696E"/>
    <w:rsid w:val="003A1151"/>
    <w:rsid w:val="003A1E8B"/>
    <w:rsid w:val="003A759F"/>
    <w:rsid w:val="003B211A"/>
    <w:rsid w:val="003B7BC0"/>
    <w:rsid w:val="003C0CAB"/>
    <w:rsid w:val="003C141F"/>
    <w:rsid w:val="003C3AE0"/>
    <w:rsid w:val="003C6B0E"/>
    <w:rsid w:val="003C6B59"/>
    <w:rsid w:val="003C7257"/>
    <w:rsid w:val="003C7E35"/>
    <w:rsid w:val="003D096A"/>
    <w:rsid w:val="003D1E99"/>
    <w:rsid w:val="003D50C4"/>
    <w:rsid w:val="003D6208"/>
    <w:rsid w:val="003D7D5B"/>
    <w:rsid w:val="003F341B"/>
    <w:rsid w:val="003F4BE2"/>
    <w:rsid w:val="00404E8A"/>
    <w:rsid w:val="0040622F"/>
    <w:rsid w:val="00412578"/>
    <w:rsid w:val="00413F24"/>
    <w:rsid w:val="00414022"/>
    <w:rsid w:val="004144A3"/>
    <w:rsid w:val="00422853"/>
    <w:rsid w:val="00423160"/>
    <w:rsid w:val="004232B5"/>
    <w:rsid w:val="00434B5A"/>
    <w:rsid w:val="00450033"/>
    <w:rsid w:val="00450E42"/>
    <w:rsid w:val="0045326F"/>
    <w:rsid w:val="00453862"/>
    <w:rsid w:val="0045469B"/>
    <w:rsid w:val="00461338"/>
    <w:rsid w:val="004635DB"/>
    <w:rsid w:val="00463F0B"/>
    <w:rsid w:val="00466F87"/>
    <w:rsid w:val="004677DB"/>
    <w:rsid w:val="004713AD"/>
    <w:rsid w:val="00476256"/>
    <w:rsid w:val="0048172B"/>
    <w:rsid w:val="004859B7"/>
    <w:rsid w:val="0048630F"/>
    <w:rsid w:val="004938A6"/>
    <w:rsid w:val="004947A1"/>
    <w:rsid w:val="0049482A"/>
    <w:rsid w:val="004979D3"/>
    <w:rsid w:val="004A00E7"/>
    <w:rsid w:val="004A3A61"/>
    <w:rsid w:val="004A6F9B"/>
    <w:rsid w:val="004A751A"/>
    <w:rsid w:val="004B001C"/>
    <w:rsid w:val="004B25D6"/>
    <w:rsid w:val="004B542F"/>
    <w:rsid w:val="004B59BA"/>
    <w:rsid w:val="004B5A03"/>
    <w:rsid w:val="004C263A"/>
    <w:rsid w:val="004D43D5"/>
    <w:rsid w:val="004D48A6"/>
    <w:rsid w:val="004D7B8F"/>
    <w:rsid w:val="004E3FB5"/>
    <w:rsid w:val="004E5A99"/>
    <w:rsid w:val="004E6458"/>
    <w:rsid w:val="004E6E7D"/>
    <w:rsid w:val="004F0B29"/>
    <w:rsid w:val="004F1AAC"/>
    <w:rsid w:val="004F1AE2"/>
    <w:rsid w:val="004F34F0"/>
    <w:rsid w:val="004F3B2B"/>
    <w:rsid w:val="004F6050"/>
    <w:rsid w:val="004F7410"/>
    <w:rsid w:val="005005EF"/>
    <w:rsid w:val="00503AA3"/>
    <w:rsid w:val="005111F9"/>
    <w:rsid w:val="005123C2"/>
    <w:rsid w:val="005123C3"/>
    <w:rsid w:val="00513E95"/>
    <w:rsid w:val="00515F01"/>
    <w:rsid w:val="0052144B"/>
    <w:rsid w:val="00524066"/>
    <w:rsid w:val="005268A3"/>
    <w:rsid w:val="0053222F"/>
    <w:rsid w:val="00534351"/>
    <w:rsid w:val="00534E11"/>
    <w:rsid w:val="005378D8"/>
    <w:rsid w:val="005400D9"/>
    <w:rsid w:val="00541EF4"/>
    <w:rsid w:val="00542A47"/>
    <w:rsid w:val="00545325"/>
    <w:rsid w:val="005476A4"/>
    <w:rsid w:val="00547A75"/>
    <w:rsid w:val="0055019B"/>
    <w:rsid w:val="00551B65"/>
    <w:rsid w:val="00551FC4"/>
    <w:rsid w:val="005530A3"/>
    <w:rsid w:val="0055320D"/>
    <w:rsid w:val="005550A2"/>
    <w:rsid w:val="00556E63"/>
    <w:rsid w:val="005601A4"/>
    <w:rsid w:val="00564647"/>
    <w:rsid w:val="00566DBB"/>
    <w:rsid w:val="00570C0F"/>
    <w:rsid w:val="005767DB"/>
    <w:rsid w:val="005815E6"/>
    <w:rsid w:val="0058712F"/>
    <w:rsid w:val="00590502"/>
    <w:rsid w:val="00594574"/>
    <w:rsid w:val="005976CE"/>
    <w:rsid w:val="005A0D64"/>
    <w:rsid w:val="005A23D4"/>
    <w:rsid w:val="005A2D1E"/>
    <w:rsid w:val="005A7157"/>
    <w:rsid w:val="005B3756"/>
    <w:rsid w:val="005B6DDD"/>
    <w:rsid w:val="005C038E"/>
    <w:rsid w:val="005C493F"/>
    <w:rsid w:val="005C4A75"/>
    <w:rsid w:val="005C6BF7"/>
    <w:rsid w:val="005C71BF"/>
    <w:rsid w:val="005C7688"/>
    <w:rsid w:val="005D002C"/>
    <w:rsid w:val="005D1FDB"/>
    <w:rsid w:val="005D30E1"/>
    <w:rsid w:val="005D56D7"/>
    <w:rsid w:val="005D6555"/>
    <w:rsid w:val="005D7BDF"/>
    <w:rsid w:val="005E40DD"/>
    <w:rsid w:val="005E4870"/>
    <w:rsid w:val="005E4A4C"/>
    <w:rsid w:val="005F0862"/>
    <w:rsid w:val="005F595B"/>
    <w:rsid w:val="005F71D9"/>
    <w:rsid w:val="005F7602"/>
    <w:rsid w:val="006062BE"/>
    <w:rsid w:val="00610B56"/>
    <w:rsid w:val="00613143"/>
    <w:rsid w:val="00613501"/>
    <w:rsid w:val="006147EF"/>
    <w:rsid w:val="0061611B"/>
    <w:rsid w:val="006166A8"/>
    <w:rsid w:val="006174A1"/>
    <w:rsid w:val="00621D6C"/>
    <w:rsid w:val="00623589"/>
    <w:rsid w:val="00625BF8"/>
    <w:rsid w:val="00627D2D"/>
    <w:rsid w:val="00633B49"/>
    <w:rsid w:val="00636C72"/>
    <w:rsid w:val="00637257"/>
    <w:rsid w:val="00641676"/>
    <w:rsid w:val="0064297F"/>
    <w:rsid w:val="00645102"/>
    <w:rsid w:val="00646CF3"/>
    <w:rsid w:val="00650B99"/>
    <w:rsid w:val="0065119B"/>
    <w:rsid w:val="00653904"/>
    <w:rsid w:val="00653D11"/>
    <w:rsid w:val="006541C0"/>
    <w:rsid w:val="00662983"/>
    <w:rsid w:val="00667249"/>
    <w:rsid w:val="00671C3D"/>
    <w:rsid w:val="00673331"/>
    <w:rsid w:val="006833E9"/>
    <w:rsid w:val="006834D3"/>
    <w:rsid w:val="00686223"/>
    <w:rsid w:val="006870F1"/>
    <w:rsid w:val="00692625"/>
    <w:rsid w:val="006929B9"/>
    <w:rsid w:val="00695CD3"/>
    <w:rsid w:val="006A07F4"/>
    <w:rsid w:val="006A38B6"/>
    <w:rsid w:val="006B0FF7"/>
    <w:rsid w:val="006B1544"/>
    <w:rsid w:val="006B1987"/>
    <w:rsid w:val="006B3FB4"/>
    <w:rsid w:val="006B4145"/>
    <w:rsid w:val="006B41EE"/>
    <w:rsid w:val="006B5B71"/>
    <w:rsid w:val="006B6CB0"/>
    <w:rsid w:val="006C0296"/>
    <w:rsid w:val="006C2B64"/>
    <w:rsid w:val="006C37D2"/>
    <w:rsid w:val="006C4075"/>
    <w:rsid w:val="006C79F3"/>
    <w:rsid w:val="006D4C85"/>
    <w:rsid w:val="006D66AC"/>
    <w:rsid w:val="006E1C60"/>
    <w:rsid w:val="006E33F6"/>
    <w:rsid w:val="006E647F"/>
    <w:rsid w:val="006F0B24"/>
    <w:rsid w:val="006F1251"/>
    <w:rsid w:val="006F1C23"/>
    <w:rsid w:val="006F3C13"/>
    <w:rsid w:val="00702C18"/>
    <w:rsid w:val="00703166"/>
    <w:rsid w:val="00703A1E"/>
    <w:rsid w:val="0070421A"/>
    <w:rsid w:val="007055A1"/>
    <w:rsid w:val="007127F3"/>
    <w:rsid w:val="00712D11"/>
    <w:rsid w:val="00712E51"/>
    <w:rsid w:val="00715D1D"/>
    <w:rsid w:val="00715EEB"/>
    <w:rsid w:val="00716FFB"/>
    <w:rsid w:val="007216ED"/>
    <w:rsid w:val="00721E63"/>
    <w:rsid w:val="007301CF"/>
    <w:rsid w:val="007316FB"/>
    <w:rsid w:val="007374D0"/>
    <w:rsid w:val="00737E2D"/>
    <w:rsid w:val="00741B08"/>
    <w:rsid w:val="007424D5"/>
    <w:rsid w:val="00744F45"/>
    <w:rsid w:val="00750A88"/>
    <w:rsid w:val="007523DD"/>
    <w:rsid w:val="007567F2"/>
    <w:rsid w:val="00757B7E"/>
    <w:rsid w:val="007601ED"/>
    <w:rsid w:val="00764260"/>
    <w:rsid w:val="007656B2"/>
    <w:rsid w:val="00766761"/>
    <w:rsid w:val="0077016F"/>
    <w:rsid w:val="007713AD"/>
    <w:rsid w:val="0077368E"/>
    <w:rsid w:val="00775C5C"/>
    <w:rsid w:val="00784629"/>
    <w:rsid w:val="00794E27"/>
    <w:rsid w:val="00795DC5"/>
    <w:rsid w:val="00796D2F"/>
    <w:rsid w:val="00797153"/>
    <w:rsid w:val="007979BF"/>
    <w:rsid w:val="007A21F7"/>
    <w:rsid w:val="007A2B68"/>
    <w:rsid w:val="007A52E5"/>
    <w:rsid w:val="007B0DDA"/>
    <w:rsid w:val="007B544C"/>
    <w:rsid w:val="007B711D"/>
    <w:rsid w:val="007C2705"/>
    <w:rsid w:val="007D3347"/>
    <w:rsid w:val="007E3E05"/>
    <w:rsid w:val="007E5466"/>
    <w:rsid w:val="007F1949"/>
    <w:rsid w:val="007F2592"/>
    <w:rsid w:val="00800A08"/>
    <w:rsid w:val="00801F73"/>
    <w:rsid w:val="008035F9"/>
    <w:rsid w:val="008166B0"/>
    <w:rsid w:val="00817A84"/>
    <w:rsid w:val="0082119E"/>
    <w:rsid w:val="008225A4"/>
    <w:rsid w:val="00823357"/>
    <w:rsid w:val="00823CE0"/>
    <w:rsid w:val="00824B92"/>
    <w:rsid w:val="00826D5E"/>
    <w:rsid w:val="0082736A"/>
    <w:rsid w:val="00832013"/>
    <w:rsid w:val="0083250F"/>
    <w:rsid w:val="00832DB7"/>
    <w:rsid w:val="00833BCD"/>
    <w:rsid w:val="00834732"/>
    <w:rsid w:val="00842AAA"/>
    <w:rsid w:val="00842D82"/>
    <w:rsid w:val="00845F60"/>
    <w:rsid w:val="00847AC0"/>
    <w:rsid w:val="008514DF"/>
    <w:rsid w:val="0085200C"/>
    <w:rsid w:val="00854A6C"/>
    <w:rsid w:val="00857C52"/>
    <w:rsid w:val="00860D5F"/>
    <w:rsid w:val="00863458"/>
    <w:rsid w:val="008647D7"/>
    <w:rsid w:val="00865926"/>
    <w:rsid w:val="00880A44"/>
    <w:rsid w:val="0088345E"/>
    <w:rsid w:val="0088656F"/>
    <w:rsid w:val="00890443"/>
    <w:rsid w:val="00891EF6"/>
    <w:rsid w:val="008967C6"/>
    <w:rsid w:val="008A0303"/>
    <w:rsid w:val="008A5B23"/>
    <w:rsid w:val="008A5FDD"/>
    <w:rsid w:val="008A68A6"/>
    <w:rsid w:val="008B25B3"/>
    <w:rsid w:val="008B5F43"/>
    <w:rsid w:val="008C04D7"/>
    <w:rsid w:val="008C3947"/>
    <w:rsid w:val="008C454D"/>
    <w:rsid w:val="008E4656"/>
    <w:rsid w:val="008E473B"/>
    <w:rsid w:val="008E51A6"/>
    <w:rsid w:val="008E7329"/>
    <w:rsid w:val="008E75B9"/>
    <w:rsid w:val="008F053A"/>
    <w:rsid w:val="008F2ED5"/>
    <w:rsid w:val="009042EB"/>
    <w:rsid w:val="00904334"/>
    <w:rsid w:val="0090549F"/>
    <w:rsid w:val="0092129A"/>
    <w:rsid w:val="00921E3E"/>
    <w:rsid w:val="0092297E"/>
    <w:rsid w:val="00923651"/>
    <w:rsid w:val="00927B56"/>
    <w:rsid w:val="00931AAC"/>
    <w:rsid w:val="00932F3D"/>
    <w:rsid w:val="009341BF"/>
    <w:rsid w:val="00936A9D"/>
    <w:rsid w:val="00937907"/>
    <w:rsid w:val="00941739"/>
    <w:rsid w:val="009478A9"/>
    <w:rsid w:val="00950ADD"/>
    <w:rsid w:val="00951573"/>
    <w:rsid w:val="00951820"/>
    <w:rsid w:val="00955F02"/>
    <w:rsid w:val="00957CBE"/>
    <w:rsid w:val="00957ED0"/>
    <w:rsid w:val="00963003"/>
    <w:rsid w:val="00964286"/>
    <w:rsid w:val="00966EEF"/>
    <w:rsid w:val="00971B28"/>
    <w:rsid w:val="00973D51"/>
    <w:rsid w:val="0097702A"/>
    <w:rsid w:val="00977A3B"/>
    <w:rsid w:val="0098228E"/>
    <w:rsid w:val="00983471"/>
    <w:rsid w:val="00987CE3"/>
    <w:rsid w:val="009909AB"/>
    <w:rsid w:val="0099144D"/>
    <w:rsid w:val="00991541"/>
    <w:rsid w:val="00992A92"/>
    <w:rsid w:val="009A114D"/>
    <w:rsid w:val="009A179F"/>
    <w:rsid w:val="009A3D1F"/>
    <w:rsid w:val="009A4F25"/>
    <w:rsid w:val="009A50A3"/>
    <w:rsid w:val="009A5B40"/>
    <w:rsid w:val="009A7928"/>
    <w:rsid w:val="009B31D9"/>
    <w:rsid w:val="009B37DB"/>
    <w:rsid w:val="009C13E0"/>
    <w:rsid w:val="009C182B"/>
    <w:rsid w:val="009C1B97"/>
    <w:rsid w:val="009C5586"/>
    <w:rsid w:val="009C7230"/>
    <w:rsid w:val="009C7A8C"/>
    <w:rsid w:val="009D23F9"/>
    <w:rsid w:val="009D33E7"/>
    <w:rsid w:val="009D4FA8"/>
    <w:rsid w:val="009E08BF"/>
    <w:rsid w:val="009E1AC7"/>
    <w:rsid w:val="009E29F2"/>
    <w:rsid w:val="009E44AE"/>
    <w:rsid w:val="009E6CD6"/>
    <w:rsid w:val="009F4863"/>
    <w:rsid w:val="009F4D66"/>
    <w:rsid w:val="009F64BE"/>
    <w:rsid w:val="009F6B35"/>
    <w:rsid w:val="00A00C3C"/>
    <w:rsid w:val="00A01091"/>
    <w:rsid w:val="00A042B9"/>
    <w:rsid w:val="00A06DBB"/>
    <w:rsid w:val="00A16CC8"/>
    <w:rsid w:val="00A20346"/>
    <w:rsid w:val="00A22ADF"/>
    <w:rsid w:val="00A23A4D"/>
    <w:rsid w:val="00A25044"/>
    <w:rsid w:val="00A2707B"/>
    <w:rsid w:val="00A31E86"/>
    <w:rsid w:val="00A347F1"/>
    <w:rsid w:val="00A348D3"/>
    <w:rsid w:val="00A36B7E"/>
    <w:rsid w:val="00A473AA"/>
    <w:rsid w:val="00A47FD5"/>
    <w:rsid w:val="00A54A3B"/>
    <w:rsid w:val="00A54D87"/>
    <w:rsid w:val="00A5553C"/>
    <w:rsid w:val="00A61ACC"/>
    <w:rsid w:val="00A62314"/>
    <w:rsid w:val="00A67196"/>
    <w:rsid w:val="00A67DE2"/>
    <w:rsid w:val="00A701C9"/>
    <w:rsid w:val="00A762AD"/>
    <w:rsid w:val="00A81785"/>
    <w:rsid w:val="00A83470"/>
    <w:rsid w:val="00A84803"/>
    <w:rsid w:val="00A84C51"/>
    <w:rsid w:val="00A86D55"/>
    <w:rsid w:val="00A86F2B"/>
    <w:rsid w:val="00A91366"/>
    <w:rsid w:val="00A918F3"/>
    <w:rsid w:val="00A91C99"/>
    <w:rsid w:val="00A93AA6"/>
    <w:rsid w:val="00A944DF"/>
    <w:rsid w:val="00A959B7"/>
    <w:rsid w:val="00A9663D"/>
    <w:rsid w:val="00AA4E48"/>
    <w:rsid w:val="00AA5104"/>
    <w:rsid w:val="00AA6202"/>
    <w:rsid w:val="00AA756E"/>
    <w:rsid w:val="00AA7B57"/>
    <w:rsid w:val="00AB1C66"/>
    <w:rsid w:val="00AB5681"/>
    <w:rsid w:val="00AB5F60"/>
    <w:rsid w:val="00AC26FC"/>
    <w:rsid w:val="00AC2BC7"/>
    <w:rsid w:val="00AC4A99"/>
    <w:rsid w:val="00AC64D2"/>
    <w:rsid w:val="00AD0174"/>
    <w:rsid w:val="00AD02E7"/>
    <w:rsid w:val="00AD1CF5"/>
    <w:rsid w:val="00AD4CEB"/>
    <w:rsid w:val="00AE0FE8"/>
    <w:rsid w:val="00AE1322"/>
    <w:rsid w:val="00AE2D7F"/>
    <w:rsid w:val="00AE3198"/>
    <w:rsid w:val="00AE382D"/>
    <w:rsid w:val="00AF1051"/>
    <w:rsid w:val="00AF16E5"/>
    <w:rsid w:val="00AF37D7"/>
    <w:rsid w:val="00AF60D5"/>
    <w:rsid w:val="00AF7E9C"/>
    <w:rsid w:val="00B00959"/>
    <w:rsid w:val="00B04415"/>
    <w:rsid w:val="00B06509"/>
    <w:rsid w:val="00B06B60"/>
    <w:rsid w:val="00B10B9E"/>
    <w:rsid w:val="00B11C76"/>
    <w:rsid w:val="00B11D60"/>
    <w:rsid w:val="00B13D65"/>
    <w:rsid w:val="00B17797"/>
    <w:rsid w:val="00B208C6"/>
    <w:rsid w:val="00B21805"/>
    <w:rsid w:val="00B21A5D"/>
    <w:rsid w:val="00B258A1"/>
    <w:rsid w:val="00B3072E"/>
    <w:rsid w:val="00B36E15"/>
    <w:rsid w:val="00B37245"/>
    <w:rsid w:val="00B4017A"/>
    <w:rsid w:val="00B4468D"/>
    <w:rsid w:val="00B45688"/>
    <w:rsid w:val="00B706BC"/>
    <w:rsid w:val="00B71C72"/>
    <w:rsid w:val="00B81E92"/>
    <w:rsid w:val="00B870CE"/>
    <w:rsid w:val="00B87619"/>
    <w:rsid w:val="00B87B84"/>
    <w:rsid w:val="00B87F6A"/>
    <w:rsid w:val="00B87FB3"/>
    <w:rsid w:val="00B908D7"/>
    <w:rsid w:val="00B915AB"/>
    <w:rsid w:val="00B925AC"/>
    <w:rsid w:val="00B935E8"/>
    <w:rsid w:val="00B93B30"/>
    <w:rsid w:val="00B94CB5"/>
    <w:rsid w:val="00B96272"/>
    <w:rsid w:val="00B96AB4"/>
    <w:rsid w:val="00B9735E"/>
    <w:rsid w:val="00BA0DD9"/>
    <w:rsid w:val="00BA19F0"/>
    <w:rsid w:val="00BA5DBC"/>
    <w:rsid w:val="00BA5FC9"/>
    <w:rsid w:val="00BB2CE4"/>
    <w:rsid w:val="00BB3FE7"/>
    <w:rsid w:val="00BB6312"/>
    <w:rsid w:val="00BC4BEA"/>
    <w:rsid w:val="00BC4D06"/>
    <w:rsid w:val="00BD0300"/>
    <w:rsid w:val="00BD4F39"/>
    <w:rsid w:val="00BD585E"/>
    <w:rsid w:val="00BD5919"/>
    <w:rsid w:val="00BD6919"/>
    <w:rsid w:val="00BE153D"/>
    <w:rsid w:val="00BE1EA7"/>
    <w:rsid w:val="00BE320B"/>
    <w:rsid w:val="00BE6606"/>
    <w:rsid w:val="00BE7489"/>
    <w:rsid w:val="00BF2E0D"/>
    <w:rsid w:val="00BF36AB"/>
    <w:rsid w:val="00BF3927"/>
    <w:rsid w:val="00BF3F8B"/>
    <w:rsid w:val="00BF76DA"/>
    <w:rsid w:val="00C0601C"/>
    <w:rsid w:val="00C06201"/>
    <w:rsid w:val="00C07C7B"/>
    <w:rsid w:val="00C10B64"/>
    <w:rsid w:val="00C11BAE"/>
    <w:rsid w:val="00C16245"/>
    <w:rsid w:val="00C16C40"/>
    <w:rsid w:val="00C210B4"/>
    <w:rsid w:val="00C22DC5"/>
    <w:rsid w:val="00C24479"/>
    <w:rsid w:val="00C273F2"/>
    <w:rsid w:val="00C31812"/>
    <w:rsid w:val="00C37B53"/>
    <w:rsid w:val="00C406C2"/>
    <w:rsid w:val="00C41C6B"/>
    <w:rsid w:val="00C439DB"/>
    <w:rsid w:val="00C50D1E"/>
    <w:rsid w:val="00C517D2"/>
    <w:rsid w:val="00C51A47"/>
    <w:rsid w:val="00C542F0"/>
    <w:rsid w:val="00C54E33"/>
    <w:rsid w:val="00C5772E"/>
    <w:rsid w:val="00C57FF3"/>
    <w:rsid w:val="00C62740"/>
    <w:rsid w:val="00C62B36"/>
    <w:rsid w:val="00C63931"/>
    <w:rsid w:val="00C63D1B"/>
    <w:rsid w:val="00C7012C"/>
    <w:rsid w:val="00C712EA"/>
    <w:rsid w:val="00C7255C"/>
    <w:rsid w:val="00C849C5"/>
    <w:rsid w:val="00C92843"/>
    <w:rsid w:val="00C96CE4"/>
    <w:rsid w:val="00CA217D"/>
    <w:rsid w:val="00CA3AFD"/>
    <w:rsid w:val="00CA3E47"/>
    <w:rsid w:val="00CB56BF"/>
    <w:rsid w:val="00CB744C"/>
    <w:rsid w:val="00CC05F1"/>
    <w:rsid w:val="00CC09D4"/>
    <w:rsid w:val="00CC34AF"/>
    <w:rsid w:val="00CC4872"/>
    <w:rsid w:val="00CC668D"/>
    <w:rsid w:val="00CC7832"/>
    <w:rsid w:val="00CD09CB"/>
    <w:rsid w:val="00CD0B3D"/>
    <w:rsid w:val="00CD1F32"/>
    <w:rsid w:val="00CD1F72"/>
    <w:rsid w:val="00CD26AE"/>
    <w:rsid w:val="00CE08D6"/>
    <w:rsid w:val="00CF0408"/>
    <w:rsid w:val="00CF0C1C"/>
    <w:rsid w:val="00CF20D4"/>
    <w:rsid w:val="00CF27FD"/>
    <w:rsid w:val="00CF5F12"/>
    <w:rsid w:val="00D00D8F"/>
    <w:rsid w:val="00D12DE9"/>
    <w:rsid w:val="00D13D66"/>
    <w:rsid w:val="00D16345"/>
    <w:rsid w:val="00D2043F"/>
    <w:rsid w:val="00D214E7"/>
    <w:rsid w:val="00D21C59"/>
    <w:rsid w:val="00D21F3A"/>
    <w:rsid w:val="00D23808"/>
    <w:rsid w:val="00D27F81"/>
    <w:rsid w:val="00D3016A"/>
    <w:rsid w:val="00D417D2"/>
    <w:rsid w:val="00D42960"/>
    <w:rsid w:val="00D43BD7"/>
    <w:rsid w:val="00D443E3"/>
    <w:rsid w:val="00D4485B"/>
    <w:rsid w:val="00D4708D"/>
    <w:rsid w:val="00D4744C"/>
    <w:rsid w:val="00D521DE"/>
    <w:rsid w:val="00D52F1C"/>
    <w:rsid w:val="00D5470B"/>
    <w:rsid w:val="00D54D68"/>
    <w:rsid w:val="00D57AB7"/>
    <w:rsid w:val="00D6104C"/>
    <w:rsid w:val="00D63068"/>
    <w:rsid w:val="00D6498C"/>
    <w:rsid w:val="00D6547B"/>
    <w:rsid w:val="00D65B3B"/>
    <w:rsid w:val="00D73BB4"/>
    <w:rsid w:val="00D76A70"/>
    <w:rsid w:val="00D777C0"/>
    <w:rsid w:val="00D83182"/>
    <w:rsid w:val="00D8521E"/>
    <w:rsid w:val="00D874B3"/>
    <w:rsid w:val="00D9291C"/>
    <w:rsid w:val="00D93A97"/>
    <w:rsid w:val="00D94394"/>
    <w:rsid w:val="00D97FEA"/>
    <w:rsid w:val="00DA2565"/>
    <w:rsid w:val="00DA6F01"/>
    <w:rsid w:val="00DB1616"/>
    <w:rsid w:val="00DB1F64"/>
    <w:rsid w:val="00DC0109"/>
    <w:rsid w:val="00DC2F53"/>
    <w:rsid w:val="00DC5BAC"/>
    <w:rsid w:val="00DC6816"/>
    <w:rsid w:val="00DC76C2"/>
    <w:rsid w:val="00DC7ECF"/>
    <w:rsid w:val="00DD1CF2"/>
    <w:rsid w:val="00DD2C93"/>
    <w:rsid w:val="00DD33DC"/>
    <w:rsid w:val="00DD385E"/>
    <w:rsid w:val="00DD69B2"/>
    <w:rsid w:val="00DE22C8"/>
    <w:rsid w:val="00DE4484"/>
    <w:rsid w:val="00DE5DFC"/>
    <w:rsid w:val="00DE6ACC"/>
    <w:rsid w:val="00DF41B7"/>
    <w:rsid w:val="00DF439F"/>
    <w:rsid w:val="00DF4A4A"/>
    <w:rsid w:val="00DF583C"/>
    <w:rsid w:val="00E033CD"/>
    <w:rsid w:val="00E03C3F"/>
    <w:rsid w:val="00E03D36"/>
    <w:rsid w:val="00E056A4"/>
    <w:rsid w:val="00E06FD7"/>
    <w:rsid w:val="00E07417"/>
    <w:rsid w:val="00E24D45"/>
    <w:rsid w:val="00E30534"/>
    <w:rsid w:val="00E33DB8"/>
    <w:rsid w:val="00E33EFF"/>
    <w:rsid w:val="00E34387"/>
    <w:rsid w:val="00E348BA"/>
    <w:rsid w:val="00E3684C"/>
    <w:rsid w:val="00E369FE"/>
    <w:rsid w:val="00E3734A"/>
    <w:rsid w:val="00E37C6F"/>
    <w:rsid w:val="00E45447"/>
    <w:rsid w:val="00E45575"/>
    <w:rsid w:val="00E475F8"/>
    <w:rsid w:val="00E500BB"/>
    <w:rsid w:val="00E5102E"/>
    <w:rsid w:val="00E5305E"/>
    <w:rsid w:val="00E5721C"/>
    <w:rsid w:val="00E60827"/>
    <w:rsid w:val="00E619C6"/>
    <w:rsid w:val="00E745A1"/>
    <w:rsid w:val="00E8102A"/>
    <w:rsid w:val="00E81529"/>
    <w:rsid w:val="00E83A13"/>
    <w:rsid w:val="00E9126B"/>
    <w:rsid w:val="00EA1155"/>
    <w:rsid w:val="00EA14DC"/>
    <w:rsid w:val="00EA6CBB"/>
    <w:rsid w:val="00EA7410"/>
    <w:rsid w:val="00EB2CA6"/>
    <w:rsid w:val="00EB6FC5"/>
    <w:rsid w:val="00EC1511"/>
    <w:rsid w:val="00EC2356"/>
    <w:rsid w:val="00EC2582"/>
    <w:rsid w:val="00EC337C"/>
    <w:rsid w:val="00ED0CFF"/>
    <w:rsid w:val="00ED243F"/>
    <w:rsid w:val="00ED31D2"/>
    <w:rsid w:val="00EE05A8"/>
    <w:rsid w:val="00EE0EAC"/>
    <w:rsid w:val="00EE2168"/>
    <w:rsid w:val="00EE3322"/>
    <w:rsid w:val="00EE33CB"/>
    <w:rsid w:val="00EF2973"/>
    <w:rsid w:val="00EF485D"/>
    <w:rsid w:val="00EF7DD3"/>
    <w:rsid w:val="00F0061A"/>
    <w:rsid w:val="00F02834"/>
    <w:rsid w:val="00F04EEB"/>
    <w:rsid w:val="00F05467"/>
    <w:rsid w:val="00F055D2"/>
    <w:rsid w:val="00F05BC7"/>
    <w:rsid w:val="00F07CD7"/>
    <w:rsid w:val="00F127E9"/>
    <w:rsid w:val="00F14B5D"/>
    <w:rsid w:val="00F259FC"/>
    <w:rsid w:val="00F2756B"/>
    <w:rsid w:val="00F3143C"/>
    <w:rsid w:val="00F31E3E"/>
    <w:rsid w:val="00F36972"/>
    <w:rsid w:val="00F400FE"/>
    <w:rsid w:val="00F42426"/>
    <w:rsid w:val="00F456BC"/>
    <w:rsid w:val="00F50666"/>
    <w:rsid w:val="00F53151"/>
    <w:rsid w:val="00F54682"/>
    <w:rsid w:val="00F55522"/>
    <w:rsid w:val="00F55668"/>
    <w:rsid w:val="00F63FEA"/>
    <w:rsid w:val="00F67D3C"/>
    <w:rsid w:val="00F70C9E"/>
    <w:rsid w:val="00F74A74"/>
    <w:rsid w:val="00F7572C"/>
    <w:rsid w:val="00F83073"/>
    <w:rsid w:val="00F8382C"/>
    <w:rsid w:val="00F839BD"/>
    <w:rsid w:val="00F8539F"/>
    <w:rsid w:val="00F855D7"/>
    <w:rsid w:val="00F900FC"/>
    <w:rsid w:val="00F92035"/>
    <w:rsid w:val="00F92748"/>
    <w:rsid w:val="00F92A24"/>
    <w:rsid w:val="00FA4169"/>
    <w:rsid w:val="00FB0D41"/>
    <w:rsid w:val="00FB2030"/>
    <w:rsid w:val="00FB388C"/>
    <w:rsid w:val="00FC0D45"/>
    <w:rsid w:val="00FC50CC"/>
    <w:rsid w:val="00FC76AB"/>
    <w:rsid w:val="00FD0E46"/>
    <w:rsid w:val="00FD1CF2"/>
    <w:rsid w:val="00FD3EDF"/>
    <w:rsid w:val="00FD492C"/>
    <w:rsid w:val="00FD4B60"/>
    <w:rsid w:val="00FD793C"/>
    <w:rsid w:val="00FE0FD5"/>
    <w:rsid w:val="00FE20E6"/>
    <w:rsid w:val="00FE231B"/>
    <w:rsid w:val="00FE3E3B"/>
    <w:rsid w:val="00FE63F5"/>
    <w:rsid w:val="00FE659C"/>
    <w:rsid w:val="00FE6709"/>
    <w:rsid w:val="00FE6D31"/>
    <w:rsid w:val="00FF00D2"/>
    <w:rsid w:val="00FF3FB1"/>
    <w:rsid w:val="00FF4032"/>
    <w:rsid w:val="00FF56BF"/>
    <w:rsid w:val="00FF6469"/>
    <w:rsid w:val="00FF7E4A"/>
    <w:rsid w:val="2042B827"/>
    <w:rsid w:val="31357FE3"/>
    <w:rsid w:val="3B251BD8"/>
    <w:rsid w:val="4A6A60F2"/>
    <w:rsid w:val="57A7D712"/>
    <w:rsid w:val="66B23060"/>
    <w:rsid w:val="6EB88CC3"/>
    <w:rsid w:val="73DA16C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A9D"/>
    <w:rPr>
      <w:sz w:val="24"/>
      <w:szCs w:val="24"/>
      <w:lang w:eastAsia="en-GB"/>
    </w:rPr>
  </w:style>
  <w:style w:type="paragraph" w:styleId="Heading1">
    <w:name w:val="heading 1"/>
    <w:basedOn w:val="Normal"/>
    <w:next w:val="Normal"/>
    <w:uiPriority w:val="9"/>
    <w:qFormat/>
    <w:rsid w:val="00A84C51"/>
    <w:pPr>
      <w:keepNext/>
      <w:jc w:val="center"/>
      <w:outlineLvl w:val="0"/>
    </w:pPr>
    <w:rPr>
      <w:b/>
      <w:bCs/>
      <w:caps/>
      <w:lang w:eastAsia="en-US"/>
    </w:rPr>
  </w:style>
  <w:style w:type="paragraph" w:styleId="Heading2">
    <w:name w:val="heading 2"/>
    <w:basedOn w:val="Normal"/>
    <w:next w:val="Normal"/>
    <w:uiPriority w:val="9"/>
    <w:qFormat/>
    <w:rsid w:val="00A84C51"/>
    <w:pPr>
      <w:keepNext/>
      <w:jc w:val="center"/>
      <w:outlineLvl w:val="1"/>
    </w:pPr>
    <w:rPr>
      <w:b/>
      <w:bCs/>
      <w:caps/>
      <w:sz w:val="28"/>
      <w:lang w:eastAsia="en-US"/>
    </w:rPr>
  </w:style>
  <w:style w:type="paragraph" w:styleId="Heading3">
    <w:name w:val="heading 3"/>
    <w:basedOn w:val="Heading1"/>
    <w:next w:val="Normal"/>
    <w:link w:val="Heading3Char"/>
    <w:uiPriority w:val="9"/>
    <w:semiHidden/>
    <w:unhideWhenUsed/>
    <w:qFormat/>
    <w:rsid w:val="002D7116"/>
    <w:pPr>
      <w:keepNext w:val="0"/>
      <w:spacing w:line="280" w:lineRule="atLeast"/>
      <w:ind w:left="2160" w:hanging="360"/>
      <w:contextualSpacing/>
      <w:jc w:val="left"/>
      <w:outlineLvl w:val="2"/>
    </w:pPr>
    <w:rPr>
      <w:rFonts w:eastAsia="Arial"/>
      <w:bCs w:val="0"/>
      <w:caps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rPr>
      <w:lang w:eastAsia="en-US"/>
    </w:rPr>
  </w:style>
  <w:style w:type="paragraph" w:styleId="Footer">
    <w:name w:val="footer"/>
    <w:basedOn w:val="Normal"/>
    <w:link w:val="FooterChar"/>
    <w:rsid w:val="00A84C51"/>
    <w:pPr>
      <w:tabs>
        <w:tab w:val="center" w:pos="4986"/>
        <w:tab w:val="right" w:pos="9972"/>
      </w:tabs>
    </w:pPr>
    <w:rPr>
      <w:lang w:eastAsia="en-US"/>
    </w:r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lang w:eastAsia="en-US"/>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lang w:eastAsia="en-US"/>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tyl moj,Akapit z listą11,aotm_załączniki,Akapit z listą1,List Paragraph1,Bullet1,Table Legend,Dot pt,F5 List Paragraph,No Spacing1,List Paragraph Char Char Char,Indicator Text,Colorful List - Accent 11,Numbered Para 1,Bullet 1"/>
    <w:basedOn w:val="Normal"/>
    <w:link w:val="ListParagraphChar"/>
    <w:uiPriority w:val="34"/>
    <w:qFormat/>
    <w:rsid w:val="00104E2E"/>
    <w:pPr>
      <w:ind w:left="720"/>
      <w:contextualSpacing/>
    </w:pPr>
    <w:rPr>
      <w:lang w:eastAsia="en-US"/>
    </w:r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styleId="Strong">
    <w:name w:val="Strong"/>
    <w:basedOn w:val="DefaultParagraphFont"/>
    <w:uiPriority w:val="22"/>
    <w:qFormat/>
    <w:rsid w:val="00BB3FE7"/>
    <w:rPr>
      <w:b/>
      <w:bCs/>
    </w:rPr>
  </w:style>
  <w:style w:type="character" w:styleId="Emphasis">
    <w:name w:val="Emphasis"/>
    <w:basedOn w:val="DefaultParagraphFont"/>
    <w:qFormat/>
    <w:rsid w:val="001317EF"/>
    <w:rPr>
      <w:i/>
      <w:iCs/>
    </w:rPr>
  </w:style>
  <w:style w:type="character" w:customStyle="1" w:styleId="ListParagraphChar">
    <w:name w:val="List Paragraph Char"/>
    <w:aliases w:val="Styl moj Char,Akapit z listą11 Char,aotm_załączniki Char,Akapit z listą1 Char,List Paragraph1 Char,Bullet1 Char,Table Legend Char,Dot pt Char,F5 List Paragraph Char,No Spacing1 Char,List Paragraph Char Char Char Char,Bullet 1 Char"/>
    <w:link w:val="ListParagraph"/>
    <w:uiPriority w:val="34"/>
    <w:qFormat/>
    <w:locked/>
    <w:rsid w:val="00CD1F72"/>
    <w:rPr>
      <w:sz w:val="24"/>
      <w:szCs w:val="24"/>
      <w:lang w:eastAsia="en-US"/>
    </w:rPr>
  </w:style>
  <w:style w:type="character" w:customStyle="1" w:styleId="Heading3Char">
    <w:name w:val="Heading 3 Char"/>
    <w:basedOn w:val="DefaultParagraphFont"/>
    <w:link w:val="Heading3"/>
    <w:uiPriority w:val="9"/>
    <w:semiHidden/>
    <w:rsid w:val="002D7116"/>
    <w:rPr>
      <w:rFonts w:eastAsia="Arial"/>
      <w:b/>
      <w:sz w:val="24"/>
      <w:szCs w:val="24"/>
      <w:lang w:eastAsia="en-GB"/>
    </w:rPr>
  </w:style>
  <w:style w:type="paragraph" w:styleId="HTMLPreformatted">
    <w:name w:val="HTML Preformatted"/>
    <w:basedOn w:val="Normal"/>
    <w:link w:val="HTMLPreformattedChar"/>
    <w:uiPriority w:val="99"/>
    <w:unhideWhenUsed/>
    <w:rsid w:val="00D13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13D66"/>
    <w:rPr>
      <w:rFonts w:ascii="Courier New" w:hAnsi="Courier New" w:cs="Courier New"/>
      <w:lang w:eastAsia="en-GB"/>
    </w:rPr>
  </w:style>
  <w:style w:type="character" w:customStyle="1" w:styleId="y2iqfc">
    <w:name w:val="y2iqfc"/>
    <w:basedOn w:val="DefaultParagraphFont"/>
    <w:rsid w:val="00D13D66"/>
  </w:style>
  <w:style w:type="character" w:customStyle="1" w:styleId="normaltextrun">
    <w:name w:val="normaltextrun"/>
    <w:basedOn w:val="DefaultParagraphFont"/>
    <w:rsid w:val="0033140A"/>
  </w:style>
  <w:style w:type="paragraph" w:customStyle="1" w:styleId="paragraph">
    <w:name w:val="paragraph"/>
    <w:basedOn w:val="Normal"/>
    <w:rsid w:val="00964286"/>
    <w:pPr>
      <w:spacing w:before="100" w:beforeAutospacing="1" w:after="100" w:afterAutospacing="1"/>
    </w:pPr>
  </w:style>
  <w:style w:type="character" w:customStyle="1" w:styleId="eop">
    <w:name w:val="eop"/>
    <w:basedOn w:val="DefaultParagraphFont"/>
    <w:rsid w:val="00964286"/>
  </w:style>
  <w:style w:type="character" w:customStyle="1" w:styleId="tabchar">
    <w:name w:val="tabchar"/>
    <w:basedOn w:val="DefaultParagraphFont"/>
    <w:rsid w:val="00964286"/>
  </w:style>
  <w:style w:type="paragraph" w:customStyle="1" w:styleId="Head2">
    <w:name w:val="Head 2"/>
    <w:basedOn w:val="Heading1"/>
    <w:link w:val="Head2Char"/>
    <w:qFormat/>
    <w:rsid w:val="00C41C6B"/>
    <w:pPr>
      <w:keepNext w:val="0"/>
      <w:widowControl w:val="0"/>
      <w:numPr>
        <w:numId w:val="19"/>
      </w:numPr>
      <w:overflowPunct w:val="0"/>
      <w:autoSpaceDE w:val="0"/>
      <w:autoSpaceDN w:val="0"/>
      <w:adjustRightInd w:val="0"/>
      <w:contextualSpacing/>
      <w:jc w:val="both"/>
      <w:textAlignment w:val="baseline"/>
    </w:pPr>
    <w:rPr>
      <w:bCs w:val="0"/>
      <w:caps w:val="0"/>
      <w:kern w:val="28"/>
      <w:lang w:eastAsia="en-GB"/>
    </w:rPr>
  </w:style>
  <w:style w:type="paragraph" w:customStyle="1" w:styleId="Head3">
    <w:name w:val="Head 3"/>
    <w:basedOn w:val="Heading1"/>
    <w:qFormat/>
    <w:rsid w:val="00C41C6B"/>
    <w:pPr>
      <w:keepNext w:val="0"/>
      <w:widowControl w:val="0"/>
      <w:numPr>
        <w:ilvl w:val="1"/>
        <w:numId w:val="19"/>
      </w:numPr>
      <w:overflowPunct w:val="0"/>
      <w:autoSpaceDE w:val="0"/>
      <w:autoSpaceDN w:val="0"/>
      <w:adjustRightInd w:val="0"/>
      <w:ind w:left="567" w:hanging="573"/>
      <w:contextualSpacing/>
      <w:jc w:val="both"/>
      <w:textAlignment w:val="baseline"/>
    </w:pPr>
    <w:rPr>
      <w:bCs w:val="0"/>
      <w:caps w:val="0"/>
      <w:kern w:val="28"/>
      <w:lang w:eastAsia="en-GB"/>
    </w:rPr>
  </w:style>
  <w:style w:type="character" w:customStyle="1" w:styleId="Head2Char">
    <w:name w:val="Head 2 Char"/>
    <w:basedOn w:val="DefaultParagraphFont"/>
    <w:link w:val="Head2"/>
    <w:rsid w:val="00C41C6B"/>
    <w:rPr>
      <w:b/>
      <w:kern w:val="28"/>
      <w:sz w:val="24"/>
      <w:szCs w:val="24"/>
      <w:lang w:eastAsia="en-GB"/>
    </w:rPr>
  </w:style>
  <w:style w:type="paragraph" w:styleId="z-BottomofForm">
    <w:name w:val="HTML Bottom of Form"/>
    <w:basedOn w:val="Normal"/>
    <w:next w:val="Normal"/>
    <w:link w:val="z-BottomofFormChar"/>
    <w:hidden/>
    <w:uiPriority w:val="99"/>
    <w:semiHidden/>
    <w:unhideWhenUsed/>
    <w:rsid w:val="00114506"/>
    <w:pPr>
      <w:pBdr>
        <w:top w:val="single" w:sz="6" w:space="1" w:color="auto"/>
      </w:pBdr>
      <w:spacing w:line="276" w:lineRule="auto"/>
      <w:jc w:val="center"/>
    </w:pPr>
    <w:rPr>
      <w:rFonts w:ascii="Arial" w:eastAsia="Arial" w:hAnsi="Arial" w:cs="Arial"/>
      <w:vanish/>
      <w:sz w:val="16"/>
      <w:szCs w:val="16"/>
    </w:rPr>
  </w:style>
  <w:style w:type="character" w:customStyle="1" w:styleId="z-BottomofFormChar">
    <w:name w:val="z-Bottom of Form Char"/>
    <w:basedOn w:val="DefaultParagraphFont"/>
    <w:link w:val="z-BottomofForm"/>
    <w:uiPriority w:val="99"/>
    <w:semiHidden/>
    <w:rsid w:val="00114506"/>
    <w:rPr>
      <w:rFonts w:ascii="Arial" w:eastAsia="Arial" w:hAnsi="Arial" w:cs="Arial"/>
      <w:vanish/>
      <w:sz w:val="16"/>
      <w:szCs w:val="16"/>
      <w:lang w:eastAsia="en-GB"/>
    </w:rPr>
  </w:style>
  <w:style w:type="paragraph" w:styleId="NormalWeb">
    <w:name w:val="Normal (Web)"/>
    <w:basedOn w:val="Normal"/>
    <w:uiPriority w:val="99"/>
    <w:unhideWhenUsed/>
    <w:rsid w:val="00AB1C66"/>
    <w:pPr>
      <w:spacing w:before="100" w:beforeAutospacing="1" w:after="100" w:afterAutospacing="1"/>
    </w:pPr>
    <w:rPr>
      <w:lang w:eastAsia="lt-LT"/>
    </w:rPr>
  </w:style>
  <w:style w:type="paragraph" w:customStyle="1" w:styleId="Tekstas">
    <w:name w:val="Tekstas"/>
    <w:basedOn w:val="Normal"/>
    <w:qFormat/>
    <w:rsid w:val="00B87B84"/>
    <w:pPr>
      <w:spacing w:after="120"/>
      <w:jc w:val="both"/>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1519">
      <w:bodyDiv w:val="1"/>
      <w:marLeft w:val="0"/>
      <w:marRight w:val="0"/>
      <w:marTop w:val="0"/>
      <w:marBottom w:val="0"/>
      <w:divBdr>
        <w:top w:val="none" w:sz="0" w:space="0" w:color="auto"/>
        <w:left w:val="none" w:sz="0" w:space="0" w:color="auto"/>
        <w:bottom w:val="none" w:sz="0" w:space="0" w:color="auto"/>
        <w:right w:val="none" w:sz="0" w:space="0" w:color="auto"/>
      </w:divBdr>
    </w:div>
    <w:div w:id="723528670">
      <w:bodyDiv w:val="1"/>
      <w:marLeft w:val="0"/>
      <w:marRight w:val="0"/>
      <w:marTop w:val="0"/>
      <w:marBottom w:val="0"/>
      <w:divBdr>
        <w:top w:val="none" w:sz="0" w:space="0" w:color="auto"/>
        <w:left w:val="none" w:sz="0" w:space="0" w:color="auto"/>
        <w:bottom w:val="none" w:sz="0" w:space="0" w:color="auto"/>
        <w:right w:val="none" w:sz="0" w:space="0" w:color="auto"/>
      </w:divBdr>
    </w:div>
    <w:div w:id="888764114">
      <w:bodyDiv w:val="1"/>
      <w:marLeft w:val="0"/>
      <w:marRight w:val="0"/>
      <w:marTop w:val="0"/>
      <w:marBottom w:val="0"/>
      <w:divBdr>
        <w:top w:val="none" w:sz="0" w:space="0" w:color="auto"/>
        <w:left w:val="none" w:sz="0" w:space="0" w:color="auto"/>
        <w:bottom w:val="none" w:sz="0" w:space="0" w:color="auto"/>
        <w:right w:val="none" w:sz="0" w:space="0" w:color="auto"/>
      </w:divBdr>
    </w:div>
    <w:div w:id="962617311">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446657043">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49102165">
      <w:bodyDiv w:val="1"/>
      <w:marLeft w:val="0"/>
      <w:marRight w:val="0"/>
      <w:marTop w:val="0"/>
      <w:marBottom w:val="0"/>
      <w:divBdr>
        <w:top w:val="none" w:sz="0" w:space="0" w:color="auto"/>
        <w:left w:val="none" w:sz="0" w:space="0" w:color="auto"/>
        <w:bottom w:val="none" w:sz="0" w:space="0" w:color="auto"/>
        <w:right w:val="none" w:sz="0" w:space="0" w:color="auto"/>
      </w:divBdr>
      <w:divsChild>
        <w:div w:id="1890605878">
          <w:marLeft w:val="0"/>
          <w:marRight w:val="0"/>
          <w:marTop w:val="300"/>
          <w:marBottom w:val="0"/>
          <w:divBdr>
            <w:top w:val="none" w:sz="0" w:space="0" w:color="auto"/>
            <w:left w:val="none" w:sz="0" w:space="0" w:color="auto"/>
            <w:bottom w:val="none" w:sz="0" w:space="0" w:color="auto"/>
            <w:right w:val="none" w:sz="0" w:space="0" w:color="auto"/>
          </w:divBdr>
          <w:divsChild>
            <w:div w:id="1264337994">
              <w:marLeft w:val="0"/>
              <w:marRight w:val="0"/>
              <w:marTop w:val="0"/>
              <w:marBottom w:val="0"/>
              <w:divBdr>
                <w:top w:val="none" w:sz="0" w:space="0" w:color="auto"/>
                <w:left w:val="none" w:sz="0" w:space="0" w:color="auto"/>
                <w:bottom w:val="none" w:sz="0" w:space="0" w:color="auto"/>
                <w:right w:val="none" w:sz="0" w:space="0" w:color="auto"/>
              </w:divBdr>
            </w:div>
          </w:divsChild>
        </w:div>
        <w:div w:id="587740550">
          <w:marLeft w:val="1500"/>
          <w:marRight w:val="0"/>
          <w:marTop w:val="0"/>
          <w:marBottom w:val="0"/>
          <w:divBdr>
            <w:top w:val="none" w:sz="0" w:space="0" w:color="auto"/>
            <w:left w:val="none" w:sz="0" w:space="0" w:color="auto"/>
            <w:bottom w:val="none" w:sz="0" w:space="0" w:color="auto"/>
            <w:right w:val="none" w:sz="0" w:space="0" w:color="auto"/>
          </w:divBdr>
          <w:divsChild>
            <w:div w:id="392657205">
              <w:marLeft w:val="0"/>
              <w:marRight w:val="0"/>
              <w:marTop w:val="0"/>
              <w:marBottom w:val="0"/>
              <w:divBdr>
                <w:top w:val="none" w:sz="0" w:space="0" w:color="auto"/>
                <w:left w:val="none" w:sz="0" w:space="0" w:color="auto"/>
                <w:bottom w:val="none" w:sz="0" w:space="0" w:color="auto"/>
                <w:right w:val="none" w:sz="0" w:space="0" w:color="auto"/>
              </w:divBdr>
              <w:divsChild>
                <w:div w:id="1029531432">
                  <w:marLeft w:val="0"/>
                  <w:marRight w:val="0"/>
                  <w:marTop w:val="0"/>
                  <w:marBottom w:val="60"/>
                  <w:divBdr>
                    <w:top w:val="none" w:sz="0" w:space="0" w:color="auto"/>
                    <w:left w:val="none" w:sz="0" w:space="0" w:color="auto"/>
                    <w:bottom w:val="none" w:sz="0" w:space="0" w:color="auto"/>
                    <w:right w:val="none" w:sz="0" w:space="0" w:color="auto"/>
                  </w:divBdr>
                  <w:divsChild>
                    <w:div w:id="152201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E57862C8178949AF9E2077D8E9F9B240"/>
        <w:category>
          <w:name w:val="General"/>
          <w:gallery w:val="placeholder"/>
        </w:category>
        <w:types>
          <w:type w:val="bbPlcHdr"/>
        </w:types>
        <w:behaviors>
          <w:behavior w:val="content"/>
        </w:behaviors>
        <w:guid w:val="{F45B618E-1820-4FB8-95AF-52A7DB968FC5}"/>
      </w:docPartPr>
      <w:docPartBody>
        <w:p w:rsidR="008409AE" w:rsidRDefault="00AF7616" w:rsidP="00AF7616">
          <w:pPr>
            <w:pStyle w:val="E57862C8178949AF9E2077D8E9F9B240"/>
          </w:pPr>
          <w:r>
            <w:rPr>
              <w:rStyle w:val="PlaceholderText"/>
            </w:rPr>
            <w:t>Click here to enter a date.</w:t>
          </w:r>
        </w:p>
      </w:docPartBody>
    </w:docPart>
    <w:docPart>
      <w:docPartPr>
        <w:name w:val="9C009F480B3745ECAD4FB1D76CDD3DA1"/>
        <w:category>
          <w:name w:val="General"/>
          <w:gallery w:val="placeholder"/>
        </w:category>
        <w:types>
          <w:type w:val="bbPlcHdr"/>
        </w:types>
        <w:behaviors>
          <w:behavior w:val="content"/>
        </w:behaviors>
        <w:guid w:val="{343CCD8F-F510-49F6-88BB-72F96242D222}"/>
      </w:docPartPr>
      <w:docPartBody>
        <w:p w:rsidR="008409AE" w:rsidRDefault="00AF7616" w:rsidP="00AF7616">
          <w:pPr>
            <w:pStyle w:val="9C009F480B3745ECAD4FB1D76CDD3DA1"/>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1247F"/>
    <w:rsid w:val="000352CB"/>
    <w:rsid w:val="00057142"/>
    <w:rsid w:val="00061157"/>
    <w:rsid w:val="000738A4"/>
    <w:rsid w:val="000937FE"/>
    <w:rsid w:val="00097290"/>
    <w:rsid w:val="000A559A"/>
    <w:rsid w:val="000B0F37"/>
    <w:rsid w:val="000D24D4"/>
    <w:rsid w:val="00104DD4"/>
    <w:rsid w:val="001C35A9"/>
    <w:rsid w:val="00237556"/>
    <w:rsid w:val="002C589F"/>
    <w:rsid w:val="002E2EF8"/>
    <w:rsid w:val="0039303B"/>
    <w:rsid w:val="004144A3"/>
    <w:rsid w:val="004160E7"/>
    <w:rsid w:val="004416C6"/>
    <w:rsid w:val="004F5AB2"/>
    <w:rsid w:val="005074B9"/>
    <w:rsid w:val="00582BA0"/>
    <w:rsid w:val="005E40DD"/>
    <w:rsid w:val="006537FD"/>
    <w:rsid w:val="00686297"/>
    <w:rsid w:val="006E3C0A"/>
    <w:rsid w:val="007219C1"/>
    <w:rsid w:val="00753462"/>
    <w:rsid w:val="00772325"/>
    <w:rsid w:val="007A2FE0"/>
    <w:rsid w:val="007C6D1D"/>
    <w:rsid w:val="007E3B55"/>
    <w:rsid w:val="008409AE"/>
    <w:rsid w:val="008A2C05"/>
    <w:rsid w:val="0090074D"/>
    <w:rsid w:val="009B28D3"/>
    <w:rsid w:val="009B35FB"/>
    <w:rsid w:val="009B3BF0"/>
    <w:rsid w:val="009D5E5E"/>
    <w:rsid w:val="009E3E45"/>
    <w:rsid w:val="009F1BB4"/>
    <w:rsid w:val="00A030A9"/>
    <w:rsid w:val="00AA4DF5"/>
    <w:rsid w:val="00AB6ED4"/>
    <w:rsid w:val="00AC19DC"/>
    <w:rsid w:val="00AF7616"/>
    <w:rsid w:val="00B14210"/>
    <w:rsid w:val="00B23DC0"/>
    <w:rsid w:val="00B529BE"/>
    <w:rsid w:val="00B96656"/>
    <w:rsid w:val="00BD6185"/>
    <w:rsid w:val="00BE29C1"/>
    <w:rsid w:val="00C2401D"/>
    <w:rsid w:val="00C53A68"/>
    <w:rsid w:val="00C916B6"/>
    <w:rsid w:val="00CA5BB4"/>
    <w:rsid w:val="00CB4BD1"/>
    <w:rsid w:val="00CE2DA9"/>
    <w:rsid w:val="00CE44BE"/>
    <w:rsid w:val="00D4356B"/>
    <w:rsid w:val="00D56BFB"/>
    <w:rsid w:val="00D7162F"/>
    <w:rsid w:val="00DE4057"/>
    <w:rsid w:val="00E26D3F"/>
    <w:rsid w:val="00E44A86"/>
    <w:rsid w:val="00E47C2E"/>
    <w:rsid w:val="00E522EB"/>
    <w:rsid w:val="00E60827"/>
    <w:rsid w:val="00E71B68"/>
    <w:rsid w:val="00E73FF6"/>
    <w:rsid w:val="00EB735D"/>
    <w:rsid w:val="00EF6E0C"/>
    <w:rsid w:val="00F55028"/>
    <w:rsid w:val="00F77BEF"/>
    <w:rsid w:val="00FC755C"/>
    <w:rsid w:val="00FD499F"/>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7616"/>
    <w:rPr>
      <w:color w:val="808080"/>
    </w:rPr>
  </w:style>
  <w:style w:type="paragraph" w:customStyle="1" w:styleId="0A1DCC42A2974C359888226B925C8FF8">
    <w:name w:val="0A1DCC42A2974C359888226B925C8FF8"/>
    <w:rsid w:val="005E40DD"/>
  </w:style>
  <w:style w:type="paragraph" w:customStyle="1" w:styleId="E57862C8178949AF9E2077D8E9F9B240">
    <w:name w:val="E57862C8178949AF9E2077D8E9F9B240"/>
    <w:rsid w:val="00AF7616"/>
  </w:style>
  <w:style w:type="paragraph" w:customStyle="1" w:styleId="9C009F480B3745ECAD4FB1D76CDD3DA1">
    <w:name w:val="9C009F480B3745ECAD4FB1D76CDD3DA1"/>
    <w:rsid w:val="00AF7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12" ma:contentTypeDescription="Kurkite naują dokumentą." ma:contentTypeScope="" ma:versionID="7896cec6a881105de0b62eeda7f7519d">
  <xsd:schema xmlns:xsd="http://www.w3.org/2001/XMLSchema" xmlns:xs="http://www.w3.org/2001/XMLSchema" xmlns:p="http://schemas.microsoft.com/office/2006/metadata/properties" xmlns:ns2="0cbfc325-95d3-4267-a4df-efb99666e73f" xmlns:ns3="58c78cca-ba62-460a-8b2d-a5f76cdde1ab" targetNamespace="http://schemas.microsoft.com/office/2006/metadata/properties" ma:root="true" ma:fieldsID="bff511d3fd5ce467215635241e287862" ns2:_="" ns3:_="">
    <xsd:import namespace="0cbfc325-95d3-4267-a4df-efb99666e73f"/>
    <xsd:import namespace="58c78cca-ba62-460a-8b2d-a5f76cdde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78cca-ba62-460a-8b2d-a5f76cdde1ab"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F17D2-A806-4DF5-9510-FA92D047FF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644933-6623-4D92-AE8D-E6EFB4F7E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58c78cca-ba62-460a-8b2d-a5f76cdde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AC572-D939-49A7-BBA1-25F66E19ADAA}">
  <ds:schemaRefs>
    <ds:schemaRef ds:uri="http://schemas.microsoft.com/sharepoint/v3/contenttype/forms"/>
  </ds:schemaRefs>
</ds:datastoreItem>
</file>

<file path=customXml/itemProps4.xml><?xml version="1.0" encoding="utf-8"?>
<ds:datastoreItem xmlns:ds="http://schemas.openxmlformats.org/officeDocument/2006/customXml" ds:itemID="{74900664-A42B-4C54-B7AF-5F44929F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Template>
  <TotalTime>18</TotalTime>
  <Pages>8</Pages>
  <Words>2208</Words>
  <Characters>15254</Characters>
  <Application>Microsoft Office Word</Application>
  <DocSecurity>0</DocSecurity>
  <Lines>127</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S.M.C.A.</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Brigita Venclovaitė</cp:lastModifiedBy>
  <cp:revision>6</cp:revision>
  <cp:lastPrinted>2015-11-17T07:39:00Z</cp:lastPrinted>
  <dcterms:created xsi:type="dcterms:W3CDTF">2022-12-22T12:07:00Z</dcterms:created>
  <dcterms:modified xsi:type="dcterms:W3CDTF">2022-12-28T07:59:00Z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0x010100E3B67235628E7F46AF2BA15FF369754F</vt:lpwstr>
  </property>
</Properties>
</file>