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E5EB3" w14:textId="1955ADE3" w:rsidR="005F7602" w:rsidRPr="000203E1" w:rsidRDefault="005F7602" w:rsidP="002946C7">
      <w:pPr>
        <w:ind w:left="5529"/>
      </w:pPr>
    </w:p>
    <w:p w14:paraId="12FA4B9E" w14:textId="77777777" w:rsidR="001B3C5B" w:rsidRPr="000203E1" w:rsidRDefault="001B3C5B" w:rsidP="001B3C5B">
      <w:pPr>
        <w:ind w:left="6096"/>
      </w:pPr>
      <w:r w:rsidRPr="000203E1">
        <w:t>Forma patvirtinta</w:t>
      </w:r>
    </w:p>
    <w:p w14:paraId="7206970B" w14:textId="70E9BD2E" w:rsidR="004C263A" w:rsidRPr="000203E1" w:rsidRDefault="001B3C5B" w:rsidP="001B3C5B">
      <w:pPr>
        <w:ind w:left="6096"/>
      </w:pPr>
      <w:r w:rsidRPr="000203E1">
        <w:t>Valstybinės vaistų kontrolės tarnybos prie Lietuvos Respublikos sveikatos apsaugos ministerijos viršininko 2021 m</w:t>
      </w:r>
      <w:r w:rsidR="004C263A" w:rsidRPr="000203E1">
        <w:t xml:space="preserve">. lapkričio 12 </w:t>
      </w:r>
      <w:r w:rsidRPr="000203E1">
        <w:t>d. įsakymu Nr.</w:t>
      </w:r>
      <w:r w:rsidR="004C263A" w:rsidRPr="000203E1">
        <w:t xml:space="preserve"> (1.72E)1A-1418</w:t>
      </w:r>
    </w:p>
    <w:p w14:paraId="5B219AA6" w14:textId="520B9136" w:rsidR="001B3C5B" w:rsidRPr="000203E1" w:rsidRDefault="004C263A" w:rsidP="001B3C5B">
      <w:pPr>
        <w:ind w:left="6096"/>
      </w:pPr>
      <w:r w:rsidRPr="000203E1">
        <w:t>(Valstybinės vaistų kontrolės tarnybos prie Lietuvos Respublikos sveikatos apsaugos ministerijos viršininko 2022 m.                         d. įsakymo Nr.                    redakcija)</w:t>
      </w:r>
    </w:p>
    <w:p w14:paraId="3336BD74" w14:textId="77777777" w:rsidR="001B3C5B" w:rsidRPr="000203E1" w:rsidRDefault="001B3C5B" w:rsidP="00FA4169"/>
    <w:p w14:paraId="77AFB67E" w14:textId="16397257" w:rsidR="00613501" w:rsidRPr="000203E1" w:rsidRDefault="002F0E4F" w:rsidP="003B211A">
      <w:pPr>
        <w:jc w:val="center"/>
        <w:rPr>
          <w:b/>
          <w:bCs/>
          <w:caps/>
        </w:rPr>
      </w:pPr>
      <w:r w:rsidRPr="000203E1">
        <w:rPr>
          <w:b/>
        </w:rPr>
        <w:t xml:space="preserve">REKOMENDACIJA DĖL VAISTINIO PREPARATO </w:t>
      </w:r>
      <w:r w:rsidRPr="000203E1">
        <w:rPr>
          <w:b/>
          <w:bCs/>
          <w:caps/>
        </w:rPr>
        <w:t>Lietuvos Respublikos Sveikatos apsaugos ministerijos vaistinių preparatų ir medicinos pagalbos priemonių kompensavimo komisijai</w:t>
      </w:r>
    </w:p>
    <w:p w14:paraId="34E4395D" w14:textId="15FB10DF" w:rsidR="00B13D65" w:rsidRPr="000203E1" w:rsidRDefault="00B13D65" w:rsidP="003B211A">
      <w:pPr>
        <w:jc w:val="center"/>
        <w:rPr>
          <w:b/>
        </w:rPr>
      </w:pPr>
    </w:p>
    <w:p w14:paraId="7FB3325C" w14:textId="77777777" w:rsidR="00E43713" w:rsidRPr="001A5F98" w:rsidRDefault="00E43713" w:rsidP="00E43713">
      <w:pPr>
        <w:jc w:val="center"/>
        <w:rPr>
          <w:b/>
          <w:sz w:val="26"/>
          <w:szCs w:val="26"/>
        </w:rPr>
      </w:pPr>
      <w:r w:rsidRPr="001A5F98">
        <w:rPr>
          <w:b/>
          <w:sz w:val="26"/>
          <w:szCs w:val="26"/>
        </w:rPr>
        <w:t>Jardiance 10 mg plėvele dengtos tabletės</w:t>
      </w:r>
    </w:p>
    <w:p w14:paraId="189FF3A0" w14:textId="77777777" w:rsidR="00E43713" w:rsidRPr="001A5F98" w:rsidRDefault="00E43713" w:rsidP="00E43713">
      <w:pPr>
        <w:jc w:val="center"/>
        <w:rPr>
          <w:sz w:val="26"/>
          <w:szCs w:val="26"/>
        </w:rPr>
      </w:pPr>
    </w:p>
    <w:p w14:paraId="4B5212DF" w14:textId="77777777" w:rsidR="00E43713" w:rsidRPr="001A5F98" w:rsidRDefault="00E43713" w:rsidP="00E43713">
      <w:pPr>
        <w:jc w:val="center"/>
        <w:rPr>
          <w:sz w:val="26"/>
          <w:szCs w:val="26"/>
        </w:rPr>
      </w:pPr>
      <w:r w:rsidRPr="001A5F98">
        <w:rPr>
          <w:b/>
          <w:sz w:val="26"/>
          <w:szCs w:val="26"/>
        </w:rPr>
        <w:t>Empagliflozinas</w:t>
      </w:r>
    </w:p>
    <w:p w14:paraId="26AAD55F" w14:textId="77777777" w:rsidR="00E43713" w:rsidRPr="001A5F98" w:rsidRDefault="00E43713" w:rsidP="00E43713">
      <w:pPr>
        <w:rPr>
          <w:sz w:val="26"/>
          <w:szCs w:val="26"/>
        </w:rPr>
      </w:pPr>
    </w:p>
    <w:p w14:paraId="02C8679F" w14:textId="77777777" w:rsidR="00E43713" w:rsidRPr="001A5F98" w:rsidRDefault="00E43713" w:rsidP="00E43713">
      <w:pPr>
        <w:jc w:val="center"/>
        <w:rPr>
          <w:b/>
        </w:rPr>
      </w:pPr>
      <w:r w:rsidRPr="001A5F98">
        <w:rPr>
          <w:b/>
        </w:rPr>
        <w:t>STV-102</w:t>
      </w:r>
    </w:p>
    <w:p w14:paraId="453197C8" w14:textId="77777777" w:rsidR="00D4708D" w:rsidRPr="000203E1" w:rsidRDefault="00D4708D" w:rsidP="003B211A">
      <w:pPr>
        <w:jc w:val="center"/>
        <w:rPr>
          <w:b/>
        </w:rPr>
      </w:pPr>
    </w:p>
    <w:p w14:paraId="78C89D1C" w14:textId="0DEFFAA5" w:rsidR="00D4485B" w:rsidRPr="000203E1" w:rsidRDefault="00B13D65" w:rsidP="00CC09D4">
      <w:pPr>
        <w:pStyle w:val="ListParagraph"/>
        <w:numPr>
          <w:ilvl w:val="0"/>
          <w:numId w:val="12"/>
        </w:numPr>
        <w:tabs>
          <w:tab w:val="left" w:pos="567"/>
        </w:tabs>
        <w:ind w:left="567" w:hanging="567"/>
        <w:rPr>
          <w:b/>
          <w:bCs/>
          <w:caps/>
        </w:rPr>
      </w:pPr>
      <w:r w:rsidRPr="000203E1">
        <w:rPr>
          <w:b/>
          <w:bCs/>
          <w:caps/>
        </w:rPr>
        <w:t>Bendroji dalis</w:t>
      </w:r>
    </w:p>
    <w:p w14:paraId="04A7C7A7" w14:textId="77777777" w:rsidR="00B13D65" w:rsidRPr="000203E1" w:rsidRDefault="00B13D65" w:rsidP="00E03C3F">
      <w:pPr>
        <w:pStyle w:val="ListParagraph"/>
        <w:tabs>
          <w:tab w:val="left" w:pos="284"/>
        </w:tabs>
        <w:ind w:left="0"/>
        <w:rPr>
          <w:b/>
          <w:bCs/>
          <w:caps/>
        </w:rPr>
      </w:pPr>
    </w:p>
    <w:tbl>
      <w:tblPr>
        <w:tblStyle w:val="TableGrid"/>
        <w:tblW w:w="9493" w:type="dxa"/>
        <w:tblLook w:val="04A0" w:firstRow="1" w:lastRow="0" w:firstColumn="1" w:lastColumn="0" w:noHBand="0" w:noVBand="1"/>
      </w:tblPr>
      <w:tblGrid>
        <w:gridCol w:w="632"/>
        <w:gridCol w:w="3694"/>
        <w:gridCol w:w="5167"/>
      </w:tblGrid>
      <w:tr w:rsidR="00E43713" w:rsidRPr="000203E1" w14:paraId="18A83EC2" w14:textId="77777777" w:rsidTr="00BE7489">
        <w:trPr>
          <w:trHeight w:val="538"/>
        </w:trPr>
        <w:tc>
          <w:tcPr>
            <w:tcW w:w="632" w:type="dxa"/>
          </w:tcPr>
          <w:p w14:paraId="0646FBEA" w14:textId="77777777" w:rsidR="00E43713" w:rsidRPr="000203E1" w:rsidRDefault="00E43713" w:rsidP="00E43713">
            <w:pPr>
              <w:rPr>
                <w:rFonts w:eastAsia="Arial"/>
              </w:rPr>
            </w:pPr>
            <w:r w:rsidRPr="000203E1">
              <w:rPr>
                <w:rFonts w:eastAsia="Arial"/>
              </w:rPr>
              <w:t>1.1</w:t>
            </w:r>
          </w:p>
        </w:tc>
        <w:tc>
          <w:tcPr>
            <w:tcW w:w="3694" w:type="dxa"/>
          </w:tcPr>
          <w:p w14:paraId="6C3AE864" w14:textId="77777777" w:rsidR="00E43713" w:rsidRPr="000203E1" w:rsidRDefault="00E43713" w:rsidP="00E43713">
            <w:pPr>
              <w:rPr>
                <w:rFonts w:eastAsia="Arial"/>
              </w:rPr>
            </w:pPr>
            <w:r w:rsidRPr="000203E1">
              <w:rPr>
                <w:rFonts w:eastAsia="Arial"/>
              </w:rPr>
              <w:t>Pareiškėjas</w:t>
            </w:r>
          </w:p>
          <w:p w14:paraId="2AF240DC" w14:textId="77777777" w:rsidR="00E43713" w:rsidRPr="000203E1" w:rsidRDefault="00E43713" w:rsidP="00E43713">
            <w:pPr>
              <w:rPr>
                <w:rFonts w:eastAsia="Arial"/>
              </w:rPr>
            </w:pPr>
          </w:p>
        </w:tc>
        <w:tc>
          <w:tcPr>
            <w:tcW w:w="5167" w:type="dxa"/>
          </w:tcPr>
          <w:p w14:paraId="2AAF0D91" w14:textId="2AB6E498" w:rsidR="00E43713" w:rsidRPr="000203E1" w:rsidRDefault="00E43713" w:rsidP="00E43713">
            <w:pPr>
              <w:rPr>
                <w:rFonts w:eastAsia="Arial"/>
              </w:rPr>
            </w:pPr>
            <w:r w:rsidRPr="001A5F98">
              <w:t>Boehringer Ingelheim RCV GmbH &amp; Co KG Lietuvos filialas</w:t>
            </w:r>
          </w:p>
        </w:tc>
      </w:tr>
      <w:tr w:rsidR="00E43713" w:rsidRPr="000203E1" w14:paraId="31998B0D" w14:textId="77777777" w:rsidTr="00BE7489">
        <w:trPr>
          <w:trHeight w:val="538"/>
        </w:trPr>
        <w:tc>
          <w:tcPr>
            <w:tcW w:w="632" w:type="dxa"/>
          </w:tcPr>
          <w:p w14:paraId="2005EC67" w14:textId="662300D0" w:rsidR="00E43713" w:rsidRPr="000203E1" w:rsidRDefault="00E43713" w:rsidP="00E43713">
            <w:pPr>
              <w:rPr>
                <w:rFonts w:eastAsia="Arial"/>
              </w:rPr>
            </w:pPr>
            <w:r w:rsidRPr="000203E1">
              <w:rPr>
                <w:rFonts w:eastAsia="Arial"/>
              </w:rPr>
              <w:t>1.2</w:t>
            </w:r>
          </w:p>
        </w:tc>
        <w:tc>
          <w:tcPr>
            <w:tcW w:w="3694" w:type="dxa"/>
          </w:tcPr>
          <w:p w14:paraId="1E4AE3B1" w14:textId="77777777" w:rsidR="00E43713" w:rsidRPr="000203E1" w:rsidRDefault="00E43713" w:rsidP="00E43713">
            <w:pPr>
              <w:rPr>
                <w:bCs/>
                <w:lang w:eastAsia="lt-LT"/>
              </w:rPr>
            </w:pPr>
            <w:r w:rsidRPr="000203E1">
              <w:rPr>
                <w:bCs/>
                <w:lang w:eastAsia="lt-LT"/>
              </w:rPr>
              <w:t xml:space="preserve">Registracijos data </w:t>
            </w:r>
          </w:p>
          <w:p w14:paraId="3A0DC096" w14:textId="77777777" w:rsidR="00E43713" w:rsidRPr="000203E1" w:rsidRDefault="00E43713" w:rsidP="00E43713">
            <w:pPr>
              <w:rPr>
                <w:bCs/>
                <w:lang w:eastAsia="lt-LT"/>
              </w:rPr>
            </w:pPr>
          </w:p>
        </w:tc>
        <w:tc>
          <w:tcPr>
            <w:tcW w:w="5167" w:type="dxa"/>
          </w:tcPr>
          <w:p w14:paraId="3CA218AD" w14:textId="5710BECC" w:rsidR="00E43713" w:rsidRPr="000203E1" w:rsidRDefault="00000000" w:rsidP="00E43713">
            <w:pPr>
              <w:rPr>
                <w:rStyle w:val="Style2"/>
              </w:rPr>
            </w:pPr>
            <w:sdt>
              <w:sdtPr>
                <w:rPr>
                  <w:sz w:val="32"/>
                </w:rPr>
                <w:alias w:val="Nurodykite konkrečią dieną"/>
                <w:tag w:val="Nurodykite pradžios datą"/>
                <w:id w:val="423238108"/>
                <w:placeholder>
                  <w:docPart w:val="25441295EA004115980DCE9FCB6040EB"/>
                </w:placeholder>
                <w15:color w:val="FFCC99"/>
                <w:date>
                  <w:dateFormat w:val="yyyy 'm.' MMMM d 'd.'"/>
                  <w:lid w:val="lt-LT"/>
                  <w:storeMappedDataAs w:val="dateTime"/>
                  <w:calendar w:val="gregorian"/>
                </w:date>
              </w:sdtPr>
              <w:sdtEndPr>
                <w:rPr>
                  <w:sz w:val="24"/>
                </w:rPr>
              </w:sdtEndPr>
              <w:sdtContent>
                <w:r w:rsidR="00E43713" w:rsidRPr="00E43713">
                  <w:t>2014 m. gegužės 22 d.</w:t>
                </w:r>
              </w:sdtContent>
            </w:sdt>
          </w:p>
        </w:tc>
      </w:tr>
      <w:tr w:rsidR="00E43713" w:rsidRPr="000203E1" w14:paraId="15968AE1" w14:textId="77777777" w:rsidTr="00BE7489">
        <w:trPr>
          <w:trHeight w:val="1500"/>
        </w:trPr>
        <w:tc>
          <w:tcPr>
            <w:tcW w:w="632" w:type="dxa"/>
          </w:tcPr>
          <w:p w14:paraId="6A784245" w14:textId="1E461489" w:rsidR="00E43713" w:rsidRPr="000203E1" w:rsidRDefault="00E43713" w:rsidP="00E43713">
            <w:pPr>
              <w:rPr>
                <w:rFonts w:eastAsia="Arial"/>
              </w:rPr>
            </w:pPr>
            <w:r w:rsidRPr="000203E1">
              <w:rPr>
                <w:rFonts w:eastAsia="Arial"/>
              </w:rPr>
              <w:t>1.3</w:t>
            </w:r>
          </w:p>
        </w:tc>
        <w:tc>
          <w:tcPr>
            <w:tcW w:w="3694" w:type="dxa"/>
          </w:tcPr>
          <w:p w14:paraId="22933506" w14:textId="77777777" w:rsidR="00E43713" w:rsidRPr="000203E1" w:rsidRDefault="00E43713" w:rsidP="00E43713">
            <w:r w:rsidRPr="000203E1">
              <w:t xml:space="preserve">Paraiškos tipas </w:t>
            </w:r>
          </w:p>
          <w:p w14:paraId="0465E680" w14:textId="7F0A0714" w:rsidR="00E43713" w:rsidRPr="000203E1" w:rsidRDefault="00E43713" w:rsidP="00E43713">
            <w:r w:rsidRPr="000203E1">
              <w:t xml:space="preserve">(pagal </w:t>
            </w:r>
            <w:r w:rsidRPr="000203E1">
              <w:rPr>
                <w:shd w:val="clear" w:color="auto" w:fill="FFFFFF"/>
              </w:rPr>
              <w:t>vaistinio preparato registracijos tipą, įtvirtintą</w:t>
            </w:r>
            <w:r w:rsidRPr="000203E1">
              <w:t xml:space="preserve"> Direktyvos 2001/83/EB straipsiuose)</w:t>
            </w:r>
          </w:p>
          <w:p w14:paraId="77089D80" w14:textId="6681D72A" w:rsidR="00E43713" w:rsidRPr="000203E1" w:rsidRDefault="00E43713" w:rsidP="00E43713">
            <w:pPr>
              <w:rPr>
                <w:bCs/>
                <w:lang w:eastAsia="lt-LT"/>
              </w:rPr>
            </w:pPr>
          </w:p>
        </w:tc>
        <w:tc>
          <w:tcPr>
            <w:tcW w:w="5167" w:type="dxa"/>
          </w:tcPr>
          <w:p w14:paraId="208F40EC" w14:textId="4CDA6B8F" w:rsidR="00E43713" w:rsidRPr="000203E1" w:rsidRDefault="00000000" w:rsidP="00E43713">
            <w:pPr>
              <w:rPr>
                <w:sz w:val="22"/>
                <w:szCs w:val="22"/>
              </w:rPr>
            </w:pPr>
            <w:sdt>
              <w:sdtPr>
                <w:rPr>
                  <w:rStyle w:val="Style2"/>
                  <w:sz w:val="22"/>
                  <w:szCs w:val="22"/>
                </w:rPr>
                <w:id w:val="526292078"/>
                <w15:color w:val="FFCC00"/>
                <w14:checkbox>
                  <w14:checked w14:val="1"/>
                  <w14:checkedState w14:val="2612" w14:font="MS Gothic"/>
                  <w14:uncheckedState w14:val="2610" w14:font="MS Gothic"/>
                </w14:checkbox>
              </w:sdtPr>
              <w:sdtContent>
                <w:r w:rsidR="00E43713">
                  <w:rPr>
                    <w:rStyle w:val="Style2"/>
                    <w:rFonts w:ascii="MS Gothic" w:eastAsia="MS Gothic" w:hAnsi="MS Gothic" w:hint="eastAsia"/>
                    <w:sz w:val="22"/>
                    <w:szCs w:val="22"/>
                  </w:rPr>
                  <w:t>☒</w:t>
                </w:r>
              </w:sdtContent>
            </w:sdt>
            <w:r w:rsidR="00E43713" w:rsidRPr="000203E1">
              <w:rPr>
                <w:sz w:val="22"/>
                <w:szCs w:val="22"/>
              </w:rPr>
              <w:t xml:space="preserve">8.3 str. (pilna byla, pagrįsta savais tyrimais) </w:t>
            </w:r>
          </w:p>
          <w:p w14:paraId="32BA564E" w14:textId="3FDA3E01" w:rsidR="00E43713" w:rsidRPr="000203E1" w:rsidRDefault="00000000" w:rsidP="00E43713">
            <w:pPr>
              <w:rPr>
                <w:sz w:val="22"/>
                <w:szCs w:val="22"/>
              </w:rPr>
            </w:pPr>
            <w:sdt>
              <w:sdtPr>
                <w:rPr>
                  <w:rStyle w:val="Style2"/>
                  <w:sz w:val="22"/>
                  <w:szCs w:val="22"/>
                </w:rPr>
                <w:id w:val="-1497953736"/>
                <w15:color w:val="FFCC00"/>
                <w14:checkbox>
                  <w14:checked w14:val="0"/>
                  <w14:checkedState w14:val="2612" w14:font="MS Gothic"/>
                  <w14:uncheckedState w14:val="2610" w14:font="MS Gothic"/>
                </w14:checkbox>
              </w:sdtPr>
              <w:sdtContent>
                <w:r w:rsidR="00E43713" w:rsidRPr="000203E1">
                  <w:rPr>
                    <w:rStyle w:val="Style2"/>
                    <w:rFonts w:ascii="Segoe UI Symbol" w:eastAsia="MS Gothic" w:hAnsi="Segoe UI Symbol" w:cs="Segoe UI Symbol"/>
                    <w:sz w:val="22"/>
                    <w:szCs w:val="22"/>
                  </w:rPr>
                  <w:t>☐</w:t>
                </w:r>
              </w:sdtContent>
            </w:sdt>
            <w:r w:rsidR="00E43713" w:rsidRPr="000203E1">
              <w:rPr>
                <w:sz w:val="22"/>
                <w:szCs w:val="22"/>
              </w:rPr>
              <w:t xml:space="preserve">10 a str. (pripažintas medicininis vartojimas) </w:t>
            </w:r>
          </w:p>
          <w:p w14:paraId="318DCD7F" w14:textId="32333E53" w:rsidR="00E43713" w:rsidRPr="000203E1" w:rsidRDefault="00000000" w:rsidP="00E43713">
            <w:pPr>
              <w:rPr>
                <w:sz w:val="22"/>
                <w:szCs w:val="22"/>
              </w:rPr>
            </w:pPr>
            <w:sdt>
              <w:sdtPr>
                <w:rPr>
                  <w:rStyle w:val="Style2"/>
                  <w:sz w:val="22"/>
                  <w:szCs w:val="22"/>
                </w:rPr>
                <w:id w:val="204142496"/>
                <w15:color w:val="FFCC00"/>
                <w14:checkbox>
                  <w14:checked w14:val="0"/>
                  <w14:checkedState w14:val="2612" w14:font="MS Gothic"/>
                  <w14:uncheckedState w14:val="2610" w14:font="MS Gothic"/>
                </w14:checkbox>
              </w:sdtPr>
              <w:sdtContent>
                <w:r w:rsidR="00E43713" w:rsidRPr="000203E1">
                  <w:rPr>
                    <w:rStyle w:val="Style2"/>
                    <w:rFonts w:ascii="Segoe UI Symbol" w:eastAsia="MS Gothic" w:hAnsi="Segoe UI Symbol" w:cs="Segoe UI Symbol"/>
                    <w:sz w:val="22"/>
                    <w:szCs w:val="22"/>
                  </w:rPr>
                  <w:t>☐</w:t>
                </w:r>
              </w:sdtContent>
            </w:sdt>
            <w:r w:rsidR="00E43713" w:rsidRPr="000203E1">
              <w:rPr>
                <w:sz w:val="22"/>
                <w:szCs w:val="22"/>
              </w:rPr>
              <w:t>10.1 str. (generinis)</w:t>
            </w:r>
          </w:p>
          <w:p w14:paraId="3B0A4F72" w14:textId="3F5FB073" w:rsidR="00E43713" w:rsidRPr="000203E1" w:rsidRDefault="00000000" w:rsidP="00E43713">
            <w:pPr>
              <w:rPr>
                <w:rStyle w:val="Style2"/>
                <w:sz w:val="24"/>
              </w:rPr>
            </w:pPr>
            <w:sdt>
              <w:sdtPr>
                <w:rPr>
                  <w:rStyle w:val="Style2"/>
                  <w:sz w:val="22"/>
                  <w:szCs w:val="22"/>
                </w:rPr>
                <w:id w:val="820305101"/>
                <w15:color w:val="FFCC00"/>
                <w14:checkbox>
                  <w14:checked w14:val="0"/>
                  <w14:checkedState w14:val="2612" w14:font="MS Gothic"/>
                  <w14:uncheckedState w14:val="2610" w14:font="MS Gothic"/>
                </w14:checkbox>
              </w:sdtPr>
              <w:sdtContent>
                <w:r w:rsidR="00E43713" w:rsidRPr="000203E1">
                  <w:rPr>
                    <w:rStyle w:val="Style2"/>
                    <w:rFonts w:ascii="Segoe UI Symbol" w:eastAsia="MS Gothic" w:hAnsi="Segoe UI Symbol" w:cs="Segoe UI Symbol"/>
                    <w:sz w:val="22"/>
                    <w:szCs w:val="22"/>
                  </w:rPr>
                  <w:t>☐</w:t>
                </w:r>
              </w:sdtContent>
            </w:sdt>
            <w:r w:rsidR="00E43713" w:rsidRPr="000203E1">
              <w:rPr>
                <w:sz w:val="22"/>
                <w:szCs w:val="22"/>
              </w:rPr>
              <w:t>10.3 str. (hibridinis)</w:t>
            </w:r>
          </w:p>
        </w:tc>
      </w:tr>
      <w:tr w:rsidR="00E43713" w:rsidRPr="000203E1" w14:paraId="310E9662" w14:textId="77777777" w:rsidTr="00BE7489">
        <w:trPr>
          <w:trHeight w:val="1442"/>
        </w:trPr>
        <w:tc>
          <w:tcPr>
            <w:tcW w:w="632" w:type="dxa"/>
          </w:tcPr>
          <w:p w14:paraId="4B5A91A2" w14:textId="561B5E5F" w:rsidR="00E43713" w:rsidRPr="000203E1" w:rsidRDefault="00E43713" w:rsidP="00E43713">
            <w:pPr>
              <w:rPr>
                <w:rFonts w:eastAsia="Arial"/>
              </w:rPr>
            </w:pPr>
            <w:r w:rsidRPr="000203E1">
              <w:rPr>
                <w:rFonts w:eastAsia="Arial"/>
              </w:rPr>
              <w:t>1.4</w:t>
            </w:r>
          </w:p>
        </w:tc>
        <w:tc>
          <w:tcPr>
            <w:tcW w:w="3694" w:type="dxa"/>
          </w:tcPr>
          <w:p w14:paraId="6C91E105" w14:textId="77777777" w:rsidR="00E43713" w:rsidRPr="000203E1" w:rsidRDefault="00E43713" w:rsidP="00E43713">
            <w:pPr>
              <w:rPr>
                <w:bCs/>
                <w:lang w:eastAsia="lt-LT"/>
              </w:rPr>
            </w:pPr>
            <w:r w:rsidRPr="000203E1">
              <w:rPr>
                <w:bCs/>
                <w:lang w:eastAsia="lt-LT"/>
              </w:rPr>
              <w:t xml:space="preserve">Ar vaistinis preparatas įrašytas į Bendrijos retųjų vaistinių preparatų registrą? </w:t>
            </w:r>
          </w:p>
          <w:p w14:paraId="33726F9C" w14:textId="77777777" w:rsidR="00E43713" w:rsidRPr="000203E1" w:rsidRDefault="00E43713" w:rsidP="00E43713">
            <w:pPr>
              <w:rPr>
                <w:bCs/>
                <w:i/>
                <w:lang w:eastAsia="lt-LT"/>
              </w:rPr>
            </w:pPr>
          </w:p>
          <w:p w14:paraId="483071A3" w14:textId="0F633FFC" w:rsidR="00E43713" w:rsidRPr="000203E1" w:rsidRDefault="00E43713" w:rsidP="00E43713">
            <w:pPr>
              <w:rPr>
                <w:bCs/>
                <w:lang w:eastAsia="lt-LT"/>
              </w:rPr>
            </w:pPr>
            <w:r w:rsidRPr="000203E1">
              <w:rPr>
                <w:bCs/>
                <w:i/>
                <w:sz w:val="20"/>
                <w:lang w:eastAsia="lt-LT"/>
              </w:rPr>
              <w:t>Jei taip, nurodykite įrašymo datą ir numerį</w:t>
            </w:r>
          </w:p>
        </w:tc>
        <w:tc>
          <w:tcPr>
            <w:tcW w:w="5167" w:type="dxa"/>
          </w:tcPr>
          <w:p w14:paraId="05845C60" w14:textId="10CF4033" w:rsidR="00E43713" w:rsidRPr="000203E1" w:rsidRDefault="00000000" w:rsidP="00E43713">
            <w:sdt>
              <w:sdtPr>
                <w:rPr>
                  <w:rStyle w:val="Style2"/>
                  <w:sz w:val="24"/>
                </w:rPr>
                <w:id w:val="2024432173"/>
                <w15:color w:val="FFCC00"/>
                <w14:checkbox>
                  <w14:checked w14:val="0"/>
                  <w14:checkedState w14:val="2612" w14:font="MS Gothic"/>
                  <w14:uncheckedState w14:val="2610" w14:font="MS Gothic"/>
                </w14:checkbox>
              </w:sdtPr>
              <w:sdtContent>
                <w:r w:rsidR="00E43713" w:rsidRPr="000203E1">
                  <w:rPr>
                    <w:rStyle w:val="Style2"/>
                    <w:rFonts w:ascii="MS Gothic" w:eastAsia="MS Gothic" w:hAnsi="MS Gothic" w:hint="eastAsia"/>
                    <w:sz w:val="24"/>
                  </w:rPr>
                  <w:t>☐</w:t>
                </w:r>
              </w:sdtContent>
            </w:sdt>
            <w:r w:rsidR="00E43713" w:rsidRPr="000203E1">
              <w:t xml:space="preserve"> Taip</w:t>
            </w:r>
          </w:p>
          <w:p w14:paraId="41D88067" w14:textId="1C5361D8" w:rsidR="00E43713" w:rsidRPr="000203E1" w:rsidRDefault="00000000" w:rsidP="00E43713">
            <w:sdt>
              <w:sdtPr>
                <w:rPr>
                  <w:rStyle w:val="Style2"/>
                  <w:sz w:val="24"/>
                </w:rPr>
                <w:id w:val="-970507926"/>
                <w15:color w:val="FFCC00"/>
                <w14:checkbox>
                  <w14:checked w14:val="1"/>
                  <w14:checkedState w14:val="2612" w14:font="MS Gothic"/>
                  <w14:uncheckedState w14:val="2610" w14:font="MS Gothic"/>
                </w14:checkbox>
              </w:sdtPr>
              <w:sdtContent>
                <w:r w:rsidR="00E43713">
                  <w:rPr>
                    <w:rStyle w:val="Style2"/>
                    <w:rFonts w:ascii="MS Gothic" w:eastAsia="MS Gothic" w:hAnsi="MS Gothic" w:hint="eastAsia"/>
                    <w:sz w:val="24"/>
                  </w:rPr>
                  <w:t>☒</w:t>
                </w:r>
              </w:sdtContent>
            </w:sdt>
            <w:r w:rsidR="00E43713" w:rsidRPr="000203E1">
              <w:t xml:space="preserve"> Ne</w:t>
            </w:r>
          </w:p>
          <w:p w14:paraId="29C2CBBB" w14:textId="77777777" w:rsidR="00E43713" w:rsidRPr="000203E1" w:rsidRDefault="00000000" w:rsidP="00E43713">
            <w:pPr>
              <w:rPr>
                <w:rFonts w:eastAsia="Arial"/>
              </w:rPr>
            </w:pPr>
            <w:sdt>
              <w:sdtPr>
                <w:alias w:val="Nurodykite konkrečią dieną"/>
                <w:tag w:val="Nurodykite pradžios datą"/>
                <w:id w:val="693498901"/>
                <w:placeholder>
                  <w:docPart w:val="5D743A7437044FF981E9F9551CA6E76E"/>
                </w:placeholder>
                <w:showingPlcHdr/>
                <w15:color w:val="FFCC99"/>
                <w:date w:fullDate="2022-05-18T00:00:00Z">
                  <w:dateFormat w:val="yyyy 'm.' MMMM d 'd.'"/>
                  <w:lid w:val="lt-LT"/>
                  <w:storeMappedDataAs w:val="dateTime"/>
                  <w:calendar w:val="gregorian"/>
                </w:date>
              </w:sdtPr>
              <w:sdtContent>
                <w:r w:rsidR="00E43713" w:rsidRPr="000203E1">
                  <w:rPr>
                    <w:rStyle w:val="PlaceholderText"/>
                    <w:color w:val="auto"/>
                  </w:rPr>
                  <w:t>Click here to enter a date.</w:t>
                </w:r>
              </w:sdtContent>
            </w:sdt>
          </w:p>
        </w:tc>
      </w:tr>
      <w:tr w:rsidR="00E43713" w:rsidRPr="000203E1" w14:paraId="7841E5F8" w14:textId="77777777" w:rsidTr="00BE7489">
        <w:trPr>
          <w:trHeight w:val="476"/>
        </w:trPr>
        <w:tc>
          <w:tcPr>
            <w:tcW w:w="632" w:type="dxa"/>
          </w:tcPr>
          <w:p w14:paraId="109D2861" w14:textId="73BF27DF" w:rsidR="00E43713" w:rsidRPr="000203E1" w:rsidRDefault="00E43713" w:rsidP="00E43713">
            <w:pPr>
              <w:rPr>
                <w:rFonts w:eastAsia="Arial"/>
              </w:rPr>
            </w:pPr>
            <w:r w:rsidRPr="000203E1">
              <w:rPr>
                <w:rFonts w:eastAsia="Arial"/>
              </w:rPr>
              <w:t>1.5</w:t>
            </w:r>
          </w:p>
        </w:tc>
        <w:tc>
          <w:tcPr>
            <w:tcW w:w="3694" w:type="dxa"/>
          </w:tcPr>
          <w:p w14:paraId="7822D63E" w14:textId="68C38334" w:rsidR="00E43713" w:rsidRPr="000203E1" w:rsidRDefault="00E43713" w:rsidP="00E43713">
            <w:pPr>
              <w:rPr>
                <w:bCs/>
                <w:lang w:eastAsia="lt-LT"/>
              </w:rPr>
            </w:pPr>
            <w:r w:rsidRPr="000203E1">
              <w:t>STV paraiškos pobūdis</w:t>
            </w:r>
          </w:p>
        </w:tc>
        <w:tc>
          <w:tcPr>
            <w:tcW w:w="5167" w:type="dxa"/>
          </w:tcPr>
          <w:p w14:paraId="403461B9" w14:textId="299660DB" w:rsidR="00E43713" w:rsidRPr="000203E1" w:rsidRDefault="00000000" w:rsidP="00E43713">
            <w:sdt>
              <w:sdtPr>
                <w:rPr>
                  <w:rStyle w:val="Style2"/>
                  <w:sz w:val="24"/>
                </w:rPr>
                <w:id w:val="-468433535"/>
                <w15:color w:val="FFCC00"/>
                <w14:checkbox>
                  <w14:checked w14:val="1"/>
                  <w14:checkedState w14:val="2612" w14:font="MS Gothic"/>
                  <w14:uncheckedState w14:val="2610" w14:font="MS Gothic"/>
                </w14:checkbox>
              </w:sdtPr>
              <w:sdtContent>
                <w:r w:rsidR="00E43713">
                  <w:rPr>
                    <w:rStyle w:val="Style2"/>
                    <w:rFonts w:ascii="MS Gothic" w:eastAsia="MS Gothic" w:hAnsi="MS Gothic" w:hint="eastAsia"/>
                    <w:sz w:val="24"/>
                  </w:rPr>
                  <w:t>☒</w:t>
                </w:r>
              </w:sdtContent>
            </w:sdt>
            <w:r w:rsidR="00E43713" w:rsidRPr="000203E1">
              <w:t xml:space="preserve"> Pilna paraiška</w:t>
            </w:r>
          </w:p>
          <w:p w14:paraId="6B8213E3" w14:textId="3495CDF4" w:rsidR="00E43713" w:rsidRPr="000203E1" w:rsidRDefault="00000000" w:rsidP="00E43713">
            <w:sdt>
              <w:sdtPr>
                <w:rPr>
                  <w:rStyle w:val="Style2"/>
                  <w:sz w:val="24"/>
                </w:rPr>
                <w:id w:val="-1489014904"/>
                <w15:color w:val="FFCC00"/>
                <w14:checkbox>
                  <w14:checked w14:val="0"/>
                  <w14:checkedState w14:val="2612" w14:font="MS Gothic"/>
                  <w14:uncheckedState w14:val="2610" w14:font="MS Gothic"/>
                </w14:checkbox>
              </w:sdtPr>
              <w:sdtContent>
                <w:r w:rsidR="00E43713" w:rsidRPr="000203E1">
                  <w:rPr>
                    <w:rStyle w:val="Style2"/>
                    <w:rFonts w:ascii="MS Gothic" w:eastAsia="MS Gothic" w:hAnsi="MS Gothic" w:hint="eastAsia"/>
                    <w:sz w:val="24"/>
                  </w:rPr>
                  <w:t>☐</w:t>
                </w:r>
              </w:sdtContent>
            </w:sdt>
            <w:r w:rsidR="00E43713" w:rsidRPr="000203E1">
              <w:t xml:space="preserve"> Supaprastinta paraiška</w:t>
            </w:r>
          </w:p>
        </w:tc>
      </w:tr>
      <w:tr w:rsidR="00E43713" w:rsidRPr="000203E1" w14:paraId="274D1DAF" w14:textId="77777777" w:rsidTr="00BE7489">
        <w:trPr>
          <w:trHeight w:val="1922"/>
        </w:trPr>
        <w:tc>
          <w:tcPr>
            <w:tcW w:w="632" w:type="dxa"/>
          </w:tcPr>
          <w:p w14:paraId="17ABF217" w14:textId="14AC00D7" w:rsidR="00E43713" w:rsidRPr="000203E1" w:rsidRDefault="00E43713" w:rsidP="00E43713">
            <w:pPr>
              <w:rPr>
                <w:rFonts w:eastAsia="Arial"/>
              </w:rPr>
            </w:pPr>
            <w:r w:rsidRPr="000203E1">
              <w:rPr>
                <w:rFonts w:eastAsia="Arial"/>
              </w:rPr>
              <w:t>1.6</w:t>
            </w:r>
          </w:p>
        </w:tc>
        <w:tc>
          <w:tcPr>
            <w:tcW w:w="3694" w:type="dxa"/>
          </w:tcPr>
          <w:p w14:paraId="4D49DBF5" w14:textId="77777777" w:rsidR="00E43713" w:rsidRPr="000203E1" w:rsidRDefault="00E43713" w:rsidP="00E43713">
            <w:pPr>
              <w:rPr>
                <w:bCs/>
                <w:lang w:eastAsia="lt-LT"/>
              </w:rPr>
            </w:pPr>
            <w:r w:rsidRPr="000203E1">
              <w:rPr>
                <w:bCs/>
                <w:lang w:eastAsia="lt-LT"/>
              </w:rPr>
              <w:t>Pareiškėjo teikiama (-os) kompensuoti vaistinio preparato indikacija (-os)</w:t>
            </w:r>
          </w:p>
          <w:p w14:paraId="6B4FEEC1" w14:textId="6A619694" w:rsidR="00E43713" w:rsidRPr="000203E1" w:rsidRDefault="00E43713" w:rsidP="00E43713">
            <w:pPr>
              <w:rPr>
                <w:bCs/>
                <w:lang w:eastAsia="lt-LT"/>
              </w:rPr>
            </w:pPr>
            <w:r w:rsidRPr="000203E1">
              <w:rPr>
                <w:bCs/>
                <w:lang w:eastAsia="lt-LT"/>
              </w:rPr>
              <w:t>Kodas pagal TLK-10 AM</w:t>
            </w:r>
          </w:p>
        </w:tc>
        <w:tc>
          <w:tcPr>
            <w:tcW w:w="5167" w:type="dxa"/>
          </w:tcPr>
          <w:p w14:paraId="65C50000" w14:textId="77777777" w:rsidR="00E43713" w:rsidRPr="001A5F98" w:rsidRDefault="00E43713" w:rsidP="00E43713">
            <w:pPr>
              <w:pStyle w:val="ListParagraph"/>
              <w:spacing w:after="120"/>
              <w:ind w:left="0"/>
              <w:contextualSpacing w:val="0"/>
              <w:jc w:val="both"/>
            </w:pPr>
            <w:r w:rsidRPr="001A5F98">
              <w:t>Jardiance skirtas gydyti suaugusiems, sergantiems simptominiu lėtiniu širdies nepakankamumu.</w:t>
            </w:r>
          </w:p>
          <w:p w14:paraId="13F7DFB0" w14:textId="519DFEEE" w:rsidR="00E43713" w:rsidRPr="000203E1" w:rsidRDefault="00E43713" w:rsidP="00E43713">
            <w:r w:rsidRPr="001A5F98">
              <w:t>TLK kodas – I50.</w:t>
            </w:r>
          </w:p>
        </w:tc>
      </w:tr>
      <w:tr w:rsidR="00E43713" w:rsidRPr="000203E1" w14:paraId="2F79DC08" w14:textId="77777777" w:rsidTr="00BE7489">
        <w:trPr>
          <w:trHeight w:val="378"/>
        </w:trPr>
        <w:tc>
          <w:tcPr>
            <w:tcW w:w="632" w:type="dxa"/>
          </w:tcPr>
          <w:p w14:paraId="547885A2" w14:textId="2EE70237" w:rsidR="00E43713" w:rsidRPr="000203E1" w:rsidRDefault="00E43713" w:rsidP="00E43713">
            <w:pPr>
              <w:rPr>
                <w:rFonts w:eastAsia="Arial"/>
              </w:rPr>
            </w:pPr>
            <w:r w:rsidRPr="000203E1">
              <w:rPr>
                <w:rFonts w:eastAsia="Arial"/>
              </w:rPr>
              <w:t>1.</w:t>
            </w:r>
            <w:r>
              <w:rPr>
                <w:rFonts w:eastAsia="Arial"/>
              </w:rPr>
              <w:t>7</w:t>
            </w:r>
          </w:p>
        </w:tc>
        <w:tc>
          <w:tcPr>
            <w:tcW w:w="3694" w:type="dxa"/>
          </w:tcPr>
          <w:p w14:paraId="2EAB877F" w14:textId="39A36941" w:rsidR="00E43713" w:rsidRPr="000203E1" w:rsidRDefault="00E43713" w:rsidP="00E43713">
            <w:pPr>
              <w:rPr>
                <w:bCs/>
                <w:u w:val="single"/>
                <w:lang w:eastAsia="lt-LT"/>
              </w:rPr>
            </w:pPr>
            <w:r w:rsidRPr="000203E1">
              <w:rPr>
                <w:bCs/>
                <w:lang w:eastAsia="lt-LT"/>
              </w:rPr>
              <w:t xml:space="preserve">Pareiškėjo teikiamos skyrimo sąlygos </w:t>
            </w:r>
          </w:p>
        </w:tc>
        <w:tc>
          <w:tcPr>
            <w:tcW w:w="5167" w:type="dxa"/>
          </w:tcPr>
          <w:p w14:paraId="2967A3DF" w14:textId="77777777" w:rsidR="00E43713" w:rsidRDefault="00E43713" w:rsidP="00E43713">
            <w:pPr>
              <w:pStyle w:val="ListParagraph"/>
              <w:numPr>
                <w:ilvl w:val="0"/>
                <w:numId w:val="13"/>
              </w:numPr>
              <w:spacing w:after="120"/>
              <w:jc w:val="both"/>
            </w:pPr>
            <w:r w:rsidRPr="001A5F98">
              <w:t>II-IV funkcinė klasė pagal NYHA;</w:t>
            </w:r>
          </w:p>
          <w:p w14:paraId="0579DF58" w14:textId="3B1ED895" w:rsidR="00E43713" w:rsidRPr="000203E1" w:rsidRDefault="00E43713" w:rsidP="00E43713">
            <w:pPr>
              <w:pStyle w:val="ListParagraph"/>
              <w:numPr>
                <w:ilvl w:val="0"/>
                <w:numId w:val="13"/>
              </w:numPr>
              <w:spacing w:after="120"/>
              <w:jc w:val="both"/>
            </w:pPr>
            <w:r w:rsidRPr="001A5F98">
              <w:t>Kairiojo skilvelio išstūmimo frakcija &gt; 40%.</w:t>
            </w:r>
          </w:p>
        </w:tc>
      </w:tr>
      <w:tr w:rsidR="00E43713" w:rsidRPr="000203E1" w14:paraId="3B125269" w14:textId="77777777" w:rsidTr="00BE7489">
        <w:trPr>
          <w:trHeight w:val="378"/>
        </w:trPr>
        <w:tc>
          <w:tcPr>
            <w:tcW w:w="632" w:type="dxa"/>
          </w:tcPr>
          <w:p w14:paraId="0058E11F" w14:textId="3C0D7626" w:rsidR="00E43713" w:rsidRPr="000203E1" w:rsidRDefault="00E43713" w:rsidP="00E43713">
            <w:pPr>
              <w:rPr>
                <w:rFonts w:eastAsia="Arial"/>
              </w:rPr>
            </w:pPr>
            <w:r w:rsidRPr="000203E1">
              <w:rPr>
                <w:rFonts w:eastAsia="Arial"/>
              </w:rPr>
              <w:lastRenderedPageBreak/>
              <w:t>1.</w:t>
            </w:r>
            <w:r>
              <w:rPr>
                <w:rFonts w:eastAsia="Arial"/>
              </w:rPr>
              <w:t>8</w:t>
            </w:r>
          </w:p>
        </w:tc>
        <w:tc>
          <w:tcPr>
            <w:tcW w:w="3694" w:type="dxa"/>
          </w:tcPr>
          <w:p w14:paraId="738E1926" w14:textId="77777777" w:rsidR="00E43713" w:rsidRPr="000203E1" w:rsidRDefault="00E43713" w:rsidP="00E43713">
            <w:pPr>
              <w:rPr>
                <w:bCs/>
                <w:lang w:eastAsia="lt-LT"/>
              </w:rPr>
            </w:pPr>
            <w:r w:rsidRPr="000203E1">
              <w:rPr>
                <w:bCs/>
                <w:lang w:eastAsia="lt-LT"/>
              </w:rPr>
              <w:t xml:space="preserve">Pareiškėjo teikiamas palyginamasis gydymas </w:t>
            </w:r>
          </w:p>
          <w:p w14:paraId="61EC5BBD" w14:textId="7A8BD8B4" w:rsidR="00E43713" w:rsidRPr="000203E1" w:rsidRDefault="00E43713" w:rsidP="00E43713">
            <w:pPr>
              <w:rPr>
                <w:bCs/>
                <w:lang w:eastAsia="lt-LT"/>
              </w:rPr>
            </w:pPr>
          </w:p>
          <w:p w14:paraId="62057D94" w14:textId="77777777" w:rsidR="00E43713" w:rsidRPr="000203E1" w:rsidRDefault="00E43713" w:rsidP="00E43713">
            <w:pPr>
              <w:rPr>
                <w:bCs/>
                <w:lang w:eastAsia="lt-LT"/>
              </w:rPr>
            </w:pPr>
          </w:p>
          <w:p w14:paraId="6CC1022E" w14:textId="2B6BCEE1" w:rsidR="00E43713" w:rsidRPr="000203E1" w:rsidRDefault="00E43713" w:rsidP="00E43713">
            <w:pPr>
              <w:rPr>
                <w:bCs/>
                <w:lang w:eastAsia="lt-LT"/>
              </w:rPr>
            </w:pPr>
          </w:p>
        </w:tc>
        <w:tc>
          <w:tcPr>
            <w:tcW w:w="5167" w:type="dxa"/>
          </w:tcPr>
          <w:p w14:paraId="1F113AC0" w14:textId="5A077E94" w:rsidR="00E43713" w:rsidRPr="000203E1" w:rsidRDefault="00000000" w:rsidP="00E43713">
            <w:sdt>
              <w:sdtPr>
                <w:rPr>
                  <w:rStyle w:val="Style2"/>
                  <w:sz w:val="24"/>
                </w:rPr>
                <w:id w:val="1480955706"/>
                <w15:color w:val="FFCC00"/>
                <w14:checkbox>
                  <w14:checked w14:val="1"/>
                  <w14:checkedState w14:val="2612" w14:font="MS Gothic"/>
                  <w14:uncheckedState w14:val="2610" w14:font="MS Gothic"/>
                </w14:checkbox>
              </w:sdtPr>
              <w:sdtContent>
                <w:r w:rsidR="00E43713">
                  <w:rPr>
                    <w:rStyle w:val="Style2"/>
                    <w:rFonts w:ascii="MS Gothic" w:eastAsia="MS Gothic" w:hAnsi="MS Gothic" w:hint="eastAsia"/>
                    <w:sz w:val="24"/>
                  </w:rPr>
                  <w:t>☒</w:t>
                </w:r>
              </w:sdtContent>
            </w:sdt>
            <w:r w:rsidR="00E43713" w:rsidRPr="000203E1">
              <w:t xml:space="preserve"> Tinkamas</w:t>
            </w:r>
            <w:r w:rsidR="00E43713">
              <w:t xml:space="preserve"> (placebo kartu su standartiniu širdies nepakankamumo gydymu)</w:t>
            </w:r>
          </w:p>
          <w:p w14:paraId="41B44044" w14:textId="199BD9DF" w:rsidR="00E43713" w:rsidRPr="000203E1" w:rsidRDefault="00000000" w:rsidP="00E43713">
            <w:sdt>
              <w:sdtPr>
                <w:rPr>
                  <w:rStyle w:val="Style2"/>
                  <w:sz w:val="24"/>
                </w:rPr>
                <w:id w:val="-352420698"/>
                <w15:color w:val="FFCC00"/>
                <w14:checkbox>
                  <w14:checked w14:val="0"/>
                  <w14:checkedState w14:val="2612" w14:font="MS Gothic"/>
                  <w14:uncheckedState w14:val="2610" w14:font="MS Gothic"/>
                </w14:checkbox>
              </w:sdtPr>
              <w:sdtContent>
                <w:r w:rsidR="00E43713" w:rsidRPr="000203E1">
                  <w:rPr>
                    <w:rStyle w:val="Style2"/>
                    <w:rFonts w:ascii="MS Gothic" w:eastAsia="MS Gothic" w:hAnsi="MS Gothic" w:hint="eastAsia"/>
                    <w:sz w:val="24"/>
                  </w:rPr>
                  <w:t>☐</w:t>
                </w:r>
              </w:sdtContent>
            </w:sdt>
            <w:r w:rsidR="00E43713" w:rsidRPr="000203E1">
              <w:t xml:space="preserve"> Netinkama</w:t>
            </w:r>
          </w:p>
        </w:tc>
      </w:tr>
    </w:tbl>
    <w:p w14:paraId="108176F7" w14:textId="640C6F75" w:rsidR="00F70C9E" w:rsidRPr="000203E1" w:rsidRDefault="00F70C9E" w:rsidP="00E03C3F">
      <w:pPr>
        <w:pStyle w:val="ListParagraph"/>
        <w:tabs>
          <w:tab w:val="left" w:pos="426"/>
        </w:tabs>
        <w:ind w:left="0"/>
        <w:rPr>
          <w:b/>
          <w:bCs/>
          <w:caps/>
        </w:rPr>
      </w:pPr>
    </w:p>
    <w:p w14:paraId="2871CA7F" w14:textId="3B173597" w:rsidR="00F70C9E" w:rsidRPr="000203E1" w:rsidRDefault="00F70C9E" w:rsidP="00880A44">
      <w:pPr>
        <w:spacing w:line="276" w:lineRule="auto"/>
        <w:jc w:val="both"/>
        <w:rPr>
          <w:rFonts w:eastAsia="Arial"/>
          <w:b/>
        </w:rPr>
      </w:pPr>
      <w:r w:rsidRPr="000203E1">
        <w:rPr>
          <w:rFonts w:eastAsia="Arial"/>
          <w:b/>
        </w:rPr>
        <w:t>1.</w:t>
      </w:r>
      <w:r w:rsidR="00164D64">
        <w:rPr>
          <w:rFonts w:eastAsia="Arial"/>
          <w:b/>
        </w:rPr>
        <w:t>9</w:t>
      </w:r>
      <w:r w:rsidRPr="000203E1">
        <w:rPr>
          <w:rFonts w:eastAsia="Arial"/>
          <w:b/>
        </w:rPr>
        <w:t xml:space="preserve"> Kitų </w:t>
      </w:r>
      <w:r w:rsidR="00DF583C" w:rsidRPr="000203E1">
        <w:rPr>
          <w:rFonts w:eastAsia="Arial"/>
          <w:b/>
        </w:rPr>
        <w:t xml:space="preserve">valstybių </w:t>
      </w:r>
      <w:r w:rsidRPr="000203E1">
        <w:rPr>
          <w:rFonts w:eastAsia="Arial"/>
          <w:b/>
        </w:rPr>
        <w:t xml:space="preserve">atsakingų institucijų atlikto </w:t>
      </w:r>
      <w:r w:rsidR="00DF583C" w:rsidRPr="000203E1">
        <w:rPr>
          <w:rFonts w:eastAsia="Arial"/>
          <w:b/>
        </w:rPr>
        <w:t>Sveikatos technologijų vertinimo (toliau – STV)</w:t>
      </w:r>
      <w:r w:rsidRPr="000203E1">
        <w:rPr>
          <w:rFonts w:eastAsia="Arial"/>
          <w:b/>
        </w:rPr>
        <w:t xml:space="preserve"> išvados</w:t>
      </w:r>
    </w:p>
    <w:p w14:paraId="30721FDD" w14:textId="77777777" w:rsidR="00F70C9E" w:rsidRPr="000203E1" w:rsidRDefault="00F70C9E" w:rsidP="00F70C9E">
      <w:pPr>
        <w:spacing w:line="276" w:lineRule="auto"/>
        <w:rPr>
          <w:rFonts w:eastAsia="Arial"/>
        </w:rPr>
      </w:pPr>
    </w:p>
    <w:tbl>
      <w:tblPr>
        <w:tblStyle w:val="TableGrid"/>
        <w:tblW w:w="0" w:type="auto"/>
        <w:tblLook w:val="04A0" w:firstRow="1" w:lastRow="0" w:firstColumn="1" w:lastColumn="0" w:noHBand="0" w:noVBand="1"/>
      </w:tblPr>
      <w:tblGrid>
        <w:gridCol w:w="2855"/>
        <w:gridCol w:w="1851"/>
        <w:gridCol w:w="2244"/>
        <w:gridCol w:w="2543"/>
      </w:tblGrid>
      <w:tr w:rsidR="000203E1" w:rsidRPr="000203E1" w14:paraId="7E72828B" w14:textId="77777777" w:rsidTr="00BE7489">
        <w:trPr>
          <w:trHeight w:val="924"/>
        </w:trPr>
        <w:tc>
          <w:tcPr>
            <w:tcW w:w="2855" w:type="dxa"/>
          </w:tcPr>
          <w:p w14:paraId="253D1DD4" w14:textId="5B2616C0" w:rsidR="00F70C9E" w:rsidRPr="000203E1" w:rsidRDefault="00F70C9E" w:rsidP="00824B92">
            <w:pPr>
              <w:rPr>
                <w:rFonts w:eastAsia="Arial"/>
              </w:rPr>
            </w:pPr>
            <w:r w:rsidRPr="000203E1">
              <w:rPr>
                <w:rFonts w:eastAsia="Arial"/>
              </w:rPr>
              <w:t>ST</w:t>
            </w:r>
            <w:r w:rsidR="00DF583C" w:rsidRPr="000203E1">
              <w:rPr>
                <w:rFonts w:eastAsia="Arial"/>
              </w:rPr>
              <w:t>V</w:t>
            </w:r>
            <w:r w:rsidRPr="000203E1">
              <w:rPr>
                <w:rFonts w:eastAsia="Arial"/>
              </w:rPr>
              <w:t xml:space="preserve"> agentūros pavadinimas, šalis</w:t>
            </w:r>
          </w:p>
        </w:tc>
        <w:tc>
          <w:tcPr>
            <w:tcW w:w="1851" w:type="dxa"/>
          </w:tcPr>
          <w:p w14:paraId="34AE1EDD" w14:textId="77777777" w:rsidR="00F70C9E" w:rsidRPr="000203E1" w:rsidRDefault="00F70C9E" w:rsidP="00824B92">
            <w:pPr>
              <w:rPr>
                <w:rFonts w:eastAsia="Arial"/>
              </w:rPr>
            </w:pPr>
            <w:r w:rsidRPr="000203E1">
              <w:rPr>
                <w:rFonts w:eastAsia="Arial"/>
              </w:rPr>
              <w:t>STV vertinimas atliktas</w:t>
            </w:r>
          </w:p>
        </w:tc>
        <w:tc>
          <w:tcPr>
            <w:tcW w:w="2244" w:type="dxa"/>
          </w:tcPr>
          <w:p w14:paraId="16E2DDC1" w14:textId="77777777" w:rsidR="00F70C9E" w:rsidRPr="000203E1" w:rsidRDefault="00F70C9E" w:rsidP="00824B92">
            <w:pPr>
              <w:rPr>
                <w:rFonts w:eastAsia="Arial"/>
              </w:rPr>
            </w:pPr>
            <w:r w:rsidRPr="000203E1">
              <w:rPr>
                <w:rFonts w:eastAsia="Arial"/>
              </w:rPr>
              <w:t>Klinikinio vertinimo išvada</w:t>
            </w:r>
          </w:p>
        </w:tc>
        <w:tc>
          <w:tcPr>
            <w:tcW w:w="2543" w:type="dxa"/>
          </w:tcPr>
          <w:p w14:paraId="1861E3F2" w14:textId="74803B5B" w:rsidR="00F70C9E" w:rsidRPr="000203E1" w:rsidRDefault="00F70C9E" w:rsidP="00824B92">
            <w:pPr>
              <w:rPr>
                <w:rFonts w:eastAsia="Arial"/>
              </w:rPr>
            </w:pPr>
            <w:r w:rsidRPr="000203E1">
              <w:rPr>
                <w:rFonts w:eastAsia="Arial"/>
              </w:rPr>
              <w:t>Farmako</w:t>
            </w:r>
            <w:r w:rsidR="00CA217D" w:rsidRPr="000203E1">
              <w:rPr>
                <w:rFonts w:eastAsia="Arial"/>
              </w:rPr>
              <w:t>e</w:t>
            </w:r>
            <w:r w:rsidR="00476256" w:rsidRPr="000203E1">
              <w:rPr>
                <w:rFonts w:eastAsia="Arial"/>
              </w:rPr>
              <w:t>ko</w:t>
            </w:r>
            <w:r w:rsidRPr="000203E1">
              <w:rPr>
                <w:rFonts w:eastAsia="Arial"/>
              </w:rPr>
              <w:t>nominio vertinimo išvada</w:t>
            </w:r>
          </w:p>
        </w:tc>
      </w:tr>
      <w:tr w:rsidR="00E43713" w:rsidRPr="000203E1" w14:paraId="129FA8F6" w14:textId="77777777" w:rsidTr="00E3455A">
        <w:trPr>
          <w:trHeight w:val="2267"/>
        </w:trPr>
        <w:tc>
          <w:tcPr>
            <w:tcW w:w="2855" w:type="dxa"/>
          </w:tcPr>
          <w:p w14:paraId="0A070137" w14:textId="77777777" w:rsidR="00E43713" w:rsidRPr="000203E1" w:rsidRDefault="00E43713" w:rsidP="00E43713">
            <w:pPr>
              <w:rPr>
                <w:bCs/>
              </w:rPr>
            </w:pPr>
            <w:r w:rsidRPr="000203E1">
              <w:rPr>
                <w:bCs/>
              </w:rPr>
              <w:t>Nacionalinis sveikatos ir klinikinės kompetencijos institutas, Didžioji Britanija</w:t>
            </w:r>
          </w:p>
          <w:p w14:paraId="49C6520D" w14:textId="77777777" w:rsidR="00E43713" w:rsidRPr="000203E1" w:rsidRDefault="00E43713" w:rsidP="00E43713">
            <w:pPr>
              <w:rPr>
                <w:rFonts w:eastAsia="Arial"/>
                <w:lang w:val="en-GB"/>
              </w:rPr>
            </w:pPr>
            <w:r w:rsidRPr="000203E1">
              <w:rPr>
                <w:rFonts w:eastAsia="Arial"/>
                <w:lang w:val="en-GB"/>
              </w:rPr>
              <w:t xml:space="preserve">(angl. </w:t>
            </w:r>
            <w:r w:rsidRPr="000203E1">
              <w:rPr>
                <w:rFonts w:eastAsia="Arial"/>
                <w:i/>
                <w:lang w:val="en-GB"/>
              </w:rPr>
              <w:t>National Institute for Health and Care  Excellence, NICE</w:t>
            </w:r>
            <w:r w:rsidRPr="000203E1">
              <w:rPr>
                <w:rFonts w:eastAsia="Arial"/>
                <w:lang w:val="en-GB"/>
              </w:rPr>
              <w:t>)</w:t>
            </w:r>
          </w:p>
        </w:tc>
        <w:tc>
          <w:tcPr>
            <w:tcW w:w="1851" w:type="dxa"/>
          </w:tcPr>
          <w:p w14:paraId="5846A9F8" w14:textId="77777777" w:rsidR="00E43713" w:rsidRPr="000203E1" w:rsidRDefault="00000000" w:rsidP="00E43713">
            <w:sdt>
              <w:sdtPr>
                <w:rPr>
                  <w:rStyle w:val="Style2"/>
                  <w:sz w:val="24"/>
                </w:rPr>
                <w:id w:val="1558205022"/>
                <w15:color w:val="FFCC00"/>
                <w14:checkbox>
                  <w14:checked w14:val="0"/>
                  <w14:checkedState w14:val="2612" w14:font="MS Gothic"/>
                  <w14:uncheckedState w14:val="2610" w14:font="MS Gothic"/>
                </w14:checkbox>
              </w:sdtPr>
              <w:sdtContent>
                <w:r w:rsidR="00E43713" w:rsidRPr="000203E1">
                  <w:rPr>
                    <w:rStyle w:val="Style2"/>
                    <w:rFonts w:ascii="Segoe UI Symbol" w:eastAsia="MS Gothic" w:hAnsi="Segoe UI Symbol" w:cs="Segoe UI Symbol"/>
                    <w:sz w:val="24"/>
                  </w:rPr>
                  <w:t>☐</w:t>
                </w:r>
              </w:sdtContent>
            </w:sdt>
            <w:r w:rsidR="00E43713" w:rsidRPr="000203E1">
              <w:t xml:space="preserve"> Taip</w:t>
            </w:r>
          </w:p>
          <w:p w14:paraId="29F3627E" w14:textId="3952F6C6" w:rsidR="00E43713" w:rsidRPr="000203E1" w:rsidRDefault="00000000" w:rsidP="00E43713">
            <w:sdt>
              <w:sdtPr>
                <w:rPr>
                  <w:rStyle w:val="Style2"/>
                  <w:sz w:val="24"/>
                </w:rPr>
                <w:id w:val="866029625"/>
                <w15:color w:val="FFCC00"/>
                <w14:checkbox>
                  <w14:checked w14:val="1"/>
                  <w14:checkedState w14:val="2612" w14:font="MS Gothic"/>
                  <w14:uncheckedState w14:val="2610" w14:font="MS Gothic"/>
                </w14:checkbox>
              </w:sdtPr>
              <w:sdtContent>
                <w:r w:rsidR="00E43713">
                  <w:rPr>
                    <w:rStyle w:val="Style2"/>
                    <w:rFonts w:ascii="MS Gothic" w:eastAsia="MS Gothic" w:hAnsi="MS Gothic" w:hint="eastAsia"/>
                    <w:sz w:val="24"/>
                  </w:rPr>
                  <w:t>☒</w:t>
                </w:r>
              </w:sdtContent>
            </w:sdt>
            <w:r w:rsidR="00E43713" w:rsidRPr="000203E1">
              <w:t xml:space="preserve"> Ne</w:t>
            </w:r>
          </w:p>
          <w:p w14:paraId="7916359D" w14:textId="77777777" w:rsidR="00E43713" w:rsidRPr="000203E1" w:rsidRDefault="00000000" w:rsidP="00E43713">
            <w:pPr>
              <w:rPr>
                <w:rFonts w:eastAsia="Arial"/>
              </w:rPr>
            </w:pPr>
            <w:sdt>
              <w:sdtPr>
                <w:alias w:val="Nurodykite konkrečią dieną"/>
                <w:tag w:val="Nurodykite pradžios datą"/>
                <w:id w:val="922837954"/>
                <w:placeholder>
                  <w:docPart w:val="BAE6310A10D744A18B647BDEEC5B2665"/>
                </w:placeholder>
                <w:showingPlcHdr/>
                <w15:color w:val="FFCC99"/>
                <w:date w:fullDate="2022-05-18T00:00:00Z">
                  <w:dateFormat w:val="yyyy 'm.' MMMM d 'd.'"/>
                  <w:lid w:val="lt-LT"/>
                  <w:storeMappedDataAs w:val="dateTime"/>
                  <w:calendar w:val="gregorian"/>
                </w:date>
              </w:sdtPr>
              <w:sdtContent>
                <w:r w:rsidR="00E43713" w:rsidRPr="000203E1">
                  <w:rPr>
                    <w:rStyle w:val="PlaceholderText"/>
                    <w:color w:val="auto"/>
                  </w:rPr>
                  <w:t>Click here to enter a date.</w:t>
                </w:r>
              </w:sdtContent>
            </w:sdt>
          </w:p>
        </w:tc>
        <w:tc>
          <w:tcPr>
            <w:tcW w:w="4787" w:type="dxa"/>
            <w:gridSpan w:val="2"/>
          </w:tcPr>
          <w:p w14:paraId="67430EE7" w14:textId="18FF0114" w:rsidR="00E43713" w:rsidRPr="000203E1" w:rsidRDefault="00E43713" w:rsidP="00E43713">
            <w:pPr>
              <w:jc w:val="both"/>
              <w:rPr>
                <w:rFonts w:eastAsia="Arial"/>
              </w:rPr>
            </w:pPr>
            <w:r>
              <w:rPr>
                <w:rFonts w:eastAsia="Arial"/>
              </w:rPr>
              <w:t>–</w:t>
            </w:r>
          </w:p>
        </w:tc>
      </w:tr>
      <w:tr w:rsidR="00E43713" w:rsidRPr="000203E1" w14:paraId="1CC31474" w14:textId="77777777" w:rsidTr="0075437B">
        <w:trPr>
          <w:trHeight w:val="1547"/>
        </w:trPr>
        <w:tc>
          <w:tcPr>
            <w:tcW w:w="2855" w:type="dxa"/>
          </w:tcPr>
          <w:p w14:paraId="12218E35" w14:textId="77777777" w:rsidR="00E43713" w:rsidRPr="00E43713" w:rsidRDefault="00E43713" w:rsidP="00E43713">
            <w:pPr>
              <w:rPr>
                <w:rFonts w:eastAsia="Arial"/>
                <w:lang w:val="de-DE"/>
              </w:rPr>
            </w:pPr>
            <w:r w:rsidRPr="00E43713">
              <w:rPr>
                <w:rFonts w:eastAsia="Arial"/>
                <w:lang w:val="de-DE"/>
              </w:rPr>
              <w:t>Kanados sveikatos technologijų agentūra</w:t>
            </w:r>
          </w:p>
          <w:p w14:paraId="2C593A82" w14:textId="77777777" w:rsidR="00E43713" w:rsidRPr="000203E1" w:rsidRDefault="00E43713" w:rsidP="00E43713">
            <w:pPr>
              <w:rPr>
                <w:rFonts w:eastAsia="Arial"/>
                <w:lang w:val="en-GB"/>
              </w:rPr>
            </w:pPr>
            <w:r w:rsidRPr="00E43713">
              <w:rPr>
                <w:rFonts w:eastAsia="Arial"/>
                <w:lang w:val="de-DE"/>
              </w:rPr>
              <w:t xml:space="preserve">(angl. </w:t>
            </w:r>
            <w:r w:rsidRPr="000203E1">
              <w:rPr>
                <w:rFonts w:eastAsia="Arial"/>
                <w:i/>
                <w:lang w:val="en-GB"/>
              </w:rPr>
              <w:t>Canadian health Technology Assessment agency, CADTH</w:t>
            </w:r>
            <w:r w:rsidRPr="000203E1">
              <w:rPr>
                <w:rFonts w:eastAsia="Arial"/>
                <w:lang w:val="en-GB"/>
              </w:rPr>
              <w:t>)</w:t>
            </w:r>
          </w:p>
        </w:tc>
        <w:tc>
          <w:tcPr>
            <w:tcW w:w="1851" w:type="dxa"/>
          </w:tcPr>
          <w:p w14:paraId="762649FE" w14:textId="5CDB24F9" w:rsidR="00E43713" w:rsidRPr="000203E1" w:rsidRDefault="00000000" w:rsidP="00E43713">
            <w:sdt>
              <w:sdtPr>
                <w:rPr>
                  <w:rStyle w:val="Style2"/>
                  <w:sz w:val="24"/>
                </w:rPr>
                <w:id w:val="-372539057"/>
                <w15:color w:val="FFCC00"/>
                <w14:checkbox>
                  <w14:checked w14:val="1"/>
                  <w14:checkedState w14:val="2612" w14:font="MS Gothic"/>
                  <w14:uncheckedState w14:val="2610" w14:font="MS Gothic"/>
                </w14:checkbox>
              </w:sdtPr>
              <w:sdtContent>
                <w:r w:rsidR="00E43713">
                  <w:rPr>
                    <w:rStyle w:val="Style2"/>
                    <w:rFonts w:ascii="MS Gothic" w:eastAsia="MS Gothic" w:hAnsi="MS Gothic" w:hint="eastAsia"/>
                    <w:sz w:val="24"/>
                  </w:rPr>
                  <w:t>☒</w:t>
                </w:r>
              </w:sdtContent>
            </w:sdt>
            <w:r w:rsidR="00E43713" w:rsidRPr="000203E1">
              <w:t xml:space="preserve"> Taip</w:t>
            </w:r>
          </w:p>
          <w:p w14:paraId="35F17B07" w14:textId="77777777" w:rsidR="00E43713" w:rsidRPr="000203E1" w:rsidRDefault="00000000" w:rsidP="00E43713">
            <w:sdt>
              <w:sdtPr>
                <w:rPr>
                  <w:rStyle w:val="Style2"/>
                  <w:sz w:val="24"/>
                </w:rPr>
                <w:id w:val="594442222"/>
                <w15:color w:val="FFCC00"/>
                <w14:checkbox>
                  <w14:checked w14:val="0"/>
                  <w14:checkedState w14:val="2612" w14:font="MS Gothic"/>
                  <w14:uncheckedState w14:val="2610" w14:font="MS Gothic"/>
                </w14:checkbox>
              </w:sdtPr>
              <w:sdtContent>
                <w:r w:rsidR="00E43713" w:rsidRPr="000203E1">
                  <w:rPr>
                    <w:rStyle w:val="Style2"/>
                    <w:rFonts w:ascii="Segoe UI Symbol" w:eastAsia="MS Gothic" w:hAnsi="Segoe UI Symbol" w:cs="Segoe UI Symbol"/>
                    <w:sz w:val="24"/>
                  </w:rPr>
                  <w:t>☐</w:t>
                </w:r>
              </w:sdtContent>
            </w:sdt>
            <w:r w:rsidR="00E43713" w:rsidRPr="000203E1">
              <w:t xml:space="preserve"> Ne</w:t>
            </w:r>
          </w:p>
          <w:p w14:paraId="0C0988CC" w14:textId="7E8198D9" w:rsidR="00E43713" w:rsidRPr="000203E1" w:rsidRDefault="00000000" w:rsidP="00E43713">
            <w:pPr>
              <w:rPr>
                <w:rFonts w:eastAsia="Arial"/>
              </w:rPr>
            </w:pPr>
            <w:sdt>
              <w:sdtPr>
                <w:alias w:val="Nurodykite konkrečią dieną"/>
                <w:tag w:val="Nurodykite pradžios datą"/>
                <w:id w:val="1072468416"/>
                <w:placeholder>
                  <w:docPart w:val="33D05351D71A4A3599F3EA1D1B147479"/>
                </w:placeholder>
                <w15:color w:val="FFCC99"/>
                <w:date>
                  <w:dateFormat w:val="yyyy 'm.' MMMM d 'd.'"/>
                  <w:lid w:val="lt-LT"/>
                  <w:storeMappedDataAs w:val="dateTime"/>
                  <w:calendar w:val="gregorian"/>
                </w:date>
              </w:sdtPr>
              <w:sdtContent>
                <w:r w:rsidR="00E43713">
                  <w:t>2022 m. lapkričio 1 d.</w:t>
                </w:r>
              </w:sdtContent>
            </w:sdt>
          </w:p>
        </w:tc>
        <w:tc>
          <w:tcPr>
            <w:tcW w:w="4787" w:type="dxa"/>
            <w:gridSpan w:val="2"/>
          </w:tcPr>
          <w:p w14:paraId="5C8CB330" w14:textId="09D90C99" w:rsidR="00E43713" w:rsidRPr="000203E1" w:rsidRDefault="00E43713" w:rsidP="00E43713">
            <w:pPr>
              <w:jc w:val="both"/>
              <w:rPr>
                <w:rFonts w:eastAsia="Arial"/>
              </w:rPr>
            </w:pPr>
            <w:r>
              <w:rPr>
                <w:rFonts w:eastAsia="Arial"/>
              </w:rPr>
              <w:t>Rekomenduojama kompensuoti</w:t>
            </w:r>
            <w:r w:rsidRPr="00A14968">
              <w:t xml:space="preserve"> suaugusi</w:t>
            </w:r>
            <w:r>
              <w:t>ųjų</w:t>
            </w:r>
            <w:r w:rsidRPr="00A14968">
              <w:t>, sergan</w:t>
            </w:r>
            <w:r>
              <w:t>čių</w:t>
            </w:r>
            <w:r w:rsidRPr="00A14968">
              <w:t xml:space="preserve"> simptominiu</w:t>
            </w:r>
            <w:r>
              <w:t xml:space="preserve"> (II – III funkcinės klasės)</w:t>
            </w:r>
            <w:r w:rsidRPr="00A14968">
              <w:t xml:space="preserve"> lėtiniu širdies nepakankamumu, esant </w:t>
            </w:r>
            <w:r>
              <w:t>išlikusiai</w:t>
            </w:r>
            <w:r w:rsidRPr="00A14968">
              <w:t xml:space="preserve"> išstūmimo frakcijai</w:t>
            </w:r>
            <w:r>
              <w:t xml:space="preserve">, gydymui kartu su standartiniu gydymui </w:t>
            </w:r>
            <w:r>
              <w:rPr>
                <w:rFonts w:eastAsia="Arial"/>
              </w:rPr>
              <w:t>mažinant kainą tiek, jog kaštai neviršytų su dapagliflozino skyrimu analogiškai indikacijai susijusių kaštų.</w:t>
            </w:r>
          </w:p>
        </w:tc>
      </w:tr>
      <w:tr w:rsidR="00E43713" w:rsidRPr="000203E1" w14:paraId="21C94D47" w14:textId="77777777" w:rsidTr="00815F24">
        <w:trPr>
          <w:trHeight w:val="2160"/>
        </w:trPr>
        <w:tc>
          <w:tcPr>
            <w:tcW w:w="2855" w:type="dxa"/>
          </w:tcPr>
          <w:p w14:paraId="02F45BB8" w14:textId="77777777" w:rsidR="00E43713" w:rsidRPr="000203E1" w:rsidRDefault="00E43713" w:rsidP="00E43713">
            <w:pPr>
              <w:rPr>
                <w:rFonts w:eastAsia="Arial"/>
              </w:rPr>
            </w:pPr>
            <w:r w:rsidRPr="000203E1">
              <w:rPr>
                <w:rFonts w:eastAsia="Arial"/>
              </w:rPr>
              <w:t>Nacionalinis farmakoekonomikos centras, Airija</w:t>
            </w:r>
          </w:p>
          <w:p w14:paraId="736F5072" w14:textId="77777777" w:rsidR="00E43713" w:rsidRPr="000203E1" w:rsidRDefault="00E43713" w:rsidP="00E43713">
            <w:pPr>
              <w:rPr>
                <w:rFonts w:eastAsia="Arial"/>
              </w:rPr>
            </w:pPr>
            <w:r w:rsidRPr="000203E1">
              <w:rPr>
                <w:rFonts w:eastAsia="Arial"/>
              </w:rPr>
              <w:t>(angl.</w:t>
            </w:r>
            <w:r w:rsidRPr="000203E1">
              <w:rPr>
                <w:rFonts w:eastAsia="Arial"/>
                <w:i/>
              </w:rPr>
              <w:t xml:space="preserve"> National Centre for Pharmacoeconomics, NCPE</w:t>
            </w:r>
            <w:r w:rsidRPr="000203E1">
              <w:rPr>
                <w:rFonts w:eastAsia="Arial"/>
              </w:rPr>
              <w:t>)</w:t>
            </w:r>
          </w:p>
        </w:tc>
        <w:tc>
          <w:tcPr>
            <w:tcW w:w="1851" w:type="dxa"/>
          </w:tcPr>
          <w:p w14:paraId="106E24DF" w14:textId="77777777" w:rsidR="00E43713" w:rsidRPr="000203E1" w:rsidRDefault="00000000" w:rsidP="00E43713">
            <w:sdt>
              <w:sdtPr>
                <w:rPr>
                  <w:rStyle w:val="Style2"/>
                  <w:sz w:val="24"/>
                </w:rPr>
                <w:id w:val="-1888403732"/>
                <w15:color w:val="FFCC00"/>
                <w14:checkbox>
                  <w14:checked w14:val="0"/>
                  <w14:checkedState w14:val="2612" w14:font="MS Gothic"/>
                  <w14:uncheckedState w14:val="2610" w14:font="MS Gothic"/>
                </w14:checkbox>
              </w:sdtPr>
              <w:sdtContent>
                <w:r w:rsidR="00E43713" w:rsidRPr="000203E1">
                  <w:rPr>
                    <w:rStyle w:val="Style2"/>
                    <w:rFonts w:ascii="Segoe UI Symbol" w:eastAsia="MS Gothic" w:hAnsi="Segoe UI Symbol" w:cs="Segoe UI Symbol"/>
                    <w:sz w:val="24"/>
                  </w:rPr>
                  <w:t>☐</w:t>
                </w:r>
              </w:sdtContent>
            </w:sdt>
            <w:r w:rsidR="00E43713" w:rsidRPr="000203E1">
              <w:t xml:space="preserve"> Taip</w:t>
            </w:r>
          </w:p>
          <w:p w14:paraId="6C89485D" w14:textId="77777777" w:rsidR="00E43713" w:rsidRPr="000203E1" w:rsidRDefault="00000000" w:rsidP="00E43713">
            <w:sdt>
              <w:sdtPr>
                <w:rPr>
                  <w:rStyle w:val="Style2"/>
                  <w:sz w:val="24"/>
                </w:rPr>
                <w:id w:val="1092201793"/>
                <w15:color w:val="FFCC00"/>
                <w14:checkbox>
                  <w14:checked w14:val="0"/>
                  <w14:checkedState w14:val="2612" w14:font="MS Gothic"/>
                  <w14:uncheckedState w14:val="2610" w14:font="MS Gothic"/>
                </w14:checkbox>
              </w:sdtPr>
              <w:sdtContent>
                <w:r w:rsidR="00E43713" w:rsidRPr="000203E1">
                  <w:rPr>
                    <w:rStyle w:val="Style2"/>
                    <w:rFonts w:ascii="Segoe UI Symbol" w:eastAsia="MS Gothic" w:hAnsi="Segoe UI Symbol" w:cs="Segoe UI Symbol"/>
                    <w:sz w:val="24"/>
                  </w:rPr>
                  <w:t>☐</w:t>
                </w:r>
              </w:sdtContent>
            </w:sdt>
            <w:r w:rsidR="00E43713" w:rsidRPr="000203E1">
              <w:t xml:space="preserve"> Ne</w:t>
            </w:r>
          </w:p>
          <w:p w14:paraId="69AA1151" w14:textId="3548440F" w:rsidR="00E43713" w:rsidRPr="000203E1" w:rsidRDefault="00000000" w:rsidP="00E43713">
            <w:pPr>
              <w:rPr>
                <w:rFonts w:eastAsia="Arial"/>
              </w:rPr>
            </w:pPr>
            <w:sdt>
              <w:sdtPr>
                <w:alias w:val="Nurodykite konkrečią dieną"/>
                <w:tag w:val="Nurodykite pradžios datą"/>
                <w:id w:val="-198323198"/>
                <w:placeholder>
                  <w:docPart w:val="9A56B15F4D1A48CF815A483A3B64CC00"/>
                </w:placeholder>
                <w15:color w:val="FFCC99"/>
                <w:date>
                  <w:dateFormat w:val="yyyy 'm.' MMMM d 'd.'"/>
                  <w:lid w:val="lt-LT"/>
                  <w:storeMappedDataAs w:val="dateTime"/>
                  <w:calendar w:val="gregorian"/>
                </w:date>
              </w:sdtPr>
              <w:sdtContent>
                <w:r w:rsidR="00E43713">
                  <w:t xml:space="preserve">2022 m. </w:t>
                </w:r>
              </w:sdtContent>
            </w:sdt>
          </w:p>
        </w:tc>
        <w:tc>
          <w:tcPr>
            <w:tcW w:w="4787" w:type="dxa"/>
            <w:gridSpan w:val="2"/>
          </w:tcPr>
          <w:p w14:paraId="60651AFD" w14:textId="66C50320" w:rsidR="00E43713" w:rsidRPr="000203E1" w:rsidRDefault="00E43713" w:rsidP="00E43713">
            <w:pPr>
              <w:jc w:val="both"/>
              <w:rPr>
                <w:rFonts w:eastAsia="Arial"/>
              </w:rPr>
            </w:pPr>
            <w:r>
              <w:rPr>
                <w:rFonts w:eastAsia="Arial"/>
              </w:rPr>
              <w:t>Išsamaus STV vertinimo atlikti nerekomeduojama. Rekomenduota svarstyti apie kompensavimą</w:t>
            </w:r>
            <w:r w:rsidRPr="00A14968">
              <w:t xml:space="preserve"> suaugusi</w:t>
            </w:r>
            <w:r>
              <w:t>ųjų</w:t>
            </w:r>
            <w:r w:rsidRPr="00A14968">
              <w:t>, sergan</w:t>
            </w:r>
            <w:r>
              <w:t>čių</w:t>
            </w:r>
            <w:r w:rsidRPr="00A14968">
              <w:t xml:space="preserve"> simptominiu lėtiniu širdies nepakankamumu, esant </w:t>
            </w:r>
            <w:r>
              <w:t>išlikusiai</w:t>
            </w:r>
            <w:r w:rsidRPr="00A14968">
              <w:t xml:space="preserve"> išstūmimo frakcijai</w:t>
            </w:r>
            <w:r>
              <w:rPr>
                <w:rFonts w:eastAsia="Arial"/>
              </w:rPr>
              <w:t>.</w:t>
            </w:r>
          </w:p>
        </w:tc>
      </w:tr>
    </w:tbl>
    <w:p w14:paraId="2EB7FD31" w14:textId="4D2A8479" w:rsidR="007A2B68" w:rsidRPr="000203E1" w:rsidRDefault="007A2B68" w:rsidP="00E03C3F">
      <w:pPr>
        <w:pStyle w:val="ListParagraph"/>
        <w:tabs>
          <w:tab w:val="left" w:pos="426"/>
        </w:tabs>
        <w:ind w:left="0"/>
        <w:rPr>
          <w:b/>
          <w:bCs/>
          <w:caps/>
        </w:rPr>
      </w:pPr>
    </w:p>
    <w:p w14:paraId="73290081" w14:textId="77777777" w:rsidR="007A2B68" w:rsidRPr="000203E1" w:rsidRDefault="007A2B68">
      <w:pPr>
        <w:rPr>
          <w:b/>
          <w:bCs/>
          <w:caps/>
        </w:rPr>
      </w:pPr>
      <w:r w:rsidRPr="000203E1">
        <w:rPr>
          <w:b/>
          <w:bCs/>
          <w:caps/>
        </w:rPr>
        <w:br w:type="page"/>
      </w:r>
    </w:p>
    <w:p w14:paraId="5055E8A8" w14:textId="471A9757" w:rsidR="002E6F80" w:rsidRPr="000203E1" w:rsidRDefault="00CC7832" w:rsidP="00CC09D4">
      <w:pPr>
        <w:pStyle w:val="ListParagraph"/>
        <w:numPr>
          <w:ilvl w:val="0"/>
          <w:numId w:val="12"/>
        </w:numPr>
        <w:tabs>
          <w:tab w:val="left" w:pos="567"/>
        </w:tabs>
        <w:ind w:hanging="720"/>
        <w:rPr>
          <w:b/>
          <w:bCs/>
          <w:caps/>
        </w:rPr>
      </w:pPr>
      <w:r w:rsidRPr="000203E1">
        <w:rPr>
          <w:b/>
          <w:bCs/>
          <w:caps/>
        </w:rPr>
        <w:lastRenderedPageBreak/>
        <w:t>Klinikinio vertinimo a</w:t>
      </w:r>
      <w:r w:rsidR="00D4485B" w:rsidRPr="000203E1">
        <w:rPr>
          <w:b/>
          <w:bCs/>
          <w:caps/>
        </w:rPr>
        <w:t>pibendrinimas</w:t>
      </w:r>
    </w:p>
    <w:p w14:paraId="25F89291" w14:textId="5C45C8FC" w:rsidR="00D4485B" w:rsidRDefault="00D4485B" w:rsidP="00A93AA6">
      <w:pPr>
        <w:pStyle w:val="ListParagraph"/>
        <w:tabs>
          <w:tab w:val="left" w:pos="426"/>
        </w:tabs>
        <w:ind w:left="0"/>
        <w:rPr>
          <w:b/>
          <w:bCs/>
          <w:caps/>
        </w:rPr>
      </w:pPr>
    </w:p>
    <w:p w14:paraId="5A79C9E8" w14:textId="77777777" w:rsidR="0072501F" w:rsidRPr="00D8404C" w:rsidRDefault="0072501F" w:rsidP="0072501F">
      <w:pPr>
        <w:widowControl w:val="0"/>
        <w:ind w:firstLine="720"/>
        <w:jc w:val="both"/>
        <w:rPr>
          <w:rFonts w:eastAsia="Arial"/>
          <w:iCs/>
        </w:rPr>
      </w:pPr>
      <w:r w:rsidRPr="00D8404C">
        <w:rPr>
          <w:bCs/>
          <w:color w:val="000000"/>
          <w:lang w:eastAsia="lt-LT"/>
        </w:rPr>
        <w:t xml:space="preserve">Širdies nepakankamumas (ŠN) yra dėl patologinių širdies struktūrinių ar funkcinių pokyčių besivystantis klinikinis sindromas, kuriam būdingi specifiniai simptomai (dusulys, kojų tinimas, greitas nuovargis) ir klinikiniai požymiai (padidėjęs jungo venos spaudimas, staziniai karkalai plaučiuose ir periferinės edemos), atsirandantys dėl nepakankamo širdies minutinio tūrio fizinio krūvio metu ir/ar ramybėje. Ligotumas didėja vyresniame amžiuje: ŠN nustatomas &lt;1% pacientų, kurie jaunesnis nei 55 metai ir &gt;10% pacientų, kurie vyresni nei 70 metų. </w:t>
      </w:r>
      <w:r w:rsidRPr="00D8404C">
        <w:rPr>
          <w:rFonts w:eastAsia="Arial"/>
          <w:iCs/>
        </w:rPr>
        <w:t xml:space="preserve">ŠN pagal </w:t>
      </w:r>
      <w:r w:rsidRPr="00D8404C">
        <w:rPr>
          <w:rFonts w:eastAsia="Arial"/>
          <w:bCs/>
          <w:iCs/>
        </w:rPr>
        <w:t>kairiojo skilvelio išstūmimo frakciją</w:t>
      </w:r>
      <w:r w:rsidRPr="00D8404C">
        <w:rPr>
          <w:rFonts w:eastAsia="Arial"/>
          <w:iCs/>
        </w:rPr>
        <w:t xml:space="preserve"> (KSIF) grupuojamas į 3 grupes (</w:t>
      </w:r>
      <w:r w:rsidRPr="00D8404C">
        <w:rPr>
          <w:rFonts w:eastAsia="Arial"/>
          <w:bCs/>
          <w:iCs/>
        </w:rPr>
        <w:t>sumažėjusi</w:t>
      </w:r>
      <w:r w:rsidRPr="00D8404C">
        <w:rPr>
          <w:rFonts w:eastAsia="Arial"/>
          <w:iCs/>
        </w:rPr>
        <w:t xml:space="preserve">, kai KSIF ≤ 40%; vidutiniškai sumažėjusi, kai KSIF 41 – 49%; išlikusi, kai KSIF ≥ 50%, toliau </w:t>
      </w:r>
      <w:r w:rsidRPr="00D8404C">
        <w:rPr>
          <w:rFonts w:eastAsia="Arial"/>
          <w:bCs/>
          <w:iCs/>
        </w:rPr>
        <w:t>ŠNvsIF</w:t>
      </w:r>
      <w:r w:rsidRPr="00D8404C">
        <w:rPr>
          <w:rFonts w:eastAsia="Arial"/>
          <w:iCs/>
        </w:rPr>
        <w:t xml:space="preserve"> ir </w:t>
      </w:r>
      <w:r w:rsidRPr="00D8404C">
        <w:rPr>
          <w:rFonts w:eastAsia="Arial"/>
          <w:bCs/>
          <w:iCs/>
        </w:rPr>
        <w:t>ŠNiIF</w:t>
      </w:r>
      <w:r w:rsidRPr="00D8404C">
        <w:rPr>
          <w:rFonts w:eastAsia="Arial"/>
          <w:iCs/>
        </w:rPr>
        <w:t xml:space="preserve">), pagal Niujorko širdies asociacijos (angl. </w:t>
      </w:r>
      <w:r w:rsidRPr="00D8404C">
        <w:rPr>
          <w:rFonts w:eastAsia="Arial"/>
          <w:i/>
        </w:rPr>
        <w:t>New York Heart Association</w:t>
      </w:r>
      <w:r w:rsidRPr="00D8404C">
        <w:rPr>
          <w:rFonts w:eastAsia="Arial"/>
          <w:iCs/>
        </w:rPr>
        <w:t xml:space="preserve">, toliau NYHA) </w:t>
      </w:r>
      <w:r w:rsidRPr="00D8404C">
        <w:rPr>
          <w:rFonts w:eastAsia="Arial"/>
          <w:bCs/>
          <w:iCs/>
        </w:rPr>
        <w:t>pacientų funkcinės būklės</w:t>
      </w:r>
      <w:r w:rsidRPr="00D8404C">
        <w:rPr>
          <w:rFonts w:eastAsia="Arial"/>
          <w:iCs/>
        </w:rPr>
        <w:t xml:space="preserve"> klasifikaciją – į 4 grupes (I klasė – įprastas fizinis krūvis nesukelia simptomų, IV klasė – simptomai ramybėje).</w:t>
      </w:r>
    </w:p>
    <w:p w14:paraId="0D43BF60" w14:textId="77777777" w:rsidR="0072501F" w:rsidRPr="00D8404C" w:rsidRDefault="0072501F" w:rsidP="0072501F">
      <w:pPr>
        <w:tabs>
          <w:tab w:val="left" w:pos="426"/>
        </w:tabs>
        <w:jc w:val="both"/>
        <w:rPr>
          <w:rFonts w:eastAsia="Arial"/>
          <w:iCs/>
        </w:rPr>
      </w:pPr>
      <w:r w:rsidRPr="00D8404C">
        <w:rPr>
          <w:rFonts w:eastAsia="Arial"/>
          <w:iCs/>
        </w:rPr>
        <w:tab/>
      </w:r>
      <w:r w:rsidRPr="00D8404C">
        <w:rPr>
          <w:rFonts w:eastAsia="Arial"/>
          <w:iCs/>
        </w:rPr>
        <w:tab/>
        <w:t xml:space="preserve">2021 m. išpublikuotose (iki EMPEROR-Preserved tyrimo duomenų paskelbimo) Europos kardiologų draugijos (EKD) ŠN diagnostikos ir gydymo gairėse nustačius </w:t>
      </w:r>
      <w:r w:rsidRPr="00D8404C">
        <w:rPr>
          <w:rFonts w:eastAsia="Arial"/>
          <w:bCs/>
          <w:iCs/>
        </w:rPr>
        <w:t>ŠNvsIF</w:t>
      </w:r>
      <w:r w:rsidRPr="00D8404C">
        <w:rPr>
          <w:rFonts w:eastAsia="Arial"/>
          <w:iCs/>
        </w:rPr>
        <w:t xml:space="preserve">  pacientui gali būti svarstomi ligos eigą modifikuojantys trijų grupių vaistiniai preparatai, tačiau įrodymų, ar jie mažina hospitalizacijos ir mirties dėl ŠN riziką, trūksta: 1) angiotenziną konvertuojančio fermento inhibitoriai (</w:t>
      </w:r>
      <w:r w:rsidRPr="00D8404C">
        <w:rPr>
          <w:rFonts w:eastAsia="Arial"/>
          <w:bCs/>
          <w:iCs/>
        </w:rPr>
        <w:t>AKFi</w:t>
      </w:r>
      <w:r w:rsidRPr="00D8404C">
        <w:rPr>
          <w:rFonts w:eastAsia="Arial"/>
          <w:iCs/>
        </w:rPr>
        <w:t>; IIbC rekomendacija) arba angiotenzino receptorių – neprilizino inhibitoriai (</w:t>
      </w:r>
      <w:r w:rsidRPr="00D8404C">
        <w:rPr>
          <w:rFonts w:eastAsia="Arial"/>
          <w:bCs/>
          <w:iCs/>
        </w:rPr>
        <w:t>ARNI</w:t>
      </w:r>
      <w:r w:rsidRPr="00D8404C">
        <w:rPr>
          <w:rFonts w:eastAsia="Arial"/>
          <w:iCs/>
        </w:rPr>
        <w:t>; IIbC rekomendacija); 2) beta – adrenoblokatoriai (</w:t>
      </w:r>
      <w:r w:rsidRPr="00D8404C">
        <w:rPr>
          <w:rFonts w:eastAsia="Arial"/>
          <w:bCs/>
          <w:iCs/>
        </w:rPr>
        <w:t>BAB</w:t>
      </w:r>
      <w:r w:rsidRPr="00D8404C">
        <w:rPr>
          <w:rFonts w:eastAsia="Arial"/>
          <w:iCs/>
        </w:rPr>
        <w:t>; IIbC rekomendacija); 3) mineralkortikoidų receptorių antagonistai (</w:t>
      </w:r>
      <w:r w:rsidRPr="00D8404C">
        <w:rPr>
          <w:rFonts w:eastAsia="Arial"/>
          <w:bCs/>
          <w:iCs/>
        </w:rPr>
        <w:t>MRA</w:t>
      </w:r>
      <w:r w:rsidRPr="00D8404C">
        <w:rPr>
          <w:rFonts w:eastAsia="Arial"/>
          <w:iCs/>
        </w:rPr>
        <w:t>; IIbC rekomendacija). Netoleruojant AKFi ir/ar ARNI, vietoj vieno iš šių preparatų gali būti skiriami angiotenzino receptorių blokatoriai (</w:t>
      </w:r>
      <w:r w:rsidRPr="00D8404C">
        <w:rPr>
          <w:rFonts w:eastAsia="Arial"/>
          <w:bCs/>
          <w:iCs/>
        </w:rPr>
        <w:t>ARB</w:t>
      </w:r>
      <w:r w:rsidRPr="00D8404C">
        <w:rPr>
          <w:rFonts w:eastAsia="Arial"/>
          <w:iCs/>
        </w:rPr>
        <w:t xml:space="preserve">; IIbC rekomendacija). </w:t>
      </w:r>
      <w:r w:rsidRPr="00D8404C">
        <w:rPr>
          <w:rFonts w:eastAsia="Arial"/>
          <w:bCs/>
          <w:iCs/>
        </w:rPr>
        <w:t>Diuretikai</w:t>
      </w:r>
      <w:r w:rsidRPr="00D8404C">
        <w:rPr>
          <w:rFonts w:eastAsia="Arial"/>
          <w:iCs/>
        </w:rPr>
        <w:t xml:space="preserve"> (esant skysčių susilaikymo – staziniams – požymiams) rekomenduojami siekiant geresnės simptomų kontrolės, tačiau mirties dėl ŠN rizikos nemažina (IC rekomendacija). Esant </w:t>
      </w:r>
      <w:r w:rsidRPr="00D8404C">
        <w:rPr>
          <w:rFonts w:eastAsia="Arial"/>
          <w:bCs/>
          <w:iCs/>
        </w:rPr>
        <w:t>ŠNiIF</w:t>
      </w:r>
      <w:r w:rsidRPr="00D8404C">
        <w:rPr>
          <w:rFonts w:eastAsia="Arial"/>
          <w:iCs/>
        </w:rPr>
        <w:t xml:space="preserve"> (1 lentelė), rekomendacijos apie ligos eigą modifikuojančių vaistinių preparatų skyrimą nepateikiamos, tačiau ši pacientų grupė neretai vartoja AKFi/ARB, BAB, MRA dėl gretutinių ligų (arterinės hipertenzijos, koronarinė širdies liga, prieširdžių virpėjimas ir kt.). Siekiant geresnės ŠN simptomų kontrolės rekomenduojami </w:t>
      </w:r>
      <w:r w:rsidRPr="00D8404C">
        <w:rPr>
          <w:rFonts w:eastAsia="Arial"/>
          <w:bCs/>
          <w:iCs/>
        </w:rPr>
        <w:t>diuretikai</w:t>
      </w:r>
      <w:r w:rsidRPr="00D8404C">
        <w:rPr>
          <w:rFonts w:eastAsia="Arial"/>
          <w:iCs/>
        </w:rPr>
        <w:t xml:space="preserve"> (IC rekomendacija).</w:t>
      </w:r>
    </w:p>
    <w:p w14:paraId="7B11742D" w14:textId="77777777" w:rsidR="0072501F" w:rsidRPr="00D8404C" w:rsidRDefault="0072501F" w:rsidP="0072501F">
      <w:pPr>
        <w:tabs>
          <w:tab w:val="left" w:pos="426"/>
        </w:tabs>
        <w:jc w:val="both"/>
        <w:rPr>
          <w:rFonts w:eastAsia="Arial"/>
          <w:iCs/>
        </w:rPr>
      </w:pPr>
      <w:r w:rsidRPr="00D8404C">
        <w:rPr>
          <w:rFonts w:eastAsia="Arial"/>
          <w:iCs/>
        </w:rPr>
        <w:tab/>
      </w:r>
      <w:r w:rsidRPr="00D8404C">
        <w:rPr>
          <w:rFonts w:eastAsia="Arial"/>
          <w:iCs/>
        </w:rPr>
        <w:tab/>
        <w:t xml:space="preserve">2022 m. išpublikuotose (po EMPEROR-Preserved tyrimo duomenų paskelbimo) Amerikos kardiologų kolegijos ir Amerikos širdies asociacijos (AKK/AŠA) ŠN diagnostikos ir gydymo gairėse nustačius </w:t>
      </w:r>
      <w:r w:rsidRPr="00D8404C">
        <w:rPr>
          <w:rFonts w:eastAsia="Arial"/>
          <w:bCs/>
          <w:iCs/>
        </w:rPr>
        <w:t>simptominį</w:t>
      </w:r>
      <w:r w:rsidRPr="00D8404C">
        <w:rPr>
          <w:rFonts w:eastAsia="Arial"/>
          <w:iCs/>
        </w:rPr>
        <w:t xml:space="preserve"> </w:t>
      </w:r>
      <w:r w:rsidRPr="00D8404C">
        <w:rPr>
          <w:rFonts w:eastAsia="Arial"/>
          <w:bCs/>
          <w:iCs/>
        </w:rPr>
        <w:t>ŠNvsIF</w:t>
      </w:r>
      <w:r w:rsidRPr="00D8404C">
        <w:rPr>
          <w:rFonts w:eastAsia="Arial"/>
          <w:iCs/>
        </w:rPr>
        <w:t xml:space="preserve"> pacientui gali būti svarstomi </w:t>
      </w:r>
      <w:r w:rsidRPr="00D8404C">
        <w:rPr>
          <w:rFonts w:eastAsia="Arial"/>
          <w:bCs/>
          <w:iCs/>
        </w:rPr>
        <w:t>tie patys</w:t>
      </w:r>
      <w:r w:rsidRPr="00D8404C">
        <w:rPr>
          <w:rFonts w:eastAsia="Arial"/>
          <w:iCs/>
        </w:rPr>
        <w:t xml:space="preserve"> ligos eigą modifikuojantys trijų grupių vaistiniai preparatai (IIbB rekomendacijos) ir gali būti naudingi </w:t>
      </w:r>
      <w:r w:rsidRPr="00D8404C">
        <w:t xml:space="preserve">natrio gliukozės 2 nešiklio inhibitoriai (angl. </w:t>
      </w:r>
      <w:r w:rsidRPr="00D8404C">
        <w:rPr>
          <w:i/>
          <w:iCs/>
        </w:rPr>
        <w:t>Sodium-glucose co-transporter 2 inhibitor</w:t>
      </w:r>
      <w:r w:rsidRPr="00D8404C">
        <w:t xml:space="preserve">, </w:t>
      </w:r>
      <w:r w:rsidRPr="00D8404C">
        <w:rPr>
          <w:bCs/>
        </w:rPr>
        <w:t>SGLT2i</w:t>
      </w:r>
      <w:r w:rsidRPr="00D8404C">
        <w:t xml:space="preserve">) – </w:t>
      </w:r>
      <w:r w:rsidRPr="00D8404C">
        <w:rPr>
          <w:rFonts w:eastAsia="Arial"/>
          <w:iCs/>
        </w:rPr>
        <w:t xml:space="preserve"> dapagliflozinas arba </w:t>
      </w:r>
      <w:r w:rsidRPr="00D8404C">
        <w:rPr>
          <w:rFonts w:eastAsia="Arial"/>
          <w:bCs/>
          <w:iCs/>
        </w:rPr>
        <w:t xml:space="preserve">empagliflozinas </w:t>
      </w:r>
      <w:r w:rsidRPr="00D8404C">
        <w:rPr>
          <w:rFonts w:eastAsia="Arial"/>
          <w:iCs/>
        </w:rPr>
        <w:t xml:space="preserve">(IIaB rekomendacija). Esant </w:t>
      </w:r>
      <w:r w:rsidRPr="00D8404C">
        <w:rPr>
          <w:rFonts w:eastAsia="Arial"/>
          <w:bCs/>
          <w:iCs/>
        </w:rPr>
        <w:t>simptominiam ŠNiIF</w:t>
      </w:r>
      <w:r w:rsidRPr="00D8404C">
        <w:rPr>
          <w:rFonts w:eastAsia="Arial"/>
          <w:iCs/>
        </w:rPr>
        <w:t xml:space="preserve">, gali būti skiriami </w:t>
      </w:r>
      <w:r w:rsidRPr="00D8404C">
        <w:rPr>
          <w:rFonts w:eastAsia="Arial"/>
          <w:bCs/>
          <w:iCs/>
        </w:rPr>
        <w:t>ARNI</w:t>
      </w:r>
      <w:r w:rsidRPr="00D8404C">
        <w:rPr>
          <w:rFonts w:eastAsia="Arial"/>
          <w:iCs/>
        </w:rPr>
        <w:t xml:space="preserve"> (IIbB rekomendacija), </w:t>
      </w:r>
      <w:r w:rsidRPr="00D8404C">
        <w:rPr>
          <w:rFonts w:eastAsia="Arial"/>
          <w:bCs/>
          <w:iCs/>
        </w:rPr>
        <w:t>ARB</w:t>
      </w:r>
      <w:r w:rsidRPr="00D8404C">
        <w:rPr>
          <w:rFonts w:eastAsia="Arial"/>
          <w:iCs/>
        </w:rPr>
        <w:t xml:space="preserve"> (IIbB rekomendacija), </w:t>
      </w:r>
      <w:r w:rsidRPr="00D8404C">
        <w:rPr>
          <w:rFonts w:eastAsia="Arial"/>
          <w:bCs/>
          <w:iCs/>
        </w:rPr>
        <w:t>MRA</w:t>
      </w:r>
      <w:r w:rsidRPr="00D8404C">
        <w:rPr>
          <w:rFonts w:eastAsia="Arial"/>
          <w:iCs/>
        </w:rPr>
        <w:t xml:space="preserve"> (IIbB rekomendacija) ir gali būti naudingi </w:t>
      </w:r>
      <w:r w:rsidRPr="00D8404C">
        <w:rPr>
          <w:rFonts w:eastAsia="Arial"/>
          <w:bCs/>
          <w:iCs/>
        </w:rPr>
        <w:t>SGLT2i</w:t>
      </w:r>
      <w:r w:rsidRPr="00D8404C">
        <w:rPr>
          <w:rFonts w:eastAsia="Arial"/>
          <w:iCs/>
        </w:rPr>
        <w:t xml:space="preserve"> (IIaB rekomendacija). Abiem atvejais siekiant geresnės ŠN simptomų kontrolės rekomenduojami </w:t>
      </w:r>
      <w:r w:rsidRPr="00D8404C">
        <w:rPr>
          <w:rFonts w:eastAsia="Arial"/>
          <w:bCs/>
          <w:iCs/>
        </w:rPr>
        <w:t>diuretikai</w:t>
      </w:r>
      <w:r w:rsidRPr="00D8404C">
        <w:rPr>
          <w:rFonts w:eastAsia="Arial"/>
          <w:iCs/>
        </w:rPr>
        <w:t xml:space="preserve"> (IC rekomendacija).</w:t>
      </w:r>
    </w:p>
    <w:p w14:paraId="67A2EC4A" w14:textId="77777777" w:rsidR="0072501F" w:rsidRPr="00D8404C" w:rsidRDefault="0072501F" w:rsidP="0072501F">
      <w:pPr>
        <w:widowControl w:val="0"/>
        <w:autoSpaceDE w:val="0"/>
        <w:autoSpaceDN w:val="0"/>
        <w:spacing w:after="120"/>
        <w:jc w:val="both"/>
      </w:pPr>
      <w:r w:rsidRPr="00D8404C">
        <w:rPr>
          <w:rFonts w:eastAsia="Arial"/>
          <w:iCs/>
        </w:rPr>
        <w:tab/>
      </w:r>
      <w:r w:rsidRPr="00D8404C">
        <w:rPr>
          <w:szCs w:val="22"/>
        </w:rPr>
        <w:t xml:space="preserve">2023 m. rugpjūčio 28 d. Pareiškėjas pateikė klinikinės dalies duomenų papildymą, kuriame pateikė </w:t>
      </w:r>
      <w:r w:rsidRPr="00D8404C">
        <w:t xml:space="preserve">Europos kardiologijos draugijos 2023 m. kongrese (Amsterdamas, rugpjūčio 25 – 28 d.) paskelbtas širdies nepakankamumo diagnostikos ir gydymo rekomendacijas. Jose </w:t>
      </w:r>
      <w:r w:rsidRPr="00D8404C">
        <w:rPr>
          <w:rFonts w:eastAsia="Arial"/>
          <w:iCs/>
        </w:rPr>
        <w:t>nurodoma, jog SGLT2i klasės vaistiniai preparatai (</w:t>
      </w:r>
      <w:r w:rsidRPr="00D8404C">
        <w:rPr>
          <w:rFonts w:eastAsia="Arial"/>
          <w:bCs/>
          <w:iCs/>
        </w:rPr>
        <w:t>empagliflozinas</w:t>
      </w:r>
      <w:r w:rsidRPr="00D8404C">
        <w:rPr>
          <w:rFonts w:eastAsia="Arial"/>
          <w:iCs/>
        </w:rPr>
        <w:t xml:space="preserve"> ir dapagliflozinas) įvertinti kaip turintys </w:t>
      </w:r>
      <w:r w:rsidRPr="00D8404C">
        <w:rPr>
          <w:rFonts w:eastAsia="Arial"/>
          <w:bCs/>
          <w:iCs/>
        </w:rPr>
        <w:t>IA klasės rekomendaciją</w:t>
      </w:r>
      <w:r w:rsidRPr="00D8404C">
        <w:rPr>
          <w:rFonts w:eastAsia="Arial"/>
          <w:iCs/>
        </w:rPr>
        <w:t xml:space="preserve"> atitinkančius įrodymus </w:t>
      </w:r>
      <w:r w:rsidRPr="00D8404C">
        <w:t xml:space="preserve">gydant suaugusius, sergančius simptominiu lėtiniu širdies nepakankamumu, </w:t>
      </w:r>
      <w:r w:rsidRPr="00D8404C">
        <w:rPr>
          <w:rFonts w:eastAsia="Arial"/>
          <w:iCs/>
        </w:rPr>
        <w:t xml:space="preserve">esant </w:t>
      </w:r>
      <w:r w:rsidRPr="00D8404C">
        <w:t>ŠNvsIF ir ŠNiIF.</w:t>
      </w:r>
    </w:p>
    <w:p w14:paraId="704FBC28" w14:textId="77777777" w:rsidR="0072501F" w:rsidRPr="00D8404C" w:rsidRDefault="0072501F" w:rsidP="0072501F">
      <w:pPr>
        <w:tabs>
          <w:tab w:val="left" w:pos="426"/>
        </w:tabs>
        <w:jc w:val="both"/>
      </w:pPr>
      <w:r w:rsidRPr="00D8404C">
        <w:rPr>
          <w:rFonts w:eastAsia="Arial"/>
          <w:iCs/>
        </w:rPr>
        <w:tab/>
      </w:r>
      <w:r w:rsidRPr="00D8404C">
        <w:rPr>
          <w:rFonts w:eastAsia="Arial"/>
          <w:iCs/>
        </w:rPr>
        <w:tab/>
      </w:r>
      <w:r w:rsidRPr="00D8404C">
        <w:t>Pareiškėjas siūlo, jog empagliflozinas šiuo metu Lietuvoje taikomoje gydymo schemoje turėtų</w:t>
      </w:r>
      <w:r w:rsidRPr="00D8404C">
        <w:rPr>
          <w:bCs/>
        </w:rPr>
        <w:t xml:space="preserve"> papildyti standartinį pacientams skiriamą medikamentinį ŠN gydymą, t.y. skiriamas kartu su AKFi, BAB ir MRA. </w:t>
      </w:r>
      <w:r w:rsidRPr="00D8404C">
        <w:t xml:space="preserve">Lietuvoje ŠNvsIF ir ŠNiIF (TLK – 10 kodas I50) gydymui (I ir II klasės arba III ir IV klasės širdies veiklos (kraujotakos) nepakankamumui) kompensuojami dalis </w:t>
      </w:r>
      <w:r w:rsidRPr="00D8404C">
        <w:rPr>
          <w:bCs/>
        </w:rPr>
        <w:t>AKFi</w:t>
      </w:r>
      <w:r w:rsidRPr="00D8404C">
        <w:t xml:space="preserve"> (kaptoprilis, enalaprilis, fosinoprilis, perindoprilis, kvinaprilis, ramiprilis), </w:t>
      </w:r>
      <w:r w:rsidRPr="00D8404C">
        <w:rPr>
          <w:bCs/>
        </w:rPr>
        <w:t>BAB</w:t>
      </w:r>
      <w:r w:rsidRPr="00D8404C">
        <w:t xml:space="preserve"> (bisoprololis, metoprololis, karvedilolis, nebivololis), </w:t>
      </w:r>
      <w:r w:rsidRPr="00D8404C">
        <w:rPr>
          <w:bCs/>
        </w:rPr>
        <w:t>spironolaktonas</w:t>
      </w:r>
      <w:r w:rsidRPr="00D8404C">
        <w:t xml:space="preserve"> (vienintelis kompensuojamas MRA esant tiek ŠNsIF, tiek ŠNvsIF ir ŠNiIF), diuretikai (furozemidas, torazemidas), ivabradinas ir digoksinas, tačiau daugiau AKFi (trandolaprilis, zofenoprilis, lisinoprilis) ir BAB (atenololis, betaksololis) kompensuojami esant kitoms gretutinėms ligoms, kurios neretai nustatomos kartu (I10 – I11, I15, I20 – I22). ARNI (sakubitrilas/valsartanas) esant ŠNvsIF ir ŠNiIF nekompensuojamas.</w:t>
      </w:r>
    </w:p>
    <w:p w14:paraId="3DF22C3D" w14:textId="77777777" w:rsidR="0072501F" w:rsidRPr="00D8404C" w:rsidRDefault="0072501F" w:rsidP="0072501F">
      <w:pPr>
        <w:tabs>
          <w:tab w:val="left" w:pos="426"/>
        </w:tabs>
        <w:jc w:val="both"/>
      </w:pPr>
      <w:r w:rsidRPr="00D8404C">
        <w:rPr>
          <w:rFonts w:eastAsia="Arial"/>
          <w:iCs/>
        </w:rPr>
        <w:lastRenderedPageBreak/>
        <w:tab/>
      </w:r>
      <w:r w:rsidRPr="00D8404C">
        <w:rPr>
          <w:rFonts w:eastAsia="Arial"/>
          <w:iCs/>
        </w:rPr>
        <w:tab/>
        <w:t>Esant ŠNiIF arba netoleruojant AKFi ir/ar ARNI esant ŠNvsIF, EKD ir/ar AKK/AŠA gairėse siūloma skirti ARB (Lietuvoje prieinami valsartanas, olmesartanas, telmisartanas, losartanas, eprosartanas, kandesartanas), kurie yra nekompensuojami esant ŠN, tačiau taip pat kompensuojami esant hipertenzinėms ligoms (TLK – 10 kodai I10, I11, I12, I15).</w:t>
      </w:r>
    </w:p>
    <w:p w14:paraId="0E97F49C" w14:textId="77777777" w:rsidR="0072501F" w:rsidRPr="00D8404C" w:rsidRDefault="0072501F" w:rsidP="0072501F">
      <w:pPr>
        <w:tabs>
          <w:tab w:val="left" w:pos="426"/>
        </w:tabs>
        <w:jc w:val="both"/>
        <w:rPr>
          <w:bCs/>
          <w:color w:val="000000"/>
          <w:lang w:eastAsia="lt-LT"/>
        </w:rPr>
      </w:pPr>
    </w:p>
    <w:p w14:paraId="768FACFB" w14:textId="77777777" w:rsidR="0072501F" w:rsidRPr="00D8404C" w:rsidRDefault="0072501F" w:rsidP="0072501F">
      <w:pPr>
        <w:widowControl w:val="0"/>
        <w:jc w:val="both"/>
        <w:rPr>
          <w:bCs/>
          <w:i/>
          <w:iCs/>
          <w:color w:val="000000"/>
          <w:lang w:eastAsia="lt-LT"/>
        </w:rPr>
      </w:pPr>
      <w:r w:rsidRPr="00D8404C">
        <w:rPr>
          <w:bCs/>
          <w:i/>
          <w:iCs/>
          <w:color w:val="000000"/>
          <w:lang w:eastAsia="lt-LT"/>
        </w:rPr>
        <w:t>Tiesioginis palyginimas</w:t>
      </w:r>
    </w:p>
    <w:p w14:paraId="00EC0EC0" w14:textId="77777777" w:rsidR="0072501F" w:rsidRPr="00D8404C" w:rsidRDefault="0072501F" w:rsidP="0072501F">
      <w:pPr>
        <w:widowControl w:val="0"/>
        <w:jc w:val="both"/>
        <w:rPr>
          <w:bCs/>
          <w:i/>
          <w:iCs/>
          <w:color w:val="000000"/>
          <w:lang w:eastAsia="lt-LT"/>
        </w:rPr>
      </w:pPr>
    </w:p>
    <w:p w14:paraId="7AFE8F13" w14:textId="77777777" w:rsidR="0072501F" w:rsidRPr="00D8404C" w:rsidRDefault="0072501F" w:rsidP="0072501F">
      <w:pPr>
        <w:widowControl w:val="0"/>
        <w:ind w:firstLine="720"/>
        <w:jc w:val="both"/>
        <w:rPr>
          <w:rFonts w:eastAsiaTheme="minorEastAsia"/>
        </w:rPr>
      </w:pPr>
      <w:r w:rsidRPr="00D8404C">
        <w:rPr>
          <w:bCs/>
          <w:color w:val="000000"/>
          <w:lang w:eastAsia="lt-LT"/>
        </w:rPr>
        <w:t xml:space="preserve">Klinikinis vertinimas buvo atliktas pagal paraiškoje pateiktą klinikinį tyrimą EMPOWER-Preserved. Jame įrodyta, jog 18 metų ir vyresniems pacientams, kuriems </w:t>
      </w:r>
      <w:r w:rsidRPr="00D8404C">
        <w:rPr>
          <w:rFonts w:eastAsia="Arial"/>
          <w:bCs/>
        </w:rPr>
        <w:t>prieš ≥3 mėnesius nustatytas lėtinis ŠNvsIF ar ŠNiIF</w:t>
      </w:r>
      <w:r w:rsidRPr="00D8404C">
        <w:rPr>
          <w:bCs/>
          <w:color w:val="000000"/>
          <w:lang w:eastAsia="lt-LT"/>
        </w:rPr>
        <w:t xml:space="preserve">, kuriems dėl būklės išlieka padidėję laboratoriniai ŠN žymenys ir funkcinis apribojimas, empagliflozinas 21% sumažina </w:t>
      </w:r>
      <w:r w:rsidRPr="00D8404C">
        <w:rPr>
          <w:color w:val="000000"/>
          <w:lang w:eastAsia="lt-LT"/>
        </w:rPr>
        <w:t>mirties nuo širdies ir kraujagyslių ligų (ŠKL) ir hospitalizacijos dėl ŠN (pirminė išplėstinė sudedamoji vertinamoji baigtis)</w:t>
      </w:r>
      <w:r w:rsidRPr="00D8404C">
        <w:rPr>
          <w:bCs/>
          <w:color w:val="000000"/>
          <w:lang w:eastAsia="lt-LT"/>
        </w:rPr>
        <w:t xml:space="preserve"> riziką, lyginant su placebo (</w:t>
      </w:r>
      <w:r w:rsidRPr="00D8404C">
        <w:rPr>
          <w:rFonts w:eastAsia="Arial"/>
          <w:bCs/>
        </w:rPr>
        <w:t>RS 0,79; 95% PI 0,69 – 0,90; P&lt;0,001), išskyrus atvejais, kai pacientai buvo jaunesni nei 70 metų (RS 0,88; 95% PI 0,70 – 1,11), nutukę, t.y. KMI ≥30 kg/m</w:t>
      </w:r>
      <w:r w:rsidRPr="00D8404C">
        <w:rPr>
          <w:rFonts w:eastAsia="Arial"/>
          <w:bCs/>
          <w:vertAlign w:val="superscript"/>
        </w:rPr>
        <w:t>2</w:t>
      </w:r>
      <w:r w:rsidRPr="00D8404C">
        <w:rPr>
          <w:rFonts w:eastAsia="Arial"/>
          <w:bCs/>
        </w:rPr>
        <w:t xml:space="preserve"> (RS 0,85; 95% PI 0,70 – 1,03), jų KSIF buvo ≥60% (RS 0,87; 95% PI 0,69 – 1,10), vartojo MRA (RS 0,87; 95% PI 0,71 – 1,06), esant III-IV funkcinei klasei pagal NYHA (RS 0,86; 95% PI 0,68 – 1,09). Paprašius </w:t>
      </w:r>
      <w:r w:rsidRPr="00D8404C">
        <w:rPr>
          <w:rFonts w:eastAsiaTheme="minorEastAsia"/>
        </w:rPr>
        <w:t xml:space="preserve">argumentuoti, kodėl pacientų pogrupyje, kurių kairiojo skilvelio išstūmimo frakcija buvo ≥60%, negautas statistiškai reikšmingas pirminės vertinamosios skirtumas, Pareiškėjas teigė, jog pacientų imtis nebuvo apskaičiuota tam, kad užtikrintų statistiškai reikšmingus pirminės vertinamosios baigties skirtumus atskiruose pogrupiuose. Pareiškėjas taip pat pateikė protokole numatytos statistinės analizės rezultatus: nustatyta, kad </w:t>
      </w:r>
      <w:r w:rsidRPr="00D8404C">
        <w:rPr>
          <w:szCs w:val="22"/>
        </w:rPr>
        <w:t>kairiojo skilvelio išstūmimo frakcija įtakos pirminės vertinamosios baigties skirtumui tarp grupių nedarė (P=0,4333).</w:t>
      </w:r>
    </w:p>
    <w:p w14:paraId="12C3B601" w14:textId="77777777" w:rsidR="0072501F" w:rsidRPr="00D8404C" w:rsidRDefault="0072501F" w:rsidP="0072501F">
      <w:pPr>
        <w:widowControl w:val="0"/>
        <w:ind w:firstLine="720"/>
        <w:jc w:val="both"/>
        <w:rPr>
          <w:rFonts w:eastAsia="Arial"/>
          <w:bCs/>
        </w:rPr>
      </w:pPr>
      <w:r w:rsidRPr="00D8404C">
        <w:rPr>
          <w:rFonts w:eastAsia="Arial"/>
          <w:bCs/>
        </w:rPr>
        <w:t xml:space="preserve"> Vertinant šias baigtis atskirai, mirties nuo ŠKL rizika tarp grupių nesiskyrė (RS 0,91; 95% PI 0,76 – 1,09), o hospitalizacijos dėl ŠN rizika empagliflozino grupėje buvo 29% mažesnė, lyginant su placebo (RS 0,71; 95% PI 0,60 – 0,83).</w:t>
      </w:r>
    </w:p>
    <w:p w14:paraId="792A0B2B" w14:textId="77777777" w:rsidR="0072501F" w:rsidRPr="00D8404C" w:rsidRDefault="0072501F" w:rsidP="0072501F">
      <w:pPr>
        <w:widowControl w:val="0"/>
        <w:ind w:firstLine="720"/>
        <w:jc w:val="both"/>
        <w:rPr>
          <w:rFonts w:eastAsia="Arial"/>
          <w:bCs/>
        </w:rPr>
      </w:pPr>
      <w:r w:rsidRPr="00D8404C">
        <w:rPr>
          <w:rFonts w:eastAsia="Arial"/>
          <w:bCs/>
        </w:rPr>
        <w:t>Vertinant pagal hierarchinę statistinę analizę numatytas antrines vertinamąsias baigtis, pirmosios baigties (</w:t>
      </w:r>
      <w:r w:rsidRPr="00D8404C">
        <w:rPr>
          <w:rFonts w:eastAsia="Arial"/>
        </w:rPr>
        <w:t>pirmos ir pakartotinių hospitalizacijų dėl ŠN</w:t>
      </w:r>
      <w:r w:rsidRPr="00D8404C">
        <w:rPr>
          <w:rFonts w:eastAsia="Arial"/>
          <w:bCs/>
        </w:rPr>
        <w:t xml:space="preserve">) rizika empagliflozino grupėje buvo 27% mažesnė, lyginant su placebo (RS 0,73; 95% PI 0,61 – 0,88; P&lt;0,001). Vertinant antrąją baigtį, </w:t>
      </w:r>
      <w:r w:rsidRPr="00D8404C">
        <w:rPr>
          <w:rFonts w:eastAsia="Arial"/>
        </w:rPr>
        <w:t>inkstų funkcija</w:t>
      </w:r>
      <w:r w:rsidRPr="00D8404C">
        <w:rPr>
          <w:rFonts w:eastAsia="Arial"/>
          <w:bCs/>
        </w:rPr>
        <w:t xml:space="preserve"> empagliflozino grupėje kasmet mažėjo 1,36 ml/min/1,73 m</w:t>
      </w:r>
      <w:r w:rsidRPr="00D8404C">
        <w:rPr>
          <w:rFonts w:eastAsia="Arial"/>
          <w:bCs/>
          <w:vertAlign w:val="superscript"/>
        </w:rPr>
        <w:t>2</w:t>
      </w:r>
      <w:r w:rsidRPr="00D8404C">
        <w:rPr>
          <w:rFonts w:eastAsia="Arial"/>
          <w:bCs/>
        </w:rPr>
        <w:t xml:space="preserve"> (-1,25 ml/min/1,73 m</w:t>
      </w:r>
      <w:r w:rsidRPr="00D8404C">
        <w:rPr>
          <w:rFonts w:eastAsia="Arial"/>
          <w:bCs/>
          <w:vertAlign w:val="superscript"/>
        </w:rPr>
        <w:t>2</w:t>
      </w:r>
      <w:r w:rsidRPr="00D8404C">
        <w:rPr>
          <w:rFonts w:eastAsia="Arial"/>
          <w:bCs/>
        </w:rPr>
        <w:t xml:space="preserve"> empagliflozino ir -2,61 ml/min/1,73 m</w:t>
      </w:r>
      <w:r w:rsidRPr="00D8404C">
        <w:rPr>
          <w:rFonts w:eastAsia="Arial"/>
          <w:bCs/>
          <w:vertAlign w:val="superscript"/>
        </w:rPr>
        <w:t>2</w:t>
      </w:r>
      <w:r w:rsidRPr="00D8404C">
        <w:rPr>
          <w:rFonts w:eastAsia="Arial"/>
          <w:bCs/>
        </w:rPr>
        <w:t xml:space="preserve"> placebo grupėse; 95% PI 0,861 – 1,865) lėčiau, lyginant su placebo (P&lt;0,001). Mažesnė pirmos ir pakartotinių hospitalizacijų dėl ŠN rizika ir lėtesnis inkstų funkcijos blogėjimas empagliflozino grupėje išliko iš esmės visuose iš anksto numatytuose pogrupiuose. Kitos, į hierarchinę statistinę analizę neįtrauktos baigtys laikytos žvalgomiosiomis. Ilgalaikio inkstų funkcijos sutrikimo, dializės ar inkstų transplantacijos (RS 0,95; 95% PI 0,73 – 1,24), hospitalizacijos dėl bet kokios priežasties (RS 0,93; 95% PI 0,85 – 1,01), mirties nuo ŠKL (RS 0,91; 95% PI 0,76 – 1,09) ir bet kokios priežasties (RS 1,13; 95% PI 0,92 – 1,38) bei gliukozės apykaitos sutrikimo ar cukrinio diabeto nustatymo (RS 0,84; 95% PI 0,65 – 1,07) atvejų dažnis tarp empagliflozino ir placebo grupių nesiskyrė.</w:t>
      </w:r>
    </w:p>
    <w:p w14:paraId="5CFB6369" w14:textId="77777777" w:rsidR="0072501F" w:rsidRPr="00D8404C" w:rsidRDefault="0072501F" w:rsidP="0072501F">
      <w:pPr>
        <w:widowControl w:val="0"/>
        <w:ind w:firstLine="720"/>
        <w:jc w:val="both"/>
        <w:rPr>
          <w:bCs/>
          <w:color w:val="000000"/>
          <w:lang w:eastAsia="lt-LT"/>
        </w:rPr>
      </w:pPr>
      <w:r w:rsidRPr="00D8404C">
        <w:rPr>
          <w:rFonts w:eastAsia="Arial"/>
          <w:bCs/>
        </w:rPr>
        <w:t xml:space="preserve">Vertinant pacientų praneštas baigtis, pacientų jaučiami simptomai, funkcinė būklė ir gyvenimo kokybė empagliflozino grupėje pagerėjo daugiau nei placebo grupėje. Tikimybė, jog simptomai ir/ar funkcinė būklė pablogės buvo mažessnė, bei tikimybė, jog simptomai ir/ar funkcinė būklė pagerės buvo atitinkamai mažesnė ir didesnė empagliflozino grupėje. </w:t>
      </w:r>
      <w:r w:rsidRPr="00D8404C">
        <w:rPr>
          <w:bCs/>
          <w:color w:val="000000"/>
          <w:lang w:eastAsia="lt-LT"/>
        </w:rPr>
        <w:t>Tyrimo metu reikšmingų saugumo problemų ar įvykių nenustatyta.</w:t>
      </w:r>
    </w:p>
    <w:p w14:paraId="3321977A" w14:textId="77777777" w:rsidR="0072501F" w:rsidRPr="004F7676" w:rsidRDefault="0072501F" w:rsidP="0072501F">
      <w:pPr>
        <w:widowControl w:val="0"/>
        <w:jc w:val="both"/>
        <w:rPr>
          <w:bCs/>
          <w:color w:val="000000"/>
          <w:lang w:eastAsia="lt-LT"/>
        </w:rPr>
      </w:pPr>
    </w:p>
    <w:p w14:paraId="2ABCDF1D" w14:textId="77777777" w:rsidR="0072501F" w:rsidRPr="003B3450" w:rsidRDefault="0072501F" w:rsidP="0072501F">
      <w:pPr>
        <w:tabs>
          <w:tab w:val="left" w:pos="426"/>
        </w:tabs>
        <w:jc w:val="both"/>
        <w:rPr>
          <w:bCs/>
          <w:i/>
          <w:color w:val="000000"/>
          <w:lang w:eastAsia="lt-LT"/>
        </w:rPr>
      </w:pPr>
      <w:r w:rsidRPr="003B3450">
        <w:rPr>
          <w:bCs/>
          <w:i/>
          <w:color w:val="000000"/>
          <w:lang w:eastAsia="lt-LT"/>
        </w:rPr>
        <w:t>Privalumai ir trūkumai</w:t>
      </w:r>
    </w:p>
    <w:p w14:paraId="2AC8336D" w14:textId="77777777" w:rsidR="0072501F" w:rsidRPr="003B3450" w:rsidRDefault="0072501F" w:rsidP="0072501F">
      <w:pPr>
        <w:tabs>
          <w:tab w:val="left" w:pos="426"/>
        </w:tabs>
        <w:jc w:val="both"/>
        <w:rPr>
          <w:iCs/>
        </w:rPr>
      </w:pPr>
      <w:r>
        <w:rPr>
          <w:bCs/>
          <w:color w:val="000000"/>
          <w:lang w:eastAsia="lt-LT"/>
        </w:rPr>
        <w:tab/>
      </w:r>
      <w:r w:rsidRPr="003B3450">
        <w:rPr>
          <w:bCs/>
          <w:color w:val="000000"/>
          <w:lang w:eastAsia="lt-LT"/>
        </w:rPr>
        <w:tab/>
        <w:t>Jei vaistinis preparatas būtų įrašytas į kompensavimo sąrašus, gydymo šiuo vaistiniu preparatu taikymas klinikinėje praktikoje galėtų turėti privalumų medicininėms paslaugoms ar pacientams.</w:t>
      </w:r>
    </w:p>
    <w:p w14:paraId="5D69B8E8" w14:textId="77777777" w:rsidR="0072501F" w:rsidRDefault="0072501F" w:rsidP="0072501F">
      <w:pPr>
        <w:tabs>
          <w:tab w:val="left" w:pos="426"/>
        </w:tabs>
        <w:jc w:val="both"/>
        <w:rPr>
          <w:bCs/>
          <w:color w:val="000000"/>
          <w:lang w:eastAsia="lt-LT"/>
        </w:rPr>
      </w:pPr>
      <w:r w:rsidRPr="003B3450">
        <w:rPr>
          <w:bCs/>
          <w:color w:val="000000"/>
          <w:lang w:eastAsia="lt-LT"/>
        </w:rPr>
        <w:tab/>
      </w:r>
      <w:r w:rsidRPr="003B3450">
        <w:rPr>
          <w:bCs/>
          <w:color w:val="000000"/>
          <w:lang w:eastAsia="lt-LT"/>
        </w:rPr>
        <w:tab/>
      </w:r>
      <w:r w:rsidRPr="003B3450">
        <w:rPr>
          <w:bCs/>
          <w:color w:val="000000"/>
          <w:u w:val="single"/>
          <w:lang w:eastAsia="lt-LT"/>
        </w:rPr>
        <w:t>Privalumai</w:t>
      </w:r>
      <w:r>
        <w:rPr>
          <w:bCs/>
          <w:color w:val="000000"/>
          <w:lang w:eastAsia="lt-LT"/>
        </w:rPr>
        <w:t xml:space="preserve">. </w:t>
      </w:r>
      <w:r w:rsidRPr="00BD5B61">
        <w:rPr>
          <w:bCs/>
          <w:color w:val="000000"/>
          <w:lang w:eastAsia="lt-LT"/>
        </w:rPr>
        <w:t>Pacientams ir medicinos paslaugoms –</w:t>
      </w:r>
      <w:r>
        <w:rPr>
          <w:bCs/>
          <w:color w:val="000000"/>
          <w:lang w:eastAsia="lt-LT"/>
        </w:rPr>
        <w:t xml:space="preserve"> veiksmingas vaistas plačiai pacientų populiacijai, kuriai gydymo alternatyvos yra ribotos, ilgesnis išgyvenamumas išliekant geresnei gyvenimo kokybei, mažesnis gydymo asmens sveikatos priežiūros įstaigose poreikis</w:t>
      </w:r>
      <w:r w:rsidRPr="00BD5B61">
        <w:rPr>
          <w:bCs/>
          <w:color w:val="000000"/>
          <w:lang w:eastAsia="lt-LT"/>
        </w:rPr>
        <w:t>.</w:t>
      </w:r>
    </w:p>
    <w:p w14:paraId="19FA3CC3" w14:textId="7CE42971" w:rsidR="0072501F" w:rsidRPr="0072501F" w:rsidRDefault="0072501F" w:rsidP="0072501F">
      <w:pPr>
        <w:tabs>
          <w:tab w:val="left" w:pos="426"/>
        </w:tabs>
        <w:jc w:val="both"/>
        <w:rPr>
          <w:bCs/>
          <w:color w:val="000000"/>
          <w:lang w:eastAsia="lt-LT"/>
        </w:rPr>
      </w:pPr>
      <w:r>
        <w:rPr>
          <w:bCs/>
          <w:color w:val="000000"/>
          <w:lang w:eastAsia="lt-LT"/>
        </w:rPr>
        <w:tab/>
      </w:r>
      <w:r>
        <w:rPr>
          <w:bCs/>
          <w:color w:val="000000"/>
          <w:lang w:eastAsia="lt-LT"/>
        </w:rPr>
        <w:tab/>
      </w:r>
      <w:r w:rsidRPr="003B3450">
        <w:rPr>
          <w:bCs/>
          <w:color w:val="000000"/>
          <w:u w:val="single"/>
          <w:lang w:eastAsia="lt-LT"/>
        </w:rPr>
        <w:t>Trūkumai</w:t>
      </w:r>
      <w:r w:rsidRPr="003B3450">
        <w:rPr>
          <w:bCs/>
          <w:color w:val="000000"/>
          <w:lang w:eastAsia="lt-LT"/>
        </w:rPr>
        <w:t>.</w:t>
      </w:r>
      <w:r>
        <w:rPr>
          <w:bCs/>
          <w:color w:val="000000"/>
          <w:lang w:eastAsia="lt-LT"/>
        </w:rPr>
        <w:t xml:space="preserve"> Nenustatyta. </w:t>
      </w:r>
    </w:p>
    <w:p w14:paraId="6B10C1BC" w14:textId="77777777" w:rsidR="0072501F" w:rsidRPr="000203E1" w:rsidRDefault="0072501F" w:rsidP="00A93AA6">
      <w:pPr>
        <w:pStyle w:val="ListParagraph"/>
        <w:tabs>
          <w:tab w:val="left" w:pos="426"/>
        </w:tabs>
        <w:ind w:left="0"/>
        <w:rPr>
          <w:b/>
          <w:bCs/>
          <w:caps/>
        </w:rPr>
      </w:pPr>
    </w:p>
    <w:p w14:paraId="7DE09EB5" w14:textId="69E9DD74" w:rsidR="00E03C3F" w:rsidRPr="000203E1" w:rsidRDefault="00CC7832" w:rsidP="00CC09D4">
      <w:pPr>
        <w:pStyle w:val="ListParagraph"/>
        <w:numPr>
          <w:ilvl w:val="0"/>
          <w:numId w:val="12"/>
        </w:numPr>
        <w:tabs>
          <w:tab w:val="left" w:pos="567"/>
        </w:tabs>
        <w:ind w:hanging="720"/>
        <w:rPr>
          <w:b/>
          <w:bCs/>
          <w:caps/>
        </w:rPr>
      </w:pPr>
      <w:r w:rsidRPr="000203E1">
        <w:rPr>
          <w:b/>
          <w:bCs/>
          <w:caps/>
        </w:rPr>
        <w:lastRenderedPageBreak/>
        <w:t xml:space="preserve">ekonominio vertinimo </w:t>
      </w:r>
      <w:r w:rsidR="002F0E4F" w:rsidRPr="000203E1">
        <w:rPr>
          <w:b/>
          <w:bCs/>
          <w:caps/>
        </w:rPr>
        <w:t>apibendrinimas</w:t>
      </w:r>
    </w:p>
    <w:p w14:paraId="779ED506" w14:textId="77777777" w:rsidR="00EE1FA9" w:rsidRDefault="00EE1FA9" w:rsidP="00EE1FA9">
      <w:pPr>
        <w:shd w:val="clear" w:color="auto" w:fill="FFFFFF"/>
        <w:spacing w:line="276" w:lineRule="auto"/>
        <w:jc w:val="both"/>
        <w:rPr>
          <w:iCs/>
          <w:lang w:eastAsia="lt-LT"/>
        </w:rPr>
      </w:pPr>
    </w:p>
    <w:p w14:paraId="7AB71131" w14:textId="2F4EA864" w:rsidR="00EE1FA9" w:rsidRDefault="00EE1FA9" w:rsidP="00EE1FA9">
      <w:pPr>
        <w:shd w:val="clear" w:color="auto" w:fill="FFFFFF"/>
        <w:spacing w:line="276" w:lineRule="auto"/>
        <w:jc w:val="both"/>
        <w:rPr>
          <w:iCs/>
          <w:lang w:eastAsia="lt-LT"/>
        </w:rPr>
      </w:pPr>
      <w:r>
        <w:rPr>
          <w:iCs/>
          <w:lang w:eastAsia="lt-LT"/>
        </w:rPr>
        <w:t>Vertinimui pateikta kaštų naudingumo analizė, nagrinėjant pacientus, sergančius lėtiniu širdies nepakankamumu su &gt;40 proc. išmetimo frakcija. Nagrinėjamas empagliflozino veiksmingumas šiai pacientų populiacijai, palyginus su standartine klinikine praktika. Analizė atliekama iš PSDF biudžeto mokėtojo perspektyvos įtraukiami tik tiesiogiai su sveikatos priežiūra susiję kaštai. Taikoma viso gyvenimo laiko perspektyva, taikoma laiko perspektyva yra tinkama.</w:t>
      </w:r>
    </w:p>
    <w:p w14:paraId="5C1B8287" w14:textId="77777777" w:rsidR="00EE1FA9" w:rsidRDefault="00EE1FA9" w:rsidP="00EE1FA9">
      <w:pPr>
        <w:shd w:val="clear" w:color="auto" w:fill="FFFFFF"/>
        <w:spacing w:line="276" w:lineRule="auto"/>
        <w:jc w:val="both"/>
        <w:rPr>
          <w:iCs/>
          <w:lang w:eastAsia="lt-LT"/>
        </w:rPr>
      </w:pPr>
    </w:p>
    <w:p w14:paraId="266B6D74" w14:textId="77777777" w:rsidR="00EE1FA9" w:rsidRPr="00283124" w:rsidRDefault="00EE1FA9" w:rsidP="00EE1FA9">
      <w:pPr>
        <w:tabs>
          <w:tab w:val="left" w:pos="567"/>
        </w:tabs>
        <w:jc w:val="both"/>
        <w:rPr>
          <w:bCs/>
          <w:color w:val="000000"/>
          <w:lang w:eastAsia="lt-LT"/>
        </w:rPr>
      </w:pPr>
      <w:r w:rsidRPr="00283124">
        <w:rPr>
          <w:bCs/>
          <w:color w:val="000000"/>
          <w:lang w:eastAsia="lt-LT"/>
        </w:rPr>
        <w:t>Tarnyba atliko ekonominės analizės rezultato perskaičiavimą, pakoregavus šias prielaidas:</w:t>
      </w:r>
    </w:p>
    <w:p w14:paraId="0252D103" w14:textId="77777777" w:rsidR="00EE1FA9" w:rsidRPr="00283124" w:rsidRDefault="00EE1FA9" w:rsidP="00EE1FA9">
      <w:pPr>
        <w:tabs>
          <w:tab w:val="left" w:pos="567"/>
        </w:tabs>
        <w:jc w:val="both"/>
        <w:rPr>
          <w:bCs/>
          <w:color w:val="000000"/>
          <w:lang w:eastAsia="lt-LT"/>
        </w:rPr>
      </w:pPr>
    </w:p>
    <w:p w14:paraId="3E2919B6" w14:textId="77777777" w:rsidR="00EE1FA9" w:rsidRPr="00283124" w:rsidRDefault="00EE1FA9" w:rsidP="00EE1FA9">
      <w:pPr>
        <w:pStyle w:val="ListParagraph"/>
        <w:numPr>
          <w:ilvl w:val="0"/>
          <w:numId w:val="14"/>
        </w:numPr>
        <w:tabs>
          <w:tab w:val="left" w:pos="567"/>
        </w:tabs>
        <w:jc w:val="both"/>
        <w:rPr>
          <w:bCs/>
          <w:color w:val="000000"/>
          <w:lang w:eastAsia="lt-LT"/>
        </w:rPr>
      </w:pPr>
      <w:r w:rsidRPr="00283124">
        <w:rPr>
          <w:bCs/>
          <w:color w:val="000000"/>
          <w:lang w:eastAsia="lt-LT"/>
        </w:rPr>
        <w:t>Tarnyba pagrindinio atvejo analizėje neįtraukia gydymo poveikio kardiovaskuliniam mirtingumui (ir mirtingumui dėl bet kokių priežasčių), dėl statistiškai nereikšmingų rezultatų klinikiniame tyrime. Atsižvelgiant į skirting naudojamų parametrinių funkcijų įtaką analizės rezultatui, siekiant konservatyvesnio rezultato, Tarnyba pasirinko alternatyvią parametrinę funkciją mirtingumui - Exponential.;</w:t>
      </w:r>
    </w:p>
    <w:p w14:paraId="49CC28BF" w14:textId="77777777" w:rsidR="00EE1FA9" w:rsidRPr="00283124" w:rsidRDefault="00EE1FA9" w:rsidP="00EE1FA9">
      <w:pPr>
        <w:pStyle w:val="ListParagraph"/>
        <w:numPr>
          <w:ilvl w:val="0"/>
          <w:numId w:val="14"/>
        </w:numPr>
        <w:tabs>
          <w:tab w:val="left" w:pos="567"/>
        </w:tabs>
        <w:jc w:val="both"/>
        <w:rPr>
          <w:bCs/>
          <w:color w:val="000000"/>
          <w:lang w:eastAsia="lt-LT"/>
        </w:rPr>
      </w:pPr>
      <w:r w:rsidRPr="00283124">
        <w:rPr>
          <w:bCs/>
          <w:color w:val="000000"/>
          <w:lang w:eastAsia="lt-LT"/>
        </w:rPr>
        <w:t>Siekiant pateikti konservatyvesnį scenarijų, Tarnyba neįtraukia gydymo nutraukimo tikimybių į analizę;</w:t>
      </w:r>
    </w:p>
    <w:p w14:paraId="3843F8C2" w14:textId="77777777" w:rsidR="00EE1FA9" w:rsidRPr="00283124" w:rsidRDefault="00EE1FA9" w:rsidP="00EE1FA9">
      <w:pPr>
        <w:pStyle w:val="ListParagraph"/>
        <w:numPr>
          <w:ilvl w:val="0"/>
          <w:numId w:val="14"/>
        </w:numPr>
        <w:tabs>
          <w:tab w:val="left" w:pos="567"/>
        </w:tabs>
        <w:jc w:val="both"/>
        <w:rPr>
          <w:bCs/>
          <w:color w:val="000000"/>
          <w:lang w:eastAsia="lt-LT"/>
        </w:rPr>
      </w:pPr>
      <w:r w:rsidRPr="00283124">
        <w:rPr>
          <w:bCs/>
          <w:color w:val="000000"/>
          <w:lang w:eastAsia="lt-LT"/>
        </w:rPr>
        <w:t>Koreguojamas gyvenimo kokybės dekrementas dėl hospitalizacijos. Pareiškėjas naudos sveikatai sumažėjimą taiko 12 mėnesių po hospitalizacijos ir šią prielaidą grindžia NICE tarnybos vertinimu. Tarnyba prašė Pareiškėjo pateikti scenarijų, kai naudos sveiaktai sumažėjimas taikomas tik atitinkamame cikle, kuriame pacientas hospitalizuojamas, tačiau Pareiškėjas nurodyto scenarijaus nepateikė, todėl Tarnyba, Pareiškėjo nurodytą dekrementą dalina iš 12 (nes dekrementas taikomas 12 mėnesių).</w:t>
      </w:r>
    </w:p>
    <w:p w14:paraId="22AB0E5C" w14:textId="685F9859" w:rsidR="00EE1FA9" w:rsidRPr="009C223A" w:rsidRDefault="00EE1FA9" w:rsidP="00EE1FA9">
      <w:pPr>
        <w:shd w:val="clear" w:color="auto" w:fill="FFFFFF"/>
        <w:spacing w:line="276" w:lineRule="auto"/>
        <w:rPr>
          <w:iCs/>
          <w:lang w:eastAsia="lt-LT"/>
        </w:rPr>
      </w:pPr>
      <w:r>
        <w:rPr>
          <w:iCs/>
          <w:lang w:eastAsia="lt-LT"/>
        </w:rPr>
        <w:t xml:space="preserve">Pateikus analizės rezultatą, nustatyta, </w:t>
      </w:r>
      <w:r w:rsidR="00676176">
        <w:rPr>
          <w:iCs/>
          <w:u w:val="single"/>
          <w:lang w:val="en-US" w:eastAsia="lt-LT"/>
        </w:rPr>
        <w:t>************************************************** ***************************************</w:t>
      </w:r>
      <w:r>
        <w:rPr>
          <w:iCs/>
          <w:lang w:eastAsia="lt-LT"/>
        </w:rPr>
        <w:t>.</w:t>
      </w:r>
    </w:p>
    <w:p w14:paraId="2FC05D7E" w14:textId="190F2C7B" w:rsidR="002E6F80" w:rsidRPr="00164D64" w:rsidRDefault="002E6F80" w:rsidP="002E6F80">
      <w:pPr>
        <w:tabs>
          <w:tab w:val="left" w:pos="284"/>
        </w:tabs>
        <w:rPr>
          <w:bCs/>
          <w:i/>
          <w:caps/>
        </w:rPr>
      </w:pPr>
    </w:p>
    <w:p w14:paraId="1A900598" w14:textId="4826E5DF" w:rsidR="00C62B36" w:rsidRPr="00164D64" w:rsidRDefault="00C62B36" w:rsidP="00A93AA6">
      <w:pPr>
        <w:tabs>
          <w:tab w:val="left" w:pos="426"/>
        </w:tabs>
        <w:rPr>
          <w:b/>
          <w:bCs/>
          <w:caps/>
        </w:rPr>
      </w:pPr>
    </w:p>
    <w:p w14:paraId="174D84D7" w14:textId="09C7BC2B" w:rsidR="0035172D" w:rsidRPr="000203E1" w:rsidRDefault="00164D64" w:rsidP="00A93AA6">
      <w:pPr>
        <w:tabs>
          <w:tab w:val="left" w:pos="426"/>
        </w:tabs>
        <w:rPr>
          <w:b/>
          <w:lang w:eastAsia="lt-LT"/>
        </w:rPr>
      </w:pPr>
      <w:r>
        <w:rPr>
          <w:b/>
          <w:lang w:eastAsia="lt-LT"/>
        </w:rPr>
        <w:t xml:space="preserve">3.1 </w:t>
      </w:r>
      <w:r w:rsidR="0035172D" w:rsidRPr="000203E1">
        <w:rPr>
          <w:b/>
          <w:lang w:eastAsia="lt-LT"/>
        </w:rPr>
        <w:t>Ekonominės analizės rezultatas</w:t>
      </w:r>
    </w:p>
    <w:p w14:paraId="4801D227" w14:textId="77777777" w:rsidR="009E44AE" w:rsidRPr="000203E1" w:rsidRDefault="009E44AE" w:rsidP="00A93AA6">
      <w:pPr>
        <w:tabs>
          <w:tab w:val="left" w:pos="426"/>
        </w:tabs>
        <w:rPr>
          <w:b/>
          <w:lang w:eastAsia="lt-LT"/>
        </w:rPr>
      </w:pPr>
    </w:p>
    <w:tbl>
      <w:tblPr>
        <w:tblStyle w:val="Lentelstinklelis1"/>
        <w:tblW w:w="9439"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200"/>
        <w:gridCol w:w="3239"/>
      </w:tblGrid>
      <w:tr w:rsidR="000203E1" w:rsidRPr="000203E1" w14:paraId="42D6C843" w14:textId="77777777" w:rsidTr="00BE7489">
        <w:trPr>
          <w:trHeight w:val="344"/>
          <w:jc w:val="center"/>
        </w:trPr>
        <w:tc>
          <w:tcPr>
            <w:tcW w:w="9439" w:type="dxa"/>
            <w:gridSpan w:val="2"/>
            <w:tcBorders>
              <w:top w:val="single" w:sz="12" w:space="0" w:color="auto"/>
              <w:left w:val="single" w:sz="4" w:space="0" w:color="auto"/>
              <w:right w:val="single" w:sz="4" w:space="0" w:color="auto"/>
            </w:tcBorders>
            <w:vAlign w:val="center"/>
          </w:tcPr>
          <w:p w14:paraId="39FD3B40" w14:textId="77777777" w:rsidR="009E44AE" w:rsidRPr="000203E1" w:rsidRDefault="009E44AE" w:rsidP="009E44AE">
            <w:pPr>
              <w:tabs>
                <w:tab w:val="left" w:pos="567"/>
              </w:tabs>
              <w:jc w:val="center"/>
              <w:rPr>
                <w:b/>
                <w:bCs/>
                <w:sz w:val="26"/>
                <w:szCs w:val="26"/>
                <w:lang w:eastAsia="lt-LT"/>
              </w:rPr>
            </w:pPr>
            <w:r w:rsidRPr="000203E1">
              <w:rPr>
                <w:b/>
                <w:bCs/>
                <w:sz w:val="26"/>
                <w:szCs w:val="26"/>
                <w:lang w:eastAsia="lt-LT"/>
              </w:rPr>
              <w:t>Rezultatai</w:t>
            </w:r>
          </w:p>
        </w:tc>
      </w:tr>
      <w:tr w:rsidR="000203E1" w:rsidRPr="000203E1" w14:paraId="319AF392" w14:textId="77777777" w:rsidTr="00BE7489">
        <w:trPr>
          <w:trHeight w:val="267"/>
          <w:jc w:val="center"/>
        </w:trPr>
        <w:tc>
          <w:tcPr>
            <w:tcW w:w="6200" w:type="dxa"/>
            <w:tcBorders>
              <w:left w:val="single" w:sz="4" w:space="0" w:color="auto"/>
            </w:tcBorders>
          </w:tcPr>
          <w:p w14:paraId="44CD8D27" w14:textId="27245A0B" w:rsidR="00BA5DBC" w:rsidRPr="000203E1" w:rsidRDefault="00BA5DBC" w:rsidP="00BA5DBC">
            <w:pPr>
              <w:tabs>
                <w:tab w:val="left" w:pos="567"/>
              </w:tabs>
              <w:jc w:val="right"/>
              <w:rPr>
                <w:iCs/>
                <w:lang w:eastAsia="lt-LT"/>
              </w:rPr>
            </w:pPr>
            <w:r w:rsidRPr="000203E1">
              <w:rPr>
                <w:iCs/>
                <w:lang w:eastAsia="lt-LT"/>
              </w:rPr>
              <w:t>Kaštų skirtumas</w:t>
            </w:r>
          </w:p>
        </w:tc>
        <w:tc>
          <w:tcPr>
            <w:tcW w:w="3238" w:type="dxa"/>
            <w:tcBorders>
              <w:right w:val="single" w:sz="4" w:space="0" w:color="auto"/>
            </w:tcBorders>
          </w:tcPr>
          <w:p w14:paraId="1CACF0B4" w14:textId="3D59A915" w:rsidR="00BA5DBC" w:rsidRPr="00283124" w:rsidRDefault="00676176" w:rsidP="00BA5DBC">
            <w:pPr>
              <w:tabs>
                <w:tab w:val="left" w:pos="567"/>
              </w:tabs>
              <w:jc w:val="both"/>
              <w:rPr>
                <w:i/>
                <w:iCs/>
                <w:u w:val="single"/>
                <w:lang w:eastAsia="lt-LT"/>
              </w:rPr>
            </w:pPr>
            <w:r>
              <w:rPr>
                <w:i/>
                <w:iCs/>
                <w:u w:val="single"/>
                <w:lang w:eastAsia="lt-LT"/>
              </w:rPr>
              <w:t>*****</w:t>
            </w:r>
          </w:p>
        </w:tc>
      </w:tr>
      <w:tr w:rsidR="000203E1" w:rsidRPr="000203E1" w14:paraId="49F818A3" w14:textId="77777777" w:rsidTr="00BE7489">
        <w:trPr>
          <w:trHeight w:val="267"/>
          <w:jc w:val="center"/>
        </w:trPr>
        <w:tc>
          <w:tcPr>
            <w:tcW w:w="6200" w:type="dxa"/>
            <w:tcBorders>
              <w:left w:val="single" w:sz="4" w:space="0" w:color="auto"/>
            </w:tcBorders>
          </w:tcPr>
          <w:p w14:paraId="021DB925" w14:textId="389F1BF5" w:rsidR="00BA5DBC" w:rsidRPr="000203E1" w:rsidRDefault="00BA5DBC" w:rsidP="00BA5DBC">
            <w:pPr>
              <w:tabs>
                <w:tab w:val="left" w:pos="567"/>
              </w:tabs>
              <w:jc w:val="right"/>
              <w:rPr>
                <w:iCs/>
                <w:lang w:eastAsia="lt-LT"/>
              </w:rPr>
            </w:pPr>
            <w:r w:rsidRPr="000203E1">
              <w:rPr>
                <w:iCs/>
                <w:lang w:eastAsia="lt-LT"/>
              </w:rPr>
              <w:t>Papildomi gyvenimo metai (LY)</w:t>
            </w:r>
          </w:p>
        </w:tc>
        <w:tc>
          <w:tcPr>
            <w:tcW w:w="3238" w:type="dxa"/>
            <w:tcBorders>
              <w:right w:val="single" w:sz="4" w:space="0" w:color="auto"/>
            </w:tcBorders>
          </w:tcPr>
          <w:p w14:paraId="4954817B" w14:textId="5E80B41B" w:rsidR="00BA5DBC" w:rsidRPr="00283124" w:rsidRDefault="00676176" w:rsidP="00BA5DBC">
            <w:pPr>
              <w:tabs>
                <w:tab w:val="left" w:pos="567"/>
              </w:tabs>
              <w:jc w:val="both"/>
              <w:rPr>
                <w:i/>
                <w:iCs/>
                <w:u w:val="single"/>
                <w:lang w:eastAsia="lt-LT"/>
              </w:rPr>
            </w:pPr>
            <w:r>
              <w:rPr>
                <w:i/>
                <w:iCs/>
                <w:u w:val="single"/>
                <w:lang w:eastAsia="lt-LT"/>
              </w:rPr>
              <w:t>****</w:t>
            </w:r>
          </w:p>
        </w:tc>
      </w:tr>
      <w:tr w:rsidR="000203E1" w:rsidRPr="000203E1" w14:paraId="20ADA742" w14:textId="77777777" w:rsidTr="00BE7489">
        <w:trPr>
          <w:trHeight w:val="267"/>
          <w:jc w:val="center"/>
        </w:trPr>
        <w:tc>
          <w:tcPr>
            <w:tcW w:w="6200" w:type="dxa"/>
            <w:tcBorders>
              <w:left w:val="single" w:sz="4" w:space="0" w:color="auto"/>
            </w:tcBorders>
          </w:tcPr>
          <w:p w14:paraId="0F567576" w14:textId="2606A2E9" w:rsidR="00BA5DBC" w:rsidRPr="000203E1" w:rsidRDefault="0058712F" w:rsidP="00BA5DBC">
            <w:pPr>
              <w:tabs>
                <w:tab w:val="left" w:pos="567"/>
              </w:tabs>
              <w:jc w:val="right"/>
              <w:rPr>
                <w:iCs/>
                <w:lang w:eastAsia="lt-LT"/>
              </w:rPr>
            </w:pPr>
            <w:r w:rsidRPr="000203E1">
              <w:rPr>
                <w:iCs/>
                <w:lang w:eastAsia="lt-LT"/>
              </w:rPr>
              <w:t>Papildomi k</w:t>
            </w:r>
            <w:r w:rsidR="00BA5DBC" w:rsidRPr="000203E1">
              <w:rPr>
                <w:iCs/>
                <w:lang w:eastAsia="lt-LT"/>
              </w:rPr>
              <w:t>okybiški gyvenimo metai (QALY)</w:t>
            </w:r>
          </w:p>
        </w:tc>
        <w:tc>
          <w:tcPr>
            <w:tcW w:w="3238" w:type="dxa"/>
            <w:tcBorders>
              <w:right w:val="single" w:sz="4" w:space="0" w:color="auto"/>
            </w:tcBorders>
          </w:tcPr>
          <w:p w14:paraId="02E4DAE1" w14:textId="2FE6F12C" w:rsidR="00BA5DBC" w:rsidRPr="00283124" w:rsidRDefault="00676176" w:rsidP="00BA5DBC">
            <w:pPr>
              <w:tabs>
                <w:tab w:val="left" w:pos="567"/>
              </w:tabs>
              <w:jc w:val="both"/>
              <w:rPr>
                <w:i/>
                <w:iCs/>
                <w:u w:val="single"/>
                <w:lang w:eastAsia="lt-LT"/>
              </w:rPr>
            </w:pPr>
            <w:r>
              <w:rPr>
                <w:i/>
                <w:iCs/>
                <w:u w:val="single"/>
                <w:lang w:eastAsia="lt-LT"/>
              </w:rPr>
              <w:t>****</w:t>
            </w:r>
          </w:p>
        </w:tc>
      </w:tr>
      <w:tr w:rsidR="000203E1" w:rsidRPr="000203E1" w14:paraId="1FADA2B3" w14:textId="77777777" w:rsidTr="00BE7489">
        <w:trPr>
          <w:trHeight w:val="267"/>
          <w:jc w:val="center"/>
        </w:trPr>
        <w:tc>
          <w:tcPr>
            <w:tcW w:w="6200" w:type="dxa"/>
            <w:tcBorders>
              <w:left w:val="single" w:sz="4" w:space="0" w:color="auto"/>
            </w:tcBorders>
          </w:tcPr>
          <w:p w14:paraId="13E089E8" w14:textId="0BCEB339" w:rsidR="00BA5DBC" w:rsidRPr="000203E1" w:rsidRDefault="00BA5DBC" w:rsidP="009E44AE">
            <w:pPr>
              <w:tabs>
                <w:tab w:val="left" w:pos="567"/>
              </w:tabs>
              <w:jc w:val="right"/>
              <w:rPr>
                <w:iCs/>
                <w:lang w:eastAsia="lt-LT"/>
              </w:rPr>
            </w:pPr>
            <w:r w:rsidRPr="000203E1">
              <w:rPr>
                <w:iCs/>
                <w:lang w:eastAsia="lt-LT"/>
              </w:rPr>
              <w:t>ICER už LY</w:t>
            </w:r>
          </w:p>
        </w:tc>
        <w:tc>
          <w:tcPr>
            <w:tcW w:w="3238" w:type="dxa"/>
            <w:tcBorders>
              <w:right w:val="single" w:sz="4" w:space="0" w:color="auto"/>
            </w:tcBorders>
          </w:tcPr>
          <w:p w14:paraId="2817448D" w14:textId="333CA9BC" w:rsidR="00BA5DBC" w:rsidRPr="00283124" w:rsidRDefault="00676176" w:rsidP="009E44AE">
            <w:pPr>
              <w:tabs>
                <w:tab w:val="left" w:pos="567"/>
              </w:tabs>
              <w:jc w:val="both"/>
              <w:rPr>
                <w:i/>
                <w:iCs/>
                <w:u w:val="single"/>
                <w:lang w:eastAsia="lt-LT"/>
              </w:rPr>
            </w:pPr>
            <w:r>
              <w:rPr>
                <w:i/>
                <w:iCs/>
                <w:u w:val="single"/>
                <w:lang w:eastAsia="lt-LT"/>
              </w:rPr>
              <w:t>******</w:t>
            </w:r>
          </w:p>
        </w:tc>
      </w:tr>
      <w:tr w:rsidR="000203E1" w:rsidRPr="000203E1" w14:paraId="250DE960" w14:textId="77777777" w:rsidTr="00BE7489">
        <w:trPr>
          <w:trHeight w:val="267"/>
          <w:jc w:val="center"/>
        </w:trPr>
        <w:tc>
          <w:tcPr>
            <w:tcW w:w="6200" w:type="dxa"/>
            <w:tcBorders>
              <w:left w:val="single" w:sz="4" w:space="0" w:color="auto"/>
            </w:tcBorders>
          </w:tcPr>
          <w:p w14:paraId="207EFB23" w14:textId="77777777" w:rsidR="009E44AE" w:rsidRPr="000203E1" w:rsidRDefault="009E44AE" w:rsidP="009E44AE">
            <w:pPr>
              <w:tabs>
                <w:tab w:val="left" w:pos="567"/>
              </w:tabs>
              <w:jc w:val="right"/>
              <w:rPr>
                <w:iCs/>
                <w:lang w:eastAsia="lt-LT"/>
              </w:rPr>
            </w:pPr>
            <w:r w:rsidRPr="000203E1">
              <w:rPr>
                <w:iCs/>
                <w:lang w:eastAsia="lt-LT"/>
              </w:rPr>
              <w:t>ICER už QALY</w:t>
            </w:r>
          </w:p>
        </w:tc>
        <w:tc>
          <w:tcPr>
            <w:tcW w:w="3238" w:type="dxa"/>
            <w:tcBorders>
              <w:right w:val="single" w:sz="4" w:space="0" w:color="auto"/>
            </w:tcBorders>
          </w:tcPr>
          <w:p w14:paraId="4275320D" w14:textId="1CB0929B" w:rsidR="009E44AE" w:rsidRPr="00283124" w:rsidRDefault="00676176" w:rsidP="009E44AE">
            <w:pPr>
              <w:tabs>
                <w:tab w:val="left" w:pos="567"/>
              </w:tabs>
              <w:jc w:val="both"/>
              <w:rPr>
                <w:i/>
                <w:iCs/>
                <w:u w:val="single"/>
                <w:lang w:eastAsia="lt-LT"/>
              </w:rPr>
            </w:pPr>
            <w:r>
              <w:rPr>
                <w:i/>
                <w:iCs/>
                <w:u w:val="single"/>
                <w:lang w:eastAsia="lt-LT"/>
              </w:rPr>
              <w:t>******</w:t>
            </w:r>
          </w:p>
        </w:tc>
      </w:tr>
      <w:tr w:rsidR="000203E1" w:rsidRPr="000203E1" w14:paraId="2C4C68BA" w14:textId="77777777" w:rsidTr="00BE7489">
        <w:trPr>
          <w:trHeight w:val="267"/>
          <w:jc w:val="center"/>
        </w:trPr>
        <w:tc>
          <w:tcPr>
            <w:tcW w:w="6200" w:type="dxa"/>
            <w:tcBorders>
              <w:left w:val="single" w:sz="4" w:space="0" w:color="auto"/>
              <w:bottom w:val="single" w:sz="4" w:space="0" w:color="auto"/>
              <w:right w:val="single" w:sz="4" w:space="0" w:color="auto"/>
            </w:tcBorders>
          </w:tcPr>
          <w:p w14:paraId="21BEDABF" w14:textId="77777777" w:rsidR="009E44AE" w:rsidRPr="000203E1" w:rsidRDefault="009E44AE" w:rsidP="009E44AE">
            <w:pPr>
              <w:tabs>
                <w:tab w:val="left" w:pos="567"/>
              </w:tabs>
              <w:jc w:val="right"/>
              <w:rPr>
                <w:iCs/>
                <w:lang w:eastAsia="lt-LT"/>
              </w:rPr>
            </w:pPr>
            <w:r w:rsidRPr="000203E1">
              <w:rPr>
                <w:iCs/>
                <w:lang w:eastAsia="lt-LT"/>
              </w:rPr>
              <w:t>Referentinė kaštų naudingumo vertė</w:t>
            </w:r>
          </w:p>
        </w:tc>
        <w:tc>
          <w:tcPr>
            <w:tcW w:w="3238" w:type="dxa"/>
            <w:tcBorders>
              <w:left w:val="single" w:sz="4" w:space="0" w:color="auto"/>
              <w:bottom w:val="single" w:sz="4" w:space="0" w:color="auto"/>
              <w:right w:val="single" w:sz="4" w:space="0" w:color="auto"/>
            </w:tcBorders>
          </w:tcPr>
          <w:p w14:paraId="31DAA72E" w14:textId="4D5A4D4A" w:rsidR="009E44AE" w:rsidRPr="00283124" w:rsidRDefault="00676176" w:rsidP="009E44AE">
            <w:pPr>
              <w:tabs>
                <w:tab w:val="left" w:pos="567"/>
              </w:tabs>
              <w:jc w:val="both"/>
              <w:rPr>
                <w:i/>
                <w:iCs/>
                <w:u w:val="single"/>
                <w:lang w:eastAsia="lt-LT"/>
              </w:rPr>
            </w:pPr>
            <w:r>
              <w:rPr>
                <w:i/>
                <w:iCs/>
                <w:u w:val="single"/>
                <w:lang w:eastAsia="lt-LT"/>
              </w:rPr>
              <w:t>******</w:t>
            </w:r>
          </w:p>
        </w:tc>
      </w:tr>
    </w:tbl>
    <w:p w14:paraId="5FC8C737" w14:textId="4136B7F4" w:rsidR="0035172D" w:rsidRPr="000203E1" w:rsidRDefault="00E5102E" w:rsidP="0035172D">
      <w:pPr>
        <w:tabs>
          <w:tab w:val="left" w:pos="567"/>
        </w:tabs>
        <w:jc w:val="both"/>
        <w:rPr>
          <w:iCs/>
          <w:sz w:val="20"/>
          <w:lang w:eastAsia="lt-LT"/>
        </w:rPr>
      </w:pPr>
      <w:r w:rsidRPr="000203E1">
        <w:rPr>
          <w:iCs/>
          <w:sz w:val="20"/>
          <w:lang w:eastAsia="lt-LT"/>
        </w:rPr>
        <w:t xml:space="preserve">ICER </w:t>
      </w:r>
      <w:r w:rsidR="00453862" w:rsidRPr="000203E1">
        <w:rPr>
          <w:iCs/>
          <w:sz w:val="20"/>
          <w:lang w:eastAsia="lt-LT"/>
        </w:rPr>
        <w:t>– (</w:t>
      </w:r>
      <w:r w:rsidR="00453862" w:rsidRPr="000203E1">
        <w:rPr>
          <w:i/>
          <w:sz w:val="20"/>
          <w:lang w:eastAsia="lt-LT"/>
        </w:rPr>
        <w:t>angl. incremental cost-effectiveness ratio</w:t>
      </w:r>
      <w:r w:rsidR="00453862" w:rsidRPr="000203E1">
        <w:rPr>
          <w:iCs/>
          <w:sz w:val="20"/>
          <w:lang w:eastAsia="lt-LT"/>
        </w:rPr>
        <w:t>) inkrementinis kaštų naudingumo koeficientas</w:t>
      </w:r>
      <w:r w:rsidRPr="000203E1">
        <w:rPr>
          <w:iCs/>
          <w:sz w:val="20"/>
          <w:lang w:eastAsia="lt-LT"/>
        </w:rPr>
        <w:t>; LY –</w:t>
      </w:r>
      <w:r w:rsidR="00453862" w:rsidRPr="000203E1">
        <w:rPr>
          <w:iCs/>
          <w:sz w:val="20"/>
          <w:lang w:eastAsia="lt-LT"/>
        </w:rPr>
        <w:t xml:space="preserve"> (</w:t>
      </w:r>
      <w:r w:rsidR="00453862" w:rsidRPr="000203E1">
        <w:rPr>
          <w:i/>
          <w:sz w:val="20"/>
          <w:lang w:eastAsia="lt-LT"/>
        </w:rPr>
        <w:t>angl. life years</w:t>
      </w:r>
      <w:r w:rsidR="00453862" w:rsidRPr="000203E1">
        <w:rPr>
          <w:iCs/>
          <w:sz w:val="20"/>
          <w:lang w:eastAsia="lt-LT"/>
        </w:rPr>
        <w:t>) gyvenimo metai</w:t>
      </w:r>
      <w:r w:rsidRPr="000203E1">
        <w:rPr>
          <w:iCs/>
          <w:sz w:val="20"/>
          <w:lang w:eastAsia="lt-LT"/>
        </w:rPr>
        <w:t xml:space="preserve">; QALY- </w:t>
      </w:r>
      <w:r w:rsidR="00453862" w:rsidRPr="000203E1">
        <w:rPr>
          <w:iCs/>
          <w:sz w:val="20"/>
          <w:lang w:eastAsia="lt-LT"/>
        </w:rPr>
        <w:t>(</w:t>
      </w:r>
      <w:r w:rsidR="00453862" w:rsidRPr="000203E1">
        <w:rPr>
          <w:i/>
          <w:sz w:val="20"/>
          <w:lang w:eastAsia="lt-LT"/>
        </w:rPr>
        <w:t xml:space="preserve">angl. quality adjusted life years) </w:t>
      </w:r>
      <w:r w:rsidR="00453862" w:rsidRPr="000203E1">
        <w:rPr>
          <w:iCs/>
          <w:sz w:val="20"/>
          <w:lang w:eastAsia="lt-LT"/>
        </w:rPr>
        <w:t>kokybiški gyvenimo metai.</w:t>
      </w:r>
    </w:p>
    <w:p w14:paraId="33875138" w14:textId="77777777" w:rsidR="0035172D" w:rsidRPr="000203E1" w:rsidRDefault="0035172D" w:rsidP="00A93AA6">
      <w:pPr>
        <w:tabs>
          <w:tab w:val="left" w:pos="426"/>
        </w:tabs>
        <w:rPr>
          <w:b/>
          <w:bCs/>
          <w:caps/>
        </w:rPr>
      </w:pPr>
    </w:p>
    <w:p w14:paraId="4FC424F9" w14:textId="4E767245" w:rsidR="00C62B36" w:rsidRPr="000203E1" w:rsidRDefault="00C62B36" w:rsidP="00CC09D4">
      <w:pPr>
        <w:pStyle w:val="ListParagraph"/>
        <w:numPr>
          <w:ilvl w:val="0"/>
          <w:numId w:val="12"/>
        </w:numPr>
        <w:tabs>
          <w:tab w:val="left" w:pos="567"/>
        </w:tabs>
        <w:ind w:hanging="720"/>
        <w:rPr>
          <w:b/>
          <w:bCs/>
          <w:caps/>
        </w:rPr>
      </w:pPr>
      <w:r w:rsidRPr="000203E1">
        <w:rPr>
          <w:b/>
          <w:bCs/>
          <w:caps/>
        </w:rPr>
        <w:t xml:space="preserve">Pacientų organizacijų pateikti duomenys </w:t>
      </w:r>
    </w:p>
    <w:p w14:paraId="79BCFF40" w14:textId="7DDAC8E6" w:rsidR="00937907" w:rsidRPr="000203E1" w:rsidRDefault="00000000" w:rsidP="00937907">
      <w:pPr>
        <w:spacing w:after="120"/>
        <w:jc w:val="both"/>
      </w:pPr>
      <w:sdt>
        <w:sdtPr>
          <w:rPr>
            <w:rStyle w:val="Style2"/>
            <w:rFonts w:ascii="MS Gothic" w:eastAsia="MS Gothic" w:hAnsi="MS Gothic"/>
            <w:sz w:val="24"/>
          </w:rPr>
          <w:id w:val="1150014178"/>
          <w15:color w:val="FFCC00"/>
          <w14:checkbox>
            <w14:checked w14:val="1"/>
            <w14:checkedState w14:val="2612" w14:font="MS Gothic"/>
            <w14:uncheckedState w14:val="2610" w14:font="MS Gothic"/>
          </w14:checkbox>
        </w:sdtPr>
        <w:sdtContent>
          <w:r w:rsidR="00D8404C">
            <w:rPr>
              <w:rStyle w:val="Style2"/>
              <w:rFonts w:ascii="MS Gothic" w:eastAsia="MS Gothic" w:hAnsi="MS Gothic" w:hint="eastAsia"/>
              <w:sz w:val="24"/>
            </w:rPr>
            <w:t>☒</w:t>
          </w:r>
        </w:sdtContent>
      </w:sdt>
      <w:r w:rsidR="00937907" w:rsidRPr="000203E1">
        <w:t xml:space="preserve"> Pacientų organizacijos pozicija pateikta. Žr. priedą.</w:t>
      </w:r>
    </w:p>
    <w:p w14:paraId="62992180" w14:textId="2531D5E3" w:rsidR="00937907" w:rsidRPr="000203E1" w:rsidRDefault="00000000" w:rsidP="00937907">
      <w:pPr>
        <w:spacing w:after="120"/>
        <w:jc w:val="both"/>
      </w:pPr>
      <w:sdt>
        <w:sdtPr>
          <w:rPr>
            <w:rStyle w:val="Style2"/>
            <w:rFonts w:ascii="MS Gothic" w:eastAsia="MS Gothic" w:hAnsi="MS Gothic"/>
            <w:sz w:val="24"/>
          </w:rPr>
          <w:id w:val="-1545513810"/>
          <w15:color w:val="FFCC00"/>
          <w14:checkbox>
            <w14:checked w14:val="0"/>
            <w14:checkedState w14:val="2612" w14:font="MS Gothic"/>
            <w14:uncheckedState w14:val="2610" w14:font="MS Gothic"/>
          </w14:checkbox>
        </w:sdtPr>
        <w:sdtContent>
          <w:r w:rsidR="00937907" w:rsidRPr="000203E1">
            <w:rPr>
              <w:rStyle w:val="Style2"/>
              <w:rFonts w:ascii="MS Gothic" w:eastAsia="MS Gothic" w:hAnsi="MS Gothic" w:hint="eastAsia"/>
              <w:sz w:val="24"/>
            </w:rPr>
            <w:t>☐</w:t>
          </w:r>
        </w:sdtContent>
      </w:sdt>
      <w:r w:rsidR="00937907" w:rsidRPr="000203E1">
        <w:t xml:space="preserve"> Pacientų organizacijos pozicija </w:t>
      </w:r>
      <w:r w:rsidR="00880A44" w:rsidRPr="000203E1">
        <w:t>ne</w:t>
      </w:r>
      <w:r w:rsidR="00937907" w:rsidRPr="000203E1">
        <w:t>pateikta.</w:t>
      </w:r>
    </w:p>
    <w:p w14:paraId="03E73D82" w14:textId="77777777" w:rsidR="00D417D2" w:rsidRPr="000203E1" w:rsidRDefault="00D417D2" w:rsidP="00937907">
      <w:pPr>
        <w:spacing w:after="120"/>
        <w:jc w:val="both"/>
      </w:pPr>
    </w:p>
    <w:p w14:paraId="3D3277FA" w14:textId="3CEEB2D2" w:rsidR="00C62B36" w:rsidRPr="000203E1" w:rsidRDefault="00C62B36" w:rsidP="00CC09D4">
      <w:pPr>
        <w:pStyle w:val="ListParagraph"/>
        <w:numPr>
          <w:ilvl w:val="0"/>
          <w:numId w:val="12"/>
        </w:numPr>
        <w:tabs>
          <w:tab w:val="left" w:pos="567"/>
        </w:tabs>
        <w:ind w:hanging="720"/>
        <w:rPr>
          <w:b/>
          <w:bCs/>
          <w:caps/>
        </w:rPr>
      </w:pPr>
      <w:r w:rsidRPr="000203E1">
        <w:rPr>
          <w:b/>
          <w:bCs/>
          <w:caps/>
        </w:rPr>
        <w:t>Gydytojų organizacijų pateikti duomenys</w:t>
      </w:r>
    </w:p>
    <w:p w14:paraId="389A346C" w14:textId="17184B64" w:rsidR="00937907" w:rsidRPr="000203E1" w:rsidRDefault="00000000" w:rsidP="00662983">
      <w:pPr>
        <w:spacing w:after="120"/>
        <w:jc w:val="both"/>
      </w:pPr>
      <w:sdt>
        <w:sdtPr>
          <w:rPr>
            <w:rStyle w:val="Style2"/>
            <w:rFonts w:ascii="MS Gothic" w:eastAsia="MS Gothic" w:hAnsi="MS Gothic"/>
            <w:sz w:val="24"/>
          </w:rPr>
          <w:id w:val="1613862788"/>
          <w15:color w:val="FFCC00"/>
          <w14:checkbox>
            <w14:checked w14:val="0"/>
            <w14:checkedState w14:val="2612" w14:font="MS Gothic"/>
            <w14:uncheckedState w14:val="2610" w14:font="MS Gothic"/>
          </w14:checkbox>
        </w:sdtPr>
        <w:sdtContent>
          <w:r w:rsidR="00937907" w:rsidRPr="000203E1">
            <w:rPr>
              <w:rStyle w:val="Style2"/>
              <w:rFonts w:ascii="MS Gothic" w:eastAsia="MS Gothic" w:hAnsi="MS Gothic" w:hint="eastAsia"/>
              <w:sz w:val="24"/>
            </w:rPr>
            <w:t>☐</w:t>
          </w:r>
        </w:sdtContent>
      </w:sdt>
      <w:r w:rsidR="00662983" w:rsidRPr="000203E1">
        <w:t xml:space="preserve"> </w:t>
      </w:r>
      <w:r w:rsidR="00937907" w:rsidRPr="000203E1">
        <w:t xml:space="preserve">Gydytojų specialistų organizacijos pozicija pateikta. </w:t>
      </w:r>
      <w:r w:rsidR="00662983" w:rsidRPr="000203E1">
        <w:t>Žr. priedą</w:t>
      </w:r>
      <w:r w:rsidR="00937907" w:rsidRPr="000203E1">
        <w:t>.</w:t>
      </w:r>
    </w:p>
    <w:p w14:paraId="5D8CC48C" w14:textId="3A2729AE" w:rsidR="00662983" w:rsidRPr="000203E1" w:rsidRDefault="00000000" w:rsidP="00662983">
      <w:pPr>
        <w:spacing w:after="120"/>
        <w:jc w:val="both"/>
      </w:pPr>
      <w:sdt>
        <w:sdtPr>
          <w:rPr>
            <w:rStyle w:val="Style2"/>
            <w:rFonts w:ascii="MS Gothic" w:eastAsia="MS Gothic" w:hAnsi="MS Gothic"/>
            <w:sz w:val="24"/>
          </w:rPr>
          <w:id w:val="-41988141"/>
          <w15:color w:val="FFCC00"/>
          <w14:checkbox>
            <w14:checked w14:val="1"/>
            <w14:checkedState w14:val="2612" w14:font="MS Gothic"/>
            <w14:uncheckedState w14:val="2610" w14:font="MS Gothic"/>
          </w14:checkbox>
        </w:sdtPr>
        <w:sdtContent>
          <w:r w:rsidR="00D8404C">
            <w:rPr>
              <w:rStyle w:val="Style2"/>
              <w:rFonts w:ascii="MS Gothic" w:eastAsia="MS Gothic" w:hAnsi="MS Gothic" w:hint="eastAsia"/>
              <w:sz w:val="24"/>
            </w:rPr>
            <w:t>☒</w:t>
          </w:r>
        </w:sdtContent>
      </w:sdt>
      <w:r w:rsidR="00662983" w:rsidRPr="000203E1">
        <w:t xml:space="preserve"> </w:t>
      </w:r>
      <w:r w:rsidR="00937907" w:rsidRPr="000203E1">
        <w:t xml:space="preserve">Gydytojų specialistų organizacijos pozicija </w:t>
      </w:r>
      <w:r w:rsidR="00880A44" w:rsidRPr="000203E1">
        <w:t>ne</w:t>
      </w:r>
      <w:r w:rsidR="00937907" w:rsidRPr="000203E1">
        <w:t>pateikta.</w:t>
      </w:r>
    </w:p>
    <w:p w14:paraId="3701D46A" w14:textId="77777777" w:rsidR="00A042B9" w:rsidRPr="000203E1" w:rsidRDefault="00A042B9" w:rsidP="00662983">
      <w:pPr>
        <w:spacing w:after="120"/>
        <w:jc w:val="both"/>
      </w:pPr>
    </w:p>
    <w:p w14:paraId="78F23ECB" w14:textId="23A3A002" w:rsidR="002F0E4F" w:rsidRPr="000203E1" w:rsidRDefault="002F0E4F" w:rsidP="00CC09D4">
      <w:pPr>
        <w:pStyle w:val="ListParagraph"/>
        <w:numPr>
          <w:ilvl w:val="0"/>
          <w:numId w:val="12"/>
        </w:numPr>
        <w:tabs>
          <w:tab w:val="left" w:pos="567"/>
        </w:tabs>
        <w:ind w:hanging="720"/>
        <w:rPr>
          <w:b/>
          <w:bCs/>
          <w:caps/>
        </w:rPr>
      </w:pPr>
      <w:r w:rsidRPr="000203E1">
        <w:rPr>
          <w:b/>
          <w:bCs/>
          <w:caps/>
        </w:rPr>
        <w:t xml:space="preserve">Išvada </w:t>
      </w:r>
    </w:p>
    <w:p w14:paraId="30069D85" w14:textId="77777777" w:rsidR="0061611B" w:rsidRPr="000203E1" w:rsidRDefault="0061611B" w:rsidP="0061611B">
      <w:pPr>
        <w:ind w:left="360"/>
        <w:rPr>
          <w:i/>
          <w:szCs w:val="22"/>
        </w:rPr>
      </w:pPr>
    </w:p>
    <w:p w14:paraId="08D5B3B6" w14:textId="0623EE7A" w:rsidR="0061611B" w:rsidRPr="000203E1" w:rsidRDefault="0061611B" w:rsidP="0061611B">
      <w:pPr>
        <w:rPr>
          <w:i/>
          <w:szCs w:val="22"/>
        </w:rPr>
      </w:pPr>
      <w:r w:rsidRPr="000203E1">
        <w:rPr>
          <w:i/>
          <w:szCs w:val="22"/>
        </w:rPr>
        <w:t>Pildoma tik paraiškai</w:t>
      </w:r>
    </w:p>
    <w:tbl>
      <w:tblPr>
        <w:tblStyle w:val="TableGrid"/>
        <w:tblW w:w="0" w:type="auto"/>
        <w:tblLook w:val="04A0" w:firstRow="1" w:lastRow="0" w:firstColumn="1" w:lastColumn="0" w:noHBand="0" w:noVBand="1"/>
      </w:tblPr>
      <w:tblGrid>
        <w:gridCol w:w="4815"/>
        <w:gridCol w:w="4814"/>
      </w:tblGrid>
      <w:tr w:rsidR="000203E1" w:rsidRPr="000203E1" w14:paraId="25A2473E" w14:textId="77777777" w:rsidTr="00C16245">
        <w:trPr>
          <w:trHeight w:val="510"/>
        </w:trPr>
        <w:tc>
          <w:tcPr>
            <w:tcW w:w="4815" w:type="dxa"/>
            <w:vAlign w:val="center"/>
          </w:tcPr>
          <w:p w14:paraId="7EFE6941" w14:textId="23B8BB6D" w:rsidR="00B13D65" w:rsidRPr="000203E1"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0203E1">
              <w:rPr>
                <w:rStyle w:val="Style2"/>
                <w:rFonts w:eastAsia="MS Gothic"/>
                <w:b/>
                <w:bCs/>
                <w:sz w:val="24"/>
              </w:rPr>
              <w:t>Rekomenduojama kompensuoti</w:t>
            </w:r>
          </w:p>
        </w:tc>
        <w:tc>
          <w:tcPr>
            <w:tcW w:w="4814" w:type="dxa"/>
            <w:vAlign w:val="center"/>
          </w:tcPr>
          <w:p w14:paraId="330A1A5E" w14:textId="19247DC1" w:rsidR="00B13D65" w:rsidRPr="000203E1"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0203E1">
              <w:rPr>
                <w:rStyle w:val="Style2"/>
                <w:rFonts w:eastAsia="MS Gothic"/>
                <w:b/>
                <w:bCs/>
                <w:sz w:val="24"/>
              </w:rPr>
              <w:t xml:space="preserve">Rekomenduojama nekompensuoti </w:t>
            </w:r>
          </w:p>
        </w:tc>
      </w:tr>
      <w:tr w:rsidR="000203E1" w:rsidRPr="000203E1" w14:paraId="143A7356" w14:textId="77777777" w:rsidTr="00C16245">
        <w:trPr>
          <w:trHeight w:val="510"/>
        </w:trPr>
        <w:tc>
          <w:tcPr>
            <w:tcW w:w="9629" w:type="dxa"/>
            <w:gridSpan w:val="2"/>
            <w:vAlign w:val="center"/>
          </w:tcPr>
          <w:p w14:paraId="0AF5D6B4" w14:textId="6D8B6C59" w:rsidR="00B13D65" w:rsidRPr="000203E1"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0203E1">
              <w:rPr>
                <w:rStyle w:val="Style2"/>
                <w:rFonts w:eastAsia="MS Gothic"/>
                <w:b/>
                <w:bCs/>
                <w:sz w:val="24"/>
              </w:rPr>
              <w:t>Palyginamasis efektyvumas</w:t>
            </w:r>
          </w:p>
        </w:tc>
      </w:tr>
      <w:tr w:rsidR="000203E1" w:rsidRPr="000203E1" w14:paraId="28A0C814" w14:textId="77777777" w:rsidTr="0061611B">
        <w:tc>
          <w:tcPr>
            <w:tcW w:w="4815" w:type="dxa"/>
          </w:tcPr>
          <w:p w14:paraId="216769B5" w14:textId="4D3E31F1" w:rsidR="00B13D65" w:rsidRPr="000203E1"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97324644"/>
                <w15:color w:val="FFCC00"/>
                <w14:checkbox>
                  <w14:checked w14:val="1"/>
                  <w14:checkedState w14:val="2612" w14:font="MS Gothic"/>
                  <w14:uncheckedState w14:val="2610" w14:font="MS Gothic"/>
                </w14:checkbox>
              </w:sdtPr>
              <w:sdtContent>
                <w:r w:rsidR="0072501F">
                  <w:rPr>
                    <w:rStyle w:val="Style2"/>
                    <w:rFonts w:ascii="MS Gothic" w:eastAsia="MS Gothic" w:hAnsi="MS Gothic" w:hint="eastAsia"/>
                    <w:sz w:val="24"/>
                  </w:rPr>
                  <w:t>☒</w:t>
                </w:r>
              </w:sdtContent>
            </w:sdt>
            <w:r w:rsidR="00B13D65" w:rsidRPr="000203E1">
              <w:t xml:space="preserve"> 32.1. yra didesnis</w:t>
            </w:r>
            <w:r w:rsidR="00B00959" w:rsidRPr="000203E1">
              <w:t>, lyginant su įprasta klinikine praktika</w:t>
            </w:r>
          </w:p>
          <w:p w14:paraId="3B48F372" w14:textId="77777777" w:rsidR="00662983" w:rsidRPr="000203E1"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F18D4" w14:textId="247BE805" w:rsidR="00B13D65" w:rsidRPr="000203E1" w:rsidRDefault="00000000" w:rsidP="00662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sdt>
              <w:sdtPr>
                <w:rPr>
                  <w:rStyle w:val="Style2"/>
                  <w:sz w:val="24"/>
                </w:rPr>
                <w:id w:val="418297090"/>
                <w15:color w:val="FFCC00"/>
                <w14:checkbox>
                  <w14:checked w14:val="0"/>
                  <w14:checkedState w14:val="2612" w14:font="MS Gothic"/>
                  <w14:uncheckedState w14:val="2610" w14:font="MS Gothic"/>
                </w14:checkbox>
              </w:sdtPr>
              <w:sdtContent>
                <w:r w:rsidR="00B13D65" w:rsidRPr="000203E1">
                  <w:rPr>
                    <w:rStyle w:val="Style2"/>
                    <w:rFonts w:ascii="Segoe UI Symbol" w:eastAsia="MS Gothic" w:hAnsi="Segoe UI Symbol" w:cs="Segoe UI Symbol"/>
                    <w:sz w:val="24"/>
                  </w:rPr>
                  <w:t>☐</w:t>
                </w:r>
              </w:sdtContent>
            </w:sdt>
            <w:r w:rsidR="00B13D65" w:rsidRPr="000203E1">
              <w:t xml:space="preserve"> 32.1. iš esmės nesiskiria</w:t>
            </w:r>
            <w:r w:rsidR="00B00959" w:rsidRPr="000203E1">
              <w:t>, lyginant su įprasta klinikine praktika</w:t>
            </w:r>
          </w:p>
        </w:tc>
        <w:tc>
          <w:tcPr>
            <w:tcW w:w="4814" w:type="dxa"/>
          </w:tcPr>
          <w:p w14:paraId="507828D9" w14:textId="10556E28" w:rsidR="00B13D65" w:rsidRPr="000203E1"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724755596"/>
                <w15:color w:val="FFCC00"/>
                <w14:checkbox>
                  <w14:checked w14:val="0"/>
                  <w14:checkedState w14:val="2612" w14:font="MS Gothic"/>
                  <w14:uncheckedState w14:val="2610" w14:font="MS Gothic"/>
                </w14:checkbox>
              </w:sdtPr>
              <w:sdtContent>
                <w:r w:rsidR="00B13D65" w:rsidRPr="000203E1">
                  <w:rPr>
                    <w:rStyle w:val="Style2"/>
                    <w:rFonts w:ascii="Segoe UI Symbol" w:eastAsia="MS Gothic" w:hAnsi="Segoe UI Symbol" w:cs="Segoe UI Symbol"/>
                    <w:sz w:val="24"/>
                  </w:rPr>
                  <w:t>☐</w:t>
                </w:r>
              </w:sdtContent>
            </w:sdt>
            <w:r w:rsidR="00B13D65" w:rsidRPr="000203E1">
              <w:t xml:space="preserve"> 33.1. yra mažesnis</w:t>
            </w:r>
            <w:r w:rsidR="00B00959" w:rsidRPr="000203E1">
              <w:t>, lyginant su įprasta klinikine praktika</w:t>
            </w:r>
          </w:p>
          <w:p w14:paraId="7F95DEEC" w14:textId="77777777" w:rsidR="00662983" w:rsidRPr="000203E1"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80682B8" w14:textId="1A29EA3B" w:rsidR="00662983" w:rsidRPr="000203E1"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62168479"/>
                <w15:color w:val="FFCC00"/>
                <w14:checkbox>
                  <w14:checked w14:val="0"/>
                  <w14:checkedState w14:val="2612" w14:font="MS Gothic"/>
                  <w14:uncheckedState w14:val="2610" w14:font="MS Gothic"/>
                </w14:checkbox>
              </w:sdtPr>
              <w:sdtContent>
                <w:r w:rsidR="00B13D65" w:rsidRPr="000203E1">
                  <w:rPr>
                    <w:rStyle w:val="Style2"/>
                    <w:rFonts w:ascii="Segoe UI Symbol" w:eastAsia="MS Gothic" w:hAnsi="Segoe UI Symbol" w:cs="Segoe UI Symbol"/>
                    <w:sz w:val="24"/>
                  </w:rPr>
                  <w:t>☐</w:t>
                </w:r>
              </w:sdtContent>
            </w:sdt>
            <w:r w:rsidR="00B13D65" w:rsidRPr="000203E1">
              <w:t xml:space="preserve"> 33.1. yra neįrodytas kaip toks pat</w:t>
            </w:r>
            <w:r w:rsidR="00B00959" w:rsidRPr="000203E1">
              <w:t>, lyginant su įprasta klinikine praktika</w:t>
            </w:r>
          </w:p>
          <w:p w14:paraId="35205E85" w14:textId="77777777" w:rsidR="00662983" w:rsidRPr="000203E1"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CC3F0A3" w14:textId="6D563DC8" w:rsidR="00B13D65" w:rsidRPr="000203E1"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57960180"/>
                <w15:color w:val="FFCC00"/>
                <w14:checkbox>
                  <w14:checked w14:val="0"/>
                  <w14:checkedState w14:val="2612" w14:font="MS Gothic"/>
                  <w14:uncheckedState w14:val="2610" w14:font="MS Gothic"/>
                </w14:checkbox>
              </w:sdtPr>
              <w:sdtContent>
                <w:r w:rsidR="00662983" w:rsidRPr="000203E1">
                  <w:rPr>
                    <w:rStyle w:val="Style2"/>
                    <w:rFonts w:ascii="Segoe UI Symbol" w:eastAsia="MS Gothic" w:hAnsi="Segoe UI Symbol" w:cs="Segoe UI Symbol"/>
                    <w:sz w:val="24"/>
                  </w:rPr>
                  <w:t>☐</w:t>
                </w:r>
              </w:sdtContent>
            </w:sdt>
            <w:r w:rsidR="00662983" w:rsidRPr="000203E1">
              <w:t xml:space="preserve"> 33.1 </w:t>
            </w:r>
            <w:r w:rsidR="00B00959" w:rsidRPr="000203E1">
              <w:t xml:space="preserve">yra </w:t>
            </w:r>
            <w:r w:rsidR="00B13D65" w:rsidRPr="000203E1">
              <w:t>neįrodytas kaip didesnis</w:t>
            </w:r>
            <w:r w:rsidR="00B00959" w:rsidRPr="000203E1">
              <w:t>, lyginant su įprasta klinikine praktika</w:t>
            </w:r>
          </w:p>
          <w:p w14:paraId="512E653B" w14:textId="77777777" w:rsidR="00662983" w:rsidRPr="000203E1"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3F374F4" w14:textId="77777777" w:rsidR="00B13D65" w:rsidRPr="000203E1"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69842114"/>
                <w15:color w:val="FFCC00"/>
                <w14:checkbox>
                  <w14:checked w14:val="0"/>
                  <w14:checkedState w14:val="2612" w14:font="MS Gothic"/>
                  <w14:uncheckedState w14:val="2610" w14:font="MS Gothic"/>
                </w14:checkbox>
              </w:sdtPr>
              <w:sdtContent>
                <w:r w:rsidR="00B13D65" w:rsidRPr="000203E1">
                  <w:rPr>
                    <w:rStyle w:val="Style2"/>
                    <w:rFonts w:ascii="Segoe UI Symbol" w:eastAsia="MS Gothic" w:hAnsi="Segoe UI Symbol" w:cs="Segoe UI Symbol"/>
                    <w:sz w:val="24"/>
                  </w:rPr>
                  <w:t>☐</w:t>
                </w:r>
              </w:sdtContent>
            </w:sdt>
            <w:r w:rsidR="00B13D65" w:rsidRPr="000203E1">
              <w:t xml:space="preserve"> 33.1. pateikti duomenys apie palyginamąjį efektyvumą yra netinkami vertinti</w:t>
            </w:r>
          </w:p>
          <w:p w14:paraId="5DDAA961" w14:textId="77777777" w:rsidR="00B13D65" w:rsidRPr="000203E1"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0203E1" w:rsidRPr="000203E1" w14:paraId="161CC3FE" w14:textId="77777777" w:rsidTr="00C16245">
        <w:trPr>
          <w:trHeight w:val="510"/>
        </w:trPr>
        <w:tc>
          <w:tcPr>
            <w:tcW w:w="9629" w:type="dxa"/>
            <w:gridSpan w:val="2"/>
            <w:vAlign w:val="center"/>
          </w:tcPr>
          <w:p w14:paraId="1AB46894" w14:textId="3E765638" w:rsidR="00B13D65" w:rsidRPr="000203E1"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0203E1">
              <w:rPr>
                <w:rStyle w:val="Style2"/>
                <w:rFonts w:eastAsia="MS Gothic"/>
                <w:b/>
                <w:bCs/>
                <w:sz w:val="24"/>
              </w:rPr>
              <w:t>Klinikinis veiksmingumas</w:t>
            </w:r>
          </w:p>
        </w:tc>
      </w:tr>
      <w:tr w:rsidR="000203E1" w:rsidRPr="000203E1" w14:paraId="3C60570A" w14:textId="77777777" w:rsidTr="0061611B">
        <w:tc>
          <w:tcPr>
            <w:tcW w:w="4815" w:type="dxa"/>
          </w:tcPr>
          <w:p w14:paraId="6897B306" w14:textId="5EB0CC16" w:rsidR="00B13D65" w:rsidRPr="000203E1"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481080007"/>
                <w15:color w:val="FFCC00"/>
                <w14:checkbox>
                  <w14:checked w14:val="1"/>
                  <w14:checkedState w14:val="2612" w14:font="MS Gothic"/>
                  <w14:uncheckedState w14:val="2610" w14:font="MS Gothic"/>
                </w14:checkbox>
              </w:sdtPr>
              <w:sdtContent>
                <w:r w:rsidR="0072501F">
                  <w:rPr>
                    <w:rStyle w:val="Style2"/>
                    <w:rFonts w:ascii="MS Gothic" w:eastAsia="MS Gothic" w:hAnsi="MS Gothic" w:hint="eastAsia"/>
                    <w:sz w:val="24"/>
                  </w:rPr>
                  <w:t>☒</w:t>
                </w:r>
              </w:sdtContent>
            </w:sdt>
            <w:r w:rsidR="00B13D65" w:rsidRPr="000203E1">
              <w:t xml:space="preserve"> 32.2. yra įvertintas kaip pagrindžiantis papildomos naudos pacientų sveikatai sukūrimą, lyginant su įprasta klinikine praktika</w:t>
            </w:r>
          </w:p>
          <w:p w14:paraId="71D57105" w14:textId="77777777" w:rsidR="00662983" w:rsidRPr="000203E1"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EBBDF86" w14:textId="5C0FE0B2" w:rsidR="00B13D65" w:rsidRPr="000203E1"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862061586"/>
                <w15:color w:val="FFCC00"/>
                <w14:checkbox>
                  <w14:checked w14:val="0"/>
                  <w14:checkedState w14:val="2612" w14:font="MS Gothic"/>
                  <w14:uncheckedState w14:val="2610" w14:font="MS Gothic"/>
                </w14:checkbox>
              </w:sdtPr>
              <w:sdtContent>
                <w:r w:rsidR="00B13D65" w:rsidRPr="000203E1">
                  <w:rPr>
                    <w:rStyle w:val="Style2"/>
                    <w:rFonts w:ascii="Segoe UI Symbol" w:eastAsia="MS Gothic" w:hAnsi="Segoe UI Symbol" w:cs="Segoe UI Symbol"/>
                    <w:sz w:val="24"/>
                  </w:rPr>
                  <w:t>☐</w:t>
                </w:r>
              </w:sdtContent>
            </w:sdt>
            <w:r w:rsidR="00B13D65" w:rsidRPr="000203E1">
              <w:t xml:space="preserve"> 32.2. </w:t>
            </w:r>
            <w:r w:rsidR="00B00959" w:rsidRPr="000203E1">
              <w:t xml:space="preserve">yra </w:t>
            </w:r>
            <w:r w:rsidR="00B13D65" w:rsidRPr="000203E1">
              <w:t>įvertintas kaip pagrindžiantis nesiskiriančios naudos pacientų sveikatai sukūrimą, lyginant su įprasta klinikine praktika</w:t>
            </w:r>
          </w:p>
          <w:p w14:paraId="287AD233" w14:textId="77777777" w:rsidR="00B13D65" w:rsidRPr="000203E1"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74A2DECF" w14:textId="682BFC3B" w:rsidR="00662983" w:rsidRPr="000203E1" w:rsidRDefault="00000000" w:rsidP="00662983">
            <w:pPr>
              <w:jc w:val="both"/>
            </w:pPr>
            <w:sdt>
              <w:sdtPr>
                <w:rPr>
                  <w:rStyle w:val="Style2"/>
                  <w:sz w:val="24"/>
                </w:rPr>
                <w:id w:val="-1034573056"/>
                <w15:color w:val="FFCC00"/>
                <w14:checkbox>
                  <w14:checked w14:val="0"/>
                  <w14:checkedState w14:val="2612" w14:font="MS Gothic"/>
                  <w14:uncheckedState w14:val="2610" w14:font="MS Gothic"/>
                </w14:checkbox>
              </w:sdtPr>
              <w:sdtContent>
                <w:r w:rsidR="00B13D65" w:rsidRPr="000203E1">
                  <w:rPr>
                    <w:rStyle w:val="Style2"/>
                    <w:rFonts w:ascii="Segoe UI Symbol" w:eastAsia="MS Gothic" w:hAnsi="Segoe UI Symbol" w:cs="Segoe UI Symbol"/>
                    <w:sz w:val="24"/>
                  </w:rPr>
                  <w:t>☐</w:t>
                </w:r>
              </w:sdtContent>
            </w:sdt>
            <w:r w:rsidR="00B13D65" w:rsidRPr="000203E1">
              <w:t xml:space="preserve"> 33.1. yra įvertintas kaip nepagrindžiantis papildomos </w:t>
            </w:r>
            <w:r w:rsidR="00662983" w:rsidRPr="000203E1">
              <w:t>naudos pacientų sveikatai sukūrimo, lyginant su  įprasta klinikine praktika</w:t>
            </w:r>
          </w:p>
          <w:p w14:paraId="6C70BCFC" w14:textId="77777777" w:rsidR="00662983" w:rsidRPr="000203E1" w:rsidRDefault="00662983" w:rsidP="00BD1E5A">
            <w:pPr>
              <w:jc w:val="both"/>
            </w:pPr>
          </w:p>
          <w:p w14:paraId="0ADEC30D" w14:textId="1353964F" w:rsidR="00B13D65" w:rsidRPr="000203E1" w:rsidRDefault="00000000" w:rsidP="00BD1E5A">
            <w:pPr>
              <w:jc w:val="both"/>
            </w:pPr>
            <w:sdt>
              <w:sdtPr>
                <w:rPr>
                  <w:rStyle w:val="Style2"/>
                  <w:sz w:val="24"/>
                </w:rPr>
                <w:id w:val="1289549109"/>
                <w15:color w:val="FFCC00"/>
                <w14:checkbox>
                  <w14:checked w14:val="0"/>
                  <w14:checkedState w14:val="2612" w14:font="MS Gothic"/>
                  <w14:uncheckedState w14:val="2610" w14:font="MS Gothic"/>
                </w14:checkbox>
              </w:sdtPr>
              <w:sdtContent>
                <w:r w:rsidR="00662983" w:rsidRPr="000203E1">
                  <w:rPr>
                    <w:rStyle w:val="Style2"/>
                    <w:rFonts w:ascii="Segoe UI Symbol" w:eastAsia="MS Gothic" w:hAnsi="Segoe UI Symbol" w:cs="Segoe UI Symbol"/>
                    <w:sz w:val="24"/>
                  </w:rPr>
                  <w:t>☐</w:t>
                </w:r>
              </w:sdtContent>
            </w:sdt>
            <w:r w:rsidR="00B13D65" w:rsidRPr="000203E1">
              <w:t xml:space="preserve"> </w:t>
            </w:r>
            <w:r w:rsidR="00662983" w:rsidRPr="000203E1">
              <w:t xml:space="preserve">33.1. </w:t>
            </w:r>
            <w:r w:rsidR="00B00959" w:rsidRPr="000203E1">
              <w:t xml:space="preserve">yra įvertintas kaip nepagrindžiantis </w:t>
            </w:r>
            <w:r w:rsidR="00B13D65" w:rsidRPr="000203E1">
              <w:t>nesiskiriančios naudos pacientų sveikatai sukūrimo, lyginant su įprasta klinikine praktika</w:t>
            </w:r>
          </w:p>
          <w:p w14:paraId="1EED7901" w14:textId="77777777" w:rsidR="00B13D65" w:rsidRPr="000203E1"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7E672" w14:textId="77777777" w:rsidR="00B13D65" w:rsidRPr="000203E1"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0203E1" w:rsidRPr="000203E1" w14:paraId="1C75AE76" w14:textId="77777777" w:rsidTr="00C16245">
        <w:trPr>
          <w:trHeight w:val="510"/>
        </w:trPr>
        <w:tc>
          <w:tcPr>
            <w:tcW w:w="9629" w:type="dxa"/>
            <w:gridSpan w:val="2"/>
            <w:vAlign w:val="center"/>
          </w:tcPr>
          <w:p w14:paraId="0247EDAD" w14:textId="7FBBB759" w:rsidR="00B13D65" w:rsidRPr="000203E1"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0203E1">
              <w:rPr>
                <w:rStyle w:val="Style2"/>
                <w:rFonts w:eastAsia="MS Gothic"/>
                <w:b/>
                <w:bCs/>
                <w:sz w:val="24"/>
              </w:rPr>
              <w:t>Kaštų naudingumas</w:t>
            </w:r>
          </w:p>
        </w:tc>
      </w:tr>
      <w:tr w:rsidR="00B13D65" w:rsidRPr="000203E1" w14:paraId="7091A05B" w14:textId="77777777" w:rsidTr="0061611B">
        <w:tc>
          <w:tcPr>
            <w:tcW w:w="4815" w:type="dxa"/>
          </w:tcPr>
          <w:p w14:paraId="69B2A994" w14:textId="30B5EC61" w:rsidR="00B13D65" w:rsidRPr="000203E1"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975984416"/>
                <w15:color w:val="FFCC00"/>
                <w14:checkbox>
                  <w14:checked w14:val="0"/>
                  <w14:checkedState w14:val="2612" w14:font="MS Gothic"/>
                  <w14:uncheckedState w14:val="2610" w14:font="MS Gothic"/>
                </w14:checkbox>
              </w:sdtPr>
              <w:sdtContent>
                <w:r w:rsidR="00A06DBB" w:rsidRPr="000203E1">
                  <w:rPr>
                    <w:rStyle w:val="Style2"/>
                    <w:rFonts w:ascii="MS Gothic" w:eastAsia="MS Gothic" w:hAnsi="MS Gothic" w:hint="eastAsia"/>
                    <w:sz w:val="24"/>
                  </w:rPr>
                  <w:t>☐</w:t>
                </w:r>
              </w:sdtContent>
            </w:sdt>
            <w:r w:rsidR="00B13D65" w:rsidRPr="000203E1">
              <w:t xml:space="preserve"> 32.3. atitink</w:t>
            </w:r>
            <w:r w:rsidR="00EE1FA9">
              <w:t xml:space="preserve">a referencinę naudingumo vertę, </w:t>
            </w:r>
            <w:r w:rsidR="00B13D65" w:rsidRPr="000203E1">
              <w:t>netaikant PGS</w:t>
            </w:r>
          </w:p>
          <w:p w14:paraId="3F76F153" w14:textId="77777777" w:rsidR="00662983" w:rsidRPr="000203E1"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62072E7" w14:textId="7505314D" w:rsidR="00B13D65" w:rsidRPr="000203E1"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08081728"/>
                <w15:color w:val="FFCC00"/>
                <w14:checkbox>
                  <w14:checked w14:val="0"/>
                  <w14:checkedState w14:val="2612" w14:font="MS Gothic"/>
                  <w14:uncheckedState w14:val="2610" w14:font="MS Gothic"/>
                </w14:checkbox>
              </w:sdtPr>
              <w:sdtContent>
                <w:r w:rsidR="00B13D65" w:rsidRPr="000203E1">
                  <w:rPr>
                    <w:rStyle w:val="Style2"/>
                    <w:rFonts w:ascii="Segoe UI Symbol" w:eastAsia="MS Gothic" w:hAnsi="Segoe UI Symbol" w:cs="Segoe UI Symbol"/>
                    <w:sz w:val="24"/>
                  </w:rPr>
                  <w:t>☐</w:t>
                </w:r>
              </w:sdtContent>
            </w:sdt>
            <w:r w:rsidR="00B13D65" w:rsidRPr="000203E1">
              <w:t xml:space="preserve"> 32.3. gydymo juo kaštai yra mažesni ar tokie patys esant iš esmės nesiskiriančiam palyginamajam efektyvumui, netaikant PGS</w:t>
            </w:r>
            <w:r w:rsidR="00B00959" w:rsidRPr="000203E1">
              <w:t>, lyginant su įprasta klinikine praktika</w:t>
            </w:r>
          </w:p>
          <w:p w14:paraId="25E4BD1E" w14:textId="77777777" w:rsidR="00B13D65" w:rsidRPr="000203E1"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53380063" w14:textId="7DC832A4" w:rsidR="00B13D65" w:rsidRPr="000203E1"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65405113"/>
                <w15:color w:val="FFCC00"/>
                <w14:checkbox>
                  <w14:checked w14:val="1"/>
                  <w14:checkedState w14:val="2612" w14:font="MS Gothic"/>
                  <w14:uncheckedState w14:val="2610" w14:font="MS Gothic"/>
                </w14:checkbox>
              </w:sdtPr>
              <w:sdtContent>
                <w:r w:rsidR="00EE1FA9">
                  <w:rPr>
                    <w:rStyle w:val="Style2"/>
                    <w:rFonts w:ascii="MS Gothic" w:eastAsia="MS Gothic" w:hAnsi="MS Gothic" w:hint="eastAsia"/>
                    <w:sz w:val="24"/>
                  </w:rPr>
                  <w:t>☒</w:t>
                </w:r>
              </w:sdtContent>
            </w:sdt>
            <w:r w:rsidR="00B13D65" w:rsidRPr="000203E1">
              <w:t xml:space="preserve"> 33.3. neatitinka referencinės naudingumo vertės Lietuvos Respublikoje</w:t>
            </w:r>
          </w:p>
          <w:p w14:paraId="229ED51A" w14:textId="77777777" w:rsidR="00662983" w:rsidRPr="000203E1"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673C3A9" w14:textId="1A41082E" w:rsidR="00B13D65" w:rsidRPr="000203E1"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135473618"/>
                <w15:color w:val="FFCC00"/>
                <w14:checkbox>
                  <w14:checked w14:val="0"/>
                  <w14:checkedState w14:val="2612" w14:font="MS Gothic"/>
                  <w14:uncheckedState w14:val="2610" w14:font="MS Gothic"/>
                </w14:checkbox>
              </w:sdtPr>
              <w:sdtContent>
                <w:r w:rsidR="00B13D65" w:rsidRPr="000203E1">
                  <w:rPr>
                    <w:rStyle w:val="Style2"/>
                    <w:rFonts w:ascii="Segoe UI Symbol" w:eastAsia="MS Gothic" w:hAnsi="Segoe UI Symbol" w:cs="Segoe UI Symbol"/>
                    <w:sz w:val="24"/>
                  </w:rPr>
                  <w:t>☐</w:t>
                </w:r>
              </w:sdtContent>
            </w:sdt>
            <w:r w:rsidR="00B13D65" w:rsidRPr="000203E1">
              <w:t xml:space="preserve"> 33.3. gydymo juo kaštai yra didesni esant iš esmės nesiskiriančiam palyginamajam efektyvumui, netaikant PGS</w:t>
            </w:r>
            <w:r w:rsidR="00B00959" w:rsidRPr="000203E1">
              <w:t>, lyginant su įprasta klinikine praktika</w:t>
            </w:r>
          </w:p>
          <w:p w14:paraId="4A9C7D2A" w14:textId="77777777" w:rsidR="00662983" w:rsidRPr="000203E1"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226013D" w14:textId="4020B1AC" w:rsidR="00B13D65" w:rsidRPr="000203E1"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08360022"/>
                <w15:color w:val="FFCC00"/>
                <w14:checkbox>
                  <w14:checked w14:val="0"/>
                  <w14:checkedState w14:val="2612" w14:font="MS Gothic"/>
                  <w14:uncheckedState w14:val="2610" w14:font="MS Gothic"/>
                </w14:checkbox>
              </w:sdtPr>
              <w:sdtContent>
                <w:r w:rsidR="00B13D65" w:rsidRPr="000203E1">
                  <w:rPr>
                    <w:rStyle w:val="Style2"/>
                    <w:rFonts w:ascii="Segoe UI Symbol" w:eastAsia="MS Gothic" w:hAnsi="Segoe UI Symbol" w:cs="Segoe UI Symbol"/>
                    <w:sz w:val="24"/>
                  </w:rPr>
                  <w:t>☐</w:t>
                </w:r>
              </w:sdtContent>
            </w:sdt>
            <w:r w:rsidR="00B13D65" w:rsidRPr="000203E1">
              <w:t xml:space="preserve"> 33.3. pateikti duomenys apie kaštų na</w:t>
            </w:r>
            <w:r w:rsidR="00662983" w:rsidRPr="000203E1">
              <w:t>udingumą yra netinkami vertinti</w:t>
            </w:r>
          </w:p>
          <w:p w14:paraId="470A48A4" w14:textId="77777777" w:rsidR="00B13D65" w:rsidRPr="000203E1"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bl>
    <w:p w14:paraId="65ACA3C5" w14:textId="76C604A1" w:rsidR="004A3A61" w:rsidRPr="000203E1" w:rsidRDefault="004A3A61" w:rsidP="00381024"/>
    <w:p w14:paraId="1B85C083" w14:textId="77777777" w:rsidR="009E44AE" w:rsidRPr="000203E1" w:rsidRDefault="009E44AE" w:rsidP="00381024"/>
    <w:p w14:paraId="3B2D1F25" w14:textId="3A80E19F" w:rsidR="000001B0" w:rsidRPr="000203E1" w:rsidRDefault="000001B0" w:rsidP="00CC09D4">
      <w:pPr>
        <w:pStyle w:val="ListParagraph"/>
        <w:numPr>
          <w:ilvl w:val="0"/>
          <w:numId w:val="12"/>
        </w:numPr>
        <w:ind w:left="567" w:hanging="567"/>
      </w:pPr>
      <w:r w:rsidRPr="000203E1">
        <w:rPr>
          <w:b/>
        </w:rPr>
        <w:t>REKOME</w:t>
      </w:r>
      <w:r w:rsidR="00D83182" w:rsidRPr="000203E1">
        <w:rPr>
          <w:b/>
        </w:rPr>
        <w:t>N</w:t>
      </w:r>
      <w:r w:rsidRPr="000203E1">
        <w:rPr>
          <w:b/>
        </w:rPr>
        <w:t>DACIJA</w:t>
      </w:r>
    </w:p>
    <w:p w14:paraId="7D5C6700" w14:textId="77777777" w:rsidR="00D5470B" w:rsidRPr="000203E1" w:rsidRDefault="00D5470B" w:rsidP="00C712EA">
      <w:pPr>
        <w:pStyle w:val="ListParagraph"/>
        <w:ind w:left="426"/>
      </w:pPr>
    </w:p>
    <w:p w14:paraId="00098A62" w14:textId="79E88E04" w:rsidR="003D6208" w:rsidRDefault="004F3B2B" w:rsidP="003D6208">
      <w:pPr>
        <w:jc w:val="both"/>
      </w:pPr>
      <w:r w:rsidRPr="000203E1">
        <w:t xml:space="preserve">Vadovaujantis </w:t>
      </w:r>
      <w:r w:rsidR="00F259FC" w:rsidRPr="000203E1">
        <w:t xml:space="preserve">Vaistinių preparatų ir medicinos pagalbos priemonių įrašymo į kompensavimo sąrašus ir jų keitimo tvarkos aprašo, patvirtinto </w:t>
      </w:r>
      <w:r w:rsidRPr="000203E1">
        <w:t>Lietuvos Respublikos sveikatos apsaugos ministro 2002 m. balandžio 5 d. įsakymu Nr. V-159 „Dėl vaistinių preparatų ir medicinos pagalbos priemonių įrašymo į kompensavimo sąrašus ir jų keitimo tvarkos aprašo patvirtinimo“</w:t>
      </w:r>
      <w:r w:rsidR="00F259FC" w:rsidRPr="000203E1">
        <w:t>,</w:t>
      </w:r>
      <w:r w:rsidRPr="000203E1">
        <w:t xml:space="preserve"> punktu </w:t>
      </w:r>
      <w:r w:rsidR="00EE1FA9">
        <w:t xml:space="preserve"> </w:t>
      </w:r>
      <w:r w:rsidRPr="000203E1">
        <w:t xml:space="preserve">34.4. rekomenduojama </w:t>
      </w:r>
      <w:r w:rsidRPr="000203E1">
        <w:rPr>
          <w:i/>
        </w:rPr>
        <w:t xml:space="preserve">nekompensuoti </w:t>
      </w:r>
      <w:r w:rsidRPr="000203E1">
        <w:t>vaistinio prepa</w:t>
      </w:r>
      <w:r w:rsidR="00306B7D">
        <w:t>rato pagal paraiškoje nurodytą indikaciją</w:t>
      </w:r>
      <w:r w:rsidRPr="000203E1">
        <w:t xml:space="preserve"> su skyrimo sąlygomis</w:t>
      </w:r>
      <w:r w:rsidR="00EE1FA9">
        <w:t xml:space="preserve">, </w:t>
      </w:r>
      <w:r w:rsidR="00EE1FA9">
        <w:lastRenderedPageBreak/>
        <w:t>netaikant PGS</w:t>
      </w:r>
      <w:r w:rsidRPr="000203E1">
        <w:t xml:space="preserve"> dėl vertinimo išvadų</w:t>
      </w:r>
      <w:r w:rsidR="00EE1FA9">
        <w:t xml:space="preserve">, nurodytų </w:t>
      </w:r>
      <w:r w:rsidR="00613143" w:rsidRPr="000203E1">
        <w:t>33.3</w:t>
      </w:r>
      <w:r w:rsidR="00EE1FA9">
        <w:t xml:space="preserve"> </w:t>
      </w:r>
      <w:r w:rsidR="00613143" w:rsidRPr="000203E1">
        <w:t>papunk</w:t>
      </w:r>
      <w:r w:rsidR="00E348BA" w:rsidRPr="000203E1">
        <w:t xml:space="preserve">tyje (žr. 6 skyrių), </w:t>
      </w:r>
      <w:r w:rsidRPr="000203E1">
        <w:t>neatitikties 34.1 papunktyje išdėstyt</w:t>
      </w:r>
      <w:r w:rsidR="00CF27FD" w:rsidRPr="000203E1">
        <w:t>oms</w:t>
      </w:r>
      <w:r w:rsidRPr="000203E1">
        <w:t xml:space="preserve"> sąlyg</w:t>
      </w:r>
      <w:r w:rsidR="00CF27FD" w:rsidRPr="000203E1">
        <w:t>oms</w:t>
      </w:r>
      <w:r w:rsidR="00BF3927" w:rsidRPr="000203E1">
        <w:t>.</w:t>
      </w:r>
    </w:p>
    <w:p w14:paraId="307102DE" w14:textId="30AD2263" w:rsidR="00EE1FA9" w:rsidRDefault="00EE1FA9" w:rsidP="003D6208">
      <w:pPr>
        <w:jc w:val="both"/>
      </w:pPr>
    </w:p>
    <w:p w14:paraId="7D0CF93E" w14:textId="13ADD982" w:rsidR="00EE1FA9" w:rsidRDefault="00EE1FA9" w:rsidP="003D6208">
      <w:pPr>
        <w:jc w:val="both"/>
      </w:pPr>
    </w:p>
    <w:p w14:paraId="34E177D4" w14:textId="77777777" w:rsidR="00EE1FA9" w:rsidRPr="00FE303B" w:rsidRDefault="00EE1FA9" w:rsidP="00EE1FA9">
      <w:pPr>
        <w:shd w:val="clear" w:color="auto" w:fill="FFFFFF"/>
        <w:spacing w:line="276" w:lineRule="auto"/>
        <w:jc w:val="both"/>
        <w:rPr>
          <w:bCs/>
          <w:i/>
        </w:rPr>
      </w:pPr>
      <w:r w:rsidRPr="00FE303B">
        <w:rPr>
          <w:bCs/>
          <w:i/>
        </w:rPr>
        <w:t>Papildom</w:t>
      </w:r>
      <w:r>
        <w:rPr>
          <w:bCs/>
          <w:i/>
        </w:rPr>
        <w:t>os</w:t>
      </w:r>
      <w:r w:rsidRPr="00FE303B">
        <w:rPr>
          <w:bCs/>
          <w:i/>
        </w:rPr>
        <w:t xml:space="preserve"> pastabos ir pasiūlymai</w:t>
      </w:r>
    </w:p>
    <w:p w14:paraId="48BEC46D" w14:textId="67887A22" w:rsidR="00EE1FA9" w:rsidRDefault="00EE1FA9" w:rsidP="00EE1FA9">
      <w:pPr>
        <w:jc w:val="both"/>
        <w:rPr>
          <w:color w:val="000000"/>
        </w:rPr>
      </w:pPr>
      <w:r>
        <w:rPr>
          <w:bCs/>
        </w:rPr>
        <w:t>A</w:t>
      </w:r>
      <w:r w:rsidRPr="004817CE">
        <w:rPr>
          <w:bCs/>
        </w:rPr>
        <w:t xml:space="preserve">tsižvelgiant </w:t>
      </w:r>
      <w:r>
        <w:rPr>
          <w:bCs/>
        </w:rPr>
        <w:t>į empagliflozino sukuriamą papildomą naudą sveikatai, Tarnyba</w:t>
      </w:r>
      <w:r w:rsidRPr="004817CE" w:rsidDel="008074EB">
        <w:rPr>
          <w:bCs/>
        </w:rPr>
        <w:t xml:space="preserve"> </w:t>
      </w:r>
      <w:r w:rsidRPr="004817CE">
        <w:rPr>
          <w:bCs/>
        </w:rPr>
        <w:t>vadovau</w:t>
      </w:r>
      <w:r w:rsidR="003818AE">
        <w:rPr>
          <w:bCs/>
        </w:rPr>
        <w:t>d</w:t>
      </w:r>
      <w:r w:rsidRPr="004817CE">
        <w:rPr>
          <w:bCs/>
        </w:rPr>
        <w:t>a</w:t>
      </w:r>
      <w:r>
        <w:rPr>
          <w:bCs/>
        </w:rPr>
        <w:t>masi</w:t>
      </w:r>
      <w:r w:rsidRPr="004817CE">
        <w:rPr>
          <w:bCs/>
        </w:rPr>
        <w:t xml:space="preserve">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35 punktu, siūlo </w:t>
      </w:r>
      <w:r w:rsidRPr="00FE303B">
        <w:rPr>
          <w:b/>
          <w:bCs/>
        </w:rPr>
        <w:t>kompensuoti</w:t>
      </w:r>
      <w:r w:rsidRPr="004817CE">
        <w:rPr>
          <w:bCs/>
        </w:rPr>
        <w:t xml:space="preserve"> vaistinį preparatą</w:t>
      </w:r>
      <w:r>
        <w:rPr>
          <w:bCs/>
        </w:rPr>
        <w:t xml:space="preserve"> empagliflozinas (</w:t>
      </w:r>
      <w:r w:rsidRPr="003818AE">
        <w:rPr>
          <w:bCs/>
          <w:i/>
        </w:rPr>
        <w:t>Jardiance</w:t>
      </w:r>
      <w:r>
        <w:rPr>
          <w:bCs/>
        </w:rPr>
        <w:t xml:space="preserve">) nurodytoms indikacijoms, </w:t>
      </w:r>
      <w:r w:rsidR="000A42E9">
        <w:rPr>
          <w:bCs/>
          <w:u w:val="single"/>
        </w:rPr>
        <w:t>*************************************************************************************************</w:t>
      </w:r>
      <w:r>
        <w:rPr>
          <w:bCs/>
        </w:rPr>
        <w:t>.</w:t>
      </w:r>
    </w:p>
    <w:p w14:paraId="0F7E1A8F" w14:textId="77777777" w:rsidR="00EE1FA9" w:rsidRPr="00EE1FA9" w:rsidRDefault="00EE1FA9" w:rsidP="003D6208">
      <w:pPr>
        <w:jc w:val="both"/>
      </w:pPr>
    </w:p>
    <w:p w14:paraId="06BC01EE" w14:textId="44333E0B" w:rsidR="000723FF" w:rsidRPr="000203E1" w:rsidRDefault="000723FF" w:rsidP="00381024"/>
    <w:p w14:paraId="18B4292E" w14:textId="7F8EA55B" w:rsidR="000723FF" w:rsidRPr="000203E1" w:rsidRDefault="00CC09D4" w:rsidP="00CC09D4">
      <w:pPr>
        <w:tabs>
          <w:tab w:val="left" w:pos="567"/>
        </w:tabs>
        <w:ind w:left="567" w:hanging="567"/>
        <w:jc w:val="both"/>
        <w:rPr>
          <w:b/>
          <w:lang w:eastAsia="lt-LT"/>
        </w:rPr>
      </w:pPr>
      <w:r w:rsidRPr="000203E1">
        <w:rPr>
          <w:b/>
          <w:lang w:eastAsia="lt-LT"/>
        </w:rPr>
        <w:t>8.</w:t>
      </w:r>
      <w:r w:rsidRPr="000203E1">
        <w:rPr>
          <w:b/>
          <w:lang w:eastAsia="lt-LT"/>
        </w:rPr>
        <w:tab/>
      </w:r>
      <w:r w:rsidR="000723FF" w:rsidRPr="000203E1">
        <w:rPr>
          <w:b/>
          <w:lang w:eastAsia="lt-LT"/>
        </w:rPr>
        <w:t xml:space="preserve">SIŪLOMOS KOMPENSUOTI TERAPINĖS </w:t>
      </w:r>
      <w:r w:rsidR="00AA5DA8">
        <w:rPr>
          <w:b/>
          <w:lang w:eastAsia="lt-LT"/>
        </w:rPr>
        <w:t>INDIKACIJOS IR SKYRIMO SĄLYGOS</w:t>
      </w:r>
    </w:p>
    <w:p w14:paraId="691340BB" w14:textId="77777777" w:rsidR="000723FF" w:rsidRPr="000203E1" w:rsidRDefault="000723FF" w:rsidP="000723FF">
      <w:pPr>
        <w:tabs>
          <w:tab w:val="left" w:pos="426"/>
        </w:tabs>
        <w:jc w:val="both"/>
        <w:rPr>
          <w:b/>
          <w:lang w:eastAsia="lt-LT"/>
        </w:rPr>
      </w:pPr>
    </w:p>
    <w:p w14:paraId="529C92C4" w14:textId="152E5FB4" w:rsidR="000723FF" w:rsidRPr="000203E1" w:rsidRDefault="000723FF" w:rsidP="00824B92">
      <w:pPr>
        <w:rPr>
          <w:b/>
          <w:lang w:eastAsia="lt-LT"/>
        </w:rPr>
      </w:pPr>
      <w:r w:rsidRPr="000203E1">
        <w:rPr>
          <w:b/>
          <w:lang w:eastAsia="lt-LT"/>
        </w:rPr>
        <w:t>Terapinės indikacijos</w:t>
      </w:r>
    </w:p>
    <w:p w14:paraId="5BB746DD" w14:textId="1356D6A7" w:rsidR="000723FF" w:rsidRPr="000203E1" w:rsidRDefault="00000000" w:rsidP="00824B92">
      <w:sdt>
        <w:sdtPr>
          <w:rPr>
            <w:rStyle w:val="Style2"/>
          </w:rPr>
          <w:id w:val="1146316688"/>
          <w15:color w:val="FFCC00"/>
          <w14:checkbox>
            <w14:checked w14:val="1"/>
            <w14:checkedState w14:val="2612" w14:font="MS Gothic"/>
            <w14:uncheckedState w14:val="2610" w14:font="MS Gothic"/>
          </w14:checkbox>
        </w:sdtPr>
        <w:sdtContent>
          <w:r w:rsidR="003A040D">
            <w:rPr>
              <w:rStyle w:val="Style2"/>
              <w:rFonts w:ascii="MS Gothic" w:eastAsia="MS Gothic" w:hAnsi="MS Gothic" w:hint="eastAsia"/>
            </w:rPr>
            <w:t>☒</w:t>
          </w:r>
        </w:sdtContent>
      </w:sdt>
      <w:r w:rsidR="000723FF" w:rsidRPr="000203E1">
        <w:t xml:space="preserve"> Siūloma kompensuoti Pareiškėjo teikiamą indikaciją be pakeitimų.</w:t>
      </w:r>
    </w:p>
    <w:p w14:paraId="51A46CEF" w14:textId="77777777" w:rsidR="003A040D" w:rsidRPr="001A5F98" w:rsidRDefault="003A040D" w:rsidP="003A040D">
      <w:pPr>
        <w:pStyle w:val="NoSpacing"/>
        <w:rPr>
          <w:rFonts w:ascii="Times New Roman" w:hAnsi="Times New Roman"/>
          <w:sz w:val="28"/>
          <w:szCs w:val="28"/>
        </w:rPr>
      </w:pPr>
      <w:r w:rsidRPr="001A5F98">
        <w:rPr>
          <w:rFonts w:ascii="Times New Roman" w:hAnsi="Times New Roman"/>
          <w:sz w:val="24"/>
          <w:szCs w:val="28"/>
        </w:rPr>
        <w:t>Jardiance skirtas gydyti suaugusiems, sergantiems simptominiu lėtiniu širdies nepakankamumu.</w:t>
      </w:r>
    </w:p>
    <w:p w14:paraId="2BF3E16B" w14:textId="77777777" w:rsidR="003A040D" w:rsidRDefault="003A040D" w:rsidP="003A040D">
      <w:pPr>
        <w:pStyle w:val="NoSpacing"/>
        <w:rPr>
          <w:rFonts w:ascii="Times New Roman" w:eastAsia="Times New Roman" w:hAnsi="Times New Roman"/>
          <w:sz w:val="24"/>
          <w:szCs w:val="24"/>
        </w:rPr>
      </w:pPr>
      <w:r w:rsidRPr="00A14968">
        <w:rPr>
          <w:rFonts w:ascii="Times New Roman" w:eastAsia="Times New Roman" w:hAnsi="Times New Roman"/>
          <w:sz w:val="24"/>
          <w:szCs w:val="24"/>
        </w:rPr>
        <w:t>TLK kodas – I50.</w:t>
      </w:r>
    </w:p>
    <w:p w14:paraId="597367EF" w14:textId="77777777" w:rsidR="000723FF" w:rsidRPr="000203E1" w:rsidRDefault="00000000" w:rsidP="00824B92">
      <w:sdt>
        <w:sdtPr>
          <w:rPr>
            <w:rStyle w:val="Style2"/>
          </w:rPr>
          <w:id w:val="1467245146"/>
          <w15:color w:val="FFCC00"/>
          <w14:checkbox>
            <w14:checked w14:val="0"/>
            <w14:checkedState w14:val="2612" w14:font="MS Gothic"/>
            <w14:uncheckedState w14:val="2610" w14:font="MS Gothic"/>
          </w14:checkbox>
        </w:sdtPr>
        <w:sdtContent>
          <w:r w:rsidR="000723FF" w:rsidRPr="000203E1">
            <w:rPr>
              <w:rStyle w:val="Style2"/>
              <w:rFonts w:ascii="MS Gothic" w:eastAsia="MS Gothic" w:hAnsi="MS Gothic"/>
            </w:rPr>
            <w:t>☐</w:t>
          </w:r>
        </w:sdtContent>
      </w:sdt>
      <w:r w:rsidR="000723FF" w:rsidRPr="000203E1">
        <w:t xml:space="preserve"> Siūloma kompensuoti Pareiškėjo teikiamą indikaciją su pakeitimais.</w:t>
      </w:r>
    </w:p>
    <w:p w14:paraId="7DD65F7E" w14:textId="77777777" w:rsidR="000723FF" w:rsidRPr="000203E1" w:rsidRDefault="000723FF" w:rsidP="00824B92"/>
    <w:p w14:paraId="241A6E6B" w14:textId="77777777" w:rsidR="000723FF" w:rsidRPr="000203E1" w:rsidRDefault="000723FF" w:rsidP="00824B92">
      <w:pPr>
        <w:rPr>
          <w:b/>
        </w:rPr>
      </w:pPr>
      <w:r w:rsidRPr="000203E1">
        <w:rPr>
          <w:b/>
        </w:rPr>
        <w:t>Skyrimo sąlygos</w:t>
      </w:r>
    </w:p>
    <w:p w14:paraId="250ACC46" w14:textId="6579B649" w:rsidR="000723FF" w:rsidRPr="000203E1" w:rsidRDefault="00000000" w:rsidP="00824B92">
      <w:sdt>
        <w:sdtPr>
          <w:rPr>
            <w:rStyle w:val="Style2"/>
          </w:rPr>
          <w:id w:val="169305347"/>
          <w15:color w:val="FFCC00"/>
          <w14:checkbox>
            <w14:checked w14:val="0"/>
            <w14:checkedState w14:val="2612" w14:font="MS Gothic"/>
            <w14:uncheckedState w14:val="2610" w14:font="MS Gothic"/>
          </w14:checkbox>
        </w:sdtPr>
        <w:sdtContent>
          <w:r w:rsidR="00852F3E">
            <w:rPr>
              <w:rStyle w:val="Style2"/>
              <w:rFonts w:ascii="MS Gothic" w:eastAsia="MS Gothic" w:hAnsi="MS Gothic" w:hint="eastAsia"/>
            </w:rPr>
            <w:t>☐</w:t>
          </w:r>
        </w:sdtContent>
      </w:sdt>
      <w:r w:rsidR="000723FF" w:rsidRPr="000203E1">
        <w:t xml:space="preserve"> Pareiškėjo siūlomos skyrimo sąlygos priimtinos. </w:t>
      </w:r>
    </w:p>
    <w:p w14:paraId="0B37A580" w14:textId="7A51B7BD" w:rsidR="000723FF" w:rsidRDefault="00000000" w:rsidP="00824B92">
      <w:sdt>
        <w:sdtPr>
          <w:rPr>
            <w:rStyle w:val="Style2"/>
          </w:rPr>
          <w:id w:val="1823936883"/>
          <w15:color w:val="FFCC00"/>
          <w14:checkbox>
            <w14:checked w14:val="1"/>
            <w14:checkedState w14:val="2612" w14:font="MS Gothic"/>
            <w14:uncheckedState w14:val="2610" w14:font="MS Gothic"/>
          </w14:checkbox>
        </w:sdtPr>
        <w:sdtContent>
          <w:r w:rsidR="00852F3E">
            <w:rPr>
              <w:rStyle w:val="Style2"/>
              <w:rFonts w:ascii="MS Gothic" w:eastAsia="MS Gothic" w:hAnsi="MS Gothic" w:hint="eastAsia"/>
            </w:rPr>
            <w:t>☒</w:t>
          </w:r>
        </w:sdtContent>
      </w:sdt>
      <w:r w:rsidR="000723FF" w:rsidRPr="000203E1">
        <w:t xml:space="preserve"> Pareiškėjo siūlomo</w:t>
      </w:r>
      <w:r w:rsidR="00852F3E">
        <w:t>s skyrimo sąlygos nepriimtinos.</w:t>
      </w:r>
    </w:p>
    <w:p w14:paraId="2C02C09A" w14:textId="77777777" w:rsidR="00D8404C" w:rsidRDefault="00D8404C" w:rsidP="00824B92"/>
    <w:p w14:paraId="67406316" w14:textId="77777777" w:rsidR="00D8404C" w:rsidRPr="00BB5DEE" w:rsidRDefault="00D8404C" w:rsidP="00D8404C">
      <w:pPr>
        <w:jc w:val="both"/>
        <w:rPr>
          <w:i/>
          <w:lang w:eastAsia="lt-LT"/>
        </w:rPr>
      </w:pPr>
      <w:r w:rsidRPr="00BB5DEE">
        <w:rPr>
          <w:i/>
          <w:lang w:eastAsia="lt-LT"/>
        </w:rPr>
        <w:t>Siūlomos skyrimo sąlygos</w:t>
      </w:r>
    </w:p>
    <w:p w14:paraId="640DC818" w14:textId="58719449" w:rsidR="00852F3E" w:rsidRDefault="00852F3E" w:rsidP="00824B92">
      <w:r w:rsidRPr="00852F3E">
        <w:t>Skiriamas gydyti suaugusiesiems, sergantiems simptominiu lėtiniu širdies nepakankamumu su išlikusia išstūmimo frakcija (&gt; 40 proc.), esant II-IV NYHA funkcinei klasei.</w:t>
      </w:r>
    </w:p>
    <w:p w14:paraId="7B8B3441" w14:textId="77777777" w:rsidR="00852F3E" w:rsidRPr="000203E1" w:rsidRDefault="00852F3E" w:rsidP="00824B92"/>
    <w:p w14:paraId="33B8DE04" w14:textId="77777777" w:rsidR="00283E59" w:rsidRDefault="00283E59" w:rsidP="00283E59">
      <w:pPr>
        <w:widowControl w:val="0"/>
        <w:tabs>
          <w:tab w:val="left" w:pos="1418"/>
        </w:tabs>
        <w:suppressAutoHyphens/>
        <w:spacing w:line="360" w:lineRule="atLeast"/>
        <w:jc w:val="center"/>
        <w:textAlignment w:val="center"/>
      </w:pPr>
      <w:r>
        <w:rPr>
          <w:color w:val="000000"/>
          <w:lang w:eastAsia="lt-LT"/>
        </w:rPr>
        <w:t>____________________________</w:t>
      </w:r>
    </w:p>
    <w:p w14:paraId="562A1372" w14:textId="77777777" w:rsidR="00283E59" w:rsidRDefault="00283E59" w:rsidP="00283E59">
      <w:pPr>
        <w:jc w:val="both"/>
        <w:rPr>
          <w:b/>
          <w:sz w:val="20"/>
        </w:rPr>
      </w:pPr>
    </w:p>
    <w:p w14:paraId="7CDFF220" w14:textId="58191D98" w:rsidR="000723FF" w:rsidRPr="000203E1" w:rsidRDefault="000723FF" w:rsidP="00824B92">
      <w:pPr>
        <w:rPr>
          <w:b/>
        </w:rPr>
      </w:pPr>
    </w:p>
    <w:sectPr w:rsidR="000723FF" w:rsidRPr="000203E1" w:rsidSect="005D30E1">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17948" w14:textId="77777777" w:rsidR="00EE72A0" w:rsidRDefault="00EE72A0">
      <w:r>
        <w:separator/>
      </w:r>
    </w:p>
  </w:endnote>
  <w:endnote w:type="continuationSeparator" w:id="0">
    <w:p w14:paraId="5A242B9D" w14:textId="77777777" w:rsidR="00EE72A0" w:rsidRDefault="00EE7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C15E4" w14:textId="77777777" w:rsidR="00FC4B0D" w:rsidRDefault="00FC4B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7531B" w14:textId="77777777" w:rsidR="00FC4B0D" w:rsidRDefault="00FC4B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D3368" w14:textId="77777777" w:rsidR="00347FAA" w:rsidRDefault="00347FAA">
    <w:pPr>
      <w:pStyle w:val="Footer"/>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C07BB" w14:textId="77777777" w:rsidR="00EE72A0" w:rsidRDefault="00EE72A0">
      <w:r>
        <w:separator/>
      </w:r>
    </w:p>
  </w:footnote>
  <w:footnote w:type="continuationSeparator" w:id="0">
    <w:p w14:paraId="051AADA5" w14:textId="77777777" w:rsidR="00EE72A0" w:rsidRDefault="00EE72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86FB2" w14:textId="77777777" w:rsidR="00347FAA" w:rsidRDefault="00347F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E81DB01" w14:textId="77777777" w:rsidR="00347FAA" w:rsidRDefault="00347F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BD5F9" w14:textId="5BB34A4F" w:rsidR="00347FAA" w:rsidRDefault="00347F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C4B0D">
      <w:rPr>
        <w:rStyle w:val="PageNumber"/>
        <w:noProof/>
      </w:rPr>
      <w:t>4</w:t>
    </w:r>
    <w:r>
      <w:rPr>
        <w:rStyle w:val="PageNumber"/>
      </w:rPr>
      <w:fldChar w:fldCharType="end"/>
    </w:r>
  </w:p>
  <w:p w14:paraId="13EC872E" w14:textId="77777777" w:rsidR="00347FAA" w:rsidRDefault="00347F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E1C8F" w14:textId="77777777" w:rsidR="00347FAA" w:rsidRDefault="00347FAA" w:rsidP="00FD793C">
    <w:pPr>
      <w:pStyle w:val="Header"/>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4" w15:restartNumberingAfterBreak="0">
    <w:nsid w:val="308A4E1B"/>
    <w:multiLevelType w:val="hybridMultilevel"/>
    <w:tmpl w:val="65280FA4"/>
    <w:lvl w:ilvl="0" w:tplc="0D9A4286">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2F65703"/>
    <w:multiLevelType w:val="hybridMultilevel"/>
    <w:tmpl w:val="AFAA83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8"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BF6014"/>
    <w:multiLevelType w:val="hybridMultilevel"/>
    <w:tmpl w:val="3236B332"/>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2"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30930730">
    <w:abstractNumId w:val="8"/>
  </w:num>
  <w:num w:numId="2" w16cid:durableId="606695724">
    <w:abstractNumId w:val="1"/>
  </w:num>
  <w:num w:numId="3" w16cid:durableId="988289737">
    <w:abstractNumId w:val="11"/>
  </w:num>
  <w:num w:numId="4" w16cid:durableId="240019235">
    <w:abstractNumId w:val="10"/>
  </w:num>
  <w:num w:numId="5" w16cid:durableId="669723086">
    <w:abstractNumId w:val="7"/>
  </w:num>
  <w:num w:numId="6" w16cid:durableId="711925556">
    <w:abstractNumId w:val="6"/>
  </w:num>
  <w:num w:numId="7" w16cid:durableId="1276525890">
    <w:abstractNumId w:val="3"/>
  </w:num>
  <w:num w:numId="8" w16cid:durableId="1208569940">
    <w:abstractNumId w:val="14"/>
  </w:num>
  <w:num w:numId="9" w16cid:durableId="946304959">
    <w:abstractNumId w:val="0"/>
  </w:num>
  <w:num w:numId="10" w16cid:durableId="281807692">
    <w:abstractNumId w:val="12"/>
  </w:num>
  <w:num w:numId="11" w16cid:durableId="422190654">
    <w:abstractNumId w:val="13"/>
  </w:num>
  <w:num w:numId="12" w16cid:durableId="979766495">
    <w:abstractNumId w:val="2"/>
  </w:num>
  <w:num w:numId="13" w16cid:durableId="1504471397">
    <w:abstractNumId w:val="9"/>
  </w:num>
  <w:num w:numId="14" w16cid:durableId="693727537">
    <w:abstractNumId w:val="4"/>
  </w:num>
  <w:num w:numId="15" w16cid:durableId="20725313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01B0"/>
    <w:rsid w:val="00003F5B"/>
    <w:rsid w:val="000114DD"/>
    <w:rsid w:val="000136F7"/>
    <w:rsid w:val="000203E1"/>
    <w:rsid w:val="0002686C"/>
    <w:rsid w:val="00031D0E"/>
    <w:rsid w:val="000337E6"/>
    <w:rsid w:val="0003402E"/>
    <w:rsid w:val="00034EAE"/>
    <w:rsid w:val="00042924"/>
    <w:rsid w:val="00053975"/>
    <w:rsid w:val="00057A2B"/>
    <w:rsid w:val="000606BE"/>
    <w:rsid w:val="000723FF"/>
    <w:rsid w:val="000736B8"/>
    <w:rsid w:val="0008190F"/>
    <w:rsid w:val="00081D9C"/>
    <w:rsid w:val="00082907"/>
    <w:rsid w:val="0008378D"/>
    <w:rsid w:val="000908A5"/>
    <w:rsid w:val="00092805"/>
    <w:rsid w:val="000A42E9"/>
    <w:rsid w:val="000C454C"/>
    <w:rsid w:val="000D5038"/>
    <w:rsid w:val="000E29D4"/>
    <w:rsid w:val="000F3540"/>
    <w:rsid w:val="00100491"/>
    <w:rsid w:val="00104E2E"/>
    <w:rsid w:val="00107287"/>
    <w:rsid w:val="00117406"/>
    <w:rsid w:val="00121EF0"/>
    <w:rsid w:val="00124A9E"/>
    <w:rsid w:val="00130703"/>
    <w:rsid w:val="0013153F"/>
    <w:rsid w:val="001408B8"/>
    <w:rsid w:val="001517E2"/>
    <w:rsid w:val="001521D9"/>
    <w:rsid w:val="001554E2"/>
    <w:rsid w:val="00164146"/>
    <w:rsid w:val="00164D64"/>
    <w:rsid w:val="0017369C"/>
    <w:rsid w:val="00175D57"/>
    <w:rsid w:val="00180C39"/>
    <w:rsid w:val="00180D96"/>
    <w:rsid w:val="00184BD3"/>
    <w:rsid w:val="001921F3"/>
    <w:rsid w:val="001B3C5B"/>
    <w:rsid w:val="001D5B91"/>
    <w:rsid w:val="001D746F"/>
    <w:rsid w:val="001E4BBB"/>
    <w:rsid w:val="001E6304"/>
    <w:rsid w:val="0020381E"/>
    <w:rsid w:val="00213471"/>
    <w:rsid w:val="00215906"/>
    <w:rsid w:val="00241CD8"/>
    <w:rsid w:val="00244B09"/>
    <w:rsid w:val="002519CB"/>
    <w:rsid w:val="0025697F"/>
    <w:rsid w:val="00260258"/>
    <w:rsid w:val="0026588E"/>
    <w:rsid w:val="00272428"/>
    <w:rsid w:val="00272948"/>
    <w:rsid w:val="00283124"/>
    <w:rsid w:val="00283E59"/>
    <w:rsid w:val="00292392"/>
    <w:rsid w:val="002946C7"/>
    <w:rsid w:val="002B3CC1"/>
    <w:rsid w:val="002C09E0"/>
    <w:rsid w:val="002C1BB1"/>
    <w:rsid w:val="002C2786"/>
    <w:rsid w:val="002C3A10"/>
    <w:rsid w:val="002C4A90"/>
    <w:rsid w:val="002C4ED5"/>
    <w:rsid w:val="002D02EF"/>
    <w:rsid w:val="002E0702"/>
    <w:rsid w:val="002E57AD"/>
    <w:rsid w:val="002E6F80"/>
    <w:rsid w:val="002F0E4F"/>
    <w:rsid w:val="002F1053"/>
    <w:rsid w:val="00306B7D"/>
    <w:rsid w:val="00314816"/>
    <w:rsid w:val="00317B0E"/>
    <w:rsid w:val="00347FAA"/>
    <w:rsid w:val="0035172D"/>
    <w:rsid w:val="0036187D"/>
    <w:rsid w:val="00367EDB"/>
    <w:rsid w:val="00381024"/>
    <w:rsid w:val="003818AE"/>
    <w:rsid w:val="00386307"/>
    <w:rsid w:val="003874DE"/>
    <w:rsid w:val="00393E9F"/>
    <w:rsid w:val="0039696E"/>
    <w:rsid w:val="003A040D"/>
    <w:rsid w:val="003B211A"/>
    <w:rsid w:val="003C141F"/>
    <w:rsid w:val="003C6B0E"/>
    <w:rsid w:val="003C7257"/>
    <w:rsid w:val="003C7E35"/>
    <w:rsid w:val="003D1E99"/>
    <w:rsid w:val="003D6208"/>
    <w:rsid w:val="00404E8A"/>
    <w:rsid w:val="0040622F"/>
    <w:rsid w:val="00413F24"/>
    <w:rsid w:val="00422853"/>
    <w:rsid w:val="00423160"/>
    <w:rsid w:val="00453862"/>
    <w:rsid w:val="0045469B"/>
    <w:rsid w:val="00461338"/>
    <w:rsid w:val="004677DB"/>
    <w:rsid w:val="00476256"/>
    <w:rsid w:val="0048630F"/>
    <w:rsid w:val="004947A1"/>
    <w:rsid w:val="0049482A"/>
    <w:rsid w:val="004979D3"/>
    <w:rsid w:val="004A00E7"/>
    <w:rsid w:val="004A3A61"/>
    <w:rsid w:val="004B59BA"/>
    <w:rsid w:val="004B5A03"/>
    <w:rsid w:val="004C263A"/>
    <w:rsid w:val="004D48A6"/>
    <w:rsid w:val="004D7B8F"/>
    <w:rsid w:val="004E241F"/>
    <w:rsid w:val="004E6458"/>
    <w:rsid w:val="004E6E7D"/>
    <w:rsid w:val="004F1AAC"/>
    <w:rsid w:val="004F1AE2"/>
    <w:rsid w:val="004F34F0"/>
    <w:rsid w:val="004F3B2B"/>
    <w:rsid w:val="004F6050"/>
    <w:rsid w:val="005005EF"/>
    <w:rsid w:val="005123C2"/>
    <w:rsid w:val="0052144B"/>
    <w:rsid w:val="00524066"/>
    <w:rsid w:val="00534E11"/>
    <w:rsid w:val="005378D8"/>
    <w:rsid w:val="005400D9"/>
    <w:rsid w:val="005476A4"/>
    <w:rsid w:val="0055019B"/>
    <w:rsid w:val="00556E63"/>
    <w:rsid w:val="005601A4"/>
    <w:rsid w:val="00566DBB"/>
    <w:rsid w:val="005767DB"/>
    <w:rsid w:val="005815E6"/>
    <w:rsid w:val="0058712F"/>
    <w:rsid w:val="005976CE"/>
    <w:rsid w:val="005A23D4"/>
    <w:rsid w:val="005A2D1E"/>
    <w:rsid w:val="005A4698"/>
    <w:rsid w:val="005B3756"/>
    <w:rsid w:val="005C493F"/>
    <w:rsid w:val="005C6BF7"/>
    <w:rsid w:val="005C71BF"/>
    <w:rsid w:val="005D002C"/>
    <w:rsid w:val="005D30E1"/>
    <w:rsid w:val="005D6555"/>
    <w:rsid w:val="005D7BDF"/>
    <w:rsid w:val="005E4870"/>
    <w:rsid w:val="005F71D9"/>
    <w:rsid w:val="005F7602"/>
    <w:rsid w:val="006062BE"/>
    <w:rsid w:val="00613143"/>
    <w:rsid w:val="00613501"/>
    <w:rsid w:val="0061611B"/>
    <w:rsid w:val="006166A8"/>
    <w:rsid w:val="006174A1"/>
    <w:rsid w:val="00621D6C"/>
    <w:rsid w:val="00633B49"/>
    <w:rsid w:val="0064297F"/>
    <w:rsid w:val="00645102"/>
    <w:rsid w:val="00646CF3"/>
    <w:rsid w:val="00653D11"/>
    <w:rsid w:val="00662983"/>
    <w:rsid w:val="00676176"/>
    <w:rsid w:val="006834D3"/>
    <w:rsid w:val="00692625"/>
    <w:rsid w:val="00695CD3"/>
    <w:rsid w:val="006A38B6"/>
    <w:rsid w:val="006B1987"/>
    <w:rsid w:val="006B5B71"/>
    <w:rsid w:val="006B5D3E"/>
    <w:rsid w:val="006B6CB0"/>
    <w:rsid w:val="006C2B64"/>
    <w:rsid w:val="006D1BF3"/>
    <w:rsid w:val="006D47D1"/>
    <w:rsid w:val="006D4C85"/>
    <w:rsid w:val="006D66AC"/>
    <w:rsid w:val="006E33F6"/>
    <w:rsid w:val="006F1251"/>
    <w:rsid w:val="006F1C23"/>
    <w:rsid w:val="00702C18"/>
    <w:rsid w:val="00703166"/>
    <w:rsid w:val="007127F3"/>
    <w:rsid w:val="0072501F"/>
    <w:rsid w:val="007301CF"/>
    <w:rsid w:val="007316FB"/>
    <w:rsid w:val="00737E2D"/>
    <w:rsid w:val="007424D5"/>
    <w:rsid w:val="00750A88"/>
    <w:rsid w:val="007523DD"/>
    <w:rsid w:val="00757B7E"/>
    <w:rsid w:val="007656B2"/>
    <w:rsid w:val="0077016F"/>
    <w:rsid w:val="007705D4"/>
    <w:rsid w:val="007713AD"/>
    <w:rsid w:val="00795DC5"/>
    <w:rsid w:val="00797153"/>
    <w:rsid w:val="007A21F7"/>
    <w:rsid w:val="007A2B68"/>
    <w:rsid w:val="007B0DDA"/>
    <w:rsid w:val="007D3347"/>
    <w:rsid w:val="007E5466"/>
    <w:rsid w:val="007F1949"/>
    <w:rsid w:val="007F2592"/>
    <w:rsid w:val="00800A08"/>
    <w:rsid w:val="00817A84"/>
    <w:rsid w:val="008225A4"/>
    <w:rsid w:val="00824B92"/>
    <w:rsid w:val="00826D5E"/>
    <w:rsid w:val="00832013"/>
    <w:rsid w:val="00832DB7"/>
    <w:rsid w:val="00834732"/>
    <w:rsid w:val="0085200C"/>
    <w:rsid w:val="00852F3E"/>
    <w:rsid w:val="00857C52"/>
    <w:rsid w:val="00860D5F"/>
    <w:rsid w:val="00880A44"/>
    <w:rsid w:val="0088345E"/>
    <w:rsid w:val="0088656F"/>
    <w:rsid w:val="00891EF6"/>
    <w:rsid w:val="008A0303"/>
    <w:rsid w:val="008A5FDD"/>
    <w:rsid w:val="008C3947"/>
    <w:rsid w:val="008E473B"/>
    <w:rsid w:val="008E51A6"/>
    <w:rsid w:val="008E7329"/>
    <w:rsid w:val="008F2ED5"/>
    <w:rsid w:val="0092297E"/>
    <w:rsid w:val="00923651"/>
    <w:rsid w:val="00927B56"/>
    <w:rsid w:val="009341BF"/>
    <w:rsid w:val="00937907"/>
    <w:rsid w:val="00941739"/>
    <w:rsid w:val="00951573"/>
    <w:rsid w:val="00963003"/>
    <w:rsid w:val="00966EEF"/>
    <w:rsid w:val="00971B28"/>
    <w:rsid w:val="00983471"/>
    <w:rsid w:val="009909AB"/>
    <w:rsid w:val="009B37DB"/>
    <w:rsid w:val="009C7A8C"/>
    <w:rsid w:val="009D23F9"/>
    <w:rsid w:val="009D4FA8"/>
    <w:rsid w:val="009E44AE"/>
    <w:rsid w:val="009E6CD6"/>
    <w:rsid w:val="009F4D66"/>
    <w:rsid w:val="00A00C3C"/>
    <w:rsid w:val="00A01091"/>
    <w:rsid w:val="00A042B9"/>
    <w:rsid w:val="00A06DBB"/>
    <w:rsid w:val="00A22ADF"/>
    <w:rsid w:val="00A31E86"/>
    <w:rsid w:val="00A54D87"/>
    <w:rsid w:val="00A5553C"/>
    <w:rsid w:val="00A701C9"/>
    <w:rsid w:val="00A81785"/>
    <w:rsid w:val="00A84803"/>
    <w:rsid w:val="00A84C51"/>
    <w:rsid w:val="00A86F2B"/>
    <w:rsid w:val="00A91366"/>
    <w:rsid w:val="00A92F91"/>
    <w:rsid w:val="00A93AA6"/>
    <w:rsid w:val="00AA4E48"/>
    <w:rsid w:val="00AA5DA8"/>
    <w:rsid w:val="00AA6202"/>
    <w:rsid w:val="00AA7B57"/>
    <w:rsid w:val="00AB2806"/>
    <w:rsid w:val="00AC26FC"/>
    <w:rsid w:val="00AC3435"/>
    <w:rsid w:val="00AC4A99"/>
    <w:rsid w:val="00AC64D2"/>
    <w:rsid w:val="00AD02E7"/>
    <w:rsid w:val="00AE0FE8"/>
    <w:rsid w:val="00AF60D5"/>
    <w:rsid w:val="00B00959"/>
    <w:rsid w:val="00B04415"/>
    <w:rsid w:val="00B06509"/>
    <w:rsid w:val="00B11D60"/>
    <w:rsid w:val="00B13D65"/>
    <w:rsid w:val="00B21805"/>
    <w:rsid w:val="00B3072E"/>
    <w:rsid w:val="00B36E15"/>
    <w:rsid w:val="00B37245"/>
    <w:rsid w:val="00B4017A"/>
    <w:rsid w:val="00B4468D"/>
    <w:rsid w:val="00B71C72"/>
    <w:rsid w:val="00B81E92"/>
    <w:rsid w:val="00B908D7"/>
    <w:rsid w:val="00B935E8"/>
    <w:rsid w:val="00B93B30"/>
    <w:rsid w:val="00B94CB5"/>
    <w:rsid w:val="00BA0DD9"/>
    <w:rsid w:val="00BA5DBC"/>
    <w:rsid w:val="00BA6584"/>
    <w:rsid w:val="00BB6312"/>
    <w:rsid w:val="00BC4D06"/>
    <w:rsid w:val="00BD585E"/>
    <w:rsid w:val="00BD6919"/>
    <w:rsid w:val="00BE1EA7"/>
    <w:rsid w:val="00BE7489"/>
    <w:rsid w:val="00BF2E0D"/>
    <w:rsid w:val="00BF3927"/>
    <w:rsid w:val="00BF3F8B"/>
    <w:rsid w:val="00BF76DA"/>
    <w:rsid w:val="00C07C7B"/>
    <w:rsid w:val="00C16245"/>
    <w:rsid w:val="00C22DC5"/>
    <w:rsid w:val="00C24479"/>
    <w:rsid w:val="00C273F2"/>
    <w:rsid w:val="00C37B53"/>
    <w:rsid w:val="00C434EB"/>
    <w:rsid w:val="00C517D2"/>
    <w:rsid w:val="00C5772E"/>
    <w:rsid w:val="00C62B36"/>
    <w:rsid w:val="00C7012C"/>
    <w:rsid w:val="00C712EA"/>
    <w:rsid w:val="00CA217D"/>
    <w:rsid w:val="00CC09D4"/>
    <w:rsid w:val="00CC668D"/>
    <w:rsid w:val="00CC7832"/>
    <w:rsid w:val="00CD488E"/>
    <w:rsid w:val="00CF0C1C"/>
    <w:rsid w:val="00CF27FD"/>
    <w:rsid w:val="00CF5F12"/>
    <w:rsid w:val="00D00D8F"/>
    <w:rsid w:val="00D21F3A"/>
    <w:rsid w:val="00D23808"/>
    <w:rsid w:val="00D3016A"/>
    <w:rsid w:val="00D417D2"/>
    <w:rsid w:val="00D42960"/>
    <w:rsid w:val="00D43BD7"/>
    <w:rsid w:val="00D4485B"/>
    <w:rsid w:val="00D46CCD"/>
    <w:rsid w:val="00D4708D"/>
    <w:rsid w:val="00D4744C"/>
    <w:rsid w:val="00D521DE"/>
    <w:rsid w:val="00D5470B"/>
    <w:rsid w:val="00D63068"/>
    <w:rsid w:val="00D6498C"/>
    <w:rsid w:val="00D76A70"/>
    <w:rsid w:val="00D83182"/>
    <w:rsid w:val="00D8404C"/>
    <w:rsid w:val="00D8521E"/>
    <w:rsid w:val="00D9291C"/>
    <w:rsid w:val="00D93A97"/>
    <w:rsid w:val="00DB1F64"/>
    <w:rsid w:val="00DC2F53"/>
    <w:rsid w:val="00DC4B37"/>
    <w:rsid w:val="00DC5BAC"/>
    <w:rsid w:val="00DC6816"/>
    <w:rsid w:val="00DC76C2"/>
    <w:rsid w:val="00DD1CF2"/>
    <w:rsid w:val="00DE4484"/>
    <w:rsid w:val="00DF41B7"/>
    <w:rsid w:val="00DF4A4A"/>
    <w:rsid w:val="00DF583C"/>
    <w:rsid w:val="00E03C3F"/>
    <w:rsid w:val="00E06FD7"/>
    <w:rsid w:val="00E07417"/>
    <w:rsid w:val="00E24D45"/>
    <w:rsid w:val="00E33DB8"/>
    <w:rsid w:val="00E33EFF"/>
    <w:rsid w:val="00E34387"/>
    <w:rsid w:val="00E348BA"/>
    <w:rsid w:val="00E369FE"/>
    <w:rsid w:val="00E37C6F"/>
    <w:rsid w:val="00E43713"/>
    <w:rsid w:val="00E475F8"/>
    <w:rsid w:val="00E5102E"/>
    <w:rsid w:val="00E5721C"/>
    <w:rsid w:val="00E619C6"/>
    <w:rsid w:val="00E745A1"/>
    <w:rsid w:val="00E81529"/>
    <w:rsid w:val="00E83A13"/>
    <w:rsid w:val="00EB6FC5"/>
    <w:rsid w:val="00EC2356"/>
    <w:rsid w:val="00EC2582"/>
    <w:rsid w:val="00EC337C"/>
    <w:rsid w:val="00ED0CFF"/>
    <w:rsid w:val="00ED31D2"/>
    <w:rsid w:val="00EE0EAC"/>
    <w:rsid w:val="00EE1FA9"/>
    <w:rsid w:val="00EE3322"/>
    <w:rsid w:val="00EE33CB"/>
    <w:rsid w:val="00EE72A0"/>
    <w:rsid w:val="00F0061A"/>
    <w:rsid w:val="00F02834"/>
    <w:rsid w:val="00F04EEB"/>
    <w:rsid w:val="00F05467"/>
    <w:rsid w:val="00F055D2"/>
    <w:rsid w:val="00F07CD7"/>
    <w:rsid w:val="00F127E9"/>
    <w:rsid w:val="00F14B5D"/>
    <w:rsid w:val="00F259FC"/>
    <w:rsid w:val="00F36972"/>
    <w:rsid w:val="00F42426"/>
    <w:rsid w:val="00F456BC"/>
    <w:rsid w:val="00F50666"/>
    <w:rsid w:val="00F70731"/>
    <w:rsid w:val="00F70C9E"/>
    <w:rsid w:val="00F74A74"/>
    <w:rsid w:val="00F7572C"/>
    <w:rsid w:val="00F8382C"/>
    <w:rsid w:val="00F855D7"/>
    <w:rsid w:val="00F87DA0"/>
    <w:rsid w:val="00F92035"/>
    <w:rsid w:val="00F92748"/>
    <w:rsid w:val="00FA4169"/>
    <w:rsid w:val="00FB0D41"/>
    <w:rsid w:val="00FB2030"/>
    <w:rsid w:val="00FC4B0D"/>
    <w:rsid w:val="00FD0E46"/>
    <w:rsid w:val="00FD1CF2"/>
    <w:rsid w:val="00FD3EDF"/>
    <w:rsid w:val="00FD793C"/>
    <w:rsid w:val="00FE0FD5"/>
    <w:rsid w:val="00FE20E6"/>
    <w:rsid w:val="00FE3E3B"/>
    <w:rsid w:val="00FF4032"/>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1529"/>
    <w:rPr>
      <w:sz w:val="24"/>
      <w:szCs w:val="24"/>
      <w:lang w:eastAsia="en-US"/>
    </w:rPr>
  </w:style>
  <w:style w:type="paragraph" w:styleId="Heading1">
    <w:name w:val="heading 1"/>
    <w:basedOn w:val="Normal"/>
    <w:next w:val="Normal"/>
    <w:qFormat/>
    <w:rsid w:val="00A84C51"/>
    <w:pPr>
      <w:keepNext/>
      <w:jc w:val="center"/>
      <w:outlineLvl w:val="0"/>
    </w:pPr>
    <w:rPr>
      <w:b/>
      <w:bCs/>
      <w:caps/>
    </w:rPr>
  </w:style>
  <w:style w:type="paragraph" w:styleId="Heading2">
    <w:name w:val="heading 2"/>
    <w:basedOn w:val="Normal"/>
    <w:next w:val="Normal"/>
    <w:qFormat/>
    <w:rsid w:val="00A84C51"/>
    <w:pPr>
      <w:keepNext/>
      <w:jc w:val="center"/>
      <w:outlineLvl w:val="1"/>
    </w:pPr>
    <w:rPr>
      <w:b/>
      <w:bCs/>
      <w: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4C51"/>
    <w:pPr>
      <w:tabs>
        <w:tab w:val="center" w:pos="4986"/>
        <w:tab w:val="right" w:pos="9972"/>
      </w:tabs>
    </w:pPr>
  </w:style>
  <w:style w:type="paragraph" w:styleId="Footer">
    <w:name w:val="footer"/>
    <w:basedOn w:val="Normal"/>
    <w:link w:val="FooterChar"/>
    <w:rsid w:val="00A84C51"/>
    <w:pPr>
      <w:tabs>
        <w:tab w:val="center" w:pos="4986"/>
        <w:tab w:val="right" w:pos="9972"/>
      </w:tabs>
    </w:pPr>
  </w:style>
  <w:style w:type="character" w:styleId="PageNumber">
    <w:name w:val="page number"/>
    <w:basedOn w:val="DefaultParagraphFont"/>
    <w:rsid w:val="00A84C51"/>
  </w:style>
  <w:style w:type="character" w:styleId="Hyperlink">
    <w:name w:val="Hyperlink"/>
    <w:basedOn w:val="DefaultParagraphFont"/>
    <w:rsid w:val="00A84C51"/>
    <w:rPr>
      <w:color w:val="0000FF"/>
      <w:u w:val="single"/>
    </w:rPr>
  </w:style>
  <w:style w:type="paragraph" w:styleId="BalloonText">
    <w:name w:val="Balloon Text"/>
    <w:basedOn w:val="Normal"/>
    <w:semiHidden/>
    <w:rsid w:val="00EC2356"/>
    <w:rPr>
      <w:rFonts w:ascii="Tahoma" w:hAnsi="Tahoma" w:cs="Tahoma"/>
      <w:sz w:val="16"/>
      <w:szCs w:val="16"/>
    </w:rPr>
  </w:style>
  <w:style w:type="character" w:customStyle="1" w:styleId="FooterChar">
    <w:name w:val="Footer Char"/>
    <w:basedOn w:val="DefaultParagraphFont"/>
    <w:link w:val="Footer"/>
    <w:rsid w:val="00737E2D"/>
    <w:rPr>
      <w:sz w:val="24"/>
      <w:szCs w:val="24"/>
      <w:lang w:eastAsia="en-US"/>
    </w:rPr>
  </w:style>
  <w:style w:type="character" w:customStyle="1" w:styleId="Neapdorotaspaminjimas1">
    <w:name w:val="Neapdorotas paminėjimas1"/>
    <w:basedOn w:val="DefaultParagraphFont"/>
    <w:uiPriority w:val="99"/>
    <w:semiHidden/>
    <w:unhideWhenUsed/>
    <w:rsid w:val="00A31E86"/>
    <w:rPr>
      <w:color w:val="605E5C"/>
      <w:shd w:val="clear" w:color="auto" w:fill="E1DFDD"/>
    </w:rPr>
  </w:style>
  <w:style w:type="character" w:styleId="FollowedHyperlink">
    <w:name w:val="FollowedHyperlink"/>
    <w:basedOn w:val="DefaultParagraphFont"/>
    <w:semiHidden/>
    <w:unhideWhenUsed/>
    <w:rsid w:val="00A31E86"/>
    <w:rPr>
      <w:color w:val="800080" w:themeColor="followedHyperlink"/>
      <w:u w:val="single"/>
    </w:rPr>
  </w:style>
  <w:style w:type="table" w:styleId="TableGrid">
    <w:name w:val="Table Grid"/>
    <w:basedOn w:val="TableNorma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C7012C"/>
    <w:rPr>
      <w:sz w:val="16"/>
      <w:szCs w:val="16"/>
    </w:rPr>
  </w:style>
  <w:style w:type="paragraph" w:styleId="CommentText">
    <w:name w:val="annotation text"/>
    <w:basedOn w:val="Normal"/>
    <w:link w:val="CommentTextChar"/>
    <w:unhideWhenUsed/>
    <w:rsid w:val="00C7012C"/>
    <w:rPr>
      <w:sz w:val="20"/>
      <w:szCs w:val="20"/>
    </w:rPr>
  </w:style>
  <w:style w:type="character" w:customStyle="1" w:styleId="CommentTextChar">
    <w:name w:val="Comment Text Char"/>
    <w:basedOn w:val="DefaultParagraphFont"/>
    <w:link w:val="CommentText"/>
    <w:rsid w:val="00C7012C"/>
    <w:rPr>
      <w:lang w:eastAsia="en-US"/>
    </w:rPr>
  </w:style>
  <w:style w:type="paragraph" w:styleId="CommentSubject">
    <w:name w:val="annotation subject"/>
    <w:basedOn w:val="CommentText"/>
    <w:next w:val="CommentText"/>
    <w:link w:val="CommentSubjectChar"/>
    <w:semiHidden/>
    <w:unhideWhenUsed/>
    <w:rsid w:val="00C7012C"/>
    <w:rPr>
      <w:b/>
      <w:bCs/>
    </w:rPr>
  </w:style>
  <w:style w:type="character" w:customStyle="1" w:styleId="CommentSubjectChar">
    <w:name w:val="Comment Subject Char"/>
    <w:basedOn w:val="CommentTextChar"/>
    <w:link w:val="CommentSubject"/>
    <w:semiHidden/>
    <w:rsid w:val="00C7012C"/>
    <w:rPr>
      <w:b/>
      <w:bCs/>
      <w:lang w:eastAsia="en-US"/>
    </w:rPr>
  </w:style>
  <w:style w:type="paragraph" w:styleId="ListParagraph">
    <w:name w:val="List Paragraph"/>
    <w:aliases w:val="Bullet1,Bullet 1,Bullet List,1. Bullet Blank,Bulleted - 2,Dairy Paragraphe,Bullets Points,Table Header Row,Bullet Paragraph,Bullet Point,Table Legend,List Paragraph CCT minutes,Section 5,FooterText,List Paragraph1,numbered,列出段落"/>
    <w:basedOn w:val="Normal"/>
    <w:link w:val="ListParagraphChar"/>
    <w:uiPriority w:val="34"/>
    <w:qFormat/>
    <w:rsid w:val="00104E2E"/>
    <w:pPr>
      <w:ind w:left="720"/>
      <w:contextualSpacing/>
    </w:pPr>
  </w:style>
  <w:style w:type="character" w:customStyle="1" w:styleId="Style2">
    <w:name w:val="Style2"/>
    <w:basedOn w:val="DefaultParagraphFont"/>
    <w:uiPriority w:val="1"/>
    <w:rsid w:val="00D6498C"/>
    <w:rPr>
      <w:sz w:val="32"/>
    </w:rPr>
  </w:style>
  <w:style w:type="character" w:styleId="PlaceholderText">
    <w:name w:val="Placeholder Text"/>
    <w:basedOn w:val="DefaultParagraphFont"/>
    <w:uiPriority w:val="99"/>
    <w:rsid w:val="00B13D65"/>
    <w:rPr>
      <w:color w:val="808080"/>
    </w:rPr>
  </w:style>
  <w:style w:type="paragraph" w:styleId="NoSpacing">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TableNormal"/>
    <w:next w:val="TableGrid"/>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76256"/>
    <w:rPr>
      <w:sz w:val="24"/>
      <w:szCs w:val="24"/>
      <w:lang w:eastAsia="en-US"/>
    </w:rPr>
  </w:style>
  <w:style w:type="character" w:customStyle="1" w:styleId="ListParagraphChar">
    <w:name w:val="List Paragraph Char"/>
    <w:aliases w:val="Bullet1 Char,Bullet 1 Char,Bullet List Char,1. Bullet Blank Char,Bulleted - 2 Char,Dairy Paragraphe Char,Bullets Points Char,Table Header Row Char,Bullet Paragraph Char,Bullet Point Char,Table Legend Char,Section 5 Char,numbered Char"/>
    <w:link w:val="ListParagraph"/>
    <w:uiPriority w:val="34"/>
    <w:locked/>
    <w:rsid w:val="00E4371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441295EA004115980DCE9FCB6040EB"/>
        <w:category>
          <w:name w:val="General"/>
          <w:gallery w:val="placeholder"/>
        </w:category>
        <w:types>
          <w:type w:val="bbPlcHdr"/>
        </w:types>
        <w:behaviors>
          <w:behavior w:val="content"/>
        </w:behaviors>
        <w:guid w:val="{E59D0DC7-72BF-4825-9684-A67C982B4815}"/>
      </w:docPartPr>
      <w:docPartBody>
        <w:p w:rsidR="003A7F46" w:rsidRDefault="00235A1E" w:rsidP="00235A1E">
          <w:pPr>
            <w:pStyle w:val="25441295EA004115980DCE9FCB6040EB"/>
          </w:pPr>
          <w:r>
            <w:rPr>
              <w:rStyle w:val="PlaceholderText"/>
            </w:rPr>
            <w:t>Click here to enter a date.</w:t>
          </w:r>
        </w:p>
      </w:docPartBody>
    </w:docPart>
    <w:docPart>
      <w:docPartPr>
        <w:name w:val="5D743A7437044FF981E9F9551CA6E76E"/>
        <w:category>
          <w:name w:val="General"/>
          <w:gallery w:val="placeholder"/>
        </w:category>
        <w:types>
          <w:type w:val="bbPlcHdr"/>
        </w:types>
        <w:behaviors>
          <w:behavior w:val="content"/>
        </w:behaviors>
        <w:guid w:val="{1D94C547-0825-40BE-BB61-A8AA4876E35C}"/>
      </w:docPartPr>
      <w:docPartBody>
        <w:p w:rsidR="003A7F46" w:rsidRDefault="00235A1E" w:rsidP="00235A1E">
          <w:pPr>
            <w:pStyle w:val="5D743A7437044FF981E9F9551CA6E76E"/>
          </w:pPr>
          <w:r>
            <w:rPr>
              <w:rStyle w:val="PlaceholderText"/>
            </w:rPr>
            <w:t>Click here to enter a date.</w:t>
          </w:r>
        </w:p>
      </w:docPartBody>
    </w:docPart>
    <w:docPart>
      <w:docPartPr>
        <w:name w:val="BAE6310A10D744A18B647BDEEC5B2665"/>
        <w:category>
          <w:name w:val="General"/>
          <w:gallery w:val="placeholder"/>
        </w:category>
        <w:types>
          <w:type w:val="bbPlcHdr"/>
        </w:types>
        <w:behaviors>
          <w:behavior w:val="content"/>
        </w:behaviors>
        <w:guid w:val="{A48FC557-FFC5-4EC0-9C8A-EF344B2FD511}"/>
      </w:docPartPr>
      <w:docPartBody>
        <w:p w:rsidR="003A7F46" w:rsidRDefault="00235A1E" w:rsidP="00235A1E">
          <w:pPr>
            <w:pStyle w:val="BAE6310A10D744A18B647BDEEC5B2665"/>
          </w:pPr>
          <w:r>
            <w:rPr>
              <w:rStyle w:val="PlaceholderText"/>
            </w:rPr>
            <w:t>Click here to enter a date.</w:t>
          </w:r>
        </w:p>
      </w:docPartBody>
    </w:docPart>
    <w:docPart>
      <w:docPartPr>
        <w:name w:val="33D05351D71A4A3599F3EA1D1B147479"/>
        <w:category>
          <w:name w:val="General"/>
          <w:gallery w:val="placeholder"/>
        </w:category>
        <w:types>
          <w:type w:val="bbPlcHdr"/>
        </w:types>
        <w:behaviors>
          <w:behavior w:val="content"/>
        </w:behaviors>
        <w:guid w:val="{AF412E74-C363-4C94-A85A-3934E535AAB5}"/>
      </w:docPartPr>
      <w:docPartBody>
        <w:p w:rsidR="003A7F46" w:rsidRDefault="00235A1E" w:rsidP="00235A1E">
          <w:pPr>
            <w:pStyle w:val="33D05351D71A4A3599F3EA1D1B147479"/>
          </w:pPr>
          <w:r>
            <w:rPr>
              <w:rStyle w:val="PlaceholderText"/>
            </w:rPr>
            <w:t>Click here to enter a date.</w:t>
          </w:r>
        </w:p>
      </w:docPartBody>
    </w:docPart>
    <w:docPart>
      <w:docPartPr>
        <w:name w:val="9A56B15F4D1A48CF815A483A3B64CC00"/>
        <w:category>
          <w:name w:val="General"/>
          <w:gallery w:val="placeholder"/>
        </w:category>
        <w:types>
          <w:type w:val="bbPlcHdr"/>
        </w:types>
        <w:behaviors>
          <w:behavior w:val="content"/>
        </w:behaviors>
        <w:guid w:val="{B47B2860-5943-4F9A-AA14-832DEF819F72}"/>
      </w:docPartPr>
      <w:docPartBody>
        <w:p w:rsidR="003A7F46" w:rsidRDefault="00235A1E" w:rsidP="00235A1E">
          <w:pPr>
            <w:pStyle w:val="9A56B15F4D1A48CF815A483A3B64CC00"/>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1247F"/>
    <w:rsid w:val="00061157"/>
    <w:rsid w:val="000937FE"/>
    <w:rsid w:val="000A559A"/>
    <w:rsid w:val="000D24D4"/>
    <w:rsid w:val="001C35A9"/>
    <w:rsid w:val="00235A1E"/>
    <w:rsid w:val="00235BE8"/>
    <w:rsid w:val="00237556"/>
    <w:rsid w:val="0039303B"/>
    <w:rsid w:val="003A7F46"/>
    <w:rsid w:val="003C7F9E"/>
    <w:rsid w:val="004144A3"/>
    <w:rsid w:val="004160E7"/>
    <w:rsid w:val="004416C6"/>
    <w:rsid w:val="00456E96"/>
    <w:rsid w:val="004F5AB2"/>
    <w:rsid w:val="005074B9"/>
    <w:rsid w:val="005C62E5"/>
    <w:rsid w:val="005E40DD"/>
    <w:rsid w:val="006E3F5A"/>
    <w:rsid w:val="007219C1"/>
    <w:rsid w:val="00753462"/>
    <w:rsid w:val="00772325"/>
    <w:rsid w:val="007A2FE0"/>
    <w:rsid w:val="007C6D1D"/>
    <w:rsid w:val="007F7BDD"/>
    <w:rsid w:val="0090074D"/>
    <w:rsid w:val="009B3BF0"/>
    <w:rsid w:val="009D5E5E"/>
    <w:rsid w:val="009F1BB4"/>
    <w:rsid w:val="00A97163"/>
    <w:rsid w:val="00AB6ED4"/>
    <w:rsid w:val="00B14210"/>
    <w:rsid w:val="00B22ED6"/>
    <w:rsid w:val="00B23DC0"/>
    <w:rsid w:val="00B96656"/>
    <w:rsid w:val="00C2401D"/>
    <w:rsid w:val="00C250D7"/>
    <w:rsid w:val="00C53A68"/>
    <w:rsid w:val="00CA5BB4"/>
    <w:rsid w:val="00CB4BD1"/>
    <w:rsid w:val="00CD139C"/>
    <w:rsid w:val="00CE2DA9"/>
    <w:rsid w:val="00CE44BE"/>
    <w:rsid w:val="00D0142D"/>
    <w:rsid w:val="00D4356B"/>
    <w:rsid w:val="00D7162F"/>
    <w:rsid w:val="00DB4DB5"/>
    <w:rsid w:val="00DE4D10"/>
    <w:rsid w:val="00E44A86"/>
    <w:rsid w:val="00E522EB"/>
    <w:rsid w:val="00E60827"/>
    <w:rsid w:val="00EF6E0C"/>
    <w:rsid w:val="00F55028"/>
    <w:rsid w:val="00F77BEF"/>
    <w:rsid w:val="00FC755C"/>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35A1E"/>
    <w:rPr>
      <w:color w:val="808080"/>
    </w:rPr>
  </w:style>
  <w:style w:type="paragraph" w:customStyle="1" w:styleId="25441295EA004115980DCE9FCB6040EB">
    <w:name w:val="25441295EA004115980DCE9FCB6040EB"/>
    <w:rsid w:val="00235A1E"/>
    <w:rPr>
      <w:kern w:val="2"/>
      <w:lang w:val="en-GB" w:eastAsia="en-GB"/>
      <w14:ligatures w14:val="standardContextual"/>
    </w:rPr>
  </w:style>
  <w:style w:type="paragraph" w:customStyle="1" w:styleId="5D743A7437044FF981E9F9551CA6E76E">
    <w:name w:val="5D743A7437044FF981E9F9551CA6E76E"/>
    <w:rsid w:val="00235A1E"/>
    <w:rPr>
      <w:kern w:val="2"/>
      <w:lang w:val="en-GB" w:eastAsia="en-GB"/>
      <w14:ligatures w14:val="standardContextual"/>
    </w:rPr>
  </w:style>
  <w:style w:type="paragraph" w:customStyle="1" w:styleId="BAE6310A10D744A18B647BDEEC5B2665">
    <w:name w:val="BAE6310A10D744A18B647BDEEC5B2665"/>
    <w:rsid w:val="00235A1E"/>
    <w:rPr>
      <w:kern w:val="2"/>
      <w:lang w:val="en-GB" w:eastAsia="en-GB"/>
      <w14:ligatures w14:val="standardContextual"/>
    </w:rPr>
  </w:style>
  <w:style w:type="paragraph" w:customStyle="1" w:styleId="33D05351D71A4A3599F3EA1D1B147479">
    <w:name w:val="33D05351D71A4A3599F3EA1D1B147479"/>
    <w:rsid w:val="00235A1E"/>
    <w:rPr>
      <w:kern w:val="2"/>
      <w:lang w:val="en-GB" w:eastAsia="en-GB"/>
      <w14:ligatures w14:val="standardContextual"/>
    </w:rPr>
  </w:style>
  <w:style w:type="paragraph" w:customStyle="1" w:styleId="9A56B15F4D1A48CF815A483A3B64CC00">
    <w:name w:val="9A56B15F4D1A48CF815A483A3B64CC00"/>
    <w:rsid w:val="00235A1E"/>
    <w:rPr>
      <w:kern w:val="2"/>
      <w:lang w:val="en-GB"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574C9-D620-491A-9330-733EDAFA4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11318</Words>
  <Characters>6452</Characters>
  <Application>Microsoft Office Word</Application>
  <DocSecurity>0</DocSecurity>
  <Lines>53</Lines>
  <Paragraphs>35</Paragraphs>
  <ScaleCrop>false</ScaleCrop>
  <Company/>
  <LinksUpToDate>false</LinksUpToDate>
  <CharactersWithSpaces>17735</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2023-10-23T15:57:00Z</dcterms:created>
  <dcterms:modified xsi:type="dcterms:W3CDTF">2023-10-23T15:59:00Z</dcterms:modified>
</cp:coreProperties>
</file>