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719FE" w14:textId="77777777" w:rsidR="005F7602" w:rsidRPr="00D55BF5" w:rsidRDefault="005F7602" w:rsidP="002946C7">
      <w:pPr>
        <w:ind w:left="5529"/>
      </w:pPr>
    </w:p>
    <w:p w14:paraId="4FCD0A93" w14:textId="77777777" w:rsidR="001B3C5B" w:rsidRPr="00E33EFF" w:rsidRDefault="001B3C5B" w:rsidP="001B3C5B">
      <w:pPr>
        <w:ind w:left="6096"/>
      </w:pPr>
      <w:r w:rsidRPr="00E33EFF">
        <w:t>Forma patvirtinta</w:t>
      </w:r>
    </w:p>
    <w:p w14:paraId="081B996D" w14:textId="77777777"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25D98CEB" w14:textId="77777777" w:rsidR="001B3C5B" w:rsidRPr="00E33EFF" w:rsidRDefault="004C263A" w:rsidP="001B3C5B">
      <w:pPr>
        <w:ind w:left="6096"/>
      </w:pPr>
      <w:r w:rsidRPr="00E33EFF">
        <w:t>(Valstybinės vaistų kontrolės tarnybos prie Lietuvos Respublikos sveikatos apsaugos ministerijos viršininko 2022 m.                         d. įsakymo Nr.                    redakcija)</w:t>
      </w:r>
    </w:p>
    <w:p w14:paraId="25FFCE31" w14:textId="77777777" w:rsidR="001B3C5B" w:rsidRPr="00E33EFF" w:rsidRDefault="001B3C5B" w:rsidP="00FA4169"/>
    <w:p w14:paraId="6195F7D4" w14:textId="7777777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51516B89" w14:textId="77777777" w:rsidR="00B13D65" w:rsidRPr="00E33EFF" w:rsidRDefault="00B13D65" w:rsidP="003B211A">
      <w:pPr>
        <w:jc w:val="center"/>
        <w:rPr>
          <w:b/>
        </w:rPr>
      </w:pPr>
    </w:p>
    <w:p w14:paraId="618B1472" w14:textId="77777777" w:rsidR="00E76D3A" w:rsidRPr="00D05364" w:rsidRDefault="00E76D3A" w:rsidP="00E76D3A">
      <w:pPr>
        <w:jc w:val="center"/>
        <w:rPr>
          <w:b/>
        </w:rPr>
      </w:pPr>
      <w:r w:rsidRPr="002035FC">
        <w:rPr>
          <w:b/>
        </w:rPr>
        <w:t>Lynparza</w:t>
      </w:r>
      <w:r>
        <w:rPr>
          <w:b/>
        </w:rPr>
        <w:t xml:space="preserve"> </w:t>
      </w:r>
      <w:r w:rsidRPr="002035FC">
        <w:rPr>
          <w:b/>
        </w:rPr>
        <w:t>100 mg</w:t>
      </w:r>
      <w:r>
        <w:rPr>
          <w:b/>
        </w:rPr>
        <w:t xml:space="preserve">, 150 mg </w:t>
      </w:r>
      <w:r w:rsidRPr="002035FC">
        <w:rPr>
          <w:b/>
        </w:rPr>
        <w:t>plėvele dengtos tabletės</w:t>
      </w:r>
    </w:p>
    <w:p w14:paraId="2F9C3743" w14:textId="77777777" w:rsidR="00E76D3A" w:rsidRPr="00D05364" w:rsidRDefault="00E76D3A" w:rsidP="00E76D3A">
      <w:pPr>
        <w:jc w:val="center"/>
      </w:pPr>
    </w:p>
    <w:p w14:paraId="1700DF68" w14:textId="1F71467A" w:rsidR="00E76D3A" w:rsidRPr="00D05364" w:rsidRDefault="00E76D3A" w:rsidP="00E76D3A">
      <w:pPr>
        <w:jc w:val="center"/>
      </w:pPr>
      <w:r w:rsidRPr="002035FC">
        <w:rPr>
          <w:b/>
        </w:rPr>
        <w:t>Olaparibas</w:t>
      </w:r>
    </w:p>
    <w:p w14:paraId="178758FF" w14:textId="77777777" w:rsidR="00E76D3A" w:rsidRPr="00D05364" w:rsidRDefault="00E76D3A" w:rsidP="00E76D3A">
      <w:pPr>
        <w:jc w:val="center"/>
      </w:pPr>
    </w:p>
    <w:p w14:paraId="3E6DFBAA" w14:textId="77777777" w:rsidR="00E76D3A" w:rsidRPr="00D05364" w:rsidRDefault="00E76D3A" w:rsidP="00E76D3A">
      <w:pPr>
        <w:jc w:val="center"/>
        <w:rPr>
          <w:b/>
        </w:rPr>
      </w:pPr>
      <w:r>
        <w:rPr>
          <w:b/>
        </w:rPr>
        <w:t>STV–128</w:t>
      </w:r>
    </w:p>
    <w:p w14:paraId="5FAEE315" w14:textId="77777777" w:rsidR="00D4708D" w:rsidRPr="00E33EFF" w:rsidRDefault="00D4708D" w:rsidP="003B211A">
      <w:pPr>
        <w:jc w:val="center"/>
        <w:rPr>
          <w:b/>
        </w:rPr>
      </w:pPr>
    </w:p>
    <w:p w14:paraId="534A8B39" w14:textId="77777777" w:rsidR="00D4485B" w:rsidRPr="00E33EFF" w:rsidRDefault="00B13D65" w:rsidP="00CC09D4">
      <w:pPr>
        <w:pStyle w:val="ListParagraph"/>
        <w:numPr>
          <w:ilvl w:val="0"/>
          <w:numId w:val="12"/>
        </w:numPr>
        <w:tabs>
          <w:tab w:val="left" w:pos="567"/>
        </w:tabs>
        <w:ind w:left="567" w:hanging="567"/>
        <w:rPr>
          <w:b/>
          <w:bCs/>
          <w:caps/>
        </w:rPr>
      </w:pPr>
      <w:r w:rsidRPr="00E33EFF">
        <w:rPr>
          <w:b/>
          <w:bCs/>
          <w:caps/>
        </w:rPr>
        <w:t>Bendroji dalis</w:t>
      </w:r>
    </w:p>
    <w:p w14:paraId="6DCBE771" w14:textId="77777777" w:rsidR="00B13D65" w:rsidRPr="00E33EF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13D65" w:rsidRPr="00E33EFF" w14:paraId="3F5F8B78" w14:textId="77777777" w:rsidTr="00BE7489">
        <w:trPr>
          <w:trHeight w:val="538"/>
        </w:trPr>
        <w:tc>
          <w:tcPr>
            <w:tcW w:w="632" w:type="dxa"/>
          </w:tcPr>
          <w:p w14:paraId="427ABCCE" w14:textId="77777777" w:rsidR="00B13D65" w:rsidRPr="00E33EFF" w:rsidRDefault="00B13D65" w:rsidP="00824B92">
            <w:pPr>
              <w:rPr>
                <w:rFonts w:eastAsia="Arial"/>
              </w:rPr>
            </w:pPr>
            <w:r w:rsidRPr="00E33EFF">
              <w:rPr>
                <w:rFonts w:eastAsia="Arial"/>
              </w:rPr>
              <w:t>1.1</w:t>
            </w:r>
          </w:p>
        </w:tc>
        <w:tc>
          <w:tcPr>
            <w:tcW w:w="3694" w:type="dxa"/>
          </w:tcPr>
          <w:p w14:paraId="79AA1442" w14:textId="77777777" w:rsidR="00B13D65" w:rsidRPr="00E33EFF" w:rsidRDefault="00B13D65" w:rsidP="00824B92">
            <w:pPr>
              <w:rPr>
                <w:rFonts w:eastAsia="Arial"/>
              </w:rPr>
            </w:pPr>
            <w:r w:rsidRPr="00E33EFF">
              <w:rPr>
                <w:rFonts w:eastAsia="Arial"/>
              </w:rPr>
              <w:t>Pareiškėjas</w:t>
            </w:r>
          </w:p>
          <w:p w14:paraId="0CD817A0" w14:textId="77777777" w:rsidR="00B13D65" w:rsidRPr="00E33EFF" w:rsidRDefault="00B13D65" w:rsidP="00824B92">
            <w:pPr>
              <w:rPr>
                <w:rFonts w:eastAsia="Arial"/>
              </w:rPr>
            </w:pPr>
          </w:p>
        </w:tc>
        <w:tc>
          <w:tcPr>
            <w:tcW w:w="5167" w:type="dxa"/>
          </w:tcPr>
          <w:p w14:paraId="590EFB1D" w14:textId="753A8E0F" w:rsidR="00937907" w:rsidRPr="00E33EFF" w:rsidRDefault="00E76D3A" w:rsidP="00824B92">
            <w:r>
              <w:rPr>
                <w:color w:val="000000"/>
              </w:rPr>
              <w:t>UAB „AstraZeneca Lietuva“</w:t>
            </w:r>
          </w:p>
          <w:p w14:paraId="2EC464E6" w14:textId="77777777" w:rsidR="00B13D65" w:rsidRPr="00E33EFF" w:rsidRDefault="00B13D65" w:rsidP="00824B92">
            <w:pPr>
              <w:rPr>
                <w:rFonts w:eastAsia="Arial"/>
              </w:rPr>
            </w:pPr>
          </w:p>
        </w:tc>
      </w:tr>
      <w:tr w:rsidR="00B13D65" w:rsidRPr="00E33EFF" w14:paraId="7BCDD1E0" w14:textId="77777777" w:rsidTr="00BE7489">
        <w:trPr>
          <w:trHeight w:val="538"/>
        </w:trPr>
        <w:tc>
          <w:tcPr>
            <w:tcW w:w="632" w:type="dxa"/>
          </w:tcPr>
          <w:p w14:paraId="4F76521C" w14:textId="77777777" w:rsidR="00B13D65" w:rsidRPr="00E33EFF" w:rsidRDefault="002E0702" w:rsidP="00824B92">
            <w:pPr>
              <w:rPr>
                <w:rFonts w:eastAsia="Arial"/>
              </w:rPr>
            </w:pPr>
            <w:r w:rsidRPr="00E33EFF">
              <w:rPr>
                <w:rFonts w:eastAsia="Arial"/>
              </w:rPr>
              <w:t>1.2</w:t>
            </w:r>
          </w:p>
        </w:tc>
        <w:tc>
          <w:tcPr>
            <w:tcW w:w="3694" w:type="dxa"/>
          </w:tcPr>
          <w:p w14:paraId="0938DC02" w14:textId="77777777" w:rsidR="00B13D65" w:rsidRPr="00E33EFF" w:rsidRDefault="00B13D65" w:rsidP="00824B92">
            <w:pPr>
              <w:rPr>
                <w:bCs/>
                <w:color w:val="000000"/>
                <w:lang w:eastAsia="lt-LT"/>
              </w:rPr>
            </w:pPr>
            <w:r w:rsidRPr="00E33EFF">
              <w:rPr>
                <w:bCs/>
                <w:color w:val="000000"/>
                <w:lang w:eastAsia="lt-LT"/>
              </w:rPr>
              <w:t xml:space="preserve">Registracijos data </w:t>
            </w:r>
          </w:p>
          <w:p w14:paraId="655CF86A" w14:textId="77777777" w:rsidR="00B13D65" w:rsidRPr="00E33EFF" w:rsidRDefault="00B13D65" w:rsidP="00824B92">
            <w:pPr>
              <w:rPr>
                <w:bCs/>
                <w:color w:val="000000"/>
                <w:lang w:eastAsia="lt-LT"/>
              </w:rPr>
            </w:pPr>
          </w:p>
        </w:tc>
        <w:tc>
          <w:tcPr>
            <w:tcW w:w="5167" w:type="dxa"/>
          </w:tcPr>
          <w:p w14:paraId="3AB2E37C" w14:textId="289E6DBD" w:rsidR="00B13D65" w:rsidRPr="00E33EFF" w:rsidRDefault="00000000" w:rsidP="00824B92">
            <w:pPr>
              <w:rPr>
                <w:rStyle w:val="Style2"/>
              </w:rPr>
            </w:pPr>
            <w:sdt>
              <w:sdtPr>
                <w:rPr>
                  <w:sz w:val="32"/>
                  <w:szCs w:val="20"/>
                </w:rPr>
                <w:alias w:val="Nurodykite konkrečią dieną"/>
                <w:tag w:val="Nurodykite pradžios datą"/>
                <w:id w:val="423238108"/>
                <w:placeholder>
                  <w:docPart w:val="FC6B4DFA72F6134DB0D654A77B984B70"/>
                </w:placeholder>
                <w15:color w:val="FFCC99"/>
                <w:date w:fullDate="2014-12-16T00:00:00Z">
                  <w:dateFormat w:val="yyyy 'm.' MMMM d 'd.'"/>
                  <w:lid w:val="lt-LT"/>
                  <w:storeMappedDataAs w:val="dateTime"/>
                  <w:calendar w:val="gregorian"/>
                </w:date>
              </w:sdtPr>
              <w:sdtContent>
                <w:r w:rsidR="00E76D3A">
                  <w:t>2014 m. gruodžio 16 d.</w:t>
                </w:r>
              </w:sdtContent>
            </w:sdt>
          </w:p>
        </w:tc>
      </w:tr>
      <w:tr w:rsidR="00B13D65" w:rsidRPr="00E33EFF" w14:paraId="2DC54C52" w14:textId="77777777" w:rsidTr="00BE7489">
        <w:trPr>
          <w:trHeight w:val="1500"/>
        </w:trPr>
        <w:tc>
          <w:tcPr>
            <w:tcW w:w="632" w:type="dxa"/>
          </w:tcPr>
          <w:p w14:paraId="21F989AB" w14:textId="77777777" w:rsidR="00B13D65" w:rsidRPr="00E33EFF" w:rsidRDefault="002E0702" w:rsidP="00824B92">
            <w:pPr>
              <w:rPr>
                <w:rFonts w:eastAsia="Arial"/>
              </w:rPr>
            </w:pPr>
            <w:r w:rsidRPr="00E33EFF">
              <w:rPr>
                <w:rFonts w:eastAsia="Arial"/>
              </w:rPr>
              <w:t>1.3</w:t>
            </w:r>
          </w:p>
        </w:tc>
        <w:tc>
          <w:tcPr>
            <w:tcW w:w="3694" w:type="dxa"/>
          </w:tcPr>
          <w:p w14:paraId="7D23325E" w14:textId="77777777" w:rsidR="00B13D65" w:rsidRPr="00E33EFF" w:rsidRDefault="00B13D65" w:rsidP="00824B92">
            <w:r w:rsidRPr="00E33EFF">
              <w:t xml:space="preserve">Paraiškos tipas </w:t>
            </w:r>
          </w:p>
          <w:p w14:paraId="4A504AC4" w14:textId="77777777" w:rsidR="00B13D65" w:rsidRPr="00E33EFF" w:rsidRDefault="00B13D65" w:rsidP="00824B92">
            <w:r w:rsidRPr="00E33EFF">
              <w:t>(</w:t>
            </w:r>
            <w:r w:rsidR="00695CD3" w:rsidRPr="00E33EFF">
              <w:t xml:space="preserve">pagal </w:t>
            </w:r>
            <w:r w:rsidR="0039696E" w:rsidRPr="001C106A">
              <w:rPr>
                <w:shd w:val="clear" w:color="auto" w:fill="FFFFFF"/>
              </w:rPr>
              <w:t>vaistinio preparato registracijos tipą, įtvirtintą</w:t>
            </w:r>
            <w:r w:rsidR="0039696E" w:rsidRPr="001C106A">
              <w:t xml:space="preserve"> </w:t>
            </w:r>
            <w:r w:rsidRPr="001C106A">
              <w:t>Direktyv</w:t>
            </w:r>
            <w:r w:rsidR="00695CD3" w:rsidRPr="001C106A">
              <w:t>os</w:t>
            </w:r>
            <w:r w:rsidRPr="001C106A">
              <w:t xml:space="preserve"> 2001</w:t>
            </w:r>
            <w:r w:rsidRPr="00E33EFF">
              <w:t>/83/EB</w:t>
            </w:r>
            <w:r w:rsidR="00695CD3" w:rsidRPr="00E33EFF">
              <w:t xml:space="preserve"> straips</w:t>
            </w:r>
            <w:r w:rsidR="0039696E" w:rsidRPr="00E33EFF">
              <w:t>iuose</w:t>
            </w:r>
            <w:r w:rsidRPr="00E33EFF">
              <w:t>)</w:t>
            </w:r>
          </w:p>
          <w:p w14:paraId="05511C8B" w14:textId="77777777" w:rsidR="00B13D65" w:rsidRPr="00E33EFF" w:rsidRDefault="00B13D65" w:rsidP="00824B92">
            <w:pPr>
              <w:rPr>
                <w:bCs/>
                <w:color w:val="000000"/>
                <w:lang w:eastAsia="lt-LT"/>
              </w:rPr>
            </w:pPr>
          </w:p>
        </w:tc>
        <w:tc>
          <w:tcPr>
            <w:tcW w:w="5167" w:type="dxa"/>
          </w:tcPr>
          <w:p w14:paraId="13C0C416" w14:textId="3B5984B5" w:rsidR="00B13D65" w:rsidRPr="001C106A" w:rsidRDefault="00000000" w:rsidP="00824B92">
            <w:sdt>
              <w:sdtPr>
                <w:rPr>
                  <w:rStyle w:val="Style2"/>
                  <w:sz w:val="24"/>
                </w:rPr>
                <w:id w:val="526292078"/>
                <w15:color w:val="FFCC00"/>
                <w14:checkbox>
                  <w14:checked w14:val="1"/>
                  <w14:checkedState w14:val="2612" w14:font="MS Gothic"/>
                  <w14:uncheckedState w14:val="2610" w14:font="MS Gothic"/>
                </w14:checkbox>
              </w:sdtPr>
              <w:sdtContent>
                <w:r w:rsidR="00E76D3A" w:rsidRPr="001C106A">
                  <w:rPr>
                    <w:rStyle w:val="Style2"/>
                    <w:rFonts w:ascii="MS Gothic" w:eastAsia="MS Gothic" w:hAnsi="MS Gothic" w:hint="eastAsia"/>
                    <w:sz w:val="24"/>
                  </w:rPr>
                  <w:t>☒</w:t>
                </w:r>
              </w:sdtContent>
            </w:sdt>
            <w:r w:rsidR="00B13D65" w:rsidRPr="001C106A">
              <w:t xml:space="preserve">8.3 str. (pilna byla, pagrįsta savais tyrimais) </w:t>
            </w:r>
          </w:p>
          <w:p w14:paraId="652F2D52" w14:textId="43BC64BB" w:rsidR="00B13D65" w:rsidRPr="001C106A" w:rsidRDefault="00000000" w:rsidP="00824B92">
            <w:sdt>
              <w:sdtPr>
                <w:rPr>
                  <w:rStyle w:val="Style2"/>
                  <w:sz w:val="24"/>
                </w:rPr>
                <w:id w:val="-1497953736"/>
                <w15:color w:val="FFCC00"/>
                <w14:checkbox>
                  <w14:checked w14:val="0"/>
                  <w14:checkedState w14:val="2612" w14:font="MS Gothic"/>
                  <w14:uncheckedState w14:val="2610" w14:font="MS Gothic"/>
                </w14:checkbox>
              </w:sdtPr>
              <w:sdtContent>
                <w:r w:rsidR="00CC7832" w:rsidRPr="001C106A">
                  <w:rPr>
                    <w:rStyle w:val="Style2"/>
                    <w:rFonts w:ascii="Segoe UI Symbol" w:eastAsia="MS Gothic" w:hAnsi="Segoe UI Symbol" w:cs="Segoe UI Symbol"/>
                    <w:sz w:val="24"/>
                  </w:rPr>
                  <w:t>☐</w:t>
                </w:r>
              </w:sdtContent>
            </w:sdt>
            <w:r w:rsidR="00B13D65" w:rsidRPr="001C106A">
              <w:t xml:space="preserve">10 a str. (pripažintas medicininis vartojimas) </w:t>
            </w:r>
          </w:p>
          <w:p w14:paraId="5DEA9EDE" w14:textId="6556631C" w:rsidR="00B13D65" w:rsidRPr="001C106A" w:rsidRDefault="00000000" w:rsidP="00824B92">
            <w:sdt>
              <w:sdtPr>
                <w:rPr>
                  <w:rStyle w:val="Style2"/>
                  <w:sz w:val="24"/>
                </w:rPr>
                <w:id w:val="204142496"/>
                <w15:color w:val="FFCC00"/>
                <w14:checkbox>
                  <w14:checked w14:val="0"/>
                  <w14:checkedState w14:val="2612" w14:font="MS Gothic"/>
                  <w14:uncheckedState w14:val="2610" w14:font="MS Gothic"/>
                </w14:checkbox>
              </w:sdtPr>
              <w:sdtContent>
                <w:r w:rsidR="00CC7832" w:rsidRPr="001C106A">
                  <w:rPr>
                    <w:rStyle w:val="Style2"/>
                    <w:rFonts w:ascii="Segoe UI Symbol" w:eastAsia="MS Gothic" w:hAnsi="Segoe UI Symbol" w:cs="Segoe UI Symbol"/>
                    <w:sz w:val="24"/>
                  </w:rPr>
                  <w:t>☐</w:t>
                </w:r>
              </w:sdtContent>
            </w:sdt>
            <w:r w:rsidR="00B13D65" w:rsidRPr="001C106A">
              <w:t>10.1 str. (generinis)</w:t>
            </w:r>
          </w:p>
          <w:p w14:paraId="0CDDA310" w14:textId="30C5B2F5" w:rsidR="00B13D65" w:rsidRPr="001C106A" w:rsidRDefault="00000000" w:rsidP="00824B92">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Content>
                <w:r w:rsidR="00CC7832" w:rsidRPr="001C106A">
                  <w:rPr>
                    <w:rStyle w:val="Style2"/>
                    <w:rFonts w:ascii="Segoe UI Symbol" w:eastAsia="MS Gothic" w:hAnsi="Segoe UI Symbol" w:cs="Segoe UI Symbol"/>
                    <w:sz w:val="24"/>
                  </w:rPr>
                  <w:t>☐</w:t>
                </w:r>
              </w:sdtContent>
            </w:sdt>
            <w:r w:rsidR="00B13D65" w:rsidRPr="001C106A">
              <w:t>10.3 str. (hibridinis)</w:t>
            </w:r>
          </w:p>
        </w:tc>
      </w:tr>
      <w:tr w:rsidR="00B13D65" w:rsidRPr="00E33EFF" w14:paraId="0E000E0E" w14:textId="77777777" w:rsidTr="00E76D3A">
        <w:trPr>
          <w:trHeight w:val="1063"/>
        </w:trPr>
        <w:tc>
          <w:tcPr>
            <w:tcW w:w="632" w:type="dxa"/>
          </w:tcPr>
          <w:p w14:paraId="050D9F6A" w14:textId="77777777" w:rsidR="00B13D65" w:rsidRPr="00E33EFF" w:rsidRDefault="00B13D65" w:rsidP="00824B92">
            <w:pPr>
              <w:rPr>
                <w:rFonts w:eastAsia="Arial"/>
              </w:rPr>
            </w:pPr>
            <w:r w:rsidRPr="00E33EFF">
              <w:rPr>
                <w:rFonts w:eastAsia="Arial"/>
              </w:rPr>
              <w:t>1.</w:t>
            </w:r>
            <w:r w:rsidR="002E0702" w:rsidRPr="00E33EFF">
              <w:rPr>
                <w:rFonts w:eastAsia="Arial"/>
              </w:rPr>
              <w:t>4</w:t>
            </w:r>
          </w:p>
        </w:tc>
        <w:tc>
          <w:tcPr>
            <w:tcW w:w="3694" w:type="dxa"/>
          </w:tcPr>
          <w:p w14:paraId="20AC0AA2" w14:textId="0BD2F946" w:rsidR="00B13D65" w:rsidRPr="00E33EFF" w:rsidRDefault="00B13D65" w:rsidP="00824B92">
            <w:pPr>
              <w:rPr>
                <w:bCs/>
                <w:color w:val="000000"/>
                <w:lang w:eastAsia="lt-LT"/>
              </w:rPr>
            </w:pPr>
            <w:r w:rsidRPr="00E33EFF">
              <w:rPr>
                <w:bCs/>
                <w:color w:val="000000"/>
                <w:lang w:eastAsia="lt-LT"/>
              </w:rPr>
              <w:t xml:space="preserve">Ar vaistinis preparatas įrašytas į Bendrijos retųjų vaistinių preparatų registrą? </w:t>
            </w:r>
          </w:p>
        </w:tc>
        <w:tc>
          <w:tcPr>
            <w:tcW w:w="5167" w:type="dxa"/>
          </w:tcPr>
          <w:p w14:paraId="0320A759" w14:textId="77A6D733" w:rsidR="00B13D65" w:rsidRPr="00E33EFF"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B13D65" w:rsidRPr="00E33EFF">
              <w:t xml:space="preserve"> Taip</w:t>
            </w:r>
          </w:p>
          <w:p w14:paraId="16C0A12E" w14:textId="48F67F50" w:rsidR="00B13D65" w:rsidRPr="00E33EFF"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E76D3A">
                  <w:rPr>
                    <w:rStyle w:val="Style2"/>
                    <w:rFonts w:ascii="MS Gothic" w:eastAsia="MS Gothic" w:hAnsi="MS Gothic" w:hint="eastAsia"/>
                    <w:sz w:val="24"/>
                  </w:rPr>
                  <w:t>☒</w:t>
                </w:r>
              </w:sdtContent>
            </w:sdt>
            <w:r w:rsidR="00B13D65" w:rsidRPr="00E33EFF">
              <w:t xml:space="preserve"> Ne</w:t>
            </w:r>
          </w:p>
          <w:p w14:paraId="76F41CC1" w14:textId="25367C4E" w:rsidR="00B13D65" w:rsidRPr="00E33EFF" w:rsidRDefault="00B13D65" w:rsidP="00824B92">
            <w:pPr>
              <w:rPr>
                <w:rFonts w:eastAsia="Arial"/>
              </w:rPr>
            </w:pPr>
          </w:p>
        </w:tc>
      </w:tr>
      <w:tr w:rsidR="00D417D2" w:rsidRPr="00E33EFF" w14:paraId="4BE3D48C" w14:textId="77777777" w:rsidTr="00CA7A78">
        <w:trPr>
          <w:trHeight w:val="850"/>
        </w:trPr>
        <w:tc>
          <w:tcPr>
            <w:tcW w:w="632" w:type="dxa"/>
          </w:tcPr>
          <w:p w14:paraId="3327DEF7" w14:textId="77777777" w:rsidR="00D417D2" w:rsidRPr="00E33EFF" w:rsidRDefault="00D417D2" w:rsidP="00824B92">
            <w:pPr>
              <w:rPr>
                <w:rFonts w:eastAsia="Arial"/>
              </w:rPr>
            </w:pPr>
            <w:r w:rsidRPr="00E33EFF">
              <w:rPr>
                <w:rFonts w:eastAsia="Arial"/>
              </w:rPr>
              <w:t>1.5</w:t>
            </w:r>
          </w:p>
        </w:tc>
        <w:tc>
          <w:tcPr>
            <w:tcW w:w="3694" w:type="dxa"/>
          </w:tcPr>
          <w:p w14:paraId="1BA18632" w14:textId="77777777" w:rsidR="00D417D2" w:rsidRPr="00E33EFF" w:rsidRDefault="00D417D2" w:rsidP="00824B92">
            <w:pPr>
              <w:rPr>
                <w:bCs/>
                <w:color w:val="000000"/>
                <w:lang w:eastAsia="lt-LT"/>
              </w:rPr>
            </w:pPr>
            <w:r w:rsidRPr="00E33EFF">
              <w:t>STV paraiškos pobūdis</w:t>
            </w:r>
          </w:p>
        </w:tc>
        <w:tc>
          <w:tcPr>
            <w:tcW w:w="5167" w:type="dxa"/>
          </w:tcPr>
          <w:p w14:paraId="1EA5E530" w14:textId="0B02B7F9" w:rsidR="00D417D2" w:rsidRPr="00E33EF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E76D3A">
                  <w:rPr>
                    <w:rStyle w:val="Style2"/>
                    <w:rFonts w:ascii="MS Gothic" w:eastAsia="MS Gothic" w:hAnsi="MS Gothic" w:hint="eastAsia"/>
                    <w:sz w:val="24"/>
                  </w:rPr>
                  <w:t>☒</w:t>
                </w:r>
              </w:sdtContent>
            </w:sdt>
            <w:r w:rsidR="00D417D2" w:rsidRPr="00E33EFF">
              <w:t xml:space="preserve"> Pilna paraiška</w:t>
            </w:r>
          </w:p>
          <w:p w14:paraId="5D561EAE" w14:textId="79AADF34" w:rsidR="00D417D2" w:rsidRPr="00E33EF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F49935F" w14:textId="77777777" w:rsidTr="00E76D3A">
        <w:trPr>
          <w:trHeight w:val="2207"/>
        </w:trPr>
        <w:tc>
          <w:tcPr>
            <w:tcW w:w="632" w:type="dxa"/>
          </w:tcPr>
          <w:p w14:paraId="7E5DE8CE" w14:textId="77777777" w:rsidR="00B13D65" w:rsidRPr="00E33EFF" w:rsidRDefault="00B13D65" w:rsidP="00824B92">
            <w:pPr>
              <w:rPr>
                <w:rFonts w:eastAsia="Arial"/>
              </w:rPr>
            </w:pPr>
            <w:r w:rsidRPr="00E33EFF">
              <w:rPr>
                <w:rFonts w:eastAsia="Arial"/>
              </w:rPr>
              <w:t>1.</w:t>
            </w:r>
            <w:r w:rsidR="00D417D2" w:rsidRPr="00E33EFF">
              <w:rPr>
                <w:rFonts w:eastAsia="Arial"/>
              </w:rPr>
              <w:t>6</w:t>
            </w:r>
          </w:p>
        </w:tc>
        <w:tc>
          <w:tcPr>
            <w:tcW w:w="3694" w:type="dxa"/>
          </w:tcPr>
          <w:p w14:paraId="73B920E4" w14:textId="77777777" w:rsidR="007656B2" w:rsidRPr="00E33EFF"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(-os) kompensuoti vaistinio preparato indikacija (-os)</w:t>
            </w:r>
          </w:p>
          <w:p w14:paraId="202FC6FD" w14:textId="77777777" w:rsidR="00AE1322" w:rsidRDefault="00AE1322" w:rsidP="00824B92">
            <w:pPr>
              <w:rPr>
                <w:bCs/>
                <w:color w:val="000000"/>
                <w:lang w:eastAsia="lt-LT"/>
              </w:rPr>
            </w:pPr>
          </w:p>
          <w:p w14:paraId="63F18AA2" w14:textId="60172E0D" w:rsidR="00AE1322" w:rsidRDefault="00AE1322" w:rsidP="00824B92">
            <w:pPr>
              <w:rPr>
                <w:bCs/>
                <w:color w:val="000000"/>
                <w:lang w:eastAsia="lt-LT"/>
              </w:rPr>
            </w:pPr>
          </w:p>
          <w:p w14:paraId="744E8F4C" w14:textId="77777777" w:rsidR="00E76D3A" w:rsidRDefault="00E76D3A" w:rsidP="00824B92">
            <w:pPr>
              <w:rPr>
                <w:bCs/>
                <w:color w:val="000000"/>
                <w:lang w:eastAsia="lt-LT"/>
              </w:rPr>
            </w:pPr>
          </w:p>
          <w:p w14:paraId="446067EE" w14:textId="77777777"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3AD5ED28" w14:textId="16084160" w:rsidR="00E76D3A" w:rsidRDefault="00E76D3A" w:rsidP="00E76D3A">
            <w:pPr>
              <w:pStyle w:val="ListParagraph"/>
              <w:spacing w:after="120"/>
              <w:ind w:left="0"/>
              <w:contextualSpacing w:val="0"/>
              <w:jc w:val="both"/>
            </w:pPr>
            <w:r w:rsidRPr="00CE1F42">
              <w:t>Lynparza skirta kartu su abirateronu ir prednizonu arba prednizolonu: gydyti mCRPC sergantiems suaugusiems pacientams, kuriems chemoterapija kliniškai neskirtina</w:t>
            </w:r>
            <w:r>
              <w:t>.</w:t>
            </w:r>
          </w:p>
          <w:p w14:paraId="55C0CA21" w14:textId="77777777" w:rsidR="00E76D3A" w:rsidRPr="00D05364" w:rsidRDefault="00E76D3A" w:rsidP="00E76D3A">
            <w:pPr>
              <w:pStyle w:val="ListParagraph"/>
              <w:spacing w:after="120"/>
              <w:ind w:left="0"/>
              <w:contextualSpacing w:val="0"/>
              <w:jc w:val="both"/>
            </w:pPr>
          </w:p>
          <w:p w14:paraId="52A21697" w14:textId="3BF7E0BD" w:rsidR="00B13D65" w:rsidRPr="00E33EFF" w:rsidRDefault="00E76D3A" w:rsidP="00E76D3A">
            <w:r w:rsidRPr="00CE1F42">
              <w:t>TLK-10-AM kodas</w:t>
            </w:r>
            <w:r>
              <w:t>:</w:t>
            </w:r>
            <w:r w:rsidRPr="00CE1F42">
              <w:t xml:space="preserve"> C61</w:t>
            </w:r>
          </w:p>
        </w:tc>
      </w:tr>
      <w:tr w:rsidR="00B13D65" w:rsidRPr="00E33EFF" w14:paraId="21CAF562" w14:textId="77777777" w:rsidTr="00CA7A78">
        <w:trPr>
          <w:trHeight w:val="1549"/>
        </w:trPr>
        <w:tc>
          <w:tcPr>
            <w:tcW w:w="632" w:type="dxa"/>
          </w:tcPr>
          <w:p w14:paraId="34A7684C" w14:textId="77777777" w:rsidR="00B13D65" w:rsidRPr="00E33EFF" w:rsidRDefault="00B13D65" w:rsidP="00824B92">
            <w:pPr>
              <w:rPr>
                <w:rFonts w:eastAsia="Arial"/>
              </w:rPr>
            </w:pPr>
            <w:r w:rsidRPr="00E33EFF">
              <w:rPr>
                <w:rFonts w:eastAsia="Arial"/>
              </w:rPr>
              <w:lastRenderedPageBreak/>
              <w:t>1.</w:t>
            </w:r>
            <w:r w:rsidR="002E0702" w:rsidRPr="00E33EFF">
              <w:rPr>
                <w:rFonts w:eastAsia="Arial"/>
              </w:rPr>
              <w:t>6</w:t>
            </w:r>
          </w:p>
        </w:tc>
        <w:tc>
          <w:tcPr>
            <w:tcW w:w="3694" w:type="dxa"/>
          </w:tcPr>
          <w:p w14:paraId="1558FBB6" w14:textId="77777777"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11BD2F44" w14:textId="7522F84D" w:rsidR="00B13D65" w:rsidRPr="00E33EFF" w:rsidRDefault="00B956C6" w:rsidP="00CA7A78">
            <w:pPr>
              <w:jc w:val="both"/>
            </w:pPr>
            <w:r w:rsidRPr="000121CC">
              <w:t>Lynparza skirta kartu su abirateronu ir prednizonu arba prednizolonu: gydyti mCRPC sergantiems suaugusiems pacientams, kuriems chemoterapija kliniškai neskirtina ir kuriems yra nustatytos HRRm ar BRCA1/2 mutacijos.</w:t>
            </w:r>
          </w:p>
        </w:tc>
      </w:tr>
      <w:tr w:rsidR="00B13D65" w:rsidRPr="00E33EFF" w14:paraId="1A69C37E" w14:textId="77777777" w:rsidTr="00E76D3A">
        <w:trPr>
          <w:trHeight w:val="839"/>
        </w:trPr>
        <w:tc>
          <w:tcPr>
            <w:tcW w:w="632" w:type="dxa"/>
          </w:tcPr>
          <w:p w14:paraId="0234747E" w14:textId="77777777" w:rsidR="00B13D65" w:rsidRPr="00E33EFF" w:rsidRDefault="00B13D65" w:rsidP="00824B92">
            <w:pPr>
              <w:rPr>
                <w:rFonts w:eastAsia="Arial"/>
              </w:rPr>
            </w:pPr>
            <w:r w:rsidRPr="00E33EFF">
              <w:rPr>
                <w:rFonts w:eastAsia="Arial"/>
              </w:rPr>
              <w:t>1.7</w:t>
            </w:r>
          </w:p>
        </w:tc>
        <w:tc>
          <w:tcPr>
            <w:tcW w:w="3694" w:type="dxa"/>
          </w:tcPr>
          <w:p w14:paraId="24027AA3" w14:textId="6D42FBBE" w:rsidR="009F4D66" w:rsidRPr="00E33EFF"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 xml:space="preserve">gydymas </w:t>
            </w:r>
          </w:p>
          <w:p w14:paraId="1CE8C523" w14:textId="77777777" w:rsidR="009F4D66" w:rsidRPr="00E33EFF" w:rsidRDefault="009F4D66" w:rsidP="00824B92">
            <w:pPr>
              <w:rPr>
                <w:bCs/>
                <w:color w:val="000000"/>
                <w:lang w:eastAsia="lt-LT"/>
              </w:rPr>
            </w:pPr>
          </w:p>
        </w:tc>
        <w:tc>
          <w:tcPr>
            <w:tcW w:w="5167" w:type="dxa"/>
          </w:tcPr>
          <w:p w14:paraId="28DF8477" w14:textId="5807216A" w:rsidR="009F4D66" w:rsidRPr="00E33EFF"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E76D3A">
                  <w:rPr>
                    <w:rStyle w:val="Style2"/>
                    <w:rFonts w:ascii="MS Gothic" w:eastAsia="MS Gothic" w:hAnsi="MS Gothic" w:hint="eastAsia"/>
                    <w:sz w:val="24"/>
                  </w:rPr>
                  <w:t>☒</w:t>
                </w:r>
              </w:sdtContent>
            </w:sdt>
            <w:r w:rsidR="009F4D66" w:rsidRPr="00E33EFF">
              <w:t xml:space="preserve"> Tinkamas</w:t>
            </w:r>
          </w:p>
          <w:p w14:paraId="21E99E47" w14:textId="54D51D87" w:rsidR="00B13D65" w:rsidRPr="00E33EFF"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E76D3A">
                  <w:rPr>
                    <w:rStyle w:val="Style2"/>
                    <w:rFonts w:ascii="MS Gothic" w:eastAsia="MS Gothic" w:hAnsi="MS Gothic" w:hint="eastAsia"/>
                    <w:sz w:val="24"/>
                  </w:rPr>
                  <w:t>☐</w:t>
                </w:r>
              </w:sdtContent>
            </w:sdt>
            <w:r w:rsidR="009F4D66" w:rsidRPr="00E33EFF">
              <w:t xml:space="preserve"> Netinkama</w:t>
            </w:r>
            <w:r w:rsidR="00E76D3A">
              <w:t>s</w:t>
            </w:r>
          </w:p>
        </w:tc>
      </w:tr>
    </w:tbl>
    <w:p w14:paraId="667D6701" w14:textId="77777777" w:rsidR="00F70C9E" w:rsidRPr="00E33EFF" w:rsidRDefault="00F70C9E" w:rsidP="00E03C3F">
      <w:pPr>
        <w:pStyle w:val="ListParagraph"/>
        <w:tabs>
          <w:tab w:val="left" w:pos="426"/>
        </w:tabs>
        <w:ind w:left="0"/>
        <w:rPr>
          <w:b/>
          <w:bCs/>
          <w:caps/>
        </w:rPr>
      </w:pPr>
    </w:p>
    <w:p w14:paraId="73E56DF9" w14:textId="77777777"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43B8D6C7" w14:textId="77777777" w:rsidR="00F70C9E" w:rsidRPr="00E33EFF" w:rsidRDefault="00F70C9E" w:rsidP="00F70C9E">
      <w:pPr>
        <w:spacing w:line="276" w:lineRule="auto"/>
        <w:rPr>
          <w:rFonts w:eastAsia="Arial"/>
        </w:rPr>
      </w:pPr>
    </w:p>
    <w:tbl>
      <w:tblPr>
        <w:tblStyle w:val="TableGrid"/>
        <w:tblW w:w="9493" w:type="dxa"/>
        <w:tblLook w:val="04A0" w:firstRow="1" w:lastRow="0" w:firstColumn="1" w:lastColumn="0" w:noHBand="0" w:noVBand="1"/>
      </w:tblPr>
      <w:tblGrid>
        <w:gridCol w:w="2927"/>
        <w:gridCol w:w="1915"/>
        <w:gridCol w:w="2351"/>
        <w:gridCol w:w="2300"/>
      </w:tblGrid>
      <w:tr w:rsidR="00E76D3A" w:rsidRPr="00D05364" w14:paraId="44FA4B29" w14:textId="77777777" w:rsidTr="003116A8">
        <w:trPr>
          <w:trHeight w:val="924"/>
        </w:trPr>
        <w:tc>
          <w:tcPr>
            <w:tcW w:w="2927" w:type="dxa"/>
          </w:tcPr>
          <w:p w14:paraId="0E66B977" w14:textId="77777777" w:rsidR="00E76D3A" w:rsidRPr="00D05364" w:rsidRDefault="00E76D3A" w:rsidP="00AA41E2">
            <w:pPr>
              <w:spacing w:line="276" w:lineRule="auto"/>
              <w:rPr>
                <w:rFonts w:eastAsia="Arial"/>
              </w:rPr>
            </w:pPr>
            <w:r w:rsidRPr="00D05364">
              <w:rPr>
                <w:rFonts w:eastAsia="Arial"/>
              </w:rPr>
              <w:t>STV agentūros pavadinimas, šalis</w:t>
            </w:r>
          </w:p>
        </w:tc>
        <w:tc>
          <w:tcPr>
            <w:tcW w:w="1915" w:type="dxa"/>
          </w:tcPr>
          <w:p w14:paraId="15E5B8EA" w14:textId="77777777" w:rsidR="00E76D3A" w:rsidRPr="00D05364" w:rsidRDefault="00E76D3A" w:rsidP="00AA41E2">
            <w:pPr>
              <w:spacing w:line="276" w:lineRule="auto"/>
              <w:rPr>
                <w:rFonts w:eastAsia="Arial"/>
              </w:rPr>
            </w:pPr>
            <w:r w:rsidRPr="00D05364">
              <w:rPr>
                <w:rFonts w:eastAsia="Arial"/>
              </w:rPr>
              <w:t>STV vertinimas atliktas</w:t>
            </w:r>
          </w:p>
        </w:tc>
        <w:tc>
          <w:tcPr>
            <w:tcW w:w="2351" w:type="dxa"/>
          </w:tcPr>
          <w:p w14:paraId="28F3A2B4" w14:textId="77777777" w:rsidR="00E76D3A" w:rsidRPr="00D05364" w:rsidRDefault="00E76D3A" w:rsidP="00AA41E2">
            <w:pPr>
              <w:spacing w:line="276" w:lineRule="auto"/>
              <w:rPr>
                <w:rFonts w:eastAsia="Arial"/>
              </w:rPr>
            </w:pPr>
            <w:r w:rsidRPr="00D05364">
              <w:rPr>
                <w:rFonts w:eastAsia="Arial"/>
              </w:rPr>
              <w:t>Klinikinio vertinimo išvada</w:t>
            </w:r>
          </w:p>
        </w:tc>
        <w:tc>
          <w:tcPr>
            <w:tcW w:w="2300" w:type="dxa"/>
          </w:tcPr>
          <w:p w14:paraId="25B5A7FD" w14:textId="77777777" w:rsidR="00E76D3A" w:rsidRPr="00D05364" w:rsidRDefault="00E76D3A" w:rsidP="00AA41E2">
            <w:pPr>
              <w:spacing w:line="276" w:lineRule="auto"/>
              <w:rPr>
                <w:rFonts w:eastAsia="Arial"/>
              </w:rPr>
            </w:pPr>
            <w:r w:rsidRPr="00D05364">
              <w:rPr>
                <w:rFonts w:eastAsia="Arial"/>
              </w:rPr>
              <w:t>Farmakoekonominio vertinimo išvada</w:t>
            </w:r>
          </w:p>
        </w:tc>
      </w:tr>
      <w:tr w:rsidR="00E76D3A" w:rsidRPr="00D05364" w14:paraId="295E0935" w14:textId="77777777" w:rsidTr="003116A8">
        <w:trPr>
          <w:trHeight w:val="1765"/>
        </w:trPr>
        <w:tc>
          <w:tcPr>
            <w:tcW w:w="2927" w:type="dxa"/>
          </w:tcPr>
          <w:p w14:paraId="51222ADA" w14:textId="77777777" w:rsidR="00E76D3A" w:rsidRPr="00D05364" w:rsidRDefault="00E76D3A" w:rsidP="00AA41E2">
            <w:pPr>
              <w:autoSpaceDE w:val="0"/>
              <w:autoSpaceDN w:val="0"/>
              <w:adjustRightInd w:val="0"/>
              <w:rPr>
                <w:bCs/>
              </w:rPr>
            </w:pPr>
            <w:r w:rsidRPr="00D05364">
              <w:rPr>
                <w:bCs/>
              </w:rPr>
              <w:t>Nacionalinis sveikatos ir klinikinės kompetencijos institutas, Didžioji Britanija</w:t>
            </w:r>
          </w:p>
          <w:p w14:paraId="26D2C790" w14:textId="77777777" w:rsidR="00E76D3A" w:rsidRPr="00D05364" w:rsidRDefault="00E76D3A" w:rsidP="00AA41E2">
            <w:pPr>
              <w:spacing w:line="276" w:lineRule="auto"/>
              <w:rPr>
                <w:rFonts w:eastAsia="Arial"/>
              </w:rPr>
            </w:pPr>
            <w:r w:rsidRPr="00D05364">
              <w:rPr>
                <w:rFonts w:eastAsia="Arial"/>
              </w:rPr>
              <w:t xml:space="preserve">(angl. </w:t>
            </w:r>
            <w:r w:rsidRPr="00D05364">
              <w:rPr>
                <w:rFonts w:eastAsia="Arial"/>
                <w:i/>
              </w:rPr>
              <w:t>National Institute for Health and Care Excellence, NICE</w:t>
            </w:r>
            <w:r w:rsidRPr="00D05364">
              <w:rPr>
                <w:rFonts w:eastAsia="Arial"/>
              </w:rPr>
              <w:t>)</w:t>
            </w:r>
          </w:p>
        </w:tc>
        <w:tc>
          <w:tcPr>
            <w:tcW w:w="1915" w:type="dxa"/>
          </w:tcPr>
          <w:p w14:paraId="7F3E9508" w14:textId="2C49B97B" w:rsidR="00E76D3A" w:rsidRPr="00D05364" w:rsidRDefault="00000000" w:rsidP="00AA41E2">
            <w:sdt>
              <w:sdtPr>
                <w:rPr>
                  <w:rStyle w:val="Style2"/>
                </w:rPr>
                <w:id w:val="1558205022"/>
                <w15:color w:val="FFCC00"/>
                <w14:checkbox>
                  <w14:checked w14:val="0"/>
                  <w14:checkedState w14:val="2612" w14:font="MS Gothic"/>
                  <w14:uncheckedState w14:val="2610" w14:font="MS Gothic"/>
                </w14:checkbox>
              </w:sdtPr>
              <w:sdtContent>
                <w:r w:rsidR="00E76D3A">
                  <w:rPr>
                    <w:rStyle w:val="Style2"/>
                    <w:rFonts w:ascii="MS Gothic" w:eastAsia="MS Gothic" w:hAnsi="MS Gothic" w:hint="eastAsia"/>
                  </w:rPr>
                  <w:t>☐</w:t>
                </w:r>
              </w:sdtContent>
            </w:sdt>
            <w:r w:rsidR="00E76D3A" w:rsidRPr="00D05364">
              <w:t xml:space="preserve"> Taip</w:t>
            </w:r>
          </w:p>
          <w:p w14:paraId="1EE85D2D" w14:textId="3E5C3F88" w:rsidR="00E76D3A" w:rsidRPr="00D05364" w:rsidRDefault="00000000" w:rsidP="00AA41E2">
            <w:sdt>
              <w:sdtPr>
                <w:rPr>
                  <w:rStyle w:val="Style2"/>
                </w:rPr>
                <w:id w:val="866029625"/>
                <w15:color w:val="FFCC00"/>
                <w14:checkbox>
                  <w14:checked w14:val="1"/>
                  <w14:checkedState w14:val="2612" w14:font="MS Gothic"/>
                  <w14:uncheckedState w14:val="2610" w14:font="MS Gothic"/>
                </w14:checkbox>
              </w:sdtPr>
              <w:sdtContent>
                <w:r w:rsidR="00E76D3A">
                  <w:rPr>
                    <w:rStyle w:val="Style2"/>
                    <w:rFonts w:ascii="MS Gothic" w:eastAsia="MS Gothic" w:hAnsi="MS Gothic" w:hint="eastAsia"/>
                  </w:rPr>
                  <w:t>☒</w:t>
                </w:r>
              </w:sdtContent>
            </w:sdt>
            <w:r w:rsidR="00E76D3A" w:rsidRPr="00D05364">
              <w:t xml:space="preserve"> Ne</w:t>
            </w:r>
          </w:p>
          <w:p w14:paraId="534B5832" w14:textId="77777777" w:rsidR="00E76D3A" w:rsidRPr="003F274B" w:rsidRDefault="00E76D3A" w:rsidP="00AA41E2">
            <w:pPr>
              <w:rPr>
                <w:rFonts w:eastAsia="Arial"/>
              </w:rPr>
            </w:pPr>
            <w:r>
              <w:rPr>
                <w:rFonts w:eastAsia="Arial"/>
              </w:rPr>
              <w:t>(Šiuo metu vykdomas)</w:t>
            </w:r>
          </w:p>
        </w:tc>
        <w:tc>
          <w:tcPr>
            <w:tcW w:w="2351" w:type="dxa"/>
          </w:tcPr>
          <w:p w14:paraId="0C834FA2" w14:textId="77777777" w:rsidR="00E76D3A" w:rsidRPr="003F274B" w:rsidRDefault="00E76D3A" w:rsidP="00AA41E2">
            <w:pPr>
              <w:spacing w:line="276" w:lineRule="auto"/>
              <w:rPr>
                <w:rFonts w:eastAsia="Arial"/>
              </w:rPr>
            </w:pPr>
            <w:r>
              <w:rPr>
                <w:rFonts w:eastAsia="Arial"/>
              </w:rPr>
              <w:t>–</w:t>
            </w:r>
          </w:p>
        </w:tc>
        <w:tc>
          <w:tcPr>
            <w:tcW w:w="2300" w:type="dxa"/>
          </w:tcPr>
          <w:p w14:paraId="2492A8AF" w14:textId="3504E201" w:rsidR="00E76D3A" w:rsidRPr="00D05364" w:rsidRDefault="00347C40" w:rsidP="00AA41E2">
            <w:pPr>
              <w:spacing w:line="276" w:lineRule="auto"/>
              <w:rPr>
                <w:rFonts w:eastAsia="Arial"/>
              </w:rPr>
            </w:pPr>
            <w:r>
              <w:rPr>
                <w:rFonts w:eastAsia="Arial"/>
              </w:rPr>
              <w:t>–</w:t>
            </w:r>
          </w:p>
        </w:tc>
      </w:tr>
      <w:tr w:rsidR="00E76D3A" w:rsidRPr="00D05364" w14:paraId="17075138" w14:textId="77777777" w:rsidTr="003116A8">
        <w:trPr>
          <w:trHeight w:val="1547"/>
        </w:trPr>
        <w:tc>
          <w:tcPr>
            <w:tcW w:w="2927" w:type="dxa"/>
          </w:tcPr>
          <w:p w14:paraId="1794029C" w14:textId="77777777" w:rsidR="00E76D3A" w:rsidRPr="00D05364" w:rsidRDefault="00E76D3A" w:rsidP="00AA41E2">
            <w:pPr>
              <w:spacing w:line="276" w:lineRule="auto"/>
              <w:rPr>
                <w:rFonts w:eastAsia="Arial"/>
              </w:rPr>
            </w:pPr>
            <w:r w:rsidRPr="00D05364">
              <w:rPr>
                <w:rFonts w:eastAsia="Arial"/>
              </w:rPr>
              <w:t>Kanados sveikatos technologijų agentūra</w:t>
            </w:r>
          </w:p>
          <w:p w14:paraId="2434D1AC" w14:textId="77777777" w:rsidR="00E76D3A" w:rsidRPr="00D05364" w:rsidRDefault="00E76D3A" w:rsidP="00AA41E2">
            <w:pPr>
              <w:spacing w:line="276" w:lineRule="auto"/>
              <w:rPr>
                <w:rFonts w:eastAsia="Arial"/>
              </w:rPr>
            </w:pPr>
            <w:r w:rsidRPr="00D05364">
              <w:rPr>
                <w:rFonts w:eastAsia="Arial"/>
              </w:rPr>
              <w:t xml:space="preserve">(angl. </w:t>
            </w:r>
            <w:r w:rsidRPr="00D05364">
              <w:rPr>
                <w:rFonts w:eastAsia="Arial"/>
                <w:i/>
              </w:rPr>
              <w:t>Canadian health Technology Assessment agency, CADTH</w:t>
            </w:r>
            <w:r w:rsidRPr="00D05364">
              <w:rPr>
                <w:rFonts w:eastAsia="Arial"/>
              </w:rPr>
              <w:t>)</w:t>
            </w:r>
          </w:p>
        </w:tc>
        <w:tc>
          <w:tcPr>
            <w:tcW w:w="1915" w:type="dxa"/>
          </w:tcPr>
          <w:p w14:paraId="195C7367" w14:textId="184A3C91" w:rsidR="00E76D3A" w:rsidRPr="00D05364" w:rsidRDefault="00000000" w:rsidP="00AA41E2">
            <w:sdt>
              <w:sdtPr>
                <w:rPr>
                  <w:rStyle w:val="Style2"/>
                </w:rPr>
                <w:id w:val="-372539057"/>
                <w15:color w:val="FFCC00"/>
                <w14:checkbox>
                  <w14:checked w14:val="0"/>
                  <w14:checkedState w14:val="2612" w14:font="MS Gothic"/>
                  <w14:uncheckedState w14:val="2610" w14:font="MS Gothic"/>
                </w14:checkbox>
              </w:sdtPr>
              <w:sdtContent>
                <w:r w:rsidR="00E76D3A" w:rsidRPr="00D05364">
                  <w:rPr>
                    <w:rStyle w:val="Style2"/>
                    <w:rFonts w:ascii="Segoe UI Symbol" w:eastAsia="MS Gothic" w:hAnsi="Segoe UI Symbol" w:cs="Segoe UI Symbol"/>
                  </w:rPr>
                  <w:t>☐</w:t>
                </w:r>
              </w:sdtContent>
            </w:sdt>
            <w:r w:rsidR="00E76D3A" w:rsidRPr="00D05364">
              <w:t xml:space="preserve"> Taip</w:t>
            </w:r>
          </w:p>
          <w:p w14:paraId="0AC3E793" w14:textId="1E886E2E" w:rsidR="00E76D3A" w:rsidRPr="00D05364" w:rsidRDefault="00000000" w:rsidP="00AA41E2">
            <w:sdt>
              <w:sdtPr>
                <w:rPr>
                  <w:rStyle w:val="Style2"/>
                </w:rPr>
                <w:id w:val="594442222"/>
                <w15:color w:val="FFCC00"/>
                <w14:checkbox>
                  <w14:checked w14:val="1"/>
                  <w14:checkedState w14:val="2612" w14:font="MS Gothic"/>
                  <w14:uncheckedState w14:val="2610" w14:font="MS Gothic"/>
                </w14:checkbox>
              </w:sdtPr>
              <w:sdtContent>
                <w:r w:rsidR="00E76D3A">
                  <w:rPr>
                    <w:rStyle w:val="Style2"/>
                    <w:rFonts w:ascii="MS Gothic" w:eastAsia="MS Gothic" w:hAnsi="MS Gothic" w:hint="eastAsia"/>
                  </w:rPr>
                  <w:t>☒</w:t>
                </w:r>
              </w:sdtContent>
            </w:sdt>
            <w:r w:rsidR="00E76D3A" w:rsidRPr="00D05364">
              <w:t xml:space="preserve"> Ne</w:t>
            </w:r>
          </w:p>
          <w:p w14:paraId="1897ABE0" w14:textId="77777777" w:rsidR="00E76D3A" w:rsidRPr="00D05364" w:rsidRDefault="00E76D3A" w:rsidP="00AA41E2">
            <w:pPr>
              <w:spacing w:line="276" w:lineRule="auto"/>
              <w:rPr>
                <w:rFonts w:eastAsia="Arial"/>
              </w:rPr>
            </w:pPr>
            <w:r>
              <w:rPr>
                <w:rFonts w:eastAsia="Arial"/>
              </w:rPr>
              <w:t>(Šiuo metu vykdomas)</w:t>
            </w:r>
          </w:p>
        </w:tc>
        <w:tc>
          <w:tcPr>
            <w:tcW w:w="2351" w:type="dxa"/>
          </w:tcPr>
          <w:p w14:paraId="0DA97011" w14:textId="77777777" w:rsidR="00E76D3A" w:rsidRPr="003F274B" w:rsidRDefault="00E76D3A" w:rsidP="00AA41E2">
            <w:pPr>
              <w:spacing w:line="276" w:lineRule="auto"/>
              <w:rPr>
                <w:rFonts w:eastAsia="Arial"/>
              </w:rPr>
            </w:pPr>
            <w:r>
              <w:rPr>
                <w:rFonts w:eastAsia="Arial"/>
              </w:rPr>
              <w:t>–</w:t>
            </w:r>
          </w:p>
        </w:tc>
        <w:tc>
          <w:tcPr>
            <w:tcW w:w="2300" w:type="dxa"/>
          </w:tcPr>
          <w:p w14:paraId="383CFECA" w14:textId="175F1137" w:rsidR="00E76D3A" w:rsidRPr="00D05364" w:rsidRDefault="00347C40" w:rsidP="00AA41E2">
            <w:pPr>
              <w:spacing w:line="276" w:lineRule="auto"/>
              <w:rPr>
                <w:rFonts w:eastAsia="Arial"/>
              </w:rPr>
            </w:pPr>
            <w:r>
              <w:rPr>
                <w:rFonts w:eastAsia="Arial"/>
              </w:rPr>
              <w:t>–</w:t>
            </w:r>
          </w:p>
        </w:tc>
      </w:tr>
      <w:tr w:rsidR="00E76D3A" w:rsidRPr="00D05364" w14:paraId="5CA7B09F" w14:textId="77777777" w:rsidTr="003116A8">
        <w:trPr>
          <w:trHeight w:val="1927"/>
        </w:trPr>
        <w:tc>
          <w:tcPr>
            <w:tcW w:w="2927" w:type="dxa"/>
          </w:tcPr>
          <w:p w14:paraId="0EC38FEA" w14:textId="77777777" w:rsidR="00E76D3A" w:rsidRPr="00D05364" w:rsidRDefault="00E76D3A" w:rsidP="00AA41E2">
            <w:pPr>
              <w:spacing w:line="276" w:lineRule="auto"/>
              <w:rPr>
                <w:rFonts w:eastAsia="Arial"/>
              </w:rPr>
            </w:pPr>
            <w:r w:rsidRPr="00D05364">
              <w:rPr>
                <w:rFonts w:eastAsia="Arial"/>
              </w:rPr>
              <w:t>Nacionalinis farmakoekonomikos centras, Airija</w:t>
            </w:r>
          </w:p>
          <w:p w14:paraId="7F74AAD1" w14:textId="77777777" w:rsidR="00E76D3A" w:rsidRPr="00D05364" w:rsidRDefault="00E76D3A" w:rsidP="00AA41E2">
            <w:pPr>
              <w:spacing w:line="276" w:lineRule="auto"/>
              <w:rPr>
                <w:rFonts w:eastAsia="Arial"/>
              </w:rPr>
            </w:pPr>
            <w:r w:rsidRPr="00D05364">
              <w:rPr>
                <w:rFonts w:eastAsia="Arial"/>
              </w:rPr>
              <w:t>(angl.</w:t>
            </w:r>
            <w:r w:rsidRPr="00D05364">
              <w:rPr>
                <w:rFonts w:eastAsia="Arial"/>
                <w:i/>
              </w:rPr>
              <w:t xml:space="preserve"> National Centre for Pharmacoeconomics, NCPE</w:t>
            </w:r>
            <w:r w:rsidRPr="00D05364">
              <w:rPr>
                <w:rFonts w:eastAsia="Arial"/>
              </w:rPr>
              <w:t>)</w:t>
            </w:r>
          </w:p>
        </w:tc>
        <w:tc>
          <w:tcPr>
            <w:tcW w:w="1915" w:type="dxa"/>
          </w:tcPr>
          <w:p w14:paraId="39CA1793" w14:textId="5707505D" w:rsidR="00E76D3A" w:rsidRPr="00D05364" w:rsidRDefault="00000000" w:rsidP="00AA41E2">
            <w:sdt>
              <w:sdtPr>
                <w:rPr>
                  <w:rStyle w:val="Style2"/>
                </w:rPr>
                <w:id w:val="-1888403732"/>
                <w15:color w:val="FFCC00"/>
                <w14:checkbox>
                  <w14:checked w14:val="0"/>
                  <w14:checkedState w14:val="2612" w14:font="MS Gothic"/>
                  <w14:uncheckedState w14:val="2610" w14:font="MS Gothic"/>
                </w14:checkbox>
              </w:sdtPr>
              <w:sdtContent>
                <w:r w:rsidR="00E76D3A" w:rsidRPr="00D05364">
                  <w:rPr>
                    <w:rStyle w:val="Style2"/>
                    <w:rFonts w:ascii="Segoe UI Symbol" w:eastAsia="MS Gothic" w:hAnsi="Segoe UI Symbol" w:cs="Segoe UI Symbol"/>
                  </w:rPr>
                  <w:t>☐</w:t>
                </w:r>
              </w:sdtContent>
            </w:sdt>
            <w:r w:rsidR="00E76D3A" w:rsidRPr="00D05364">
              <w:t xml:space="preserve"> Taip</w:t>
            </w:r>
          </w:p>
          <w:p w14:paraId="18F741CA" w14:textId="38F64FF7" w:rsidR="00E76D3A" w:rsidRPr="00D05364" w:rsidRDefault="00000000" w:rsidP="00AA41E2">
            <w:sdt>
              <w:sdtPr>
                <w:rPr>
                  <w:rStyle w:val="Style2"/>
                </w:rPr>
                <w:id w:val="1092201793"/>
                <w15:color w:val="FFCC00"/>
                <w14:checkbox>
                  <w14:checked w14:val="1"/>
                  <w14:checkedState w14:val="2612" w14:font="MS Gothic"/>
                  <w14:uncheckedState w14:val="2610" w14:font="MS Gothic"/>
                </w14:checkbox>
              </w:sdtPr>
              <w:sdtContent>
                <w:r w:rsidR="00E76D3A">
                  <w:rPr>
                    <w:rStyle w:val="Style2"/>
                    <w:rFonts w:ascii="MS Gothic" w:eastAsia="MS Gothic" w:hAnsi="MS Gothic" w:hint="eastAsia"/>
                  </w:rPr>
                  <w:t>☒</w:t>
                </w:r>
              </w:sdtContent>
            </w:sdt>
            <w:r w:rsidR="00E76D3A" w:rsidRPr="00D05364">
              <w:t xml:space="preserve"> Ne</w:t>
            </w:r>
          </w:p>
          <w:p w14:paraId="60A39EA0" w14:textId="77777777" w:rsidR="00E76D3A" w:rsidRPr="00D05364" w:rsidRDefault="00E76D3A" w:rsidP="00AA41E2">
            <w:pPr>
              <w:spacing w:line="276" w:lineRule="auto"/>
              <w:rPr>
                <w:rFonts w:eastAsia="Arial"/>
              </w:rPr>
            </w:pPr>
            <w:r>
              <w:rPr>
                <w:rFonts w:eastAsia="Arial"/>
              </w:rPr>
              <w:t>(Šiuo metu vykdomas)</w:t>
            </w:r>
          </w:p>
        </w:tc>
        <w:tc>
          <w:tcPr>
            <w:tcW w:w="2351" w:type="dxa"/>
          </w:tcPr>
          <w:p w14:paraId="00093B78" w14:textId="77777777" w:rsidR="00E76D3A" w:rsidRPr="003F274B" w:rsidRDefault="00E76D3A" w:rsidP="00AA41E2">
            <w:pPr>
              <w:spacing w:line="276" w:lineRule="auto"/>
              <w:rPr>
                <w:rFonts w:eastAsia="Arial"/>
              </w:rPr>
            </w:pPr>
            <w:r>
              <w:rPr>
                <w:rFonts w:eastAsia="Arial"/>
              </w:rPr>
              <w:t>–</w:t>
            </w:r>
          </w:p>
        </w:tc>
        <w:tc>
          <w:tcPr>
            <w:tcW w:w="2300" w:type="dxa"/>
          </w:tcPr>
          <w:p w14:paraId="7D3B07D0" w14:textId="35241E15" w:rsidR="00E76D3A" w:rsidRPr="00D05364" w:rsidRDefault="00347C40" w:rsidP="00AA41E2">
            <w:pPr>
              <w:spacing w:line="276" w:lineRule="auto"/>
              <w:rPr>
                <w:rFonts w:eastAsia="Arial"/>
              </w:rPr>
            </w:pPr>
            <w:r>
              <w:rPr>
                <w:rFonts w:eastAsia="Arial"/>
              </w:rPr>
              <w:t>–</w:t>
            </w:r>
          </w:p>
        </w:tc>
      </w:tr>
    </w:tbl>
    <w:p w14:paraId="2FF89B64" w14:textId="77777777" w:rsidR="007A2B68" w:rsidRDefault="007A2B68" w:rsidP="00E03C3F">
      <w:pPr>
        <w:pStyle w:val="ListParagraph"/>
        <w:tabs>
          <w:tab w:val="left" w:pos="426"/>
        </w:tabs>
        <w:ind w:left="0"/>
        <w:rPr>
          <w:b/>
          <w:bCs/>
          <w:caps/>
        </w:rPr>
      </w:pPr>
    </w:p>
    <w:p w14:paraId="6F6E2012" w14:textId="77777777" w:rsidR="007A2B68" w:rsidRDefault="007A2B68">
      <w:pPr>
        <w:rPr>
          <w:b/>
          <w:bCs/>
          <w:caps/>
        </w:rPr>
      </w:pPr>
      <w:r>
        <w:rPr>
          <w:b/>
          <w:bCs/>
          <w:caps/>
        </w:rPr>
        <w:br w:type="page"/>
      </w:r>
    </w:p>
    <w:p w14:paraId="6ED14896" w14:textId="77777777" w:rsidR="002E6F80" w:rsidRPr="00E33EFF" w:rsidRDefault="00CC7832" w:rsidP="00CC09D4">
      <w:pPr>
        <w:pStyle w:val="ListParagraph"/>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75C32DE0" w14:textId="27A58105" w:rsidR="00D4485B" w:rsidRDefault="00D4485B" w:rsidP="00A93AA6">
      <w:pPr>
        <w:pStyle w:val="ListParagraph"/>
        <w:tabs>
          <w:tab w:val="left" w:pos="426"/>
        </w:tabs>
        <w:ind w:left="0"/>
        <w:rPr>
          <w:caps/>
        </w:rPr>
      </w:pPr>
    </w:p>
    <w:p w14:paraId="7F3633AA" w14:textId="64953D49" w:rsidR="00E76D3A" w:rsidRPr="00D73774" w:rsidRDefault="003E4510" w:rsidP="00954DBC">
      <w:pPr>
        <w:tabs>
          <w:tab w:val="left" w:pos="426"/>
        </w:tabs>
        <w:spacing w:line="276" w:lineRule="auto"/>
        <w:jc w:val="both"/>
        <w:rPr>
          <w:rFonts w:eastAsia="Arial"/>
          <w:iCs/>
        </w:rPr>
      </w:pPr>
      <w:r>
        <w:rPr>
          <w:rFonts w:eastAsia="Arial"/>
        </w:rPr>
        <w:tab/>
      </w:r>
      <w:r w:rsidR="00E76D3A" w:rsidRPr="00D73774">
        <w:rPr>
          <w:rFonts w:eastAsia="Arial"/>
        </w:rPr>
        <w:t xml:space="preserve">Prostatos vėžys – dažniausias vyrų onkologinis susirgimas Lietuvoje. </w:t>
      </w:r>
      <w:r w:rsidR="00E76D3A" w:rsidRPr="00D73774">
        <w:rPr>
          <w:rFonts w:eastAsia="Arial"/>
          <w:iCs/>
        </w:rPr>
        <w:t xml:space="preserve">Sergamumo rodikliai Lietuvoje didėja. 2020 metais sergančiųjų skaičius sudarė 777 atvejų 100 000 gyventojų, o mirčių skaičius – 19,21 atvejų 100 000 gyventojų. </w:t>
      </w:r>
    </w:p>
    <w:p w14:paraId="5D68F33F" w14:textId="6BB724D8" w:rsidR="00E76D3A" w:rsidRPr="00D73774" w:rsidRDefault="00E76D3A" w:rsidP="00954DBC">
      <w:pPr>
        <w:tabs>
          <w:tab w:val="left" w:pos="426"/>
        </w:tabs>
        <w:spacing w:line="276" w:lineRule="auto"/>
        <w:jc w:val="both"/>
        <w:rPr>
          <w:rFonts w:eastAsia="Arial"/>
          <w:iCs/>
        </w:rPr>
      </w:pPr>
      <w:r w:rsidRPr="00D73774">
        <w:rPr>
          <w:rFonts w:eastAsia="Arial"/>
          <w:iCs/>
        </w:rPr>
        <w:tab/>
      </w:r>
      <w:r w:rsidRPr="002D1E45">
        <w:rPr>
          <w:rFonts w:eastAsia="Arial"/>
          <w:iCs/>
        </w:rPr>
        <w:t xml:space="preserve">Apskaičiuota, kad maždaug </w:t>
      </w:r>
      <w:r w:rsidR="003C6383">
        <w:rPr>
          <w:rFonts w:eastAsia="Arial"/>
          <w:iCs/>
        </w:rPr>
        <w:t>**</w:t>
      </w:r>
      <w:r w:rsidRPr="002D1E45">
        <w:rPr>
          <w:rFonts w:eastAsia="Arial"/>
          <w:iCs/>
        </w:rPr>
        <w:t xml:space="preserve"> pacientų, sergančių metastazavusiu kastracijai atspariu prostatos vėžiu</w:t>
      </w:r>
      <w:r w:rsidR="00F116BB" w:rsidRPr="002D1E45">
        <w:rPr>
          <w:rFonts w:eastAsia="Arial"/>
          <w:iCs/>
        </w:rPr>
        <w:t xml:space="preserve"> (mKAPV)</w:t>
      </w:r>
      <w:r w:rsidRPr="002D1E45">
        <w:rPr>
          <w:rFonts w:eastAsia="Arial"/>
          <w:iCs/>
        </w:rPr>
        <w:t>, turi homologinės rekombinacijos atkūrimo (</w:t>
      </w:r>
      <w:r w:rsidR="00995067" w:rsidRPr="002D1E45">
        <w:rPr>
          <w:rFonts w:eastAsia="Arial"/>
          <w:iCs/>
        </w:rPr>
        <w:t xml:space="preserve">angl. </w:t>
      </w:r>
      <w:r w:rsidR="00995067" w:rsidRPr="002D1E45">
        <w:rPr>
          <w:i/>
          <w:shd w:val="clear" w:color="auto" w:fill="FFFFFF"/>
        </w:rPr>
        <w:t>homologous recombination repair</w:t>
      </w:r>
      <w:r w:rsidR="00995067" w:rsidRPr="002D1E45">
        <w:rPr>
          <w:shd w:val="clear" w:color="auto" w:fill="FFFFFF"/>
        </w:rPr>
        <w:t>,</w:t>
      </w:r>
      <w:r w:rsidR="00995067" w:rsidRPr="002D1E45">
        <w:rPr>
          <w:rFonts w:eastAsia="Arial"/>
          <w:iCs/>
        </w:rPr>
        <w:t xml:space="preserve"> </w:t>
      </w:r>
      <w:r w:rsidRPr="002D1E45">
        <w:rPr>
          <w:rFonts w:eastAsia="Arial"/>
          <w:i/>
        </w:rPr>
        <w:t>HRR</w:t>
      </w:r>
      <w:r w:rsidRPr="002D1E45">
        <w:rPr>
          <w:rFonts w:eastAsia="Arial"/>
          <w:iCs/>
        </w:rPr>
        <w:t xml:space="preserve">) mutacijų. </w:t>
      </w:r>
      <w:r w:rsidR="004440E3" w:rsidRPr="002D1E45">
        <w:rPr>
          <w:rFonts w:eastAsia="Arial"/>
          <w:iCs/>
        </w:rPr>
        <w:t>HRR mutacijų grupę sudaro BRCA1, BRCA2, ATM</w:t>
      </w:r>
      <w:r w:rsidR="003E57CF" w:rsidRPr="002D1E45">
        <w:rPr>
          <w:rFonts w:eastAsia="Arial"/>
          <w:iCs/>
        </w:rPr>
        <w:t xml:space="preserve">, </w:t>
      </w:r>
      <w:r w:rsidR="00843CE5" w:rsidRPr="002D1E45">
        <w:rPr>
          <w:rFonts w:eastAsia="Arial"/>
          <w:iCs/>
        </w:rPr>
        <w:t xml:space="preserve">BARD1, BRIP1, </w:t>
      </w:r>
      <w:r w:rsidR="003E57CF" w:rsidRPr="002D1E45">
        <w:rPr>
          <w:rFonts w:eastAsia="Arial"/>
          <w:iCs/>
        </w:rPr>
        <w:t>CDK12</w:t>
      </w:r>
      <w:r w:rsidR="004440E3" w:rsidRPr="002D1E45">
        <w:rPr>
          <w:rFonts w:eastAsia="Arial"/>
          <w:iCs/>
        </w:rPr>
        <w:t xml:space="preserve"> ir kitos mutacijos. </w:t>
      </w:r>
      <w:r w:rsidRPr="002D1E45">
        <w:rPr>
          <w:rFonts w:eastAsia="Arial"/>
          <w:iCs/>
        </w:rPr>
        <w:t>Sergant mKAPV, BRCA mutacijos yra dažniausiai nustatomos HRR geno mutacijos (</w:t>
      </w:r>
      <w:r w:rsidR="001C106A" w:rsidRPr="002D1E45">
        <w:rPr>
          <w:rFonts w:eastAsia="Arial"/>
          <w:iCs/>
        </w:rPr>
        <w:t>iš</w:t>
      </w:r>
      <w:r w:rsidRPr="002D1E45">
        <w:rPr>
          <w:rFonts w:eastAsia="Arial"/>
          <w:iCs/>
        </w:rPr>
        <w:t xml:space="preserve"> jų – </w:t>
      </w:r>
      <w:r w:rsidRPr="00D73774">
        <w:rPr>
          <w:rFonts w:eastAsia="Arial"/>
          <w:iCs/>
          <w:color w:val="000000" w:themeColor="text1"/>
        </w:rPr>
        <w:t>BRCA2 mutacija nustato</w:t>
      </w:r>
      <w:r w:rsidRPr="00D73774">
        <w:rPr>
          <w:rFonts w:eastAsia="Arial"/>
          <w:iCs/>
        </w:rPr>
        <w:t xml:space="preserve">ma dažniau nei BRCA1). ATM yra antra pagal dažnumą aptinkama HRR geno mutacija. </w:t>
      </w:r>
    </w:p>
    <w:p w14:paraId="1E48A6B5" w14:textId="1BA605EB" w:rsidR="00E76D3A" w:rsidRPr="00D73774" w:rsidRDefault="00E76D3A" w:rsidP="00954DBC">
      <w:pPr>
        <w:tabs>
          <w:tab w:val="left" w:pos="426"/>
        </w:tabs>
        <w:spacing w:line="276" w:lineRule="auto"/>
        <w:jc w:val="both"/>
        <w:rPr>
          <w:iCs/>
        </w:rPr>
      </w:pPr>
      <w:r w:rsidRPr="00D73774">
        <w:rPr>
          <w:rFonts w:eastAsia="Arial"/>
          <w:iCs/>
        </w:rPr>
        <w:tab/>
      </w:r>
      <w:r w:rsidRPr="00D73774">
        <w:rPr>
          <w:rFonts w:eastAsia="Arial"/>
        </w:rPr>
        <w:t xml:space="preserve">Lietuvoje </w:t>
      </w:r>
      <w:r w:rsidR="000A0EF7" w:rsidRPr="00D73774">
        <w:rPr>
          <w:rFonts w:eastAsia="Arial"/>
          <w:iCs/>
        </w:rPr>
        <w:t>prostatos vėžys diagnozuojamas ir gydomas vadovaujantis Lietuvos Respublikos sveikatos apsaugos ministro patvirtintu 2011 m. lapkričio 2 d. įsakymu Nr. V-941 „Dėl priešinės liaukos (prostatos) piktybinio naviko ambulatorinio gydymo kompensuojamaisiais vaistais tvarkos aprašo patvirtinimo“</w:t>
      </w:r>
      <w:r w:rsidR="000A0EF7" w:rsidRPr="00D73774">
        <w:rPr>
          <w:iCs/>
        </w:rPr>
        <w:t xml:space="preserve">. </w:t>
      </w:r>
      <w:r w:rsidR="0055748F" w:rsidRPr="00D73774">
        <w:rPr>
          <w:rFonts w:eastAsia="Arial"/>
        </w:rPr>
        <w:t>Pacientai, sergantys</w:t>
      </w:r>
      <w:r w:rsidRPr="00D73774">
        <w:rPr>
          <w:rFonts w:eastAsia="Arial"/>
        </w:rPr>
        <w:t xml:space="preserve"> </w:t>
      </w:r>
      <w:r w:rsidRPr="00D73774">
        <w:t>mKAPV</w:t>
      </w:r>
      <w:r w:rsidR="0055748F" w:rsidRPr="00D73774">
        <w:t>,</w:t>
      </w:r>
      <w:r w:rsidRPr="00D73774">
        <w:t xml:space="preserve"> gydom</w:t>
      </w:r>
      <w:r w:rsidR="0055748F" w:rsidRPr="00D73774">
        <w:t>i</w:t>
      </w:r>
      <w:r w:rsidRPr="00D73774">
        <w:t xml:space="preserve"> docetakseliu, abirateronu, enzalutamidu, kabazitakseliu</w:t>
      </w:r>
      <w:r w:rsidR="0055748F" w:rsidRPr="00D73774">
        <w:t xml:space="preserve">, o </w:t>
      </w:r>
      <w:r w:rsidRPr="00D73774">
        <w:rPr>
          <w:iCs/>
        </w:rPr>
        <w:t xml:space="preserve">mKAPV pirmos eilės gydymui, kai chemoterapija neskirtina, skiriamas abirateronas (kartu su </w:t>
      </w:r>
      <w:r w:rsidRPr="00D73774">
        <w:rPr>
          <w:rFonts w:eastAsia="Arial"/>
          <w:iCs/>
        </w:rPr>
        <w:t>prednizolonu)</w:t>
      </w:r>
      <w:r w:rsidRPr="00D73774">
        <w:rPr>
          <w:iCs/>
        </w:rPr>
        <w:t xml:space="preserve"> arba enzalutamidas. </w:t>
      </w:r>
    </w:p>
    <w:p w14:paraId="64303A07" w14:textId="77777777" w:rsidR="00E76D3A" w:rsidRPr="00D73774" w:rsidRDefault="00E76D3A" w:rsidP="00954DBC">
      <w:pPr>
        <w:tabs>
          <w:tab w:val="left" w:pos="426"/>
        </w:tabs>
        <w:spacing w:line="276" w:lineRule="auto"/>
        <w:jc w:val="both"/>
        <w:rPr>
          <w:iCs/>
          <w:lang w:eastAsia="lt-LT"/>
        </w:rPr>
      </w:pPr>
      <w:r w:rsidRPr="00D73774">
        <w:rPr>
          <w:iCs/>
        </w:rPr>
        <w:tab/>
      </w:r>
      <w:r w:rsidRPr="00D73774">
        <w:rPr>
          <w:rFonts w:eastAsia="Arial"/>
          <w:bCs/>
        </w:rPr>
        <w:t>Siūlomo kompensuoti vaistinio preparato</w:t>
      </w:r>
      <w:r w:rsidRPr="00D73774">
        <w:rPr>
          <w:rFonts w:eastAsia="Arial"/>
          <w:b/>
        </w:rPr>
        <w:t xml:space="preserve"> </w:t>
      </w:r>
      <w:r w:rsidRPr="00D73774">
        <w:rPr>
          <w:iCs/>
          <w:lang w:eastAsia="lt-LT"/>
        </w:rPr>
        <w:t>olaparibo farmakoterapinė grupė – kiti vaistiniai preparatai nuo vėžio</w:t>
      </w:r>
      <w:r w:rsidRPr="00D73774">
        <w:rPr>
          <w:rFonts w:eastAsia="Arial"/>
          <w:iCs/>
        </w:rPr>
        <w:t xml:space="preserve">. </w:t>
      </w:r>
      <w:r w:rsidRPr="00D73774">
        <w:rPr>
          <w:iCs/>
          <w:lang w:eastAsia="lt-LT"/>
        </w:rPr>
        <w:t xml:space="preserve">Olaparibas stipriai slopina žmogaus fermentus – poli (ADF ribozės) polimerazes (PARP-1, PARP-2, PARP-3). Nustatyta, kad šis vaistinis preparatas slopina atrinktų navikinių ląstelių linijų augimą </w:t>
      </w:r>
      <w:r w:rsidRPr="00D73774">
        <w:rPr>
          <w:i/>
          <w:iCs/>
          <w:lang w:eastAsia="lt-LT"/>
        </w:rPr>
        <w:t>in vitro</w:t>
      </w:r>
      <w:r w:rsidRPr="00D73774">
        <w:rPr>
          <w:iCs/>
          <w:lang w:eastAsia="lt-LT"/>
        </w:rPr>
        <w:t xml:space="preserve"> bei navikų augimą </w:t>
      </w:r>
      <w:r w:rsidRPr="00D73774">
        <w:rPr>
          <w:i/>
          <w:iCs/>
          <w:lang w:eastAsia="lt-LT"/>
        </w:rPr>
        <w:t>in vivo</w:t>
      </w:r>
      <w:r w:rsidRPr="00D73774">
        <w:rPr>
          <w:iCs/>
          <w:lang w:eastAsia="lt-LT"/>
        </w:rPr>
        <w:t>, veikdamas vienas arba kartu su ištirta chemoterapija.</w:t>
      </w:r>
    </w:p>
    <w:p w14:paraId="292F1B4D" w14:textId="6601049E" w:rsidR="00E76D3A" w:rsidRPr="00D73774" w:rsidRDefault="00E76D3A" w:rsidP="00954DBC">
      <w:pPr>
        <w:tabs>
          <w:tab w:val="left" w:pos="426"/>
        </w:tabs>
        <w:spacing w:line="276" w:lineRule="auto"/>
        <w:jc w:val="both"/>
        <w:rPr>
          <w:color w:val="000000" w:themeColor="text1"/>
        </w:rPr>
      </w:pPr>
      <w:r w:rsidRPr="00D73774">
        <w:rPr>
          <w:rFonts w:eastAsia="Arial"/>
          <w:iCs/>
        </w:rPr>
        <w:tab/>
      </w:r>
      <w:r w:rsidRPr="00D73774">
        <w:rPr>
          <w:color w:val="000000" w:themeColor="text1"/>
        </w:rPr>
        <w:t xml:space="preserve">Olaparibo veiksmingums ir saugumas, gydant mKAPV sergančius pacientus, tirtas 3 fazės, atsitiktinių imčių, dvigubai </w:t>
      </w:r>
      <w:r w:rsidR="003E4510" w:rsidRPr="00D73774">
        <w:rPr>
          <w:color w:val="000000" w:themeColor="text1"/>
        </w:rPr>
        <w:t>koduoto</w:t>
      </w:r>
      <w:r w:rsidRPr="00D73774">
        <w:rPr>
          <w:color w:val="000000" w:themeColor="text1"/>
        </w:rPr>
        <w:t>, placebu kontroliuojamo, daugiacentrio klinikinio tyrimo PROpel metu.</w:t>
      </w:r>
      <w:r w:rsidRPr="00D73774">
        <w:rPr>
          <w:rFonts w:eastAsia="Arial"/>
          <w:iCs/>
        </w:rPr>
        <w:t xml:space="preserve"> </w:t>
      </w:r>
      <w:r w:rsidRPr="00D73774">
        <w:rPr>
          <w:color w:val="000000" w:themeColor="text1"/>
        </w:rPr>
        <w:t xml:space="preserve">Į tyrimą įtraukti 796 pacientai, sirgę histologiškai patvirtinta prostatos adenokarcinoma su metastazėmis. Iš jų 399 pacientams buvo skirta olaparibo, abiraterono ir prednizolono, o likusiems 397  pacientų </w:t>
      </w:r>
      <w:r w:rsidRPr="00D73774">
        <w:rPr>
          <w:color w:val="000000" w:themeColor="text1"/>
          <w:lang w:val="en-US"/>
        </w:rPr>
        <w:t xml:space="preserve">buvo </w:t>
      </w:r>
      <w:r w:rsidRPr="00D73774">
        <w:rPr>
          <w:color w:val="000000" w:themeColor="text1"/>
        </w:rPr>
        <w:t>skirta placebo, abiraterono ir prednizolono.</w:t>
      </w:r>
      <w:r w:rsidR="003116A8">
        <w:rPr>
          <w:color w:val="000000" w:themeColor="text1"/>
        </w:rPr>
        <w:t xml:space="preserve"> </w:t>
      </w:r>
    </w:p>
    <w:p w14:paraId="0F371D03" w14:textId="66A5D7C5" w:rsidR="00E76D3A" w:rsidRPr="00D73774" w:rsidRDefault="000E7A13" w:rsidP="00954DBC">
      <w:pPr>
        <w:tabs>
          <w:tab w:val="left" w:pos="426"/>
        </w:tabs>
        <w:spacing w:line="276" w:lineRule="auto"/>
        <w:jc w:val="both"/>
        <w:outlineLvl w:val="1"/>
        <w:rPr>
          <w:color w:val="000000" w:themeColor="text1"/>
        </w:rPr>
      </w:pPr>
      <w:r w:rsidRPr="00D73774">
        <w:rPr>
          <w:color w:val="000000" w:themeColor="text1"/>
        </w:rPr>
        <w:tab/>
      </w:r>
      <w:r w:rsidR="00E76D3A" w:rsidRPr="00D73774">
        <w:rPr>
          <w:color w:val="000000" w:themeColor="text1"/>
        </w:rPr>
        <w:t xml:space="preserve">Pagrindinė vertinamoji baigtis – radiologinis išgyvenamumas be ligos progresavimo, rIBLP (angl. </w:t>
      </w:r>
      <w:r w:rsidR="00E76D3A" w:rsidRPr="00D73774">
        <w:rPr>
          <w:i/>
          <w:iCs/>
          <w:color w:val="000000" w:themeColor="text1"/>
        </w:rPr>
        <w:t>radiological progression-free survival, rPFS</w:t>
      </w:r>
      <w:r w:rsidR="00E76D3A" w:rsidRPr="00D73774">
        <w:rPr>
          <w:color w:val="000000" w:themeColor="text1"/>
        </w:rPr>
        <w:t>), apibrėžtas kaip laikas nuo randomizacijos iki radiologiškai tyrėjo vertinimu pagal RECIST 1.1 kriterijus ir PCWG-3 kriterijus (kauluose) patvirtinto ligos progresavimo. Svarbiausia antrinė vertinamoji baigtis – bendras išgyvenamumas</w:t>
      </w:r>
      <w:r w:rsidR="0065452D" w:rsidRPr="00D73774">
        <w:rPr>
          <w:color w:val="000000" w:themeColor="text1"/>
        </w:rPr>
        <w:t xml:space="preserve">, </w:t>
      </w:r>
      <w:r w:rsidR="00E76D3A" w:rsidRPr="00D73774">
        <w:rPr>
          <w:color w:val="000000" w:themeColor="text1"/>
        </w:rPr>
        <w:t xml:space="preserve">BI (angl. </w:t>
      </w:r>
      <w:r w:rsidR="00E76D3A" w:rsidRPr="00D73774">
        <w:rPr>
          <w:i/>
          <w:iCs/>
          <w:color w:val="000000" w:themeColor="text1"/>
        </w:rPr>
        <w:t>overall survival, OS</w:t>
      </w:r>
      <w:r w:rsidR="00E76D3A" w:rsidRPr="00D73774">
        <w:rPr>
          <w:color w:val="000000" w:themeColor="text1"/>
        </w:rPr>
        <w:t>).</w:t>
      </w:r>
    </w:p>
    <w:p w14:paraId="0FE021DD" w14:textId="78A51340" w:rsidR="00FE4E0E" w:rsidRPr="00D73774" w:rsidRDefault="00E60568" w:rsidP="00954DBC">
      <w:pPr>
        <w:tabs>
          <w:tab w:val="left" w:pos="426"/>
        </w:tabs>
        <w:spacing w:line="276" w:lineRule="auto"/>
        <w:jc w:val="both"/>
        <w:rPr>
          <w:color w:val="000000"/>
        </w:rPr>
      </w:pPr>
      <w:r w:rsidRPr="00D73774">
        <w:rPr>
          <w:color w:val="000000" w:themeColor="text1"/>
        </w:rPr>
        <w:tab/>
      </w:r>
      <w:r w:rsidR="00E76D3A" w:rsidRPr="00D73774">
        <w:rPr>
          <w:color w:val="000000" w:themeColor="text1"/>
        </w:rPr>
        <w:t xml:space="preserve">Pareiškėjų pateikti antros tarpinės analizės duomenys </w:t>
      </w:r>
      <w:r w:rsidR="000348AF" w:rsidRPr="00D73774">
        <w:rPr>
          <w:color w:val="000000" w:themeColor="text1"/>
        </w:rPr>
        <w:t xml:space="preserve">(rinkti iki 2022 m. kovo 14 d.) </w:t>
      </w:r>
      <w:r w:rsidR="00E76D3A" w:rsidRPr="00D73774">
        <w:rPr>
          <w:color w:val="000000" w:themeColor="text1"/>
        </w:rPr>
        <w:t>buvo nebrand</w:t>
      </w:r>
      <w:r w:rsidR="003E4510" w:rsidRPr="00D73774">
        <w:rPr>
          <w:color w:val="000000" w:themeColor="text1"/>
        </w:rPr>
        <w:t>ū</w:t>
      </w:r>
      <w:r w:rsidR="00E76D3A" w:rsidRPr="00D73774">
        <w:rPr>
          <w:color w:val="000000" w:themeColor="text1"/>
        </w:rPr>
        <w:t xml:space="preserve">s – rIBLP rezultatų </w:t>
      </w:r>
      <w:r w:rsidR="00E76D3A" w:rsidRPr="00D73774">
        <w:rPr>
          <w:color w:val="000000"/>
        </w:rPr>
        <w:t>brandumas buvo 57,4 %, o BI rezultatų brandumas –  40,1 %.</w:t>
      </w:r>
    </w:p>
    <w:p w14:paraId="2CA581E8" w14:textId="3A841829" w:rsidR="00314B7F" w:rsidRPr="00D73774" w:rsidRDefault="00FE4E0E" w:rsidP="00954DBC">
      <w:pPr>
        <w:tabs>
          <w:tab w:val="left" w:pos="426"/>
        </w:tabs>
        <w:spacing w:line="276" w:lineRule="auto"/>
        <w:jc w:val="both"/>
        <w:rPr>
          <w:color w:val="000000"/>
        </w:rPr>
      </w:pPr>
      <w:r w:rsidRPr="00D73774">
        <w:rPr>
          <w:color w:val="000000"/>
        </w:rPr>
        <w:tab/>
      </w:r>
      <w:r w:rsidR="00302368" w:rsidRPr="00D73774">
        <w:t xml:space="preserve">Atliekant klinikinį tyrimą PROpel, BRCA mutacijų pogrupio vertinimas nebuvo iš anksto numatytas. BRCA mutacijų pogrupio rezultatai buvo gauti paskesniosios analizės (angl. </w:t>
      </w:r>
      <w:r w:rsidR="007D1B0A" w:rsidRPr="007D1B0A">
        <w:rPr>
          <w:i/>
          <w:iCs/>
        </w:rPr>
        <w:t>post-hoc analysis</w:t>
      </w:r>
      <w:r w:rsidR="00302368" w:rsidRPr="00D73774">
        <w:rPr>
          <w:i/>
          <w:iCs/>
        </w:rPr>
        <w:t>)</w:t>
      </w:r>
      <w:r w:rsidR="00302368" w:rsidRPr="00D73774">
        <w:t xml:space="preserve"> būdu. Pažymėtina, kad </w:t>
      </w:r>
      <w:r w:rsidR="00376AAA" w:rsidRPr="00D73774">
        <w:t xml:space="preserve">Lietuvos Respublikos sveikatos apsaugos ministro 2002 m. balandžio 5 d. įsakyme Nr. V-159 „Dėl vaistinių preparatų ir medicinos pagalbos priemonių įrašymo į kompensavimo sąrašus ir jų keitimo tvarkos aprašo patvirtinimo“ </w:t>
      </w:r>
      <w:r w:rsidR="00302368" w:rsidRPr="00D73774">
        <w:t xml:space="preserve">nurodyta, jog kokybiškiausiais laikomi </w:t>
      </w:r>
      <w:r w:rsidR="00302368" w:rsidRPr="002D1E45">
        <w:t xml:space="preserve">pagrindinio klinikinio tyrimo (angl. </w:t>
      </w:r>
      <w:r w:rsidR="00302368" w:rsidRPr="002D1E45">
        <w:rPr>
          <w:i/>
          <w:iCs/>
        </w:rPr>
        <w:t>pivotal study</w:t>
      </w:r>
      <w:r w:rsidR="00302368" w:rsidRPr="002D1E45">
        <w:t xml:space="preserve">) duomenys apie </w:t>
      </w:r>
      <w:r w:rsidR="00302368" w:rsidRPr="004D5556">
        <w:rPr>
          <w:i/>
        </w:rPr>
        <w:t>pirminės baigties analizei suplanuotą pogrupį</w:t>
      </w:r>
      <w:r w:rsidR="00302368" w:rsidRPr="002D1E45">
        <w:t xml:space="preserve"> arba duomenys apie </w:t>
      </w:r>
      <w:r w:rsidR="00302368" w:rsidRPr="004D5556">
        <w:rPr>
          <w:i/>
        </w:rPr>
        <w:t>antrinių baigčių analizėms suplanuotą pogrupį, kurie buvo apibrėžti klinikinio tyrimo protokole</w:t>
      </w:r>
      <w:r w:rsidR="00302368" w:rsidRPr="002D1E45">
        <w:t xml:space="preserve">. </w:t>
      </w:r>
      <w:r w:rsidR="000D52A1">
        <w:t>Be to pažymėtina, ka</w:t>
      </w:r>
      <w:r w:rsidR="00302368" w:rsidRPr="002D1E45">
        <w:t xml:space="preserve">d BRCA mutacijų pogrupis yra </w:t>
      </w:r>
      <w:r w:rsidR="00F116BB" w:rsidRPr="002D1E45">
        <w:t>HRR mutacijų</w:t>
      </w:r>
      <w:r w:rsidR="00302368" w:rsidRPr="002D1E45">
        <w:t xml:space="preserve"> pogrupio </w:t>
      </w:r>
      <w:r w:rsidR="00F116BB" w:rsidRPr="002D1E45">
        <w:t>(toliau – HRRm pogrupi</w:t>
      </w:r>
      <w:r w:rsidR="002D1E45">
        <w:t>s</w:t>
      </w:r>
      <w:r w:rsidR="00F116BB" w:rsidRPr="002D1E45">
        <w:t xml:space="preserve">) </w:t>
      </w:r>
      <w:r w:rsidR="00302368" w:rsidRPr="002D1E45">
        <w:t>dalis</w:t>
      </w:r>
      <w:r w:rsidR="00302368" w:rsidRPr="00902613">
        <w:t xml:space="preserve">. </w:t>
      </w:r>
      <w:r w:rsidR="00902613" w:rsidRPr="00902613">
        <w:tab/>
      </w:r>
      <w:r w:rsidR="00314B7F" w:rsidRPr="00902613">
        <w:t xml:space="preserve">Apibendrinant pirmiau išdėstytą informaciją, </w:t>
      </w:r>
      <w:r w:rsidR="008E6C39" w:rsidRPr="00902613">
        <w:t xml:space="preserve">atliekant </w:t>
      </w:r>
      <w:r w:rsidR="00095DB8" w:rsidRPr="00902613">
        <w:t xml:space="preserve">sveikatos technologijų </w:t>
      </w:r>
      <w:r w:rsidR="008E6C39" w:rsidRPr="00902613">
        <w:t>vertinimą teikiamai terapinei indikacijai,</w:t>
      </w:r>
      <w:r w:rsidR="00095DB8" w:rsidRPr="00902613">
        <w:t xml:space="preserve"> palyginamasis veiksmingumas buvo grindžiamas </w:t>
      </w:r>
      <w:r w:rsidR="00D0028A" w:rsidRPr="00902613">
        <w:t>HRR</w:t>
      </w:r>
      <w:r w:rsidR="00902613" w:rsidRPr="00902613">
        <w:t>m</w:t>
      </w:r>
      <w:r w:rsidR="00D0028A" w:rsidRPr="00902613">
        <w:t xml:space="preserve"> pogrup</w:t>
      </w:r>
      <w:r w:rsidR="00095DB8" w:rsidRPr="00902613">
        <w:t xml:space="preserve">io tyrimo rezultatais. </w:t>
      </w:r>
      <w:r w:rsidR="008E6C39" w:rsidRPr="00902613">
        <w:t xml:space="preserve"> </w:t>
      </w:r>
    </w:p>
    <w:p w14:paraId="7231EC4A" w14:textId="78D9FA3E" w:rsidR="00E60568" w:rsidRPr="00D73774" w:rsidRDefault="00302368" w:rsidP="00954DBC">
      <w:pPr>
        <w:tabs>
          <w:tab w:val="left" w:pos="426"/>
        </w:tabs>
        <w:spacing w:line="276" w:lineRule="auto"/>
        <w:jc w:val="both"/>
        <w:rPr>
          <w:color w:val="000000"/>
        </w:rPr>
      </w:pPr>
      <w:r w:rsidRPr="00D73774">
        <w:rPr>
          <w:color w:val="000000"/>
        </w:rPr>
        <w:lastRenderedPageBreak/>
        <w:tab/>
      </w:r>
      <w:r w:rsidR="00E76D3A" w:rsidRPr="002D1E45">
        <w:t>HRR mutacijų turintiems pacientams olaparibo + abiraterono derinys 50 % sumažino ligos progresavimo riziką, lyginant su placebo + abiraterono deriniu</w:t>
      </w:r>
      <w:r w:rsidR="009A3AD5" w:rsidRPr="002D1E45">
        <w:t xml:space="preserve"> (rIBLP </w:t>
      </w:r>
      <w:r w:rsidR="00374D40" w:rsidRPr="002D1E45">
        <w:t>rizikos santykis (</w:t>
      </w:r>
      <w:r w:rsidR="009A3AD5" w:rsidRPr="002D1E45">
        <w:t>RS</w:t>
      </w:r>
      <w:r w:rsidR="00374D40" w:rsidRPr="002D1E45">
        <w:t>)</w:t>
      </w:r>
      <w:r w:rsidR="009A3AD5" w:rsidRPr="002D1E45">
        <w:t xml:space="preserve"> buvo 0,50 (</w:t>
      </w:r>
      <w:r w:rsidR="005A459E" w:rsidRPr="002D1E45">
        <w:t xml:space="preserve">95 % PI, </w:t>
      </w:r>
      <w:r w:rsidR="009A3AD5" w:rsidRPr="002D1E45">
        <w:t>0,34‒0,73</w:t>
      </w:r>
      <w:r w:rsidR="009A3AD5" w:rsidRPr="00D73774">
        <w:rPr>
          <w:color w:val="000000" w:themeColor="text1"/>
        </w:rPr>
        <w:t>)).</w:t>
      </w:r>
    </w:p>
    <w:p w14:paraId="5060ACDE" w14:textId="52296EA9" w:rsidR="00E76D3A" w:rsidRPr="00D73774" w:rsidRDefault="00E60568" w:rsidP="00954DBC">
      <w:pPr>
        <w:tabs>
          <w:tab w:val="left" w:pos="426"/>
        </w:tabs>
        <w:spacing w:line="276" w:lineRule="auto"/>
        <w:jc w:val="both"/>
        <w:rPr>
          <w:color w:val="000000"/>
        </w:rPr>
      </w:pPr>
      <w:r w:rsidRPr="00D73774">
        <w:rPr>
          <w:color w:val="000000"/>
        </w:rPr>
        <w:tab/>
      </w:r>
      <w:r w:rsidR="00E76D3A" w:rsidRPr="00D73774">
        <w:rPr>
          <w:color w:val="000000" w:themeColor="text1"/>
        </w:rPr>
        <w:t>HRR</w:t>
      </w:r>
      <w:r w:rsidR="00073500" w:rsidRPr="00D73774">
        <w:rPr>
          <w:color w:val="000000" w:themeColor="text1"/>
        </w:rPr>
        <w:t xml:space="preserve">m </w:t>
      </w:r>
      <w:r w:rsidR="00E76D3A" w:rsidRPr="00D73774">
        <w:rPr>
          <w:color w:val="000000" w:themeColor="text1"/>
        </w:rPr>
        <w:t>pogrupyje BI rezultatai nepa</w:t>
      </w:r>
      <w:r w:rsidR="00995067" w:rsidRPr="00D73774">
        <w:rPr>
          <w:color w:val="000000" w:themeColor="text1"/>
        </w:rPr>
        <w:t>rodė</w:t>
      </w:r>
      <w:r w:rsidR="00E76D3A" w:rsidRPr="00D73774">
        <w:rPr>
          <w:color w:val="000000" w:themeColor="text1"/>
        </w:rPr>
        <w:t xml:space="preserve"> reikšmingo skirtumo tarp olaparibo + abiraterono derinio ir placebo + abiraterono derinio efektyvumo</w:t>
      </w:r>
      <w:r w:rsidR="00073500" w:rsidRPr="00D73774">
        <w:rPr>
          <w:color w:val="000000" w:themeColor="text1"/>
        </w:rPr>
        <w:t xml:space="preserve">. </w:t>
      </w:r>
      <w:r w:rsidR="00232774" w:rsidRPr="00D73774">
        <w:t>O</w:t>
      </w:r>
      <w:r w:rsidR="00324C45" w:rsidRPr="00D73774">
        <w:t>laparibo + abiraterono grupėje BI mediana nepasiekta, kontrolinėje grupėje BI mediana buvo 28,39 mėn.</w:t>
      </w:r>
      <w:r w:rsidR="00374D40" w:rsidRPr="00D73774">
        <w:t xml:space="preserve"> </w:t>
      </w:r>
      <w:r w:rsidR="008D490A" w:rsidRPr="00D73774">
        <w:t xml:space="preserve">BI </w:t>
      </w:r>
      <w:r w:rsidR="00324C45" w:rsidRPr="00D73774">
        <w:t xml:space="preserve">RS </w:t>
      </w:r>
      <w:r w:rsidR="008D490A" w:rsidRPr="00D73774">
        <w:t>buvo</w:t>
      </w:r>
      <w:r w:rsidR="00324C45" w:rsidRPr="00D73774">
        <w:t xml:space="preserve"> 0,69, tačiau veiksmingumas tarp grupių statistiškai reikšmingai nesiskyrė (95 % PI, 0,46–1,03).</w:t>
      </w:r>
    </w:p>
    <w:p w14:paraId="7735E6B0" w14:textId="049FE279" w:rsidR="00DE5113" w:rsidRPr="00D73774" w:rsidRDefault="00076BD2" w:rsidP="00954DBC">
      <w:pPr>
        <w:tabs>
          <w:tab w:val="left" w:pos="426"/>
        </w:tabs>
        <w:spacing w:line="276" w:lineRule="auto"/>
        <w:jc w:val="both"/>
      </w:pPr>
      <w:r w:rsidRPr="00D73774">
        <w:rPr>
          <w:color w:val="000000" w:themeColor="text1"/>
        </w:rPr>
        <w:tab/>
      </w:r>
      <w:r w:rsidR="00E76D3A" w:rsidRPr="00D73774">
        <w:rPr>
          <w:color w:val="000000" w:themeColor="text1"/>
        </w:rPr>
        <w:t>Atsakydamas į Tarnybos klausimus, Pareiškėjas pateikė naujesnius, trečios tarpinės analizės rezultatus (</w:t>
      </w:r>
      <w:r w:rsidR="00E76D3A" w:rsidRPr="00D73774">
        <w:t>2022 m. spalio 12 d.). Atnaujinti duomenys įrodė BI olaparibo ir abiraterono derinio pranašumą HRRm</w:t>
      </w:r>
      <w:r w:rsidR="006F5349" w:rsidRPr="00D73774">
        <w:t xml:space="preserve"> pogrupyje</w:t>
      </w:r>
      <w:r w:rsidR="00C56B0C" w:rsidRPr="00D73774">
        <w:t xml:space="preserve">. </w:t>
      </w:r>
      <w:r w:rsidR="000703D5" w:rsidRPr="00D73774">
        <w:t>Olaparibo + abiraterono grupėje BI mediana vis dar nebuvo pasiekta, kontrolinėje grupėje BI mediana buvo 28,</w:t>
      </w:r>
      <w:r w:rsidR="00561A0D" w:rsidRPr="00D73774">
        <w:t>5</w:t>
      </w:r>
      <w:r w:rsidR="000703D5" w:rsidRPr="00D73774">
        <w:t xml:space="preserve"> mėn. </w:t>
      </w:r>
      <w:r w:rsidR="008D490A" w:rsidRPr="00D73774">
        <w:t xml:space="preserve">BI RS buvo 0,66 </w:t>
      </w:r>
      <w:r w:rsidR="008D490A" w:rsidRPr="00D73774">
        <w:rPr>
          <w:color w:val="000000" w:themeColor="text1"/>
        </w:rPr>
        <w:t xml:space="preserve">(95 % PI, 0,45−0,95). </w:t>
      </w:r>
      <w:r w:rsidR="008D490A" w:rsidRPr="00D73774">
        <w:t>R</w:t>
      </w:r>
      <w:r w:rsidR="00E76D3A" w:rsidRPr="00D73774">
        <w:t xml:space="preserve">emiantis Kaplan-Meier kreivėmis, stebima geresnių olaparibo ir abiraterono rezultatų tendencija, lyginant su </w:t>
      </w:r>
      <w:r w:rsidR="00A70C3D" w:rsidRPr="00D73774">
        <w:t xml:space="preserve">palyginamuoju </w:t>
      </w:r>
      <w:r w:rsidR="00E76D3A" w:rsidRPr="00D73774">
        <w:t>gydymu.</w:t>
      </w:r>
      <w:r w:rsidR="00DE5113" w:rsidRPr="00D73774">
        <w:t xml:space="preserve"> </w:t>
      </w:r>
      <w:r w:rsidR="004F510A" w:rsidRPr="00D73774">
        <w:t xml:space="preserve">Pažymėtina, kad </w:t>
      </w:r>
      <w:r w:rsidR="002F251B" w:rsidRPr="00D73774">
        <w:t xml:space="preserve">bendroje populiacijoje BI rezultatai statistiškai reikšmingai </w:t>
      </w:r>
      <w:r w:rsidR="00993B81" w:rsidRPr="00D73774">
        <w:t>tarp grupių nesiskyrė</w:t>
      </w:r>
      <w:r w:rsidR="00153353" w:rsidRPr="00D73774">
        <w:t xml:space="preserve">, </w:t>
      </w:r>
      <w:r w:rsidR="002F251B" w:rsidRPr="00D73774">
        <w:t>BI RS buvo 0,81</w:t>
      </w:r>
      <w:r w:rsidR="00153353" w:rsidRPr="00D73774">
        <w:t xml:space="preserve"> (</w:t>
      </w:r>
      <w:r w:rsidR="002F251B" w:rsidRPr="00D73774">
        <w:t>95 %</w:t>
      </w:r>
      <w:r w:rsidR="00153353" w:rsidRPr="00D73774">
        <w:t xml:space="preserve"> PI; </w:t>
      </w:r>
      <w:r w:rsidR="002F251B" w:rsidRPr="00D73774">
        <w:t>0,67</w:t>
      </w:r>
      <w:r w:rsidR="00153353" w:rsidRPr="00D73774">
        <w:t>–</w:t>
      </w:r>
      <w:r w:rsidR="002F251B" w:rsidRPr="00D73774">
        <w:t>1,00</w:t>
      </w:r>
      <w:r w:rsidR="00153353" w:rsidRPr="00D73774">
        <w:t xml:space="preserve">; </w:t>
      </w:r>
      <w:r w:rsidR="002F251B" w:rsidRPr="00D73774">
        <w:rPr>
          <w:i/>
          <w:iCs/>
        </w:rPr>
        <w:t>p</w:t>
      </w:r>
      <w:r w:rsidR="00993B81" w:rsidRPr="00D73774">
        <w:t xml:space="preserve"> </w:t>
      </w:r>
      <w:r w:rsidR="002F251B" w:rsidRPr="00D73774">
        <w:t>=</w:t>
      </w:r>
      <w:r w:rsidR="00993B81" w:rsidRPr="00D73774">
        <w:t xml:space="preserve"> </w:t>
      </w:r>
      <w:r w:rsidR="002F251B" w:rsidRPr="00D73774">
        <w:t>0,054)</w:t>
      </w:r>
      <w:r w:rsidR="00993B81" w:rsidRPr="00D73774">
        <w:t>.</w:t>
      </w:r>
    </w:p>
    <w:p w14:paraId="23A48EA9" w14:textId="57B43B95" w:rsidR="00E76D3A" w:rsidRPr="00D73774" w:rsidRDefault="00E76D3A" w:rsidP="00954DBC">
      <w:pPr>
        <w:tabs>
          <w:tab w:val="left" w:pos="426"/>
        </w:tabs>
        <w:spacing w:line="276" w:lineRule="auto"/>
        <w:jc w:val="both"/>
        <w:rPr>
          <w:rFonts w:eastAsia="Arial"/>
          <w:iCs/>
          <w:color w:val="000000" w:themeColor="text1"/>
        </w:rPr>
      </w:pPr>
      <w:r w:rsidRPr="00D73774">
        <w:rPr>
          <w:color w:val="000000" w:themeColor="text1"/>
        </w:rPr>
        <w:tab/>
      </w:r>
      <w:r w:rsidRPr="00D73774">
        <w:rPr>
          <w:rFonts w:eastAsia="Arial"/>
          <w:iCs/>
          <w:color w:val="000000" w:themeColor="text1"/>
        </w:rPr>
        <w:t xml:space="preserve">Olaparibo ir </w:t>
      </w:r>
      <w:r w:rsidRPr="00D73774">
        <w:rPr>
          <w:color w:val="000000" w:themeColor="text1"/>
        </w:rPr>
        <w:t xml:space="preserve">abiraterono derinio grupėje dažniau nei placebo ir abiraterono derinio grupėje pasireiškė </w:t>
      </w:r>
      <w:r w:rsidRPr="00D73774">
        <w:rPr>
          <w:rFonts w:eastAsia="Arial"/>
          <w:iCs/>
          <w:color w:val="000000" w:themeColor="text1"/>
        </w:rPr>
        <w:t xml:space="preserve">sunkūs nepageidaujami įvykiai, sukelti gydymo. Dažniausios 3 arba didesnio laipsnio nepageidaujamos reakcijos olaparibo ir abiraterono grupėje buvo anemija (15,8 %), plaučių embolija (7,0 %), o kontrolinėje grupėje – anemija (3,3 %), hipertenzija (3,5 %). </w:t>
      </w:r>
      <w:r w:rsidRPr="00D73774">
        <w:rPr>
          <w:color w:val="000000" w:themeColor="text1"/>
        </w:rPr>
        <w:t>Su sveikata ir simptomais susijusi gyvenimo kokybė (</w:t>
      </w:r>
      <w:r w:rsidR="00836476">
        <w:rPr>
          <w:color w:val="000000" w:themeColor="text1"/>
        </w:rPr>
        <w:t xml:space="preserve">angl. </w:t>
      </w:r>
      <w:r w:rsidR="00836476" w:rsidRPr="00836476">
        <w:rPr>
          <w:i/>
          <w:iCs/>
          <w:color w:val="000000" w:themeColor="text1"/>
        </w:rPr>
        <w:t xml:space="preserve">health-related quality of life, </w:t>
      </w:r>
      <w:r w:rsidRPr="00836476">
        <w:rPr>
          <w:i/>
          <w:iCs/>
          <w:color w:val="000000" w:themeColor="text1"/>
        </w:rPr>
        <w:t>HRQoL</w:t>
      </w:r>
      <w:r w:rsidRPr="00D73774">
        <w:rPr>
          <w:color w:val="000000" w:themeColor="text1"/>
        </w:rPr>
        <w:t>), remiantis pacientų praneštomis baigtimis, reikšmingai tarp grupių nesiskyrė.</w:t>
      </w:r>
    </w:p>
    <w:p w14:paraId="5B20AA70" w14:textId="23EA2E84" w:rsidR="00E76D3A" w:rsidRPr="00EE2B41" w:rsidRDefault="00E76D3A" w:rsidP="00954DBC">
      <w:pPr>
        <w:tabs>
          <w:tab w:val="left" w:pos="426"/>
        </w:tabs>
        <w:spacing w:line="276" w:lineRule="auto"/>
        <w:jc w:val="both"/>
        <w:rPr>
          <w:color w:val="000000" w:themeColor="text1"/>
        </w:rPr>
      </w:pPr>
      <w:r w:rsidRPr="00D73774">
        <w:rPr>
          <w:rFonts w:eastAsia="Arial"/>
          <w:iCs/>
          <w:color w:val="000000" w:themeColor="text1"/>
        </w:rPr>
        <w:tab/>
        <w:t xml:space="preserve">Apibendrinant vertinama, </w:t>
      </w:r>
      <w:r w:rsidR="00232774" w:rsidRPr="00D73774">
        <w:rPr>
          <w:rFonts w:eastAsia="Arial"/>
          <w:iCs/>
          <w:color w:val="000000" w:themeColor="text1"/>
        </w:rPr>
        <w:t xml:space="preserve">kad </w:t>
      </w:r>
      <w:r w:rsidR="00902613" w:rsidRPr="00902613">
        <w:rPr>
          <w:rFonts w:eastAsia="Arial"/>
          <w:iCs/>
          <w:color w:val="000000" w:themeColor="text1"/>
        </w:rPr>
        <w:t>paraiškoje</w:t>
      </w:r>
      <w:r w:rsidR="00232774" w:rsidRPr="00902613">
        <w:rPr>
          <w:rFonts w:eastAsia="Arial"/>
          <w:iCs/>
          <w:color w:val="000000" w:themeColor="text1"/>
        </w:rPr>
        <w:t xml:space="preserve"> pateik</w:t>
      </w:r>
      <w:r w:rsidR="00902613" w:rsidRPr="00902613">
        <w:rPr>
          <w:rFonts w:eastAsia="Arial"/>
          <w:iCs/>
          <w:color w:val="000000" w:themeColor="text1"/>
        </w:rPr>
        <w:t>ta</w:t>
      </w:r>
      <w:r w:rsidR="00232774" w:rsidRPr="00D73774">
        <w:rPr>
          <w:rFonts w:eastAsia="Arial"/>
          <w:iCs/>
          <w:color w:val="000000" w:themeColor="text1"/>
        </w:rPr>
        <w:t xml:space="preserve"> pakankamai duomenų olaparibo ir abiraterono derinio </w:t>
      </w:r>
      <w:r w:rsidR="00E463BF" w:rsidRPr="00D73774">
        <w:rPr>
          <w:rFonts w:eastAsia="Arial"/>
          <w:iCs/>
          <w:color w:val="000000" w:themeColor="text1"/>
        </w:rPr>
        <w:t xml:space="preserve">klinikinei </w:t>
      </w:r>
      <w:r w:rsidR="00232774" w:rsidRPr="00D73774">
        <w:rPr>
          <w:rFonts w:eastAsia="Arial"/>
          <w:iCs/>
          <w:color w:val="000000" w:themeColor="text1"/>
        </w:rPr>
        <w:t xml:space="preserve">naudai pagrįsti </w:t>
      </w:r>
      <w:r w:rsidR="00076BD2" w:rsidRPr="00D73774">
        <w:rPr>
          <w:rFonts w:eastAsia="Arial"/>
          <w:iCs/>
          <w:color w:val="000000" w:themeColor="text1"/>
        </w:rPr>
        <w:t xml:space="preserve">HRRm pogrupyje – </w:t>
      </w:r>
      <w:r w:rsidRPr="00D73774">
        <w:rPr>
          <w:rFonts w:eastAsia="Arial"/>
          <w:iCs/>
          <w:color w:val="000000" w:themeColor="text1"/>
        </w:rPr>
        <w:t xml:space="preserve">olaparibo ir </w:t>
      </w:r>
      <w:r w:rsidRPr="00D73774">
        <w:rPr>
          <w:color w:val="000000" w:themeColor="text1"/>
        </w:rPr>
        <w:t xml:space="preserve">abiraterono derinio </w:t>
      </w:r>
      <w:r w:rsidR="00995067" w:rsidRPr="00D73774">
        <w:rPr>
          <w:color w:val="000000" w:themeColor="text1"/>
        </w:rPr>
        <w:t xml:space="preserve">palyginamasis </w:t>
      </w:r>
      <w:r w:rsidRPr="00D73774">
        <w:rPr>
          <w:color w:val="000000" w:themeColor="text1"/>
        </w:rPr>
        <w:t xml:space="preserve">efektyvumas ir klinikinis veiksmingumas yra didesnis už </w:t>
      </w:r>
      <w:r w:rsidR="00E463BF" w:rsidRPr="00D73774">
        <w:rPr>
          <w:color w:val="000000" w:themeColor="text1"/>
        </w:rPr>
        <w:t>P</w:t>
      </w:r>
      <w:r w:rsidR="00AC18A2" w:rsidRPr="00D73774">
        <w:rPr>
          <w:color w:val="000000" w:themeColor="text1"/>
        </w:rPr>
        <w:t xml:space="preserve">araiškos vertinimo metu įprastine praktika laikomo </w:t>
      </w:r>
      <w:r w:rsidRPr="00D73774">
        <w:rPr>
          <w:color w:val="000000" w:themeColor="text1"/>
        </w:rPr>
        <w:t xml:space="preserve">palyginamojo gydymo. </w:t>
      </w:r>
    </w:p>
    <w:p w14:paraId="135356D0" w14:textId="77777777" w:rsidR="00E76D3A" w:rsidRPr="00E76D3A" w:rsidRDefault="00E76D3A" w:rsidP="00954DBC">
      <w:pPr>
        <w:spacing w:line="276" w:lineRule="auto"/>
      </w:pPr>
    </w:p>
    <w:p w14:paraId="5BC3EABA" w14:textId="77777777" w:rsidR="00E03C3F" w:rsidRPr="00E33EFF" w:rsidRDefault="00CC7832" w:rsidP="00954DBC">
      <w:pPr>
        <w:pStyle w:val="ListParagraph"/>
        <w:numPr>
          <w:ilvl w:val="0"/>
          <w:numId w:val="12"/>
        </w:numPr>
        <w:tabs>
          <w:tab w:val="left" w:pos="567"/>
        </w:tabs>
        <w:spacing w:line="276" w:lineRule="auto"/>
        <w:ind w:hanging="720"/>
        <w:rPr>
          <w:b/>
          <w:bCs/>
          <w:caps/>
        </w:rPr>
      </w:pPr>
      <w:r w:rsidRPr="00E33EFF">
        <w:rPr>
          <w:b/>
          <w:bCs/>
          <w:caps/>
        </w:rPr>
        <w:t xml:space="preserve">ekonominio vertinimo </w:t>
      </w:r>
      <w:r w:rsidR="002F0E4F" w:rsidRPr="00E33EFF">
        <w:rPr>
          <w:b/>
          <w:bCs/>
          <w:caps/>
        </w:rPr>
        <w:t>apibendrinimas</w:t>
      </w:r>
    </w:p>
    <w:p w14:paraId="4BD2B2BB" w14:textId="77777777" w:rsidR="00C62B36" w:rsidRPr="00902613" w:rsidRDefault="00C62B36" w:rsidP="00954DBC">
      <w:pPr>
        <w:tabs>
          <w:tab w:val="left" w:pos="426"/>
        </w:tabs>
        <w:spacing w:line="276" w:lineRule="auto"/>
        <w:rPr>
          <w:b/>
          <w:bCs/>
          <w:caps/>
          <w:sz w:val="22"/>
        </w:rPr>
      </w:pPr>
    </w:p>
    <w:p w14:paraId="60DE0BAA" w14:textId="1BC67A59" w:rsidR="00F7000B" w:rsidRPr="00D73774" w:rsidRDefault="00F7000B" w:rsidP="00D73774">
      <w:pPr>
        <w:pStyle w:val="VVKT"/>
        <w:rPr>
          <w:sz w:val="24"/>
          <w:szCs w:val="32"/>
        </w:rPr>
      </w:pPr>
      <w:r w:rsidRPr="00D73774">
        <w:rPr>
          <w:sz w:val="24"/>
          <w:szCs w:val="32"/>
        </w:rPr>
        <w:t>Į ekonominę analizę įtraukti pacientai atitinka kompensacijai teikiamas terapines indikacijas. Įtraukta pacientų populiacija apima suaugusius pacientus, sergančius kastracijai atspariu prostatos vėžiu (mCRPC), kuriems chemoterapija kliniškai neskirtina. Pateiktoje ekonominėje analizėje nagrinėjamos dvi pacientų populiacijos subgrupės – pacientai su HRRm ir pacientai su BRCA1/2 mutacijomis, kurie prieš tai nebuvo gydyti chemoterapija arba naujos kartos hormoniniais preparatais (NMAs) gydant mCRPC, remiantis PROpel klinikiniu tyrimu. Atsižvelgiant į klinikinio vertinimo apibendrinimą,</w:t>
      </w:r>
      <w:r w:rsidR="00D73774" w:rsidRPr="00D73774">
        <w:rPr>
          <w:sz w:val="24"/>
          <w:szCs w:val="32"/>
        </w:rPr>
        <w:t xml:space="preserve"> kuriame nurodyta, kad</w:t>
      </w:r>
      <w:r w:rsidRPr="00D73774">
        <w:rPr>
          <w:sz w:val="24"/>
          <w:szCs w:val="32"/>
        </w:rPr>
        <w:t xml:space="preserve"> BRCA 1/2 mutacijų pogrupio rezultatai</w:t>
      </w:r>
      <w:r w:rsidR="00D73774" w:rsidRPr="00D73774">
        <w:rPr>
          <w:sz w:val="24"/>
          <w:szCs w:val="32"/>
        </w:rPr>
        <w:t xml:space="preserve"> nėra atskirai vertinami, </w:t>
      </w:r>
      <w:r w:rsidRPr="00D73774">
        <w:rPr>
          <w:sz w:val="24"/>
          <w:szCs w:val="32"/>
        </w:rPr>
        <w:t xml:space="preserve">Tarnyba atlikdama ekonominės dalies vertinimą, kaštų naudingumą vertina </w:t>
      </w:r>
      <w:r w:rsidR="003B1715" w:rsidRPr="00D73774">
        <w:rPr>
          <w:sz w:val="24"/>
          <w:szCs w:val="32"/>
        </w:rPr>
        <w:t xml:space="preserve">Tarnybos siūlomai kompensuoti indikacijos daliai - </w:t>
      </w:r>
      <w:r w:rsidRPr="00D73774">
        <w:rPr>
          <w:sz w:val="24"/>
          <w:szCs w:val="32"/>
        </w:rPr>
        <w:t>HRRm mutacijas turinčiam populiacijos pogrupiui</w:t>
      </w:r>
      <w:r w:rsidR="00D73774" w:rsidRPr="00D73774">
        <w:rPr>
          <w:sz w:val="24"/>
          <w:szCs w:val="32"/>
        </w:rPr>
        <w:t xml:space="preserve">. </w:t>
      </w:r>
    </w:p>
    <w:p w14:paraId="41726AA6" w14:textId="77777777" w:rsidR="00F7000B" w:rsidRPr="00F7000B" w:rsidRDefault="00F7000B" w:rsidP="00954DBC">
      <w:pPr>
        <w:pStyle w:val="VVKT"/>
        <w:rPr>
          <w:rFonts w:eastAsia="Arial"/>
          <w:bCs/>
          <w:sz w:val="24"/>
          <w:szCs w:val="28"/>
        </w:rPr>
      </w:pPr>
      <w:r w:rsidRPr="00D73774">
        <w:rPr>
          <w:rFonts w:eastAsia="Arial"/>
          <w:bCs/>
          <w:sz w:val="24"/>
          <w:szCs w:val="28"/>
        </w:rPr>
        <w:t>Ekonominėje analizėje pateiktas palyginamasis gydymas atitinka klinikinio paraiškos vertinimo dalyje pateiktą palyginamąjį gydymą. Pateiktoje ekonominėje analizėje olaparibo ir abiraterono derinio kaštų naudingumas yra lyginamas su abiraterono kaštų naudingumu. Palyginamasis gydymas atitinka įprastą Lietuvos Respublikos klinikinę praktiką.</w:t>
      </w:r>
    </w:p>
    <w:p w14:paraId="5D723FBD" w14:textId="25718871" w:rsidR="00F7000B" w:rsidRDefault="00F7000B" w:rsidP="00954DBC">
      <w:pPr>
        <w:pStyle w:val="VVKT"/>
        <w:rPr>
          <w:iCs/>
          <w:sz w:val="24"/>
          <w:szCs w:val="32"/>
        </w:rPr>
      </w:pPr>
      <w:r w:rsidRPr="00F7000B">
        <w:rPr>
          <w:sz w:val="24"/>
          <w:szCs w:val="32"/>
        </w:rPr>
        <w:tab/>
        <w:t>Analizė atlikta iš PSDF biudžeto perspektyvos, įtraukti tiesiogiai su sveikatos sistema susiję kaštai. Tai atitinka teisės aktuose nustatytus paraiškos rengimo taisyklių reikalavimus. Analizėje taikoma viso gyvenimo laiko (</w:t>
      </w:r>
      <w:r w:rsidR="00BF74B0">
        <w:rPr>
          <w:sz w:val="24"/>
          <w:szCs w:val="32"/>
        </w:rPr>
        <w:t>*</w:t>
      </w:r>
      <w:r w:rsidRPr="00F7000B">
        <w:rPr>
          <w:sz w:val="24"/>
          <w:szCs w:val="32"/>
        </w:rPr>
        <w:t xml:space="preserve"> metų) perspektyva. Pasirinkta laiko perspektyva yra </w:t>
      </w:r>
      <w:r w:rsidRPr="00F7000B">
        <w:rPr>
          <w:iCs/>
          <w:sz w:val="24"/>
          <w:szCs w:val="32"/>
        </w:rPr>
        <w:t xml:space="preserve">tinkama. </w:t>
      </w:r>
    </w:p>
    <w:p w14:paraId="030422E9" w14:textId="77777777" w:rsidR="00F7000B" w:rsidRPr="00F7000B" w:rsidRDefault="00F7000B" w:rsidP="00954DBC">
      <w:pPr>
        <w:pStyle w:val="VVKT"/>
        <w:rPr>
          <w:iCs/>
          <w:sz w:val="24"/>
          <w:szCs w:val="32"/>
        </w:rPr>
      </w:pPr>
      <w:r w:rsidRPr="00F7000B">
        <w:rPr>
          <w:iCs/>
          <w:sz w:val="24"/>
          <w:szCs w:val="32"/>
        </w:rPr>
        <w:t xml:space="preserve">Ekonominėje analizėje taikomi modeliavimo metodai. Naudojamas išskaidyto išgyvenamumo kohortos modelis. Modeliuojant taikomos 3 sveikatos būklės – būklė be ligos progresavimo, progresuojančios ligos būklė ir mirties būklė. Pacientų dalis šiose sveikatos būklėse apskaičiuojama </w:t>
      </w:r>
      <w:r w:rsidRPr="00F7000B">
        <w:rPr>
          <w:iCs/>
          <w:sz w:val="24"/>
          <w:szCs w:val="32"/>
        </w:rPr>
        <w:lastRenderedPageBreak/>
        <w:t xml:space="preserve">remiantis klinikinių įrodymų bendrojo išgyvenamumo (BI) ir išgyvenamumo be radiologiškai patvirtinto ligos progresavimo (rIBLP) baigčių rezultatais ir jų ekstrapoliacijomis. Analizės struktūra yra tinkama olaparibo kaštų naudingumui įvertinti gydant nagrinėjamą populiaciją. </w:t>
      </w:r>
    </w:p>
    <w:p w14:paraId="50BBF1AD" w14:textId="77777777" w:rsidR="00F7000B" w:rsidRPr="00F7000B" w:rsidRDefault="00F7000B" w:rsidP="00954DBC">
      <w:pPr>
        <w:pStyle w:val="VVKT"/>
        <w:rPr>
          <w:sz w:val="24"/>
          <w:szCs w:val="32"/>
        </w:rPr>
      </w:pPr>
      <w:r w:rsidRPr="00F7000B">
        <w:rPr>
          <w:sz w:val="24"/>
          <w:szCs w:val="32"/>
        </w:rPr>
        <w:t xml:space="preserve">Pareiškėjo taikomos prielaidos, vertinant efektyvumo skirtumus tarp siūlomo ir palyginamojo gydymo ilgajame laikotarpyje yra </w:t>
      </w:r>
      <w:r w:rsidRPr="00F7000B">
        <w:rPr>
          <w:iCs/>
          <w:sz w:val="24"/>
          <w:szCs w:val="32"/>
        </w:rPr>
        <w:t xml:space="preserve">nepakankamai </w:t>
      </w:r>
      <w:r w:rsidRPr="00F7000B">
        <w:rPr>
          <w:sz w:val="24"/>
          <w:szCs w:val="32"/>
        </w:rPr>
        <w:t>pagrįstos. Surinkti bendrojo išgyvenamumo duomenys atliekant klinikinį tyrimą PROpel yra nebrandūs, todėl taikomos šių duomenų ekstrapoliacijos pasižymi esminiu neapibrėžtumu, darančiu itin didelę įtaką analizės rezultatams. HRRm pacientų populiacijos ekonominėje analizėje pasirenkami parametriniai skirstiniai yra mažiausiai konservatyvūs, todėl, tikėtina, ekonominėje analizėje yra pervertinama olaparibo nauda lyginant su palyginamuoju gydymu.</w:t>
      </w:r>
    </w:p>
    <w:p w14:paraId="55335A0F" w14:textId="77777777" w:rsidR="00F7000B" w:rsidRPr="00F7000B" w:rsidRDefault="00F7000B" w:rsidP="00954DBC">
      <w:pPr>
        <w:pStyle w:val="VVKT"/>
        <w:rPr>
          <w:sz w:val="24"/>
          <w:szCs w:val="32"/>
        </w:rPr>
      </w:pPr>
      <w:r w:rsidRPr="00F7000B">
        <w:rPr>
          <w:sz w:val="24"/>
          <w:szCs w:val="32"/>
        </w:rPr>
        <w:t>Poveikis sveikatai analizėje vertinamas apskaičiuojant kokybiškus gyvenimo metus (QALYs). Apskaičiuojant QALY buvo naudojamos gyvenimo kokybės koeficientų reikšmės, gautos atlikus PROpel klinikinį tyrimą, kurį atliekant buvo pildomas EQ-5D-5L klausimynas.</w:t>
      </w:r>
    </w:p>
    <w:p w14:paraId="2E12C49F" w14:textId="77777777" w:rsidR="00F7000B" w:rsidRPr="00F7000B" w:rsidRDefault="00F7000B" w:rsidP="00954DBC">
      <w:pPr>
        <w:pStyle w:val="VVKT"/>
        <w:rPr>
          <w:sz w:val="24"/>
          <w:szCs w:val="32"/>
        </w:rPr>
      </w:pPr>
      <w:r w:rsidRPr="00F7000B">
        <w:rPr>
          <w:sz w:val="24"/>
          <w:szCs w:val="32"/>
        </w:rPr>
        <w:t>Į ekonominę analizę įtraukiami šie kaštai:</w:t>
      </w:r>
    </w:p>
    <w:p w14:paraId="210DD311" w14:textId="77777777" w:rsidR="00F7000B" w:rsidRPr="00F7000B" w:rsidRDefault="00F7000B" w:rsidP="00954DBC">
      <w:pPr>
        <w:pStyle w:val="VVKT"/>
        <w:numPr>
          <w:ilvl w:val="0"/>
          <w:numId w:val="13"/>
        </w:numPr>
        <w:ind w:left="0" w:firstLine="432"/>
        <w:rPr>
          <w:sz w:val="24"/>
          <w:szCs w:val="32"/>
        </w:rPr>
      </w:pPr>
      <w:r w:rsidRPr="00F7000B">
        <w:rPr>
          <w:sz w:val="24"/>
          <w:szCs w:val="32"/>
        </w:rPr>
        <w:t>Vaistinių preparatų įsigijimo kaštai</w:t>
      </w:r>
    </w:p>
    <w:p w14:paraId="2A66FBB5" w14:textId="77777777" w:rsidR="00F7000B" w:rsidRPr="00F7000B" w:rsidRDefault="00F7000B" w:rsidP="00954DBC">
      <w:pPr>
        <w:pStyle w:val="VVKT"/>
        <w:numPr>
          <w:ilvl w:val="0"/>
          <w:numId w:val="13"/>
        </w:numPr>
        <w:ind w:left="0" w:firstLine="432"/>
        <w:rPr>
          <w:sz w:val="24"/>
          <w:szCs w:val="32"/>
        </w:rPr>
      </w:pPr>
      <w:r w:rsidRPr="00F7000B">
        <w:rPr>
          <w:sz w:val="24"/>
          <w:szCs w:val="32"/>
        </w:rPr>
        <w:t>Nepageidaujamų reiškinių valdymo kaštai</w:t>
      </w:r>
    </w:p>
    <w:p w14:paraId="4BD32200" w14:textId="77777777" w:rsidR="00F7000B" w:rsidRPr="00F7000B" w:rsidRDefault="00F7000B" w:rsidP="00954DBC">
      <w:pPr>
        <w:pStyle w:val="VVKT"/>
        <w:numPr>
          <w:ilvl w:val="0"/>
          <w:numId w:val="13"/>
        </w:numPr>
        <w:ind w:left="0" w:firstLine="432"/>
        <w:rPr>
          <w:sz w:val="24"/>
          <w:szCs w:val="32"/>
        </w:rPr>
      </w:pPr>
      <w:r w:rsidRPr="00F7000B">
        <w:rPr>
          <w:sz w:val="24"/>
          <w:szCs w:val="32"/>
        </w:rPr>
        <w:t>Vaistinių preparatų administravimo (suleidimo) kaštai</w:t>
      </w:r>
    </w:p>
    <w:p w14:paraId="7DCC2C45" w14:textId="77777777" w:rsidR="00F7000B" w:rsidRPr="00F7000B" w:rsidRDefault="00F7000B" w:rsidP="00954DBC">
      <w:pPr>
        <w:pStyle w:val="VVKT"/>
        <w:numPr>
          <w:ilvl w:val="0"/>
          <w:numId w:val="13"/>
        </w:numPr>
        <w:ind w:left="0" w:firstLine="432"/>
        <w:rPr>
          <w:sz w:val="24"/>
          <w:szCs w:val="32"/>
        </w:rPr>
      </w:pPr>
      <w:r w:rsidRPr="00F7000B">
        <w:rPr>
          <w:sz w:val="24"/>
          <w:szCs w:val="32"/>
        </w:rPr>
        <w:t>Sveikatos priežiūros paslaugų kaštai</w:t>
      </w:r>
    </w:p>
    <w:p w14:paraId="3C1034CD" w14:textId="07B744E7" w:rsidR="00F7000B" w:rsidRPr="00D73774" w:rsidRDefault="00F7000B" w:rsidP="00D73774">
      <w:pPr>
        <w:pStyle w:val="VVKT"/>
        <w:numPr>
          <w:ilvl w:val="0"/>
          <w:numId w:val="13"/>
        </w:numPr>
        <w:ind w:left="0" w:firstLine="432"/>
        <w:rPr>
          <w:sz w:val="24"/>
          <w:szCs w:val="32"/>
        </w:rPr>
      </w:pPr>
      <w:r w:rsidRPr="00F7000B">
        <w:rPr>
          <w:sz w:val="24"/>
          <w:szCs w:val="32"/>
        </w:rPr>
        <w:t>Testavimo kaštai.</w:t>
      </w:r>
    </w:p>
    <w:p w14:paraId="54C67231" w14:textId="78FC3E25" w:rsidR="00F7000B" w:rsidRPr="00F7000B" w:rsidRDefault="00F7000B" w:rsidP="00954DBC">
      <w:pPr>
        <w:pStyle w:val="VVKT"/>
        <w:rPr>
          <w:iCs/>
          <w:sz w:val="24"/>
          <w:szCs w:val="32"/>
        </w:rPr>
      </w:pPr>
      <w:r>
        <w:rPr>
          <w:sz w:val="24"/>
          <w:szCs w:val="32"/>
        </w:rPr>
        <w:tab/>
      </w:r>
      <w:r w:rsidRPr="00F7000B">
        <w:rPr>
          <w:sz w:val="24"/>
          <w:szCs w:val="32"/>
        </w:rPr>
        <w:t xml:space="preserve">Pareiškėjas, atsakydamas į Tarnybos pateiktą trūkumų raštą su aprašytais esminiais prieštaravimais, pateikė atnaujintą ekonominį modelį, paremtą finaline duomenų analize. </w:t>
      </w:r>
      <w:r w:rsidRPr="00F7000B">
        <w:rPr>
          <w:iCs/>
          <w:sz w:val="24"/>
          <w:szCs w:val="32"/>
        </w:rPr>
        <w:t xml:space="preserve">Tarnyba pripažįsta, kad atnaujintoje paraiškoje naudojami brandesni duomenys, tačiau tai iš esmės neišsprendžia ilgalaikių veiksmingumo prielaidų neapibrėžtumo ekonominėje analizėje. Pažymėtina, kad net ir atnaujinus ekonominę analizę didžioji dalis kokybiškų gyvenimų metų skirtumo susidaro laikotarpyje po klinikinio tyrimo stebėjimo pabaigos (HRRm pogrupyje tyrimo laikotarpiu susidaro </w:t>
      </w:r>
      <w:r w:rsidR="002F6079">
        <w:rPr>
          <w:iCs/>
          <w:sz w:val="24"/>
          <w:szCs w:val="32"/>
        </w:rPr>
        <w:t>***</w:t>
      </w:r>
      <w:r w:rsidRPr="00F7000B">
        <w:rPr>
          <w:iCs/>
          <w:sz w:val="24"/>
          <w:szCs w:val="32"/>
        </w:rPr>
        <w:t xml:space="preserve"> QALY skirtumo). Taip pat atkreiptinas dėmesys, kad ekonominės analizės rezultatai HRRm pogrupyje ypač priklausomi nuo </w:t>
      </w:r>
      <w:r w:rsidR="002F6079">
        <w:rPr>
          <w:iCs/>
          <w:sz w:val="24"/>
          <w:szCs w:val="32"/>
        </w:rPr>
        <w:t>***</w:t>
      </w:r>
      <w:r w:rsidRPr="00F7000B">
        <w:rPr>
          <w:iCs/>
          <w:sz w:val="24"/>
          <w:szCs w:val="32"/>
        </w:rPr>
        <w:t>.</w:t>
      </w:r>
    </w:p>
    <w:p w14:paraId="5C1793D9" w14:textId="77777777" w:rsidR="00F7000B" w:rsidRPr="00F7000B" w:rsidRDefault="00F7000B" w:rsidP="00954DBC">
      <w:pPr>
        <w:pStyle w:val="VVKT"/>
        <w:rPr>
          <w:sz w:val="24"/>
          <w:szCs w:val="32"/>
        </w:rPr>
      </w:pPr>
      <w:r w:rsidRPr="00F7000B">
        <w:rPr>
          <w:sz w:val="24"/>
          <w:szCs w:val="32"/>
        </w:rPr>
        <w:tab/>
        <w:t xml:space="preserve">Tarnyba apskaičiuodama ekonominės analizės rezultatus remiasi pareiškėjo pateiktais atnaujintais ekonominiais modeliais, kurie buvo pateikti kartu su atsakymais į pateiktus klausimas. Tarnybos nuomone, dalis neapibrėžtumų nebuvo išspręsta (plačiau – eksperto komentaruose 14 protokolo dalyje), todėl atliekamas pagrindinio atvejo analizės rezultatų perskaičiavimas pritaikant konservatyvesnes prielaidas, mažinančias aprašytus neapibrėžtumus ir riziką, kad olaparibo nauda prieš palyginamąjį gydymą gali būti pervertinta. </w:t>
      </w:r>
    </w:p>
    <w:p w14:paraId="2F7AF2EA" w14:textId="244290E1" w:rsidR="00F7000B" w:rsidRPr="00F7000B" w:rsidRDefault="00F7000B" w:rsidP="00954DBC">
      <w:pPr>
        <w:pStyle w:val="VVKT"/>
        <w:ind w:firstLine="576"/>
        <w:rPr>
          <w:sz w:val="24"/>
          <w:szCs w:val="32"/>
        </w:rPr>
      </w:pPr>
      <w:r w:rsidRPr="00F7000B">
        <w:rPr>
          <w:sz w:val="24"/>
          <w:szCs w:val="32"/>
        </w:rPr>
        <w:t xml:space="preserve">Perskaičiuoti ekonominės analizės rezultatai rodo, kad kaštų naudingumas vertinant HRRm mutacijas turinčių pacientų pogrupį nėra priimtinas – perskaičiuota inkrementinė kaštų naudingumo vertė pritaikius konservatyvesnes prielaidas viršija referencinę kaštų naudingumo vertę. </w:t>
      </w:r>
    </w:p>
    <w:p w14:paraId="6B1CBFE9" w14:textId="77777777" w:rsidR="00D03CA6" w:rsidRDefault="00D03CA6" w:rsidP="00954DBC">
      <w:pPr>
        <w:tabs>
          <w:tab w:val="left" w:pos="426"/>
        </w:tabs>
        <w:spacing w:line="276" w:lineRule="auto"/>
        <w:rPr>
          <w:b/>
          <w:lang w:eastAsia="lt-LT"/>
        </w:rPr>
      </w:pPr>
    </w:p>
    <w:p w14:paraId="710706FC" w14:textId="35A3E1DE" w:rsidR="00D03CA6" w:rsidRPr="00E33EFF" w:rsidRDefault="00D03CA6" w:rsidP="00954DBC">
      <w:pPr>
        <w:tabs>
          <w:tab w:val="left" w:pos="426"/>
        </w:tabs>
        <w:spacing w:line="276" w:lineRule="auto"/>
        <w:rPr>
          <w:b/>
          <w:lang w:eastAsia="lt-LT"/>
        </w:rPr>
      </w:pPr>
      <w:r w:rsidRPr="00E33EFF">
        <w:rPr>
          <w:b/>
          <w:lang w:eastAsia="lt-LT"/>
        </w:rPr>
        <w:t>Ekonominės analizės rezultatas</w:t>
      </w:r>
    </w:p>
    <w:p w14:paraId="6B224784" w14:textId="77777777" w:rsidR="00D03CA6" w:rsidRPr="00D03CA6" w:rsidRDefault="00D03CA6" w:rsidP="00954DBC">
      <w:pPr>
        <w:tabs>
          <w:tab w:val="left" w:pos="426"/>
        </w:tabs>
        <w:spacing w:line="276" w:lineRule="auto"/>
        <w:rPr>
          <w:b/>
          <w:bCs/>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D03CA6" w:rsidRPr="00E33EFF" w14:paraId="3CF1F760" w14:textId="77777777" w:rsidTr="00EB3C91">
        <w:trPr>
          <w:trHeight w:val="344"/>
          <w:jc w:val="center"/>
        </w:trPr>
        <w:tc>
          <w:tcPr>
            <w:tcW w:w="9439" w:type="dxa"/>
            <w:gridSpan w:val="2"/>
            <w:tcBorders>
              <w:top w:val="single" w:sz="12" w:space="0" w:color="auto"/>
              <w:left w:val="single" w:sz="4" w:space="0" w:color="auto"/>
              <w:right w:val="single" w:sz="4" w:space="0" w:color="auto"/>
            </w:tcBorders>
            <w:vAlign w:val="center"/>
          </w:tcPr>
          <w:p w14:paraId="20B0E29A" w14:textId="77777777" w:rsidR="00D03CA6" w:rsidRPr="00E33EFF" w:rsidRDefault="00D03CA6" w:rsidP="00954DBC">
            <w:pPr>
              <w:tabs>
                <w:tab w:val="left" w:pos="567"/>
              </w:tabs>
              <w:spacing w:line="276" w:lineRule="auto"/>
              <w:jc w:val="center"/>
              <w:rPr>
                <w:b/>
                <w:bCs/>
                <w:sz w:val="26"/>
                <w:szCs w:val="26"/>
                <w:lang w:eastAsia="lt-LT"/>
              </w:rPr>
            </w:pPr>
            <w:r w:rsidRPr="00101688">
              <w:rPr>
                <w:b/>
                <w:bCs/>
                <w:szCs w:val="26"/>
                <w:lang w:eastAsia="lt-LT"/>
              </w:rPr>
              <w:t>Rezultatai</w:t>
            </w:r>
          </w:p>
        </w:tc>
      </w:tr>
      <w:tr w:rsidR="00D03CA6" w:rsidRPr="00E33EFF" w14:paraId="215ECE1F" w14:textId="77777777" w:rsidTr="00EB3C91">
        <w:trPr>
          <w:trHeight w:val="267"/>
          <w:jc w:val="center"/>
        </w:trPr>
        <w:tc>
          <w:tcPr>
            <w:tcW w:w="6200" w:type="dxa"/>
            <w:tcBorders>
              <w:left w:val="single" w:sz="4" w:space="0" w:color="auto"/>
            </w:tcBorders>
          </w:tcPr>
          <w:p w14:paraId="29ABF804" w14:textId="77777777" w:rsidR="00D03CA6" w:rsidRPr="00E33EFF" w:rsidRDefault="00D03CA6" w:rsidP="00954DBC">
            <w:pPr>
              <w:tabs>
                <w:tab w:val="left" w:pos="567"/>
              </w:tabs>
              <w:spacing w:line="276" w:lineRule="auto"/>
              <w:jc w:val="right"/>
              <w:rPr>
                <w:iCs/>
                <w:lang w:eastAsia="lt-LT"/>
              </w:rPr>
            </w:pPr>
            <w:r w:rsidRPr="00E33EFF">
              <w:rPr>
                <w:iCs/>
                <w:lang w:eastAsia="lt-LT"/>
              </w:rPr>
              <w:t>Kaštų skirtumas</w:t>
            </w:r>
          </w:p>
        </w:tc>
        <w:tc>
          <w:tcPr>
            <w:tcW w:w="3238" w:type="dxa"/>
            <w:tcBorders>
              <w:right w:val="single" w:sz="4" w:space="0" w:color="auto"/>
            </w:tcBorders>
          </w:tcPr>
          <w:p w14:paraId="455678A3" w14:textId="066DAEB0" w:rsidR="00D03CA6" w:rsidRPr="007330F1" w:rsidRDefault="002F6079" w:rsidP="00954DBC">
            <w:pPr>
              <w:tabs>
                <w:tab w:val="left" w:pos="567"/>
              </w:tabs>
              <w:spacing w:line="276" w:lineRule="auto"/>
              <w:jc w:val="center"/>
              <w:rPr>
                <w:lang w:eastAsia="lt-LT"/>
              </w:rPr>
            </w:pPr>
            <w:r w:rsidRPr="007330F1">
              <w:rPr>
                <w:lang w:eastAsia="lt-LT"/>
              </w:rPr>
              <w:t>***</w:t>
            </w:r>
          </w:p>
        </w:tc>
      </w:tr>
      <w:tr w:rsidR="00D03CA6" w:rsidRPr="00E33EFF" w14:paraId="3275B90D" w14:textId="77777777" w:rsidTr="00EB3C91">
        <w:trPr>
          <w:trHeight w:val="267"/>
          <w:jc w:val="center"/>
        </w:trPr>
        <w:tc>
          <w:tcPr>
            <w:tcW w:w="6200" w:type="dxa"/>
            <w:tcBorders>
              <w:left w:val="single" w:sz="4" w:space="0" w:color="auto"/>
            </w:tcBorders>
          </w:tcPr>
          <w:p w14:paraId="4D164AFC" w14:textId="77777777" w:rsidR="00D03CA6" w:rsidRPr="00E33EFF" w:rsidRDefault="00D03CA6" w:rsidP="00954DBC">
            <w:pPr>
              <w:tabs>
                <w:tab w:val="left" w:pos="567"/>
              </w:tabs>
              <w:spacing w:line="276" w:lineRule="auto"/>
              <w:jc w:val="right"/>
              <w:rPr>
                <w:iCs/>
                <w:lang w:eastAsia="lt-LT"/>
              </w:rPr>
            </w:pPr>
            <w:r w:rsidRPr="00E33EFF">
              <w:rPr>
                <w:iCs/>
                <w:lang w:eastAsia="lt-LT"/>
              </w:rPr>
              <w:t>Papildomi gyvenimo metai (LY)</w:t>
            </w:r>
          </w:p>
        </w:tc>
        <w:tc>
          <w:tcPr>
            <w:tcW w:w="3238" w:type="dxa"/>
            <w:tcBorders>
              <w:right w:val="single" w:sz="4" w:space="0" w:color="auto"/>
            </w:tcBorders>
          </w:tcPr>
          <w:p w14:paraId="6B478993" w14:textId="4027F764" w:rsidR="00D03CA6" w:rsidRPr="007330F1" w:rsidRDefault="002F6079" w:rsidP="00954DBC">
            <w:pPr>
              <w:tabs>
                <w:tab w:val="left" w:pos="567"/>
              </w:tabs>
              <w:spacing w:line="276" w:lineRule="auto"/>
              <w:jc w:val="center"/>
              <w:rPr>
                <w:lang w:eastAsia="lt-LT"/>
              </w:rPr>
            </w:pPr>
            <w:r w:rsidRPr="007330F1">
              <w:rPr>
                <w:lang w:eastAsia="lt-LT"/>
              </w:rPr>
              <w:t>***</w:t>
            </w:r>
          </w:p>
        </w:tc>
      </w:tr>
      <w:tr w:rsidR="00D03CA6" w:rsidRPr="00E33EFF" w14:paraId="41D3617D" w14:textId="77777777" w:rsidTr="00EB3C91">
        <w:trPr>
          <w:trHeight w:val="267"/>
          <w:jc w:val="center"/>
        </w:trPr>
        <w:tc>
          <w:tcPr>
            <w:tcW w:w="6200" w:type="dxa"/>
            <w:tcBorders>
              <w:left w:val="single" w:sz="4" w:space="0" w:color="auto"/>
            </w:tcBorders>
          </w:tcPr>
          <w:p w14:paraId="6948E9E2" w14:textId="77777777" w:rsidR="00D03CA6" w:rsidRPr="00E33EFF" w:rsidRDefault="00D03CA6" w:rsidP="00954DBC">
            <w:pPr>
              <w:tabs>
                <w:tab w:val="left" w:pos="567"/>
              </w:tabs>
              <w:spacing w:line="276" w:lineRule="auto"/>
              <w:jc w:val="right"/>
              <w:rPr>
                <w:iCs/>
                <w:lang w:eastAsia="lt-LT"/>
              </w:rPr>
            </w:pPr>
            <w:r w:rsidRPr="00E33EFF">
              <w:rPr>
                <w:iCs/>
                <w:lang w:eastAsia="lt-LT"/>
              </w:rPr>
              <w:t>Papildomi kokybiški gyvenimo metai (QALY)</w:t>
            </w:r>
          </w:p>
        </w:tc>
        <w:tc>
          <w:tcPr>
            <w:tcW w:w="3238" w:type="dxa"/>
            <w:tcBorders>
              <w:right w:val="single" w:sz="4" w:space="0" w:color="auto"/>
            </w:tcBorders>
          </w:tcPr>
          <w:p w14:paraId="2D416BDA" w14:textId="6145607B" w:rsidR="00D03CA6" w:rsidRPr="007330F1" w:rsidRDefault="002F6079" w:rsidP="00954DBC">
            <w:pPr>
              <w:tabs>
                <w:tab w:val="left" w:pos="567"/>
              </w:tabs>
              <w:spacing w:line="276" w:lineRule="auto"/>
              <w:jc w:val="center"/>
              <w:rPr>
                <w:lang w:eastAsia="lt-LT"/>
              </w:rPr>
            </w:pPr>
            <w:r w:rsidRPr="007330F1">
              <w:rPr>
                <w:lang w:eastAsia="lt-LT"/>
              </w:rPr>
              <w:t>***</w:t>
            </w:r>
          </w:p>
        </w:tc>
      </w:tr>
      <w:tr w:rsidR="00D03CA6" w:rsidRPr="00E33EFF" w14:paraId="34BD90E2" w14:textId="77777777" w:rsidTr="00EB3C91">
        <w:trPr>
          <w:trHeight w:val="267"/>
          <w:jc w:val="center"/>
        </w:trPr>
        <w:tc>
          <w:tcPr>
            <w:tcW w:w="6200" w:type="dxa"/>
            <w:tcBorders>
              <w:left w:val="single" w:sz="4" w:space="0" w:color="auto"/>
            </w:tcBorders>
          </w:tcPr>
          <w:p w14:paraId="654FC356" w14:textId="77777777" w:rsidR="00D03CA6" w:rsidRPr="00E33EFF" w:rsidRDefault="00D03CA6" w:rsidP="00954DBC">
            <w:pPr>
              <w:tabs>
                <w:tab w:val="left" w:pos="567"/>
              </w:tabs>
              <w:spacing w:line="276" w:lineRule="auto"/>
              <w:jc w:val="right"/>
              <w:rPr>
                <w:iCs/>
                <w:lang w:eastAsia="lt-LT"/>
              </w:rPr>
            </w:pPr>
            <w:r w:rsidRPr="00E33EFF">
              <w:rPr>
                <w:iCs/>
                <w:lang w:eastAsia="lt-LT"/>
              </w:rPr>
              <w:t>ICER už LY</w:t>
            </w:r>
          </w:p>
        </w:tc>
        <w:tc>
          <w:tcPr>
            <w:tcW w:w="3238" w:type="dxa"/>
            <w:tcBorders>
              <w:right w:val="single" w:sz="4" w:space="0" w:color="auto"/>
            </w:tcBorders>
          </w:tcPr>
          <w:p w14:paraId="4005ACA8" w14:textId="58FBE877" w:rsidR="00D03CA6" w:rsidRPr="007330F1" w:rsidRDefault="002F6079" w:rsidP="00954DBC">
            <w:pPr>
              <w:tabs>
                <w:tab w:val="left" w:pos="567"/>
              </w:tabs>
              <w:spacing w:line="276" w:lineRule="auto"/>
              <w:jc w:val="center"/>
              <w:rPr>
                <w:lang w:eastAsia="lt-LT"/>
              </w:rPr>
            </w:pPr>
            <w:r w:rsidRPr="007330F1">
              <w:rPr>
                <w:lang w:eastAsia="lt-LT"/>
              </w:rPr>
              <w:t>***</w:t>
            </w:r>
          </w:p>
        </w:tc>
      </w:tr>
      <w:tr w:rsidR="00D03CA6" w:rsidRPr="00E33EFF" w14:paraId="26AA97E0" w14:textId="77777777" w:rsidTr="00EB3C91">
        <w:trPr>
          <w:trHeight w:val="267"/>
          <w:jc w:val="center"/>
        </w:trPr>
        <w:tc>
          <w:tcPr>
            <w:tcW w:w="6200" w:type="dxa"/>
            <w:tcBorders>
              <w:left w:val="single" w:sz="4" w:space="0" w:color="auto"/>
            </w:tcBorders>
          </w:tcPr>
          <w:p w14:paraId="676BFE7F" w14:textId="77777777" w:rsidR="00D03CA6" w:rsidRPr="00E33EFF" w:rsidRDefault="00D03CA6" w:rsidP="00954DBC">
            <w:pPr>
              <w:tabs>
                <w:tab w:val="left" w:pos="567"/>
              </w:tabs>
              <w:spacing w:line="276" w:lineRule="auto"/>
              <w:jc w:val="right"/>
              <w:rPr>
                <w:iCs/>
                <w:lang w:eastAsia="lt-LT"/>
              </w:rPr>
            </w:pPr>
            <w:r w:rsidRPr="00E33EFF">
              <w:rPr>
                <w:iCs/>
                <w:lang w:eastAsia="lt-LT"/>
              </w:rPr>
              <w:t>ICER už QALY</w:t>
            </w:r>
          </w:p>
        </w:tc>
        <w:tc>
          <w:tcPr>
            <w:tcW w:w="3238" w:type="dxa"/>
            <w:tcBorders>
              <w:right w:val="single" w:sz="4" w:space="0" w:color="auto"/>
            </w:tcBorders>
          </w:tcPr>
          <w:p w14:paraId="350F4A85" w14:textId="739F45F4" w:rsidR="00D03CA6" w:rsidRPr="007330F1" w:rsidRDefault="002F6079" w:rsidP="00954DBC">
            <w:pPr>
              <w:tabs>
                <w:tab w:val="left" w:pos="567"/>
              </w:tabs>
              <w:spacing w:line="276" w:lineRule="auto"/>
              <w:jc w:val="center"/>
              <w:rPr>
                <w:lang w:eastAsia="lt-LT"/>
              </w:rPr>
            </w:pPr>
            <w:r w:rsidRPr="007330F1">
              <w:rPr>
                <w:lang w:eastAsia="lt-LT"/>
              </w:rPr>
              <w:t>***</w:t>
            </w:r>
          </w:p>
        </w:tc>
      </w:tr>
      <w:tr w:rsidR="00D03CA6" w:rsidRPr="00E33EFF" w14:paraId="66AD5CFB" w14:textId="77777777" w:rsidTr="00EB3C91">
        <w:trPr>
          <w:trHeight w:val="267"/>
          <w:jc w:val="center"/>
        </w:trPr>
        <w:tc>
          <w:tcPr>
            <w:tcW w:w="6200" w:type="dxa"/>
            <w:tcBorders>
              <w:left w:val="single" w:sz="4" w:space="0" w:color="auto"/>
              <w:bottom w:val="single" w:sz="4" w:space="0" w:color="auto"/>
              <w:right w:val="single" w:sz="4" w:space="0" w:color="auto"/>
            </w:tcBorders>
          </w:tcPr>
          <w:p w14:paraId="799131C1" w14:textId="77777777" w:rsidR="00D03CA6" w:rsidRPr="00E33EFF" w:rsidRDefault="00D03CA6" w:rsidP="00954DBC">
            <w:pPr>
              <w:tabs>
                <w:tab w:val="left" w:pos="567"/>
              </w:tabs>
              <w:spacing w:line="276" w:lineRule="auto"/>
              <w:jc w:val="right"/>
              <w:rPr>
                <w:iCs/>
                <w:lang w:eastAsia="lt-LT"/>
              </w:rPr>
            </w:pPr>
            <w:r w:rsidRPr="00E33EFF">
              <w:rPr>
                <w:iCs/>
                <w:lang w:eastAsia="lt-LT"/>
              </w:rPr>
              <w:lastRenderedPageBreak/>
              <w:t>Referentinė kaštų naudingumo vertė</w:t>
            </w:r>
          </w:p>
        </w:tc>
        <w:tc>
          <w:tcPr>
            <w:tcW w:w="3238" w:type="dxa"/>
            <w:tcBorders>
              <w:left w:val="single" w:sz="4" w:space="0" w:color="auto"/>
              <w:bottom w:val="single" w:sz="4" w:space="0" w:color="auto"/>
              <w:right w:val="single" w:sz="4" w:space="0" w:color="auto"/>
            </w:tcBorders>
          </w:tcPr>
          <w:p w14:paraId="522EC0F5" w14:textId="6C6309E1" w:rsidR="00D03CA6" w:rsidRPr="00D03CA6" w:rsidRDefault="007330F1" w:rsidP="00954DBC">
            <w:pPr>
              <w:tabs>
                <w:tab w:val="left" w:pos="567"/>
              </w:tabs>
              <w:spacing w:line="276" w:lineRule="auto"/>
              <w:jc w:val="center"/>
              <w:rPr>
                <w:lang w:eastAsia="lt-LT"/>
              </w:rPr>
            </w:pPr>
            <w:r>
              <w:rPr>
                <w:lang w:eastAsia="lt-LT"/>
              </w:rPr>
              <w:t>***</w:t>
            </w:r>
          </w:p>
        </w:tc>
      </w:tr>
    </w:tbl>
    <w:p w14:paraId="6E615713" w14:textId="77777777" w:rsidR="00101688" w:rsidRDefault="00101688" w:rsidP="00954DBC">
      <w:pPr>
        <w:tabs>
          <w:tab w:val="left" w:pos="567"/>
        </w:tabs>
        <w:spacing w:line="276" w:lineRule="auto"/>
        <w:jc w:val="both"/>
        <w:rPr>
          <w:iCs/>
          <w:sz w:val="22"/>
          <w:lang w:eastAsia="lt-LT"/>
        </w:rPr>
      </w:pPr>
    </w:p>
    <w:p w14:paraId="23D4EB31" w14:textId="6F1AB367" w:rsidR="00D03CA6" w:rsidRPr="00101688" w:rsidRDefault="00D03CA6" w:rsidP="00954DBC">
      <w:pPr>
        <w:tabs>
          <w:tab w:val="left" w:pos="567"/>
        </w:tabs>
        <w:spacing w:line="276" w:lineRule="auto"/>
        <w:jc w:val="both"/>
        <w:rPr>
          <w:iCs/>
          <w:sz w:val="22"/>
          <w:lang w:eastAsia="lt-LT"/>
        </w:rPr>
      </w:pPr>
      <w:r w:rsidRPr="00101688">
        <w:rPr>
          <w:iCs/>
          <w:sz w:val="22"/>
          <w:lang w:eastAsia="lt-LT"/>
        </w:rPr>
        <w:t>ICER – (</w:t>
      </w:r>
      <w:r w:rsidRPr="00101688">
        <w:rPr>
          <w:i/>
          <w:sz w:val="22"/>
          <w:lang w:eastAsia="lt-LT"/>
        </w:rPr>
        <w:t>angl. incremental cost-effectiveness ratio</w:t>
      </w:r>
      <w:r w:rsidRPr="00101688">
        <w:rPr>
          <w:iCs/>
          <w:sz w:val="22"/>
          <w:lang w:eastAsia="lt-LT"/>
        </w:rPr>
        <w:t>) inkrementinis kaštų naudingumo koeficientas; LY – (</w:t>
      </w:r>
      <w:r w:rsidRPr="00101688">
        <w:rPr>
          <w:i/>
          <w:sz w:val="22"/>
          <w:lang w:eastAsia="lt-LT"/>
        </w:rPr>
        <w:t>angl. life years</w:t>
      </w:r>
      <w:r w:rsidRPr="00101688">
        <w:rPr>
          <w:iCs/>
          <w:sz w:val="22"/>
          <w:lang w:eastAsia="lt-LT"/>
        </w:rPr>
        <w:t>) gyvenimo metai; QALY- (</w:t>
      </w:r>
      <w:r w:rsidRPr="00101688">
        <w:rPr>
          <w:i/>
          <w:sz w:val="22"/>
          <w:lang w:eastAsia="lt-LT"/>
        </w:rPr>
        <w:t xml:space="preserve">angl. quality adjusted life years) </w:t>
      </w:r>
      <w:r w:rsidRPr="00101688">
        <w:rPr>
          <w:iCs/>
          <w:sz w:val="22"/>
          <w:lang w:eastAsia="lt-LT"/>
        </w:rPr>
        <w:t>kokybiški gyvenimo metai.</w:t>
      </w:r>
    </w:p>
    <w:p w14:paraId="6827055A" w14:textId="77777777" w:rsidR="00D03CA6" w:rsidRPr="00E33EFF" w:rsidRDefault="00D03CA6" w:rsidP="00954DBC">
      <w:pPr>
        <w:tabs>
          <w:tab w:val="left" w:pos="426"/>
        </w:tabs>
        <w:spacing w:line="276" w:lineRule="auto"/>
        <w:rPr>
          <w:b/>
          <w:bCs/>
          <w:caps/>
        </w:rPr>
      </w:pPr>
    </w:p>
    <w:p w14:paraId="7998A156" w14:textId="77777777" w:rsidR="00C62B36" w:rsidRPr="00E33EFF" w:rsidRDefault="00C62B36" w:rsidP="00954DBC">
      <w:pPr>
        <w:pStyle w:val="ListParagraph"/>
        <w:numPr>
          <w:ilvl w:val="0"/>
          <w:numId w:val="12"/>
        </w:numPr>
        <w:tabs>
          <w:tab w:val="left" w:pos="567"/>
        </w:tabs>
        <w:spacing w:line="276" w:lineRule="auto"/>
        <w:ind w:hanging="720"/>
        <w:rPr>
          <w:b/>
          <w:bCs/>
          <w:caps/>
        </w:rPr>
      </w:pPr>
      <w:r w:rsidRPr="00E33EFF">
        <w:rPr>
          <w:b/>
          <w:bCs/>
          <w:caps/>
        </w:rPr>
        <w:t xml:space="preserve">Pacientų organizacijų pateikti duomenys </w:t>
      </w:r>
    </w:p>
    <w:p w14:paraId="6F7262B1" w14:textId="282A9C77" w:rsidR="00937907" w:rsidRPr="00E33EFF" w:rsidRDefault="00000000" w:rsidP="00954DBC">
      <w:pPr>
        <w:spacing w:after="120" w:line="276" w:lineRule="auto"/>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327B90C" w14:textId="38189ABE" w:rsidR="00D417D2" w:rsidRDefault="00000000" w:rsidP="00954DBC">
      <w:pPr>
        <w:spacing w:after="120" w:line="276" w:lineRule="auto"/>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D03CA6">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374B595A" w14:textId="77777777" w:rsidR="00D73774" w:rsidRPr="00E33EFF" w:rsidRDefault="00D73774" w:rsidP="00954DBC">
      <w:pPr>
        <w:spacing w:after="120" w:line="276" w:lineRule="auto"/>
        <w:jc w:val="both"/>
      </w:pPr>
    </w:p>
    <w:p w14:paraId="05F2DDAD" w14:textId="77777777" w:rsidR="00C62B36" w:rsidRPr="00E33EFF" w:rsidRDefault="00C62B36" w:rsidP="00954DBC">
      <w:pPr>
        <w:pStyle w:val="ListParagraph"/>
        <w:numPr>
          <w:ilvl w:val="0"/>
          <w:numId w:val="12"/>
        </w:numPr>
        <w:tabs>
          <w:tab w:val="left" w:pos="567"/>
        </w:tabs>
        <w:spacing w:line="276" w:lineRule="auto"/>
        <w:ind w:hanging="720"/>
        <w:rPr>
          <w:b/>
          <w:bCs/>
          <w:caps/>
        </w:rPr>
      </w:pPr>
      <w:r w:rsidRPr="00E33EFF">
        <w:rPr>
          <w:b/>
          <w:bCs/>
          <w:caps/>
        </w:rPr>
        <w:t>Gydytojų organizacijų pateikti duomenys</w:t>
      </w:r>
    </w:p>
    <w:p w14:paraId="512EE0EE" w14:textId="123A070B" w:rsidR="00937907" w:rsidRPr="00E33EFF" w:rsidRDefault="00000000" w:rsidP="00954DBC">
      <w:pPr>
        <w:spacing w:after="120" w:line="276" w:lineRule="auto"/>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0E77F550" w14:textId="6BD04655" w:rsidR="00662983" w:rsidRPr="00E33EFF" w:rsidRDefault="00000000" w:rsidP="00954DBC">
      <w:pPr>
        <w:spacing w:after="120" w:line="276" w:lineRule="auto"/>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D03CA6">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2B0AB24A" w14:textId="77777777" w:rsidR="00A042B9" w:rsidRDefault="00A042B9" w:rsidP="00954DBC">
      <w:pPr>
        <w:spacing w:after="120" w:line="276" w:lineRule="auto"/>
        <w:jc w:val="both"/>
      </w:pPr>
    </w:p>
    <w:p w14:paraId="54668B83" w14:textId="77777777" w:rsidR="002F0E4F" w:rsidRPr="00E33EFF" w:rsidRDefault="002F0E4F" w:rsidP="00954DBC">
      <w:pPr>
        <w:pStyle w:val="ListParagraph"/>
        <w:numPr>
          <w:ilvl w:val="0"/>
          <w:numId w:val="12"/>
        </w:numPr>
        <w:tabs>
          <w:tab w:val="left" w:pos="567"/>
        </w:tabs>
        <w:spacing w:line="276" w:lineRule="auto"/>
        <w:ind w:hanging="720"/>
        <w:rPr>
          <w:b/>
          <w:bCs/>
          <w:caps/>
        </w:rPr>
      </w:pPr>
      <w:r w:rsidRPr="00E33EFF">
        <w:rPr>
          <w:b/>
          <w:bCs/>
          <w:caps/>
        </w:rPr>
        <w:t xml:space="preserve">Išvada </w:t>
      </w:r>
    </w:p>
    <w:p w14:paraId="75CFA552" w14:textId="42131D96" w:rsidR="0061611B" w:rsidRPr="00E33EFF" w:rsidRDefault="0061611B" w:rsidP="00954DBC">
      <w:pPr>
        <w:spacing w:line="276" w:lineRule="auto"/>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E33EFF" w14:paraId="702FB3EB" w14:textId="77777777" w:rsidTr="00C16245">
        <w:trPr>
          <w:trHeight w:val="510"/>
        </w:trPr>
        <w:tc>
          <w:tcPr>
            <w:tcW w:w="4815" w:type="dxa"/>
            <w:vAlign w:val="center"/>
          </w:tcPr>
          <w:p w14:paraId="3A063034" w14:textId="77777777" w:rsidR="00B13D65" w:rsidRPr="00E33EFF" w:rsidRDefault="00662983"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1A7406A5" w14:textId="77777777" w:rsidR="00B13D65" w:rsidRPr="00E33EFF" w:rsidRDefault="00662983"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78B9D534" w14:textId="77777777" w:rsidTr="00C16245">
        <w:trPr>
          <w:trHeight w:val="510"/>
        </w:trPr>
        <w:tc>
          <w:tcPr>
            <w:tcW w:w="9629" w:type="dxa"/>
            <w:gridSpan w:val="2"/>
            <w:vAlign w:val="center"/>
          </w:tcPr>
          <w:p w14:paraId="71161F40" w14:textId="77777777" w:rsidR="00B13D65" w:rsidRPr="00E33EFF" w:rsidRDefault="00B13D65"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50936291" w14:textId="77777777" w:rsidTr="0061611B">
        <w:tc>
          <w:tcPr>
            <w:tcW w:w="4815" w:type="dxa"/>
          </w:tcPr>
          <w:p w14:paraId="3BC0BA0C" w14:textId="747288B0" w:rsidR="00D73774" w:rsidRPr="00E33EFF" w:rsidRDefault="00000000" w:rsidP="00D7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D73774">
                  <w:rPr>
                    <w:rStyle w:val="Style2"/>
                    <w:rFonts w:ascii="MS Gothic" w:eastAsia="MS Gothic" w:hAnsi="MS Gothic" w:hint="eastAsia"/>
                    <w:sz w:val="24"/>
                  </w:rPr>
                  <w:t>☒</w:t>
                </w:r>
              </w:sdtContent>
            </w:sdt>
            <w:r w:rsidR="00D73774" w:rsidRPr="00E33EFF">
              <w:t xml:space="preserve"> 32.1. yra didesnis</w:t>
            </w:r>
          </w:p>
          <w:p w14:paraId="6BAE2C82" w14:textId="77777777" w:rsidR="00D73774" w:rsidRPr="00E33EFF" w:rsidRDefault="00D73774" w:rsidP="00D7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9807B6E" w14:textId="68F2CBBC" w:rsidR="00B13D65" w:rsidRPr="00E33EFF" w:rsidRDefault="00000000" w:rsidP="00D7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D73774" w:rsidRPr="00E33EFF">
                  <w:rPr>
                    <w:rStyle w:val="Style2"/>
                    <w:rFonts w:ascii="Segoe UI Symbol" w:eastAsia="MS Gothic" w:hAnsi="Segoe UI Symbol" w:cs="Segoe UI Symbol"/>
                    <w:sz w:val="24"/>
                  </w:rPr>
                  <w:t>☐</w:t>
                </w:r>
              </w:sdtContent>
            </w:sdt>
            <w:r w:rsidR="00D73774" w:rsidRPr="00E33EFF">
              <w:t xml:space="preserve"> 32.1. iš esmės nesiskiria</w:t>
            </w:r>
          </w:p>
        </w:tc>
        <w:tc>
          <w:tcPr>
            <w:tcW w:w="4814" w:type="dxa"/>
          </w:tcPr>
          <w:p w14:paraId="36ED4070" w14:textId="457ED89E" w:rsidR="00D73774" w:rsidRPr="00E33EFF" w:rsidRDefault="00000000" w:rsidP="00D7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D73774" w:rsidRPr="00E33EFF">
                  <w:rPr>
                    <w:rStyle w:val="Style2"/>
                    <w:rFonts w:ascii="Segoe UI Symbol" w:eastAsia="MS Gothic" w:hAnsi="Segoe UI Symbol" w:cs="Segoe UI Symbol"/>
                    <w:sz w:val="24"/>
                  </w:rPr>
                  <w:t>☐</w:t>
                </w:r>
              </w:sdtContent>
            </w:sdt>
            <w:r w:rsidR="00D73774" w:rsidRPr="00E33EFF">
              <w:t xml:space="preserve"> 33.1. yra mažesnis</w:t>
            </w:r>
          </w:p>
          <w:p w14:paraId="46CDE021" w14:textId="77777777" w:rsidR="00D73774" w:rsidRPr="00E33EFF" w:rsidRDefault="00D73774" w:rsidP="00D7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31C2ADA" w14:textId="2E48FFC3" w:rsidR="00D73774" w:rsidRPr="00E33EFF" w:rsidRDefault="00000000" w:rsidP="00D7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D73774" w:rsidRPr="00E33EFF">
                  <w:rPr>
                    <w:rStyle w:val="Style2"/>
                    <w:rFonts w:ascii="Segoe UI Symbol" w:eastAsia="MS Gothic" w:hAnsi="Segoe UI Symbol" w:cs="Segoe UI Symbol"/>
                    <w:sz w:val="24"/>
                  </w:rPr>
                  <w:t>☐</w:t>
                </w:r>
              </w:sdtContent>
            </w:sdt>
            <w:r w:rsidR="00D73774" w:rsidRPr="00E33EFF">
              <w:t xml:space="preserve"> 33.1. yra neįrodytas kaip toks pat</w:t>
            </w:r>
          </w:p>
          <w:p w14:paraId="4AA4D75E" w14:textId="77777777" w:rsidR="00D73774" w:rsidRPr="00E33EFF" w:rsidRDefault="00D73774" w:rsidP="00D7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0E719C0" w14:textId="4188B7ED" w:rsidR="00D73774" w:rsidRPr="00E33EFF" w:rsidRDefault="00000000" w:rsidP="00D7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D73774" w:rsidRPr="00E33EFF">
                  <w:rPr>
                    <w:rStyle w:val="Style2"/>
                    <w:rFonts w:ascii="Segoe UI Symbol" w:eastAsia="MS Gothic" w:hAnsi="Segoe UI Symbol" w:cs="Segoe UI Symbol"/>
                    <w:sz w:val="24"/>
                  </w:rPr>
                  <w:t>☐</w:t>
                </w:r>
              </w:sdtContent>
            </w:sdt>
            <w:r w:rsidR="00D73774" w:rsidRPr="00E33EFF">
              <w:t xml:space="preserve"> 33.1 yra neįrodytas kaip didesnis</w:t>
            </w:r>
          </w:p>
          <w:p w14:paraId="2CD3A41B" w14:textId="77777777" w:rsidR="00D73774" w:rsidRPr="00E33EFF" w:rsidRDefault="00D73774" w:rsidP="00D7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E4B72FA" w14:textId="77777777" w:rsidR="00D73774" w:rsidRPr="00E33EFF" w:rsidRDefault="00000000" w:rsidP="00D7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D73774" w:rsidRPr="00E33EFF">
                  <w:rPr>
                    <w:rStyle w:val="Style2"/>
                    <w:rFonts w:ascii="Segoe UI Symbol" w:eastAsia="MS Gothic" w:hAnsi="Segoe UI Symbol" w:cs="Segoe UI Symbol"/>
                    <w:sz w:val="24"/>
                  </w:rPr>
                  <w:t>☐</w:t>
                </w:r>
              </w:sdtContent>
            </w:sdt>
            <w:r w:rsidR="00D73774" w:rsidRPr="00E33EFF">
              <w:t xml:space="preserve"> 33.1. pateikti duomenys apie palyginamąjį efektyvumą yra netinkami vertinti</w:t>
            </w:r>
          </w:p>
          <w:p w14:paraId="1928E2D9" w14:textId="77777777" w:rsidR="00B13D65" w:rsidRPr="00E33EFF" w:rsidRDefault="00B13D65"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r w:rsidR="00B13D65" w:rsidRPr="00E33EFF" w14:paraId="4AE5422D" w14:textId="77777777" w:rsidTr="00C16245">
        <w:trPr>
          <w:trHeight w:val="510"/>
        </w:trPr>
        <w:tc>
          <w:tcPr>
            <w:tcW w:w="9629" w:type="dxa"/>
            <w:gridSpan w:val="2"/>
            <w:vAlign w:val="center"/>
          </w:tcPr>
          <w:p w14:paraId="4139364F" w14:textId="77777777" w:rsidR="00B13D65" w:rsidRPr="00E33EFF" w:rsidRDefault="00B13D65"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E33EFF">
              <w:rPr>
                <w:rStyle w:val="Style2"/>
                <w:rFonts w:eastAsia="MS Gothic"/>
                <w:b/>
                <w:bCs/>
                <w:sz w:val="24"/>
              </w:rPr>
              <w:t>Klinikinis veiksmingumas</w:t>
            </w:r>
          </w:p>
        </w:tc>
      </w:tr>
      <w:tr w:rsidR="00B13D65" w:rsidRPr="00E33EFF" w14:paraId="4215216D" w14:textId="77777777" w:rsidTr="0061611B">
        <w:tc>
          <w:tcPr>
            <w:tcW w:w="4815" w:type="dxa"/>
          </w:tcPr>
          <w:p w14:paraId="58288B24" w14:textId="6C6BE707" w:rsidR="00B13D65" w:rsidRPr="00E33EFF" w:rsidRDefault="00000000"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481080007"/>
                <w15:color w:val="FFCC00"/>
                <w14:checkbox>
                  <w14:checked w14:val="1"/>
                  <w14:checkedState w14:val="2612" w14:font="MS Gothic"/>
                  <w14:uncheckedState w14:val="2610" w14:font="MS Gothic"/>
                </w14:checkbox>
              </w:sdtPr>
              <w:sdtContent>
                <w:r w:rsidR="00E76D3A">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266ED945" w14:textId="77777777" w:rsidR="00662983" w:rsidRPr="00E33EFF" w:rsidRDefault="00662983"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591E2D8" w14:textId="699551AC" w:rsidR="00B13D65" w:rsidRPr="00E33EFF" w:rsidRDefault="00000000"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48B8237A" w14:textId="77777777" w:rsidR="00B13D65" w:rsidRPr="00E33EFF" w:rsidRDefault="00B13D65"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c>
          <w:tcPr>
            <w:tcW w:w="4814" w:type="dxa"/>
          </w:tcPr>
          <w:p w14:paraId="5B35E333" w14:textId="648A5B32" w:rsidR="00662983" w:rsidRPr="00E33EFF" w:rsidRDefault="00000000" w:rsidP="00954DBC">
            <w:pPr>
              <w:spacing w:line="276" w:lineRule="auto"/>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3D59FA3D" w14:textId="77777777" w:rsidR="00662983" w:rsidRPr="00E33EFF" w:rsidRDefault="00662983" w:rsidP="00954DBC">
            <w:pPr>
              <w:spacing w:line="276" w:lineRule="auto"/>
              <w:jc w:val="both"/>
            </w:pPr>
          </w:p>
          <w:p w14:paraId="3FE1C06A" w14:textId="04D34600" w:rsidR="00B13D65" w:rsidRPr="00E33EFF" w:rsidRDefault="00000000" w:rsidP="00954DBC">
            <w:pPr>
              <w:spacing w:line="276" w:lineRule="auto"/>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529F7C92" w14:textId="77777777" w:rsidR="00B13D65" w:rsidRPr="00E33EFF" w:rsidRDefault="00B13D65"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B7AD39E" w14:textId="77777777" w:rsidR="00B13D65" w:rsidRPr="00E33EFF" w:rsidRDefault="00B13D65"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r w:rsidR="00B13D65" w:rsidRPr="00E33EFF" w14:paraId="63132877" w14:textId="77777777" w:rsidTr="00C16245">
        <w:trPr>
          <w:trHeight w:val="510"/>
        </w:trPr>
        <w:tc>
          <w:tcPr>
            <w:tcW w:w="9629" w:type="dxa"/>
            <w:gridSpan w:val="2"/>
            <w:vAlign w:val="center"/>
          </w:tcPr>
          <w:p w14:paraId="3FB021F2" w14:textId="77777777" w:rsidR="00B13D65" w:rsidRPr="00E33EFF" w:rsidRDefault="00B13D65"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E33EFF">
              <w:rPr>
                <w:rStyle w:val="Style2"/>
                <w:rFonts w:eastAsia="MS Gothic"/>
                <w:b/>
                <w:bCs/>
                <w:sz w:val="24"/>
              </w:rPr>
              <w:t>Kaštų naudingumas</w:t>
            </w:r>
          </w:p>
        </w:tc>
      </w:tr>
      <w:tr w:rsidR="00B13D65" w:rsidRPr="00E33EFF" w14:paraId="6D25B52C" w14:textId="77777777" w:rsidTr="0061611B">
        <w:tc>
          <w:tcPr>
            <w:tcW w:w="4815" w:type="dxa"/>
          </w:tcPr>
          <w:p w14:paraId="7104381E" w14:textId="6FAD3471" w:rsidR="00B13D65" w:rsidRPr="00E33EFF" w:rsidRDefault="00000000"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975984416"/>
                <w15:color w:val="FFCC00"/>
                <w14:checkbox>
                  <w14:checked w14:val="0"/>
                  <w14:checkedState w14:val="2612" w14:font="MS Gothic"/>
                  <w14:uncheckedState w14:val="2610" w14:font="MS Gothic"/>
                </w14:checkbox>
              </w:sdtPr>
              <w:sdtContent>
                <w:r w:rsidR="00F7000B">
                  <w:rPr>
                    <w:rStyle w:val="Style2"/>
                    <w:rFonts w:ascii="MS Gothic" w:eastAsia="MS Gothic" w:hAnsi="MS Gothic" w:hint="eastAsia"/>
                    <w:sz w:val="24"/>
                  </w:rPr>
                  <w:t>☐</w:t>
                </w:r>
              </w:sdtContent>
            </w:sdt>
            <w:r w:rsidR="00B13D65" w:rsidRPr="00E33EFF">
              <w:t xml:space="preserve"> 32.3. atitinka referencinę naudingumo vertę</w:t>
            </w:r>
          </w:p>
          <w:p w14:paraId="49E9BD66" w14:textId="77777777" w:rsidR="00662983" w:rsidRPr="00E33EFF" w:rsidRDefault="00662983"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713DE7A" w14:textId="35803E31" w:rsidR="00B13D65" w:rsidRPr="00E33EFF" w:rsidRDefault="00000000"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w:t>
            </w:r>
            <w:r w:rsidR="00B00959" w:rsidRPr="00E33EFF">
              <w:t>lyginant su įprasta klinikine praktika</w:t>
            </w:r>
          </w:p>
          <w:p w14:paraId="404AC1CA" w14:textId="77777777" w:rsidR="00B13D65" w:rsidRPr="00E33EFF" w:rsidRDefault="00B13D65"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c>
          <w:tcPr>
            <w:tcW w:w="4814" w:type="dxa"/>
          </w:tcPr>
          <w:p w14:paraId="0EF94990" w14:textId="04A28620" w:rsidR="00B13D65" w:rsidRPr="00E33EFF" w:rsidRDefault="00000000"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1365405113"/>
                <w15:color w:val="FFCC00"/>
                <w14:checkbox>
                  <w14:checked w14:val="1"/>
                  <w14:checkedState w14:val="2612" w14:font="MS Gothic"/>
                  <w14:uncheckedState w14:val="2610" w14:font="MS Gothic"/>
                </w14:checkbox>
              </w:sdtPr>
              <w:sdtContent>
                <w:r w:rsidR="00F7000B">
                  <w:rPr>
                    <w:rStyle w:val="Style2"/>
                    <w:rFonts w:ascii="MS Gothic" w:eastAsia="MS Gothic" w:hAnsi="MS Gothic" w:hint="eastAsia"/>
                    <w:sz w:val="24"/>
                  </w:rPr>
                  <w:t>☒</w:t>
                </w:r>
              </w:sdtContent>
            </w:sdt>
            <w:r w:rsidR="00B13D65" w:rsidRPr="00E33EFF">
              <w:t xml:space="preserve"> 33.3. neatitinka referencinės naudingumo vertės Lietuvos Respublikoje</w:t>
            </w:r>
          </w:p>
          <w:p w14:paraId="0C87D15D" w14:textId="77777777" w:rsidR="00662983" w:rsidRPr="00E33EFF" w:rsidRDefault="00662983"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1778B2A" w14:textId="32A724EF" w:rsidR="00B13D65" w:rsidRPr="00E33EFF" w:rsidRDefault="00000000"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w:t>
            </w:r>
            <w:r w:rsidR="00B00959" w:rsidRPr="00E33EFF">
              <w:t xml:space="preserve"> lyginant su įprasta klinikine praktika</w:t>
            </w:r>
          </w:p>
          <w:p w14:paraId="7222B4CE" w14:textId="77777777" w:rsidR="00662983" w:rsidRPr="00E33EFF" w:rsidRDefault="00662983"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87F27EA" w14:textId="3B51EF06" w:rsidR="00B13D65" w:rsidRPr="00E33EFF" w:rsidRDefault="00000000"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012B1733" w14:textId="77777777" w:rsidR="00B13D65" w:rsidRPr="00E33EFF" w:rsidRDefault="00B13D65" w:rsidP="00954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4"/>
              </w:rPr>
            </w:pPr>
          </w:p>
        </w:tc>
      </w:tr>
    </w:tbl>
    <w:p w14:paraId="2D59F795" w14:textId="77777777" w:rsidR="009E44AE" w:rsidRPr="00E33EFF" w:rsidRDefault="009E44AE" w:rsidP="00954DBC">
      <w:pPr>
        <w:spacing w:line="276" w:lineRule="auto"/>
      </w:pPr>
    </w:p>
    <w:p w14:paraId="6F7BEC69" w14:textId="77777777" w:rsidR="000001B0" w:rsidRPr="00E33EFF" w:rsidRDefault="000001B0" w:rsidP="00954DBC">
      <w:pPr>
        <w:pStyle w:val="ListParagraph"/>
        <w:numPr>
          <w:ilvl w:val="0"/>
          <w:numId w:val="12"/>
        </w:numPr>
        <w:spacing w:line="276" w:lineRule="auto"/>
        <w:ind w:left="567" w:hanging="567"/>
      </w:pPr>
      <w:r w:rsidRPr="00E33EFF">
        <w:rPr>
          <w:b/>
        </w:rPr>
        <w:t>REKOME</w:t>
      </w:r>
      <w:r w:rsidR="00D83182" w:rsidRPr="00E33EFF">
        <w:rPr>
          <w:b/>
        </w:rPr>
        <w:t>N</w:t>
      </w:r>
      <w:r w:rsidRPr="00E33EFF">
        <w:rPr>
          <w:b/>
        </w:rPr>
        <w:t>DACIJA</w:t>
      </w:r>
    </w:p>
    <w:p w14:paraId="00297DD2" w14:textId="77777777" w:rsidR="00D5470B" w:rsidRPr="00E33EFF" w:rsidRDefault="00D5470B" w:rsidP="00954DBC">
      <w:pPr>
        <w:pStyle w:val="ListParagraph"/>
        <w:spacing w:line="276" w:lineRule="auto"/>
        <w:ind w:left="426"/>
      </w:pPr>
    </w:p>
    <w:p w14:paraId="3F6A1116" w14:textId="3CE46B64" w:rsidR="00D03CA6" w:rsidRDefault="00F7000B" w:rsidP="00954DBC">
      <w:pPr>
        <w:pStyle w:val="VVKT"/>
        <w:ind w:firstLine="576"/>
        <w:rPr>
          <w:sz w:val="24"/>
          <w:szCs w:val="32"/>
        </w:rPr>
      </w:pPr>
      <w:r w:rsidRPr="00F7000B">
        <w:rPr>
          <w:sz w:val="24"/>
          <w:szCs w:val="32"/>
        </w:rPr>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34.4. rekomenduojama </w:t>
      </w:r>
      <w:r w:rsidRPr="00F7000B">
        <w:rPr>
          <w:i/>
          <w:sz w:val="24"/>
          <w:szCs w:val="32"/>
        </w:rPr>
        <w:t xml:space="preserve">nekompensuoti </w:t>
      </w:r>
      <w:r w:rsidRPr="00F7000B">
        <w:rPr>
          <w:sz w:val="24"/>
          <w:szCs w:val="32"/>
        </w:rPr>
        <w:t xml:space="preserve">vaistinio preparato pagal paraiškoje nurodytą indikaciją su skyrimo sąlygomis, netaikant PGS dėl vertinimo išvadų, nurodytų 33.3 papunktyje (žr. </w:t>
      </w:r>
      <w:r w:rsidR="003861D7">
        <w:rPr>
          <w:sz w:val="24"/>
          <w:szCs w:val="32"/>
        </w:rPr>
        <w:t xml:space="preserve">6 </w:t>
      </w:r>
      <w:r w:rsidRPr="00F7000B">
        <w:rPr>
          <w:sz w:val="24"/>
          <w:szCs w:val="32"/>
        </w:rPr>
        <w:t xml:space="preserve"> skyri</w:t>
      </w:r>
      <w:r w:rsidR="003861D7">
        <w:rPr>
          <w:sz w:val="24"/>
          <w:szCs w:val="32"/>
        </w:rPr>
        <w:t>ų</w:t>
      </w:r>
      <w:r w:rsidRPr="00F7000B">
        <w:rPr>
          <w:sz w:val="24"/>
          <w:szCs w:val="32"/>
        </w:rPr>
        <w:t xml:space="preserve">),  neatitikties 34.1 papunktyje išdėstytoms sąlygoms. </w:t>
      </w:r>
    </w:p>
    <w:p w14:paraId="5B373C38" w14:textId="77777777" w:rsidR="00D73774" w:rsidRDefault="00D73774" w:rsidP="00954DBC">
      <w:pPr>
        <w:pStyle w:val="VVKT"/>
        <w:ind w:firstLine="576"/>
        <w:rPr>
          <w:sz w:val="24"/>
          <w:szCs w:val="32"/>
        </w:rPr>
      </w:pPr>
    </w:p>
    <w:p w14:paraId="7796A418" w14:textId="315F4889" w:rsidR="00D6252D" w:rsidRPr="00D73774" w:rsidRDefault="00D73774" w:rsidP="00954DBC">
      <w:pPr>
        <w:pStyle w:val="VVKT"/>
        <w:ind w:firstLine="0"/>
        <w:rPr>
          <w:b/>
          <w:bCs/>
          <w:sz w:val="24"/>
          <w:szCs w:val="32"/>
          <w:lang w:val="en-US"/>
        </w:rPr>
      </w:pPr>
      <w:r>
        <w:rPr>
          <w:sz w:val="24"/>
          <w:szCs w:val="32"/>
          <w:lang w:val="en-US"/>
        </w:rPr>
        <w:tab/>
      </w:r>
      <w:r w:rsidRPr="00D73774">
        <w:rPr>
          <w:b/>
          <w:bCs/>
          <w:sz w:val="24"/>
          <w:szCs w:val="32"/>
          <w:lang w:val="en-US"/>
        </w:rPr>
        <w:t>Papildomos pastabos ir komentarai</w:t>
      </w:r>
    </w:p>
    <w:p w14:paraId="5F034439" w14:textId="684D54A5" w:rsidR="00D6252D" w:rsidRDefault="00D6252D" w:rsidP="00954DBC">
      <w:pPr>
        <w:pStyle w:val="VVKT"/>
        <w:ind w:firstLine="576"/>
        <w:rPr>
          <w:sz w:val="24"/>
          <w:szCs w:val="32"/>
        </w:rPr>
      </w:pPr>
      <w:r w:rsidRPr="00D73774">
        <w:rPr>
          <w:sz w:val="24"/>
          <w:szCs w:val="32"/>
        </w:rPr>
        <w:t xml:space="preserve">Tarnyba, remiantis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atsižvelgiant į inovatyvaus gydymo prieinamumo trūkumą gydant nagrinėjamą pacientų populiaciją, siūlo kompensuoti vaistinį preparatą olaparibą 8 skyriuje nurodytoms indikacijoms, su sąlyga, jog </w:t>
      </w:r>
      <w:r w:rsidR="00872250">
        <w:rPr>
          <w:sz w:val="24"/>
          <w:szCs w:val="32"/>
        </w:rPr>
        <w:t>***</w:t>
      </w:r>
      <w:r w:rsidR="00DE5113" w:rsidRPr="00D73774">
        <w:rPr>
          <w:sz w:val="24"/>
          <w:szCs w:val="32"/>
        </w:rPr>
        <w:t>.</w:t>
      </w:r>
      <w:r w:rsidR="00DE5113">
        <w:rPr>
          <w:sz w:val="24"/>
          <w:szCs w:val="32"/>
        </w:rPr>
        <w:t xml:space="preserve"> </w:t>
      </w:r>
    </w:p>
    <w:p w14:paraId="61E88DFB" w14:textId="77777777" w:rsidR="00D73774" w:rsidRPr="00E33EFF" w:rsidRDefault="00D73774" w:rsidP="00954DBC">
      <w:pPr>
        <w:spacing w:line="276" w:lineRule="auto"/>
      </w:pPr>
    </w:p>
    <w:p w14:paraId="0B1C25C8" w14:textId="3AF941D8" w:rsidR="000453F0" w:rsidRPr="00D6252D" w:rsidRDefault="000723FF" w:rsidP="00FB37E3">
      <w:pPr>
        <w:pStyle w:val="ListParagraph"/>
        <w:numPr>
          <w:ilvl w:val="0"/>
          <w:numId w:val="12"/>
        </w:numPr>
        <w:tabs>
          <w:tab w:val="left" w:pos="567"/>
        </w:tabs>
        <w:spacing w:line="276" w:lineRule="auto"/>
        <w:ind w:left="0" w:firstLine="0"/>
        <w:jc w:val="both"/>
        <w:rPr>
          <w:b/>
          <w:color w:val="000000"/>
          <w:lang w:eastAsia="lt-LT"/>
        </w:rPr>
      </w:pPr>
      <w:r w:rsidRPr="00550F3B">
        <w:rPr>
          <w:b/>
          <w:lang w:eastAsia="lt-LT"/>
        </w:rPr>
        <w:t xml:space="preserve">SIŪLOMOS KOMPENSUOTI </w:t>
      </w:r>
      <w:r w:rsidRPr="000453F0">
        <w:rPr>
          <w:b/>
          <w:color w:val="000000"/>
          <w:lang w:eastAsia="lt-LT"/>
        </w:rPr>
        <w:t>TERAPINĖS INDIKACIJOS IR SKYRIMO SĄLYGOS</w:t>
      </w:r>
    </w:p>
    <w:p w14:paraId="32C8A84C" w14:textId="77777777" w:rsidR="000723FF" w:rsidRPr="00E33EFF" w:rsidRDefault="000723FF" w:rsidP="00954DBC">
      <w:pPr>
        <w:tabs>
          <w:tab w:val="left" w:pos="426"/>
        </w:tabs>
        <w:spacing w:line="276" w:lineRule="auto"/>
        <w:jc w:val="both"/>
        <w:rPr>
          <w:b/>
          <w:color w:val="000000"/>
          <w:lang w:eastAsia="lt-LT"/>
        </w:rPr>
      </w:pPr>
    </w:p>
    <w:p w14:paraId="56ED41B3" w14:textId="77777777" w:rsidR="000723FF" w:rsidRPr="00D73774" w:rsidRDefault="000723FF" w:rsidP="00954DBC">
      <w:pPr>
        <w:spacing w:line="276" w:lineRule="auto"/>
        <w:rPr>
          <w:b/>
          <w:lang w:eastAsia="lt-LT"/>
        </w:rPr>
      </w:pPr>
      <w:bookmarkStart w:id="0" w:name="_Hlk154052369"/>
      <w:r w:rsidRPr="00D73774">
        <w:rPr>
          <w:b/>
          <w:lang w:eastAsia="lt-LT"/>
        </w:rPr>
        <w:t>Terapinės indikacijos</w:t>
      </w:r>
    </w:p>
    <w:p w14:paraId="66FE64EA" w14:textId="59FF383B" w:rsidR="000723FF" w:rsidRPr="00D73774" w:rsidRDefault="00000000" w:rsidP="00954DBC">
      <w:pPr>
        <w:spacing w:line="276" w:lineRule="auto"/>
      </w:pPr>
      <w:sdt>
        <w:sdtPr>
          <w:rPr>
            <w:rStyle w:val="Style2"/>
          </w:rPr>
          <w:id w:val="1146316688"/>
          <w15:color w:val="FFCC00"/>
          <w14:checkbox>
            <w14:checked w14:val="1"/>
            <w14:checkedState w14:val="2612" w14:font="MS Gothic"/>
            <w14:uncheckedState w14:val="2610" w14:font="MS Gothic"/>
          </w14:checkbox>
        </w:sdtPr>
        <w:sdtContent>
          <w:r w:rsidR="00153353" w:rsidRPr="00D73774">
            <w:rPr>
              <w:rStyle w:val="Style2"/>
              <w:rFonts w:ascii="MS Gothic" w:eastAsia="MS Gothic" w:hAnsi="MS Gothic" w:hint="eastAsia"/>
            </w:rPr>
            <w:t>☒</w:t>
          </w:r>
        </w:sdtContent>
      </w:sdt>
      <w:r w:rsidR="000723FF" w:rsidRPr="00D73774">
        <w:t xml:space="preserve"> Siūloma kompensuoti Pareiškėjo teikiamą indikaciją be pakeitimų.</w:t>
      </w:r>
    </w:p>
    <w:p w14:paraId="60238563" w14:textId="77777777" w:rsidR="005C1CAB" w:rsidRPr="00D73774" w:rsidRDefault="005C1CAB" w:rsidP="00954DBC">
      <w:pPr>
        <w:pStyle w:val="ListParagraph"/>
        <w:spacing w:after="120" w:line="276" w:lineRule="auto"/>
        <w:ind w:left="0"/>
        <w:contextualSpacing w:val="0"/>
        <w:jc w:val="both"/>
        <w:rPr>
          <w:i/>
          <w:iCs/>
        </w:rPr>
      </w:pPr>
      <w:r w:rsidRPr="00D73774">
        <w:rPr>
          <w:i/>
          <w:iCs/>
        </w:rPr>
        <w:t>Lynparza skirta kartu su abirateronu ir prednizonu arba prednizolonu: gydyti mCRPC sergantiems suaugusiems pacientams, kuriems chemoterapija kliniškai neskirtina.</w:t>
      </w:r>
    </w:p>
    <w:p w14:paraId="63F2C4B5" w14:textId="09A300F7" w:rsidR="000723FF" w:rsidRPr="00D73774" w:rsidRDefault="00000000" w:rsidP="00954DBC">
      <w:pPr>
        <w:spacing w:line="276" w:lineRule="auto"/>
      </w:pPr>
      <w:sdt>
        <w:sdtPr>
          <w:rPr>
            <w:rStyle w:val="Style2"/>
          </w:rPr>
          <w:id w:val="1467245146"/>
          <w15:color w:val="FFCC00"/>
          <w14:checkbox>
            <w14:checked w14:val="0"/>
            <w14:checkedState w14:val="2612" w14:font="MS Gothic"/>
            <w14:uncheckedState w14:val="2610" w14:font="MS Gothic"/>
          </w14:checkbox>
        </w:sdtPr>
        <w:sdtContent>
          <w:r w:rsidR="00153353" w:rsidRPr="00D73774">
            <w:rPr>
              <w:rStyle w:val="Style2"/>
              <w:rFonts w:ascii="MS Gothic" w:eastAsia="MS Gothic" w:hAnsi="MS Gothic" w:hint="eastAsia"/>
            </w:rPr>
            <w:t>☐</w:t>
          </w:r>
        </w:sdtContent>
      </w:sdt>
      <w:r w:rsidR="000723FF" w:rsidRPr="00D73774">
        <w:t xml:space="preserve"> Siūloma kompensuoti Pareiškėjo teikiamą indikaciją su pakeitimais.</w:t>
      </w:r>
    </w:p>
    <w:p w14:paraId="5936A325" w14:textId="77777777" w:rsidR="000723FF" w:rsidRPr="00D73774" w:rsidRDefault="000723FF" w:rsidP="00954DBC">
      <w:pPr>
        <w:spacing w:line="276" w:lineRule="auto"/>
      </w:pPr>
    </w:p>
    <w:p w14:paraId="201DB8C1" w14:textId="77777777" w:rsidR="000723FF" w:rsidRPr="00D73774" w:rsidRDefault="000723FF" w:rsidP="00954DBC">
      <w:pPr>
        <w:spacing w:line="276" w:lineRule="auto"/>
        <w:rPr>
          <w:b/>
        </w:rPr>
      </w:pPr>
      <w:r w:rsidRPr="00D73774">
        <w:rPr>
          <w:b/>
        </w:rPr>
        <w:t>Skyrimo sąlygos</w:t>
      </w:r>
    </w:p>
    <w:p w14:paraId="2F4596B0" w14:textId="206CFF7D" w:rsidR="000723FF" w:rsidRPr="00D73774" w:rsidRDefault="00000000" w:rsidP="00954DBC">
      <w:pPr>
        <w:spacing w:line="276" w:lineRule="auto"/>
      </w:pPr>
      <w:sdt>
        <w:sdtPr>
          <w:rPr>
            <w:rStyle w:val="Style2"/>
          </w:rPr>
          <w:id w:val="169305347"/>
          <w15:color w:val="FFCC00"/>
          <w14:checkbox>
            <w14:checked w14:val="0"/>
            <w14:checkedState w14:val="2612" w14:font="MS Gothic"/>
            <w14:uncheckedState w14:val="2610" w14:font="MS Gothic"/>
          </w14:checkbox>
        </w:sdtPr>
        <w:sdtContent>
          <w:r w:rsidR="007A2B68" w:rsidRPr="00D73774">
            <w:rPr>
              <w:rStyle w:val="Style2"/>
              <w:rFonts w:ascii="MS Gothic" w:eastAsia="MS Gothic" w:hAnsi="MS Gothic" w:hint="eastAsia"/>
            </w:rPr>
            <w:t>☐</w:t>
          </w:r>
        </w:sdtContent>
      </w:sdt>
      <w:r w:rsidR="000723FF" w:rsidRPr="00D73774">
        <w:t xml:space="preserve"> Pareiškėjo siūlomos skyrimo sąlygos priimtinos. </w:t>
      </w:r>
    </w:p>
    <w:p w14:paraId="1203685F" w14:textId="77777777" w:rsidR="00D03CA6" w:rsidRPr="00D73774" w:rsidRDefault="00D03CA6" w:rsidP="00954DBC">
      <w:pPr>
        <w:pStyle w:val="NoSpacing"/>
        <w:spacing w:line="276" w:lineRule="auto"/>
        <w:rPr>
          <w:rFonts w:ascii="Times New Roman" w:hAnsi="Times New Roman"/>
          <w:sz w:val="24"/>
          <w:szCs w:val="24"/>
        </w:rPr>
      </w:pPr>
    </w:p>
    <w:p w14:paraId="4FB0580C" w14:textId="4A418EFA" w:rsidR="00D6252D" w:rsidRPr="00D73774" w:rsidRDefault="00000000" w:rsidP="00954DBC">
      <w:pPr>
        <w:spacing w:line="276" w:lineRule="auto"/>
      </w:pPr>
      <w:sdt>
        <w:sdtPr>
          <w:rPr>
            <w:rStyle w:val="Style2"/>
          </w:rPr>
          <w:id w:val="1823936883"/>
          <w15:color w:val="FFCC00"/>
          <w14:checkbox>
            <w14:checked w14:val="1"/>
            <w14:checkedState w14:val="2612" w14:font="MS Gothic"/>
            <w14:uncheckedState w14:val="2610" w14:font="MS Gothic"/>
          </w14:checkbox>
        </w:sdtPr>
        <w:sdtContent>
          <w:r w:rsidR="00D03CA6" w:rsidRPr="00D73774">
            <w:rPr>
              <w:rStyle w:val="Style2"/>
              <w:rFonts w:ascii="MS Gothic" w:eastAsia="MS Gothic" w:hAnsi="MS Gothic" w:hint="eastAsia"/>
            </w:rPr>
            <w:t>☒</w:t>
          </w:r>
        </w:sdtContent>
      </w:sdt>
      <w:r w:rsidR="000723FF" w:rsidRPr="00D73774">
        <w:t xml:space="preserve"> Pareiškėjo siūlomos skyrimo sąlygos nepriimtinos. </w:t>
      </w:r>
    </w:p>
    <w:bookmarkEnd w:id="0"/>
    <w:p w14:paraId="6ADD684A" w14:textId="77777777" w:rsidR="005C1CAB" w:rsidRPr="00D73774" w:rsidRDefault="005C1CAB" w:rsidP="00954DBC">
      <w:pPr>
        <w:spacing w:line="276" w:lineRule="auto"/>
      </w:pPr>
      <w:r w:rsidRPr="00D73774">
        <w:t>Siūloma skyrimo sąlygų formuluotė</w:t>
      </w:r>
    </w:p>
    <w:p w14:paraId="5045D41C" w14:textId="1B298B7B" w:rsidR="000723FF" w:rsidRPr="00902613" w:rsidRDefault="005C1CAB" w:rsidP="00550F3B">
      <w:pPr>
        <w:spacing w:line="276" w:lineRule="auto"/>
        <w:jc w:val="both"/>
        <w:rPr>
          <w:iCs/>
        </w:rPr>
      </w:pPr>
      <w:r w:rsidRPr="00902613">
        <w:rPr>
          <w:iCs/>
        </w:rPr>
        <w:lastRenderedPageBreak/>
        <w:t>Skiriamas kartu su abirateronu ir prednizonu arba prednizolonu suaugusiems pacientams sergantiems metastazavusiu kastracijai atspariu prostatos vėžiu, kuriems chemoterapija kliniškai neskirtina ir kuriems yra nustatytos HRR mutacijos.</w:t>
      </w:r>
    </w:p>
    <w:sectPr w:rsidR="000723FF" w:rsidRPr="00902613" w:rsidSect="00C3533A">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FE277" w14:textId="77777777" w:rsidR="00BC4AC2" w:rsidRDefault="00BC4AC2">
      <w:r>
        <w:separator/>
      </w:r>
    </w:p>
  </w:endnote>
  <w:endnote w:type="continuationSeparator" w:id="0">
    <w:p w14:paraId="311B516B" w14:textId="77777777" w:rsidR="00BC4AC2" w:rsidRDefault="00BC4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1F5C"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4A33" w14:textId="77777777" w:rsidR="00BC4AC2" w:rsidRDefault="00BC4AC2">
      <w:r>
        <w:separator/>
      </w:r>
    </w:p>
  </w:footnote>
  <w:footnote w:type="continuationSeparator" w:id="0">
    <w:p w14:paraId="77EA7904" w14:textId="77777777" w:rsidR="00BC4AC2" w:rsidRDefault="00BC4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1567"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C6F1F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32A8D" w14:textId="563B80EC"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0426">
      <w:rPr>
        <w:rStyle w:val="PageNumber"/>
        <w:noProof/>
      </w:rPr>
      <w:t>8</w:t>
    </w:r>
    <w:r>
      <w:rPr>
        <w:rStyle w:val="PageNumber"/>
      </w:rPr>
      <w:fldChar w:fldCharType="end"/>
    </w:r>
  </w:p>
  <w:p w14:paraId="616446BA"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AA55"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7954D5"/>
    <w:multiLevelType w:val="hybridMultilevel"/>
    <w:tmpl w:val="03763DC8"/>
    <w:lvl w:ilvl="0" w:tplc="B1548DF2">
      <w:start w:val="15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00975079">
    <w:abstractNumId w:val="6"/>
  </w:num>
  <w:num w:numId="2" w16cid:durableId="1479573463">
    <w:abstractNumId w:val="1"/>
  </w:num>
  <w:num w:numId="3" w16cid:durableId="306978264">
    <w:abstractNumId w:val="9"/>
  </w:num>
  <w:num w:numId="4" w16cid:durableId="1835607227">
    <w:abstractNumId w:val="7"/>
  </w:num>
  <w:num w:numId="5" w16cid:durableId="793209806">
    <w:abstractNumId w:val="5"/>
  </w:num>
  <w:num w:numId="6" w16cid:durableId="1070467704">
    <w:abstractNumId w:val="4"/>
  </w:num>
  <w:num w:numId="7" w16cid:durableId="807673372">
    <w:abstractNumId w:val="3"/>
  </w:num>
  <w:num w:numId="8" w16cid:durableId="199978622">
    <w:abstractNumId w:val="12"/>
  </w:num>
  <w:num w:numId="9" w16cid:durableId="1369918020">
    <w:abstractNumId w:val="0"/>
  </w:num>
  <w:num w:numId="10" w16cid:durableId="2035493653">
    <w:abstractNumId w:val="10"/>
  </w:num>
  <w:num w:numId="11" w16cid:durableId="1084454817">
    <w:abstractNumId w:val="11"/>
  </w:num>
  <w:num w:numId="12" w16cid:durableId="1642030576">
    <w:abstractNumId w:val="2"/>
  </w:num>
  <w:num w:numId="13" w16cid:durableId="218440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D3A"/>
    <w:rsid w:val="000001B0"/>
    <w:rsid w:val="00001AF8"/>
    <w:rsid w:val="00003F5B"/>
    <w:rsid w:val="00005E52"/>
    <w:rsid w:val="000114DD"/>
    <w:rsid w:val="000136F7"/>
    <w:rsid w:val="0002686C"/>
    <w:rsid w:val="00031D0E"/>
    <w:rsid w:val="000337E6"/>
    <w:rsid w:val="0003402E"/>
    <w:rsid w:val="000348AF"/>
    <w:rsid w:val="00034EAE"/>
    <w:rsid w:val="00042924"/>
    <w:rsid w:val="000453F0"/>
    <w:rsid w:val="00053974"/>
    <w:rsid w:val="00053975"/>
    <w:rsid w:val="00057A2B"/>
    <w:rsid w:val="000606BE"/>
    <w:rsid w:val="000703D5"/>
    <w:rsid w:val="000723FF"/>
    <w:rsid w:val="00073500"/>
    <w:rsid w:val="000736B8"/>
    <w:rsid w:val="00073ADE"/>
    <w:rsid w:val="00076BD2"/>
    <w:rsid w:val="00077447"/>
    <w:rsid w:val="0008190F"/>
    <w:rsid w:val="00081D9C"/>
    <w:rsid w:val="00082907"/>
    <w:rsid w:val="0008378D"/>
    <w:rsid w:val="000908A5"/>
    <w:rsid w:val="00092805"/>
    <w:rsid w:val="00095DB8"/>
    <w:rsid w:val="00097549"/>
    <w:rsid w:val="000A0EF7"/>
    <w:rsid w:val="000B47F0"/>
    <w:rsid w:val="000C454C"/>
    <w:rsid w:val="000D5038"/>
    <w:rsid w:val="000D52A1"/>
    <w:rsid w:val="000D70E7"/>
    <w:rsid w:val="000E29D4"/>
    <w:rsid w:val="000E7A13"/>
    <w:rsid w:val="000F3540"/>
    <w:rsid w:val="00100491"/>
    <w:rsid w:val="00101688"/>
    <w:rsid w:val="00104E2E"/>
    <w:rsid w:val="00107287"/>
    <w:rsid w:val="00117406"/>
    <w:rsid w:val="00121EF0"/>
    <w:rsid w:val="00121FFC"/>
    <w:rsid w:val="00124A9E"/>
    <w:rsid w:val="00130703"/>
    <w:rsid w:val="0013153F"/>
    <w:rsid w:val="001408B8"/>
    <w:rsid w:val="001517E2"/>
    <w:rsid w:val="001521D9"/>
    <w:rsid w:val="00153353"/>
    <w:rsid w:val="001554E2"/>
    <w:rsid w:val="001600F4"/>
    <w:rsid w:val="00164146"/>
    <w:rsid w:val="00171A0D"/>
    <w:rsid w:val="0017369C"/>
    <w:rsid w:val="00175D57"/>
    <w:rsid w:val="00180C39"/>
    <w:rsid w:val="00180D96"/>
    <w:rsid w:val="0018420B"/>
    <w:rsid w:val="00184BD3"/>
    <w:rsid w:val="00186890"/>
    <w:rsid w:val="001921F3"/>
    <w:rsid w:val="001B3C5B"/>
    <w:rsid w:val="001C106A"/>
    <w:rsid w:val="001D41DB"/>
    <w:rsid w:val="001D746F"/>
    <w:rsid w:val="001E4BBB"/>
    <w:rsid w:val="001E6304"/>
    <w:rsid w:val="0020381E"/>
    <w:rsid w:val="00213471"/>
    <w:rsid w:val="00215906"/>
    <w:rsid w:val="00232774"/>
    <w:rsid w:val="00241CD8"/>
    <w:rsid w:val="00244B09"/>
    <w:rsid w:val="00246439"/>
    <w:rsid w:val="002519CB"/>
    <w:rsid w:val="0025697F"/>
    <w:rsid w:val="00260258"/>
    <w:rsid w:val="0026588E"/>
    <w:rsid w:val="00272428"/>
    <w:rsid w:val="00272948"/>
    <w:rsid w:val="00286CAF"/>
    <w:rsid w:val="00292392"/>
    <w:rsid w:val="002946C7"/>
    <w:rsid w:val="00296B36"/>
    <w:rsid w:val="002B3CC1"/>
    <w:rsid w:val="002C09E0"/>
    <w:rsid w:val="002C1BB1"/>
    <w:rsid w:val="002C2786"/>
    <w:rsid w:val="002C3A10"/>
    <w:rsid w:val="002C4A90"/>
    <w:rsid w:val="002C4ED5"/>
    <w:rsid w:val="002D02EF"/>
    <w:rsid w:val="002D1E45"/>
    <w:rsid w:val="002E0702"/>
    <w:rsid w:val="002E57AD"/>
    <w:rsid w:val="002E6F80"/>
    <w:rsid w:val="002F0E4F"/>
    <w:rsid w:val="002F1053"/>
    <w:rsid w:val="002F1955"/>
    <w:rsid w:val="002F251B"/>
    <w:rsid w:val="002F6079"/>
    <w:rsid w:val="00302368"/>
    <w:rsid w:val="003116A8"/>
    <w:rsid w:val="00314B7F"/>
    <w:rsid w:val="00317B0E"/>
    <w:rsid w:val="00324C45"/>
    <w:rsid w:val="00347C40"/>
    <w:rsid w:val="00347FAA"/>
    <w:rsid w:val="0035172D"/>
    <w:rsid w:val="0036187D"/>
    <w:rsid w:val="00367EDB"/>
    <w:rsid w:val="00374D40"/>
    <w:rsid w:val="00376AAA"/>
    <w:rsid w:val="00381024"/>
    <w:rsid w:val="003839B6"/>
    <w:rsid w:val="003861D7"/>
    <w:rsid w:val="00386307"/>
    <w:rsid w:val="003874DE"/>
    <w:rsid w:val="00393E9F"/>
    <w:rsid w:val="0039696E"/>
    <w:rsid w:val="003B1715"/>
    <w:rsid w:val="003B211A"/>
    <w:rsid w:val="003C141F"/>
    <w:rsid w:val="003C6383"/>
    <w:rsid w:val="003C6B0E"/>
    <w:rsid w:val="003C7257"/>
    <w:rsid w:val="003C7E35"/>
    <w:rsid w:val="003D1E99"/>
    <w:rsid w:val="003D6208"/>
    <w:rsid w:val="003E4510"/>
    <w:rsid w:val="003E57CF"/>
    <w:rsid w:val="00403BDF"/>
    <w:rsid w:val="00404E8A"/>
    <w:rsid w:val="004054B0"/>
    <w:rsid w:val="0040622F"/>
    <w:rsid w:val="00413F24"/>
    <w:rsid w:val="00420ABE"/>
    <w:rsid w:val="0042256B"/>
    <w:rsid w:val="00422853"/>
    <w:rsid w:val="00423160"/>
    <w:rsid w:val="004440E3"/>
    <w:rsid w:val="00453862"/>
    <w:rsid w:val="0045469B"/>
    <w:rsid w:val="00461338"/>
    <w:rsid w:val="00464D78"/>
    <w:rsid w:val="004677DB"/>
    <w:rsid w:val="00476256"/>
    <w:rsid w:val="0048630F"/>
    <w:rsid w:val="0048790B"/>
    <w:rsid w:val="004947A1"/>
    <w:rsid w:val="0049482A"/>
    <w:rsid w:val="004979D3"/>
    <w:rsid w:val="004A00E7"/>
    <w:rsid w:val="004A138A"/>
    <w:rsid w:val="004A3A61"/>
    <w:rsid w:val="004B59BA"/>
    <w:rsid w:val="004B5A03"/>
    <w:rsid w:val="004C263A"/>
    <w:rsid w:val="004D48A6"/>
    <w:rsid w:val="004D5556"/>
    <w:rsid w:val="004D7B8F"/>
    <w:rsid w:val="004E0426"/>
    <w:rsid w:val="004E40D7"/>
    <w:rsid w:val="004E6458"/>
    <w:rsid w:val="004E6E7D"/>
    <w:rsid w:val="004F1AAC"/>
    <w:rsid w:val="004F1AE2"/>
    <w:rsid w:val="004F34F0"/>
    <w:rsid w:val="004F3B2B"/>
    <w:rsid w:val="004F50E8"/>
    <w:rsid w:val="004F510A"/>
    <w:rsid w:val="004F6050"/>
    <w:rsid w:val="005005EF"/>
    <w:rsid w:val="005123C2"/>
    <w:rsid w:val="0052144B"/>
    <w:rsid w:val="00524066"/>
    <w:rsid w:val="00534E11"/>
    <w:rsid w:val="005378D8"/>
    <w:rsid w:val="005400D9"/>
    <w:rsid w:val="005476A4"/>
    <w:rsid w:val="0055019B"/>
    <w:rsid w:val="00550F3B"/>
    <w:rsid w:val="00553E42"/>
    <w:rsid w:val="00554C32"/>
    <w:rsid w:val="00556E63"/>
    <w:rsid w:val="0055748F"/>
    <w:rsid w:val="005601A4"/>
    <w:rsid w:val="00561A0D"/>
    <w:rsid w:val="00566DBB"/>
    <w:rsid w:val="005767DB"/>
    <w:rsid w:val="005815E6"/>
    <w:rsid w:val="0058712F"/>
    <w:rsid w:val="00595B0B"/>
    <w:rsid w:val="005976CE"/>
    <w:rsid w:val="005A0E98"/>
    <w:rsid w:val="005A23D4"/>
    <w:rsid w:val="005A2D1E"/>
    <w:rsid w:val="005A459E"/>
    <w:rsid w:val="005B19CE"/>
    <w:rsid w:val="005B3756"/>
    <w:rsid w:val="005C1CAB"/>
    <w:rsid w:val="005C493F"/>
    <w:rsid w:val="005C6BF7"/>
    <w:rsid w:val="005C71BF"/>
    <w:rsid w:val="005D002C"/>
    <w:rsid w:val="005D1969"/>
    <w:rsid w:val="005D30E1"/>
    <w:rsid w:val="005D6555"/>
    <w:rsid w:val="005D7BDF"/>
    <w:rsid w:val="005E4870"/>
    <w:rsid w:val="005F71D9"/>
    <w:rsid w:val="005F7602"/>
    <w:rsid w:val="006062BE"/>
    <w:rsid w:val="00613143"/>
    <w:rsid w:val="00613501"/>
    <w:rsid w:val="0061611B"/>
    <w:rsid w:val="00616328"/>
    <w:rsid w:val="006166A8"/>
    <w:rsid w:val="006174A1"/>
    <w:rsid w:val="00621D6C"/>
    <w:rsid w:val="00633B49"/>
    <w:rsid w:val="0064297F"/>
    <w:rsid w:val="00645102"/>
    <w:rsid w:val="00646CF3"/>
    <w:rsid w:val="00653D11"/>
    <w:rsid w:val="0065452D"/>
    <w:rsid w:val="00655F3C"/>
    <w:rsid w:val="00662983"/>
    <w:rsid w:val="00681BFA"/>
    <w:rsid w:val="006834D3"/>
    <w:rsid w:val="00692625"/>
    <w:rsid w:val="00695CD3"/>
    <w:rsid w:val="006A38B6"/>
    <w:rsid w:val="006B1987"/>
    <w:rsid w:val="006B5B71"/>
    <w:rsid w:val="006B6CB0"/>
    <w:rsid w:val="006C0296"/>
    <w:rsid w:val="006C2B64"/>
    <w:rsid w:val="006D4C85"/>
    <w:rsid w:val="006D66AC"/>
    <w:rsid w:val="006E33F6"/>
    <w:rsid w:val="006F1251"/>
    <w:rsid w:val="006F1C23"/>
    <w:rsid w:val="006F1D46"/>
    <w:rsid w:val="006F5349"/>
    <w:rsid w:val="00702C18"/>
    <w:rsid w:val="00703166"/>
    <w:rsid w:val="007127F3"/>
    <w:rsid w:val="007301CF"/>
    <w:rsid w:val="007316FB"/>
    <w:rsid w:val="007330F1"/>
    <w:rsid w:val="007374D0"/>
    <w:rsid w:val="00737E2D"/>
    <w:rsid w:val="007424D5"/>
    <w:rsid w:val="00744DF2"/>
    <w:rsid w:val="00750A88"/>
    <w:rsid w:val="007523DD"/>
    <w:rsid w:val="00757B7E"/>
    <w:rsid w:val="007656B2"/>
    <w:rsid w:val="0077016F"/>
    <w:rsid w:val="007713AD"/>
    <w:rsid w:val="00772564"/>
    <w:rsid w:val="00795DC5"/>
    <w:rsid w:val="00797153"/>
    <w:rsid w:val="007A21F7"/>
    <w:rsid w:val="007A2B68"/>
    <w:rsid w:val="007B0DDA"/>
    <w:rsid w:val="007D1B0A"/>
    <w:rsid w:val="007D3347"/>
    <w:rsid w:val="007D4EB5"/>
    <w:rsid w:val="007E3241"/>
    <w:rsid w:val="007E5466"/>
    <w:rsid w:val="007F1949"/>
    <w:rsid w:val="007F2592"/>
    <w:rsid w:val="00800A08"/>
    <w:rsid w:val="00802194"/>
    <w:rsid w:val="00817A84"/>
    <w:rsid w:val="008225A4"/>
    <w:rsid w:val="00824B92"/>
    <w:rsid w:val="00826D5E"/>
    <w:rsid w:val="00832013"/>
    <w:rsid w:val="00832DB7"/>
    <w:rsid w:val="0083300A"/>
    <w:rsid w:val="00834732"/>
    <w:rsid w:val="00836476"/>
    <w:rsid w:val="00843CE5"/>
    <w:rsid w:val="00846E40"/>
    <w:rsid w:val="0085200C"/>
    <w:rsid w:val="00857C52"/>
    <w:rsid w:val="00860584"/>
    <w:rsid w:val="00860D5F"/>
    <w:rsid w:val="008623BE"/>
    <w:rsid w:val="00872250"/>
    <w:rsid w:val="00880A44"/>
    <w:rsid w:val="0088345E"/>
    <w:rsid w:val="0088656F"/>
    <w:rsid w:val="00887CF9"/>
    <w:rsid w:val="00891EF6"/>
    <w:rsid w:val="008A0303"/>
    <w:rsid w:val="008A5FDD"/>
    <w:rsid w:val="008C3947"/>
    <w:rsid w:val="008D2247"/>
    <w:rsid w:val="008D26ED"/>
    <w:rsid w:val="008D490A"/>
    <w:rsid w:val="008E37DE"/>
    <w:rsid w:val="008E473B"/>
    <w:rsid w:val="008E51A6"/>
    <w:rsid w:val="008E6C39"/>
    <w:rsid w:val="008E7329"/>
    <w:rsid w:val="008F2ED5"/>
    <w:rsid w:val="00902613"/>
    <w:rsid w:val="0092297E"/>
    <w:rsid w:val="00923651"/>
    <w:rsid w:val="00927B56"/>
    <w:rsid w:val="009341BF"/>
    <w:rsid w:val="00937907"/>
    <w:rsid w:val="00941739"/>
    <w:rsid w:val="00951573"/>
    <w:rsid w:val="00953AFB"/>
    <w:rsid w:val="00954DBC"/>
    <w:rsid w:val="00963003"/>
    <w:rsid w:val="00966EEF"/>
    <w:rsid w:val="00971B28"/>
    <w:rsid w:val="00983471"/>
    <w:rsid w:val="009909AB"/>
    <w:rsid w:val="00993B81"/>
    <w:rsid w:val="00995067"/>
    <w:rsid w:val="009A3AD5"/>
    <w:rsid w:val="009B37DB"/>
    <w:rsid w:val="009C7A8C"/>
    <w:rsid w:val="009D23F9"/>
    <w:rsid w:val="009D4FA8"/>
    <w:rsid w:val="009E44AE"/>
    <w:rsid w:val="009E6CD6"/>
    <w:rsid w:val="009F4D66"/>
    <w:rsid w:val="009F6C32"/>
    <w:rsid w:val="00A00C3C"/>
    <w:rsid w:val="00A01091"/>
    <w:rsid w:val="00A042B9"/>
    <w:rsid w:val="00A06DBB"/>
    <w:rsid w:val="00A22ADF"/>
    <w:rsid w:val="00A24456"/>
    <w:rsid w:val="00A31E86"/>
    <w:rsid w:val="00A32ED2"/>
    <w:rsid w:val="00A46A78"/>
    <w:rsid w:val="00A54D87"/>
    <w:rsid w:val="00A5553C"/>
    <w:rsid w:val="00A701C9"/>
    <w:rsid w:val="00A70C3D"/>
    <w:rsid w:val="00A81785"/>
    <w:rsid w:val="00A84803"/>
    <w:rsid w:val="00A84C51"/>
    <w:rsid w:val="00A86F2B"/>
    <w:rsid w:val="00A912E8"/>
    <w:rsid w:val="00A91366"/>
    <w:rsid w:val="00A93AA6"/>
    <w:rsid w:val="00AA4E48"/>
    <w:rsid w:val="00AA6202"/>
    <w:rsid w:val="00AA7B57"/>
    <w:rsid w:val="00AC18A2"/>
    <w:rsid w:val="00AC26FC"/>
    <w:rsid w:val="00AC4A99"/>
    <w:rsid w:val="00AC64D2"/>
    <w:rsid w:val="00AD02E7"/>
    <w:rsid w:val="00AD6686"/>
    <w:rsid w:val="00AE0FE8"/>
    <w:rsid w:val="00AE1322"/>
    <w:rsid w:val="00AE2D4B"/>
    <w:rsid w:val="00AF60D5"/>
    <w:rsid w:val="00B00959"/>
    <w:rsid w:val="00B04415"/>
    <w:rsid w:val="00B06509"/>
    <w:rsid w:val="00B11D60"/>
    <w:rsid w:val="00B13D65"/>
    <w:rsid w:val="00B21805"/>
    <w:rsid w:val="00B3072E"/>
    <w:rsid w:val="00B36BD1"/>
    <w:rsid w:val="00B36E15"/>
    <w:rsid w:val="00B37245"/>
    <w:rsid w:val="00B4017A"/>
    <w:rsid w:val="00B4468D"/>
    <w:rsid w:val="00B54025"/>
    <w:rsid w:val="00B71C72"/>
    <w:rsid w:val="00B81E92"/>
    <w:rsid w:val="00B85C02"/>
    <w:rsid w:val="00B908D7"/>
    <w:rsid w:val="00B915AB"/>
    <w:rsid w:val="00B935E8"/>
    <w:rsid w:val="00B93B30"/>
    <w:rsid w:val="00B94CB5"/>
    <w:rsid w:val="00B956C6"/>
    <w:rsid w:val="00BA0DD9"/>
    <w:rsid w:val="00BA1058"/>
    <w:rsid w:val="00BA5DBC"/>
    <w:rsid w:val="00BB6312"/>
    <w:rsid w:val="00BC4AC2"/>
    <w:rsid w:val="00BC4D06"/>
    <w:rsid w:val="00BD585E"/>
    <w:rsid w:val="00BD6919"/>
    <w:rsid w:val="00BE1EA7"/>
    <w:rsid w:val="00BE7489"/>
    <w:rsid w:val="00BF2E0D"/>
    <w:rsid w:val="00BF3927"/>
    <w:rsid w:val="00BF3F8B"/>
    <w:rsid w:val="00BF74B0"/>
    <w:rsid w:val="00BF76DA"/>
    <w:rsid w:val="00C07C7B"/>
    <w:rsid w:val="00C16245"/>
    <w:rsid w:val="00C22DC5"/>
    <w:rsid w:val="00C24479"/>
    <w:rsid w:val="00C273F2"/>
    <w:rsid w:val="00C31F1C"/>
    <w:rsid w:val="00C3533A"/>
    <w:rsid w:val="00C37B53"/>
    <w:rsid w:val="00C517D2"/>
    <w:rsid w:val="00C56B0C"/>
    <w:rsid w:val="00C5772E"/>
    <w:rsid w:val="00C62B36"/>
    <w:rsid w:val="00C63731"/>
    <w:rsid w:val="00C660DA"/>
    <w:rsid w:val="00C7012C"/>
    <w:rsid w:val="00C712EA"/>
    <w:rsid w:val="00CA217D"/>
    <w:rsid w:val="00CA7A78"/>
    <w:rsid w:val="00CC09D4"/>
    <w:rsid w:val="00CC668D"/>
    <w:rsid w:val="00CC7832"/>
    <w:rsid w:val="00CF0C1C"/>
    <w:rsid w:val="00CF27FD"/>
    <w:rsid w:val="00CF5E4C"/>
    <w:rsid w:val="00CF5F12"/>
    <w:rsid w:val="00D0028A"/>
    <w:rsid w:val="00D00D8F"/>
    <w:rsid w:val="00D03CA6"/>
    <w:rsid w:val="00D21F3A"/>
    <w:rsid w:val="00D2229B"/>
    <w:rsid w:val="00D23808"/>
    <w:rsid w:val="00D3016A"/>
    <w:rsid w:val="00D417D2"/>
    <w:rsid w:val="00D42960"/>
    <w:rsid w:val="00D43BD7"/>
    <w:rsid w:val="00D4485B"/>
    <w:rsid w:val="00D4708D"/>
    <w:rsid w:val="00D4744C"/>
    <w:rsid w:val="00D521DE"/>
    <w:rsid w:val="00D5470B"/>
    <w:rsid w:val="00D55BF5"/>
    <w:rsid w:val="00D6252D"/>
    <w:rsid w:val="00D63068"/>
    <w:rsid w:val="00D6498C"/>
    <w:rsid w:val="00D73774"/>
    <w:rsid w:val="00D76A70"/>
    <w:rsid w:val="00D83182"/>
    <w:rsid w:val="00D8521E"/>
    <w:rsid w:val="00D9291C"/>
    <w:rsid w:val="00D93A97"/>
    <w:rsid w:val="00DA6F78"/>
    <w:rsid w:val="00DB1F64"/>
    <w:rsid w:val="00DC2F53"/>
    <w:rsid w:val="00DC5BAC"/>
    <w:rsid w:val="00DC6816"/>
    <w:rsid w:val="00DC76C2"/>
    <w:rsid w:val="00DD1CF2"/>
    <w:rsid w:val="00DE4484"/>
    <w:rsid w:val="00DE5113"/>
    <w:rsid w:val="00DF41B7"/>
    <w:rsid w:val="00DF4A4A"/>
    <w:rsid w:val="00DF583C"/>
    <w:rsid w:val="00E03C3F"/>
    <w:rsid w:val="00E06FD7"/>
    <w:rsid w:val="00E07417"/>
    <w:rsid w:val="00E119FA"/>
    <w:rsid w:val="00E20F9E"/>
    <w:rsid w:val="00E24D45"/>
    <w:rsid w:val="00E32935"/>
    <w:rsid w:val="00E33DB8"/>
    <w:rsid w:val="00E33EFF"/>
    <w:rsid w:val="00E34387"/>
    <w:rsid w:val="00E348BA"/>
    <w:rsid w:val="00E369FE"/>
    <w:rsid w:val="00E3704D"/>
    <w:rsid w:val="00E37C6F"/>
    <w:rsid w:val="00E463BF"/>
    <w:rsid w:val="00E475F8"/>
    <w:rsid w:val="00E5102E"/>
    <w:rsid w:val="00E5721C"/>
    <w:rsid w:val="00E60568"/>
    <w:rsid w:val="00E619C6"/>
    <w:rsid w:val="00E745A1"/>
    <w:rsid w:val="00E76D3A"/>
    <w:rsid w:val="00E81529"/>
    <w:rsid w:val="00E83A13"/>
    <w:rsid w:val="00EB6FC5"/>
    <w:rsid w:val="00EC2356"/>
    <w:rsid w:val="00EC2582"/>
    <w:rsid w:val="00EC337C"/>
    <w:rsid w:val="00ED0CFF"/>
    <w:rsid w:val="00ED31D2"/>
    <w:rsid w:val="00EE0EAC"/>
    <w:rsid w:val="00EE3322"/>
    <w:rsid w:val="00EE33CB"/>
    <w:rsid w:val="00EF35D9"/>
    <w:rsid w:val="00F0061A"/>
    <w:rsid w:val="00F02834"/>
    <w:rsid w:val="00F02EF5"/>
    <w:rsid w:val="00F03E17"/>
    <w:rsid w:val="00F04EEB"/>
    <w:rsid w:val="00F05467"/>
    <w:rsid w:val="00F055D2"/>
    <w:rsid w:val="00F07CD7"/>
    <w:rsid w:val="00F116BB"/>
    <w:rsid w:val="00F127E9"/>
    <w:rsid w:val="00F14B5D"/>
    <w:rsid w:val="00F219EE"/>
    <w:rsid w:val="00F259FC"/>
    <w:rsid w:val="00F36972"/>
    <w:rsid w:val="00F37096"/>
    <w:rsid w:val="00F42426"/>
    <w:rsid w:val="00F45591"/>
    <w:rsid w:val="00F456BC"/>
    <w:rsid w:val="00F50666"/>
    <w:rsid w:val="00F7000B"/>
    <w:rsid w:val="00F70C9E"/>
    <w:rsid w:val="00F74A74"/>
    <w:rsid w:val="00F7572C"/>
    <w:rsid w:val="00F8382C"/>
    <w:rsid w:val="00F855D7"/>
    <w:rsid w:val="00F92035"/>
    <w:rsid w:val="00F92748"/>
    <w:rsid w:val="00FA4169"/>
    <w:rsid w:val="00FB0D41"/>
    <w:rsid w:val="00FB2030"/>
    <w:rsid w:val="00FB37E3"/>
    <w:rsid w:val="00FB4F6F"/>
    <w:rsid w:val="00FC4418"/>
    <w:rsid w:val="00FD0E46"/>
    <w:rsid w:val="00FD1CF2"/>
    <w:rsid w:val="00FD3EDF"/>
    <w:rsid w:val="00FD69AA"/>
    <w:rsid w:val="00FD793C"/>
    <w:rsid w:val="00FE0FD5"/>
    <w:rsid w:val="00FE20E6"/>
    <w:rsid w:val="00FE3E3B"/>
    <w:rsid w:val="00FE4E0E"/>
    <w:rsid w:val="00FF4032"/>
    <w:rsid w:val="00FF4FF4"/>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40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basedOn w:val="Normal"/>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VVKTChar">
    <w:name w:val="VVKT Char"/>
    <w:basedOn w:val="DefaultParagraphFont"/>
    <w:link w:val="VVKT"/>
    <w:locked/>
    <w:rsid w:val="00D03CA6"/>
    <w:rPr>
      <w:color w:val="000000"/>
      <w:szCs w:val="24"/>
    </w:rPr>
  </w:style>
  <w:style w:type="paragraph" w:customStyle="1" w:styleId="VVKT">
    <w:name w:val="VVKT"/>
    <w:basedOn w:val="Normal"/>
    <w:link w:val="VVKTChar"/>
    <w:qFormat/>
    <w:rsid w:val="00D03CA6"/>
    <w:pPr>
      <w:tabs>
        <w:tab w:val="left" w:pos="567"/>
      </w:tabs>
      <w:spacing w:line="276" w:lineRule="auto"/>
      <w:ind w:firstLine="432"/>
      <w:jc w:val="both"/>
    </w:pPr>
    <w:rPr>
      <w:color w:val="000000"/>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200258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6B4DFA72F6134DB0D654A77B984B70"/>
        <w:category>
          <w:name w:val="General"/>
          <w:gallery w:val="placeholder"/>
        </w:category>
        <w:types>
          <w:type w:val="bbPlcHdr"/>
        </w:types>
        <w:behaviors>
          <w:behavior w:val="content"/>
        </w:behaviors>
        <w:guid w:val="{0062873F-49CA-3946-8ED9-57A7E1FC2B3E}"/>
      </w:docPartPr>
      <w:docPartBody>
        <w:p w:rsidR="00AE4083" w:rsidRDefault="00D42624" w:rsidP="00D42624">
          <w:pPr>
            <w:pStyle w:val="FC6B4DFA72F6134DB0D654A77B984B70"/>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624"/>
    <w:rsid w:val="000933B5"/>
    <w:rsid w:val="000D6290"/>
    <w:rsid w:val="000F6515"/>
    <w:rsid w:val="00284DFC"/>
    <w:rsid w:val="00451C52"/>
    <w:rsid w:val="006E0B7F"/>
    <w:rsid w:val="007F7596"/>
    <w:rsid w:val="008C2008"/>
    <w:rsid w:val="00981589"/>
    <w:rsid w:val="009819EE"/>
    <w:rsid w:val="00987099"/>
    <w:rsid w:val="009B26BD"/>
    <w:rsid w:val="00A5047C"/>
    <w:rsid w:val="00A932F3"/>
    <w:rsid w:val="00AA3B4B"/>
    <w:rsid w:val="00AE4083"/>
    <w:rsid w:val="00CB7F00"/>
    <w:rsid w:val="00CC276E"/>
    <w:rsid w:val="00D42624"/>
    <w:rsid w:val="00DA5D59"/>
    <w:rsid w:val="00E21127"/>
    <w:rsid w:val="00E94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42624"/>
    <w:rPr>
      <w:color w:val="808080"/>
    </w:rPr>
  </w:style>
  <w:style w:type="paragraph" w:customStyle="1" w:styleId="FC6B4DFA72F6134DB0D654A77B984B70">
    <w:name w:val="FC6B4DFA72F6134DB0D654A77B984B70"/>
    <w:rsid w:val="00D426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05825-239B-4819-95A3-3B69DA7F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10888</Words>
  <Characters>6207</Characters>
  <Application>Microsoft Office Word</Application>
  <DocSecurity>0</DocSecurity>
  <Lines>51</Lines>
  <Paragraphs>34</Paragraphs>
  <ScaleCrop>false</ScaleCrop>
  <Company/>
  <LinksUpToDate>false</LinksUpToDate>
  <CharactersWithSpaces>17061</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2023-12-22T13:16:00Z</dcterms:created>
  <dcterms:modified xsi:type="dcterms:W3CDTF">2024-01-04T16:00:00Z</dcterms:modified>
</cp:coreProperties>
</file>