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5D5BE7" w:rsidRDefault="005F7602" w:rsidP="002946C7">
      <w:pPr>
        <w:ind w:left="5529"/>
      </w:pPr>
    </w:p>
    <w:p w14:paraId="12FA4B9E" w14:textId="77777777" w:rsidR="001B3C5B" w:rsidRPr="00F832F8" w:rsidRDefault="001B3C5B" w:rsidP="001B3C5B">
      <w:pPr>
        <w:ind w:left="6096"/>
      </w:pPr>
      <w:r w:rsidRPr="00F832F8">
        <w:t>Forma patvirtinta</w:t>
      </w:r>
    </w:p>
    <w:p w14:paraId="7206970B" w14:textId="70E9BD2E" w:rsidR="004C263A" w:rsidRPr="00F832F8" w:rsidRDefault="001B3C5B" w:rsidP="001B3C5B">
      <w:pPr>
        <w:ind w:left="6096"/>
      </w:pPr>
      <w:r w:rsidRPr="00F832F8">
        <w:t>Valstybinės vaistų kontrolės tarnybos prie Lietuvos Respublikos sveikatos apsaugos ministerijos viršininko 2021 m</w:t>
      </w:r>
      <w:r w:rsidR="004C263A" w:rsidRPr="00F832F8">
        <w:t xml:space="preserve">. lapkričio 12 </w:t>
      </w:r>
      <w:r w:rsidRPr="00F832F8">
        <w:t>d. įsakymu Nr.</w:t>
      </w:r>
      <w:r w:rsidR="004C263A" w:rsidRPr="00F832F8">
        <w:t xml:space="preserve"> (1.72E)1A-1418</w:t>
      </w:r>
    </w:p>
    <w:p w14:paraId="5B219AA6" w14:textId="520B9136" w:rsidR="001B3C5B" w:rsidRPr="00F832F8" w:rsidRDefault="004C263A" w:rsidP="001B3C5B">
      <w:pPr>
        <w:ind w:left="6096"/>
      </w:pPr>
      <w:r w:rsidRPr="00F832F8">
        <w:t>(Valstybinės vaistų kontrolės tarnybos prie Lietuvos Respublikos sveikatos apsaugos ministerijos viršininko 2022 m.                         d. įsakymo Nr.                    redakcija)</w:t>
      </w:r>
    </w:p>
    <w:p w14:paraId="3336BD74" w14:textId="77777777" w:rsidR="001B3C5B" w:rsidRPr="00F832F8" w:rsidRDefault="001B3C5B" w:rsidP="00FA4169"/>
    <w:p w14:paraId="77AFB67E" w14:textId="16397257" w:rsidR="00613501" w:rsidRPr="00F832F8" w:rsidRDefault="002F0E4F" w:rsidP="003B211A">
      <w:pPr>
        <w:jc w:val="center"/>
        <w:rPr>
          <w:b/>
          <w:bCs/>
          <w:caps/>
        </w:rPr>
      </w:pPr>
      <w:r w:rsidRPr="00F832F8">
        <w:rPr>
          <w:b/>
        </w:rPr>
        <w:t xml:space="preserve">REKOMENDACIJA DĖL VAISTINIO PREPARATO </w:t>
      </w:r>
      <w:r w:rsidRPr="00F832F8">
        <w:rPr>
          <w:b/>
          <w:bCs/>
          <w:caps/>
        </w:rPr>
        <w:t>Lietuvos Respublikos Sveikatos apsaugos ministerijos vaistinių preparatų ir medicinos pagalbos priemonių kompensavimo komisijai</w:t>
      </w:r>
    </w:p>
    <w:p w14:paraId="34E4395D" w14:textId="15FB10DF" w:rsidR="00B13D65" w:rsidRPr="00F832F8" w:rsidRDefault="00B13D65" w:rsidP="003B211A">
      <w:pPr>
        <w:jc w:val="center"/>
        <w:rPr>
          <w:b/>
        </w:rPr>
      </w:pPr>
    </w:p>
    <w:p w14:paraId="63B9570D" w14:textId="77777777" w:rsidR="00CE12C2" w:rsidRPr="00CE12C2" w:rsidRDefault="00CE12C2" w:rsidP="00CE12C2">
      <w:pPr>
        <w:jc w:val="center"/>
        <w:rPr>
          <w:b/>
          <w:sz w:val="26"/>
          <w:szCs w:val="26"/>
        </w:rPr>
      </w:pPr>
      <w:r w:rsidRPr="00CE12C2">
        <w:rPr>
          <w:b/>
          <w:sz w:val="26"/>
          <w:szCs w:val="26"/>
        </w:rPr>
        <w:t>Libtayo 350 mg koncentratas infuziniam tirpalui</w:t>
      </w:r>
    </w:p>
    <w:p w14:paraId="584D85AF" w14:textId="77777777" w:rsidR="00CE12C2" w:rsidRPr="00CE12C2" w:rsidRDefault="00CE12C2" w:rsidP="00CE12C2">
      <w:pPr>
        <w:jc w:val="center"/>
        <w:rPr>
          <w:b/>
          <w:sz w:val="26"/>
          <w:szCs w:val="26"/>
        </w:rPr>
      </w:pPr>
    </w:p>
    <w:p w14:paraId="310E5CFF" w14:textId="77777777" w:rsidR="00CE12C2" w:rsidRPr="00CE12C2" w:rsidRDefault="00CE12C2" w:rsidP="00CE12C2">
      <w:pPr>
        <w:jc w:val="center"/>
        <w:rPr>
          <w:b/>
          <w:sz w:val="26"/>
          <w:szCs w:val="26"/>
        </w:rPr>
      </w:pPr>
      <w:r w:rsidRPr="00CE12C2">
        <w:rPr>
          <w:b/>
          <w:sz w:val="26"/>
          <w:szCs w:val="26"/>
        </w:rPr>
        <w:t>Cemiplimabas</w:t>
      </w:r>
    </w:p>
    <w:p w14:paraId="0F1274FC" w14:textId="77777777" w:rsidR="00CE12C2" w:rsidRPr="00CE12C2" w:rsidRDefault="00CE12C2" w:rsidP="00CE12C2">
      <w:pPr>
        <w:jc w:val="center"/>
        <w:rPr>
          <w:b/>
          <w:sz w:val="26"/>
          <w:szCs w:val="26"/>
        </w:rPr>
      </w:pPr>
    </w:p>
    <w:p w14:paraId="453197C8" w14:textId="7EC2FD98" w:rsidR="00D4708D" w:rsidRDefault="00CE12C2" w:rsidP="00CE12C2">
      <w:pPr>
        <w:jc w:val="center"/>
        <w:rPr>
          <w:b/>
          <w:sz w:val="26"/>
          <w:szCs w:val="26"/>
        </w:rPr>
      </w:pPr>
      <w:r w:rsidRPr="00CE12C2">
        <w:rPr>
          <w:b/>
          <w:sz w:val="26"/>
          <w:szCs w:val="26"/>
        </w:rPr>
        <w:t>STV-53</w:t>
      </w:r>
    </w:p>
    <w:p w14:paraId="1987A5B5" w14:textId="77777777" w:rsidR="00CE12C2" w:rsidRPr="00F832F8" w:rsidRDefault="00CE12C2" w:rsidP="00CE12C2">
      <w:pPr>
        <w:jc w:val="center"/>
        <w:rPr>
          <w:b/>
        </w:rPr>
      </w:pPr>
    </w:p>
    <w:p w14:paraId="78C89D1C" w14:textId="095241E9" w:rsidR="00D4485B" w:rsidRPr="00F832F8" w:rsidRDefault="00B13D65" w:rsidP="00937907">
      <w:pPr>
        <w:pStyle w:val="ListParagraph"/>
        <w:numPr>
          <w:ilvl w:val="0"/>
          <w:numId w:val="12"/>
        </w:numPr>
        <w:tabs>
          <w:tab w:val="left" w:pos="284"/>
        </w:tabs>
        <w:rPr>
          <w:b/>
          <w:bCs/>
          <w:caps/>
        </w:rPr>
      </w:pPr>
      <w:r w:rsidRPr="00F832F8">
        <w:rPr>
          <w:b/>
          <w:bCs/>
          <w:caps/>
        </w:rPr>
        <w:t>Bendroji dalis</w:t>
      </w:r>
    </w:p>
    <w:p w14:paraId="04A7C7A7" w14:textId="77777777" w:rsidR="00B13D65" w:rsidRPr="00F832F8" w:rsidRDefault="00B13D65" w:rsidP="00E03C3F">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CE12C2" w:rsidRPr="00F832F8" w14:paraId="18A83EC2" w14:textId="77777777" w:rsidTr="006834D3">
        <w:trPr>
          <w:trHeight w:val="538"/>
        </w:trPr>
        <w:tc>
          <w:tcPr>
            <w:tcW w:w="632" w:type="dxa"/>
          </w:tcPr>
          <w:p w14:paraId="0646FBEA" w14:textId="77777777" w:rsidR="00CE12C2" w:rsidRPr="00F832F8" w:rsidRDefault="00CE12C2" w:rsidP="00CE12C2">
            <w:pPr>
              <w:tabs>
                <w:tab w:val="left" w:pos="284"/>
              </w:tabs>
              <w:spacing w:line="280" w:lineRule="atLeast"/>
              <w:rPr>
                <w:rFonts w:eastAsia="Arial"/>
                <w:b/>
              </w:rPr>
            </w:pPr>
            <w:r w:rsidRPr="00F832F8">
              <w:rPr>
                <w:rFonts w:eastAsia="Arial"/>
                <w:b/>
              </w:rPr>
              <w:t>1.1</w:t>
            </w:r>
          </w:p>
        </w:tc>
        <w:tc>
          <w:tcPr>
            <w:tcW w:w="3694" w:type="dxa"/>
          </w:tcPr>
          <w:p w14:paraId="6C3AE864" w14:textId="77777777" w:rsidR="00CE12C2" w:rsidRPr="00F832F8" w:rsidRDefault="00CE12C2" w:rsidP="00CE12C2">
            <w:pPr>
              <w:tabs>
                <w:tab w:val="left" w:pos="284"/>
              </w:tabs>
              <w:spacing w:line="280" w:lineRule="atLeast"/>
              <w:rPr>
                <w:rFonts w:eastAsia="Arial"/>
                <w:b/>
              </w:rPr>
            </w:pPr>
            <w:r w:rsidRPr="00F832F8">
              <w:rPr>
                <w:rFonts w:eastAsia="Arial"/>
                <w:b/>
              </w:rPr>
              <w:t>Pareiškėjas</w:t>
            </w:r>
          </w:p>
          <w:p w14:paraId="2AF240DC" w14:textId="77777777" w:rsidR="00CE12C2" w:rsidRPr="00F832F8" w:rsidRDefault="00CE12C2" w:rsidP="00CE12C2">
            <w:pPr>
              <w:tabs>
                <w:tab w:val="left" w:pos="284"/>
              </w:tabs>
              <w:spacing w:line="280" w:lineRule="atLeast"/>
              <w:rPr>
                <w:rFonts w:eastAsia="Arial"/>
                <w:b/>
              </w:rPr>
            </w:pPr>
          </w:p>
        </w:tc>
        <w:tc>
          <w:tcPr>
            <w:tcW w:w="4713" w:type="dxa"/>
          </w:tcPr>
          <w:p w14:paraId="2AAF0D91" w14:textId="596F1239" w:rsidR="00CE12C2" w:rsidRPr="00F832F8" w:rsidRDefault="00CE12C2" w:rsidP="00CE12C2">
            <w:pPr>
              <w:tabs>
                <w:tab w:val="left" w:pos="284"/>
              </w:tabs>
              <w:spacing w:line="280" w:lineRule="atLeast"/>
              <w:rPr>
                <w:rFonts w:eastAsia="Arial"/>
                <w:b/>
              </w:rPr>
            </w:pPr>
            <w:r>
              <w:t>UAB „Sanofi-</w:t>
            </w:r>
            <w:r w:rsidR="00292562">
              <w:t>A</w:t>
            </w:r>
            <w:r>
              <w:t>ventis Lietuva“</w:t>
            </w:r>
          </w:p>
        </w:tc>
      </w:tr>
      <w:tr w:rsidR="00CE12C2" w:rsidRPr="00F832F8" w14:paraId="31998B0D" w14:textId="77777777" w:rsidTr="006834D3">
        <w:trPr>
          <w:trHeight w:val="538"/>
        </w:trPr>
        <w:tc>
          <w:tcPr>
            <w:tcW w:w="632" w:type="dxa"/>
          </w:tcPr>
          <w:p w14:paraId="2005EC67" w14:textId="662300D0" w:rsidR="00CE12C2" w:rsidRPr="00F832F8" w:rsidRDefault="00CE12C2" w:rsidP="00CE12C2">
            <w:pPr>
              <w:tabs>
                <w:tab w:val="left" w:pos="284"/>
              </w:tabs>
              <w:spacing w:line="280" w:lineRule="atLeast"/>
              <w:rPr>
                <w:rFonts w:eastAsia="Arial"/>
                <w:b/>
              </w:rPr>
            </w:pPr>
            <w:r w:rsidRPr="00F832F8">
              <w:rPr>
                <w:rFonts w:eastAsia="Arial"/>
                <w:b/>
              </w:rPr>
              <w:t>1.2</w:t>
            </w:r>
          </w:p>
        </w:tc>
        <w:tc>
          <w:tcPr>
            <w:tcW w:w="3694" w:type="dxa"/>
          </w:tcPr>
          <w:p w14:paraId="1E4AE3B1" w14:textId="77777777" w:rsidR="00CE12C2" w:rsidRPr="00F832F8" w:rsidRDefault="00CE12C2" w:rsidP="00CE12C2">
            <w:pPr>
              <w:tabs>
                <w:tab w:val="left" w:pos="284"/>
              </w:tabs>
              <w:spacing w:line="280" w:lineRule="atLeast"/>
              <w:rPr>
                <w:b/>
                <w:bCs/>
                <w:color w:val="000000"/>
                <w:lang w:eastAsia="lt-LT"/>
              </w:rPr>
            </w:pPr>
            <w:r w:rsidRPr="00F832F8">
              <w:rPr>
                <w:b/>
                <w:bCs/>
                <w:color w:val="000000"/>
                <w:lang w:eastAsia="lt-LT"/>
              </w:rPr>
              <w:t xml:space="preserve">Registracijos data </w:t>
            </w:r>
          </w:p>
          <w:p w14:paraId="3A0DC096" w14:textId="77777777" w:rsidR="00CE12C2" w:rsidRPr="00F832F8" w:rsidRDefault="00CE12C2" w:rsidP="00CE12C2">
            <w:pPr>
              <w:tabs>
                <w:tab w:val="left" w:pos="284"/>
              </w:tabs>
              <w:spacing w:line="280" w:lineRule="atLeast"/>
              <w:rPr>
                <w:bCs/>
                <w:color w:val="000000"/>
                <w:lang w:eastAsia="lt-LT"/>
              </w:rPr>
            </w:pPr>
          </w:p>
        </w:tc>
        <w:tc>
          <w:tcPr>
            <w:tcW w:w="4713" w:type="dxa"/>
          </w:tcPr>
          <w:p w14:paraId="3CA218AD" w14:textId="1B1AA295" w:rsidR="00CE12C2" w:rsidRPr="00F832F8" w:rsidRDefault="00000000" w:rsidP="00CE12C2">
            <w:pPr>
              <w:pStyle w:val="ListParagraph"/>
              <w:spacing w:after="120"/>
              <w:ind w:left="0"/>
              <w:contextualSpacing w:val="0"/>
              <w:jc w:val="both"/>
              <w:rPr>
                <w:rStyle w:val="Style2"/>
              </w:rPr>
            </w:pPr>
            <w:sdt>
              <w:sdtPr>
                <w:rPr>
                  <w:sz w:val="32"/>
                </w:rPr>
                <w:alias w:val="Nurodykite konkrečią dieną"/>
                <w:tag w:val="Nurodykite pradžios datą"/>
                <w:id w:val="-1286042050"/>
                <w:placeholder>
                  <w:docPart w:val="71393B56C0D2485BB82C44D378F9C024"/>
                </w:placeholder>
                <w15:color w:val="FFCC99"/>
                <w:date>
                  <w:dateFormat w:val="yyyy 'm.' MMMM d 'd.'"/>
                  <w:lid w:val="lt-LT"/>
                  <w:storeMappedDataAs w:val="dateTime"/>
                  <w:calendar w:val="gregorian"/>
                </w:date>
              </w:sdtPr>
              <w:sdtEndPr>
                <w:rPr>
                  <w:sz w:val="24"/>
                </w:rPr>
              </w:sdtEndPr>
              <w:sdtContent>
                <w:r w:rsidR="00CE12C2" w:rsidRPr="00157DF8">
                  <w:t>20</w:t>
                </w:r>
                <w:r w:rsidR="00CE12C2">
                  <w:t>19</w:t>
                </w:r>
                <w:r w:rsidR="00CE12C2" w:rsidRPr="00157DF8">
                  <w:t xml:space="preserve"> m. </w:t>
                </w:r>
                <w:r w:rsidR="00CE12C2">
                  <w:t>birželio</w:t>
                </w:r>
                <w:r w:rsidR="00CE12C2" w:rsidRPr="00157DF8">
                  <w:t xml:space="preserve"> 2</w:t>
                </w:r>
                <w:r w:rsidR="00CE12C2">
                  <w:t>8</w:t>
                </w:r>
                <w:r w:rsidR="00CE12C2" w:rsidRPr="00157DF8">
                  <w:t xml:space="preserve"> d.</w:t>
                </w:r>
              </w:sdtContent>
            </w:sdt>
          </w:p>
        </w:tc>
      </w:tr>
      <w:tr w:rsidR="00CE12C2" w:rsidRPr="00F832F8" w14:paraId="15968AE1" w14:textId="77777777" w:rsidTr="006834D3">
        <w:trPr>
          <w:trHeight w:val="1500"/>
        </w:trPr>
        <w:tc>
          <w:tcPr>
            <w:tcW w:w="632" w:type="dxa"/>
          </w:tcPr>
          <w:p w14:paraId="6A784245" w14:textId="1E461489" w:rsidR="00CE12C2" w:rsidRPr="00F832F8" w:rsidRDefault="00CE12C2" w:rsidP="00CE12C2">
            <w:pPr>
              <w:tabs>
                <w:tab w:val="left" w:pos="284"/>
              </w:tabs>
              <w:spacing w:line="280" w:lineRule="atLeast"/>
              <w:rPr>
                <w:rFonts w:eastAsia="Arial"/>
                <w:b/>
              </w:rPr>
            </w:pPr>
            <w:r w:rsidRPr="00F832F8">
              <w:rPr>
                <w:rFonts w:eastAsia="Arial"/>
                <w:b/>
              </w:rPr>
              <w:t>1.3</w:t>
            </w:r>
          </w:p>
        </w:tc>
        <w:tc>
          <w:tcPr>
            <w:tcW w:w="3694" w:type="dxa"/>
          </w:tcPr>
          <w:p w14:paraId="22933506" w14:textId="77777777" w:rsidR="00CE12C2" w:rsidRPr="00F832F8" w:rsidRDefault="00CE12C2" w:rsidP="00CE12C2">
            <w:pPr>
              <w:pStyle w:val="NoSpacing"/>
              <w:rPr>
                <w:rFonts w:ascii="Times New Roman" w:hAnsi="Times New Roman"/>
                <w:b/>
                <w:sz w:val="24"/>
                <w:szCs w:val="24"/>
              </w:rPr>
            </w:pPr>
            <w:r w:rsidRPr="00F832F8">
              <w:rPr>
                <w:rFonts w:ascii="Times New Roman" w:hAnsi="Times New Roman"/>
                <w:b/>
                <w:sz w:val="24"/>
                <w:szCs w:val="24"/>
              </w:rPr>
              <w:t xml:space="preserve">Paraiškos tipas </w:t>
            </w:r>
          </w:p>
          <w:p w14:paraId="0465E680" w14:textId="7F0A0714" w:rsidR="00CE12C2" w:rsidRPr="00F832F8" w:rsidRDefault="00CE12C2" w:rsidP="00CE12C2">
            <w:pPr>
              <w:rPr>
                <w:b/>
              </w:rPr>
            </w:pPr>
            <w:r w:rsidRPr="00F832F8">
              <w:rPr>
                <w:b/>
              </w:rPr>
              <w:t xml:space="preserve">(pagal </w:t>
            </w:r>
            <w:r w:rsidRPr="00F832F8">
              <w:rPr>
                <w:b/>
                <w:color w:val="333333"/>
                <w:shd w:val="clear" w:color="auto" w:fill="FFFFFF"/>
              </w:rPr>
              <w:t>vaistinio preparato registracijos tipą, įtvirtintą</w:t>
            </w:r>
            <w:r w:rsidRPr="00F832F8">
              <w:rPr>
                <w:b/>
              </w:rPr>
              <w:t xml:space="preserve"> Direktyvos 2001/83/EB straipsiuose)</w:t>
            </w:r>
          </w:p>
          <w:p w14:paraId="77089D80" w14:textId="6681D72A" w:rsidR="00CE12C2" w:rsidRPr="00F832F8" w:rsidRDefault="00CE12C2" w:rsidP="00CE12C2">
            <w:pPr>
              <w:tabs>
                <w:tab w:val="left" w:pos="284"/>
              </w:tabs>
              <w:spacing w:line="280" w:lineRule="atLeast"/>
              <w:rPr>
                <w:b/>
                <w:bCs/>
                <w:color w:val="000000"/>
                <w:lang w:eastAsia="lt-LT"/>
              </w:rPr>
            </w:pPr>
          </w:p>
        </w:tc>
        <w:tc>
          <w:tcPr>
            <w:tcW w:w="4713" w:type="dxa"/>
          </w:tcPr>
          <w:p w14:paraId="22612E6E"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235292487"/>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 xml:space="preserve">8.3 str. (pilna byla, pagrįsta savais tyrimais) </w:t>
            </w:r>
          </w:p>
          <w:p w14:paraId="053EFBB2"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1323436409"/>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 xml:space="preserve">10 a str. (pripažintas medicininis vartojimas) </w:t>
            </w:r>
          </w:p>
          <w:p w14:paraId="5C4A84F3"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211626681"/>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10.1 str. (generinis)</w:t>
            </w:r>
          </w:p>
          <w:p w14:paraId="31DB3B57"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938490710"/>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10.3 str. (hibridinis)</w:t>
            </w:r>
          </w:p>
          <w:p w14:paraId="3B0A4F72" w14:textId="0F148C90" w:rsidR="00CE12C2" w:rsidRPr="00F832F8" w:rsidRDefault="00CE12C2" w:rsidP="00CE12C2">
            <w:pPr>
              <w:pStyle w:val="ListParagraph"/>
              <w:spacing w:after="120"/>
              <w:ind w:left="0"/>
              <w:contextualSpacing w:val="0"/>
              <w:jc w:val="both"/>
              <w:rPr>
                <w:rStyle w:val="Style2"/>
                <w:sz w:val="24"/>
              </w:rPr>
            </w:pPr>
          </w:p>
        </w:tc>
      </w:tr>
      <w:tr w:rsidR="00CE12C2" w:rsidRPr="00F832F8" w14:paraId="310E9662" w14:textId="77777777" w:rsidTr="006834D3">
        <w:trPr>
          <w:trHeight w:val="1442"/>
        </w:trPr>
        <w:tc>
          <w:tcPr>
            <w:tcW w:w="632" w:type="dxa"/>
          </w:tcPr>
          <w:p w14:paraId="4B5A91A2" w14:textId="561B5E5F" w:rsidR="00CE12C2" w:rsidRPr="00F832F8" w:rsidRDefault="00CE12C2" w:rsidP="00CE12C2">
            <w:pPr>
              <w:tabs>
                <w:tab w:val="left" w:pos="284"/>
              </w:tabs>
              <w:spacing w:line="280" w:lineRule="atLeast"/>
              <w:rPr>
                <w:rFonts w:eastAsia="Arial"/>
                <w:b/>
              </w:rPr>
            </w:pPr>
            <w:r w:rsidRPr="00F832F8">
              <w:rPr>
                <w:rFonts w:eastAsia="Arial"/>
                <w:b/>
              </w:rPr>
              <w:t>1.4</w:t>
            </w:r>
          </w:p>
        </w:tc>
        <w:tc>
          <w:tcPr>
            <w:tcW w:w="3694" w:type="dxa"/>
          </w:tcPr>
          <w:p w14:paraId="483071A3" w14:textId="5FC691C1" w:rsidR="00CE12C2" w:rsidRPr="00F832F8" w:rsidRDefault="00CE12C2" w:rsidP="00CE12C2">
            <w:pPr>
              <w:tabs>
                <w:tab w:val="left" w:pos="284"/>
              </w:tabs>
              <w:spacing w:line="280" w:lineRule="atLeast"/>
              <w:rPr>
                <w:b/>
                <w:bCs/>
                <w:color w:val="000000"/>
                <w:lang w:eastAsia="lt-LT"/>
              </w:rPr>
            </w:pPr>
            <w:r w:rsidRPr="00F832F8">
              <w:rPr>
                <w:b/>
                <w:bCs/>
                <w:color w:val="000000"/>
                <w:lang w:eastAsia="lt-LT"/>
              </w:rPr>
              <w:t xml:space="preserve">Ar vaistinis preparatas įrašytas į Bendrijos retųjų vaistinių preparatų registrą? </w:t>
            </w:r>
          </w:p>
        </w:tc>
        <w:tc>
          <w:tcPr>
            <w:tcW w:w="4713" w:type="dxa"/>
          </w:tcPr>
          <w:p w14:paraId="42804302" w14:textId="77777777" w:rsidR="00CE12C2" w:rsidRPr="001F216C" w:rsidRDefault="00000000" w:rsidP="00CE12C2">
            <w:pPr>
              <w:pStyle w:val="ListParagraph"/>
              <w:spacing w:after="120"/>
              <w:ind w:left="0"/>
              <w:contextualSpacing w:val="0"/>
              <w:jc w:val="both"/>
            </w:pPr>
            <w:sdt>
              <w:sdtPr>
                <w:rPr>
                  <w:rStyle w:val="Style2"/>
                </w:rPr>
                <w:id w:val="540011877"/>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rPr>
                  <w:t>☐</w:t>
                </w:r>
              </w:sdtContent>
            </w:sdt>
            <w:r w:rsidR="00CE12C2" w:rsidRPr="001F216C">
              <w:t xml:space="preserve"> Taip</w:t>
            </w:r>
          </w:p>
          <w:p w14:paraId="4D978BBA" w14:textId="77777777" w:rsidR="00CE12C2" w:rsidRPr="001F216C" w:rsidRDefault="00000000" w:rsidP="00CE12C2">
            <w:pPr>
              <w:pStyle w:val="ListParagraph"/>
              <w:spacing w:after="120"/>
              <w:ind w:left="0"/>
              <w:contextualSpacing w:val="0"/>
              <w:jc w:val="both"/>
            </w:pPr>
            <w:sdt>
              <w:sdtPr>
                <w:rPr>
                  <w:rStyle w:val="Style2"/>
                </w:rPr>
                <w:id w:val="-1594777257"/>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1F216C">
              <w:t xml:space="preserve"> Ne</w:t>
            </w:r>
          </w:p>
          <w:p w14:paraId="29C2CBBB" w14:textId="49D83CE8" w:rsidR="00CE12C2" w:rsidRPr="005D5BE7" w:rsidRDefault="00000000" w:rsidP="00CE12C2">
            <w:pPr>
              <w:pStyle w:val="ListParagraph"/>
              <w:spacing w:after="120"/>
              <w:ind w:left="0"/>
              <w:contextualSpacing w:val="0"/>
              <w:jc w:val="both"/>
              <w:rPr>
                <w:rFonts w:eastAsia="Arial"/>
                <w:b/>
              </w:rPr>
            </w:pPr>
            <w:sdt>
              <w:sdtPr>
                <w:rPr>
                  <w:sz w:val="32"/>
                </w:rPr>
                <w:alias w:val="Nurodykite konkrečią dieną"/>
                <w:tag w:val="Nurodykite pradžios datą"/>
                <w:id w:val="-705571527"/>
                <w:placeholder>
                  <w:docPart w:val="90A209D6E08E4B0AA4860806018C291A"/>
                </w:placeholder>
                <w:showingPlcHdr/>
                <w15:color w:val="FFCC99"/>
                <w:date w:fullDate="2022-05-18T00:00:00Z">
                  <w:dateFormat w:val="yyyy 'm.' MMMM d 'd.'"/>
                  <w:lid w:val="lt-LT"/>
                  <w:storeMappedDataAs w:val="dateTime"/>
                  <w:calendar w:val="gregorian"/>
                </w:date>
              </w:sdtPr>
              <w:sdtContent>
                <w:r w:rsidR="00CE12C2" w:rsidRPr="001F216C">
                  <w:rPr>
                    <w:rStyle w:val="PlaceholderText"/>
                  </w:rPr>
                  <w:t>Click here to enter a date.</w:t>
                </w:r>
              </w:sdtContent>
            </w:sdt>
          </w:p>
        </w:tc>
      </w:tr>
      <w:tr w:rsidR="00CE12C2" w:rsidRPr="00F832F8" w14:paraId="274D1DAF" w14:textId="77777777" w:rsidTr="001141D2">
        <w:trPr>
          <w:trHeight w:val="983"/>
        </w:trPr>
        <w:tc>
          <w:tcPr>
            <w:tcW w:w="632" w:type="dxa"/>
          </w:tcPr>
          <w:p w14:paraId="17ABF217" w14:textId="6D9EE8BB" w:rsidR="00CE12C2" w:rsidRPr="00F832F8" w:rsidRDefault="00CE12C2" w:rsidP="00CE12C2">
            <w:pPr>
              <w:tabs>
                <w:tab w:val="left" w:pos="284"/>
              </w:tabs>
              <w:spacing w:line="280" w:lineRule="atLeast"/>
              <w:rPr>
                <w:rFonts w:eastAsia="Arial"/>
                <w:b/>
              </w:rPr>
            </w:pPr>
            <w:r w:rsidRPr="00F832F8">
              <w:rPr>
                <w:rFonts w:eastAsia="Arial"/>
                <w:b/>
              </w:rPr>
              <w:t>1.5</w:t>
            </w:r>
          </w:p>
        </w:tc>
        <w:tc>
          <w:tcPr>
            <w:tcW w:w="3694" w:type="dxa"/>
          </w:tcPr>
          <w:p w14:paraId="3A731095" w14:textId="15E6927F" w:rsidR="00CE12C2" w:rsidRPr="00F832F8" w:rsidRDefault="00CE12C2" w:rsidP="00CE12C2">
            <w:pPr>
              <w:tabs>
                <w:tab w:val="left" w:pos="284"/>
              </w:tabs>
              <w:spacing w:line="280" w:lineRule="atLeast"/>
              <w:rPr>
                <w:b/>
                <w:bCs/>
                <w:color w:val="000000"/>
                <w:lang w:eastAsia="lt-LT"/>
              </w:rPr>
            </w:pPr>
            <w:r w:rsidRPr="00F832F8">
              <w:rPr>
                <w:b/>
                <w:bCs/>
                <w:color w:val="000000"/>
                <w:lang w:eastAsia="lt-LT"/>
              </w:rPr>
              <w:t xml:space="preserve">Teikiama (-os) kompensuoti registruota (-os) vaistinio preparato indikacija (-os), </w:t>
            </w:r>
          </w:p>
          <w:p w14:paraId="6B4FEEC1" w14:textId="39613EA1" w:rsidR="00CE12C2" w:rsidRPr="00F832F8" w:rsidRDefault="00CE12C2" w:rsidP="00CE12C2">
            <w:pPr>
              <w:tabs>
                <w:tab w:val="left" w:pos="284"/>
              </w:tabs>
              <w:spacing w:line="280" w:lineRule="atLeast"/>
              <w:rPr>
                <w:b/>
                <w:bCs/>
                <w:color w:val="000000"/>
                <w:lang w:eastAsia="lt-LT"/>
              </w:rPr>
            </w:pPr>
            <w:r w:rsidRPr="00F832F8">
              <w:rPr>
                <w:b/>
                <w:bCs/>
                <w:color w:val="000000"/>
                <w:lang w:eastAsia="lt-LT"/>
              </w:rPr>
              <w:t>TLK kodas</w:t>
            </w:r>
          </w:p>
        </w:tc>
        <w:tc>
          <w:tcPr>
            <w:tcW w:w="4713" w:type="dxa"/>
          </w:tcPr>
          <w:p w14:paraId="3F41BC7B" w14:textId="77777777" w:rsidR="00CE12C2" w:rsidRDefault="00CE12C2" w:rsidP="00CE12C2">
            <w:pPr>
              <w:pStyle w:val="ListParagraph"/>
              <w:spacing w:after="120"/>
              <w:ind w:left="0"/>
              <w:contextualSpacing w:val="0"/>
              <w:jc w:val="both"/>
            </w:pPr>
            <w:bookmarkStart w:id="0" w:name="_Hlk130646656"/>
            <w:r>
              <w:t>Metastazinės ar lokaliai išplitusios odos plokščiųjų ląstelių karcinomos (mOPLK ar liOPLK) gydymui monoterapija</w:t>
            </w:r>
            <w:bookmarkEnd w:id="0"/>
            <w:r>
              <w:t xml:space="preserve">. </w:t>
            </w:r>
          </w:p>
          <w:p w14:paraId="13F7DFB0" w14:textId="57E89233" w:rsidR="00CE12C2" w:rsidRPr="00F832F8" w:rsidRDefault="00CE12C2" w:rsidP="00CE12C2">
            <w:pPr>
              <w:pStyle w:val="ListParagraph"/>
              <w:spacing w:after="120"/>
              <w:ind w:left="0"/>
              <w:contextualSpacing w:val="0"/>
              <w:jc w:val="both"/>
            </w:pPr>
            <w:r>
              <w:t>TLK kodas – C44.</w:t>
            </w:r>
          </w:p>
        </w:tc>
      </w:tr>
      <w:tr w:rsidR="00CE12C2" w:rsidRPr="00F832F8" w14:paraId="2F79DC08" w14:textId="77777777" w:rsidTr="006834D3">
        <w:trPr>
          <w:trHeight w:val="378"/>
        </w:trPr>
        <w:tc>
          <w:tcPr>
            <w:tcW w:w="632" w:type="dxa"/>
          </w:tcPr>
          <w:p w14:paraId="547885A2" w14:textId="08AA8055" w:rsidR="00CE12C2" w:rsidRPr="00F832F8" w:rsidRDefault="00CE12C2" w:rsidP="00CE12C2">
            <w:pPr>
              <w:tabs>
                <w:tab w:val="left" w:pos="284"/>
              </w:tabs>
              <w:spacing w:line="280" w:lineRule="atLeast"/>
              <w:rPr>
                <w:rFonts w:eastAsia="Arial"/>
                <w:b/>
              </w:rPr>
            </w:pPr>
            <w:r w:rsidRPr="00F832F8">
              <w:rPr>
                <w:rFonts w:eastAsia="Arial"/>
                <w:b/>
              </w:rPr>
              <w:t>1.6</w:t>
            </w:r>
          </w:p>
        </w:tc>
        <w:tc>
          <w:tcPr>
            <w:tcW w:w="3694" w:type="dxa"/>
          </w:tcPr>
          <w:p w14:paraId="2EAB877F" w14:textId="4D3F62F5" w:rsidR="00CE12C2" w:rsidRPr="00F832F8" w:rsidRDefault="00CE12C2" w:rsidP="00CE12C2">
            <w:pPr>
              <w:tabs>
                <w:tab w:val="left" w:pos="284"/>
              </w:tabs>
              <w:spacing w:line="280" w:lineRule="atLeast"/>
              <w:rPr>
                <w:bCs/>
                <w:color w:val="000000"/>
                <w:u w:val="single"/>
                <w:lang w:eastAsia="lt-LT"/>
              </w:rPr>
            </w:pPr>
            <w:r w:rsidRPr="00F832F8">
              <w:rPr>
                <w:b/>
                <w:bCs/>
                <w:color w:val="000000"/>
                <w:lang w:eastAsia="lt-LT"/>
              </w:rPr>
              <w:t xml:space="preserve">Teikiamos skyrimo sąlygos </w:t>
            </w:r>
          </w:p>
        </w:tc>
        <w:tc>
          <w:tcPr>
            <w:tcW w:w="4713" w:type="dxa"/>
          </w:tcPr>
          <w:p w14:paraId="248B457A" w14:textId="77777777" w:rsidR="00CE12C2" w:rsidRDefault="00CE12C2" w:rsidP="00CE12C2">
            <w:pPr>
              <w:pStyle w:val="ListParagraph"/>
              <w:numPr>
                <w:ilvl w:val="0"/>
                <w:numId w:val="17"/>
              </w:numPr>
              <w:spacing w:after="120"/>
              <w:jc w:val="both"/>
            </w:pPr>
            <w:r>
              <w:t xml:space="preserve">Tretinio lygio gydymo institucijos onkologijos multidisciplininės gydytojų komandos konstatuota, kad chirurginis ar </w:t>
            </w:r>
            <w:r>
              <w:lastRenderedPageBreak/>
              <w:t>spindulinis paciento ligos (C44, mOPLK ar liOPLK) gydymas yra negalimas;</w:t>
            </w:r>
          </w:p>
          <w:p w14:paraId="0579DF58" w14:textId="7BA61FC6" w:rsidR="00CE12C2" w:rsidRPr="00F832F8" w:rsidRDefault="00CE12C2" w:rsidP="00CE12C2">
            <w:pPr>
              <w:pStyle w:val="ListParagraph"/>
              <w:spacing w:after="120"/>
              <w:ind w:left="0"/>
              <w:contextualSpacing w:val="0"/>
              <w:jc w:val="both"/>
            </w:pPr>
            <w:r w:rsidRPr="003E50A1">
              <w:t>Gydymas tęsiamas iki ligos progresavimo arba iki 96 gydymo savaitės</w:t>
            </w:r>
            <w:r w:rsidR="002D1BBB">
              <w:t xml:space="preserve"> ilgiausiai</w:t>
            </w:r>
            <w:r w:rsidRPr="003E50A1">
              <w:t>.</w:t>
            </w:r>
          </w:p>
        </w:tc>
      </w:tr>
      <w:tr w:rsidR="001141D2" w:rsidRPr="00F832F8" w14:paraId="3B125269" w14:textId="77777777" w:rsidTr="006834D3">
        <w:trPr>
          <w:trHeight w:val="378"/>
        </w:trPr>
        <w:tc>
          <w:tcPr>
            <w:tcW w:w="632" w:type="dxa"/>
          </w:tcPr>
          <w:p w14:paraId="0058E11F" w14:textId="77777777" w:rsidR="001141D2" w:rsidRPr="00F832F8" w:rsidRDefault="001141D2" w:rsidP="001141D2">
            <w:pPr>
              <w:tabs>
                <w:tab w:val="left" w:pos="284"/>
              </w:tabs>
              <w:spacing w:line="280" w:lineRule="atLeast"/>
              <w:rPr>
                <w:rFonts w:eastAsia="Arial"/>
                <w:b/>
              </w:rPr>
            </w:pPr>
            <w:r w:rsidRPr="00F832F8">
              <w:rPr>
                <w:rFonts w:eastAsia="Arial"/>
                <w:b/>
              </w:rPr>
              <w:lastRenderedPageBreak/>
              <w:t>1.7</w:t>
            </w:r>
          </w:p>
        </w:tc>
        <w:tc>
          <w:tcPr>
            <w:tcW w:w="3694" w:type="dxa"/>
          </w:tcPr>
          <w:p w14:paraId="6CC1022E" w14:textId="67D8C43B" w:rsidR="001141D2" w:rsidRPr="00F832F8" w:rsidRDefault="001141D2" w:rsidP="001141D2">
            <w:pPr>
              <w:tabs>
                <w:tab w:val="left" w:pos="284"/>
              </w:tabs>
              <w:spacing w:line="280" w:lineRule="atLeast"/>
              <w:rPr>
                <w:b/>
                <w:bCs/>
                <w:color w:val="000000"/>
                <w:lang w:eastAsia="lt-LT"/>
              </w:rPr>
            </w:pPr>
            <w:r w:rsidRPr="00F832F8">
              <w:rPr>
                <w:b/>
                <w:bCs/>
                <w:color w:val="000000"/>
                <w:lang w:eastAsia="lt-LT"/>
              </w:rPr>
              <w:t xml:space="preserve">Palyginamasis gydymas </w:t>
            </w:r>
          </w:p>
        </w:tc>
        <w:tc>
          <w:tcPr>
            <w:tcW w:w="4713" w:type="dxa"/>
          </w:tcPr>
          <w:p w14:paraId="41B44044" w14:textId="1591BEB7" w:rsidR="001141D2" w:rsidRPr="00F832F8" w:rsidRDefault="00CE12C2" w:rsidP="001141D2">
            <w:pPr>
              <w:spacing w:after="120"/>
              <w:jc w:val="both"/>
            </w:pPr>
            <w:r>
              <w:t>Platinos preparatų chemoterapinės schemos (cisplatina ir 5-fluoruracilas), palaikomasis gydymas</w:t>
            </w:r>
          </w:p>
        </w:tc>
      </w:tr>
    </w:tbl>
    <w:p w14:paraId="108176F7" w14:textId="640C6F75" w:rsidR="00F70C9E" w:rsidRPr="00F832F8" w:rsidRDefault="00F70C9E" w:rsidP="00E03C3F">
      <w:pPr>
        <w:pStyle w:val="ListParagraph"/>
        <w:tabs>
          <w:tab w:val="left" w:pos="426"/>
        </w:tabs>
        <w:ind w:left="0"/>
        <w:rPr>
          <w:b/>
          <w:bCs/>
          <w:caps/>
        </w:rPr>
      </w:pPr>
    </w:p>
    <w:p w14:paraId="2871CA7F" w14:textId="2370BDDB" w:rsidR="00F70C9E" w:rsidRPr="00F832F8" w:rsidRDefault="00F70C9E" w:rsidP="00880A44">
      <w:pPr>
        <w:spacing w:line="276" w:lineRule="auto"/>
        <w:jc w:val="both"/>
        <w:rPr>
          <w:rFonts w:eastAsia="Arial"/>
          <w:b/>
        </w:rPr>
      </w:pPr>
      <w:r w:rsidRPr="00F832F8">
        <w:rPr>
          <w:rFonts w:eastAsia="Arial"/>
          <w:b/>
        </w:rPr>
        <w:t xml:space="preserve">1.8 Kitų </w:t>
      </w:r>
      <w:r w:rsidR="00DF583C" w:rsidRPr="00F832F8">
        <w:rPr>
          <w:rFonts w:eastAsia="Arial"/>
          <w:b/>
        </w:rPr>
        <w:t xml:space="preserve">valstybių </w:t>
      </w:r>
      <w:r w:rsidRPr="00F832F8">
        <w:rPr>
          <w:rFonts w:eastAsia="Arial"/>
          <w:b/>
        </w:rPr>
        <w:t xml:space="preserve">atsakingų institucijų atlikto </w:t>
      </w:r>
      <w:r w:rsidR="00DF583C" w:rsidRPr="00F832F8">
        <w:rPr>
          <w:rFonts w:eastAsia="Arial"/>
          <w:b/>
        </w:rPr>
        <w:t>Sveikatos technologijų vertinimo (toliau – STV)</w:t>
      </w:r>
      <w:r w:rsidRPr="00F832F8">
        <w:rPr>
          <w:rFonts w:eastAsia="Arial"/>
          <w:b/>
        </w:rPr>
        <w:t xml:space="preserve"> išvados</w:t>
      </w:r>
    </w:p>
    <w:p w14:paraId="30721FDD" w14:textId="77777777" w:rsidR="00F70C9E" w:rsidRPr="00F832F8"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816"/>
        <w:gridCol w:w="1796"/>
        <w:gridCol w:w="3090"/>
        <w:gridCol w:w="2216"/>
      </w:tblGrid>
      <w:tr w:rsidR="00CE12C2" w:rsidRPr="00D05364" w14:paraId="50A98ABB" w14:textId="77777777" w:rsidTr="00C76645">
        <w:trPr>
          <w:trHeight w:val="924"/>
        </w:trPr>
        <w:tc>
          <w:tcPr>
            <w:tcW w:w="2816" w:type="dxa"/>
          </w:tcPr>
          <w:p w14:paraId="36C76448" w14:textId="77777777" w:rsidR="00CE12C2" w:rsidRPr="00D05364" w:rsidRDefault="00CE12C2" w:rsidP="00C76645">
            <w:pPr>
              <w:spacing w:line="276" w:lineRule="auto"/>
              <w:rPr>
                <w:rFonts w:eastAsia="Arial"/>
              </w:rPr>
            </w:pPr>
            <w:bookmarkStart w:id="1" w:name="_Hlk131248150"/>
            <w:r w:rsidRPr="00D05364">
              <w:rPr>
                <w:rFonts w:eastAsia="Arial"/>
              </w:rPr>
              <w:t>STV agentūros pavadinimas, šalis</w:t>
            </w:r>
          </w:p>
        </w:tc>
        <w:tc>
          <w:tcPr>
            <w:tcW w:w="1796" w:type="dxa"/>
          </w:tcPr>
          <w:p w14:paraId="1A5EEBDC" w14:textId="77777777" w:rsidR="00CE12C2" w:rsidRPr="00D05364" w:rsidRDefault="00CE12C2" w:rsidP="00C76645">
            <w:pPr>
              <w:spacing w:line="276" w:lineRule="auto"/>
              <w:rPr>
                <w:rFonts w:eastAsia="Arial"/>
              </w:rPr>
            </w:pPr>
            <w:r w:rsidRPr="00D05364">
              <w:rPr>
                <w:rFonts w:eastAsia="Arial"/>
              </w:rPr>
              <w:t>STV vertinimas atliktas</w:t>
            </w:r>
          </w:p>
        </w:tc>
        <w:tc>
          <w:tcPr>
            <w:tcW w:w="3090" w:type="dxa"/>
          </w:tcPr>
          <w:p w14:paraId="468B1842" w14:textId="77777777" w:rsidR="00CE12C2" w:rsidRPr="00D05364" w:rsidRDefault="00CE12C2" w:rsidP="00C76645">
            <w:pPr>
              <w:spacing w:line="276" w:lineRule="auto"/>
              <w:rPr>
                <w:rFonts w:eastAsia="Arial"/>
              </w:rPr>
            </w:pPr>
            <w:r w:rsidRPr="00D05364">
              <w:rPr>
                <w:rFonts w:eastAsia="Arial"/>
              </w:rPr>
              <w:t>Klinikinio vertinimo išvada</w:t>
            </w:r>
          </w:p>
        </w:tc>
        <w:tc>
          <w:tcPr>
            <w:tcW w:w="2216" w:type="dxa"/>
          </w:tcPr>
          <w:p w14:paraId="612E84CD" w14:textId="77777777" w:rsidR="00CE12C2" w:rsidRPr="00D05364" w:rsidRDefault="00CE12C2" w:rsidP="00C76645">
            <w:pPr>
              <w:spacing w:line="276" w:lineRule="auto"/>
              <w:rPr>
                <w:rFonts w:eastAsia="Arial"/>
              </w:rPr>
            </w:pPr>
            <w:r w:rsidRPr="00D05364">
              <w:rPr>
                <w:rFonts w:eastAsia="Arial"/>
              </w:rPr>
              <w:t>Farmakoekonominio vertinimo išvada</w:t>
            </w:r>
          </w:p>
        </w:tc>
      </w:tr>
      <w:tr w:rsidR="00CE12C2" w:rsidRPr="00D05364" w14:paraId="25B8E10F" w14:textId="77777777" w:rsidTr="00C76645">
        <w:trPr>
          <w:trHeight w:val="1765"/>
        </w:trPr>
        <w:tc>
          <w:tcPr>
            <w:tcW w:w="2816" w:type="dxa"/>
          </w:tcPr>
          <w:p w14:paraId="133C151B" w14:textId="77777777" w:rsidR="00CE12C2" w:rsidRPr="00D05364" w:rsidRDefault="00CE12C2" w:rsidP="00C76645">
            <w:pPr>
              <w:autoSpaceDE w:val="0"/>
              <w:autoSpaceDN w:val="0"/>
              <w:adjustRightInd w:val="0"/>
              <w:rPr>
                <w:bCs/>
              </w:rPr>
            </w:pPr>
            <w:r w:rsidRPr="00D05364">
              <w:rPr>
                <w:bCs/>
              </w:rPr>
              <w:t>Nacionalinis sveikatos ir klinikinės kompetencijos institutas, Didžioji Britanija</w:t>
            </w:r>
          </w:p>
          <w:p w14:paraId="0302793D" w14:textId="77777777" w:rsidR="00CE12C2" w:rsidRPr="00D05364" w:rsidRDefault="00CE12C2" w:rsidP="00C76645">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796" w:type="dxa"/>
          </w:tcPr>
          <w:p w14:paraId="10F1D721" w14:textId="77777777" w:rsidR="00CE12C2" w:rsidRPr="00D05364" w:rsidRDefault="00000000" w:rsidP="00C76645">
            <w:sdt>
              <w:sdtPr>
                <w:rPr>
                  <w:rStyle w:val="Style2"/>
                </w:rPr>
                <w:id w:val="1558205022"/>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D05364">
              <w:t xml:space="preserve"> Taip</w:t>
            </w:r>
          </w:p>
          <w:p w14:paraId="28D6C8C9" w14:textId="77777777" w:rsidR="00CE12C2" w:rsidRPr="00D05364" w:rsidRDefault="00000000" w:rsidP="00C76645">
            <w:sdt>
              <w:sdtPr>
                <w:rPr>
                  <w:rStyle w:val="Style2"/>
                </w:rPr>
                <w:id w:val="866029625"/>
                <w15:color w:val="FFCC00"/>
                <w14:checkbox>
                  <w14:checked w14:val="0"/>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D05364">
              <w:t xml:space="preserve"> Ne</w:t>
            </w:r>
          </w:p>
          <w:p w14:paraId="52E18F8D" w14:textId="77777777" w:rsidR="00CE12C2" w:rsidRPr="00D05364" w:rsidRDefault="00000000" w:rsidP="00C76645">
            <w:pPr>
              <w:rPr>
                <w:rFonts w:eastAsia="Arial"/>
              </w:rPr>
            </w:pPr>
            <w:sdt>
              <w:sdtPr>
                <w:alias w:val="Nurodykite konkrečią dieną"/>
                <w:tag w:val="Nurodykite pradžios datą"/>
                <w:id w:val="922837954"/>
                <w:placeholder>
                  <w:docPart w:val="2B2C78EF814C41B481DC870FA4AFDEE8"/>
                </w:placeholder>
                <w15:color w:val="FFCC99"/>
                <w:date>
                  <w:dateFormat w:val="yyyy 'm.' MMMM d 'd.'"/>
                  <w:lid w:val="lt-LT"/>
                  <w:storeMappedDataAs w:val="dateTime"/>
                  <w:calendar w:val="gregorian"/>
                </w:date>
              </w:sdtPr>
              <w:sdtContent>
                <w:r w:rsidR="00CE12C2">
                  <w:t>2022 m. birželio 29 d.</w:t>
                </w:r>
              </w:sdtContent>
            </w:sdt>
          </w:p>
        </w:tc>
        <w:tc>
          <w:tcPr>
            <w:tcW w:w="3090" w:type="dxa"/>
          </w:tcPr>
          <w:p w14:paraId="324CE778" w14:textId="00FBC7C8" w:rsidR="00CE12C2" w:rsidRPr="00D05364" w:rsidRDefault="00CE12C2" w:rsidP="00547FF7">
            <w:pPr>
              <w:spacing w:line="276" w:lineRule="auto"/>
              <w:jc w:val="both"/>
              <w:rPr>
                <w:rFonts w:eastAsia="Arial"/>
              </w:rPr>
            </w:pPr>
            <w:r w:rsidRPr="00D028E7">
              <w:rPr>
                <w:rFonts w:eastAsia="Arial"/>
              </w:rPr>
              <w:t>Metastazinės ar lokaliai išplitusios odos plokščiųjų ląstelių karcinomos gydym</w:t>
            </w:r>
            <w:r>
              <w:rPr>
                <w:rFonts w:eastAsia="Arial"/>
              </w:rPr>
              <w:t xml:space="preserve">ui, kai </w:t>
            </w:r>
            <w:r>
              <w:t>chirurginis ar spindulinis gydymas yra negalimas ir gydymas nutraukiamas po 24 mėnesių arba patvirtinus ligos progresavimą.</w:t>
            </w:r>
          </w:p>
        </w:tc>
        <w:tc>
          <w:tcPr>
            <w:tcW w:w="2216" w:type="dxa"/>
          </w:tcPr>
          <w:p w14:paraId="4B58B8DD" w14:textId="77777777" w:rsidR="00CE12C2" w:rsidRPr="00D05364" w:rsidRDefault="00CE12C2" w:rsidP="00C76645">
            <w:pPr>
              <w:spacing w:line="276" w:lineRule="auto"/>
              <w:jc w:val="both"/>
              <w:rPr>
                <w:rFonts w:eastAsia="Arial"/>
              </w:rPr>
            </w:pPr>
            <w:r w:rsidRPr="00D028E7">
              <w:rPr>
                <w:rFonts w:eastAsia="Arial"/>
              </w:rPr>
              <w:t>Rekomenduojama kompensuoti sumažinus kainą.</w:t>
            </w:r>
          </w:p>
        </w:tc>
      </w:tr>
      <w:tr w:rsidR="00CE12C2" w:rsidRPr="00D05364" w14:paraId="54039DDC" w14:textId="77777777" w:rsidTr="00C76645">
        <w:trPr>
          <w:trHeight w:val="1547"/>
        </w:trPr>
        <w:tc>
          <w:tcPr>
            <w:tcW w:w="2816" w:type="dxa"/>
          </w:tcPr>
          <w:p w14:paraId="409ED012" w14:textId="77777777" w:rsidR="00CE12C2" w:rsidRPr="00D05364" w:rsidRDefault="00CE12C2" w:rsidP="00C76645">
            <w:pPr>
              <w:spacing w:line="276" w:lineRule="auto"/>
              <w:rPr>
                <w:rFonts w:eastAsia="Arial"/>
              </w:rPr>
            </w:pPr>
            <w:r w:rsidRPr="00D05364">
              <w:rPr>
                <w:rFonts w:eastAsia="Arial"/>
              </w:rPr>
              <w:t>Kanados sveikatos technologijų agentūra</w:t>
            </w:r>
          </w:p>
          <w:p w14:paraId="27A1114A" w14:textId="77777777" w:rsidR="00CE12C2" w:rsidRPr="00D05364" w:rsidRDefault="00CE12C2" w:rsidP="00C76645">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796" w:type="dxa"/>
          </w:tcPr>
          <w:p w14:paraId="69211A0C" w14:textId="77777777" w:rsidR="00CE12C2" w:rsidRPr="00D05364" w:rsidRDefault="00000000" w:rsidP="00C76645">
            <w:sdt>
              <w:sdtPr>
                <w:rPr>
                  <w:rStyle w:val="Style2"/>
                </w:rPr>
                <w:id w:val="-372539057"/>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D05364">
              <w:t xml:space="preserve"> Taip</w:t>
            </w:r>
          </w:p>
          <w:p w14:paraId="35F13A37" w14:textId="77777777" w:rsidR="00CE12C2" w:rsidRPr="00D05364" w:rsidRDefault="00000000" w:rsidP="00C76645">
            <w:sdt>
              <w:sdtPr>
                <w:rPr>
                  <w:rStyle w:val="Style2"/>
                </w:rPr>
                <w:id w:val="594442222"/>
                <w15:color w:val="FFCC00"/>
                <w14:checkbox>
                  <w14:checked w14:val="0"/>
                  <w14:checkedState w14:val="2612" w14:font="MS Gothic"/>
                  <w14:uncheckedState w14:val="2610" w14:font="MS Gothic"/>
                </w14:checkbox>
              </w:sdtPr>
              <w:sdtContent>
                <w:r w:rsidR="00CE12C2" w:rsidRPr="00D05364">
                  <w:rPr>
                    <w:rStyle w:val="Style2"/>
                    <w:rFonts w:ascii="Segoe UI Symbol" w:eastAsia="MS Gothic" w:hAnsi="Segoe UI Symbol" w:cs="Segoe UI Symbol"/>
                  </w:rPr>
                  <w:t>☐</w:t>
                </w:r>
              </w:sdtContent>
            </w:sdt>
            <w:r w:rsidR="00CE12C2" w:rsidRPr="00D05364">
              <w:t xml:space="preserve"> Ne</w:t>
            </w:r>
          </w:p>
          <w:p w14:paraId="0253337D" w14:textId="77777777" w:rsidR="00CE12C2" w:rsidRPr="00D05364" w:rsidRDefault="00000000" w:rsidP="00C76645">
            <w:pPr>
              <w:spacing w:line="276" w:lineRule="auto"/>
              <w:rPr>
                <w:rFonts w:eastAsia="Arial"/>
              </w:rPr>
            </w:pPr>
            <w:sdt>
              <w:sdtPr>
                <w:alias w:val="Nurodykite konkrečią dieną"/>
                <w:tag w:val="Nurodykite pradžios datą"/>
                <w:id w:val="1072468416"/>
                <w:placeholder>
                  <w:docPart w:val="2C91D02AA2054D999B417381AE617A88"/>
                </w:placeholder>
                <w15:color w:val="FFCC99"/>
                <w:date>
                  <w:dateFormat w:val="yyyy 'm.' MMMM d 'd.'"/>
                  <w:lid w:val="lt-LT"/>
                  <w:storeMappedDataAs w:val="dateTime"/>
                  <w:calendar w:val="gregorian"/>
                </w:date>
              </w:sdtPr>
              <w:sdtContent>
                <w:r w:rsidR="00CE12C2">
                  <w:t>2020 m. sausio 22 d.</w:t>
                </w:r>
              </w:sdtContent>
            </w:sdt>
          </w:p>
        </w:tc>
        <w:tc>
          <w:tcPr>
            <w:tcW w:w="3090" w:type="dxa"/>
          </w:tcPr>
          <w:p w14:paraId="4CEAFE47" w14:textId="5AD00A29" w:rsidR="00CE12C2" w:rsidRPr="00D05364" w:rsidRDefault="00CE12C2" w:rsidP="00547FF7">
            <w:pPr>
              <w:spacing w:line="276" w:lineRule="auto"/>
              <w:jc w:val="both"/>
              <w:rPr>
                <w:rFonts w:eastAsia="Arial"/>
              </w:rPr>
            </w:pPr>
            <w:r w:rsidRPr="00D028E7">
              <w:rPr>
                <w:rFonts w:eastAsia="Arial"/>
              </w:rPr>
              <w:t>Metastazinės ar lokaliai išplitusios odos plokščiųjų ląstelių karcinomos gydym</w:t>
            </w:r>
            <w:r>
              <w:rPr>
                <w:rFonts w:eastAsia="Arial"/>
              </w:rPr>
              <w:t xml:space="preserve">ui, kai </w:t>
            </w:r>
            <w:r>
              <w:t>chirurginis ar spindulinis gydymas yra negalimas.</w:t>
            </w:r>
          </w:p>
        </w:tc>
        <w:tc>
          <w:tcPr>
            <w:tcW w:w="2216" w:type="dxa"/>
          </w:tcPr>
          <w:p w14:paraId="6E29C8A7" w14:textId="77777777" w:rsidR="00CE12C2" w:rsidRPr="00D05364" w:rsidRDefault="00CE12C2" w:rsidP="00C76645">
            <w:pPr>
              <w:spacing w:line="276" w:lineRule="auto"/>
              <w:jc w:val="both"/>
              <w:rPr>
                <w:rFonts w:eastAsia="Arial"/>
              </w:rPr>
            </w:pPr>
            <w:r w:rsidRPr="00D028E7">
              <w:rPr>
                <w:rFonts w:eastAsia="Arial"/>
              </w:rPr>
              <w:t>Rekomenduojama kompensuoti sumažinus kainą.</w:t>
            </w:r>
          </w:p>
        </w:tc>
      </w:tr>
      <w:tr w:rsidR="00CE12C2" w:rsidRPr="00D05364" w14:paraId="78CE0127" w14:textId="77777777" w:rsidTr="00C76645">
        <w:trPr>
          <w:trHeight w:val="1927"/>
        </w:trPr>
        <w:tc>
          <w:tcPr>
            <w:tcW w:w="2816" w:type="dxa"/>
          </w:tcPr>
          <w:p w14:paraId="29CBF00B" w14:textId="77777777" w:rsidR="00CE12C2" w:rsidRPr="00D05364" w:rsidRDefault="00CE12C2" w:rsidP="00C76645">
            <w:pPr>
              <w:spacing w:line="276" w:lineRule="auto"/>
              <w:rPr>
                <w:rFonts w:eastAsia="Arial"/>
              </w:rPr>
            </w:pPr>
            <w:r w:rsidRPr="00D05364">
              <w:rPr>
                <w:rFonts w:eastAsia="Arial"/>
              </w:rPr>
              <w:t>Nacionalinis farmakoekonomikos centras, Airija</w:t>
            </w:r>
          </w:p>
          <w:p w14:paraId="0FC497C9" w14:textId="77777777" w:rsidR="00CE12C2" w:rsidRPr="00D05364" w:rsidRDefault="00CE12C2" w:rsidP="00C76645">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796" w:type="dxa"/>
          </w:tcPr>
          <w:p w14:paraId="03FFBFEE" w14:textId="77777777" w:rsidR="00CE12C2" w:rsidRPr="00D05364" w:rsidRDefault="00000000" w:rsidP="00C76645">
            <w:sdt>
              <w:sdtPr>
                <w:rPr>
                  <w:rStyle w:val="Style2"/>
                </w:rPr>
                <w:id w:val="-1888403732"/>
                <w15:color w:val="FFCC00"/>
                <w14:checkbox>
                  <w14:checked w14:val="0"/>
                  <w14:checkedState w14:val="2612" w14:font="MS Gothic"/>
                  <w14:uncheckedState w14:val="2610" w14:font="MS Gothic"/>
                </w14:checkbox>
              </w:sdtPr>
              <w:sdtContent>
                <w:r w:rsidR="00CE12C2" w:rsidRPr="00D05364">
                  <w:rPr>
                    <w:rStyle w:val="Style2"/>
                    <w:rFonts w:ascii="Segoe UI Symbol" w:eastAsia="MS Gothic" w:hAnsi="Segoe UI Symbol" w:cs="Segoe UI Symbol"/>
                  </w:rPr>
                  <w:t>☐</w:t>
                </w:r>
              </w:sdtContent>
            </w:sdt>
            <w:r w:rsidR="00CE12C2" w:rsidRPr="00D05364">
              <w:t xml:space="preserve"> Taip</w:t>
            </w:r>
          </w:p>
          <w:p w14:paraId="0572D300" w14:textId="77777777" w:rsidR="00CE12C2" w:rsidRPr="00D05364" w:rsidRDefault="00000000" w:rsidP="00C76645">
            <w:sdt>
              <w:sdtPr>
                <w:rPr>
                  <w:rStyle w:val="Style2"/>
                </w:rPr>
                <w:id w:val="1092201793"/>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D05364">
              <w:t xml:space="preserve"> Ne</w:t>
            </w:r>
          </w:p>
          <w:p w14:paraId="211549B2" w14:textId="77777777" w:rsidR="00CE12C2" w:rsidRPr="00D05364" w:rsidRDefault="00000000" w:rsidP="00C76645">
            <w:pPr>
              <w:spacing w:line="276" w:lineRule="auto"/>
              <w:rPr>
                <w:rFonts w:eastAsia="Arial"/>
              </w:rPr>
            </w:pPr>
            <w:sdt>
              <w:sdtPr>
                <w:alias w:val="Nurodykite konkrečią dieną"/>
                <w:tag w:val="Nurodykite pradžios datą"/>
                <w:id w:val="-198323198"/>
                <w:placeholder>
                  <w:docPart w:val="CD9E5C8CDE824C23837322C6CD21F8C7"/>
                </w:placeholder>
                <w:showingPlcHdr/>
                <w15:color w:val="FFCC99"/>
                <w:date w:fullDate="2022-05-18T00:00:00Z">
                  <w:dateFormat w:val="yyyy 'm.' MMMM d 'd.'"/>
                  <w:lid w:val="lt-LT"/>
                  <w:storeMappedDataAs w:val="dateTime"/>
                  <w:calendar w:val="gregorian"/>
                </w:date>
              </w:sdtPr>
              <w:sdtContent>
                <w:r w:rsidR="00CE12C2" w:rsidRPr="00D05364">
                  <w:rPr>
                    <w:rStyle w:val="PlaceholderText"/>
                  </w:rPr>
                  <w:t>Click here to enter a date.</w:t>
                </w:r>
              </w:sdtContent>
            </w:sdt>
          </w:p>
        </w:tc>
        <w:tc>
          <w:tcPr>
            <w:tcW w:w="5306" w:type="dxa"/>
            <w:gridSpan w:val="2"/>
          </w:tcPr>
          <w:p w14:paraId="48B8E8F6" w14:textId="77777777" w:rsidR="00CE12C2" w:rsidRPr="00D05364" w:rsidRDefault="00CE12C2" w:rsidP="00C76645">
            <w:pPr>
              <w:spacing w:line="276" w:lineRule="auto"/>
              <w:rPr>
                <w:rFonts w:eastAsia="Arial"/>
              </w:rPr>
            </w:pPr>
            <w:r>
              <w:rPr>
                <w:rFonts w:eastAsia="Arial"/>
              </w:rPr>
              <w:t>Šiuo metu vykdomas STV vertinimas</w:t>
            </w:r>
          </w:p>
        </w:tc>
      </w:tr>
      <w:tr w:rsidR="00CE12C2" w:rsidRPr="00D05364" w14:paraId="29F08870" w14:textId="77777777" w:rsidTr="00C76645">
        <w:trPr>
          <w:trHeight w:val="77"/>
        </w:trPr>
        <w:tc>
          <w:tcPr>
            <w:tcW w:w="2816" w:type="dxa"/>
          </w:tcPr>
          <w:p w14:paraId="120F2291" w14:textId="77777777" w:rsidR="00CE12C2" w:rsidRPr="00D05364" w:rsidRDefault="00CE12C2" w:rsidP="00C76645">
            <w:pPr>
              <w:spacing w:line="276" w:lineRule="auto"/>
              <w:rPr>
                <w:rFonts w:eastAsia="Arial"/>
              </w:rPr>
            </w:pPr>
            <w:r w:rsidRPr="00E6595A">
              <w:rPr>
                <w:rFonts w:eastAsia="Arial"/>
              </w:rPr>
              <w:t xml:space="preserve">Škotijos medicinos konsorciumas </w:t>
            </w:r>
            <w:r w:rsidRPr="001F216C">
              <w:rPr>
                <w:rFonts w:eastAsia="Arial"/>
              </w:rPr>
              <w:t xml:space="preserve">(angl. </w:t>
            </w:r>
            <w:r>
              <w:rPr>
                <w:rFonts w:eastAsia="Arial"/>
                <w:i/>
              </w:rPr>
              <w:t>Scottish Medicines Consortium, SMC</w:t>
            </w:r>
            <w:r w:rsidRPr="001F216C">
              <w:rPr>
                <w:rFonts w:eastAsia="Arial"/>
              </w:rPr>
              <w:t>)</w:t>
            </w:r>
          </w:p>
        </w:tc>
        <w:tc>
          <w:tcPr>
            <w:tcW w:w="1796" w:type="dxa"/>
          </w:tcPr>
          <w:p w14:paraId="69ADCFA4" w14:textId="77777777" w:rsidR="00CE12C2" w:rsidRPr="00D05364" w:rsidRDefault="00000000" w:rsidP="00C76645">
            <w:sdt>
              <w:sdtPr>
                <w:rPr>
                  <w:rStyle w:val="Style2"/>
                </w:rPr>
                <w:id w:val="1634437882"/>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rPr>
                  <w:t>☒</w:t>
                </w:r>
              </w:sdtContent>
            </w:sdt>
            <w:r w:rsidR="00CE12C2" w:rsidRPr="00D05364">
              <w:t xml:space="preserve"> Taip</w:t>
            </w:r>
          </w:p>
          <w:p w14:paraId="4C03C4E8" w14:textId="77777777" w:rsidR="00CE12C2" w:rsidRPr="00D05364" w:rsidRDefault="00000000" w:rsidP="00C76645">
            <w:sdt>
              <w:sdtPr>
                <w:rPr>
                  <w:rStyle w:val="Style2"/>
                </w:rPr>
                <w:id w:val="85655384"/>
                <w15:color w:val="FFCC00"/>
                <w14:checkbox>
                  <w14:checked w14:val="0"/>
                  <w14:checkedState w14:val="2612" w14:font="MS Gothic"/>
                  <w14:uncheckedState w14:val="2610" w14:font="MS Gothic"/>
                </w14:checkbox>
              </w:sdtPr>
              <w:sdtContent>
                <w:r w:rsidR="00CE12C2" w:rsidRPr="00D05364">
                  <w:rPr>
                    <w:rStyle w:val="Style2"/>
                    <w:rFonts w:ascii="Segoe UI Symbol" w:eastAsia="MS Gothic" w:hAnsi="Segoe UI Symbol" w:cs="Segoe UI Symbol"/>
                  </w:rPr>
                  <w:t>☐</w:t>
                </w:r>
              </w:sdtContent>
            </w:sdt>
            <w:r w:rsidR="00CE12C2" w:rsidRPr="00D05364">
              <w:t xml:space="preserve"> Ne</w:t>
            </w:r>
          </w:p>
          <w:p w14:paraId="47A5DB90" w14:textId="77777777" w:rsidR="00CE12C2" w:rsidRPr="00D05364" w:rsidRDefault="00000000" w:rsidP="00C76645">
            <w:pPr>
              <w:pStyle w:val="ListParagraph"/>
              <w:spacing w:after="120"/>
              <w:ind w:left="0"/>
              <w:contextualSpacing w:val="0"/>
              <w:jc w:val="both"/>
              <w:rPr>
                <w:rStyle w:val="Style2"/>
              </w:rPr>
            </w:pPr>
            <w:sdt>
              <w:sdtPr>
                <w:rPr>
                  <w:sz w:val="32"/>
                </w:rPr>
                <w:alias w:val="Nurodykite konkrečią dieną"/>
                <w:tag w:val="Nurodykite pradžios datą"/>
                <w:id w:val="1004862963"/>
                <w:placeholder>
                  <w:docPart w:val="BEF52558DBB8496280BBFD35CBABCBE5"/>
                </w:placeholder>
                <w15:color w:val="FFCC99"/>
                <w:date>
                  <w:dateFormat w:val="yyyy 'm.' MMMM d 'd.'"/>
                  <w:lid w:val="lt-LT"/>
                  <w:storeMappedDataAs w:val="dateTime"/>
                  <w:calendar w:val="gregorian"/>
                </w:date>
              </w:sdtPr>
              <w:sdtEndPr>
                <w:rPr>
                  <w:sz w:val="24"/>
                </w:rPr>
              </w:sdtEndPr>
              <w:sdtContent>
                <w:r w:rsidR="00CE12C2" w:rsidRPr="00DA5D24">
                  <w:t xml:space="preserve">2020 m. sausio </w:t>
                </w:r>
                <w:r w:rsidR="00CE12C2">
                  <w:t>10</w:t>
                </w:r>
                <w:r w:rsidR="00CE12C2" w:rsidRPr="00DA5D24">
                  <w:t xml:space="preserve"> d</w:t>
                </w:r>
                <w:r w:rsidR="00CE12C2">
                  <w:t>.</w:t>
                </w:r>
              </w:sdtContent>
            </w:sdt>
          </w:p>
        </w:tc>
        <w:tc>
          <w:tcPr>
            <w:tcW w:w="5306" w:type="dxa"/>
            <w:gridSpan w:val="2"/>
          </w:tcPr>
          <w:p w14:paraId="40E4F0A4" w14:textId="388F8587" w:rsidR="00CE12C2" w:rsidRPr="00D05364" w:rsidRDefault="00CE12C2" w:rsidP="00547FF7">
            <w:pPr>
              <w:spacing w:line="276" w:lineRule="auto"/>
              <w:jc w:val="both"/>
              <w:rPr>
                <w:rFonts w:eastAsia="Arial"/>
              </w:rPr>
            </w:pPr>
            <w:r w:rsidRPr="00D028E7">
              <w:rPr>
                <w:rFonts w:eastAsia="Arial"/>
              </w:rPr>
              <w:t>Metastazinės ar lokaliai išplitusios odos plokščiųjų ląstelių karcinomos gydym</w:t>
            </w:r>
            <w:r>
              <w:rPr>
                <w:rFonts w:eastAsia="Arial"/>
              </w:rPr>
              <w:t xml:space="preserve">ui, kai </w:t>
            </w:r>
            <w:r>
              <w:t>chirurginis ar spindulinis gydymas yra negalimas (sąlyginis kompensavimas iki naujų duomenų atsiradimo).</w:t>
            </w:r>
          </w:p>
        </w:tc>
      </w:tr>
      <w:bookmarkEnd w:id="1"/>
    </w:tbl>
    <w:p w14:paraId="2EB7FD31" w14:textId="3ABBCE52" w:rsidR="00F70C9E" w:rsidRPr="00F832F8" w:rsidRDefault="00F70C9E" w:rsidP="00E03C3F">
      <w:pPr>
        <w:pStyle w:val="ListParagraph"/>
        <w:tabs>
          <w:tab w:val="left" w:pos="426"/>
        </w:tabs>
        <w:ind w:left="0"/>
        <w:rPr>
          <w:b/>
          <w:bCs/>
          <w:caps/>
        </w:rPr>
      </w:pPr>
    </w:p>
    <w:p w14:paraId="51E6FB5A" w14:textId="77777777" w:rsidR="00AC33D8" w:rsidRPr="00F832F8" w:rsidRDefault="00AC33D8" w:rsidP="00E03C3F">
      <w:pPr>
        <w:pStyle w:val="ListParagraph"/>
        <w:tabs>
          <w:tab w:val="left" w:pos="426"/>
        </w:tabs>
        <w:ind w:left="0"/>
        <w:rPr>
          <w:b/>
          <w:bCs/>
          <w:caps/>
        </w:rPr>
      </w:pPr>
    </w:p>
    <w:p w14:paraId="0569C57E" w14:textId="426CC639" w:rsidR="00AC33D8" w:rsidRPr="00F832F8" w:rsidRDefault="00CC7832" w:rsidP="00AC33D8">
      <w:pPr>
        <w:pStyle w:val="ListParagraph"/>
        <w:numPr>
          <w:ilvl w:val="0"/>
          <w:numId w:val="12"/>
        </w:numPr>
        <w:tabs>
          <w:tab w:val="left" w:pos="284"/>
        </w:tabs>
        <w:rPr>
          <w:b/>
          <w:bCs/>
          <w:caps/>
        </w:rPr>
      </w:pPr>
      <w:r w:rsidRPr="00F832F8">
        <w:rPr>
          <w:b/>
          <w:bCs/>
          <w:caps/>
        </w:rPr>
        <w:t>Klinikinio vertinimo a</w:t>
      </w:r>
      <w:r w:rsidR="00D4485B" w:rsidRPr="00F832F8">
        <w:rPr>
          <w:b/>
          <w:bCs/>
          <w:caps/>
        </w:rPr>
        <w:t>pibendrinimas</w:t>
      </w:r>
    </w:p>
    <w:p w14:paraId="61FD41C3" w14:textId="21891E8A" w:rsidR="00AC33D8" w:rsidRPr="00F832F8" w:rsidRDefault="00AC33D8" w:rsidP="00AC33D8">
      <w:pPr>
        <w:tabs>
          <w:tab w:val="left" w:pos="284"/>
        </w:tabs>
        <w:rPr>
          <w:b/>
          <w:bCs/>
          <w:caps/>
        </w:rPr>
      </w:pPr>
    </w:p>
    <w:p w14:paraId="08DDA97C" w14:textId="7AE4E2EA" w:rsidR="00CE12C2" w:rsidRDefault="00CE12C2" w:rsidP="00CE12C2">
      <w:pPr>
        <w:pStyle w:val="ListParagraph"/>
        <w:spacing w:after="120" w:line="276" w:lineRule="auto"/>
        <w:ind w:left="0" w:firstLine="720"/>
        <w:contextualSpacing w:val="0"/>
        <w:jc w:val="both"/>
        <w:rPr>
          <w:rFonts w:eastAsia="Arial"/>
          <w:iCs/>
        </w:rPr>
      </w:pPr>
      <w:bookmarkStart w:id="2" w:name="_Hlk131248192"/>
      <w:r>
        <w:rPr>
          <w:rFonts w:eastAsia="Arial"/>
          <w:iCs/>
        </w:rPr>
        <w:t>Odos plokščiųjų ląstelių karcinoma (OPLK) yra antras dažniausias nemelanominis odos onkologinis susirgimas, kurių dauguma nustatomi galvos ir kaklo srityse. Pagal 1993 – 2005 metų epidemiologinius duomenis, OPLK sudaro 16,3</w:t>
      </w:r>
      <w:r w:rsidR="00CC2E22">
        <w:rPr>
          <w:rFonts w:eastAsia="Arial"/>
          <w:iCs/>
        </w:rPr>
        <w:t xml:space="preserve"> </w:t>
      </w:r>
      <w:r>
        <w:rPr>
          <w:rFonts w:eastAsia="Arial"/>
          <w:iCs/>
        </w:rPr>
        <w:t>% visų nemelanominių odos piktybinių navikų. Epidemiologin</w:t>
      </w:r>
      <w:r w:rsidR="00547FF7">
        <w:rPr>
          <w:rFonts w:eastAsia="Arial"/>
          <w:iCs/>
        </w:rPr>
        <w:t>iais</w:t>
      </w:r>
      <w:r w:rsidR="00581413">
        <w:rPr>
          <w:rFonts w:eastAsia="Arial"/>
          <w:iCs/>
        </w:rPr>
        <w:t xml:space="preserve"> </w:t>
      </w:r>
      <w:r w:rsidR="00547FF7">
        <w:rPr>
          <w:rFonts w:eastAsia="Arial"/>
          <w:iCs/>
        </w:rPr>
        <w:t>tyrimais</w:t>
      </w:r>
      <w:r>
        <w:rPr>
          <w:rFonts w:eastAsia="Arial"/>
          <w:iCs/>
        </w:rPr>
        <w:t xml:space="preserve"> nustatyta, kad tarp 1976 – 1984 metų ir 2000 – 2010 m. OPLK atvejų </w:t>
      </w:r>
      <w:r>
        <w:rPr>
          <w:rFonts w:eastAsia="Arial"/>
          <w:iCs/>
        </w:rPr>
        <w:lastRenderedPageBreak/>
        <w:t>dažnis padidėjo 263</w:t>
      </w:r>
      <w:r w:rsidR="00CC2E22">
        <w:rPr>
          <w:rFonts w:eastAsia="Arial"/>
          <w:iCs/>
        </w:rPr>
        <w:t xml:space="preserve"> </w:t>
      </w:r>
      <w:r>
        <w:rPr>
          <w:rFonts w:eastAsia="Arial"/>
          <w:iCs/>
        </w:rPr>
        <w:t>%. Nors bazalinių ląstelių karcinoma išlieka dažniau nustatomas odos navikas, OPLK atvejai dėl didėjančio gyventojų skaičiaus, senėjančios visuomenės ir gerėjančios pirminės odos onkologinių susirgimų diagnostikos sudaro daugiau nei penktadalį visų nemelanominių navikų atvejų.</w:t>
      </w:r>
    </w:p>
    <w:p w14:paraId="3ABBBB9C" w14:textId="0C986F22" w:rsidR="00CE12C2" w:rsidRDefault="00CE12C2" w:rsidP="00CE12C2">
      <w:pPr>
        <w:pStyle w:val="ListParagraph"/>
        <w:spacing w:after="120" w:line="276" w:lineRule="auto"/>
        <w:ind w:left="0" w:firstLine="720"/>
        <w:contextualSpacing w:val="0"/>
        <w:jc w:val="both"/>
      </w:pPr>
      <w:r>
        <w:rPr>
          <w:rFonts w:eastAsia="Arial"/>
          <w:iCs/>
        </w:rPr>
        <w:t>Daugiau nei 90</w:t>
      </w:r>
      <w:r w:rsidR="00CC2E22">
        <w:rPr>
          <w:rFonts w:eastAsia="Arial"/>
          <w:iCs/>
        </w:rPr>
        <w:t xml:space="preserve"> </w:t>
      </w:r>
      <w:r>
        <w:rPr>
          <w:rFonts w:eastAsia="Arial"/>
          <w:iCs/>
        </w:rPr>
        <w:t>% atvejų liga yra neišplitusi ir sėkmingai išgydoma chirurginiu būdu ir</w:t>
      </w:r>
      <w:r w:rsidR="00CC2E22">
        <w:rPr>
          <w:rFonts w:eastAsia="Arial"/>
          <w:iCs/>
        </w:rPr>
        <w:t xml:space="preserve"> (</w:t>
      </w:r>
      <w:r>
        <w:rPr>
          <w:rFonts w:eastAsia="Arial"/>
          <w:iCs/>
        </w:rPr>
        <w:t>/ar</w:t>
      </w:r>
      <w:r w:rsidR="00CC2E22">
        <w:rPr>
          <w:rFonts w:eastAsia="Arial"/>
          <w:iCs/>
        </w:rPr>
        <w:t>)</w:t>
      </w:r>
      <w:r>
        <w:rPr>
          <w:rFonts w:eastAsia="Arial"/>
          <w:iCs/>
        </w:rPr>
        <w:t xml:space="preserve"> taikant spindulinį gydymą, tačiau mažiau nei 5</w:t>
      </w:r>
      <w:r w:rsidR="00CC2E22">
        <w:rPr>
          <w:rFonts w:eastAsia="Arial"/>
          <w:iCs/>
        </w:rPr>
        <w:t xml:space="preserve"> </w:t>
      </w:r>
      <w:r>
        <w:rPr>
          <w:rFonts w:eastAsia="Arial"/>
          <w:iCs/>
        </w:rPr>
        <w:t xml:space="preserve">% </w:t>
      </w:r>
      <w:r w:rsidR="00CC2E22">
        <w:rPr>
          <w:rFonts w:eastAsia="Arial"/>
          <w:iCs/>
        </w:rPr>
        <w:t xml:space="preserve">atvejų </w:t>
      </w:r>
      <w:r>
        <w:rPr>
          <w:rFonts w:eastAsia="Arial"/>
          <w:iCs/>
        </w:rPr>
        <w:t xml:space="preserve">yra </w:t>
      </w:r>
      <w:r w:rsidR="00CC2E22">
        <w:rPr>
          <w:rFonts w:eastAsia="Arial"/>
          <w:iCs/>
        </w:rPr>
        <w:t xml:space="preserve">OPLK </w:t>
      </w:r>
      <w:r>
        <w:rPr>
          <w:rFonts w:eastAsia="Arial"/>
          <w:iCs/>
        </w:rPr>
        <w:t>lokaliai išplit</w:t>
      </w:r>
      <w:r w:rsidR="00CC2E22">
        <w:rPr>
          <w:rFonts w:eastAsia="Arial"/>
          <w:iCs/>
        </w:rPr>
        <w:t>usi</w:t>
      </w:r>
      <w:r>
        <w:rPr>
          <w:rFonts w:eastAsia="Arial"/>
          <w:iCs/>
        </w:rPr>
        <w:t xml:space="preserve"> (liOPLK) arba metastazav</w:t>
      </w:r>
      <w:r w:rsidR="00CC2E22">
        <w:rPr>
          <w:rFonts w:eastAsia="Arial"/>
          <w:iCs/>
        </w:rPr>
        <w:t>usi</w:t>
      </w:r>
      <w:r>
        <w:rPr>
          <w:rFonts w:eastAsia="Arial"/>
          <w:iCs/>
        </w:rPr>
        <w:t xml:space="preserve"> (mOPLK). 2015 metų Vėžio registro sergamumo lentelėse nurod</w:t>
      </w:r>
      <w:r w:rsidR="00CC2E22">
        <w:rPr>
          <w:rFonts w:eastAsia="Arial"/>
          <w:iCs/>
        </w:rPr>
        <w:t>yta</w:t>
      </w:r>
      <w:r>
        <w:rPr>
          <w:rFonts w:eastAsia="Arial"/>
          <w:iCs/>
        </w:rPr>
        <w:t>, jog tais metais buvo nustatyti 2237 C44 diagnozės („Kiti odos piktybiniai navikai“, apimantys riebalinių ir prakaito liaukų piktybinius navikus, išskyrus Kapošį sarkomą, odos piktybinę melanomą ir lyties organų odą) atvejai. III ligos stadija buvo nustatyta 22, IV – 8 pacientams, 6,35</w:t>
      </w:r>
      <w:r w:rsidR="00CC2E22">
        <w:rPr>
          <w:rFonts w:eastAsia="Arial"/>
          <w:iCs/>
        </w:rPr>
        <w:t xml:space="preserve"> </w:t>
      </w:r>
      <w:r>
        <w:rPr>
          <w:rFonts w:eastAsia="Arial"/>
          <w:iCs/>
        </w:rPr>
        <w:t>% pacientų ligos stadija nebuvo nurodyta. OPLK buvo nustatyta 22 pacientams. Metastatine OPLK sergančių pacientų bendrojo išgyvenamumo (BI) mediana yra 10,9 mėnesio, sergančių pažengusia galvos ir kaklo</w:t>
      </w:r>
      <w:r w:rsidR="00CC2E22">
        <w:rPr>
          <w:rFonts w:eastAsia="Arial"/>
          <w:iCs/>
        </w:rPr>
        <w:t xml:space="preserve"> sričių</w:t>
      </w:r>
      <w:r>
        <w:rPr>
          <w:rFonts w:eastAsia="Arial"/>
          <w:iCs/>
        </w:rPr>
        <w:t xml:space="preserve"> OPLK – 8,4 mėnesio. </w:t>
      </w:r>
      <w:r>
        <w:t xml:space="preserve">Paraiškoje pateikta informacija </w:t>
      </w:r>
      <w:r w:rsidR="00CC2E22">
        <w:t>susijusi su</w:t>
      </w:r>
      <w:r>
        <w:t xml:space="preserve"> metastazinės ar lokaliai išplitusios odos plokščiųjų ląstelių karcinomos </w:t>
      </w:r>
      <w:r w:rsidRPr="003B3450">
        <w:t>gydym</w:t>
      </w:r>
      <w:r>
        <w:t>u</w:t>
      </w:r>
      <w:r w:rsidR="00CC2E22" w:rsidRPr="00CC2E22">
        <w:t xml:space="preserve"> </w:t>
      </w:r>
      <w:r w:rsidR="00CC2E22">
        <w:t>cemiplimabu.</w:t>
      </w:r>
    </w:p>
    <w:p w14:paraId="4F19270A" w14:textId="29E2FF3F" w:rsidR="00CE12C2" w:rsidRDefault="00CE12C2" w:rsidP="00CE12C2">
      <w:pPr>
        <w:tabs>
          <w:tab w:val="left" w:pos="426"/>
        </w:tabs>
        <w:spacing w:line="276" w:lineRule="auto"/>
        <w:jc w:val="both"/>
      </w:pPr>
      <w:r>
        <w:tab/>
      </w:r>
      <w:r>
        <w:tab/>
      </w:r>
      <w:r>
        <w:rPr>
          <w:rFonts w:eastAsia="Arial"/>
          <w:iCs/>
        </w:rPr>
        <w:t>Europos tarpdisciplinėse invazinės OPLK gydymo rekomendacijose (2020 m. leidimas) nurod</w:t>
      </w:r>
      <w:r w:rsidR="00CC2E22">
        <w:rPr>
          <w:rFonts w:eastAsia="Arial"/>
          <w:iCs/>
        </w:rPr>
        <w:t>yta</w:t>
      </w:r>
      <w:r>
        <w:rPr>
          <w:rFonts w:eastAsia="Arial"/>
          <w:iCs/>
        </w:rPr>
        <w:t xml:space="preserve">, kad, </w:t>
      </w:r>
      <w:r>
        <w:t xml:space="preserve">jei pacientui nustatyta liOPLK arba mOPLK ir chirurginis ar spindulinis gydymas yra negalimas, rekomenduojamas gydymas PD-1 receptoriaus antikūnais </w:t>
      </w:r>
      <w:r>
        <w:rPr>
          <w:b/>
          <w:bCs/>
        </w:rPr>
        <w:t>cemiplimabu</w:t>
      </w:r>
      <w:r>
        <w:t xml:space="preserve"> ar pembrolizumabu. Esant kontraindikacijų ar ligai progresuojant vartojant ši</w:t>
      </w:r>
      <w:r w:rsidR="00CC2E22">
        <w:t>ų</w:t>
      </w:r>
      <w:r>
        <w:t xml:space="preserve"> vaistini</w:t>
      </w:r>
      <w:r w:rsidR="00CC2E22">
        <w:t>ų</w:t>
      </w:r>
      <w:r>
        <w:t xml:space="preserve"> preparat</w:t>
      </w:r>
      <w:r w:rsidR="00CC2E22">
        <w:t>ų</w:t>
      </w:r>
      <w:r>
        <w:t xml:space="preserve">, rekomenduojamos </w:t>
      </w:r>
      <w:r w:rsidR="00CC2E22">
        <w:t xml:space="preserve">chemoterapijos schemos su </w:t>
      </w:r>
      <w:r>
        <w:t>platinos preparat</w:t>
      </w:r>
      <w:r w:rsidR="00CC2E22">
        <w:t>ais</w:t>
      </w:r>
      <w:r>
        <w:t xml:space="preserve"> su ar be imunoterapijos epidermio augimo faktoriaus receptorių inhibitoriais (pvz., cetuksimabu), kurių </w:t>
      </w:r>
      <w:r w:rsidR="00CC2E22">
        <w:t xml:space="preserve">vartojimo </w:t>
      </w:r>
      <w:r>
        <w:t>pagrįstumas šioms populiacijoms yra ribotas.</w:t>
      </w:r>
      <w:r>
        <w:rPr>
          <w:rFonts w:eastAsia="Arial"/>
          <w:iCs/>
        </w:rPr>
        <w:t xml:space="preserve"> Pagal JAV (angl. </w:t>
      </w:r>
      <w:r w:rsidRPr="00E01029">
        <w:rPr>
          <w:i/>
          <w:iCs/>
        </w:rPr>
        <w:t>National Comprehensive Cancer Network</w:t>
      </w:r>
      <w:r>
        <w:t xml:space="preserve">) OPLK gydymo gaires (2022 m. versija) rekomenduojamas gydymas iš esmės nesiskiria: </w:t>
      </w:r>
      <w:r>
        <w:rPr>
          <w:b/>
          <w:bCs/>
        </w:rPr>
        <w:t xml:space="preserve">cemiplimabas </w:t>
      </w:r>
      <w:r>
        <w:t>ar pembrolizumabas, esant kontraindikacijoms ar ligai progresuojant, chemoterapi</w:t>
      </w:r>
      <w:r w:rsidR="00CC2E22">
        <w:t>jos</w:t>
      </w:r>
      <w:r>
        <w:t xml:space="preserve"> schemos (karboplatinos ir paklitakselio derinys, </w:t>
      </w:r>
      <w:r w:rsidRPr="00E0767F">
        <w:rPr>
          <w:b/>
          <w:bCs/>
        </w:rPr>
        <w:t>cisplatinos ir 5-fluoruracilo</w:t>
      </w:r>
      <w:r>
        <w:t xml:space="preserve"> </w:t>
      </w:r>
      <w:r w:rsidRPr="002811FC">
        <w:rPr>
          <w:b/>
          <w:bCs/>
        </w:rPr>
        <w:t>derin</w:t>
      </w:r>
      <w:r>
        <w:rPr>
          <w:b/>
          <w:bCs/>
        </w:rPr>
        <w:t>y</w:t>
      </w:r>
      <w:r w:rsidRPr="002811FC">
        <w:rPr>
          <w:b/>
          <w:bCs/>
        </w:rPr>
        <w:t>s</w:t>
      </w:r>
      <w:r>
        <w:t>, cisplatina ir karboplatina) ar imunoterapija epidermio augimo faktoriaus receptorių inhibitoriais. Pareiškėjo konsultacijos su specialistais protokole nurod</w:t>
      </w:r>
      <w:r w:rsidR="00CC2E22">
        <w:t>yta</w:t>
      </w:r>
      <w:r>
        <w:t xml:space="preserve">, jog Paraiškos </w:t>
      </w:r>
      <w:r w:rsidR="00CC2E22">
        <w:t>teikimo</w:t>
      </w:r>
      <w:r>
        <w:t xml:space="preserve"> metu Lietuvoje </w:t>
      </w:r>
      <w:r w:rsidR="00CC2E22">
        <w:t>buvo</w:t>
      </w:r>
      <w:r>
        <w:t xml:space="preserve"> naudojama cisplatinos monoterapija arba cisplatinos ir 5-fluoruracilo derinys, retais atvejais – karboplatina. Epidermio augimo faktoriaus receptorių inhibitoriai Lietuvoje šiai pacientų grupei yra nekompensuojami ir neskiriami. Chemoterapija skiriama tik tais atvejais, kai pacientui numatoma nauda yra ženkliai didesnė nei galima žala ir </w:t>
      </w:r>
      <w:r w:rsidR="00CC2E22">
        <w:t xml:space="preserve">yra </w:t>
      </w:r>
      <w:r>
        <w:t xml:space="preserve">išnaudotos visos lokalaus – chirurginio ir spindulinio – gydymo galimybės. Gydant pacientus </w:t>
      </w:r>
      <w:r w:rsidR="00CC2E22">
        <w:t xml:space="preserve">chemoterapija </w:t>
      </w:r>
      <w:r>
        <w:t xml:space="preserve">platinos pagrindu, BI mediana padidėja iki 15,1 mėnesio. 50-60% šių pacientų galima taikyti chemoterapinį gydymą, likusiems taikomos </w:t>
      </w:r>
      <w:r w:rsidRPr="008634BA">
        <w:rPr>
          <w:b/>
          <w:bCs/>
        </w:rPr>
        <w:t>palaikomasis gydymas</w:t>
      </w:r>
      <w:r>
        <w:t xml:space="preserve"> – paliatyvi</w:t>
      </w:r>
      <w:r w:rsidR="00CC2E22">
        <w:t>oji</w:t>
      </w:r>
      <w:r>
        <w:t xml:space="preserve"> radioterapija (ne gydomosios dozės), chirurgija (nekrotinių masių šalinimas), žaizdų perrišimas, nuskausminimas. Taikant paliatyvų simptominį gydymą, BI mediana – 5 mėnesiai.</w:t>
      </w:r>
    </w:p>
    <w:p w14:paraId="12FB7C88" w14:textId="24546814" w:rsidR="00CE12C2" w:rsidRDefault="00CE12C2" w:rsidP="00CE12C2">
      <w:pPr>
        <w:tabs>
          <w:tab w:val="left" w:pos="426"/>
        </w:tabs>
        <w:spacing w:line="276" w:lineRule="auto"/>
        <w:jc w:val="both"/>
      </w:pPr>
      <w:r>
        <w:tab/>
      </w:r>
      <w:r>
        <w:tab/>
        <w:t>Šiuo metu Lietuvoje OPLK gydymą reglamentuojančio dokumento nėra, tačiau cisplatina ir 5-fluoruracilas (kompensuojami C00 – C60, C61, C62 – D09, D37 – D48, D76)</w:t>
      </w:r>
      <w:r>
        <w:rPr>
          <w:color w:val="000000"/>
          <w:lang w:eastAsia="lt-LT"/>
        </w:rPr>
        <w:t xml:space="preserve"> yra įtraukti į kompensuojamųjų vaistų sąrašą. Vaistiniai preparatai yra apmokami iš PSDF lėšų ir skiriami numatytam pacientų pogrupiui gydyti, todėl laikytina, kad </w:t>
      </w:r>
      <w:r w:rsidR="007978B7">
        <w:rPr>
          <w:color w:val="000000"/>
          <w:lang w:eastAsia="lt-LT"/>
        </w:rPr>
        <w:t xml:space="preserve">gydymas </w:t>
      </w:r>
      <w:r w:rsidR="007978B7">
        <w:t xml:space="preserve">cisplatina ir 5-fluoruracilu </w:t>
      </w:r>
      <w:r>
        <w:rPr>
          <w:color w:val="000000"/>
          <w:lang w:eastAsia="lt-LT"/>
        </w:rPr>
        <w:t xml:space="preserve"> ir palaikomasis gydymas yra Lietuvos klinikinėje praktikoje taikomi gydymo metodai.</w:t>
      </w:r>
    </w:p>
    <w:p w14:paraId="54E53556" w14:textId="77777777" w:rsidR="00CE12C2" w:rsidRDefault="00CE12C2" w:rsidP="00CE12C2">
      <w:pPr>
        <w:widowControl w:val="0"/>
        <w:spacing w:line="276" w:lineRule="auto"/>
        <w:jc w:val="both"/>
        <w:rPr>
          <w:bCs/>
          <w:i/>
          <w:iCs/>
          <w:color w:val="000000"/>
          <w:lang w:eastAsia="lt-LT"/>
        </w:rPr>
      </w:pPr>
    </w:p>
    <w:p w14:paraId="783C0C77" w14:textId="77777777" w:rsidR="00CE12C2" w:rsidRDefault="00CE12C2" w:rsidP="00CE12C2">
      <w:pPr>
        <w:widowControl w:val="0"/>
        <w:spacing w:line="276" w:lineRule="auto"/>
        <w:jc w:val="both"/>
        <w:rPr>
          <w:bCs/>
          <w:color w:val="000000"/>
          <w:lang w:eastAsia="lt-LT"/>
        </w:rPr>
      </w:pPr>
      <w:r w:rsidRPr="003B3450">
        <w:rPr>
          <w:bCs/>
          <w:i/>
          <w:iCs/>
          <w:color w:val="000000"/>
          <w:lang w:eastAsia="lt-LT"/>
        </w:rPr>
        <w:t>Tiesioginis palyginimas</w:t>
      </w:r>
    </w:p>
    <w:p w14:paraId="36FEF785" w14:textId="5E6A5B22" w:rsidR="00CE12C2" w:rsidRPr="00672061" w:rsidRDefault="00581413" w:rsidP="00581413">
      <w:pPr>
        <w:spacing w:line="276" w:lineRule="auto"/>
        <w:ind w:right="10" w:firstLine="720"/>
        <w:jc w:val="both"/>
        <w:outlineLvl w:val="0"/>
        <w:rPr>
          <w:b/>
        </w:rPr>
      </w:pPr>
      <w:r>
        <w:rPr>
          <w:bCs/>
          <w:color w:val="000000"/>
          <w:lang w:eastAsia="lt-LT"/>
        </w:rPr>
        <w:t>Palyginamasis veiksmingumas grindžiamas EMPOWER-CSCC 1 tyrimo duomenimis.</w:t>
      </w:r>
      <w:r w:rsidR="00CE12C2" w:rsidRPr="00672061">
        <w:rPr>
          <w:bCs/>
          <w:color w:val="000000"/>
          <w:lang w:eastAsia="lt-LT"/>
        </w:rPr>
        <w:t xml:space="preserve"> EMPOWER-CSCC 1. EMPOWER-CSCC 1 tyrimo pirminėje analizėje nustatyta, kad pacientų, kuriems </w:t>
      </w:r>
      <w:r w:rsidR="00CE12C2" w:rsidRPr="00672061">
        <w:rPr>
          <w:rFonts w:eastAsia="Arial"/>
          <w:bCs/>
        </w:rPr>
        <w:t xml:space="preserve">buvo nustatyta histologiškai verifikuota mOPLK (1-oji ir 3-oji grupės) arba liOPLK (2-oji </w:t>
      </w:r>
      <w:r w:rsidR="00CE12C2" w:rsidRPr="00672061">
        <w:rPr>
          <w:rFonts w:eastAsia="Arial"/>
          <w:bCs/>
        </w:rPr>
        <w:lastRenderedPageBreak/>
        <w:t xml:space="preserve">grupė), kurios atveju kontraindikuotinas chirurginis ir negalimas spindulinis gydymas, </w:t>
      </w:r>
      <w:r>
        <w:rPr>
          <w:rFonts w:eastAsia="Arial"/>
          <w:bCs/>
        </w:rPr>
        <w:t>objektyvus atsako dažnis (pirminė vertinamoji baigtis, toliau OAD) gydant</w:t>
      </w:r>
      <w:r w:rsidR="00CE12C2" w:rsidRPr="00672061">
        <w:rPr>
          <w:rFonts w:eastAsia="Arial"/>
          <w:bCs/>
        </w:rPr>
        <w:t xml:space="preserve"> cemiplimabu patvirtintas 44</w:t>
      </w:r>
      <w:r w:rsidR="007978B7">
        <w:rPr>
          <w:rFonts w:eastAsia="Arial"/>
          <w:bCs/>
        </w:rPr>
        <w:t xml:space="preserve"> </w:t>
      </w:r>
      <w:r w:rsidR="00CE12C2" w:rsidRPr="00672061">
        <w:rPr>
          <w:rFonts w:eastAsia="Arial"/>
          <w:bCs/>
        </w:rPr>
        <w:t>% pacientų (n=85; 95% PI 36,9 – 51,3; 11% nustatytas pilnas, 33</w:t>
      </w:r>
      <w:r w:rsidR="007978B7">
        <w:rPr>
          <w:rFonts w:eastAsia="Arial"/>
          <w:bCs/>
        </w:rPr>
        <w:t xml:space="preserve"> </w:t>
      </w:r>
      <w:r w:rsidR="00CE12C2" w:rsidRPr="00672061">
        <w:rPr>
          <w:rFonts w:eastAsia="Arial"/>
          <w:bCs/>
        </w:rPr>
        <w:t>% – dalinis atsakas), kuris pogrupių analizėje išliko iš esmės panašus: 1-oje grupėje – 49,2</w:t>
      </w:r>
      <w:r w:rsidR="007978B7">
        <w:rPr>
          <w:rFonts w:eastAsia="Arial"/>
          <w:bCs/>
        </w:rPr>
        <w:t xml:space="preserve"> </w:t>
      </w:r>
      <w:r w:rsidR="00CE12C2" w:rsidRPr="00672061">
        <w:rPr>
          <w:rFonts w:eastAsia="Arial"/>
          <w:bCs/>
        </w:rPr>
        <w:t>%, 2-oje – 43,6%, 3-oje – 39,3</w:t>
      </w:r>
      <w:r w:rsidR="007978B7">
        <w:rPr>
          <w:rFonts w:eastAsia="Arial"/>
          <w:bCs/>
        </w:rPr>
        <w:t xml:space="preserve"> </w:t>
      </w:r>
      <w:r w:rsidR="00CE12C2" w:rsidRPr="00672061">
        <w:rPr>
          <w:rFonts w:eastAsia="Arial"/>
          <w:bCs/>
        </w:rPr>
        <w:t>% (1-oje ir 3-oje grupėse iš anksto numatyta slekstinė efektyvumo riba buvo 15</w:t>
      </w:r>
      <w:r w:rsidR="007978B7">
        <w:rPr>
          <w:rFonts w:eastAsia="Arial"/>
          <w:bCs/>
        </w:rPr>
        <w:t> </w:t>
      </w:r>
      <w:r w:rsidR="00CE12C2" w:rsidRPr="00672061">
        <w:rPr>
          <w:rFonts w:eastAsia="Arial"/>
          <w:bCs/>
        </w:rPr>
        <w:t>%, 2-oje grupėje – 25</w:t>
      </w:r>
      <w:r w:rsidR="007978B7">
        <w:rPr>
          <w:rFonts w:eastAsia="Arial"/>
          <w:bCs/>
        </w:rPr>
        <w:t xml:space="preserve"> </w:t>
      </w:r>
      <w:r w:rsidR="00CE12C2" w:rsidRPr="00672061">
        <w:rPr>
          <w:rFonts w:eastAsia="Arial"/>
          <w:bCs/>
        </w:rPr>
        <w:t>%). Galutinėje analizėje objektyvus atsako dažnis</w:t>
      </w:r>
      <w:r w:rsidR="00CE12C2">
        <w:rPr>
          <w:rFonts w:eastAsia="Arial"/>
          <w:bCs/>
        </w:rPr>
        <w:t xml:space="preserve"> (OAD)</w:t>
      </w:r>
      <w:r w:rsidR="00CE12C2" w:rsidRPr="00672061">
        <w:rPr>
          <w:rFonts w:eastAsia="Arial"/>
          <w:bCs/>
        </w:rPr>
        <w:t xml:space="preserve"> buvo dar didesnis ir siekė 47,2</w:t>
      </w:r>
      <w:r w:rsidR="007978B7">
        <w:rPr>
          <w:rFonts w:eastAsia="Arial"/>
          <w:bCs/>
        </w:rPr>
        <w:t xml:space="preserve"> </w:t>
      </w:r>
      <w:r w:rsidR="00CE12C2" w:rsidRPr="00672061">
        <w:rPr>
          <w:rFonts w:eastAsia="Arial"/>
          <w:bCs/>
        </w:rPr>
        <w:t>% (n=91; 95</w:t>
      </w:r>
      <w:r w:rsidR="007978B7">
        <w:rPr>
          <w:rFonts w:eastAsia="Arial"/>
          <w:bCs/>
        </w:rPr>
        <w:t xml:space="preserve"> </w:t>
      </w:r>
      <w:r w:rsidR="00CE12C2" w:rsidRPr="00672061">
        <w:rPr>
          <w:rFonts w:eastAsia="Arial"/>
          <w:bCs/>
        </w:rPr>
        <w:t>% PI 39,9 – 54,4; 17,1% nustatytas pilnas, 30,1</w:t>
      </w:r>
      <w:r w:rsidR="007978B7">
        <w:rPr>
          <w:rFonts w:eastAsia="Arial"/>
          <w:bCs/>
        </w:rPr>
        <w:t xml:space="preserve"> </w:t>
      </w:r>
      <w:r w:rsidR="00CE12C2" w:rsidRPr="00672061">
        <w:rPr>
          <w:rFonts w:eastAsia="Arial"/>
          <w:bCs/>
        </w:rPr>
        <w:t>% – dalinis atsakas).</w:t>
      </w:r>
      <w:r w:rsidR="00CE12C2">
        <w:rPr>
          <w:rFonts w:eastAsia="Arial"/>
          <w:bCs/>
        </w:rPr>
        <w:t xml:space="preserve"> </w:t>
      </w:r>
      <w:r w:rsidR="00CE12C2" w:rsidRPr="00672061">
        <w:rPr>
          <w:rFonts w:eastAsia="Arial"/>
          <w:bCs/>
        </w:rPr>
        <w:t>Atsako</w:t>
      </w:r>
      <w:r w:rsidR="00CE12C2" w:rsidRPr="00B1614C">
        <w:t xml:space="preserve"> </w:t>
      </w:r>
      <w:r w:rsidR="00CE12C2" w:rsidRPr="00672061">
        <w:rPr>
          <w:rFonts w:eastAsia="Arial"/>
          <w:bCs/>
        </w:rPr>
        <w:t>trukmės mediana bendroje pacientų populiacijoje buvo 41,3 mėn. (95</w:t>
      </w:r>
      <w:r w:rsidR="007978B7">
        <w:rPr>
          <w:rFonts w:eastAsia="Arial"/>
          <w:bCs/>
        </w:rPr>
        <w:t xml:space="preserve"> </w:t>
      </w:r>
      <w:r w:rsidR="00CE12C2" w:rsidRPr="00672061">
        <w:rPr>
          <w:rFonts w:eastAsia="Arial"/>
          <w:bCs/>
        </w:rPr>
        <w:t>% PI 38,8 – 46,3). 1-oje pacientų grupėje atsako trukmės mediana nebuvo pasiekta pasibaigus tyrimui, tačiau 2-oje (41,9 mėn.; 95</w:t>
      </w:r>
      <w:r w:rsidR="007978B7">
        <w:rPr>
          <w:rFonts w:eastAsia="Arial"/>
          <w:bCs/>
        </w:rPr>
        <w:t xml:space="preserve"> </w:t>
      </w:r>
      <w:r w:rsidR="00CE12C2" w:rsidRPr="00672061">
        <w:rPr>
          <w:rFonts w:eastAsia="Arial"/>
          <w:bCs/>
        </w:rPr>
        <w:t>% PI 20,4 – 54,6) ir 3-oje (41,3 mėn.; 95</w:t>
      </w:r>
      <w:r w:rsidR="007978B7">
        <w:rPr>
          <w:rFonts w:eastAsia="Arial"/>
          <w:bCs/>
        </w:rPr>
        <w:t xml:space="preserve"> </w:t>
      </w:r>
      <w:r w:rsidR="00CE12C2" w:rsidRPr="00672061">
        <w:rPr>
          <w:rFonts w:eastAsia="Arial"/>
          <w:bCs/>
        </w:rPr>
        <w:t>% PI 40,8 – 46,3) grupėse atsako trukmės mediana atitiko bendrosios populiacijos duomenis.</w:t>
      </w:r>
    </w:p>
    <w:p w14:paraId="6E6A80AE" w14:textId="77777777" w:rsidR="00CE12C2" w:rsidRDefault="00CE12C2" w:rsidP="00CE12C2">
      <w:pPr>
        <w:widowControl w:val="0"/>
        <w:spacing w:line="276" w:lineRule="auto"/>
        <w:jc w:val="both"/>
        <w:rPr>
          <w:rFonts w:eastAsia="Arial"/>
          <w:bCs/>
        </w:rPr>
      </w:pPr>
      <w:r>
        <w:tab/>
        <w:t>Vertinant svarbiausias EMPOWER-CSCC tyrimo antrines vertinamąsias baigtis, pacientų išgyvenamumo be ligos progresavimo (</w:t>
      </w:r>
      <w:r>
        <w:rPr>
          <w:rFonts w:eastAsia="Arial"/>
          <w:iCs/>
        </w:rPr>
        <w:t>IBLP) ir bendrojo išgyvenamumo (BI) medianos pirminėje analizėje nebuvo pasiektos.</w:t>
      </w:r>
      <w:r>
        <w:t xml:space="preserve"> Galutinėje tyrimo analizėje pacientų IBLP bendrojoje pacientų populiacijoje buvo 22,1 mėn. (</w:t>
      </w:r>
      <w:r w:rsidRPr="00E6612E">
        <w:rPr>
          <w:rFonts w:eastAsia="Arial"/>
          <w:bCs/>
        </w:rPr>
        <w:t>1-oje grupėje – 18,4 mėn</w:t>
      </w:r>
      <w:r>
        <w:rPr>
          <w:rFonts w:eastAsia="Arial"/>
          <w:bCs/>
        </w:rPr>
        <w:t>.</w:t>
      </w:r>
      <w:r w:rsidRPr="00E6612E">
        <w:rPr>
          <w:rFonts w:eastAsia="Arial"/>
          <w:bCs/>
        </w:rPr>
        <w:t>, 2-oje – 18,5 mėn., 3-oje – 21,7 mėn.</w:t>
      </w:r>
      <w:r>
        <w:rPr>
          <w:rFonts w:eastAsia="Arial"/>
          <w:bCs/>
        </w:rPr>
        <w:t xml:space="preserve">), BI – nepasiekta (1-oje grupėje BI mediana buvo 57,7 mėn., 2-oje – nepasiekta, 3-oje – 48,4 mėn.). </w:t>
      </w:r>
      <w:r w:rsidRPr="00A5428E">
        <w:rPr>
          <w:rFonts w:eastAsia="Arial"/>
          <w:bCs/>
        </w:rPr>
        <w:t>Apskaičiuotoji tikimybė</w:t>
      </w:r>
      <w:r>
        <w:rPr>
          <w:rFonts w:eastAsia="Arial"/>
          <w:bCs/>
        </w:rPr>
        <w:t xml:space="preserve"> pacientui</w:t>
      </w:r>
      <w:r w:rsidRPr="00A5428E">
        <w:rPr>
          <w:rFonts w:eastAsia="Arial"/>
          <w:bCs/>
        </w:rPr>
        <w:t xml:space="preserve"> išgyventi 48 mėnesius bendrojoje populiacijoje buvo 61,8</w:t>
      </w:r>
      <w:r>
        <w:rPr>
          <w:rFonts w:eastAsia="Arial"/>
          <w:bCs/>
        </w:rPr>
        <w:t xml:space="preserve">% </w:t>
      </w:r>
      <w:r w:rsidRPr="00A5428E">
        <w:rPr>
          <w:rFonts w:eastAsia="Arial"/>
          <w:bCs/>
        </w:rPr>
        <w:t>(95% PI 54,0 – 68,7).</w:t>
      </w:r>
    </w:p>
    <w:p w14:paraId="06D78B7A" w14:textId="5CC4B79C" w:rsidR="00CE12C2" w:rsidRDefault="00CE12C2" w:rsidP="00CE12C2">
      <w:pPr>
        <w:widowControl w:val="0"/>
        <w:spacing w:line="276" w:lineRule="auto"/>
        <w:ind w:firstLine="720"/>
        <w:jc w:val="both"/>
        <w:rPr>
          <w:rFonts w:eastAsia="Arial"/>
          <w:bCs/>
        </w:rPr>
      </w:pPr>
      <w:r w:rsidRPr="00FB1CCC">
        <w:rPr>
          <w:bCs/>
        </w:rPr>
        <w:t>Vertinant</w:t>
      </w:r>
      <w:r>
        <w:rPr>
          <w:bCs/>
        </w:rPr>
        <w:t xml:space="preserve"> </w:t>
      </w:r>
      <w:r w:rsidRPr="00FB1CCC">
        <w:t>pacientų pranešt</w:t>
      </w:r>
      <w:r>
        <w:t>as</w:t>
      </w:r>
      <w:r w:rsidR="00581413">
        <w:t xml:space="preserve"> </w:t>
      </w:r>
      <w:r w:rsidR="002A02A9" w:rsidRPr="00FB1CCC">
        <w:t>baig</w:t>
      </w:r>
      <w:r w:rsidR="002A02A9">
        <w:t xml:space="preserve">tis </w:t>
      </w:r>
      <w:r w:rsidR="00581413">
        <w:t>(antrin</w:t>
      </w:r>
      <w:r w:rsidR="002A02A9">
        <w:t>ė</w:t>
      </w:r>
      <w:r w:rsidR="00581413">
        <w:t xml:space="preserve"> vertinam</w:t>
      </w:r>
      <w:r w:rsidR="002A02A9">
        <w:t>oji baigtis</w:t>
      </w:r>
      <w:r w:rsidR="00581413">
        <w:t>)</w:t>
      </w:r>
      <w:r>
        <w:t xml:space="preserve">, </w:t>
      </w:r>
      <w:r w:rsidRPr="00FB1CCC">
        <w:rPr>
          <w:bCs/>
        </w:rPr>
        <w:t xml:space="preserve">pacientų gyvenimo kokybė statistiškai reikšmingai pagerėjo po apytiksliai 6 mėnesių, prieš 3-ąjį gydymo cemiplimabu kursą (p&lt;0,0001), kliniškai reikšmingai (t.y. ≥10 </w:t>
      </w:r>
      <w:r>
        <w:rPr>
          <w:rFonts w:eastAsia="Arial"/>
          <w:iCs/>
        </w:rPr>
        <w:t xml:space="preserve">EORTC QLQ-C30 klausimyno </w:t>
      </w:r>
      <w:r w:rsidRPr="00FB1CCC">
        <w:rPr>
          <w:bCs/>
        </w:rPr>
        <w:t>balų pokytis) – po apytiksliai 20 mėn., prieš 12-ąjį gydymo kursą. Pacientų emocinė ir socialinė būklė prieš 12-ąjį gydymo kurso taip pat buvo statistiškai reikšmingai geresnė (p&lt;0,05), o fizinės ir kognityvinės funkcijos išliko stabilios visą tyrimo laikotarpį.</w:t>
      </w:r>
    </w:p>
    <w:p w14:paraId="160E68F7" w14:textId="08DC1952" w:rsidR="00CE12C2" w:rsidRDefault="00CE12C2" w:rsidP="00CE12C2">
      <w:pPr>
        <w:widowControl w:val="0"/>
        <w:spacing w:line="276" w:lineRule="auto"/>
        <w:ind w:firstLine="720"/>
        <w:jc w:val="both"/>
        <w:rPr>
          <w:rFonts w:eastAsia="Arial"/>
          <w:bCs/>
        </w:rPr>
      </w:pPr>
      <w:r w:rsidRPr="00FB1CCC">
        <w:rPr>
          <w:bCs/>
        </w:rPr>
        <w:t>Vertinant pacientų jaučiamus simptomus, su sumažėjusiu apetitu, vidurių užkietėjimu, skausmu ir nemiga susijusi pacientų būklė statistiškai reikšmingai pagerėjo prieš 3-ąjį</w:t>
      </w:r>
      <w:r w:rsidR="007978B7">
        <w:rPr>
          <w:bCs/>
        </w:rPr>
        <w:t xml:space="preserve"> gydymo</w:t>
      </w:r>
      <w:r w:rsidRPr="00FB1CCC">
        <w:rPr>
          <w:bCs/>
        </w:rPr>
        <w:t xml:space="preserve"> kursą (p&lt;0,05), kliniškai reikšmingai – po apytiksliai 20 mėn., prieš 12-ąjį gydymo kursą. Vertinant pacientų patiriamą skausmą, kliniškai reikšmingas skausmo sumažėjimas nustatytas jau prieš 3-ąjį gydymo kursą (p&lt;0,0001). Kiti simptomai nepablogėjo visą tyrimo laikotarpį.</w:t>
      </w:r>
    </w:p>
    <w:p w14:paraId="41DD9490" w14:textId="77777777" w:rsidR="00CE12C2" w:rsidRPr="00A5428E" w:rsidRDefault="00CE12C2" w:rsidP="00581413">
      <w:pPr>
        <w:spacing w:line="276" w:lineRule="auto"/>
        <w:ind w:right="10" w:firstLine="720"/>
        <w:jc w:val="both"/>
        <w:outlineLvl w:val="0"/>
        <w:rPr>
          <w:bCs/>
        </w:rPr>
      </w:pPr>
      <w:r w:rsidRPr="00A5428E">
        <w:rPr>
          <w:bCs/>
        </w:rPr>
        <w:t xml:space="preserve">Saugumo duomenys </w:t>
      </w:r>
      <w:r>
        <w:rPr>
          <w:bCs/>
        </w:rPr>
        <w:t xml:space="preserve">pirminėje ir galutinėje analizėje </w:t>
      </w:r>
      <w:r w:rsidRPr="00A5428E">
        <w:rPr>
          <w:bCs/>
        </w:rPr>
        <w:t xml:space="preserve">iš esmės nesiskyrė. Dažniausi bet kokio laipsnio </w:t>
      </w:r>
      <w:r>
        <w:rPr>
          <w:bCs/>
        </w:rPr>
        <w:t>nepageidaujami reiškiniai (NR)</w:t>
      </w:r>
      <w:r w:rsidRPr="00A5428E">
        <w:rPr>
          <w:bCs/>
        </w:rPr>
        <w:t xml:space="preserve"> buvo nuovargis (34,7 proc.), viduriavimas (27,5 proc.), pykinimas (23,8 proc.) ir niežulys (21,2 proc.), vidutinio – sunkaus laipsnio – hipertenzija (4,7 proc.), anemija (4,1 proc.), plaučių uždegimas (4,1 proc.), pneumonitas (3,1 proc.). Per ilgalaikės stebėsenos laikotarpį 10,4 proc. pacientų dėl NR nutraukė gydymą.</w:t>
      </w:r>
      <w:r>
        <w:rPr>
          <w:bCs/>
        </w:rPr>
        <w:t xml:space="preserve"> </w:t>
      </w:r>
      <w:r>
        <w:t>Tyrimo metu reikšmingų saugumo problemų ar įvykių nenustatyta.</w:t>
      </w:r>
    </w:p>
    <w:p w14:paraId="6C992111" w14:textId="77777777" w:rsidR="00CE12C2" w:rsidRPr="00EC53E1" w:rsidRDefault="00CE12C2" w:rsidP="00CE12C2">
      <w:pPr>
        <w:tabs>
          <w:tab w:val="left" w:pos="492"/>
        </w:tabs>
        <w:spacing w:line="276" w:lineRule="auto"/>
        <w:jc w:val="both"/>
        <w:outlineLvl w:val="1"/>
        <w:rPr>
          <w:bCs/>
          <w:color w:val="000000"/>
          <w:lang w:eastAsia="lt-LT"/>
        </w:rPr>
      </w:pPr>
    </w:p>
    <w:p w14:paraId="49967153" w14:textId="77777777" w:rsidR="00CE12C2" w:rsidRDefault="00CE12C2" w:rsidP="00CE12C2">
      <w:pPr>
        <w:tabs>
          <w:tab w:val="left" w:pos="426"/>
        </w:tabs>
        <w:spacing w:line="276" w:lineRule="auto"/>
        <w:jc w:val="both"/>
        <w:rPr>
          <w:i/>
          <w:iCs/>
        </w:rPr>
      </w:pPr>
      <w:r w:rsidRPr="003B3450">
        <w:rPr>
          <w:i/>
          <w:iCs/>
        </w:rPr>
        <w:t>Netiesioginis palyginimas</w:t>
      </w:r>
    </w:p>
    <w:p w14:paraId="5E8CFFDF" w14:textId="15925150" w:rsidR="00CE12C2" w:rsidRPr="007F38CA" w:rsidRDefault="00CE12C2" w:rsidP="00CE12C2">
      <w:pPr>
        <w:spacing w:line="276" w:lineRule="auto"/>
        <w:jc w:val="both"/>
      </w:pPr>
      <w:r>
        <w:rPr>
          <w:i/>
          <w:iCs/>
        </w:rPr>
        <w:tab/>
      </w:r>
      <w:r>
        <w:t>Kadangi atliekant sisteminę literatūros apžvalgą šiai pacientų populiacijai atsitiktinių imčių tyrimų nebuvo rasta, Pareiškėjas atliko</w:t>
      </w:r>
      <w:r>
        <w:rPr>
          <w:rFonts w:eastAsia="Arial"/>
          <w:bCs/>
        </w:rPr>
        <w:t xml:space="preserve"> simuliacinį </w:t>
      </w:r>
      <w:r w:rsidR="007978B7">
        <w:rPr>
          <w:rFonts w:eastAsia="Arial"/>
          <w:bCs/>
        </w:rPr>
        <w:t xml:space="preserve">palyginimą </w:t>
      </w:r>
      <w:r>
        <w:rPr>
          <w:rFonts w:eastAsia="Arial"/>
          <w:bCs/>
        </w:rPr>
        <w:t xml:space="preserve">(angl. </w:t>
      </w:r>
      <w:r>
        <w:rPr>
          <w:rFonts w:eastAsia="Arial"/>
          <w:bCs/>
          <w:i/>
          <w:iCs/>
        </w:rPr>
        <w:t>simulated treatment comparison</w:t>
      </w:r>
      <w:r>
        <w:rPr>
          <w:rFonts w:eastAsia="Arial"/>
          <w:bCs/>
        </w:rPr>
        <w:t xml:space="preserve">) ir sutapatintą netiesioginę (angl. </w:t>
      </w:r>
      <w:r>
        <w:rPr>
          <w:rFonts w:eastAsia="Arial"/>
          <w:bCs/>
          <w:i/>
          <w:iCs/>
        </w:rPr>
        <w:t>matching-adjusted indirect comparison</w:t>
      </w:r>
      <w:r>
        <w:rPr>
          <w:rFonts w:eastAsia="Arial"/>
          <w:bCs/>
        </w:rPr>
        <w:t>) gydymo palyginimo</w:t>
      </w:r>
      <w:r>
        <w:t xml:space="preserve"> analizę su palaikomuoju gydymu (Sun et al, 2019) ir platinos preparatų chemoterapine schema (Jarkowski et al, 2016).</w:t>
      </w:r>
    </w:p>
    <w:p w14:paraId="6240F530" w14:textId="13180288" w:rsidR="00CE12C2" w:rsidRDefault="00CE12C2" w:rsidP="00CE12C2">
      <w:pPr>
        <w:spacing w:line="276" w:lineRule="auto"/>
        <w:jc w:val="both"/>
        <w:rPr>
          <w:rFonts w:eastAsia="Arial"/>
          <w:bCs/>
        </w:rPr>
      </w:pPr>
      <w:r>
        <w:rPr>
          <w:rFonts w:eastAsia="Arial"/>
          <w:bCs/>
        </w:rPr>
        <w:tab/>
        <w:t>Vertinant pagrindinę vertinamąją baigtį (OAD), skiriant</w:t>
      </w:r>
      <w:r w:rsidRPr="00987D1A">
        <w:rPr>
          <w:rFonts w:eastAsia="Arial"/>
          <w:bCs/>
        </w:rPr>
        <w:t xml:space="preserve"> </w:t>
      </w:r>
      <w:r>
        <w:rPr>
          <w:rFonts w:eastAsia="Arial"/>
          <w:bCs/>
        </w:rPr>
        <w:t>cemiplimabą tiek simuliacinėje (ŠS</w:t>
      </w:r>
      <w:r w:rsidRPr="0093207B">
        <w:rPr>
          <w:rFonts w:eastAsia="Arial"/>
          <w:bCs/>
          <w:vertAlign w:val="subscript"/>
        </w:rPr>
        <w:t>1</w:t>
      </w:r>
      <w:r>
        <w:rPr>
          <w:rFonts w:eastAsia="Arial"/>
          <w:bCs/>
        </w:rPr>
        <w:t>), tiek sutapatintoje netiesioginėje (ŠS</w:t>
      </w:r>
      <w:r w:rsidRPr="0093207B">
        <w:rPr>
          <w:rFonts w:eastAsia="Arial"/>
          <w:bCs/>
          <w:vertAlign w:val="subscript"/>
        </w:rPr>
        <w:t>2</w:t>
      </w:r>
      <w:r>
        <w:rPr>
          <w:rFonts w:eastAsia="Arial"/>
          <w:bCs/>
        </w:rPr>
        <w:t>) analizėje nesiskyrė, lyginant su platinos preparatų chemoterapinėmis schemomis (ŠS</w:t>
      </w:r>
      <w:r w:rsidRPr="00381486">
        <w:rPr>
          <w:rFonts w:eastAsia="Arial"/>
          <w:bCs/>
          <w:vertAlign w:val="subscript"/>
        </w:rPr>
        <w:t>1</w:t>
      </w:r>
      <w:r>
        <w:rPr>
          <w:rFonts w:eastAsia="Arial"/>
          <w:bCs/>
        </w:rPr>
        <w:t xml:space="preserve"> 0,81 [95</w:t>
      </w:r>
      <w:r w:rsidR="00A95103">
        <w:rPr>
          <w:rFonts w:eastAsia="Arial"/>
          <w:bCs/>
        </w:rPr>
        <w:t xml:space="preserve"> </w:t>
      </w:r>
      <w:r>
        <w:rPr>
          <w:rFonts w:eastAsia="Arial"/>
          <w:bCs/>
        </w:rPr>
        <w:t>% PI 0,33 – 1,97]; ŠS</w:t>
      </w:r>
      <w:r w:rsidRPr="00381486">
        <w:rPr>
          <w:rFonts w:eastAsia="Arial"/>
          <w:bCs/>
          <w:vertAlign w:val="subscript"/>
        </w:rPr>
        <w:t>2</w:t>
      </w:r>
      <w:r>
        <w:rPr>
          <w:rFonts w:eastAsia="Arial"/>
          <w:bCs/>
        </w:rPr>
        <w:t xml:space="preserve"> 0,87 [95</w:t>
      </w:r>
      <w:r w:rsidR="00A95103">
        <w:rPr>
          <w:rFonts w:eastAsia="Arial"/>
          <w:bCs/>
        </w:rPr>
        <w:t xml:space="preserve"> </w:t>
      </w:r>
      <w:r>
        <w:rPr>
          <w:rFonts w:eastAsia="Arial"/>
          <w:bCs/>
        </w:rPr>
        <w:t>% PI  0,33 – 2,38])</w:t>
      </w:r>
    </w:p>
    <w:p w14:paraId="710B10D8" w14:textId="25DAA64A" w:rsidR="00CE12C2" w:rsidRPr="003B3450" w:rsidRDefault="00CE12C2" w:rsidP="00CE12C2">
      <w:pPr>
        <w:spacing w:line="276" w:lineRule="auto"/>
        <w:jc w:val="both"/>
      </w:pPr>
      <w:r>
        <w:rPr>
          <w:rFonts w:eastAsia="Arial"/>
          <w:bCs/>
        </w:rPr>
        <w:lastRenderedPageBreak/>
        <w:tab/>
        <w:t xml:space="preserve">Vertinant svarbiausias </w:t>
      </w:r>
      <w:r>
        <w:t>antrines vertinamąsias baigtis</w:t>
      </w:r>
      <w:r>
        <w:rPr>
          <w:rFonts w:eastAsia="Arial"/>
          <w:bCs/>
        </w:rPr>
        <w:t xml:space="preserve"> (IBPL ir BI), cemiplimabas tiek simuliacinėje (RS</w:t>
      </w:r>
      <w:r w:rsidRPr="0093207B">
        <w:rPr>
          <w:rFonts w:eastAsia="Arial"/>
          <w:bCs/>
          <w:vertAlign w:val="subscript"/>
        </w:rPr>
        <w:t>1</w:t>
      </w:r>
      <w:r>
        <w:rPr>
          <w:rFonts w:eastAsia="Arial"/>
          <w:bCs/>
        </w:rPr>
        <w:t>), tiek sutapatintoje netiesioginėje (RS</w:t>
      </w:r>
      <w:r w:rsidRPr="0093207B">
        <w:rPr>
          <w:rFonts w:eastAsia="Arial"/>
          <w:bCs/>
          <w:vertAlign w:val="subscript"/>
        </w:rPr>
        <w:t>2</w:t>
      </w:r>
      <w:r>
        <w:rPr>
          <w:rFonts w:eastAsia="Arial"/>
          <w:bCs/>
        </w:rPr>
        <w:t xml:space="preserve">) nesumažino ligos progresavimo rizikos, lyginant su </w:t>
      </w:r>
      <w:r>
        <w:t>platinos preparatų chemoterapinėmis schemomis (RS</w:t>
      </w:r>
      <w:r w:rsidRPr="0093207B">
        <w:rPr>
          <w:rFonts w:eastAsia="Arial"/>
          <w:bCs/>
          <w:vertAlign w:val="subscript"/>
        </w:rPr>
        <w:t>1</w:t>
      </w:r>
      <w:r>
        <w:t xml:space="preserve"> </w:t>
      </w:r>
      <w:r>
        <w:rPr>
          <w:rFonts w:eastAsia="Arial"/>
          <w:bCs/>
        </w:rPr>
        <w:t>0,64 [95</w:t>
      </w:r>
      <w:r w:rsidR="00A95103">
        <w:rPr>
          <w:rFonts w:eastAsia="Arial"/>
          <w:bCs/>
        </w:rPr>
        <w:t xml:space="preserve"> </w:t>
      </w:r>
      <w:r>
        <w:rPr>
          <w:rFonts w:eastAsia="Arial"/>
          <w:bCs/>
        </w:rPr>
        <w:t>% PI 0,38 – 1,11]; RS</w:t>
      </w:r>
      <w:r w:rsidRPr="0093207B">
        <w:rPr>
          <w:rFonts w:eastAsia="Arial"/>
          <w:bCs/>
          <w:vertAlign w:val="subscript"/>
        </w:rPr>
        <w:t>2</w:t>
      </w:r>
      <w:r>
        <w:rPr>
          <w:rFonts w:eastAsia="Arial"/>
          <w:bCs/>
        </w:rPr>
        <w:t xml:space="preserve"> 0,67 [95</w:t>
      </w:r>
      <w:r w:rsidR="00A95103">
        <w:rPr>
          <w:rFonts w:eastAsia="Arial"/>
          <w:bCs/>
        </w:rPr>
        <w:t xml:space="preserve"> </w:t>
      </w:r>
      <w:r>
        <w:rPr>
          <w:rFonts w:eastAsia="Arial"/>
          <w:bCs/>
        </w:rPr>
        <w:t>% 0,38 – 1,16]), tačiau daugiau nei 80</w:t>
      </w:r>
      <w:r w:rsidR="00A95103">
        <w:rPr>
          <w:rFonts w:eastAsia="Arial"/>
          <w:bCs/>
        </w:rPr>
        <w:t xml:space="preserve"> </w:t>
      </w:r>
      <w:r>
        <w:rPr>
          <w:rFonts w:eastAsia="Arial"/>
          <w:bCs/>
        </w:rPr>
        <w:t xml:space="preserve">% sumažino mirties nuo bet kokios priežasties riziką, lyginant su </w:t>
      </w:r>
      <w:r>
        <w:t>platinos preparatų chemoterapinėmis schemomis (RS</w:t>
      </w:r>
      <w:r w:rsidRPr="0093207B">
        <w:rPr>
          <w:rFonts w:eastAsia="Arial"/>
          <w:bCs/>
          <w:vertAlign w:val="subscript"/>
        </w:rPr>
        <w:t>1</w:t>
      </w:r>
      <w:r>
        <w:t xml:space="preserve"> </w:t>
      </w:r>
      <w:r>
        <w:rPr>
          <w:rFonts w:eastAsia="Arial"/>
          <w:bCs/>
        </w:rPr>
        <w:t>0,17 [95% PI 0,09 – 0,33]; RS</w:t>
      </w:r>
      <w:r w:rsidRPr="0093207B">
        <w:rPr>
          <w:rFonts w:eastAsia="Arial"/>
          <w:bCs/>
          <w:vertAlign w:val="subscript"/>
        </w:rPr>
        <w:t>2</w:t>
      </w:r>
      <w:r>
        <w:rPr>
          <w:rFonts w:eastAsia="Arial"/>
          <w:bCs/>
        </w:rPr>
        <w:t xml:space="preserve"> 0,19 [95</w:t>
      </w:r>
      <w:r w:rsidR="00A95103">
        <w:rPr>
          <w:rFonts w:eastAsia="Arial"/>
          <w:bCs/>
        </w:rPr>
        <w:t xml:space="preserve"> </w:t>
      </w:r>
      <w:r>
        <w:rPr>
          <w:rFonts w:eastAsia="Arial"/>
          <w:bCs/>
        </w:rPr>
        <w:t xml:space="preserve">% 0,10 – 0,39]) </w:t>
      </w:r>
      <w:r>
        <w:t>ir palaikomuoju gydymu (RS</w:t>
      </w:r>
      <w:r w:rsidRPr="0093207B">
        <w:rPr>
          <w:rFonts w:eastAsia="Arial"/>
          <w:bCs/>
          <w:vertAlign w:val="subscript"/>
        </w:rPr>
        <w:t>1</w:t>
      </w:r>
      <w:r>
        <w:t xml:space="preserve"> </w:t>
      </w:r>
      <w:r>
        <w:rPr>
          <w:rFonts w:eastAsia="Arial"/>
          <w:bCs/>
        </w:rPr>
        <w:t>0,12 [95% PI 0,06 – 0,22]; RS</w:t>
      </w:r>
      <w:r w:rsidRPr="0093207B">
        <w:rPr>
          <w:rFonts w:eastAsia="Arial"/>
          <w:bCs/>
          <w:vertAlign w:val="subscript"/>
        </w:rPr>
        <w:t>2</w:t>
      </w:r>
      <w:r>
        <w:rPr>
          <w:rFonts w:eastAsia="Arial"/>
          <w:bCs/>
        </w:rPr>
        <w:t xml:space="preserve"> 0,16 [95</w:t>
      </w:r>
      <w:r w:rsidR="00A95103">
        <w:rPr>
          <w:rFonts w:eastAsia="Arial"/>
          <w:bCs/>
        </w:rPr>
        <w:t xml:space="preserve"> </w:t>
      </w:r>
      <w:r>
        <w:rPr>
          <w:rFonts w:eastAsia="Arial"/>
          <w:bCs/>
        </w:rPr>
        <w:t>% 0,08 – 0,30]).</w:t>
      </w:r>
    </w:p>
    <w:p w14:paraId="50922993" w14:textId="77777777" w:rsidR="00CE12C2" w:rsidRDefault="00CE12C2" w:rsidP="00CE12C2">
      <w:pPr>
        <w:spacing w:line="276" w:lineRule="auto"/>
        <w:jc w:val="both"/>
      </w:pPr>
    </w:p>
    <w:p w14:paraId="1251D707" w14:textId="77777777" w:rsidR="00CE12C2" w:rsidRPr="003B3450" w:rsidRDefault="00CE12C2" w:rsidP="00CE12C2">
      <w:pPr>
        <w:tabs>
          <w:tab w:val="left" w:pos="426"/>
        </w:tabs>
        <w:spacing w:line="276" w:lineRule="auto"/>
        <w:jc w:val="both"/>
        <w:rPr>
          <w:bCs/>
          <w:i/>
          <w:color w:val="000000"/>
          <w:lang w:eastAsia="lt-LT"/>
        </w:rPr>
      </w:pPr>
      <w:r w:rsidRPr="003B3450">
        <w:rPr>
          <w:bCs/>
          <w:i/>
          <w:color w:val="000000"/>
          <w:lang w:eastAsia="lt-LT"/>
        </w:rPr>
        <w:t>Privalumai ir trūkumai</w:t>
      </w:r>
    </w:p>
    <w:p w14:paraId="68B2ED39" w14:textId="77777777" w:rsidR="00CE12C2" w:rsidRPr="003B3450" w:rsidRDefault="00CE12C2" w:rsidP="00CE12C2">
      <w:pPr>
        <w:tabs>
          <w:tab w:val="left" w:pos="426"/>
        </w:tabs>
        <w:spacing w:line="276" w:lineRule="auto"/>
        <w:jc w:val="both"/>
        <w:rPr>
          <w:iCs/>
        </w:rPr>
      </w:pPr>
      <w:r>
        <w:rPr>
          <w:bCs/>
          <w:color w:val="000000"/>
          <w:lang w:eastAsia="lt-LT"/>
        </w:rPr>
        <w:tab/>
      </w:r>
      <w:r w:rsidRPr="003B3450">
        <w:rPr>
          <w:bCs/>
          <w:color w:val="000000"/>
          <w:lang w:eastAsia="lt-LT"/>
        </w:rPr>
        <w:tab/>
        <w:t>Jei vaistinis preparatas būtų įrašytas į kompensavimo sąrašus, gydymo šiuo vaistiniu preparatu taikymas klinikinėje praktikoje galėtų turėti privalumų ir trūkumų medicininėms paslaugoms ar pacientams.</w:t>
      </w:r>
    </w:p>
    <w:p w14:paraId="3343A110" w14:textId="4C42B65B" w:rsidR="00CE12C2" w:rsidRDefault="00CE12C2" w:rsidP="00CE12C2">
      <w:pPr>
        <w:tabs>
          <w:tab w:val="left" w:pos="426"/>
        </w:tabs>
        <w:spacing w:line="276" w:lineRule="auto"/>
        <w:jc w:val="both"/>
        <w:rPr>
          <w:bCs/>
          <w:color w:val="000000"/>
          <w:lang w:eastAsia="lt-LT"/>
        </w:rPr>
      </w:pPr>
      <w:r w:rsidRPr="003B3450">
        <w:rPr>
          <w:bCs/>
          <w:color w:val="000000"/>
          <w:lang w:eastAsia="lt-LT"/>
        </w:rPr>
        <w:tab/>
      </w:r>
      <w:r w:rsidRPr="003B3450">
        <w:rPr>
          <w:bCs/>
          <w:color w:val="000000"/>
          <w:lang w:eastAsia="lt-LT"/>
        </w:rPr>
        <w:tab/>
      </w:r>
      <w:r w:rsidRPr="003B3450">
        <w:rPr>
          <w:bCs/>
          <w:color w:val="000000"/>
          <w:u w:val="single"/>
          <w:lang w:eastAsia="lt-LT"/>
        </w:rPr>
        <w:t>Privalumai</w:t>
      </w:r>
      <w:r>
        <w:rPr>
          <w:bCs/>
          <w:color w:val="000000"/>
          <w:lang w:eastAsia="lt-LT"/>
        </w:rPr>
        <w:t xml:space="preserve">. </w:t>
      </w:r>
      <w:r w:rsidRPr="00BD5B61">
        <w:rPr>
          <w:bCs/>
          <w:color w:val="000000"/>
          <w:lang w:eastAsia="lt-LT"/>
        </w:rPr>
        <w:t>Pacientams ir medicinos paslaugoms – veiksmingas vaistas siaurai pacientų populiacijai, kuriai gydymo alternatyvos yra ribotos</w:t>
      </w:r>
      <w:r w:rsidR="00A95103">
        <w:rPr>
          <w:bCs/>
          <w:color w:val="000000"/>
          <w:lang w:eastAsia="lt-LT"/>
        </w:rPr>
        <w:t>; pasiekiamas</w:t>
      </w:r>
      <w:r>
        <w:rPr>
          <w:bCs/>
          <w:color w:val="000000"/>
          <w:lang w:eastAsia="lt-LT"/>
        </w:rPr>
        <w:t xml:space="preserve"> ilgesnis išgyvenamumas išliekant geresnei gyvenimo kokybei</w:t>
      </w:r>
      <w:r w:rsidRPr="00BD5B61">
        <w:rPr>
          <w:bCs/>
          <w:color w:val="000000"/>
          <w:lang w:eastAsia="lt-LT"/>
        </w:rPr>
        <w:t>.</w:t>
      </w:r>
    </w:p>
    <w:p w14:paraId="4486B83B" w14:textId="3648D4ED" w:rsidR="00CE12C2" w:rsidRPr="00A22F34" w:rsidRDefault="00CE12C2" w:rsidP="00CE12C2">
      <w:pPr>
        <w:tabs>
          <w:tab w:val="left" w:pos="426"/>
        </w:tabs>
        <w:spacing w:line="276" w:lineRule="auto"/>
        <w:jc w:val="both"/>
        <w:rPr>
          <w:bCs/>
          <w:color w:val="000000"/>
          <w:szCs w:val="20"/>
          <w:lang w:eastAsia="lt-LT"/>
        </w:rPr>
      </w:pPr>
      <w:r>
        <w:rPr>
          <w:bCs/>
          <w:color w:val="000000"/>
          <w:lang w:eastAsia="lt-LT"/>
        </w:rPr>
        <w:tab/>
      </w:r>
      <w:r>
        <w:rPr>
          <w:bCs/>
          <w:color w:val="000000"/>
          <w:lang w:eastAsia="lt-LT"/>
        </w:rPr>
        <w:tab/>
      </w:r>
      <w:r w:rsidRPr="003B3450">
        <w:rPr>
          <w:bCs/>
          <w:color w:val="000000"/>
          <w:u w:val="single"/>
          <w:lang w:eastAsia="lt-LT"/>
        </w:rPr>
        <w:t>Trūkumai</w:t>
      </w:r>
      <w:r w:rsidRPr="003B3450">
        <w:rPr>
          <w:bCs/>
          <w:color w:val="000000"/>
          <w:lang w:eastAsia="lt-LT"/>
        </w:rPr>
        <w:t>.</w:t>
      </w:r>
      <w:r>
        <w:rPr>
          <w:bCs/>
          <w:color w:val="000000"/>
          <w:lang w:eastAsia="lt-LT"/>
        </w:rPr>
        <w:t xml:space="preserve"> Pacientams ir medicinos paslaugoms – intraveninis vaisto skyrimas, reikalaujantis papildomų apsilankymų</w:t>
      </w:r>
      <w:r w:rsidR="00A95103">
        <w:rPr>
          <w:bCs/>
          <w:color w:val="000000"/>
          <w:lang w:eastAsia="lt-LT"/>
        </w:rPr>
        <w:t xml:space="preserve"> gydymo įstaigoje</w:t>
      </w:r>
      <w:r>
        <w:rPr>
          <w:bCs/>
          <w:color w:val="000000"/>
          <w:lang w:eastAsia="lt-LT"/>
        </w:rPr>
        <w:t>.</w:t>
      </w:r>
    </w:p>
    <w:bookmarkEnd w:id="2"/>
    <w:p w14:paraId="2465582B" w14:textId="0A54A771" w:rsidR="00AC33D8" w:rsidRPr="00F832F8" w:rsidRDefault="00AC33D8" w:rsidP="00AC33D8">
      <w:pPr>
        <w:spacing w:line="276" w:lineRule="auto"/>
        <w:jc w:val="both"/>
      </w:pPr>
      <w:r w:rsidRPr="00F832F8">
        <w:rPr>
          <w:b/>
          <w:bCs/>
          <w:caps/>
        </w:rPr>
        <w:tab/>
      </w:r>
    </w:p>
    <w:p w14:paraId="47FB23C3" w14:textId="77777777" w:rsidR="00AC33D8" w:rsidRPr="00F832F8" w:rsidRDefault="00AC33D8" w:rsidP="00AC33D8">
      <w:pPr>
        <w:tabs>
          <w:tab w:val="left" w:pos="284"/>
        </w:tabs>
        <w:rPr>
          <w:b/>
          <w:bCs/>
          <w:caps/>
        </w:rPr>
      </w:pPr>
    </w:p>
    <w:p w14:paraId="7DE09EB5" w14:textId="04C72FFD" w:rsidR="00E03C3F" w:rsidRPr="00F832F8" w:rsidRDefault="00CC7832" w:rsidP="00937907">
      <w:pPr>
        <w:pStyle w:val="ListParagraph"/>
        <w:numPr>
          <w:ilvl w:val="0"/>
          <w:numId w:val="12"/>
        </w:numPr>
        <w:tabs>
          <w:tab w:val="left" w:pos="426"/>
        </w:tabs>
        <w:rPr>
          <w:b/>
          <w:bCs/>
          <w:caps/>
        </w:rPr>
      </w:pPr>
      <w:r w:rsidRPr="00F832F8">
        <w:rPr>
          <w:b/>
          <w:bCs/>
          <w:caps/>
        </w:rPr>
        <w:t xml:space="preserve">Farmakoekonominio vertinimo </w:t>
      </w:r>
      <w:r w:rsidR="002F0E4F" w:rsidRPr="00F832F8">
        <w:rPr>
          <w:b/>
          <w:bCs/>
          <w:caps/>
        </w:rPr>
        <w:t>apibendrinimas</w:t>
      </w:r>
    </w:p>
    <w:p w14:paraId="1A900598" w14:textId="76D2F0E7" w:rsidR="00C62B36" w:rsidRDefault="00C62B36" w:rsidP="00A93AA6">
      <w:pPr>
        <w:tabs>
          <w:tab w:val="left" w:pos="426"/>
        </w:tabs>
        <w:rPr>
          <w:b/>
          <w:bCs/>
          <w:caps/>
        </w:rPr>
      </w:pPr>
    </w:p>
    <w:p w14:paraId="72365CD9" w14:textId="491D10B9" w:rsidR="004C35AC" w:rsidRDefault="00FA2CB5" w:rsidP="007122FC">
      <w:pPr>
        <w:spacing w:line="276" w:lineRule="auto"/>
        <w:ind w:firstLine="360"/>
        <w:jc w:val="both"/>
      </w:pPr>
      <w:r>
        <w:rPr>
          <w:rFonts w:eastAsia="Arial"/>
        </w:rPr>
        <w:t xml:space="preserve">Pateiktoje </w:t>
      </w:r>
      <w:r w:rsidR="007122FC" w:rsidRPr="00C62BAB">
        <w:rPr>
          <w:rFonts w:eastAsia="Arial"/>
        </w:rPr>
        <w:t>kaštų analizėje įtraukiami klinikinio efektyvumo duomenys, pasižymi trūkumais</w:t>
      </w:r>
      <w:r w:rsidR="006D1C27">
        <w:rPr>
          <w:rFonts w:eastAsia="Arial"/>
        </w:rPr>
        <w:t>, kurie</w:t>
      </w:r>
      <w:r w:rsidR="007122FC" w:rsidRPr="00C62BAB">
        <w:rPr>
          <w:rFonts w:eastAsia="Arial"/>
        </w:rPr>
        <w:t xml:space="preserve"> lemia kaštų analizės rezultatų neapibrėžtumus</w:t>
      </w:r>
      <w:r w:rsidR="007122FC" w:rsidRPr="00EF5C3B">
        <w:rPr>
          <w:lang w:eastAsia="lt-LT"/>
        </w:rPr>
        <w:t xml:space="preserve"> (duomenų ekstrapoliacija ilguoju laikotarpiu ir modeliuojamas klinikinis efektas ribotas)</w:t>
      </w:r>
      <w:r w:rsidR="007122FC" w:rsidRPr="00C62BAB">
        <w:rPr>
          <w:rFonts w:eastAsia="Arial"/>
        </w:rPr>
        <w:t xml:space="preserve">: cemiplimabo </w:t>
      </w:r>
      <w:r w:rsidR="007122FC" w:rsidRPr="00EF5C3B">
        <w:rPr>
          <w:lang w:eastAsia="lt-LT"/>
        </w:rPr>
        <w:t xml:space="preserve">klinikiniai duomenys nėra brandūs, I ir II fazės klinikiniai tyrimai, nėra kontrolinės grupės, mažai įvykių cemiplimabo stebėjimo laikotarpio pabaigoje didinant ekstrapoliuojamų išgyvenamumo kreivių neapibrėžtumus; </w:t>
      </w:r>
      <w:r w:rsidR="007122FC" w:rsidRPr="00EF5C3B">
        <w:t>mažos tiriamųjų populiacijų imtys</w:t>
      </w:r>
      <w:r w:rsidR="007122FC" w:rsidRPr="00EF5C3B">
        <w:rPr>
          <w:lang w:eastAsia="lt-LT"/>
        </w:rPr>
        <w:t xml:space="preserve"> (palyginamųjų klinikinio veiksmingumo duomenys pagrįsti 18 pacientų chemoterapijos grupėje ir 20 pacientų GPG)</w:t>
      </w:r>
      <w:r w:rsidR="007122FC" w:rsidRPr="00EF5C3B">
        <w:t xml:space="preserve"> vertinant netiesioginio palyginimo analizes, ribotas kintamųjų (rizikos veiksnių) pritaikymas tyrimuose, siekiant juos suvienodinti ir atlikti efektyvumo analizę.  Nepaisant nustatytų trūkumų, analizės rezultatai rodo, kad gydant cemiplimabu </w:t>
      </w:r>
      <w:r w:rsidR="007122FC" w:rsidRPr="00C62BAB">
        <w:rPr>
          <w:bCs/>
          <w:color w:val="000000"/>
          <w:lang w:eastAsia="lt-LT"/>
        </w:rPr>
        <w:t>pasiekiamas ilgesnis išgyvenamumas išliekant geresnei gyvenimo kokybei</w:t>
      </w:r>
      <w:r w:rsidR="007122FC" w:rsidRPr="00EF5C3B">
        <w:t xml:space="preserve"> lyginant su platina grįsta chemoterapija (ir GPG). </w:t>
      </w:r>
    </w:p>
    <w:p w14:paraId="675198DB" w14:textId="427A583E" w:rsidR="007122FC" w:rsidRDefault="007122FC" w:rsidP="007122FC">
      <w:pPr>
        <w:spacing w:line="276" w:lineRule="auto"/>
        <w:ind w:firstLine="360"/>
        <w:jc w:val="both"/>
        <w:rPr>
          <w:rFonts w:eastAsia="Arial"/>
          <w:lang w:val="en-US"/>
        </w:rPr>
      </w:pPr>
      <w:r w:rsidRPr="00EF5C3B">
        <w:rPr>
          <w:lang w:eastAsia="lt-LT"/>
        </w:rPr>
        <w:t xml:space="preserve">Siekiant sumažinti klinikinių duomenų ribotumus, </w:t>
      </w:r>
      <w:r w:rsidR="006D1C27">
        <w:rPr>
          <w:lang w:eastAsia="lt-LT"/>
        </w:rPr>
        <w:t xml:space="preserve">paraiškoje </w:t>
      </w:r>
      <w:r w:rsidRPr="00EF5C3B">
        <w:rPr>
          <w:lang w:eastAsia="lt-LT"/>
        </w:rPr>
        <w:t>duomenų ekstrapoliacijai ilguoju taikotarpiu</w:t>
      </w:r>
      <w:r>
        <w:rPr>
          <w:lang w:eastAsia="lt-LT"/>
        </w:rPr>
        <w:t xml:space="preserve"> (viso gyvenimo laiko perspektyva, 30 m</w:t>
      </w:r>
      <w:r w:rsidR="006D1C27">
        <w:rPr>
          <w:lang w:eastAsia="lt-LT"/>
        </w:rPr>
        <w:t>etų</w:t>
      </w:r>
      <w:r>
        <w:rPr>
          <w:lang w:eastAsia="lt-LT"/>
        </w:rPr>
        <w:t>.)</w:t>
      </w:r>
      <w:r w:rsidRPr="00EF5C3B">
        <w:rPr>
          <w:lang w:eastAsia="lt-LT"/>
        </w:rPr>
        <w:t xml:space="preserve"> taiko</w:t>
      </w:r>
      <w:r w:rsidR="00717173">
        <w:rPr>
          <w:lang w:eastAsia="lt-LT"/>
        </w:rPr>
        <w:t>mos</w:t>
      </w:r>
      <w:r w:rsidRPr="00EF5C3B">
        <w:rPr>
          <w:lang w:eastAsia="lt-LT"/>
        </w:rPr>
        <w:t xml:space="preserve"> konservatyviausius ICER rezultatus lemianči</w:t>
      </w:r>
      <w:r w:rsidR="00717173">
        <w:rPr>
          <w:lang w:eastAsia="lt-LT"/>
        </w:rPr>
        <w:t>o</w:t>
      </w:r>
      <w:r w:rsidRPr="00EF5C3B">
        <w:rPr>
          <w:lang w:eastAsia="lt-LT"/>
        </w:rPr>
        <w:t>s prielaid</w:t>
      </w:r>
      <w:r w:rsidR="00717173">
        <w:rPr>
          <w:lang w:eastAsia="lt-LT"/>
        </w:rPr>
        <w:t>o</w:t>
      </w:r>
      <w:r w:rsidRPr="00EF5C3B">
        <w:rPr>
          <w:lang w:eastAsia="lt-LT"/>
        </w:rPr>
        <w:t xml:space="preserve">s: </w:t>
      </w:r>
      <w:r w:rsidRPr="00C62BAB">
        <w:rPr>
          <w:rFonts w:eastAsia="Arial"/>
        </w:rPr>
        <w:t>modelyje taikoma cemiplimabo efekto nutraukimo prielaida (</w:t>
      </w:r>
      <w:r w:rsidRPr="00EF5C3B">
        <w:t>gydymo cemiplimabu nauda modelyje reiškiasi iki 22 mėnesio, po kurio sukuriama nauda prilyginama chemoterapijos naudai (HR</w:t>
      </w:r>
      <w:r w:rsidRPr="00C62BAB">
        <w:rPr>
          <w:lang w:val="en-US"/>
        </w:rPr>
        <w:t xml:space="preserve">=1), nors tikėtina, kad realioje klinikinėje praktikoje gydymo cemiplimabu efektas tęstųsi ilgiau). Weibul parametrinio skirstinio taikymas </w:t>
      </w:r>
      <w:r w:rsidRPr="00C62BAB">
        <w:rPr>
          <w:rFonts w:eastAsia="Arial"/>
        </w:rPr>
        <w:t xml:space="preserve">chemoterapijos ir cemiplimabo </w:t>
      </w:r>
      <w:r w:rsidRPr="00C62BAB">
        <w:rPr>
          <w:lang w:val="en-US"/>
        </w:rPr>
        <w:t xml:space="preserve">BI duomenų ektrapoliacijai lemia, kad palyginamųjų </w:t>
      </w:r>
      <w:r w:rsidRPr="00C62BAB">
        <w:rPr>
          <w:rFonts w:eastAsia="Arial"/>
        </w:rPr>
        <w:t>mirtingumo rizika pasiekia bendrosios populiacijos mirtingumo riziką vėlesniuose amžiaus laikotarpiuose nei Gompertz atveju (po 15 m</w:t>
      </w:r>
      <w:r w:rsidR="006D1C27">
        <w:rPr>
          <w:rFonts w:eastAsia="Arial"/>
        </w:rPr>
        <w:t>etų</w:t>
      </w:r>
      <w:r w:rsidRPr="00C62BAB">
        <w:rPr>
          <w:rFonts w:eastAsia="Arial"/>
        </w:rPr>
        <w:t xml:space="preserve"> lyginant su po </w:t>
      </w:r>
      <w:r w:rsidR="00692046">
        <w:rPr>
          <w:rFonts w:eastAsia="Arial"/>
          <w:lang w:val="en-US"/>
        </w:rPr>
        <w:t>7 m</w:t>
      </w:r>
      <w:r w:rsidR="006D1C27">
        <w:rPr>
          <w:rFonts w:eastAsia="Arial"/>
          <w:lang w:val="en-US"/>
        </w:rPr>
        <w:t>etų</w:t>
      </w:r>
      <w:r w:rsidR="00692046">
        <w:rPr>
          <w:rFonts w:eastAsia="Arial"/>
          <w:lang w:val="en-US"/>
        </w:rPr>
        <w:t xml:space="preserve">); </w:t>
      </w:r>
      <w:r w:rsidR="004C35AC" w:rsidRPr="00EF5C3B">
        <w:rPr>
          <w:lang w:eastAsia="lt-LT"/>
        </w:rPr>
        <w:t>įprastin</w:t>
      </w:r>
      <w:r w:rsidR="00692046">
        <w:rPr>
          <w:lang w:eastAsia="lt-LT"/>
        </w:rPr>
        <w:t>ėje atvejo analizėje klinikiniai duomeny</w:t>
      </w:r>
      <w:r w:rsidR="004C35AC" w:rsidRPr="00EF5C3B">
        <w:rPr>
          <w:lang w:eastAsia="lt-LT"/>
        </w:rPr>
        <w:t>s įtraukia</w:t>
      </w:r>
      <w:r w:rsidR="00692046">
        <w:rPr>
          <w:lang w:eastAsia="lt-LT"/>
        </w:rPr>
        <w:t>mi</w:t>
      </w:r>
      <w:r w:rsidR="004C35AC" w:rsidRPr="00EF5C3B">
        <w:rPr>
          <w:lang w:eastAsia="lt-LT"/>
        </w:rPr>
        <w:t xml:space="preserve"> iš paprastojo netiesioginio palyginimo (angl. naive) analizės</w:t>
      </w:r>
      <w:r w:rsidR="00692046">
        <w:rPr>
          <w:lang w:eastAsia="lt-LT"/>
        </w:rPr>
        <w:t xml:space="preserve"> (lemia pesimistiškiausius cemiplimabo klinikinio efekto rezultatus).</w:t>
      </w:r>
    </w:p>
    <w:p w14:paraId="2D356F0F" w14:textId="5924995B" w:rsidR="007122FC" w:rsidRDefault="007122FC" w:rsidP="007122FC">
      <w:pPr>
        <w:spacing w:line="276" w:lineRule="auto"/>
        <w:ind w:firstLine="360"/>
        <w:jc w:val="both"/>
        <w:rPr>
          <w:rFonts w:eastAsia="Arial"/>
          <w:lang w:val="en-US"/>
        </w:rPr>
      </w:pPr>
      <w:r w:rsidRPr="007122FC">
        <w:t>Galutiniais</w:t>
      </w:r>
      <w:r w:rsidRPr="00C62BAB">
        <w:rPr>
          <w:rFonts w:eastAsia="Arial"/>
          <w:lang w:val="en-US"/>
        </w:rPr>
        <w:t xml:space="preserve"> ka</w:t>
      </w:r>
      <w:r w:rsidRPr="00C62BAB">
        <w:rPr>
          <w:rFonts w:eastAsia="Arial"/>
        </w:rPr>
        <w:t>štų analizės rezultatais, pritaikius Lietuvai cemiplimabui taikomą</w:t>
      </w:r>
      <w:r w:rsidR="00292562">
        <w:rPr>
          <w:rFonts w:eastAsia="Arial"/>
        </w:rPr>
        <w:t xml:space="preserve"> **********</w:t>
      </w:r>
      <w:r w:rsidRPr="00C62BAB">
        <w:rPr>
          <w:rFonts w:eastAsia="Arial"/>
        </w:rPr>
        <w:t>, gydant cemiplimabu viso gyvenimo l</w:t>
      </w:r>
      <w:r w:rsidRPr="00C62BAB">
        <w:rPr>
          <w:rFonts w:eastAsia="Arial"/>
          <w:lang w:val="en-US"/>
        </w:rPr>
        <w:t>aiko perspektyv</w:t>
      </w:r>
      <w:r w:rsidRPr="00C62BAB">
        <w:rPr>
          <w:rFonts w:eastAsia="Arial"/>
        </w:rPr>
        <w:t>oje (30 m</w:t>
      </w:r>
      <w:r w:rsidR="006D1C27">
        <w:rPr>
          <w:rFonts w:eastAsia="Arial"/>
        </w:rPr>
        <w:t>etų</w:t>
      </w:r>
      <w:r w:rsidRPr="00C62BAB">
        <w:rPr>
          <w:rFonts w:eastAsia="Arial"/>
        </w:rPr>
        <w:t xml:space="preserve">), kai taikoma skyrimo sąlyga, kad cemiplimabas skiriamas ne ilgiau nei 22 mėn., lyginant su chemoterapija yra sukuriama </w:t>
      </w:r>
      <w:r w:rsidR="00C9129A">
        <w:rPr>
          <w:rFonts w:eastAsia="Arial"/>
          <w:lang w:val="en-US"/>
        </w:rPr>
        <w:lastRenderedPageBreak/>
        <w:t>*****</w:t>
      </w:r>
      <w:r w:rsidRPr="00C62BAB">
        <w:rPr>
          <w:rFonts w:eastAsia="Arial"/>
          <w:lang w:val="en-US"/>
        </w:rPr>
        <w:t>QALYS daugiau, kuri</w:t>
      </w:r>
      <w:r w:rsidRPr="00C62BAB">
        <w:rPr>
          <w:rFonts w:eastAsia="Arial"/>
        </w:rPr>
        <w:t>ų kaštų skirtumas –</w:t>
      </w:r>
      <w:r w:rsidR="00292562">
        <w:rPr>
          <w:rFonts w:eastAsia="Arial"/>
          <w:lang w:val="en-US"/>
        </w:rPr>
        <w:t>********* Eur.</w:t>
      </w:r>
      <w:r w:rsidRPr="00C62BAB">
        <w:rPr>
          <w:rFonts w:eastAsia="Arial"/>
          <w:lang w:val="en-US"/>
        </w:rPr>
        <w:t>, apskai</w:t>
      </w:r>
      <w:r w:rsidRPr="00C62BAB">
        <w:rPr>
          <w:rFonts w:eastAsia="Arial"/>
        </w:rPr>
        <w:t xml:space="preserve">čiuotas ICER - </w:t>
      </w:r>
      <w:r w:rsidR="00292562">
        <w:rPr>
          <w:rFonts w:eastAsia="Arial"/>
          <w:lang w:val="en-US"/>
        </w:rPr>
        <w:t xml:space="preserve">******* </w:t>
      </w:r>
      <w:r w:rsidRPr="00C62BAB">
        <w:rPr>
          <w:bCs/>
        </w:rPr>
        <w:t xml:space="preserve">Eur./QALY; lyginant su geriausiu palaikomuoju gydymu </w:t>
      </w:r>
      <w:r w:rsidRPr="00C62BAB">
        <w:rPr>
          <w:rFonts w:eastAsia="Arial"/>
        </w:rPr>
        <w:t xml:space="preserve">yra sukuriama </w:t>
      </w:r>
      <w:r w:rsidR="00292562">
        <w:rPr>
          <w:rFonts w:eastAsia="Arial"/>
          <w:lang w:val="en-US"/>
        </w:rPr>
        <w:t>*****</w:t>
      </w:r>
      <w:r w:rsidRPr="00C62BAB">
        <w:rPr>
          <w:rFonts w:eastAsia="Arial"/>
          <w:lang w:val="en-US"/>
        </w:rPr>
        <w:t xml:space="preserve"> QALYS daugiau, kuri</w:t>
      </w:r>
      <w:r w:rsidRPr="00C62BAB">
        <w:rPr>
          <w:rFonts w:eastAsia="Arial"/>
        </w:rPr>
        <w:t>ų kaštų skirtumas –</w:t>
      </w:r>
      <w:r w:rsidR="00292562">
        <w:rPr>
          <w:rFonts w:eastAsia="Arial"/>
          <w:lang w:val="en-US"/>
        </w:rPr>
        <w:t>******</w:t>
      </w:r>
      <w:r w:rsidRPr="00C62BAB">
        <w:rPr>
          <w:rFonts w:eastAsia="Arial"/>
          <w:lang w:val="en-US"/>
        </w:rPr>
        <w:t>Eur., o apskai</w:t>
      </w:r>
      <w:r w:rsidRPr="00C62BAB">
        <w:rPr>
          <w:rFonts w:eastAsia="Arial"/>
        </w:rPr>
        <w:t xml:space="preserve">čiuotas ICER - </w:t>
      </w:r>
      <w:r w:rsidR="00292562">
        <w:rPr>
          <w:rFonts w:eastAsia="Arial"/>
          <w:lang w:val="en-US"/>
        </w:rPr>
        <w:t>*****</w:t>
      </w:r>
      <w:r w:rsidRPr="00C62BAB">
        <w:rPr>
          <w:bCs/>
        </w:rPr>
        <w:t>Eur./QALY</w:t>
      </w:r>
      <w:r w:rsidRPr="00C62BAB">
        <w:rPr>
          <w:rFonts w:eastAsia="Arial"/>
        </w:rPr>
        <w:t xml:space="preserve">. Rezultatai </w:t>
      </w:r>
      <w:r w:rsidRPr="00C62BAB">
        <w:rPr>
          <w:bCs/>
        </w:rPr>
        <w:t xml:space="preserve">atitinka </w:t>
      </w:r>
      <w:r w:rsidR="00292562">
        <w:rPr>
          <w:bCs/>
        </w:rPr>
        <w:t xml:space="preserve">***** </w:t>
      </w:r>
      <w:r w:rsidRPr="00C62BAB">
        <w:rPr>
          <w:bCs/>
        </w:rPr>
        <w:t>ligos naštai taikomą kaštų naudingumo referencinę vertę.</w:t>
      </w:r>
    </w:p>
    <w:p w14:paraId="1D4D3E43" w14:textId="2F2E0327" w:rsidR="007122FC" w:rsidRDefault="007122FC" w:rsidP="007122FC">
      <w:pPr>
        <w:spacing w:line="276" w:lineRule="auto"/>
        <w:ind w:firstLine="360"/>
        <w:jc w:val="both"/>
        <w:rPr>
          <w:iCs/>
          <w:lang w:eastAsia="lt-LT"/>
        </w:rPr>
      </w:pPr>
      <w:r w:rsidRPr="00C62BAB">
        <w:rPr>
          <w:iCs/>
          <w:lang w:eastAsia="lt-LT"/>
        </w:rPr>
        <w:t xml:space="preserve">Iš jautrumo analizės rezultatų matyti, kad esminę įtaką ICER pokyčiui turi gydymo efekto nutraukimo ir duomenų ekstrapoliacijai ilguoju laikotarpiu ekonominėje analizėje taikomos prielaidos, reikšmingą įtaką turi netiesioginio palyginimo duomenų analizės pobūdis (angl. </w:t>
      </w:r>
      <w:r w:rsidRPr="004C35AC">
        <w:rPr>
          <w:i/>
          <w:iCs/>
          <w:lang w:eastAsia="lt-LT"/>
        </w:rPr>
        <w:t>naive</w:t>
      </w:r>
      <w:r w:rsidRPr="00C62BAB">
        <w:rPr>
          <w:iCs/>
          <w:lang w:eastAsia="lt-LT"/>
        </w:rPr>
        <w:t xml:space="preserve"> arba </w:t>
      </w:r>
      <w:r w:rsidRPr="00C62BAB">
        <w:rPr>
          <w:i/>
          <w:iCs/>
          <w:lang w:eastAsia="lt-LT"/>
        </w:rPr>
        <w:t>simulated treatment comparison</w:t>
      </w:r>
      <w:r w:rsidRPr="00C62BAB">
        <w:rPr>
          <w:iCs/>
          <w:lang w:eastAsia="lt-LT"/>
        </w:rPr>
        <w:t>). Paminėtina, kad įprastinėje atvejo analizėje taikomos konservatyviausią rezultat</w:t>
      </w:r>
      <w:r w:rsidR="00692046">
        <w:rPr>
          <w:iCs/>
          <w:lang w:eastAsia="lt-LT"/>
        </w:rPr>
        <w:t>ą (ICER) lemiančios prielaidos, bei nė vienu scenarijų analizės atveju referencinės kaštų naudingumo vertės slenkstis nėra viršijamas.</w:t>
      </w:r>
    </w:p>
    <w:p w14:paraId="117CD9C3" w14:textId="1F8F599D" w:rsidR="007122FC" w:rsidRDefault="007122FC" w:rsidP="007122FC">
      <w:pPr>
        <w:spacing w:line="276" w:lineRule="auto"/>
        <w:ind w:firstLine="360"/>
        <w:jc w:val="both"/>
        <w:rPr>
          <w:iCs/>
          <w:lang w:eastAsia="lt-LT"/>
        </w:rPr>
      </w:pPr>
    </w:p>
    <w:p w14:paraId="2B98ABF4" w14:textId="0BEBDA79" w:rsidR="007122FC" w:rsidRPr="00B35A46" w:rsidRDefault="007122FC" w:rsidP="007122FC">
      <w:pPr>
        <w:tabs>
          <w:tab w:val="left" w:pos="426"/>
        </w:tabs>
        <w:rPr>
          <w:b/>
          <w:lang w:eastAsia="lt-LT"/>
        </w:rPr>
      </w:pPr>
      <w:r w:rsidRPr="0035172D">
        <w:rPr>
          <w:b/>
          <w:lang w:eastAsia="lt-LT"/>
        </w:rPr>
        <w:t>Ekonominės analizės rezultatas</w:t>
      </w:r>
    </w:p>
    <w:p w14:paraId="39302DD6" w14:textId="77777777" w:rsidR="00B35A46" w:rsidRDefault="007122FC" w:rsidP="007E5663">
      <w:pPr>
        <w:tabs>
          <w:tab w:val="left" w:pos="426"/>
        </w:tabs>
        <w:jc w:val="center"/>
        <w:rPr>
          <w:b/>
          <w:lang w:eastAsia="lt-LT"/>
        </w:rPr>
      </w:pPr>
      <w:r w:rsidRPr="00B35A46">
        <w:rPr>
          <w:iCs/>
          <w:lang w:eastAsia="lt-LT"/>
        </w:rPr>
        <w:t>Pagrindinis</w:t>
      </w:r>
      <w:r w:rsidRPr="007E5663">
        <w:rPr>
          <w:lang w:eastAsia="lt-LT"/>
        </w:rPr>
        <w:t xml:space="preserve"> ekonominės analizės rezultatas cemiplimabą lyginant </w:t>
      </w:r>
      <w:r w:rsidRPr="007E5663">
        <w:rPr>
          <w:b/>
          <w:lang w:eastAsia="lt-LT"/>
        </w:rPr>
        <w:t>su chemoterapija</w:t>
      </w:r>
      <w:r w:rsidR="007E5663" w:rsidRPr="007E5663">
        <w:rPr>
          <w:b/>
          <w:lang w:eastAsia="lt-LT"/>
        </w:rPr>
        <w:t xml:space="preserve"> </w:t>
      </w:r>
    </w:p>
    <w:p w14:paraId="797D2288" w14:textId="128FFED7" w:rsidR="007122FC" w:rsidRPr="007E5663" w:rsidRDefault="007E5663" w:rsidP="007E5663">
      <w:pPr>
        <w:tabs>
          <w:tab w:val="left" w:pos="426"/>
        </w:tabs>
        <w:jc w:val="center"/>
        <w:rPr>
          <w:lang w:eastAsia="lt-LT"/>
        </w:rPr>
      </w:pPr>
      <w:r w:rsidRPr="007E5663">
        <w:rPr>
          <w:b/>
          <w:lang w:eastAsia="lt-LT"/>
        </w:rPr>
        <w:t>(</w:t>
      </w:r>
      <w:r w:rsidRPr="007E5663">
        <w:rPr>
          <w:rFonts w:eastAsia="Arial"/>
          <w:bCs/>
        </w:rPr>
        <w:t>cisplatinos ir fluorouracilo-</w:t>
      </w:r>
      <w:r w:rsidRPr="007E5663">
        <w:rPr>
          <w:rFonts w:eastAsia="Arial"/>
          <w:bCs/>
          <w:lang w:val="en-US"/>
        </w:rPr>
        <w:t>5 derinys)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7122FC" w:rsidRPr="0035172D" w14:paraId="5570C1EF" w14:textId="77777777" w:rsidTr="006072BF">
        <w:tc>
          <w:tcPr>
            <w:tcW w:w="9609" w:type="dxa"/>
            <w:gridSpan w:val="2"/>
            <w:tcBorders>
              <w:top w:val="single" w:sz="12" w:space="0" w:color="auto"/>
            </w:tcBorders>
          </w:tcPr>
          <w:p w14:paraId="1B0978EC" w14:textId="77777777" w:rsidR="007122FC" w:rsidRPr="00F70C9E" w:rsidRDefault="007122FC" w:rsidP="006072BF">
            <w:pPr>
              <w:tabs>
                <w:tab w:val="left" w:pos="567"/>
              </w:tabs>
              <w:jc w:val="center"/>
              <w:rPr>
                <w:b/>
                <w:bCs/>
                <w:sz w:val="26"/>
                <w:szCs w:val="26"/>
                <w:lang w:eastAsia="lt-LT"/>
              </w:rPr>
            </w:pPr>
            <w:r w:rsidRPr="00F70C9E">
              <w:rPr>
                <w:b/>
                <w:bCs/>
                <w:sz w:val="26"/>
                <w:szCs w:val="26"/>
                <w:lang w:eastAsia="lt-LT"/>
              </w:rPr>
              <w:t>Rezultatai</w:t>
            </w:r>
          </w:p>
        </w:tc>
      </w:tr>
      <w:tr w:rsidR="007E5663" w:rsidRPr="0035172D" w14:paraId="45741C91" w14:textId="77777777" w:rsidTr="006072BF">
        <w:tc>
          <w:tcPr>
            <w:tcW w:w="4096" w:type="dxa"/>
          </w:tcPr>
          <w:p w14:paraId="61CCE39C" w14:textId="77777777" w:rsidR="007E5663" w:rsidRPr="00F70C9E" w:rsidRDefault="007E5663" w:rsidP="007E5663">
            <w:pPr>
              <w:tabs>
                <w:tab w:val="left" w:pos="567"/>
              </w:tabs>
              <w:jc w:val="right"/>
              <w:rPr>
                <w:iCs/>
                <w:lang w:eastAsia="lt-LT"/>
              </w:rPr>
            </w:pPr>
            <w:r w:rsidRPr="00F70C9E">
              <w:rPr>
                <w:iCs/>
                <w:lang w:eastAsia="lt-LT"/>
              </w:rPr>
              <w:t>ICER už LY</w:t>
            </w:r>
          </w:p>
        </w:tc>
        <w:tc>
          <w:tcPr>
            <w:tcW w:w="5513" w:type="dxa"/>
          </w:tcPr>
          <w:p w14:paraId="0C44C632" w14:textId="3E1B45C2" w:rsidR="007E5663" w:rsidRPr="00F70C9E" w:rsidRDefault="00292562" w:rsidP="007E5663">
            <w:pPr>
              <w:tabs>
                <w:tab w:val="left" w:pos="567"/>
              </w:tabs>
              <w:jc w:val="both"/>
              <w:rPr>
                <w:i/>
                <w:iCs/>
                <w:lang w:eastAsia="lt-LT"/>
              </w:rPr>
            </w:pPr>
            <w:r>
              <w:rPr>
                <w:rFonts w:eastAsia="Arial"/>
                <w:lang w:val="en-US"/>
              </w:rPr>
              <w:t>******</w:t>
            </w:r>
            <w:r w:rsidR="007E5663">
              <w:rPr>
                <w:rFonts w:eastAsia="Arial"/>
                <w:lang w:val="en-US"/>
              </w:rPr>
              <w:t xml:space="preserve"> Eur. </w:t>
            </w:r>
          </w:p>
        </w:tc>
      </w:tr>
      <w:tr w:rsidR="007E5663" w:rsidRPr="0035172D" w14:paraId="271D217E" w14:textId="77777777" w:rsidTr="006072BF">
        <w:tc>
          <w:tcPr>
            <w:tcW w:w="4096" w:type="dxa"/>
          </w:tcPr>
          <w:p w14:paraId="1278CD8E" w14:textId="77777777" w:rsidR="007E5663" w:rsidRPr="00B35A46" w:rsidRDefault="007E5663" w:rsidP="007E5663">
            <w:pPr>
              <w:tabs>
                <w:tab w:val="left" w:pos="567"/>
              </w:tabs>
              <w:jc w:val="right"/>
              <w:rPr>
                <w:b/>
                <w:iCs/>
                <w:lang w:eastAsia="lt-LT"/>
              </w:rPr>
            </w:pPr>
            <w:r w:rsidRPr="00B35A46">
              <w:rPr>
                <w:b/>
                <w:iCs/>
                <w:lang w:eastAsia="lt-LT"/>
              </w:rPr>
              <w:t>ICER už QALY</w:t>
            </w:r>
          </w:p>
        </w:tc>
        <w:tc>
          <w:tcPr>
            <w:tcW w:w="5513" w:type="dxa"/>
          </w:tcPr>
          <w:p w14:paraId="3F72831F" w14:textId="33E44E18" w:rsidR="007E5663" w:rsidRPr="00F70C9E" w:rsidRDefault="00292562" w:rsidP="007E5663">
            <w:pPr>
              <w:tabs>
                <w:tab w:val="left" w:pos="567"/>
              </w:tabs>
              <w:jc w:val="both"/>
              <w:rPr>
                <w:i/>
                <w:iCs/>
                <w:lang w:eastAsia="lt-LT"/>
              </w:rPr>
            </w:pPr>
            <w:r>
              <w:rPr>
                <w:rFonts w:eastAsia="Arial"/>
                <w:b/>
                <w:lang w:val="en-US"/>
              </w:rPr>
              <w:t>******</w:t>
            </w:r>
            <w:r w:rsidR="007E5663">
              <w:rPr>
                <w:rFonts w:eastAsia="Arial"/>
                <w:b/>
                <w:lang w:val="en-US"/>
              </w:rPr>
              <w:t xml:space="preserve"> </w:t>
            </w:r>
            <w:r w:rsidR="007E5663" w:rsidRPr="000D2079">
              <w:rPr>
                <w:rFonts w:eastAsia="Arial"/>
                <w:b/>
                <w:lang w:val="en-US"/>
              </w:rPr>
              <w:t>Eur.</w:t>
            </w:r>
          </w:p>
        </w:tc>
      </w:tr>
      <w:tr w:rsidR="007E5663" w:rsidRPr="00884E65" w14:paraId="37C098EE" w14:textId="77777777" w:rsidTr="006072BF">
        <w:tc>
          <w:tcPr>
            <w:tcW w:w="4096" w:type="dxa"/>
          </w:tcPr>
          <w:p w14:paraId="239AA176" w14:textId="77777777" w:rsidR="007E5663" w:rsidRPr="00F70C9E" w:rsidRDefault="007E5663" w:rsidP="007E5663">
            <w:pPr>
              <w:tabs>
                <w:tab w:val="left" w:pos="567"/>
              </w:tabs>
              <w:jc w:val="right"/>
              <w:rPr>
                <w:iCs/>
                <w:lang w:eastAsia="lt-LT"/>
              </w:rPr>
            </w:pPr>
            <w:r w:rsidRPr="00F70C9E">
              <w:rPr>
                <w:iCs/>
                <w:lang w:eastAsia="lt-LT"/>
              </w:rPr>
              <w:t>Referentinė kaštų naudingumo vertė</w:t>
            </w:r>
          </w:p>
        </w:tc>
        <w:tc>
          <w:tcPr>
            <w:tcW w:w="5513" w:type="dxa"/>
          </w:tcPr>
          <w:p w14:paraId="7E30F8AA" w14:textId="02E0E947" w:rsidR="007E5663" w:rsidRPr="00F70C9E" w:rsidRDefault="00292562" w:rsidP="007E5663">
            <w:pPr>
              <w:tabs>
                <w:tab w:val="left" w:pos="567"/>
              </w:tabs>
              <w:jc w:val="both"/>
              <w:rPr>
                <w:i/>
                <w:iCs/>
                <w:lang w:eastAsia="lt-LT"/>
              </w:rPr>
            </w:pPr>
            <w:r>
              <w:rPr>
                <w:rFonts w:eastAsia="Arial"/>
                <w:i/>
                <w:lang w:val="en-US"/>
              </w:rPr>
              <w:t>******</w:t>
            </w:r>
            <w:r w:rsidR="007E5663" w:rsidRPr="000D2079">
              <w:rPr>
                <w:rFonts w:eastAsia="Arial"/>
                <w:i/>
                <w:lang w:val="en-US"/>
              </w:rPr>
              <w:t xml:space="preserve"> Eur.</w:t>
            </w:r>
          </w:p>
        </w:tc>
      </w:tr>
    </w:tbl>
    <w:p w14:paraId="5F2C1EA7" w14:textId="77777777" w:rsidR="007E5663" w:rsidRDefault="007E5663" w:rsidP="007E5663">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3AA0CE86" w14:textId="69D97E57" w:rsidR="007E5663" w:rsidRPr="00C6221F" w:rsidRDefault="007E5663" w:rsidP="007E5663">
      <w:pPr>
        <w:tabs>
          <w:tab w:val="left" w:pos="567"/>
        </w:tabs>
        <w:jc w:val="both"/>
        <w:rPr>
          <w:iCs/>
          <w:sz w:val="20"/>
          <w:lang w:eastAsia="lt-LT"/>
        </w:rPr>
      </w:pPr>
      <w:r w:rsidRPr="000D2079">
        <w:rPr>
          <w:sz w:val="20"/>
        </w:rPr>
        <w:t xml:space="preserve">*Referencinės kaštų naudingumo vertės slenkstis: </w:t>
      </w:r>
      <w:r w:rsidR="00292562">
        <w:rPr>
          <w:sz w:val="20"/>
        </w:rPr>
        <w:t>******</w:t>
      </w:r>
      <w:r w:rsidRPr="000D2079">
        <w:rPr>
          <w:sz w:val="20"/>
        </w:rPr>
        <w:t xml:space="preserve"> ligos našta, </w:t>
      </w:r>
      <w:r w:rsidR="00292562">
        <w:rPr>
          <w:sz w:val="20"/>
          <w:lang w:val="en-US"/>
        </w:rPr>
        <w:t>**</w:t>
      </w:r>
      <w:r w:rsidRPr="000D2079">
        <w:rPr>
          <w:sz w:val="20"/>
          <w:lang w:val="en-US"/>
        </w:rPr>
        <w:t xml:space="preserve"> </w:t>
      </w:r>
      <w:r w:rsidRPr="007E5663">
        <w:rPr>
          <w:sz w:val="20"/>
          <w:lang w:val="en-US"/>
        </w:rPr>
        <w:t>BVP (</w:t>
      </w:r>
      <w:r w:rsidR="00292562">
        <w:rPr>
          <w:sz w:val="20"/>
        </w:rPr>
        <w:t xml:space="preserve">* </w:t>
      </w:r>
      <w:r w:rsidRPr="007E5663">
        <w:rPr>
          <w:sz w:val="20"/>
        </w:rPr>
        <w:t>*20.004 =</w:t>
      </w:r>
      <w:r w:rsidR="00292562">
        <w:rPr>
          <w:sz w:val="20"/>
        </w:rPr>
        <w:t>*******</w:t>
      </w:r>
      <w:r w:rsidRPr="007E5663">
        <w:rPr>
          <w:sz w:val="20"/>
        </w:rPr>
        <w:t xml:space="preserve"> Eur.)</w:t>
      </w:r>
    </w:p>
    <w:p w14:paraId="0BE83CDC" w14:textId="77777777" w:rsidR="007122FC" w:rsidRDefault="007122FC" w:rsidP="007122FC">
      <w:pPr>
        <w:tabs>
          <w:tab w:val="left" w:pos="426"/>
        </w:tabs>
        <w:rPr>
          <w:b/>
          <w:bCs/>
          <w:caps/>
        </w:rPr>
      </w:pPr>
    </w:p>
    <w:p w14:paraId="2DA94180" w14:textId="30374FDA" w:rsidR="007E5663" w:rsidRPr="007E5663" w:rsidRDefault="007E5663" w:rsidP="007E5663">
      <w:pPr>
        <w:tabs>
          <w:tab w:val="left" w:pos="426"/>
        </w:tabs>
        <w:jc w:val="center"/>
        <w:rPr>
          <w:lang w:eastAsia="lt-LT"/>
        </w:rPr>
      </w:pPr>
      <w:r w:rsidRPr="007E5663">
        <w:rPr>
          <w:lang w:eastAsia="lt-LT"/>
        </w:rPr>
        <w:t xml:space="preserve">Pagrindinis ekonominės analizės rezultatas cemiplimabą lyginant </w:t>
      </w:r>
      <w:r w:rsidRPr="007E5663">
        <w:rPr>
          <w:b/>
          <w:lang w:eastAsia="lt-LT"/>
        </w:rPr>
        <w:t xml:space="preserve">su </w:t>
      </w:r>
      <w:r>
        <w:rPr>
          <w:b/>
          <w:lang w:eastAsia="lt-LT"/>
        </w:rPr>
        <w:t>geriausiu palaikomuoju gydymu</w:t>
      </w:r>
      <w:r w:rsidRPr="007E5663">
        <w:rPr>
          <w:b/>
          <w:lang w:eastAsia="lt-LT"/>
        </w:rPr>
        <w:t xml:space="preserve"> (</w:t>
      </w:r>
      <w:r>
        <w:rPr>
          <w:rFonts w:eastAsia="Arial"/>
          <w:bCs/>
        </w:rPr>
        <w:t xml:space="preserve">angl. </w:t>
      </w:r>
      <w:r w:rsidRPr="007E5663">
        <w:rPr>
          <w:rFonts w:eastAsia="Arial"/>
          <w:bCs/>
          <w:i/>
        </w:rPr>
        <w:t>best supportive care</w:t>
      </w:r>
      <w:r w:rsidRPr="007E5663">
        <w:rPr>
          <w:rFonts w:eastAsia="Arial"/>
          <w:bCs/>
          <w:lang w:val="en-US"/>
        </w:rPr>
        <w: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7E5663" w:rsidRPr="0035172D" w14:paraId="03DC5725" w14:textId="77777777" w:rsidTr="006072BF">
        <w:tc>
          <w:tcPr>
            <w:tcW w:w="9609" w:type="dxa"/>
            <w:gridSpan w:val="2"/>
            <w:tcBorders>
              <w:top w:val="single" w:sz="12" w:space="0" w:color="auto"/>
            </w:tcBorders>
          </w:tcPr>
          <w:p w14:paraId="51429F0B" w14:textId="77777777" w:rsidR="007E5663" w:rsidRPr="00F70C9E" w:rsidRDefault="007E5663" w:rsidP="006072BF">
            <w:pPr>
              <w:tabs>
                <w:tab w:val="left" w:pos="567"/>
              </w:tabs>
              <w:jc w:val="center"/>
              <w:rPr>
                <w:b/>
                <w:bCs/>
                <w:sz w:val="26"/>
                <w:szCs w:val="26"/>
                <w:lang w:eastAsia="lt-LT"/>
              </w:rPr>
            </w:pPr>
            <w:r w:rsidRPr="00F70C9E">
              <w:rPr>
                <w:b/>
                <w:bCs/>
                <w:sz w:val="26"/>
                <w:szCs w:val="26"/>
                <w:lang w:eastAsia="lt-LT"/>
              </w:rPr>
              <w:t>Rezultatai</w:t>
            </w:r>
          </w:p>
        </w:tc>
      </w:tr>
      <w:tr w:rsidR="00B35A46" w:rsidRPr="0035172D" w14:paraId="19DCA0BB" w14:textId="77777777" w:rsidTr="006072BF">
        <w:tc>
          <w:tcPr>
            <w:tcW w:w="4096" w:type="dxa"/>
          </w:tcPr>
          <w:p w14:paraId="3707DA5E" w14:textId="77777777" w:rsidR="00B35A46" w:rsidRPr="00F70C9E" w:rsidRDefault="00B35A46" w:rsidP="00B35A46">
            <w:pPr>
              <w:tabs>
                <w:tab w:val="left" w:pos="567"/>
              </w:tabs>
              <w:jc w:val="right"/>
              <w:rPr>
                <w:iCs/>
                <w:lang w:eastAsia="lt-LT"/>
              </w:rPr>
            </w:pPr>
            <w:r w:rsidRPr="00F70C9E">
              <w:rPr>
                <w:iCs/>
                <w:lang w:eastAsia="lt-LT"/>
              </w:rPr>
              <w:t>ICER už LY</w:t>
            </w:r>
          </w:p>
        </w:tc>
        <w:tc>
          <w:tcPr>
            <w:tcW w:w="5513" w:type="dxa"/>
          </w:tcPr>
          <w:p w14:paraId="43511D44" w14:textId="7E7377E0" w:rsidR="00B35A46" w:rsidRPr="00F70C9E" w:rsidRDefault="00292562" w:rsidP="00B35A46">
            <w:pPr>
              <w:tabs>
                <w:tab w:val="left" w:pos="567"/>
              </w:tabs>
              <w:jc w:val="both"/>
              <w:rPr>
                <w:i/>
                <w:iCs/>
                <w:lang w:eastAsia="lt-LT"/>
              </w:rPr>
            </w:pPr>
            <w:r>
              <w:rPr>
                <w:rFonts w:eastAsia="Arial"/>
                <w:lang w:val="en-US"/>
              </w:rPr>
              <w:t>******</w:t>
            </w:r>
            <w:r w:rsidR="00B35A46" w:rsidRPr="006918ED">
              <w:rPr>
                <w:rFonts w:eastAsia="Arial"/>
                <w:lang w:val="en-US"/>
              </w:rPr>
              <w:t xml:space="preserve"> Eur.</w:t>
            </w:r>
          </w:p>
        </w:tc>
      </w:tr>
      <w:tr w:rsidR="00B35A46" w:rsidRPr="0035172D" w14:paraId="0EC8D901" w14:textId="77777777" w:rsidTr="006072BF">
        <w:tc>
          <w:tcPr>
            <w:tcW w:w="4096" w:type="dxa"/>
          </w:tcPr>
          <w:p w14:paraId="400EF668" w14:textId="77777777" w:rsidR="00B35A46" w:rsidRPr="00B35A46" w:rsidRDefault="00B35A46" w:rsidP="00B35A46">
            <w:pPr>
              <w:tabs>
                <w:tab w:val="left" w:pos="567"/>
              </w:tabs>
              <w:jc w:val="right"/>
              <w:rPr>
                <w:b/>
                <w:iCs/>
                <w:lang w:eastAsia="lt-LT"/>
              </w:rPr>
            </w:pPr>
            <w:r w:rsidRPr="00B35A46">
              <w:rPr>
                <w:b/>
                <w:iCs/>
                <w:lang w:eastAsia="lt-LT"/>
              </w:rPr>
              <w:t>ICER už QALY</w:t>
            </w:r>
          </w:p>
        </w:tc>
        <w:tc>
          <w:tcPr>
            <w:tcW w:w="5513" w:type="dxa"/>
          </w:tcPr>
          <w:p w14:paraId="190FD0C5" w14:textId="5CC400DF" w:rsidR="00B35A46" w:rsidRPr="00F70C9E" w:rsidRDefault="0024160E" w:rsidP="00B35A46">
            <w:pPr>
              <w:tabs>
                <w:tab w:val="left" w:pos="567"/>
              </w:tabs>
              <w:jc w:val="both"/>
              <w:rPr>
                <w:i/>
                <w:iCs/>
                <w:lang w:eastAsia="lt-LT"/>
              </w:rPr>
            </w:pPr>
            <w:r>
              <w:rPr>
                <w:rFonts w:eastAsia="Arial"/>
                <w:b/>
                <w:lang w:val="en-US"/>
              </w:rPr>
              <w:t>******</w:t>
            </w:r>
            <w:r w:rsidR="00B35A46">
              <w:rPr>
                <w:rFonts w:eastAsia="Arial"/>
                <w:b/>
                <w:lang w:val="en-US"/>
              </w:rPr>
              <w:t xml:space="preserve"> Eur.</w:t>
            </w:r>
          </w:p>
        </w:tc>
      </w:tr>
      <w:tr w:rsidR="00B35A46" w:rsidRPr="00884E65" w14:paraId="73B97C00" w14:textId="77777777" w:rsidTr="006072BF">
        <w:tc>
          <w:tcPr>
            <w:tcW w:w="4096" w:type="dxa"/>
          </w:tcPr>
          <w:p w14:paraId="4A39C11F" w14:textId="77777777" w:rsidR="00B35A46" w:rsidRPr="00F70C9E" w:rsidRDefault="00B35A46" w:rsidP="00B35A46">
            <w:pPr>
              <w:tabs>
                <w:tab w:val="left" w:pos="567"/>
              </w:tabs>
              <w:jc w:val="right"/>
              <w:rPr>
                <w:iCs/>
                <w:lang w:eastAsia="lt-LT"/>
              </w:rPr>
            </w:pPr>
            <w:r w:rsidRPr="00F70C9E">
              <w:rPr>
                <w:iCs/>
                <w:lang w:eastAsia="lt-LT"/>
              </w:rPr>
              <w:t>Referentinė kaštų naudingumo vertė</w:t>
            </w:r>
          </w:p>
        </w:tc>
        <w:tc>
          <w:tcPr>
            <w:tcW w:w="5513" w:type="dxa"/>
          </w:tcPr>
          <w:p w14:paraId="24B2A039" w14:textId="5B662C23" w:rsidR="00B35A46" w:rsidRPr="00F70C9E" w:rsidRDefault="0024160E" w:rsidP="00B35A46">
            <w:pPr>
              <w:tabs>
                <w:tab w:val="left" w:pos="567"/>
              </w:tabs>
              <w:jc w:val="both"/>
              <w:rPr>
                <w:i/>
                <w:iCs/>
                <w:lang w:eastAsia="lt-LT"/>
              </w:rPr>
            </w:pPr>
            <w:r>
              <w:rPr>
                <w:rFonts w:eastAsia="Arial"/>
                <w:i/>
                <w:lang w:val="en-US"/>
              </w:rPr>
              <w:t>*******</w:t>
            </w:r>
            <w:r w:rsidR="00B35A46" w:rsidRPr="000D2079">
              <w:rPr>
                <w:rFonts w:eastAsia="Arial"/>
                <w:i/>
                <w:lang w:val="en-US"/>
              </w:rPr>
              <w:t xml:space="preserve"> Eur.</w:t>
            </w:r>
          </w:p>
        </w:tc>
      </w:tr>
    </w:tbl>
    <w:p w14:paraId="2DD70F47" w14:textId="77777777" w:rsidR="007E5663" w:rsidRDefault="007E5663" w:rsidP="007E5663">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33875138" w14:textId="5C134408" w:rsidR="0035172D" w:rsidRPr="00F832F8" w:rsidRDefault="007E5663" w:rsidP="0024160E">
      <w:pPr>
        <w:tabs>
          <w:tab w:val="left" w:pos="567"/>
        </w:tabs>
        <w:jc w:val="both"/>
        <w:rPr>
          <w:b/>
          <w:bCs/>
          <w:caps/>
        </w:rPr>
      </w:pPr>
      <w:r w:rsidRPr="000D2079">
        <w:rPr>
          <w:sz w:val="20"/>
        </w:rPr>
        <w:t xml:space="preserve">*Referencinės kaštų naudingumo vertės slenkstis: </w:t>
      </w:r>
      <w:r w:rsidR="0024160E">
        <w:rPr>
          <w:sz w:val="20"/>
        </w:rPr>
        <w:t>******</w:t>
      </w:r>
      <w:r w:rsidR="0024160E" w:rsidRPr="000D2079">
        <w:rPr>
          <w:sz w:val="20"/>
        </w:rPr>
        <w:t xml:space="preserve"> ligos našta, </w:t>
      </w:r>
      <w:r w:rsidR="0024160E">
        <w:rPr>
          <w:sz w:val="20"/>
          <w:lang w:val="en-US"/>
        </w:rPr>
        <w:t>**</w:t>
      </w:r>
      <w:r w:rsidR="0024160E" w:rsidRPr="000D2079">
        <w:rPr>
          <w:sz w:val="20"/>
          <w:lang w:val="en-US"/>
        </w:rPr>
        <w:t xml:space="preserve"> </w:t>
      </w:r>
      <w:r w:rsidR="0024160E" w:rsidRPr="007E5663">
        <w:rPr>
          <w:sz w:val="20"/>
          <w:lang w:val="en-US"/>
        </w:rPr>
        <w:t>BVP (</w:t>
      </w:r>
      <w:r w:rsidR="0024160E">
        <w:rPr>
          <w:sz w:val="20"/>
        </w:rPr>
        <w:t xml:space="preserve">* </w:t>
      </w:r>
      <w:r w:rsidR="0024160E" w:rsidRPr="007E5663">
        <w:rPr>
          <w:sz w:val="20"/>
        </w:rPr>
        <w:t>*20.004 =</w:t>
      </w:r>
      <w:r w:rsidR="0024160E">
        <w:rPr>
          <w:sz w:val="20"/>
        </w:rPr>
        <w:t>*******</w:t>
      </w:r>
      <w:r w:rsidR="0024160E" w:rsidRPr="007E5663">
        <w:rPr>
          <w:sz w:val="20"/>
        </w:rPr>
        <w:t xml:space="preserve"> Eur.)</w:t>
      </w:r>
    </w:p>
    <w:p w14:paraId="4FC424F9" w14:textId="4E767245" w:rsidR="00C62B36" w:rsidRPr="00F832F8" w:rsidRDefault="00C62B36" w:rsidP="00937907">
      <w:pPr>
        <w:pStyle w:val="ListParagraph"/>
        <w:numPr>
          <w:ilvl w:val="0"/>
          <w:numId w:val="12"/>
        </w:numPr>
        <w:tabs>
          <w:tab w:val="left" w:pos="284"/>
        </w:tabs>
        <w:rPr>
          <w:b/>
          <w:bCs/>
          <w:caps/>
        </w:rPr>
      </w:pPr>
      <w:r w:rsidRPr="00F832F8">
        <w:rPr>
          <w:b/>
          <w:bCs/>
          <w:caps/>
        </w:rPr>
        <w:t xml:space="preserve">Pacientų organizacijų pateikti duomenys </w:t>
      </w:r>
    </w:p>
    <w:p w14:paraId="79BCFF40" w14:textId="4B677ACB" w:rsidR="00937907" w:rsidRPr="00F832F8" w:rsidRDefault="00000000"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Content>
          <w:r w:rsidR="0092546E">
            <w:rPr>
              <w:rStyle w:val="Style2"/>
              <w:rFonts w:ascii="MS Gothic" w:eastAsia="MS Gothic" w:hAnsi="MS Gothic" w:hint="eastAsia"/>
            </w:rPr>
            <w:t>☒</w:t>
          </w:r>
        </w:sdtContent>
      </w:sdt>
      <w:r w:rsidR="00937907" w:rsidRPr="00F832F8">
        <w:t xml:space="preserve"> Pacientų organizacijos pozicija pateikta.</w:t>
      </w:r>
    </w:p>
    <w:p w14:paraId="62992180" w14:textId="4D1BD507" w:rsidR="00937907" w:rsidRPr="00F832F8" w:rsidRDefault="00000000"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Content>
          <w:r w:rsidR="0092546E">
            <w:rPr>
              <w:rStyle w:val="Style2"/>
              <w:rFonts w:ascii="MS Gothic" w:eastAsia="MS Gothic" w:hAnsi="MS Gothic" w:hint="eastAsia"/>
            </w:rPr>
            <w:t>☐</w:t>
          </w:r>
        </w:sdtContent>
      </w:sdt>
      <w:r w:rsidR="00937907" w:rsidRPr="00F832F8">
        <w:t xml:space="preserve"> Pacientų organizacijos pozicija </w:t>
      </w:r>
      <w:r w:rsidR="00880A44" w:rsidRPr="00F832F8">
        <w:t>ne</w:t>
      </w:r>
      <w:r w:rsidR="00937907" w:rsidRPr="00F832F8">
        <w:t>pateikta.</w:t>
      </w:r>
    </w:p>
    <w:p w14:paraId="3D3277FA" w14:textId="3CEEB2D2" w:rsidR="00C62B36" w:rsidRPr="00F832F8" w:rsidRDefault="00C62B36" w:rsidP="00937907">
      <w:pPr>
        <w:pStyle w:val="ListParagraph"/>
        <w:numPr>
          <w:ilvl w:val="0"/>
          <w:numId w:val="12"/>
        </w:numPr>
        <w:tabs>
          <w:tab w:val="left" w:pos="426"/>
        </w:tabs>
        <w:rPr>
          <w:b/>
          <w:bCs/>
          <w:caps/>
        </w:rPr>
      </w:pPr>
      <w:r w:rsidRPr="00F832F8">
        <w:rPr>
          <w:b/>
          <w:bCs/>
          <w:caps/>
        </w:rPr>
        <w:t>Gydytojų organizacijų pateikti duomenys</w:t>
      </w:r>
    </w:p>
    <w:p w14:paraId="389A346C" w14:textId="2FE37148" w:rsidR="00937907" w:rsidRPr="00F832F8"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CE12C2">
            <w:rPr>
              <w:rStyle w:val="Style2"/>
              <w:rFonts w:ascii="MS Gothic" w:eastAsia="MS Gothic" w:hAnsi="MS Gothic" w:hint="eastAsia"/>
            </w:rPr>
            <w:t>☐</w:t>
          </w:r>
        </w:sdtContent>
      </w:sdt>
      <w:r w:rsidR="00662983" w:rsidRPr="00F832F8">
        <w:t xml:space="preserve"> </w:t>
      </w:r>
      <w:r w:rsidR="00937907" w:rsidRPr="00F832F8">
        <w:t>Gydytojų specialistų organizacijos pozicija pateikta</w:t>
      </w:r>
      <w:r w:rsidR="00CE12C2">
        <w:t>.</w:t>
      </w:r>
    </w:p>
    <w:p w14:paraId="5D8CC48C" w14:textId="310D74B0" w:rsidR="00662983" w:rsidRPr="00F832F8"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581413">
            <w:rPr>
              <w:rStyle w:val="Style2"/>
              <w:rFonts w:ascii="MS Gothic" w:eastAsia="MS Gothic" w:hAnsi="MS Gothic" w:hint="eastAsia"/>
            </w:rPr>
            <w:t>☒</w:t>
          </w:r>
        </w:sdtContent>
      </w:sdt>
      <w:r w:rsidR="00662983" w:rsidRPr="00F832F8">
        <w:t xml:space="preserve"> </w:t>
      </w:r>
      <w:r w:rsidR="00937907" w:rsidRPr="00F832F8">
        <w:t xml:space="preserve">Gydytojų specialistų organizacijos pozicija </w:t>
      </w:r>
      <w:r w:rsidR="00880A44" w:rsidRPr="00F832F8">
        <w:t>ne</w:t>
      </w:r>
      <w:r w:rsidR="00937907" w:rsidRPr="00F832F8">
        <w:t>pateikta.</w:t>
      </w:r>
    </w:p>
    <w:p w14:paraId="78F23ECB" w14:textId="23A3A002" w:rsidR="002F0E4F" w:rsidRPr="00F832F8" w:rsidRDefault="002F0E4F" w:rsidP="00937907">
      <w:pPr>
        <w:pStyle w:val="ListParagraph"/>
        <w:numPr>
          <w:ilvl w:val="0"/>
          <w:numId w:val="12"/>
        </w:numPr>
        <w:tabs>
          <w:tab w:val="left" w:pos="426"/>
        </w:tabs>
        <w:rPr>
          <w:b/>
          <w:bCs/>
          <w:caps/>
        </w:rPr>
      </w:pPr>
      <w:r w:rsidRPr="00F832F8">
        <w:rPr>
          <w:b/>
          <w:bCs/>
          <w:caps/>
        </w:rPr>
        <w:t xml:space="preserve">Išvada </w:t>
      </w:r>
    </w:p>
    <w:p w14:paraId="573E407F" w14:textId="77777777" w:rsidR="00797153" w:rsidRPr="00F832F8"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F832F8" w14:paraId="25A2473E" w14:textId="77777777" w:rsidTr="00BD1E5A">
        <w:tc>
          <w:tcPr>
            <w:tcW w:w="4981" w:type="dxa"/>
          </w:tcPr>
          <w:p w14:paraId="7EFE6941" w14:textId="23B8BB6D"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Rekomenduojama kompensuoti</w:t>
            </w:r>
          </w:p>
        </w:tc>
        <w:tc>
          <w:tcPr>
            <w:tcW w:w="4981" w:type="dxa"/>
          </w:tcPr>
          <w:p w14:paraId="330A1A5E" w14:textId="19247DC1"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 xml:space="preserve">Rekomenduojama nekompensuoti </w:t>
            </w:r>
          </w:p>
        </w:tc>
      </w:tr>
      <w:tr w:rsidR="00B13D65" w:rsidRPr="00F832F8" w14:paraId="143A7356" w14:textId="77777777" w:rsidTr="00BD1E5A">
        <w:tc>
          <w:tcPr>
            <w:tcW w:w="9962" w:type="dxa"/>
            <w:gridSpan w:val="2"/>
          </w:tcPr>
          <w:p w14:paraId="5D93D24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Palyginamasis efektyvumas</w:t>
            </w:r>
          </w:p>
          <w:p w14:paraId="0AF5D6B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28A0C814" w14:textId="77777777" w:rsidTr="00BD1E5A">
        <w:tc>
          <w:tcPr>
            <w:tcW w:w="4981" w:type="dxa"/>
          </w:tcPr>
          <w:p w14:paraId="216769B5" w14:textId="0FE22E3A"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A02417" w:rsidRPr="00F832F8">
                  <w:rPr>
                    <w:rStyle w:val="Style2"/>
                    <w:rFonts w:ascii="MS Gothic" w:eastAsia="MS Gothic" w:hAnsi="MS Gothic"/>
                    <w:sz w:val="24"/>
                  </w:rPr>
                  <w:t>☒</w:t>
                </w:r>
              </w:sdtContent>
            </w:sdt>
            <w:r w:rsidR="00B13D65" w:rsidRPr="00F832F8">
              <w:t xml:space="preserve"> 32.1. yra didesnis</w:t>
            </w:r>
          </w:p>
          <w:p w14:paraId="3B48F372"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F832F8"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32.1. iš esmės nesiskiria</w:t>
            </w:r>
          </w:p>
        </w:tc>
        <w:tc>
          <w:tcPr>
            <w:tcW w:w="4981" w:type="dxa"/>
          </w:tcPr>
          <w:p w14:paraId="507828D9" w14:textId="09AE523F"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mažesnis</w:t>
            </w:r>
          </w:p>
          <w:p w14:paraId="7F95DEEC"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neįrodytas kaip toks pat</w:t>
            </w:r>
          </w:p>
          <w:p w14:paraId="35205E8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662983" w:rsidRPr="00F832F8">
              <w:t xml:space="preserve"> 33.1 </w:t>
            </w:r>
            <w:r w:rsidR="00B13D65" w:rsidRPr="00F832F8">
              <w:t>neįrodytas kaip didesnis</w:t>
            </w:r>
          </w:p>
          <w:p w14:paraId="512E653B"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pateikti duomenys apie palyginamąjį efektyvumą yra netinkami vertinti</w:t>
            </w:r>
          </w:p>
          <w:p w14:paraId="5DDAA96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61CC3FE" w14:textId="77777777" w:rsidTr="00BD1E5A">
        <w:tc>
          <w:tcPr>
            <w:tcW w:w="9962" w:type="dxa"/>
            <w:gridSpan w:val="2"/>
          </w:tcPr>
          <w:p w14:paraId="3B2878F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lastRenderedPageBreak/>
              <w:t>Klinikinis veiksmingumas</w:t>
            </w:r>
          </w:p>
          <w:p w14:paraId="1AB4689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3C60570A" w14:textId="77777777" w:rsidTr="00BD1E5A">
        <w:tc>
          <w:tcPr>
            <w:tcW w:w="4981" w:type="dxa"/>
          </w:tcPr>
          <w:p w14:paraId="6897B306" w14:textId="18535954"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A02417" w:rsidRPr="00F832F8">
                  <w:rPr>
                    <w:rStyle w:val="Style2"/>
                    <w:rFonts w:ascii="MS Gothic" w:eastAsia="MS Gothic" w:hAnsi="MS Gothic"/>
                    <w:sz w:val="24"/>
                  </w:rPr>
                  <w:t>☒</w:t>
                </w:r>
              </w:sdtContent>
            </w:sdt>
            <w:r w:rsidR="00B13D65" w:rsidRPr="00F832F8">
              <w:t xml:space="preserve"> 32.2. yra įvertintas kaip pagrindžiantis papildomos naudos pacientų sveikatai sukūrimą, lyginant su įprasta klinikine praktika</w:t>
            </w:r>
          </w:p>
          <w:p w14:paraId="71D5710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32.2. įvertintas kaip pagrindžiantis nesiskiriančios naudos pacientų sveikatai sukūrimą, lyginant su įprasta klinikine praktika</w:t>
            </w:r>
          </w:p>
          <w:p w14:paraId="287AD233"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F832F8"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įvertintas kaip nepagrindžiantis papildomos </w:t>
            </w:r>
            <w:r w:rsidR="00662983" w:rsidRPr="00F832F8">
              <w:t>naudos pacientų sveikatai sukūrimo, lyginant su  įprasta klinikine praktika.</w:t>
            </w:r>
          </w:p>
          <w:p w14:paraId="6C70BCFC" w14:textId="77777777" w:rsidR="00662983" w:rsidRPr="00F832F8" w:rsidRDefault="00662983" w:rsidP="00BD1E5A">
            <w:pPr>
              <w:jc w:val="both"/>
            </w:pPr>
          </w:p>
          <w:p w14:paraId="0ADEC30D" w14:textId="25150412" w:rsidR="00B13D65" w:rsidRPr="00F832F8"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B13D65" w:rsidRPr="00F832F8">
              <w:t xml:space="preserve"> </w:t>
            </w:r>
            <w:r w:rsidR="00662983" w:rsidRPr="00F832F8">
              <w:t xml:space="preserve">33.1. </w:t>
            </w:r>
            <w:r w:rsidR="00B13D65" w:rsidRPr="00F832F8">
              <w:t>nesiskiriančios naudos pacientų sveikatai sukūrimo, lyginant su įprasta klinikine praktika.</w:t>
            </w:r>
          </w:p>
          <w:p w14:paraId="1EED790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C75AE76" w14:textId="77777777" w:rsidTr="00BD1E5A">
        <w:tc>
          <w:tcPr>
            <w:tcW w:w="9962" w:type="dxa"/>
            <w:gridSpan w:val="2"/>
          </w:tcPr>
          <w:p w14:paraId="56F7FA3E"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Kaštų naudingumas</w:t>
            </w:r>
          </w:p>
          <w:p w14:paraId="0247EDAD"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7091A05B" w14:textId="77777777" w:rsidTr="00BD1E5A">
        <w:tc>
          <w:tcPr>
            <w:tcW w:w="4981" w:type="dxa"/>
          </w:tcPr>
          <w:p w14:paraId="69B2A994" w14:textId="4C6B1A60"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B35A46">
                  <w:rPr>
                    <w:rStyle w:val="Style2"/>
                    <w:rFonts w:ascii="MS Gothic" w:eastAsia="MS Gothic" w:hAnsi="MS Gothic" w:hint="eastAsia"/>
                    <w:sz w:val="24"/>
                  </w:rPr>
                  <w:t>☒</w:t>
                </w:r>
              </w:sdtContent>
            </w:sdt>
            <w:r w:rsidR="00B13D65" w:rsidRPr="00F832F8">
              <w:t xml:space="preserve"> 32.3. atitinka referencinę naudingumo vertę</w:t>
            </w:r>
            <w:r w:rsidR="00F832F8">
              <w:t xml:space="preserve"> </w:t>
            </w:r>
          </w:p>
          <w:p w14:paraId="3F76F153"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572FF56B" w:rsidR="00B13D65" w:rsidRPr="00F832F8"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32.3. gydymo juo kaštai yra mažesni ar tokie patys esant iš esmės nesiskiriančiam palyginamajam efektyvumui</w:t>
            </w:r>
            <w:r w:rsidR="00F832F8">
              <w:t xml:space="preserve"> </w:t>
            </w:r>
          </w:p>
        </w:tc>
        <w:tc>
          <w:tcPr>
            <w:tcW w:w="4981" w:type="dxa"/>
          </w:tcPr>
          <w:p w14:paraId="53380063" w14:textId="4591F41D"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CE12C2">
                  <w:rPr>
                    <w:rStyle w:val="Style2"/>
                    <w:rFonts w:ascii="MS Gothic" w:eastAsia="MS Gothic" w:hAnsi="MS Gothic" w:hint="eastAsia"/>
                    <w:sz w:val="24"/>
                  </w:rPr>
                  <w:t>☐</w:t>
                </w:r>
              </w:sdtContent>
            </w:sdt>
            <w:r w:rsidR="00B13D65" w:rsidRPr="00F832F8">
              <w:t xml:space="preserve"> 33.3. neatitinka referencinės naudingumo vertės Lietuvos Respublikoje;</w:t>
            </w:r>
          </w:p>
          <w:p w14:paraId="229ED51A"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5443A6E"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33.3. gydymo juo kaštai yra didesni esant iš esmės nesiskiriančiam palyginamajam efektyvumui</w:t>
            </w:r>
            <w:r w:rsidR="00F832F8">
              <w:t xml:space="preserve"> </w:t>
            </w:r>
          </w:p>
          <w:p w14:paraId="4A9C7D2A"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7BEE5EC"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A02417" w:rsidRPr="00F832F8">
                  <w:rPr>
                    <w:rStyle w:val="Style2"/>
                    <w:rFonts w:ascii="MS Gothic" w:eastAsia="MS Gothic" w:hAnsi="MS Gothic"/>
                    <w:sz w:val="24"/>
                  </w:rPr>
                  <w:t>☐</w:t>
                </w:r>
              </w:sdtContent>
            </w:sdt>
            <w:r w:rsidR="00B13D65" w:rsidRPr="00F832F8">
              <w:t xml:space="preserve"> 33.3. pateikti duomenys apie kaštų na</w:t>
            </w:r>
            <w:r w:rsidR="00662983" w:rsidRPr="00F832F8">
              <w:t>udingumą yra netinkami vertinti</w:t>
            </w:r>
          </w:p>
          <w:p w14:paraId="470A48A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392787F7" w:rsidR="004A3A61" w:rsidRPr="00F832F8" w:rsidRDefault="004A3A61" w:rsidP="00381024"/>
    <w:p w14:paraId="154D0E30" w14:textId="0AE14ACE" w:rsidR="0067695E" w:rsidRPr="00F832F8" w:rsidRDefault="0067695E" w:rsidP="0067695E">
      <w:pPr>
        <w:ind w:firstLine="360"/>
        <w:rPr>
          <w:b/>
        </w:rPr>
      </w:pPr>
      <w:r w:rsidRPr="006A68DE">
        <w:rPr>
          <w:b/>
        </w:rPr>
        <w:t>7. REKOMENDACIJA</w:t>
      </w:r>
    </w:p>
    <w:p w14:paraId="4825FA77" w14:textId="77777777" w:rsidR="0067695E" w:rsidRPr="00F832F8" w:rsidRDefault="0067695E" w:rsidP="0067695E">
      <w:pPr>
        <w:rPr>
          <w:b/>
        </w:rPr>
      </w:pPr>
    </w:p>
    <w:p w14:paraId="351589D4" w14:textId="36A90FA3" w:rsidR="00B35A46" w:rsidRPr="00E33EFF" w:rsidRDefault="00A02417" w:rsidP="00B35A46">
      <w:pPr>
        <w:spacing w:line="276" w:lineRule="auto"/>
        <w:ind w:firstLine="360"/>
        <w:jc w:val="both"/>
      </w:pPr>
      <w:r w:rsidRPr="00F832F8">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00B35A46" w:rsidRPr="00E33EFF">
        <w:t xml:space="preserve">34.1. rekomenduojama </w:t>
      </w:r>
      <w:r w:rsidR="00B35A46" w:rsidRPr="00E33EFF">
        <w:rPr>
          <w:i/>
        </w:rPr>
        <w:t xml:space="preserve">kompensuoti </w:t>
      </w:r>
      <w:r w:rsidR="00B35A46" w:rsidRPr="00E33EFF">
        <w:t>vaistinį prepa</w:t>
      </w:r>
      <w:r w:rsidR="00B35A46">
        <w:t xml:space="preserve">ratą pagal paraiškoje nurodytą indikaciją, </w:t>
      </w:r>
      <w:r w:rsidR="00B35A46" w:rsidRPr="00E33EFF">
        <w:t>su skyrimo sąlygomis</w:t>
      </w:r>
      <w:r w:rsidR="00B35A46">
        <w:t>, taikant</w:t>
      </w:r>
      <w:r w:rsidR="0024160E">
        <w:t xml:space="preserve"> ******</w:t>
      </w:r>
      <w:r w:rsidR="00B35A46" w:rsidRPr="00E33EFF">
        <w:t>, dėl didesnio palyginamojo efektyvumo ir gydymo sukuriamos papildomos naudos pacientų sveikatai, lyginant su įprasta klinikine praktika, ir atitikties r</w:t>
      </w:r>
      <w:r w:rsidR="00B35A46">
        <w:t>eferencinei naudingumo vertei.</w:t>
      </w:r>
    </w:p>
    <w:p w14:paraId="36D4D542" w14:textId="271FBCE5" w:rsidR="0067695E" w:rsidRPr="002646C7" w:rsidRDefault="0067695E" w:rsidP="006A68DE">
      <w:pPr>
        <w:spacing w:line="276" w:lineRule="auto"/>
        <w:jc w:val="both"/>
        <w:rPr>
          <w:color w:val="000000"/>
        </w:rPr>
      </w:pPr>
    </w:p>
    <w:p w14:paraId="1E061108" w14:textId="50DB8960" w:rsidR="0067695E" w:rsidRPr="00F832F8" w:rsidRDefault="00B35A46" w:rsidP="00B35A46">
      <w:pPr>
        <w:tabs>
          <w:tab w:val="left" w:pos="426"/>
        </w:tabs>
        <w:spacing w:line="276" w:lineRule="auto"/>
        <w:jc w:val="both"/>
        <w:rPr>
          <w:b/>
          <w:color w:val="000000"/>
          <w:lang w:eastAsia="lt-LT"/>
        </w:rPr>
      </w:pPr>
      <w:r>
        <w:rPr>
          <w:b/>
          <w:color w:val="000000"/>
          <w:lang w:eastAsia="lt-LT"/>
        </w:rPr>
        <w:tab/>
      </w:r>
      <w:r w:rsidR="0067695E" w:rsidRPr="00F832F8">
        <w:rPr>
          <w:b/>
          <w:color w:val="000000"/>
          <w:lang w:eastAsia="lt-LT"/>
        </w:rPr>
        <w:t xml:space="preserve">8. SIŪLOMOS KOMPENSUOTI TERAPINĖS INDIKACIJOS IR SKYRIMO SĄLYGOS </w:t>
      </w:r>
    </w:p>
    <w:p w14:paraId="69C82164" w14:textId="77777777" w:rsidR="0067695E" w:rsidRPr="00F832F8" w:rsidRDefault="0067695E" w:rsidP="006A68DE">
      <w:pPr>
        <w:tabs>
          <w:tab w:val="left" w:pos="426"/>
        </w:tabs>
        <w:spacing w:line="276" w:lineRule="auto"/>
        <w:jc w:val="both"/>
        <w:rPr>
          <w:b/>
          <w:color w:val="000000"/>
          <w:lang w:eastAsia="lt-LT"/>
        </w:rPr>
      </w:pPr>
    </w:p>
    <w:p w14:paraId="640A1108" w14:textId="77777777" w:rsidR="00AC33D8" w:rsidRPr="00F832F8" w:rsidRDefault="00AC33D8" w:rsidP="00A83922">
      <w:pPr>
        <w:tabs>
          <w:tab w:val="left" w:pos="426"/>
        </w:tabs>
        <w:spacing w:line="276" w:lineRule="auto"/>
        <w:jc w:val="both"/>
        <w:rPr>
          <w:b/>
          <w:color w:val="000000"/>
          <w:lang w:eastAsia="lt-LT"/>
        </w:rPr>
      </w:pPr>
      <w:r w:rsidRPr="00F832F8">
        <w:rPr>
          <w:b/>
          <w:color w:val="000000"/>
          <w:lang w:eastAsia="lt-LT"/>
        </w:rPr>
        <w:t>Terapinės indikacijos</w:t>
      </w:r>
    </w:p>
    <w:p w14:paraId="713C51B8" w14:textId="77777777" w:rsidR="00AC33D8" w:rsidRPr="00F832F8" w:rsidRDefault="00000000" w:rsidP="004D377E">
      <w:pPr>
        <w:pStyle w:val="ListParagraph"/>
        <w:spacing w:after="120" w:line="276" w:lineRule="auto"/>
        <w:ind w:left="0"/>
        <w:contextualSpacing w:val="0"/>
        <w:jc w:val="both"/>
      </w:pPr>
      <w:sdt>
        <w:sdtPr>
          <w:rPr>
            <w:rStyle w:val="Style2"/>
          </w:rPr>
          <w:id w:val="1146316688"/>
          <w15:color w:val="FFCC00"/>
          <w14:checkbox>
            <w14:checked w14:val="1"/>
            <w14:checkedState w14:val="2612" w14:font="MS Gothic"/>
            <w14:uncheckedState w14:val="2610" w14:font="MS Gothic"/>
          </w14:checkbox>
        </w:sdtPr>
        <w:sdtContent>
          <w:r w:rsidR="00AC33D8" w:rsidRPr="00F832F8">
            <w:rPr>
              <w:rStyle w:val="Style2"/>
              <w:rFonts w:ascii="MS Gothic" w:eastAsia="MS Gothic" w:hAnsi="MS Gothic"/>
            </w:rPr>
            <w:t>☒</w:t>
          </w:r>
        </w:sdtContent>
      </w:sdt>
      <w:r w:rsidR="00AC33D8" w:rsidRPr="00F832F8">
        <w:t xml:space="preserve"> Siūloma kompensuoti Pareiškėjo teikiamą indikaciją be pakeitimų.</w:t>
      </w:r>
    </w:p>
    <w:p w14:paraId="6AFE8CFC" w14:textId="77777777" w:rsidR="00CE12C2" w:rsidRDefault="00CE12C2" w:rsidP="00CE12C2">
      <w:pPr>
        <w:pStyle w:val="ListParagraph"/>
        <w:spacing w:after="120"/>
        <w:ind w:left="0"/>
        <w:contextualSpacing w:val="0"/>
        <w:jc w:val="both"/>
      </w:pPr>
      <w:r>
        <w:t xml:space="preserve">Metastazinės ar lokaliai išplitusios odos plokščiųjų ląstelių karcinomos (mOPLK ar liOPLK) gydymui monoterapija. </w:t>
      </w:r>
    </w:p>
    <w:p w14:paraId="10B44EEC" w14:textId="1E72C4A0" w:rsidR="00CE12C2" w:rsidRDefault="00000000" w:rsidP="004D377E">
      <w:pPr>
        <w:pStyle w:val="ListParagraph"/>
        <w:spacing w:after="120" w:line="276" w:lineRule="auto"/>
        <w:ind w:left="0"/>
        <w:contextualSpacing w:val="0"/>
        <w:jc w:val="both"/>
      </w:pPr>
      <w:sdt>
        <w:sdtPr>
          <w:rPr>
            <w:rStyle w:val="Style2"/>
          </w:rPr>
          <w:id w:val="1467245146"/>
          <w15:color w:val="FFCC00"/>
          <w14:checkbox>
            <w14:checked w14:val="0"/>
            <w14:checkedState w14:val="2612" w14:font="MS Gothic"/>
            <w14:uncheckedState w14:val="2610" w14:font="MS Gothic"/>
          </w14:checkbox>
        </w:sdtPr>
        <w:sdtContent>
          <w:r w:rsidR="00AC33D8" w:rsidRPr="00F832F8">
            <w:rPr>
              <w:rStyle w:val="Style2"/>
              <w:rFonts w:ascii="MS Gothic" w:eastAsia="MS Gothic" w:hAnsi="MS Gothic"/>
            </w:rPr>
            <w:t>☐</w:t>
          </w:r>
        </w:sdtContent>
      </w:sdt>
      <w:r w:rsidR="00AC33D8" w:rsidRPr="00F832F8">
        <w:t xml:space="preserve"> Siūloma kompensuoti Pareiškėjo teikiamą indikaciją su pakeitimais.</w:t>
      </w:r>
    </w:p>
    <w:p w14:paraId="454E94F5" w14:textId="5A342B6C" w:rsidR="00AC33D8" w:rsidRPr="00DE1992" w:rsidRDefault="00C33602" w:rsidP="004D377E">
      <w:pPr>
        <w:pStyle w:val="ListParagraph"/>
        <w:spacing w:after="120" w:line="276" w:lineRule="auto"/>
        <w:ind w:left="0"/>
        <w:contextualSpacing w:val="0"/>
        <w:jc w:val="both"/>
      </w:pPr>
      <w:r>
        <w:rPr>
          <w:b/>
          <w:color w:val="000000"/>
          <w:lang w:eastAsia="lt-LT"/>
        </w:rPr>
        <w:lastRenderedPageBreak/>
        <w:t>S</w:t>
      </w:r>
      <w:r w:rsidR="00AC33D8" w:rsidRPr="00DE1992">
        <w:rPr>
          <w:b/>
          <w:color w:val="000000"/>
          <w:lang w:eastAsia="lt-LT"/>
        </w:rPr>
        <w:t>kyrimo sąlygos</w:t>
      </w:r>
    </w:p>
    <w:p w14:paraId="72B5567D" w14:textId="1950D657" w:rsidR="00AC33D8" w:rsidRPr="00F832F8" w:rsidRDefault="00000000" w:rsidP="00F832F8">
      <w:pPr>
        <w:pStyle w:val="ListParagraph"/>
        <w:spacing w:after="120" w:line="276" w:lineRule="auto"/>
        <w:ind w:left="0"/>
        <w:contextualSpacing w:val="0"/>
        <w:jc w:val="both"/>
      </w:pPr>
      <w:sdt>
        <w:sdtPr>
          <w:rPr>
            <w:rStyle w:val="Style2"/>
          </w:rPr>
          <w:id w:val="1030915415"/>
          <w15:color w:val="FFCC00"/>
          <w14:checkbox>
            <w14:checked w14:val="0"/>
            <w14:checkedState w14:val="2612" w14:font="MS Gothic"/>
            <w14:uncheckedState w14:val="2610" w14:font="MS Gothic"/>
          </w14:checkbox>
        </w:sdtPr>
        <w:sdtContent>
          <w:r w:rsidR="00AC33D8" w:rsidRPr="00F832F8">
            <w:rPr>
              <w:rStyle w:val="Style2"/>
              <w:rFonts w:ascii="MS Gothic" w:eastAsia="MS Gothic" w:hAnsi="MS Gothic"/>
            </w:rPr>
            <w:t>☐</w:t>
          </w:r>
        </w:sdtContent>
      </w:sdt>
      <w:r w:rsidR="00AC33D8" w:rsidRPr="00F832F8">
        <w:t xml:space="preserve"> Pareiškėjo </w:t>
      </w:r>
      <w:r w:rsidR="004719D4">
        <w:t>siūlomos</w:t>
      </w:r>
      <w:r w:rsidR="00AC33D8" w:rsidRPr="00F832F8">
        <w:t xml:space="preserve"> skyrimo sąlygos priimtinos.</w:t>
      </w:r>
    </w:p>
    <w:p w14:paraId="31C3F14C" w14:textId="75C85165" w:rsidR="00AC33D8" w:rsidRPr="00F832F8" w:rsidRDefault="00000000" w:rsidP="00F832F8">
      <w:pPr>
        <w:pStyle w:val="ListParagraph"/>
        <w:spacing w:after="120" w:line="276" w:lineRule="auto"/>
        <w:ind w:left="0"/>
        <w:contextualSpacing w:val="0"/>
        <w:jc w:val="both"/>
      </w:pPr>
      <w:sdt>
        <w:sdtPr>
          <w:rPr>
            <w:rStyle w:val="Style2"/>
          </w:rPr>
          <w:id w:val="-947620586"/>
          <w15:color w:val="FFCC00"/>
          <w14:checkbox>
            <w14:checked w14:val="1"/>
            <w14:checkedState w14:val="2612" w14:font="MS Gothic"/>
            <w14:uncheckedState w14:val="2610" w14:font="MS Gothic"/>
          </w14:checkbox>
        </w:sdtPr>
        <w:sdtContent>
          <w:r w:rsidR="00AC33D8" w:rsidRPr="00F832F8">
            <w:rPr>
              <w:rStyle w:val="Style2"/>
              <w:rFonts w:ascii="MS Gothic" w:eastAsia="MS Gothic" w:hAnsi="MS Gothic"/>
            </w:rPr>
            <w:t>☒</w:t>
          </w:r>
        </w:sdtContent>
      </w:sdt>
      <w:r w:rsidR="00AC33D8" w:rsidRPr="00F832F8">
        <w:t xml:space="preserve"> Pareiškėjo </w:t>
      </w:r>
      <w:r w:rsidR="004719D4">
        <w:t>siūlomos</w:t>
      </w:r>
      <w:r w:rsidR="00AC33D8" w:rsidRPr="00F832F8">
        <w:t xml:space="preserve"> skyrimo sąlygos nepriimtinos.</w:t>
      </w:r>
    </w:p>
    <w:p w14:paraId="450CBC10" w14:textId="77777777" w:rsidR="00AC33D8" w:rsidRPr="00DE1992" w:rsidRDefault="00AC33D8" w:rsidP="00DE1992">
      <w:pPr>
        <w:pStyle w:val="ListParagraph"/>
        <w:spacing w:after="120" w:line="276" w:lineRule="auto"/>
        <w:ind w:left="0"/>
        <w:contextualSpacing w:val="0"/>
        <w:jc w:val="both"/>
      </w:pPr>
      <w:bookmarkStart w:id="3" w:name="_Hlk129291274"/>
      <w:r w:rsidRPr="00DE1992">
        <w:t>Siūlomos skyrimo sąlygos:</w:t>
      </w:r>
    </w:p>
    <w:bookmarkEnd w:id="3"/>
    <w:p w14:paraId="7001E161" w14:textId="77777777" w:rsidR="00CE12C2" w:rsidRPr="0002553B" w:rsidRDefault="00CE12C2" w:rsidP="002D1BBB">
      <w:pPr>
        <w:pStyle w:val="NoSpacing"/>
        <w:spacing w:line="276" w:lineRule="auto"/>
        <w:jc w:val="both"/>
        <w:rPr>
          <w:rFonts w:ascii="Times New Roman" w:hAnsi="Times New Roman"/>
          <w:sz w:val="24"/>
          <w:szCs w:val="24"/>
        </w:rPr>
      </w:pPr>
      <w:r w:rsidRPr="00FE6ED8">
        <w:rPr>
          <w:rFonts w:ascii="Times New Roman" w:hAnsi="Times New Roman"/>
          <w:sz w:val="24"/>
          <w:szCs w:val="24"/>
        </w:rPr>
        <w:t>18 metų ir vyresniems pacientams, atitinkantiems šiuos kriterijus</w:t>
      </w:r>
      <w:r>
        <w:rPr>
          <w:rFonts w:ascii="Times New Roman" w:hAnsi="Times New Roman"/>
          <w:sz w:val="24"/>
          <w:szCs w:val="24"/>
        </w:rPr>
        <w:t>:</w:t>
      </w:r>
    </w:p>
    <w:p w14:paraId="13302B52" w14:textId="79A54460" w:rsidR="00CE12C2" w:rsidRDefault="00CE12C2" w:rsidP="002D1BBB">
      <w:pPr>
        <w:pStyle w:val="NoSpacing"/>
        <w:numPr>
          <w:ilvl w:val="0"/>
          <w:numId w:val="18"/>
        </w:numPr>
        <w:spacing w:line="276" w:lineRule="auto"/>
        <w:jc w:val="both"/>
        <w:rPr>
          <w:rFonts w:ascii="Times New Roman" w:hAnsi="Times New Roman"/>
          <w:sz w:val="24"/>
          <w:szCs w:val="24"/>
          <w:lang w:eastAsia="lt-LT"/>
        </w:rPr>
      </w:pPr>
      <w:r w:rsidRPr="00FE6ED8">
        <w:rPr>
          <w:rFonts w:ascii="Times New Roman" w:hAnsi="Times New Roman"/>
          <w:sz w:val="24"/>
          <w:szCs w:val="24"/>
          <w:lang w:eastAsia="lt-LT"/>
        </w:rPr>
        <w:t xml:space="preserve">Tretinio lygio gydymo </w:t>
      </w:r>
      <w:r w:rsidR="00A95103">
        <w:rPr>
          <w:rFonts w:ascii="Times New Roman" w:hAnsi="Times New Roman"/>
          <w:sz w:val="24"/>
          <w:szCs w:val="24"/>
          <w:lang w:eastAsia="lt-LT"/>
        </w:rPr>
        <w:t>įstaigos</w:t>
      </w:r>
      <w:r w:rsidRPr="00FE6ED8">
        <w:rPr>
          <w:rFonts w:ascii="Times New Roman" w:hAnsi="Times New Roman"/>
          <w:sz w:val="24"/>
          <w:szCs w:val="24"/>
          <w:lang w:eastAsia="lt-LT"/>
        </w:rPr>
        <w:t xml:space="preserve"> onkologijos multidisciplinin</w:t>
      </w:r>
      <w:r w:rsidR="00F4280E">
        <w:rPr>
          <w:rFonts w:ascii="Times New Roman" w:hAnsi="Times New Roman"/>
          <w:sz w:val="24"/>
          <w:szCs w:val="24"/>
          <w:lang w:eastAsia="lt-LT"/>
        </w:rPr>
        <w:t>io gydytojų konsiliumo</w:t>
      </w:r>
      <w:r w:rsidRPr="00FE6ED8">
        <w:rPr>
          <w:rFonts w:ascii="Times New Roman" w:hAnsi="Times New Roman"/>
          <w:sz w:val="24"/>
          <w:szCs w:val="24"/>
          <w:lang w:eastAsia="lt-LT"/>
        </w:rPr>
        <w:t xml:space="preserve"> </w:t>
      </w:r>
      <w:r w:rsidR="00A95103">
        <w:rPr>
          <w:rFonts w:ascii="Times New Roman" w:hAnsi="Times New Roman"/>
          <w:sz w:val="24"/>
          <w:szCs w:val="24"/>
          <w:lang w:eastAsia="lt-LT"/>
        </w:rPr>
        <w:t>nustatyta</w:t>
      </w:r>
      <w:r w:rsidRPr="00FE6ED8">
        <w:rPr>
          <w:rFonts w:ascii="Times New Roman" w:hAnsi="Times New Roman"/>
          <w:sz w:val="24"/>
          <w:szCs w:val="24"/>
          <w:lang w:eastAsia="lt-LT"/>
        </w:rPr>
        <w:t>, kad chirurginis ar spindulinis  mOPLK ar liOPLK gydymas yra negalimas;</w:t>
      </w:r>
    </w:p>
    <w:p w14:paraId="2384812D" w14:textId="2E5F4B03" w:rsidR="004719D4" w:rsidRDefault="00A95103" w:rsidP="002D1BBB">
      <w:pPr>
        <w:pStyle w:val="NoSpacing"/>
        <w:numPr>
          <w:ilvl w:val="0"/>
          <w:numId w:val="18"/>
        </w:numPr>
        <w:spacing w:line="276" w:lineRule="auto"/>
        <w:jc w:val="both"/>
        <w:rPr>
          <w:rFonts w:ascii="Times New Roman" w:hAnsi="Times New Roman"/>
          <w:sz w:val="24"/>
          <w:szCs w:val="24"/>
          <w:lang w:eastAsia="lt-LT"/>
        </w:rPr>
      </w:pPr>
      <w:r>
        <w:rPr>
          <w:rFonts w:ascii="Times New Roman" w:hAnsi="Times New Roman"/>
          <w:sz w:val="24"/>
          <w:szCs w:val="24"/>
          <w:lang w:eastAsia="lt-LT"/>
        </w:rPr>
        <w:t>G</w:t>
      </w:r>
      <w:r w:rsidR="00CE12C2">
        <w:rPr>
          <w:rFonts w:ascii="Times New Roman" w:hAnsi="Times New Roman"/>
          <w:sz w:val="24"/>
          <w:szCs w:val="24"/>
          <w:lang w:eastAsia="lt-LT"/>
        </w:rPr>
        <w:t xml:space="preserve">era </w:t>
      </w:r>
      <w:r>
        <w:rPr>
          <w:rFonts w:ascii="Times New Roman" w:hAnsi="Times New Roman"/>
          <w:sz w:val="24"/>
          <w:szCs w:val="24"/>
          <w:lang w:eastAsia="lt-LT"/>
        </w:rPr>
        <w:t xml:space="preserve">paciento </w:t>
      </w:r>
      <w:r w:rsidR="00CE12C2">
        <w:rPr>
          <w:rFonts w:ascii="Times New Roman" w:hAnsi="Times New Roman"/>
          <w:sz w:val="24"/>
          <w:szCs w:val="24"/>
          <w:lang w:eastAsia="lt-LT"/>
        </w:rPr>
        <w:t>funkcinė būklė (ECOG 0 ar 1).</w:t>
      </w:r>
    </w:p>
    <w:p w14:paraId="386DFD40" w14:textId="68BFDCBF" w:rsidR="003F42C0" w:rsidRPr="004719D4" w:rsidRDefault="004719D4" w:rsidP="002D1BBB">
      <w:pPr>
        <w:pStyle w:val="NoSpacing"/>
        <w:numPr>
          <w:ilvl w:val="0"/>
          <w:numId w:val="18"/>
        </w:numPr>
        <w:spacing w:line="276" w:lineRule="auto"/>
        <w:jc w:val="both"/>
        <w:rPr>
          <w:rFonts w:ascii="Times New Roman" w:hAnsi="Times New Roman"/>
          <w:sz w:val="24"/>
          <w:szCs w:val="24"/>
          <w:lang w:eastAsia="lt-LT"/>
        </w:rPr>
      </w:pPr>
      <w:r w:rsidRPr="004719D4">
        <w:rPr>
          <w:rFonts w:ascii="Times New Roman" w:hAnsi="Times New Roman"/>
          <w:sz w:val="24"/>
          <w:szCs w:val="24"/>
        </w:rPr>
        <w:t>Gydymas tęsiamas iki nepriimtino toksinio poveikio atsiradimo, ligos progresavimo arba planuoto gydymo užbaigimo, bet ne ilgiau kaip 96 savaites.</w:t>
      </w:r>
    </w:p>
    <w:sectPr w:rsidR="003F42C0" w:rsidRPr="004719D4"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227B" w14:textId="77777777" w:rsidR="00A32CCE" w:rsidRDefault="00A32CCE">
      <w:r>
        <w:separator/>
      </w:r>
    </w:p>
  </w:endnote>
  <w:endnote w:type="continuationSeparator" w:id="0">
    <w:p w14:paraId="46AD5275" w14:textId="77777777" w:rsidR="00A32CCE" w:rsidRDefault="00A3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0E75" w14:textId="77777777" w:rsidR="00A32CCE" w:rsidRDefault="00A32CCE">
      <w:r>
        <w:separator/>
      </w:r>
    </w:p>
  </w:footnote>
  <w:footnote w:type="continuationSeparator" w:id="0">
    <w:p w14:paraId="2664E431" w14:textId="77777777" w:rsidR="00A32CCE" w:rsidRDefault="00A3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7C236D0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E5E">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5487720">
    <w:abstractNumId w:val="8"/>
  </w:num>
  <w:num w:numId="2" w16cid:durableId="1111316365">
    <w:abstractNumId w:val="1"/>
  </w:num>
  <w:num w:numId="3" w16cid:durableId="449133358">
    <w:abstractNumId w:val="10"/>
  </w:num>
  <w:num w:numId="4" w16cid:durableId="633487335">
    <w:abstractNumId w:val="9"/>
  </w:num>
  <w:num w:numId="5" w16cid:durableId="72624140">
    <w:abstractNumId w:val="6"/>
  </w:num>
  <w:num w:numId="6" w16cid:durableId="1571307998">
    <w:abstractNumId w:val="5"/>
  </w:num>
  <w:num w:numId="7" w16cid:durableId="1556891305">
    <w:abstractNumId w:val="3"/>
  </w:num>
  <w:num w:numId="8" w16cid:durableId="1515343486">
    <w:abstractNumId w:val="15"/>
  </w:num>
  <w:num w:numId="9" w16cid:durableId="423310372">
    <w:abstractNumId w:val="0"/>
  </w:num>
  <w:num w:numId="10" w16cid:durableId="1698045300">
    <w:abstractNumId w:val="11"/>
  </w:num>
  <w:num w:numId="11" w16cid:durableId="1077046467">
    <w:abstractNumId w:val="13"/>
  </w:num>
  <w:num w:numId="12" w16cid:durableId="715590829">
    <w:abstractNumId w:val="2"/>
  </w:num>
  <w:num w:numId="13" w16cid:durableId="372729806">
    <w:abstractNumId w:val="4"/>
  </w:num>
  <w:num w:numId="14" w16cid:durableId="1594705425">
    <w:abstractNumId w:val="16"/>
  </w:num>
  <w:num w:numId="15" w16cid:durableId="2009206042">
    <w:abstractNumId w:val="17"/>
  </w:num>
  <w:num w:numId="16" w16cid:durableId="820580530">
    <w:abstractNumId w:val="14"/>
  </w:num>
  <w:num w:numId="17" w16cid:durableId="472524568">
    <w:abstractNumId w:val="7"/>
  </w:num>
  <w:num w:numId="18" w16cid:durableId="1417819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37"/>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A3817"/>
    <w:rsid w:val="000C454C"/>
    <w:rsid w:val="000D5038"/>
    <w:rsid w:val="000E23F8"/>
    <w:rsid w:val="000E29D4"/>
    <w:rsid w:val="000F3540"/>
    <w:rsid w:val="000F7BB1"/>
    <w:rsid w:val="00100491"/>
    <w:rsid w:val="00104E2E"/>
    <w:rsid w:val="00107287"/>
    <w:rsid w:val="001141D2"/>
    <w:rsid w:val="00117406"/>
    <w:rsid w:val="00121EF0"/>
    <w:rsid w:val="00124A9E"/>
    <w:rsid w:val="00130703"/>
    <w:rsid w:val="0013153F"/>
    <w:rsid w:val="001408B8"/>
    <w:rsid w:val="00151EF1"/>
    <w:rsid w:val="001521D9"/>
    <w:rsid w:val="001554E2"/>
    <w:rsid w:val="00163CCD"/>
    <w:rsid w:val="00164146"/>
    <w:rsid w:val="0017369C"/>
    <w:rsid w:val="00180C39"/>
    <w:rsid w:val="00180D96"/>
    <w:rsid w:val="001921F3"/>
    <w:rsid w:val="001B3C5B"/>
    <w:rsid w:val="001E4BBB"/>
    <w:rsid w:val="001E5EE8"/>
    <w:rsid w:val="001E6304"/>
    <w:rsid w:val="0020381E"/>
    <w:rsid w:val="00212BA2"/>
    <w:rsid w:val="00213471"/>
    <w:rsid w:val="00215906"/>
    <w:rsid w:val="00221996"/>
    <w:rsid w:val="0024160E"/>
    <w:rsid w:val="00251E4D"/>
    <w:rsid w:val="0025697F"/>
    <w:rsid w:val="00260258"/>
    <w:rsid w:val="002646C7"/>
    <w:rsid w:val="00272428"/>
    <w:rsid w:val="00272948"/>
    <w:rsid w:val="00292562"/>
    <w:rsid w:val="002946C7"/>
    <w:rsid w:val="002A02A9"/>
    <w:rsid w:val="002B3CC1"/>
    <w:rsid w:val="002C09E0"/>
    <w:rsid w:val="002C3A10"/>
    <w:rsid w:val="002C4A90"/>
    <w:rsid w:val="002D02EF"/>
    <w:rsid w:val="002D1BBB"/>
    <w:rsid w:val="002E0702"/>
    <w:rsid w:val="002E0B89"/>
    <w:rsid w:val="002E6F80"/>
    <w:rsid w:val="002F0E4F"/>
    <w:rsid w:val="002F1053"/>
    <w:rsid w:val="00317B0E"/>
    <w:rsid w:val="00337ECA"/>
    <w:rsid w:val="00347965"/>
    <w:rsid w:val="00347FAA"/>
    <w:rsid w:val="0035172D"/>
    <w:rsid w:val="0036187D"/>
    <w:rsid w:val="00381024"/>
    <w:rsid w:val="00386307"/>
    <w:rsid w:val="003874DE"/>
    <w:rsid w:val="00393E9F"/>
    <w:rsid w:val="0039696E"/>
    <w:rsid w:val="00397B77"/>
    <w:rsid w:val="003B211A"/>
    <w:rsid w:val="003C141F"/>
    <w:rsid w:val="003C6B0E"/>
    <w:rsid w:val="003C7257"/>
    <w:rsid w:val="003C7E35"/>
    <w:rsid w:val="003E2B81"/>
    <w:rsid w:val="003F3FBD"/>
    <w:rsid w:val="003F42C0"/>
    <w:rsid w:val="00404E8A"/>
    <w:rsid w:val="0040622F"/>
    <w:rsid w:val="00412447"/>
    <w:rsid w:val="00423160"/>
    <w:rsid w:val="00441BDA"/>
    <w:rsid w:val="00453862"/>
    <w:rsid w:val="00461338"/>
    <w:rsid w:val="004677DB"/>
    <w:rsid w:val="00467E9F"/>
    <w:rsid w:val="004719D4"/>
    <w:rsid w:val="0048630F"/>
    <w:rsid w:val="004947A1"/>
    <w:rsid w:val="0049482A"/>
    <w:rsid w:val="004979D3"/>
    <w:rsid w:val="004A00E7"/>
    <w:rsid w:val="004A3A61"/>
    <w:rsid w:val="004B59BA"/>
    <w:rsid w:val="004C263A"/>
    <w:rsid w:val="004C35AC"/>
    <w:rsid w:val="004C603E"/>
    <w:rsid w:val="004D377E"/>
    <w:rsid w:val="004D7B8F"/>
    <w:rsid w:val="004E6458"/>
    <w:rsid w:val="004E6E7D"/>
    <w:rsid w:val="004F1AAC"/>
    <w:rsid w:val="004F1AE2"/>
    <w:rsid w:val="004F34F0"/>
    <w:rsid w:val="005005EF"/>
    <w:rsid w:val="00534E11"/>
    <w:rsid w:val="005400D9"/>
    <w:rsid w:val="005476A4"/>
    <w:rsid w:val="00547FF7"/>
    <w:rsid w:val="0055019B"/>
    <w:rsid w:val="00556E63"/>
    <w:rsid w:val="005601A4"/>
    <w:rsid w:val="00564D09"/>
    <w:rsid w:val="00566DBB"/>
    <w:rsid w:val="00577760"/>
    <w:rsid w:val="00581413"/>
    <w:rsid w:val="005976CE"/>
    <w:rsid w:val="005A23D4"/>
    <w:rsid w:val="005A2D1E"/>
    <w:rsid w:val="005C493F"/>
    <w:rsid w:val="005C6BF7"/>
    <w:rsid w:val="005C6EC1"/>
    <w:rsid w:val="005C71BF"/>
    <w:rsid w:val="005D002C"/>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62983"/>
    <w:rsid w:val="0067695E"/>
    <w:rsid w:val="006834D3"/>
    <w:rsid w:val="00692046"/>
    <w:rsid w:val="00692625"/>
    <w:rsid w:val="00695CD3"/>
    <w:rsid w:val="006A38B6"/>
    <w:rsid w:val="006A68DE"/>
    <w:rsid w:val="006B1987"/>
    <w:rsid w:val="006B5B71"/>
    <w:rsid w:val="006B6CB0"/>
    <w:rsid w:val="006C2B64"/>
    <w:rsid w:val="006D1C27"/>
    <w:rsid w:val="006D4C85"/>
    <w:rsid w:val="006E33F6"/>
    <w:rsid w:val="006F1251"/>
    <w:rsid w:val="006F1C23"/>
    <w:rsid w:val="00703166"/>
    <w:rsid w:val="007122FC"/>
    <w:rsid w:val="007127F3"/>
    <w:rsid w:val="00717173"/>
    <w:rsid w:val="007301CF"/>
    <w:rsid w:val="007316FB"/>
    <w:rsid w:val="00737E2D"/>
    <w:rsid w:val="007424D5"/>
    <w:rsid w:val="007523DD"/>
    <w:rsid w:val="00757B7E"/>
    <w:rsid w:val="007857B8"/>
    <w:rsid w:val="007935A9"/>
    <w:rsid w:val="00795DC5"/>
    <w:rsid w:val="00797153"/>
    <w:rsid w:val="007978B7"/>
    <w:rsid w:val="007B0DDA"/>
    <w:rsid w:val="007D4A26"/>
    <w:rsid w:val="007E5466"/>
    <w:rsid w:val="007E5663"/>
    <w:rsid w:val="007F1949"/>
    <w:rsid w:val="00802F25"/>
    <w:rsid w:val="00817A84"/>
    <w:rsid w:val="008225A4"/>
    <w:rsid w:val="00826D5E"/>
    <w:rsid w:val="00832013"/>
    <w:rsid w:val="00834732"/>
    <w:rsid w:val="0085200C"/>
    <w:rsid w:val="00857C52"/>
    <w:rsid w:val="00880A44"/>
    <w:rsid w:val="0088345E"/>
    <w:rsid w:val="0088656F"/>
    <w:rsid w:val="00886984"/>
    <w:rsid w:val="0089753D"/>
    <w:rsid w:val="008A0303"/>
    <w:rsid w:val="008A5FDD"/>
    <w:rsid w:val="008C3947"/>
    <w:rsid w:val="008E7329"/>
    <w:rsid w:val="008F2ED5"/>
    <w:rsid w:val="009061EA"/>
    <w:rsid w:val="0092297E"/>
    <w:rsid w:val="0092546E"/>
    <w:rsid w:val="009306C7"/>
    <w:rsid w:val="009341BF"/>
    <w:rsid w:val="00937907"/>
    <w:rsid w:val="00941739"/>
    <w:rsid w:val="00951573"/>
    <w:rsid w:val="00963003"/>
    <w:rsid w:val="00983471"/>
    <w:rsid w:val="009909AB"/>
    <w:rsid w:val="009B37DB"/>
    <w:rsid w:val="009C14DD"/>
    <w:rsid w:val="009C7A8C"/>
    <w:rsid w:val="009D23F9"/>
    <w:rsid w:val="009D3E5E"/>
    <w:rsid w:val="009D4FA8"/>
    <w:rsid w:val="009E6CD6"/>
    <w:rsid w:val="00A00C3C"/>
    <w:rsid w:val="00A01091"/>
    <w:rsid w:val="00A02417"/>
    <w:rsid w:val="00A06DBB"/>
    <w:rsid w:val="00A2292D"/>
    <w:rsid w:val="00A31E86"/>
    <w:rsid w:val="00A32CCE"/>
    <w:rsid w:val="00A54D87"/>
    <w:rsid w:val="00A5553C"/>
    <w:rsid w:val="00A81785"/>
    <w:rsid w:val="00A83922"/>
    <w:rsid w:val="00A84803"/>
    <w:rsid w:val="00A84C51"/>
    <w:rsid w:val="00A86F2B"/>
    <w:rsid w:val="00A91366"/>
    <w:rsid w:val="00A93AA6"/>
    <w:rsid w:val="00A95103"/>
    <w:rsid w:val="00AA4E48"/>
    <w:rsid w:val="00AA6202"/>
    <w:rsid w:val="00AC33D8"/>
    <w:rsid w:val="00AC4A99"/>
    <w:rsid w:val="00AC64D2"/>
    <w:rsid w:val="00AE0FE8"/>
    <w:rsid w:val="00AF60D5"/>
    <w:rsid w:val="00B04415"/>
    <w:rsid w:val="00B11D60"/>
    <w:rsid w:val="00B13D65"/>
    <w:rsid w:val="00B35A46"/>
    <w:rsid w:val="00B37245"/>
    <w:rsid w:val="00B4017A"/>
    <w:rsid w:val="00B4468D"/>
    <w:rsid w:val="00B5014B"/>
    <w:rsid w:val="00B71C72"/>
    <w:rsid w:val="00B81E92"/>
    <w:rsid w:val="00B900A4"/>
    <w:rsid w:val="00B93B30"/>
    <w:rsid w:val="00B94CB5"/>
    <w:rsid w:val="00BA0DD9"/>
    <w:rsid w:val="00BA19F7"/>
    <w:rsid w:val="00BB6312"/>
    <w:rsid w:val="00BC4D06"/>
    <w:rsid w:val="00BD585E"/>
    <w:rsid w:val="00BF206B"/>
    <w:rsid w:val="00BF2E0D"/>
    <w:rsid w:val="00BF3F8B"/>
    <w:rsid w:val="00BF76DA"/>
    <w:rsid w:val="00C07C7B"/>
    <w:rsid w:val="00C24479"/>
    <w:rsid w:val="00C33602"/>
    <w:rsid w:val="00C37B53"/>
    <w:rsid w:val="00C46309"/>
    <w:rsid w:val="00C517D2"/>
    <w:rsid w:val="00C52397"/>
    <w:rsid w:val="00C62B36"/>
    <w:rsid w:val="00C7012C"/>
    <w:rsid w:val="00C9129A"/>
    <w:rsid w:val="00CC0564"/>
    <w:rsid w:val="00CC2E22"/>
    <w:rsid w:val="00CC668D"/>
    <w:rsid w:val="00CC7832"/>
    <w:rsid w:val="00CD429B"/>
    <w:rsid w:val="00CE12C2"/>
    <w:rsid w:val="00CF0C1C"/>
    <w:rsid w:val="00D23808"/>
    <w:rsid w:val="00D3016A"/>
    <w:rsid w:val="00D42960"/>
    <w:rsid w:val="00D43BD7"/>
    <w:rsid w:val="00D4485B"/>
    <w:rsid w:val="00D4708D"/>
    <w:rsid w:val="00D4744C"/>
    <w:rsid w:val="00D555EC"/>
    <w:rsid w:val="00D613F7"/>
    <w:rsid w:val="00D63068"/>
    <w:rsid w:val="00D6498C"/>
    <w:rsid w:val="00D8521E"/>
    <w:rsid w:val="00D9291C"/>
    <w:rsid w:val="00D93A97"/>
    <w:rsid w:val="00DB1F64"/>
    <w:rsid w:val="00DC2F53"/>
    <w:rsid w:val="00DC6816"/>
    <w:rsid w:val="00DC76C2"/>
    <w:rsid w:val="00DD1CF2"/>
    <w:rsid w:val="00DE1992"/>
    <w:rsid w:val="00DE680E"/>
    <w:rsid w:val="00DF41B7"/>
    <w:rsid w:val="00DF4A4A"/>
    <w:rsid w:val="00DF583C"/>
    <w:rsid w:val="00E03C3F"/>
    <w:rsid w:val="00E24D45"/>
    <w:rsid w:val="00E33DB8"/>
    <w:rsid w:val="00E34387"/>
    <w:rsid w:val="00E369FE"/>
    <w:rsid w:val="00E37C6F"/>
    <w:rsid w:val="00E475F8"/>
    <w:rsid w:val="00E5102E"/>
    <w:rsid w:val="00E5721C"/>
    <w:rsid w:val="00E619C6"/>
    <w:rsid w:val="00E66270"/>
    <w:rsid w:val="00E745A1"/>
    <w:rsid w:val="00E8142F"/>
    <w:rsid w:val="00E81529"/>
    <w:rsid w:val="00E83A13"/>
    <w:rsid w:val="00EC2356"/>
    <w:rsid w:val="00EC2582"/>
    <w:rsid w:val="00EC337C"/>
    <w:rsid w:val="00ED0CFF"/>
    <w:rsid w:val="00ED31D2"/>
    <w:rsid w:val="00EE0EAC"/>
    <w:rsid w:val="00EE33CB"/>
    <w:rsid w:val="00EF1CD0"/>
    <w:rsid w:val="00F0061A"/>
    <w:rsid w:val="00F02834"/>
    <w:rsid w:val="00F07CD7"/>
    <w:rsid w:val="00F127E9"/>
    <w:rsid w:val="00F30D4D"/>
    <w:rsid w:val="00F36972"/>
    <w:rsid w:val="00F42426"/>
    <w:rsid w:val="00F4280E"/>
    <w:rsid w:val="00F456BC"/>
    <w:rsid w:val="00F46B2F"/>
    <w:rsid w:val="00F50666"/>
    <w:rsid w:val="00F65741"/>
    <w:rsid w:val="00F70C9E"/>
    <w:rsid w:val="00F74A74"/>
    <w:rsid w:val="00F832F8"/>
    <w:rsid w:val="00F8382C"/>
    <w:rsid w:val="00F855D7"/>
    <w:rsid w:val="00F857A3"/>
    <w:rsid w:val="00F92035"/>
    <w:rsid w:val="00F92748"/>
    <w:rsid w:val="00FA2CB5"/>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rsid w:val="001E5EE8"/>
    <w:rPr>
      <w:sz w:val="24"/>
      <w:szCs w:val="24"/>
      <w:lang w:eastAsia="en-US"/>
    </w:rPr>
  </w:style>
  <w:style w:type="paragraph" w:styleId="NormalWeb">
    <w:name w:val="Normal (Web)"/>
    <w:basedOn w:val="Normal"/>
    <w:uiPriority w:val="99"/>
    <w:semiHidden/>
    <w:unhideWhenUsed/>
    <w:rsid w:val="0067695E"/>
    <w:pPr>
      <w:spacing w:before="100" w:beforeAutospacing="1" w:after="100" w:afterAutospacing="1"/>
    </w:pPr>
    <w:rPr>
      <w:lang w:eastAsia="lt-LT"/>
    </w:rPr>
  </w:style>
  <w:style w:type="paragraph" w:styleId="Revision">
    <w:name w:val="Revision"/>
    <w:hidden/>
    <w:uiPriority w:val="99"/>
    <w:semiHidden/>
    <w:rsid w:val="005D5B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393B56C0D2485BB82C44D378F9C024"/>
        <w:category>
          <w:name w:val="General"/>
          <w:gallery w:val="placeholder"/>
        </w:category>
        <w:types>
          <w:type w:val="bbPlcHdr"/>
        </w:types>
        <w:behaviors>
          <w:behavior w:val="content"/>
        </w:behaviors>
        <w:guid w:val="{FF5C72C6-8445-4A6A-9683-58AE24B32B56}"/>
      </w:docPartPr>
      <w:docPartBody>
        <w:p w:rsidR="00B107CB" w:rsidRDefault="004C3E01" w:rsidP="004C3E01">
          <w:pPr>
            <w:pStyle w:val="71393B56C0D2485BB82C44D378F9C024"/>
          </w:pPr>
          <w:r>
            <w:rPr>
              <w:rStyle w:val="PlaceholderText"/>
            </w:rPr>
            <w:t>Click here to enter a date.</w:t>
          </w:r>
        </w:p>
      </w:docPartBody>
    </w:docPart>
    <w:docPart>
      <w:docPartPr>
        <w:name w:val="90A209D6E08E4B0AA4860806018C291A"/>
        <w:category>
          <w:name w:val="General"/>
          <w:gallery w:val="placeholder"/>
        </w:category>
        <w:types>
          <w:type w:val="bbPlcHdr"/>
        </w:types>
        <w:behaviors>
          <w:behavior w:val="content"/>
        </w:behaviors>
        <w:guid w:val="{19B92077-9EF7-4FE8-89CA-201302E6922B}"/>
      </w:docPartPr>
      <w:docPartBody>
        <w:p w:rsidR="00B107CB" w:rsidRDefault="004C3E01" w:rsidP="004C3E01">
          <w:pPr>
            <w:pStyle w:val="90A209D6E08E4B0AA4860806018C291A"/>
          </w:pPr>
          <w:r>
            <w:rPr>
              <w:rStyle w:val="PlaceholderText"/>
            </w:rPr>
            <w:t>Click here to enter a date.</w:t>
          </w:r>
        </w:p>
      </w:docPartBody>
    </w:docPart>
    <w:docPart>
      <w:docPartPr>
        <w:name w:val="2B2C78EF814C41B481DC870FA4AFDEE8"/>
        <w:category>
          <w:name w:val="General"/>
          <w:gallery w:val="placeholder"/>
        </w:category>
        <w:types>
          <w:type w:val="bbPlcHdr"/>
        </w:types>
        <w:behaviors>
          <w:behavior w:val="content"/>
        </w:behaviors>
        <w:guid w:val="{FC158751-DCD9-4AA0-B1EE-63B89EC28AD4}"/>
      </w:docPartPr>
      <w:docPartBody>
        <w:p w:rsidR="00B107CB" w:rsidRDefault="004C3E01" w:rsidP="004C3E01">
          <w:pPr>
            <w:pStyle w:val="2B2C78EF814C41B481DC870FA4AFDEE8"/>
          </w:pPr>
          <w:r>
            <w:rPr>
              <w:rStyle w:val="PlaceholderText"/>
            </w:rPr>
            <w:t>Click here to enter a date.</w:t>
          </w:r>
        </w:p>
      </w:docPartBody>
    </w:docPart>
    <w:docPart>
      <w:docPartPr>
        <w:name w:val="2C91D02AA2054D999B417381AE617A88"/>
        <w:category>
          <w:name w:val="General"/>
          <w:gallery w:val="placeholder"/>
        </w:category>
        <w:types>
          <w:type w:val="bbPlcHdr"/>
        </w:types>
        <w:behaviors>
          <w:behavior w:val="content"/>
        </w:behaviors>
        <w:guid w:val="{99F7F574-033E-4ECD-ADD1-B9E000BB134A}"/>
      </w:docPartPr>
      <w:docPartBody>
        <w:p w:rsidR="00B107CB" w:rsidRDefault="004C3E01" w:rsidP="004C3E01">
          <w:pPr>
            <w:pStyle w:val="2C91D02AA2054D999B417381AE617A88"/>
          </w:pPr>
          <w:r>
            <w:rPr>
              <w:rStyle w:val="PlaceholderText"/>
            </w:rPr>
            <w:t>Click here to enter a date.</w:t>
          </w:r>
        </w:p>
      </w:docPartBody>
    </w:docPart>
    <w:docPart>
      <w:docPartPr>
        <w:name w:val="CD9E5C8CDE824C23837322C6CD21F8C7"/>
        <w:category>
          <w:name w:val="General"/>
          <w:gallery w:val="placeholder"/>
        </w:category>
        <w:types>
          <w:type w:val="bbPlcHdr"/>
        </w:types>
        <w:behaviors>
          <w:behavior w:val="content"/>
        </w:behaviors>
        <w:guid w:val="{8D33DB1E-E004-404D-B546-3FF0FC5EFD55}"/>
      </w:docPartPr>
      <w:docPartBody>
        <w:p w:rsidR="00B107CB" w:rsidRDefault="004C3E01" w:rsidP="004C3E01">
          <w:pPr>
            <w:pStyle w:val="CD9E5C8CDE824C23837322C6CD21F8C7"/>
          </w:pPr>
          <w:r>
            <w:rPr>
              <w:rStyle w:val="PlaceholderText"/>
            </w:rPr>
            <w:t>Click here to enter a date.</w:t>
          </w:r>
        </w:p>
      </w:docPartBody>
    </w:docPart>
    <w:docPart>
      <w:docPartPr>
        <w:name w:val="BEF52558DBB8496280BBFD35CBABCBE5"/>
        <w:category>
          <w:name w:val="General"/>
          <w:gallery w:val="placeholder"/>
        </w:category>
        <w:types>
          <w:type w:val="bbPlcHdr"/>
        </w:types>
        <w:behaviors>
          <w:behavior w:val="content"/>
        </w:behaviors>
        <w:guid w:val="{37E4787E-CC6A-4032-829E-40A361749758}"/>
      </w:docPartPr>
      <w:docPartBody>
        <w:p w:rsidR="00B107CB" w:rsidRDefault="004C3E01" w:rsidP="004C3E01">
          <w:pPr>
            <w:pStyle w:val="BEF52558DBB8496280BBFD35CBABCBE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607D6"/>
    <w:rsid w:val="001D7AD5"/>
    <w:rsid w:val="00210140"/>
    <w:rsid w:val="002140E2"/>
    <w:rsid w:val="00265CF8"/>
    <w:rsid w:val="003661F6"/>
    <w:rsid w:val="00411977"/>
    <w:rsid w:val="004144A3"/>
    <w:rsid w:val="004160E7"/>
    <w:rsid w:val="004B2A18"/>
    <w:rsid w:val="004C3E01"/>
    <w:rsid w:val="005074B9"/>
    <w:rsid w:val="00550F3C"/>
    <w:rsid w:val="005A4147"/>
    <w:rsid w:val="005E40DD"/>
    <w:rsid w:val="00631703"/>
    <w:rsid w:val="007A31E1"/>
    <w:rsid w:val="007B7612"/>
    <w:rsid w:val="007C6D1D"/>
    <w:rsid w:val="00871A0B"/>
    <w:rsid w:val="009B3BF0"/>
    <w:rsid w:val="009D5E5E"/>
    <w:rsid w:val="009F08E3"/>
    <w:rsid w:val="00B107CB"/>
    <w:rsid w:val="00B23DC0"/>
    <w:rsid w:val="00CB4BD1"/>
    <w:rsid w:val="00CE2DA9"/>
    <w:rsid w:val="00CE44BE"/>
    <w:rsid w:val="00CF3982"/>
    <w:rsid w:val="00D974E5"/>
    <w:rsid w:val="00E23093"/>
    <w:rsid w:val="00E35866"/>
    <w:rsid w:val="00E44A86"/>
    <w:rsid w:val="00EA5866"/>
    <w:rsid w:val="00EF6E0C"/>
    <w:rsid w:val="00F46FEE"/>
    <w:rsid w:val="00F8347E"/>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C3E01"/>
    <w:rPr>
      <w:color w:val="808080"/>
    </w:rPr>
  </w:style>
  <w:style w:type="paragraph" w:customStyle="1" w:styleId="71393B56C0D2485BB82C44D378F9C024">
    <w:name w:val="71393B56C0D2485BB82C44D378F9C024"/>
    <w:rsid w:val="004C3E01"/>
    <w:rPr>
      <w:lang w:val="en-GB" w:eastAsia="en-GB"/>
    </w:rPr>
  </w:style>
  <w:style w:type="paragraph" w:customStyle="1" w:styleId="90A209D6E08E4B0AA4860806018C291A">
    <w:name w:val="90A209D6E08E4B0AA4860806018C291A"/>
    <w:rsid w:val="004C3E01"/>
    <w:rPr>
      <w:lang w:val="en-GB" w:eastAsia="en-GB"/>
    </w:rPr>
  </w:style>
  <w:style w:type="paragraph" w:customStyle="1" w:styleId="2B2C78EF814C41B481DC870FA4AFDEE8">
    <w:name w:val="2B2C78EF814C41B481DC870FA4AFDEE8"/>
    <w:rsid w:val="004C3E01"/>
    <w:rPr>
      <w:lang w:val="en-GB" w:eastAsia="en-GB"/>
    </w:rPr>
  </w:style>
  <w:style w:type="paragraph" w:customStyle="1" w:styleId="2C91D02AA2054D999B417381AE617A88">
    <w:name w:val="2C91D02AA2054D999B417381AE617A88"/>
    <w:rsid w:val="004C3E01"/>
    <w:rPr>
      <w:lang w:val="en-GB" w:eastAsia="en-GB"/>
    </w:rPr>
  </w:style>
  <w:style w:type="paragraph" w:customStyle="1" w:styleId="CD9E5C8CDE824C23837322C6CD21F8C7">
    <w:name w:val="CD9E5C8CDE824C23837322C6CD21F8C7"/>
    <w:rsid w:val="004C3E01"/>
    <w:rPr>
      <w:lang w:val="en-GB" w:eastAsia="en-GB"/>
    </w:rPr>
  </w:style>
  <w:style w:type="paragraph" w:customStyle="1" w:styleId="BEF52558DBB8496280BBFD35CBABCBE5">
    <w:name w:val="BEF52558DBB8496280BBFD35CBABCBE5"/>
    <w:rsid w:val="004C3E0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03DE-F42B-4853-867B-09047FD8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2966</Words>
  <Characters>16908</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2023-04-06T06:08:00Z</dcterms:created>
  <dcterms:modified xsi:type="dcterms:W3CDTF">2023-04-18T07:13:00Z</dcterms:modified>
</cp:coreProperties>
</file>