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62AA3A35" w14:textId="77777777" w:rsidR="00DE7E84" w:rsidRPr="00D05364" w:rsidRDefault="00DE7E84" w:rsidP="00DE7E84">
      <w:pPr>
        <w:jc w:val="center"/>
        <w:rPr>
          <w:b/>
        </w:rPr>
      </w:pPr>
      <w:proofErr w:type="spellStart"/>
      <w:r>
        <w:rPr>
          <w:b/>
        </w:rPr>
        <w:t>Olumiant</w:t>
      </w:r>
      <w:proofErr w:type="spellEnd"/>
      <w:r>
        <w:rPr>
          <w:b/>
        </w:rPr>
        <w:t xml:space="preserve"> 2, 4 mg; plėvele dengtos tabletės</w:t>
      </w:r>
    </w:p>
    <w:p w14:paraId="3787F811" w14:textId="77777777" w:rsidR="00DE7E84" w:rsidRPr="00D05364" w:rsidRDefault="00DE7E84" w:rsidP="00DE7E84">
      <w:pPr>
        <w:jc w:val="center"/>
      </w:pPr>
    </w:p>
    <w:p w14:paraId="764484D5" w14:textId="44A63801" w:rsidR="00DE7E84" w:rsidRPr="00D05364" w:rsidRDefault="00DE7E84" w:rsidP="00DE7E84">
      <w:pPr>
        <w:jc w:val="center"/>
      </w:pPr>
      <w:proofErr w:type="spellStart"/>
      <w:r>
        <w:rPr>
          <w:b/>
        </w:rPr>
        <w:t>Baricitinibas</w:t>
      </w:r>
      <w:proofErr w:type="spellEnd"/>
    </w:p>
    <w:p w14:paraId="3DA8C55B" w14:textId="77777777" w:rsidR="00DE7E84" w:rsidRPr="00D05364" w:rsidRDefault="00DE7E84" w:rsidP="00DE7E84">
      <w:pPr>
        <w:jc w:val="center"/>
      </w:pPr>
    </w:p>
    <w:p w14:paraId="0EA81625" w14:textId="77777777" w:rsidR="00DE7E84" w:rsidRPr="00D05364" w:rsidRDefault="00DE7E84" w:rsidP="00DE7E84">
      <w:pPr>
        <w:jc w:val="center"/>
        <w:rPr>
          <w:b/>
        </w:rPr>
      </w:pPr>
      <w:r>
        <w:rPr>
          <w:b/>
        </w:rPr>
        <w:t xml:space="preserve">STV </w:t>
      </w:r>
      <w:r w:rsidRPr="00E33EFF">
        <w:rPr>
          <w:rFonts w:eastAsia="Arial"/>
          <w:b/>
        </w:rPr>
        <w:t xml:space="preserve">– </w:t>
      </w:r>
      <w:r>
        <w:rPr>
          <w:b/>
        </w:rPr>
        <w:t>43</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DE7E84" w:rsidRPr="00E33EFF" w14:paraId="4E6FB815" w14:textId="77777777" w:rsidTr="00135AFC">
        <w:trPr>
          <w:trHeight w:val="314"/>
        </w:trPr>
        <w:tc>
          <w:tcPr>
            <w:tcW w:w="632" w:type="dxa"/>
          </w:tcPr>
          <w:p w14:paraId="1E5B25D5" w14:textId="77777777" w:rsidR="00DE7E84" w:rsidRPr="00E33EFF" w:rsidRDefault="00DE7E84" w:rsidP="00135AFC">
            <w:pPr>
              <w:rPr>
                <w:rFonts w:eastAsia="Arial"/>
              </w:rPr>
            </w:pPr>
            <w:r w:rsidRPr="00E33EFF">
              <w:rPr>
                <w:rFonts w:eastAsia="Arial"/>
              </w:rPr>
              <w:t>1.1</w:t>
            </w:r>
          </w:p>
        </w:tc>
        <w:tc>
          <w:tcPr>
            <w:tcW w:w="3694" w:type="dxa"/>
          </w:tcPr>
          <w:p w14:paraId="29C71F71" w14:textId="77777777" w:rsidR="00DE7E84" w:rsidRPr="00E33EFF" w:rsidRDefault="00DE7E84" w:rsidP="00135AFC">
            <w:pPr>
              <w:rPr>
                <w:rFonts w:eastAsia="Arial"/>
              </w:rPr>
            </w:pPr>
            <w:r w:rsidRPr="00E33EFF">
              <w:rPr>
                <w:rFonts w:eastAsia="Arial"/>
              </w:rPr>
              <w:t>Pareiškėjas</w:t>
            </w:r>
          </w:p>
        </w:tc>
        <w:tc>
          <w:tcPr>
            <w:tcW w:w="5167" w:type="dxa"/>
          </w:tcPr>
          <w:p w14:paraId="570DFB54" w14:textId="77777777" w:rsidR="00DE7E84" w:rsidRPr="009A5B40" w:rsidRDefault="00DE7E84" w:rsidP="00135AFC">
            <w:r>
              <w:t>UAB „</w:t>
            </w:r>
            <w:proofErr w:type="spellStart"/>
            <w:r>
              <w:t>Eli</w:t>
            </w:r>
            <w:proofErr w:type="spellEnd"/>
            <w:r>
              <w:t xml:space="preserve"> </w:t>
            </w:r>
            <w:proofErr w:type="spellStart"/>
            <w:r>
              <w:t>Lilly</w:t>
            </w:r>
            <w:proofErr w:type="spellEnd"/>
            <w:r>
              <w:t xml:space="preserve"> Lietuva“</w:t>
            </w:r>
          </w:p>
        </w:tc>
      </w:tr>
      <w:tr w:rsidR="00DE7E84" w:rsidRPr="00E33EFF" w14:paraId="3EC8A4C2" w14:textId="77777777" w:rsidTr="00135AFC">
        <w:trPr>
          <w:trHeight w:val="156"/>
        </w:trPr>
        <w:tc>
          <w:tcPr>
            <w:tcW w:w="632" w:type="dxa"/>
          </w:tcPr>
          <w:p w14:paraId="2EF5CD0E" w14:textId="77777777" w:rsidR="00DE7E84" w:rsidRPr="00E33EFF" w:rsidRDefault="00DE7E84" w:rsidP="00135AFC">
            <w:pPr>
              <w:rPr>
                <w:rFonts w:eastAsia="Arial"/>
              </w:rPr>
            </w:pPr>
            <w:r w:rsidRPr="00E33EFF">
              <w:rPr>
                <w:rFonts w:eastAsia="Arial"/>
              </w:rPr>
              <w:t>1.2</w:t>
            </w:r>
          </w:p>
        </w:tc>
        <w:tc>
          <w:tcPr>
            <w:tcW w:w="3694" w:type="dxa"/>
          </w:tcPr>
          <w:p w14:paraId="26C85A3E" w14:textId="77777777" w:rsidR="00DE7E84" w:rsidRPr="004B001C" w:rsidRDefault="00DE7E84" w:rsidP="00135AFC">
            <w:pPr>
              <w:rPr>
                <w:bCs/>
                <w:color w:val="000000"/>
                <w:lang w:eastAsia="lt-LT"/>
              </w:rPr>
            </w:pPr>
            <w:r w:rsidRPr="00E33EFF">
              <w:rPr>
                <w:bCs/>
                <w:color w:val="000000"/>
                <w:lang w:eastAsia="lt-LT"/>
              </w:rPr>
              <w:t xml:space="preserve">Registracijos data </w:t>
            </w:r>
          </w:p>
        </w:tc>
        <w:tc>
          <w:tcPr>
            <w:tcW w:w="5167" w:type="dxa"/>
          </w:tcPr>
          <w:p w14:paraId="6F3AD34A" w14:textId="77777777" w:rsidR="00DE7E84" w:rsidRPr="009F6B35" w:rsidRDefault="00441915" w:rsidP="00135AFC">
            <w:pPr>
              <w:rPr>
                <w:rStyle w:val="Style2"/>
                <w:sz w:val="24"/>
              </w:rPr>
            </w:pPr>
            <w:sdt>
              <w:sdtPr>
                <w:rPr>
                  <w:color w:val="000000" w:themeColor="text1"/>
                  <w:sz w:val="32"/>
                  <w:shd w:val="clear" w:color="auto" w:fill="FFFFFF"/>
                </w:rPr>
                <w:alias w:val="Nurodykite konkrečią dieną"/>
                <w:tag w:val="Nurodykite pradžios datą"/>
                <w:id w:val="423238108"/>
                <w:placeholder>
                  <w:docPart w:val="73B8CBBE5D974AB4B2B5A325F1639AE3"/>
                </w:placeholder>
                <w15:color w:val="FFCC99"/>
                <w:date>
                  <w:dateFormat w:val="yyyy 'm.' MMMM d 'd.'"/>
                  <w:lid w:val="lt-LT"/>
                  <w:storeMappedDataAs w:val="dateTime"/>
                  <w:calendar w:val="gregorian"/>
                </w:date>
              </w:sdtPr>
              <w:sdtEndPr/>
              <w:sdtContent>
                <w:r w:rsidR="00DE7E84" w:rsidRPr="005D1FDB">
                  <w:rPr>
                    <w:color w:val="000000" w:themeColor="text1"/>
                    <w:shd w:val="clear" w:color="auto" w:fill="FFFFFF"/>
                  </w:rPr>
                  <w:t>2017 m. vasario 13 d.</w:t>
                </w:r>
              </w:sdtContent>
            </w:sdt>
            <w:r w:rsidR="00DE7E84">
              <w:rPr>
                <w:color w:val="000000" w:themeColor="text1"/>
                <w:sz w:val="32"/>
                <w:shd w:val="clear" w:color="auto" w:fill="FFFFFF"/>
              </w:rPr>
              <w:t xml:space="preserve"> </w:t>
            </w:r>
          </w:p>
        </w:tc>
      </w:tr>
      <w:tr w:rsidR="00DE7E84" w:rsidRPr="00E33EFF" w14:paraId="3101656F" w14:textId="77777777" w:rsidTr="00135AFC">
        <w:trPr>
          <w:trHeight w:val="1500"/>
        </w:trPr>
        <w:tc>
          <w:tcPr>
            <w:tcW w:w="632" w:type="dxa"/>
          </w:tcPr>
          <w:p w14:paraId="32658F74" w14:textId="77777777" w:rsidR="00DE7E84" w:rsidRPr="00E33EFF" w:rsidRDefault="00DE7E84" w:rsidP="00135AFC">
            <w:pPr>
              <w:rPr>
                <w:rFonts w:eastAsia="Arial"/>
              </w:rPr>
            </w:pPr>
            <w:r w:rsidRPr="00E33EFF">
              <w:rPr>
                <w:rFonts w:eastAsia="Arial"/>
              </w:rPr>
              <w:t>1.3</w:t>
            </w:r>
          </w:p>
        </w:tc>
        <w:tc>
          <w:tcPr>
            <w:tcW w:w="3694" w:type="dxa"/>
          </w:tcPr>
          <w:p w14:paraId="7D3D1AF8" w14:textId="77777777" w:rsidR="00DE7E84" w:rsidRPr="00E33EFF" w:rsidRDefault="00DE7E84" w:rsidP="00135AFC">
            <w:r w:rsidRPr="00E33EFF">
              <w:t xml:space="preserve">Paraiškos tipas </w:t>
            </w:r>
          </w:p>
          <w:p w14:paraId="2C40A763" w14:textId="77777777" w:rsidR="00DE7E84" w:rsidRPr="00E33EFF" w:rsidRDefault="00DE7E84" w:rsidP="00135AFC">
            <w:r w:rsidRPr="00E33EFF">
              <w:t xml:space="preserve">(pagal </w:t>
            </w:r>
            <w:r w:rsidRPr="00E33EFF">
              <w:rPr>
                <w:color w:val="333333"/>
                <w:shd w:val="clear" w:color="auto" w:fill="FFFFFF"/>
              </w:rPr>
              <w:t>vaistinio preparato registracijos tipą, įtvirtintą</w:t>
            </w:r>
            <w:r w:rsidRPr="00E33EFF">
              <w:t xml:space="preserve"> Direktyvos 2001/83/EB </w:t>
            </w:r>
            <w:proofErr w:type="spellStart"/>
            <w:r w:rsidRPr="00E33EFF">
              <w:t>straipsiuose</w:t>
            </w:r>
            <w:proofErr w:type="spellEnd"/>
            <w:r w:rsidRPr="00E33EFF">
              <w:t>)</w:t>
            </w:r>
          </w:p>
          <w:p w14:paraId="47624E37" w14:textId="77777777" w:rsidR="00DE7E84" w:rsidRPr="00E33EFF" w:rsidRDefault="00DE7E84" w:rsidP="00135AFC">
            <w:pPr>
              <w:rPr>
                <w:bCs/>
                <w:color w:val="000000"/>
                <w:lang w:eastAsia="lt-LT"/>
              </w:rPr>
            </w:pPr>
          </w:p>
        </w:tc>
        <w:tc>
          <w:tcPr>
            <w:tcW w:w="5167" w:type="dxa"/>
          </w:tcPr>
          <w:p w14:paraId="215F783D" w14:textId="77777777" w:rsidR="00DE7E84" w:rsidRPr="006870F1" w:rsidRDefault="00441915" w:rsidP="00135AFC">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DE7E84" w:rsidRPr="006870F1">
                  <w:rPr>
                    <w:rStyle w:val="Style2"/>
                    <w:rFonts w:ascii="Segoe UI Symbol" w:eastAsia="MS Gothic" w:hAnsi="Segoe UI Symbol" w:cs="Segoe UI Symbol"/>
                    <w:sz w:val="24"/>
                  </w:rPr>
                  <w:t>☒</w:t>
                </w:r>
              </w:sdtContent>
            </w:sdt>
            <w:r w:rsidR="00DE7E84" w:rsidRPr="006870F1">
              <w:t xml:space="preserve">8.3 str. (pilna byla, pagrįsta savais tyrimais) </w:t>
            </w:r>
          </w:p>
          <w:p w14:paraId="669470FC" w14:textId="77777777" w:rsidR="00DE7E84" w:rsidRPr="006870F1" w:rsidRDefault="00441915" w:rsidP="00135AFC">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DE7E84" w:rsidRPr="006870F1">
                  <w:rPr>
                    <w:rStyle w:val="Style2"/>
                    <w:rFonts w:ascii="Segoe UI Symbol" w:eastAsia="MS Gothic" w:hAnsi="Segoe UI Symbol" w:cs="Segoe UI Symbol"/>
                    <w:sz w:val="24"/>
                  </w:rPr>
                  <w:t>☐</w:t>
                </w:r>
              </w:sdtContent>
            </w:sdt>
            <w:r w:rsidR="00DE7E84" w:rsidRPr="006870F1">
              <w:t xml:space="preserve">10 a str. (pripažintas medicininis vartojimas) </w:t>
            </w:r>
          </w:p>
          <w:p w14:paraId="67BF4F8F" w14:textId="77777777" w:rsidR="00DE7E84" w:rsidRPr="006870F1" w:rsidRDefault="00441915" w:rsidP="00135AFC">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DE7E84" w:rsidRPr="006870F1">
                  <w:rPr>
                    <w:rStyle w:val="Style2"/>
                    <w:rFonts w:ascii="Segoe UI Symbol" w:eastAsia="MS Gothic" w:hAnsi="Segoe UI Symbol" w:cs="Segoe UI Symbol"/>
                    <w:sz w:val="24"/>
                  </w:rPr>
                  <w:t>☐</w:t>
                </w:r>
              </w:sdtContent>
            </w:sdt>
            <w:r w:rsidR="00DE7E84" w:rsidRPr="006870F1">
              <w:t>10.1 str. (</w:t>
            </w:r>
            <w:proofErr w:type="spellStart"/>
            <w:r w:rsidR="00DE7E84" w:rsidRPr="006870F1">
              <w:t>generinis</w:t>
            </w:r>
            <w:proofErr w:type="spellEnd"/>
            <w:r w:rsidR="00DE7E84" w:rsidRPr="006870F1">
              <w:t>)</w:t>
            </w:r>
          </w:p>
          <w:p w14:paraId="315BFCE3" w14:textId="77777777" w:rsidR="00DE7E84" w:rsidRPr="00E33EFF" w:rsidRDefault="00441915" w:rsidP="00135AFC">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DE7E84" w:rsidRPr="006870F1">
                  <w:rPr>
                    <w:rStyle w:val="Style2"/>
                    <w:rFonts w:ascii="Segoe UI Symbol" w:eastAsia="MS Gothic" w:hAnsi="Segoe UI Symbol" w:cs="Segoe UI Symbol"/>
                    <w:sz w:val="24"/>
                  </w:rPr>
                  <w:t>☐</w:t>
                </w:r>
              </w:sdtContent>
            </w:sdt>
            <w:r w:rsidR="00DE7E84" w:rsidRPr="006870F1">
              <w:t>10.3 str. (hibridinis)</w:t>
            </w:r>
          </w:p>
        </w:tc>
      </w:tr>
      <w:tr w:rsidR="00DE7E84" w:rsidRPr="00E33EFF" w14:paraId="3D96FFD3" w14:textId="77777777" w:rsidTr="00135AFC">
        <w:trPr>
          <w:trHeight w:val="1125"/>
        </w:trPr>
        <w:tc>
          <w:tcPr>
            <w:tcW w:w="632" w:type="dxa"/>
          </w:tcPr>
          <w:p w14:paraId="1D9D2C6B" w14:textId="77777777" w:rsidR="00DE7E84" w:rsidRPr="00E33EFF" w:rsidRDefault="00DE7E84" w:rsidP="00135AFC">
            <w:pPr>
              <w:rPr>
                <w:rFonts w:eastAsia="Arial"/>
              </w:rPr>
            </w:pPr>
            <w:r w:rsidRPr="00E33EFF">
              <w:rPr>
                <w:rFonts w:eastAsia="Arial"/>
              </w:rPr>
              <w:t>1.4</w:t>
            </w:r>
          </w:p>
        </w:tc>
        <w:tc>
          <w:tcPr>
            <w:tcW w:w="3694" w:type="dxa"/>
          </w:tcPr>
          <w:p w14:paraId="31BDB739" w14:textId="77777777" w:rsidR="00DE7E84" w:rsidRPr="00E33EFF" w:rsidRDefault="00DE7E84" w:rsidP="00135AFC">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562AE1F1" w14:textId="77777777" w:rsidR="00DE7E84" w:rsidRPr="00E33EFF" w:rsidRDefault="00441915" w:rsidP="00135AFC">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E7E84">
                  <w:rPr>
                    <w:rStyle w:val="Style2"/>
                    <w:rFonts w:ascii="MS Gothic" w:eastAsia="MS Gothic" w:hAnsi="MS Gothic" w:hint="eastAsia"/>
                    <w:sz w:val="24"/>
                  </w:rPr>
                  <w:t>☐</w:t>
                </w:r>
              </w:sdtContent>
            </w:sdt>
            <w:r w:rsidR="00DE7E84" w:rsidRPr="00E33EFF">
              <w:t xml:space="preserve"> Taip</w:t>
            </w:r>
          </w:p>
          <w:p w14:paraId="462ACB65" w14:textId="77777777" w:rsidR="00DE7E84" w:rsidRPr="00E33EFF" w:rsidRDefault="00441915" w:rsidP="00135AFC">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DE7E84">
                  <w:rPr>
                    <w:rStyle w:val="Style2"/>
                    <w:rFonts w:ascii="MS Gothic" w:eastAsia="MS Gothic" w:hAnsi="MS Gothic" w:hint="eastAsia"/>
                    <w:sz w:val="24"/>
                  </w:rPr>
                  <w:t>☒</w:t>
                </w:r>
              </w:sdtContent>
            </w:sdt>
            <w:r w:rsidR="00DE7E84" w:rsidRPr="00E33EFF">
              <w:t xml:space="preserve"> Ne</w:t>
            </w:r>
          </w:p>
          <w:p w14:paraId="72C9AA4B" w14:textId="77777777" w:rsidR="00DE7E84" w:rsidRPr="00E33EFF" w:rsidRDefault="00DE7E84" w:rsidP="00135AFC"/>
        </w:tc>
      </w:tr>
      <w:tr w:rsidR="00DE7E84" w:rsidRPr="00E33EFF" w14:paraId="02E83502" w14:textId="77777777" w:rsidTr="00135AFC">
        <w:trPr>
          <w:trHeight w:val="476"/>
        </w:trPr>
        <w:tc>
          <w:tcPr>
            <w:tcW w:w="632" w:type="dxa"/>
          </w:tcPr>
          <w:p w14:paraId="64E10FCD" w14:textId="77777777" w:rsidR="00DE7E84" w:rsidRPr="00E33EFF" w:rsidRDefault="00DE7E84" w:rsidP="00135AFC">
            <w:pPr>
              <w:rPr>
                <w:rFonts w:eastAsia="Arial"/>
              </w:rPr>
            </w:pPr>
            <w:r w:rsidRPr="00E33EFF">
              <w:rPr>
                <w:rFonts w:eastAsia="Arial"/>
              </w:rPr>
              <w:t>1.5</w:t>
            </w:r>
          </w:p>
        </w:tc>
        <w:tc>
          <w:tcPr>
            <w:tcW w:w="3694" w:type="dxa"/>
          </w:tcPr>
          <w:p w14:paraId="2928169F" w14:textId="77777777" w:rsidR="00DE7E84" w:rsidRPr="00E33EFF" w:rsidRDefault="00DE7E84" w:rsidP="00135AFC">
            <w:pPr>
              <w:rPr>
                <w:bCs/>
                <w:color w:val="000000"/>
                <w:lang w:eastAsia="lt-LT"/>
              </w:rPr>
            </w:pPr>
            <w:r w:rsidRPr="00E33EFF">
              <w:t>STV paraiškos pobūdis</w:t>
            </w:r>
          </w:p>
        </w:tc>
        <w:tc>
          <w:tcPr>
            <w:tcW w:w="5167" w:type="dxa"/>
          </w:tcPr>
          <w:p w14:paraId="01F8A1DD" w14:textId="77777777" w:rsidR="00DE7E84" w:rsidRPr="00E33EFF" w:rsidRDefault="00441915" w:rsidP="00135AFC">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DE7E84">
                  <w:rPr>
                    <w:rStyle w:val="Style2"/>
                    <w:rFonts w:ascii="MS Gothic" w:eastAsia="MS Gothic" w:hAnsi="MS Gothic" w:hint="eastAsia"/>
                    <w:sz w:val="24"/>
                  </w:rPr>
                  <w:t>☒</w:t>
                </w:r>
              </w:sdtContent>
            </w:sdt>
            <w:r w:rsidR="00DE7E84" w:rsidRPr="00E33EFF">
              <w:t xml:space="preserve"> Pilna paraiška</w:t>
            </w:r>
          </w:p>
          <w:p w14:paraId="3A66556E" w14:textId="77777777" w:rsidR="00DE7E84" w:rsidRPr="00E33EFF" w:rsidRDefault="00441915" w:rsidP="00135AFC">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E7E84" w:rsidRPr="00E33EFF">
                  <w:rPr>
                    <w:rStyle w:val="Style2"/>
                    <w:rFonts w:ascii="MS Gothic" w:eastAsia="MS Gothic" w:hAnsi="MS Gothic" w:hint="eastAsia"/>
                    <w:sz w:val="24"/>
                  </w:rPr>
                  <w:t>☐</w:t>
                </w:r>
              </w:sdtContent>
            </w:sdt>
            <w:r w:rsidR="00DE7E84" w:rsidRPr="00E33EFF">
              <w:t xml:space="preserve"> Supaprastinta paraiška</w:t>
            </w:r>
          </w:p>
        </w:tc>
      </w:tr>
      <w:tr w:rsidR="00DE7E84" w:rsidRPr="00E33EFF" w14:paraId="1E5043E0" w14:textId="77777777" w:rsidTr="00135AFC">
        <w:trPr>
          <w:trHeight w:val="1545"/>
        </w:trPr>
        <w:tc>
          <w:tcPr>
            <w:tcW w:w="632" w:type="dxa"/>
          </w:tcPr>
          <w:p w14:paraId="21464241" w14:textId="77777777" w:rsidR="00DE7E84" w:rsidRPr="00E33EFF" w:rsidRDefault="00DE7E84" w:rsidP="00135AFC">
            <w:pPr>
              <w:rPr>
                <w:rFonts w:eastAsia="Arial"/>
              </w:rPr>
            </w:pPr>
            <w:r w:rsidRPr="00E33EFF">
              <w:rPr>
                <w:rFonts w:eastAsia="Arial"/>
              </w:rPr>
              <w:t>1.6</w:t>
            </w:r>
          </w:p>
        </w:tc>
        <w:tc>
          <w:tcPr>
            <w:tcW w:w="3694" w:type="dxa"/>
          </w:tcPr>
          <w:p w14:paraId="1F6877C2" w14:textId="77777777" w:rsidR="00DE7E84" w:rsidRPr="00E33EFF" w:rsidRDefault="00DE7E84" w:rsidP="00135AFC">
            <w:pPr>
              <w:rPr>
                <w:bCs/>
                <w:color w:val="000000"/>
                <w:lang w:eastAsia="lt-LT"/>
              </w:rPr>
            </w:pPr>
            <w:r w:rsidRPr="00E33EFF">
              <w:rPr>
                <w:bCs/>
                <w:color w:val="000000"/>
                <w:lang w:eastAsia="lt-LT"/>
              </w:rPr>
              <w:t>Pareiškėjo teikiama (-</w:t>
            </w:r>
            <w:proofErr w:type="spellStart"/>
            <w:r w:rsidRPr="00E33EFF">
              <w:rPr>
                <w:bCs/>
                <w:color w:val="000000"/>
                <w:lang w:eastAsia="lt-LT"/>
              </w:rPr>
              <w:t>os</w:t>
            </w:r>
            <w:proofErr w:type="spellEnd"/>
            <w:r w:rsidRPr="00E33EFF">
              <w:rPr>
                <w:bCs/>
                <w:color w:val="000000"/>
                <w:lang w:eastAsia="lt-LT"/>
              </w:rPr>
              <w:t>) kompensuoti vaistinio preparato indikacija (-</w:t>
            </w:r>
            <w:proofErr w:type="spellStart"/>
            <w:r w:rsidRPr="00E33EFF">
              <w:rPr>
                <w:bCs/>
                <w:color w:val="000000"/>
                <w:lang w:eastAsia="lt-LT"/>
              </w:rPr>
              <w:t>os</w:t>
            </w:r>
            <w:proofErr w:type="spellEnd"/>
            <w:r w:rsidRPr="00E33EFF">
              <w:rPr>
                <w:bCs/>
                <w:color w:val="000000"/>
                <w:lang w:eastAsia="lt-LT"/>
              </w:rPr>
              <w:t>)</w:t>
            </w:r>
          </w:p>
          <w:p w14:paraId="05C7042E" w14:textId="7393BBC9" w:rsidR="00DE7E84" w:rsidRDefault="00DE7E84" w:rsidP="00135AFC">
            <w:pPr>
              <w:rPr>
                <w:bCs/>
                <w:color w:val="000000"/>
                <w:lang w:eastAsia="lt-LT"/>
              </w:rPr>
            </w:pPr>
          </w:p>
          <w:p w14:paraId="0597F427" w14:textId="317E1F76" w:rsidR="00992087" w:rsidRDefault="00992087" w:rsidP="00135AFC">
            <w:pPr>
              <w:rPr>
                <w:bCs/>
                <w:color w:val="000000"/>
                <w:lang w:eastAsia="lt-LT"/>
              </w:rPr>
            </w:pPr>
          </w:p>
          <w:p w14:paraId="4E89BA8C" w14:textId="3055E33E" w:rsidR="00992087" w:rsidRDefault="00992087" w:rsidP="00135AFC">
            <w:pPr>
              <w:rPr>
                <w:bCs/>
                <w:color w:val="000000"/>
                <w:lang w:eastAsia="lt-LT"/>
              </w:rPr>
            </w:pPr>
          </w:p>
          <w:p w14:paraId="69FB92BE" w14:textId="67D6E53F" w:rsidR="00992087" w:rsidRDefault="00992087" w:rsidP="00135AFC">
            <w:pPr>
              <w:rPr>
                <w:bCs/>
                <w:color w:val="000000"/>
                <w:lang w:eastAsia="lt-LT"/>
              </w:rPr>
            </w:pPr>
          </w:p>
          <w:p w14:paraId="3A259102" w14:textId="7365234C" w:rsidR="00992087" w:rsidRDefault="00992087" w:rsidP="00135AFC">
            <w:pPr>
              <w:rPr>
                <w:bCs/>
                <w:color w:val="000000"/>
                <w:lang w:eastAsia="lt-LT"/>
              </w:rPr>
            </w:pPr>
          </w:p>
          <w:p w14:paraId="0A080277" w14:textId="77777777" w:rsidR="00992087" w:rsidRDefault="00992087" w:rsidP="00135AFC">
            <w:pPr>
              <w:rPr>
                <w:bCs/>
                <w:color w:val="000000"/>
                <w:lang w:eastAsia="lt-LT"/>
              </w:rPr>
            </w:pPr>
          </w:p>
          <w:p w14:paraId="3EF7FCC0" w14:textId="77777777" w:rsidR="00DE7E84" w:rsidRPr="00E33EFF" w:rsidRDefault="00DE7E84" w:rsidP="00135AFC">
            <w:pPr>
              <w:rPr>
                <w:bCs/>
                <w:color w:val="000000"/>
                <w:lang w:eastAsia="lt-LT"/>
              </w:rPr>
            </w:pPr>
            <w:r w:rsidRPr="00E33EFF">
              <w:rPr>
                <w:bCs/>
                <w:color w:val="000000"/>
                <w:lang w:eastAsia="lt-LT"/>
              </w:rPr>
              <w:t>Kodas pagal TLK-10 AM</w:t>
            </w:r>
          </w:p>
        </w:tc>
        <w:tc>
          <w:tcPr>
            <w:tcW w:w="5167" w:type="dxa"/>
          </w:tcPr>
          <w:p w14:paraId="4AA839C0" w14:textId="77777777" w:rsidR="00DE7E84" w:rsidRPr="00992087" w:rsidRDefault="00DE7E84" w:rsidP="00135AFC">
            <w:pPr>
              <w:pStyle w:val="ListParagraph"/>
              <w:spacing w:after="120"/>
              <w:ind w:left="0"/>
              <w:contextualSpacing w:val="0"/>
              <w:jc w:val="both"/>
              <w:rPr>
                <w:i/>
              </w:rPr>
            </w:pPr>
            <w:r w:rsidRPr="00992087">
              <w:rPr>
                <w:i/>
              </w:rPr>
              <w:t>Reumatoidinis artritas</w:t>
            </w:r>
          </w:p>
          <w:p w14:paraId="0FFADC04" w14:textId="77777777" w:rsidR="00992087" w:rsidRDefault="00DE7E84" w:rsidP="00135AFC">
            <w:pPr>
              <w:pStyle w:val="ListParagraph"/>
              <w:spacing w:after="120"/>
              <w:ind w:left="0"/>
              <w:contextualSpacing w:val="0"/>
              <w:jc w:val="both"/>
            </w:pPr>
            <w:proofErr w:type="spellStart"/>
            <w:r>
              <w:t>Baricitinibas</w:t>
            </w:r>
            <w:proofErr w:type="spellEnd"/>
            <w:r>
              <w:t xml:space="preserve"> skirtas gydyti suaugusiems pacientams, kuriems diagnozuotas vidutinio sunkumo ar sunkus aktyvus reumatoidinis artritas, kai jie netinkamai reagavo arba netoleravo vieno arba daugiau ligą modifikuojančiųjų vaistinių preparatų reumatui gydyti. </w:t>
            </w:r>
            <w:proofErr w:type="spellStart"/>
            <w:r>
              <w:t>Baricitinibą</w:t>
            </w:r>
            <w:proofErr w:type="spellEnd"/>
            <w:r>
              <w:t xml:space="preserve"> galima skirti </w:t>
            </w:r>
            <w:proofErr w:type="spellStart"/>
            <w:r>
              <w:t>monoterapijai</w:t>
            </w:r>
            <w:proofErr w:type="spellEnd"/>
            <w:r>
              <w:t xml:space="preserve"> arba kartu su </w:t>
            </w:r>
            <w:proofErr w:type="spellStart"/>
            <w:r>
              <w:t>metotreksatu</w:t>
            </w:r>
            <w:proofErr w:type="spellEnd"/>
            <w:r>
              <w:t>;</w:t>
            </w:r>
          </w:p>
          <w:p w14:paraId="32BC5916" w14:textId="2D6AA68F" w:rsidR="00DE7E84" w:rsidRPr="00286873" w:rsidRDefault="00DE7E84" w:rsidP="00135AFC">
            <w:pPr>
              <w:pStyle w:val="ListParagraph"/>
              <w:spacing w:after="120"/>
              <w:ind w:left="0"/>
              <w:contextualSpacing w:val="0"/>
              <w:jc w:val="both"/>
            </w:pPr>
            <w:r>
              <w:t xml:space="preserve">M05 </w:t>
            </w:r>
            <w:r w:rsidRPr="00E33EFF">
              <w:rPr>
                <w:rFonts w:eastAsia="Arial"/>
                <w:b/>
              </w:rPr>
              <w:t xml:space="preserve">– </w:t>
            </w:r>
            <w:r w:rsidR="00992087">
              <w:t>M06</w:t>
            </w:r>
          </w:p>
          <w:p w14:paraId="7EB26EC4" w14:textId="77777777" w:rsidR="00DE7E84" w:rsidRPr="00E33EFF" w:rsidRDefault="00DE7E84" w:rsidP="00135AFC">
            <w:pPr>
              <w:jc w:val="both"/>
            </w:pPr>
          </w:p>
        </w:tc>
      </w:tr>
      <w:tr w:rsidR="00DE7E84" w:rsidRPr="00E33EFF" w14:paraId="5BA2F716" w14:textId="77777777" w:rsidTr="00135AFC">
        <w:trPr>
          <w:trHeight w:val="378"/>
        </w:trPr>
        <w:tc>
          <w:tcPr>
            <w:tcW w:w="632" w:type="dxa"/>
          </w:tcPr>
          <w:p w14:paraId="0848A6CB" w14:textId="77777777" w:rsidR="00DE7E84" w:rsidRPr="00E33EFF" w:rsidRDefault="00DE7E84" w:rsidP="00135AFC">
            <w:pPr>
              <w:rPr>
                <w:rFonts w:eastAsia="Arial"/>
              </w:rPr>
            </w:pPr>
            <w:r w:rsidRPr="00E33EFF">
              <w:rPr>
                <w:rFonts w:eastAsia="Arial"/>
              </w:rPr>
              <w:lastRenderedPageBreak/>
              <w:t>1.6</w:t>
            </w:r>
          </w:p>
        </w:tc>
        <w:tc>
          <w:tcPr>
            <w:tcW w:w="3694" w:type="dxa"/>
          </w:tcPr>
          <w:p w14:paraId="663378FC" w14:textId="77777777" w:rsidR="00DE7E84" w:rsidRPr="00E33EFF" w:rsidRDefault="00DE7E84" w:rsidP="00135AFC">
            <w:pPr>
              <w:rPr>
                <w:bCs/>
                <w:color w:val="000000"/>
                <w:u w:val="single"/>
                <w:lang w:eastAsia="lt-LT"/>
              </w:rPr>
            </w:pPr>
            <w:r w:rsidRPr="009C5586">
              <w:rPr>
                <w:color w:val="000000"/>
                <w:lang w:eastAsia="lt-LT"/>
              </w:rPr>
              <w:t>Pareiškėjo teikiamos skyrimo sąlygos</w:t>
            </w:r>
            <w:r w:rsidRPr="00E33EFF">
              <w:rPr>
                <w:bCs/>
                <w:color w:val="000000"/>
                <w:lang w:eastAsia="lt-LT"/>
              </w:rPr>
              <w:t xml:space="preserve"> </w:t>
            </w:r>
          </w:p>
        </w:tc>
        <w:tc>
          <w:tcPr>
            <w:tcW w:w="5167" w:type="dxa"/>
          </w:tcPr>
          <w:p w14:paraId="5FB54113" w14:textId="77777777" w:rsidR="00DE7E84" w:rsidRDefault="00DE7E84" w:rsidP="00135AFC">
            <w:pPr>
              <w:pStyle w:val="ListParagraph"/>
              <w:spacing w:after="120"/>
              <w:ind w:left="0"/>
              <w:contextualSpacing w:val="0"/>
              <w:jc w:val="both"/>
              <w:rPr>
                <w:sz w:val="20"/>
              </w:rPr>
            </w:pPr>
            <w:r>
              <w:rPr>
                <w:sz w:val="20"/>
              </w:rPr>
              <w:t>S</w:t>
            </w:r>
            <w:r w:rsidRPr="00DA5243">
              <w:rPr>
                <w:sz w:val="20"/>
              </w:rPr>
              <w:t xml:space="preserve">kiriamas kartu su </w:t>
            </w:r>
            <w:proofErr w:type="spellStart"/>
            <w:r w:rsidRPr="00DA5243">
              <w:rPr>
                <w:sz w:val="20"/>
              </w:rPr>
              <w:t>metotreksatu</w:t>
            </w:r>
            <w:proofErr w:type="spellEnd"/>
            <w:r w:rsidRPr="00DA5243">
              <w:rPr>
                <w:sz w:val="20"/>
              </w:rPr>
              <w:t xml:space="preserve">, jei yra nepalankios prognozės veiksnių ir: </w:t>
            </w:r>
          </w:p>
          <w:p w14:paraId="478E5476" w14:textId="77777777" w:rsidR="00DE7E84" w:rsidRDefault="00DE7E84" w:rsidP="00135AFC">
            <w:pPr>
              <w:pStyle w:val="ListParagraph"/>
              <w:spacing w:after="120"/>
              <w:ind w:left="0"/>
              <w:contextualSpacing w:val="0"/>
              <w:jc w:val="both"/>
              <w:rPr>
                <w:sz w:val="20"/>
              </w:rPr>
            </w:pPr>
            <w:r w:rsidRPr="00DA5243">
              <w:rPr>
                <w:sz w:val="20"/>
              </w:rPr>
              <w:t>1</w:t>
            </w:r>
            <w:r>
              <w:rPr>
                <w:sz w:val="20"/>
              </w:rPr>
              <w:t xml:space="preserve">) </w:t>
            </w:r>
            <w:r w:rsidRPr="00DA5243">
              <w:rPr>
                <w:sz w:val="20"/>
              </w:rPr>
              <w:t>gydant pirmaeiliu</w:t>
            </w:r>
            <w:r>
              <w:rPr>
                <w:sz w:val="20"/>
              </w:rPr>
              <w:t xml:space="preserve"> </w:t>
            </w:r>
            <w:r w:rsidRPr="00DA5243">
              <w:rPr>
                <w:sz w:val="20"/>
              </w:rPr>
              <w:t>tradiciniu sintetiniu ligą modifikuojančiu vaistu ar jų deriniu gydymo tikslas nepasiekiamas per 6</w:t>
            </w:r>
            <w:r>
              <w:rPr>
                <w:sz w:val="20"/>
              </w:rPr>
              <w:t xml:space="preserve"> </w:t>
            </w:r>
            <w:r w:rsidRPr="00DA5243">
              <w:rPr>
                <w:sz w:val="20"/>
              </w:rPr>
              <w:t>mėnesius ar 3 mėnesius nuo gydymo pradžios nėra gydymo efekto, ar pastebimas ligos</w:t>
            </w:r>
            <w:r>
              <w:rPr>
                <w:sz w:val="20"/>
              </w:rPr>
              <w:t xml:space="preserve"> pablogėjimas; </w:t>
            </w:r>
          </w:p>
          <w:p w14:paraId="3A4B158C" w14:textId="77777777" w:rsidR="00DE7E84" w:rsidRDefault="00DE7E84" w:rsidP="00135AFC">
            <w:pPr>
              <w:pStyle w:val="ListParagraph"/>
              <w:spacing w:after="120"/>
              <w:ind w:left="0"/>
              <w:contextualSpacing w:val="0"/>
              <w:jc w:val="both"/>
              <w:rPr>
                <w:sz w:val="20"/>
              </w:rPr>
            </w:pPr>
            <w:r>
              <w:rPr>
                <w:sz w:val="20"/>
              </w:rPr>
              <w:t>2)</w:t>
            </w:r>
            <w:r w:rsidRPr="00DA5243">
              <w:rPr>
                <w:sz w:val="20"/>
              </w:rPr>
              <w:t xml:space="preserve"> gydant vienu ar daugiau biologiniu ligą modifikuojančių vaistinių preparatų </w:t>
            </w:r>
            <w:r>
              <w:rPr>
                <w:sz w:val="20"/>
              </w:rPr>
              <w:t>reumatoidinio artrito</w:t>
            </w:r>
            <w:r w:rsidRPr="00DA5243">
              <w:rPr>
                <w:sz w:val="20"/>
              </w:rPr>
              <w:t xml:space="preserve"> gydymo tikslas nepasiekiamas per 6 mėnesius ar 3 mėnesius nuo gydymo pradžios nėra</w:t>
            </w:r>
            <w:r>
              <w:rPr>
                <w:sz w:val="20"/>
              </w:rPr>
              <w:t xml:space="preserve"> </w:t>
            </w:r>
            <w:r w:rsidRPr="00DA5243">
              <w:rPr>
                <w:sz w:val="20"/>
              </w:rPr>
              <w:t xml:space="preserve">gydymo efekto, ar pastebimas ligos pablogėjimas. </w:t>
            </w:r>
          </w:p>
          <w:p w14:paraId="6D867E2A" w14:textId="48BC6A1C" w:rsidR="00DE7E84" w:rsidRPr="00286873" w:rsidRDefault="00DE7E84" w:rsidP="00992087">
            <w:pPr>
              <w:jc w:val="both"/>
              <w:rPr>
                <w:lang w:val="en-US"/>
              </w:rPr>
            </w:pPr>
            <w:r>
              <w:rPr>
                <w:sz w:val="20"/>
              </w:rPr>
              <w:t>Vaistas</w:t>
            </w:r>
            <w:r w:rsidRPr="00DA5243">
              <w:rPr>
                <w:sz w:val="20"/>
              </w:rPr>
              <w:t xml:space="preserve"> skiriamas </w:t>
            </w:r>
            <w:proofErr w:type="spellStart"/>
            <w:r w:rsidRPr="00DA5243">
              <w:rPr>
                <w:sz w:val="20"/>
              </w:rPr>
              <w:t>monoterapij</w:t>
            </w:r>
            <w:r w:rsidR="00992087">
              <w:rPr>
                <w:sz w:val="20"/>
              </w:rPr>
              <w:t>ai</w:t>
            </w:r>
            <w:proofErr w:type="spellEnd"/>
            <w:r w:rsidRPr="00DA5243">
              <w:rPr>
                <w:sz w:val="20"/>
              </w:rPr>
              <w:t>, tik tuo atveju</w:t>
            </w:r>
            <w:r>
              <w:rPr>
                <w:sz w:val="20"/>
              </w:rPr>
              <w:t xml:space="preserve"> </w:t>
            </w:r>
            <w:r w:rsidRPr="00DA5243">
              <w:rPr>
                <w:sz w:val="20"/>
              </w:rPr>
              <w:t xml:space="preserve">jei </w:t>
            </w:r>
            <w:proofErr w:type="spellStart"/>
            <w:r w:rsidRPr="00DA5243">
              <w:rPr>
                <w:sz w:val="20"/>
              </w:rPr>
              <w:t>metotreksato</w:t>
            </w:r>
            <w:proofErr w:type="spellEnd"/>
            <w:r w:rsidRPr="00DA5243">
              <w:rPr>
                <w:sz w:val="20"/>
              </w:rPr>
              <w:t xml:space="preserve"> skirti negalima</w:t>
            </w:r>
            <w:r>
              <w:rPr>
                <w:sz w:val="20"/>
              </w:rPr>
              <w:t>.</w:t>
            </w:r>
          </w:p>
        </w:tc>
      </w:tr>
      <w:tr w:rsidR="00D84440" w:rsidRPr="00E33EFF" w14:paraId="431BA962" w14:textId="77777777" w:rsidTr="00135AFC">
        <w:trPr>
          <w:trHeight w:val="378"/>
        </w:trPr>
        <w:tc>
          <w:tcPr>
            <w:tcW w:w="632" w:type="dxa"/>
          </w:tcPr>
          <w:p w14:paraId="15EDDB24" w14:textId="77777777" w:rsidR="00D84440" w:rsidRPr="00E33EFF" w:rsidRDefault="00D84440" w:rsidP="00D84440">
            <w:pPr>
              <w:rPr>
                <w:rFonts w:eastAsia="Arial"/>
              </w:rPr>
            </w:pPr>
            <w:r w:rsidRPr="00E33EFF">
              <w:rPr>
                <w:rFonts w:eastAsia="Arial"/>
              </w:rPr>
              <w:t>1.7</w:t>
            </w:r>
          </w:p>
        </w:tc>
        <w:tc>
          <w:tcPr>
            <w:tcW w:w="3694" w:type="dxa"/>
          </w:tcPr>
          <w:p w14:paraId="2336705B" w14:textId="77777777" w:rsidR="00D84440" w:rsidRDefault="00D84440" w:rsidP="00D84440">
            <w:pPr>
              <w:rPr>
                <w:bCs/>
                <w:color w:val="000000"/>
                <w:lang w:eastAsia="lt-LT"/>
              </w:rPr>
            </w:pPr>
            <w:r w:rsidRPr="00E33EFF">
              <w:rPr>
                <w:bCs/>
                <w:color w:val="000000"/>
                <w:lang w:eastAsia="lt-LT"/>
              </w:rPr>
              <w:t>Pareiškėjo teikiamas palyginamasis gydymas</w:t>
            </w:r>
          </w:p>
          <w:p w14:paraId="6C0032C6" w14:textId="4745C1A3" w:rsidR="00D84440" w:rsidRDefault="00D84440" w:rsidP="00D84440">
            <w:pPr>
              <w:pStyle w:val="ListParagraph"/>
              <w:numPr>
                <w:ilvl w:val="0"/>
                <w:numId w:val="19"/>
              </w:numPr>
              <w:rPr>
                <w:bCs/>
                <w:color w:val="000000"/>
                <w:lang w:eastAsia="lt-LT"/>
              </w:rPr>
            </w:pPr>
            <w:r w:rsidRPr="00870791">
              <w:rPr>
                <w:bCs/>
                <w:color w:val="000000"/>
                <w:lang w:eastAsia="lt-LT"/>
              </w:rPr>
              <w:t>tiesioginiame palyginime</w:t>
            </w:r>
            <w:r>
              <w:rPr>
                <w:bCs/>
                <w:color w:val="000000"/>
                <w:lang w:eastAsia="lt-LT"/>
              </w:rPr>
              <w:t>:</w:t>
            </w:r>
            <w:r w:rsidR="009F2FF8">
              <w:rPr>
                <w:bCs/>
                <w:color w:val="000000"/>
                <w:lang w:eastAsia="lt-LT"/>
              </w:rPr>
              <w:t xml:space="preserve"> </w:t>
            </w:r>
            <w:proofErr w:type="spellStart"/>
            <w:r w:rsidR="009F2FF8">
              <w:rPr>
                <w:bCs/>
                <w:color w:val="000000"/>
                <w:lang w:eastAsia="lt-LT"/>
              </w:rPr>
              <w:t>baricitinibas</w:t>
            </w:r>
            <w:proofErr w:type="spellEnd"/>
            <w:r w:rsidR="009F2FF8">
              <w:rPr>
                <w:bCs/>
                <w:color w:val="000000"/>
                <w:lang w:eastAsia="lt-LT"/>
              </w:rPr>
              <w:t xml:space="preserve"> lygintas su </w:t>
            </w:r>
            <w:proofErr w:type="spellStart"/>
            <w:r w:rsidR="009F2FF8">
              <w:rPr>
                <w:bCs/>
                <w:color w:val="000000"/>
                <w:lang w:eastAsia="lt-LT"/>
              </w:rPr>
              <w:t>placebu</w:t>
            </w:r>
            <w:proofErr w:type="spellEnd"/>
            <w:r w:rsidR="009F2FF8">
              <w:rPr>
                <w:bCs/>
                <w:color w:val="000000"/>
                <w:lang w:eastAsia="lt-LT"/>
              </w:rPr>
              <w:t xml:space="preserve">, </w:t>
            </w:r>
            <w:proofErr w:type="spellStart"/>
            <w:r w:rsidR="009F2FF8">
              <w:rPr>
                <w:bCs/>
                <w:color w:val="000000"/>
                <w:lang w:eastAsia="lt-LT"/>
              </w:rPr>
              <w:t>adalimumabu</w:t>
            </w:r>
            <w:proofErr w:type="spellEnd"/>
            <w:r w:rsidR="009F2FF8">
              <w:rPr>
                <w:bCs/>
                <w:color w:val="000000"/>
                <w:lang w:eastAsia="lt-LT"/>
              </w:rPr>
              <w:t>.</w:t>
            </w:r>
          </w:p>
          <w:p w14:paraId="42B8D545" w14:textId="77777777" w:rsidR="00D84440" w:rsidRDefault="00D84440" w:rsidP="00D84440">
            <w:pPr>
              <w:pStyle w:val="ListParagraph"/>
              <w:rPr>
                <w:bCs/>
                <w:color w:val="000000"/>
                <w:lang w:eastAsia="lt-LT"/>
              </w:rPr>
            </w:pPr>
          </w:p>
          <w:p w14:paraId="2080A7E3" w14:textId="33822260" w:rsidR="00D84440" w:rsidRDefault="00D84440" w:rsidP="00D84440">
            <w:pPr>
              <w:pStyle w:val="ListParagraph"/>
              <w:numPr>
                <w:ilvl w:val="0"/>
                <w:numId w:val="22"/>
              </w:numPr>
              <w:rPr>
                <w:bCs/>
                <w:color w:val="000000"/>
                <w:lang w:eastAsia="lt-LT"/>
              </w:rPr>
            </w:pPr>
            <w:r w:rsidRPr="00D84440">
              <w:rPr>
                <w:bCs/>
                <w:color w:val="000000"/>
                <w:lang w:eastAsia="lt-LT"/>
              </w:rPr>
              <w:t>netiesioginiame</w:t>
            </w:r>
            <w:r>
              <w:rPr>
                <w:bCs/>
                <w:color w:val="000000"/>
                <w:lang w:eastAsia="lt-LT"/>
              </w:rPr>
              <w:t>:</w:t>
            </w:r>
            <w:r w:rsidR="009F2FF8">
              <w:rPr>
                <w:bCs/>
                <w:color w:val="000000"/>
                <w:lang w:eastAsia="lt-LT"/>
              </w:rPr>
              <w:t xml:space="preserve"> </w:t>
            </w:r>
            <w:proofErr w:type="spellStart"/>
            <w:r w:rsidR="009F2FF8">
              <w:rPr>
                <w:bCs/>
                <w:color w:val="000000"/>
                <w:lang w:eastAsia="lt-LT"/>
              </w:rPr>
              <w:t>baricitinibas</w:t>
            </w:r>
            <w:proofErr w:type="spellEnd"/>
            <w:r w:rsidR="009F2FF8">
              <w:rPr>
                <w:bCs/>
                <w:color w:val="000000"/>
                <w:lang w:eastAsia="lt-LT"/>
              </w:rPr>
              <w:t xml:space="preserve"> lygintas su </w:t>
            </w:r>
            <w:proofErr w:type="spellStart"/>
            <w:r w:rsidR="009F2FF8">
              <w:rPr>
                <w:bCs/>
                <w:color w:val="000000"/>
                <w:lang w:eastAsia="lt-LT"/>
              </w:rPr>
              <w:t>upadacitinibu</w:t>
            </w:r>
            <w:proofErr w:type="spellEnd"/>
            <w:r w:rsidR="009F2FF8">
              <w:rPr>
                <w:bCs/>
                <w:color w:val="000000"/>
                <w:lang w:eastAsia="lt-LT"/>
              </w:rPr>
              <w:t xml:space="preserve">, </w:t>
            </w:r>
            <w:proofErr w:type="spellStart"/>
            <w:r w:rsidR="009F2FF8">
              <w:rPr>
                <w:bCs/>
                <w:color w:val="000000"/>
                <w:lang w:eastAsia="lt-LT"/>
              </w:rPr>
              <w:t>tofacitinibu</w:t>
            </w:r>
            <w:proofErr w:type="spellEnd"/>
            <w:r w:rsidR="009F2FF8">
              <w:rPr>
                <w:bCs/>
                <w:color w:val="000000"/>
                <w:lang w:eastAsia="lt-LT"/>
              </w:rPr>
              <w:t>.</w:t>
            </w:r>
          </w:p>
          <w:p w14:paraId="579AE56C" w14:textId="1B2CCB51" w:rsidR="00D84440" w:rsidRPr="00D84440" w:rsidRDefault="00D84440" w:rsidP="00D84440">
            <w:pPr>
              <w:pStyle w:val="ListParagraph"/>
              <w:rPr>
                <w:bCs/>
                <w:color w:val="000000"/>
                <w:lang w:eastAsia="lt-LT"/>
              </w:rPr>
            </w:pPr>
          </w:p>
        </w:tc>
        <w:tc>
          <w:tcPr>
            <w:tcW w:w="5167" w:type="dxa"/>
          </w:tcPr>
          <w:p w14:paraId="73925BE9" w14:textId="77777777" w:rsidR="00D84440" w:rsidRDefault="00D84440" w:rsidP="00D84440"/>
          <w:p w14:paraId="1F7319BB" w14:textId="02CDA99C" w:rsidR="00D84440" w:rsidRDefault="00D84440" w:rsidP="00D84440"/>
          <w:p w14:paraId="26F0793A" w14:textId="77777777" w:rsidR="00D84440" w:rsidRDefault="00D84440" w:rsidP="00D84440"/>
          <w:p w14:paraId="0EB59D8F" w14:textId="673F34BB" w:rsidR="00D84440" w:rsidRPr="00E33EFF" w:rsidRDefault="00441915" w:rsidP="00D84440">
            <w:sdt>
              <w:sdtPr>
                <w:rPr>
                  <w:rStyle w:val="Style2"/>
                  <w:sz w:val="24"/>
                </w:rPr>
                <w:id w:val="658589925"/>
                <w15:color w:val="FFCC00"/>
                <w14:checkbox>
                  <w14:checked w14:val="1"/>
                  <w14:checkedState w14:val="2612" w14:font="MS Gothic"/>
                  <w14:uncheckedState w14:val="2610" w14:font="MS Gothic"/>
                </w14:checkbox>
              </w:sdtPr>
              <w:sdtEndPr>
                <w:rPr>
                  <w:rStyle w:val="Style2"/>
                </w:rPr>
              </w:sdtEndPr>
              <w:sdtContent>
                <w:r w:rsidR="00D84440">
                  <w:rPr>
                    <w:rStyle w:val="Style2"/>
                    <w:rFonts w:ascii="MS Gothic" w:eastAsia="MS Gothic" w:hAnsi="MS Gothic" w:hint="eastAsia"/>
                    <w:sz w:val="24"/>
                  </w:rPr>
                  <w:t>☒</w:t>
                </w:r>
              </w:sdtContent>
            </w:sdt>
            <w:r w:rsidR="00D84440" w:rsidRPr="00E33EFF">
              <w:t xml:space="preserve"> Tinkamas</w:t>
            </w:r>
          </w:p>
          <w:p w14:paraId="425E9F8D" w14:textId="686A3510" w:rsidR="00D84440" w:rsidRPr="00E33EFF" w:rsidRDefault="00441915" w:rsidP="00D84440">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D84440">
                  <w:rPr>
                    <w:rStyle w:val="Style2"/>
                    <w:rFonts w:ascii="MS Gothic" w:eastAsia="MS Gothic" w:hAnsi="MS Gothic" w:hint="eastAsia"/>
                    <w:sz w:val="24"/>
                  </w:rPr>
                  <w:t>☐</w:t>
                </w:r>
              </w:sdtContent>
            </w:sdt>
            <w:r w:rsidR="00D84440" w:rsidRPr="00E33EFF">
              <w:t xml:space="preserve"> Netinkama</w:t>
            </w:r>
            <w:r w:rsidR="00D84440">
              <w:t>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289"/>
        <w:gridCol w:w="1230"/>
        <w:gridCol w:w="3894"/>
        <w:gridCol w:w="2216"/>
      </w:tblGrid>
      <w:tr w:rsidR="00F70C9E" w:rsidRPr="00E33EFF" w14:paraId="7E72828B" w14:textId="77777777" w:rsidTr="00742758">
        <w:trPr>
          <w:trHeight w:val="924"/>
        </w:trPr>
        <w:tc>
          <w:tcPr>
            <w:tcW w:w="1629"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907" w:type="dxa"/>
          </w:tcPr>
          <w:p w14:paraId="34AE1EDD" w14:textId="77777777" w:rsidR="00F70C9E" w:rsidRPr="00E33EFF" w:rsidRDefault="00F70C9E" w:rsidP="00824B92">
            <w:pPr>
              <w:rPr>
                <w:rFonts w:eastAsia="Arial"/>
              </w:rPr>
            </w:pPr>
            <w:r w:rsidRPr="00E33EFF">
              <w:rPr>
                <w:rFonts w:eastAsia="Arial"/>
              </w:rPr>
              <w:t>STV vertinimas atliktas</w:t>
            </w:r>
          </w:p>
        </w:tc>
        <w:tc>
          <w:tcPr>
            <w:tcW w:w="551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1579" w:type="dxa"/>
          </w:tcPr>
          <w:p w14:paraId="1861E3F2" w14:textId="74803B5B" w:rsidR="00F70C9E" w:rsidRPr="00E33EFF" w:rsidRDefault="00F70C9E" w:rsidP="00824B92">
            <w:pP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F70C9E" w:rsidRPr="00E33EFF" w14:paraId="129FA8F6" w14:textId="77777777" w:rsidTr="00742758">
        <w:trPr>
          <w:trHeight w:val="2267"/>
        </w:trPr>
        <w:tc>
          <w:tcPr>
            <w:tcW w:w="1629" w:type="dxa"/>
          </w:tcPr>
          <w:p w14:paraId="0A070137" w14:textId="77777777" w:rsidR="00F70C9E" w:rsidRPr="00E33EFF" w:rsidRDefault="00F70C9E" w:rsidP="00824B92">
            <w:pPr>
              <w:rPr>
                <w:bCs/>
              </w:rPr>
            </w:pPr>
            <w:r w:rsidRPr="00E33EFF">
              <w:rPr>
                <w:bCs/>
              </w:rPr>
              <w:t>Nacionalinis sveikatos ir klinikinės kompetencijos institutas, Didžioji Britanija</w:t>
            </w:r>
          </w:p>
          <w:p w14:paraId="49C6520D" w14:textId="77777777" w:rsidR="00F70C9E" w:rsidRPr="00E33EFF" w:rsidRDefault="00F70C9E" w:rsidP="00824B92">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National Institute for Health and Care  Excellence, NICE</w:t>
            </w:r>
            <w:r w:rsidRPr="00E33EFF">
              <w:rPr>
                <w:rFonts w:eastAsia="Arial"/>
                <w:lang w:val="en-GB"/>
              </w:rPr>
              <w:t>)</w:t>
            </w:r>
          </w:p>
        </w:tc>
        <w:tc>
          <w:tcPr>
            <w:tcW w:w="907" w:type="dxa"/>
          </w:tcPr>
          <w:p w14:paraId="5846A9F8" w14:textId="3F1892F5" w:rsidR="00F70C9E" w:rsidRPr="00E33EFF" w:rsidRDefault="00441915" w:rsidP="00824B92">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AE7595">
                  <w:rPr>
                    <w:rStyle w:val="Style2"/>
                    <w:rFonts w:ascii="MS Gothic" w:eastAsia="MS Gothic" w:hAnsi="MS Gothic" w:hint="eastAsia"/>
                    <w:sz w:val="24"/>
                  </w:rPr>
                  <w:t>☒</w:t>
                </w:r>
              </w:sdtContent>
            </w:sdt>
            <w:r w:rsidR="00F70C9E" w:rsidRPr="00E33EFF">
              <w:t xml:space="preserve"> Taip</w:t>
            </w:r>
          </w:p>
          <w:p w14:paraId="29F3627E" w14:textId="77777777" w:rsidR="00F70C9E" w:rsidRPr="00E33EFF" w:rsidRDefault="00441915" w:rsidP="00824B92">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Ne</w:t>
            </w:r>
          </w:p>
          <w:p w14:paraId="7916359D" w14:textId="25669306" w:rsidR="00F70C9E" w:rsidRPr="00E33EFF" w:rsidRDefault="00441915" w:rsidP="00824B92">
            <w:pPr>
              <w:rPr>
                <w:rFonts w:eastAsia="Arial"/>
              </w:rPr>
            </w:pPr>
            <w:sdt>
              <w:sdtPr>
                <w:alias w:val="Nurodykite konkrečią dieną"/>
                <w:tag w:val="Nurodykite pradžios datą"/>
                <w:id w:val="922837954"/>
                <w:placeholder>
                  <w:docPart w:val="1E86322BB2A046D9AA8EEC8813E5F165"/>
                </w:placeholder>
                <w15:color w:val="FFCC99"/>
                <w:date>
                  <w:dateFormat w:val="yyyy 'm.' MMMM d 'd.'"/>
                  <w:lid w:val="lt-LT"/>
                  <w:storeMappedDataAs w:val="dateTime"/>
                  <w:calendar w:val="gregorian"/>
                </w:date>
              </w:sdtPr>
              <w:sdtEndPr/>
              <w:sdtContent>
                <w:r w:rsidR="00536BB7">
                  <w:t>2017 m. rugpjūčio 9 d.</w:t>
                </w:r>
              </w:sdtContent>
            </w:sdt>
          </w:p>
        </w:tc>
        <w:tc>
          <w:tcPr>
            <w:tcW w:w="5514" w:type="dxa"/>
          </w:tcPr>
          <w:p w14:paraId="4A9E3BE5" w14:textId="77777777" w:rsidR="00536BB7" w:rsidRPr="00536BB7" w:rsidRDefault="00536BB7" w:rsidP="00536BB7">
            <w:pPr>
              <w:jc w:val="both"/>
              <w:rPr>
                <w:color w:val="000000"/>
                <w:sz w:val="20"/>
                <w:szCs w:val="20"/>
                <w:lang w:eastAsia="lt-LT"/>
              </w:rPr>
            </w:pPr>
            <w:r w:rsidRPr="00536BB7">
              <w:rPr>
                <w:color w:val="000000"/>
                <w:sz w:val="20"/>
                <w:szCs w:val="20"/>
                <w:lang w:eastAsia="lt-LT"/>
              </w:rPr>
              <w:t xml:space="preserve">- </w:t>
            </w:r>
            <w:proofErr w:type="spellStart"/>
            <w:r w:rsidRPr="00536BB7">
              <w:rPr>
                <w:color w:val="000000"/>
                <w:sz w:val="20"/>
                <w:szCs w:val="20"/>
                <w:lang w:eastAsia="lt-LT"/>
              </w:rPr>
              <w:t>Baricitinibas</w:t>
            </w:r>
            <w:proofErr w:type="spellEnd"/>
            <w:r w:rsidRPr="00536BB7">
              <w:rPr>
                <w:color w:val="000000"/>
                <w:sz w:val="20"/>
                <w:szCs w:val="20"/>
                <w:lang w:eastAsia="lt-LT"/>
              </w:rPr>
              <w:t xml:space="preserve"> kartu su </w:t>
            </w:r>
            <w:proofErr w:type="spellStart"/>
            <w:r w:rsidRPr="00536BB7">
              <w:rPr>
                <w:color w:val="000000"/>
                <w:sz w:val="20"/>
                <w:szCs w:val="20"/>
                <w:lang w:eastAsia="lt-LT"/>
              </w:rPr>
              <w:t>metotreksatu</w:t>
            </w:r>
            <w:proofErr w:type="spellEnd"/>
            <w:r w:rsidRPr="00536BB7">
              <w:rPr>
                <w:color w:val="000000"/>
                <w:sz w:val="20"/>
                <w:szCs w:val="20"/>
                <w:lang w:eastAsia="lt-LT"/>
              </w:rPr>
              <w:t xml:space="preserve"> rekomenduojamas  skirti suaugusiems pacientams, kuriems yra aktyvus sunkus (DAS&gt;5.1) reumatoidinis artritas ir kai jie netinkamai reagavo į vieną arba daugiau ligą modifikuojančiųjų vaistinių preparatų reumatui gydyti. </w:t>
            </w:r>
          </w:p>
          <w:p w14:paraId="336CA93E" w14:textId="77777777" w:rsidR="00536BB7" w:rsidRPr="00536BB7" w:rsidRDefault="00536BB7" w:rsidP="00536BB7">
            <w:pPr>
              <w:jc w:val="both"/>
              <w:rPr>
                <w:color w:val="000000"/>
                <w:sz w:val="20"/>
                <w:szCs w:val="20"/>
                <w:lang w:eastAsia="lt-LT"/>
              </w:rPr>
            </w:pPr>
            <w:r w:rsidRPr="00536BB7">
              <w:rPr>
                <w:color w:val="000000"/>
                <w:sz w:val="20"/>
                <w:szCs w:val="20"/>
                <w:lang w:eastAsia="lt-LT"/>
              </w:rPr>
              <w:t xml:space="preserve">- </w:t>
            </w:r>
            <w:proofErr w:type="spellStart"/>
            <w:r w:rsidRPr="00536BB7">
              <w:rPr>
                <w:color w:val="000000"/>
                <w:sz w:val="20"/>
                <w:szCs w:val="20"/>
                <w:lang w:eastAsia="lt-LT"/>
              </w:rPr>
              <w:t>Baricitinibas</w:t>
            </w:r>
            <w:proofErr w:type="spellEnd"/>
            <w:r w:rsidRPr="00536BB7">
              <w:rPr>
                <w:color w:val="000000"/>
                <w:sz w:val="20"/>
                <w:szCs w:val="20"/>
                <w:lang w:eastAsia="lt-LT"/>
              </w:rPr>
              <w:t xml:space="preserve"> kartu su </w:t>
            </w:r>
            <w:proofErr w:type="spellStart"/>
            <w:r w:rsidRPr="00536BB7">
              <w:rPr>
                <w:color w:val="000000"/>
                <w:sz w:val="20"/>
                <w:szCs w:val="20"/>
                <w:lang w:eastAsia="lt-LT"/>
              </w:rPr>
              <w:t>metotreksatu</w:t>
            </w:r>
            <w:proofErr w:type="spellEnd"/>
            <w:r w:rsidRPr="00536BB7">
              <w:rPr>
                <w:color w:val="000000"/>
                <w:sz w:val="20"/>
                <w:szCs w:val="20"/>
                <w:lang w:eastAsia="lt-LT"/>
              </w:rPr>
              <w:t xml:space="preserve"> rekomenduojamas skirti suaugusiems pacientams, kuriems yra aktyvus sunkus (DAS28&gt;5,1) reumatoidinis artritas ir kai jie netinkamai reagavo ar netoleravo kitų LMVR, įskaitant bent 1 biologinį LMVR, tik jeigu jiems negalima skirti </w:t>
            </w:r>
            <w:proofErr w:type="spellStart"/>
            <w:r w:rsidRPr="00536BB7">
              <w:rPr>
                <w:color w:val="000000"/>
                <w:sz w:val="20"/>
                <w:szCs w:val="20"/>
                <w:lang w:eastAsia="lt-LT"/>
              </w:rPr>
              <w:t>rituksimabo</w:t>
            </w:r>
            <w:proofErr w:type="spellEnd"/>
            <w:r w:rsidRPr="00536BB7">
              <w:rPr>
                <w:color w:val="000000"/>
                <w:sz w:val="20"/>
                <w:szCs w:val="20"/>
                <w:lang w:eastAsia="lt-LT"/>
              </w:rPr>
              <w:t>.</w:t>
            </w:r>
          </w:p>
          <w:p w14:paraId="278B647A" w14:textId="77777777" w:rsidR="00536BB7" w:rsidRPr="00850E80" w:rsidRDefault="00536BB7" w:rsidP="00536BB7">
            <w:pPr>
              <w:jc w:val="both"/>
              <w:rPr>
                <w:color w:val="000000"/>
                <w:sz w:val="20"/>
                <w:lang w:eastAsia="lt-LT"/>
              </w:rPr>
            </w:pPr>
            <w:r w:rsidRPr="00850E80">
              <w:rPr>
                <w:color w:val="000000"/>
                <w:sz w:val="20"/>
                <w:lang w:eastAsia="lt-LT"/>
              </w:rPr>
              <w:t>- Gydymas nutraukiamas, jeigu gydymo tikslas nepasiekiamas per 6 mėnesius.</w:t>
            </w:r>
          </w:p>
          <w:p w14:paraId="6413D0ED" w14:textId="299A53B2" w:rsidR="00536BB7" w:rsidRPr="00536BB7" w:rsidRDefault="00536BB7" w:rsidP="00536BB7">
            <w:pPr>
              <w:rPr>
                <w:rFonts w:eastAsia="Arial"/>
                <w:sz w:val="20"/>
                <w:szCs w:val="20"/>
              </w:rPr>
            </w:pPr>
            <w:r w:rsidRPr="00850E80">
              <w:rPr>
                <w:color w:val="000000"/>
                <w:sz w:val="20"/>
                <w:lang w:eastAsia="lt-LT"/>
              </w:rPr>
              <w:t>Tik sunkaus reumatoidinio artrito gydymui (DAS28&gt;5,1).</w:t>
            </w:r>
          </w:p>
        </w:tc>
        <w:tc>
          <w:tcPr>
            <w:tcW w:w="1579" w:type="dxa"/>
          </w:tcPr>
          <w:p w14:paraId="67430EE7" w14:textId="1F3A02B4" w:rsidR="00F70C9E" w:rsidRPr="00E33EFF" w:rsidRDefault="00536BB7" w:rsidP="00992087">
            <w:pPr>
              <w:rPr>
                <w:rFonts w:eastAsia="Arial"/>
              </w:rPr>
            </w:pPr>
            <w:r>
              <w:rPr>
                <w:rFonts w:eastAsia="Arial"/>
              </w:rPr>
              <w:t xml:space="preserve">Rekomenduojama </w:t>
            </w:r>
            <w:proofErr w:type="spellStart"/>
            <w:r>
              <w:rPr>
                <w:rFonts w:eastAsia="Arial"/>
              </w:rPr>
              <w:t>Baricitinibą</w:t>
            </w:r>
            <w:proofErr w:type="spellEnd"/>
            <w:r>
              <w:rPr>
                <w:rFonts w:eastAsia="Arial"/>
              </w:rPr>
              <w:t xml:space="preserve"> kompensuoti su konfidencialia PGS</w:t>
            </w:r>
          </w:p>
        </w:tc>
      </w:tr>
      <w:tr w:rsidR="00F70C9E" w:rsidRPr="00E33EFF" w14:paraId="1CC31474" w14:textId="77777777" w:rsidTr="00742758">
        <w:trPr>
          <w:trHeight w:val="1547"/>
        </w:trPr>
        <w:tc>
          <w:tcPr>
            <w:tcW w:w="1629" w:type="dxa"/>
          </w:tcPr>
          <w:p w14:paraId="12218E35" w14:textId="77777777" w:rsidR="00F70C9E" w:rsidRPr="00E33EFF" w:rsidRDefault="00F70C9E" w:rsidP="00824B92">
            <w:pPr>
              <w:rPr>
                <w:rFonts w:eastAsia="Arial"/>
                <w:lang w:val="en-GB"/>
              </w:rPr>
            </w:pPr>
            <w:proofErr w:type="spellStart"/>
            <w:r w:rsidRPr="00E33EFF">
              <w:rPr>
                <w:rFonts w:eastAsia="Arial"/>
                <w:lang w:val="en-GB"/>
              </w:rPr>
              <w:t>Kanados</w:t>
            </w:r>
            <w:proofErr w:type="spellEnd"/>
            <w:r w:rsidRPr="00E33EFF">
              <w:rPr>
                <w:rFonts w:eastAsia="Arial"/>
                <w:lang w:val="en-GB"/>
              </w:rPr>
              <w:t xml:space="preserve"> </w:t>
            </w:r>
            <w:proofErr w:type="spellStart"/>
            <w:r w:rsidRPr="00E33EFF">
              <w:rPr>
                <w:rFonts w:eastAsia="Arial"/>
                <w:lang w:val="en-GB"/>
              </w:rPr>
              <w:t>sveikatos</w:t>
            </w:r>
            <w:proofErr w:type="spellEnd"/>
            <w:r w:rsidRPr="00E33EFF">
              <w:rPr>
                <w:rFonts w:eastAsia="Arial"/>
                <w:lang w:val="en-GB"/>
              </w:rPr>
              <w:t xml:space="preserve"> </w:t>
            </w:r>
            <w:proofErr w:type="spellStart"/>
            <w:r w:rsidRPr="00E33EFF">
              <w:rPr>
                <w:rFonts w:eastAsia="Arial"/>
                <w:lang w:val="en-GB"/>
              </w:rPr>
              <w:t>technologijų</w:t>
            </w:r>
            <w:proofErr w:type="spellEnd"/>
            <w:r w:rsidRPr="00E33EFF">
              <w:rPr>
                <w:rFonts w:eastAsia="Arial"/>
                <w:lang w:val="en-GB"/>
              </w:rPr>
              <w:t xml:space="preserve"> </w:t>
            </w:r>
            <w:proofErr w:type="spellStart"/>
            <w:r w:rsidRPr="00E33EFF">
              <w:rPr>
                <w:rFonts w:eastAsia="Arial"/>
                <w:lang w:val="en-GB"/>
              </w:rPr>
              <w:t>agentūra</w:t>
            </w:r>
            <w:proofErr w:type="spellEnd"/>
          </w:p>
          <w:p w14:paraId="2C593A82" w14:textId="77777777" w:rsidR="00F70C9E" w:rsidRPr="00E33EFF" w:rsidRDefault="00F70C9E" w:rsidP="00824B92">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Canadian health Technology Assessment agency, CADTH</w:t>
            </w:r>
            <w:r w:rsidRPr="00E33EFF">
              <w:rPr>
                <w:rFonts w:eastAsia="Arial"/>
                <w:lang w:val="en-GB"/>
              </w:rPr>
              <w:t>)</w:t>
            </w:r>
          </w:p>
        </w:tc>
        <w:tc>
          <w:tcPr>
            <w:tcW w:w="907" w:type="dxa"/>
          </w:tcPr>
          <w:p w14:paraId="762649FE" w14:textId="27D216F9" w:rsidR="00F70C9E" w:rsidRPr="00E33EFF" w:rsidRDefault="00441915" w:rsidP="00824B92">
            <w:sdt>
              <w:sdtPr>
                <w:rPr>
                  <w:rStyle w:val="Style2"/>
                  <w:sz w:val="24"/>
                </w:rPr>
                <w:id w:val="-372539057"/>
                <w15:color w:val="FFCC00"/>
                <w14:checkbox>
                  <w14:checked w14:val="1"/>
                  <w14:checkedState w14:val="2612" w14:font="MS Gothic"/>
                  <w14:uncheckedState w14:val="2610" w14:font="MS Gothic"/>
                </w14:checkbox>
              </w:sdtPr>
              <w:sdtEndPr>
                <w:rPr>
                  <w:rStyle w:val="Style2"/>
                </w:rPr>
              </w:sdtEndPr>
              <w:sdtContent>
                <w:r w:rsidR="009D6348">
                  <w:rPr>
                    <w:rStyle w:val="Style2"/>
                    <w:rFonts w:ascii="MS Gothic" w:eastAsia="MS Gothic" w:hAnsi="MS Gothic" w:hint="eastAsia"/>
                    <w:sz w:val="24"/>
                  </w:rPr>
                  <w:t>☒</w:t>
                </w:r>
              </w:sdtContent>
            </w:sdt>
            <w:r w:rsidR="00F70C9E" w:rsidRPr="00E33EFF">
              <w:t xml:space="preserve"> Taip</w:t>
            </w:r>
          </w:p>
          <w:p w14:paraId="35F17B07" w14:textId="77777777" w:rsidR="00F70C9E" w:rsidRPr="00E33EFF" w:rsidRDefault="00441915" w:rsidP="00824B92">
            <w:sdt>
              <w:sdtPr>
                <w:rPr>
                  <w:rStyle w:val="Style2"/>
                  <w:sz w:val="24"/>
                </w:rPr>
                <w:id w:val="594442222"/>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Ne</w:t>
            </w:r>
          </w:p>
          <w:p w14:paraId="0C0988CC" w14:textId="17808A63" w:rsidR="00F70C9E" w:rsidRPr="00E33EFF" w:rsidRDefault="00441915" w:rsidP="00824B92">
            <w:pPr>
              <w:rPr>
                <w:rFonts w:eastAsia="Arial"/>
              </w:rPr>
            </w:pPr>
            <w:sdt>
              <w:sdtPr>
                <w:alias w:val="Nurodykite konkrečią dieną"/>
                <w:tag w:val="Nurodykite pradžios datą"/>
                <w:id w:val="1072468416"/>
                <w:placeholder>
                  <w:docPart w:val="57B9655BB938420B82BDAD6B82A66F50"/>
                </w:placeholder>
                <w15:color w:val="FFCC99"/>
                <w:date w:fullDate="2019-08-09T00:00:00Z">
                  <w:dateFormat w:val="yyyy 'm.' MMMM d 'd.'"/>
                  <w:lid w:val="lt-LT"/>
                  <w:storeMappedDataAs w:val="dateTime"/>
                  <w:calendar w:val="gregorian"/>
                </w:date>
              </w:sdtPr>
              <w:sdtEndPr/>
              <w:sdtContent>
                <w:r w:rsidR="00536BB7">
                  <w:t>2019 m. rugpjūčio 9 d.</w:t>
                </w:r>
              </w:sdtContent>
            </w:sdt>
          </w:p>
        </w:tc>
        <w:tc>
          <w:tcPr>
            <w:tcW w:w="5514" w:type="dxa"/>
          </w:tcPr>
          <w:p w14:paraId="112F8016" w14:textId="35E702FE" w:rsidR="00DE7E84" w:rsidRPr="00536BB7" w:rsidRDefault="00DE7E84" w:rsidP="00DE7E84">
            <w:pPr>
              <w:rPr>
                <w:rFonts w:eastAsia="Arial"/>
                <w:sz w:val="20"/>
                <w:szCs w:val="20"/>
              </w:rPr>
            </w:pPr>
            <w:r w:rsidRPr="00536BB7">
              <w:rPr>
                <w:rFonts w:eastAsia="Arial"/>
                <w:sz w:val="20"/>
                <w:szCs w:val="20"/>
              </w:rPr>
              <w:t xml:space="preserve">CADTH vaistų ekspertų komitetas rekomenduoja </w:t>
            </w:r>
            <w:proofErr w:type="spellStart"/>
            <w:r w:rsidRPr="00536BB7">
              <w:rPr>
                <w:rFonts w:eastAsia="Arial"/>
                <w:sz w:val="20"/>
                <w:szCs w:val="20"/>
              </w:rPr>
              <w:t>baricitinibą</w:t>
            </w:r>
            <w:proofErr w:type="spellEnd"/>
            <w:r w:rsidRPr="00536BB7">
              <w:rPr>
                <w:rFonts w:eastAsia="Arial"/>
                <w:sz w:val="20"/>
                <w:szCs w:val="20"/>
              </w:rPr>
              <w:t xml:space="preserve"> kompensuoti derinyje su </w:t>
            </w:r>
            <w:proofErr w:type="spellStart"/>
            <w:r w:rsidRPr="00536BB7">
              <w:rPr>
                <w:rFonts w:eastAsia="Arial"/>
                <w:sz w:val="20"/>
                <w:szCs w:val="20"/>
              </w:rPr>
              <w:t>metotreksatu</w:t>
            </w:r>
            <w:proofErr w:type="spellEnd"/>
            <w:r w:rsidRPr="00536BB7">
              <w:rPr>
                <w:rFonts w:eastAsia="Arial"/>
                <w:sz w:val="20"/>
                <w:szCs w:val="20"/>
              </w:rPr>
              <w:t xml:space="preserve"> vidutinio sunkumo ar sunkaus reumatoidinio artrito gydymui pacientams, kurių atsakas į vieną ar daugiau ligos eigą </w:t>
            </w:r>
            <w:proofErr w:type="spellStart"/>
            <w:r w:rsidRPr="00536BB7">
              <w:rPr>
                <w:rFonts w:eastAsia="Arial"/>
                <w:sz w:val="20"/>
                <w:szCs w:val="20"/>
              </w:rPr>
              <w:t>modifkuojančių</w:t>
            </w:r>
            <w:proofErr w:type="spellEnd"/>
            <w:r w:rsidRPr="00536BB7">
              <w:rPr>
                <w:rFonts w:eastAsia="Arial"/>
                <w:sz w:val="20"/>
                <w:szCs w:val="20"/>
              </w:rPr>
              <w:t xml:space="preserve"> </w:t>
            </w:r>
            <w:proofErr w:type="spellStart"/>
            <w:r w:rsidRPr="00536BB7">
              <w:rPr>
                <w:rFonts w:eastAsia="Arial"/>
                <w:sz w:val="20"/>
                <w:szCs w:val="20"/>
              </w:rPr>
              <w:t>terapijų</w:t>
            </w:r>
            <w:proofErr w:type="spellEnd"/>
            <w:r w:rsidRPr="00536BB7">
              <w:rPr>
                <w:rFonts w:eastAsia="Arial"/>
                <w:sz w:val="20"/>
                <w:szCs w:val="20"/>
              </w:rPr>
              <w:t xml:space="preserve"> (LMV) buvo nepakankamas, su sąlygomis.</w:t>
            </w:r>
          </w:p>
          <w:p w14:paraId="71C33522" w14:textId="77777777" w:rsidR="00DE7E84" w:rsidRPr="00536BB7" w:rsidRDefault="00DE7E84" w:rsidP="00DE7E84">
            <w:pPr>
              <w:rPr>
                <w:rFonts w:eastAsia="Arial"/>
                <w:sz w:val="20"/>
                <w:szCs w:val="20"/>
              </w:rPr>
            </w:pPr>
            <w:r w:rsidRPr="00536BB7">
              <w:rPr>
                <w:rFonts w:eastAsia="Arial"/>
                <w:sz w:val="20"/>
                <w:szCs w:val="20"/>
              </w:rPr>
              <w:t>Gydymo iniciavimas:</w:t>
            </w:r>
          </w:p>
          <w:p w14:paraId="6FB0EBAF" w14:textId="3D08616A" w:rsidR="00DE7E84" w:rsidRPr="00536BB7" w:rsidRDefault="00DE7E84" w:rsidP="00DE7E84">
            <w:pPr>
              <w:pStyle w:val="ListParagraph"/>
              <w:numPr>
                <w:ilvl w:val="0"/>
                <w:numId w:val="14"/>
              </w:numPr>
              <w:rPr>
                <w:rFonts w:eastAsia="Arial"/>
                <w:sz w:val="20"/>
                <w:szCs w:val="20"/>
              </w:rPr>
            </w:pPr>
            <w:r w:rsidRPr="00536BB7">
              <w:rPr>
                <w:rFonts w:eastAsia="Arial"/>
                <w:sz w:val="20"/>
                <w:szCs w:val="20"/>
              </w:rPr>
              <w:lastRenderedPageBreak/>
              <w:t xml:space="preserve">Gydomi pacientai, sergantys vidutinio sunkumo ar sunkiu RA, kurių atsakas į vieną ar daugiau LMV buvo nepakankamas (arba yra LMV </w:t>
            </w:r>
            <w:proofErr w:type="spellStart"/>
            <w:r w:rsidRPr="00536BB7">
              <w:rPr>
                <w:rFonts w:eastAsia="Arial"/>
                <w:sz w:val="20"/>
                <w:szCs w:val="20"/>
              </w:rPr>
              <w:t>netoleravimas</w:t>
            </w:r>
            <w:proofErr w:type="spellEnd"/>
            <w:r w:rsidRPr="00536BB7">
              <w:rPr>
                <w:rFonts w:eastAsia="Arial"/>
                <w:sz w:val="20"/>
                <w:szCs w:val="20"/>
              </w:rPr>
              <w:t>);</w:t>
            </w:r>
          </w:p>
          <w:p w14:paraId="1566077E" w14:textId="2AFF4579" w:rsidR="00DE7E84" w:rsidRPr="00536BB7" w:rsidRDefault="00DE7E84" w:rsidP="00DE7E84">
            <w:pPr>
              <w:pStyle w:val="ListParagraph"/>
              <w:numPr>
                <w:ilvl w:val="0"/>
                <w:numId w:val="14"/>
              </w:numPr>
              <w:rPr>
                <w:rFonts w:eastAsia="Arial"/>
                <w:sz w:val="20"/>
                <w:szCs w:val="20"/>
              </w:rPr>
            </w:pPr>
            <w:proofErr w:type="spellStart"/>
            <w:r w:rsidRPr="00536BB7">
              <w:rPr>
                <w:rFonts w:eastAsia="Arial"/>
                <w:sz w:val="20"/>
                <w:szCs w:val="20"/>
              </w:rPr>
              <w:t>Baricitinibas</w:t>
            </w:r>
            <w:proofErr w:type="spellEnd"/>
            <w:r w:rsidRPr="00536BB7">
              <w:rPr>
                <w:rFonts w:eastAsia="Arial"/>
                <w:sz w:val="20"/>
                <w:szCs w:val="20"/>
              </w:rPr>
              <w:t xml:space="preserve"> vartojamas derinyje su </w:t>
            </w:r>
            <w:proofErr w:type="spellStart"/>
            <w:r w:rsidRPr="00536BB7">
              <w:rPr>
                <w:rFonts w:eastAsia="Arial"/>
                <w:sz w:val="20"/>
                <w:szCs w:val="20"/>
              </w:rPr>
              <w:t>metotreskastu</w:t>
            </w:r>
            <w:proofErr w:type="spellEnd"/>
            <w:r w:rsidRPr="00536BB7">
              <w:rPr>
                <w:rFonts w:eastAsia="Arial"/>
                <w:sz w:val="20"/>
                <w:szCs w:val="20"/>
              </w:rPr>
              <w:t xml:space="preserve"> (arba </w:t>
            </w:r>
            <w:proofErr w:type="spellStart"/>
            <w:r w:rsidRPr="00536BB7">
              <w:rPr>
                <w:rFonts w:eastAsia="Arial"/>
                <w:sz w:val="20"/>
                <w:szCs w:val="20"/>
              </w:rPr>
              <w:t>monoterapija</w:t>
            </w:r>
            <w:proofErr w:type="spellEnd"/>
            <w:r w:rsidRPr="00536BB7">
              <w:rPr>
                <w:rFonts w:eastAsia="Arial"/>
                <w:sz w:val="20"/>
                <w:szCs w:val="20"/>
              </w:rPr>
              <w:t xml:space="preserve"> ar su kitu LMV) </w:t>
            </w:r>
            <w:proofErr w:type="spellStart"/>
            <w:r w:rsidRPr="00536BB7">
              <w:rPr>
                <w:i/>
                <w:sz w:val="20"/>
                <w:szCs w:val="20"/>
              </w:rPr>
              <w:t>Baricitinib</w:t>
            </w:r>
            <w:proofErr w:type="spellEnd"/>
            <w:r w:rsidRPr="00536BB7">
              <w:rPr>
                <w:i/>
                <w:sz w:val="20"/>
                <w:szCs w:val="20"/>
              </w:rPr>
              <w:t xml:space="preserve"> </w:t>
            </w:r>
            <w:proofErr w:type="spellStart"/>
            <w:r w:rsidRPr="00536BB7">
              <w:rPr>
                <w:i/>
                <w:sz w:val="20"/>
                <w:szCs w:val="20"/>
              </w:rPr>
              <w:t>should</w:t>
            </w:r>
            <w:proofErr w:type="spellEnd"/>
            <w:r w:rsidRPr="00536BB7">
              <w:rPr>
                <w:i/>
                <w:sz w:val="20"/>
                <w:szCs w:val="20"/>
              </w:rPr>
              <w:t xml:space="preserve"> </w:t>
            </w:r>
            <w:proofErr w:type="spellStart"/>
            <w:r w:rsidRPr="00536BB7">
              <w:rPr>
                <w:i/>
                <w:sz w:val="20"/>
                <w:szCs w:val="20"/>
              </w:rPr>
              <w:t>only</w:t>
            </w:r>
            <w:proofErr w:type="spellEnd"/>
            <w:r w:rsidRPr="00536BB7">
              <w:rPr>
                <w:i/>
                <w:sz w:val="20"/>
                <w:szCs w:val="20"/>
              </w:rPr>
              <w:t xml:space="preserve"> be </w:t>
            </w:r>
            <w:proofErr w:type="spellStart"/>
            <w:r w:rsidRPr="00536BB7">
              <w:rPr>
                <w:i/>
                <w:sz w:val="20"/>
                <w:szCs w:val="20"/>
              </w:rPr>
              <w:t>used</w:t>
            </w:r>
            <w:proofErr w:type="spellEnd"/>
            <w:r w:rsidRPr="00536BB7">
              <w:rPr>
                <w:i/>
                <w:sz w:val="20"/>
                <w:szCs w:val="20"/>
              </w:rPr>
              <w:t xml:space="preserve"> </w:t>
            </w:r>
            <w:proofErr w:type="spellStart"/>
            <w:r w:rsidRPr="00536BB7">
              <w:rPr>
                <w:i/>
                <w:sz w:val="20"/>
                <w:szCs w:val="20"/>
              </w:rPr>
              <w:t>in</w:t>
            </w:r>
            <w:proofErr w:type="spellEnd"/>
            <w:r w:rsidRPr="00536BB7">
              <w:rPr>
                <w:i/>
                <w:sz w:val="20"/>
                <w:szCs w:val="20"/>
              </w:rPr>
              <w:t xml:space="preserve"> </w:t>
            </w:r>
            <w:proofErr w:type="spellStart"/>
            <w:r w:rsidRPr="00536BB7">
              <w:rPr>
                <w:i/>
                <w:sz w:val="20"/>
                <w:szCs w:val="20"/>
              </w:rPr>
              <w:t>combination</w:t>
            </w:r>
            <w:proofErr w:type="spellEnd"/>
            <w:r w:rsidRPr="00536BB7">
              <w:rPr>
                <w:i/>
                <w:sz w:val="20"/>
                <w:szCs w:val="20"/>
              </w:rPr>
              <w:t xml:space="preserve"> </w:t>
            </w:r>
            <w:proofErr w:type="spellStart"/>
            <w:r w:rsidRPr="00536BB7">
              <w:rPr>
                <w:i/>
                <w:sz w:val="20"/>
                <w:szCs w:val="20"/>
              </w:rPr>
              <w:t>with</w:t>
            </w:r>
            <w:proofErr w:type="spellEnd"/>
            <w:r w:rsidRPr="00536BB7">
              <w:rPr>
                <w:i/>
                <w:sz w:val="20"/>
                <w:szCs w:val="20"/>
              </w:rPr>
              <w:t xml:space="preserve"> MTX (</w:t>
            </w:r>
            <w:proofErr w:type="spellStart"/>
            <w:r w:rsidRPr="00536BB7">
              <w:rPr>
                <w:i/>
                <w:sz w:val="20"/>
                <w:szCs w:val="20"/>
              </w:rPr>
              <w:t>alone</w:t>
            </w:r>
            <w:proofErr w:type="spellEnd"/>
            <w:r w:rsidRPr="00536BB7">
              <w:rPr>
                <w:i/>
                <w:sz w:val="20"/>
                <w:szCs w:val="20"/>
              </w:rPr>
              <w:t xml:space="preserve"> </w:t>
            </w:r>
            <w:proofErr w:type="spellStart"/>
            <w:r w:rsidRPr="00536BB7">
              <w:rPr>
                <w:i/>
                <w:sz w:val="20"/>
                <w:szCs w:val="20"/>
              </w:rPr>
              <w:t>or</w:t>
            </w:r>
            <w:proofErr w:type="spellEnd"/>
            <w:r w:rsidRPr="00536BB7">
              <w:rPr>
                <w:i/>
                <w:sz w:val="20"/>
                <w:szCs w:val="20"/>
              </w:rPr>
              <w:t xml:space="preserve"> </w:t>
            </w:r>
            <w:proofErr w:type="spellStart"/>
            <w:r w:rsidRPr="00536BB7">
              <w:rPr>
                <w:i/>
                <w:sz w:val="20"/>
                <w:szCs w:val="20"/>
              </w:rPr>
              <w:t>with</w:t>
            </w:r>
            <w:proofErr w:type="spellEnd"/>
            <w:r w:rsidRPr="00536BB7">
              <w:rPr>
                <w:i/>
                <w:sz w:val="20"/>
                <w:szCs w:val="20"/>
              </w:rPr>
              <w:t xml:space="preserve"> </w:t>
            </w:r>
            <w:proofErr w:type="spellStart"/>
            <w:r w:rsidRPr="00536BB7">
              <w:rPr>
                <w:i/>
                <w:sz w:val="20"/>
                <w:szCs w:val="20"/>
              </w:rPr>
              <w:t>other</w:t>
            </w:r>
            <w:proofErr w:type="spellEnd"/>
            <w:r w:rsidRPr="00536BB7">
              <w:rPr>
                <w:i/>
                <w:sz w:val="20"/>
                <w:szCs w:val="20"/>
              </w:rPr>
              <w:t xml:space="preserve"> </w:t>
            </w:r>
            <w:proofErr w:type="spellStart"/>
            <w:r w:rsidRPr="00536BB7">
              <w:rPr>
                <w:i/>
                <w:sz w:val="20"/>
                <w:szCs w:val="20"/>
              </w:rPr>
              <w:t>conventional</w:t>
            </w:r>
            <w:proofErr w:type="spellEnd"/>
            <w:r w:rsidRPr="00536BB7">
              <w:rPr>
                <w:i/>
                <w:sz w:val="20"/>
                <w:szCs w:val="20"/>
              </w:rPr>
              <w:t xml:space="preserve"> </w:t>
            </w:r>
            <w:proofErr w:type="spellStart"/>
            <w:r w:rsidRPr="00536BB7">
              <w:rPr>
                <w:i/>
                <w:sz w:val="20"/>
                <w:szCs w:val="20"/>
              </w:rPr>
              <w:t>DMARDs</w:t>
            </w:r>
            <w:proofErr w:type="spellEnd"/>
            <w:r w:rsidRPr="00536BB7">
              <w:rPr>
                <w:i/>
                <w:sz w:val="20"/>
                <w:szCs w:val="20"/>
              </w:rPr>
              <w:t xml:space="preserve"> [</w:t>
            </w:r>
            <w:proofErr w:type="spellStart"/>
            <w:r w:rsidRPr="00536BB7">
              <w:rPr>
                <w:i/>
                <w:sz w:val="20"/>
                <w:szCs w:val="20"/>
              </w:rPr>
              <w:t>cDMARDs</w:t>
            </w:r>
            <w:proofErr w:type="spellEnd"/>
            <w:r w:rsidRPr="00536BB7">
              <w:rPr>
                <w:i/>
                <w:sz w:val="20"/>
                <w:szCs w:val="20"/>
              </w:rPr>
              <w:t>]);</w:t>
            </w:r>
          </w:p>
          <w:p w14:paraId="6C85B77D" w14:textId="77777777" w:rsidR="00DE7E84" w:rsidRPr="00536BB7" w:rsidRDefault="00DE7E84" w:rsidP="00DE7E84">
            <w:pPr>
              <w:pStyle w:val="ListParagraph"/>
              <w:numPr>
                <w:ilvl w:val="0"/>
                <w:numId w:val="14"/>
              </w:numPr>
              <w:rPr>
                <w:rFonts w:eastAsia="Arial"/>
                <w:sz w:val="20"/>
                <w:szCs w:val="20"/>
              </w:rPr>
            </w:pPr>
            <w:proofErr w:type="spellStart"/>
            <w:r w:rsidRPr="00536BB7">
              <w:rPr>
                <w:sz w:val="20"/>
                <w:szCs w:val="20"/>
              </w:rPr>
              <w:t>Baricitinibas</w:t>
            </w:r>
            <w:proofErr w:type="spellEnd"/>
            <w:r w:rsidRPr="00536BB7">
              <w:rPr>
                <w:sz w:val="20"/>
                <w:szCs w:val="20"/>
              </w:rPr>
              <w:t xml:space="preserve"> negali būti vartojamas su kitais biologiniais LMV;</w:t>
            </w:r>
          </w:p>
          <w:p w14:paraId="7116C413" w14:textId="77777777" w:rsidR="00DE7E84" w:rsidRPr="00536BB7" w:rsidRDefault="00DE7E84" w:rsidP="00DE7E84">
            <w:pPr>
              <w:rPr>
                <w:rFonts w:eastAsia="Arial"/>
                <w:sz w:val="20"/>
                <w:szCs w:val="20"/>
              </w:rPr>
            </w:pPr>
            <w:r w:rsidRPr="00536BB7">
              <w:rPr>
                <w:rFonts w:eastAsia="Arial"/>
                <w:sz w:val="20"/>
                <w:szCs w:val="20"/>
              </w:rPr>
              <w:t>Gydymo nutraukimas:</w:t>
            </w:r>
          </w:p>
          <w:p w14:paraId="7156CD56" w14:textId="77777777" w:rsidR="00DE7E84" w:rsidRPr="00536BB7" w:rsidRDefault="00DE7E84" w:rsidP="00DE7E84">
            <w:pPr>
              <w:pStyle w:val="ListParagraph"/>
              <w:numPr>
                <w:ilvl w:val="0"/>
                <w:numId w:val="15"/>
              </w:numPr>
              <w:rPr>
                <w:rFonts w:eastAsia="Arial"/>
                <w:sz w:val="20"/>
                <w:szCs w:val="20"/>
              </w:rPr>
            </w:pPr>
            <w:r w:rsidRPr="00536BB7">
              <w:rPr>
                <w:rFonts w:eastAsia="Arial"/>
                <w:sz w:val="20"/>
                <w:szCs w:val="20"/>
              </w:rPr>
              <w:t>Nutraukti gydymą, jei nepastebimas atsakas per 12 sav. Atsakas į gydymą vertinamas ACR kriterijais – bent 20</w:t>
            </w:r>
            <w:r w:rsidRPr="00536BB7">
              <w:rPr>
                <w:rFonts w:eastAsia="Arial"/>
                <w:sz w:val="20"/>
                <w:szCs w:val="20"/>
                <w:lang w:val="en-US"/>
              </w:rPr>
              <w:t xml:space="preserve"> % </w:t>
            </w:r>
            <w:r w:rsidRPr="00536BB7">
              <w:rPr>
                <w:rFonts w:eastAsia="Arial"/>
                <w:sz w:val="20"/>
                <w:szCs w:val="20"/>
              </w:rPr>
              <w:t>pagerėjimas iki 12 sav.</w:t>
            </w:r>
          </w:p>
          <w:p w14:paraId="13FAC532" w14:textId="77777777" w:rsidR="00DE7E84" w:rsidRPr="00536BB7" w:rsidRDefault="00DE7E84" w:rsidP="00DE7E84">
            <w:pPr>
              <w:rPr>
                <w:rFonts w:eastAsia="Arial"/>
                <w:sz w:val="20"/>
                <w:szCs w:val="20"/>
              </w:rPr>
            </w:pPr>
            <w:r w:rsidRPr="00536BB7">
              <w:rPr>
                <w:rFonts w:eastAsia="Arial"/>
                <w:sz w:val="20"/>
                <w:szCs w:val="20"/>
              </w:rPr>
              <w:t>Skyrimo sąlygos:</w:t>
            </w:r>
          </w:p>
          <w:p w14:paraId="166B8B8E" w14:textId="77777777" w:rsidR="00DE7E84" w:rsidRPr="00536BB7" w:rsidRDefault="00DE7E84" w:rsidP="00DE7E84">
            <w:pPr>
              <w:pStyle w:val="ListParagraph"/>
              <w:numPr>
                <w:ilvl w:val="0"/>
                <w:numId w:val="16"/>
              </w:numPr>
              <w:rPr>
                <w:rFonts w:eastAsia="Arial"/>
                <w:sz w:val="20"/>
                <w:szCs w:val="20"/>
              </w:rPr>
            </w:pPr>
            <w:r w:rsidRPr="00536BB7">
              <w:rPr>
                <w:rFonts w:eastAsia="Arial"/>
                <w:sz w:val="20"/>
                <w:szCs w:val="20"/>
              </w:rPr>
              <w:t xml:space="preserve">Pacientą turi prižiūrėti </w:t>
            </w:r>
            <w:proofErr w:type="spellStart"/>
            <w:r w:rsidRPr="00536BB7">
              <w:rPr>
                <w:rFonts w:eastAsia="Arial"/>
                <w:sz w:val="20"/>
                <w:szCs w:val="20"/>
              </w:rPr>
              <w:t>reumatologas</w:t>
            </w:r>
            <w:proofErr w:type="spellEnd"/>
            <w:r w:rsidRPr="00536BB7">
              <w:rPr>
                <w:rFonts w:eastAsia="Arial"/>
                <w:sz w:val="20"/>
                <w:szCs w:val="20"/>
              </w:rPr>
              <w:t>;</w:t>
            </w:r>
          </w:p>
          <w:p w14:paraId="64D1B800" w14:textId="7E446F0E" w:rsidR="00DE7E84" w:rsidRPr="00536BB7" w:rsidRDefault="00DE7E84" w:rsidP="00DE7E84">
            <w:pPr>
              <w:pStyle w:val="ListParagraph"/>
              <w:numPr>
                <w:ilvl w:val="0"/>
                <w:numId w:val="16"/>
              </w:numPr>
              <w:rPr>
                <w:rFonts w:eastAsia="Arial"/>
                <w:sz w:val="20"/>
                <w:szCs w:val="20"/>
              </w:rPr>
            </w:pPr>
            <w:proofErr w:type="spellStart"/>
            <w:r w:rsidRPr="00536BB7">
              <w:rPr>
                <w:rFonts w:eastAsia="Arial"/>
                <w:sz w:val="20"/>
                <w:szCs w:val="20"/>
              </w:rPr>
              <w:t>Baricitinibo</w:t>
            </w:r>
            <w:proofErr w:type="spellEnd"/>
            <w:r w:rsidRPr="00536BB7">
              <w:rPr>
                <w:rFonts w:eastAsia="Arial"/>
                <w:sz w:val="20"/>
                <w:szCs w:val="20"/>
              </w:rPr>
              <w:t xml:space="preserve"> dozė negali viršyti 2 mg per dieną.</w:t>
            </w:r>
          </w:p>
        </w:tc>
        <w:tc>
          <w:tcPr>
            <w:tcW w:w="1579" w:type="dxa"/>
          </w:tcPr>
          <w:p w14:paraId="5C8CB330" w14:textId="15745B83" w:rsidR="00F70C9E" w:rsidRPr="00E33EFF" w:rsidRDefault="009D6348" w:rsidP="00992087">
            <w:pPr>
              <w:rPr>
                <w:rFonts w:eastAsia="Arial"/>
              </w:rPr>
            </w:pPr>
            <w:r>
              <w:rPr>
                <w:rFonts w:eastAsia="Arial"/>
              </w:rPr>
              <w:lastRenderedPageBreak/>
              <w:t>Kompensuoti su sąlyga,</w:t>
            </w:r>
            <w:r w:rsidR="00992087">
              <w:rPr>
                <w:rFonts w:eastAsia="Arial"/>
              </w:rPr>
              <w:t xml:space="preserve"> kad</w:t>
            </w:r>
            <w:r>
              <w:rPr>
                <w:rFonts w:eastAsia="Arial"/>
              </w:rPr>
              <w:t xml:space="preserve"> gydym</w:t>
            </w:r>
            <w:r w:rsidR="00992087">
              <w:rPr>
                <w:rFonts w:eastAsia="Arial"/>
              </w:rPr>
              <w:t>as</w:t>
            </w:r>
            <w:r>
              <w:rPr>
                <w:rFonts w:eastAsia="Arial"/>
              </w:rPr>
              <w:t xml:space="preserve"> </w:t>
            </w:r>
            <w:proofErr w:type="spellStart"/>
            <w:r>
              <w:rPr>
                <w:rFonts w:eastAsia="Arial"/>
              </w:rPr>
              <w:t>baricitinibu</w:t>
            </w:r>
            <w:proofErr w:type="spellEnd"/>
            <w:r>
              <w:rPr>
                <w:rFonts w:eastAsia="Arial"/>
              </w:rPr>
              <w:t xml:space="preserve">  bus pigesn</w:t>
            </w:r>
            <w:r w:rsidR="00992087">
              <w:rPr>
                <w:rFonts w:eastAsia="Arial"/>
              </w:rPr>
              <w:t>is</w:t>
            </w:r>
            <w:r>
              <w:rPr>
                <w:rFonts w:eastAsia="Arial"/>
              </w:rPr>
              <w:t xml:space="preserve"> </w:t>
            </w:r>
            <w:r w:rsidR="00992087">
              <w:rPr>
                <w:rFonts w:eastAsia="Arial"/>
              </w:rPr>
              <w:t xml:space="preserve">už </w:t>
            </w:r>
            <w:r>
              <w:rPr>
                <w:rFonts w:eastAsia="Arial"/>
              </w:rPr>
              <w:t>gydym</w:t>
            </w:r>
            <w:r w:rsidR="00A70FEE">
              <w:rPr>
                <w:rFonts w:eastAsia="Arial"/>
              </w:rPr>
              <w:t>ą</w:t>
            </w:r>
            <w:r>
              <w:rPr>
                <w:rFonts w:eastAsia="Arial"/>
              </w:rPr>
              <w:t xml:space="preserve"> pigiausia alternatyva</w:t>
            </w:r>
            <w:r w:rsidR="00C31A04">
              <w:rPr>
                <w:rFonts w:eastAsia="Arial"/>
              </w:rPr>
              <w:t>.</w:t>
            </w:r>
          </w:p>
        </w:tc>
      </w:tr>
      <w:tr w:rsidR="00F70C9E" w:rsidRPr="00E33EFF" w14:paraId="21C94D47" w14:textId="77777777" w:rsidTr="00742758">
        <w:trPr>
          <w:trHeight w:val="2160"/>
        </w:trPr>
        <w:tc>
          <w:tcPr>
            <w:tcW w:w="1629" w:type="dxa"/>
          </w:tcPr>
          <w:p w14:paraId="02F45BB8" w14:textId="77777777" w:rsidR="00F70C9E" w:rsidRPr="00E33EFF" w:rsidRDefault="00F70C9E" w:rsidP="00824B92">
            <w:pPr>
              <w:rPr>
                <w:rFonts w:eastAsia="Arial"/>
              </w:rPr>
            </w:pPr>
            <w:r w:rsidRPr="00E33EFF">
              <w:rPr>
                <w:rFonts w:eastAsia="Arial"/>
              </w:rPr>
              <w:t xml:space="preserve">Nacionalinis </w:t>
            </w:r>
            <w:proofErr w:type="spellStart"/>
            <w:r w:rsidRPr="00E33EFF">
              <w:rPr>
                <w:rFonts w:eastAsia="Arial"/>
              </w:rPr>
              <w:t>farmakoekonomikos</w:t>
            </w:r>
            <w:proofErr w:type="spellEnd"/>
            <w:r w:rsidRPr="00E33EFF">
              <w:rPr>
                <w:rFonts w:eastAsia="Arial"/>
              </w:rPr>
              <w:t xml:space="preserve"> centras, Airija</w:t>
            </w:r>
          </w:p>
          <w:p w14:paraId="736F5072" w14:textId="77777777" w:rsidR="00F70C9E" w:rsidRPr="00E33EFF" w:rsidRDefault="00F70C9E" w:rsidP="00824B92">
            <w:pPr>
              <w:rPr>
                <w:rFonts w:eastAsia="Arial"/>
              </w:rPr>
            </w:pPr>
            <w:r w:rsidRPr="00E33EFF">
              <w:rPr>
                <w:rFonts w:eastAsia="Arial"/>
              </w:rPr>
              <w:t>(angl.</w:t>
            </w:r>
            <w:r w:rsidRPr="00E33EFF">
              <w:rPr>
                <w:rFonts w:eastAsia="Arial"/>
                <w:i/>
              </w:rPr>
              <w:t xml:space="preserve"> </w:t>
            </w:r>
            <w:proofErr w:type="spellStart"/>
            <w:r w:rsidRPr="00E33EFF">
              <w:rPr>
                <w:rFonts w:eastAsia="Arial"/>
                <w:i/>
              </w:rPr>
              <w:t>National</w:t>
            </w:r>
            <w:proofErr w:type="spellEnd"/>
            <w:r w:rsidRPr="00E33EFF">
              <w:rPr>
                <w:rFonts w:eastAsia="Arial"/>
                <w:i/>
              </w:rPr>
              <w:t xml:space="preserve"> Centre </w:t>
            </w:r>
            <w:proofErr w:type="spellStart"/>
            <w:r w:rsidRPr="00E33EFF">
              <w:rPr>
                <w:rFonts w:eastAsia="Arial"/>
                <w:i/>
              </w:rPr>
              <w:t>for</w:t>
            </w:r>
            <w:proofErr w:type="spellEnd"/>
            <w:r w:rsidRPr="00E33EFF">
              <w:rPr>
                <w:rFonts w:eastAsia="Arial"/>
                <w:i/>
              </w:rPr>
              <w:t xml:space="preserve"> </w:t>
            </w:r>
            <w:proofErr w:type="spellStart"/>
            <w:r w:rsidRPr="00E33EFF">
              <w:rPr>
                <w:rFonts w:eastAsia="Arial"/>
                <w:i/>
              </w:rPr>
              <w:t>Pharmacoeconomics</w:t>
            </w:r>
            <w:proofErr w:type="spellEnd"/>
            <w:r w:rsidRPr="00E33EFF">
              <w:rPr>
                <w:rFonts w:eastAsia="Arial"/>
                <w:i/>
              </w:rPr>
              <w:t>, NCPE</w:t>
            </w:r>
            <w:r w:rsidRPr="00E33EFF">
              <w:rPr>
                <w:rFonts w:eastAsia="Arial"/>
              </w:rPr>
              <w:t>)</w:t>
            </w:r>
          </w:p>
        </w:tc>
        <w:tc>
          <w:tcPr>
            <w:tcW w:w="907" w:type="dxa"/>
          </w:tcPr>
          <w:p w14:paraId="106E24DF" w14:textId="24FB0C50" w:rsidR="00F70C9E" w:rsidRPr="00E33EFF" w:rsidRDefault="00441915" w:rsidP="00824B92">
            <w:sdt>
              <w:sdtPr>
                <w:rPr>
                  <w:rStyle w:val="Style2"/>
                  <w:sz w:val="24"/>
                </w:rPr>
                <w:id w:val="-1888403732"/>
                <w15:color w:val="FFCC00"/>
                <w14:checkbox>
                  <w14:checked w14:val="1"/>
                  <w14:checkedState w14:val="2612" w14:font="MS Gothic"/>
                  <w14:uncheckedState w14:val="2610" w14:font="MS Gothic"/>
                </w14:checkbox>
              </w:sdtPr>
              <w:sdtEndPr>
                <w:rPr>
                  <w:rStyle w:val="Style2"/>
                </w:rPr>
              </w:sdtEndPr>
              <w:sdtContent>
                <w:r w:rsidR="009D6348">
                  <w:rPr>
                    <w:rStyle w:val="Style2"/>
                    <w:rFonts w:ascii="MS Gothic" w:eastAsia="MS Gothic" w:hAnsi="MS Gothic" w:hint="eastAsia"/>
                    <w:sz w:val="24"/>
                  </w:rPr>
                  <w:t>☒</w:t>
                </w:r>
              </w:sdtContent>
            </w:sdt>
            <w:r w:rsidR="00F70C9E" w:rsidRPr="00E33EFF">
              <w:t xml:space="preserve"> Taip</w:t>
            </w:r>
          </w:p>
          <w:p w14:paraId="6C89485D" w14:textId="77777777" w:rsidR="00F70C9E" w:rsidRPr="00E33EFF" w:rsidRDefault="00441915" w:rsidP="00824B92">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Ne</w:t>
            </w:r>
          </w:p>
          <w:p w14:paraId="69AA1151" w14:textId="07E21AD8" w:rsidR="00F70C9E" w:rsidRPr="00E33EFF" w:rsidRDefault="00441915" w:rsidP="00536BB7">
            <w:pPr>
              <w:rPr>
                <w:rFonts w:eastAsia="Arial"/>
              </w:rPr>
            </w:pPr>
            <w:sdt>
              <w:sdtPr>
                <w:alias w:val="Nurodykite konkrečią dieną"/>
                <w:tag w:val="Nurodykite pradžios datą"/>
                <w:id w:val="-198323198"/>
                <w:placeholder>
                  <w:docPart w:val="5830794711CC4E92887B7A7DBFC23A3F"/>
                </w:placeholder>
                <w15:color w:val="FFCC99"/>
                <w:date>
                  <w:dateFormat w:val="yyyy 'm.' MMMM d 'd.'"/>
                  <w:lid w:val="lt-LT"/>
                  <w:storeMappedDataAs w:val="dateTime"/>
                  <w:calendar w:val="gregorian"/>
                </w:date>
              </w:sdtPr>
              <w:sdtEndPr/>
              <w:sdtContent>
                <w:r w:rsidR="00536BB7">
                  <w:t>2017 m. liepos 13 d.</w:t>
                </w:r>
              </w:sdtContent>
            </w:sdt>
          </w:p>
        </w:tc>
        <w:tc>
          <w:tcPr>
            <w:tcW w:w="5514" w:type="dxa"/>
          </w:tcPr>
          <w:p w14:paraId="3C67423E" w14:textId="68192EFB" w:rsidR="00536BB7" w:rsidRPr="00536BB7" w:rsidRDefault="00536BB7" w:rsidP="00992087">
            <w:pPr>
              <w:rPr>
                <w:rFonts w:eastAsia="Arial"/>
                <w:sz w:val="20"/>
                <w:szCs w:val="20"/>
              </w:rPr>
            </w:pPr>
            <w:proofErr w:type="spellStart"/>
            <w:r w:rsidRPr="00536BB7">
              <w:rPr>
                <w:rFonts w:eastAsia="Arial"/>
                <w:sz w:val="20"/>
                <w:szCs w:val="20"/>
              </w:rPr>
              <w:t>Baricitinibas</w:t>
            </w:r>
            <w:proofErr w:type="spellEnd"/>
            <w:r w:rsidRPr="00536BB7">
              <w:rPr>
                <w:rFonts w:eastAsia="Arial"/>
                <w:sz w:val="20"/>
                <w:szCs w:val="20"/>
              </w:rPr>
              <w:t xml:space="preserve"> </w:t>
            </w:r>
            <w:r w:rsidR="00992087">
              <w:rPr>
                <w:rFonts w:eastAsia="Arial"/>
                <w:sz w:val="20"/>
                <w:szCs w:val="20"/>
              </w:rPr>
              <w:t>skirtas</w:t>
            </w:r>
            <w:r w:rsidRPr="00536BB7">
              <w:rPr>
                <w:rFonts w:eastAsia="Arial"/>
                <w:sz w:val="20"/>
                <w:szCs w:val="20"/>
              </w:rPr>
              <w:t xml:space="preserve"> vidutinio sunkumo ar sunkaus RA gydymui, suaugusiems pacientams, kurių atsakas į vieną ar daugiau LMV buvo nepakankamas. </w:t>
            </w:r>
            <w:proofErr w:type="spellStart"/>
            <w:r w:rsidRPr="00536BB7">
              <w:rPr>
                <w:rFonts w:eastAsia="Arial"/>
                <w:sz w:val="20"/>
                <w:szCs w:val="20"/>
              </w:rPr>
              <w:t>Baricitinibas</w:t>
            </w:r>
            <w:proofErr w:type="spellEnd"/>
            <w:r w:rsidRPr="00536BB7">
              <w:rPr>
                <w:rFonts w:eastAsia="Arial"/>
                <w:sz w:val="20"/>
                <w:szCs w:val="20"/>
              </w:rPr>
              <w:t xml:space="preserve"> gali būti vartojamas kaip </w:t>
            </w:r>
            <w:proofErr w:type="spellStart"/>
            <w:r w:rsidRPr="00536BB7">
              <w:rPr>
                <w:rFonts w:eastAsia="Arial"/>
                <w:sz w:val="20"/>
                <w:szCs w:val="20"/>
              </w:rPr>
              <w:t>monoterapija</w:t>
            </w:r>
            <w:proofErr w:type="spellEnd"/>
            <w:r w:rsidRPr="00536BB7">
              <w:rPr>
                <w:rFonts w:eastAsia="Arial"/>
                <w:sz w:val="20"/>
                <w:szCs w:val="20"/>
              </w:rPr>
              <w:t xml:space="preserve"> ar derinyje su </w:t>
            </w:r>
            <w:proofErr w:type="spellStart"/>
            <w:r w:rsidRPr="00536BB7">
              <w:rPr>
                <w:rFonts w:eastAsia="Arial"/>
                <w:sz w:val="20"/>
                <w:szCs w:val="20"/>
              </w:rPr>
              <w:t>metotre</w:t>
            </w:r>
            <w:r w:rsidR="00992087">
              <w:rPr>
                <w:rFonts w:eastAsia="Arial"/>
                <w:sz w:val="20"/>
                <w:szCs w:val="20"/>
              </w:rPr>
              <w:t>k</w:t>
            </w:r>
            <w:r w:rsidRPr="00536BB7">
              <w:rPr>
                <w:rFonts w:eastAsia="Arial"/>
                <w:sz w:val="20"/>
                <w:szCs w:val="20"/>
              </w:rPr>
              <w:t>satu</w:t>
            </w:r>
            <w:proofErr w:type="spellEnd"/>
            <w:r w:rsidRPr="00536BB7">
              <w:rPr>
                <w:rFonts w:eastAsia="Arial"/>
                <w:sz w:val="20"/>
                <w:szCs w:val="20"/>
              </w:rPr>
              <w:t>.</w:t>
            </w:r>
          </w:p>
        </w:tc>
        <w:tc>
          <w:tcPr>
            <w:tcW w:w="1579" w:type="dxa"/>
          </w:tcPr>
          <w:p w14:paraId="60651AFD" w14:textId="3E87EF29" w:rsidR="00F70C9E" w:rsidRPr="00E33EFF" w:rsidRDefault="009D6348" w:rsidP="00536BB7">
            <w:pPr>
              <w:rPr>
                <w:rFonts w:eastAsia="Arial"/>
              </w:rPr>
            </w:pPr>
            <w:r>
              <w:rPr>
                <w:rFonts w:eastAsia="Arial"/>
              </w:rPr>
              <w:t>Nuspręsta kompensuoti po</w:t>
            </w:r>
            <w:r w:rsidR="00536BB7">
              <w:rPr>
                <w:rFonts w:eastAsia="Arial"/>
              </w:rPr>
              <w:t xml:space="preserve"> </w:t>
            </w:r>
            <w:r>
              <w:rPr>
                <w:rFonts w:eastAsia="Arial"/>
              </w:rPr>
              <w:t xml:space="preserve">konfidencialių </w:t>
            </w:r>
            <w:r w:rsidR="00536BB7">
              <w:rPr>
                <w:rFonts w:eastAsia="Arial"/>
              </w:rPr>
              <w:t>derybų dėl kainos</w:t>
            </w:r>
            <w:r w:rsidR="00C31A04">
              <w:rPr>
                <w:rFonts w:eastAsia="Arial"/>
              </w:rPr>
              <w:t>.</w:t>
            </w: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1D117F56" w14:textId="0C05D1DF" w:rsidR="00536BB7" w:rsidRDefault="00536BB7" w:rsidP="00536BB7">
      <w:pPr>
        <w:rPr>
          <w:rStyle w:val="Emphasis"/>
          <w:i w:val="0"/>
        </w:rPr>
      </w:pPr>
    </w:p>
    <w:p w14:paraId="434ED73D" w14:textId="77777777" w:rsidR="00536BB7" w:rsidRPr="00746F6F" w:rsidRDefault="00536BB7" w:rsidP="00536BB7">
      <w:pPr>
        <w:spacing w:line="276" w:lineRule="auto"/>
        <w:ind w:firstLine="645"/>
        <w:jc w:val="both"/>
      </w:pPr>
      <w:r w:rsidRPr="00746F6F">
        <w:t>Reumatoidinis artritas</w:t>
      </w:r>
      <w:r>
        <w:t xml:space="preserve"> (RA)</w:t>
      </w:r>
      <w:r w:rsidRPr="00746F6F">
        <w:t xml:space="preserve"> – nežinomos etiologijos, lėtinis, nuolat progresuojantis autoimuninės kilmės </w:t>
      </w:r>
      <w:proofErr w:type="spellStart"/>
      <w:r w:rsidRPr="00746F6F">
        <w:t>erozinis</w:t>
      </w:r>
      <w:proofErr w:type="spellEnd"/>
      <w:r w:rsidRPr="00746F6F">
        <w:t xml:space="preserve"> destrukcinis poliartritas, kuris gali pažeisti ir audinius aplink sąnarį, vidaus organus, akis ir dėl kurio gali vystytis </w:t>
      </w:r>
      <w:proofErr w:type="spellStart"/>
      <w:r w:rsidRPr="00746F6F">
        <w:t>vaskulitai</w:t>
      </w:r>
      <w:proofErr w:type="spellEnd"/>
      <w:r w:rsidRPr="00746F6F">
        <w:t xml:space="preserve">, </w:t>
      </w:r>
      <w:proofErr w:type="spellStart"/>
      <w:r w:rsidRPr="00746F6F">
        <w:t>amiloidozė</w:t>
      </w:r>
      <w:proofErr w:type="spellEnd"/>
      <w:r w:rsidRPr="00746F6F">
        <w:t xml:space="preserve"> ir kitos komplikacijos. Reumatoidiniu artritu serga apie 1% gyventojų, moterys kelis kartus dažniau negu vyrai. Liga gali prasidėti bet kokio amžiaus žmogui, tačiau dažniausiai suserga 34-45 metų žmonės. Pagal aktyvumą reumatoidinis artritas gali būti klasifikuojamas į mažo, vidutiniško ar aukšto aktyvumo. </w:t>
      </w:r>
    </w:p>
    <w:p w14:paraId="42A42690" w14:textId="77777777" w:rsidR="00536BB7" w:rsidRPr="00F27B65" w:rsidRDefault="00536BB7" w:rsidP="00536BB7">
      <w:pPr>
        <w:spacing w:line="276" w:lineRule="auto"/>
        <w:ind w:firstLine="645"/>
        <w:jc w:val="both"/>
      </w:pPr>
      <w:r w:rsidRPr="00746F6F">
        <w:t>Reumatoidinis artritas pagal Tarptautinės statistinės ligų ir sveikatos sutrikimų klasifikacijos dešimtąjį pataisytą ir papildytą leidimą „Sisteminis ligų sąrašas“ (Australijos modifikacija, TLK-10-AM) (toliau – TLK-10-AM) žymimas kodais M05, M06.</w:t>
      </w:r>
      <w:r>
        <w:t xml:space="preserve"> </w:t>
      </w:r>
      <w:r w:rsidRPr="00746F6F">
        <w:t>2018 m. Higienos instituto duomenimis nustatyti 12603 reumatoidiniu artritu sergantys asmenys. Naujai susirgusių reumatoidiniu artritu asmenų 2018 m. Higienos instituto duomenimis siekė 3771. Mirusių asmenų 2018 m. Higienos instituto duomenimis buvo 43 (Higienos institutas, 2019).</w:t>
      </w:r>
    </w:p>
    <w:p w14:paraId="2E682F44" w14:textId="77777777" w:rsidR="00536BB7" w:rsidRPr="00746F6F" w:rsidRDefault="00536BB7" w:rsidP="00536BB7">
      <w:pPr>
        <w:tabs>
          <w:tab w:val="left" w:pos="709"/>
          <w:tab w:val="left" w:pos="851"/>
        </w:tabs>
        <w:spacing w:line="276" w:lineRule="auto"/>
        <w:ind w:right="59" w:firstLine="709"/>
        <w:jc w:val="both"/>
      </w:pPr>
      <w:r w:rsidRPr="00746F6F">
        <w:t>Lietuvoje, pagal LR sveikatos apsaugos ministro 2018-02-15 įsakymą Nr. V-181 „Reumatoidinio artrito gydymo vaistais, kurių įsigijimo išlaidos apmokamos Privalomojo sveikatos draudimo fondo biudžeto lėšomis, tvarkos aprašas“</w:t>
      </w:r>
      <w:r>
        <w:t>,</w:t>
      </w:r>
      <w:r w:rsidRPr="00746F6F">
        <w:t xml:space="preserve"> </w:t>
      </w:r>
      <w:r>
        <w:t>r</w:t>
      </w:r>
      <w:r w:rsidRPr="00746F6F">
        <w:t xml:space="preserve">eumatoidinio artrito gydymui yra skiriami nesteroidiniai vaistai nuo uždegimo (NVNU), </w:t>
      </w:r>
      <w:proofErr w:type="spellStart"/>
      <w:r w:rsidRPr="00746F6F">
        <w:t>gliukokortikosteroidiniai</w:t>
      </w:r>
      <w:proofErr w:type="spellEnd"/>
      <w:r w:rsidRPr="00746F6F">
        <w:t xml:space="preserve"> hormonai (GSH) ir ligą modifikuojantys vaistai (LMV). Įvertinus diagnostikos ir ligos sunkumo kriterijus, gydymas pradedamas nuo tradicinių sintetinių ligą modifikuojančių vaistų (</w:t>
      </w:r>
      <w:proofErr w:type="spellStart"/>
      <w:r w:rsidRPr="00746F6F">
        <w:t>tsLMV</w:t>
      </w:r>
      <w:proofErr w:type="spellEnd"/>
      <w:r w:rsidRPr="00746F6F">
        <w:t xml:space="preserve">): </w:t>
      </w:r>
      <w:proofErr w:type="spellStart"/>
      <w:r w:rsidRPr="00746F6F">
        <w:t>metotreksato</w:t>
      </w:r>
      <w:proofErr w:type="spellEnd"/>
      <w:r w:rsidRPr="00746F6F">
        <w:t xml:space="preserve"> (MTX), </w:t>
      </w:r>
      <w:proofErr w:type="spellStart"/>
      <w:r w:rsidRPr="00746F6F">
        <w:t>sulfasalazino</w:t>
      </w:r>
      <w:proofErr w:type="spellEnd"/>
      <w:r w:rsidRPr="00746F6F">
        <w:t xml:space="preserve"> (SLZ), </w:t>
      </w:r>
      <w:proofErr w:type="spellStart"/>
      <w:r w:rsidRPr="00746F6F">
        <w:t>hidroksichlorokvinu</w:t>
      </w:r>
      <w:proofErr w:type="spellEnd"/>
      <w:r w:rsidRPr="00746F6F">
        <w:t xml:space="preserve"> (HCHL), </w:t>
      </w:r>
      <w:proofErr w:type="spellStart"/>
      <w:r w:rsidRPr="00746F6F">
        <w:t>leflunomidu</w:t>
      </w:r>
      <w:proofErr w:type="spellEnd"/>
      <w:r w:rsidRPr="00746F6F">
        <w:t xml:space="preserve"> (LEF), </w:t>
      </w:r>
      <w:proofErr w:type="spellStart"/>
      <w:r w:rsidRPr="00746F6F">
        <w:t>azatioprinu</w:t>
      </w:r>
      <w:proofErr w:type="spellEnd"/>
      <w:r w:rsidRPr="00746F6F">
        <w:t xml:space="preserve">. Primą kartą gydymas </w:t>
      </w:r>
      <w:proofErr w:type="spellStart"/>
      <w:r w:rsidRPr="00746F6F">
        <w:t>tsLMV</w:t>
      </w:r>
      <w:proofErr w:type="spellEnd"/>
      <w:r w:rsidRPr="00746F6F">
        <w:t xml:space="preserve"> skiriamas vieną mėnesį, vėliau gydymas tęsiamas įvertinus jo efektyvumą ir toleravimą. </w:t>
      </w:r>
    </w:p>
    <w:p w14:paraId="6DEA0C15" w14:textId="77777777" w:rsidR="00536BB7" w:rsidRPr="00746F6F" w:rsidRDefault="00536BB7" w:rsidP="00536BB7">
      <w:pPr>
        <w:tabs>
          <w:tab w:val="left" w:pos="709"/>
          <w:tab w:val="left" w:pos="851"/>
        </w:tabs>
        <w:spacing w:line="276" w:lineRule="auto"/>
        <w:ind w:right="59"/>
        <w:jc w:val="both"/>
      </w:pPr>
      <w:r w:rsidRPr="00746F6F">
        <w:t>Gydymo LMV principai:</w:t>
      </w:r>
    </w:p>
    <w:p w14:paraId="46DE6D4D" w14:textId="77777777" w:rsidR="00536BB7" w:rsidRPr="00746F6F" w:rsidRDefault="00536BB7" w:rsidP="00536BB7">
      <w:pPr>
        <w:pStyle w:val="ListParagraph"/>
        <w:numPr>
          <w:ilvl w:val="0"/>
          <w:numId w:val="17"/>
        </w:numPr>
        <w:tabs>
          <w:tab w:val="left" w:pos="709"/>
        </w:tabs>
        <w:spacing w:line="276" w:lineRule="auto"/>
        <w:jc w:val="both"/>
      </w:pPr>
      <w:r w:rsidRPr="00746F6F">
        <w:t xml:space="preserve">pirmaeilis </w:t>
      </w:r>
      <w:proofErr w:type="spellStart"/>
      <w:r w:rsidRPr="00746F6F">
        <w:t>tsLMV</w:t>
      </w:r>
      <w:proofErr w:type="spellEnd"/>
      <w:r w:rsidRPr="00746F6F">
        <w:t xml:space="preserve"> yra MTX, o esant kontraindikacijų ar mažam ligos aktyvumui, ar pasireiškus </w:t>
      </w:r>
      <w:proofErr w:type="spellStart"/>
      <w:r w:rsidRPr="00746F6F">
        <w:t>netoleravimui</w:t>
      </w:r>
      <w:proofErr w:type="spellEnd"/>
      <w:r w:rsidRPr="00746F6F">
        <w:t xml:space="preserve">, skiriamas kitas </w:t>
      </w:r>
      <w:proofErr w:type="spellStart"/>
      <w:r w:rsidRPr="00746F6F">
        <w:t>tsLMV</w:t>
      </w:r>
      <w:proofErr w:type="spellEnd"/>
      <w:r w:rsidRPr="00746F6F">
        <w:t xml:space="preserve"> (SLZ, HCHL, LEF, AZA) arba jų deriniai; </w:t>
      </w:r>
    </w:p>
    <w:p w14:paraId="5E13FD8F" w14:textId="77777777" w:rsidR="00536BB7" w:rsidRPr="00746F6F" w:rsidRDefault="00536BB7" w:rsidP="00536BB7">
      <w:pPr>
        <w:pStyle w:val="ListParagraph"/>
        <w:numPr>
          <w:ilvl w:val="0"/>
          <w:numId w:val="17"/>
        </w:numPr>
        <w:tabs>
          <w:tab w:val="left" w:pos="709"/>
        </w:tabs>
        <w:spacing w:line="276" w:lineRule="auto"/>
        <w:jc w:val="both"/>
      </w:pPr>
      <w:r w:rsidRPr="00746F6F">
        <w:t xml:space="preserve">jei reumatoidinis artritas aktyvus ar gydymas </w:t>
      </w:r>
      <w:proofErr w:type="spellStart"/>
      <w:r w:rsidRPr="00746F6F">
        <w:t>tsLMV</w:t>
      </w:r>
      <w:proofErr w:type="spellEnd"/>
      <w:r w:rsidRPr="00746F6F">
        <w:t xml:space="preserve"> neefektyvus, kartu su </w:t>
      </w:r>
      <w:proofErr w:type="spellStart"/>
      <w:r w:rsidRPr="00746F6F">
        <w:t>tsLMV</w:t>
      </w:r>
      <w:proofErr w:type="spellEnd"/>
      <w:r w:rsidRPr="00746F6F">
        <w:t xml:space="preserve"> skiriamas GSH (prednizolonas ar </w:t>
      </w:r>
      <w:proofErr w:type="spellStart"/>
      <w:r w:rsidRPr="00746F6F">
        <w:t>metilprednizolonas</w:t>
      </w:r>
      <w:proofErr w:type="spellEnd"/>
      <w:r w:rsidRPr="00746F6F">
        <w:t>);</w:t>
      </w:r>
    </w:p>
    <w:p w14:paraId="3FF347F1" w14:textId="77777777" w:rsidR="00536BB7" w:rsidRPr="00746F6F" w:rsidRDefault="00536BB7" w:rsidP="00536BB7">
      <w:pPr>
        <w:pStyle w:val="ListParagraph"/>
        <w:numPr>
          <w:ilvl w:val="0"/>
          <w:numId w:val="17"/>
        </w:numPr>
        <w:tabs>
          <w:tab w:val="left" w:pos="709"/>
        </w:tabs>
        <w:spacing w:line="276" w:lineRule="auto"/>
        <w:jc w:val="both"/>
      </w:pPr>
      <w:r w:rsidRPr="00746F6F">
        <w:t xml:space="preserve">jei gydymo tikslas pasiekiamas per 6 mėnesius, tęsiamas gydymas </w:t>
      </w:r>
      <w:proofErr w:type="spellStart"/>
      <w:r w:rsidRPr="00746F6F">
        <w:t>tsLMV</w:t>
      </w:r>
      <w:proofErr w:type="spellEnd"/>
      <w:r w:rsidRPr="00746F6F">
        <w:t xml:space="preserve">;  </w:t>
      </w:r>
    </w:p>
    <w:p w14:paraId="731BBF17" w14:textId="77777777" w:rsidR="00536BB7" w:rsidRPr="00746F6F" w:rsidRDefault="00536BB7" w:rsidP="00536BB7">
      <w:pPr>
        <w:pStyle w:val="ListParagraph"/>
        <w:numPr>
          <w:ilvl w:val="0"/>
          <w:numId w:val="17"/>
        </w:numPr>
        <w:tabs>
          <w:tab w:val="left" w:pos="709"/>
        </w:tabs>
        <w:spacing w:line="276" w:lineRule="auto"/>
        <w:jc w:val="both"/>
      </w:pPr>
      <w:r w:rsidRPr="00746F6F">
        <w:t>gydymas biologiniu ligą modifikuojančiu vaistu (</w:t>
      </w:r>
      <w:proofErr w:type="spellStart"/>
      <w:r w:rsidRPr="00746F6F">
        <w:t>bLMV</w:t>
      </w:r>
      <w:proofErr w:type="spellEnd"/>
      <w:r w:rsidRPr="00746F6F">
        <w:t xml:space="preserve">) arba Janus </w:t>
      </w:r>
      <w:proofErr w:type="spellStart"/>
      <w:r w:rsidRPr="00746F6F">
        <w:t>kinazės</w:t>
      </w:r>
      <w:proofErr w:type="spellEnd"/>
      <w:r w:rsidRPr="00746F6F">
        <w:t xml:space="preserve"> (JAK) inhibitoriumi skiriamas kartu su </w:t>
      </w:r>
      <w:proofErr w:type="spellStart"/>
      <w:r w:rsidRPr="00746F6F">
        <w:t>tsLMV</w:t>
      </w:r>
      <w:proofErr w:type="spellEnd"/>
      <w:r w:rsidRPr="00746F6F">
        <w:t xml:space="preserve"> arba kaip LMV </w:t>
      </w:r>
      <w:proofErr w:type="spellStart"/>
      <w:r w:rsidRPr="00746F6F">
        <w:t>monoterapija</w:t>
      </w:r>
      <w:proofErr w:type="spellEnd"/>
      <w:r w:rsidRPr="00746F6F">
        <w:t>, kai:</w:t>
      </w:r>
    </w:p>
    <w:p w14:paraId="0A7ECDB2" w14:textId="77777777" w:rsidR="00536BB7" w:rsidRDefault="00536BB7" w:rsidP="00536BB7">
      <w:pPr>
        <w:pStyle w:val="ListParagraph"/>
        <w:numPr>
          <w:ilvl w:val="0"/>
          <w:numId w:val="18"/>
        </w:numPr>
        <w:tabs>
          <w:tab w:val="left" w:pos="709"/>
        </w:tabs>
        <w:spacing w:line="276" w:lineRule="auto"/>
        <w:jc w:val="both"/>
      </w:pPr>
      <w:r w:rsidRPr="00746F6F">
        <w:t xml:space="preserve">yra nepalankios prognozės veiksnių; </w:t>
      </w:r>
    </w:p>
    <w:p w14:paraId="3DA5CE5A" w14:textId="77777777" w:rsidR="00536BB7" w:rsidRDefault="00536BB7" w:rsidP="00536BB7">
      <w:pPr>
        <w:pStyle w:val="ListParagraph"/>
        <w:numPr>
          <w:ilvl w:val="0"/>
          <w:numId w:val="18"/>
        </w:numPr>
        <w:tabs>
          <w:tab w:val="left" w:pos="709"/>
        </w:tabs>
        <w:spacing w:line="276" w:lineRule="auto"/>
        <w:jc w:val="both"/>
      </w:pPr>
      <w:r w:rsidRPr="00746F6F">
        <w:t xml:space="preserve">labai aktyvus RA išlieka arba progresuoja per 4 savaites, taikant gydymą;  </w:t>
      </w:r>
    </w:p>
    <w:p w14:paraId="1CEA1E60" w14:textId="77777777" w:rsidR="00536BB7" w:rsidRPr="00746F6F" w:rsidRDefault="00536BB7" w:rsidP="00536BB7">
      <w:pPr>
        <w:pStyle w:val="ListParagraph"/>
        <w:numPr>
          <w:ilvl w:val="0"/>
          <w:numId w:val="18"/>
        </w:numPr>
        <w:tabs>
          <w:tab w:val="left" w:pos="709"/>
        </w:tabs>
        <w:spacing w:line="276" w:lineRule="auto"/>
        <w:jc w:val="both"/>
      </w:pPr>
      <w:r w:rsidRPr="00746F6F">
        <w:t>po 3 mėn. gydymo RA progresuoja arba nėra gydymo efekto.</w:t>
      </w:r>
    </w:p>
    <w:p w14:paraId="5C9C0DE2" w14:textId="77777777" w:rsidR="00536BB7" w:rsidRPr="002B7C18" w:rsidRDefault="00536BB7" w:rsidP="00981D00">
      <w:pPr>
        <w:spacing w:line="276" w:lineRule="auto"/>
        <w:ind w:right="10" w:firstLine="720"/>
        <w:jc w:val="both"/>
        <w:outlineLvl w:val="0"/>
        <w:rPr>
          <w:color w:val="000000" w:themeColor="text1"/>
        </w:rPr>
      </w:pPr>
      <w:r w:rsidRPr="00BB44E6">
        <w:rPr>
          <w:color w:val="000000" w:themeColor="text1"/>
        </w:rPr>
        <w:t xml:space="preserve">Lietuvoje I-ai </w:t>
      </w:r>
      <w:proofErr w:type="spellStart"/>
      <w:r w:rsidRPr="00BB44E6">
        <w:rPr>
          <w:color w:val="000000" w:themeColor="text1"/>
        </w:rPr>
        <w:t>biologinės</w:t>
      </w:r>
      <w:proofErr w:type="spellEnd"/>
      <w:r w:rsidRPr="00BB44E6">
        <w:rPr>
          <w:color w:val="000000" w:themeColor="text1"/>
        </w:rPr>
        <w:t xml:space="preserve"> terapijos eilei yra kompensuojami TNF alfa inhibitoriai (</w:t>
      </w:r>
      <w:proofErr w:type="spellStart"/>
      <w:r w:rsidRPr="00BB44E6">
        <w:rPr>
          <w:color w:val="000000" w:themeColor="text1"/>
        </w:rPr>
        <w:t>infliksimabas</w:t>
      </w:r>
      <w:proofErr w:type="spellEnd"/>
      <w:r w:rsidRPr="00BB44E6">
        <w:rPr>
          <w:color w:val="000000" w:themeColor="text1"/>
        </w:rPr>
        <w:t xml:space="preserve">, </w:t>
      </w:r>
      <w:proofErr w:type="spellStart"/>
      <w:r w:rsidRPr="00BB44E6">
        <w:rPr>
          <w:color w:val="000000" w:themeColor="text1"/>
        </w:rPr>
        <w:t>etanerceptas</w:t>
      </w:r>
      <w:proofErr w:type="spellEnd"/>
      <w:r w:rsidRPr="00BB44E6">
        <w:rPr>
          <w:color w:val="000000" w:themeColor="text1"/>
        </w:rPr>
        <w:t xml:space="preserve">, </w:t>
      </w:r>
      <w:proofErr w:type="spellStart"/>
      <w:r w:rsidRPr="00BB44E6">
        <w:rPr>
          <w:color w:val="000000" w:themeColor="text1"/>
        </w:rPr>
        <w:t>adalimumabas</w:t>
      </w:r>
      <w:proofErr w:type="spellEnd"/>
      <w:r w:rsidRPr="00BB44E6">
        <w:rPr>
          <w:color w:val="000000" w:themeColor="text1"/>
        </w:rPr>
        <w:t xml:space="preserve">) bei JAK inhibitorius </w:t>
      </w:r>
      <w:proofErr w:type="spellStart"/>
      <w:r w:rsidRPr="00BB44E6">
        <w:rPr>
          <w:color w:val="000000" w:themeColor="text1"/>
        </w:rPr>
        <w:t>upadacitinibas</w:t>
      </w:r>
      <w:proofErr w:type="spellEnd"/>
      <w:r w:rsidRPr="00BB44E6">
        <w:rPr>
          <w:color w:val="000000" w:themeColor="text1"/>
        </w:rPr>
        <w:t xml:space="preserve">. II-ai </w:t>
      </w:r>
      <w:proofErr w:type="spellStart"/>
      <w:r w:rsidRPr="00BB44E6">
        <w:rPr>
          <w:color w:val="000000" w:themeColor="text1"/>
        </w:rPr>
        <w:t>biologinės</w:t>
      </w:r>
      <w:proofErr w:type="spellEnd"/>
      <w:r w:rsidRPr="00BB44E6">
        <w:rPr>
          <w:color w:val="000000" w:themeColor="text1"/>
        </w:rPr>
        <w:t xml:space="preserve"> terapijos eilei yra kompensuojami IL6 inhibitoriai (</w:t>
      </w:r>
      <w:proofErr w:type="spellStart"/>
      <w:r w:rsidRPr="00BB44E6">
        <w:rPr>
          <w:color w:val="000000" w:themeColor="text1"/>
        </w:rPr>
        <w:t>tocilizumabas</w:t>
      </w:r>
      <w:proofErr w:type="spellEnd"/>
      <w:r w:rsidRPr="00BB44E6">
        <w:rPr>
          <w:color w:val="000000" w:themeColor="text1"/>
        </w:rPr>
        <w:t xml:space="preserve">), TNF alfa inhibitoriai, kurie nebuvo skirti </w:t>
      </w:r>
      <w:proofErr w:type="spellStart"/>
      <w:r w:rsidRPr="00BB44E6">
        <w:rPr>
          <w:color w:val="000000" w:themeColor="text1"/>
        </w:rPr>
        <w:t>ankstesnėje</w:t>
      </w:r>
      <w:proofErr w:type="spellEnd"/>
      <w:r w:rsidRPr="00BB44E6">
        <w:rPr>
          <w:color w:val="000000" w:themeColor="text1"/>
        </w:rPr>
        <w:t xml:space="preserve"> </w:t>
      </w:r>
      <w:proofErr w:type="spellStart"/>
      <w:r w:rsidRPr="00BB44E6">
        <w:rPr>
          <w:color w:val="000000" w:themeColor="text1"/>
        </w:rPr>
        <w:t>eilėje</w:t>
      </w:r>
      <w:proofErr w:type="spellEnd"/>
      <w:r w:rsidRPr="00BB44E6">
        <w:rPr>
          <w:color w:val="000000" w:themeColor="text1"/>
        </w:rPr>
        <w:t xml:space="preserve"> (</w:t>
      </w:r>
      <w:proofErr w:type="spellStart"/>
      <w:r w:rsidRPr="00BB44E6">
        <w:rPr>
          <w:color w:val="000000" w:themeColor="text1"/>
        </w:rPr>
        <w:t>infliksimabas</w:t>
      </w:r>
      <w:proofErr w:type="spellEnd"/>
      <w:r w:rsidRPr="00BB44E6">
        <w:rPr>
          <w:color w:val="000000" w:themeColor="text1"/>
        </w:rPr>
        <w:t xml:space="preserve">, </w:t>
      </w:r>
      <w:proofErr w:type="spellStart"/>
      <w:r w:rsidRPr="00BB44E6">
        <w:rPr>
          <w:color w:val="000000" w:themeColor="text1"/>
        </w:rPr>
        <w:t>etanerceptas</w:t>
      </w:r>
      <w:proofErr w:type="spellEnd"/>
      <w:r w:rsidRPr="00BB44E6">
        <w:rPr>
          <w:color w:val="000000" w:themeColor="text1"/>
        </w:rPr>
        <w:t xml:space="preserve">, </w:t>
      </w:r>
      <w:proofErr w:type="spellStart"/>
      <w:r w:rsidRPr="00BB44E6">
        <w:rPr>
          <w:color w:val="000000" w:themeColor="text1"/>
        </w:rPr>
        <w:t>adalimumabas</w:t>
      </w:r>
      <w:proofErr w:type="spellEnd"/>
      <w:r w:rsidRPr="00BB44E6">
        <w:rPr>
          <w:color w:val="000000" w:themeColor="text1"/>
        </w:rPr>
        <w:t xml:space="preserve">), CD20 blokatoriai </w:t>
      </w:r>
      <w:r w:rsidRPr="00BB44E6">
        <w:t>(</w:t>
      </w:r>
      <w:proofErr w:type="spellStart"/>
      <w:r w:rsidRPr="00BB44E6">
        <w:t>rituksimabas</w:t>
      </w:r>
      <w:proofErr w:type="spellEnd"/>
      <w:r w:rsidRPr="00BB44E6">
        <w:t xml:space="preserve">) bei JAK inhibitorius </w:t>
      </w:r>
      <w:proofErr w:type="spellStart"/>
      <w:r w:rsidRPr="00BB44E6">
        <w:t>upadacitinibas</w:t>
      </w:r>
      <w:proofErr w:type="spellEnd"/>
      <w:r w:rsidRPr="00BB44E6">
        <w:t>.</w:t>
      </w:r>
      <w:r>
        <w:rPr>
          <w:color w:val="000000" w:themeColor="text1"/>
        </w:rPr>
        <w:t xml:space="preserve"> </w:t>
      </w:r>
      <w:r w:rsidRPr="00BB44E6">
        <w:t xml:space="preserve">Pirmaeiliai ir antraeiliai vaistai skiriami atsižvelgiant į mažiausią metinę gydymo kainą pradedant gydymą. Jei gydant pirmaeiliu ar antraeiliu </w:t>
      </w:r>
      <w:proofErr w:type="spellStart"/>
      <w:r w:rsidRPr="00BB44E6">
        <w:t>bLMV</w:t>
      </w:r>
      <w:proofErr w:type="spellEnd"/>
      <w:r w:rsidRPr="00BB44E6">
        <w:t xml:space="preserve"> ar JAK inhibitoriumi yra nepasiekiamas gydymo tikslas ar pasireiškia </w:t>
      </w:r>
      <w:proofErr w:type="spellStart"/>
      <w:r w:rsidRPr="00BB44E6">
        <w:t>bLMV</w:t>
      </w:r>
      <w:proofErr w:type="spellEnd"/>
      <w:r w:rsidRPr="00BB44E6">
        <w:t xml:space="preserve"> vaisto </w:t>
      </w:r>
      <w:proofErr w:type="spellStart"/>
      <w:r w:rsidRPr="00BB44E6">
        <w:t>netoleravimas</w:t>
      </w:r>
      <w:proofErr w:type="spellEnd"/>
      <w:r w:rsidRPr="00BB44E6">
        <w:t xml:space="preserve"> ir (ar) nepageidaujamos reakcijos, ir (ar) gydymo metu atsiranda kontraindikacijų tęsti paskirto vaisto vartojimą, gydytojas </w:t>
      </w:r>
      <w:proofErr w:type="spellStart"/>
      <w:r w:rsidRPr="00BB44E6">
        <w:t>reumatologas</w:t>
      </w:r>
      <w:proofErr w:type="spellEnd"/>
      <w:r w:rsidRPr="00BB44E6">
        <w:t xml:space="preserve"> gali keisti gydymą ir skirti antraeilį </w:t>
      </w:r>
      <w:proofErr w:type="spellStart"/>
      <w:r w:rsidRPr="00BB44E6">
        <w:t>bLMV</w:t>
      </w:r>
      <w:proofErr w:type="spellEnd"/>
      <w:r w:rsidRPr="00BB44E6">
        <w:t xml:space="preserve"> (kuris </w:t>
      </w:r>
      <w:r w:rsidRPr="00BB44E6">
        <w:lastRenderedPageBreak/>
        <w:t xml:space="preserve">negali būti biologiškai panašus į vartotą </w:t>
      </w:r>
      <w:proofErr w:type="spellStart"/>
      <w:r w:rsidRPr="00BB44E6">
        <w:t>bLMV</w:t>
      </w:r>
      <w:proofErr w:type="spellEnd"/>
      <w:r w:rsidRPr="00BB44E6">
        <w:t xml:space="preserve">) ar JAK inhibitorių, o gydytojų </w:t>
      </w:r>
      <w:proofErr w:type="spellStart"/>
      <w:r w:rsidRPr="00BB44E6">
        <w:t>reumatologų</w:t>
      </w:r>
      <w:proofErr w:type="spellEnd"/>
      <w:r w:rsidRPr="00BB44E6">
        <w:t xml:space="preserve"> konsiliumas sprendžia dėl gydymo keitimo trečiaeiliu ir tolesniais vaistais.</w:t>
      </w:r>
    </w:p>
    <w:p w14:paraId="458791CB" w14:textId="3D6706BE" w:rsidR="006F3927" w:rsidRDefault="00992087" w:rsidP="00992087">
      <w:pPr>
        <w:spacing w:line="276" w:lineRule="auto"/>
        <w:jc w:val="both"/>
        <w:rPr>
          <w:iCs/>
        </w:rPr>
      </w:pPr>
      <w:r>
        <w:rPr>
          <w:iCs/>
        </w:rPr>
        <w:tab/>
      </w:r>
      <w:r w:rsidR="00536BB7" w:rsidRPr="003935AD">
        <w:rPr>
          <w:iCs/>
        </w:rPr>
        <w:t xml:space="preserve">Palyginamajam efektyvumui ir klinikiniam veiksmingumui pagrįsti Pareiškėjas pateikė du tiesioginius klinikinius tyrimus RA-BEAM ir RA-BEACON bei </w:t>
      </w:r>
      <w:proofErr w:type="spellStart"/>
      <w:r w:rsidR="00536BB7" w:rsidRPr="003935AD">
        <w:rPr>
          <w:i/>
        </w:rPr>
        <w:t>Wang</w:t>
      </w:r>
      <w:proofErr w:type="spellEnd"/>
      <w:r w:rsidR="00536BB7" w:rsidRPr="003935AD">
        <w:rPr>
          <w:i/>
        </w:rPr>
        <w:t xml:space="preserve"> 2020</w:t>
      </w:r>
      <w:r w:rsidR="00536BB7" w:rsidRPr="003935AD">
        <w:rPr>
          <w:iCs/>
        </w:rPr>
        <w:t xml:space="preserve"> ir </w:t>
      </w:r>
      <w:r w:rsidR="00536BB7" w:rsidRPr="003935AD">
        <w:rPr>
          <w:i/>
        </w:rPr>
        <w:t>Lee 2020</w:t>
      </w:r>
      <w:r w:rsidR="00536BB7">
        <w:rPr>
          <w:i/>
        </w:rPr>
        <w:t xml:space="preserve"> </w:t>
      </w:r>
      <w:proofErr w:type="spellStart"/>
      <w:r w:rsidR="00536BB7" w:rsidRPr="00AE63A3">
        <w:rPr>
          <w:iCs/>
        </w:rPr>
        <w:t>metaanalizes</w:t>
      </w:r>
      <w:proofErr w:type="spellEnd"/>
      <w:r w:rsidR="009F2FF8">
        <w:rPr>
          <w:iCs/>
        </w:rPr>
        <w:t xml:space="preserve"> (tiek I-ai, tiek II-ai biologinės terapijos eilei)</w:t>
      </w:r>
      <w:r w:rsidR="00536BB7" w:rsidRPr="003935AD">
        <w:rPr>
          <w:iCs/>
        </w:rPr>
        <w:t>, kur</w:t>
      </w:r>
      <w:r w:rsidR="00536BB7">
        <w:rPr>
          <w:iCs/>
        </w:rPr>
        <w:t>iose</w:t>
      </w:r>
      <w:r w:rsidR="00536BB7" w:rsidRPr="003935AD">
        <w:rPr>
          <w:iCs/>
        </w:rPr>
        <w:t xml:space="preserve"> </w:t>
      </w:r>
      <w:proofErr w:type="spellStart"/>
      <w:r w:rsidR="00536BB7" w:rsidRPr="003935AD">
        <w:rPr>
          <w:iCs/>
        </w:rPr>
        <w:t>baricitinibas</w:t>
      </w:r>
      <w:proofErr w:type="spellEnd"/>
      <w:r w:rsidR="00536BB7" w:rsidRPr="003935AD">
        <w:rPr>
          <w:iCs/>
        </w:rPr>
        <w:t xml:space="preserve"> buvo netiesiogiai lygintas su kitais biologinės terapijos vaistais</w:t>
      </w:r>
      <w:r w:rsidR="00536BB7">
        <w:rPr>
          <w:iCs/>
        </w:rPr>
        <w:t xml:space="preserve"> įskaitant ir JAK inhibitorių </w:t>
      </w:r>
      <w:proofErr w:type="spellStart"/>
      <w:r w:rsidR="00536BB7">
        <w:rPr>
          <w:iCs/>
        </w:rPr>
        <w:t>upadacitinibą</w:t>
      </w:r>
      <w:proofErr w:type="spellEnd"/>
      <w:r w:rsidR="00536BB7">
        <w:rPr>
          <w:iCs/>
        </w:rPr>
        <w:t>, kuris šio metu yra Lietuvoje kompensuojamas I-ai ir II-ai biologinės terapijos eilei</w:t>
      </w:r>
      <w:r w:rsidR="00536BB7" w:rsidRPr="003935AD">
        <w:rPr>
          <w:iCs/>
        </w:rPr>
        <w:t xml:space="preserve">. </w:t>
      </w:r>
    </w:p>
    <w:p w14:paraId="616DEF55" w14:textId="77777777" w:rsidR="006F3927" w:rsidRDefault="006F3927" w:rsidP="006F3927">
      <w:pPr>
        <w:spacing w:line="276" w:lineRule="auto"/>
        <w:jc w:val="both"/>
        <w:rPr>
          <w:iCs/>
        </w:rPr>
      </w:pPr>
      <w:r w:rsidRPr="002E09AA">
        <w:rPr>
          <w:i/>
          <w:color w:val="000000"/>
          <w:u w:val="single"/>
          <w:lang w:eastAsia="lt-LT"/>
        </w:rPr>
        <w:t>Tiesioginis palyginimas</w:t>
      </w:r>
    </w:p>
    <w:p w14:paraId="69CD7C1A" w14:textId="05902363" w:rsidR="00536BB7" w:rsidRDefault="00257D01" w:rsidP="00992087">
      <w:pPr>
        <w:spacing w:line="276" w:lineRule="auto"/>
        <w:jc w:val="both"/>
        <w:rPr>
          <w:rFonts w:eastAsia="Arial"/>
        </w:rPr>
      </w:pPr>
      <w:proofErr w:type="spellStart"/>
      <w:r>
        <w:rPr>
          <w:iCs/>
        </w:rPr>
        <w:t>Palyginamąja</w:t>
      </w:r>
      <w:r w:rsidR="009F2FF8">
        <w:rPr>
          <w:iCs/>
        </w:rPr>
        <w:t>m</w:t>
      </w:r>
      <w:proofErr w:type="spellEnd"/>
      <w:r>
        <w:rPr>
          <w:iCs/>
        </w:rPr>
        <w:t xml:space="preserve"> </w:t>
      </w:r>
      <w:proofErr w:type="spellStart"/>
      <w:r>
        <w:rPr>
          <w:iCs/>
        </w:rPr>
        <w:t>efektyumui</w:t>
      </w:r>
      <w:proofErr w:type="spellEnd"/>
      <w:r>
        <w:rPr>
          <w:iCs/>
        </w:rPr>
        <w:t xml:space="preserve"> įvertinti Pareiškėjas pateikė du tiesioginius </w:t>
      </w:r>
      <w:r w:rsidR="009F2FF8">
        <w:rPr>
          <w:iCs/>
        </w:rPr>
        <w:t xml:space="preserve">klinikinius </w:t>
      </w:r>
      <w:r>
        <w:rPr>
          <w:iCs/>
        </w:rPr>
        <w:t>tyrimus</w:t>
      </w:r>
      <w:r w:rsidR="009F2FF8">
        <w:rPr>
          <w:iCs/>
        </w:rPr>
        <w:t>:</w:t>
      </w:r>
      <w:r>
        <w:rPr>
          <w:iCs/>
        </w:rPr>
        <w:t xml:space="preserve"> RA-BEAM ir RA-BEACON</w:t>
      </w:r>
      <w:r w:rsidR="006F3927">
        <w:rPr>
          <w:iCs/>
        </w:rPr>
        <w:t>.</w:t>
      </w:r>
      <w:r>
        <w:rPr>
          <w:iCs/>
        </w:rPr>
        <w:t xml:space="preserve"> R</w:t>
      </w:r>
      <w:r w:rsidR="00536BB7" w:rsidRPr="003935AD">
        <w:rPr>
          <w:iCs/>
        </w:rPr>
        <w:t xml:space="preserve">A-BEAM klinikinis tyrimas </w:t>
      </w:r>
      <w:r w:rsidR="00536BB7" w:rsidRPr="003935AD">
        <w:rPr>
          <w:rFonts w:eastAsia="Arial"/>
        </w:rPr>
        <w:t xml:space="preserve">buvo </w:t>
      </w:r>
      <w:proofErr w:type="spellStart"/>
      <w:r w:rsidR="00536BB7" w:rsidRPr="003935AD">
        <w:rPr>
          <w:rFonts w:eastAsia="Arial"/>
        </w:rPr>
        <w:t>daugiacentris</w:t>
      </w:r>
      <w:proofErr w:type="spellEnd"/>
      <w:r w:rsidR="00536BB7" w:rsidRPr="003935AD">
        <w:rPr>
          <w:rFonts w:eastAsia="Arial"/>
        </w:rPr>
        <w:t xml:space="preserve">, </w:t>
      </w:r>
      <w:proofErr w:type="spellStart"/>
      <w:r w:rsidR="00536BB7" w:rsidRPr="003935AD">
        <w:rPr>
          <w:rFonts w:eastAsia="Arial"/>
        </w:rPr>
        <w:t>randomizuotas</w:t>
      </w:r>
      <w:proofErr w:type="spellEnd"/>
      <w:r w:rsidR="00536BB7" w:rsidRPr="003935AD">
        <w:rPr>
          <w:rFonts w:eastAsia="Arial"/>
        </w:rPr>
        <w:t xml:space="preserve">, dvigubai koduotas, </w:t>
      </w:r>
      <w:proofErr w:type="spellStart"/>
      <w:r w:rsidR="00536BB7" w:rsidRPr="003935AD">
        <w:rPr>
          <w:rFonts w:eastAsia="Arial"/>
        </w:rPr>
        <w:t>placebu</w:t>
      </w:r>
      <w:proofErr w:type="spellEnd"/>
      <w:r w:rsidR="00536BB7" w:rsidRPr="003935AD">
        <w:rPr>
          <w:rFonts w:eastAsia="Arial"/>
        </w:rPr>
        <w:t xml:space="preserve"> ir aktyviu gydymu kontroliuojamas paralelinių grupių tyrimas, kuris truko 52 savaites</w:t>
      </w:r>
      <w:r w:rsidR="00536BB7">
        <w:rPr>
          <w:rFonts w:eastAsia="Arial"/>
        </w:rPr>
        <w:t>.</w:t>
      </w:r>
      <w:r w:rsidR="00536BB7" w:rsidRPr="003935AD">
        <w:rPr>
          <w:rFonts w:eastAsia="Arial"/>
        </w:rPr>
        <w:t xml:space="preserve"> Į tyrimą buvo įtraukti pacientai, sergantys vidutinio sunkumo ar sunkiu RA, kuriems buvo nustatytas aktyvus reumatoidinis artritas ir kurie bent 12 savaičių buvo gydomi </w:t>
      </w:r>
      <w:proofErr w:type="spellStart"/>
      <w:r w:rsidR="00536BB7" w:rsidRPr="003935AD">
        <w:rPr>
          <w:rFonts w:eastAsia="Arial"/>
        </w:rPr>
        <w:t>metotreksatu</w:t>
      </w:r>
      <w:proofErr w:type="spellEnd"/>
      <w:r w:rsidR="00536BB7" w:rsidRPr="003935AD">
        <w:rPr>
          <w:rFonts w:eastAsia="Arial"/>
        </w:rPr>
        <w:t xml:space="preserve">, tačiau liga progresavo arba nebuvo pasiektas norimas </w:t>
      </w:r>
      <w:r w:rsidR="00536BB7">
        <w:rPr>
          <w:rFonts w:eastAsia="Arial"/>
        </w:rPr>
        <w:t>klinikinis atsakas</w:t>
      </w:r>
      <w:r w:rsidR="00536BB7" w:rsidRPr="003935AD">
        <w:rPr>
          <w:rFonts w:eastAsia="Arial"/>
        </w:rPr>
        <w:t>.</w:t>
      </w:r>
      <w:r w:rsidR="00536BB7" w:rsidRPr="003935AD">
        <w:t xml:space="preserve"> </w:t>
      </w:r>
      <w:r w:rsidR="00536BB7" w:rsidRPr="003935AD">
        <w:rPr>
          <w:rFonts w:eastAsia="Arial"/>
        </w:rPr>
        <w:t xml:space="preserve">Tyrimo metu pacientai buvo atsitiktinai paskirstyti santykiu 3:3:2. </w:t>
      </w:r>
      <w:proofErr w:type="spellStart"/>
      <w:r w:rsidR="00536BB7" w:rsidRPr="003935AD">
        <w:rPr>
          <w:rFonts w:eastAsia="Arial"/>
        </w:rPr>
        <w:t>Pirmąjai</w:t>
      </w:r>
      <w:proofErr w:type="spellEnd"/>
      <w:r w:rsidR="00536BB7" w:rsidRPr="003935AD">
        <w:rPr>
          <w:rFonts w:eastAsia="Arial"/>
        </w:rPr>
        <w:t xml:space="preserve"> grupei buvo skiriamas </w:t>
      </w:r>
      <w:proofErr w:type="spellStart"/>
      <w:r w:rsidR="00536BB7" w:rsidRPr="003935AD">
        <w:rPr>
          <w:rFonts w:eastAsia="Arial"/>
        </w:rPr>
        <w:t>placebas</w:t>
      </w:r>
      <w:proofErr w:type="spellEnd"/>
      <w:r w:rsidR="00536BB7" w:rsidRPr="003935AD">
        <w:rPr>
          <w:rFonts w:eastAsia="Arial"/>
        </w:rPr>
        <w:t xml:space="preserve">, </w:t>
      </w:r>
      <w:proofErr w:type="spellStart"/>
      <w:r w:rsidR="00536BB7" w:rsidRPr="003935AD">
        <w:rPr>
          <w:rFonts w:eastAsia="Arial"/>
        </w:rPr>
        <w:t>antrąjai</w:t>
      </w:r>
      <w:proofErr w:type="spellEnd"/>
      <w:r w:rsidR="00536BB7" w:rsidRPr="003935AD">
        <w:rPr>
          <w:rFonts w:eastAsia="Arial"/>
        </w:rPr>
        <w:t xml:space="preserve"> - 4 mg </w:t>
      </w:r>
      <w:proofErr w:type="spellStart"/>
      <w:r w:rsidR="00536BB7" w:rsidRPr="003935AD">
        <w:rPr>
          <w:rFonts w:eastAsia="Arial"/>
        </w:rPr>
        <w:t>baricitinib</w:t>
      </w:r>
      <w:r w:rsidR="00536BB7">
        <w:rPr>
          <w:rFonts w:eastAsia="Arial"/>
        </w:rPr>
        <w:t>as</w:t>
      </w:r>
      <w:proofErr w:type="spellEnd"/>
      <w:r w:rsidR="00536BB7" w:rsidRPr="003935AD">
        <w:rPr>
          <w:rFonts w:eastAsia="Arial"/>
        </w:rPr>
        <w:t xml:space="preserve"> kartą per parą, </w:t>
      </w:r>
      <w:proofErr w:type="spellStart"/>
      <w:r w:rsidR="00536BB7" w:rsidRPr="003935AD">
        <w:rPr>
          <w:rFonts w:eastAsia="Arial"/>
        </w:rPr>
        <w:t>trečiąjai</w:t>
      </w:r>
      <w:proofErr w:type="spellEnd"/>
      <w:r w:rsidR="00536BB7" w:rsidRPr="003935AD">
        <w:rPr>
          <w:rFonts w:eastAsia="Arial"/>
        </w:rPr>
        <w:t xml:space="preserve"> - 40 mg </w:t>
      </w:r>
      <w:proofErr w:type="spellStart"/>
      <w:r w:rsidR="00536BB7" w:rsidRPr="003935AD">
        <w:rPr>
          <w:rFonts w:eastAsia="Arial"/>
        </w:rPr>
        <w:t>adalimumab</w:t>
      </w:r>
      <w:r w:rsidR="00536BB7">
        <w:rPr>
          <w:rFonts w:eastAsia="Arial"/>
        </w:rPr>
        <w:t>as</w:t>
      </w:r>
      <w:proofErr w:type="spellEnd"/>
      <w:r w:rsidR="00536BB7" w:rsidRPr="003935AD">
        <w:rPr>
          <w:rFonts w:eastAsia="Arial"/>
        </w:rPr>
        <w:t xml:space="preserve"> po oda kas antrą savaitę kartu su esamu foniniu gydymu (įskaitant </w:t>
      </w:r>
      <w:proofErr w:type="spellStart"/>
      <w:r w:rsidR="00536BB7" w:rsidRPr="003935AD">
        <w:rPr>
          <w:rFonts w:eastAsia="Arial"/>
        </w:rPr>
        <w:t>metotreksatą</w:t>
      </w:r>
      <w:proofErr w:type="spellEnd"/>
      <w:r w:rsidR="00536BB7" w:rsidRPr="003935AD">
        <w:rPr>
          <w:rFonts w:eastAsia="Arial"/>
        </w:rPr>
        <w:t>). Pagrindinė vertinamoji baigtis buvo pacientų skaičius, kurie po 12 savaičių gydymo pasiekė bent 20</w:t>
      </w:r>
      <w:r w:rsidR="00536BB7">
        <w:rPr>
          <w:rFonts w:eastAsia="Arial"/>
        </w:rPr>
        <w:t xml:space="preserve"> </w:t>
      </w:r>
      <w:r w:rsidR="00536BB7" w:rsidRPr="003935AD">
        <w:rPr>
          <w:rFonts w:eastAsia="Arial"/>
        </w:rPr>
        <w:t xml:space="preserve">% gydymo atsaką pagal Amerikos </w:t>
      </w:r>
      <w:proofErr w:type="spellStart"/>
      <w:r w:rsidR="00536BB7">
        <w:rPr>
          <w:rFonts w:eastAsia="Arial"/>
        </w:rPr>
        <w:t>R</w:t>
      </w:r>
      <w:r w:rsidR="00536BB7" w:rsidRPr="003935AD">
        <w:rPr>
          <w:rFonts w:eastAsia="Arial"/>
        </w:rPr>
        <w:t>eumatologų</w:t>
      </w:r>
      <w:proofErr w:type="spellEnd"/>
      <w:r w:rsidR="00536BB7" w:rsidRPr="003935AD">
        <w:rPr>
          <w:rFonts w:eastAsia="Arial"/>
        </w:rPr>
        <w:t xml:space="preserve"> kolegijos funkcinius kriterijus (ACR20). ACR20 atsako dažnis vartojant </w:t>
      </w:r>
      <w:proofErr w:type="spellStart"/>
      <w:r w:rsidR="00536BB7" w:rsidRPr="003935AD">
        <w:rPr>
          <w:rFonts w:eastAsia="Arial"/>
        </w:rPr>
        <w:t>baricitinibą</w:t>
      </w:r>
      <w:proofErr w:type="spellEnd"/>
      <w:r w:rsidR="00536BB7" w:rsidRPr="003935AD">
        <w:rPr>
          <w:rFonts w:eastAsia="Arial"/>
        </w:rPr>
        <w:t xml:space="preserve"> buvo 70 %, palyginti su 40 % </w:t>
      </w:r>
      <w:proofErr w:type="spellStart"/>
      <w:r w:rsidR="00536BB7" w:rsidRPr="003935AD">
        <w:rPr>
          <w:rFonts w:eastAsia="Arial"/>
        </w:rPr>
        <w:t>placebu</w:t>
      </w:r>
      <w:proofErr w:type="spellEnd"/>
      <w:r w:rsidR="00536BB7" w:rsidRPr="003935AD">
        <w:rPr>
          <w:rFonts w:eastAsia="Arial"/>
        </w:rPr>
        <w:t xml:space="preserve"> (p≤0,001). </w:t>
      </w:r>
      <w:r w:rsidR="00536BB7">
        <w:rPr>
          <w:rFonts w:eastAsia="Arial"/>
        </w:rPr>
        <w:t>G</w:t>
      </w:r>
      <w:r w:rsidR="00536BB7" w:rsidRPr="003935AD">
        <w:rPr>
          <w:rFonts w:eastAsia="Arial"/>
        </w:rPr>
        <w:t xml:space="preserve">ydymas 4 mg </w:t>
      </w:r>
      <w:proofErr w:type="spellStart"/>
      <w:r w:rsidR="00536BB7" w:rsidRPr="003935AD">
        <w:rPr>
          <w:rFonts w:eastAsia="Arial"/>
        </w:rPr>
        <w:t>baricitinibu</w:t>
      </w:r>
      <w:proofErr w:type="spellEnd"/>
      <w:r w:rsidR="00536BB7" w:rsidRPr="003935AD">
        <w:rPr>
          <w:rFonts w:eastAsia="Arial"/>
        </w:rPr>
        <w:t xml:space="preserve"> buvo</w:t>
      </w:r>
      <w:r w:rsidR="00536BB7">
        <w:rPr>
          <w:rFonts w:eastAsia="Arial"/>
        </w:rPr>
        <w:t xml:space="preserve"> įrodytas kaip</w:t>
      </w:r>
      <w:r w:rsidR="00536BB7" w:rsidRPr="003935AD">
        <w:rPr>
          <w:rFonts w:eastAsia="Arial"/>
        </w:rPr>
        <w:t xml:space="preserve"> ne prastesnis nei gydymas </w:t>
      </w:r>
      <w:proofErr w:type="spellStart"/>
      <w:r w:rsidR="00536BB7" w:rsidRPr="003935AD">
        <w:rPr>
          <w:rFonts w:eastAsia="Arial"/>
        </w:rPr>
        <w:t>adalimumabu</w:t>
      </w:r>
      <w:proofErr w:type="spellEnd"/>
      <w:r w:rsidR="00536BB7">
        <w:rPr>
          <w:rFonts w:eastAsia="Arial"/>
        </w:rPr>
        <w:t xml:space="preserve"> pagal tą patį ACR</w:t>
      </w:r>
      <w:r w:rsidR="00536BB7" w:rsidRPr="002B7C18">
        <w:rPr>
          <w:rFonts w:eastAsia="Arial"/>
        </w:rPr>
        <w:t>20</w:t>
      </w:r>
      <w:r w:rsidR="00536BB7">
        <w:rPr>
          <w:rFonts w:eastAsia="Arial"/>
        </w:rPr>
        <w:t xml:space="preserve"> kriterijų</w:t>
      </w:r>
      <w:r w:rsidR="00536BB7" w:rsidRPr="003935AD">
        <w:rPr>
          <w:rFonts w:eastAsia="Arial"/>
        </w:rPr>
        <w:t>.</w:t>
      </w:r>
      <w:r w:rsidR="00536BB7">
        <w:rPr>
          <w:rFonts w:eastAsia="Arial"/>
        </w:rPr>
        <w:t xml:space="preserve"> Kitas pateiktas klinikinis tyrimas </w:t>
      </w:r>
      <w:r w:rsidR="00536BB7" w:rsidRPr="002E1C12">
        <w:rPr>
          <w:rFonts w:eastAsia="Arial"/>
        </w:rPr>
        <w:t xml:space="preserve">RA-BEACON buvo III fazės atsitiktinių imčių, dvigubai koduotas, </w:t>
      </w:r>
      <w:proofErr w:type="spellStart"/>
      <w:r w:rsidR="00536BB7" w:rsidRPr="002E1C12">
        <w:rPr>
          <w:rFonts w:eastAsia="Arial"/>
        </w:rPr>
        <w:t>placebu</w:t>
      </w:r>
      <w:proofErr w:type="spellEnd"/>
      <w:r w:rsidR="00536BB7" w:rsidRPr="002E1C12">
        <w:rPr>
          <w:rFonts w:eastAsia="Arial"/>
        </w:rPr>
        <w:t xml:space="preserve"> kontroliuojamas tyrimas, kurio metu buvo įvertintas dviejų </w:t>
      </w:r>
      <w:proofErr w:type="spellStart"/>
      <w:r w:rsidR="00536BB7" w:rsidRPr="002E1C12">
        <w:rPr>
          <w:rFonts w:eastAsia="Arial"/>
        </w:rPr>
        <w:t>baricitinibo</w:t>
      </w:r>
      <w:proofErr w:type="spellEnd"/>
      <w:r w:rsidR="00536BB7" w:rsidRPr="002E1C12">
        <w:rPr>
          <w:rFonts w:eastAsia="Arial"/>
        </w:rPr>
        <w:t xml:space="preserve"> dozių (2 mg ir 4 mg) veiksmingumas</w:t>
      </w:r>
      <w:r w:rsidR="00536BB7">
        <w:rPr>
          <w:rFonts w:eastAsia="Arial"/>
        </w:rPr>
        <w:t xml:space="preserve"> </w:t>
      </w:r>
      <w:r w:rsidR="00536BB7" w:rsidRPr="000145BA">
        <w:rPr>
          <w:rFonts w:eastAsia="Arial"/>
        </w:rPr>
        <w:t xml:space="preserve">lyginant su </w:t>
      </w:r>
      <w:proofErr w:type="spellStart"/>
      <w:r w:rsidR="00536BB7" w:rsidRPr="000145BA">
        <w:rPr>
          <w:rFonts w:eastAsia="Arial"/>
        </w:rPr>
        <w:t>placebu</w:t>
      </w:r>
      <w:proofErr w:type="spellEnd"/>
      <w:r w:rsidR="00536BB7" w:rsidRPr="000145BA">
        <w:rPr>
          <w:rFonts w:eastAsia="Arial"/>
        </w:rPr>
        <w:t xml:space="preserve"> pacientams</w:t>
      </w:r>
      <w:r w:rsidR="00536BB7" w:rsidRPr="002E1C12">
        <w:rPr>
          <w:rFonts w:eastAsia="Arial"/>
        </w:rPr>
        <w:t>, kuriems yra vidutinio sunkumo ir sunkus RA</w:t>
      </w:r>
      <w:r w:rsidR="00536BB7">
        <w:rPr>
          <w:rFonts w:eastAsia="Arial"/>
        </w:rPr>
        <w:t xml:space="preserve">. </w:t>
      </w:r>
      <w:r w:rsidR="00536BB7" w:rsidRPr="002E1C12">
        <w:rPr>
          <w:rFonts w:eastAsia="Arial"/>
        </w:rPr>
        <w:t xml:space="preserve">Į tyrimą įtraukti pacientai, sergantys vidutinio sunkumo ar sunkiu RA, kuriems buvo nustatytas aktyvus reumatoidinis artritas ir kurie bent 12 savaičių buvo gydomi </w:t>
      </w:r>
      <w:proofErr w:type="spellStart"/>
      <w:r w:rsidR="00536BB7" w:rsidRPr="002E1C12">
        <w:rPr>
          <w:rFonts w:eastAsia="Arial"/>
        </w:rPr>
        <w:t>metotreksatu</w:t>
      </w:r>
      <w:proofErr w:type="spellEnd"/>
      <w:r w:rsidR="00536BB7" w:rsidRPr="002E1C12">
        <w:rPr>
          <w:rFonts w:eastAsia="Arial"/>
        </w:rPr>
        <w:t>, tačiau liga progresavo arba nebuvo pasiektas norimas rezultatas. Pacientai turėjo būti anksčiau vartoję vieną ar daugiau TNF</w:t>
      </w:r>
      <w:r w:rsidR="00536BB7">
        <w:rPr>
          <w:rFonts w:eastAsia="Arial"/>
        </w:rPr>
        <w:t xml:space="preserve"> alfa</w:t>
      </w:r>
      <w:r w:rsidR="00536BB7" w:rsidRPr="002E1C12">
        <w:rPr>
          <w:rFonts w:eastAsia="Arial"/>
        </w:rPr>
        <w:t xml:space="preserve"> inhibitorių ir nutrauk</w:t>
      </w:r>
      <w:r w:rsidR="00536BB7">
        <w:rPr>
          <w:rFonts w:eastAsia="Arial"/>
        </w:rPr>
        <w:t>ė</w:t>
      </w:r>
      <w:r w:rsidR="00536BB7" w:rsidRPr="002E1C12">
        <w:rPr>
          <w:rFonts w:eastAsia="Arial"/>
        </w:rPr>
        <w:t xml:space="preserve"> gydymą dėl nepakankamo klinikinio atsako ar dėl nepriimtino šalutinio poveikio. </w:t>
      </w:r>
      <w:r w:rsidR="00536BB7">
        <w:rPr>
          <w:rFonts w:eastAsia="Arial"/>
        </w:rPr>
        <w:t>Pagrindinė vertinamoji baigtis buvo pacientų skaičius</w:t>
      </w:r>
      <w:r w:rsidR="00536BB7" w:rsidRPr="002D5122">
        <w:rPr>
          <w:rFonts w:eastAsia="Arial"/>
        </w:rPr>
        <w:t>, kurie</w:t>
      </w:r>
      <w:r w:rsidR="00536BB7">
        <w:rPr>
          <w:rFonts w:eastAsia="Arial"/>
        </w:rPr>
        <w:t xml:space="preserve">ms </w:t>
      </w:r>
      <w:r w:rsidR="00536BB7" w:rsidRPr="002D5122">
        <w:rPr>
          <w:rFonts w:eastAsia="Arial"/>
        </w:rPr>
        <w:t>12</w:t>
      </w:r>
      <w:r w:rsidR="00536BB7">
        <w:rPr>
          <w:rFonts w:eastAsia="Arial"/>
        </w:rPr>
        <w:t>-ą</w:t>
      </w:r>
      <w:r w:rsidR="00536BB7" w:rsidRPr="002D5122">
        <w:rPr>
          <w:rFonts w:eastAsia="Arial"/>
        </w:rPr>
        <w:t xml:space="preserve"> savaitę buvo nustatytas </w:t>
      </w:r>
      <w:r w:rsidR="00536BB7">
        <w:rPr>
          <w:rFonts w:eastAsia="Arial"/>
        </w:rPr>
        <w:t xml:space="preserve">bent </w:t>
      </w:r>
      <w:r w:rsidR="00536BB7" w:rsidRPr="002D5122">
        <w:rPr>
          <w:rFonts w:eastAsia="Arial"/>
        </w:rPr>
        <w:t>20</w:t>
      </w:r>
      <w:r w:rsidR="00536BB7">
        <w:rPr>
          <w:rFonts w:eastAsia="Arial"/>
        </w:rPr>
        <w:t xml:space="preserve"> </w:t>
      </w:r>
      <w:r w:rsidR="00536BB7" w:rsidRPr="002D5122">
        <w:rPr>
          <w:rFonts w:eastAsia="Arial"/>
        </w:rPr>
        <w:t xml:space="preserve">% ACR20 atsakas. Pirminis palyginimas buvo tarp grupės, vartojusios 4 mg </w:t>
      </w:r>
      <w:proofErr w:type="spellStart"/>
      <w:r w:rsidR="00536BB7" w:rsidRPr="002D5122">
        <w:rPr>
          <w:rFonts w:eastAsia="Arial"/>
        </w:rPr>
        <w:t>baricitinibo</w:t>
      </w:r>
      <w:proofErr w:type="spellEnd"/>
      <w:r w:rsidR="00536BB7" w:rsidRPr="002D5122">
        <w:rPr>
          <w:rFonts w:eastAsia="Arial"/>
        </w:rPr>
        <w:t xml:space="preserve"> dozę, ir </w:t>
      </w:r>
      <w:proofErr w:type="spellStart"/>
      <w:r w:rsidR="00536BB7" w:rsidRPr="002D5122">
        <w:rPr>
          <w:rFonts w:eastAsia="Arial"/>
        </w:rPr>
        <w:t>placebo</w:t>
      </w:r>
      <w:proofErr w:type="spellEnd"/>
      <w:r w:rsidR="00536BB7" w:rsidRPr="002D5122">
        <w:rPr>
          <w:rFonts w:eastAsia="Arial"/>
        </w:rPr>
        <w:t xml:space="preserve"> grupės. </w:t>
      </w:r>
      <w:r w:rsidR="00536BB7">
        <w:rPr>
          <w:rFonts w:eastAsia="Arial"/>
        </w:rPr>
        <w:t xml:space="preserve">Nustatyta, jog </w:t>
      </w:r>
      <w:r w:rsidR="00536BB7" w:rsidRPr="00545A71">
        <w:rPr>
          <w:rFonts w:eastAsia="Arial"/>
        </w:rPr>
        <w:t xml:space="preserve">4 mg ir 2 mg </w:t>
      </w:r>
      <w:proofErr w:type="spellStart"/>
      <w:r w:rsidR="00536BB7" w:rsidRPr="00545A71">
        <w:rPr>
          <w:rFonts w:eastAsia="Arial"/>
        </w:rPr>
        <w:t>baricitinib</w:t>
      </w:r>
      <w:r w:rsidR="00536BB7">
        <w:rPr>
          <w:rFonts w:eastAsia="Arial"/>
        </w:rPr>
        <w:t>as</w:t>
      </w:r>
      <w:proofErr w:type="spellEnd"/>
      <w:r w:rsidR="00536BB7" w:rsidRPr="00545A71">
        <w:rPr>
          <w:rFonts w:eastAsia="Arial"/>
        </w:rPr>
        <w:t xml:space="preserve"> buvo pranašesnis už </w:t>
      </w:r>
      <w:proofErr w:type="spellStart"/>
      <w:r w:rsidR="00536BB7" w:rsidRPr="00545A71">
        <w:rPr>
          <w:rFonts w:eastAsia="Arial"/>
        </w:rPr>
        <w:t>placebą</w:t>
      </w:r>
      <w:proofErr w:type="spellEnd"/>
      <w:r w:rsidR="00536BB7" w:rsidRPr="00545A71">
        <w:rPr>
          <w:rFonts w:eastAsia="Arial"/>
        </w:rPr>
        <w:t xml:space="preserve"> pagal ACR20 atsako dažnį 12 savaitę ir 24 savaitę</w:t>
      </w:r>
      <w:r w:rsidR="00536BB7">
        <w:rPr>
          <w:rFonts w:eastAsia="Arial"/>
        </w:rPr>
        <w:t xml:space="preserve">, </w:t>
      </w:r>
      <w:r w:rsidR="00536BB7" w:rsidRPr="00545A71">
        <w:rPr>
          <w:rFonts w:eastAsia="Arial"/>
        </w:rPr>
        <w:t>šis skirtumas buvo statistiškai reikšmingas</w:t>
      </w:r>
      <w:r w:rsidR="00536BB7">
        <w:rPr>
          <w:rFonts w:eastAsia="Arial"/>
        </w:rPr>
        <w:t>.</w:t>
      </w:r>
    </w:p>
    <w:p w14:paraId="4B890B71" w14:textId="77777777" w:rsidR="006F3927" w:rsidRDefault="006F3927" w:rsidP="00992087">
      <w:pPr>
        <w:spacing w:line="276" w:lineRule="auto"/>
        <w:jc w:val="both"/>
        <w:rPr>
          <w:rFonts w:eastAsia="Arial"/>
          <w:i/>
        </w:rPr>
      </w:pPr>
    </w:p>
    <w:p w14:paraId="08ADA84A" w14:textId="73D84983" w:rsidR="006F3927" w:rsidRPr="00981D00" w:rsidRDefault="006F3927" w:rsidP="00992087">
      <w:pPr>
        <w:spacing w:line="276" w:lineRule="auto"/>
        <w:jc w:val="both"/>
        <w:rPr>
          <w:rFonts w:eastAsia="Arial"/>
          <w:i/>
        </w:rPr>
      </w:pPr>
      <w:r w:rsidRPr="00981D00">
        <w:rPr>
          <w:rFonts w:eastAsia="Arial"/>
          <w:i/>
        </w:rPr>
        <w:t>Netiesioginis palyginimas</w:t>
      </w:r>
    </w:p>
    <w:p w14:paraId="0B1EEBF5" w14:textId="6B4F0794" w:rsidR="00536BB7" w:rsidRPr="00222C28" w:rsidRDefault="00257D01" w:rsidP="00536BB7">
      <w:pPr>
        <w:tabs>
          <w:tab w:val="left" w:pos="426"/>
        </w:tabs>
        <w:spacing w:line="276" w:lineRule="auto"/>
        <w:jc w:val="both"/>
        <w:rPr>
          <w:rFonts w:eastAsia="Arial"/>
        </w:rPr>
      </w:pPr>
      <w:r w:rsidRPr="00257D01">
        <w:rPr>
          <w:rFonts w:eastAsia="Arial"/>
        </w:rPr>
        <w:t>Pirmoje</w:t>
      </w:r>
      <w:r>
        <w:rPr>
          <w:rFonts w:eastAsia="Arial"/>
          <w:i/>
          <w:iCs/>
        </w:rPr>
        <w:t xml:space="preserve"> </w:t>
      </w:r>
      <w:r w:rsidR="00981D00" w:rsidRPr="00981D00">
        <w:rPr>
          <w:rFonts w:eastAsia="Arial"/>
          <w:i/>
          <w:iCs/>
        </w:rPr>
        <w:t>Lee 2020</w:t>
      </w:r>
      <w:r w:rsidR="00981D00" w:rsidRPr="00981D00">
        <w:rPr>
          <w:rFonts w:eastAsia="Arial"/>
        </w:rPr>
        <w:t xml:space="preserve"> </w:t>
      </w:r>
      <w:proofErr w:type="spellStart"/>
      <w:r w:rsidR="00981D00">
        <w:rPr>
          <w:rFonts w:eastAsia="Arial"/>
        </w:rPr>
        <w:t>metaanalizėje</w:t>
      </w:r>
      <w:proofErr w:type="spellEnd"/>
      <w:r w:rsidR="00981D00">
        <w:rPr>
          <w:rFonts w:eastAsia="Arial"/>
        </w:rPr>
        <w:t xml:space="preserve"> </w:t>
      </w:r>
      <w:r w:rsidR="00314F8E">
        <w:rPr>
          <w:rFonts w:eastAsia="Arial"/>
        </w:rPr>
        <w:t xml:space="preserve">(ši </w:t>
      </w:r>
      <w:proofErr w:type="spellStart"/>
      <w:r w:rsidR="00314F8E">
        <w:rPr>
          <w:rFonts w:eastAsia="Arial"/>
        </w:rPr>
        <w:t>metaanalizė</w:t>
      </w:r>
      <w:proofErr w:type="spellEnd"/>
      <w:r w:rsidR="00314F8E">
        <w:rPr>
          <w:rFonts w:eastAsia="Arial"/>
        </w:rPr>
        <w:t xml:space="preserve"> atitiko pirmąjį apribojimą, kai </w:t>
      </w:r>
      <w:proofErr w:type="spellStart"/>
      <w:r w:rsidR="00314F8E">
        <w:rPr>
          <w:rFonts w:eastAsia="Arial"/>
        </w:rPr>
        <w:t>baricitinibas</w:t>
      </w:r>
      <w:proofErr w:type="spellEnd"/>
      <w:r w:rsidR="00314F8E">
        <w:rPr>
          <w:rFonts w:eastAsia="Arial"/>
        </w:rPr>
        <w:t xml:space="preserve"> skiriamas I-ai biologinės terapijos eilei)</w:t>
      </w:r>
      <w:r>
        <w:rPr>
          <w:rFonts w:eastAsia="Arial"/>
        </w:rPr>
        <w:t xml:space="preserve"> </w:t>
      </w:r>
      <w:proofErr w:type="spellStart"/>
      <w:r w:rsidR="00981D00">
        <w:rPr>
          <w:rFonts w:eastAsia="Arial"/>
        </w:rPr>
        <w:t>b</w:t>
      </w:r>
      <w:r w:rsidR="00536BB7">
        <w:rPr>
          <w:rFonts w:eastAsia="Arial"/>
        </w:rPr>
        <w:t>aricititinibo</w:t>
      </w:r>
      <w:proofErr w:type="spellEnd"/>
      <w:r w:rsidR="00536BB7">
        <w:rPr>
          <w:rFonts w:eastAsia="Arial"/>
        </w:rPr>
        <w:t xml:space="preserve"> </w:t>
      </w:r>
      <w:r w:rsidR="00536BB7" w:rsidRPr="00156E94">
        <w:rPr>
          <w:rFonts w:eastAsia="Arial"/>
        </w:rPr>
        <w:t xml:space="preserve">4 </w:t>
      </w:r>
      <w:r w:rsidR="00536BB7">
        <w:rPr>
          <w:rFonts w:eastAsia="Arial"/>
        </w:rPr>
        <w:t xml:space="preserve">mg efektyvumas buvo netiesiogiai buvo lygintas su </w:t>
      </w:r>
      <w:proofErr w:type="spellStart"/>
      <w:r w:rsidR="00536BB7">
        <w:rPr>
          <w:rFonts w:eastAsia="Arial"/>
        </w:rPr>
        <w:t>upadacitinibu</w:t>
      </w:r>
      <w:proofErr w:type="spellEnd"/>
      <w:r w:rsidR="00536BB7">
        <w:rPr>
          <w:rFonts w:eastAsia="Arial"/>
        </w:rPr>
        <w:t xml:space="preserve">, </w:t>
      </w:r>
      <w:proofErr w:type="spellStart"/>
      <w:r w:rsidR="00536BB7" w:rsidRPr="00492B52">
        <w:rPr>
          <w:rFonts w:eastAsia="Arial"/>
        </w:rPr>
        <w:t>tofacitinib</w:t>
      </w:r>
      <w:r w:rsidR="00536BB7" w:rsidRPr="00156E94">
        <w:rPr>
          <w:rFonts w:eastAsia="Arial"/>
        </w:rPr>
        <w:t>u</w:t>
      </w:r>
      <w:proofErr w:type="spellEnd"/>
      <w:r w:rsidR="00536BB7">
        <w:rPr>
          <w:rFonts w:eastAsia="Arial"/>
        </w:rPr>
        <w:t xml:space="preserve"> bei </w:t>
      </w:r>
      <w:proofErr w:type="spellStart"/>
      <w:r w:rsidR="00536BB7">
        <w:rPr>
          <w:rFonts w:eastAsia="Arial"/>
        </w:rPr>
        <w:t>adalimumabu</w:t>
      </w:r>
      <w:proofErr w:type="spellEnd"/>
      <w:r w:rsidR="00314F8E">
        <w:rPr>
          <w:rFonts w:eastAsia="Arial"/>
        </w:rPr>
        <w:t xml:space="preserve">. </w:t>
      </w:r>
      <w:r w:rsidR="00536BB7">
        <w:rPr>
          <w:rFonts w:eastAsia="Arial"/>
        </w:rPr>
        <w:t xml:space="preserve"> </w:t>
      </w:r>
      <w:r w:rsidR="00314F8E">
        <w:rPr>
          <w:rFonts w:eastAsia="Arial"/>
        </w:rPr>
        <w:t xml:space="preserve">Antroje </w:t>
      </w:r>
      <w:r w:rsidR="00314F8E" w:rsidRPr="00314F8E">
        <w:rPr>
          <w:rFonts w:eastAsia="Arial"/>
          <w:i/>
          <w:iCs/>
        </w:rPr>
        <w:t>Lee 2020</w:t>
      </w:r>
      <w:r w:rsidR="00314F8E" w:rsidRPr="00314F8E">
        <w:rPr>
          <w:rFonts w:eastAsia="Arial"/>
        </w:rPr>
        <w:t xml:space="preserve"> </w:t>
      </w:r>
      <w:proofErr w:type="spellStart"/>
      <w:r w:rsidR="00314F8E" w:rsidRPr="00314F8E">
        <w:rPr>
          <w:rFonts w:eastAsia="Arial"/>
        </w:rPr>
        <w:t>meta</w:t>
      </w:r>
      <w:r w:rsidR="00314F8E">
        <w:rPr>
          <w:rFonts w:eastAsia="Arial"/>
        </w:rPr>
        <w:t>analizėje</w:t>
      </w:r>
      <w:proofErr w:type="spellEnd"/>
      <w:r w:rsidR="00314F8E">
        <w:rPr>
          <w:rFonts w:eastAsia="Arial"/>
        </w:rPr>
        <w:t xml:space="preserve"> (ši </w:t>
      </w:r>
      <w:proofErr w:type="spellStart"/>
      <w:r w:rsidR="00314F8E">
        <w:rPr>
          <w:rFonts w:eastAsia="Arial"/>
        </w:rPr>
        <w:t>metaanalizė</w:t>
      </w:r>
      <w:proofErr w:type="spellEnd"/>
      <w:r w:rsidR="00314F8E">
        <w:rPr>
          <w:rFonts w:eastAsia="Arial"/>
        </w:rPr>
        <w:t xml:space="preserve"> atitiko antrąjį apribojimą, kai </w:t>
      </w:r>
      <w:proofErr w:type="spellStart"/>
      <w:r w:rsidR="00314F8E">
        <w:rPr>
          <w:rFonts w:eastAsia="Arial"/>
        </w:rPr>
        <w:t>baricitinibas</w:t>
      </w:r>
      <w:proofErr w:type="spellEnd"/>
      <w:r w:rsidR="00314F8E">
        <w:rPr>
          <w:rFonts w:eastAsia="Arial"/>
        </w:rPr>
        <w:t xml:space="preserve"> skiriamas II-ai biologinės </w:t>
      </w:r>
      <w:r w:rsidR="00460C8E">
        <w:rPr>
          <w:rFonts w:eastAsia="Arial"/>
        </w:rPr>
        <w:t xml:space="preserve"> </w:t>
      </w:r>
      <w:r w:rsidR="00314F8E">
        <w:rPr>
          <w:rFonts w:eastAsia="Arial"/>
        </w:rPr>
        <w:t xml:space="preserve">terapijos eilei) </w:t>
      </w:r>
      <w:proofErr w:type="spellStart"/>
      <w:r w:rsidR="00314F8E">
        <w:rPr>
          <w:rFonts w:eastAsia="Arial"/>
        </w:rPr>
        <w:t>baricitinibo</w:t>
      </w:r>
      <w:proofErr w:type="spellEnd"/>
      <w:r w:rsidR="00314F8E">
        <w:rPr>
          <w:rFonts w:eastAsia="Arial"/>
        </w:rPr>
        <w:t xml:space="preserve"> efektyvumas buvo netiesiogiai lygintas su </w:t>
      </w:r>
      <w:proofErr w:type="spellStart"/>
      <w:r w:rsidR="00314F8E">
        <w:rPr>
          <w:rFonts w:eastAsia="Arial"/>
        </w:rPr>
        <w:t>upadacitinibu</w:t>
      </w:r>
      <w:proofErr w:type="spellEnd"/>
      <w:r>
        <w:rPr>
          <w:rFonts w:eastAsia="Arial"/>
        </w:rPr>
        <w:t xml:space="preserve">. </w:t>
      </w:r>
      <w:r w:rsidR="00314F8E" w:rsidRPr="00492B52">
        <w:rPr>
          <w:rFonts w:eastAsia="Arial"/>
        </w:rPr>
        <w:t xml:space="preserve"> </w:t>
      </w:r>
      <w:r w:rsidR="00314F8E">
        <w:rPr>
          <w:rFonts w:eastAsia="Arial"/>
        </w:rPr>
        <w:t xml:space="preserve">Abiejose </w:t>
      </w:r>
      <w:r w:rsidRPr="00257D01">
        <w:rPr>
          <w:rFonts w:eastAsia="Arial"/>
          <w:i/>
          <w:iCs/>
        </w:rPr>
        <w:t>Lee 2020</w:t>
      </w:r>
      <w:r w:rsidRPr="00257D01">
        <w:rPr>
          <w:rFonts w:eastAsia="Arial"/>
        </w:rPr>
        <w:t xml:space="preserve"> </w:t>
      </w:r>
      <w:proofErr w:type="spellStart"/>
      <w:r w:rsidR="00314F8E">
        <w:rPr>
          <w:rFonts w:eastAsia="Arial"/>
        </w:rPr>
        <w:t>mataanalizėse</w:t>
      </w:r>
      <w:proofErr w:type="spellEnd"/>
      <w:r w:rsidR="00314F8E">
        <w:rPr>
          <w:rFonts w:eastAsia="Arial"/>
        </w:rPr>
        <w:t xml:space="preserve"> buvo </w:t>
      </w:r>
      <w:proofErr w:type="spellStart"/>
      <w:r w:rsidR="00314F8E">
        <w:rPr>
          <w:rFonts w:eastAsia="Arial"/>
        </w:rPr>
        <w:t>nuatatyta</w:t>
      </w:r>
      <w:proofErr w:type="spellEnd"/>
      <w:r w:rsidR="00314F8E">
        <w:rPr>
          <w:rFonts w:eastAsia="Arial"/>
        </w:rPr>
        <w:t xml:space="preserve">, jog </w:t>
      </w:r>
      <w:r w:rsidR="00536BB7" w:rsidRPr="00492B52">
        <w:rPr>
          <w:rFonts w:eastAsia="Arial"/>
        </w:rPr>
        <w:t xml:space="preserve">veiksmingumo rodiklių skirtumai tarp JAK inhibitorių </w:t>
      </w:r>
      <w:proofErr w:type="spellStart"/>
      <w:r w:rsidR="00536BB7" w:rsidRPr="00492B52">
        <w:rPr>
          <w:rFonts w:eastAsia="Arial"/>
        </w:rPr>
        <w:t>baricitinibo</w:t>
      </w:r>
      <w:proofErr w:type="spellEnd"/>
      <w:r w:rsidR="00536BB7" w:rsidRPr="00492B52">
        <w:rPr>
          <w:rFonts w:eastAsia="Arial"/>
        </w:rPr>
        <w:t xml:space="preserve"> </w:t>
      </w:r>
      <w:r w:rsidR="00536BB7" w:rsidRPr="00361CA0">
        <w:rPr>
          <w:rFonts w:eastAsia="Arial"/>
        </w:rPr>
        <w:t xml:space="preserve">4 mg </w:t>
      </w:r>
      <w:r w:rsidR="00536BB7" w:rsidRPr="00492B52">
        <w:rPr>
          <w:rFonts w:eastAsia="Arial"/>
        </w:rPr>
        <w:t xml:space="preserve">ir </w:t>
      </w:r>
      <w:proofErr w:type="spellStart"/>
      <w:r w:rsidR="00536BB7" w:rsidRPr="00492B52">
        <w:rPr>
          <w:rFonts w:eastAsia="Arial"/>
        </w:rPr>
        <w:t>upadacitinibo</w:t>
      </w:r>
      <w:proofErr w:type="spellEnd"/>
      <w:r w:rsidR="00536BB7" w:rsidRPr="00492B52">
        <w:rPr>
          <w:rFonts w:eastAsia="Arial"/>
        </w:rPr>
        <w:t xml:space="preserve"> nebuvo statistiškai reikšmingi</w:t>
      </w:r>
      <w:r w:rsidR="00536BB7" w:rsidRPr="00361CA0">
        <w:rPr>
          <w:rFonts w:eastAsia="Arial"/>
        </w:rPr>
        <w:t xml:space="preserve"> vertinant pagal pi</w:t>
      </w:r>
      <w:r w:rsidR="00981D00">
        <w:rPr>
          <w:rFonts w:eastAsia="Arial"/>
        </w:rPr>
        <w:t>r</w:t>
      </w:r>
      <w:r w:rsidR="00536BB7">
        <w:rPr>
          <w:rFonts w:eastAsia="Arial"/>
        </w:rPr>
        <w:t xml:space="preserve">mąjį bei antrąjį apribojimą. Jog </w:t>
      </w:r>
      <w:proofErr w:type="spellStart"/>
      <w:r w:rsidR="00536BB7">
        <w:rPr>
          <w:rFonts w:eastAsia="Arial"/>
        </w:rPr>
        <w:t>barici</w:t>
      </w:r>
      <w:r w:rsidR="002511B5">
        <w:rPr>
          <w:rFonts w:eastAsia="Arial"/>
        </w:rPr>
        <w:t>ti</w:t>
      </w:r>
      <w:r w:rsidR="00536BB7">
        <w:rPr>
          <w:rFonts w:eastAsia="Arial"/>
        </w:rPr>
        <w:t>nibo</w:t>
      </w:r>
      <w:proofErr w:type="spellEnd"/>
      <w:r w:rsidR="00536BB7">
        <w:rPr>
          <w:rFonts w:eastAsia="Arial"/>
        </w:rPr>
        <w:t xml:space="preserve"> efektyvumas nesiskiria nuo </w:t>
      </w:r>
      <w:proofErr w:type="spellStart"/>
      <w:r w:rsidR="00536BB7">
        <w:rPr>
          <w:rFonts w:eastAsia="Arial"/>
        </w:rPr>
        <w:t>upadacitinibo</w:t>
      </w:r>
      <w:proofErr w:type="spellEnd"/>
      <w:r w:rsidR="00536BB7">
        <w:rPr>
          <w:rFonts w:eastAsia="Arial"/>
        </w:rPr>
        <w:t xml:space="preserve"> parodė ir </w:t>
      </w:r>
      <w:proofErr w:type="spellStart"/>
      <w:r w:rsidR="00536BB7" w:rsidRPr="00222C28">
        <w:rPr>
          <w:rFonts w:eastAsia="Arial"/>
          <w:i/>
          <w:iCs/>
        </w:rPr>
        <w:t>Wang</w:t>
      </w:r>
      <w:proofErr w:type="spellEnd"/>
      <w:r w:rsidR="00536BB7" w:rsidRPr="00222C28">
        <w:rPr>
          <w:rFonts w:eastAsia="Arial"/>
          <w:i/>
          <w:iCs/>
        </w:rPr>
        <w:t xml:space="preserve"> 2020</w:t>
      </w:r>
      <w:r w:rsidR="00536BB7" w:rsidRPr="00222C28">
        <w:rPr>
          <w:rFonts w:eastAsia="Arial"/>
        </w:rPr>
        <w:t xml:space="preserve"> </w:t>
      </w:r>
      <w:proofErr w:type="spellStart"/>
      <w:r w:rsidR="00536BB7" w:rsidRPr="00222C28">
        <w:rPr>
          <w:rFonts w:eastAsia="Arial"/>
        </w:rPr>
        <w:t>metaanaliz</w:t>
      </w:r>
      <w:r w:rsidR="00536BB7">
        <w:rPr>
          <w:rFonts w:eastAsia="Arial"/>
        </w:rPr>
        <w:t>ė</w:t>
      </w:r>
      <w:proofErr w:type="spellEnd"/>
      <w:r w:rsidR="00536BB7">
        <w:rPr>
          <w:rFonts w:eastAsia="Arial"/>
        </w:rPr>
        <w:t>.</w:t>
      </w:r>
    </w:p>
    <w:p w14:paraId="3C4EC8CE" w14:textId="08503450" w:rsidR="00536BB7" w:rsidRPr="00827921" w:rsidRDefault="00536BB7" w:rsidP="00536BB7">
      <w:pPr>
        <w:spacing w:line="276" w:lineRule="auto"/>
        <w:ind w:firstLine="720"/>
        <w:jc w:val="both"/>
        <w:rPr>
          <w:rFonts w:eastAsia="Arial"/>
        </w:rPr>
      </w:pPr>
      <w:r w:rsidRPr="00456A6D">
        <w:rPr>
          <w:iCs/>
        </w:rPr>
        <w:t xml:space="preserve">Vertinant vaisto saugumą, </w:t>
      </w:r>
      <w:r>
        <w:rPr>
          <w:rFonts w:eastAsia="Arial"/>
        </w:rPr>
        <w:t>b</w:t>
      </w:r>
      <w:r w:rsidRPr="00456A6D">
        <w:rPr>
          <w:rFonts w:eastAsia="Arial"/>
        </w:rPr>
        <w:t xml:space="preserve">uvo pranešta apie du </w:t>
      </w:r>
      <w:proofErr w:type="spellStart"/>
      <w:r w:rsidRPr="00456A6D">
        <w:rPr>
          <w:rFonts w:eastAsia="Arial"/>
        </w:rPr>
        <w:t>nemelanomos</w:t>
      </w:r>
      <w:proofErr w:type="spellEnd"/>
      <w:r w:rsidRPr="00456A6D">
        <w:rPr>
          <w:rFonts w:eastAsia="Arial"/>
        </w:rPr>
        <w:t xml:space="preserve"> odos vėžio atvejus grupėje, vartojusioje 4 mg </w:t>
      </w:r>
      <w:proofErr w:type="spellStart"/>
      <w:r w:rsidRPr="00456A6D">
        <w:rPr>
          <w:rFonts w:eastAsia="Arial"/>
        </w:rPr>
        <w:t>baricitinibo</w:t>
      </w:r>
      <w:proofErr w:type="spellEnd"/>
      <w:r w:rsidRPr="00456A6D">
        <w:rPr>
          <w:rFonts w:eastAsia="Arial"/>
        </w:rPr>
        <w:t xml:space="preserve"> dozę.</w:t>
      </w:r>
      <w:r>
        <w:rPr>
          <w:rFonts w:eastAsia="Arial"/>
        </w:rPr>
        <w:t xml:space="preserve"> </w:t>
      </w:r>
      <w:r w:rsidRPr="006B5AC8">
        <w:rPr>
          <w:rFonts w:eastAsia="Arial"/>
        </w:rPr>
        <w:t xml:space="preserve">Sunkios infekcijos pasireiškė atitinkamai 3%, 2% ir 3% pacientų </w:t>
      </w:r>
      <w:proofErr w:type="spellStart"/>
      <w:r w:rsidRPr="006B5AC8">
        <w:rPr>
          <w:rFonts w:eastAsia="Arial"/>
        </w:rPr>
        <w:t>placebo</w:t>
      </w:r>
      <w:proofErr w:type="spellEnd"/>
      <w:r w:rsidRPr="006B5AC8">
        <w:rPr>
          <w:rFonts w:eastAsia="Arial"/>
        </w:rPr>
        <w:t xml:space="preserve"> grupėje, 2 mg </w:t>
      </w:r>
      <w:proofErr w:type="spellStart"/>
      <w:r w:rsidRPr="006B5AC8">
        <w:rPr>
          <w:rFonts w:eastAsia="Arial"/>
        </w:rPr>
        <w:t>baricitinibo</w:t>
      </w:r>
      <w:proofErr w:type="spellEnd"/>
      <w:r w:rsidRPr="006B5AC8">
        <w:rPr>
          <w:rFonts w:eastAsia="Arial"/>
        </w:rPr>
        <w:t xml:space="preserve"> </w:t>
      </w:r>
      <w:r>
        <w:rPr>
          <w:rFonts w:eastAsia="Arial"/>
        </w:rPr>
        <w:t>grupėje</w:t>
      </w:r>
      <w:r w:rsidRPr="006B5AC8">
        <w:rPr>
          <w:rFonts w:eastAsia="Arial"/>
        </w:rPr>
        <w:t xml:space="preserve"> ir 4 mg </w:t>
      </w:r>
      <w:proofErr w:type="spellStart"/>
      <w:r w:rsidRPr="006B5AC8">
        <w:rPr>
          <w:rFonts w:eastAsia="Arial"/>
        </w:rPr>
        <w:t>baricitinibo</w:t>
      </w:r>
      <w:proofErr w:type="spellEnd"/>
      <w:r w:rsidRPr="006B5AC8">
        <w:rPr>
          <w:rFonts w:eastAsia="Arial"/>
        </w:rPr>
        <w:t xml:space="preserve"> grupėje. </w:t>
      </w:r>
      <w:r>
        <w:rPr>
          <w:rFonts w:eastAsia="Arial"/>
        </w:rPr>
        <w:t>Bendrai i</w:t>
      </w:r>
      <w:r w:rsidRPr="006B5AC8">
        <w:rPr>
          <w:rFonts w:eastAsia="Arial"/>
        </w:rPr>
        <w:t xml:space="preserve">nfekcijų dažnis buvo panašus dviejose </w:t>
      </w:r>
      <w:proofErr w:type="spellStart"/>
      <w:r w:rsidRPr="006B5AC8">
        <w:rPr>
          <w:rFonts w:eastAsia="Arial"/>
        </w:rPr>
        <w:t>baricitinibo</w:t>
      </w:r>
      <w:proofErr w:type="spellEnd"/>
      <w:r w:rsidRPr="006B5AC8">
        <w:rPr>
          <w:rFonts w:eastAsia="Arial"/>
        </w:rPr>
        <w:t xml:space="preserve"> grupėse</w:t>
      </w:r>
      <w:r>
        <w:rPr>
          <w:rFonts w:eastAsia="Arial"/>
        </w:rPr>
        <w:t>: k</w:t>
      </w:r>
      <w:r w:rsidRPr="006B5AC8">
        <w:rPr>
          <w:rFonts w:eastAsia="Arial"/>
        </w:rPr>
        <w:t xml:space="preserve">vėpavimo takų infekcijos, bronchitas ir šlapimo takų </w:t>
      </w:r>
      <w:r w:rsidRPr="006B5AC8">
        <w:rPr>
          <w:rFonts w:eastAsia="Arial"/>
        </w:rPr>
        <w:lastRenderedPageBreak/>
        <w:t xml:space="preserve">infekcijos buvo dažniausiai pasitaikantys pranešimai. </w:t>
      </w:r>
      <w:r w:rsidRPr="00827921">
        <w:rPr>
          <w:rFonts w:eastAsia="Arial"/>
        </w:rPr>
        <w:t xml:space="preserve">Vartojant 2 mg </w:t>
      </w:r>
      <w:proofErr w:type="spellStart"/>
      <w:r w:rsidRPr="00827921">
        <w:rPr>
          <w:rFonts w:eastAsia="Arial"/>
        </w:rPr>
        <w:t>baricitinibą</w:t>
      </w:r>
      <w:proofErr w:type="spellEnd"/>
      <w:r w:rsidRPr="00827921">
        <w:rPr>
          <w:rFonts w:eastAsia="Arial"/>
        </w:rPr>
        <w:t xml:space="preserve"> per parą, infekcijų rizika nepadidėjo (R</w:t>
      </w:r>
      <w:r>
        <w:rPr>
          <w:rFonts w:eastAsia="Arial"/>
        </w:rPr>
        <w:t>S</w:t>
      </w:r>
      <w:r w:rsidRPr="00827921">
        <w:rPr>
          <w:rFonts w:eastAsia="Arial"/>
        </w:rPr>
        <w:t xml:space="preserve">, 1,06; 95 % PI, 0,72–1,57; P = 0,78), bet ši rizika padidėjo vartojant 4 mg </w:t>
      </w:r>
      <w:proofErr w:type="spellStart"/>
      <w:r w:rsidRPr="00827921">
        <w:rPr>
          <w:rFonts w:eastAsia="Arial"/>
        </w:rPr>
        <w:t>baricitinibą</w:t>
      </w:r>
      <w:proofErr w:type="spellEnd"/>
      <w:r w:rsidRPr="00827921">
        <w:rPr>
          <w:rFonts w:eastAsia="Arial"/>
        </w:rPr>
        <w:t xml:space="preserve"> per parą (R</w:t>
      </w:r>
      <w:r>
        <w:rPr>
          <w:rFonts w:eastAsia="Arial"/>
        </w:rPr>
        <w:t>S</w:t>
      </w:r>
      <w:r w:rsidRPr="00827921">
        <w:rPr>
          <w:rFonts w:eastAsia="Arial"/>
        </w:rPr>
        <w:t>, 1,28; 95</w:t>
      </w:r>
      <w:r>
        <w:rPr>
          <w:rFonts w:eastAsia="Arial"/>
        </w:rPr>
        <w:t xml:space="preserve"> </w:t>
      </w:r>
      <w:r w:rsidRPr="00827921">
        <w:rPr>
          <w:rFonts w:eastAsia="Arial"/>
        </w:rPr>
        <w:t xml:space="preserve">% PI, 1,12–1,45; P&lt;0,001); ir </w:t>
      </w:r>
      <w:proofErr w:type="spellStart"/>
      <w:r w:rsidRPr="00827921">
        <w:rPr>
          <w:rFonts w:eastAsia="Arial"/>
        </w:rPr>
        <w:t>upadacitinibą</w:t>
      </w:r>
      <w:proofErr w:type="spellEnd"/>
      <w:r w:rsidRPr="00827921">
        <w:rPr>
          <w:rFonts w:eastAsia="Arial"/>
        </w:rPr>
        <w:t xml:space="preserve"> 15 mg (RR, 1,35; 95 % PI, 1,14–1,60; P = 0,001). Bendras sunkių piktybinių navikų dažnis vartojant bet kurį gydymą buvo panašus į </w:t>
      </w:r>
      <w:proofErr w:type="spellStart"/>
      <w:r w:rsidRPr="00827921">
        <w:rPr>
          <w:rFonts w:eastAsia="Arial"/>
        </w:rPr>
        <w:t>placebą</w:t>
      </w:r>
      <w:proofErr w:type="spellEnd"/>
      <w:r w:rsidRPr="00827921">
        <w:rPr>
          <w:rFonts w:eastAsia="Arial"/>
        </w:rPr>
        <w:t xml:space="preserve"> (R</w:t>
      </w:r>
      <w:r w:rsidR="00130C59">
        <w:rPr>
          <w:rFonts w:eastAsia="Arial"/>
        </w:rPr>
        <w:t>S</w:t>
      </w:r>
      <w:r w:rsidRPr="00827921">
        <w:rPr>
          <w:rFonts w:eastAsia="Arial"/>
        </w:rPr>
        <w:t>, 1,68; 95% PI, 0,57–4,95; P = 0,34).</w:t>
      </w:r>
    </w:p>
    <w:p w14:paraId="74BEA7B4" w14:textId="1E268E56" w:rsidR="00536BB7" w:rsidRDefault="00536BB7"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1F1BABEF" w:rsidR="00C62B36" w:rsidRDefault="00C62B36" w:rsidP="00A93AA6">
      <w:pPr>
        <w:tabs>
          <w:tab w:val="left" w:pos="426"/>
        </w:tabs>
        <w:rPr>
          <w:i/>
          <w:color w:val="00B050"/>
          <w:sz w:val="22"/>
          <w:szCs w:val="22"/>
        </w:rPr>
      </w:pPr>
    </w:p>
    <w:p w14:paraId="51E9FBF1" w14:textId="77777777" w:rsidR="002A77CB" w:rsidRDefault="002A77CB" w:rsidP="00981D00">
      <w:pPr>
        <w:shd w:val="clear" w:color="auto" w:fill="FFFFFF"/>
        <w:spacing w:line="276" w:lineRule="auto"/>
        <w:ind w:firstLine="720"/>
        <w:jc w:val="both"/>
        <w:rPr>
          <w:iCs/>
          <w:lang w:eastAsia="lt-LT"/>
        </w:rPr>
      </w:pPr>
      <w:r w:rsidRPr="00857A32">
        <w:rPr>
          <w:iCs/>
          <w:lang w:eastAsia="lt-LT"/>
        </w:rPr>
        <w:t xml:space="preserve">Vertinimui pateikta kaštų mažinimo analizė, lyginant vaistų įsigijimo kaštus. Analizėje laikomasi prielaidos, jog asmens sveikatos priežiūros paslaugos tarp lyginamųjų grupių yra vienodos. Taip pat, </w:t>
      </w:r>
      <w:proofErr w:type="spellStart"/>
      <w:r w:rsidRPr="00857A32">
        <w:rPr>
          <w:iCs/>
          <w:lang w:eastAsia="lt-LT"/>
        </w:rPr>
        <w:t>baricitinibo</w:t>
      </w:r>
      <w:proofErr w:type="spellEnd"/>
      <w:r w:rsidRPr="00857A32">
        <w:rPr>
          <w:iCs/>
          <w:lang w:eastAsia="lt-LT"/>
        </w:rPr>
        <w:t xml:space="preserve"> (</w:t>
      </w:r>
      <w:proofErr w:type="spellStart"/>
      <w:r w:rsidRPr="00857A32">
        <w:rPr>
          <w:iCs/>
          <w:lang w:eastAsia="lt-LT"/>
        </w:rPr>
        <w:t>olumiant</w:t>
      </w:r>
      <w:proofErr w:type="spellEnd"/>
      <w:r w:rsidRPr="00857A32">
        <w:rPr>
          <w:iCs/>
          <w:lang w:eastAsia="lt-LT"/>
        </w:rPr>
        <w:t xml:space="preserve">) skyrimas nepareikalaus papildomų kaštų palyginus su </w:t>
      </w:r>
      <w:proofErr w:type="spellStart"/>
      <w:r w:rsidRPr="00857A32">
        <w:rPr>
          <w:iCs/>
          <w:lang w:eastAsia="lt-LT"/>
        </w:rPr>
        <w:t>upadacitinibo</w:t>
      </w:r>
      <w:proofErr w:type="spellEnd"/>
      <w:r w:rsidRPr="00857A32">
        <w:rPr>
          <w:iCs/>
          <w:lang w:eastAsia="lt-LT"/>
        </w:rPr>
        <w:t xml:space="preserve"> skyrimu. Tarnybai atlikus perskaičiavimą su atnaujinta </w:t>
      </w:r>
      <w:proofErr w:type="spellStart"/>
      <w:r w:rsidRPr="00857A32">
        <w:rPr>
          <w:iCs/>
          <w:lang w:eastAsia="lt-LT"/>
        </w:rPr>
        <w:t>upadacitinibo</w:t>
      </w:r>
      <w:proofErr w:type="spellEnd"/>
      <w:r w:rsidRPr="00857A32">
        <w:rPr>
          <w:iCs/>
          <w:lang w:eastAsia="lt-LT"/>
        </w:rPr>
        <w:t xml:space="preserve"> kaina,  gydymas </w:t>
      </w:r>
      <w:proofErr w:type="spellStart"/>
      <w:r w:rsidRPr="00857A32">
        <w:rPr>
          <w:iCs/>
          <w:lang w:eastAsia="lt-LT"/>
        </w:rPr>
        <w:t>baricitinibu</w:t>
      </w:r>
      <w:proofErr w:type="spellEnd"/>
      <w:r w:rsidRPr="00857A32">
        <w:rPr>
          <w:iCs/>
          <w:lang w:eastAsia="lt-LT"/>
        </w:rPr>
        <w:t xml:space="preserve"> (</w:t>
      </w:r>
      <w:proofErr w:type="spellStart"/>
      <w:r w:rsidRPr="00857A32">
        <w:rPr>
          <w:iCs/>
          <w:lang w:eastAsia="lt-LT"/>
        </w:rPr>
        <w:t>olumiant</w:t>
      </w:r>
      <w:proofErr w:type="spellEnd"/>
      <w:r w:rsidRPr="00857A32">
        <w:rPr>
          <w:iCs/>
          <w:lang w:eastAsia="lt-LT"/>
        </w:rPr>
        <w:t xml:space="preserve">) yra brangesnis nei gydymas </w:t>
      </w:r>
      <w:proofErr w:type="spellStart"/>
      <w:r w:rsidRPr="00857A32">
        <w:rPr>
          <w:iCs/>
          <w:lang w:eastAsia="lt-LT"/>
        </w:rPr>
        <w:t>upadacitinibu</w:t>
      </w:r>
      <w:proofErr w:type="spellEnd"/>
      <w:r w:rsidRPr="00857A32">
        <w:rPr>
          <w:iCs/>
          <w:lang w:eastAsia="lt-LT"/>
        </w:rPr>
        <w:t xml:space="preserve"> (</w:t>
      </w:r>
      <w:proofErr w:type="spellStart"/>
      <w:r w:rsidRPr="00857A32">
        <w:rPr>
          <w:iCs/>
          <w:lang w:eastAsia="lt-LT"/>
        </w:rPr>
        <w:t>Rinvoq</w:t>
      </w:r>
      <w:proofErr w:type="spellEnd"/>
      <w:r w:rsidRPr="00857A32">
        <w:rPr>
          <w:iCs/>
          <w:lang w:eastAsia="lt-LT"/>
        </w:rPr>
        <w:t>), esant iš esmės nesiskiriančiam palyginamajam efektyvumui.</w:t>
      </w:r>
      <w:r>
        <w:rPr>
          <w:iCs/>
          <w:lang w:eastAsia="lt-LT"/>
        </w:rPr>
        <w:t xml:space="preserve"> </w:t>
      </w:r>
    </w:p>
    <w:p w14:paraId="187340C4" w14:textId="24A92736" w:rsidR="002A77CB" w:rsidRDefault="002A77CB" w:rsidP="00981D00">
      <w:pPr>
        <w:shd w:val="clear" w:color="auto" w:fill="FFFFFF"/>
        <w:spacing w:line="276" w:lineRule="auto"/>
        <w:ind w:firstLine="720"/>
        <w:jc w:val="both"/>
        <w:rPr>
          <w:rFonts w:eastAsia="Arial"/>
          <w:b/>
        </w:rPr>
      </w:pPr>
      <w:r>
        <w:rPr>
          <w:iCs/>
          <w:lang w:eastAsia="lt-LT"/>
        </w:rPr>
        <w:t xml:space="preserve">Apibendrinant, kompensuoti </w:t>
      </w:r>
      <w:proofErr w:type="spellStart"/>
      <w:r>
        <w:rPr>
          <w:iCs/>
          <w:lang w:eastAsia="lt-LT"/>
        </w:rPr>
        <w:t>olumiant</w:t>
      </w:r>
      <w:proofErr w:type="spellEnd"/>
      <w:r>
        <w:rPr>
          <w:iCs/>
          <w:lang w:eastAsia="lt-LT"/>
        </w:rPr>
        <w:t xml:space="preserve"> rekomenduojama tik sudarius PGS su sąlyga, jog įtaka PSDF biudžetui, taikant gydymą </w:t>
      </w:r>
      <w:proofErr w:type="spellStart"/>
      <w:r>
        <w:rPr>
          <w:iCs/>
          <w:lang w:eastAsia="lt-LT"/>
        </w:rPr>
        <w:t>baricitinibu</w:t>
      </w:r>
      <w:proofErr w:type="spellEnd"/>
      <w:r w:rsidR="008528B5">
        <w:rPr>
          <w:iCs/>
          <w:lang w:eastAsia="lt-LT"/>
        </w:rPr>
        <w:t>,</w:t>
      </w:r>
      <w:r>
        <w:rPr>
          <w:iCs/>
          <w:lang w:eastAsia="lt-LT"/>
        </w:rPr>
        <w:t xml:space="preserve"> bus ne didesnė nei taikant gydymą </w:t>
      </w:r>
      <w:proofErr w:type="spellStart"/>
      <w:r>
        <w:rPr>
          <w:iCs/>
          <w:lang w:eastAsia="lt-LT"/>
        </w:rPr>
        <w:t>upadacitinibu</w:t>
      </w:r>
      <w:proofErr w:type="spellEnd"/>
      <w:r>
        <w:rPr>
          <w:iCs/>
          <w:lang w:eastAsia="lt-LT"/>
        </w:rPr>
        <w:t>.</w:t>
      </w:r>
    </w:p>
    <w:p w14:paraId="039FA481" w14:textId="77777777" w:rsidR="002A77CB" w:rsidRPr="00E33EFF" w:rsidRDefault="002A77CB"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13"/>
        <w:gridCol w:w="2126"/>
        <w:gridCol w:w="2268"/>
        <w:gridCol w:w="1701"/>
      </w:tblGrid>
      <w:tr w:rsidR="00964950" w:rsidRPr="00D05364" w14:paraId="3D4E2BEB" w14:textId="77777777" w:rsidTr="00A63F5C">
        <w:trPr>
          <w:trHeight w:val="364"/>
          <w:jc w:val="center"/>
        </w:trPr>
        <w:tc>
          <w:tcPr>
            <w:tcW w:w="9908" w:type="dxa"/>
            <w:gridSpan w:val="4"/>
            <w:vAlign w:val="center"/>
          </w:tcPr>
          <w:p w14:paraId="396A47B8" w14:textId="77777777" w:rsidR="00964950" w:rsidRPr="00D05364" w:rsidRDefault="00964950" w:rsidP="00A63F5C">
            <w:pPr>
              <w:tabs>
                <w:tab w:val="left" w:pos="567"/>
              </w:tabs>
              <w:jc w:val="center"/>
              <w:rPr>
                <w:b/>
                <w:i/>
                <w:iCs/>
                <w:color w:val="00B050"/>
                <w:sz w:val="22"/>
                <w:szCs w:val="22"/>
                <w:lang w:eastAsia="lt-LT"/>
              </w:rPr>
            </w:pPr>
            <w:r w:rsidRPr="00D05364">
              <w:rPr>
                <w:b/>
                <w:lang w:eastAsia="lt-LT"/>
              </w:rPr>
              <w:t>Kaštai</w:t>
            </w:r>
          </w:p>
        </w:tc>
      </w:tr>
      <w:tr w:rsidR="00964950" w:rsidRPr="00D05364" w14:paraId="70E4FDB4" w14:textId="77777777" w:rsidTr="00626CA4">
        <w:trPr>
          <w:jc w:val="center"/>
        </w:trPr>
        <w:tc>
          <w:tcPr>
            <w:tcW w:w="3813" w:type="dxa"/>
          </w:tcPr>
          <w:p w14:paraId="7AF7BA8C" w14:textId="77777777" w:rsidR="00964950" w:rsidRPr="00D05364" w:rsidRDefault="00964950" w:rsidP="00A63F5C">
            <w:pPr>
              <w:tabs>
                <w:tab w:val="left" w:pos="567"/>
              </w:tabs>
              <w:jc w:val="both"/>
              <w:rPr>
                <w:color w:val="00B050"/>
                <w:lang w:eastAsia="lt-LT"/>
              </w:rPr>
            </w:pPr>
          </w:p>
        </w:tc>
        <w:tc>
          <w:tcPr>
            <w:tcW w:w="2126" w:type="dxa"/>
          </w:tcPr>
          <w:p w14:paraId="0CBC8772" w14:textId="77777777" w:rsidR="00964950" w:rsidRPr="00D05364" w:rsidRDefault="00964950" w:rsidP="00A63F5C">
            <w:pPr>
              <w:tabs>
                <w:tab w:val="left" w:pos="567"/>
              </w:tabs>
              <w:jc w:val="both"/>
              <w:rPr>
                <w:i/>
                <w:iCs/>
                <w:lang w:eastAsia="lt-LT"/>
              </w:rPr>
            </w:pPr>
            <w:proofErr w:type="spellStart"/>
            <w:r>
              <w:rPr>
                <w:i/>
                <w:iCs/>
                <w:lang w:eastAsia="lt-LT"/>
              </w:rPr>
              <w:t>Baricitinibas,Eur</w:t>
            </w:r>
            <w:proofErr w:type="spellEnd"/>
          </w:p>
        </w:tc>
        <w:tc>
          <w:tcPr>
            <w:tcW w:w="2268" w:type="dxa"/>
          </w:tcPr>
          <w:p w14:paraId="37A4DA2F" w14:textId="77777777" w:rsidR="00964950" w:rsidRPr="00D05364" w:rsidRDefault="00964950" w:rsidP="00A63F5C">
            <w:pPr>
              <w:tabs>
                <w:tab w:val="left" w:pos="567"/>
              </w:tabs>
              <w:jc w:val="both"/>
              <w:rPr>
                <w:i/>
                <w:iCs/>
                <w:lang w:eastAsia="lt-LT"/>
              </w:rPr>
            </w:pPr>
            <w:proofErr w:type="spellStart"/>
            <w:r>
              <w:rPr>
                <w:i/>
                <w:iCs/>
                <w:lang w:eastAsia="lt-LT"/>
              </w:rPr>
              <w:t>Upadacitinibas</w:t>
            </w:r>
            <w:proofErr w:type="spellEnd"/>
            <w:r>
              <w:rPr>
                <w:i/>
                <w:iCs/>
                <w:lang w:eastAsia="lt-LT"/>
              </w:rPr>
              <w:t xml:space="preserve">, </w:t>
            </w:r>
            <w:proofErr w:type="spellStart"/>
            <w:r>
              <w:rPr>
                <w:i/>
                <w:iCs/>
                <w:lang w:eastAsia="lt-LT"/>
              </w:rPr>
              <w:t>Eur</w:t>
            </w:r>
            <w:proofErr w:type="spellEnd"/>
          </w:p>
        </w:tc>
        <w:tc>
          <w:tcPr>
            <w:tcW w:w="1701" w:type="dxa"/>
          </w:tcPr>
          <w:p w14:paraId="4A5318A3" w14:textId="77777777" w:rsidR="00964950" w:rsidRPr="00D05364" w:rsidRDefault="00964950" w:rsidP="00A63F5C">
            <w:pPr>
              <w:tabs>
                <w:tab w:val="left" w:pos="567"/>
              </w:tabs>
              <w:jc w:val="both"/>
              <w:rPr>
                <w:i/>
                <w:lang w:eastAsia="lt-LT"/>
              </w:rPr>
            </w:pPr>
            <w:r w:rsidRPr="00D05364">
              <w:rPr>
                <w:i/>
                <w:lang w:eastAsia="lt-LT"/>
              </w:rPr>
              <w:t>Skirtumas</w:t>
            </w:r>
            <w:r>
              <w:rPr>
                <w:i/>
                <w:lang w:eastAsia="lt-LT"/>
              </w:rPr>
              <w:t xml:space="preserve">, </w:t>
            </w:r>
            <w:proofErr w:type="spellStart"/>
            <w:r>
              <w:rPr>
                <w:i/>
                <w:lang w:eastAsia="lt-LT"/>
              </w:rPr>
              <w:t>Eur</w:t>
            </w:r>
            <w:proofErr w:type="spellEnd"/>
          </w:p>
        </w:tc>
      </w:tr>
      <w:tr w:rsidR="00964950" w:rsidRPr="00D05364" w14:paraId="5EFDA8A6" w14:textId="77777777" w:rsidTr="00626CA4">
        <w:trPr>
          <w:jc w:val="center"/>
        </w:trPr>
        <w:tc>
          <w:tcPr>
            <w:tcW w:w="3813" w:type="dxa"/>
          </w:tcPr>
          <w:p w14:paraId="1BE5D017" w14:textId="77777777" w:rsidR="00964950" w:rsidRPr="00D05364" w:rsidRDefault="00964950" w:rsidP="00A63F5C">
            <w:pPr>
              <w:tabs>
                <w:tab w:val="left" w:pos="567"/>
              </w:tabs>
              <w:rPr>
                <w:iCs/>
                <w:color w:val="000000"/>
                <w:lang w:eastAsia="lt-LT"/>
              </w:rPr>
            </w:pPr>
            <w:r w:rsidRPr="00D05364">
              <w:rPr>
                <w:iCs/>
                <w:color w:val="000000"/>
                <w:lang w:eastAsia="lt-LT"/>
              </w:rPr>
              <w:t>Vaistinių preparatų įsigijimo kaštai</w:t>
            </w:r>
          </w:p>
        </w:tc>
        <w:tc>
          <w:tcPr>
            <w:tcW w:w="2126" w:type="dxa"/>
          </w:tcPr>
          <w:p w14:paraId="5A6CB2D5" w14:textId="08EFFBC3" w:rsidR="00964950" w:rsidRPr="00D05364" w:rsidRDefault="00441915" w:rsidP="00A63F5C">
            <w:pPr>
              <w:tabs>
                <w:tab w:val="left" w:pos="567"/>
              </w:tabs>
              <w:jc w:val="both"/>
              <w:rPr>
                <w:i/>
                <w:iCs/>
                <w:lang w:eastAsia="lt-LT"/>
              </w:rPr>
            </w:pPr>
            <w:r>
              <w:rPr>
                <w:i/>
                <w:iCs/>
                <w:lang w:eastAsia="lt-LT"/>
              </w:rPr>
              <w:t>*********</w:t>
            </w:r>
            <w:bookmarkStart w:id="0" w:name="_GoBack"/>
            <w:bookmarkEnd w:id="0"/>
          </w:p>
        </w:tc>
        <w:tc>
          <w:tcPr>
            <w:tcW w:w="2268" w:type="dxa"/>
          </w:tcPr>
          <w:p w14:paraId="1715833A" w14:textId="7D60BC43" w:rsidR="00964950" w:rsidRPr="00D05364" w:rsidRDefault="00894FF4" w:rsidP="00A63F5C">
            <w:pPr>
              <w:tabs>
                <w:tab w:val="left" w:pos="567"/>
              </w:tabs>
              <w:jc w:val="both"/>
              <w:rPr>
                <w:i/>
                <w:iCs/>
                <w:lang w:eastAsia="lt-LT"/>
              </w:rPr>
            </w:pPr>
            <w:r>
              <w:rPr>
                <w:u w:val="single"/>
              </w:rPr>
              <w:t>********</w:t>
            </w:r>
          </w:p>
        </w:tc>
        <w:tc>
          <w:tcPr>
            <w:tcW w:w="1701" w:type="dxa"/>
          </w:tcPr>
          <w:p w14:paraId="2F58067D" w14:textId="5BEB77D4" w:rsidR="00964950" w:rsidRPr="00D05364" w:rsidRDefault="00894FF4" w:rsidP="00A63F5C">
            <w:pPr>
              <w:tabs>
                <w:tab w:val="left" w:pos="567"/>
              </w:tabs>
              <w:jc w:val="both"/>
              <w:rPr>
                <w:lang w:eastAsia="lt-LT"/>
              </w:rPr>
            </w:pPr>
            <w:r>
              <w:rPr>
                <w:u w:val="single"/>
              </w:rPr>
              <w:t>********</w:t>
            </w:r>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441915"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38545A7" w:rsidR="00937907" w:rsidRPr="00E33EFF" w:rsidRDefault="00441915"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2A77CB">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441915"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14506C25" w:rsidR="00662983" w:rsidRPr="00E33EFF" w:rsidRDefault="00441915"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2A77CB">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67C5B283"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0D0FFAC3"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D84440">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61BCB6B" w:rsidR="00B13D65" w:rsidRPr="00E33EFF" w:rsidRDefault="00441915" w:rsidP="00536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C54D80">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507828D9" w14:textId="3403817E"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0E87635" w:rsidR="00662983"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4EAF4830"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1C28897B"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894FF4">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70C15EA4"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166E3412"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536BB7">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441915"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441915"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41778154"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16B188E0"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w:t>
            </w:r>
            <w:r w:rsidR="00662983" w:rsidRPr="00E33EFF">
              <w:t xml:space="preserve"> </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9EE6791"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EndPr>
                <w:rPr>
                  <w:rStyle w:val="Style2"/>
                </w:rPr>
              </w:sdtEndPr>
              <w:sdtContent>
                <w:r w:rsidR="002A77CB">
                  <w:rPr>
                    <w:rStyle w:val="Style2"/>
                    <w:rFonts w:ascii="MS Gothic" w:eastAsia="MS Gothic" w:hAnsi="MS Gothic" w:hint="eastAsia"/>
                    <w:sz w:val="24"/>
                  </w:rPr>
                  <w:t>☒</w:t>
                </w:r>
              </w:sdtContent>
            </w:sdt>
            <w:r w:rsidR="00B13D65" w:rsidRPr="00E33EFF">
              <w:t xml:space="preserve"> 33.3. gydymo juo kaštai yra didesni esant iš esmės nesiskirianči</w:t>
            </w:r>
            <w:r w:rsidR="00536BB7">
              <w:t xml:space="preserve">am palyginamajam efektyvumui, </w:t>
            </w:r>
            <w:r w:rsidR="00B13D65" w:rsidRPr="00E33EFF">
              <w:t>taikant PGS</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44191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09533685"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59422C01" w14:textId="00F7A51A" w:rsidR="004F3B2B" w:rsidRPr="00E33EFF" w:rsidRDefault="004F3B2B" w:rsidP="002A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325210" w14:textId="3110D68B" w:rsidR="004F3B2B" w:rsidRPr="00E33EFF" w:rsidRDefault="004F3B2B" w:rsidP="002A77CB">
      <w:pPr>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p>
    <w:p w14:paraId="6339AEC7" w14:textId="70F1051F" w:rsidR="00CF27FD" w:rsidRPr="002A77CB" w:rsidRDefault="004F3B2B" w:rsidP="002A77CB">
      <w:pPr>
        <w:jc w:val="both"/>
      </w:pPr>
      <w:r w:rsidRPr="00E33EFF">
        <w:t xml:space="preserve">34.4. rekomenduojama </w:t>
      </w:r>
      <w:r w:rsidRPr="00E33EFF">
        <w:rPr>
          <w:i/>
        </w:rPr>
        <w:t xml:space="preserve">nekompensuoti </w:t>
      </w:r>
      <w:r w:rsidRPr="00E33EFF">
        <w:t>vaistinio prepa</w:t>
      </w:r>
      <w:r w:rsidR="00536BB7">
        <w:t xml:space="preserve">rato pagal paraiškoje nurodytą indikaciją su skyrimo sąlygomis, </w:t>
      </w:r>
      <w:r w:rsidR="002A77CB">
        <w:t>taikant PGS</w:t>
      </w:r>
      <w:r w:rsidRPr="00E33EFF">
        <w:t xml:space="preserve"> dėl vertinimo išvadų</w:t>
      </w:r>
      <w:r w:rsidR="002A77CB">
        <w:t xml:space="preserve">, nurodytų </w:t>
      </w:r>
      <w:r w:rsidR="00613143">
        <w:t>33.3</w:t>
      </w:r>
      <w:r w:rsidR="002A77CB">
        <w:t xml:space="preserve"> </w:t>
      </w:r>
      <w:r w:rsidR="00613143">
        <w:t>papunk</w:t>
      </w:r>
      <w:r w:rsidR="00E348BA">
        <w:t xml:space="preserve">tyje (žr. 6 skyrių), </w:t>
      </w:r>
      <w:r w:rsidRPr="00E33EFF">
        <w:t xml:space="preserve"> neatitikties </w:t>
      </w:r>
      <w:r w:rsidRPr="003D6208">
        <w:t>34.3 papunktyje išdėstyt</w:t>
      </w:r>
      <w:r w:rsidR="00CF27FD" w:rsidRPr="003D6208">
        <w:t>oms</w:t>
      </w:r>
      <w:r w:rsidRPr="003D6208">
        <w:t xml:space="preserve"> sąlyg</w:t>
      </w:r>
      <w:r w:rsidR="00CF27FD" w:rsidRPr="003D6208">
        <w:t>oms</w:t>
      </w:r>
      <w:r w:rsidR="002A77CB">
        <w:t>.</w:t>
      </w:r>
    </w:p>
    <w:p w14:paraId="06BC01EE" w14:textId="0183FDA1" w:rsidR="000723FF" w:rsidRDefault="000723FF" w:rsidP="002A77CB">
      <w:pPr>
        <w:jc w:val="both"/>
      </w:pPr>
    </w:p>
    <w:p w14:paraId="3FA5AE47" w14:textId="7174A813" w:rsidR="002A77CB" w:rsidRDefault="002A77CB" w:rsidP="002A77CB">
      <w:pPr>
        <w:jc w:val="both"/>
        <w:rPr>
          <w:i/>
        </w:rPr>
      </w:pPr>
      <w:r w:rsidRPr="002A77CB">
        <w:rPr>
          <w:i/>
        </w:rPr>
        <w:t>Papildomos pastabos ir pasiūlymai</w:t>
      </w:r>
    </w:p>
    <w:p w14:paraId="2360C2FC" w14:textId="77777777" w:rsidR="00536BB7" w:rsidRPr="002A77CB" w:rsidRDefault="00536BB7" w:rsidP="002A77CB">
      <w:pPr>
        <w:jc w:val="both"/>
        <w:rPr>
          <w:i/>
        </w:rPr>
      </w:pPr>
    </w:p>
    <w:p w14:paraId="1FE58867" w14:textId="7134BB62" w:rsidR="002A77CB" w:rsidRDefault="002A77CB" w:rsidP="002A77CB">
      <w:pPr>
        <w:jc w:val="both"/>
      </w:pPr>
      <w:r w:rsidRPr="00141D93">
        <w:t xml:space="preserve">Tarnyba </w:t>
      </w:r>
      <w:r w:rsidRPr="00141D93">
        <w:rPr>
          <w:bCs/>
        </w:rPr>
        <w:t xml:space="preserve">vadovaudamasi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141D93">
        <w:rPr>
          <w:b/>
          <w:bCs/>
        </w:rPr>
        <w:t>kompensuoti</w:t>
      </w:r>
      <w:r w:rsidRPr="00141D93">
        <w:rPr>
          <w:bCs/>
        </w:rPr>
        <w:t xml:space="preserve"> vaistinį preparatą</w:t>
      </w:r>
      <w:r>
        <w:rPr>
          <w:bCs/>
        </w:rPr>
        <w:t xml:space="preserve"> </w:t>
      </w:r>
      <w:proofErr w:type="spellStart"/>
      <w:r>
        <w:rPr>
          <w:bCs/>
        </w:rPr>
        <w:t>Olumiant</w:t>
      </w:r>
      <w:proofErr w:type="spellEnd"/>
      <w:r>
        <w:rPr>
          <w:bCs/>
        </w:rPr>
        <w:t xml:space="preserve"> (</w:t>
      </w:r>
      <w:proofErr w:type="spellStart"/>
      <w:r>
        <w:rPr>
          <w:bCs/>
        </w:rPr>
        <w:t>baricitinibas</w:t>
      </w:r>
      <w:proofErr w:type="spellEnd"/>
      <w:r>
        <w:rPr>
          <w:bCs/>
        </w:rPr>
        <w:t xml:space="preserve">) 8 skyriuje nurodytai indikacijai su sąlyga, jog gydymo </w:t>
      </w:r>
      <w:proofErr w:type="spellStart"/>
      <w:r>
        <w:rPr>
          <w:bCs/>
        </w:rPr>
        <w:t>baricitinibu</w:t>
      </w:r>
      <w:proofErr w:type="spellEnd"/>
      <w:r>
        <w:rPr>
          <w:bCs/>
        </w:rPr>
        <w:t xml:space="preserve"> įtaka PSDF biudžetui bus ne didesnė nei gydymo </w:t>
      </w:r>
      <w:proofErr w:type="spellStart"/>
      <w:r>
        <w:rPr>
          <w:bCs/>
        </w:rPr>
        <w:t>upadacitinibu</w:t>
      </w:r>
      <w:proofErr w:type="spellEnd"/>
      <w:r>
        <w:rPr>
          <w:bCs/>
        </w:rPr>
        <w:t xml:space="preserve">. </w:t>
      </w:r>
    </w:p>
    <w:p w14:paraId="29B64D69" w14:textId="77777777" w:rsidR="002A77CB" w:rsidRPr="00E33EFF" w:rsidRDefault="002A77CB" w:rsidP="00381024"/>
    <w:p w14:paraId="18B4292E" w14:textId="612CD524"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w:t>
      </w:r>
      <w:r w:rsidR="00C03529">
        <w:rPr>
          <w:b/>
          <w:color w:val="000000"/>
          <w:lang w:eastAsia="lt-LT"/>
        </w:rPr>
        <w:t>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318D8482" w:rsidR="000723FF" w:rsidRPr="00E33EFF" w:rsidRDefault="00441915"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C03529">
            <w:rPr>
              <w:rStyle w:val="Style2"/>
              <w:rFonts w:ascii="MS Gothic" w:eastAsia="MS Gothic" w:hAnsi="MS Gothic" w:hint="eastAsia"/>
            </w:rPr>
            <w:t>☒</w:t>
          </w:r>
        </w:sdtContent>
      </w:sdt>
      <w:r w:rsidR="000723FF" w:rsidRPr="00E33EFF">
        <w:t xml:space="preserve"> Siūloma kompensuoti Pareiškėjo teikiamą indikaciją be pakeitimų.</w:t>
      </w:r>
    </w:p>
    <w:p w14:paraId="21266813" w14:textId="212BE4D0" w:rsidR="000723FF" w:rsidRDefault="00C03529" w:rsidP="00824B92">
      <w:r>
        <w:t xml:space="preserve"> </w:t>
      </w:r>
    </w:p>
    <w:p w14:paraId="2EAE0E02" w14:textId="77777777" w:rsidR="00C03529" w:rsidRDefault="00C03529" w:rsidP="00C03529">
      <w:pPr>
        <w:spacing w:line="276" w:lineRule="auto"/>
        <w:jc w:val="both"/>
        <w:rPr>
          <w:i/>
          <w:iCs/>
          <w:szCs w:val="20"/>
        </w:rPr>
      </w:pPr>
      <w:proofErr w:type="spellStart"/>
      <w:r>
        <w:rPr>
          <w:i/>
          <w:iCs/>
        </w:rPr>
        <w:t>Baricitinibas</w:t>
      </w:r>
      <w:proofErr w:type="spellEnd"/>
      <w:r>
        <w:rPr>
          <w:i/>
          <w:iCs/>
        </w:rPr>
        <w:t xml:space="preserve"> skirtas gydyti suaugusiems pacientams, kuriems diagnozuotas vidutinio sunkumo ar sunkus aktyvus reumatoidinis artritas, kai jie netinkamai reagavo arba netoleravo vieno arba </w:t>
      </w:r>
      <w:r>
        <w:rPr>
          <w:i/>
          <w:iCs/>
        </w:rPr>
        <w:lastRenderedPageBreak/>
        <w:t xml:space="preserve">daugiau ligą modifikuojančiųjų vaistinių preparatų reumatui gydyti. </w:t>
      </w:r>
      <w:proofErr w:type="spellStart"/>
      <w:r>
        <w:rPr>
          <w:i/>
          <w:iCs/>
        </w:rPr>
        <w:t>Baricitinibą</w:t>
      </w:r>
      <w:proofErr w:type="spellEnd"/>
      <w:r>
        <w:rPr>
          <w:i/>
          <w:iCs/>
        </w:rPr>
        <w:t xml:space="preserve"> galima skirti </w:t>
      </w:r>
      <w:proofErr w:type="spellStart"/>
      <w:r>
        <w:rPr>
          <w:i/>
          <w:iCs/>
        </w:rPr>
        <w:t>monoterapijai</w:t>
      </w:r>
      <w:proofErr w:type="spellEnd"/>
      <w:r>
        <w:rPr>
          <w:i/>
          <w:iCs/>
        </w:rPr>
        <w:t xml:space="preserve"> arba kartu su </w:t>
      </w:r>
      <w:proofErr w:type="spellStart"/>
      <w:r>
        <w:rPr>
          <w:i/>
          <w:iCs/>
        </w:rPr>
        <w:t>metotreksatu</w:t>
      </w:r>
      <w:proofErr w:type="spellEnd"/>
      <w:r>
        <w:rPr>
          <w:i/>
          <w:iCs/>
        </w:rPr>
        <w:t>.</w:t>
      </w:r>
    </w:p>
    <w:p w14:paraId="7DD65F7E" w14:textId="1DC799FF" w:rsidR="000723FF" w:rsidRPr="00E33EFF" w:rsidRDefault="000723FF" w:rsidP="00824B92"/>
    <w:p w14:paraId="241A6E6B" w14:textId="77777777" w:rsidR="000723FF" w:rsidRPr="00E33EFF" w:rsidRDefault="000723FF" w:rsidP="00824B92">
      <w:pPr>
        <w:rPr>
          <w:b/>
        </w:rPr>
      </w:pPr>
      <w:r w:rsidRPr="00E33EFF">
        <w:rPr>
          <w:b/>
        </w:rPr>
        <w:t>Skyrimo sąlygos</w:t>
      </w:r>
    </w:p>
    <w:p w14:paraId="250ACC46" w14:textId="1AEA5ED0" w:rsidR="000723FF" w:rsidRPr="00E33EFF" w:rsidRDefault="00441915" w:rsidP="00824B92">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C03529">
            <w:rPr>
              <w:rStyle w:val="Style2"/>
              <w:rFonts w:ascii="MS Gothic" w:eastAsia="MS Gothic" w:hAnsi="MS Gothic" w:hint="eastAsia"/>
            </w:rPr>
            <w:t>☒</w:t>
          </w:r>
        </w:sdtContent>
      </w:sdt>
      <w:r w:rsidR="000723FF" w:rsidRPr="00E33EFF">
        <w:t xml:space="preserve"> Pareiškėjo siūlomos skyrimo sąlygos priimtinos. </w:t>
      </w:r>
    </w:p>
    <w:p w14:paraId="0B37A580" w14:textId="19AC3D33" w:rsidR="000723FF" w:rsidRDefault="000723FF" w:rsidP="00C03529">
      <w:r w:rsidRPr="00E33EFF">
        <w:t xml:space="preserve"> </w:t>
      </w:r>
    </w:p>
    <w:p w14:paraId="37F20D77" w14:textId="77777777" w:rsidR="00C03529" w:rsidRDefault="00C03529" w:rsidP="00C03529">
      <w:pPr>
        <w:pStyle w:val="ListParagraph"/>
        <w:spacing w:after="120" w:line="276" w:lineRule="auto"/>
        <w:ind w:left="0"/>
        <w:jc w:val="both"/>
        <w:rPr>
          <w:i/>
          <w:iCs/>
        </w:rPr>
      </w:pPr>
      <w:r>
        <w:rPr>
          <w:i/>
          <w:iCs/>
        </w:rPr>
        <w:t xml:space="preserve">Skiriamas kartu su </w:t>
      </w:r>
      <w:proofErr w:type="spellStart"/>
      <w:r>
        <w:rPr>
          <w:i/>
          <w:iCs/>
        </w:rPr>
        <w:t>metotreksatu</w:t>
      </w:r>
      <w:proofErr w:type="spellEnd"/>
      <w:r>
        <w:rPr>
          <w:i/>
          <w:iCs/>
        </w:rPr>
        <w:t xml:space="preserve">, jei yra nepalankios prognozės veiksnių ir: </w:t>
      </w:r>
    </w:p>
    <w:p w14:paraId="5BFB672B" w14:textId="77777777" w:rsidR="00C03529" w:rsidRDefault="00C03529" w:rsidP="00C03529">
      <w:pPr>
        <w:pStyle w:val="ListParagraph"/>
        <w:spacing w:after="120" w:line="276" w:lineRule="auto"/>
        <w:ind w:left="0"/>
        <w:jc w:val="both"/>
        <w:rPr>
          <w:i/>
          <w:iCs/>
        </w:rPr>
      </w:pPr>
      <w:r>
        <w:rPr>
          <w:i/>
          <w:iCs/>
        </w:rPr>
        <w:t xml:space="preserve">1) gydant pirmaeiliu tradiciniu sintetiniu ligą modifikuojančiu vaistu ar jų deriniu gydymo tikslas nepasiekiamas per 6 mėnesius ar 3 mėnesius nuo gydymo pradžios nėra gydymo efekto, ar pastebimas ligos pablogėjimas; </w:t>
      </w:r>
    </w:p>
    <w:p w14:paraId="56B1CDC3" w14:textId="77777777" w:rsidR="00C03529" w:rsidRDefault="00C03529" w:rsidP="00C03529">
      <w:pPr>
        <w:pStyle w:val="ListParagraph"/>
        <w:spacing w:after="120" w:line="276" w:lineRule="auto"/>
        <w:ind w:left="0"/>
        <w:jc w:val="both"/>
        <w:rPr>
          <w:i/>
          <w:iCs/>
        </w:rPr>
      </w:pPr>
      <w:r>
        <w:rPr>
          <w:i/>
          <w:iCs/>
        </w:rPr>
        <w:t xml:space="preserve">2) gydant vienu ar daugiau biologiniu ligą modifikuojančių vaistinių preparatų reumatoidinio artrito gydymo tikslas nepasiekiamas per 6 mėnesius ar 3 mėnesius nuo gydymo pradžios nėra gydymo efekto, ar pastebimas ligos pablogėjimas. </w:t>
      </w:r>
    </w:p>
    <w:p w14:paraId="7E2F9651" w14:textId="77777777" w:rsidR="00C03529" w:rsidRDefault="00C03529" w:rsidP="00C03529">
      <w:pPr>
        <w:pStyle w:val="NoSpacing"/>
        <w:spacing w:line="276" w:lineRule="auto"/>
        <w:rPr>
          <w:rFonts w:ascii="Times New Roman" w:hAnsi="Times New Roman"/>
          <w:i/>
          <w:iCs/>
          <w:sz w:val="24"/>
          <w:szCs w:val="24"/>
        </w:rPr>
      </w:pPr>
      <w:r>
        <w:rPr>
          <w:rFonts w:ascii="Times New Roman" w:hAnsi="Times New Roman"/>
          <w:i/>
          <w:iCs/>
          <w:sz w:val="24"/>
          <w:szCs w:val="24"/>
        </w:rPr>
        <w:t xml:space="preserve">Vaistas skiriamas </w:t>
      </w:r>
      <w:proofErr w:type="spellStart"/>
      <w:r>
        <w:rPr>
          <w:rFonts w:ascii="Times New Roman" w:hAnsi="Times New Roman"/>
          <w:i/>
          <w:iCs/>
          <w:sz w:val="24"/>
          <w:szCs w:val="24"/>
        </w:rPr>
        <w:t>monoterapijoje</w:t>
      </w:r>
      <w:proofErr w:type="spellEnd"/>
      <w:r>
        <w:rPr>
          <w:rFonts w:ascii="Times New Roman" w:hAnsi="Times New Roman"/>
          <w:i/>
          <w:iCs/>
          <w:sz w:val="24"/>
          <w:szCs w:val="24"/>
        </w:rPr>
        <w:t xml:space="preserve">, tik tuo atveju jei </w:t>
      </w:r>
      <w:proofErr w:type="spellStart"/>
      <w:r>
        <w:rPr>
          <w:rFonts w:ascii="Times New Roman" w:hAnsi="Times New Roman"/>
          <w:i/>
          <w:iCs/>
          <w:sz w:val="24"/>
          <w:szCs w:val="24"/>
        </w:rPr>
        <w:t>metotreksato</w:t>
      </w:r>
      <w:proofErr w:type="spellEnd"/>
      <w:r>
        <w:rPr>
          <w:rFonts w:ascii="Times New Roman" w:hAnsi="Times New Roman"/>
          <w:i/>
          <w:iCs/>
          <w:sz w:val="24"/>
          <w:szCs w:val="24"/>
        </w:rPr>
        <w:t xml:space="preserve"> skirti negalima.</w:t>
      </w:r>
    </w:p>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63E2B" w14:textId="77777777" w:rsidR="00CC1BA5" w:rsidRDefault="00CC1BA5">
      <w:r>
        <w:separator/>
      </w:r>
    </w:p>
  </w:endnote>
  <w:endnote w:type="continuationSeparator" w:id="0">
    <w:p w14:paraId="7A36B2F8" w14:textId="77777777" w:rsidR="00CC1BA5" w:rsidRDefault="00CC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0B24" w14:textId="77777777" w:rsidR="00CC1BA5" w:rsidRDefault="00CC1BA5">
      <w:r>
        <w:separator/>
      </w:r>
    </w:p>
  </w:footnote>
  <w:footnote w:type="continuationSeparator" w:id="0">
    <w:p w14:paraId="75AFE33E" w14:textId="77777777" w:rsidR="00CC1BA5" w:rsidRDefault="00CC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2DE20434"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1915">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F8865C9"/>
    <w:multiLevelType w:val="hybridMultilevel"/>
    <w:tmpl w:val="4B90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BF4E8E"/>
    <w:multiLevelType w:val="hybridMultilevel"/>
    <w:tmpl w:val="EFE00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1505AA"/>
    <w:multiLevelType w:val="hybridMultilevel"/>
    <w:tmpl w:val="F9106AB2"/>
    <w:lvl w:ilvl="0" w:tplc="9A82F144">
      <w:start w:val="1"/>
      <w:numFmt w:val="bullet"/>
      <w:lvlText w:val=""/>
      <w:lvlJc w:val="left"/>
      <w:pPr>
        <w:ind w:left="785" w:hanging="360"/>
      </w:pPr>
      <w:rPr>
        <w:rFonts w:ascii="Symbol" w:hAnsi="Symbol" w:hint="default"/>
        <w:strike w:val="0"/>
      </w:rPr>
    </w:lvl>
    <w:lvl w:ilvl="1" w:tplc="9CAC1EB8">
      <w:start w:val="1"/>
      <w:numFmt w:val="bullet"/>
      <w:lvlText w:val="o"/>
      <w:lvlJc w:val="left"/>
      <w:pPr>
        <w:ind w:left="2149" w:hanging="360"/>
      </w:pPr>
      <w:rPr>
        <w:rFonts w:ascii="Courier New" w:hAnsi="Courier New" w:cs="Courier New" w:hint="default"/>
        <w:strike w:val="0"/>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63A11D6"/>
    <w:multiLevelType w:val="hybridMultilevel"/>
    <w:tmpl w:val="B010F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3DDF547C"/>
    <w:multiLevelType w:val="hybridMultilevel"/>
    <w:tmpl w:val="65920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E02C81"/>
    <w:multiLevelType w:val="hybridMultilevel"/>
    <w:tmpl w:val="0CD0D0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C37460"/>
    <w:multiLevelType w:val="hybridMultilevel"/>
    <w:tmpl w:val="9C84D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9C1340"/>
    <w:multiLevelType w:val="hybridMultilevel"/>
    <w:tmpl w:val="B54CC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3213B3"/>
    <w:multiLevelType w:val="hybridMultilevel"/>
    <w:tmpl w:val="BAAE4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836E22"/>
    <w:multiLevelType w:val="hybridMultilevel"/>
    <w:tmpl w:val="CD2EE7F2"/>
    <w:lvl w:ilvl="0" w:tplc="08090001">
      <w:start w:val="1"/>
      <w:numFmt w:val="bullet"/>
      <w:lvlText w:val=""/>
      <w:lvlJc w:val="left"/>
      <w:pPr>
        <w:ind w:left="2869" w:hanging="360"/>
      </w:pPr>
      <w:rPr>
        <w:rFonts w:ascii="Symbol" w:hAnsi="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num w:numId="1">
    <w:abstractNumId w:val="11"/>
  </w:num>
  <w:num w:numId="2">
    <w:abstractNumId w:val="1"/>
  </w:num>
  <w:num w:numId="3">
    <w:abstractNumId w:val="14"/>
  </w:num>
  <w:num w:numId="4">
    <w:abstractNumId w:val="12"/>
  </w:num>
  <w:num w:numId="5">
    <w:abstractNumId w:val="9"/>
  </w:num>
  <w:num w:numId="6">
    <w:abstractNumId w:val="8"/>
  </w:num>
  <w:num w:numId="7">
    <w:abstractNumId w:val="3"/>
  </w:num>
  <w:num w:numId="8">
    <w:abstractNumId w:val="19"/>
  </w:num>
  <w:num w:numId="9">
    <w:abstractNumId w:val="0"/>
  </w:num>
  <w:num w:numId="10">
    <w:abstractNumId w:val="15"/>
  </w:num>
  <w:num w:numId="11">
    <w:abstractNumId w:val="18"/>
  </w:num>
  <w:num w:numId="12">
    <w:abstractNumId w:val="2"/>
  </w:num>
  <w:num w:numId="13">
    <w:abstractNumId w:val="7"/>
  </w:num>
  <w:num w:numId="14">
    <w:abstractNumId w:val="10"/>
  </w:num>
  <w:num w:numId="15">
    <w:abstractNumId w:val="17"/>
  </w:num>
  <w:num w:numId="16">
    <w:abstractNumId w:val="5"/>
  </w:num>
  <w:num w:numId="17">
    <w:abstractNumId w:val="6"/>
  </w:num>
  <w:num w:numId="18">
    <w:abstractNumId w:val="21"/>
  </w:num>
  <w:num w:numId="19">
    <w:abstractNumId w:val="4"/>
  </w:num>
  <w:num w:numId="20">
    <w:abstractNumId w:val="20"/>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145BA"/>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0C59"/>
    <w:rsid w:val="0013153F"/>
    <w:rsid w:val="001408B8"/>
    <w:rsid w:val="001517E2"/>
    <w:rsid w:val="001521D9"/>
    <w:rsid w:val="001554E2"/>
    <w:rsid w:val="00164146"/>
    <w:rsid w:val="0017369C"/>
    <w:rsid w:val="00175D57"/>
    <w:rsid w:val="00180C39"/>
    <w:rsid w:val="00180D96"/>
    <w:rsid w:val="00184BD3"/>
    <w:rsid w:val="001921F3"/>
    <w:rsid w:val="001A0DE9"/>
    <w:rsid w:val="001B3C5B"/>
    <w:rsid w:val="001D746F"/>
    <w:rsid w:val="001E4BBB"/>
    <w:rsid w:val="001E6304"/>
    <w:rsid w:val="0020381E"/>
    <w:rsid w:val="00213471"/>
    <w:rsid w:val="00215906"/>
    <w:rsid w:val="00241CD8"/>
    <w:rsid w:val="00244B09"/>
    <w:rsid w:val="002511B5"/>
    <w:rsid w:val="002519CB"/>
    <w:rsid w:val="0025697F"/>
    <w:rsid w:val="00257D01"/>
    <w:rsid w:val="00260258"/>
    <w:rsid w:val="0026588E"/>
    <w:rsid w:val="00272428"/>
    <w:rsid w:val="00272948"/>
    <w:rsid w:val="00292392"/>
    <w:rsid w:val="002946C7"/>
    <w:rsid w:val="002A77CB"/>
    <w:rsid w:val="002B3CC1"/>
    <w:rsid w:val="002C09E0"/>
    <w:rsid w:val="002C1BB1"/>
    <w:rsid w:val="002C2786"/>
    <w:rsid w:val="002C3A10"/>
    <w:rsid w:val="002C4A90"/>
    <w:rsid w:val="002C4ED5"/>
    <w:rsid w:val="002D02EF"/>
    <w:rsid w:val="002E0702"/>
    <w:rsid w:val="002E57AD"/>
    <w:rsid w:val="002E6F80"/>
    <w:rsid w:val="002F0E4F"/>
    <w:rsid w:val="002F1053"/>
    <w:rsid w:val="00314F8E"/>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41915"/>
    <w:rsid w:val="00453862"/>
    <w:rsid w:val="0045469B"/>
    <w:rsid w:val="00460C8E"/>
    <w:rsid w:val="00461338"/>
    <w:rsid w:val="004677DB"/>
    <w:rsid w:val="00476256"/>
    <w:rsid w:val="0048062C"/>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149F1"/>
    <w:rsid w:val="0052144B"/>
    <w:rsid w:val="00524066"/>
    <w:rsid w:val="00534E11"/>
    <w:rsid w:val="00536BB7"/>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26CA4"/>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6F3927"/>
    <w:rsid w:val="00702C18"/>
    <w:rsid w:val="00703166"/>
    <w:rsid w:val="007127F3"/>
    <w:rsid w:val="007301CF"/>
    <w:rsid w:val="007316FB"/>
    <w:rsid w:val="007374D0"/>
    <w:rsid w:val="00737E2D"/>
    <w:rsid w:val="007424D5"/>
    <w:rsid w:val="00742758"/>
    <w:rsid w:val="00750A88"/>
    <w:rsid w:val="007523DD"/>
    <w:rsid w:val="00757B7E"/>
    <w:rsid w:val="007656B2"/>
    <w:rsid w:val="0077016F"/>
    <w:rsid w:val="007713AD"/>
    <w:rsid w:val="00795DC5"/>
    <w:rsid w:val="00797153"/>
    <w:rsid w:val="007A21F7"/>
    <w:rsid w:val="007A2B68"/>
    <w:rsid w:val="007B0DDA"/>
    <w:rsid w:val="007D3347"/>
    <w:rsid w:val="007E0F19"/>
    <w:rsid w:val="007E5466"/>
    <w:rsid w:val="007F1949"/>
    <w:rsid w:val="007F2592"/>
    <w:rsid w:val="00800A08"/>
    <w:rsid w:val="00817A84"/>
    <w:rsid w:val="008225A4"/>
    <w:rsid w:val="00824B92"/>
    <w:rsid w:val="00826D5E"/>
    <w:rsid w:val="00832013"/>
    <w:rsid w:val="00832DB7"/>
    <w:rsid w:val="00834732"/>
    <w:rsid w:val="0085200C"/>
    <w:rsid w:val="008528B5"/>
    <w:rsid w:val="00857C52"/>
    <w:rsid w:val="00860D5F"/>
    <w:rsid w:val="00880A44"/>
    <w:rsid w:val="0088345E"/>
    <w:rsid w:val="0088656F"/>
    <w:rsid w:val="00891EF6"/>
    <w:rsid w:val="00894FF4"/>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4950"/>
    <w:rsid w:val="00966EEF"/>
    <w:rsid w:val="00971B28"/>
    <w:rsid w:val="00981D00"/>
    <w:rsid w:val="00983471"/>
    <w:rsid w:val="009909AB"/>
    <w:rsid w:val="00992087"/>
    <w:rsid w:val="009A2963"/>
    <w:rsid w:val="009B37DB"/>
    <w:rsid w:val="009C7A8C"/>
    <w:rsid w:val="009D23F9"/>
    <w:rsid w:val="009D4FA8"/>
    <w:rsid w:val="009D6348"/>
    <w:rsid w:val="009E44AE"/>
    <w:rsid w:val="009E6CD6"/>
    <w:rsid w:val="009F2FF8"/>
    <w:rsid w:val="009F4D66"/>
    <w:rsid w:val="00A00C3C"/>
    <w:rsid w:val="00A01091"/>
    <w:rsid w:val="00A042B9"/>
    <w:rsid w:val="00A06DBB"/>
    <w:rsid w:val="00A22ADF"/>
    <w:rsid w:val="00A31E86"/>
    <w:rsid w:val="00A54D87"/>
    <w:rsid w:val="00A5553C"/>
    <w:rsid w:val="00A701C9"/>
    <w:rsid w:val="00A70FEE"/>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E7595"/>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3529"/>
    <w:rsid w:val="00C07C7B"/>
    <w:rsid w:val="00C16245"/>
    <w:rsid w:val="00C22DC5"/>
    <w:rsid w:val="00C24479"/>
    <w:rsid w:val="00C273F2"/>
    <w:rsid w:val="00C31A04"/>
    <w:rsid w:val="00C37B53"/>
    <w:rsid w:val="00C517D2"/>
    <w:rsid w:val="00C52407"/>
    <w:rsid w:val="00C54D80"/>
    <w:rsid w:val="00C5772E"/>
    <w:rsid w:val="00C62B36"/>
    <w:rsid w:val="00C7012C"/>
    <w:rsid w:val="00C712EA"/>
    <w:rsid w:val="00CA217D"/>
    <w:rsid w:val="00CC09D4"/>
    <w:rsid w:val="00CC1BA5"/>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4440"/>
    <w:rsid w:val="00D8521E"/>
    <w:rsid w:val="00D9291C"/>
    <w:rsid w:val="00D93A97"/>
    <w:rsid w:val="00DB1F64"/>
    <w:rsid w:val="00DC2F53"/>
    <w:rsid w:val="00DC5BAC"/>
    <w:rsid w:val="00DC6816"/>
    <w:rsid w:val="00DC76C2"/>
    <w:rsid w:val="00DD1CF2"/>
    <w:rsid w:val="00DE4484"/>
    <w:rsid w:val="00DE7E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23D6"/>
    <w:rsid w:val="00E745A1"/>
    <w:rsid w:val="00E81529"/>
    <w:rsid w:val="00E83A13"/>
    <w:rsid w:val="00EB6FC5"/>
    <w:rsid w:val="00EC2356"/>
    <w:rsid w:val="00EC2582"/>
    <w:rsid w:val="00EC337C"/>
    <w:rsid w:val="00ED0CD0"/>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51C9"/>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tyl moj,Akapit z listą11,aotm_załączniki,Akapit z listą1,List Paragraph1,Bullet1,Table Legend,Dot pt,F5 List Paragraph,No Spacing1,List Paragraph Char Char Char,Indicator Text,Colorful List - Accent 11,Numbered Para 1,Bullet 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tyl moj Char,Akapit z listą11 Char,aotm_załączniki Char,Akapit z listą1 Char,List Paragraph1 Char,Bullet1 Char,Table Legend Char,Dot pt Char,F5 List Paragraph Char,No Spacing1 Char,List Paragraph Char Char Char Char,Bullet 1 Char"/>
    <w:link w:val="ListParagraph"/>
    <w:uiPriority w:val="34"/>
    <w:qFormat/>
    <w:locked/>
    <w:rsid w:val="00DE7E84"/>
    <w:rPr>
      <w:sz w:val="24"/>
      <w:szCs w:val="24"/>
      <w:lang w:eastAsia="en-US"/>
    </w:rPr>
  </w:style>
  <w:style w:type="character" w:styleId="Emphasis">
    <w:name w:val="Emphasis"/>
    <w:basedOn w:val="DefaultParagraphFont"/>
    <w:qFormat/>
    <w:rsid w:val="0053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72725">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12254250">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7813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6322BB2A046D9AA8EEC8813E5F165"/>
        <w:category>
          <w:name w:val="Bendrosios nuostatos"/>
          <w:gallery w:val="placeholder"/>
        </w:category>
        <w:types>
          <w:type w:val="bbPlcHdr"/>
        </w:types>
        <w:behaviors>
          <w:behavior w:val="content"/>
        </w:behaviors>
        <w:guid w:val="{65FDD86D-4B7F-4634-A9B6-04FEB2A59D92}"/>
      </w:docPartPr>
      <w:docPartBody>
        <w:p w:rsidR="004160E7" w:rsidRDefault="004144A3" w:rsidP="004144A3">
          <w:pPr>
            <w:pStyle w:val="1E86322BB2A046D9AA8EEC8813E5F165"/>
          </w:pPr>
          <w:r>
            <w:rPr>
              <w:rStyle w:val="PlaceholderText"/>
            </w:rPr>
            <w:t>Click here to enter a date.</w:t>
          </w:r>
        </w:p>
      </w:docPartBody>
    </w:docPart>
    <w:docPart>
      <w:docPartPr>
        <w:name w:val="57B9655BB938420B82BDAD6B82A66F50"/>
        <w:category>
          <w:name w:val="Bendrosios nuostatos"/>
          <w:gallery w:val="placeholder"/>
        </w:category>
        <w:types>
          <w:type w:val="bbPlcHdr"/>
        </w:types>
        <w:behaviors>
          <w:behavior w:val="content"/>
        </w:behaviors>
        <w:guid w:val="{B50508B3-61AE-42C0-9ED2-473525764A20}"/>
      </w:docPartPr>
      <w:docPartBody>
        <w:p w:rsidR="004160E7" w:rsidRDefault="004144A3" w:rsidP="004144A3">
          <w:pPr>
            <w:pStyle w:val="57B9655BB938420B82BDAD6B82A66F50"/>
          </w:pPr>
          <w:r>
            <w:rPr>
              <w:rStyle w:val="PlaceholderText"/>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PlaceholderText"/>
            </w:rPr>
            <w:t>Click here to enter a date.</w:t>
          </w:r>
        </w:p>
      </w:docPartBody>
    </w:docPart>
    <w:docPart>
      <w:docPartPr>
        <w:name w:val="73B8CBBE5D974AB4B2B5A325F1639AE3"/>
        <w:category>
          <w:name w:val="General"/>
          <w:gallery w:val="placeholder"/>
        </w:category>
        <w:types>
          <w:type w:val="bbPlcHdr"/>
        </w:types>
        <w:behaviors>
          <w:behavior w:val="content"/>
        </w:behaviors>
        <w:guid w:val="{8884AD1E-E8BC-42B0-B580-AA31868CEC84}"/>
      </w:docPartPr>
      <w:docPartBody>
        <w:p w:rsidR="002239AA" w:rsidRDefault="00E615F7" w:rsidP="00E615F7">
          <w:pPr>
            <w:pStyle w:val="73B8CBBE5D974AB4B2B5A325F1639AE3"/>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239AA"/>
    <w:rsid w:val="00237556"/>
    <w:rsid w:val="0039303B"/>
    <w:rsid w:val="004144A3"/>
    <w:rsid w:val="004160E7"/>
    <w:rsid w:val="004416C6"/>
    <w:rsid w:val="004F5AB2"/>
    <w:rsid w:val="005074B9"/>
    <w:rsid w:val="005E40DD"/>
    <w:rsid w:val="006B3ACD"/>
    <w:rsid w:val="007219C1"/>
    <w:rsid w:val="00753462"/>
    <w:rsid w:val="00772325"/>
    <w:rsid w:val="007A2FE0"/>
    <w:rsid w:val="007C1009"/>
    <w:rsid w:val="007C6D1D"/>
    <w:rsid w:val="0090074D"/>
    <w:rsid w:val="009B3BF0"/>
    <w:rsid w:val="009D5E5E"/>
    <w:rsid w:val="009F1BB4"/>
    <w:rsid w:val="00AB6ED4"/>
    <w:rsid w:val="00B14210"/>
    <w:rsid w:val="00B23DC0"/>
    <w:rsid w:val="00B919DC"/>
    <w:rsid w:val="00B96656"/>
    <w:rsid w:val="00BE29C1"/>
    <w:rsid w:val="00C2401D"/>
    <w:rsid w:val="00C53A68"/>
    <w:rsid w:val="00CA5BB4"/>
    <w:rsid w:val="00CB4BD1"/>
    <w:rsid w:val="00CE2DA9"/>
    <w:rsid w:val="00CE44BE"/>
    <w:rsid w:val="00D4356B"/>
    <w:rsid w:val="00D7162F"/>
    <w:rsid w:val="00E44A86"/>
    <w:rsid w:val="00E522EB"/>
    <w:rsid w:val="00E60827"/>
    <w:rsid w:val="00E615F7"/>
    <w:rsid w:val="00E73FF6"/>
    <w:rsid w:val="00E91B01"/>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15F7"/>
    <w:rPr>
      <w:color w:val="808080"/>
    </w:rPr>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73B8CBBE5D974AB4B2B5A325F1639AE3">
    <w:name w:val="73B8CBBE5D974AB4B2B5A325F1639AE3"/>
    <w:rsid w:val="00E61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970A-2CF0-486E-ADD6-0AF2C4EA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11</TotalTime>
  <Pages>8</Pages>
  <Words>11627</Words>
  <Characters>6628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18219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Brigita Venclovaitė</cp:lastModifiedBy>
  <cp:revision>8</cp:revision>
  <cp:lastPrinted>2015-11-17T07:39:00Z</cp:lastPrinted>
  <dcterms:created xsi:type="dcterms:W3CDTF">2022-12-21T16:45:00Z</dcterms:created>
  <dcterms:modified xsi:type="dcterms:W3CDTF">2022-12-29T15:18:00Z</dcterms:modified>
</cp:coreProperties>
</file>