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D6AF" w14:textId="77777777" w:rsidR="00616556" w:rsidRPr="00616556" w:rsidRDefault="00616556" w:rsidP="00616556">
      <w:pPr>
        <w:spacing w:after="0" w:line="240" w:lineRule="auto"/>
        <w:ind w:left="5529"/>
        <w:rPr>
          <w:rFonts w:ascii="Times New Roman" w:eastAsia="Times New Roman" w:hAnsi="Times New Roman" w:cs="Times New Roman"/>
          <w:sz w:val="24"/>
          <w:szCs w:val="24"/>
          <w:lang w:eastAsia="en-GB"/>
        </w:rPr>
      </w:pPr>
    </w:p>
    <w:p w14:paraId="0A57ED97" w14:textId="77777777" w:rsidR="00616556" w:rsidRPr="00616556" w:rsidRDefault="00616556" w:rsidP="00616556">
      <w:pPr>
        <w:spacing w:after="0" w:line="240" w:lineRule="auto"/>
        <w:ind w:left="6096"/>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Forma patvirtinta</w:t>
      </w:r>
    </w:p>
    <w:p w14:paraId="6A4270A0" w14:textId="77777777" w:rsidR="00616556" w:rsidRPr="00616556" w:rsidRDefault="00616556" w:rsidP="00616556">
      <w:pPr>
        <w:spacing w:after="0" w:line="240" w:lineRule="auto"/>
        <w:ind w:left="6096"/>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Valstybinės vaistų kontrolės tarnybos prie Lietuvos Respublikos sveikatos apsaugos ministerijos viršininko 2021 m. lapkričio 12 d. įsakymu Nr. (1.72E)1A-1418</w:t>
      </w:r>
    </w:p>
    <w:p w14:paraId="11E7A1DD" w14:textId="77777777" w:rsidR="00616556" w:rsidRPr="00616556" w:rsidRDefault="00616556" w:rsidP="00616556">
      <w:pPr>
        <w:spacing w:after="0" w:line="240" w:lineRule="auto"/>
        <w:ind w:left="6096"/>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(Valstybinės vaistų kontrolės tarnybos prie Lietuvos Respublikos sveikatos apsaugos ministerijos viršininko 2022 m.                         d. įsakymo Nr.                    redakcija)</w:t>
      </w:r>
    </w:p>
    <w:p w14:paraId="7E3958CC" w14:textId="77777777" w:rsidR="00616556" w:rsidRPr="00616556" w:rsidRDefault="00616556" w:rsidP="00616556">
      <w:pPr>
        <w:spacing w:after="0" w:line="240" w:lineRule="auto"/>
        <w:rPr>
          <w:rFonts w:ascii="Times New Roman" w:eastAsia="Times New Roman" w:hAnsi="Times New Roman" w:cs="Times New Roman"/>
          <w:sz w:val="24"/>
          <w:szCs w:val="24"/>
          <w:lang w:eastAsia="en-GB"/>
        </w:rPr>
      </w:pPr>
    </w:p>
    <w:p w14:paraId="79108F2E" w14:textId="77777777" w:rsidR="00616556" w:rsidRPr="00616556" w:rsidRDefault="00616556" w:rsidP="00616556">
      <w:pPr>
        <w:spacing w:after="0" w:line="240" w:lineRule="auto"/>
        <w:rPr>
          <w:rFonts w:ascii="Times New Roman" w:eastAsia="Times New Roman" w:hAnsi="Times New Roman" w:cs="Times New Roman"/>
          <w:sz w:val="24"/>
          <w:szCs w:val="24"/>
          <w:lang w:eastAsia="en-GB"/>
        </w:rPr>
      </w:pPr>
    </w:p>
    <w:p w14:paraId="0B51C855" w14:textId="77777777" w:rsidR="00616556" w:rsidRPr="00616556" w:rsidRDefault="00616556" w:rsidP="00616556">
      <w:pPr>
        <w:spacing w:after="0" w:line="240" w:lineRule="auto"/>
        <w:jc w:val="center"/>
        <w:rPr>
          <w:rFonts w:ascii="Times New Roman" w:eastAsia="Times New Roman" w:hAnsi="Times New Roman" w:cs="Times New Roman"/>
          <w:b/>
          <w:bCs/>
          <w:caps/>
          <w:sz w:val="24"/>
          <w:szCs w:val="24"/>
          <w:lang w:eastAsia="en-GB"/>
        </w:rPr>
      </w:pPr>
      <w:r w:rsidRPr="00616556">
        <w:rPr>
          <w:rFonts w:ascii="Times New Roman" w:eastAsia="Times New Roman" w:hAnsi="Times New Roman" w:cs="Times New Roman"/>
          <w:b/>
          <w:sz w:val="24"/>
          <w:szCs w:val="24"/>
          <w:lang w:eastAsia="en-GB"/>
        </w:rPr>
        <w:t xml:space="preserve">REKOMENDACIJA DĖL VAISTINIO PREPARATO </w:t>
      </w:r>
      <w:r w:rsidRPr="00616556">
        <w:rPr>
          <w:rFonts w:ascii="Times New Roman" w:eastAsia="Times New Roman" w:hAnsi="Times New Roman" w:cs="Times New Roman"/>
          <w:b/>
          <w:bCs/>
          <w:caps/>
          <w:sz w:val="24"/>
          <w:szCs w:val="24"/>
          <w:lang w:eastAsia="en-GB"/>
        </w:rPr>
        <w:t>Lietuvos Respublikos Sveikatos apsaugos ministerijos vaistinių preparatų ir medicinos pagalbos priemonių kompensavimo komisijai</w:t>
      </w:r>
    </w:p>
    <w:p w14:paraId="5B7F18A7" w14:textId="77777777" w:rsidR="00616556" w:rsidRPr="00616556" w:rsidRDefault="00616556" w:rsidP="00616556">
      <w:pPr>
        <w:spacing w:after="0" w:line="240" w:lineRule="auto"/>
        <w:jc w:val="center"/>
        <w:rPr>
          <w:rFonts w:ascii="Times New Roman" w:eastAsia="Times New Roman" w:hAnsi="Times New Roman" w:cs="Times New Roman"/>
          <w:b/>
          <w:bCs/>
          <w:caps/>
          <w:sz w:val="24"/>
          <w:szCs w:val="24"/>
          <w:lang w:eastAsia="en-GB"/>
        </w:rPr>
      </w:pPr>
    </w:p>
    <w:p w14:paraId="35E1AC37" w14:textId="77777777" w:rsidR="00616556" w:rsidRPr="00616556" w:rsidRDefault="00616556" w:rsidP="00616556">
      <w:pPr>
        <w:spacing w:after="0" w:line="240" w:lineRule="auto"/>
        <w:jc w:val="center"/>
        <w:rPr>
          <w:rFonts w:ascii="Times New Roman" w:eastAsia="Times New Roman" w:hAnsi="Times New Roman" w:cs="Times New Roman"/>
          <w:b/>
          <w:sz w:val="24"/>
          <w:szCs w:val="24"/>
          <w:lang w:eastAsia="en-GB"/>
        </w:rPr>
      </w:pPr>
      <w:r w:rsidRPr="00616556">
        <w:rPr>
          <w:rFonts w:ascii="Times New Roman" w:eastAsia="Times New Roman" w:hAnsi="Times New Roman" w:cs="Times New Roman"/>
          <w:b/>
          <w:sz w:val="24"/>
          <w:szCs w:val="24"/>
          <w:lang w:eastAsia="en-GB"/>
        </w:rPr>
        <w:t>Phesgo, 600 mg/600 mg ir 1200 mg/600 mg injekcinis tirpalas</w:t>
      </w:r>
    </w:p>
    <w:p w14:paraId="2D9882E3" w14:textId="77777777" w:rsidR="00616556" w:rsidRPr="00616556" w:rsidRDefault="00616556" w:rsidP="00616556">
      <w:pPr>
        <w:spacing w:after="0" w:line="240" w:lineRule="auto"/>
        <w:jc w:val="center"/>
        <w:rPr>
          <w:rFonts w:ascii="Times New Roman" w:eastAsia="Times New Roman" w:hAnsi="Times New Roman" w:cs="Times New Roman"/>
          <w:sz w:val="24"/>
          <w:szCs w:val="24"/>
          <w:lang w:eastAsia="en-GB"/>
        </w:rPr>
      </w:pPr>
    </w:p>
    <w:p w14:paraId="4EE20E30" w14:textId="77777777" w:rsidR="00616556" w:rsidRPr="00616556" w:rsidRDefault="00616556" w:rsidP="00616556">
      <w:pPr>
        <w:spacing w:after="0" w:line="240" w:lineRule="auto"/>
        <w:jc w:val="center"/>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w:t>
      </w:r>
      <w:r w:rsidRPr="00616556">
        <w:rPr>
          <w:rFonts w:ascii="Times New Roman" w:eastAsia="Times New Roman" w:hAnsi="Times New Roman" w:cs="Times New Roman"/>
          <w:b/>
          <w:bCs/>
          <w:i/>
          <w:iCs/>
          <w:color w:val="000000"/>
          <w:sz w:val="24"/>
          <w:szCs w:val="24"/>
          <w:lang w:val="en-US" w:eastAsia="en-GB"/>
        </w:rPr>
        <w:t>Pertuzumabas/Trastuzumabas</w:t>
      </w:r>
      <w:r w:rsidRPr="00616556">
        <w:rPr>
          <w:rFonts w:ascii="Times New Roman" w:eastAsia="Times New Roman" w:hAnsi="Times New Roman" w:cs="Times New Roman"/>
          <w:sz w:val="24"/>
          <w:szCs w:val="24"/>
          <w:lang w:eastAsia="en-GB"/>
        </w:rPr>
        <w:t>)</w:t>
      </w:r>
      <w:r w:rsidRPr="00616556">
        <w:rPr>
          <w:rFonts w:ascii="Times New Roman" w:eastAsia="Times New Roman" w:hAnsi="Times New Roman" w:cs="Times New Roman"/>
          <w:noProof/>
          <w:sz w:val="24"/>
          <w:szCs w:val="24"/>
          <w:lang w:eastAsia="en-GB"/>
        </w:rPr>
        <w:t xml:space="preserve"> </w:t>
      </w:r>
    </w:p>
    <w:p w14:paraId="51472B77" w14:textId="77777777" w:rsidR="00616556" w:rsidRPr="00616556" w:rsidRDefault="00616556" w:rsidP="00616556">
      <w:pPr>
        <w:spacing w:after="0" w:line="240" w:lineRule="auto"/>
        <w:jc w:val="center"/>
        <w:rPr>
          <w:rFonts w:ascii="Times New Roman" w:eastAsia="Times New Roman" w:hAnsi="Times New Roman" w:cs="Times New Roman"/>
          <w:sz w:val="24"/>
          <w:szCs w:val="24"/>
          <w:lang w:eastAsia="en-GB"/>
        </w:rPr>
      </w:pPr>
    </w:p>
    <w:p w14:paraId="325B60E1" w14:textId="77777777" w:rsidR="00616556" w:rsidRPr="00616556" w:rsidRDefault="00616556" w:rsidP="00616556">
      <w:pPr>
        <w:spacing w:after="0" w:line="240" w:lineRule="auto"/>
        <w:jc w:val="center"/>
        <w:rPr>
          <w:rFonts w:ascii="Times New Roman" w:eastAsia="Times New Roman" w:hAnsi="Times New Roman" w:cs="Times New Roman"/>
          <w:b/>
          <w:sz w:val="24"/>
          <w:szCs w:val="24"/>
          <w:lang w:eastAsia="en-GB"/>
        </w:rPr>
      </w:pPr>
      <w:r w:rsidRPr="00616556">
        <w:rPr>
          <w:rFonts w:ascii="Times New Roman" w:eastAsia="Times New Roman" w:hAnsi="Times New Roman" w:cs="Times New Roman"/>
          <w:b/>
          <w:sz w:val="24"/>
          <w:szCs w:val="24"/>
          <w:lang w:eastAsia="en-GB"/>
        </w:rPr>
        <w:t>STV-51</w:t>
      </w:r>
    </w:p>
    <w:p w14:paraId="76A059BF" w14:textId="77777777" w:rsidR="00616556" w:rsidRPr="00616556" w:rsidRDefault="00616556" w:rsidP="00616556">
      <w:pPr>
        <w:spacing w:after="0" w:line="280" w:lineRule="atLeast"/>
        <w:rPr>
          <w:rFonts w:ascii="Times New Roman" w:eastAsia="Times New Roman" w:hAnsi="Times New Roman" w:cs="Times New Roman"/>
          <w:sz w:val="24"/>
          <w:szCs w:val="24"/>
          <w:lang w:eastAsia="en-GB"/>
        </w:rPr>
      </w:pPr>
    </w:p>
    <w:p w14:paraId="009FF591" w14:textId="77777777" w:rsidR="00616556" w:rsidRPr="00616556" w:rsidRDefault="00616556" w:rsidP="00616556">
      <w:pPr>
        <w:spacing w:after="0" w:line="240" w:lineRule="auto"/>
        <w:jc w:val="center"/>
        <w:rPr>
          <w:rFonts w:ascii="Times New Roman" w:eastAsia="Times New Roman" w:hAnsi="Times New Roman" w:cs="Times New Roman"/>
          <w:b/>
          <w:sz w:val="24"/>
          <w:szCs w:val="24"/>
          <w:lang w:eastAsia="en-GB"/>
        </w:rPr>
      </w:pPr>
    </w:p>
    <w:p w14:paraId="139C74D9" w14:textId="77777777" w:rsidR="00616556" w:rsidRPr="00616556" w:rsidRDefault="00616556" w:rsidP="00616556">
      <w:pPr>
        <w:numPr>
          <w:ilvl w:val="0"/>
          <w:numId w:val="1"/>
        </w:numPr>
        <w:tabs>
          <w:tab w:val="left" w:pos="567"/>
        </w:tabs>
        <w:spacing w:after="0" w:line="240" w:lineRule="auto"/>
        <w:ind w:left="567" w:hanging="567"/>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t>Bendroji dalis</w:t>
      </w:r>
    </w:p>
    <w:p w14:paraId="743B7302" w14:textId="77777777" w:rsidR="00616556" w:rsidRPr="00616556" w:rsidRDefault="00616556" w:rsidP="00616556">
      <w:pPr>
        <w:tabs>
          <w:tab w:val="left" w:pos="284"/>
        </w:tabs>
        <w:spacing w:after="0" w:line="240" w:lineRule="auto"/>
        <w:contextualSpacing/>
        <w:rPr>
          <w:rFonts w:ascii="Times New Roman" w:eastAsia="Times New Roman" w:hAnsi="Times New Roman" w:cs="Times New Roman"/>
          <w:b/>
          <w:bCs/>
          <w:caps/>
          <w:sz w:val="24"/>
          <w:szCs w:val="24"/>
        </w:rPr>
      </w:pPr>
    </w:p>
    <w:tbl>
      <w:tblPr>
        <w:tblStyle w:val="Lentelstinklelis"/>
        <w:tblW w:w="9493" w:type="dxa"/>
        <w:tblLook w:val="04A0" w:firstRow="1" w:lastRow="0" w:firstColumn="1" w:lastColumn="0" w:noHBand="0" w:noVBand="1"/>
      </w:tblPr>
      <w:tblGrid>
        <w:gridCol w:w="632"/>
        <w:gridCol w:w="3694"/>
        <w:gridCol w:w="5167"/>
      </w:tblGrid>
      <w:tr w:rsidR="00616556" w:rsidRPr="00616556" w14:paraId="385912F6" w14:textId="77777777" w:rsidTr="0023029E">
        <w:trPr>
          <w:trHeight w:val="314"/>
        </w:trPr>
        <w:tc>
          <w:tcPr>
            <w:tcW w:w="632" w:type="dxa"/>
          </w:tcPr>
          <w:p w14:paraId="27B818B0" w14:textId="77777777" w:rsidR="00616556" w:rsidRPr="00616556" w:rsidRDefault="00616556" w:rsidP="00616556">
            <w:pPr>
              <w:rPr>
                <w:lang w:eastAsia="en-GB"/>
              </w:rPr>
            </w:pPr>
            <w:r w:rsidRPr="00616556">
              <w:rPr>
                <w:lang w:eastAsia="en-GB"/>
              </w:rPr>
              <w:t>1.1</w:t>
            </w:r>
          </w:p>
        </w:tc>
        <w:tc>
          <w:tcPr>
            <w:tcW w:w="3694" w:type="dxa"/>
          </w:tcPr>
          <w:p w14:paraId="5C97EB08" w14:textId="77777777" w:rsidR="00616556" w:rsidRPr="00616556" w:rsidRDefault="00616556" w:rsidP="00616556">
            <w:pPr>
              <w:rPr>
                <w:lang w:eastAsia="en-GB"/>
              </w:rPr>
            </w:pPr>
            <w:r w:rsidRPr="00616556">
              <w:rPr>
                <w:lang w:eastAsia="en-GB"/>
              </w:rPr>
              <w:t>Pareiškėjas</w:t>
            </w:r>
          </w:p>
        </w:tc>
        <w:tc>
          <w:tcPr>
            <w:tcW w:w="5167" w:type="dxa"/>
          </w:tcPr>
          <w:p w14:paraId="4B207C9B" w14:textId="77777777" w:rsidR="00616556" w:rsidRPr="00616556" w:rsidRDefault="00616556" w:rsidP="00616556">
            <w:pPr>
              <w:rPr>
                <w:lang w:val="en-US" w:eastAsia="en-GB"/>
              </w:rPr>
            </w:pPr>
            <w:r w:rsidRPr="00616556">
              <w:rPr>
                <w:color w:val="000000"/>
                <w:szCs w:val="24"/>
                <w:lang w:val="en-US" w:eastAsia="en-GB"/>
              </w:rPr>
              <w:t>UAB „Roche Lietuva ”</w:t>
            </w:r>
          </w:p>
        </w:tc>
      </w:tr>
      <w:tr w:rsidR="00616556" w:rsidRPr="00616556" w14:paraId="1632C6C8" w14:textId="77777777" w:rsidTr="0023029E">
        <w:trPr>
          <w:trHeight w:val="156"/>
        </w:trPr>
        <w:tc>
          <w:tcPr>
            <w:tcW w:w="632" w:type="dxa"/>
          </w:tcPr>
          <w:p w14:paraId="4C393A3D" w14:textId="77777777" w:rsidR="00616556" w:rsidRPr="00616556" w:rsidRDefault="00616556" w:rsidP="00616556">
            <w:pPr>
              <w:rPr>
                <w:lang w:eastAsia="en-GB"/>
              </w:rPr>
            </w:pPr>
            <w:r w:rsidRPr="00616556">
              <w:rPr>
                <w:lang w:eastAsia="en-GB"/>
              </w:rPr>
              <w:t>1.2</w:t>
            </w:r>
          </w:p>
        </w:tc>
        <w:tc>
          <w:tcPr>
            <w:tcW w:w="3694" w:type="dxa"/>
          </w:tcPr>
          <w:p w14:paraId="4A7C0BF4" w14:textId="77777777" w:rsidR="00616556" w:rsidRPr="00616556" w:rsidRDefault="00616556" w:rsidP="00616556">
            <w:pPr>
              <w:rPr>
                <w:bCs/>
                <w:color w:val="000000"/>
              </w:rPr>
            </w:pPr>
            <w:r w:rsidRPr="00616556">
              <w:rPr>
                <w:bCs/>
                <w:color w:val="000000"/>
              </w:rPr>
              <w:t xml:space="preserve">Registracijos data </w:t>
            </w:r>
          </w:p>
        </w:tc>
        <w:tc>
          <w:tcPr>
            <w:tcW w:w="5167" w:type="dxa"/>
          </w:tcPr>
          <w:p w14:paraId="13E368A9" w14:textId="77777777" w:rsidR="00616556" w:rsidRPr="00E9768C" w:rsidRDefault="00E9768C" w:rsidP="00616556">
            <w:pPr>
              <w:rPr>
                <w:lang w:val="en-US"/>
              </w:rPr>
            </w:pPr>
            <w:r w:rsidRPr="00E9768C">
              <w:rPr>
                <w:color w:val="333333"/>
                <w:shd w:val="clear" w:color="auto" w:fill="FFFFFF"/>
                <w:lang w:val="en-US" w:eastAsia="en-GB"/>
              </w:rPr>
              <w:t>2020 m. gruodžio 21 d.</w:t>
            </w:r>
          </w:p>
        </w:tc>
      </w:tr>
      <w:tr w:rsidR="00616556" w:rsidRPr="00616556" w14:paraId="40DC7C38" w14:textId="77777777" w:rsidTr="0023029E">
        <w:trPr>
          <w:trHeight w:val="1500"/>
        </w:trPr>
        <w:tc>
          <w:tcPr>
            <w:tcW w:w="632" w:type="dxa"/>
          </w:tcPr>
          <w:p w14:paraId="3500A0A7" w14:textId="77777777" w:rsidR="00616556" w:rsidRPr="00616556" w:rsidRDefault="00616556" w:rsidP="00616556">
            <w:pPr>
              <w:rPr>
                <w:lang w:eastAsia="en-GB"/>
              </w:rPr>
            </w:pPr>
            <w:r w:rsidRPr="00616556">
              <w:rPr>
                <w:lang w:eastAsia="en-GB"/>
              </w:rPr>
              <w:t>1.3</w:t>
            </w:r>
          </w:p>
        </w:tc>
        <w:tc>
          <w:tcPr>
            <w:tcW w:w="3694" w:type="dxa"/>
          </w:tcPr>
          <w:p w14:paraId="741FF0C5" w14:textId="77777777" w:rsidR="00616556" w:rsidRPr="00616556" w:rsidRDefault="00616556" w:rsidP="00616556">
            <w:pPr>
              <w:rPr>
                <w:lang w:eastAsia="en-GB"/>
              </w:rPr>
            </w:pPr>
            <w:r w:rsidRPr="00616556">
              <w:rPr>
                <w:lang w:eastAsia="en-GB"/>
              </w:rPr>
              <w:t xml:space="preserve">Paraiškos tipas </w:t>
            </w:r>
          </w:p>
          <w:p w14:paraId="0864A810" w14:textId="77777777" w:rsidR="00616556" w:rsidRPr="00616556" w:rsidRDefault="00616556" w:rsidP="00616556">
            <w:pPr>
              <w:rPr>
                <w:lang w:eastAsia="en-GB"/>
              </w:rPr>
            </w:pPr>
            <w:r w:rsidRPr="00616556">
              <w:rPr>
                <w:lang w:eastAsia="en-GB"/>
              </w:rPr>
              <w:t xml:space="preserve">(pagal </w:t>
            </w:r>
            <w:r w:rsidRPr="00616556">
              <w:rPr>
                <w:color w:val="333333"/>
                <w:shd w:val="clear" w:color="auto" w:fill="FFFFFF"/>
                <w:lang w:eastAsia="en-GB"/>
              </w:rPr>
              <w:t>vaistinio preparato registracijos tipą, įtvirtintą</w:t>
            </w:r>
            <w:r w:rsidRPr="00616556">
              <w:rPr>
                <w:lang w:eastAsia="en-GB"/>
              </w:rPr>
              <w:t xml:space="preserve"> Direktyvos 2001/83/EB straipsiuose)</w:t>
            </w:r>
          </w:p>
          <w:p w14:paraId="18900FE8" w14:textId="77777777" w:rsidR="00616556" w:rsidRPr="00616556" w:rsidRDefault="00616556" w:rsidP="00616556">
            <w:pPr>
              <w:rPr>
                <w:bCs/>
                <w:color w:val="000000"/>
              </w:rPr>
            </w:pPr>
          </w:p>
        </w:tc>
        <w:tc>
          <w:tcPr>
            <w:tcW w:w="5167" w:type="dxa"/>
          </w:tcPr>
          <w:p w14:paraId="69BF038E"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8.3 str. (pilna byla, pagrįsta savais tyrimais) </w:t>
            </w:r>
          </w:p>
          <w:p w14:paraId="5FF85B57" w14:textId="77777777" w:rsidR="00616556" w:rsidRPr="00616556" w:rsidRDefault="00616556" w:rsidP="00616556">
            <w:pPr>
              <w:rPr>
                <w:lang w:eastAsia="en-GB"/>
              </w:rPr>
            </w:pPr>
            <w:r w:rsidRPr="00616556">
              <w:rPr>
                <w:rFonts w:ascii="Segoe UI Symbol" w:eastAsia="MS Gothic" w:hAnsi="Segoe UI Symbol" w:cs="Segoe UI Symbol"/>
                <w:sz w:val="24"/>
                <w:lang w:eastAsia="en-GB"/>
              </w:rPr>
              <w:t>☐</w:t>
            </w:r>
            <w:r w:rsidRPr="00616556">
              <w:rPr>
                <w:lang w:eastAsia="en-GB"/>
              </w:rPr>
              <w:t xml:space="preserve">10 a str. (pripažintas medicininis vartojimas) </w:t>
            </w:r>
          </w:p>
          <w:p w14:paraId="55D50301" w14:textId="77777777" w:rsidR="00616556" w:rsidRPr="00616556" w:rsidRDefault="00616556" w:rsidP="00616556">
            <w:pPr>
              <w:rPr>
                <w:lang w:eastAsia="en-GB"/>
              </w:rPr>
            </w:pPr>
            <w:r w:rsidRPr="00616556">
              <w:rPr>
                <w:rFonts w:ascii="Segoe UI Symbol" w:eastAsia="MS Gothic" w:hAnsi="Segoe UI Symbol" w:cs="Segoe UI Symbol"/>
                <w:sz w:val="24"/>
                <w:lang w:eastAsia="en-GB"/>
              </w:rPr>
              <w:t>☐</w:t>
            </w:r>
            <w:r w:rsidRPr="00616556">
              <w:rPr>
                <w:lang w:eastAsia="en-GB"/>
              </w:rPr>
              <w:t>10.1 str. (generinis)</w:t>
            </w:r>
          </w:p>
          <w:p w14:paraId="67E11481" w14:textId="77777777" w:rsidR="00616556" w:rsidRPr="00616556" w:rsidRDefault="00616556" w:rsidP="00616556">
            <w:pPr>
              <w:rPr>
                <w:sz w:val="24"/>
                <w:lang w:eastAsia="en-GB"/>
              </w:rPr>
            </w:pPr>
            <w:r w:rsidRPr="00616556">
              <w:rPr>
                <w:rFonts w:ascii="MS Gothic" w:eastAsia="MS Gothic" w:hAnsi="MS Gothic" w:hint="eastAsia"/>
                <w:sz w:val="24"/>
                <w:lang w:eastAsia="en-GB"/>
              </w:rPr>
              <w:t>☒</w:t>
            </w:r>
            <w:r w:rsidRPr="00616556">
              <w:rPr>
                <w:lang w:eastAsia="en-GB"/>
              </w:rPr>
              <w:t>10.3 str. (hibridinis)</w:t>
            </w:r>
          </w:p>
        </w:tc>
      </w:tr>
      <w:tr w:rsidR="00616556" w:rsidRPr="00616556" w14:paraId="62C186E9" w14:textId="77777777" w:rsidTr="0023029E">
        <w:trPr>
          <w:trHeight w:val="1035"/>
        </w:trPr>
        <w:tc>
          <w:tcPr>
            <w:tcW w:w="632" w:type="dxa"/>
          </w:tcPr>
          <w:p w14:paraId="659644A3" w14:textId="77777777" w:rsidR="00616556" w:rsidRPr="00616556" w:rsidRDefault="00616556" w:rsidP="00616556">
            <w:pPr>
              <w:rPr>
                <w:lang w:eastAsia="en-GB"/>
              </w:rPr>
            </w:pPr>
            <w:r w:rsidRPr="00616556">
              <w:rPr>
                <w:lang w:eastAsia="en-GB"/>
              </w:rPr>
              <w:t>1.4</w:t>
            </w:r>
          </w:p>
        </w:tc>
        <w:tc>
          <w:tcPr>
            <w:tcW w:w="3694" w:type="dxa"/>
          </w:tcPr>
          <w:p w14:paraId="50D40851" w14:textId="77777777" w:rsidR="00616556" w:rsidRPr="00616556" w:rsidRDefault="00616556" w:rsidP="00616556">
            <w:pPr>
              <w:rPr>
                <w:bCs/>
                <w:color w:val="000000"/>
              </w:rPr>
            </w:pPr>
            <w:r w:rsidRPr="00616556">
              <w:rPr>
                <w:bCs/>
                <w:color w:val="000000"/>
              </w:rPr>
              <w:t xml:space="preserve">Ar vaistinis preparatas įrašytas į Bendrijos retųjų vaistinių preparatų registrą? </w:t>
            </w:r>
          </w:p>
        </w:tc>
        <w:tc>
          <w:tcPr>
            <w:tcW w:w="5167" w:type="dxa"/>
          </w:tcPr>
          <w:p w14:paraId="714FE2DD"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Taip</w:t>
            </w:r>
          </w:p>
          <w:p w14:paraId="20BF3784"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Ne</w:t>
            </w:r>
          </w:p>
        </w:tc>
      </w:tr>
      <w:tr w:rsidR="00616556" w:rsidRPr="00616556" w14:paraId="0214E044" w14:textId="77777777" w:rsidTr="0023029E">
        <w:trPr>
          <w:trHeight w:val="476"/>
        </w:trPr>
        <w:tc>
          <w:tcPr>
            <w:tcW w:w="632" w:type="dxa"/>
          </w:tcPr>
          <w:p w14:paraId="35618F2F" w14:textId="77777777" w:rsidR="00616556" w:rsidRPr="00616556" w:rsidRDefault="00616556" w:rsidP="00616556">
            <w:pPr>
              <w:rPr>
                <w:lang w:eastAsia="en-GB"/>
              </w:rPr>
            </w:pPr>
            <w:r w:rsidRPr="00616556">
              <w:rPr>
                <w:lang w:eastAsia="en-GB"/>
              </w:rPr>
              <w:t>1.5</w:t>
            </w:r>
          </w:p>
        </w:tc>
        <w:tc>
          <w:tcPr>
            <w:tcW w:w="3694" w:type="dxa"/>
          </w:tcPr>
          <w:p w14:paraId="7ABEBF2F" w14:textId="77777777" w:rsidR="00616556" w:rsidRPr="00616556" w:rsidRDefault="00616556" w:rsidP="00616556">
            <w:pPr>
              <w:rPr>
                <w:bCs/>
                <w:color w:val="000000"/>
              </w:rPr>
            </w:pPr>
            <w:r w:rsidRPr="00616556">
              <w:rPr>
                <w:lang w:eastAsia="en-GB"/>
              </w:rPr>
              <w:t>STV paraiškos pobūdis</w:t>
            </w:r>
          </w:p>
        </w:tc>
        <w:tc>
          <w:tcPr>
            <w:tcW w:w="5167" w:type="dxa"/>
          </w:tcPr>
          <w:p w14:paraId="02B9685C"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Pilna paraiška</w:t>
            </w:r>
          </w:p>
          <w:p w14:paraId="1DE555AF"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Supaprastinta paraiška</w:t>
            </w:r>
          </w:p>
        </w:tc>
      </w:tr>
      <w:tr w:rsidR="00616556" w:rsidRPr="00616556" w14:paraId="30E8A2EE" w14:textId="77777777" w:rsidTr="0023029E">
        <w:trPr>
          <w:trHeight w:val="1545"/>
        </w:trPr>
        <w:tc>
          <w:tcPr>
            <w:tcW w:w="632" w:type="dxa"/>
          </w:tcPr>
          <w:p w14:paraId="75EC31F8" w14:textId="77777777" w:rsidR="00616556" w:rsidRPr="00616556" w:rsidRDefault="00616556" w:rsidP="00616556">
            <w:pPr>
              <w:rPr>
                <w:lang w:eastAsia="en-GB"/>
              </w:rPr>
            </w:pPr>
            <w:r w:rsidRPr="00616556">
              <w:rPr>
                <w:lang w:eastAsia="en-GB"/>
              </w:rPr>
              <w:lastRenderedPageBreak/>
              <w:t>1.6</w:t>
            </w:r>
          </w:p>
        </w:tc>
        <w:tc>
          <w:tcPr>
            <w:tcW w:w="3694" w:type="dxa"/>
          </w:tcPr>
          <w:p w14:paraId="0145E9D1" w14:textId="77777777" w:rsidR="00616556" w:rsidRPr="00616556" w:rsidRDefault="00616556" w:rsidP="00616556">
            <w:pPr>
              <w:rPr>
                <w:bCs/>
                <w:color w:val="000000"/>
              </w:rPr>
            </w:pPr>
            <w:r w:rsidRPr="00616556">
              <w:rPr>
                <w:bCs/>
                <w:color w:val="000000"/>
              </w:rPr>
              <w:t>Pareiškėjo teikiama (-os) kompensuoti vaistinio preparato indikacija (-os)</w:t>
            </w:r>
          </w:p>
          <w:p w14:paraId="72279E8F" w14:textId="77777777" w:rsidR="00616556" w:rsidRPr="00616556" w:rsidRDefault="00616556" w:rsidP="00616556">
            <w:pPr>
              <w:rPr>
                <w:bCs/>
                <w:color w:val="000000"/>
              </w:rPr>
            </w:pPr>
          </w:p>
          <w:p w14:paraId="74FAD786" w14:textId="77777777" w:rsidR="00616556" w:rsidRPr="00616556" w:rsidRDefault="00616556" w:rsidP="00616556">
            <w:pPr>
              <w:rPr>
                <w:bCs/>
                <w:color w:val="000000"/>
              </w:rPr>
            </w:pPr>
          </w:p>
          <w:p w14:paraId="562B138F" w14:textId="77777777" w:rsidR="00616556" w:rsidRPr="00616556" w:rsidRDefault="00616556" w:rsidP="00616556">
            <w:pPr>
              <w:rPr>
                <w:bCs/>
                <w:color w:val="000000"/>
              </w:rPr>
            </w:pPr>
            <w:r w:rsidRPr="00616556">
              <w:rPr>
                <w:bCs/>
                <w:color w:val="000000"/>
              </w:rPr>
              <w:t>Kodas pagal TLK-10 AM</w:t>
            </w:r>
          </w:p>
        </w:tc>
        <w:tc>
          <w:tcPr>
            <w:tcW w:w="5167" w:type="dxa"/>
          </w:tcPr>
          <w:p w14:paraId="4D9A33BC" w14:textId="77777777" w:rsidR="00616556" w:rsidRPr="00616556" w:rsidRDefault="00616556" w:rsidP="00616556">
            <w:pPr>
              <w:spacing w:after="120"/>
              <w:jc w:val="both"/>
              <w:rPr>
                <w:szCs w:val="24"/>
              </w:rPr>
            </w:pPr>
            <w:r w:rsidRPr="00616556">
              <w:rPr>
                <w:szCs w:val="24"/>
              </w:rPr>
              <w:t>Krūties piktybinis navikas</w:t>
            </w:r>
          </w:p>
          <w:p w14:paraId="2FBF8485" w14:textId="77777777" w:rsidR="00616556" w:rsidRPr="00616556" w:rsidRDefault="00616556" w:rsidP="00616556">
            <w:pPr>
              <w:spacing w:after="120"/>
              <w:jc w:val="both"/>
              <w:rPr>
                <w:szCs w:val="24"/>
              </w:rPr>
            </w:pPr>
            <w:r w:rsidRPr="00616556">
              <w:rPr>
                <w:szCs w:val="24"/>
              </w:rPr>
              <w:t>C50</w:t>
            </w:r>
          </w:p>
          <w:p w14:paraId="614BB842" w14:textId="77777777" w:rsidR="00616556" w:rsidRPr="00616556" w:rsidRDefault="00616556" w:rsidP="00616556">
            <w:pPr>
              <w:spacing w:after="120"/>
              <w:jc w:val="both"/>
              <w:rPr>
                <w:szCs w:val="24"/>
              </w:rPr>
            </w:pPr>
          </w:p>
        </w:tc>
      </w:tr>
      <w:tr w:rsidR="00616556" w:rsidRPr="00616556" w14:paraId="6510EEE6" w14:textId="77777777" w:rsidTr="0023029E">
        <w:trPr>
          <w:trHeight w:val="378"/>
        </w:trPr>
        <w:tc>
          <w:tcPr>
            <w:tcW w:w="632" w:type="dxa"/>
          </w:tcPr>
          <w:p w14:paraId="67BF4DF7" w14:textId="77777777" w:rsidR="00616556" w:rsidRPr="00616556" w:rsidRDefault="00616556" w:rsidP="00616556">
            <w:pPr>
              <w:rPr>
                <w:lang w:eastAsia="en-GB"/>
              </w:rPr>
            </w:pPr>
            <w:r w:rsidRPr="00616556">
              <w:rPr>
                <w:lang w:eastAsia="en-GB"/>
              </w:rPr>
              <w:t>1.6</w:t>
            </w:r>
          </w:p>
        </w:tc>
        <w:tc>
          <w:tcPr>
            <w:tcW w:w="3694" w:type="dxa"/>
          </w:tcPr>
          <w:p w14:paraId="311EDDD7" w14:textId="77777777" w:rsidR="00616556" w:rsidRPr="00616556" w:rsidRDefault="00616556" w:rsidP="00616556">
            <w:pPr>
              <w:rPr>
                <w:bCs/>
                <w:color w:val="000000"/>
                <w:u w:val="single"/>
              </w:rPr>
            </w:pPr>
            <w:r w:rsidRPr="00616556">
              <w:rPr>
                <w:color w:val="000000"/>
              </w:rPr>
              <w:t>Pareiškėjo teikiamos skyrimo sąlygos</w:t>
            </w:r>
            <w:r w:rsidRPr="00616556">
              <w:rPr>
                <w:bCs/>
                <w:color w:val="000000"/>
              </w:rPr>
              <w:t xml:space="preserve"> </w:t>
            </w:r>
          </w:p>
        </w:tc>
        <w:tc>
          <w:tcPr>
            <w:tcW w:w="5167" w:type="dxa"/>
          </w:tcPr>
          <w:p w14:paraId="0831442C" w14:textId="77777777" w:rsidR="00616556" w:rsidRPr="00616556" w:rsidRDefault="00616556" w:rsidP="00616556">
            <w:pPr>
              <w:jc w:val="both"/>
              <w:rPr>
                <w:lang w:eastAsia="en-GB"/>
              </w:rPr>
            </w:pPr>
            <w:r w:rsidRPr="00616556">
              <w:rPr>
                <w:color w:val="000000"/>
                <w:szCs w:val="24"/>
                <w:lang w:eastAsia="en-GB"/>
              </w:rPr>
              <w:t>Phesgo yra skirtas vartoti derinyje su chemoterapija n</w:t>
            </w:r>
            <w:r w:rsidRPr="00616556">
              <w:rPr>
                <w:bCs/>
                <w:color w:val="000000"/>
                <w:szCs w:val="24"/>
                <w:lang w:eastAsia="en-GB"/>
              </w:rPr>
              <w:t xml:space="preserve">eoadjuvantiniam gydymui suaugusiems pacientams, sergantiems žmogaus epidermio augimo faktoriaus receptoriaus 2 (angl. </w:t>
            </w:r>
            <w:r w:rsidRPr="00616556">
              <w:rPr>
                <w:bCs/>
                <w:i/>
                <w:iCs/>
                <w:color w:val="000000"/>
                <w:szCs w:val="24"/>
                <w:lang w:eastAsia="en-GB"/>
              </w:rPr>
              <w:t xml:space="preserve">human epidermal grow factor receptor 2, </w:t>
            </w:r>
            <w:r w:rsidRPr="00616556">
              <w:rPr>
                <w:bCs/>
                <w:color w:val="000000"/>
                <w:szCs w:val="24"/>
                <w:lang w:eastAsia="en-GB"/>
              </w:rPr>
              <w:t xml:space="preserve">toliau </w:t>
            </w:r>
            <w:r w:rsidRPr="00616556">
              <w:rPr>
                <w:bCs/>
                <w:i/>
                <w:iCs/>
                <w:color w:val="000000"/>
                <w:szCs w:val="24"/>
                <w:lang w:eastAsia="en-GB"/>
              </w:rPr>
              <w:t xml:space="preserve">– </w:t>
            </w:r>
            <w:r w:rsidRPr="00616556">
              <w:rPr>
                <w:bCs/>
                <w:color w:val="000000"/>
                <w:szCs w:val="24"/>
                <w:lang w:eastAsia="en-GB"/>
              </w:rPr>
              <w:t>HER2) teigiamu vietiškai išplitusiu, uždegiminiu ar ankstyvosios stadijos krūties vėžiu, kai yra didelė vėžio recidyvo rizika.</w:t>
            </w:r>
          </w:p>
        </w:tc>
      </w:tr>
      <w:tr w:rsidR="00616556" w:rsidRPr="00616556" w14:paraId="7AD94435" w14:textId="77777777" w:rsidTr="0023029E">
        <w:trPr>
          <w:trHeight w:val="378"/>
        </w:trPr>
        <w:tc>
          <w:tcPr>
            <w:tcW w:w="632" w:type="dxa"/>
          </w:tcPr>
          <w:p w14:paraId="55A9E01E" w14:textId="77777777" w:rsidR="00616556" w:rsidRPr="00616556" w:rsidRDefault="00616556" w:rsidP="00616556">
            <w:pPr>
              <w:rPr>
                <w:lang w:eastAsia="en-GB"/>
              </w:rPr>
            </w:pPr>
            <w:r w:rsidRPr="00616556">
              <w:rPr>
                <w:lang w:eastAsia="en-GB"/>
              </w:rPr>
              <w:t>1.7</w:t>
            </w:r>
          </w:p>
        </w:tc>
        <w:tc>
          <w:tcPr>
            <w:tcW w:w="3694" w:type="dxa"/>
          </w:tcPr>
          <w:p w14:paraId="7107D4AF" w14:textId="77777777" w:rsidR="00616556" w:rsidRPr="00616556" w:rsidRDefault="00616556" w:rsidP="00616556">
            <w:pPr>
              <w:rPr>
                <w:bCs/>
                <w:color w:val="000000"/>
              </w:rPr>
            </w:pPr>
            <w:r w:rsidRPr="00616556">
              <w:rPr>
                <w:bCs/>
                <w:color w:val="000000"/>
              </w:rPr>
              <w:t xml:space="preserve">Pareiškėjo teikiamas palyginamasis gydymas </w:t>
            </w:r>
          </w:p>
          <w:p w14:paraId="54772C18" w14:textId="77777777" w:rsidR="00616556" w:rsidRPr="00616556" w:rsidRDefault="00616556" w:rsidP="00616556">
            <w:pPr>
              <w:rPr>
                <w:bCs/>
                <w:color w:val="000000"/>
              </w:rPr>
            </w:pPr>
            <w:r w:rsidRPr="00616556">
              <w:rPr>
                <w:bCs/>
                <w:color w:val="000000"/>
              </w:rPr>
              <w:t>Tiesioginis palyginimas su metotreksatu</w:t>
            </w:r>
          </w:p>
          <w:p w14:paraId="7AE36B8F" w14:textId="77777777" w:rsidR="00616556" w:rsidRPr="00616556" w:rsidRDefault="00616556" w:rsidP="00616556">
            <w:pPr>
              <w:rPr>
                <w:bCs/>
                <w:color w:val="000000"/>
              </w:rPr>
            </w:pPr>
          </w:p>
          <w:p w14:paraId="01A23ACC" w14:textId="77777777" w:rsidR="00616556" w:rsidRPr="00616556" w:rsidRDefault="00616556" w:rsidP="00616556">
            <w:pPr>
              <w:rPr>
                <w:bCs/>
                <w:color w:val="000000"/>
              </w:rPr>
            </w:pPr>
          </w:p>
          <w:p w14:paraId="47B662AD" w14:textId="77777777" w:rsidR="00616556" w:rsidRPr="00616556" w:rsidRDefault="00616556" w:rsidP="00616556">
            <w:pPr>
              <w:rPr>
                <w:bCs/>
                <w:color w:val="000000"/>
              </w:rPr>
            </w:pPr>
          </w:p>
        </w:tc>
        <w:tc>
          <w:tcPr>
            <w:tcW w:w="5167" w:type="dxa"/>
          </w:tcPr>
          <w:p w14:paraId="3AF45407" w14:textId="77777777" w:rsidR="00616556" w:rsidRPr="00616556" w:rsidRDefault="00616556" w:rsidP="00616556">
            <w:pPr>
              <w:rPr>
                <w:sz w:val="32"/>
                <w:lang w:eastAsia="en-GB"/>
              </w:rPr>
            </w:pPr>
          </w:p>
          <w:p w14:paraId="4A4852EE"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Tinkamas</w:t>
            </w:r>
          </w:p>
          <w:p w14:paraId="53A24BC0" w14:textId="77777777" w:rsidR="00616556" w:rsidRPr="00616556" w:rsidRDefault="00616556" w:rsidP="00616556">
            <w:pPr>
              <w:rPr>
                <w:lang w:eastAsia="en-GB"/>
              </w:rPr>
            </w:pPr>
            <w:r w:rsidRPr="00616556">
              <w:rPr>
                <w:rFonts w:ascii="MS Gothic" w:eastAsia="MS Gothic" w:hAnsi="MS Gothic" w:hint="eastAsia"/>
                <w:sz w:val="24"/>
                <w:lang w:eastAsia="en-GB"/>
              </w:rPr>
              <w:t>☐</w:t>
            </w:r>
            <w:r w:rsidRPr="00616556">
              <w:rPr>
                <w:lang w:eastAsia="en-GB"/>
              </w:rPr>
              <w:t xml:space="preserve"> Netinkamas</w:t>
            </w:r>
          </w:p>
          <w:p w14:paraId="1440F60B" w14:textId="77777777" w:rsidR="00616556" w:rsidRPr="00616556" w:rsidRDefault="00616556" w:rsidP="00616556">
            <w:pPr>
              <w:rPr>
                <w:lang w:eastAsia="en-GB"/>
              </w:rPr>
            </w:pPr>
          </w:p>
          <w:p w14:paraId="1B2BD00D" w14:textId="77777777" w:rsidR="00616556" w:rsidRPr="00616556" w:rsidRDefault="00616556" w:rsidP="00616556">
            <w:pPr>
              <w:rPr>
                <w:lang w:eastAsia="en-GB"/>
              </w:rPr>
            </w:pPr>
          </w:p>
        </w:tc>
      </w:tr>
    </w:tbl>
    <w:p w14:paraId="7C1A9C03" w14:textId="77777777" w:rsidR="00616556" w:rsidRPr="00616556" w:rsidRDefault="00616556" w:rsidP="00616556">
      <w:pPr>
        <w:tabs>
          <w:tab w:val="left" w:pos="426"/>
        </w:tabs>
        <w:spacing w:after="0" w:line="240" w:lineRule="auto"/>
        <w:contextualSpacing/>
        <w:rPr>
          <w:rFonts w:ascii="Times New Roman" w:eastAsia="Times New Roman" w:hAnsi="Times New Roman" w:cs="Times New Roman"/>
          <w:b/>
          <w:bCs/>
          <w:caps/>
          <w:sz w:val="24"/>
          <w:szCs w:val="24"/>
        </w:rPr>
      </w:pPr>
    </w:p>
    <w:p w14:paraId="23E01B8C" w14:textId="77777777" w:rsidR="00616556" w:rsidRPr="00616556" w:rsidRDefault="00616556" w:rsidP="00616556">
      <w:pPr>
        <w:spacing w:after="0" w:line="276" w:lineRule="auto"/>
        <w:jc w:val="both"/>
        <w:rPr>
          <w:rFonts w:ascii="Times New Roman" w:eastAsia="Times New Roman" w:hAnsi="Times New Roman" w:cs="Times New Roman"/>
          <w:b/>
          <w:sz w:val="24"/>
          <w:szCs w:val="24"/>
          <w:lang w:eastAsia="en-GB"/>
        </w:rPr>
      </w:pPr>
      <w:r w:rsidRPr="00616556">
        <w:rPr>
          <w:rFonts w:ascii="Times New Roman" w:eastAsia="Times New Roman" w:hAnsi="Times New Roman" w:cs="Times New Roman"/>
          <w:b/>
          <w:sz w:val="24"/>
          <w:szCs w:val="24"/>
          <w:lang w:eastAsia="en-GB"/>
        </w:rPr>
        <w:t>1.8 Kitų valstybių atsakingų institucijų atlikto Sveikatos technologijų vertinimo (toliau – STV) išvados</w:t>
      </w:r>
    </w:p>
    <w:p w14:paraId="678D9875" w14:textId="77777777" w:rsidR="00616556" w:rsidRPr="00616556" w:rsidRDefault="00616556" w:rsidP="00616556">
      <w:pPr>
        <w:spacing w:after="0" w:line="276" w:lineRule="auto"/>
        <w:rPr>
          <w:rFonts w:ascii="Times New Roman" w:eastAsia="Times New Roman" w:hAnsi="Times New Roman" w:cs="Times New Roman"/>
          <w:sz w:val="24"/>
          <w:szCs w:val="24"/>
          <w:lang w:eastAsia="en-GB"/>
        </w:rPr>
      </w:pPr>
    </w:p>
    <w:tbl>
      <w:tblPr>
        <w:tblStyle w:val="Lentelstinklelis"/>
        <w:tblW w:w="9918" w:type="dxa"/>
        <w:tblLook w:val="04A0" w:firstRow="1" w:lastRow="0" w:firstColumn="1" w:lastColumn="0" w:noHBand="0" w:noVBand="1"/>
      </w:tblPr>
      <w:tblGrid>
        <w:gridCol w:w="2927"/>
        <w:gridCol w:w="1915"/>
        <w:gridCol w:w="2351"/>
        <w:gridCol w:w="2725"/>
      </w:tblGrid>
      <w:tr w:rsidR="00616556" w:rsidRPr="00616556" w14:paraId="0A72C1C2" w14:textId="77777777" w:rsidTr="0023029E">
        <w:trPr>
          <w:trHeight w:val="924"/>
        </w:trPr>
        <w:tc>
          <w:tcPr>
            <w:tcW w:w="2927" w:type="dxa"/>
          </w:tcPr>
          <w:p w14:paraId="3E1EAF19" w14:textId="77777777" w:rsidR="00616556" w:rsidRPr="00616556" w:rsidRDefault="00616556" w:rsidP="00616556">
            <w:pPr>
              <w:spacing w:line="276" w:lineRule="auto"/>
              <w:rPr>
                <w:lang w:eastAsia="en-GB"/>
              </w:rPr>
            </w:pPr>
            <w:r w:rsidRPr="00616556">
              <w:rPr>
                <w:lang w:eastAsia="en-GB"/>
              </w:rPr>
              <w:t>STV agentūros pavadinimas, šalis</w:t>
            </w:r>
          </w:p>
        </w:tc>
        <w:tc>
          <w:tcPr>
            <w:tcW w:w="1915" w:type="dxa"/>
          </w:tcPr>
          <w:p w14:paraId="3A302FD1" w14:textId="77777777" w:rsidR="00616556" w:rsidRPr="00616556" w:rsidRDefault="00616556" w:rsidP="00616556">
            <w:pPr>
              <w:spacing w:line="276" w:lineRule="auto"/>
              <w:rPr>
                <w:lang w:eastAsia="en-GB"/>
              </w:rPr>
            </w:pPr>
            <w:r w:rsidRPr="00616556">
              <w:rPr>
                <w:lang w:eastAsia="en-GB"/>
              </w:rPr>
              <w:t>STV vertinimas atliktas</w:t>
            </w:r>
          </w:p>
        </w:tc>
        <w:tc>
          <w:tcPr>
            <w:tcW w:w="2351" w:type="dxa"/>
          </w:tcPr>
          <w:p w14:paraId="65A747AE" w14:textId="77777777" w:rsidR="00616556" w:rsidRPr="00616556" w:rsidRDefault="00616556" w:rsidP="00616556">
            <w:pPr>
              <w:spacing w:line="276" w:lineRule="auto"/>
              <w:rPr>
                <w:lang w:eastAsia="en-GB"/>
              </w:rPr>
            </w:pPr>
            <w:r w:rsidRPr="00616556">
              <w:rPr>
                <w:lang w:eastAsia="en-GB"/>
              </w:rPr>
              <w:t>Klinikinio vertinimo išvada</w:t>
            </w:r>
          </w:p>
        </w:tc>
        <w:tc>
          <w:tcPr>
            <w:tcW w:w="2725" w:type="dxa"/>
          </w:tcPr>
          <w:p w14:paraId="5D75C77C" w14:textId="77777777" w:rsidR="00616556" w:rsidRPr="00616556" w:rsidRDefault="00616556" w:rsidP="00616556">
            <w:pPr>
              <w:spacing w:line="276" w:lineRule="auto"/>
              <w:rPr>
                <w:lang w:eastAsia="en-GB"/>
              </w:rPr>
            </w:pPr>
            <w:r w:rsidRPr="00616556">
              <w:rPr>
                <w:lang w:eastAsia="en-GB"/>
              </w:rPr>
              <w:t>Farmakoekonominio vertinimo išvada</w:t>
            </w:r>
          </w:p>
        </w:tc>
      </w:tr>
      <w:tr w:rsidR="00616556" w:rsidRPr="00616556" w14:paraId="3FE8F590" w14:textId="77777777" w:rsidTr="0023029E">
        <w:trPr>
          <w:trHeight w:val="1765"/>
        </w:trPr>
        <w:tc>
          <w:tcPr>
            <w:tcW w:w="2927" w:type="dxa"/>
          </w:tcPr>
          <w:p w14:paraId="6F7FDD8E" w14:textId="77777777" w:rsidR="00616556" w:rsidRPr="00616556" w:rsidRDefault="00616556" w:rsidP="00616556">
            <w:pPr>
              <w:autoSpaceDE w:val="0"/>
              <w:autoSpaceDN w:val="0"/>
              <w:adjustRightInd w:val="0"/>
              <w:rPr>
                <w:bCs/>
                <w:szCs w:val="24"/>
                <w:lang w:eastAsia="en-GB"/>
              </w:rPr>
            </w:pPr>
            <w:r w:rsidRPr="00616556">
              <w:rPr>
                <w:bCs/>
                <w:szCs w:val="24"/>
                <w:lang w:eastAsia="en-GB"/>
              </w:rPr>
              <w:t>Nacionalinis sveikatos ir klinikinės kompetencijos institutas, Didžioji Britanija</w:t>
            </w:r>
          </w:p>
          <w:p w14:paraId="176385A0" w14:textId="77777777" w:rsidR="00616556" w:rsidRPr="00616556" w:rsidRDefault="00616556" w:rsidP="00616556">
            <w:pPr>
              <w:spacing w:line="276" w:lineRule="auto"/>
              <w:rPr>
                <w:szCs w:val="24"/>
                <w:lang w:eastAsia="en-GB"/>
              </w:rPr>
            </w:pPr>
            <w:r w:rsidRPr="00616556">
              <w:rPr>
                <w:szCs w:val="24"/>
                <w:lang w:eastAsia="en-GB"/>
              </w:rPr>
              <w:t xml:space="preserve">(angl. </w:t>
            </w:r>
            <w:r w:rsidRPr="00616556">
              <w:rPr>
                <w:i/>
                <w:szCs w:val="24"/>
                <w:lang w:eastAsia="en-GB"/>
              </w:rPr>
              <w:t>National Institute for Health and Care Excellence, NICE</w:t>
            </w:r>
            <w:r w:rsidRPr="00616556">
              <w:rPr>
                <w:szCs w:val="24"/>
                <w:lang w:eastAsia="en-GB"/>
              </w:rPr>
              <w:t>)</w:t>
            </w:r>
          </w:p>
        </w:tc>
        <w:tc>
          <w:tcPr>
            <w:tcW w:w="1915" w:type="dxa"/>
          </w:tcPr>
          <w:p w14:paraId="600A1A79"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Taip</w:t>
            </w:r>
          </w:p>
          <w:p w14:paraId="7EA67B81"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Ne</w:t>
            </w:r>
          </w:p>
          <w:p w14:paraId="53DD051D" w14:textId="77777777" w:rsidR="00616556" w:rsidRPr="00616556" w:rsidRDefault="00616556" w:rsidP="00616556">
            <w:pPr>
              <w:rPr>
                <w:lang w:eastAsia="en-GB"/>
              </w:rPr>
            </w:pPr>
            <w:r w:rsidRPr="00616556">
              <w:rPr>
                <w:lang w:eastAsia="en-GB"/>
              </w:rPr>
              <w:t>2016 m. gruodžio 21 d.</w:t>
            </w:r>
          </w:p>
        </w:tc>
        <w:tc>
          <w:tcPr>
            <w:tcW w:w="5076" w:type="dxa"/>
            <w:gridSpan w:val="2"/>
          </w:tcPr>
          <w:p w14:paraId="611A101C" w14:textId="77777777" w:rsidR="00616556" w:rsidRPr="00616556" w:rsidRDefault="00616556" w:rsidP="00616556">
            <w:pPr>
              <w:spacing w:line="276" w:lineRule="auto"/>
              <w:rPr>
                <w:szCs w:val="24"/>
                <w:lang w:eastAsia="en-GB"/>
              </w:rPr>
            </w:pPr>
            <w:r w:rsidRPr="00616556">
              <w:rPr>
                <w:szCs w:val="24"/>
                <w:lang w:eastAsia="en-GB"/>
              </w:rPr>
              <w:t>Pertuzumabas, derinyje su trastuzumabu ir chemoterapija, pagal jo rinkodaros teisę rekomenduojamas kaip neoadjuvantinis suaugusiųjų, sergančių žmogaus epidermio augimo faktoriaus receptorių 2 (HER2) krūties vėžiu, gydymui; t.y. pacientams, sergantiems HER2 teigiamu, lokaliai išplitusiu, uždegiminiu ar ankstyvos stadijos krūties vėžiu, kuriems yra didelė pasikartojimo rizika. Tai rekomenduojama tik tuo atveju, jei įmonė pertuzumabui suteikia nuolaida, sutarta paciento patekimo schemoje.</w:t>
            </w:r>
          </w:p>
        </w:tc>
      </w:tr>
      <w:tr w:rsidR="00616556" w:rsidRPr="00616556" w14:paraId="0A9BE842" w14:textId="77777777" w:rsidTr="0023029E">
        <w:trPr>
          <w:trHeight w:val="1547"/>
        </w:trPr>
        <w:tc>
          <w:tcPr>
            <w:tcW w:w="2927" w:type="dxa"/>
          </w:tcPr>
          <w:p w14:paraId="672164A9" w14:textId="77777777" w:rsidR="00616556" w:rsidRPr="00616556" w:rsidRDefault="00616556" w:rsidP="00616556">
            <w:pPr>
              <w:spacing w:line="276" w:lineRule="auto"/>
              <w:rPr>
                <w:szCs w:val="24"/>
                <w:lang w:eastAsia="en-GB"/>
              </w:rPr>
            </w:pPr>
            <w:r w:rsidRPr="00616556">
              <w:rPr>
                <w:szCs w:val="24"/>
                <w:lang w:eastAsia="en-GB"/>
              </w:rPr>
              <w:t>Nacionalinis farmakoekonomikos centras, Airija</w:t>
            </w:r>
          </w:p>
          <w:p w14:paraId="071F8EF3" w14:textId="77777777" w:rsidR="00616556" w:rsidRPr="00616556" w:rsidRDefault="00616556" w:rsidP="00616556">
            <w:pPr>
              <w:spacing w:line="276" w:lineRule="auto"/>
              <w:rPr>
                <w:szCs w:val="24"/>
                <w:lang w:eastAsia="en-GB"/>
              </w:rPr>
            </w:pPr>
            <w:r w:rsidRPr="00616556">
              <w:rPr>
                <w:szCs w:val="24"/>
                <w:lang w:eastAsia="en-GB"/>
              </w:rPr>
              <w:t>(angl.</w:t>
            </w:r>
            <w:r w:rsidRPr="00616556">
              <w:rPr>
                <w:i/>
                <w:szCs w:val="24"/>
                <w:lang w:eastAsia="en-GB"/>
              </w:rPr>
              <w:t xml:space="preserve"> National Centre for Pharmacoeconomics, NCPE</w:t>
            </w:r>
            <w:r w:rsidRPr="00616556">
              <w:rPr>
                <w:szCs w:val="24"/>
                <w:lang w:eastAsia="en-GB"/>
              </w:rPr>
              <w:t>)</w:t>
            </w:r>
          </w:p>
        </w:tc>
        <w:tc>
          <w:tcPr>
            <w:tcW w:w="1915" w:type="dxa"/>
          </w:tcPr>
          <w:p w14:paraId="60BBB4CD"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Taip</w:t>
            </w:r>
          </w:p>
          <w:p w14:paraId="1C1402FA"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Ne</w:t>
            </w:r>
          </w:p>
          <w:p w14:paraId="46C2F6E1" w14:textId="77777777" w:rsidR="00616556" w:rsidRPr="00616556" w:rsidRDefault="00616556" w:rsidP="00616556">
            <w:pPr>
              <w:spacing w:line="276" w:lineRule="auto"/>
              <w:rPr>
                <w:szCs w:val="24"/>
                <w:lang w:eastAsia="en-GB"/>
              </w:rPr>
            </w:pPr>
            <w:r w:rsidRPr="00616556">
              <w:rPr>
                <w:szCs w:val="24"/>
                <w:lang w:eastAsia="en-GB"/>
              </w:rPr>
              <w:t>2022 m. gruodžio 20 d.</w:t>
            </w:r>
          </w:p>
        </w:tc>
        <w:tc>
          <w:tcPr>
            <w:tcW w:w="5076" w:type="dxa"/>
            <w:gridSpan w:val="2"/>
          </w:tcPr>
          <w:p w14:paraId="4085E935" w14:textId="77777777" w:rsidR="00616556" w:rsidRPr="00616556" w:rsidRDefault="00616556" w:rsidP="00616556">
            <w:pPr>
              <w:spacing w:line="276" w:lineRule="auto"/>
              <w:rPr>
                <w:szCs w:val="24"/>
                <w:lang w:eastAsia="en-GB"/>
              </w:rPr>
            </w:pPr>
            <w:r w:rsidRPr="00616556">
              <w:rPr>
                <w:szCs w:val="24"/>
                <w:lang w:eastAsia="en-GB"/>
              </w:rPr>
              <w:t>HSE patvirtino kompensavimą po konfidencialių derybų dėl kainų (2022 m. gruodžio mėn.) už toliau nurodytas indikacijas:</w:t>
            </w:r>
          </w:p>
          <w:p w14:paraId="6C507D6E" w14:textId="77777777" w:rsidR="00616556" w:rsidRPr="00616556" w:rsidRDefault="00616556" w:rsidP="00616556">
            <w:pPr>
              <w:spacing w:line="276" w:lineRule="auto"/>
              <w:rPr>
                <w:szCs w:val="24"/>
                <w:lang w:eastAsia="en-GB"/>
              </w:rPr>
            </w:pPr>
            <w:r w:rsidRPr="00616556">
              <w:rPr>
                <w:szCs w:val="24"/>
                <w:lang w:eastAsia="en-GB"/>
              </w:rPr>
              <w:t>• neoadjuvantiniam gydymui kartu su chemoterapija suaugusių pacientų, sergančių HER2 teigiamu, lokaliai išplitusiu uždegiminiu ar ankstyvos stadijos krūties vėžiu, kuriems yra didelė pasikartojimo rizika.</w:t>
            </w:r>
          </w:p>
          <w:p w14:paraId="66E8C35E" w14:textId="77777777" w:rsidR="00616556" w:rsidRPr="00616556" w:rsidRDefault="00616556" w:rsidP="00616556">
            <w:pPr>
              <w:spacing w:line="276" w:lineRule="auto"/>
              <w:rPr>
                <w:szCs w:val="24"/>
                <w:lang w:eastAsia="en-GB"/>
              </w:rPr>
            </w:pPr>
            <w:r w:rsidRPr="00616556">
              <w:rPr>
                <w:szCs w:val="24"/>
                <w:lang w:eastAsia="en-GB"/>
              </w:rPr>
              <w:t>• ir kartu su docetakseliu suaugusiems pacientams, sergantiems HER2 teigiamu metastazavusiu arba lokaliai pasikartojančiu neoperuojamu krūties vėžiu, kuriems anksčiau nebuvo taikyta anti-HER2 terapija arba chemoterapija dėl metastazavusios ligos.</w:t>
            </w:r>
          </w:p>
        </w:tc>
      </w:tr>
      <w:tr w:rsidR="00616556" w:rsidRPr="00616556" w14:paraId="1BFBEFC7" w14:textId="77777777" w:rsidTr="0023029E">
        <w:trPr>
          <w:trHeight w:val="1927"/>
        </w:trPr>
        <w:tc>
          <w:tcPr>
            <w:tcW w:w="2927" w:type="dxa"/>
          </w:tcPr>
          <w:p w14:paraId="1A29F02A" w14:textId="77777777" w:rsidR="00616556" w:rsidRPr="00616556" w:rsidRDefault="00616556" w:rsidP="00616556">
            <w:pPr>
              <w:spacing w:line="276" w:lineRule="auto"/>
              <w:rPr>
                <w:szCs w:val="24"/>
                <w:lang w:eastAsia="en-GB"/>
              </w:rPr>
            </w:pPr>
            <w:r w:rsidRPr="00616556">
              <w:rPr>
                <w:szCs w:val="24"/>
                <w:lang w:eastAsia="en-GB"/>
              </w:rPr>
              <w:lastRenderedPageBreak/>
              <w:t>Kanados sveikatos technologijų agentūra</w:t>
            </w:r>
          </w:p>
          <w:p w14:paraId="55EF39F9" w14:textId="77777777" w:rsidR="00616556" w:rsidRPr="00616556" w:rsidRDefault="00616556" w:rsidP="00616556">
            <w:pPr>
              <w:spacing w:line="276" w:lineRule="auto"/>
              <w:rPr>
                <w:szCs w:val="24"/>
                <w:lang w:eastAsia="en-GB"/>
              </w:rPr>
            </w:pPr>
            <w:r w:rsidRPr="00616556">
              <w:rPr>
                <w:szCs w:val="24"/>
                <w:lang w:eastAsia="en-GB"/>
              </w:rPr>
              <w:t xml:space="preserve">(angl. </w:t>
            </w:r>
            <w:r w:rsidRPr="00616556">
              <w:rPr>
                <w:i/>
                <w:szCs w:val="24"/>
                <w:lang w:eastAsia="en-GB"/>
              </w:rPr>
              <w:t>Canadian health Technology Assessment agency, CADTH</w:t>
            </w:r>
            <w:r w:rsidRPr="00616556">
              <w:rPr>
                <w:szCs w:val="24"/>
                <w:lang w:eastAsia="en-GB"/>
              </w:rPr>
              <w:t>)</w:t>
            </w:r>
          </w:p>
        </w:tc>
        <w:tc>
          <w:tcPr>
            <w:tcW w:w="1915" w:type="dxa"/>
          </w:tcPr>
          <w:p w14:paraId="558FE092" w14:textId="77777777" w:rsidR="00E9768C" w:rsidRPr="00616556" w:rsidRDefault="00E9768C" w:rsidP="00E9768C">
            <w:pPr>
              <w:rPr>
                <w:lang w:eastAsia="en-GB"/>
              </w:rPr>
            </w:pPr>
            <w:r w:rsidRPr="00616556">
              <w:rPr>
                <w:rFonts w:ascii="MS Gothic" w:eastAsia="MS Gothic" w:hAnsi="MS Gothic" w:hint="eastAsia"/>
                <w:sz w:val="32"/>
                <w:szCs w:val="24"/>
                <w:lang w:eastAsia="en-GB"/>
              </w:rPr>
              <w:t>☒</w:t>
            </w:r>
            <w:r w:rsidRPr="00616556">
              <w:rPr>
                <w:lang w:eastAsia="en-GB"/>
              </w:rPr>
              <w:t xml:space="preserve"> Taip</w:t>
            </w:r>
          </w:p>
          <w:p w14:paraId="0BA71616" w14:textId="77777777" w:rsidR="00E9768C" w:rsidRPr="00616556" w:rsidRDefault="00E9768C" w:rsidP="00E9768C">
            <w:pPr>
              <w:rPr>
                <w:lang w:eastAsia="en-GB"/>
              </w:rPr>
            </w:pPr>
            <w:r w:rsidRPr="00616556">
              <w:rPr>
                <w:rFonts w:ascii="MS Gothic" w:eastAsia="MS Gothic" w:hAnsi="MS Gothic" w:hint="eastAsia"/>
                <w:sz w:val="32"/>
                <w:szCs w:val="24"/>
                <w:lang w:eastAsia="en-GB"/>
              </w:rPr>
              <w:t>☐</w:t>
            </w:r>
            <w:r w:rsidRPr="00616556">
              <w:rPr>
                <w:lang w:eastAsia="en-GB"/>
              </w:rPr>
              <w:t xml:space="preserve"> Ne</w:t>
            </w:r>
          </w:p>
          <w:p w14:paraId="240703B0" w14:textId="77777777" w:rsidR="00616556" w:rsidRPr="00616556" w:rsidRDefault="00616556" w:rsidP="00616556">
            <w:pPr>
              <w:spacing w:after="120"/>
              <w:jc w:val="both"/>
              <w:rPr>
                <w:sz w:val="32"/>
                <w:szCs w:val="24"/>
              </w:rPr>
            </w:pPr>
            <w:r w:rsidRPr="00616556">
              <w:rPr>
                <w:szCs w:val="24"/>
              </w:rPr>
              <w:t>2022 m. vasario 10 d.</w:t>
            </w:r>
          </w:p>
        </w:tc>
        <w:tc>
          <w:tcPr>
            <w:tcW w:w="2351" w:type="dxa"/>
          </w:tcPr>
          <w:p w14:paraId="3C254B88" w14:textId="77777777" w:rsidR="00616556" w:rsidRPr="00616556" w:rsidRDefault="00616556" w:rsidP="00616556">
            <w:pPr>
              <w:spacing w:line="276" w:lineRule="auto"/>
              <w:rPr>
                <w:szCs w:val="24"/>
                <w:lang w:eastAsia="en-GB"/>
              </w:rPr>
            </w:pPr>
            <w:r w:rsidRPr="00616556">
              <w:rPr>
                <w:szCs w:val="24"/>
                <w:lang w:eastAsia="en-GB"/>
              </w:rPr>
              <w:t>CADTH rekomenduoja, kad Perjeta nebūtų kompensuojama pagal viešuosius vaistų planus kartu su trastuzumabu ir chemoterapija neoadjuvantiniam žmogaus epidermio augimo faktoriaus receptorių 2 (HER2) teigiamo, lokaliai išplitusio, uždegiminio ar ankstyvos stadijos krūties vėžio gydymui.</w:t>
            </w:r>
          </w:p>
        </w:tc>
        <w:tc>
          <w:tcPr>
            <w:tcW w:w="2725" w:type="dxa"/>
          </w:tcPr>
          <w:p w14:paraId="7DCF7D04" w14:textId="77777777" w:rsidR="00616556" w:rsidRPr="00616556" w:rsidRDefault="00616556" w:rsidP="00616556">
            <w:pPr>
              <w:spacing w:line="276" w:lineRule="auto"/>
              <w:rPr>
                <w:szCs w:val="24"/>
                <w:lang w:eastAsia="en-GB"/>
              </w:rPr>
            </w:pPr>
          </w:p>
        </w:tc>
      </w:tr>
      <w:tr w:rsidR="00616556" w:rsidRPr="00616556" w14:paraId="3DCBA7F4" w14:textId="77777777" w:rsidTr="0023029E">
        <w:trPr>
          <w:trHeight w:val="690"/>
        </w:trPr>
        <w:tc>
          <w:tcPr>
            <w:tcW w:w="2927" w:type="dxa"/>
          </w:tcPr>
          <w:p w14:paraId="2B2A595F" w14:textId="77777777" w:rsidR="00616556" w:rsidRPr="00616556" w:rsidRDefault="00616556" w:rsidP="00616556">
            <w:pPr>
              <w:autoSpaceDE w:val="0"/>
              <w:autoSpaceDN w:val="0"/>
              <w:adjustRightInd w:val="0"/>
              <w:rPr>
                <w:bCs/>
                <w:szCs w:val="24"/>
                <w:lang w:eastAsia="en-GB"/>
              </w:rPr>
            </w:pPr>
            <w:r w:rsidRPr="00616556">
              <w:rPr>
                <w:bCs/>
                <w:szCs w:val="24"/>
                <w:lang w:eastAsia="en-GB"/>
              </w:rPr>
              <w:t>Nacionalinis sveikatos ir klinikinės kompetencijos institutas, Didžioji Britanija</w:t>
            </w:r>
          </w:p>
          <w:p w14:paraId="12B34E35" w14:textId="77777777" w:rsidR="00616556" w:rsidRPr="00616556" w:rsidRDefault="00616556" w:rsidP="00616556">
            <w:pPr>
              <w:spacing w:line="276" w:lineRule="auto"/>
              <w:rPr>
                <w:szCs w:val="24"/>
                <w:lang w:eastAsia="en-GB"/>
              </w:rPr>
            </w:pPr>
            <w:r w:rsidRPr="00616556">
              <w:rPr>
                <w:szCs w:val="24"/>
                <w:lang w:eastAsia="en-GB"/>
              </w:rPr>
              <w:t xml:space="preserve">(angl. </w:t>
            </w:r>
            <w:r w:rsidRPr="00616556">
              <w:rPr>
                <w:i/>
                <w:szCs w:val="24"/>
                <w:lang w:eastAsia="en-GB"/>
              </w:rPr>
              <w:t>National Institute for Health and Care Excellence, NICE</w:t>
            </w:r>
            <w:r w:rsidRPr="00616556">
              <w:rPr>
                <w:szCs w:val="24"/>
                <w:lang w:eastAsia="en-GB"/>
              </w:rPr>
              <w:t>)</w:t>
            </w:r>
          </w:p>
        </w:tc>
        <w:tc>
          <w:tcPr>
            <w:tcW w:w="1915" w:type="dxa"/>
          </w:tcPr>
          <w:p w14:paraId="03CBFFAE"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Taip</w:t>
            </w:r>
          </w:p>
          <w:p w14:paraId="441C6112"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Ne</w:t>
            </w:r>
          </w:p>
          <w:p w14:paraId="0FC4C57C" w14:textId="77777777" w:rsidR="00616556" w:rsidRPr="00616556" w:rsidRDefault="00616556" w:rsidP="00616556">
            <w:pPr>
              <w:rPr>
                <w:lang w:eastAsia="en-GB"/>
              </w:rPr>
            </w:pPr>
            <w:r w:rsidRPr="00616556">
              <w:rPr>
                <w:lang w:eastAsia="en-GB"/>
              </w:rPr>
              <w:t>2016 m. gruodžio 21 d.</w:t>
            </w:r>
          </w:p>
        </w:tc>
        <w:tc>
          <w:tcPr>
            <w:tcW w:w="2351" w:type="dxa"/>
          </w:tcPr>
          <w:p w14:paraId="0AD8E6A3" w14:textId="77777777" w:rsidR="00616556" w:rsidRPr="00616556" w:rsidRDefault="00616556" w:rsidP="00616556">
            <w:pPr>
              <w:spacing w:line="276" w:lineRule="auto"/>
              <w:rPr>
                <w:szCs w:val="24"/>
                <w:lang w:eastAsia="en-GB"/>
              </w:rPr>
            </w:pPr>
            <w:r w:rsidRPr="00616556">
              <w:rPr>
                <w:szCs w:val="24"/>
                <w:lang w:eastAsia="en-GB"/>
              </w:rPr>
              <w:t>Pertuzumabas, derinyje su trastuzumabu ir chemoterapija, pagal jo rinkodaros teisę rekomenduojamas kaip neoadjuvantinis suaugusiųjų, sergančių žmogaus epidermio augimo faktoriaus receptorių 2 (HER2) krūties vėžiu, gydymui; t.y. pacientams, sergantiems HER2 teigiamu, lokaliai išplitusiu, uždegiminiu ar ankstyvos stadijos krūties vėžiu, kuriems yra didelė pasikartojimo rizika. Tai rekomenduojama tik tuo atveju, jei įmonė pertuzumabui suteikia nuolaida, sutarta paciento patekimo schemoje.</w:t>
            </w:r>
          </w:p>
        </w:tc>
        <w:tc>
          <w:tcPr>
            <w:tcW w:w="2725" w:type="dxa"/>
          </w:tcPr>
          <w:p w14:paraId="3E14C4B8" w14:textId="77777777" w:rsidR="00616556" w:rsidRPr="00616556" w:rsidRDefault="00616556" w:rsidP="00616556">
            <w:pPr>
              <w:spacing w:line="276" w:lineRule="auto"/>
              <w:rPr>
                <w:szCs w:val="24"/>
                <w:lang w:eastAsia="en-GB"/>
              </w:rPr>
            </w:pPr>
          </w:p>
        </w:tc>
      </w:tr>
      <w:tr w:rsidR="00616556" w:rsidRPr="00616556" w14:paraId="3A012C3E" w14:textId="77777777" w:rsidTr="0023029E">
        <w:trPr>
          <w:trHeight w:val="690"/>
        </w:trPr>
        <w:tc>
          <w:tcPr>
            <w:tcW w:w="2927" w:type="dxa"/>
          </w:tcPr>
          <w:p w14:paraId="48F6FEB4" w14:textId="77777777" w:rsidR="00616556" w:rsidRPr="00616556" w:rsidRDefault="00616556" w:rsidP="00616556">
            <w:pPr>
              <w:spacing w:line="276" w:lineRule="auto"/>
              <w:rPr>
                <w:szCs w:val="24"/>
                <w:lang w:eastAsia="en-GB"/>
              </w:rPr>
            </w:pPr>
            <w:r w:rsidRPr="00616556">
              <w:rPr>
                <w:szCs w:val="24"/>
                <w:lang w:eastAsia="en-GB"/>
              </w:rPr>
              <w:t>Nacionalinis farmakoekonomikos centras, Airija</w:t>
            </w:r>
          </w:p>
          <w:p w14:paraId="469608AC" w14:textId="77777777" w:rsidR="00616556" w:rsidRPr="00616556" w:rsidRDefault="00616556" w:rsidP="00616556">
            <w:pPr>
              <w:spacing w:line="276" w:lineRule="auto"/>
              <w:rPr>
                <w:szCs w:val="24"/>
                <w:lang w:eastAsia="en-GB"/>
              </w:rPr>
            </w:pPr>
            <w:r w:rsidRPr="00616556">
              <w:rPr>
                <w:szCs w:val="24"/>
                <w:lang w:eastAsia="en-GB"/>
              </w:rPr>
              <w:t>(angl.</w:t>
            </w:r>
            <w:r w:rsidRPr="00616556">
              <w:rPr>
                <w:i/>
                <w:szCs w:val="24"/>
                <w:lang w:eastAsia="en-GB"/>
              </w:rPr>
              <w:t xml:space="preserve"> National Centre for Pharmacoeconomics, NCPE</w:t>
            </w:r>
            <w:r w:rsidRPr="00616556">
              <w:rPr>
                <w:szCs w:val="24"/>
                <w:lang w:eastAsia="en-GB"/>
              </w:rPr>
              <w:t>)</w:t>
            </w:r>
          </w:p>
        </w:tc>
        <w:tc>
          <w:tcPr>
            <w:tcW w:w="1915" w:type="dxa"/>
          </w:tcPr>
          <w:p w14:paraId="04D77AB1"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Taip</w:t>
            </w:r>
          </w:p>
          <w:p w14:paraId="598A815C" w14:textId="77777777" w:rsidR="00616556" w:rsidRPr="00616556" w:rsidRDefault="00616556" w:rsidP="00616556">
            <w:pPr>
              <w:rPr>
                <w:lang w:eastAsia="en-GB"/>
              </w:rPr>
            </w:pPr>
            <w:r w:rsidRPr="00616556">
              <w:rPr>
                <w:rFonts w:ascii="MS Gothic" w:eastAsia="MS Gothic" w:hAnsi="MS Gothic" w:hint="eastAsia"/>
                <w:sz w:val="32"/>
                <w:szCs w:val="24"/>
                <w:lang w:eastAsia="en-GB"/>
              </w:rPr>
              <w:t>☐</w:t>
            </w:r>
            <w:r w:rsidRPr="00616556">
              <w:rPr>
                <w:lang w:eastAsia="en-GB"/>
              </w:rPr>
              <w:t xml:space="preserve"> Ne</w:t>
            </w:r>
          </w:p>
          <w:p w14:paraId="319194F1" w14:textId="77777777" w:rsidR="00616556" w:rsidRPr="00616556" w:rsidRDefault="00616556" w:rsidP="00616556">
            <w:pPr>
              <w:spacing w:line="276" w:lineRule="auto"/>
              <w:rPr>
                <w:szCs w:val="24"/>
                <w:lang w:eastAsia="en-GB"/>
              </w:rPr>
            </w:pPr>
            <w:r w:rsidRPr="00616556">
              <w:rPr>
                <w:szCs w:val="24"/>
                <w:lang w:eastAsia="en-GB"/>
              </w:rPr>
              <w:t>2022 m. gruodžio 20 d.</w:t>
            </w:r>
          </w:p>
        </w:tc>
        <w:tc>
          <w:tcPr>
            <w:tcW w:w="5076" w:type="dxa"/>
            <w:gridSpan w:val="2"/>
          </w:tcPr>
          <w:p w14:paraId="390BB852" w14:textId="77777777" w:rsidR="00616556" w:rsidRPr="00616556" w:rsidRDefault="00616556" w:rsidP="00616556">
            <w:pPr>
              <w:spacing w:line="276" w:lineRule="auto"/>
              <w:rPr>
                <w:szCs w:val="24"/>
                <w:lang w:eastAsia="en-GB"/>
              </w:rPr>
            </w:pPr>
            <w:r w:rsidRPr="00616556">
              <w:rPr>
                <w:szCs w:val="24"/>
                <w:lang w:eastAsia="en-GB"/>
              </w:rPr>
              <w:t>HSE patvirtino kompensavimą po konfidencialių derybų dėl kainų (2022 m. gruodžio mėn.) už toliau nurodytas indikacijas:</w:t>
            </w:r>
          </w:p>
          <w:p w14:paraId="11AAE24E" w14:textId="77777777" w:rsidR="00616556" w:rsidRPr="00616556" w:rsidRDefault="00616556" w:rsidP="00616556">
            <w:pPr>
              <w:spacing w:line="276" w:lineRule="auto"/>
              <w:rPr>
                <w:szCs w:val="24"/>
                <w:lang w:eastAsia="en-GB"/>
              </w:rPr>
            </w:pPr>
            <w:r w:rsidRPr="00616556">
              <w:rPr>
                <w:szCs w:val="24"/>
                <w:lang w:eastAsia="en-GB"/>
              </w:rPr>
              <w:t>• neoadjuvantiniam gydymui kartu su chemoterapija suaugusių pacientų, sergančių HER2 teigiamu, lokaliai išplitusiu uždegiminiu ar ankstyvos stadijos krūties vėžiu, kuriems yra didelė pasikartojimo rizika.</w:t>
            </w:r>
          </w:p>
          <w:p w14:paraId="63B88CDF" w14:textId="77777777" w:rsidR="00616556" w:rsidRPr="00616556" w:rsidRDefault="00616556" w:rsidP="00616556">
            <w:pPr>
              <w:spacing w:line="276" w:lineRule="auto"/>
              <w:rPr>
                <w:szCs w:val="24"/>
                <w:lang w:eastAsia="en-GB"/>
              </w:rPr>
            </w:pPr>
            <w:r w:rsidRPr="00616556">
              <w:rPr>
                <w:szCs w:val="24"/>
                <w:lang w:eastAsia="en-GB"/>
              </w:rPr>
              <w:t xml:space="preserve">• ir kartu su docetakseliu suaugusiems pacientams, sergantiems HER2 teigiamu metastazavusiu arba lokaliai pasikartojančiu neoperuojamu krūties vėžiu, kuriems </w:t>
            </w:r>
            <w:r w:rsidRPr="00616556">
              <w:rPr>
                <w:szCs w:val="24"/>
                <w:lang w:eastAsia="en-GB"/>
              </w:rPr>
              <w:lastRenderedPageBreak/>
              <w:t>anksčiau nebuvo taikyta anti-HER2 terapija arba chemoterapija dėl metastazavusios ligos.</w:t>
            </w:r>
          </w:p>
        </w:tc>
      </w:tr>
    </w:tbl>
    <w:p w14:paraId="5A0B0935" w14:textId="77777777" w:rsidR="00616556" w:rsidRPr="00616556" w:rsidRDefault="00616556" w:rsidP="00616556">
      <w:pPr>
        <w:tabs>
          <w:tab w:val="left" w:pos="426"/>
        </w:tabs>
        <w:spacing w:after="0" w:line="240" w:lineRule="auto"/>
        <w:contextualSpacing/>
        <w:rPr>
          <w:rFonts w:ascii="Times New Roman" w:eastAsia="Times New Roman" w:hAnsi="Times New Roman" w:cs="Times New Roman"/>
          <w:b/>
          <w:bCs/>
          <w:caps/>
          <w:sz w:val="24"/>
          <w:szCs w:val="24"/>
        </w:rPr>
      </w:pPr>
    </w:p>
    <w:p w14:paraId="746D296A" w14:textId="77777777" w:rsidR="00616556" w:rsidRPr="00616556" w:rsidRDefault="00616556" w:rsidP="00616556">
      <w:pPr>
        <w:tabs>
          <w:tab w:val="left" w:pos="426"/>
        </w:tabs>
        <w:spacing w:after="0" w:line="240" w:lineRule="auto"/>
        <w:contextualSpacing/>
        <w:rPr>
          <w:rFonts w:ascii="Times New Roman" w:eastAsia="Times New Roman" w:hAnsi="Times New Roman" w:cs="Times New Roman"/>
          <w:b/>
          <w:bCs/>
          <w:caps/>
          <w:sz w:val="24"/>
          <w:szCs w:val="24"/>
        </w:rPr>
      </w:pPr>
    </w:p>
    <w:p w14:paraId="1ADACEAE" w14:textId="77777777" w:rsidR="00616556" w:rsidRPr="00616556" w:rsidRDefault="00616556" w:rsidP="00616556">
      <w:pPr>
        <w:numPr>
          <w:ilvl w:val="0"/>
          <w:numId w:val="1"/>
        </w:numPr>
        <w:spacing w:after="0" w:line="240" w:lineRule="auto"/>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t>Klinikinio vertinimo apibendrinimas</w:t>
      </w:r>
    </w:p>
    <w:p w14:paraId="5737B6C3" w14:textId="77777777" w:rsidR="00616556" w:rsidRPr="00616556" w:rsidRDefault="00616556" w:rsidP="00616556">
      <w:pPr>
        <w:spacing w:after="0" w:line="240" w:lineRule="auto"/>
        <w:rPr>
          <w:rFonts w:ascii="Times New Roman" w:eastAsia="Times New Roman" w:hAnsi="Times New Roman" w:cs="Times New Roman"/>
          <w:iCs/>
          <w:sz w:val="24"/>
          <w:szCs w:val="24"/>
          <w:lang w:eastAsia="en-GB"/>
        </w:rPr>
      </w:pPr>
    </w:p>
    <w:p w14:paraId="0F6B309B" w14:textId="77777777" w:rsidR="00616556" w:rsidRPr="00616556" w:rsidRDefault="00616556" w:rsidP="00616556">
      <w:pPr>
        <w:spacing w:after="0" w:line="240" w:lineRule="auto"/>
        <w:ind w:firstLine="645"/>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color w:val="000000"/>
          <w:sz w:val="24"/>
          <w:szCs w:val="24"/>
          <w:lang w:eastAsia="en-GB"/>
        </w:rPr>
        <w:t xml:space="preserve">Krūties vėžys (TLK-10-AM kodas C50) yra piktybinis ląstelių augimas krūties audinyje. Krūties vėžys yra dažniausia moterų onkologinė liga pagal sergamumą ir moterų mirčių skaičių nuo vėžio pasaulyje (2020 metais diagnozuota 2,26 mln. naujų atvejų (25% visų vėžio atvejų) ir 0,68 mln mirčių). </w:t>
      </w:r>
    </w:p>
    <w:p w14:paraId="1E347504" w14:textId="77777777" w:rsidR="00616556" w:rsidRPr="00616556" w:rsidRDefault="00616556" w:rsidP="00616556">
      <w:pPr>
        <w:autoSpaceDE w:val="0"/>
        <w:autoSpaceDN w:val="0"/>
        <w:adjustRightInd w:val="0"/>
        <w:spacing w:after="0" w:line="240" w:lineRule="auto"/>
        <w:ind w:firstLine="645"/>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Krūties vėžio gydymo taktika priklauso nuo naviko dydžio ir lokalizacijos, jo multicentriškumo, limfmazgių pažeidimo, biomarkerių bei genų ekspresijos, amžiaus ir bendros būklės.</w:t>
      </w:r>
    </w:p>
    <w:p w14:paraId="5D79D199" w14:textId="77777777" w:rsidR="00616556" w:rsidRPr="00616556" w:rsidRDefault="00616556" w:rsidP="0061655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 xml:space="preserve">Vienas svarbiausių krūties vėžio prognozinių faktorių yra HER2 raiška. Padidėjusi HER2 raiška dažniausiai siejama su blogai diferencijuotu naviku, kartu ir su blogesne ligos prognoze. Tokie navikai yra žymiai piktybiškesni, t.y. didesnė recidyvo ir mirtingumo rizika. </w:t>
      </w:r>
    </w:p>
    <w:p w14:paraId="256ACECC" w14:textId="77777777" w:rsidR="00616556" w:rsidRPr="00616556" w:rsidRDefault="00616556" w:rsidP="0061655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bCs/>
          <w:color w:val="000000"/>
          <w:sz w:val="24"/>
          <w:szCs w:val="24"/>
          <w:lang w:eastAsia="en-GB"/>
        </w:rPr>
        <w:t>Neoadjuvantinė terapija</w:t>
      </w:r>
      <w:r w:rsidRPr="00616556">
        <w:rPr>
          <w:rFonts w:ascii="Times New Roman" w:eastAsia="Times New Roman" w:hAnsi="Times New Roman" w:cs="Times New Roman"/>
          <w:color w:val="000000"/>
          <w:sz w:val="24"/>
          <w:szCs w:val="24"/>
          <w:lang w:eastAsia="en-GB"/>
        </w:rPr>
        <w:t xml:space="preserve"> yra standartinis pasirinkimas pacientėms su IBC ir LABC, taip pat esant ankstyvos stadijos krūties vėžiui. Neoadjuvantinis gydymas leidžia gydytojams anksti įvertinti klinikinį ir patologinį naviko atsaką į gydymą (toliau naudojami trumpiniai: pCR arba patologinių rodiklių visiškas atsakas - pVA), pvz., pacientėms su HER2+ ankstyvuoju krūties vėžiu pasiektas patologinis pilnas atsakas siejamas su geresniu išgyvenamumu be ligos ir bendruoju išgyvenamumu. </w:t>
      </w:r>
    </w:p>
    <w:p w14:paraId="0D8C3763" w14:textId="77777777" w:rsidR="00616556" w:rsidRPr="00616556" w:rsidRDefault="00616556" w:rsidP="00616556">
      <w:pPr>
        <w:autoSpaceDE w:val="0"/>
        <w:autoSpaceDN w:val="0"/>
        <w:adjustRightInd w:val="0"/>
        <w:spacing w:after="0" w:line="240" w:lineRule="auto"/>
        <w:ind w:firstLine="645"/>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 xml:space="preserve">Neoadjuvantinės terapijos efektyvumo rodikliu yra laikomas patologinių rodiklių visiškas atsakas (pVA; angl. </w:t>
      </w:r>
      <w:r w:rsidRPr="00616556">
        <w:rPr>
          <w:rFonts w:ascii="Times New Roman" w:eastAsia="Times New Roman" w:hAnsi="Times New Roman" w:cs="Times New Roman"/>
          <w:i/>
          <w:iCs/>
          <w:color w:val="000000"/>
          <w:sz w:val="24"/>
          <w:szCs w:val="24"/>
          <w:lang w:eastAsia="en-GB"/>
        </w:rPr>
        <w:t>pathological complete response (pCR)</w:t>
      </w:r>
      <w:r w:rsidRPr="00616556">
        <w:rPr>
          <w:rFonts w:ascii="Times New Roman" w:eastAsia="Times New Roman" w:hAnsi="Times New Roman" w:cs="Times New Roman"/>
          <w:color w:val="000000"/>
          <w:sz w:val="24"/>
          <w:szCs w:val="24"/>
          <w:lang w:eastAsia="en-GB"/>
        </w:rPr>
        <w:t>). Esant HER2 teigiamai ligai, žinoma aiški ir stipri patologinių rodiklių atsako koreliacija su ilgalaikėmis baigtimis (išgyvenamumas be ligos, bendrasis išgyvenamumas).</w:t>
      </w:r>
    </w:p>
    <w:p w14:paraId="57358B2F" w14:textId="77777777" w:rsidR="00616556" w:rsidRPr="00616556" w:rsidRDefault="00616556" w:rsidP="00616556">
      <w:pPr>
        <w:autoSpaceDE w:val="0"/>
        <w:autoSpaceDN w:val="0"/>
        <w:adjustRightInd w:val="0"/>
        <w:spacing w:after="0" w:line="240" w:lineRule="auto"/>
        <w:ind w:firstLine="645"/>
        <w:jc w:val="both"/>
        <w:rPr>
          <w:rFonts w:ascii="Times New Roman" w:eastAsia="Times New Roman" w:hAnsi="Times New Roman" w:cs="Times New Roman"/>
          <w:bCs/>
          <w:color w:val="000000"/>
          <w:sz w:val="24"/>
          <w:szCs w:val="24"/>
          <w:lang w:eastAsia="en-GB"/>
        </w:rPr>
      </w:pPr>
      <w:r w:rsidRPr="00616556">
        <w:rPr>
          <w:rFonts w:ascii="Times New Roman" w:eastAsia="Times New Roman" w:hAnsi="Times New Roman" w:cs="Times New Roman"/>
          <w:sz w:val="24"/>
          <w:szCs w:val="24"/>
          <w:lang w:eastAsia="en-GB"/>
        </w:rPr>
        <w:t xml:space="preserve"> </w:t>
      </w:r>
      <w:r w:rsidRPr="00616556">
        <w:rPr>
          <w:rFonts w:ascii="Times New Roman" w:eastAsia="Times New Roman" w:hAnsi="Times New Roman" w:cs="Times New Roman"/>
          <w:bCs/>
          <w:color w:val="000000"/>
          <w:sz w:val="24"/>
          <w:szCs w:val="24"/>
          <w:lang w:eastAsia="en-GB"/>
        </w:rPr>
        <w:t>Remiantis 2011 m. liepos 22 d. SAM įsakymu V-713 „Dėl krūties piktybinio naviko ambulatorinio gydymo kompensuojamaisiais vaistais tvarkos aprašo patvirtinimo“ nustatyta gydymo tvarka, šiuo metu ankstyvam krūties vėžiui, kai yra didelė HER2 receptoriaus raiška ar HER2 geno ekspresija, gydyti gali būti skiriamas trastuzumabas kartu su chemoterapija. Trastuzumabas yra įtrauktas į centralizuotai apmokamų vaistinių preparatų sąrašą. Trastuzumabas skiriamas, kai HER2 rodmuo yra teigiamas agresyviam ankstyvajam krūties vėžiui gydyti (iki 52 sav.); agresyvaus metastazavusio krūties vėžio pirmaeiliam gydymui.</w:t>
      </w:r>
    </w:p>
    <w:p w14:paraId="3C296915" w14:textId="77777777" w:rsidR="00616556" w:rsidRPr="00616556" w:rsidRDefault="00616556" w:rsidP="0061655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Net ir taikant standartinį (neo)adjuvantinį gydymą trastuzumabu su chemoterapija, iki 1 iš 4 pacientų su HER2+ krūties vėžiu per 10-11 metų nuo diagnozės patiria recidyvą. Metastatinė liga nėra išgydoma, geriausias gydymo pasirinkimas yra gerinti pradinės terapijos efektyvumą, kol liga lokalizuota krūtyje ir regioniniuose limfmazgiuose, bet nėra atokiųjų metastazių.</w:t>
      </w:r>
    </w:p>
    <w:p w14:paraId="1BB130C2" w14:textId="77777777" w:rsidR="00616556" w:rsidRPr="00616556" w:rsidRDefault="00616556" w:rsidP="0061655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 xml:space="preserve">Tarptautinėse gydymo gairėse (ESMO; NCCN) pacientams su didelės rizikos HER2+ krūties vėžiu rekomenduojama neoadjuvantiniam gydymui skirti dvigubą anti-HER2+ terapiją (trastuzumabas ir pertuzumabas) kartu su chemoterapija, po operacijos tęsiant adjuvantinį gydymą. </w:t>
      </w:r>
    </w:p>
    <w:p w14:paraId="77A84C0E" w14:textId="77777777" w:rsidR="00616556" w:rsidRPr="00616556" w:rsidRDefault="00616556" w:rsidP="00616556">
      <w:pPr>
        <w:autoSpaceDE w:val="0"/>
        <w:autoSpaceDN w:val="0"/>
        <w:adjustRightInd w:val="0"/>
        <w:spacing w:after="0" w:line="240" w:lineRule="auto"/>
        <w:ind w:firstLine="645"/>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 xml:space="preserve">Pilno patologinio atsako (pPA) pasiekimas yra reikšmingo ilgalaikio bendrojo išgyvenamumo, išgyvenamumo be ligos įvykio (angl. event-free survival - EFS), ir išgyvenamumo be tolimojo ligos įvykio (angl. </w:t>
      </w:r>
      <w:r w:rsidRPr="00616556">
        <w:rPr>
          <w:rFonts w:ascii="Times New Roman" w:eastAsia="Times New Roman" w:hAnsi="Times New Roman" w:cs="Times New Roman"/>
          <w:i/>
          <w:iCs/>
          <w:color w:val="000000"/>
          <w:sz w:val="24"/>
          <w:szCs w:val="24"/>
          <w:lang w:eastAsia="en-GB"/>
        </w:rPr>
        <w:t>distant disease-free survival (DDFS)</w:t>
      </w:r>
      <w:r w:rsidRPr="00616556">
        <w:rPr>
          <w:rFonts w:ascii="Times New Roman" w:eastAsia="Times New Roman" w:hAnsi="Times New Roman" w:cs="Times New Roman"/>
          <w:color w:val="000000"/>
          <w:sz w:val="24"/>
          <w:szCs w:val="24"/>
          <w:lang w:eastAsia="en-GB"/>
        </w:rPr>
        <w:t>) tikimybės padidėjimo prediktorius būtent HER2-teigiamo KV atveju.</w:t>
      </w:r>
    </w:p>
    <w:p w14:paraId="0E7A9D2A"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en-GB"/>
        </w:rPr>
      </w:pPr>
      <w:r w:rsidRPr="00616556">
        <w:rPr>
          <w:rFonts w:ascii="Times New Roman" w:eastAsia="Times New Roman" w:hAnsi="Times New Roman" w:cs="Times New Roman"/>
          <w:color w:val="000000"/>
          <w:sz w:val="24"/>
          <w:szCs w:val="24"/>
          <w:lang w:eastAsia="en-GB"/>
        </w:rPr>
        <w:t xml:space="preserve">Phesgo leidžiamas injekcijos po oda būdu, per 5-8 min., stebėjimo laikotarpis yra 15-30 min. Phesgo yra inovatyvus vaistinis preparatas pacientams su HER2+ krūties vėžiu, sumažinantis </w:t>
      </w:r>
      <w:r w:rsidRPr="00616556">
        <w:rPr>
          <w:rFonts w:ascii="Times New Roman" w:eastAsia="Times New Roman" w:hAnsi="Times New Roman" w:cs="Times New Roman"/>
          <w:color w:val="000000"/>
          <w:sz w:val="24"/>
          <w:szCs w:val="24"/>
          <w:lang w:eastAsia="en-GB"/>
        </w:rPr>
        <w:lastRenderedPageBreak/>
        <w:t>terapijos skyrimo (skiriamo vaisto administravimo) naštą ir palankus pacientams. Phesgo būtų skiriamas neoadjuvantiniam gydymui kartu su chemoterapija, po operacijos tęsiant gydymą trastuzumabu. Remiantis Phesgo klinikinių tyrimų rezultatais poodinę vaistų formą galima taikyti ~ 85% pacientų. Likusieji 15% vaistinius preparatus pertuzumabum/trastuzumabum gautų intraveniškai.</w:t>
      </w:r>
    </w:p>
    <w:p w14:paraId="10EC1347"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Pateiktame klinikiniame tyrime NeoSphere (atsitiktinių imčių, daugiacentris, atviras tyrimas, kurio metu buvo lyginamas pertuzumabo ir (arba) trastuzumabo veiksmingumas ir saugumas su chemoterapija arba be jos moterims, sergančioms lokaliai išplitusiu, uždegiminiu ar ankstyvu HER2 teigiamu krūties vėžiu neoadjuvantinėmis sąlygomis) buvo gautas statistiškai reikšmingas kpVA dažnio pagerėjimas pacientų grupėje, kurie gavo pertuzumabo ir trastuzumabo derinį (45,8%), palyginti su pacientais, kurie gavo tik trastuzumabą (29%). KpVA dažnių skirtumas 16,8% (95 % PI: 3,5, 30,1; p=0,0141).</w:t>
      </w:r>
      <w:r w:rsidRPr="00616556">
        <w:rPr>
          <w:rFonts w:ascii="Times New Roman" w:eastAsia="Times New Roman" w:hAnsi="Times New Roman" w:cs="Times New Roman"/>
          <w:color w:val="000000"/>
          <w:sz w:val="24"/>
          <w:szCs w:val="24"/>
          <w:lang w:eastAsia="en-GB"/>
        </w:rPr>
        <w:t xml:space="preserve"> Šiame tyrime </w:t>
      </w:r>
      <w:r w:rsidRPr="00616556">
        <w:rPr>
          <w:rFonts w:ascii="Times New Roman" w:eastAsia="Times New Roman" w:hAnsi="Times New Roman" w:cs="Times New Roman"/>
          <w:sz w:val="24"/>
          <w:szCs w:val="24"/>
          <w:lang w:eastAsia="en-GB"/>
        </w:rPr>
        <w:t>IBL ir IBLP analizės nebuvo sukurtos arba skirtos patikrinti formalias hipotezes ir buvo skirtos tik aprašomiesiems tikslams. 5 metų išgyvenamumas be ligos progresavimo buvo didesnis pacientų grupėje, kurie gavo pertuzumabo ir trastuzumabo derinį (86 % [95 % PI 77–91]) nei pacientų grupėje, kurie gavo tik trastuzumabą (81 % [71–87]). 5 metų išgyvenamumas be ligos buvo didesnis pacientų grupėje, kurie gavo pertuzumabo ir trastuzumabo derinį (84 % [95 % PI 72–91]) nei pacientų grupėje, kurie gavo tik trastuzumabą (81 % [72–88]). Tarnyba atkreipia dėmesį, kad šiame tyrime buvo skiriamos intraveninės vaistų formos.</w:t>
      </w:r>
    </w:p>
    <w:p w14:paraId="4BAC350D"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Taip pat pateiktas tyrimas FeDeriCa (WO40324) - tai yra vykstantis pasaulinis III fazės, dviejų dalių, atviras, daugiacentris, atsitiktinių imčių tyrimas, skirtas ištirti fiksuotos dozės įodinio pertuzumabo ir trastuzumabo farmakokinetiką, veiksmingumą ir saugumą kartu su chemoterapija (PH FDC SC grupė), palyginti su Perjeta IV plius IV trastuzumabas ir chemoterapija (P+H IV grupė) pacientėms, sergančioms HER2 teigiamu krūties vėžiu, neoadjuvantiniu ir adjuvantiniu gydymo metu. Tarnyba atkreipia dėmesį, kad šis tyrimas yra aktualus, nes tiria intraveninio pertuzumabo ir trastuzumabo veiksmingumą (naudotas gydymas prieš tai aprašytame tyrime) palyginus su į odą leidžiamu fiksuotos dozės pertuzumabo ir trastuzumabo efektyvumu (norimas kompensuoti vaistas). Tyrimo rezultatai įrodo, kad į odą skiriamo pertuzumabo koncentracija gydymo metu serume nėra mažesnė, palyginti su pertuzumabo intravenine forma.</w:t>
      </w:r>
    </w:p>
    <w:p w14:paraId="287C1EA6"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Tai pat pateiktas papildomas tyrimas TRYPHAENA, kurio tikslas buvo įvertinti pertuzumabo saugumą ir toleravimą neoadjuvantinio gydymo metu, kai jis buvo naudojami kartu su antraciklinų ar karboplatinos chemoterapijos režimais. Visi trys gydymo režimai buvo aktyvūs, daugumai pacientų buvo pasiektas pVA (t.y. kpVA). KpVA dažnis buvo panašus visose grupėse.</w:t>
      </w:r>
    </w:p>
    <w:p w14:paraId="3CB08180"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Kadangi pateiktuose tyrimuose buvo vertintas pVA (t.y. surogatinė BI, IBLP ir IBL baigtis, o BI, IBLP ir IBL rezultatai yra aprašomojo pobūdžio), pareiškėjui buvo pateikti papildomi klausimai, siekiant sužinoti, ar yra papildomų duomenų ar naujų tyrimų, įrodančius pertuzumabo sukuriamą pridėtinę naudą bendram išgyvenamumui, IBLP ir IBL, skiriant jį neoadjuvantiniam gydymui, pacientams, sergantiems HER2 teigiamu vietiškai išplitusiu, uždegiminiu ar ankstyvosios stadijos krūties vėžiu, kai yra didelė vėžio recidyvo rizika.</w:t>
      </w:r>
    </w:p>
    <w:p w14:paraId="5A64D202"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lastRenderedPageBreak/>
        <w:t>Pareiškėjas pateikė pagrindinėje paraiškoje paminėtų, tačiau neaprašytų tyrimų (BERENICE ir PEONY) duomenis, taip pat pateikė argumentuotą nuomonę dėl surogatinių tyrimų baigčių tinkamumo vertinamai indikacijai, remiantis EVA ir FDA išvadomis.</w:t>
      </w:r>
    </w:p>
    <w:p w14:paraId="68D96DA4"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 xml:space="preserve">Įvertinus visą pateiktą informaciją (pagrindinėje paraiškoje ir po klausimų): </w:t>
      </w:r>
    </w:p>
    <w:p w14:paraId="78502163" w14:textId="77777777" w:rsidR="00616556" w:rsidRPr="00616556" w:rsidRDefault="00616556" w:rsidP="00616556">
      <w:pPr>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 xml:space="preserve">pateiktų klinikinių tyrimų (NeoSphere ir TRYPHAENA) pagrindinės vertinamosios baigtys kpVA ir bpVA yra surogatinės bendro išgyvenamumo, išgyvenamumo be ligos progresavimo ir ilgalaikio išgyvenamumo be ligos baigtys, </w:t>
      </w:r>
    </w:p>
    <w:p w14:paraId="351DD9FD" w14:textId="77777777" w:rsidR="00616556" w:rsidRPr="00616556" w:rsidRDefault="00616556" w:rsidP="00616556">
      <w:pPr>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remiantis EVA ir FDA sudarytomis priešvėžinių medicininių produktų vertinimo rekomendacijomis, pVA gali būti tinkama surogatinė vertinamoji baigtis patvirtinant vaistinio preparato efektyvumą IBL ir BI, jeigu yra pasiektas reikšmingas pVA padidėjimas pakankamai dideliuose klinikiniuose tyrimuose,</w:t>
      </w:r>
    </w:p>
    <w:p w14:paraId="55407EAC" w14:textId="77777777" w:rsidR="00616556" w:rsidRPr="00616556" w:rsidRDefault="00616556" w:rsidP="00616556">
      <w:pPr>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abiejuose pateiktuose tyrimuose nustatytas statistiškai reikšmingas pVA padidėjimas,</w:t>
      </w:r>
    </w:p>
    <w:p w14:paraId="26487C6E" w14:textId="77777777" w:rsidR="00616556" w:rsidRPr="00616556" w:rsidRDefault="00616556" w:rsidP="00616556">
      <w:pPr>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yra pateiktas VVKT sprendimas, kad Tarnybos STV skyriaus specialistai, vertindami vaistinius preparatus nemetastazavusiam vėžiui gydyti, nereikalaus bendrojo išgyvenamumo (angl. overall survival) duomenų, jeigu jų neįmanoma pateikti,</w:t>
      </w:r>
    </w:p>
    <w:p w14:paraId="45DA49AC" w14:textId="77777777" w:rsidR="00616556" w:rsidRPr="00616556" w:rsidRDefault="00616556" w:rsidP="00616556">
      <w:pPr>
        <w:numPr>
          <w:ilvl w:val="0"/>
          <w:numId w:val="2"/>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pateikti paminėtų papildomų tyrimų (BERENICE ir PEONY) rezultatai, kurie taip pat įrodo pVA pagerėjimą tiriamojo vaistinio preparato grupėje,</w:t>
      </w:r>
    </w:p>
    <w:p w14:paraId="624930C9" w14:textId="77777777" w:rsidR="00616556" w:rsidRPr="00616556" w:rsidRDefault="00616556" w:rsidP="00616556">
      <w:pPr>
        <w:autoSpaceDE w:val="0"/>
        <w:autoSpaceDN w:val="0"/>
        <w:adjustRightInd w:val="0"/>
        <w:spacing w:after="0" w:line="276" w:lineRule="auto"/>
        <w:ind w:left="1287"/>
        <w:contextualSpacing/>
        <w:jc w:val="both"/>
        <w:rPr>
          <w:rFonts w:ascii="Times New Roman" w:eastAsia="Times New Roman" w:hAnsi="Times New Roman" w:cs="Times New Roman"/>
          <w:sz w:val="24"/>
          <w:szCs w:val="24"/>
        </w:rPr>
      </w:pPr>
    </w:p>
    <w:p w14:paraId="2CE17F0A" w14:textId="77777777" w:rsidR="00616556" w:rsidRPr="00616556" w:rsidRDefault="00616556" w:rsidP="00616556">
      <w:pPr>
        <w:autoSpaceDE w:val="0"/>
        <w:autoSpaceDN w:val="0"/>
        <w:adjustRightInd w:val="0"/>
        <w:spacing w:after="0" w:line="276" w:lineRule="auto"/>
        <w:ind w:firstLine="567"/>
        <w:jc w:val="both"/>
        <w:rPr>
          <w:rFonts w:ascii="Times New Roman" w:eastAsia="Times New Roman" w:hAnsi="Times New Roman" w:cs="Times New Roman"/>
          <w:sz w:val="24"/>
          <w:szCs w:val="24"/>
          <w:lang w:eastAsia="en-GB"/>
        </w:rPr>
      </w:pPr>
      <w:r w:rsidRPr="00616556">
        <w:rPr>
          <w:rFonts w:ascii="Times New Roman" w:eastAsia="Times New Roman" w:hAnsi="Times New Roman" w:cs="Times New Roman"/>
          <w:sz w:val="24"/>
          <w:szCs w:val="24"/>
          <w:lang w:eastAsia="en-GB"/>
        </w:rPr>
        <w:t xml:space="preserve">galima daryti išvadą, kad Phesgo </w:t>
      </w:r>
      <w:r w:rsidRPr="00616556">
        <w:rPr>
          <w:rFonts w:ascii="Times New Roman" w:eastAsia="Times New Roman" w:hAnsi="Times New Roman" w:cs="Times New Roman"/>
          <w:sz w:val="24"/>
          <w:szCs w:val="24"/>
          <w:u w:val="single"/>
          <w:lang w:eastAsia="en-GB"/>
        </w:rPr>
        <w:t>sukurią papildomą naudą</w:t>
      </w:r>
      <w:r w:rsidRPr="00616556">
        <w:rPr>
          <w:rFonts w:ascii="Times New Roman" w:eastAsia="Times New Roman" w:hAnsi="Times New Roman" w:cs="Times New Roman"/>
          <w:sz w:val="24"/>
          <w:szCs w:val="24"/>
          <w:lang w:eastAsia="en-GB"/>
        </w:rPr>
        <w:t xml:space="preserve"> skiriant jį derinyje su chemoterapija neoadjuvantiniam gydymui suaugusiems pacientams, sergantiems žmogaus epidermio augimo faktoriaus receptoriaus 2 (HER2) teigiamu vietiškai išplitusiu, uždegiminiu ar ankstyvosios stadijos krūties vėžiu, kai yra didelė vėžio recidyvo rizika.</w:t>
      </w:r>
    </w:p>
    <w:p w14:paraId="61D36B50" w14:textId="77777777" w:rsidR="00616556" w:rsidRPr="00616556" w:rsidRDefault="00616556" w:rsidP="00616556">
      <w:pPr>
        <w:spacing w:after="0" w:line="240" w:lineRule="auto"/>
        <w:jc w:val="both"/>
        <w:rPr>
          <w:rFonts w:ascii="Times New Roman" w:eastAsia="Times New Roman" w:hAnsi="Times New Roman" w:cs="Times New Roman"/>
          <w:strike/>
          <w:sz w:val="24"/>
          <w:szCs w:val="24"/>
        </w:rPr>
      </w:pPr>
    </w:p>
    <w:p w14:paraId="06C8BD40" w14:textId="77777777" w:rsidR="00616556" w:rsidRPr="00616556" w:rsidRDefault="00616556" w:rsidP="00616556">
      <w:pPr>
        <w:numPr>
          <w:ilvl w:val="0"/>
          <w:numId w:val="1"/>
        </w:numPr>
        <w:tabs>
          <w:tab w:val="left" w:pos="567"/>
        </w:tabs>
        <w:spacing w:after="0" w:line="240" w:lineRule="auto"/>
        <w:ind w:hanging="720"/>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t>ekonominio vertinimo apibendrinimas</w:t>
      </w:r>
    </w:p>
    <w:p w14:paraId="5E10E3EA" w14:textId="77777777" w:rsidR="0027064E" w:rsidRDefault="0027064E" w:rsidP="00FD4287">
      <w:pPr>
        <w:spacing w:after="0" w:line="276" w:lineRule="auto"/>
        <w:jc w:val="both"/>
        <w:rPr>
          <w:rFonts w:ascii="Times New Roman" w:hAnsi="Times New Roman" w:cs="Times New Roman"/>
          <w:bCs/>
          <w:color w:val="000000" w:themeColor="text1"/>
          <w:sz w:val="24"/>
          <w:szCs w:val="24"/>
        </w:rPr>
      </w:pPr>
    </w:p>
    <w:p w14:paraId="49047388" w14:textId="181E27B4" w:rsidR="0027064E" w:rsidRPr="0027064E" w:rsidRDefault="0027064E" w:rsidP="0027064E">
      <w:pPr>
        <w:spacing w:after="0" w:line="276" w:lineRule="auto"/>
        <w:ind w:firstLine="450"/>
        <w:jc w:val="both"/>
        <w:rPr>
          <w:rFonts w:ascii="Times New Roman" w:hAnsi="Times New Roman" w:cs="Times New Roman"/>
          <w:sz w:val="24"/>
          <w:szCs w:val="24"/>
        </w:rPr>
      </w:pPr>
      <w:r w:rsidRPr="009D7AD6">
        <w:rPr>
          <w:rFonts w:ascii="Times New Roman" w:hAnsi="Times New Roman" w:cs="Times New Roman"/>
          <w:sz w:val="24"/>
          <w:szCs w:val="24"/>
        </w:rPr>
        <w:t xml:space="preserve">Įprastinė atvejo analizė atliekama Phesgo (pertuzumabas </w:t>
      </w:r>
      <w:r w:rsidRPr="009D7AD6">
        <w:rPr>
          <w:rFonts w:ascii="Times New Roman" w:hAnsi="Times New Roman" w:cs="Times New Roman"/>
          <w:sz w:val="24"/>
          <w:szCs w:val="24"/>
          <w:lang w:val="en-US"/>
        </w:rPr>
        <w:t>+ trastuzumabas) skiriant derinyje su chemoterapija lyginant su trastuzumabu skiriant derinyje su chemoterapija si</w:t>
      </w:r>
      <w:r w:rsidRPr="009D7AD6">
        <w:rPr>
          <w:rFonts w:ascii="Times New Roman" w:hAnsi="Times New Roman" w:cs="Times New Roman"/>
          <w:sz w:val="24"/>
          <w:szCs w:val="24"/>
        </w:rPr>
        <w:t xml:space="preserve">ūlomai kompensuoti indikacijai  (neoadjuvantiniam gydymui suaugusiems pacientams, sergantiems žmogaus epidermio augimo faktoriaus receptoriaus 2 (angl. </w:t>
      </w:r>
      <w:r w:rsidRPr="009D7AD6">
        <w:rPr>
          <w:rFonts w:ascii="Times New Roman" w:hAnsi="Times New Roman" w:cs="Times New Roman"/>
          <w:i/>
          <w:iCs/>
          <w:sz w:val="24"/>
          <w:szCs w:val="24"/>
        </w:rPr>
        <w:t xml:space="preserve">human epidermal grow factor receptor 2, </w:t>
      </w:r>
      <w:r w:rsidRPr="009D7AD6">
        <w:rPr>
          <w:rFonts w:ascii="Times New Roman" w:hAnsi="Times New Roman" w:cs="Times New Roman"/>
          <w:sz w:val="24"/>
          <w:szCs w:val="24"/>
        </w:rPr>
        <w:t xml:space="preserve">toliau </w:t>
      </w:r>
      <w:r w:rsidRPr="009D7AD6">
        <w:rPr>
          <w:rFonts w:ascii="Times New Roman" w:hAnsi="Times New Roman" w:cs="Times New Roman"/>
          <w:i/>
          <w:iCs/>
          <w:sz w:val="24"/>
          <w:szCs w:val="24"/>
        </w:rPr>
        <w:t xml:space="preserve">– </w:t>
      </w:r>
      <w:r w:rsidRPr="009D7AD6">
        <w:rPr>
          <w:rFonts w:ascii="Times New Roman" w:hAnsi="Times New Roman" w:cs="Times New Roman"/>
          <w:sz w:val="24"/>
          <w:szCs w:val="24"/>
        </w:rPr>
        <w:t>HER2) teigiamu vietiškai išplitusiu, uždegiminiu ar ankstyvosios stadijos krūties vėžiu, kai yra didelė vėžio recidyvo rizika).</w:t>
      </w:r>
      <w:r>
        <w:rPr>
          <w:rFonts w:ascii="Times New Roman" w:hAnsi="Times New Roman" w:cs="Times New Roman"/>
          <w:sz w:val="24"/>
          <w:szCs w:val="24"/>
        </w:rPr>
        <w:t>Tarnyba į</w:t>
      </w:r>
      <w:r w:rsidRPr="009D7AD6">
        <w:rPr>
          <w:rFonts w:ascii="Times New Roman" w:hAnsi="Times New Roman" w:cs="Times New Roman"/>
          <w:sz w:val="24"/>
          <w:szCs w:val="24"/>
        </w:rPr>
        <w:t>prastinės atvejo analizės</w:t>
      </w:r>
      <w:r>
        <w:rPr>
          <w:rFonts w:ascii="Times New Roman" w:hAnsi="Times New Roman" w:cs="Times New Roman"/>
          <w:sz w:val="24"/>
          <w:szCs w:val="24"/>
        </w:rPr>
        <w:t xml:space="preserve"> skaičiavimus atlieka su Pareiškėjo modelyje taikoma kaina (</w:t>
      </w:r>
      <w:r w:rsidRPr="009D7AD6">
        <w:rPr>
          <w:rFonts w:ascii="Times New Roman" w:hAnsi="Times New Roman" w:cs="Times New Roman"/>
          <w:sz w:val="24"/>
          <w:szCs w:val="24"/>
        </w:rPr>
        <w:t>Phesgo</w:t>
      </w:r>
      <w:r>
        <w:rPr>
          <w:rFonts w:ascii="Times New Roman" w:hAnsi="Times New Roman" w:cs="Times New Roman"/>
          <w:sz w:val="24"/>
          <w:szCs w:val="24"/>
        </w:rPr>
        <w:t xml:space="preserve"> 1200mg/600mg 15ml N1 (PGS) - </w:t>
      </w:r>
      <w:r w:rsidR="00944546">
        <w:rPr>
          <w:rFonts w:ascii="Times New Roman" w:hAnsi="Times New Roman" w:cs="Times New Roman"/>
          <w:sz w:val="24"/>
          <w:szCs w:val="24"/>
          <w:u w:val="single"/>
        </w:rPr>
        <w:t>****</w:t>
      </w:r>
      <w:r w:rsidRPr="00D21805">
        <w:rPr>
          <w:rFonts w:ascii="Times New Roman" w:hAnsi="Times New Roman" w:cs="Times New Roman"/>
          <w:sz w:val="24"/>
          <w:szCs w:val="24"/>
          <w:u w:val="single"/>
        </w:rPr>
        <w:t xml:space="preserve"> Eur</w:t>
      </w:r>
      <w:r w:rsidRPr="009D7AD6">
        <w:rPr>
          <w:rFonts w:ascii="Times New Roman" w:hAnsi="Times New Roman" w:cs="Times New Roman"/>
          <w:sz w:val="24"/>
          <w:szCs w:val="24"/>
        </w:rPr>
        <w:t>.; Phesgo 600mg/600mg 10ml N1 (PGS)</w:t>
      </w:r>
      <w:r>
        <w:rPr>
          <w:rFonts w:ascii="Times New Roman" w:hAnsi="Times New Roman" w:cs="Times New Roman"/>
          <w:sz w:val="24"/>
          <w:szCs w:val="24"/>
        </w:rPr>
        <w:t xml:space="preserve"> - </w:t>
      </w:r>
      <w:r w:rsidR="00944546">
        <w:rPr>
          <w:rFonts w:ascii="Times New Roman" w:hAnsi="Times New Roman" w:cs="Times New Roman"/>
          <w:sz w:val="24"/>
          <w:szCs w:val="24"/>
          <w:u w:val="single"/>
        </w:rPr>
        <w:t>****</w:t>
      </w:r>
      <w:r w:rsidRPr="00D21805">
        <w:rPr>
          <w:rFonts w:ascii="Times New Roman" w:hAnsi="Times New Roman" w:cs="Times New Roman"/>
          <w:sz w:val="24"/>
          <w:szCs w:val="24"/>
          <w:u w:val="single"/>
        </w:rPr>
        <w:t xml:space="preserve"> Eur.</w:t>
      </w:r>
      <w:r>
        <w:rPr>
          <w:rFonts w:ascii="Times New Roman" w:hAnsi="Times New Roman" w:cs="Times New Roman"/>
          <w:sz w:val="24"/>
          <w:szCs w:val="24"/>
          <w:u w:val="single"/>
        </w:rPr>
        <w:t>)</w:t>
      </w:r>
      <w:r>
        <w:rPr>
          <w:u w:val="single"/>
        </w:rPr>
        <w:t>.</w:t>
      </w:r>
    </w:p>
    <w:p w14:paraId="4AD0F4FC" w14:textId="77777777" w:rsidR="006A665A" w:rsidRPr="0027064E" w:rsidRDefault="006A665A" w:rsidP="0027064E">
      <w:pPr>
        <w:spacing w:after="0" w:line="276" w:lineRule="auto"/>
        <w:ind w:firstLine="450"/>
        <w:jc w:val="center"/>
        <w:rPr>
          <w:rFonts w:ascii="Times New Roman" w:hAnsi="Times New Roman" w:cs="Times New Roman"/>
          <w:bCs/>
          <w:color w:val="000000" w:themeColor="text1"/>
          <w:sz w:val="24"/>
          <w:szCs w:val="24"/>
        </w:rPr>
      </w:pPr>
    </w:p>
    <w:p w14:paraId="4D533373" w14:textId="77777777" w:rsidR="006A665A" w:rsidRPr="0027064E" w:rsidRDefault="006A665A" w:rsidP="0027064E">
      <w:pPr>
        <w:tabs>
          <w:tab w:val="left" w:pos="426"/>
        </w:tabs>
        <w:jc w:val="center"/>
        <w:rPr>
          <w:rFonts w:ascii="Times New Roman" w:hAnsi="Times New Roman" w:cs="Times New Roman"/>
          <w:b/>
          <w:sz w:val="24"/>
          <w:szCs w:val="24"/>
          <w:lang w:eastAsia="lt-LT"/>
        </w:rPr>
      </w:pPr>
      <w:r w:rsidRPr="0027064E">
        <w:rPr>
          <w:rFonts w:ascii="Times New Roman" w:hAnsi="Times New Roman" w:cs="Times New Roman"/>
          <w:b/>
          <w:sz w:val="24"/>
          <w:szCs w:val="24"/>
          <w:lang w:eastAsia="lt-LT"/>
        </w:rPr>
        <w:t>Ekonominės analizės rezultatas</w:t>
      </w:r>
    </w:p>
    <w:tbl>
      <w:tblPr>
        <w:tblStyle w:val="Lentelstinklelis"/>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93"/>
        <w:gridCol w:w="5337"/>
      </w:tblGrid>
      <w:tr w:rsidR="006A665A" w:rsidRPr="0035172D" w14:paraId="1C2D0AF2" w14:textId="77777777" w:rsidTr="006A665A">
        <w:tc>
          <w:tcPr>
            <w:tcW w:w="9330" w:type="dxa"/>
            <w:gridSpan w:val="2"/>
            <w:tcBorders>
              <w:top w:val="single" w:sz="12" w:space="0" w:color="auto"/>
            </w:tcBorders>
          </w:tcPr>
          <w:p w14:paraId="0BE99CB2" w14:textId="77777777" w:rsidR="006A665A" w:rsidRPr="00F70C9E" w:rsidRDefault="006A665A" w:rsidP="00FE16F8">
            <w:pPr>
              <w:tabs>
                <w:tab w:val="left" w:pos="567"/>
              </w:tabs>
              <w:jc w:val="center"/>
              <w:rPr>
                <w:b/>
                <w:bCs/>
                <w:sz w:val="26"/>
                <w:szCs w:val="26"/>
              </w:rPr>
            </w:pPr>
            <w:r w:rsidRPr="00F70C9E">
              <w:rPr>
                <w:b/>
                <w:bCs/>
                <w:sz w:val="26"/>
                <w:szCs w:val="26"/>
              </w:rPr>
              <w:t>Rezultatai</w:t>
            </w:r>
          </w:p>
        </w:tc>
      </w:tr>
      <w:tr w:rsidR="006A665A" w:rsidRPr="0035172D" w14:paraId="11719510" w14:textId="77777777" w:rsidTr="006A665A">
        <w:tc>
          <w:tcPr>
            <w:tcW w:w="3993" w:type="dxa"/>
          </w:tcPr>
          <w:p w14:paraId="070994D3" w14:textId="77777777" w:rsidR="006A665A" w:rsidRPr="006A665A" w:rsidRDefault="006A665A" w:rsidP="006A665A">
            <w:pPr>
              <w:tabs>
                <w:tab w:val="left" w:pos="567"/>
              </w:tabs>
              <w:jc w:val="right"/>
              <w:rPr>
                <w:iCs/>
                <w:sz w:val="24"/>
                <w:szCs w:val="24"/>
              </w:rPr>
            </w:pPr>
            <w:r w:rsidRPr="006A665A">
              <w:rPr>
                <w:iCs/>
                <w:sz w:val="24"/>
                <w:szCs w:val="24"/>
              </w:rPr>
              <w:t>ICER už LY</w:t>
            </w:r>
          </w:p>
        </w:tc>
        <w:tc>
          <w:tcPr>
            <w:tcW w:w="5337" w:type="dxa"/>
          </w:tcPr>
          <w:p w14:paraId="159F0AE4" w14:textId="58FAAFD3" w:rsidR="006A665A" w:rsidRPr="006A665A" w:rsidRDefault="00944546" w:rsidP="006A665A">
            <w:pPr>
              <w:jc w:val="both"/>
              <w:rPr>
                <w:color w:val="000000"/>
                <w:sz w:val="24"/>
                <w:szCs w:val="24"/>
              </w:rPr>
            </w:pPr>
            <w:r>
              <w:rPr>
                <w:color w:val="000000"/>
                <w:sz w:val="24"/>
                <w:szCs w:val="24"/>
              </w:rPr>
              <w:t>****</w:t>
            </w:r>
          </w:p>
        </w:tc>
      </w:tr>
      <w:tr w:rsidR="006A665A" w:rsidRPr="0035172D" w14:paraId="537E754A" w14:textId="77777777" w:rsidTr="006A665A">
        <w:tc>
          <w:tcPr>
            <w:tcW w:w="3993" w:type="dxa"/>
          </w:tcPr>
          <w:p w14:paraId="4D703E2F" w14:textId="77777777" w:rsidR="006A665A" w:rsidRPr="006A665A" w:rsidRDefault="006A665A" w:rsidP="006A665A">
            <w:pPr>
              <w:tabs>
                <w:tab w:val="left" w:pos="567"/>
              </w:tabs>
              <w:jc w:val="right"/>
              <w:rPr>
                <w:b/>
                <w:iCs/>
                <w:sz w:val="24"/>
                <w:szCs w:val="24"/>
              </w:rPr>
            </w:pPr>
            <w:r w:rsidRPr="006A665A">
              <w:rPr>
                <w:b/>
                <w:iCs/>
                <w:sz w:val="24"/>
                <w:szCs w:val="24"/>
              </w:rPr>
              <w:t>ICER už QALY</w:t>
            </w:r>
          </w:p>
        </w:tc>
        <w:tc>
          <w:tcPr>
            <w:tcW w:w="5337" w:type="dxa"/>
          </w:tcPr>
          <w:p w14:paraId="660E73D4" w14:textId="538BE1AE" w:rsidR="006A665A" w:rsidRPr="006A665A" w:rsidRDefault="00944546" w:rsidP="006A665A">
            <w:pPr>
              <w:jc w:val="both"/>
              <w:rPr>
                <w:color w:val="000000"/>
                <w:sz w:val="24"/>
                <w:szCs w:val="24"/>
              </w:rPr>
            </w:pPr>
            <w:r>
              <w:rPr>
                <w:color w:val="000000"/>
                <w:sz w:val="24"/>
                <w:szCs w:val="24"/>
              </w:rPr>
              <w:t>****</w:t>
            </w:r>
          </w:p>
        </w:tc>
      </w:tr>
      <w:tr w:rsidR="006A665A" w:rsidRPr="00884E65" w14:paraId="1621DAA6" w14:textId="77777777" w:rsidTr="006A665A">
        <w:tc>
          <w:tcPr>
            <w:tcW w:w="3993" w:type="dxa"/>
          </w:tcPr>
          <w:p w14:paraId="35667997" w14:textId="77777777" w:rsidR="006A665A" w:rsidRPr="006A665A" w:rsidRDefault="006A665A" w:rsidP="00FE16F8">
            <w:pPr>
              <w:tabs>
                <w:tab w:val="left" w:pos="567"/>
              </w:tabs>
              <w:jc w:val="right"/>
              <w:rPr>
                <w:iCs/>
                <w:sz w:val="24"/>
                <w:szCs w:val="24"/>
              </w:rPr>
            </w:pPr>
            <w:r w:rsidRPr="006A665A">
              <w:rPr>
                <w:iCs/>
                <w:sz w:val="24"/>
                <w:szCs w:val="24"/>
              </w:rPr>
              <w:t>Referentinė kaštų naudingumo vertė</w:t>
            </w:r>
          </w:p>
        </w:tc>
        <w:tc>
          <w:tcPr>
            <w:tcW w:w="5337" w:type="dxa"/>
          </w:tcPr>
          <w:p w14:paraId="37536A4D" w14:textId="59CCA870" w:rsidR="006A665A" w:rsidRPr="006A665A" w:rsidRDefault="00944546" w:rsidP="00FE16F8">
            <w:pPr>
              <w:tabs>
                <w:tab w:val="left" w:pos="567"/>
              </w:tabs>
              <w:jc w:val="both"/>
              <w:rPr>
                <w:i/>
                <w:iCs/>
                <w:sz w:val="24"/>
                <w:szCs w:val="24"/>
              </w:rPr>
            </w:pPr>
            <w:r>
              <w:rPr>
                <w:b/>
                <w:sz w:val="24"/>
                <w:szCs w:val="24"/>
              </w:rPr>
              <w:t>****</w:t>
            </w:r>
            <w:r w:rsidR="006A665A" w:rsidRPr="006A665A">
              <w:rPr>
                <w:b/>
                <w:sz w:val="24"/>
                <w:szCs w:val="24"/>
              </w:rPr>
              <w:t xml:space="preserve"> Eur.</w:t>
            </w:r>
          </w:p>
        </w:tc>
      </w:tr>
    </w:tbl>
    <w:p w14:paraId="2BCDE181" w14:textId="77777777" w:rsidR="006A665A" w:rsidRPr="00E9768C" w:rsidRDefault="006A665A" w:rsidP="006A665A">
      <w:pPr>
        <w:tabs>
          <w:tab w:val="left" w:pos="567"/>
        </w:tabs>
        <w:jc w:val="both"/>
        <w:rPr>
          <w:rFonts w:ascii="Times New Roman" w:hAnsi="Times New Roman" w:cs="Times New Roman"/>
          <w:iCs/>
          <w:sz w:val="20"/>
          <w:lang w:eastAsia="lt-LT"/>
        </w:rPr>
      </w:pPr>
      <w:r w:rsidRPr="00E9768C">
        <w:rPr>
          <w:rFonts w:ascii="Times New Roman" w:hAnsi="Times New Roman" w:cs="Times New Roman"/>
          <w:iCs/>
          <w:sz w:val="20"/>
          <w:lang w:eastAsia="lt-LT"/>
        </w:rPr>
        <w:lastRenderedPageBreak/>
        <w:t>ICER – (</w:t>
      </w:r>
      <w:r w:rsidRPr="00E9768C">
        <w:rPr>
          <w:rFonts w:ascii="Times New Roman" w:hAnsi="Times New Roman" w:cs="Times New Roman"/>
          <w:i/>
          <w:sz w:val="20"/>
          <w:lang w:eastAsia="lt-LT"/>
        </w:rPr>
        <w:t>angl. incremental cost-effectiveness ratio</w:t>
      </w:r>
      <w:r w:rsidRPr="00E9768C">
        <w:rPr>
          <w:rFonts w:ascii="Times New Roman" w:hAnsi="Times New Roman" w:cs="Times New Roman"/>
          <w:iCs/>
          <w:sz w:val="20"/>
          <w:lang w:eastAsia="lt-LT"/>
        </w:rPr>
        <w:t>) inkrementinis kaštų naudingumo koeficientas; LY – (</w:t>
      </w:r>
      <w:r w:rsidRPr="00E9768C">
        <w:rPr>
          <w:rFonts w:ascii="Times New Roman" w:hAnsi="Times New Roman" w:cs="Times New Roman"/>
          <w:i/>
          <w:sz w:val="20"/>
          <w:lang w:eastAsia="lt-LT"/>
        </w:rPr>
        <w:t>angl. life years</w:t>
      </w:r>
      <w:r w:rsidRPr="00E9768C">
        <w:rPr>
          <w:rFonts w:ascii="Times New Roman" w:hAnsi="Times New Roman" w:cs="Times New Roman"/>
          <w:iCs/>
          <w:sz w:val="20"/>
          <w:lang w:eastAsia="lt-LT"/>
        </w:rPr>
        <w:t>) gyvenimo metai; QALY- (</w:t>
      </w:r>
      <w:r w:rsidRPr="00E9768C">
        <w:rPr>
          <w:rFonts w:ascii="Times New Roman" w:hAnsi="Times New Roman" w:cs="Times New Roman"/>
          <w:i/>
          <w:sz w:val="20"/>
          <w:lang w:eastAsia="lt-LT"/>
        </w:rPr>
        <w:t xml:space="preserve">angl. quality adjusted life years) </w:t>
      </w:r>
      <w:r w:rsidRPr="00E9768C">
        <w:rPr>
          <w:rFonts w:ascii="Times New Roman" w:hAnsi="Times New Roman" w:cs="Times New Roman"/>
          <w:iCs/>
          <w:sz w:val="20"/>
          <w:lang w:eastAsia="lt-LT"/>
        </w:rPr>
        <w:t>kokybiški gyvenimo metai.</w:t>
      </w:r>
    </w:p>
    <w:p w14:paraId="1450EB7B" w14:textId="77777777" w:rsidR="006A665A" w:rsidRPr="00E9768C" w:rsidRDefault="006A665A" w:rsidP="0027064E">
      <w:pPr>
        <w:tabs>
          <w:tab w:val="left" w:pos="567"/>
        </w:tabs>
        <w:jc w:val="both"/>
        <w:rPr>
          <w:rFonts w:ascii="Times New Roman" w:hAnsi="Times New Roman" w:cs="Times New Roman"/>
          <w:sz w:val="20"/>
        </w:rPr>
      </w:pPr>
      <w:r w:rsidRPr="00E9768C">
        <w:rPr>
          <w:rFonts w:ascii="Times New Roman" w:hAnsi="Times New Roman" w:cs="Times New Roman"/>
          <w:sz w:val="20"/>
        </w:rPr>
        <w:t xml:space="preserve">*Referencinės kaštų naudingumo vertės slenkstis: lengva ligos našta, </w:t>
      </w:r>
      <w:r w:rsidRPr="00E9768C">
        <w:rPr>
          <w:rFonts w:ascii="Times New Roman" w:hAnsi="Times New Roman" w:cs="Times New Roman"/>
          <w:sz w:val="20"/>
          <w:lang w:val="en-US"/>
        </w:rPr>
        <w:t>1 BVP (</w:t>
      </w:r>
      <w:r w:rsidRPr="00E9768C">
        <w:rPr>
          <w:rFonts w:ascii="Times New Roman" w:hAnsi="Times New Roman" w:cs="Times New Roman"/>
          <w:sz w:val="20"/>
        </w:rPr>
        <w:t>20 004 Eur. pagal 2021 m. statistikos duomenis).</w:t>
      </w:r>
    </w:p>
    <w:p w14:paraId="7F668A72" w14:textId="10541EB6" w:rsidR="0027064E" w:rsidRPr="00FD4287" w:rsidRDefault="0027064E" w:rsidP="00FD4287">
      <w:pPr>
        <w:spacing w:after="0" w:line="276" w:lineRule="auto"/>
        <w:ind w:firstLine="450"/>
        <w:jc w:val="both"/>
        <w:rPr>
          <w:rFonts w:ascii="Times New Roman" w:hAnsi="Times New Roman" w:cs="Times New Roman"/>
          <w:color w:val="000000"/>
          <w:sz w:val="24"/>
          <w:szCs w:val="24"/>
        </w:rPr>
      </w:pPr>
      <w:r w:rsidRPr="00632FAC">
        <w:rPr>
          <w:rFonts w:ascii="Times New Roman" w:eastAsia="Arial" w:hAnsi="Times New Roman" w:cs="Times New Roman"/>
          <w:sz w:val="24"/>
          <w:szCs w:val="24"/>
        </w:rPr>
        <w:t xml:space="preserve">Phesgo skiriant derinyje su chemoterapija </w:t>
      </w:r>
      <w:r w:rsidRPr="00632FAC">
        <w:rPr>
          <w:rFonts w:ascii="Times New Roman" w:hAnsi="Times New Roman" w:cs="Times New Roman"/>
          <w:sz w:val="24"/>
          <w:szCs w:val="24"/>
        </w:rPr>
        <w:t xml:space="preserve">neoadjuvantiniam gydymui suaugusiems pacientams, sergantiems žmogaus epidermio augimo faktoriaus receptoriaus 2 (angl. </w:t>
      </w:r>
      <w:r w:rsidRPr="00632FAC">
        <w:rPr>
          <w:rFonts w:ascii="Times New Roman" w:hAnsi="Times New Roman" w:cs="Times New Roman"/>
          <w:i/>
          <w:iCs/>
          <w:sz w:val="24"/>
          <w:szCs w:val="24"/>
        </w:rPr>
        <w:t xml:space="preserve">human epidermal grow factor receptor 2, </w:t>
      </w:r>
      <w:r w:rsidRPr="00632FAC">
        <w:rPr>
          <w:rFonts w:ascii="Times New Roman" w:hAnsi="Times New Roman" w:cs="Times New Roman"/>
          <w:sz w:val="24"/>
          <w:szCs w:val="24"/>
        </w:rPr>
        <w:t xml:space="preserve">toliau </w:t>
      </w:r>
      <w:r w:rsidRPr="00632FAC">
        <w:rPr>
          <w:rFonts w:ascii="Times New Roman" w:hAnsi="Times New Roman" w:cs="Times New Roman"/>
          <w:i/>
          <w:iCs/>
          <w:sz w:val="24"/>
          <w:szCs w:val="24"/>
        </w:rPr>
        <w:t xml:space="preserve">– </w:t>
      </w:r>
      <w:r w:rsidRPr="00632FAC">
        <w:rPr>
          <w:rFonts w:ascii="Times New Roman" w:hAnsi="Times New Roman" w:cs="Times New Roman"/>
          <w:sz w:val="24"/>
          <w:szCs w:val="24"/>
        </w:rPr>
        <w:t>HER2) teigiamu vietiškai išplitusiu, uždegiminiu ar ankstyvosios stadijos krūties vėžiu, kai yra didelė vėžio recidyvo rizika</w:t>
      </w:r>
      <w:r w:rsidRPr="00632FAC">
        <w:rPr>
          <w:rFonts w:ascii="Times New Roman" w:eastAsia="Arial" w:hAnsi="Times New Roman" w:cs="Times New Roman"/>
          <w:sz w:val="24"/>
          <w:szCs w:val="24"/>
        </w:rPr>
        <w:t xml:space="preserve"> </w:t>
      </w:r>
      <w:r w:rsidRPr="00632FAC">
        <w:rPr>
          <w:rFonts w:ascii="Times New Roman" w:hAnsi="Times New Roman" w:cs="Times New Roman"/>
          <w:sz w:val="24"/>
          <w:szCs w:val="24"/>
        </w:rPr>
        <w:t xml:space="preserve">gydymui, viso gyvenimo laiko perspektyvoje iki 79 m., (30 m.; vidutinis pacientų amžius 48,8 m.) yra papildomai laimima 0.14 QALY lyginant su </w:t>
      </w:r>
      <w:r w:rsidRPr="003D5B32">
        <w:rPr>
          <w:rFonts w:ascii="Times New Roman" w:hAnsi="Times New Roman" w:cs="Times New Roman"/>
          <w:sz w:val="24"/>
          <w:szCs w:val="24"/>
        </w:rPr>
        <w:t xml:space="preserve">trastuzumabu, o gydymo Phesgo kaštai yra </w:t>
      </w:r>
      <w:r w:rsidR="00944546">
        <w:rPr>
          <w:rFonts w:ascii="Times New Roman" w:eastAsia="Times New Roman" w:hAnsi="Times New Roman" w:cs="Times New Roman"/>
          <w:sz w:val="24"/>
          <w:szCs w:val="24"/>
          <w:lang w:eastAsia="lt-LT"/>
        </w:rPr>
        <w:t>****</w:t>
      </w:r>
      <w:r w:rsidRPr="003D5B32">
        <w:rPr>
          <w:rFonts w:ascii="Times New Roman" w:hAnsi="Times New Roman" w:cs="Times New Roman"/>
          <w:sz w:val="24"/>
          <w:szCs w:val="24"/>
        </w:rPr>
        <w:t xml:space="preserve"> Eur. didesni nei standartinio šiuo metu Lietuvoje taikomo gydymo (trastuzumabo derinyje su chemoterapija). Apskaičiuotas ICER koeficientas -  </w:t>
      </w:r>
      <w:r w:rsidR="00944546">
        <w:rPr>
          <w:rFonts w:ascii="Times New Roman" w:hAnsi="Times New Roman" w:cs="Times New Roman"/>
          <w:color w:val="000000"/>
          <w:sz w:val="24"/>
          <w:szCs w:val="24"/>
        </w:rPr>
        <w:t>****</w:t>
      </w:r>
      <w:r w:rsidRPr="003D5B32">
        <w:rPr>
          <w:rFonts w:ascii="Times New Roman" w:hAnsi="Times New Roman" w:cs="Times New Roman"/>
          <w:color w:val="000000"/>
          <w:sz w:val="24"/>
          <w:szCs w:val="24"/>
        </w:rPr>
        <w:t xml:space="preserve"> Eur./QALY</w:t>
      </w:r>
      <w:r>
        <w:rPr>
          <w:rFonts w:ascii="Times New Roman" w:hAnsi="Times New Roman" w:cs="Times New Roman"/>
          <w:color w:val="000000"/>
          <w:sz w:val="24"/>
          <w:szCs w:val="24"/>
        </w:rPr>
        <w:t>.</w:t>
      </w:r>
      <w:r w:rsidR="00FD4287">
        <w:rPr>
          <w:rFonts w:ascii="Times New Roman" w:hAnsi="Times New Roman" w:cs="Times New Roman"/>
          <w:color w:val="000000"/>
          <w:sz w:val="24"/>
          <w:szCs w:val="24"/>
        </w:rPr>
        <w:t xml:space="preserve"> A</w:t>
      </w:r>
      <w:r w:rsidRPr="001C59A4">
        <w:rPr>
          <w:rFonts w:ascii="Times New Roman" w:hAnsi="Times New Roman" w:cs="Times New Roman"/>
          <w:sz w:val="24"/>
          <w:szCs w:val="24"/>
        </w:rPr>
        <w:t xml:space="preserve">tkreipiamas dėmesys, kad Phesgo sveikatai sukuriamos naudos pranašumas lyginant su trastuzumabu – minimalus (0,14 QALYS). Tokiais atvejais įprastai yra formuojama rekomendacijos išvada,  kad sveikatai sukuriama nauda yra panaši (esminių skirtumų nenustatyta) ir vertinami tik kaštų skirtumai. </w:t>
      </w:r>
    </w:p>
    <w:p w14:paraId="1BDA4388" w14:textId="77777777" w:rsidR="00FD4287" w:rsidRPr="00F144B3" w:rsidRDefault="00FD4287" w:rsidP="00FD4287">
      <w:pPr>
        <w:spacing w:after="0" w:line="276" w:lineRule="auto"/>
        <w:ind w:firstLine="450"/>
        <w:jc w:val="both"/>
        <w:rPr>
          <w:rFonts w:ascii="Times New Roman" w:hAnsi="Times New Roman" w:cs="Times New Roman"/>
          <w:sz w:val="24"/>
          <w:szCs w:val="24"/>
        </w:rPr>
      </w:pPr>
      <w:r w:rsidRPr="001C59A4">
        <w:rPr>
          <w:rFonts w:ascii="Times New Roman" w:hAnsi="Times New Roman" w:cs="Times New Roman"/>
          <w:sz w:val="24"/>
          <w:szCs w:val="24"/>
        </w:rPr>
        <w:t xml:space="preserve">Tarnyba vertina, kad kaštų analizė pasižymi dideliais neapibrėžtumais dėl modelio struktūros: ekonominėje analizėje yra įtraukiami </w:t>
      </w:r>
      <w:r w:rsidRPr="001C59A4">
        <w:rPr>
          <w:rFonts w:ascii="Times New Roman" w:eastAsia="Arial" w:hAnsi="Times New Roman" w:cs="Times New Roman"/>
          <w:sz w:val="24"/>
          <w:szCs w:val="24"/>
          <w:lang w:val="en-US"/>
        </w:rPr>
        <w:t xml:space="preserve">klinikiniai duomenys iš skirtingų klinikinių tyrimų (gydymo poveikis vertinamas įtraukiant tiek neoadjuvantinio tiek adjuvantinio gydymo klinikinius rezultatus, modeliuojamas metastazavusio krūties vėžio gydymas). Toks modeliavimas lemia, kad yra įtraukiami skirtingų tyrimų populiacijų duomenys, nėra aiškus efekto dydis tarp palyginamųjų, adjuvantinio gydymo metu sukuriamas gydymo efektas galimai lemia neoadjuvantinio gydymo efekto pervertinimą: </w:t>
      </w:r>
      <w:r w:rsidRPr="001C59A4">
        <w:rPr>
          <w:rFonts w:ascii="Times New Roman" w:hAnsi="Times New Roman" w:cs="Times New Roman"/>
          <w:sz w:val="24"/>
          <w:szCs w:val="24"/>
        </w:rPr>
        <w:t>Phesgo gydymo poveikis galimai yra sukuriamas arba papildomas, atsižvelgiant, kad modeliuojant klinikinių įvykių (ligos pasikartojimo, mirčių) atvejus remiamasi adjuvantinio</w:t>
      </w:r>
      <w:r>
        <w:rPr>
          <w:rFonts w:ascii="Times New Roman" w:hAnsi="Times New Roman" w:cs="Times New Roman"/>
          <w:sz w:val="24"/>
          <w:szCs w:val="24"/>
        </w:rPr>
        <w:t xml:space="preserve"> ir tolesnio (ligai metastazavus)</w:t>
      </w:r>
      <w:r w:rsidRPr="001C59A4">
        <w:rPr>
          <w:rFonts w:ascii="Times New Roman" w:hAnsi="Times New Roman" w:cs="Times New Roman"/>
          <w:sz w:val="24"/>
          <w:szCs w:val="24"/>
        </w:rPr>
        <w:t xml:space="preserve"> g</w:t>
      </w:r>
      <w:r>
        <w:rPr>
          <w:rFonts w:ascii="Times New Roman" w:hAnsi="Times New Roman" w:cs="Times New Roman"/>
          <w:sz w:val="24"/>
          <w:szCs w:val="24"/>
        </w:rPr>
        <w:t>ydymo metu stebėtais duomenimis</w:t>
      </w:r>
      <w:r w:rsidRPr="001C59A4">
        <w:rPr>
          <w:rFonts w:ascii="Times New Roman" w:hAnsi="Times New Roman" w:cs="Times New Roman"/>
          <w:sz w:val="24"/>
          <w:szCs w:val="24"/>
        </w:rPr>
        <w:t xml:space="preserve">. </w:t>
      </w:r>
      <w:r>
        <w:rPr>
          <w:rFonts w:ascii="Times New Roman" w:hAnsi="Times New Roman" w:cs="Times New Roman"/>
          <w:sz w:val="24"/>
          <w:szCs w:val="24"/>
        </w:rPr>
        <w:t xml:space="preserve">Pažymėtina, kad KATHERINE klinikinio tyrimo metu pacientams </w:t>
      </w:r>
      <w:r w:rsidRPr="001C59A4">
        <w:rPr>
          <w:rFonts w:ascii="Times New Roman" w:hAnsi="Times New Roman" w:cs="Times New Roman"/>
          <w:sz w:val="24"/>
          <w:szCs w:val="24"/>
        </w:rPr>
        <w:t>neoadjuvantinio gydymo metu Phesgo skiriamas nebuvo</w:t>
      </w:r>
      <w:r>
        <w:rPr>
          <w:rFonts w:ascii="Times New Roman" w:hAnsi="Times New Roman" w:cs="Times New Roman"/>
          <w:sz w:val="24"/>
          <w:szCs w:val="24"/>
        </w:rPr>
        <w:t xml:space="preserve">, </w:t>
      </w:r>
      <w:r w:rsidRPr="001C59A4">
        <w:rPr>
          <w:rFonts w:ascii="Times New Roman" w:hAnsi="Times New Roman" w:cs="Times New Roman"/>
          <w:sz w:val="24"/>
          <w:szCs w:val="24"/>
        </w:rPr>
        <w:t xml:space="preserve">todėl Pareiškėjui modeliuojant, kad neoadjuvantinio gydymo metu bus skiriamas Phesgo, o gydymą tęsiant trastuzumabu emtastinu </w:t>
      </w:r>
      <w:r>
        <w:rPr>
          <w:rFonts w:ascii="Times New Roman" w:hAnsi="Times New Roman" w:cs="Times New Roman"/>
          <w:sz w:val="24"/>
          <w:szCs w:val="24"/>
        </w:rPr>
        <w:t>remiamasi rezultatais</w:t>
      </w:r>
      <w:r w:rsidRPr="001C59A4">
        <w:rPr>
          <w:rFonts w:ascii="Times New Roman" w:hAnsi="Times New Roman" w:cs="Times New Roman"/>
          <w:sz w:val="24"/>
          <w:szCs w:val="24"/>
        </w:rPr>
        <w:t xml:space="preserve">, kaip prieš tai neskyrus Phesgo, </w:t>
      </w:r>
      <w:r>
        <w:rPr>
          <w:rFonts w:ascii="Times New Roman" w:hAnsi="Times New Roman" w:cs="Times New Roman"/>
          <w:sz w:val="24"/>
          <w:szCs w:val="24"/>
        </w:rPr>
        <w:t xml:space="preserve">didina modelio prielaidų neapibrėžtumus. Tarnyba pažymi, kad Phesgo yra skiriamas neoadjuvantinio ankstyvojo krūties vėžio gydymo etape (gydymas skiriamas per pirmuosius 4 mėn.), tačiau ekonominė analizė atliekama viso gyvenimo laiko perspektyvoje, ektrapoliacijai ilguoju laikotarpiu duomenis adaptuojant adjuvantinio ir metastazavusios ligos klinikinių tyrimų rezultatais. </w:t>
      </w:r>
      <w:r w:rsidRPr="001C59A4">
        <w:rPr>
          <w:rFonts w:ascii="Times New Roman" w:eastAsia="Arial" w:hAnsi="Times New Roman" w:cs="Times New Roman"/>
          <w:sz w:val="24"/>
          <w:szCs w:val="24"/>
          <w:lang w:val="en-US"/>
        </w:rPr>
        <w:t xml:space="preserve">Tarnyba atkreipia dėmesį, kad neoadjuvantinio gydymo </w:t>
      </w:r>
      <w:r w:rsidRPr="001C59A4">
        <w:rPr>
          <w:rStyle w:val="normaltextrun"/>
          <w:rFonts w:ascii="Times New Roman" w:hAnsi="Times New Roman" w:cs="Times New Roman"/>
          <w:color w:val="000000"/>
          <w:sz w:val="24"/>
          <w:szCs w:val="24"/>
        </w:rPr>
        <w:t xml:space="preserve">klinikinių tyrimų vertinamosios baigtys yra orientuotos į surogatinių baigčių vertinimą (pilną visiško atsako pasiekimą), trumpalaikėje perspektyvoje, nėra brandžių IBLP ir BI duomenų ir prieštaringai adjuvantinio gydymo metu (bei ligai metastazavus) yra vertinami </w:t>
      </w:r>
      <w:r w:rsidRPr="001C59A4">
        <w:rPr>
          <w:rFonts w:ascii="Times New Roman" w:eastAsia="Arial" w:hAnsi="Times New Roman" w:cs="Times New Roman"/>
          <w:sz w:val="24"/>
          <w:szCs w:val="24"/>
          <w:lang w:val="en-US"/>
        </w:rPr>
        <w:t xml:space="preserve">IBLP ir BI duomenys ilgalaikėje perspektyvoje (nėra vertinamos surogatinės baigtys). Tai lemia didelius neapibrėžtumus vertinant sąsajas tarp surogatinių baigčių ir gydymo poveikio vertinant išgyvenamumą ilgojo laikotarpio perspektyvoje. </w:t>
      </w:r>
    </w:p>
    <w:p w14:paraId="1F5D85A9" w14:textId="2E669D14" w:rsidR="00FD4287" w:rsidRDefault="00FD4287" w:rsidP="00FD4287">
      <w:pPr>
        <w:spacing w:after="0" w:line="276" w:lineRule="auto"/>
        <w:ind w:firstLine="450"/>
        <w:jc w:val="both"/>
        <w:rPr>
          <w:rFonts w:ascii="Times New Roman" w:hAnsi="Times New Roman" w:cs="Times New Roman"/>
          <w:bCs/>
          <w:color w:val="000000" w:themeColor="text1"/>
          <w:sz w:val="24"/>
          <w:szCs w:val="24"/>
        </w:rPr>
      </w:pPr>
      <w:r w:rsidRPr="00852090">
        <w:rPr>
          <w:rFonts w:ascii="Times New Roman" w:hAnsi="Times New Roman" w:cs="Times New Roman"/>
          <w:bCs/>
          <w:color w:val="000000" w:themeColor="text1"/>
          <w:sz w:val="24"/>
          <w:szCs w:val="24"/>
          <w:lang w:eastAsia="lt-LT"/>
        </w:rPr>
        <w:t>Tarnyba atkreipia dėmesį, kad įprastinės atvejo analizės rezultatas (ICER</w:t>
      </w:r>
      <w:r w:rsidRPr="00852090">
        <w:rPr>
          <w:rFonts w:ascii="Times New Roman" w:hAnsi="Times New Roman" w:cs="Times New Roman"/>
          <w:bCs/>
          <w:color w:val="000000" w:themeColor="text1"/>
          <w:sz w:val="24"/>
          <w:szCs w:val="24"/>
          <w:lang w:val="en-US" w:eastAsia="lt-LT"/>
        </w:rPr>
        <w:t>=</w:t>
      </w:r>
      <w:r w:rsidR="00944546">
        <w:rPr>
          <w:rFonts w:ascii="Times New Roman" w:hAnsi="Times New Roman" w:cs="Times New Roman"/>
          <w:bCs/>
          <w:color w:val="000000" w:themeColor="text1"/>
          <w:sz w:val="24"/>
          <w:szCs w:val="24"/>
        </w:rPr>
        <w:t>****</w:t>
      </w:r>
      <w:r w:rsidRPr="00852090">
        <w:rPr>
          <w:rFonts w:ascii="Times New Roman" w:hAnsi="Times New Roman" w:cs="Times New Roman"/>
          <w:bCs/>
          <w:color w:val="000000" w:themeColor="text1"/>
          <w:sz w:val="24"/>
          <w:szCs w:val="24"/>
        </w:rPr>
        <w:t xml:space="preserve"> Eur./QALY) atitinka lengvai ligos naštai taikomą referencinę kaštų naudingumo vertę, </w:t>
      </w:r>
      <w:r>
        <w:rPr>
          <w:rFonts w:ascii="Times New Roman" w:hAnsi="Times New Roman" w:cs="Times New Roman"/>
          <w:bCs/>
          <w:color w:val="000000" w:themeColor="text1"/>
          <w:sz w:val="24"/>
          <w:szCs w:val="24"/>
        </w:rPr>
        <w:t xml:space="preserve">kai duomenys yra </w:t>
      </w:r>
      <w:r>
        <w:rPr>
          <w:rFonts w:ascii="Times New Roman" w:hAnsi="Times New Roman" w:cs="Times New Roman"/>
          <w:bCs/>
          <w:color w:val="000000" w:themeColor="text1"/>
          <w:sz w:val="24"/>
          <w:szCs w:val="24"/>
        </w:rPr>
        <w:lastRenderedPageBreak/>
        <w:t>ekstrapoliuojami viso gyvenimo laiko perspektyvoje (30 m.) ir yra taikomas pilnas modeliavimas (įtraukiant sekančių eilių (adjuvantinį ir metastazavusios ligos) gydymo poveikį). Scenarijų atvejai, kai yra vertinamas Phesgo poveikis trumpuoju laikotarpiu (10 m.); neįtraukus ligos progresavimo būklėse sukuriamos sveikatai naudos ir kaštų; keičiant prielaidas, kurios remiasi adjuvantinio gydymo klinikinių tyrimų rezultatais (pVA pasiekusių ir nepasiekusių RS</w:t>
      </w:r>
      <w:r>
        <w:rPr>
          <w:rFonts w:ascii="Times New Roman" w:hAnsi="Times New Roman" w:cs="Times New Roman"/>
          <w:bCs/>
          <w:color w:val="000000" w:themeColor="text1"/>
          <w:sz w:val="24"/>
          <w:szCs w:val="24"/>
          <w:lang w:val="en-US"/>
        </w:rPr>
        <w:t xml:space="preserve">=0.43), rodo, kad  apskaičiuotas </w:t>
      </w:r>
      <w:r w:rsidRPr="00852090">
        <w:rPr>
          <w:rFonts w:ascii="Times New Roman" w:hAnsi="Times New Roman" w:cs="Times New Roman"/>
          <w:bCs/>
          <w:color w:val="000000" w:themeColor="text1"/>
          <w:sz w:val="24"/>
          <w:szCs w:val="24"/>
        </w:rPr>
        <w:t xml:space="preserve">ICER </w:t>
      </w:r>
      <w:r>
        <w:rPr>
          <w:rFonts w:ascii="Times New Roman" w:hAnsi="Times New Roman" w:cs="Times New Roman"/>
          <w:bCs/>
          <w:color w:val="000000" w:themeColor="text1"/>
          <w:sz w:val="24"/>
          <w:szCs w:val="24"/>
        </w:rPr>
        <w:t>neatitinka</w:t>
      </w:r>
      <w:r w:rsidRPr="00852090">
        <w:rPr>
          <w:rFonts w:ascii="Times New Roman" w:hAnsi="Times New Roman" w:cs="Times New Roman"/>
          <w:bCs/>
          <w:color w:val="000000" w:themeColor="text1"/>
          <w:sz w:val="24"/>
          <w:szCs w:val="24"/>
        </w:rPr>
        <w:t xml:space="preserve"> lengvai l</w:t>
      </w:r>
      <w:r>
        <w:rPr>
          <w:rFonts w:ascii="Times New Roman" w:hAnsi="Times New Roman" w:cs="Times New Roman"/>
          <w:bCs/>
          <w:color w:val="000000" w:themeColor="text1"/>
          <w:sz w:val="24"/>
          <w:szCs w:val="24"/>
        </w:rPr>
        <w:t>igos naštai taikomos referencinė</w:t>
      </w:r>
      <w:r w:rsidRPr="0085209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kaštų naudingumo vertės</w:t>
      </w:r>
      <w:r w:rsidRPr="0085209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(&gt;20</w:t>
      </w:r>
      <w:r w:rsidRPr="00852090">
        <w:rPr>
          <w:rFonts w:ascii="Times New Roman" w:hAnsi="Times New Roman" w:cs="Times New Roman"/>
          <w:bCs/>
          <w:color w:val="000000" w:themeColor="text1"/>
          <w:sz w:val="24"/>
          <w:szCs w:val="24"/>
        </w:rPr>
        <w:t>004 Eur./QALY</w:t>
      </w:r>
      <w:r>
        <w:rPr>
          <w:rFonts w:ascii="Times New Roman" w:hAnsi="Times New Roman" w:cs="Times New Roman"/>
          <w:bCs/>
          <w:color w:val="000000" w:themeColor="text1"/>
          <w:sz w:val="24"/>
          <w:szCs w:val="24"/>
        </w:rPr>
        <w:t>) (lentelė 3.1.)</w:t>
      </w:r>
      <w:r w:rsidRPr="0085209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Didelę įtaką turi adjuvantinio gydymo metu taikyto gydymo įsigijimo kaštai (Kadcylos įtraukimas). Šie rezultatai patvirtina modelio neapibrėžtumus, vertinant, kad Phesgo yra skiriamas neoadjuvantinio ankstyvojo krūties vėžio gydymo metu, tačiau didžiausia nauda sugeneruojama ilgalaikėje perspektyvoje, kur duomenų ekstrapoliacijai adaptuojami adjuvantinio/metastazinio vėžio gydymo klinikinių tyrimų rezultatų duomenys ir Phesgo poveikis vertinant ilguoju laikotarpiu (IBLP ir BI) laikomas neapibrėžtu. </w:t>
      </w:r>
    </w:p>
    <w:p w14:paraId="61DD6249" w14:textId="77777777" w:rsidR="00FD4287" w:rsidRDefault="00FD4287" w:rsidP="00FD4287">
      <w:pPr>
        <w:spacing w:after="0" w:line="276" w:lineRule="auto"/>
        <w:ind w:firstLine="450"/>
        <w:jc w:val="both"/>
        <w:rPr>
          <w:rFonts w:ascii="Times New Roman" w:hAnsi="Times New Roman" w:cs="Times New Roman"/>
          <w:bCs/>
          <w:color w:val="000000" w:themeColor="text1"/>
          <w:sz w:val="24"/>
          <w:szCs w:val="24"/>
        </w:rPr>
      </w:pPr>
    </w:p>
    <w:p w14:paraId="051065B6" w14:textId="77777777" w:rsidR="00FD4287" w:rsidRPr="00FD4287" w:rsidRDefault="00FD4287" w:rsidP="00FD4287">
      <w:pPr>
        <w:spacing w:after="0" w:line="276" w:lineRule="auto"/>
        <w:ind w:firstLine="450"/>
        <w:jc w:val="center"/>
        <w:rPr>
          <w:rFonts w:ascii="Times New Roman" w:hAnsi="Times New Roman" w:cs="Times New Roman"/>
          <w:bCs/>
          <w:color w:val="000000" w:themeColor="text1"/>
        </w:rPr>
      </w:pPr>
      <w:r w:rsidRPr="00FD4287">
        <w:rPr>
          <w:rFonts w:ascii="Times New Roman" w:hAnsi="Times New Roman" w:cs="Times New Roman"/>
          <w:bCs/>
          <w:color w:val="000000" w:themeColor="text1"/>
        </w:rPr>
        <w:t>Lentelė 3.1. Scenarijų analizės atvejai, kai apskaičiuotas ICER viršija lengvai ligos naštai taikomą referencinės kaštų naudingumo vertės slenkstį</w:t>
      </w:r>
    </w:p>
    <w:p w14:paraId="611AACC4" w14:textId="77777777" w:rsidR="0027064E" w:rsidRDefault="0027064E" w:rsidP="0027064E">
      <w:pPr>
        <w:spacing w:after="0" w:line="276" w:lineRule="auto"/>
        <w:ind w:firstLine="450"/>
        <w:jc w:val="both"/>
        <w:rPr>
          <w:rFonts w:ascii="Times New Roman" w:hAnsi="Times New Roman" w:cs="Times New Roman"/>
          <w:color w:val="000000"/>
          <w:sz w:val="24"/>
          <w:szCs w:val="24"/>
        </w:rPr>
      </w:pPr>
    </w:p>
    <w:tbl>
      <w:tblPr>
        <w:tblStyle w:val="Lentelstinklelis"/>
        <w:tblW w:w="9918" w:type="dxa"/>
        <w:jc w:val="center"/>
        <w:tblLayout w:type="fixed"/>
        <w:tblLook w:val="01E0" w:firstRow="1" w:lastRow="1" w:firstColumn="1" w:lastColumn="1" w:noHBand="0" w:noVBand="0"/>
      </w:tblPr>
      <w:tblGrid>
        <w:gridCol w:w="3415"/>
        <w:gridCol w:w="3101"/>
        <w:gridCol w:w="1134"/>
        <w:gridCol w:w="1134"/>
        <w:gridCol w:w="1134"/>
      </w:tblGrid>
      <w:tr w:rsidR="00FD4287" w:rsidRPr="00BE23FE" w14:paraId="5C6C141B" w14:textId="77777777" w:rsidTr="00FE16F8">
        <w:trPr>
          <w:trHeight w:val="244"/>
          <w:jc w:val="center"/>
        </w:trPr>
        <w:tc>
          <w:tcPr>
            <w:tcW w:w="3415" w:type="dxa"/>
          </w:tcPr>
          <w:p w14:paraId="5762B724" w14:textId="77777777" w:rsidR="00FD4287" w:rsidRPr="00BE23FE" w:rsidRDefault="00FD4287" w:rsidP="00FE16F8">
            <w:pPr>
              <w:rPr>
                <w:b/>
              </w:rPr>
            </w:pPr>
            <w:r w:rsidRPr="00BE23FE">
              <w:rPr>
                <w:b/>
              </w:rPr>
              <w:t xml:space="preserve">Parametras ir jo nustatymas </w:t>
            </w:r>
            <w:r>
              <w:rPr>
                <w:b/>
              </w:rPr>
              <w:t xml:space="preserve">įprastinėje (angl. </w:t>
            </w:r>
            <w:r w:rsidRPr="00BE23FE">
              <w:rPr>
                <w:b/>
              </w:rPr>
              <w:t>base-case</w:t>
            </w:r>
            <w:r>
              <w:rPr>
                <w:b/>
              </w:rPr>
              <w:t>) atvejo</w:t>
            </w:r>
            <w:r w:rsidRPr="00BE23FE">
              <w:rPr>
                <w:b/>
              </w:rPr>
              <w:t xml:space="preserve"> analizėje</w:t>
            </w:r>
          </w:p>
        </w:tc>
        <w:tc>
          <w:tcPr>
            <w:tcW w:w="3101" w:type="dxa"/>
          </w:tcPr>
          <w:p w14:paraId="0118B50D" w14:textId="77777777" w:rsidR="00FD4287" w:rsidRPr="00BE23FE" w:rsidRDefault="00FD4287" w:rsidP="00FE16F8">
            <w:pPr>
              <w:rPr>
                <w:b/>
              </w:rPr>
            </w:pPr>
            <w:r w:rsidRPr="00BE23FE">
              <w:rPr>
                <w:b/>
              </w:rPr>
              <w:t>Jautrumo analizės scenarijus</w:t>
            </w:r>
          </w:p>
          <w:p w14:paraId="2BE66673" w14:textId="77777777" w:rsidR="00FD4287" w:rsidRPr="00BE23FE" w:rsidRDefault="00FD4287" w:rsidP="00FE16F8">
            <w:pPr>
              <w:rPr>
                <w:b/>
                <w:highlight w:val="cyan"/>
              </w:rPr>
            </w:pPr>
          </w:p>
        </w:tc>
        <w:tc>
          <w:tcPr>
            <w:tcW w:w="1134" w:type="dxa"/>
          </w:tcPr>
          <w:p w14:paraId="40F5227E" w14:textId="77777777" w:rsidR="00FD4287" w:rsidRPr="000121CD" w:rsidRDefault="00FD4287" w:rsidP="00FE16F8">
            <w:pPr>
              <w:rPr>
                <w:b/>
              </w:rPr>
            </w:pPr>
            <w:r w:rsidRPr="000121CD">
              <w:rPr>
                <w:b/>
              </w:rPr>
              <w:t>Inkr. Kaštai</w:t>
            </w:r>
          </w:p>
          <w:p w14:paraId="17392384" w14:textId="77777777" w:rsidR="00FD4287" w:rsidRPr="000121CD" w:rsidRDefault="00FD4287" w:rsidP="00FE16F8">
            <w:pPr>
              <w:rPr>
                <w:b/>
              </w:rPr>
            </w:pPr>
          </w:p>
          <w:p w14:paraId="061431C2" w14:textId="77777777" w:rsidR="00FD4287" w:rsidRPr="000121CD" w:rsidRDefault="00FD4287" w:rsidP="00FE16F8">
            <w:pPr>
              <w:rPr>
                <w:b/>
              </w:rPr>
            </w:pPr>
          </w:p>
          <w:p w14:paraId="4FC598CC" w14:textId="07CEDFEA" w:rsidR="00FD4287" w:rsidRPr="00FC20A4" w:rsidRDefault="00944546" w:rsidP="00FE16F8">
            <w:pPr>
              <w:rPr>
                <w:b/>
                <w:i/>
                <w:sz w:val="22"/>
                <w:szCs w:val="22"/>
              </w:rPr>
            </w:pPr>
            <w:r>
              <w:rPr>
                <w:b/>
                <w:i/>
                <w:sz w:val="22"/>
                <w:szCs w:val="22"/>
              </w:rPr>
              <w:t>****</w:t>
            </w:r>
            <w:r w:rsidR="00FD4287" w:rsidRPr="00FC20A4">
              <w:rPr>
                <w:b/>
                <w:i/>
                <w:sz w:val="22"/>
                <w:szCs w:val="22"/>
              </w:rPr>
              <w:t xml:space="preserve"> Eur.</w:t>
            </w:r>
          </w:p>
        </w:tc>
        <w:tc>
          <w:tcPr>
            <w:tcW w:w="1134" w:type="dxa"/>
          </w:tcPr>
          <w:p w14:paraId="6A83A239" w14:textId="77777777" w:rsidR="00FD4287" w:rsidRPr="000121CD" w:rsidRDefault="00FD4287" w:rsidP="00FE16F8">
            <w:pPr>
              <w:rPr>
                <w:b/>
              </w:rPr>
            </w:pPr>
            <w:r w:rsidRPr="000121CD">
              <w:rPr>
                <w:b/>
              </w:rPr>
              <w:t>Inkr. QALYS</w:t>
            </w:r>
          </w:p>
          <w:p w14:paraId="56F355EC" w14:textId="77777777" w:rsidR="00FD4287" w:rsidRPr="000121CD" w:rsidRDefault="00FD4287" w:rsidP="00FE16F8">
            <w:pPr>
              <w:rPr>
                <w:b/>
              </w:rPr>
            </w:pPr>
          </w:p>
          <w:p w14:paraId="50342A2E" w14:textId="77777777" w:rsidR="00FD4287" w:rsidRPr="000121CD" w:rsidRDefault="00FD4287" w:rsidP="00FE16F8">
            <w:pPr>
              <w:rPr>
                <w:b/>
              </w:rPr>
            </w:pPr>
          </w:p>
          <w:p w14:paraId="7C4312AE" w14:textId="522FDA94" w:rsidR="00FD4287" w:rsidRPr="00FC20A4" w:rsidRDefault="00944546" w:rsidP="00FE16F8">
            <w:pPr>
              <w:rPr>
                <w:b/>
                <w:i/>
                <w:sz w:val="22"/>
                <w:szCs w:val="22"/>
              </w:rPr>
            </w:pPr>
            <w:r>
              <w:rPr>
                <w:b/>
                <w:i/>
                <w:sz w:val="22"/>
                <w:szCs w:val="22"/>
              </w:rPr>
              <w:t>****</w:t>
            </w:r>
          </w:p>
        </w:tc>
        <w:tc>
          <w:tcPr>
            <w:tcW w:w="1134" w:type="dxa"/>
          </w:tcPr>
          <w:p w14:paraId="34309399" w14:textId="77777777" w:rsidR="00FD4287" w:rsidRPr="000121CD" w:rsidRDefault="00FD4287" w:rsidP="00FE16F8">
            <w:pPr>
              <w:rPr>
                <w:b/>
              </w:rPr>
            </w:pPr>
            <w:r w:rsidRPr="000121CD">
              <w:rPr>
                <w:b/>
              </w:rPr>
              <w:t>ICER (Kaštai/ QALY)</w:t>
            </w:r>
          </w:p>
          <w:p w14:paraId="469B2E1F" w14:textId="77777777" w:rsidR="00FD4287" w:rsidRPr="000121CD" w:rsidRDefault="00FD4287" w:rsidP="00FE16F8">
            <w:pPr>
              <w:ind w:firstLineChars="100" w:firstLine="221"/>
              <w:rPr>
                <w:rFonts w:ascii="Calibri" w:hAnsi="Calibri" w:cs="Calibri"/>
                <w:b/>
                <w:bCs/>
                <w:color w:val="244062"/>
                <w:sz w:val="22"/>
                <w:szCs w:val="22"/>
              </w:rPr>
            </w:pPr>
          </w:p>
          <w:p w14:paraId="4A45376C" w14:textId="27D901C0" w:rsidR="00FD4287" w:rsidRPr="00FC20A4" w:rsidRDefault="00944546" w:rsidP="00FE16F8">
            <w:pPr>
              <w:ind w:firstLineChars="100" w:firstLine="221"/>
              <w:rPr>
                <w:b/>
                <w:bCs/>
                <w:i/>
                <w:color w:val="244062"/>
                <w:sz w:val="22"/>
                <w:szCs w:val="22"/>
              </w:rPr>
            </w:pPr>
            <w:r>
              <w:rPr>
                <w:b/>
                <w:bCs/>
                <w:i/>
                <w:color w:val="000000" w:themeColor="text1"/>
                <w:sz w:val="22"/>
                <w:szCs w:val="22"/>
              </w:rPr>
              <w:t>****</w:t>
            </w:r>
          </w:p>
        </w:tc>
      </w:tr>
      <w:tr w:rsidR="00FD4287" w:rsidRPr="00A10AE2" w14:paraId="46AC751C" w14:textId="77777777" w:rsidTr="00FE16F8">
        <w:trPr>
          <w:trHeight w:val="244"/>
          <w:jc w:val="center"/>
        </w:trPr>
        <w:tc>
          <w:tcPr>
            <w:tcW w:w="3415" w:type="dxa"/>
            <w:vMerge w:val="restart"/>
            <w:vAlign w:val="center"/>
          </w:tcPr>
          <w:p w14:paraId="394C42E6" w14:textId="77777777" w:rsidR="00FD4287" w:rsidRPr="00FD4287" w:rsidRDefault="00FD4287" w:rsidP="00FD4287">
            <w:pPr>
              <w:pStyle w:val="Sraopastraipa"/>
              <w:ind w:left="0"/>
              <w:rPr>
                <w:bCs/>
                <w:color w:val="000000" w:themeColor="text1"/>
                <w:sz w:val="22"/>
                <w:szCs w:val="22"/>
              </w:rPr>
            </w:pPr>
            <w:r w:rsidRPr="00FD4287">
              <w:rPr>
                <w:bCs/>
                <w:color w:val="000000" w:themeColor="text1"/>
                <w:sz w:val="22"/>
                <w:szCs w:val="22"/>
              </w:rPr>
              <w:t>Laiko perspektyva (horizontas)</w:t>
            </w:r>
          </w:p>
        </w:tc>
        <w:tc>
          <w:tcPr>
            <w:tcW w:w="3101" w:type="dxa"/>
            <w:vAlign w:val="center"/>
          </w:tcPr>
          <w:p w14:paraId="3DAF4B65" w14:textId="77777777" w:rsidR="00FD4287" w:rsidRPr="009279CD" w:rsidRDefault="00FD4287" w:rsidP="00FE16F8">
            <w:pPr>
              <w:rPr>
                <w:bCs/>
                <w:iCs/>
                <w:color w:val="000000" w:themeColor="text1"/>
                <w:sz w:val="22"/>
                <w:szCs w:val="22"/>
              </w:rPr>
            </w:pPr>
            <w:r w:rsidRPr="009279CD">
              <w:rPr>
                <w:bCs/>
                <w:iCs/>
                <w:color w:val="000000" w:themeColor="text1"/>
                <w:sz w:val="22"/>
                <w:szCs w:val="22"/>
              </w:rPr>
              <w:t>20 m.</w:t>
            </w:r>
          </w:p>
        </w:tc>
        <w:tc>
          <w:tcPr>
            <w:tcW w:w="1134" w:type="dxa"/>
            <w:vAlign w:val="center"/>
          </w:tcPr>
          <w:p w14:paraId="08EC335E" w14:textId="5841AB32" w:rsidR="00FD4287" w:rsidRPr="009279CD" w:rsidRDefault="00944546" w:rsidP="00FE16F8">
            <w:pPr>
              <w:rPr>
                <w:bCs/>
                <w:color w:val="000000" w:themeColor="text1"/>
                <w:sz w:val="22"/>
                <w:szCs w:val="22"/>
              </w:rPr>
            </w:pPr>
            <w:r>
              <w:rPr>
                <w:bCs/>
                <w:color w:val="000000" w:themeColor="text1"/>
                <w:sz w:val="22"/>
                <w:szCs w:val="22"/>
              </w:rPr>
              <w:t>****</w:t>
            </w:r>
          </w:p>
          <w:p w14:paraId="687B502C" w14:textId="77777777" w:rsidR="00FD4287" w:rsidRPr="009279CD" w:rsidRDefault="00FD4287" w:rsidP="00FE16F8">
            <w:pPr>
              <w:rPr>
                <w:color w:val="000000" w:themeColor="text1"/>
                <w:sz w:val="22"/>
                <w:szCs w:val="22"/>
              </w:rPr>
            </w:pPr>
          </w:p>
        </w:tc>
        <w:tc>
          <w:tcPr>
            <w:tcW w:w="1134" w:type="dxa"/>
            <w:vAlign w:val="center"/>
          </w:tcPr>
          <w:p w14:paraId="5DBF9C92" w14:textId="6A803F39" w:rsidR="00FD4287" w:rsidRPr="009279CD" w:rsidRDefault="00944546" w:rsidP="00FE16F8">
            <w:pPr>
              <w:rPr>
                <w:bCs/>
                <w:color w:val="000000" w:themeColor="text1"/>
                <w:sz w:val="22"/>
                <w:szCs w:val="22"/>
              </w:rPr>
            </w:pPr>
            <w:r>
              <w:rPr>
                <w:bCs/>
                <w:color w:val="000000" w:themeColor="text1"/>
                <w:sz w:val="22"/>
                <w:szCs w:val="22"/>
              </w:rPr>
              <w:t>****</w:t>
            </w:r>
          </w:p>
          <w:p w14:paraId="1AE67F28" w14:textId="77777777" w:rsidR="00FD4287" w:rsidRPr="009279CD" w:rsidRDefault="00FD4287" w:rsidP="00FE16F8">
            <w:pPr>
              <w:rPr>
                <w:color w:val="000000" w:themeColor="text1"/>
                <w:sz w:val="22"/>
                <w:szCs w:val="22"/>
              </w:rPr>
            </w:pPr>
          </w:p>
        </w:tc>
        <w:tc>
          <w:tcPr>
            <w:tcW w:w="1134" w:type="dxa"/>
            <w:vAlign w:val="center"/>
          </w:tcPr>
          <w:p w14:paraId="17A8ED83" w14:textId="468F5F0F" w:rsidR="00FD4287" w:rsidRPr="009279CD" w:rsidRDefault="00944546" w:rsidP="00FE16F8">
            <w:pPr>
              <w:rPr>
                <w:bCs/>
                <w:color w:val="000000" w:themeColor="text1"/>
                <w:sz w:val="22"/>
                <w:szCs w:val="22"/>
              </w:rPr>
            </w:pPr>
            <w:r>
              <w:rPr>
                <w:bCs/>
                <w:color w:val="000000" w:themeColor="text1"/>
                <w:sz w:val="22"/>
                <w:szCs w:val="22"/>
              </w:rPr>
              <w:t>****</w:t>
            </w:r>
          </w:p>
        </w:tc>
      </w:tr>
      <w:tr w:rsidR="00FD4287" w:rsidRPr="00BE23FE" w14:paraId="4CDA3FAA" w14:textId="77777777" w:rsidTr="00FE16F8">
        <w:trPr>
          <w:trHeight w:val="242"/>
          <w:jc w:val="center"/>
        </w:trPr>
        <w:tc>
          <w:tcPr>
            <w:tcW w:w="3415" w:type="dxa"/>
            <w:vMerge/>
            <w:vAlign w:val="center"/>
          </w:tcPr>
          <w:p w14:paraId="611587B0" w14:textId="77777777" w:rsidR="00FD4287" w:rsidRPr="00FD4287" w:rsidRDefault="00FD4287" w:rsidP="00FE16F8">
            <w:pPr>
              <w:rPr>
                <w:bCs/>
                <w:color w:val="000000" w:themeColor="text1"/>
                <w:sz w:val="22"/>
                <w:szCs w:val="22"/>
              </w:rPr>
            </w:pPr>
          </w:p>
        </w:tc>
        <w:tc>
          <w:tcPr>
            <w:tcW w:w="3101" w:type="dxa"/>
            <w:vAlign w:val="center"/>
          </w:tcPr>
          <w:p w14:paraId="120366F2" w14:textId="77777777" w:rsidR="00FD4287" w:rsidRPr="009279CD" w:rsidRDefault="00FD4287" w:rsidP="00FE16F8">
            <w:pPr>
              <w:rPr>
                <w:bCs/>
                <w:color w:val="000000" w:themeColor="text1"/>
                <w:sz w:val="22"/>
                <w:szCs w:val="22"/>
              </w:rPr>
            </w:pPr>
            <w:r w:rsidRPr="009279CD">
              <w:rPr>
                <w:bCs/>
                <w:color w:val="000000" w:themeColor="text1"/>
                <w:sz w:val="22"/>
                <w:szCs w:val="22"/>
              </w:rPr>
              <w:t>10 m.</w:t>
            </w:r>
          </w:p>
        </w:tc>
        <w:tc>
          <w:tcPr>
            <w:tcW w:w="1134" w:type="dxa"/>
            <w:vAlign w:val="center"/>
          </w:tcPr>
          <w:p w14:paraId="27911CFE" w14:textId="1B004BA6" w:rsidR="00FD4287" w:rsidRPr="000E7F59" w:rsidRDefault="00944546" w:rsidP="00FE16F8">
            <w:pPr>
              <w:rPr>
                <w:bCs/>
                <w:color w:val="000000" w:themeColor="text1"/>
                <w:sz w:val="22"/>
                <w:szCs w:val="22"/>
              </w:rPr>
            </w:pPr>
            <w:r>
              <w:rPr>
                <w:bCs/>
                <w:color w:val="000000" w:themeColor="text1"/>
                <w:sz w:val="22"/>
                <w:szCs w:val="22"/>
              </w:rPr>
              <w:t>****</w:t>
            </w:r>
          </w:p>
          <w:p w14:paraId="05121644" w14:textId="77777777" w:rsidR="00FD4287" w:rsidRPr="000E7F59" w:rsidRDefault="00FD4287" w:rsidP="00FE16F8">
            <w:pPr>
              <w:rPr>
                <w:color w:val="000000" w:themeColor="text1"/>
                <w:sz w:val="22"/>
                <w:szCs w:val="22"/>
              </w:rPr>
            </w:pPr>
          </w:p>
        </w:tc>
        <w:tc>
          <w:tcPr>
            <w:tcW w:w="1134" w:type="dxa"/>
            <w:vAlign w:val="center"/>
          </w:tcPr>
          <w:p w14:paraId="21ECE7F3" w14:textId="6D0E6FE2" w:rsidR="00FD4287" w:rsidRPr="000E7F59" w:rsidRDefault="00944546" w:rsidP="00FE16F8">
            <w:pPr>
              <w:rPr>
                <w:bCs/>
                <w:color w:val="000000" w:themeColor="text1"/>
                <w:sz w:val="22"/>
                <w:szCs w:val="22"/>
              </w:rPr>
            </w:pPr>
            <w:r>
              <w:rPr>
                <w:bCs/>
                <w:color w:val="000000" w:themeColor="text1"/>
                <w:sz w:val="22"/>
                <w:szCs w:val="22"/>
              </w:rPr>
              <w:t>****</w:t>
            </w:r>
          </w:p>
          <w:p w14:paraId="188B266D" w14:textId="77777777" w:rsidR="00FD4287" w:rsidRPr="000E7F59" w:rsidRDefault="00FD4287" w:rsidP="00FE16F8">
            <w:pPr>
              <w:rPr>
                <w:color w:val="000000" w:themeColor="text1"/>
                <w:sz w:val="22"/>
                <w:szCs w:val="22"/>
              </w:rPr>
            </w:pPr>
          </w:p>
        </w:tc>
        <w:tc>
          <w:tcPr>
            <w:tcW w:w="1134" w:type="dxa"/>
            <w:vAlign w:val="center"/>
          </w:tcPr>
          <w:p w14:paraId="2D4DF293" w14:textId="610DA978" w:rsidR="00FD4287" w:rsidRPr="000E7F59" w:rsidRDefault="00944546" w:rsidP="00FE16F8">
            <w:pPr>
              <w:rPr>
                <w:bCs/>
                <w:color w:val="FF0000"/>
                <w:sz w:val="22"/>
                <w:szCs w:val="22"/>
              </w:rPr>
            </w:pPr>
            <w:r>
              <w:rPr>
                <w:bCs/>
                <w:color w:val="FF0000"/>
                <w:sz w:val="22"/>
                <w:szCs w:val="22"/>
              </w:rPr>
              <w:t>****</w:t>
            </w:r>
          </w:p>
          <w:p w14:paraId="225FB61D" w14:textId="77777777" w:rsidR="00FD4287" w:rsidRPr="000E7F59" w:rsidRDefault="00FD4287" w:rsidP="00FE16F8">
            <w:pPr>
              <w:rPr>
                <w:color w:val="000000" w:themeColor="text1"/>
                <w:sz w:val="22"/>
                <w:szCs w:val="22"/>
              </w:rPr>
            </w:pPr>
          </w:p>
        </w:tc>
      </w:tr>
      <w:tr w:rsidR="00FD4287" w:rsidRPr="00BE23FE" w14:paraId="1FD81F96" w14:textId="77777777" w:rsidTr="00FE16F8">
        <w:trPr>
          <w:trHeight w:val="244"/>
          <w:jc w:val="center"/>
        </w:trPr>
        <w:tc>
          <w:tcPr>
            <w:tcW w:w="3415" w:type="dxa"/>
            <w:vMerge w:val="restart"/>
            <w:vAlign w:val="center"/>
          </w:tcPr>
          <w:p w14:paraId="6BC94162" w14:textId="77777777" w:rsidR="00FD4287" w:rsidRPr="00FD4287" w:rsidRDefault="00FD4287" w:rsidP="00FD4287">
            <w:pPr>
              <w:pStyle w:val="Sraopastraipa"/>
              <w:tabs>
                <w:tab w:val="left" w:pos="340"/>
              </w:tabs>
              <w:ind w:left="0"/>
              <w:rPr>
                <w:color w:val="000000" w:themeColor="text1"/>
                <w:sz w:val="22"/>
                <w:szCs w:val="22"/>
              </w:rPr>
            </w:pPr>
            <w:r w:rsidRPr="00FD4287">
              <w:rPr>
                <w:color w:val="000000" w:themeColor="text1"/>
                <w:sz w:val="22"/>
                <w:szCs w:val="22"/>
              </w:rPr>
              <w:t>Rizikos santykis taikomas iDFS pVA ir nepasiekusių pVA 95% ribose</w:t>
            </w:r>
          </w:p>
        </w:tc>
        <w:tc>
          <w:tcPr>
            <w:tcW w:w="3101" w:type="dxa"/>
            <w:vAlign w:val="center"/>
          </w:tcPr>
          <w:p w14:paraId="22DE4AA2" w14:textId="77777777" w:rsidR="00FD4287" w:rsidRPr="009279CD" w:rsidRDefault="00FD4287" w:rsidP="00C52D40">
            <w:pPr>
              <w:rPr>
                <w:color w:val="000000" w:themeColor="text1"/>
                <w:sz w:val="22"/>
                <w:szCs w:val="22"/>
              </w:rPr>
            </w:pPr>
            <w:r w:rsidRPr="009279CD">
              <w:rPr>
                <w:color w:val="000000" w:themeColor="text1"/>
                <w:sz w:val="22"/>
                <w:szCs w:val="22"/>
              </w:rPr>
              <w:t>0.25</w:t>
            </w:r>
          </w:p>
        </w:tc>
        <w:tc>
          <w:tcPr>
            <w:tcW w:w="1134" w:type="dxa"/>
            <w:vAlign w:val="center"/>
          </w:tcPr>
          <w:p w14:paraId="44E1F068" w14:textId="29E60315" w:rsidR="00FD4287" w:rsidRPr="009279CD" w:rsidRDefault="00FD4287" w:rsidP="00FE16F8">
            <w:pPr>
              <w:rPr>
                <w:color w:val="000000" w:themeColor="text1"/>
                <w:sz w:val="22"/>
                <w:szCs w:val="22"/>
              </w:rPr>
            </w:pPr>
            <w:r w:rsidRPr="009279CD">
              <w:rPr>
                <w:color w:val="000000" w:themeColor="text1"/>
                <w:sz w:val="22"/>
                <w:szCs w:val="22"/>
              </w:rPr>
              <w:t>-</w:t>
            </w:r>
            <w:r w:rsidR="00944546">
              <w:rPr>
                <w:color w:val="000000" w:themeColor="text1"/>
                <w:sz w:val="22"/>
                <w:szCs w:val="22"/>
              </w:rPr>
              <w:t>****</w:t>
            </w:r>
          </w:p>
        </w:tc>
        <w:tc>
          <w:tcPr>
            <w:tcW w:w="1134" w:type="dxa"/>
            <w:vAlign w:val="center"/>
          </w:tcPr>
          <w:p w14:paraId="2AD0B188" w14:textId="30AC6839" w:rsidR="00FD4287" w:rsidRPr="009279CD" w:rsidRDefault="00944546" w:rsidP="00FE16F8">
            <w:pPr>
              <w:rPr>
                <w:color w:val="000000" w:themeColor="text1"/>
                <w:sz w:val="22"/>
                <w:szCs w:val="22"/>
              </w:rPr>
            </w:pPr>
            <w:r>
              <w:rPr>
                <w:color w:val="000000" w:themeColor="text1"/>
                <w:sz w:val="22"/>
                <w:szCs w:val="22"/>
              </w:rPr>
              <w:t>****</w:t>
            </w:r>
            <w:r w:rsidR="00FD4287" w:rsidRPr="009279CD">
              <w:rPr>
                <w:color w:val="000000" w:themeColor="text1"/>
                <w:sz w:val="22"/>
                <w:szCs w:val="22"/>
              </w:rPr>
              <w:t xml:space="preserve"> </w:t>
            </w:r>
          </w:p>
        </w:tc>
        <w:tc>
          <w:tcPr>
            <w:tcW w:w="1134" w:type="dxa"/>
            <w:vAlign w:val="center"/>
          </w:tcPr>
          <w:p w14:paraId="23376987" w14:textId="53F1D89C" w:rsidR="00FD4287" w:rsidRPr="009279CD" w:rsidRDefault="00FD4287" w:rsidP="00FE16F8">
            <w:pPr>
              <w:rPr>
                <w:color w:val="000000" w:themeColor="text1"/>
                <w:sz w:val="22"/>
                <w:szCs w:val="22"/>
              </w:rPr>
            </w:pPr>
            <w:r w:rsidRPr="009279CD">
              <w:rPr>
                <w:color w:val="000000" w:themeColor="text1"/>
                <w:sz w:val="22"/>
                <w:szCs w:val="22"/>
              </w:rPr>
              <w:t>-</w:t>
            </w:r>
            <w:r w:rsidR="00944546">
              <w:rPr>
                <w:color w:val="000000" w:themeColor="text1"/>
                <w:sz w:val="22"/>
                <w:szCs w:val="22"/>
              </w:rPr>
              <w:t>****</w:t>
            </w:r>
          </w:p>
        </w:tc>
      </w:tr>
      <w:tr w:rsidR="00FD4287" w:rsidRPr="00BE23FE" w14:paraId="5FEED91A" w14:textId="77777777" w:rsidTr="00FE16F8">
        <w:trPr>
          <w:trHeight w:val="487"/>
          <w:jc w:val="center"/>
        </w:trPr>
        <w:tc>
          <w:tcPr>
            <w:tcW w:w="3415" w:type="dxa"/>
            <w:vMerge/>
            <w:vAlign w:val="center"/>
          </w:tcPr>
          <w:p w14:paraId="4140722B" w14:textId="77777777" w:rsidR="00FD4287" w:rsidRPr="00FD4287" w:rsidRDefault="00FD4287" w:rsidP="00FE16F8">
            <w:pPr>
              <w:rPr>
                <w:color w:val="000000" w:themeColor="text1"/>
                <w:sz w:val="22"/>
                <w:szCs w:val="22"/>
              </w:rPr>
            </w:pPr>
          </w:p>
        </w:tc>
        <w:tc>
          <w:tcPr>
            <w:tcW w:w="3101" w:type="dxa"/>
            <w:vAlign w:val="center"/>
          </w:tcPr>
          <w:p w14:paraId="6068A9B2" w14:textId="77777777" w:rsidR="00FD4287" w:rsidRPr="00852090" w:rsidRDefault="00FD4287" w:rsidP="00C52D40">
            <w:pPr>
              <w:rPr>
                <w:color w:val="000000" w:themeColor="text1"/>
                <w:sz w:val="22"/>
                <w:szCs w:val="22"/>
              </w:rPr>
            </w:pPr>
            <w:r w:rsidRPr="00852090">
              <w:rPr>
                <w:color w:val="000000" w:themeColor="text1"/>
                <w:sz w:val="22"/>
                <w:szCs w:val="22"/>
              </w:rPr>
              <w:t>0.43</w:t>
            </w:r>
          </w:p>
        </w:tc>
        <w:tc>
          <w:tcPr>
            <w:tcW w:w="1134" w:type="dxa"/>
            <w:vAlign w:val="center"/>
          </w:tcPr>
          <w:p w14:paraId="2A42F5D8" w14:textId="5F58332A" w:rsidR="00FD4287" w:rsidRPr="00852090" w:rsidRDefault="00944546" w:rsidP="00FE16F8">
            <w:pPr>
              <w:rPr>
                <w:color w:val="000000" w:themeColor="text1"/>
                <w:sz w:val="22"/>
                <w:szCs w:val="22"/>
              </w:rPr>
            </w:pPr>
            <w:r>
              <w:rPr>
                <w:color w:val="000000" w:themeColor="text1"/>
                <w:sz w:val="22"/>
                <w:szCs w:val="22"/>
              </w:rPr>
              <w:t>****</w:t>
            </w:r>
          </w:p>
        </w:tc>
        <w:tc>
          <w:tcPr>
            <w:tcW w:w="1134" w:type="dxa"/>
            <w:vAlign w:val="center"/>
          </w:tcPr>
          <w:p w14:paraId="65DE33B0" w14:textId="49414390" w:rsidR="00FD4287" w:rsidRPr="00852090" w:rsidRDefault="00944546" w:rsidP="00FE16F8">
            <w:pPr>
              <w:rPr>
                <w:color w:val="000000" w:themeColor="text1"/>
                <w:sz w:val="22"/>
                <w:szCs w:val="22"/>
              </w:rPr>
            </w:pPr>
            <w:r>
              <w:rPr>
                <w:color w:val="000000" w:themeColor="text1"/>
                <w:sz w:val="22"/>
                <w:szCs w:val="22"/>
              </w:rPr>
              <w:t>****</w:t>
            </w:r>
          </w:p>
        </w:tc>
        <w:tc>
          <w:tcPr>
            <w:tcW w:w="1134" w:type="dxa"/>
            <w:vAlign w:val="center"/>
          </w:tcPr>
          <w:p w14:paraId="1871C713" w14:textId="18B60CB9" w:rsidR="00FD4287" w:rsidRPr="00852090" w:rsidRDefault="00944546" w:rsidP="00FE16F8">
            <w:pPr>
              <w:rPr>
                <w:color w:val="FF0000"/>
                <w:sz w:val="22"/>
                <w:szCs w:val="22"/>
              </w:rPr>
            </w:pPr>
            <w:r>
              <w:rPr>
                <w:color w:val="FF0000"/>
                <w:sz w:val="22"/>
                <w:szCs w:val="22"/>
              </w:rPr>
              <w:t>****</w:t>
            </w:r>
          </w:p>
        </w:tc>
      </w:tr>
      <w:tr w:rsidR="00FD4287" w:rsidRPr="00BE23FE" w14:paraId="47AD8E29" w14:textId="77777777" w:rsidTr="00FE16F8">
        <w:trPr>
          <w:trHeight w:val="336"/>
          <w:jc w:val="center"/>
        </w:trPr>
        <w:tc>
          <w:tcPr>
            <w:tcW w:w="3415" w:type="dxa"/>
            <w:vMerge w:val="restart"/>
            <w:vAlign w:val="center"/>
          </w:tcPr>
          <w:p w14:paraId="690B92EF" w14:textId="77777777" w:rsidR="00FD4287" w:rsidRPr="00FD4287" w:rsidRDefault="00FD4287" w:rsidP="00FD4287">
            <w:pPr>
              <w:rPr>
                <w:bCs/>
                <w:color w:val="000000" w:themeColor="text1"/>
                <w:sz w:val="22"/>
                <w:szCs w:val="22"/>
              </w:rPr>
            </w:pPr>
            <w:r w:rsidRPr="00FD4287">
              <w:rPr>
                <w:bCs/>
                <w:color w:val="000000" w:themeColor="text1"/>
                <w:sz w:val="22"/>
                <w:szCs w:val="22"/>
              </w:rPr>
              <w:t>Ekonominėje analizėje įtraukiamos visos ligos būklės 30 m. laiko perspektyvoje</w:t>
            </w:r>
          </w:p>
        </w:tc>
        <w:tc>
          <w:tcPr>
            <w:tcW w:w="3101" w:type="dxa"/>
            <w:vAlign w:val="center"/>
          </w:tcPr>
          <w:p w14:paraId="7C10C884" w14:textId="3AD7B12D" w:rsidR="00FD4287" w:rsidRPr="009279CD" w:rsidRDefault="00FD4287" w:rsidP="00FE16F8">
            <w:pPr>
              <w:rPr>
                <w:bCs/>
                <w:color w:val="000000" w:themeColor="text1"/>
                <w:sz w:val="22"/>
                <w:szCs w:val="22"/>
              </w:rPr>
            </w:pPr>
            <w:r w:rsidRPr="009279CD">
              <w:rPr>
                <w:bCs/>
                <w:color w:val="000000" w:themeColor="text1"/>
                <w:sz w:val="22"/>
                <w:szCs w:val="22"/>
              </w:rPr>
              <w:t>Neįtrauktos metasta</w:t>
            </w:r>
            <w:r w:rsidR="00944546">
              <w:rPr>
                <w:bCs/>
                <w:color w:val="000000" w:themeColor="text1"/>
                <w:sz w:val="22"/>
                <w:szCs w:val="22"/>
              </w:rPr>
              <w:t>za</w:t>
            </w:r>
            <w:r w:rsidRPr="009279CD">
              <w:rPr>
                <w:bCs/>
                <w:color w:val="000000" w:themeColor="text1"/>
                <w:sz w:val="22"/>
                <w:szCs w:val="22"/>
              </w:rPr>
              <w:t>vusio gydymo</w:t>
            </w:r>
            <w:r>
              <w:rPr>
                <w:bCs/>
                <w:color w:val="000000" w:themeColor="text1"/>
                <w:sz w:val="22"/>
                <w:szCs w:val="22"/>
              </w:rPr>
              <w:t xml:space="preserve"> eilių</w:t>
            </w:r>
          </w:p>
        </w:tc>
        <w:tc>
          <w:tcPr>
            <w:tcW w:w="1134" w:type="dxa"/>
            <w:vAlign w:val="center"/>
          </w:tcPr>
          <w:p w14:paraId="2AE96D29" w14:textId="7BEDD3CE" w:rsidR="00FD4287" w:rsidRPr="009279CD" w:rsidRDefault="00944546" w:rsidP="00FE16F8">
            <w:pPr>
              <w:rPr>
                <w:color w:val="000000" w:themeColor="text1"/>
                <w:sz w:val="22"/>
                <w:szCs w:val="22"/>
              </w:rPr>
            </w:pPr>
            <w:r>
              <w:rPr>
                <w:color w:val="000000" w:themeColor="text1"/>
                <w:sz w:val="22"/>
                <w:szCs w:val="22"/>
              </w:rPr>
              <w:t>****</w:t>
            </w:r>
          </w:p>
        </w:tc>
        <w:tc>
          <w:tcPr>
            <w:tcW w:w="1134" w:type="dxa"/>
            <w:vAlign w:val="center"/>
          </w:tcPr>
          <w:p w14:paraId="580D8573" w14:textId="2159609D" w:rsidR="00FD4287" w:rsidRPr="009279CD" w:rsidRDefault="00944546" w:rsidP="00FE16F8">
            <w:pPr>
              <w:rPr>
                <w:color w:val="000000" w:themeColor="text1"/>
                <w:sz w:val="22"/>
                <w:szCs w:val="22"/>
              </w:rPr>
            </w:pPr>
            <w:r>
              <w:rPr>
                <w:color w:val="000000" w:themeColor="text1"/>
                <w:sz w:val="22"/>
                <w:szCs w:val="22"/>
              </w:rPr>
              <w:t>****</w:t>
            </w:r>
          </w:p>
        </w:tc>
        <w:tc>
          <w:tcPr>
            <w:tcW w:w="1134" w:type="dxa"/>
            <w:vAlign w:val="center"/>
          </w:tcPr>
          <w:p w14:paraId="19C57887" w14:textId="2A58F293" w:rsidR="00FD4287" w:rsidRPr="00852090" w:rsidRDefault="00944546" w:rsidP="00FE16F8">
            <w:pPr>
              <w:rPr>
                <w:color w:val="FF0000"/>
                <w:sz w:val="22"/>
                <w:szCs w:val="22"/>
              </w:rPr>
            </w:pPr>
            <w:r>
              <w:rPr>
                <w:color w:val="000000" w:themeColor="text1"/>
                <w:sz w:val="22"/>
                <w:szCs w:val="22"/>
              </w:rPr>
              <w:t>****</w:t>
            </w:r>
          </w:p>
        </w:tc>
      </w:tr>
      <w:tr w:rsidR="00FD4287" w:rsidRPr="00BE23FE" w14:paraId="7FED2572" w14:textId="77777777" w:rsidTr="00FE16F8">
        <w:trPr>
          <w:trHeight w:val="731"/>
          <w:jc w:val="center"/>
        </w:trPr>
        <w:tc>
          <w:tcPr>
            <w:tcW w:w="3415" w:type="dxa"/>
            <w:vMerge/>
            <w:vAlign w:val="center"/>
          </w:tcPr>
          <w:p w14:paraId="6833A0CB" w14:textId="77777777" w:rsidR="00FD4287" w:rsidRPr="009279CD" w:rsidRDefault="00FD4287" w:rsidP="00FE16F8">
            <w:pPr>
              <w:rPr>
                <w:bCs/>
                <w:color w:val="000000" w:themeColor="text1"/>
                <w:sz w:val="22"/>
                <w:szCs w:val="22"/>
              </w:rPr>
            </w:pPr>
          </w:p>
        </w:tc>
        <w:tc>
          <w:tcPr>
            <w:tcW w:w="3101" w:type="dxa"/>
            <w:vAlign w:val="center"/>
          </w:tcPr>
          <w:p w14:paraId="1FAC8D26" w14:textId="77777777" w:rsidR="00FD4287" w:rsidRPr="00FD4287" w:rsidRDefault="00FD4287" w:rsidP="00FE16F8">
            <w:pPr>
              <w:rPr>
                <w:b/>
                <w:bCs/>
                <w:color w:val="000000" w:themeColor="text1"/>
                <w:sz w:val="22"/>
                <w:szCs w:val="22"/>
              </w:rPr>
            </w:pPr>
            <w:r w:rsidRPr="00FD4287">
              <w:rPr>
                <w:b/>
                <w:bCs/>
                <w:color w:val="000000" w:themeColor="text1"/>
                <w:sz w:val="22"/>
                <w:szCs w:val="22"/>
              </w:rPr>
              <w:t xml:space="preserve">Kaštai ir sveikatai sukuriama nauda vertinama tik būklėje be invazinio ligos progresavimo (angl. </w:t>
            </w:r>
            <w:r w:rsidRPr="00FD4287">
              <w:rPr>
                <w:b/>
                <w:i/>
                <w:sz w:val="22"/>
                <w:szCs w:val="22"/>
              </w:rPr>
              <w:t xml:space="preserve">invasive disease-free survival, </w:t>
            </w:r>
            <w:r w:rsidRPr="00FD4287">
              <w:rPr>
                <w:b/>
                <w:bCs/>
                <w:i/>
                <w:color w:val="000000" w:themeColor="text1"/>
                <w:sz w:val="22"/>
                <w:szCs w:val="22"/>
              </w:rPr>
              <w:t>iDFS</w:t>
            </w:r>
            <w:r w:rsidRPr="00FD4287">
              <w:rPr>
                <w:b/>
                <w:bCs/>
                <w:color w:val="000000" w:themeColor="text1"/>
                <w:sz w:val="22"/>
                <w:szCs w:val="22"/>
              </w:rPr>
              <w:t>)</w:t>
            </w:r>
          </w:p>
        </w:tc>
        <w:tc>
          <w:tcPr>
            <w:tcW w:w="1134" w:type="dxa"/>
            <w:vAlign w:val="center"/>
          </w:tcPr>
          <w:p w14:paraId="39AFB8E1" w14:textId="4819F978" w:rsidR="00FD4287" w:rsidRPr="00FD4287" w:rsidRDefault="00944546" w:rsidP="00FE16F8">
            <w:pPr>
              <w:rPr>
                <w:b/>
                <w:bCs/>
                <w:color w:val="000000" w:themeColor="text1"/>
                <w:sz w:val="22"/>
                <w:szCs w:val="22"/>
              </w:rPr>
            </w:pPr>
            <w:r>
              <w:rPr>
                <w:b/>
                <w:bCs/>
                <w:color w:val="000000" w:themeColor="text1"/>
                <w:sz w:val="22"/>
                <w:szCs w:val="22"/>
              </w:rPr>
              <w:t>****</w:t>
            </w:r>
          </w:p>
          <w:p w14:paraId="255473EB" w14:textId="77777777" w:rsidR="00FD4287" w:rsidRPr="00FD4287" w:rsidRDefault="00FD4287" w:rsidP="00FE16F8">
            <w:pPr>
              <w:rPr>
                <w:b/>
                <w:color w:val="000000" w:themeColor="text1"/>
                <w:sz w:val="22"/>
                <w:szCs w:val="22"/>
              </w:rPr>
            </w:pPr>
          </w:p>
        </w:tc>
        <w:tc>
          <w:tcPr>
            <w:tcW w:w="1134" w:type="dxa"/>
            <w:vAlign w:val="center"/>
          </w:tcPr>
          <w:p w14:paraId="33EFD297" w14:textId="56F36392" w:rsidR="00FD4287" w:rsidRPr="00FD4287" w:rsidRDefault="00944546" w:rsidP="00FE16F8">
            <w:pPr>
              <w:rPr>
                <w:b/>
                <w:color w:val="000000" w:themeColor="text1"/>
                <w:sz w:val="22"/>
                <w:szCs w:val="22"/>
              </w:rPr>
            </w:pPr>
            <w:r>
              <w:rPr>
                <w:b/>
                <w:color w:val="000000" w:themeColor="text1"/>
                <w:sz w:val="22"/>
                <w:szCs w:val="22"/>
              </w:rPr>
              <w:t>****</w:t>
            </w:r>
          </w:p>
          <w:p w14:paraId="126ECAFE" w14:textId="77777777" w:rsidR="00FD4287" w:rsidRPr="00FD4287" w:rsidRDefault="00FD4287" w:rsidP="00FE16F8">
            <w:pPr>
              <w:rPr>
                <w:b/>
                <w:color w:val="000000" w:themeColor="text1"/>
                <w:sz w:val="22"/>
                <w:szCs w:val="22"/>
              </w:rPr>
            </w:pPr>
          </w:p>
        </w:tc>
        <w:tc>
          <w:tcPr>
            <w:tcW w:w="1134" w:type="dxa"/>
            <w:vAlign w:val="center"/>
          </w:tcPr>
          <w:p w14:paraId="3F6E2779" w14:textId="0379EB8A" w:rsidR="00FD4287" w:rsidRPr="00FD4287" w:rsidRDefault="00944546" w:rsidP="00FE16F8">
            <w:pPr>
              <w:rPr>
                <w:b/>
                <w:color w:val="FF0000"/>
                <w:sz w:val="22"/>
                <w:szCs w:val="22"/>
              </w:rPr>
            </w:pPr>
            <w:r>
              <w:rPr>
                <w:b/>
                <w:color w:val="FF0000"/>
                <w:sz w:val="22"/>
                <w:szCs w:val="22"/>
              </w:rPr>
              <w:t>****</w:t>
            </w:r>
            <w:r w:rsidR="00FD4287" w:rsidRPr="00FD4287">
              <w:rPr>
                <w:b/>
                <w:color w:val="FF0000"/>
                <w:sz w:val="22"/>
                <w:szCs w:val="22"/>
              </w:rPr>
              <w:t xml:space="preserve"> </w:t>
            </w:r>
          </w:p>
        </w:tc>
      </w:tr>
      <w:tr w:rsidR="00FD4287" w:rsidRPr="00BE23FE" w14:paraId="24E3DD19" w14:textId="77777777" w:rsidTr="00FE16F8">
        <w:trPr>
          <w:trHeight w:val="489"/>
          <w:jc w:val="center"/>
        </w:trPr>
        <w:tc>
          <w:tcPr>
            <w:tcW w:w="3415" w:type="dxa"/>
            <w:vMerge/>
            <w:vAlign w:val="center"/>
          </w:tcPr>
          <w:p w14:paraId="47C2741C" w14:textId="77777777" w:rsidR="00FD4287" w:rsidRPr="009279CD" w:rsidRDefault="00FD4287" w:rsidP="00FE16F8">
            <w:pPr>
              <w:rPr>
                <w:bCs/>
                <w:color w:val="000000" w:themeColor="text1"/>
                <w:sz w:val="22"/>
                <w:szCs w:val="22"/>
                <w:lang w:val="en-US"/>
              </w:rPr>
            </w:pPr>
          </w:p>
        </w:tc>
        <w:tc>
          <w:tcPr>
            <w:tcW w:w="3101" w:type="dxa"/>
            <w:vAlign w:val="center"/>
          </w:tcPr>
          <w:p w14:paraId="09ED2D04" w14:textId="77777777" w:rsidR="00FD4287" w:rsidRPr="009279CD" w:rsidRDefault="00FD4287" w:rsidP="00FE16F8">
            <w:pPr>
              <w:rPr>
                <w:bCs/>
                <w:color w:val="000000" w:themeColor="text1"/>
                <w:sz w:val="22"/>
                <w:szCs w:val="22"/>
              </w:rPr>
            </w:pPr>
            <w:r w:rsidRPr="009279CD">
              <w:rPr>
                <w:color w:val="000000" w:themeColor="text1"/>
                <w:sz w:val="22"/>
                <w:szCs w:val="22"/>
              </w:rPr>
              <w:t>tik iDFS kai Phesgo kaina su PVM (perskaičiuota į bazinę)</w:t>
            </w:r>
          </w:p>
        </w:tc>
        <w:tc>
          <w:tcPr>
            <w:tcW w:w="1134" w:type="dxa"/>
            <w:vAlign w:val="center"/>
          </w:tcPr>
          <w:p w14:paraId="6AE4B9EF" w14:textId="16C7D832" w:rsidR="00FD4287" w:rsidRPr="009279CD" w:rsidRDefault="00944546" w:rsidP="00FE16F8">
            <w:pPr>
              <w:jc w:val="both"/>
              <w:rPr>
                <w:bCs/>
                <w:color w:val="000000" w:themeColor="text1"/>
                <w:sz w:val="22"/>
                <w:szCs w:val="22"/>
              </w:rPr>
            </w:pPr>
            <w:r>
              <w:rPr>
                <w:bCs/>
                <w:color w:val="000000" w:themeColor="text1"/>
                <w:sz w:val="22"/>
                <w:szCs w:val="22"/>
              </w:rPr>
              <w:t>****</w:t>
            </w:r>
          </w:p>
          <w:p w14:paraId="63BDEA9A" w14:textId="77777777" w:rsidR="00FD4287" w:rsidRPr="009279CD" w:rsidRDefault="00FD4287" w:rsidP="00FE16F8">
            <w:pPr>
              <w:rPr>
                <w:color w:val="000000" w:themeColor="text1"/>
                <w:sz w:val="22"/>
                <w:szCs w:val="22"/>
              </w:rPr>
            </w:pPr>
          </w:p>
        </w:tc>
        <w:tc>
          <w:tcPr>
            <w:tcW w:w="1134" w:type="dxa"/>
            <w:vAlign w:val="center"/>
          </w:tcPr>
          <w:p w14:paraId="07DDFBA0" w14:textId="0064101F" w:rsidR="00FD4287" w:rsidRPr="009279CD" w:rsidRDefault="00944546" w:rsidP="00FE16F8">
            <w:pPr>
              <w:jc w:val="both"/>
              <w:rPr>
                <w:bCs/>
                <w:color w:val="000000" w:themeColor="text1"/>
                <w:sz w:val="22"/>
                <w:szCs w:val="22"/>
              </w:rPr>
            </w:pPr>
            <w:r>
              <w:rPr>
                <w:bCs/>
                <w:color w:val="000000" w:themeColor="text1"/>
                <w:sz w:val="22"/>
                <w:szCs w:val="22"/>
              </w:rPr>
              <w:t>****</w:t>
            </w:r>
          </w:p>
          <w:p w14:paraId="6A0AEF41" w14:textId="77777777" w:rsidR="00FD4287" w:rsidRPr="009279CD" w:rsidRDefault="00FD4287" w:rsidP="00FE16F8">
            <w:pPr>
              <w:rPr>
                <w:color w:val="000000" w:themeColor="text1"/>
                <w:sz w:val="22"/>
                <w:szCs w:val="22"/>
              </w:rPr>
            </w:pPr>
          </w:p>
        </w:tc>
        <w:tc>
          <w:tcPr>
            <w:tcW w:w="1134" w:type="dxa"/>
            <w:vAlign w:val="center"/>
          </w:tcPr>
          <w:p w14:paraId="4089916A" w14:textId="7C6B9A28" w:rsidR="00FD4287" w:rsidRPr="00852090" w:rsidRDefault="00944546" w:rsidP="00FE16F8">
            <w:pPr>
              <w:jc w:val="both"/>
              <w:rPr>
                <w:color w:val="FF0000"/>
                <w:sz w:val="22"/>
                <w:szCs w:val="22"/>
              </w:rPr>
            </w:pPr>
            <w:r>
              <w:rPr>
                <w:color w:val="FF0000"/>
                <w:sz w:val="22"/>
                <w:szCs w:val="22"/>
              </w:rPr>
              <w:t>****</w:t>
            </w:r>
          </w:p>
          <w:p w14:paraId="789C728F" w14:textId="77777777" w:rsidR="00FD4287" w:rsidRPr="00852090" w:rsidRDefault="00FD4287" w:rsidP="00FE16F8">
            <w:pPr>
              <w:rPr>
                <w:color w:val="FF0000"/>
                <w:sz w:val="22"/>
                <w:szCs w:val="22"/>
              </w:rPr>
            </w:pPr>
          </w:p>
        </w:tc>
      </w:tr>
    </w:tbl>
    <w:p w14:paraId="54A5D961" w14:textId="77777777" w:rsidR="0027064E" w:rsidRPr="0027064E" w:rsidRDefault="0027064E" w:rsidP="0027064E">
      <w:pPr>
        <w:spacing w:after="0" w:line="276" w:lineRule="auto"/>
        <w:ind w:firstLine="450"/>
        <w:jc w:val="both"/>
        <w:rPr>
          <w:rFonts w:ascii="Times New Roman" w:hAnsi="Times New Roman" w:cs="Times New Roman"/>
          <w:bCs/>
          <w:color w:val="000000" w:themeColor="text1"/>
          <w:sz w:val="24"/>
          <w:szCs w:val="24"/>
        </w:rPr>
      </w:pPr>
    </w:p>
    <w:p w14:paraId="79913B25" w14:textId="77777777" w:rsidR="006A665A" w:rsidRPr="0027064E" w:rsidRDefault="006A665A" w:rsidP="0027064E">
      <w:pPr>
        <w:spacing w:after="0" w:line="276" w:lineRule="auto"/>
        <w:ind w:firstLine="450"/>
        <w:jc w:val="both"/>
        <w:rPr>
          <w:rFonts w:ascii="Times New Roman" w:hAnsi="Times New Roman" w:cs="Times New Roman"/>
          <w:color w:val="000000"/>
          <w:sz w:val="24"/>
          <w:szCs w:val="24"/>
        </w:rPr>
      </w:pPr>
      <w:r w:rsidRPr="0026229C">
        <w:rPr>
          <w:rStyle w:val="normaltextrun"/>
          <w:rFonts w:ascii="Times New Roman" w:hAnsi="Times New Roman" w:cs="Times New Roman"/>
          <w:color w:val="000000"/>
          <w:sz w:val="24"/>
          <w:szCs w:val="24"/>
        </w:rPr>
        <w:t xml:space="preserve">Apibendrinant Tarnyba vertina, kad Phesgo skiriant </w:t>
      </w:r>
      <w:r w:rsidRPr="0026229C">
        <w:rPr>
          <w:rFonts w:ascii="Times New Roman" w:hAnsi="Times New Roman" w:cs="Times New Roman"/>
          <w:color w:val="000000"/>
          <w:sz w:val="24"/>
          <w:szCs w:val="24"/>
        </w:rPr>
        <w:t>derinyje su chemoterapija n</w:t>
      </w:r>
      <w:r w:rsidRPr="0026229C">
        <w:rPr>
          <w:rFonts w:ascii="Times New Roman" w:hAnsi="Times New Roman" w:cs="Times New Roman"/>
          <w:bCs/>
          <w:color w:val="000000"/>
          <w:sz w:val="24"/>
          <w:szCs w:val="24"/>
        </w:rPr>
        <w:t xml:space="preserve">eoadjuvantiniam gydymui suaugusiems pacientams, sergantiems žmogaus epidermio augimo faktoriaus receptoriaus 2 (angl. </w:t>
      </w:r>
      <w:r w:rsidRPr="0026229C">
        <w:rPr>
          <w:rFonts w:ascii="Times New Roman" w:hAnsi="Times New Roman" w:cs="Times New Roman"/>
          <w:bCs/>
          <w:iCs/>
          <w:color w:val="000000"/>
          <w:sz w:val="24"/>
          <w:szCs w:val="24"/>
        </w:rPr>
        <w:t xml:space="preserve">human epidermal grow factor receptor 2, </w:t>
      </w:r>
      <w:r w:rsidRPr="0026229C">
        <w:rPr>
          <w:rFonts w:ascii="Times New Roman" w:hAnsi="Times New Roman" w:cs="Times New Roman"/>
          <w:bCs/>
          <w:color w:val="000000"/>
          <w:sz w:val="24"/>
          <w:szCs w:val="24"/>
        </w:rPr>
        <w:t xml:space="preserve">toliau </w:t>
      </w:r>
      <w:r w:rsidRPr="0026229C">
        <w:rPr>
          <w:rFonts w:ascii="Times New Roman" w:hAnsi="Times New Roman" w:cs="Times New Roman"/>
          <w:bCs/>
          <w:iCs/>
          <w:color w:val="000000"/>
          <w:sz w:val="24"/>
          <w:szCs w:val="24"/>
        </w:rPr>
        <w:t xml:space="preserve">– </w:t>
      </w:r>
      <w:r w:rsidRPr="0026229C">
        <w:rPr>
          <w:rFonts w:ascii="Times New Roman" w:hAnsi="Times New Roman" w:cs="Times New Roman"/>
          <w:bCs/>
          <w:color w:val="000000"/>
          <w:sz w:val="24"/>
          <w:szCs w:val="24"/>
        </w:rPr>
        <w:t>HER2) teigiamu vietiškai išplitusiu, uždegiminiu ar ankstyvosios stadijos krūties vėžiu, kai yra didelė vėžio recidyvo rizika,</w:t>
      </w:r>
      <w:r w:rsidRPr="0026229C">
        <w:rPr>
          <w:rStyle w:val="normaltextrun"/>
          <w:rFonts w:ascii="Times New Roman" w:hAnsi="Times New Roman" w:cs="Times New Roman"/>
          <w:color w:val="000000"/>
          <w:sz w:val="24"/>
          <w:szCs w:val="24"/>
        </w:rPr>
        <w:t xml:space="preserve"> gydymas sukuria sveikatos pranašumą trumpalaikėje perspektyvoje, tačiau sveikatai sukuriama nauda ilgalaikėje perspektyvoje nėra</w:t>
      </w:r>
      <w:r w:rsidR="00E9768C">
        <w:rPr>
          <w:rStyle w:val="normaltextrun"/>
          <w:rFonts w:ascii="Times New Roman" w:hAnsi="Times New Roman" w:cs="Times New Roman"/>
          <w:color w:val="000000"/>
          <w:sz w:val="24"/>
          <w:szCs w:val="24"/>
        </w:rPr>
        <w:t xml:space="preserve"> aiški (prognostinio pobūdžio).</w:t>
      </w:r>
    </w:p>
    <w:p w14:paraId="539703A2" w14:textId="77777777" w:rsidR="00616556" w:rsidRPr="00616556" w:rsidRDefault="00616556" w:rsidP="00616556">
      <w:pPr>
        <w:tabs>
          <w:tab w:val="left" w:pos="426"/>
        </w:tabs>
        <w:spacing w:after="0" w:line="240" w:lineRule="auto"/>
        <w:rPr>
          <w:rFonts w:ascii="Times New Roman" w:eastAsia="Times New Roman" w:hAnsi="Times New Roman" w:cs="Times New Roman"/>
          <w:b/>
          <w:bCs/>
          <w:caps/>
          <w:sz w:val="24"/>
          <w:szCs w:val="24"/>
          <w:lang w:eastAsia="en-GB"/>
        </w:rPr>
      </w:pPr>
    </w:p>
    <w:p w14:paraId="63734E2B" w14:textId="77777777" w:rsidR="00616556" w:rsidRPr="00616556" w:rsidRDefault="00616556" w:rsidP="00616556">
      <w:pPr>
        <w:numPr>
          <w:ilvl w:val="0"/>
          <w:numId w:val="1"/>
        </w:numPr>
        <w:tabs>
          <w:tab w:val="left" w:pos="567"/>
        </w:tabs>
        <w:spacing w:after="0" w:line="240" w:lineRule="auto"/>
        <w:ind w:hanging="720"/>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lastRenderedPageBreak/>
        <w:t xml:space="preserve">Pacientų organizacijų pateikti duomenys </w:t>
      </w:r>
    </w:p>
    <w:p w14:paraId="598AAC2C" w14:textId="77777777" w:rsidR="00616556" w:rsidRPr="00616556" w:rsidRDefault="00616556" w:rsidP="00616556">
      <w:pPr>
        <w:spacing w:after="120" w:line="240" w:lineRule="auto"/>
        <w:jc w:val="both"/>
        <w:rPr>
          <w:rFonts w:ascii="Times New Roman" w:eastAsia="Times New Roman" w:hAnsi="Times New Roman" w:cs="Times New Roman"/>
          <w:sz w:val="24"/>
          <w:szCs w:val="24"/>
          <w:lang w:eastAsia="en-GB"/>
        </w:rPr>
      </w:pPr>
      <w:r w:rsidRPr="00616556">
        <w:rPr>
          <w:rFonts w:ascii="MS Gothic" w:eastAsia="MS Gothic" w:hAnsi="MS Gothic" w:cs="Times New Roman" w:hint="eastAsia"/>
          <w:sz w:val="32"/>
          <w:szCs w:val="24"/>
          <w:lang w:eastAsia="en-GB"/>
        </w:rPr>
        <w:t>☐</w:t>
      </w:r>
      <w:r w:rsidRPr="00616556">
        <w:rPr>
          <w:rFonts w:ascii="Times New Roman" w:eastAsia="Times New Roman" w:hAnsi="Times New Roman" w:cs="Times New Roman"/>
          <w:sz w:val="24"/>
          <w:szCs w:val="24"/>
          <w:lang w:eastAsia="en-GB"/>
        </w:rPr>
        <w:t xml:space="preserve"> Pacientų organizacijos pozicija pateikta. Žr. priedą.</w:t>
      </w:r>
    </w:p>
    <w:p w14:paraId="37FC0B0C" w14:textId="77777777" w:rsidR="00616556" w:rsidRPr="00616556" w:rsidRDefault="00616556" w:rsidP="00616556">
      <w:pPr>
        <w:spacing w:after="120" w:line="240" w:lineRule="auto"/>
        <w:jc w:val="both"/>
        <w:rPr>
          <w:rFonts w:ascii="Times New Roman" w:eastAsia="Times New Roman" w:hAnsi="Times New Roman" w:cs="Times New Roman"/>
          <w:sz w:val="24"/>
          <w:szCs w:val="24"/>
          <w:lang w:eastAsia="en-GB"/>
        </w:rPr>
      </w:pPr>
      <w:r w:rsidRPr="00616556">
        <w:rPr>
          <w:rFonts w:ascii="MS Gothic" w:eastAsia="MS Gothic" w:hAnsi="MS Gothic" w:cs="Times New Roman" w:hint="eastAsia"/>
          <w:sz w:val="32"/>
          <w:szCs w:val="24"/>
          <w:lang w:eastAsia="en-GB"/>
        </w:rPr>
        <w:t>☒</w:t>
      </w:r>
      <w:r w:rsidRPr="00616556">
        <w:rPr>
          <w:rFonts w:ascii="Times New Roman" w:eastAsia="Times New Roman" w:hAnsi="Times New Roman" w:cs="Times New Roman"/>
          <w:sz w:val="24"/>
          <w:szCs w:val="24"/>
          <w:lang w:eastAsia="en-GB"/>
        </w:rPr>
        <w:t xml:space="preserve"> Pacientų organizacijos pozicija nepateikta.</w:t>
      </w:r>
    </w:p>
    <w:p w14:paraId="5B4096E3" w14:textId="77777777" w:rsidR="00616556" w:rsidRPr="00ED539A" w:rsidRDefault="00616556" w:rsidP="00616556">
      <w:pPr>
        <w:spacing w:after="120" w:line="240" w:lineRule="auto"/>
        <w:jc w:val="both"/>
        <w:rPr>
          <w:rFonts w:ascii="Times New Roman" w:eastAsia="Times New Roman" w:hAnsi="Times New Roman" w:cs="Times New Roman"/>
          <w:sz w:val="24"/>
          <w:szCs w:val="24"/>
          <w:lang w:val="en-US" w:eastAsia="en-GB"/>
        </w:rPr>
      </w:pPr>
    </w:p>
    <w:p w14:paraId="57E95FE6" w14:textId="77777777" w:rsidR="00616556" w:rsidRPr="00616556" w:rsidRDefault="00616556" w:rsidP="00616556">
      <w:pPr>
        <w:numPr>
          <w:ilvl w:val="0"/>
          <w:numId w:val="1"/>
        </w:numPr>
        <w:tabs>
          <w:tab w:val="left" w:pos="567"/>
        </w:tabs>
        <w:spacing w:after="0" w:line="240" w:lineRule="auto"/>
        <w:ind w:hanging="720"/>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t>Gydytojų organizacijų pateikti duomenys</w:t>
      </w:r>
    </w:p>
    <w:p w14:paraId="2F10E7CD" w14:textId="77777777" w:rsidR="00616556" w:rsidRPr="00616556" w:rsidRDefault="00616556" w:rsidP="00616556">
      <w:pPr>
        <w:spacing w:after="120" w:line="240" w:lineRule="auto"/>
        <w:jc w:val="both"/>
        <w:rPr>
          <w:rFonts w:ascii="Times New Roman" w:eastAsia="Times New Roman" w:hAnsi="Times New Roman" w:cs="Times New Roman"/>
          <w:sz w:val="24"/>
          <w:szCs w:val="24"/>
          <w:lang w:val="en-US" w:eastAsia="en-GB"/>
        </w:rPr>
      </w:pPr>
      <w:r w:rsidRPr="00616556">
        <w:rPr>
          <w:rFonts w:ascii="MS Gothic" w:eastAsia="MS Gothic" w:hAnsi="MS Gothic" w:cs="Times New Roman" w:hint="eastAsia"/>
          <w:sz w:val="32"/>
          <w:szCs w:val="24"/>
          <w:lang w:eastAsia="en-GB"/>
        </w:rPr>
        <w:t>☐</w:t>
      </w:r>
      <w:r w:rsidRPr="00616556">
        <w:rPr>
          <w:rFonts w:ascii="Times New Roman" w:eastAsia="Times New Roman" w:hAnsi="Times New Roman" w:cs="Times New Roman"/>
          <w:sz w:val="24"/>
          <w:szCs w:val="24"/>
          <w:lang w:eastAsia="en-GB"/>
        </w:rPr>
        <w:t xml:space="preserve"> Gydytojų specialistų organizacijos pozicija pateikta. </w:t>
      </w:r>
    </w:p>
    <w:p w14:paraId="369976DE" w14:textId="77777777" w:rsidR="00616556" w:rsidRPr="00616556" w:rsidRDefault="00616556" w:rsidP="00616556">
      <w:pPr>
        <w:spacing w:after="120" w:line="240" w:lineRule="auto"/>
        <w:jc w:val="both"/>
        <w:rPr>
          <w:rFonts w:ascii="Times New Roman" w:eastAsia="Times New Roman" w:hAnsi="Times New Roman" w:cs="Times New Roman"/>
          <w:sz w:val="24"/>
          <w:szCs w:val="24"/>
          <w:lang w:eastAsia="en-GB"/>
        </w:rPr>
      </w:pPr>
      <w:r w:rsidRPr="00616556">
        <w:rPr>
          <w:rFonts w:ascii="MS Gothic" w:eastAsia="MS Gothic" w:hAnsi="MS Gothic" w:cs="Times New Roman" w:hint="eastAsia"/>
          <w:sz w:val="32"/>
          <w:szCs w:val="24"/>
          <w:lang w:eastAsia="en-GB"/>
        </w:rPr>
        <w:t>☒</w:t>
      </w:r>
      <w:r w:rsidRPr="00616556">
        <w:rPr>
          <w:rFonts w:ascii="Times New Roman" w:eastAsia="Times New Roman" w:hAnsi="Times New Roman" w:cs="Times New Roman"/>
          <w:sz w:val="24"/>
          <w:szCs w:val="24"/>
          <w:lang w:eastAsia="en-GB"/>
        </w:rPr>
        <w:t xml:space="preserve"> Gydytojų specialistų organizacijos pozicija nepateikta.</w:t>
      </w:r>
    </w:p>
    <w:p w14:paraId="387202DB" w14:textId="77777777" w:rsidR="00616556" w:rsidRPr="00616556" w:rsidRDefault="00616556" w:rsidP="00616556">
      <w:pPr>
        <w:spacing w:after="120" w:line="240" w:lineRule="auto"/>
        <w:jc w:val="both"/>
        <w:rPr>
          <w:rFonts w:ascii="Times New Roman" w:eastAsia="Times New Roman" w:hAnsi="Times New Roman" w:cs="Times New Roman"/>
          <w:sz w:val="24"/>
          <w:szCs w:val="24"/>
          <w:lang w:eastAsia="en-GB"/>
        </w:rPr>
      </w:pPr>
    </w:p>
    <w:p w14:paraId="08E46E18" w14:textId="77777777" w:rsidR="00616556" w:rsidRPr="00616556" w:rsidRDefault="00616556" w:rsidP="00616556">
      <w:pPr>
        <w:numPr>
          <w:ilvl w:val="0"/>
          <w:numId w:val="1"/>
        </w:numPr>
        <w:tabs>
          <w:tab w:val="left" w:pos="567"/>
        </w:tabs>
        <w:spacing w:after="0" w:line="240" w:lineRule="auto"/>
        <w:ind w:hanging="720"/>
        <w:contextualSpacing/>
        <w:rPr>
          <w:rFonts w:ascii="Times New Roman" w:eastAsia="Times New Roman" w:hAnsi="Times New Roman" w:cs="Times New Roman"/>
          <w:b/>
          <w:bCs/>
          <w:caps/>
          <w:sz w:val="24"/>
          <w:szCs w:val="24"/>
        </w:rPr>
      </w:pPr>
      <w:r w:rsidRPr="00616556">
        <w:rPr>
          <w:rFonts w:ascii="Times New Roman" w:eastAsia="Times New Roman" w:hAnsi="Times New Roman" w:cs="Times New Roman"/>
          <w:b/>
          <w:bCs/>
          <w:caps/>
          <w:sz w:val="24"/>
          <w:szCs w:val="24"/>
        </w:rPr>
        <w:t xml:space="preserve">Išvada </w:t>
      </w:r>
    </w:p>
    <w:p w14:paraId="3E603CBA" w14:textId="77777777" w:rsidR="00616556" w:rsidRPr="00616556" w:rsidRDefault="00616556" w:rsidP="00616556">
      <w:pPr>
        <w:spacing w:after="0" w:line="240" w:lineRule="auto"/>
        <w:rPr>
          <w:rFonts w:ascii="Times New Roman" w:eastAsia="Times New Roman" w:hAnsi="Times New Roman" w:cs="Times New Roman"/>
          <w:i/>
          <w:color w:val="00B050"/>
          <w:sz w:val="24"/>
          <w:lang w:eastAsia="en-GB"/>
        </w:rPr>
      </w:pPr>
    </w:p>
    <w:tbl>
      <w:tblPr>
        <w:tblStyle w:val="Lentelstinklelis"/>
        <w:tblW w:w="9918" w:type="dxa"/>
        <w:jc w:val="center"/>
        <w:tblLook w:val="04A0" w:firstRow="1" w:lastRow="0" w:firstColumn="1" w:lastColumn="0" w:noHBand="0" w:noVBand="1"/>
      </w:tblPr>
      <w:tblGrid>
        <w:gridCol w:w="4815"/>
        <w:gridCol w:w="71"/>
        <w:gridCol w:w="5032"/>
      </w:tblGrid>
      <w:tr w:rsidR="00616556" w:rsidRPr="00616556" w14:paraId="3838B7C7" w14:textId="77777777" w:rsidTr="0023029E">
        <w:trPr>
          <w:trHeight w:val="532"/>
          <w:jc w:val="center"/>
        </w:trPr>
        <w:tc>
          <w:tcPr>
            <w:tcW w:w="4886" w:type="dxa"/>
            <w:gridSpan w:val="2"/>
            <w:vAlign w:val="center"/>
          </w:tcPr>
          <w:p w14:paraId="0D067348"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 w:val="24"/>
                <w:szCs w:val="24"/>
                <w:lang w:eastAsia="en-GB"/>
              </w:rPr>
            </w:pPr>
            <w:r w:rsidRPr="00616556">
              <w:rPr>
                <w:rFonts w:eastAsia="MS Gothic"/>
                <w:b/>
                <w:bCs/>
                <w:sz w:val="24"/>
                <w:szCs w:val="24"/>
                <w:lang w:eastAsia="en-GB"/>
              </w:rPr>
              <w:t>Rekomenduojama kompensuoti</w:t>
            </w:r>
          </w:p>
        </w:tc>
        <w:tc>
          <w:tcPr>
            <w:tcW w:w="5032" w:type="dxa"/>
            <w:vAlign w:val="center"/>
          </w:tcPr>
          <w:p w14:paraId="4B813E1D"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 w:val="24"/>
                <w:szCs w:val="24"/>
                <w:lang w:eastAsia="en-GB"/>
              </w:rPr>
            </w:pPr>
            <w:r w:rsidRPr="00616556">
              <w:rPr>
                <w:rFonts w:eastAsia="MS Gothic"/>
                <w:b/>
                <w:bCs/>
                <w:sz w:val="24"/>
                <w:szCs w:val="24"/>
                <w:lang w:eastAsia="en-GB"/>
              </w:rPr>
              <w:t>Rekomenduojama nekompensuoti</w:t>
            </w:r>
          </w:p>
        </w:tc>
      </w:tr>
      <w:tr w:rsidR="00616556" w:rsidRPr="00616556" w14:paraId="57E8E11F" w14:textId="77777777" w:rsidTr="0023029E">
        <w:trPr>
          <w:trHeight w:val="494"/>
          <w:jc w:val="center"/>
        </w:trPr>
        <w:tc>
          <w:tcPr>
            <w:tcW w:w="9918" w:type="dxa"/>
            <w:gridSpan w:val="3"/>
            <w:vAlign w:val="center"/>
          </w:tcPr>
          <w:p w14:paraId="72EF0D94"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 w:val="24"/>
                <w:szCs w:val="24"/>
                <w:lang w:eastAsia="en-GB"/>
              </w:rPr>
            </w:pPr>
            <w:r w:rsidRPr="00616556">
              <w:rPr>
                <w:rFonts w:eastAsia="MS Gothic"/>
                <w:b/>
                <w:bCs/>
                <w:sz w:val="24"/>
                <w:szCs w:val="24"/>
                <w:lang w:eastAsia="en-GB"/>
              </w:rPr>
              <w:t>Palyginamasis efektyvumas</w:t>
            </w:r>
          </w:p>
        </w:tc>
      </w:tr>
      <w:tr w:rsidR="00616556" w:rsidRPr="00616556" w14:paraId="4763F79B" w14:textId="77777777" w:rsidTr="0023029E">
        <w:trPr>
          <w:trHeight w:val="1546"/>
          <w:jc w:val="center"/>
        </w:trPr>
        <w:tc>
          <w:tcPr>
            <w:tcW w:w="4886" w:type="dxa"/>
            <w:gridSpan w:val="2"/>
          </w:tcPr>
          <w:p w14:paraId="1C1153EE"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MS Gothic" w:eastAsia="MS Gothic" w:hAnsi="MS Gothic" w:hint="eastAsia"/>
                <w:sz w:val="24"/>
                <w:lang w:eastAsia="en-GB"/>
              </w:rPr>
              <w:t>☒</w:t>
            </w:r>
            <w:r w:rsidRPr="00616556">
              <w:rPr>
                <w:szCs w:val="24"/>
                <w:lang w:eastAsia="en-GB"/>
              </w:rPr>
              <w:t xml:space="preserve"> 32.1. yra didesnis</w:t>
            </w:r>
          </w:p>
          <w:p w14:paraId="5FCD99FD"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p>
          <w:p w14:paraId="6D997884"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en-GB"/>
              </w:rPr>
            </w:pPr>
            <w:r w:rsidRPr="00616556">
              <w:rPr>
                <w:rFonts w:ascii="MS Gothic" w:eastAsia="MS Gothic" w:hAnsi="MS Gothic" w:hint="eastAsia"/>
                <w:sz w:val="24"/>
                <w:lang w:eastAsia="en-GB"/>
              </w:rPr>
              <w:t>☐</w:t>
            </w:r>
            <w:r w:rsidRPr="00616556">
              <w:rPr>
                <w:szCs w:val="24"/>
                <w:lang w:eastAsia="en-GB"/>
              </w:rPr>
              <w:t xml:space="preserve"> 32.1. iš esmės nesiskiria</w:t>
            </w:r>
          </w:p>
        </w:tc>
        <w:tc>
          <w:tcPr>
            <w:tcW w:w="5032" w:type="dxa"/>
          </w:tcPr>
          <w:p w14:paraId="33B15897"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Segoe UI Symbol" w:eastAsia="MS Gothic" w:hAnsi="Segoe UI Symbol" w:cs="Segoe UI Symbol"/>
                <w:sz w:val="24"/>
                <w:szCs w:val="24"/>
                <w:lang w:eastAsia="en-GB"/>
              </w:rPr>
              <w:t>☐</w:t>
            </w:r>
            <w:r w:rsidRPr="00616556">
              <w:rPr>
                <w:szCs w:val="24"/>
                <w:lang w:eastAsia="en-GB"/>
              </w:rPr>
              <w:t xml:space="preserve"> 33.1. yra mažesnis</w:t>
            </w:r>
          </w:p>
          <w:p w14:paraId="35A05D6A"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p>
          <w:p w14:paraId="642C8D10"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Segoe UI Symbol" w:eastAsia="MS Gothic" w:hAnsi="Segoe UI Symbol" w:cs="Segoe UI Symbol"/>
                <w:sz w:val="24"/>
                <w:szCs w:val="24"/>
                <w:lang w:eastAsia="en-GB"/>
              </w:rPr>
              <w:t>☐</w:t>
            </w:r>
            <w:r w:rsidRPr="00616556">
              <w:rPr>
                <w:szCs w:val="24"/>
                <w:lang w:eastAsia="en-GB"/>
              </w:rPr>
              <w:t xml:space="preserve"> 33.1. yra neįrodytas kaip toks pat</w:t>
            </w:r>
          </w:p>
          <w:p w14:paraId="1C2C8BB0"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p>
          <w:p w14:paraId="73F78F7D"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Segoe UI Symbol" w:eastAsia="MS Gothic" w:hAnsi="Segoe UI Symbol" w:cs="Segoe UI Symbol"/>
                <w:sz w:val="24"/>
                <w:szCs w:val="24"/>
                <w:lang w:eastAsia="en-GB"/>
              </w:rPr>
              <w:t>☐</w:t>
            </w:r>
            <w:r w:rsidRPr="00616556">
              <w:rPr>
                <w:szCs w:val="24"/>
                <w:lang w:eastAsia="en-GB"/>
              </w:rPr>
              <w:t xml:space="preserve"> 33.1. yra neįrodytas kaip didesnis</w:t>
            </w:r>
          </w:p>
          <w:p w14:paraId="7B48A338"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p>
          <w:p w14:paraId="2CAAA271"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MS Gothic" w:eastAsia="MS Gothic" w:hAnsi="MS Gothic" w:hint="eastAsia"/>
                <w:sz w:val="24"/>
                <w:szCs w:val="24"/>
                <w:lang w:eastAsia="en-GB"/>
              </w:rPr>
              <w:t>☐</w:t>
            </w:r>
            <w:r w:rsidRPr="00616556">
              <w:rPr>
                <w:szCs w:val="24"/>
                <w:lang w:eastAsia="en-GB"/>
              </w:rPr>
              <w:t xml:space="preserve"> 33.1. pateikti duomenys apie palyginamąjį efektyvumą yra netinkami vertinti</w:t>
            </w:r>
          </w:p>
          <w:p w14:paraId="29268FB6"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 w:val="24"/>
                <w:szCs w:val="24"/>
                <w:lang w:eastAsia="en-GB"/>
              </w:rPr>
            </w:pPr>
          </w:p>
        </w:tc>
      </w:tr>
      <w:tr w:rsidR="00616556" w:rsidRPr="00616556" w14:paraId="78CC5624" w14:textId="77777777" w:rsidTr="0023029E">
        <w:trPr>
          <w:trHeight w:val="485"/>
          <w:jc w:val="center"/>
        </w:trPr>
        <w:tc>
          <w:tcPr>
            <w:tcW w:w="9918" w:type="dxa"/>
            <w:gridSpan w:val="3"/>
            <w:vAlign w:val="center"/>
          </w:tcPr>
          <w:p w14:paraId="611EE1E1"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 w:val="24"/>
                <w:szCs w:val="24"/>
                <w:lang w:eastAsia="en-GB"/>
              </w:rPr>
            </w:pPr>
            <w:r w:rsidRPr="00616556">
              <w:rPr>
                <w:rFonts w:eastAsia="MS Gothic"/>
                <w:b/>
                <w:bCs/>
                <w:sz w:val="24"/>
                <w:szCs w:val="24"/>
                <w:lang w:eastAsia="en-GB"/>
              </w:rPr>
              <w:t>Klinikinis veiksmingumas</w:t>
            </w:r>
          </w:p>
        </w:tc>
      </w:tr>
      <w:tr w:rsidR="00616556" w:rsidRPr="00616556" w14:paraId="2CABEBE2" w14:textId="77777777" w:rsidTr="0023029E">
        <w:trPr>
          <w:jc w:val="center"/>
        </w:trPr>
        <w:tc>
          <w:tcPr>
            <w:tcW w:w="4886" w:type="dxa"/>
            <w:gridSpan w:val="2"/>
          </w:tcPr>
          <w:p w14:paraId="5211A860"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MS Gothic" w:eastAsia="MS Gothic" w:hAnsi="MS Gothic" w:hint="eastAsia"/>
                <w:sz w:val="24"/>
                <w:lang w:eastAsia="en-GB"/>
              </w:rPr>
              <w:t>☒</w:t>
            </w:r>
            <w:r w:rsidRPr="00616556">
              <w:rPr>
                <w:szCs w:val="24"/>
                <w:lang w:eastAsia="en-GB"/>
              </w:rPr>
              <w:t xml:space="preserve"> 32.2. yra įvertintas kaip pagrindžiantis papildomos naudos pacientų sveikatai sukūrimą</w:t>
            </w:r>
          </w:p>
          <w:p w14:paraId="0A754A1D"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p>
          <w:p w14:paraId="50A8E8D7"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en-GB"/>
              </w:rPr>
            </w:pPr>
            <w:r w:rsidRPr="00616556">
              <w:rPr>
                <w:rFonts w:ascii="MS Gothic" w:eastAsia="MS Gothic" w:hAnsi="MS Gothic" w:hint="eastAsia"/>
                <w:sz w:val="24"/>
                <w:lang w:eastAsia="en-GB"/>
              </w:rPr>
              <w:t>☐</w:t>
            </w:r>
            <w:r w:rsidRPr="00616556">
              <w:rPr>
                <w:szCs w:val="24"/>
                <w:lang w:eastAsia="en-GB"/>
              </w:rPr>
              <w:t xml:space="preserve"> 32.2. yra įvertintas kaip pagrindžiantis nesiskiriančios naudos pacientų sveikatai sukūrimą</w:t>
            </w:r>
          </w:p>
          <w:p w14:paraId="7AF963AF"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 w:val="24"/>
                <w:szCs w:val="24"/>
                <w:lang w:eastAsia="en-GB"/>
              </w:rPr>
            </w:pPr>
          </w:p>
        </w:tc>
        <w:tc>
          <w:tcPr>
            <w:tcW w:w="5032" w:type="dxa"/>
          </w:tcPr>
          <w:p w14:paraId="4C7219C6" w14:textId="77777777" w:rsidR="00616556" w:rsidRPr="00616556" w:rsidRDefault="00616556" w:rsidP="00616556">
            <w:pPr>
              <w:jc w:val="both"/>
              <w:rPr>
                <w:szCs w:val="24"/>
                <w:lang w:eastAsia="en-GB"/>
              </w:rPr>
            </w:pPr>
            <w:r w:rsidRPr="00616556">
              <w:rPr>
                <w:rFonts w:ascii="Segoe UI Symbol" w:eastAsia="MS Gothic" w:hAnsi="Segoe UI Symbol" w:cs="Segoe UI Symbol"/>
                <w:sz w:val="24"/>
                <w:szCs w:val="24"/>
                <w:lang w:eastAsia="en-GB"/>
              </w:rPr>
              <w:t>☐</w:t>
            </w:r>
            <w:r w:rsidRPr="00616556">
              <w:rPr>
                <w:szCs w:val="24"/>
                <w:lang w:eastAsia="en-GB"/>
              </w:rPr>
              <w:t xml:space="preserve"> 33.1. yra įvertintas kaip nepagrindžiantis papildomos naudos pacientų sveikatai sukūrimo</w:t>
            </w:r>
          </w:p>
          <w:p w14:paraId="50539BAB" w14:textId="77777777" w:rsidR="00616556" w:rsidRPr="00616556" w:rsidRDefault="00616556" w:rsidP="00616556">
            <w:pPr>
              <w:jc w:val="both"/>
              <w:rPr>
                <w:szCs w:val="24"/>
                <w:lang w:eastAsia="en-GB"/>
              </w:rPr>
            </w:pPr>
          </w:p>
          <w:p w14:paraId="3287C7B0" w14:textId="77777777" w:rsidR="00616556" w:rsidRPr="00616556" w:rsidRDefault="00616556" w:rsidP="00616556">
            <w:pPr>
              <w:jc w:val="both"/>
              <w:rPr>
                <w:szCs w:val="24"/>
                <w:lang w:eastAsia="en-GB"/>
              </w:rPr>
            </w:pPr>
            <w:r w:rsidRPr="00616556">
              <w:rPr>
                <w:rFonts w:ascii="Segoe UI Symbol" w:eastAsia="MS Gothic" w:hAnsi="Segoe UI Symbol" w:cs="Segoe UI Symbol"/>
                <w:sz w:val="24"/>
                <w:szCs w:val="24"/>
                <w:lang w:eastAsia="en-GB"/>
              </w:rPr>
              <w:t>☐</w:t>
            </w:r>
            <w:r w:rsidRPr="00616556">
              <w:rPr>
                <w:szCs w:val="24"/>
                <w:lang w:eastAsia="en-GB"/>
              </w:rPr>
              <w:t xml:space="preserve"> 33.1. yra įvertintas kaip nepagrindžiantis nesiskiriančios naudos pacientų sveikatai sukūrimo</w:t>
            </w:r>
          </w:p>
          <w:p w14:paraId="1E04793D"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 w:val="24"/>
                <w:szCs w:val="24"/>
                <w:lang w:eastAsia="en-GB"/>
              </w:rPr>
            </w:pPr>
          </w:p>
        </w:tc>
      </w:tr>
      <w:tr w:rsidR="00616556" w:rsidRPr="00616556" w14:paraId="3C1C0C43" w14:textId="77777777" w:rsidTr="0023029E">
        <w:tblPrEx>
          <w:jc w:val="left"/>
        </w:tblPrEx>
        <w:trPr>
          <w:trHeight w:val="510"/>
        </w:trPr>
        <w:tc>
          <w:tcPr>
            <w:tcW w:w="9918" w:type="dxa"/>
            <w:gridSpan w:val="3"/>
            <w:vAlign w:val="center"/>
          </w:tcPr>
          <w:p w14:paraId="5A8504F5"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 w:val="24"/>
                <w:lang w:eastAsia="en-GB"/>
              </w:rPr>
            </w:pPr>
            <w:r w:rsidRPr="00616556">
              <w:rPr>
                <w:rFonts w:eastAsia="MS Gothic"/>
                <w:b/>
                <w:bCs/>
                <w:sz w:val="24"/>
                <w:lang w:eastAsia="en-GB"/>
              </w:rPr>
              <w:t>Kaštų naudingumas</w:t>
            </w:r>
          </w:p>
        </w:tc>
      </w:tr>
      <w:tr w:rsidR="00616556" w:rsidRPr="00616556" w14:paraId="380214E9" w14:textId="77777777" w:rsidTr="0023029E">
        <w:tblPrEx>
          <w:jc w:val="left"/>
        </w:tblPrEx>
        <w:tc>
          <w:tcPr>
            <w:tcW w:w="4815" w:type="dxa"/>
          </w:tcPr>
          <w:p w14:paraId="1B0F3757" w14:textId="77777777" w:rsidR="00616556" w:rsidRPr="00616556" w:rsidRDefault="00E9768C"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sidRPr="00616556">
              <w:rPr>
                <w:rFonts w:ascii="MS Gothic" w:eastAsia="MS Gothic" w:hAnsi="MS Gothic" w:hint="eastAsia"/>
                <w:sz w:val="24"/>
                <w:lang w:eastAsia="en-GB"/>
              </w:rPr>
              <w:t>☐</w:t>
            </w:r>
            <w:r w:rsidR="00616556" w:rsidRPr="00616556">
              <w:rPr>
                <w:lang w:eastAsia="en-GB"/>
              </w:rPr>
              <w:t>32.3. atitinka referencinę naudingumo vertę</w:t>
            </w:r>
          </w:p>
          <w:p w14:paraId="31CAC5A5"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p>
          <w:p w14:paraId="4B0D17E4"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en-GB"/>
              </w:rPr>
            </w:pPr>
            <w:r w:rsidRPr="00616556">
              <w:rPr>
                <w:rFonts w:ascii="MS Gothic" w:eastAsia="MS Gothic" w:hAnsi="MS Gothic" w:hint="eastAsia"/>
                <w:sz w:val="24"/>
                <w:lang w:eastAsia="en-GB"/>
              </w:rPr>
              <w:t>☐</w:t>
            </w:r>
            <w:r w:rsidRPr="00616556">
              <w:rPr>
                <w:lang w:eastAsia="en-GB"/>
              </w:rPr>
              <w:t xml:space="preserve"> 32.3. gydymo juo kaštai yra mažesni ar tokie patys esant iš esmės nesiskiriančiam palyginamajam efektyvumui, lyginant su įprasta klinikine praktika</w:t>
            </w:r>
          </w:p>
          <w:p w14:paraId="505A7492"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 w:val="24"/>
                <w:lang w:eastAsia="en-GB"/>
              </w:rPr>
            </w:pPr>
          </w:p>
        </w:tc>
        <w:tc>
          <w:tcPr>
            <w:tcW w:w="5103" w:type="dxa"/>
            <w:gridSpan w:val="2"/>
          </w:tcPr>
          <w:p w14:paraId="3936F0B6" w14:textId="77777777" w:rsidR="00616556" w:rsidRPr="00616556" w:rsidRDefault="00E9768C"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sidRPr="00616556">
              <w:rPr>
                <w:rFonts w:ascii="MS Gothic" w:eastAsia="MS Gothic" w:hAnsi="MS Gothic" w:hint="eastAsia"/>
                <w:sz w:val="24"/>
                <w:lang w:eastAsia="en-GB"/>
              </w:rPr>
              <w:t>☒</w:t>
            </w:r>
            <w:r w:rsidR="00616556" w:rsidRPr="00616556">
              <w:rPr>
                <w:lang w:eastAsia="en-GB"/>
              </w:rPr>
              <w:t xml:space="preserve"> 33.3. neatitinka referencinės naudingumo vertės Lietuvos Respublikoje</w:t>
            </w:r>
          </w:p>
          <w:p w14:paraId="0BBD50A2"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p>
          <w:p w14:paraId="78CB1A82"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en-GB"/>
              </w:rPr>
            </w:pPr>
            <w:r w:rsidRPr="00616556">
              <w:rPr>
                <w:rFonts w:ascii="MS Gothic" w:eastAsia="MS Gothic" w:hAnsi="MS Gothic" w:hint="eastAsia"/>
                <w:sz w:val="24"/>
                <w:lang w:eastAsia="en-GB"/>
              </w:rPr>
              <w:t>☐</w:t>
            </w:r>
            <w:r w:rsidRPr="00616556">
              <w:rPr>
                <w:lang w:eastAsia="en-GB"/>
              </w:rPr>
              <w:t xml:space="preserve"> 33.3. gydymo juo kaštai yra didesni esant iš esmės nesiskiriančiam palyginamajam efektyvumui, lyginant su įprasta klinikine praktika</w:t>
            </w:r>
          </w:p>
          <w:p w14:paraId="22C4EE41"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p>
          <w:p w14:paraId="77F5055B"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sidRPr="00616556">
              <w:rPr>
                <w:rFonts w:ascii="MS Gothic" w:eastAsia="MS Gothic" w:hAnsi="MS Gothic" w:hint="eastAsia"/>
                <w:sz w:val="24"/>
                <w:lang w:eastAsia="en-GB"/>
              </w:rPr>
              <w:t>☐</w:t>
            </w:r>
            <w:r w:rsidRPr="00616556">
              <w:rPr>
                <w:lang w:eastAsia="en-GB"/>
              </w:rPr>
              <w:t xml:space="preserve"> 33.3. pateikti duomenys apie kaštų naudingumą yra netinkami vertinti</w:t>
            </w:r>
          </w:p>
          <w:p w14:paraId="0DDB7AC8" w14:textId="77777777" w:rsidR="00616556" w:rsidRPr="00616556" w:rsidRDefault="00616556" w:rsidP="0061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 w:val="24"/>
                <w:lang w:eastAsia="en-GB"/>
              </w:rPr>
            </w:pPr>
          </w:p>
        </w:tc>
      </w:tr>
    </w:tbl>
    <w:p w14:paraId="42E908B5" w14:textId="77777777" w:rsidR="00616556" w:rsidRPr="00616556" w:rsidRDefault="00616556" w:rsidP="00616556">
      <w:pPr>
        <w:spacing w:after="0" w:line="240" w:lineRule="auto"/>
        <w:rPr>
          <w:rFonts w:ascii="Times New Roman" w:eastAsia="Times New Roman" w:hAnsi="Times New Roman" w:cs="Times New Roman"/>
          <w:sz w:val="24"/>
          <w:szCs w:val="24"/>
          <w:lang w:val="en-US" w:eastAsia="en-GB"/>
        </w:rPr>
      </w:pPr>
    </w:p>
    <w:p w14:paraId="00FFEE56" w14:textId="77777777" w:rsidR="00616556" w:rsidRPr="00616556" w:rsidRDefault="00616556" w:rsidP="00CA25AD">
      <w:pPr>
        <w:spacing w:after="0" w:line="240" w:lineRule="auto"/>
        <w:rPr>
          <w:rFonts w:ascii="Times New Roman" w:eastAsia="Times New Roman" w:hAnsi="Times New Roman" w:cs="Times New Roman"/>
          <w:sz w:val="24"/>
          <w:szCs w:val="24"/>
          <w:lang w:eastAsia="en-GB"/>
        </w:rPr>
      </w:pPr>
    </w:p>
    <w:p w14:paraId="7566FFE7" w14:textId="77777777" w:rsidR="00616556" w:rsidRPr="00616556" w:rsidRDefault="00616556" w:rsidP="00CA25AD">
      <w:pPr>
        <w:numPr>
          <w:ilvl w:val="0"/>
          <w:numId w:val="1"/>
        </w:numPr>
        <w:spacing w:after="0" w:line="240" w:lineRule="auto"/>
        <w:ind w:left="567" w:hanging="567"/>
        <w:contextualSpacing/>
        <w:rPr>
          <w:rFonts w:ascii="Times New Roman" w:eastAsia="Times New Roman" w:hAnsi="Times New Roman" w:cs="Times New Roman"/>
          <w:sz w:val="24"/>
          <w:szCs w:val="24"/>
        </w:rPr>
      </w:pPr>
      <w:r w:rsidRPr="00616556">
        <w:rPr>
          <w:rFonts w:ascii="Times New Roman" w:eastAsia="Times New Roman" w:hAnsi="Times New Roman" w:cs="Times New Roman"/>
          <w:b/>
          <w:sz w:val="24"/>
          <w:szCs w:val="24"/>
        </w:rPr>
        <w:t>REKOMENDACIJA</w:t>
      </w:r>
    </w:p>
    <w:p w14:paraId="0B7436A3" w14:textId="77777777" w:rsidR="00CA25AD" w:rsidRDefault="00CA25AD" w:rsidP="00CA25AD">
      <w:pPr>
        <w:spacing w:after="0" w:line="276" w:lineRule="auto"/>
        <w:jc w:val="both"/>
        <w:rPr>
          <w:rFonts w:ascii="Times New Roman" w:hAnsi="Times New Roman" w:cs="Times New Roman"/>
          <w:sz w:val="24"/>
          <w:szCs w:val="24"/>
        </w:rPr>
      </w:pPr>
    </w:p>
    <w:p w14:paraId="0460B1A8" w14:textId="77777777" w:rsidR="00E9768C" w:rsidRDefault="00E9768C" w:rsidP="00E9768C">
      <w:pPr>
        <w:spacing w:line="276" w:lineRule="auto"/>
        <w:jc w:val="both"/>
        <w:rPr>
          <w:rFonts w:ascii="Times New Roman" w:hAnsi="Times New Roman" w:cs="Times New Roman"/>
          <w:sz w:val="24"/>
          <w:szCs w:val="24"/>
        </w:rPr>
      </w:pPr>
      <w:r>
        <w:rPr>
          <w:rFonts w:ascii="Times New Roman" w:hAnsi="Times New Roman" w:cs="Times New Roman"/>
          <w:sz w:val="24"/>
          <w:szCs w:val="24"/>
        </w:rP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0C8C347B" w14:textId="77777777" w:rsidR="00E9768C" w:rsidRDefault="00E9768C" w:rsidP="00E9768C">
      <w:pPr>
        <w:spacing w:line="276" w:lineRule="auto"/>
        <w:jc w:val="both"/>
        <w:rPr>
          <w:rFonts w:ascii="Times New Roman" w:hAnsi="Times New Roman" w:cs="Times New Roman"/>
          <w:sz w:val="24"/>
          <w:szCs w:val="24"/>
        </w:rPr>
      </w:pPr>
      <w:r w:rsidRPr="00554D3E">
        <w:rPr>
          <w:rFonts w:ascii="Times New Roman" w:hAnsi="Times New Roman" w:cs="Times New Roman"/>
          <w:sz w:val="24"/>
          <w:szCs w:val="24"/>
        </w:rPr>
        <w:t xml:space="preserve">34.4. rekomenduojama </w:t>
      </w:r>
      <w:r w:rsidRPr="00554D3E">
        <w:rPr>
          <w:rFonts w:ascii="Times New Roman" w:hAnsi="Times New Roman" w:cs="Times New Roman"/>
          <w:i/>
          <w:iCs/>
          <w:sz w:val="24"/>
          <w:szCs w:val="24"/>
        </w:rPr>
        <w:t xml:space="preserve">nekompensuoti </w:t>
      </w:r>
      <w:r w:rsidRPr="00554D3E">
        <w:rPr>
          <w:rFonts w:ascii="Times New Roman" w:hAnsi="Times New Roman" w:cs="Times New Roman"/>
          <w:sz w:val="24"/>
          <w:szCs w:val="24"/>
        </w:rPr>
        <w:t>vaistinio</w:t>
      </w:r>
      <w:r>
        <w:rPr>
          <w:rFonts w:ascii="Times New Roman" w:hAnsi="Times New Roman" w:cs="Times New Roman"/>
          <w:sz w:val="24"/>
          <w:szCs w:val="24"/>
        </w:rPr>
        <w:t xml:space="preserve"> preparato pagal paraiškoje nurodytą indikaciją su skyrimo sąlygomis, taikant PGS, dėl vertinimo išvadų, nurodytų 33.3 papunktyje, neatitikties 34.1 papunktyje išdėstytoms sąlygoms.</w:t>
      </w:r>
    </w:p>
    <w:p w14:paraId="79C5F9DE" w14:textId="77777777" w:rsidR="00E9768C" w:rsidRDefault="00E9768C" w:rsidP="00E9768C">
      <w:pPr>
        <w:shd w:val="clear" w:color="auto" w:fill="FFFFFF"/>
        <w:spacing w:line="276" w:lineRule="auto"/>
        <w:jc w:val="both"/>
        <w:rPr>
          <w:rFonts w:ascii="Times New Roman" w:hAnsi="Times New Roman" w:cs="Times New Roman"/>
          <w:i/>
          <w:iCs/>
          <w:sz w:val="24"/>
          <w:szCs w:val="24"/>
        </w:rPr>
      </w:pPr>
      <w:r>
        <w:rPr>
          <w:rFonts w:ascii="Times New Roman" w:hAnsi="Times New Roman" w:cs="Times New Roman"/>
          <w:i/>
          <w:iCs/>
          <w:color w:val="000000"/>
          <w:sz w:val="24"/>
          <w:szCs w:val="24"/>
        </w:rPr>
        <w:t>Papildomos pastabos ir pasiūlymai</w:t>
      </w:r>
    </w:p>
    <w:p w14:paraId="3B0FB9C7" w14:textId="2BC8DCA9" w:rsidR="0092517F" w:rsidRPr="0092517F" w:rsidRDefault="00E9768C" w:rsidP="00E9768C">
      <w:pPr>
        <w:pStyle w:val="Komentarotekstas"/>
        <w:spacing w:line="276" w:lineRule="auto"/>
        <w:jc w:val="both"/>
        <w:rPr>
          <w:i/>
          <w:iCs/>
          <w:color w:val="000000"/>
          <w:sz w:val="24"/>
          <w:szCs w:val="24"/>
        </w:rPr>
      </w:pPr>
      <w:r w:rsidRPr="00554D3E">
        <w:rPr>
          <w:sz w:val="24"/>
          <w:szCs w:val="24"/>
        </w:rPr>
        <w:t>Atsižvelgiant į papildomo neoadjuvantinio gydymo poreikį, Tarnyba vadovaudamasi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rekomenduoja kompensuoti Phesgo (</w:t>
      </w:r>
      <w:r w:rsidRPr="00554D3E">
        <w:rPr>
          <w:color w:val="000000"/>
          <w:sz w:val="24"/>
          <w:szCs w:val="24"/>
        </w:rPr>
        <w:t>skiriant vartoti derinyje su chemoterapija n</w:t>
      </w:r>
      <w:r w:rsidRPr="00554D3E">
        <w:rPr>
          <w:bCs/>
          <w:color w:val="000000"/>
          <w:sz w:val="24"/>
          <w:szCs w:val="24"/>
        </w:rPr>
        <w:t xml:space="preserve">eoadjuvantiniam gydymui suaugusiems pacientams, sergantiems žmogaus epidermio augimo faktoriaus receptoriaus 2 (angl. </w:t>
      </w:r>
      <w:r w:rsidRPr="00554D3E">
        <w:rPr>
          <w:bCs/>
          <w:i/>
          <w:iCs/>
          <w:color w:val="000000"/>
          <w:sz w:val="24"/>
          <w:szCs w:val="24"/>
        </w:rPr>
        <w:t xml:space="preserve">human epidermal grow factor receptor 2, </w:t>
      </w:r>
      <w:r w:rsidRPr="00554D3E">
        <w:rPr>
          <w:bCs/>
          <w:color w:val="000000"/>
          <w:sz w:val="24"/>
          <w:szCs w:val="24"/>
        </w:rPr>
        <w:t xml:space="preserve">toliau </w:t>
      </w:r>
      <w:r w:rsidRPr="00554D3E">
        <w:rPr>
          <w:bCs/>
          <w:i/>
          <w:iCs/>
          <w:color w:val="000000"/>
          <w:sz w:val="24"/>
          <w:szCs w:val="24"/>
        </w:rPr>
        <w:t xml:space="preserve">– </w:t>
      </w:r>
      <w:r w:rsidRPr="00554D3E">
        <w:rPr>
          <w:bCs/>
          <w:color w:val="000000"/>
          <w:sz w:val="24"/>
          <w:szCs w:val="24"/>
        </w:rPr>
        <w:t>HER2) teigiamu vietiškai išplitusiu, uždegiminiu ar ankstyvosios stadijos krūties vėžiu, kai yra didelė vėžio recidyvo rizika</w:t>
      </w:r>
      <w:r w:rsidRPr="00554D3E">
        <w:rPr>
          <w:sz w:val="24"/>
          <w:szCs w:val="24"/>
        </w:rPr>
        <w:t xml:space="preserve">) su sąlyga, jog </w:t>
      </w:r>
      <w:r w:rsidRPr="00554D3E">
        <w:rPr>
          <w:rStyle w:val="normaltextrun"/>
          <w:color w:val="000000"/>
          <w:sz w:val="24"/>
          <w:szCs w:val="24"/>
        </w:rPr>
        <w:t>Phesgo faktinė bazinė kaina bus tokia, kurią pritaikius modelyje apskaičiuotas ICER atitiks lengvai ligos naštai taikomą referencinė kaštų naudingumo vertę, kai duomenys yra modeliuojami 30 m. laiko perspektyvoje įtraukiant Phesgo sveikatai sukuriamą naudą ir kaštus tik būklė</w:t>
      </w:r>
      <w:r>
        <w:rPr>
          <w:rStyle w:val="normaltextrun"/>
          <w:color w:val="000000"/>
          <w:sz w:val="24"/>
          <w:szCs w:val="24"/>
        </w:rPr>
        <w:t>je be invazinio ligos progreso</w:t>
      </w:r>
      <w:r w:rsidR="0092517F">
        <w:rPr>
          <w:rStyle w:val="normaltextrun"/>
          <w:i/>
          <w:iCs/>
          <w:color w:val="000000"/>
          <w:sz w:val="24"/>
          <w:szCs w:val="24"/>
        </w:rPr>
        <w:t xml:space="preserve"> (</w:t>
      </w:r>
      <w:r w:rsidR="0092517F" w:rsidRPr="00C52D40">
        <w:rPr>
          <w:rStyle w:val="normaltextrun"/>
          <w:iCs/>
          <w:color w:val="000000"/>
          <w:sz w:val="24"/>
          <w:szCs w:val="24"/>
        </w:rPr>
        <w:t>a</w:t>
      </w:r>
      <w:r w:rsidR="0092517F" w:rsidRPr="00C52D40">
        <w:rPr>
          <w:sz w:val="24"/>
          <w:szCs w:val="24"/>
          <w:lang w:val="en-US"/>
        </w:rPr>
        <w:t xml:space="preserve">pskaičiuotas ICER atitinka lengvai ligos naštai taikomą referencinę kaštų naudingumo vertę, kai Phesgo kainai pritaikoma </w:t>
      </w:r>
      <w:r w:rsidR="00944546">
        <w:rPr>
          <w:sz w:val="24"/>
          <w:szCs w:val="24"/>
          <w:u w:val="single"/>
          <w:lang w:val="en-US"/>
        </w:rPr>
        <w:t>****</w:t>
      </w:r>
      <w:r w:rsidR="0092517F" w:rsidRPr="00C52D40">
        <w:rPr>
          <w:sz w:val="24"/>
          <w:szCs w:val="24"/>
          <w:u w:val="single"/>
          <w:lang w:val="en-US"/>
        </w:rPr>
        <w:t xml:space="preserve"> proc. nuolaida</w:t>
      </w:r>
      <w:r w:rsidR="0092517F">
        <w:rPr>
          <w:i/>
          <w:sz w:val="24"/>
          <w:szCs w:val="24"/>
          <w:lang w:val="en-US"/>
        </w:rPr>
        <w:t xml:space="preserve"> (detalizuojama protokole)).</w:t>
      </w:r>
    </w:p>
    <w:p w14:paraId="6556D225" w14:textId="77777777" w:rsidR="00616556" w:rsidRPr="00616556" w:rsidRDefault="00616556" w:rsidP="00616556">
      <w:pPr>
        <w:spacing w:after="0" w:line="240" w:lineRule="auto"/>
        <w:jc w:val="both"/>
        <w:rPr>
          <w:rFonts w:ascii="Times New Roman" w:eastAsia="Times New Roman" w:hAnsi="Times New Roman" w:cs="Times New Roman"/>
          <w:sz w:val="24"/>
          <w:szCs w:val="24"/>
          <w:lang w:eastAsia="en-GB"/>
        </w:rPr>
      </w:pPr>
    </w:p>
    <w:p w14:paraId="4EC8C0E3" w14:textId="77777777" w:rsidR="00616556" w:rsidRPr="00616556" w:rsidRDefault="00616556" w:rsidP="00616556">
      <w:pPr>
        <w:tabs>
          <w:tab w:val="left" w:pos="567"/>
        </w:tabs>
        <w:spacing w:after="0" w:line="240" w:lineRule="auto"/>
        <w:ind w:left="567" w:hanging="567"/>
        <w:jc w:val="both"/>
        <w:rPr>
          <w:rFonts w:ascii="Times New Roman" w:eastAsia="Times New Roman" w:hAnsi="Times New Roman" w:cs="Times New Roman"/>
          <w:b/>
          <w:color w:val="000000"/>
          <w:sz w:val="24"/>
          <w:szCs w:val="24"/>
          <w:lang w:eastAsia="lt-LT"/>
        </w:rPr>
      </w:pPr>
      <w:r w:rsidRPr="00616556">
        <w:rPr>
          <w:rFonts w:ascii="Times New Roman" w:eastAsia="Times New Roman" w:hAnsi="Times New Roman" w:cs="Times New Roman"/>
          <w:b/>
          <w:color w:val="000000"/>
          <w:sz w:val="24"/>
          <w:szCs w:val="24"/>
          <w:lang w:eastAsia="lt-LT"/>
        </w:rPr>
        <w:t>8.</w:t>
      </w:r>
      <w:r w:rsidRPr="00616556">
        <w:rPr>
          <w:rFonts w:ascii="Times New Roman" w:eastAsia="Times New Roman" w:hAnsi="Times New Roman" w:cs="Times New Roman"/>
          <w:b/>
          <w:color w:val="000000"/>
          <w:sz w:val="24"/>
          <w:szCs w:val="24"/>
          <w:lang w:eastAsia="lt-LT"/>
        </w:rPr>
        <w:tab/>
        <w:t xml:space="preserve">SIŪLOMOS KOMPENSUOTI TERAPINĖS INDIKACIJOS IR SKYRIMO SĄLYGOS </w:t>
      </w:r>
    </w:p>
    <w:p w14:paraId="069CB071" w14:textId="77777777" w:rsidR="00616556" w:rsidRPr="00616556" w:rsidRDefault="00616556" w:rsidP="00616556">
      <w:pPr>
        <w:tabs>
          <w:tab w:val="left" w:pos="426"/>
        </w:tabs>
        <w:spacing w:after="0" w:line="240" w:lineRule="auto"/>
        <w:jc w:val="both"/>
        <w:rPr>
          <w:rFonts w:ascii="Times New Roman" w:eastAsia="Times New Roman" w:hAnsi="Times New Roman" w:cs="Times New Roman"/>
          <w:b/>
          <w:color w:val="000000"/>
          <w:sz w:val="24"/>
          <w:szCs w:val="24"/>
          <w:lang w:eastAsia="lt-LT"/>
        </w:rPr>
      </w:pPr>
    </w:p>
    <w:p w14:paraId="442988B6" w14:textId="77777777" w:rsidR="00616556" w:rsidRPr="00616556" w:rsidRDefault="00616556" w:rsidP="00616556">
      <w:pPr>
        <w:spacing w:after="0" w:line="240" w:lineRule="auto"/>
        <w:outlineLvl w:val="0"/>
        <w:rPr>
          <w:rFonts w:ascii="Times New Roman" w:eastAsia="Times New Roman" w:hAnsi="Times New Roman" w:cs="Times New Roman"/>
          <w:b/>
          <w:sz w:val="24"/>
          <w:szCs w:val="24"/>
          <w:lang w:eastAsia="lt-LT"/>
        </w:rPr>
      </w:pPr>
      <w:r w:rsidRPr="00616556">
        <w:rPr>
          <w:rFonts w:ascii="Times New Roman" w:eastAsia="Times New Roman" w:hAnsi="Times New Roman" w:cs="Times New Roman"/>
          <w:b/>
          <w:sz w:val="24"/>
          <w:szCs w:val="24"/>
          <w:lang w:eastAsia="lt-LT"/>
        </w:rPr>
        <w:t>Terapinės indikacijos</w:t>
      </w:r>
    </w:p>
    <w:p w14:paraId="086E87A9" w14:textId="77777777" w:rsidR="00616556" w:rsidRPr="00616556" w:rsidRDefault="00616556" w:rsidP="00616556">
      <w:pPr>
        <w:spacing w:after="0" w:line="240" w:lineRule="auto"/>
        <w:rPr>
          <w:rFonts w:ascii="Times New Roman" w:eastAsia="Times New Roman" w:hAnsi="Times New Roman" w:cs="Times New Roman"/>
          <w:sz w:val="24"/>
          <w:szCs w:val="24"/>
          <w:lang w:eastAsia="en-GB"/>
        </w:rPr>
      </w:pPr>
      <w:r w:rsidRPr="00616556">
        <w:rPr>
          <w:rFonts w:ascii="Segoe UI Symbol" w:eastAsia="MS Gothic" w:hAnsi="Segoe UI Symbol" w:cs="Segoe UI Symbol"/>
          <w:sz w:val="32"/>
          <w:szCs w:val="24"/>
          <w:lang w:eastAsia="en-GB"/>
        </w:rPr>
        <w:t>☒</w:t>
      </w:r>
      <w:r w:rsidRPr="00616556">
        <w:rPr>
          <w:rFonts w:ascii="Times New Roman" w:eastAsia="Times New Roman" w:hAnsi="Times New Roman" w:cs="Times New Roman"/>
          <w:sz w:val="24"/>
          <w:szCs w:val="24"/>
          <w:lang w:eastAsia="en-GB"/>
        </w:rPr>
        <w:t xml:space="preserve"> Siūloma kompensuoti Pareiškėjo teikiamą indikaciją be pakeitimų.</w:t>
      </w:r>
    </w:p>
    <w:p w14:paraId="13571432" w14:textId="77777777" w:rsidR="00616556" w:rsidRPr="00616556" w:rsidRDefault="00616556" w:rsidP="00616556">
      <w:pPr>
        <w:spacing w:after="0" w:line="240" w:lineRule="auto"/>
        <w:rPr>
          <w:rFonts w:ascii="Times New Roman" w:eastAsia="Times New Roman" w:hAnsi="Times New Roman" w:cs="Times New Roman"/>
          <w:sz w:val="24"/>
          <w:szCs w:val="24"/>
          <w:lang w:eastAsia="en-GB"/>
        </w:rPr>
      </w:pPr>
    </w:p>
    <w:p w14:paraId="0EAE85AE" w14:textId="77777777" w:rsidR="00616556" w:rsidRPr="00616556" w:rsidRDefault="00616556" w:rsidP="00616556">
      <w:pPr>
        <w:spacing w:after="120" w:line="240" w:lineRule="auto"/>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Krūties piktybinis navikas. TLK-10 AM kodas - C50.</w:t>
      </w:r>
    </w:p>
    <w:p w14:paraId="584B0A93" w14:textId="77777777" w:rsidR="00616556" w:rsidRPr="00616556" w:rsidRDefault="00616556" w:rsidP="00616556">
      <w:pPr>
        <w:spacing w:after="0" w:line="240" w:lineRule="auto"/>
        <w:outlineLvl w:val="0"/>
        <w:rPr>
          <w:rFonts w:ascii="Times New Roman" w:eastAsia="Times New Roman" w:hAnsi="Times New Roman" w:cs="Times New Roman"/>
          <w:b/>
          <w:sz w:val="24"/>
          <w:szCs w:val="24"/>
          <w:lang w:eastAsia="en-GB"/>
        </w:rPr>
      </w:pPr>
      <w:r w:rsidRPr="00616556">
        <w:rPr>
          <w:rFonts w:ascii="Times New Roman" w:eastAsia="Times New Roman" w:hAnsi="Times New Roman" w:cs="Times New Roman"/>
          <w:b/>
          <w:sz w:val="24"/>
          <w:szCs w:val="24"/>
          <w:lang w:eastAsia="en-GB"/>
        </w:rPr>
        <w:t>Skyrimo sąlygos</w:t>
      </w:r>
    </w:p>
    <w:p w14:paraId="51E1833E" w14:textId="77777777" w:rsidR="00616556" w:rsidRPr="00616556" w:rsidRDefault="00616556" w:rsidP="00616556">
      <w:pPr>
        <w:spacing w:after="0" w:line="240" w:lineRule="auto"/>
        <w:rPr>
          <w:rFonts w:ascii="Times New Roman" w:eastAsia="Times New Roman" w:hAnsi="Times New Roman" w:cs="Times New Roman"/>
          <w:sz w:val="24"/>
          <w:szCs w:val="24"/>
          <w:lang w:eastAsia="en-GB"/>
        </w:rPr>
      </w:pPr>
      <w:r w:rsidRPr="00616556">
        <w:rPr>
          <w:rFonts w:ascii="Segoe UI Symbol" w:eastAsia="MS Gothic" w:hAnsi="Segoe UI Symbol" w:cs="Segoe UI Symbol"/>
          <w:sz w:val="32"/>
          <w:szCs w:val="24"/>
          <w:lang w:eastAsia="en-GB"/>
        </w:rPr>
        <w:t>☒</w:t>
      </w:r>
      <w:r w:rsidRPr="00616556">
        <w:rPr>
          <w:rFonts w:ascii="Times New Roman" w:eastAsia="Times New Roman" w:hAnsi="Times New Roman" w:cs="Times New Roman"/>
          <w:sz w:val="24"/>
          <w:szCs w:val="24"/>
          <w:lang w:eastAsia="en-GB"/>
        </w:rPr>
        <w:t xml:space="preserve"> Siūloma kompensuoti Pareiškėjo teikiamas skyrimo sąlygas be pakeitimų:</w:t>
      </w:r>
    </w:p>
    <w:p w14:paraId="5374B332" w14:textId="77777777" w:rsidR="00616556" w:rsidRPr="00616556" w:rsidRDefault="00616556" w:rsidP="00616556">
      <w:pPr>
        <w:spacing w:after="0" w:line="240" w:lineRule="auto"/>
        <w:jc w:val="both"/>
        <w:rPr>
          <w:rFonts w:ascii="Times New Roman" w:eastAsia="Times New Roman" w:hAnsi="Times New Roman" w:cs="Times New Roman"/>
          <w:sz w:val="24"/>
          <w:szCs w:val="24"/>
          <w:lang w:eastAsia="en-GB"/>
        </w:rPr>
      </w:pPr>
    </w:p>
    <w:p w14:paraId="3F0B5E8E" w14:textId="77777777" w:rsidR="00616556" w:rsidRPr="00616556" w:rsidRDefault="00616556" w:rsidP="00616556">
      <w:pPr>
        <w:spacing w:after="0" w:line="240" w:lineRule="auto"/>
        <w:jc w:val="both"/>
        <w:rPr>
          <w:rFonts w:ascii="Times New Roman" w:eastAsia="Times New Roman" w:hAnsi="Times New Roman" w:cs="Times New Roman"/>
          <w:sz w:val="24"/>
          <w:szCs w:val="24"/>
        </w:rPr>
      </w:pPr>
      <w:r w:rsidRPr="00616556">
        <w:rPr>
          <w:rFonts w:ascii="Times New Roman" w:eastAsia="Times New Roman" w:hAnsi="Times New Roman" w:cs="Times New Roman"/>
          <w:sz w:val="24"/>
          <w:szCs w:val="24"/>
        </w:rPr>
        <w:t xml:space="preserve">Phesgo yra skirtas vartoti derinyje su chemoterapija neoadjuvantiniam gydymui suaugusiems pacientams, sergantiems žmogaus epidermio augimo faktoriaus receptoriaus 2 (HER2) teigiamu </w:t>
      </w:r>
      <w:r w:rsidRPr="00616556">
        <w:rPr>
          <w:rFonts w:ascii="Times New Roman" w:eastAsia="Times New Roman" w:hAnsi="Times New Roman" w:cs="Times New Roman"/>
          <w:sz w:val="24"/>
          <w:szCs w:val="24"/>
        </w:rPr>
        <w:lastRenderedPageBreak/>
        <w:t>vietiškai išplitusiu, uždegiminiu ar ankstyvosios stadijos krūties vėžiu, kai yra didelė vėžio recidyvo rizika.</w:t>
      </w:r>
    </w:p>
    <w:p w14:paraId="32373BD0" w14:textId="77777777" w:rsidR="00EF3AC8" w:rsidRDefault="00EF3AC8"/>
    <w:sectPr w:rsidR="00EF3AC8" w:rsidSect="008B0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F9DD" w14:textId="77777777" w:rsidR="008B0F89" w:rsidRDefault="008B0F89" w:rsidP="00ED539A">
      <w:pPr>
        <w:spacing w:after="0" w:line="240" w:lineRule="auto"/>
      </w:pPr>
      <w:r>
        <w:separator/>
      </w:r>
    </w:p>
  </w:endnote>
  <w:endnote w:type="continuationSeparator" w:id="0">
    <w:p w14:paraId="01980DF4" w14:textId="77777777" w:rsidR="008B0F89" w:rsidRDefault="008B0F89" w:rsidP="00ED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CCA6" w14:textId="77777777" w:rsidR="00ED539A" w:rsidRDefault="00ED53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F5CF" w14:textId="77777777" w:rsidR="00ED539A" w:rsidRDefault="00ED53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186C" w14:textId="77777777" w:rsidR="00ED539A" w:rsidRDefault="00ED53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43B2" w14:textId="77777777" w:rsidR="008B0F89" w:rsidRDefault="008B0F89" w:rsidP="00ED539A">
      <w:pPr>
        <w:spacing w:after="0" w:line="240" w:lineRule="auto"/>
      </w:pPr>
      <w:r>
        <w:separator/>
      </w:r>
    </w:p>
  </w:footnote>
  <w:footnote w:type="continuationSeparator" w:id="0">
    <w:p w14:paraId="6C2C40CE" w14:textId="77777777" w:rsidR="008B0F89" w:rsidRDefault="008B0F89" w:rsidP="00ED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937B" w14:textId="77777777" w:rsidR="00ED539A" w:rsidRDefault="00ED53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FB1D" w14:textId="77777777" w:rsidR="00ED539A" w:rsidRDefault="00ED53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2AA2" w14:textId="77777777" w:rsidR="00ED539A" w:rsidRDefault="00ED5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E58"/>
    <w:multiLevelType w:val="hybridMultilevel"/>
    <w:tmpl w:val="F6943F7A"/>
    <w:lvl w:ilvl="0" w:tplc="AB64BC8E">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F533382"/>
    <w:multiLevelType w:val="hybridMultilevel"/>
    <w:tmpl w:val="09C8AB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4438D6"/>
    <w:multiLevelType w:val="hybridMultilevel"/>
    <w:tmpl w:val="588E9EE6"/>
    <w:lvl w:ilvl="0" w:tplc="CC30010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910F8C"/>
    <w:multiLevelType w:val="hybridMultilevel"/>
    <w:tmpl w:val="15FE3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F10BFA"/>
    <w:multiLevelType w:val="hybridMultilevel"/>
    <w:tmpl w:val="447A6E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33931268">
    <w:abstractNumId w:val="0"/>
  </w:num>
  <w:num w:numId="2" w16cid:durableId="1341659555">
    <w:abstractNumId w:val="4"/>
  </w:num>
  <w:num w:numId="3" w16cid:durableId="1368405800">
    <w:abstractNumId w:val="2"/>
  </w:num>
  <w:num w:numId="4" w16cid:durableId="539174789">
    <w:abstractNumId w:val="1"/>
  </w:num>
  <w:num w:numId="5" w16cid:durableId="69199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56"/>
    <w:rsid w:val="0027064E"/>
    <w:rsid w:val="00586DC2"/>
    <w:rsid w:val="00616556"/>
    <w:rsid w:val="006A665A"/>
    <w:rsid w:val="008B0F89"/>
    <w:rsid w:val="0092517F"/>
    <w:rsid w:val="00944546"/>
    <w:rsid w:val="00BF0A26"/>
    <w:rsid w:val="00C52D40"/>
    <w:rsid w:val="00CA25AD"/>
    <w:rsid w:val="00E9768C"/>
    <w:rsid w:val="00ED539A"/>
    <w:rsid w:val="00EF3AC8"/>
    <w:rsid w:val="00FD3128"/>
    <w:rsid w:val="00FD4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9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ummary box,Dossier Table"/>
    <w:basedOn w:val="prastojilentel"/>
    <w:uiPriority w:val="59"/>
    <w:rsid w:val="006165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616556"/>
    <w:pPr>
      <w:spacing w:after="0" w:line="240" w:lineRule="auto"/>
      <w:ind w:left="720"/>
      <w:contextualSpacing/>
    </w:pPr>
    <w:rPr>
      <w:rFonts w:ascii="Times New Roman" w:eastAsia="Times New Roman" w:hAnsi="Times New Roman" w:cs="Times New Roman"/>
      <w:sz w:val="24"/>
      <w:szCs w:val="24"/>
    </w:rPr>
  </w:style>
  <w:style w:type="character" w:customStyle="1" w:styleId="Style2">
    <w:name w:val="Style2"/>
    <w:basedOn w:val="Numatytasispastraiposriftas"/>
    <w:uiPriority w:val="1"/>
    <w:rsid w:val="00616556"/>
    <w:rPr>
      <w:rFonts w:cs="Times New Roman"/>
      <w:sz w:val="32"/>
    </w:rPr>
  </w:style>
  <w:style w:type="character" w:styleId="Emfaz">
    <w:name w:val="Emphasis"/>
    <w:basedOn w:val="Numatytasispastraiposriftas"/>
    <w:uiPriority w:val="20"/>
    <w:qFormat/>
    <w:rsid w:val="00616556"/>
    <w:rPr>
      <w:rFonts w:cs="Times New Roman"/>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616556"/>
    <w:rPr>
      <w:rFonts w:ascii="Times New Roman" w:eastAsia="Times New Roman" w:hAnsi="Times New Roman" w:cs="Times New Roman"/>
      <w:sz w:val="24"/>
      <w:szCs w:val="24"/>
    </w:rPr>
  </w:style>
  <w:style w:type="paragraph" w:styleId="Betarp">
    <w:name w:val="No Spacing"/>
    <w:uiPriority w:val="1"/>
    <w:qFormat/>
    <w:rsid w:val="00616556"/>
    <w:pPr>
      <w:spacing w:after="0" w:line="240" w:lineRule="auto"/>
    </w:pPr>
    <w:rPr>
      <w:rFonts w:ascii="Calibri" w:eastAsia="Times New Roman" w:hAnsi="Calibri" w:cs="Times New Roman"/>
    </w:rPr>
  </w:style>
  <w:style w:type="character" w:customStyle="1" w:styleId="normaltextrun">
    <w:name w:val="normaltextrun"/>
    <w:basedOn w:val="Numatytasispastraiposriftas"/>
    <w:rsid w:val="006A665A"/>
  </w:style>
  <w:style w:type="paragraph" w:styleId="Komentarotekstas">
    <w:name w:val="annotation text"/>
    <w:basedOn w:val="prastasis"/>
    <w:link w:val="KomentarotekstasDiagrama"/>
    <w:uiPriority w:val="99"/>
    <w:unhideWhenUsed/>
    <w:rsid w:val="00E9768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9768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D5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539A"/>
  </w:style>
  <w:style w:type="paragraph" w:styleId="Porat">
    <w:name w:val="footer"/>
    <w:basedOn w:val="prastasis"/>
    <w:link w:val="PoratDiagrama"/>
    <w:uiPriority w:val="99"/>
    <w:unhideWhenUsed/>
    <w:rsid w:val="00ED5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5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15632</Words>
  <Characters>8911</Characters>
  <Application>Microsoft Office Word</Application>
  <DocSecurity>0</DocSecurity>
  <Lines>74</Lines>
  <Paragraphs>48</Paragraphs>
  <ScaleCrop>false</ScaleCrop>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2023-09-07T11:23:00Z</dcterms:created>
  <dcterms:modified xsi:type="dcterms:W3CDTF">2024-01-19T09:07:00Z</dcterms:modified>
</cp:coreProperties>
</file>