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F60F59" w:rsidRDefault="005F7602" w:rsidP="008C3CED">
      <w:pPr>
        <w:spacing w:line="276" w:lineRule="auto"/>
        <w:ind w:left="5529"/>
      </w:pPr>
    </w:p>
    <w:p w14:paraId="12FA4B9E" w14:textId="77777777" w:rsidR="001B3C5B" w:rsidRPr="00F60F59" w:rsidRDefault="001B3C5B" w:rsidP="008C3CED">
      <w:pPr>
        <w:spacing w:line="276" w:lineRule="auto"/>
        <w:ind w:left="6096"/>
      </w:pPr>
      <w:r w:rsidRPr="00F60F59">
        <w:t>Forma patvirtinta</w:t>
      </w:r>
    </w:p>
    <w:p w14:paraId="7206970B" w14:textId="70E9BD2E" w:rsidR="004C263A" w:rsidRPr="00F60F59" w:rsidRDefault="001B3C5B" w:rsidP="008C3CED">
      <w:pPr>
        <w:spacing w:line="276" w:lineRule="auto"/>
        <w:ind w:left="6096"/>
      </w:pPr>
      <w:r w:rsidRPr="00F60F59">
        <w:t>Valstybinės vaistų kontrolės tarnybos prie Lietuvos Respublikos sveikatos apsaugos ministerijos viršininko 2021 m</w:t>
      </w:r>
      <w:r w:rsidR="004C263A" w:rsidRPr="00F60F59">
        <w:t xml:space="preserve">. lapkričio 12 </w:t>
      </w:r>
      <w:r w:rsidRPr="00F60F59">
        <w:t>d. įsakymu Nr.</w:t>
      </w:r>
      <w:r w:rsidR="004C263A" w:rsidRPr="00F60F59">
        <w:t xml:space="preserve"> (1.72E)1A-1418</w:t>
      </w:r>
    </w:p>
    <w:p w14:paraId="5B219AA6" w14:textId="520B9136" w:rsidR="001B3C5B" w:rsidRPr="00F60F59" w:rsidRDefault="004C263A" w:rsidP="008C3CED">
      <w:pPr>
        <w:spacing w:line="276" w:lineRule="auto"/>
        <w:ind w:left="6096"/>
      </w:pPr>
      <w:r w:rsidRPr="00F60F59">
        <w:t>(Valstybinės vaistų kontrolės tarnybos prie Lietuvos Respublikos sveikatos apsaugos ministerijos viršininko 2022 m.                         d. įsakymo Nr.                    redakcija)</w:t>
      </w:r>
    </w:p>
    <w:p w14:paraId="3336BD74" w14:textId="77777777" w:rsidR="001B3C5B" w:rsidRPr="00F60F59" w:rsidRDefault="001B3C5B" w:rsidP="008C3CED">
      <w:pPr>
        <w:spacing w:line="276" w:lineRule="auto"/>
      </w:pPr>
    </w:p>
    <w:p w14:paraId="77AFB67E" w14:textId="16397257" w:rsidR="00613501" w:rsidRPr="00F60F59" w:rsidRDefault="002F0E4F" w:rsidP="008C3CED">
      <w:pPr>
        <w:spacing w:line="276" w:lineRule="auto"/>
        <w:jc w:val="center"/>
        <w:rPr>
          <w:b/>
          <w:bCs/>
          <w:caps/>
        </w:rPr>
      </w:pPr>
      <w:r w:rsidRPr="00F60F59">
        <w:rPr>
          <w:b/>
        </w:rPr>
        <w:t xml:space="preserve">REKOMENDACIJA DĖL VAISTINIO PREPARATO </w:t>
      </w:r>
      <w:r w:rsidRPr="00F60F59">
        <w:rPr>
          <w:b/>
          <w:bCs/>
          <w:caps/>
        </w:rPr>
        <w:t>Lietuvos Respublikos Sveikatos apsaugos ministerijos vaistinių preparatų ir medicinos pagalbos priemonių kompensavimo komisijai</w:t>
      </w:r>
    </w:p>
    <w:p w14:paraId="34E4395D" w14:textId="15FB10DF" w:rsidR="00B13D65" w:rsidRPr="00F60F59" w:rsidRDefault="00B13D65" w:rsidP="008C3CED">
      <w:pPr>
        <w:spacing w:line="276" w:lineRule="auto"/>
        <w:jc w:val="center"/>
        <w:rPr>
          <w:b/>
        </w:rPr>
      </w:pPr>
    </w:p>
    <w:p w14:paraId="1B802F32" w14:textId="77777777" w:rsidR="00905BED" w:rsidRPr="00F60F59" w:rsidRDefault="00905BED" w:rsidP="008C3CED">
      <w:pPr>
        <w:spacing w:line="276" w:lineRule="auto"/>
        <w:jc w:val="center"/>
        <w:rPr>
          <w:b/>
        </w:rPr>
      </w:pPr>
      <w:proofErr w:type="spellStart"/>
      <w:r w:rsidRPr="00F60F59">
        <w:rPr>
          <w:b/>
        </w:rPr>
        <w:t>Lorviqua</w:t>
      </w:r>
      <w:proofErr w:type="spellEnd"/>
      <w:r w:rsidRPr="00F60F59">
        <w:rPr>
          <w:b/>
        </w:rPr>
        <w:t xml:space="preserve"> 25 mg plėvele dengtos tabletės</w:t>
      </w:r>
    </w:p>
    <w:p w14:paraId="1F9F47DD" w14:textId="77777777" w:rsidR="00905BED" w:rsidRPr="00F60F59" w:rsidRDefault="00905BED" w:rsidP="008C3CED">
      <w:pPr>
        <w:spacing w:line="276" w:lineRule="auto"/>
        <w:jc w:val="center"/>
        <w:rPr>
          <w:b/>
        </w:rPr>
      </w:pPr>
      <w:proofErr w:type="spellStart"/>
      <w:r w:rsidRPr="00F60F59">
        <w:rPr>
          <w:b/>
        </w:rPr>
        <w:t>Lorviqua</w:t>
      </w:r>
      <w:proofErr w:type="spellEnd"/>
      <w:r w:rsidRPr="00F60F59">
        <w:rPr>
          <w:b/>
        </w:rPr>
        <w:t xml:space="preserve"> 100 mg plėvele dengtos tabletės</w:t>
      </w:r>
    </w:p>
    <w:p w14:paraId="3C94B3B1" w14:textId="77777777" w:rsidR="00905BED" w:rsidRPr="00F60F59" w:rsidRDefault="00905BED" w:rsidP="008C3CED">
      <w:pPr>
        <w:spacing w:line="276" w:lineRule="auto"/>
      </w:pPr>
    </w:p>
    <w:p w14:paraId="2FBE4EF0" w14:textId="77777777" w:rsidR="00905BED" w:rsidRPr="00F60F59" w:rsidRDefault="00905BED" w:rsidP="008C3CED">
      <w:pPr>
        <w:spacing w:line="276" w:lineRule="auto"/>
        <w:jc w:val="center"/>
      </w:pPr>
      <w:proofErr w:type="spellStart"/>
      <w:r w:rsidRPr="00F60F59">
        <w:t>Lorlatinibas</w:t>
      </w:r>
      <w:proofErr w:type="spellEnd"/>
    </w:p>
    <w:p w14:paraId="32E72B86" w14:textId="77777777" w:rsidR="00905BED" w:rsidRPr="00F60F59" w:rsidRDefault="00905BED" w:rsidP="008C3CED">
      <w:pPr>
        <w:spacing w:line="276" w:lineRule="auto"/>
        <w:jc w:val="center"/>
      </w:pPr>
    </w:p>
    <w:p w14:paraId="697D8174" w14:textId="74BDF2D2" w:rsidR="00905BED" w:rsidRPr="00F60F59" w:rsidRDefault="00905BED" w:rsidP="00D256B5">
      <w:pPr>
        <w:spacing w:line="276" w:lineRule="auto"/>
        <w:jc w:val="center"/>
        <w:rPr>
          <w:b/>
        </w:rPr>
      </w:pPr>
      <w:r w:rsidRPr="00F60F59">
        <w:rPr>
          <w:b/>
        </w:rPr>
        <w:t>STV-38</w:t>
      </w:r>
    </w:p>
    <w:p w14:paraId="6C5D36E1" w14:textId="00C43DE7" w:rsidR="008364F7" w:rsidRPr="00F60F59" w:rsidRDefault="00EA3806" w:rsidP="008364F7">
      <w:pPr>
        <w:pStyle w:val="ListParagraph"/>
        <w:numPr>
          <w:ilvl w:val="0"/>
          <w:numId w:val="12"/>
        </w:numPr>
        <w:tabs>
          <w:tab w:val="left" w:pos="567"/>
        </w:tabs>
        <w:ind w:left="567" w:hanging="567"/>
        <w:rPr>
          <w:b/>
          <w:bCs/>
          <w:caps/>
        </w:rPr>
      </w:pPr>
      <w:r w:rsidRPr="00F60F59">
        <w:rPr>
          <w:b/>
        </w:rPr>
        <w:t>B</w:t>
      </w:r>
      <w:r w:rsidR="008364F7" w:rsidRPr="00F60F59">
        <w:rPr>
          <w:b/>
          <w:bCs/>
          <w:caps/>
        </w:rPr>
        <w:t>endroji dalis</w:t>
      </w:r>
    </w:p>
    <w:p w14:paraId="4F0F3A4B" w14:textId="77777777" w:rsidR="008364F7" w:rsidRPr="00F60F59" w:rsidRDefault="008364F7" w:rsidP="008364F7">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F60F59" w:rsidRPr="00F60F59" w14:paraId="343EC99A" w14:textId="77777777" w:rsidTr="00251568">
        <w:trPr>
          <w:trHeight w:val="538"/>
        </w:trPr>
        <w:tc>
          <w:tcPr>
            <w:tcW w:w="632" w:type="dxa"/>
          </w:tcPr>
          <w:p w14:paraId="163C2019" w14:textId="77777777" w:rsidR="008364F7" w:rsidRPr="00F60F59" w:rsidRDefault="008364F7" w:rsidP="00251568">
            <w:pPr>
              <w:rPr>
                <w:rFonts w:eastAsia="Arial"/>
              </w:rPr>
            </w:pPr>
            <w:r w:rsidRPr="00F60F59">
              <w:rPr>
                <w:rFonts w:eastAsia="Arial"/>
              </w:rPr>
              <w:t>1.1</w:t>
            </w:r>
          </w:p>
        </w:tc>
        <w:tc>
          <w:tcPr>
            <w:tcW w:w="3694" w:type="dxa"/>
          </w:tcPr>
          <w:p w14:paraId="1BA81230" w14:textId="77777777" w:rsidR="008364F7" w:rsidRPr="00F60F59" w:rsidRDefault="008364F7" w:rsidP="00251568">
            <w:pPr>
              <w:rPr>
                <w:rFonts w:eastAsia="Arial"/>
              </w:rPr>
            </w:pPr>
            <w:r w:rsidRPr="00F60F59">
              <w:rPr>
                <w:rFonts w:eastAsia="Arial"/>
              </w:rPr>
              <w:t>Pareiškėjas</w:t>
            </w:r>
          </w:p>
          <w:p w14:paraId="19CE6A45" w14:textId="77777777" w:rsidR="008364F7" w:rsidRPr="00F60F59" w:rsidRDefault="008364F7" w:rsidP="00251568">
            <w:pPr>
              <w:rPr>
                <w:rFonts w:eastAsia="Arial"/>
              </w:rPr>
            </w:pPr>
          </w:p>
        </w:tc>
        <w:tc>
          <w:tcPr>
            <w:tcW w:w="5167" w:type="dxa"/>
          </w:tcPr>
          <w:p w14:paraId="1E54BF62" w14:textId="6A47C985" w:rsidR="008364F7" w:rsidRPr="00F60F59" w:rsidRDefault="008364F7" w:rsidP="00251568">
            <w:pPr>
              <w:rPr>
                <w:rFonts w:eastAsia="Arial"/>
              </w:rPr>
            </w:pPr>
            <w:proofErr w:type="spellStart"/>
            <w:r w:rsidRPr="00F60F59">
              <w:t>Pfizer</w:t>
            </w:r>
            <w:proofErr w:type="spellEnd"/>
            <w:r w:rsidRPr="00F60F59">
              <w:t xml:space="preserve"> </w:t>
            </w:r>
            <w:proofErr w:type="spellStart"/>
            <w:r w:rsidRPr="00F60F59">
              <w:t>Liuksembourg</w:t>
            </w:r>
            <w:proofErr w:type="spellEnd"/>
            <w:r w:rsidRPr="00F60F59">
              <w:rPr>
                <w:rFonts w:eastAsia="Arial"/>
              </w:rPr>
              <w:t xml:space="preserve"> </w:t>
            </w:r>
          </w:p>
        </w:tc>
      </w:tr>
      <w:tr w:rsidR="00F60F59" w:rsidRPr="00F60F59" w14:paraId="554E4E1F" w14:textId="77777777" w:rsidTr="00251568">
        <w:trPr>
          <w:trHeight w:val="538"/>
        </w:trPr>
        <w:tc>
          <w:tcPr>
            <w:tcW w:w="632" w:type="dxa"/>
          </w:tcPr>
          <w:p w14:paraId="67C8D8DB" w14:textId="77777777" w:rsidR="008364F7" w:rsidRPr="00F60F59" w:rsidRDefault="008364F7" w:rsidP="00251568">
            <w:pPr>
              <w:rPr>
                <w:rFonts w:eastAsia="Arial"/>
              </w:rPr>
            </w:pPr>
            <w:r w:rsidRPr="00F60F59">
              <w:rPr>
                <w:rFonts w:eastAsia="Arial"/>
              </w:rPr>
              <w:t>1.2</w:t>
            </w:r>
          </w:p>
        </w:tc>
        <w:tc>
          <w:tcPr>
            <w:tcW w:w="3694" w:type="dxa"/>
          </w:tcPr>
          <w:p w14:paraId="1F344771" w14:textId="77777777" w:rsidR="008364F7" w:rsidRPr="00F60F59" w:rsidRDefault="008364F7" w:rsidP="00251568">
            <w:pPr>
              <w:rPr>
                <w:bCs/>
                <w:lang w:eastAsia="lt-LT"/>
              </w:rPr>
            </w:pPr>
            <w:r w:rsidRPr="00F60F59">
              <w:rPr>
                <w:bCs/>
                <w:lang w:eastAsia="lt-LT"/>
              </w:rPr>
              <w:t xml:space="preserve">Registracijos data </w:t>
            </w:r>
          </w:p>
          <w:p w14:paraId="33A57386" w14:textId="77777777" w:rsidR="008364F7" w:rsidRPr="00F60F59" w:rsidRDefault="008364F7" w:rsidP="00251568">
            <w:pPr>
              <w:rPr>
                <w:bCs/>
                <w:lang w:eastAsia="lt-LT"/>
              </w:rPr>
            </w:pPr>
          </w:p>
        </w:tc>
        <w:tc>
          <w:tcPr>
            <w:tcW w:w="5167" w:type="dxa"/>
          </w:tcPr>
          <w:p w14:paraId="6D4D9B5E" w14:textId="7715504C" w:rsidR="008364F7" w:rsidRPr="00F60F59" w:rsidRDefault="005B49ED" w:rsidP="00251568">
            <w:pPr>
              <w:rPr>
                <w:rStyle w:val="Style2"/>
              </w:rPr>
            </w:pPr>
            <w:sdt>
              <w:sdtPr>
                <w:rPr>
                  <w:sz w:val="32"/>
                </w:rPr>
                <w:alias w:val="Nurodykite konkrečią dieną"/>
                <w:tag w:val="Nurodykite pradžios datą"/>
                <w:id w:val="155884804"/>
                <w:placeholder>
                  <w:docPart w:val="105CE70BF63E43928EAD4E513C63AB4C"/>
                </w:placeholder>
                <w15:color w:val="FFCC99"/>
                <w:date w:fullDate="2019-05-06T00:00:00Z">
                  <w:dateFormat w:val="yyyy 'm.' MMMM d 'd.'"/>
                  <w:lid w:val="lt-LT"/>
                  <w:storeMappedDataAs w:val="dateTime"/>
                  <w:calendar w:val="gregorian"/>
                </w:date>
              </w:sdtPr>
              <w:sdtEndPr/>
              <w:sdtContent>
                <w:r w:rsidR="008364F7" w:rsidRPr="00F60F59">
                  <w:t>2019 m. gegužės 6 d.</w:t>
                </w:r>
              </w:sdtContent>
            </w:sdt>
          </w:p>
        </w:tc>
      </w:tr>
      <w:tr w:rsidR="00F60F59" w:rsidRPr="00F60F59" w14:paraId="051E06FF" w14:textId="77777777" w:rsidTr="00251568">
        <w:trPr>
          <w:trHeight w:val="1500"/>
        </w:trPr>
        <w:tc>
          <w:tcPr>
            <w:tcW w:w="632" w:type="dxa"/>
          </w:tcPr>
          <w:p w14:paraId="3817E789" w14:textId="77777777" w:rsidR="008364F7" w:rsidRPr="00F60F59" w:rsidRDefault="008364F7" w:rsidP="00251568">
            <w:pPr>
              <w:rPr>
                <w:rFonts w:eastAsia="Arial"/>
              </w:rPr>
            </w:pPr>
            <w:r w:rsidRPr="00F60F59">
              <w:rPr>
                <w:rFonts w:eastAsia="Arial"/>
              </w:rPr>
              <w:t>1.3</w:t>
            </w:r>
          </w:p>
        </w:tc>
        <w:tc>
          <w:tcPr>
            <w:tcW w:w="3694" w:type="dxa"/>
          </w:tcPr>
          <w:p w14:paraId="081A384F" w14:textId="77777777" w:rsidR="008364F7" w:rsidRPr="00F60F59" w:rsidRDefault="008364F7" w:rsidP="00251568">
            <w:r w:rsidRPr="00F60F59">
              <w:t xml:space="preserve">Paraiškos tipas </w:t>
            </w:r>
          </w:p>
          <w:p w14:paraId="70EED163" w14:textId="77777777" w:rsidR="008364F7" w:rsidRPr="00F60F59" w:rsidRDefault="008364F7" w:rsidP="00251568">
            <w:r w:rsidRPr="00F60F59">
              <w:t xml:space="preserve">(pagal </w:t>
            </w:r>
            <w:r w:rsidRPr="00F60F59">
              <w:rPr>
                <w:shd w:val="clear" w:color="auto" w:fill="FFFFFF"/>
              </w:rPr>
              <w:t>vaistinio preparato registracijos tipą, įtvirtintą</w:t>
            </w:r>
            <w:r w:rsidRPr="00F60F59">
              <w:t xml:space="preserve"> Direktyvos 2001/83/EB </w:t>
            </w:r>
            <w:proofErr w:type="spellStart"/>
            <w:r w:rsidRPr="00F60F59">
              <w:t>straipsiuose</w:t>
            </w:r>
            <w:proofErr w:type="spellEnd"/>
            <w:r w:rsidRPr="00F60F59">
              <w:t>)</w:t>
            </w:r>
          </w:p>
          <w:p w14:paraId="14E3C6FE" w14:textId="77777777" w:rsidR="008364F7" w:rsidRPr="00F60F59" w:rsidRDefault="008364F7" w:rsidP="00251568">
            <w:pPr>
              <w:rPr>
                <w:bCs/>
                <w:lang w:eastAsia="lt-LT"/>
              </w:rPr>
            </w:pPr>
          </w:p>
        </w:tc>
        <w:tc>
          <w:tcPr>
            <w:tcW w:w="5167" w:type="dxa"/>
          </w:tcPr>
          <w:p w14:paraId="0155B3DA" w14:textId="28A24226" w:rsidR="008364F7" w:rsidRPr="00F60F59" w:rsidRDefault="005B49ED" w:rsidP="00251568">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2"/>
                    <w:szCs w:val="22"/>
                  </w:rPr>
                  <w:t>☒</w:t>
                </w:r>
              </w:sdtContent>
            </w:sdt>
            <w:r w:rsidR="008364F7" w:rsidRPr="00F60F59">
              <w:rPr>
                <w:sz w:val="22"/>
                <w:szCs w:val="22"/>
              </w:rPr>
              <w:t xml:space="preserve">8.3 str. (pilna byla, pagrįsta savais tyrimais) </w:t>
            </w:r>
          </w:p>
          <w:p w14:paraId="4FE160CD" w14:textId="77777777" w:rsidR="008364F7" w:rsidRPr="00F60F59" w:rsidRDefault="005B49ED" w:rsidP="00251568">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Segoe UI Symbol" w:eastAsia="MS Gothic" w:hAnsi="Segoe UI Symbol" w:cs="Segoe UI Symbol"/>
                    <w:sz w:val="22"/>
                    <w:szCs w:val="22"/>
                  </w:rPr>
                  <w:t>☐</w:t>
                </w:r>
              </w:sdtContent>
            </w:sdt>
            <w:r w:rsidR="008364F7" w:rsidRPr="00F60F59">
              <w:rPr>
                <w:sz w:val="22"/>
                <w:szCs w:val="22"/>
              </w:rPr>
              <w:t xml:space="preserve">10 a str. (pripažintas medicininis vartojimas) </w:t>
            </w:r>
          </w:p>
          <w:p w14:paraId="144B7191" w14:textId="77777777" w:rsidR="008364F7" w:rsidRPr="00F60F59" w:rsidRDefault="005B49ED" w:rsidP="00251568">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Segoe UI Symbol" w:eastAsia="MS Gothic" w:hAnsi="Segoe UI Symbol" w:cs="Segoe UI Symbol"/>
                    <w:sz w:val="22"/>
                    <w:szCs w:val="22"/>
                  </w:rPr>
                  <w:t>☐</w:t>
                </w:r>
              </w:sdtContent>
            </w:sdt>
            <w:r w:rsidR="008364F7" w:rsidRPr="00F60F59">
              <w:rPr>
                <w:sz w:val="22"/>
                <w:szCs w:val="22"/>
              </w:rPr>
              <w:t>10.1 str. (</w:t>
            </w:r>
            <w:proofErr w:type="spellStart"/>
            <w:r w:rsidR="008364F7" w:rsidRPr="00F60F59">
              <w:rPr>
                <w:sz w:val="22"/>
                <w:szCs w:val="22"/>
              </w:rPr>
              <w:t>generinis</w:t>
            </w:r>
            <w:proofErr w:type="spellEnd"/>
            <w:r w:rsidR="008364F7" w:rsidRPr="00F60F59">
              <w:rPr>
                <w:sz w:val="22"/>
                <w:szCs w:val="22"/>
              </w:rPr>
              <w:t>)</w:t>
            </w:r>
          </w:p>
          <w:p w14:paraId="2D50857E" w14:textId="77777777" w:rsidR="008364F7" w:rsidRPr="00F60F59" w:rsidRDefault="005B49ED" w:rsidP="00251568">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Segoe UI Symbol" w:eastAsia="MS Gothic" w:hAnsi="Segoe UI Symbol" w:cs="Segoe UI Symbol"/>
                    <w:sz w:val="22"/>
                    <w:szCs w:val="22"/>
                  </w:rPr>
                  <w:t>☐</w:t>
                </w:r>
              </w:sdtContent>
            </w:sdt>
            <w:r w:rsidR="008364F7" w:rsidRPr="00F60F59">
              <w:rPr>
                <w:sz w:val="22"/>
                <w:szCs w:val="22"/>
              </w:rPr>
              <w:t>10.3 str. (hibridinis)</w:t>
            </w:r>
          </w:p>
        </w:tc>
      </w:tr>
      <w:tr w:rsidR="00F60F59" w:rsidRPr="00F60F59" w14:paraId="53BF5E23" w14:textId="77777777" w:rsidTr="00251568">
        <w:trPr>
          <w:trHeight w:val="1442"/>
        </w:trPr>
        <w:tc>
          <w:tcPr>
            <w:tcW w:w="632" w:type="dxa"/>
          </w:tcPr>
          <w:p w14:paraId="6BFF1E67" w14:textId="77777777" w:rsidR="008364F7" w:rsidRPr="00F60F59" w:rsidRDefault="008364F7" w:rsidP="00251568">
            <w:pPr>
              <w:rPr>
                <w:rFonts w:eastAsia="Arial"/>
              </w:rPr>
            </w:pPr>
            <w:r w:rsidRPr="00F60F59">
              <w:rPr>
                <w:rFonts w:eastAsia="Arial"/>
              </w:rPr>
              <w:t>1.4</w:t>
            </w:r>
          </w:p>
        </w:tc>
        <w:tc>
          <w:tcPr>
            <w:tcW w:w="3694" w:type="dxa"/>
          </w:tcPr>
          <w:p w14:paraId="353E5758" w14:textId="77777777" w:rsidR="008364F7" w:rsidRPr="00F60F59" w:rsidRDefault="008364F7" w:rsidP="00251568">
            <w:pPr>
              <w:rPr>
                <w:bCs/>
                <w:lang w:eastAsia="lt-LT"/>
              </w:rPr>
            </w:pPr>
            <w:r w:rsidRPr="00F60F59">
              <w:rPr>
                <w:bCs/>
                <w:lang w:eastAsia="lt-LT"/>
              </w:rPr>
              <w:t xml:space="preserve">Ar vaistinis preparatas įrašytas į Bendrijos retųjų vaistinių preparatų registrą? </w:t>
            </w:r>
          </w:p>
          <w:p w14:paraId="0DF66CF2" w14:textId="24AD757F" w:rsidR="008364F7" w:rsidRPr="00F60F59" w:rsidRDefault="008364F7" w:rsidP="00251568">
            <w:pPr>
              <w:rPr>
                <w:bCs/>
                <w:lang w:eastAsia="lt-LT"/>
              </w:rPr>
            </w:pPr>
          </w:p>
        </w:tc>
        <w:tc>
          <w:tcPr>
            <w:tcW w:w="5167" w:type="dxa"/>
          </w:tcPr>
          <w:p w14:paraId="41BE2827" w14:textId="1719E14F" w:rsidR="008364F7" w:rsidRPr="00F60F59" w:rsidRDefault="005B49ED" w:rsidP="00251568">
            <w:sdt>
              <w:sdtPr>
                <w:rPr>
                  <w:rStyle w:val="Style2"/>
                  <w:sz w:val="24"/>
                </w:rPr>
                <w:id w:val="-187844428"/>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Taip</w:t>
            </w:r>
          </w:p>
          <w:p w14:paraId="37172866" w14:textId="557CAB89" w:rsidR="008364F7" w:rsidRPr="00F60F59" w:rsidRDefault="005B49ED" w:rsidP="00251568">
            <w:sdt>
              <w:sdtPr>
                <w:rPr>
                  <w:rStyle w:val="Style2"/>
                  <w:sz w:val="24"/>
                </w:rPr>
                <w:id w:val="986827024"/>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Ne</w:t>
            </w:r>
          </w:p>
          <w:p w14:paraId="0E75AECB" w14:textId="77777777" w:rsidR="008364F7" w:rsidRPr="00F60F59" w:rsidRDefault="005B49ED" w:rsidP="00251568">
            <w:pPr>
              <w:rPr>
                <w:rFonts w:eastAsia="Arial"/>
              </w:rPr>
            </w:pPr>
            <w:sdt>
              <w:sdtPr>
                <w:alias w:val="Nurodykite konkrečią dieną"/>
                <w:tag w:val="Nurodykite pradžios datą"/>
                <w:id w:val="-786345385"/>
                <w:placeholder>
                  <w:docPart w:val="FB7A3B31EBC1419D840B542CC9AFF57D"/>
                </w:placeholder>
                <w:showingPlcHdr/>
                <w15:color w:val="FFCC99"/>
                <w:date w:fullDate="2022-05-18T00:00:00Z">
                  <w:dateFormat w:val="yyyy 'm.' MMMM d 'd.'"/>
                  <w:lid w:val="lt-LT"/>
                  <w:storeMappedDataAs w:val="dateTime"/>
                  <w:calendar w:val="gregorian"/>
                </w:date>
              </w:sdtPr>
              <w:sdtEndPr/>
              <w:sdtContent>
                <w:r w:rsidR="008364F7" w:rsidRPr="00F60F59">
                  <w:rPr>
                    <w:rStyle w:val="PlaceholderText"/>
                    <w:color w:val="auto"/>
                  </w:rPr>
                  <w:t>Click here to enter a date.</w:t>
                </w:r>
              </w:sdtContent>
            </w:sdt>
          </w:p>
        </w:tc>
      </w:tr>
      <w:tr w:rsidR="00F60F59" w:rsidRPr="00F60F59" w14:paraId="755AD0A3" w14:textId="77777777" w:rsidTr="00251568">
        <w:trPr>
          <w:trHeight w:val="476"/>
        </w:trPr>
        <w:tc>
          <w:tcPr>
            <w:tcW w:w="632" w:type="dxa"/>
          </w:tcPr>
          <w:p w14:paraId="6F8B4DFD" w14:textId="77777777" w:rsidR="008364F7" w:rsidRPr="00F60F59" w:rsidRDefault="008364F7" w:rsidP="00251568">
            <w:pPr>
              <w:rPr>
                <w:rFonts w:eastAsia="Arial"/>
              </w:rPr>
            </w:pPr>
            <w:r w:rsidRPr="00F60F59">
              <w:rPr>
                <w:rFonts w:eastAsia="Arial"/>
              </w:rPr>
              <w:t>1.5</w:t>
            </w:r>
          </w:p>
        </w:tc>
        <w:tc>
          <w:tcPr>
            <w:tcW w:w="3694" w:type="dxa"/>
          </w:tcPr>
          <w:p w14:paraId="4E3BC49E" w14:textId="77777777" w:rsidR="008364F7" w:rsidRPr="00F60F59" w:rsidRDefault="008364F7" w:rsidP="00251568">
            <w:pPr>
              <w:rPr>
                <w:bCs/>
                <w:lang w:eastAsia="lt-LT"/>
              </w:rPr>
            </w:pPr>
            <w:r w:rsidRPr="00F60F59">
              <w:t>STV paraiškos pobūdis</w:t>
            </w:r>
          </w:p>
        </w:tc>
        <w:tc>
          <w:tcPr>
            <w:tcW w:w="5167" w:type="dxa"/>
          </w:tcPr>
          <w:p w14:paraId="65F2B5D7" w14:textId="557712EB" w:rsidR="008364F7" w:rsidRPr="00F60F59" w:rsidRDefault="005B49ED" w:rsidP="00251568">
            <w:sdt>
              <w:sdtPr>
                <w:rPr>
                  <w:rStyle w:val="Style2"/>
                  <w:sz w:val="24"/>
                </w:rPr>
                <w:id w:val="812756270"/>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Pilna paraiška</w:t>
            </w:r>
          </w:p>
          <w:p w14:paraId="2B36EE25" w14:textId="77777777" w:rsidR="008364F7" w:rsidRPr="00F60F59" w:rsidRDefault="005B49ED" w:rsidP="00251568">
            <w:sdt>
              <w:sdtPr>
                <w:rPr>
                  <w:rStyle w:val="Style2"/>
                  <w:sz w:val="24"/>
                </w:rPr>
                <w:id w:val="551811889"/>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Supaprastinta paraiška</w:t>
            </w:r>
          </w:p>
        </w:tc>
      </w:tr>
      <w:tr w:rsidR="00F60F59" w:rsidRPr="00F60F59" w14:paraId="05DE0848" w14:textId="77777777" w:rsidTr="00251568">
        <w:trPr>
          <w:trHeight w:val="1922"/>
        </w:trPr>
        <w:tc>
          <w:tcPr>
            <w:tcW w:w="632" w:type="dxa"/>
          </w:tcPr>
          <w:p w14:paraId="3802FD31" w14:textId="77777777" w:rsidR="008364F7" w:rsidRPr="00F60F59" w:rsidRDefault="008364F7" w:rsidP="00251568">
            <w:pPr>
              <w:rPr>
                <w:rFonts w:eastAsia="Arial"/>
              </w:rPr>
            </w:pPr>
            <w:r w:rsidRPr="00F60F59">
              <w:rPr>
                <w:rFonts w:eastAsia="Arial"/>
              </w:rPr>
              <w:lastRenderedPageBreak/>
              <w:t>1.6</w:t>
            </w:r>
          </w:p>
        </w:tc>
        <w:tc>
          <w:tcPr>
            <w:tcW w:w="3694" w:type="dxa"/>
          </w:tcPr>
          <w:p w14:paraId="65B823EE" w14:textId="77777777" w:rsidR="008364F7" w:rsidRPr="00F60F59" w:rsidRDefault="008364F7" w:rsidP="00251568">
            <w:pPr>
              <w:rPr>
                <w:bCs/>
                <w:lang w:eastAsia="lt-LT"/>
              </w:rPr>
            </w:pPr>
            <w:r w:rsidRPr="00F60F59">
              <w:rPr>
                <w:bCs/>
                <w:lang w:eastAsia="lt-LT"/>
              </w:rPr>
              <w:t>Pareiškėjo teikiama (-</w:t>
            </w:r>
            <w:proofErr w:type="spellStart"/>
            <w:r w:rsidRPr="00F60F59">
              <w:rPr>
                <w:bCs/>
                <w:lang w:eastAsia="lt-LT"/>
              </w:rPr>
              <w:t>os</w:t>
            </w:r>
            <w:proofErr w:type="spellEnd"/>
            <w:r w:rsidRPr="00F60F59">
              <w:rPr>
                <w:bCs/>
                <w:lang w:eastAsia="lt-LT"/>
              </w:rPr>
              <w:t>) kompensuoti vaistinio preparato indikacija (-</w:t>
            </w:r>
            <w:proofErr w:type="spellStart"/>
            <w:r w:rsidRPr="00F60F59">
              <w:rPr>
                <w:bCs/>
                <w:lang w:eastAsia="lt-LT"/>
              </w:rPr>
              <w:t>os</w:t>
            </w:r>
            <w:proofErr w:type="spellEnd"/>
            <w:r w:rsidRPr="00F60F59">
              <w:rPr>
                <w:bCs/>
                <w:lang w:eastAsia="lt-LT"/>
              </w:rPr>
              <w:t>)</w:t>
            </w:r>
          </w:p>
          <w:p w14:paraId="64474736" w14:textId="77777777" w:rsidR="008364F7" w:rsidRPr="00F60F59" w:rsidRDefault="008364F7" w:rsidP="00251568">
            <w:pPr>
              <w:rPr>
                <w:bCs/>
                <w:lang w:eastAsia="lt-LT"/>
              </w:rPr>
            </w:pPr>
          </w:p>
          <w:p w14:paraId="1D83D616" w14:textId="77777777" w:rsidR="008364F7" w:rsidRPr="00F60F59" w:rsidRDefault="008364F7" w:rsidP="00251568">
            <w:pPr>
              <w:rPr>
                <w:bCs/>
                <w:lang w:eastAsia="lt-LT"/>
              </w:rPr>
            </w:pPr>
          </w:p>
          <w:p w14:paraId="757A9C78" w14:textId="77777777" w:rsidR="008364F7" w:rsidRPr="00F60F59" w:rsidRDefault="008364F7" w:rsidP="00251568">
            <w:pPr>
              <w:rPr>
                <w:bCs/>
                <w:lang w:eastAsia="lt-LT"/>
              </w:rPr>
            </w:pPr>
          </w:p>
          <w:p w14:paraId="506750D6" w14:textId="77777777" w:rsidR="008364F7" w:rsidRPr="00F60F59" w:rsidRDefault="008364F7" w:rsidP="00251568">
            <w:pPr>
              <w:rPr>
                <w:bCs/>
                <w:lang w:eastAsia="lt-LT"/>
              </w:rPr>
            </w:pPr>
          </w:p>
          <w:p w14:paraId="42B3C6FB" w14:textId="77777777" w:rsidR="008364F7" w:rsidRPr="00F60F59" w:rsidRDefault="008364F7" w:rsidP="00251568">
            <w:pPr>
              <w:rPr>
                <w:bCs/>
                <w:lang w:eastAsia="lt-LT"/>
              </w:rPr>
            </w:pPr>
          </w:p>
          <w:p w14:paraId="3BBCDA8D" w14:textId="77777777" w:rsidR="008364F7" w:rsidRPr="00F60F59" w:rsidRDefault="008364F7" w:rsidP="00251568">
            <w:pPr>
              <w:rPr>
                <w:bCs/>
                <w:lang w:eastAsia="lt-LT"/>
              </w:rPr>
            </w:pPr>
          </w:p>
          <w:p w14:paraId="66BF6EE0" w14:textId="77777777" w:rsidR="008364F7" w:rsidRPr="00F60F59" w:rsidRDefault="008364F7" w:rsidP="00251568">
            <w:pPr>
              <w:rPr>
                <w:bCs/>
                <w:lang w:eastAsia="lt-LT"/>
              </w:rPr>
            </w:pPr>
          </w:p>
          <w:p w14:paraId="65B8B9F2" w14:textId="3DB1BD7E" w:rsidR="008364F7" w:rsidRPr="00F60F59" w:rsidRDefault="008364F7" w:rsidP="00251568">
            <w:pPr>
              <w:rPr>
                <w:bCs/>
                <w:lang w:eastAsia="lt-LT"/>
              </w:rPr>
            </w:pPr>
            <w:r w:rsidRPr="00F60F59">
              <w:rPr>
                <w:bCs/>
                <w:lang w:eastAsia="lt-LT"/>
              </w:rPr>
              <w:t>Kodas pagal TLK-10 AM</w:t>
            </w:r>
          </w:p>
        </w:tc>
        <w:tc>
          <w:tcPr>
            <w:tcW w:w="5167" w:type="dxa"/>
          </w:tcPr>
          <w:p w14:paraId="2EE279CC" w14:textId="77777777" w:rsidR="008364F7" w:rsidRPr="00F60F59" w:rsidRDefault="008364F7" w:rsidP="008364F7">
            <w:pPr>
              <w:spacing w:after="120" w:line="276" w:lineRule="auto"/>
              <w:jc w:val="both"/>
            </w:pPr>
            <w:proofErr w:type="spellStart"/>
            <w:r w:rsidRPr="00F60F59">
              <w:t>Lorviqua</w:t>
            </w:r>
            <w:proofErr w:type="spellEnd"/>
            <w:r w:rsidRPr="00F60F59">
              <w:t xml:space="preserve"> </w:t>
            </w:r>
            <w:proofErr w:type="spellStart"/>
            <w:r w:rsidRPr="00F60F59">
              <w:t>monoterapija</w:t>
            </w:r>
            <w:proofErr w:type="spellEnd"/>
            <w:r w:rsidRPr="00F60F59">
              <w:t xml:space="preserve"> skirta suaugusiems pacientams, sergantiems </w:t>
            </w:r>
            <w:proofErr w:type="spellStart"/>
            <w:r w:rsidRPr="00F60F59">
              <w:t>anaplastinės</w:t>
            </w:r>
            <w:proofErr w:type="spellEnd"/>
            <w:r w:rsidRPr="00F60F59">
              <w:t xml:space="preserve"> limfomos </w:t>
            </w:r>
            <w:proofErr w:type="spellStart"/>
            <w:r w:rsidRPr="00F60F59">
              <w:t>kinazės</w:t>
            </w:r>
            <w:proofErr w:type="spellEnd"/>
            <w:r w:rsidRPr="00F60F59">
              <w:t xml:space="preserve"> (ALK) atžvilgiu teigiamu pažengusiu </w:t>
            </w:r>
            <w:proofErr w:type="spellStart"/>
            <w:r w:rsidRPr="00F60F59">
              <w:t>nesmulkialąsteliniu</w:t>
            </w:r>
            <w:proofErr w:type="spellEnd"/>
            <w:r w:rsidRPr="00F60F59">
              <w:t xml:space="preserve"> plaučių vėžiu (NSLPV), gydyti, kai liga progresavo po terapijos:</w:t>
            </w:r>
          </w:p>
          <w:p w14:paraId="41674AFF" w14:textId="77777777" w:rsidR="008364F7" w:rsidRPr="00F60F59" w:rsidRDefault="008364F7" w:rsidP="008364F7">
            <w:pPr>
              <w:spacing w:after="120" w:line="276" w:lineRule="auto"/>
              <w:jc w:val="both"/>
            </w:pPr>
            <w:r w:rsidRPr="00F60F59">
              <w:t>•</w:t>
            </w:r>
            <w:r w:rsidRPr="00F60F59">
              <w:tab/>
            </w:r>
            <w:proofErr w:type="spellStart"/>
            <w:r w:rsidRPr="00F60F59">
              <w:t>alektinibu</w:t>
            </w:r>
            <w:proofErr w:type="spellEnd"/>
            <w:r w:rsidRPr="00F60F59">
              <w:t xml:space="preserve"> arba </w:t>
            </w:r>
            <w:proofErr w:type="spellStart"/>
            <w:r w:rsidRPr="00F60F59">
              <w:t>ceritinibu</w:t>
            </w:r>
            <w:proofErr w:type="spellEnd"/>
            <w:r w:rsidRPr="00F60F59">
              <w:t xml:space="preserve"> kaip pirminiu ALK </w:t>
            </w:r>
            <w:proofErr w:type="spellStart"/>
            <w:r w:rsidRPr="00F60F59">
              <w:t>tirozinkinazės</w:t>
            </w:r>
            <w:proofErr w:type="spellEnd"/>
            <w:r w:rsidRPr="00F60F59">
              <w:t xml:space="preserve"> inhibitoriumi (TKI), arba</w:t>
            </w:r>
          </w:p>
          <w:p w14:paraId="32B4E1D8" w14:textId="77777777" w:rsidR="008364F7" w:rsidRPr="00F60F59" w:rsidRDefault="008364F7" w:rsidP="008364F7">
            <w:pPr>
              <w:pStyle w:val="ListParagraph"/>
              <w:spacing w:after="120" w:line="276" w:lineRule="auto"/>
              <w:ind w:left="0"/>
              <w:contextualSpacing w:val="0"/>
              <w:jc w:val="both"/>
            </w:pPr>
            <w:r w:rsidRPr="00F60F59">
              <w:t>•</w:t>
            </w:r>
            <w:r w:rsidRPr="00F60F59">
              <w:tab/>
            </w:r>
            <w:proofErr w:type="spellStart"/>
            <w:r w:rsidRPr="00F60F59">
              <w:t>krizotinibu</w:t>
            </w:r>
            <w:proofErr w:type="spellEnd"/>
            <w:r w:rsidRPr="00F60F59">
              <w:t xml:space="preserve"> ir bent vienu kitu ALK TKI</w:t>
            </w:r>
          </w:p>
          <w:p w14:paraId="73E07B10" w14:textId="25B86AB5" w:rsidR="008364F7" w:rsidRPr="00F60F59" w:rsidRDefault="008364F7" w:rsidP="00251568"/>
        </w:tc>
      </w:tr>
      <w:tr w:rsidR="00F60F59" w:rsidRPr="00F60F59" w14:paraId="64155E83" w14:textId="77777777" w:rsidTr="00251568">
        <w:trPr>
          <w:trHeight w:val="378"/>
        </w:trPr>
        <w:tc>
          <w:tcPr>
            <w:tcW w:w="632" w:type="dxa"/>
          </w:tcPr>
          <w:p w14:paraId="31F06230" w14:textId="77777777" w:rsidR="008364F7" w:rsidRPr="00F60F59" w:rsidRDefault="008364F7" w:rsidP="00251568">
            <w:pPr>
              <w:rPr>
                <w:rFonts w:eastAsia="Arial"/>
              </w:rPr>
            </w:pPr>
            <w:r w:rsidRPr="00F60F59">
              <w:rPr>
                <w:rFonts w:eastAsia="Arial"/>
              </w:rPr>
              <w:t>1.6</w:t>
            </w:r>
          </w:p>
        </w:tc>
        <w:tc>
          <w:tcPr>
            <w:tcW w:w="3694" w:type="dxa"/>
          </w:tcPr>
          <w:p w14:paraId="6DF38F78" w14:textId="77777777" w:rsidR="008364F7" w:rsidRPr="00F60F59" w:rsidRDefault="008364F7" w:rsidP="00251568">
            <w:pPr>
              <w:rPr>
                <w:bCs/>
                <w:u w:val="single"/>
                <w:lang w:eastAsia="lt-LT"/>
              </w:rPr>
            </w:pPr>
            <w:r w:rsidRPr="00F60F59">
              <w:rPr>
                <w:bCs/>
                <w:lang w:eastAsia="lt-LT"/>
              </w:rPr>
              <w:t xml:space="preserve">Pareiškėjo teikiamos skyrimo sąlygos </w:t>
            </w:r>
          </w:p>
        </w:tc>
        <w:tc>
          <w:tcPr>
            <w:tcW w:w="5167" w:type="dxa"/>
          </w:tcPr>
          <w:p w14:paraId="33D3EC1A" w14:textId="77777777" w:rsidR="008364F7" w:rsidRPr="00F60F59" w:rsidRDefault="008364F7" w:rsidP="00251568"/>
        </w:tc>
      </w:tr>
      <w:tr w:rsidR="008364F7" w:rsidRPr="00F60F59" w14:paraId="042806E7" w14:textId="77777777" w:rsidTr="00251568">
        <w:trPr>
          <w:trHeight w:val="378"/>
        </w:trPr>
        <w:tc>
          <w:tcPr>
            <w:tcW w:w="632" w:type="dxa"/>
          </w:tcPr>
          <w:p w14:paraId="22D7A2DB" w14:textId="77777777" w:rsidR="008364F7" w:rsidRPr="00F60F59" w:rsidRDefault="008364F7" w:rsidP="00251568">
            <w:pPr>
              <w:rPr>
                <w:rFonts w:eastAsia="Arial"/>
              </w:rPr>
            </w:pPr>
            <w:r w:rsidRPr="00F60F59">
              <w:rPr>
                <w:rFonts w:eastAsia="Arial"/>
              </w:rPr>
              <w:t>1.7</w:t>
            </w:r>
          </w:p>
        </w:tc>
        <w:tc>
          <w:tcPr>
            <w:tcW w:w="3694" w:type="dxa"/>
          </w:tcPr>
          <w:p w14:paraId="458F682D" w14:textId="77777777" w:rsidR="008364F7" w:rsidRPr="00F60F59" w:rsidRDefault="008364F7" w:rsidP="00251568">
            <w:pPr>
              <w:rPr>
                <w:bCs/>
                <w:lang w:eastAsia="lt-LT"/>
              </w:rPr>
            </w:pPr>
            <w:r w:rsidRPr="00F60F59">
              <w:rPr>
                <w:bCs/>
                <w:lang w:eastAsia="lt-LT"/>
              </w:rPr>
              <w:t xml:space="preserve">Pareiškėjo teikiamas palyginamasis gydymas </w:t>
            </w:r>
          </w:p>
          <w:p w14:paraId="299C5E2A" w14:textId="77777777" w:rsidR="008364F7" w:rsidRPr="00F60F59" w:rsidRDefault="008364F7" w:rsidP="00251568">
            <w:pPr>
              <w:rPr>
                <w:bCs/>
                <w:lang w:eastAsia="lt-LT"/>
              </w:rPr>
            </w:pPr>
          </w:p>
          <w:p w14:paraId="6DAD1BBC" w14:textId="3A229E34" w:rsidR="008364F7" w:rsidRPr="00F60F59" w:rsidRDefault="008364F7" w:rsidP="008364F7">
            <w:pPr>
              <w:spacing w:line="276" w:lineRule="auto"/>
            </w:pPr>
            <w:r w:rsidRPr="00F60F59">
              <w:t>Tiesioginis palyginimas</w:t>
            </w:r>
          </w:p>
          <w:p w14:paraId="107E2DA8" w14:textId="4BECB3AA" w:rsidR="008364F7" w:rsidRPr="00F60F59" w:rsidRDefault="008364F7" w:rsidP="008364F7"/>
          <w:p w14:paraId="52B55C18" w14:textId="77777777" w:rsidR="005208A6" w:rsidRPr="00F60F59" w:rsidRDefault="005208A6" w:rsidP="008364F7"/>
          <w:p w14:paraId="6ED54699" w14:textId="328AC396" w:rsidR="008364F7" w:rsidRPr="00F60F59" w:rsidRDefault="008364F7" w:rsidP="008364F7">
            <w:pPr>
              <w:rPr>
                <w:bCs/>
                <w:lang w:eastAsia="lt-LT"/>
              </w:rPr>
            </w:pPr>
            <w:r w:rsidRPr="00F60F59">
              <w:t>Netiesioginis palyginimas</w:t>
            </w:r>
          </w:p>
          <w:p w14:paraId="07025784" w14:textId="77777777" w:rsidR="008364F7" w:rsidRPr="00F60F59" w:rsidRDefault="008364F7" w:rsidP="00251568">
            <w:pPr>
              <w:rPr>
                <w:bCs/>
                <w:lang w:eastAsia="lt-LT"/>
              </w:rPr>
            </w:pPr>
          </w:p>
        </w:tc>
        <w:tc>
          <w:tcPr>
            <w:tcW w:w="5167" w:type="dxa"/>
          </w:tcPr>
          <w:p w14:paraId="00E2B295" w14:textId="5BDFC276" w:rsidR="008364F7" w:rsidRPr="00F60F59" w:rsidRDefault="008364F7" w:rsidP="00251568"/>
          <w:p w14:paraId="3234155D" w14:textId="77777777" w:rsidR="008364F7" w:rsidRPr="00F60F59" w:rsidRDefault="008364F7" w:rsidP="00251568"/>
          <w:p w14:paraId="4FBC31E4" w14:textId="77777777" w:rsidR="008364F7" w:rsidRPr="00F60F59" w:rsidRDefault="005B49ED" w:rsidP="008364F7">
            <w:sdt>
              <w:sdtPr>
                <w:rPr>
                  <w:rStyle w:val="Style2"/>
                  <w:sz w:val="24"/>
                </w:rPr>
                <w:id w:val="-550691646"/>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Tinkamas</w:t>
            </w:r>
          </w:p>
          <w:p w14:paraId="01D2D98A" w14:textId="40A766A0" w:rsidR="008364F7" w:rsidRPr="00F60F59" w:rsidRDefault="005B49ED" w:rsidP="008364F7">
            <w:sdt>
              <w:sdtPr>
                <w:rPr>
                  <w:rStyle w:val="Style2"/>
                  <w:sz w:val="24"/>
                </w:rPr>
                <w:id w:val="-1673489251"/>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Netinkamas</w:t>
            </w:r>
          </w:p>
          <w:p w14:paraId="37C2A4FC" w14:textId="38D8AF08" w:rsidR="008364F7" w:rsidRPr="00F60F59" w:rsidRDefault="008364F7" w:rsidP="00251568"/>
          <w:p w14:paraId="48CC9A36" w14:textId="77777777" w:rsidR="008364F7" w:rsidRPr="00F60F59" w:rsidRDefault="008364F7" w:rsidP="00251568"/>
          <w:p w14:paraId="0BBBF603" w14:textId="340EA361" w:rsidR="008364F7" w:rsidRPr="00F60F59" w:rsidRDefault="005B49ED" w:rsidP="008364F7">
            <w:sdt>
              <w:sdtPr>
                <w:rPr>
                  <w:rStyle w:val="Style2"/>
                  <w:sz w:val="24"/>
                </w:rPr>
                <w:id w:val="-227769244"/>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Tinkamas</w:t>
            </w:r>
          </w:p>
          <w:p w14:paraId="44D98A09" w14:textId="3C4267CD" w:rsidR="008364F7" w:rsidRPr="00F60F59" w:rsidRDefault="005B49ED" w:rsidP="008364F7">
            <w:sdt>
              <w:sdtPr>
                <w:rPr>
                  <w:rStyle w:val="Style2"/>
                  <w:sz w:val="24"/>
                </w:rPr>
                <w:id w:val="1188260614"/>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Netinkamas</w:t>
            </w:r>
          </w:p>
          <w:p w14:paraId="6EC12EA9" w14:textId="72873A18" w:rsidR="008364F7" w:rsidRPr="00F60F59" w:rsidRDefault="008364F7" w:rsidP="00251568"/>
        </w:tc>
      </w:tr>
    </w:tbl>
    <w:p w14:paraId="0E9D88FD" w14:textId="77777777" w:rsidR="008364F7" w:rsidRPr="00F60F59" w:rsidRDefault="008364F7" w:rsidP="008364F7">
      <w:pPr>
        <w:pStyle w:val="ListParagraph"/>
        <w:tabs>
          <w:tab w:val="left" w:pos="426"/>
        </w:tabs>
        <w:ind w:left="0"/>
        <w:rPr>
          <w:b/>
          <w:bCs/>
          <w:caps/>
        </w:rPr>
      </w:pPr>
    </w:p>
    <w:p w14:paraId="4C9D06CF" w14:textId="77777777" w:rsidR="008364F7" w:rsidRPr="00F60F59" w:rsidRDefault="008364F7" w:rsidP="008364F7">
      <w:pPr>
        <w:spacing w:line="276" w:lineRule="auto"/>
        <w:jc w:val="both"/>
        <w:rPr>
          <w:rFonts w:eastAsia="Arial"/>
          <w:b/>
        </w:rPr>
      </w:pPr>
      <w:r w:rsidRPr="00F60F59">
        <w:rPr>
          <w:rFonts w:eastAsia="Arial"/>
          <w:b/>
        </w:rPr>
        <w:t>1.8 Kitų valstybių atsakingų institucijų atlikto Sveikatos technologijų vertinimo (toliau – STV) išvados</w:t>
      </w:r>
    </w:p>
    <w:p w14:paraId="3F1B162E" w14:textId="77777777" w:rsidR="008364F7" w:rsidRPr="00F60F59" w:rsidRDefault="008364F7" w:rsidP="008364F7">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60F59" w:rsidRPr="00F60F59" w14:paraId="0E8241ED" w14:textId="77777777" w:rsidTr="00251568">
        <w:trPr>
          <w:trHeight w:val="924"/>
        </w:trPr>
        <w:tc>
          <w:tcPr>
            <w:tcW w:w="2855" w:type="dxa"/>
          </w:tcPr>
          <w:p w14:paraId="0D2EBA88" w14:textId="77777777" w:rsidR="008364F7" w:rsidRPr="00F60F59" w:rsidRDefault="008364F7" w:rsidP="00251568">
            <w:pPr>
              <w:rPr>
                <w:rFonts w:eastAsia="Arial"/>
              </w:rPr>
            </w:pPr>
            <w:r w:rsidRPr="00F60F59">
              <w:rPr>
                <w:rFonts w:eastAsia="Arial"/>
              </w:rPr>
              <w:t>STV agentūros pavadinimas, šalis</w:t>
            </w:r>
          </w:p>
        </w:tc>
        <w:tc>
          <w:tcPr>
            <w:tcW w:w="1851" w:type="dxa"/>
          </w:tcPr>
          <w:p w14:paraId="54B6A263" w14:textId="77777777" w:rsidR="008364F7" w:rsidRPr="00F60F59" w:rsidRDefault="008364F7" w:rsidP="00251568">
            <w:pPr>
              <w:rPr>
                <w:rFonts w:eastAsia="Arial"/>
              </w:rPr>
            </w:pPr>
            <w:r w:rsidRPr="00F60F59">
              <w:rPr>
                <w:rFonts w:eastAsia="Arial"/>
              </w:rPr>
              <w:t>STV vertinimas atliktas</w:t>
            </w:r>
          </w:p>
        </w:tc>
        <w:tc>
          <w:tcPr>
            <w:tcW w:w="2244" w:type="dxa"/>
          </w:tcPr>
          <w:p w14:paraId="7D808588" w14:textId="77777777" w:rsidR="008364F7" w:rsidRPr="00F60F59" w:rsidRDefault="008364F7" w:rsidP="00251568">
            <w:pPr>
              <w:rPr>
                <w:rFonts w:eastAsia="Arial"/>
              </w:rPr>
            </w:pPr>
            <w:r w:rsidRPr="00F60F59">
              <w:rPr>
                <w:rFonts w:eastAsia="Arial"/>
              </w:rPr>
              <w:t>Klinikinio vertinimo išvada</w:t>
            </w:r>
          </w:p>
        </w:tc>
        <w:tc>
          <w:tcPr>
            <w:tcW w:w="2543" w:type="dxa"/>
          </w:tcPr>
          <w:p w14:paraId="468F9CE1" w14:textId="77777777" w:rsidR="008364F7" w:rsidRPr="00F60F59" w:rsidRDefault="008364F7" w:rsidP="00251568">
            <w:pPr>
              <w:rPr>
                <w:rFonts w:eastAsia="Arial"/>
              </w:rPr>
            </w:pPr>
            <w:proofErr w:type="spellStart"/>
            <w:r w:rsidRPr="00F60F59">
              <w:rPr>
                <w:rFonts w:eastAsia="Arial"/>
              </w:rPr>
              <w:t>Farmakoekonominio</w:t>
            </w:r>
            <w:proofErr w:type="spellEnd"/>
            <w:r w:rsidRPr="00F60F59">
              <w:rPr>
                <w:rFonts w:eastAsia="Arial"/>
              </w:rPr>
              <w:t xml:space="preserve"> vertinimo išvada</w:t>
            </w:r>
          </w:p>
        </w:tc>
      </w:tr>
      <w:tr w:rsidR="00F60F59" w:rsidRPr="00F60F59" w14:paraId="0A9AD749" w14:textId="77777777" w:rsidTr="00251568">
        <w:trPr>
          <w:trHeight w:val="2267"/>
        </w:trPr>
        <w:tc>
          <w:tcPr>
            <w:tcW w:w="2855" w:type="dxa"/>
          </w:tcPr>
          <w:p w14:paraId="3627E0F0" w14:textId="77777777" w:rsidR="008364F7" w:rsidRPr="00F60F59" w:rsidRDefault="008364F7" w:rsidP="00251568">
            <w:pPr>
              <w:rPr>
                <w:bCs/>
              </w:rPr>
            </w:pPr>
            <w:r w:rsidRPr="00F60F59">
              <w:rPr>
                <w:bCs/>
              </w:rPr>
              <w:t>Nacionalinis sveikatos ir klinikinės kompetencijos institutas, Didžioji Britanija</w:t>
            </w:r>
          </w:p>
          <w:p w14:paraId="32ED27BD" w14:textId="77777777" w:rsidR="008364F7" w:rsidRPr="00F60F59" w:rsidRDefault="008364F7" w:rsidP="00251568">
            <w:pPr>
              <w:rPr>
                <w:rFonts w:eastAsia="Arial"/>
                <w:lang w:val="en-GB"/>
              </w:rPr>
            </w:pPr>
            <w:r w:rsidRPr="00F60F59">
              <w:rPr>
                <w:rFonts w:eastAsia="Arial"/>
                <w:lang w:val="en-GB"/>
              </w:rPr>
              <w:t>(</w:t>
            </w:r>
            <w:proofErr w:type="spellStart"/>
            <w:r w:rsidRPr="00F60F59">
              <w:rPr>
                <w:rFonts w:eastAsia="Arial"/>
                <w:lang w:val="en-GB"/>
              </w:rPr>
              <w:t>angl.</w:t>
            </w:r>
            <w:proofErr w:type="spellEnd"/>
            <w:r w:rsidRPr="00F60F59">
              <w:rPr>
                <w:rFonts w:eastAsia="Arial"/>
                <w:lang w:val="en-GB"/>
              </w:rPr>
              <w:t xml:space="preserve"> </w:t>
            </w:r>
            <w:r w:rsidRPr="00F60F59">
              <w:rPr>
                <w:rFonts w:eastAsia="Arial"/>
                <w:i/>
                <w:lang w:val="en-GB"/>
              </w:rPr>
              <w:t>National Institute for Health and Care  Excellence, NICE</w:t>
            </w:r>
            <w:r w:rsidRPr="00F60F59">
              <w:rPr>
                <w:rFonts w:eastAsia="Arial"/>
                <w:lang w:val="en-GB"/>
              </w:rPr>
              <w:t>)</w:t>
            </w:r>
          </w:p>
        </w:tc>
        <w:tc>
          <w:tcPr>
            <w:tcW w:w="1851" w:type="dxa"/>
          </w:tcPr>
          <w:p w14:paraId="4F1A3B40" w14:textId="77777777" w:rsidR="008364F7" w:rsidRPr="00F60F59" w:rsidRDefault="005B49ED" w:rsidP="00251568">
            <w:sdt>
              <w:sdtPr>
                <w:rPr>
                  <w:rStyle w:val="Style2"/>
                  <w:sz w:val="24"/>
                </w:rPr>
                <w:id w:val="-483545543"/>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Taip</w:t>
            </w:r>
          </w:p>
          <w:p w14:paraId="3C5FEBEE" w14:textId="77777777" w:rsidR="008364F7" w:rsidRPr="00F60F59" w:rsidRDefault="005B49ED" w:rsidP="00251568">
            <w:sdt>
              <w:sdtPr>
                <w:rPr>
                  <w:rStyle w:val="Style2"/>
                  <w:sz w:val="24"/>
                </w:rPr>
                <w:id w:val="437877092"/>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Segoe UI Symbol" w:eastAsia="MS Gothic" w:hAnsi="Segoe UI Symbol" w:cs="Segoe UI Symbol"/>
                    <w:sz w:val="24"/>
                  </w:rPr>
                  <w:t>☐</w:t>
                </w:r>
              </w:sdtContent>
            </w:sdt>
            <w:r w:rsidR="008364F7" w:rsidRPr="00F60F59">
              <w:t xml:space="preserve"> Ne</w:t>
            </w:r>
          </w:p>
          <w:p w14:paraId="46EACF98" w14:textId="492944F7" w:rsidR="008364F7" w:rsidRPr="00F60F59" w:rsidRDefault="005B49ED" w:rsidP="00251568">
            <w:pPr>
              <w:rPr>
                <w:rFonts w:eastAsia="Arial"/>
              </w:rPr>
            </w:pPr>
            <w:sdt>
              <w:sdtPr>
                <w:alias w:val="Nurodykite konkrečią dieną"/>
                <w:tag w:val="Nurodykite pradžios datą"/>
                <w:id w:val="1153792729"/>
                <w:placeholder>
                  <w:docPart w:val="9EF7ED4A80AE4009918E4230B98AE5FF"/>
                </w:placeholder>
                <w15:color w:val="FFCC99"/>
                <w:date w:fullDate="2020-05-13T00:00:00Z">
                  <w:dateFormat w:val="yyyy 'm.' MMMM d 'd.'"/>
                  <w:lid w:val="lt-LT"/>
                  <w:storeMappedDataAs w:val="dateTime"/>
                  <w:calendar w:val="gregorian"/>
                </w:date>
              </w:sdtPr>
              <w:sdtEndPr/>
              <w:sdtContent>
                <w:r w:rsidR="008364F7" w:rsidRPr="00F60F59">
                  <w:t>2020 m. gegužės 13 d.</w:t>
                </w:r>
              </w:sdtContent>
            </w:sdt>
          </w:p>
        </w:tc>
        <w:tc>
          <w:tcPr>
            <w:tcW w:w="4787" w:type="dxa"/>
            <w:gridSpan w:val="2"/>
          </w:tcPr>
          <w:p w14:paraId="05BEFA74" w14:textId="0F537DCA" w:rsidR="008364F7" w:rsidRPr="00F60F59" w:rsidRDefault="008364F7" w:rsidP="005208A6">
            <w:pPr>
              <w:jc w:val="both"/>
              <w:rPr>
                <w:rFonts w:eastAsia="Arial"/>
              </w:rPr>
            </w:pPr>
            <w:proofErr w:type="spellStart"/>
            <w:r w:rsidRPr="00F60F59">
              <w:rPr>
                <w:rFonts w:eastAsia="Arial"/>
              </w:rPr>
              <w:t>Lorlatinibas</w:t>
            </w:r>
            <w:proofErr w:type="spellEnd"/>
            <w:r w:rsidRPr="00F60F59">
              <w:rPr>
                <w:rFonts w:eastAsia="Arial"/>
              </w:rPr>
              <w:t xml:space="preserve"> rekomenduojamas kaip gydymo pasirinkimas pacientams, kuriems yra </w:t>
            </w:r>
            <w:proofErr w:type="spellStart"/>
            <w:r w:rsidRPr="00F60F59">
              <w:rPr>
                <w:rFonts w:eastAsia="Arial"/>
              </w:rPr>
              <w:t>anaplastinės</w:t>
            </w:r>
            <w:proofErr w:type="spellEnd"/>
            <w:r w:rsidRPr="00F60F59">
              <w:rPr>
                <w:rFonts w:eastAsia="Arial"/>
              </w:rPr>
              <w:t xml:space="preserve"> limfomos </w:t>
            </w:r>
            <w:proofErr w:type="spellStart"/>
            <w:r w:rsidRPr="00F60F59">
              <w:rPr>
                <w:rFonts w:eastAsia="Arial"/>
              </w:rPr>
              <w:t>tirozinkinazės</w:t>
            </w:r>
            <w:proofErr w:type="spellEnd"/>
            <w:r w:rsidRPr="00F60F59">
              <w:rPr>
                <w:rFonts w:eastAsia="Arial"/>
              </w:rPr>
              <w:t xml:space="preserve"> (ALK TK) teigiamas nesmulkiųjų ląstelių išplitęs vėžys ir kuriems nustatyta ligos progresija po pirmos eilės gydymo ALK TK </w:t>
            </w:r>
            <w:proofErr w:type="spellStart"/>
            <w:r w:rsidRPr="00F60F59">
              <w:rPr>
                <w:rFonts w:eastAsia="Arial"/>
              </w:rPr>
              <w:t>inhibit</w:t>
            </w:r>
            <w:r w:rsidR="005208A6" w:rsidRPr="00F60F59">
              <w:rPr>
                <w:rFonts w:eastAsia="Arial"/>
              </w:rPr>
              <w:t>o</w:t>
            </w:r>
            <w:r w:rsidRPr="00F60F59">
              <w:rPr>
                <w:rFonts w:eastAsia="Arial"/>
              </w:rPr>
              <w:t>rimi</w:t>
            </w:r>
            <w:proofErr w:type="spellEnd"/>
            <w:r w:rsidRPr="00F60F59">
              <w:rPr>
                <w:rFonts w:eastAsia="Arial"/>
              </w:rPr>
              <w:t xml:space="preserve">: </w:t>
            </w:r>
            <w:proofErr w:type="spellStart"/>
            <w:r w:rsidRPr="00F60F59">
              <w:rPr>
                <w:rFonts w:eastAsia="Arial"/>
              </w:rPr>
              <w:t>alektinibu</w:t>
            </w:r>
            <w:proofErr w:type="spellEnd"/>
            <w:r w:rsidRPr="00F60F59">
              <w:rPr>
                <w:rFonts w:eastAsia="Arial"/>
              </w:rPr>
              <w:t xml:space="preserve"> ar </w:t>
            </w:r>
            <w:proofErr w:type="spellStart"/>
            <w:r w:rsidRPr="00F60F59">
              <w:rPr>
                <w:rFonts w:eastAsia="Arial"/>
              </w:rPr>
              <w:t>ceritinibu</w:t>
            </w:r>
            <w:proofErr w:type="spellEnd"/>
            <w:r w:rsidRPr="00F60F59">
              <w:rPr>
                <w:rFonts w:eastAsia="Arial"/>
              </w:rPr>
              <w:t xml:space="preserve">, arba </w:t>
            </w:r>
            <w:proofErr w:type="spellStart"/>
            <w:r w:rsidRPr="00F60F59">
              <w:rPr>
                <w:rFonts w:eastAsia="Arial"/>
              </w:rPr>
              <w:t>krizotinibu</w:t>
            </w:r>
            <w:proofErr w:type="spellEnd"/>
            <w:r w:rsidRPr="00F60F59">
              <w:rPr>
                <w:rFonts w:eastAsia="Arial"/>
              </w:rPr>
              <w:t xml:space="preserve"> bei nors vienu antros kartos ALK TK. pareiškėjas tieks </w:t>
            </w:r>
            <w:proofErr w:type="spellStart"/>
            <w:r w:rsidRPr="00F60F59">
              <w:rPr>
                <w:rFonts w:eastAsia="Arial"/>
              </w:rPr>
              <w:t>lorlatinibą</w:t>
            </w:r>
            <w:proofErr w:type="spellEnd"/>
            <w:r w:rsidRPr="00F60F59">
              <w:rPr>
                <w:rFonts w:eastAsia="Arial"/>
              </w:rPr>
              <w:t xml:space="preserve"> pagal komercinį susitarimą.</w:t>
            </w:r>
          </w:p>
        </w:tc>
      </w:tr>
      <w:tr w:rsidR="00F60F59" w:rsidRPr="00F60F59" w14:paraId="7E1C51C5" w14:textId="77777777" w:rsidTr="004D5596">
        <w:trPr>
          <w:trHeight w:val="1547"/>
        </w:trPr>
        <w:tc>
          <w:tcPr>
            <w:tcW w:w="2855" w:type="dxa"/>
          </w:tcPr>
          <w:p w14:paraId="7141C643" w14:textId="77777777" w:rsidR="008364F7" w:rsidRPr="00F60F59" w:rsidRDefault="008364F7" w:rsidP="00251568">
            <w:pPr>
              <w:rPr>
                <w:rFonts w:eastAsia="Arial"/>
                <w:lang w:val="en-GB"/>
              </w:rPr>
            </w:pPr>
            <w:proofErr w:type="spellStart"/>
            <w:r w:rsidRPr="00F60F59">
              <w:rPr>
                <w:rFonts w:eastAsia="Arial"/>
                <w:lang w:val="en-GB"/>
              </w:rPr>
              <w:t>Kanados</w:t>
            </w:r>
            <w:proofErr w:type="spellEnd"/>
            <w:r w:rsidRPr="00F60F59">
              <w:rPr>
                <w:rFonts w:eastAsia="Arial"/>
                <w:lang w:val="en-GB"/>
              </w:rPr>
              <w:t xml:space="preserve"> </w:t>
            </w:r>
            <w:proofErr w:type="spellStart"/>
            <w:r w:rsidRPr="00F60F59">
              <w:rPr>
                <w:rFonts w:eastAsia="Arial"/>
                <w:lang w:val="en-GB"/>
              </w:rPr>
              <w:t>sveikatos</w:t>
            </w:r>
            <w:proofErr w:type="spellEnd"/>
            <w:r w:rsidRPr="00F60F59">
              <w:rPr>
                <w:rFonts w:eastAsia="Arial"/>
                <w:lang w:val="en-GB"/>
              </w:rPr>
              <w:t xml:space="preserve"> </w:t>
            </w:r>
            <w:proofErr w:type="spellStart"/>
            <w:r w:rsidRPr="00F60F59">
              <w:rPr>
                <w:rFonts w:eastAsia="Arial"/>
                <w:lang w:val="en-GB"/>
              </w:rPr>
              <w:t>technologijų</w:t>
            </w:r>
            <w:proofErr w:type="spellEnd"/>
            <w:r w:rsidRPr="00F60F59">
              <w:rPr>
                <w:rFonts w:eastAsia="Arial"/>
                <w:lang w:val="en-GB"/>
              </w:rPr>
              <w:t xml:space="preserve"> </w:t>
            </w:r>
            <w:proofErr w:type="spellStart"/>
            <w:r w:rsidRPr="00F60F59">
              <w:rPr>
                <w:rFonts w:eastAsia="Arial"/>
                <w:lang w:val="en-GB"/>
              </w:rPr>
              <w:t>agentūra</w:t>
            </w:r>
            <w:proofErr w:type="spellEnd"/>
          </w:p>
          <w:p w14:paraId="035FE1C5" w14:textId="77777777" w:rsidR="008364F7" w:rsidRPr="00F60F59" w:rsidRDefault="008364F7" w:rsidP="00251568">
            <w:pPr>
              <w:rPr>
                <w:rFonts w:eastAsia="Arial"/>
                <w:lang w:val="en-GB"/>
              </w:rPr>
            </w:pPr>
            <w:r w:rsidRPr="00F60F59">
              <w:rPr>
                <w:rFonts w:eastAsia="Arial"/>
                <w:lang w:val="en-GB"/>
              </w:rPr>
              <w:t>(</w:t>
            </w:r>
            <w:proofErr w:type="spellStart"/>
            <w:r w:rsidRPr="00F60F59">
              <w:rPr>
                <w:rFonts w:eastAsia="Arial"/>
                <w:lang w:val="en-GB"/>
              </w:rPr>
              <w:t>angl.</w:t>
            </w:r>
            <w:proofErr w:type="spellEnd"/>
            <w:r w:rsidRPr="00F60F59">
              <w:rPr>
                <w:rFonts w:eastAsia="Arial"/>
                <w:lang w:val="en-GB"/>
              </w:rPr>
              <w:t xml:space="preserve"> </w:t>
            </w:r>
            <w:r w:rsidRPr="00F60F59">
              <w:rPr>
                <w:rFonts w:eastAsia="Arial"/>
                <w:i/>
                <w:lang w:val="en-GB"/>
              </w:rPr>
              <w:t>Canadian health Technology Assessment agency, CADTH</w:t>
            </w:r>
            <w:r w:rsidRPr="00F60F59">
              <w:rPr>
                <w:rFonts w:eastAsia="Arial"/>
                <w:lang w:val="en-GB"/>
              </w:rPr>
              <w:t>)</w:t>
            </w:r>
          </w:p>
        </w:tc>
        <w:tc>
          <w:tcPr>
            <w:tcW w:w="1851" w:type="dxa"/>
          </w:tcPr>
          <w:p w14:paraId="1064E590" w14:textId="77777777" w:rsidR="008364F7" w:rsidRPr="00F60F59" w:rsidRDefault="005B49ED" w:rsidP="00251568">
            <w:sdt>
              <w:sdtPr>
                <w:rPr>
                  <w:rStyle w:val="Style2"/>
                  <w:sz w:val="24"/>
                </w:rPr>
                <w:id w:val="1035474847"/>
                <w15:color w:val="FFCC00"/>
                <w14:checkbox>
                  <w14:checked w14:val="0"/>
                  <w14:checkedState w14:val="2612" w14:font="MS Gothic"/>
                  <w14:uncheckedState w14:val="2610" w14:font="MS Gothic"/>
                </w14:checkbox>
              </w:sdtPr>
              <w:sdtEndPr>
                <w:rPr>
                  <w:rStyle w:val="Style2"/>
                </w:rPr>
              </w:sdtEndPr>
              <w:sdtContent>
                <w:r w:rsidR="008364F7" w:rsidRPr="00F60F59">
                  <w:rPr>
                    <w:rStyle w:val="Style2"/>
                    <w:rFonts w:ascii="Segoe UI Symbol" w:eastAsia="MS Gothic" w:hAnsi="Segoe UI Symbol" w:cs="Segoe UI Symbol"/>
                    <w:sz w:val="24"/>
                  </w:rPr>
                  <w:t>☐</w:t>
                </w:r>
              </w:sdtContent>
            </w:sdt>
            <w:r w:rsidR="008364F7" w:rsidRPr="00F60F59">
              <w:t xml:space="preserve"> Taip</w:t>
            </w:r>
          </w:p>
          <w:p w14:paraId="09C77220" w14:textId="7A086CDB" w:rsidR="008364F7" w:rsidRPr="00F60F59" w:rsidRDefault="005B49ED" w:rsidP="00251568">
            <w:sdt>
              <w:sdtPr>
                <w:rPr>
                  <w:rStyle w:val="Style2"/>
                  <w:sz w:val="24"/>
                </w:rPr>
                <w:id w:val="2062292507"/>
                <w15:color w:val="FFCC00"/>
                <w14:checkbox>
                  <w14:checked w14:val="1"/>
                  <w14:checkedState w14:val="2612" w14:font="MS Gothic"/>
                  <w14:uncheckedState w14:val="2610" w14:font="MS Gothic"/>
                </w14:checkbox>
              </w:sdtPr>
              <w:sdtEndPr>
                <w:rPr>
                  <w:rStyle w:val="Style2"/>
                </w:rPr>
              </w:sdtEndPr>
              <w:sdtContent>
                <w:r w:rsidR="008364F7" w:rsidRPr="00F60F59">
                  <w:rPr>
                    <w:rStyle w:val="Style2"/>
                    <w:rFonts w:ascii="MS Gothic" w:eastAsia="MS Gothic" w:hAnsi="MS Gothic" w:hint="eastAsia"/>
                    <w:sz w:val="24"/>
                  </w:rPr>
                  <w:t>☒</w:t>
                </w:r>
              </w:sdtContent>
            </w:sdt>
            <w:r w:rsidR="008364F7" w:rsidRPr="00F60F59">
              <w:t xml:space="preserve"> Ne</w:t>
            </w:r>
          </w:p>
          <w:p w14:paraId="4371DA91" w14:textId="633D494F" w:rsidR="008364F7" w:rsidRPr="00F60F59" w:rsidRDefault="005B49ED" w:rsidP="00251568">
            <w:pPr>
              <w:rPr>
                <w:rFonts w:eastAsia="Arial"/>
              </w:rPr>
            </w:pPr>
            <w:sdt>
              <w:sdtPr>
                <w:alias w:val="Nurodykite konkrečią dieną"/>
                <w:tag w:val="Nurodykite pradžios datą"/>
                <w:id w:val="1624661095"/>
                <w:placeholder>
                  <w:docPart w:val="E5007A15DD0E43F08F99656C1B9773B9"/>
                </w:placeholder>
                <w15:color w:val="FFCC99"/>
                <w:date w:fullDate="2020-01-30T00:00:00Z">
                  <w:dateFormat w:val="yyyy 'm.' MMMM d 'd.'"/>
                  <w:lid w:val="lt-LT"/>
                  <w:storeMappedDataAs w:val="dateTime"/>
                  <w:calendar w:val="gregorian"/>
                </w:date>
              </w:sdtPr>
              <w:sdtEndPr/>
              <w:sdtContent>
                <w:r w:rsidR="008364F7" w:rsidRPr="00F60F59">
                  <w:t>2020 m. sausio 30 d.</w:t>
                </w:r>
              </w:sdtContent>
            </w:sdt>
          </w:p>
        </w:tc>
        <w:tc>
          <w:tcPr>
            <w:tcW w:w="4787" w:type="dxa"/>
            <w:gridSpan w:val="2"/>
          </w:tcPr>
          <w:p w14:paraId="3E668580" w14:textId="25A4984D" w:rsidR="008364F7" w:rsidRPr="00F60F59" w:rsidRDefault="008364F7" w:rsidP="00D256B5">
            <w:pPr>
              <w:pStyle w:val="Default"/>
              <w:spacing w:line="276" w:lineRule="auto"/>
              <w:jc w:val="both"/>
              <w:rPr>
                <w:rFonts w:eastAsia="Arial"/>
                <w:color w:val="auto"/>
              </w:rPr>
            </w:pPr>
            <w:proofErr w:type="spellStart"/>
            <w:r w:rsidRPr="00F60F59">
              <w:rPr>
                <w:rFonts w:ascii="Times New Roman" w:eastAsia="Arial" w:hAnsi="Times New Roman" w:cs="Times New Roman"/>
                <w:color w:val="auto"/>
              </w:rPr>
              <w:t>Lorlatinibas</w:t>
            </w:r>
            <w:proofErr w:type="spellEnd"/>
            <w:r w:rsidRPr="00F60F59">
              <w:rPr>
                <w:rFonts w:ascii="Times New Roman" w:eastAsia="Arial" w:hAnsi="Times New Roman" w:cs="Times New Roman"/>
                <w:color w:val="auto"/>
              </w:rPr>
              <w:t xml:space="preserve"> nerekomenduojamas kompensuoti gydymui suaugusiems pacientams, kuriems yra </w:t>
            </w:r>
            <w:proofErr w:type="spellStart"/>
            <w:r w:rsidRPr="00F60F59">
              <w:rPr>
                <w:rFonts w:ascii="Times New Roman" w:eastAsia="Arial" w:hAnsi="Times New Roman" w:cs="Times New Roman"/>
                <w:color w:val="auto"/>
              </w:rPr>
              <w:t>anaplastinės</w:t>
            </w:r>
            <w:proofErr w:type="spellEnd"/>
            <w:r w:rsidRPr="00F60F59">
              <w:rPr>
                <w:rFonts w:ascii="Times New Roman" w:eastAsia="Arial" w:hAnsi="Times New Roman" w:cs="Times New Roman"/>
                <w:color w:val="auto"/>
              </w:rPr>
              <w:t xml:space="preserve"> limfomos </w:t>
            </w:r>
            <w:proofErr w:type="spellStart"/>
            <w:r w:rsidRPr="00F60F59">
              <w:rPr>
                <w:rFonts w:ascii="Times New Roman" w:eastAsia="Arial" w:hAnsi="Times New Roman" w:cs="Times New Roman"/>
                <w:color w:val="auto"/>
              </w:rPr>
              <w:t>tirozinkinazės</w:t>
            </w:r>
            <w:proofErr w:type="spellEnd"/>
            <w:r w:rsidRPr="00F60F59">
              <w:rPr>
                <w:rFonts w:ascii="Times New Roman" w:eastAsia="Arial" w:hAnsi="Times New Roman" w:cs="Times New Roman"/>
                <w:color w:val="auto"/>
              </w:rPr>
              <w:t xml:space="preserve">  (ALK TK) teigiamas išplitęs nesmulkiųjų ląstelių plaučių vėžys ir kuris progresavęs po pirmos eilės gydymo </w:t>
            </w:r>
            <w:proofErr w:type="spellStart"/>
            <w:r w:rsidRPr="00F60F59">
              <w:rPr>
                <w:rFonts w:ascii="Times New Roman" w:eastAsia="Arial" w:hAnsi="Times New Roman" w:cs="Times New Roman"/>
                <w:color w:val="auto"/>
              </w:rPr>
              <w:t>alektinibu</w:t>
            </w:r>
            <w:proofErr w:type="spellEnd"/>
            <w:r w:rsidRPr="00F60F59">
              <w:rPr>
                <w:rFonts w:ascii="Times New Roman" w:eastAsia="Arial" w:hAnsi="Times New Roman" w:cs="Times New Roman"/>
                <w:color w:val="auto"/>
              </w:rPr>
              <w:t xml:space="preserve"> ar </w:t>
            </w:r>
            <w:proofErr w:type="spellStart"/>
            <w:r w:rsidRPr="00F60F59">
              <w:rPr>
                <w:rFonts w:ascii="Times New Roman" w:eastAsia="Arial" w:hAnsi="Times New Roman" w:cs="Times New Roman"/>
                <w:color w:val="auto"/>
              </w:rPr>
              <w:t>ceritinibu</w:t>
            </w:r>
            <w:proofErr w:type="spellEnd"/>
            <w:r w:rsidRPr="00F60F59">
              <w:rPr>
                <w:rFonts w:ascii="Times New Roman" w:eastAsia="Arial" w:hAnsi="Times New Roman" w:cs="Times New Roman"/>
                <w:color w:val="auto"/>
              </w:rPr>
              <w:t xml:space="preserve">, arba pirmos eilės gydymo </w:t>
            </w:r>
            <w:proofErr w:type="spellStart"/>
            <w:r w:rsidRPr="00F60F59">
              <w:rPr>
                <w:rFonts w:ascii="Times New Roman" w:eastAsia="Arial" w:hAnsi="Times New Roman" w:cs="Times New Roman"/>
                <w:color w:val="auto"/>
              </w:rPr>
              <w:t>krizotinibu</w:t>
            </w:r>
            <w:proofErr w:type="spellEnd"/>
            <w:r w:rsidRPr="00F60F59">
              <w:rPr>
                <w:rFonts w:ascii="Times New Roman" w:eastAsia="Arial" w:hAnsi="Times New Roman" w:cs="Times New Roman"/>
                <w:color w:val="auto"/>
              </w:rPr>
              <w:t xml:space="preserve"> ir antros kartos ALK TK inhibitoriumi.</w:t>
            </w:r>
          </w:p>
        </w:tc>
      </w:tr>
      <w:tr w:rsidR="002C079D" w:rsidRPr="00F60F59" w14:paraId="28A511F4" w14:textId="77777777" w:rsidTr="00251568">
        <w:trPr>
          <w:trHeight w:val="2160"/>
        </w:trPr>
        <w:tc>
          <w:tcPr>
            <w:tcW w:w="2855" w:type="dxa"/>
          </w:tcPr>
          <w:p w14:paraId="1F79F458" w14:textId="77777777" w:rsidR="002C079D" w:rsidRPr="00F60F59" w:rsidRDefault="002C079D" w:rsidP="002C079D">
            <w:pPr>
              <w:rPr>
                <w:rFonts w:eastAsia="Arial"/>
              </w:rPr>
            </w:pPr>
            <w:r w:rsidRPr="00F60F59">
              <w:rPr>
                <w:rFonts w:eastAsia="Arial"/>
              </w:rPr>
              <w:lastRenderedPageBreak/>
              <w:t xml:space="preserve">Nacionalinis </w:t>
            </w:r>
            <w:proofErr w:type="spellStart"/>
            <w:r w:rsidRPr="00F60F59">
              <w:rPr>
                <w:rFonts w:eastAsia="Arial"/>
              </w:rPr>
              <w:t>farmakoekonomikos</w:t>
            </w:r>
            <w:proofErr w:type="spellEnd"/>
            <w:r w:rsidRPr="00F60F59">
              <w:rPr>
                <w:rFonts w:eastAsia="Arial"/>
              </w:rPr>
              <w:t xml:space="preserve"> centras, Airija</w:t>
            </w:r>
          </w:p>
          <w:p w14:paraId="249F9E86" w14:textId="77777777" w:rsidR="002C079D" w:rsidRPr="00F60F59" w:rsidRDefault="002C079D" w:rsidP="002C079D">
            <w:pPr>
              <w:rPr>
                <w:rFonts w:eastAsia="Arial"/>
              </w:rPr>
            </w:pPr>
            <w:r w:rsidRPr="00F60F59">
              <w:rPr>
                <w:rFonts w:eastAsia="Arial"/>
              </w:rPr>
              <w:t>(angl.</w:t>
            </w:r>
            <w:r w:rsidRPr="00F60F59">
              <w:rPr>
                <w:rFonts w:eastAsia="Arial"/>
                <w:i/>
              </w:rPr>
              <w:t xml:space="preserve"> </w:t>
            </w:r>
            <w:proofErr w:type="spellStart"/>
            <w:r w:rsidRPr="00F60F59">
              <w:rPr>
                <w:rFonts w:eastAsia="Arial"/>
                <w:i/>
              </w:rPr>
              <w:t>National</w:t>
            </w:r>
            <w:proofErr w:type="spellEnd"/>
            <w:r w:rsidRPr="00F60F59">
              <w:rPr>
                <w:rFonts w:eastAsia="Arial"/>
                <w:i/>
              </w:rPr>
              <w:t xml:space="preserve"> Centre </w:t>
            </w:r>
            <w:proofErr w:type="spellStart"/>
            <w:r w:rsidRPr="00F60F59">
              <w:rPr>
                <w:rFonts w:eastAsia="Arial"/>
                <w:i/>
              </w:rPr>
              <w:t>for</w:t>
            </w:r>
            <w:proofErr w:type="spellEnd"/>
            <w:r w:rsidRPr="00F60F59">
              <w:rPr>
                <w:rFonts w:eastAsia="Arial"/>
                <w:i/>
              </w:rPr>
              <w:t xml:space="preserve"> </w:t>
            </w:r>
            <w:proofErr w:type="spellStart"/>
            <w:r w:rsidRPr="00F60F59">
              <w:rPr>
                <w:rFonts w:eastAsia="Arial"/>
                <w:i/>
              </w:rPr>
              <w:t>Pharmacoeconomics</w:t>
            </w:r>
            <w:proofErr w:type="spellEnd"/>
            <w:r w:rsidRPr="00F60F59">
              <w:rPr>
                <w:rFonts w:eastAsia="Arial"/>
                <w:i/>
              </w:rPr>
              <w:t>, NCPE</w:t>
            </w:r>
            <w:r w:rsidRPr="00F60F59">
              <w:rPr>
                <w:rFonts w:eastAsia="Arial"/>
              </w:rPr>
              <w:t>)</w:t>
            </w:r>
          </w:p>
        </w:tc>
        <w:tc>
          <w:tcPr>
            <w:tcW w:w="1851" w:type="dxa"/>
          </w:tcPr>
          <w:p w14:paraId="1A914A42" w14:textId="77777777" w:rsidR="002C079D" w:rsidRPr="00F60F59" w:rsidRDefault="005B49ED" w:rsidP="002C079D">
            <w:sdt>
              <w:sdtPr>
                <w:rPr>
                  <w:rStyle w:val="Style2"/>
                  <w:sz w:val="24"/>
                </w:rPr>
                <w:id w:val="581337397"/>
                <w15:color w:val="FFCC00"/>
                <w14:checkbox>
                  <w14:checked w14:val="0"/>
                  <w14:checkedState w14:val="2612" w14:font="MS Gothic"/>
                  <w14:uncheckedState w14:val="2610" w14:font="MS Gothic"/>
                </w14:checkbox>
              </w:sdtPr>
              <w:sdtEndPr>
                <w:rPr>
                  <w:rStyle w:val="Style2"/>
                </w:rPr>
              </w:sdtEndPr>
              <w:sdtContent>
                <w:r w:rsidR="002C079D" w:rsidRPr="00F60F59">
                  <w:rPr>
                    <w:rStyle w:val="Style2"/>
                    <w:rFonts w:ascii="Segoe UI Symbol" w:eastAsia="MS Gothic" w:hAnsi="Segoe UI Symbol" w:cs="Segoe UI Symbol"/>
                    <w:sz w:val="24"/>
                  </w:rPr>
                  <w:t>☐</w:t>
                </w:r>
              </w:sdtContent>
            </w:sdt>
            <w:r w:rsidR="002C079D" w:rsidRPr="00F60F59">
              <w:t xml:space="preserve"> Taip</w:t>
            </w:r>
          </w:p>
          <w:p w14:paraId="52DA75B4" w14:textId="397046D6" w:rsidR="002C079D" w:rsidRPr="00F60F59" w:rsidRDefault="005B49ED" w:rsidP="002C079D">
            <w:sdt>
              <w:sdtPr>
                <w:rPr>
                  <w:rStyle w:val="Style2"/>
                  <w:sz w:val="24"/>
                </w:rPr>
                <w:id w:val="1025753323"/>
                <w15:color w:val="FFCC00"/>
                <w14:checkbox>
                  <w14:checked w14:val="1"/>
                  <w14:checkedState w14:val="2612" w14:font="MS Gothic"/>
                  <w14:uncheckedState w14:val="2610" w14:font="MS Gothic"/>
                </w14:checkbox>
              </w:sdtPr>
              <w:sdtEndPr>
                <w:rPr>
                  <w:rStyle w:val="Style2"/>
                </w:rPr>
              </w:sdtEndPr>
              <w:sdtContent>
                <w:r w:rsidR="002C079D" w:rsidRPr="00F60F59">
                  <w:rPr>
                    <w:rStyle w:val="Style2"/>
                    <w:rFonts w:ascii="MS Gothic" w:eastAsia="MS Gothic" w:hAnsi="MS Gothic" w:hint="eastAsia"/>
                    <w:sz w:val="24"/>
                  </w:rPr>
                  <w:t>☒</w:t>
                </w:r>
              </w:sdtContent>
            </w:sdt>
            <w:r w:rsidR="002C079D" w:rsidRPr="00F60F59">
              <w:t xml:space="preserve"> Ne</w:t>
            </w:r>
          </w:p>
          <w:p w14:paraId="434E601B" w14:textId="23EB55A2" w:rsidR="002C079D" w:rsidRPr="00F60F59" w:rsidRDefault="005B49ED" w:rsidP="002C079D">
            <w:sdt>
              <w:sdtPr>
                <w:alias w:val="Nurodykite konkrečią dieną"/>
                <w:tag w:val="Nurodykite pradžios datą"/>
                <w:id w:val="1778752679"/>
                <w:placeholder>
                  <w:docPart w:val="E2A9041F828440ADA2A36D4C502CCD90"/>
                </w:placeholder>
                <w15:color w:val="FFCC99"/>
                <w:date w:fullDate="2019-06-25T00:00:00Z">
                  <w:dateFormat w:val="yyyy 'm.' MMMM d 'd.'"/>
                  <w:lid w:val="lt-LT"/>
                  <w:storeMappedDataAs w:val="dateTime"/>
                  <w:calendar w:val="gregorian"/>
                </w:date>
              </w:sdtPr>
              <w:sdtEndPr/>
              <w:sdtContent>
                <w:r w:rsidR="002C079D" w:rsidRPr="00F60F59">
                  <w:t>2019 m. birželio 25 d.</w:t>
                </w:r>
              </w:sdtContent>
            </w:sdt>
          </w:p>
          <w:p w14:paraId="6CD6E8E0" w14:textId="77777777" w:rsidR="002C079D" w:rsidRPr="00F60F59" w:rsidRDefault="002C079D" w:rsidP="002C079D"/>
          <w:p w14:paraId="699443EE" w14:textId="77777777" w:rsidR="002C079D" w:rsidRPr="00F60F59" w:rsidRDefault="002C079D" w:rsidP="002C079D"/>
          <w:p w14:paraId="761645DF" w14:textId="396BB73F" w:rsidR="002C079D" w:rsidRPr="00F60F59" w:rsidRDefault="005B49ED" w:rsidP="002C079D">
            <w:sdt>
              <w:sdtPr>
                <w:rPr>
                  <w:rStyle w:val="Style2"/>
                  <w:sz w:val="24"/>
                </w:rPr>
                <w:id w:val="2078783793"/>
                <w15:color w:val="FFCC00"/>
                <w14:checkbox>
                  <w14:checked w14:val="1"/>
                  <w14:checkedState w14:val="2612" w14:font="MS Gothic"/>
                  <w14:uncheckedState w14:val="2610" w14:font="MS Gothic"/>
                </w14:checkbox>
              </w:sdtPr>
              <w:sdtEndPr>
                <w:rPr>
                  <w:rStyle w:val="Style2"/>
                </w:rPr>
              </w:sdtEndPr>
              <w:sdtContent>
                <w:r w:rsidR="004C4F29" w:rsidRPr="00F60F59">
                  <w:rPr>
                    <w:rStyle w:val="Style2"/>
                    <w:rFonts w:ascii="MS Gothic" w:eastAsia="MS Gothic" w:hAnsi="MS Gothic" w:hint="eastAsia"/>
                    <w:sz w:val="24"/>
                  </w:rPr>
                  <w:t>☒</w:t>
                </w:r>
              </w:sdtContent>
            </w:sdt>
            <w:r w:rsidR="002C079D" w:rsidRPr="00F60F59">
              <w:t xml:space="preserve"> Taip</w:t>
            </w:r>
            <w:r w:rsidR="004C4F29" w:rsidRPr="00F60F59">
              <w:t>*</w:t>
            </w:r>
          </w:p>
          <w:p w14:paraId="4F8361D7" w14:textId="77777777" w:rsidR="002C079D" w:rsidRPr="00F60F59" w:rsidRDefault="005B49ED" w:rsidP="002C079D">
            <w:sdt>
              <w:sdtPr>
                <w:rPr>
                  <w:rStyle w:val="Style2"/>
                  <w:sz w:val="24"/>
                </w:rPr>
                <w:id w:val="-17702054"/>
                <w15:color w:val="FFCC00"/>
                <w14:checkbox>
                  <w14:checked w14:val="0"/>
                  <w14:checkedState w14:val="2612" w14:font="MS Gothic"/>
                  <w14:uncheckedState w14:val="2610" w14:font="MS Gothic"/>
                </w14:checkbox>
              </w:sdtPr>
              <w:sdtEndPr>
                <w:rPr>
                  <w:rStyle w:val="Style2"/>
                </w:rPr>
              </w:sdtEndPr>
              <w:sdtContent>
                <w:r w:rsidR="002C079D" w:rsidRPr="00F60F59">
                  <w:rPr>
                    <w:rStyle w:val="Style2"/>
                    <w:rFonts w:ascii="Segoe UI Symbol" w:eastAsia="MS Gothic" w:hAnsi="Segoe UI Symbol" w:cs="Segoe UI Symbol"/>
                    <w:sz w:val="24"/>
                  </w:rPr>
                  <w:t>☐</w:t>
                </w:r>
              </w:sdtContent>
            </w:sdt>
            <w:r w:rsidR="002C079D" w:rsidRPr="00F60F59">
              <w:t xml:space="preserve"> Ne</w:t>
            </w:r>
          </w:p>
          <w:p w14:paraId="7E4D493F" w14:textId="23DE08BB" w:rsidR="002C079D" w:rsidRPr="00F60F59" w:rsidRDefault="005B49ED" w:rsidP="002C079D">
            <w:sdt>
              <w:sdtPr>
                <w:alias w:val="Nurodykite konkrečią dieną"/>
                <w:tag w:val="Nurodykite pradžios datą"/>
                <w:id w:val="1416819738"/>
                <w:placeholder>
                  <w:docPart w:val="C1BD5EE021AA41E48AC26B6D59C5C08A"/>
                </w:placeholder>
                <w15:color w:val="FFCC99"/>
                <w:date w:fullDate="2019-10-14T00:00:00Z">
                  <w:dateFormat w:val="yyyy 'm.' MMMM d 'd.'"/>
                  <w:lid w:val="lt-LT"/>
                  <w:storeMappedDataAs w:val="dateTime"/>
                  <w:calendar w:val="gregorian"/>
                </w:date>
              </w:sdtPr>
              <w:sdtEndPr/>
              <w:sdtContent>
                <w:r w:rsidR="004C4F29" w:rsidRPr="00F60F59">
                  <w:t>2019 m. spalio 14 d.</w:t>
                </w:r>
              </w:sdtContent>
            </w:sdt>
          </w:p>
          <w:p w14:paraId="18D9E70E" w14:textId="77777777" w:rsidR="002C079D" w:rsidRPr="00F60F59" w:rsidRDefault="002C079D" w:rsidP="002C079D"/>
          <w:p w14:paraId="71AFBAAE" w14:textId="77777777" w:rsidR="002C079D" w:rsidRPr="00F60F59" w:rsidRDefault="002C079D" w:rsidP="002C079D"/>
          <w:p w14:paraId="1CB7B70C" w14:textId="77777777" w:rsidR="002C079D" w:rsidRPr="00F60F59" w:rsidRDefault="002C079D" w:rsidP="002C079D"/>
          <w:p w14:paraId="21E26F48" w14:textId="28DC0BA6" w:rsidR="002C079D" w:rsidRPr="00F60F59" w:rsidRDefault="002C079D" w:rsidP="002C079D">
            <w:pPr>
              <w:rPr>
                <w:rFonts w:eastAsia="Arial"/>
              </w:rPr>
            </w:pPr>
          </w:p>
        </w:tc>
        <w:tc>
          <w:tcPr>
            <w:tcW w:w="2244" w:type="dxa"/>
          </w:tcPr>
          <w:p w14:paraId="399086B4" w14:textId="77777777" w:rsidR="002C079D" w:rsidRPr="00F60F59" w:rsidRDefault="002C079D" w:rsidP="002C079D">
            <w:pPr>
              <w:spacing w:line="276" w:lineRule="auto"/>
              <w:jc w:val="both"/>
              <w:rPr>
                <w:rFonts w:eastAsia="Arial"/>
              </w:rPr>
            </w:pPr>
            <w:proofErr w:type="spellStart"/>
            <w:r w:rsidRPr="00F60F59">
              <w:rPr>
                <w:rFonts w:eastAsia="Arial"/>
              </w:rPr>
              <w:t>Lorlatinibas</w:t>
            </w:r>
            <w:proofErr w:type="spellEnd"/>
            <w:r w:rsidRPr="00F60F59">
              <w:rPr>
                <w:rFonts w:eastAsia="Arial"/>
              </w:rPr>
              <w:t xml:space="preserve"> </w:t>
            </w:r>
          </w:p>
          <w:p w14:paraId="06D3DE6C" w14:textId="788C72B1" w:rsidR="002C079D" w:rsidRPr="00F60F59" w:rsidRDefault="002C079D" w:rsidP="002C079D">
            <w:pPr>
              <w:rPr>
                <w:rFonts w:eastAsia="Arial"/>
              </w:rPr>
            </w:pPr>
            <w:r w:rsidRPr="00F60F59">
              <w:rPr>
                <w:rFonts w:eastAsia="Arial"/>
              </w:rPr>
              <w:t xml:space="preserve">skirtas </w:t>
            </w:r>
            <w:proofErr w:type="spellStart"/>
            <w:r w:rsidRPr="00F60F59">
              <w:rPr>
                <w:rFonts w:eastAsia="Arial"/>
              </w:rPr>
              <w:t>monoterapijai</w:t>
            </w:r>
            <w:proofErr w:type="spellEnd"/>
            <w:r w:rsidRPr="00F60F59">
              <w:rPr>
                <w:rFonts w:eastAsia="Arial"/>
              </w:rPr>
              <w:t xml:space="preserve"> suaugusiems pacientams, kuriems yra </w:t>
            </w:r>
            <w:proofErr w:type="spellStart"/>
            <w:r w:rsidRPr="00F60F59">
              <w:rPr>
                <w:rFonts w:eastAsia="Arial"/>
              </w:rPr>
              <w:t>anaplastinės</w:t>
            </w:r>
            <w:proofErr w:type="spellEnd"/>
            <w:r w:rsidRPr="00F60F59">
              <w:rPr>
                <w:rFonts w:eastAsia="Arial"/>
              </w:rPr>
              <w:t xml:space="preserve"> limfomos </w:t>
            </w:r>
            <w:proofErr w:type="spellStart"/>
            <w:r w:rsidRPr="00F60F59">
              <w:rPr>
                <w:rFonts w:eastAsia="Arial"/>
              </w:rPr>
              <w:t>tirozinkinazės</w:t>
            </w:r>
            <w:proofErr w:type="spellEnd"/>
            <w:r w:rsidRPr="00F60F59">
              <w:rPr>
                <w:rFonts w:eastAsia="Arial"/>
              </w:rPr>
              <w:t xml:space="preserve">  (ALK TK) teigiamas  išplitęs nesmulkiųjų ląstelių plaučių vėžys ir kuris progresavęs po pirmos eilės gydymo </w:t>
            </w:r>
            <w:proofErr w:type="spellStart"/>
            <w:r w:rsidRPr="00F60F59">
              <w:rPr>
                <w:rFonts w:eastAsia="Arial"/>
              </w:rPr>
              <w:t>alektinibu</w:t>
            </w:r>
            <w:proofErr w:type="spellEnd"/>
            <w:r w:rsidRPr="00F60F59">
              <w:rPr>
                <w:rFonts w:eastAsia="Arial"/>
              </w:rPr>
              <w:t xml:space="preserve"> ar </w:t>
            </w:r>
            <w:proofErr w:type="spellStart"/>
            <w:r w:rsidRPr="00F60F59">
              <w:rPr>
                <w:rFonts w:eastAsia="Arial"/>
              </w:rPr>
              <w:t>ceritinibu</w:t>
            </w:r>
            <w:proofErr w:type="spellEnd"/>
            <w:r w:rsidRPr="00F60F59">
              <w:rPr>
                <w:rFonts w:eastAsia="Arial"/>
              </w:rPr>
              <w:t xml:space="preserve">, arba pirmos eilės gydymo </w:t>
            </w:r>
            <w:proofErr w:type="spellStart"/>
            <w:r w:rsidRPr="00F60F59">
              <w:rPr>
                <w:rFonts w:eastAsia="Arial"/>
              </w:rPr>
              <w:t>krizotinibu</w:t>
            </w:r>
            <w:proofErr w:type="spellEnd"/>
            <w:r w:rsidRPr="00F60F59">
              <w:rPr>
                <w:rFonts w:eastAsia="Arial"/>
              </w:rPr>
              <w:t xml:space="preserve"> ir antros kartos ALK TK inhibitoriumi (ALK TKI).</w:t>
            </w:r>
          </w:p>
        </w:tc>
        <w:tc>
          <w:tcPr>
            <w:tcW w:w="2543" w:type="dxa"/>
          </w:tcPr>
          <w:p w14:paraId="090890BB" w14:textId="1E0F8926" w:rsidR="002C079D" w:rsidRPr="00F60F59" w:rsidRDefault="002C079D" w:rsidP="002C079D">
            <w:pPr>
              <w:rPr>
                <w:rFonts w:eastAsia="Arial"/>
              </w:rPr>
            </w:pPr>
            <w:r w:rsidRPr="00F60F59">
              <w:rPr>
                <w:rFonts w:eastAsia="Arial"/>
              </w:rPr>
              <w:t xml:space="preserve">Pilnas sveikatos technologijos vertinimas nerekomenduojamas. NCPE nerekomenduoja </w:t>
            </w:r>
            <w:proofErr w:type="spellStart"/>
            <w:r w:rsidRPr="00F60F59">
              <w:rPr>
                <w:rFonts w:eastAsia="Arial"/>
              </w:rPr>
              <w:t>lorlatinibo</w:t>
            </w:r>
            <w:proofErr w:type="spellEnd"/>
            <w:r w:rsidRPr="00F60F59">
              <w:rPr>
                <w:rFonts w:eastAsia="Arial"/>
              </w:rPr>
              <w:t xml:space="preserve"> kompensavimo pagal pateiktą šio vaistinio preparato kainą.*</w:t>
            </w:r>
          </w:p>
        </w:tc>
      </w:tr>
    </w:tbl>
    <w:p w14:paraId="1255818C" w14:textId="77777777" w:rsidR="00905BED" w:rsidRPr="00F60F59" w:rsidRDefault="00905BED" w:rsidP="008C3CED">
      <w:pPr>
        <w:spacing w:line="276" w:lineRule="auto"/>
        <w:rPr>
          <w:rFonts w:eastAsia="Arial"/>
        </w:rPr>
      </w:pPr>
    </w:p>
    <w:p w14:paraId="5055E8A8" w14:textId="471A9757" w:rsidR="002E6F80" w:rsidRPr="00F60F59" w:rsidRDefault="00CC7832" w:rsidP="008C3CED">
      <w:pPr>
        <w:pStyle w:val="ListParagraph"/>
        <w:numPr>
          <w:ilvl w:val="0"/>
          <w:numId w:val="12"/>
        </w:numPr>
        <w:tabs>
          <w:tab w:val="left" w:pos="567"/>
        </w:tabs>
        <w:spacing w:line="276" w:lineRule="auto"/>
        <w:ind w:hanging="720"/>
        <w:rPr>
          <w:b/>
          <w:bCs/>
          <w:caps/>
        </w:rPr>
      </w:pPr>
      <w:r w:rsidRPr="00F60F59">
        <w:rPr>
          <w:b/>
          <w:bCs/>
          <w:caps/>
        </w:rPr>
        <w:t>Klinikinio vertinimo a</w:t>
      </w:r>
      <w:r w:rsidR="00D4485B" w:rsidRPr="00F60F59">
        <w:rPr>
          <w:b/>
          <w:bCs/>
          <w:caps/>
        </w:rPr>
        <w:t>pibendrinimas</w:t>
      </w:r>
    </w:p>
    <w:p w14:paraId="25F89291" w14:textId="524D60F9" w:rsidR="00D4485B" w:rsidRPr="00F60F59" w:rsidRDefault="00D4485B" w:rsidP="008C3CED">
      <w:pPr>
        <w:pStyle w:val="ListParagraph"/>
        <w:tabs>
          <w:tab w:val="left" w:pos="426"/>
        </w:tabs>
        <w:spacing w:line="276" w:lineRule="auto"/>
        <w:ind w:left="0"/>
        <w:rPr>
          <w:b/>
          <w:bCs/>
          <w:caps/>
        </w:rPr>
      </w:pPr>
    </w:p>
    <w:p w14:paraId="35E37459" w14:textId="77777777" w:rsidR="00D5367A" w:rsidRPr="00F60F59" w:rsidRDefault="00D5367A" w:rsidP="008C3CED">
      <w:pPr>
        <w:pStyle w:val="Protokolui"/>
        <w:spacing w:line="276" w:lineRule="auto"/>
        <w:rPr>
          <w:lang w:eastAsia="lt-LT"/>
        </w:rPr>
      </w:pPr>
      <w:r w:rsidRPr="00F60F59">
        <w:rPr>
          <w:lang w:eastAsia="lt-LT"/>
        </w:rPr>
        <w:t xml:space="preserve">Plaučių vėžys yra viena labiausiai paplitusių onkologinių ligų pasaulyje, nulemianti didžiausią mirtingumą. Tarptautinės vėžio tyrimų agentūros (angl. </w:t>
      </w:r>
      <w:r w:rsidRPr="00F60F59">
        <w:rPr>
          <w:i/>
          <w:lang w:eastAsia="lt-LT"/>
        </w:rPr>
        <w:t xml:space="preserve">International </w:t>
      </w:r>
      <w:proofErr w:type="spellStart"/>
      <w:r w:rsidRPr="00F60F59">
        <w:rPr>
          <w:i/>
          <w:lang w:eastAsia="lt-LT"/>
        </w:rPr>
        <w:t>Agency</w:t>
      </w:r>
      <w:proofErr w:type="spellEnd"/>
      <w:r w:rsidRPr="00F60F59">
        <w:rPr>
          <w:i/>
          <w:lang w:eastAsia="lt-LT"/>
        </w:rPr>
        <w:t xml:space="preserve"> </w:t>
      </w:r>
      <w:proofErr w:type="spellStart"/>
      <w:r w:rsidRPr="00F60F59">
        <w:rPr>
          <w:i/>
          <w:lang w:eastAsia="lt-LT"/>
        </w:rPr>
        <w:t>for</w:t>
      </w:r>
      <w:proofErr w:type="spellEnd"/>
      <w:r w:rsidRPr="00F60F59">
        <w:rPr>
          <w:i/>
          <w:lang w:eastAsia="lt-LT"/>
        </w:rPr>
        <w:t xml:space="preserve"> </w:t>
      </w:r>
      <w:proofErr w:type="spellStart"/>
      <w:r w:rsidRPr="00F60F59">
        <w:rPr>
          <w:i/>
          <w:lang w:eastAsia="lt-LT"/>
        </w:rPr>
        <w:t>Research</w:t>
      </w:r>
      <w:proofErr w:type="spellEnd"/>
      <w:r w:rsidRPr="00F60F59">
        <w:rPr>
          <w:i/>
          <w:lang w:eastAsia="lt-LT"/>
        </w:rPr>
        <w:t xml:space="preserve"> </w:t>
      </w:r>
      <w:proofErr w:type="spellStart"/>
      <w:r w:rsidRPr="00F60F59">
        <w:rPr>
          <w:i/>
          <w:lang w:eastAsia="lt-LT"/>
        </w:rPr>
        <w:t>on</w:t>
      </w:r>
      <w:proofErr w:type="spellEnd"/>
      <w:r w:rsidRPr="00F60F59">
        <w:rPr>
          <w:i/>
          <w:lang w:eastAsia="lt-LT"/>
        </w:rPr>
        <w:t xml:space="preserve"> </w:t>
      </w:r>
      <w:proofErr w:type="spellStart"/>
      <w:r w:rsidRPr="00F60F59">
        <w:rPr>
          <w:i/>
          <w:lang w:eastAsia="lt-LT"/>
        </w:rPr>
        <w:t>Cancer</w:t>
      </w:r>
      <w:proofErr w:type="spellEnd"/>
      <w:r w:rsidRPr="00F60F59">
        <w:rPr>
          <w:lang w:eastAsia="lt-LT"/>
        </w:rPr>
        <w:t>) duomenimis, 2020 m. nustatyta 2,2 mln. naujų plaučių vėžio atvejų visame pasaulyje. Šios agentūros duomenimis Europoje 2020 m. naujų plaučių vėžio atvejų buvo 477 534, tai yra 10,6 procentų nuo visų vėžio atvejų, o Lietuvoje – 1500 atvejų (arba 8,8 proc. nuo visų vėžio atvejų). Lietuvos vėžio registro duomenimis, plaučių vėžys dažniau nustatomas vyrams, nei moterims.</w:t>
      </w:r>
    </w:p>
    <w:p w14:paraId="71F358E4" w14:textId="05B5EA98" w:rsidR="00D5367A" w:rsidRPr="00F60F59" w:rsidRDefault="00D5367A" w:rsidP="008C3CED">
      <w:pPr>
        <w:pStyle w:val="Protokolui"/>
        <w:spacing w:line="276" w:lineRule="auto"/>
        <w:rPr>
          <w:lang w:eastAsia="lt-LT"/>
        </w:rPr>
      </w:pPr>
      <w:r w:rsidRPr="00F60F59">
        <w:rPr>
          <w:lang w:eastAsia="lt-LT"/>
        </w:rPr>
        <w:t xml:space="preserve">Kokią plaučių vėžio gydymo taktiką taikyti turi būti sprendžiama remiantis plaučių vėžiu sergančių ligonių ištyrimu (įskaitant ir </w:t>
      </w:r>
      <w:proofErr w:type="spellStart"/>
      <w:r w:rsidRPr="00F60F59">
        <w:rPr>
          <w:lang w:eastAsia="lt-LT"/>
        </w:rPr>
        <w:t>predikcinių</w:t>
      </w:r>
      <w:proofErr w:type="spellEnd"/>
      <w:r w:rsidRPr="00F60F59">
        <w:rPr>
          <w:lang w:eastAsia="lt-LT"/>
        </w:rPr>
        <w:t xml:space="preserve"> bei prognozinių molekulinių genetinių imuninių žymenų nustatymo galimybę, pvz.</w:t>
      </w:r>
      <w:r w:rsidR="008D69B0" w:rsidRPr="00F60F59">
        <w:rPr>
          <w:lang w:val="lt-LT" w:eastAsia="lt-LT"/>
        </w:rPr>
        <w:t>,</w:t>
      </w:r>
      <w:r w:rsidRPr="00F60F59">
        <w:rPr>
          <w:lang w:eastAsia="lt-LT"/>
        </w:rPr>
        <w:t xml:space="preserve"> ALK geno </w:t>
      </w:r>
      <w:proofErr w:type="spellStart"/>
      <w:r w:rsidRPr="00F60F59">
        <w:rPr>
          <w:lang w:eastAsia="lt-LT"/>
        </w:rPr>
        <w:t>translokacija</w:t>
      </w:r>
      <w:proofErr w:type="spellEnd"/>
      <w:r w:rsidRPr="00F60F59">
        <w:rPr>
          <w:lang w:eastAsia="lt-LT"/>
        </w:rPr>
        <w:t xml:space="preserve">) bei gydymu (chirurginis, spindulinis gydymas, chemoterapija, taikinių ir imunoterapija, invazinių </w:t>
      </w:r>
      <w:proofErr w:type="spellStart"/>
      <w:r w:rsidRPr="00F60F59">
        <w:rPr>
          <w:lang w:eastAsia="lt-LT"/>
        </w:rPr>
        <w:t>pulmonologinių</w:t>
      </w:r>
      <w:proofErr w:type="spellEnd"/>
      <w:r w:rsidRPr="00F60F59">
        <w:rPr>
          <w:lang w:eastAsia="lt-LT"/>
        </w:rPr>
        <w:t xml:space="preserve"> procedūrų galimybė). </w:t>
      </w:r>
    </w:p>
    <w:p w14:paraId="1FA60583" w14:textId="6FCE8352" w:rsidR="00D5367A" w:rsidRPr="00F60F59" w:rsidRDefault="00D5367A" w:rsidP="008C3CED">
      <w:pPr>
        <w:pStyle w:val="Protokolui"/>
        <w:spacing w:line="276" w:lineRule="auto"/>
        <w:rPr>
          <w:lang w:eastAsia="lt-LT"/>
        </w:rPr>
      </w:pPr>
      <w:r w:rsidRPr="00F60F59">
        <w:rPr>
          <w:lang w:eastAsia="lt-LT"/>
        </w:rPr>
        <w:t>Nepaisant diagnostinių ir mokslinių pasiekimų NSLPV gydyme, iki šiol nėra tikslinio gydymo pacientams, kurie yra atsparūs pirmos ir</w:t>
      </w:r>
      <w:r w:rsidR="008D69B0" w:rsidRPr="00F60F59">
        <w:rPr>
          <w:lang w:val="lt-LT" w:eastAsia="lt-LT"/>
        </w:rPr>
        <w:t xml:space="preserve"> (</w:t>
      </w:r>
      <w:r w:rsidRPr="00F60F59">
        <w:rPr>
          <w:lang w:eastAsia="lt-LT"/>
        </w:rPr>
        <w:t>arba</w:t>
      </w:r>
      <w:r w:rsidR="008D69B0" w:rsidRPr="00F60F59">
        <w:rPr>
          <w:lang w:val="lt-LT" w:eastAsia="lt-LT"/>
        </w:rPr>
        <w:t>)</w:t>
      </w:r>
      <w:r w:rsidRPr="00F60F59">
        <w:rPr>
          <w:lang w:eastAsia="lt-LT"/>
        </w:rPr>
        <w:t xml:space="preserve"> antros kartos AKL TKI. Šiems pacientams tolimesnės gydymo galimybės yra ribotos. Šiuo metu nėra </w:t>
      </w:r>
      <w:r w:rsidR="008D69B0" w:rsidRPr="00F60F59">
        <w:rPr>
          <w:lang w:val="lt-LT" w:eastAsia="lt-LT"/>
        </w:rPr>
        <w:t>veiksmingo</w:t>
      </w:r>
      <w:r w:rsidR="008D69B0" w:rsidRPr="00F60F59">
        <w:rPr>
          <w:lang w:eastAsia="lt-LT"/>
        </w:rPr>
        <w:t xml:space="preserve"> </w:t>
      </w:r>
      <w:r w:rsidRPr="00F60F59">
        <w:rPr>
          <w:lang w:eastAsia="lt-LT"/>
        </w:rPr>
        <w:t xml:space="preserve">antros eilės gydymo po gydymo </w:t>
      </w:r>
      <w:proofErr w:type="spellStart"/>
      <w:r w:rsidRPr="00F60F59">
        <w:rPr>
          <w:lang w:eastAsia="lt-LT"/>
        </w:rPr>
        <w:t>alektinibu</w:t>
      </w:r>
      <w:proofErr w:type="spellEnd"/>
      <w:r w:rsidRPr="00F60F59">
        <w:rPr>
          <w:lang w:eastAsia="lt-LT"/>
        </w:rPr>
        <w:t xml:space="preserve"> ar </w:t>
      </w:r>
      <w:proofErr w:type="spellStart"/>
      <w:r w:rsidRPr="00F60F59">
        <w:rPr>
          <w:lang w:eastAsia="lt-LT"/>
        </w:rPr>
        <w:t>ceritinibu</w:t>
      </w:r>
      <w:proofErr w:type="spellEnd"/>
      <w:r w:rsidRPr="00F60F59">
        <w:rPr>
          <w:lang w:eastAsia="lt-LT"/>
        </w:rPr>
        <w:t>, arba trečios bei vėlesnių eilių gydymo, nes gydymas chemoterapija abiem atvejais nėra optimalus, ypač esant smegenų metastazėms. Smegenų metastazės yra pagrindinė šios pacientų populiacijos problema, lemianti tolimesnę ligos prognozę, todėl vaistiniai preparatai, pasižymintys prasiskverbimu į CNS, ypač reikalingi.</w:t>
      </w:r>
    </w:p>
    <w:p w14:paraId="3F2E2E9C" w14:textId="77777777" w:rsidR="00D5367A" w:rsidRPr="00F60F59" w:rsidRDefault="00D5367A" w:rsidP="008C3CED">
      <w:pPr>
        <w:pStyle w:val="Protokolui"/>
        <w:spacing w:line="276" w:lineRule="auto"/>
      </w:pPr>
      <w:r w:rsidRPr="00F60F59">
        <w:t xml:space="preserve">Remiantis Plaučių vėžio ambulatorinio gydymo, kurio išlaidos kompensuojamos iš Privalomojo sveikatos draudimo fondo biudžeto, tvarkos aprašu, patvirtinto Lietuvos Respublikos sveikatos apsaugos ministro 2009 m. vasario 20 d. įsakymu Nr. V-127 „Dėl Plaučių vėžio ambulatorinio gydymo, kurio išlaidos kompensuojamos iš Privalomojo sveikatos draudimo fondo biudžeto, tvarkos aprašo patvirtinimo“, nustačius ALK </w:t>
      </w:r>
      <w:proofErr w:type="spellStart"/>
      <w:r w:rsidRPr="00F60F59">
        <w:t>tirozino</w:t>
      </w:r>
      <w:proofErr w:type="spellEnd"/>
      <w:r w:rsidRPr="00F60F59">
        <w:t xml:space="preserve"> </w:t>
      </w:r>
      <w:proofErr w:type="spellStart"/>
      <w:r w:rsidRPr="00F60F59">
        <w:t>kinazės</w:t>
      </w:r>
      <w:proofErr w:type="spellEnd"/>
      <w:r w:rsidRPr="00F60F59">
        <w:t xml:space="preserve"> geno </w:t>
      </w:r>
      <w:proofErr w:type="spellStart"/>
      <w:r w:rsidRPr="00F60F59">
        <w:t>translokaciją</w:t>
      </w:r>
      <w:proofErr w:type="spellEnd"/>
      <w:r w:rsidRPr="00F60F59">
        <w:t xml:space="preserve">, skiriami ALK </w:t>
      </w:r>
      <w:proofErr w:type="spellStart"/>
      <w:r w:rsidRPr="00F60F59">
        <w:t>tirozino</w:t>
      </w:r>
      <w:proofErr w:type="spellEnd"/>
      <w:r w:rsidRPr="00F60F59">
        <w:t xml:space="preserve"> </w:t>
      </w:r>
      <w:proofErr w:type="spellStart"/>
      <w:r w:rsidRPr="00F60F59">
        <w:t>kinazės</w:t>
      </w:r>
      <w:proofErr w:type="spellEnd"/>
      <w:r w:rsidRPr="00F60F59">
        <w:t xml:space="preserve"> inhibitoriai.</w:t>
      </w:r>
    </w:p>
    <w:p w14:paraId="69BEDD1A" w14:textId="0638B1D7" w:rsidR="00D5367A" w:rsidRPr="00F60F59" w:rsidRDefault="00D5367A" w:rsidP="008C3CED">
      <w:pPr>
        <w:pStyle w:val="Protokolui"/>
        <w:spacing w:line="276" w:lineRule="auto"/>
        <w:rPr>
          <w:lang w:eastAsia="lt-LT"/>
        </w:rPr>
      </w:pPr>
      <w:r w:rsidRPr="00F60F59">
        <w:rPr>
          <w:lang w:eastAsia="lt-LT"/>
        </w:rPr>
        <w:t xml:space="preserve">Paraiškoje siūloma nauja vaisto vieta </w:t>
      </w:r>
      <w:r w:rsidR="008D69B0" w:rsidRPr="00F60F59">
        <w:rPr>
          <w:lang w:val="lt-LT" w:eastAsia="lt-LT"/>
        </w:rPr>
        <w:t>gydymo</w:t>
      </w:r>
      <w:r w:rsidR="008D69B0" w:rsidRPr="00F60F59">
        <w:rPr>
          <w:lang w:eastAsia="lt-LT"/>
        </w:rPr>
        <w:t xml:space="preserve"> </w:t>
      </w:r>
      <w:r w:rsidRPr="00F60F59">
        <w:rPr>
          <w:lang w:eastAsia="lt-LT"/>
        </w:rPr>
        <w:t>algoritme – skirti TKI grupės vaistą (</w:t>
      </w:r>
      <w:proofErr w:type="spellStart"/>
      <w:r w:rsidRPr="00F60F59">
        <w:rPr>
          <w:lang w:eastAsia="lt-LT"/>
        </w:rPr>
        <w:t>lorlatinibą</w:t>
      </w:r>
      <w:proofErr w:type="spellEnd"/>
      <w:r w:rsidRPr="00F60F59">
        <w:rPr>
          <w:lang w:eastAsia="lt-LT"/>
        </w:rPr>
        <w:t>) pacientams, kuriems buvo ne</w:t>
      </w:r>
      <w:r w:rsidR="008D69B0" w:rsidRPr="00F60F59">
        <w:rPr>
          <w:lang w:val="lt-LT" w:eastAsia="lt-LT"/>
        </w:rPr>
        <w:t>veiksmingas</w:t>
      </w:r>
      <w:r w:rsidRPr="00F60F59">
        <w:rPr>
          <w:lang w:eastAsia="lt-LT"/>
        </w:rPr>
        <w:t xml:space="preserve"> anksčiau taikytas gydymas ALK TKI grupės preparatais. </w:t>
      </w:r>
      <w:r w:rsidRPr="00F60F59">
        <w:rPr>
          <w:lang w:eastAsia="lt-LT"/>
        </w:rPr>
        <w:lastRenderedPageBreak/>
        <w:t xml:space="preserve">Šiuo metu šiai pacientų grupei yra </w:t>
      </w:r>
      <w:r w:rsidRPr="00F60F59">
        <w:t xml:space="preserve">taikoma chemoterapija dviem </w:t>
      </w:r>
      <w:r w:rsidR="008D69B0" w:rsidRPr="00F60F59">
        <w:rPr>
          <w:lang w:val="lt-LT"/>
        </w:rPr>
        <w:t xml:space="preserve">vaistiniais </w:t>
      </w:r>
      <w:r w:rsidRPr="00F60F59">
        <w:t>preparatais, iš kurių vienas yra platina (</w:t>
      </w:r>
      <w:proofErr w:type="spellStart"/>
      <w:r w:rsidRPr="00F60F59">
        <w:t>cisplatina</w:t>
      </w:r>
      <w:proofErr w:type="spellEnd"/>
      <w:r w:rsidRPr="00F60F59">
        <w:t xml:space="preserve"> arba </w:t>
      </w:r>
      <w:proofErr w:type="spellStart"/>
      <w:r w:rsidRPr="00F60F59">
        <w:t>karboplatina</w:t>
      </w:r>
      <w:proofErr w:type="spellEnd"/>
      <w:r w:rsidRPr="00F60F59">
        <w:t xml:space="preserve">), t. y. PDC (angl. </w:t>
      </w:r>
      <w:proofErr w:type="spellStart"/>
      <w:r w:rsidRPr="00F60F59">
        <w:rPr>
          <w:i/>
          <w:iCs/>
        </w:rPr>
        <w:t>platinum</w:t>
      </w:r>
      <w:proofErr w:type="spellEnd"/>
      <w:r w:rsidRPr="00F60F59">
        <w:rPr>
          <w:i/>
          <w:iCs/>
        </w:rPr>
        <w:t xml:space="preserve"> </w:t>
      </w:r>
      <w:proofErr w:type="spellStart"/>
      <w:r w:rsidRPr="00F60F59">
        <w:rPr>
          <w:i/>
          <w:iCs/>
        </w:rPr>
        <w:t>douplet</w:t>
      </w:r>
      <w:proofErr w:type="spellEnd"/>
      <w:r w:rsidRPr="00F60F59">
        <w:rPr>
          <w:i/>
          <w:iCs/>
        </w:rPr>
        <w:t xml:space="preserve"> </w:t>
      </w:r>
      <w:proofErr w:type="spellStart"/>
      <w:r w:rsidRPr="00F60F59">
        <w:rPr>
          <w:i/>
          <w:iCs/>
        </w:rPr>
        <w:t>chemotherapy</w:t>
      </w:r>
      <w:proofErr w:type="spellEnd"/>
      <w:r w:rsidRPr="00F60F59">
        <w:t xml:space="preserve">). </w:t>
      </w:r>
    </w:p>
    <w:p w14:paraId="5A3524C1" w14:textId="77777777" w:rsidR="00D5367A" w:rsidRPr="00F60F59" w:rsidRDefault="00D5367A" w:rsidP="008C3CED">
      <w:pPr>
        <w:spacing w:line="276" w:lineRule="auto"/>
        <w:ind w:firstLine="567"/>
        <w:jc w:val="both"/>
      </w:pPr>
    </w:p>
    <w:p w14:paraId="1C9221A5" w14:textId="2F142AA9" w:rsidR="00D5367A" w:rsidRPr="00F60F59" w:rsidRDefault="00D5367A" w:rsidP="008C3CED">
      <w:pPr>
        <w:tabs>
          <w:tab w:val="left" w:pos="426"/>
        </w:tabs>
        <w:spacing w:line="276" w:lineRule="auto"/>
        <w:jc w:val="both"/>
        <w:rPr>
          <w:i/>
          <w:lang w:eastAsia="lt-LT"/>
        </w:rPr>
      </w:pPr>
      <w:r w:rsidRPr="00F60F59">
        <w:rPr>
          <w:i/>
          <w:lang w:eastAsia="lt-LT"/>
        </w:rPr>
        <w:t xml:space="preserve">Tiesioginis palyginimas </w:t>
      </w:r>
    </w:p>
    <w:p w14:paraId="67493F3E" w14:textId="5C9B532A" w:rsidR="00116DA4" w:rsidRPr="00F60F59" w:rsidRDefault="00D77032" w:rsidP="008C3CED">
      <w:pPr>
        <w:tabs>
          <w:tab w:val="left" w:pos="426"/>
        </w:tabs>
        <w:spacing w:line="276" w:lineRule="auto"/>
        <w:jc w:val="both"/>
        <w:rPr>
          <w:i/>
          <w:lang w:eastAsia="lt-LT"/>
        </w:rPr>
      </w:pPr>
      <w:r w:rsidRPr="00F60F59">
        <w:tab/>
      </w:r>
      <w:r w:rsidR="005112FA" w:rsidRPr="00F60F59">
        <w:t>T</w:t>
      </w:r>
      <w:r w:rsidR="00116DA4" w:rsidRPr="00F60F59">
        <w:t>iesioginio palyginimo klinikinių tyrimų</w:t>
      </w:r>
      <w:r w:rsidR="005208A6" w:rsidRPr="00F60F59">
        <w:t xml:space="preserve"> duomenų</w:t>
      </w:r>
      <w:r w:rsidR="00116DA4" w:rsidRPr="00F60F59">
        <w:t>, kuri</w:t>
      </w:r>
      <w:r w:rsidR="005208A6" w:rsidRPr="00F60F59">
        <w:t xml:space="preserve">ais remiantis </w:t>
      </w:r>
      <w:r w:rsidR="00116DA4" w:rsidRPr="00F60F59">
        <w:t>būt</w:t>
      </w:r>
      <w:r w:rsidR="005208A6" w:rsidRPr="00F60F59">
        <w:t>ų galima</w:t>
      </w:r>
      <w:r w:rsidR="00116DA4" w:rsidRPr="00F60F59">
        <w:t xml:space="preserve"> </w:t>
      </w:r>
      <w:r w:rsidR="005208A6" w:rsidRPr="00F60F59">
        <w:t xml:space="preserve">įvertinti </w:t>
      </w:r>
      <w:r w:rsidR="00116DA4" w:rsidRPr="00F60F59">
        <w:t>palyginam</w:t>
      </w:r>
      <w:r w:rsidR="005208A6" w:rsidRPr="00F60F59">
        <w:t xml:space="preserve">ąjį veiksmingumą, </w:t>
      </w:r>
      <w:r w:rsidR="005112FA" w:rsidRPr="00F60F59">
        <w:t>nebuvo pateikta</w:t>
      </w:r>
      <w:r w:rsidR="00116DA4" w:rsidRPr="00F60F59">
        <w:t>.</w:t>
      </w:r>
    </w:p>
    <w:p w14:paraId="3F54C534" w14:textId="77777777" w:rsidR="00116DA4" w:rsidRPr="00F60F59" w:rsidRDefault="00116DA4" w:rsidP="008C3CED">
      <w:pPr>
        <w:tabs>
          <w:tab w:val="left" w:pos="426"/>
        </w:tabs>
        <w:spacing w:line="276" w:lineRule="auto"/>
        <w:jc w:val="both"/>
        <w:rPr>
          <w:i/>
          <w:lang w:eastAsia="lt-LT"/>
        </w:rPr>
      </w:pPr>
    </w:p>
    <w:p w14:paraId="3E766238" w14:textId="75464950" w:rsidR="00D5367A" w:rsidRPr="00F60F59" w:rsidRDefault="00D5367A" w:rsidP="008C3CED">
      <w:pPr>
        <w:tabs>
          <w:tab w:val="left" w:pos="426"/>
        </w:tabs>
        <w:spacing w:line="276" w:lineRule="auto"/>
        <w:jc w:val="both"/>
        <w:rPr>
          <w:i/>
          <w:lang w:eastAsia="lt-LT"/>
        </w:rPr>
      </w:pPr>
      <w:r w:rsidRPr="00F60F59">
        <w:rPr>
          <w:i/>
          <w:lang w:eastAsia="lt-LT"/>
        </w:rPr>
        <w:t>Netiesioginis palyginimas</w:t>
      </w:r>
    </w:p>
    <w:p w14:paraId="60A0894A" w14:textId="1E816BAF" w:rsidR="003D3AD8" w:rsidRPr="00F60F59" w:rsidRDefault="003D3AD8" w:rsidP="005208A6">
      <w:pPr>
        <w:spacing w:line="276" w:lineRule="auto"/>
        <w:jc w:val="both"/>
        <w:rPr>
          <w:rFonts w:eastAsia="Arial"/>
        </w:rPr>
      </w:pPr>
      <w:r w:rsidRPr="00F60F59">
        <w:rPr>
          <w:rFonts w:eastAsia="Arial"/>
        </w:rPr>
        <w:tab/>
        <w:t xml:space="preserve">Nesant tiesioginio palyginimo duomenų, palyginamasis gydymo efektyvumas buvo įvertintas naudojant </w:t>
      </w:r>
      <w:r w:rsidRPr="00F60F59">
        <w:rPr>
          <w:iCs/>
        </w:rPr>
        <w:t xml:space="preserve">sutapatinto netiesioginio gydymo palyginimo </w:t>
      </w:r>
      <w:r w:rsidRPr="00F60F59">
        <w:rPr>
          <w:rFonts w:eastAsia="Arial"/>
        </w:rPr>
        <w:t xml:space="preserve">(angl. </w:t>
      </w:r>
      <w:proofErr w:type="spellStart"/>
      <w:r w:rsidRPr="00F60F59">
        <w:rPr>
          <w:rFonts w:eastAsia="Arial"/>
          <w:i/>
        </w:rPr>
        <w:t>matching-adjusted</w:t>
      </w:r>
      <w:proofErr w:type="spellEnd"/>
      <w:r w:rsidRPr="00F60F59">
        <w:rPr>
          <w:rFonts w:eastAsia="Arial"/>
          <w:i/>
        </w:rPr>
        <w:t xml:space="preserve"> </w:t>
      </w:r>
      <w:proofErr w:type="spellStart"/>
      <w:r w:rsidRPr="00F60F59">
        <w:rPr>
          <w:rFonts w:eastAsia="Arial"/>
          <w:i/>
        </w:rPr>
        <w:t>indirect</w:t>
      </w:r>
      <w:proofErr w:type="spellEnd"/>
      <w:r w:rsidRPr="00F60F59">
        <w:rPr>
          <w:rFonts w:eastAsia="Arial"/>
          <w:i/>
        </w:rPr>
        <w:t xml:space="preserve"> </w:t>
      </w:r>
      <w:proofErr w:type="spellStart"/>
      <w:r w:rsidRPr="00F60F59">
        <w:rPr>
          <w:rFonts w:eastAsia="Arial"/>
          <w:i/>
        </w:rPr>
        <w:t>comparison</w:t>
      </w:r>
      <w:proofErr w:type="spellEnd"/>
      <w:r w:rsidRPr="00F60F59">
        <w:rPr>
          <w:rFonts w:eastAsia="Arial"/>
          <w:i/>
        </w:rPr>
        <w:t xml:space="preserve"> (MAIC)</w:t>
      </w:r>
      <w:r w:rsidRPr="00F60F59">
        <w:rPr>
          <w:rFonts w:eastAsia="Arial"/>
        </w:rPr>
        <w:t xml:space="preserve">) metodą. Pareiškėjas numatė, kad palyginamasis gydymas šiuo atveju gali būti </w:t>
      </w:r>
      <w:proofErr w:type="spellStart"/>
      <w:r w:rsidRPr="00F60F59">
        <w:rPr>
          <w:rFonts w:eastAsia="Arial"/>
        </w:rPr>
        <w:t>monoterapija</w:t>
      </w:r>
      <w:proofErr w:type="spellEnd"/>
      <w:r w:rsidRPr="00F60F59">
        <w:rPr>
          <w:rFonts w:eastAsia="Arial"/>
        </w:rPr>
        <w:t xml:space="preserve"> </w:t>
      </w:r>
      <w:proofErr w:type="spellStart"/>
      <w:r w:rsidRPr="00F60F59">
        <w:rPr>
          <w:rFonts w:eastAsia="Arial"/>
        </w:rPr>
        <w:t>pemetreksedu</w:t>
      </w:r>
      <w:proofErr w:type="spellEnd"/>
      <w:r w:rsidRPr="00F60F59">
        <w:rPr>
          <w:rFonts w:eastAsia="Arial"/>
        </w:rPr>
        <w:t xml:space="preserve"> ar </w:t>
      </w:r>
      <w:proofErr w:type="spellStart"/>
      <w:r w:rsidRPr="00F60F59">
        <w:rPr>
          <w:rFonts w:eastAsia="Arial"/>
        </w:rPr>
        <w:t>doksetakseliu</w:t>
      </w:r>
      <w:proofErr w:type="spellEnd"/>
      <w:r w:rsidRPr="00F60F59">
        <w:rPr>
          <w:rFonts w:eastAsia="Arial"/>
        </w:rPr>
        <w:t>.</w:t>
      </w:r>
    </w:p>
    <w:p w14:paraId="2738612A" w14:textId="3C7CACD2" w:rsidR="00D5367A" w:rsidRPr="00F60F59" w:rsidRDefault="00D5367A" w:rsidP="008C3CED">
      <w:pPr>
        <w:pStyle w:val="Protokolui"/>
        <w:spacing w:line="276" w:lineRule="auto"/>
        <w:rPr>
          <w:rFonts w:eastAsia="Arial"/>
        </w:rPr>
      </w:pPr>
      <w:r w:rsidRPr="00F60F59">
        <w:t xml:space="preserve">MAIC </w:t>
      </w:r>
      <w:r w:rsidRPr="00F60F59">
        <w:rPr>
          <w:rFonts w:eastAsia="Arial"/>
        </w:rPr>
        <w:t>analizė</w:t>
      </w:r>
      <w:r w:rsidR="00D77032" w:rsidRPr="00F60F59">
        <w:rPr>
          <w:rFonts w:eastAsia="Arial"/>
          <w:lang w:val="lt-LT"/>
        </w:rPr>
        <w:t>s duomenys turi būti interpretuojami atsargiai</w:t>
      </w:r>
      <w:r w:rsidRPr="00F60F59">
        <w:rPr>
          <w:rFonts w:eastAsia="Arial"/>
        </w:rPr>
        <w:t xml:space="preserve"> dėl skirtingų pacientų grupių, tyrimų </w:t>
      </w:r>
      <w:proofErr w:type="spellStart"/>
      <w:r w:rsidRPr="00F60F59">
        <w:rPr>
          <w:rFonts w:eastAsia="Arial"/>
        </w:rPr>
        <w:t>nesutapimų</w:t>
      </w:r>
      <w:proofErr w:type="spellEnd"/>
      <w:r w:rsidRPr="00F60F59">
        <w:rPr>
          <w:rFonts w:eastAsia="Arial"/>
        </w:rPr>
        <w:t xml:space="preserve"> pagal įtraukimo kriterijus, skirtingų pirminių ir antrinių baigčių apibrėžimų, jų nebuvimo bei to</w:t>
      </w:r>
      <w:r w:rsidR="005208A6" w:rsidRPr="00F60F59">
        <w:rPr>
          <w:rFonts w:eastAsia="Arial"/>
          <w:lang w:val="lt-LT"/>
        </w:rPr>
        <w:t xml:space="preserve"> nulemto</w:t>
      </w:r>
      <w:r w:rsidRPr="00F60F59">
        <w:rPr>
          <w:rFonts w:eastAsia="Arial"/>
        </w:rPr>
        <w:t xml:space="preserve"> rezultatų skirtumo. </w:t>
      </w:r>
    </w:p>
    <w:p w14:paraId="0E5F190E" w14:textId="1AD6C36E" w:rsidR="00D5367A" w:rsidRPr="00F60F59" w:rsidRDefault="00D5367A" w:rsidP="008C3CED">
      <w:pPr>
        <w:pStyle w:val="Protokolui"/>
        <w:spacing w:line="276" w:lineRule="auto"/>
      </w:pPr>
      <w:r w:rsidRPr="00F60F59">
        <w:rPr>
          <w:lang w:eastAsia="lt-LT"/>
        </w:rPr>
        <w:t xml:space="preserve">MAIC analizėje buvo vertinami </w:t>
      </w:r>
      <w:proofErr w:type="spellStart"/>
      <w:r w:rsidR="00C14F1B" w:rsidRPr="00F60F59">
        <w:rPr>
          <w:lang w:val="lt-LT" w:eastAsia="lt-LT"/>
        </w:rPr>
        <w:t>išgyvenamumas</w:t>
      </w:r>
      <w:proofErr w:type="spellEnd"/>
      <w:r w:rsidR="00C14F1B" w:rsidRPr="00F60F59">
        <w:rPr>
          <w:lang w:val="lt-LT" w:eastAsia="lt-LT"/>
        </w:rPr>
        <w:t xml:space="preserve"> be ligos progresavimo (</w:t>
      </w:r>
      <w:r w:rsidRPr="00F60F59">
        <w:rPr>
          <w:lang w:eastAsia="lt-LT"/>
        </w:rPr>
        <w:t>IBLP</w:t>
      </w:r>
      <w:r w:rsidR="00C14F1B" w:rsidRPr="00F60F59">
        <w:rPr>
          <w:lang w:val="lt-LT" w:eastAsia="lt-LT"/>
        </w:rPr>
        <w:t>)</w:t>
      </w:r>
      <w:r w:rsidRPr="00F60F59">
        <w:rPr>
          <w:lang w:eastAsia="lt-LT"/>
        </w:rPr>
        <w:t xml:space="preserve"> ir </w:t>
      </w:r>
      <w:proofErr w:type="spellStart"/>
      <w:r w:rsidR="00C14F1B" w:rsidRPr="00F60F59">
        <w:rPr>
          <w:lang w:val="en-US" w:eastAsia="lt-LT"/>
        </w:rPr>
        <w:t>bend</w:t>
      </w:r>
      <w:r w:rsidR="009E5C6C" w:rsidRPr="00F60F59">
        <w:rPr>
          <w:lang w:val="en-US" w:eastAsia="lt-LT"/>
        </w:rPr>
        <w:t>r</w:t>
      </w:r>
      <w:r w:rsidR="00C14F1B" w:rsidRPr="00F60F59">
        <w:rPr>
          <w:lang w:val="en-US" w:eastAsia="lt-LT"/>
        </w:rPr>
        <w:t>asis</w:t>
      </w:r>
      <w:proofErr w:type="spellEnd"/>
      <w:r w:rsidR="00C14F1B" w:rsidRPr="00F60F59">
        <w:rPr>
          <w:lang w:val="en-US" w:eastAsia="lt-LT"/>
        </w:rPr>
        <w:t xml:space="preserve"> </w:t>
      </w:r>
      <w:proofErr w:type="spellStart"/>
      <w:r w:rsidR="00C14F1B" w:rsidRPr="00F60F59">
        <w:rPr>
          <w:lang w:val="en-US" w:eastAsia="lt-LT"/>
        </w:rPr>
        <w:t>išgyvenamumas</w:t>
      </w:r>
      <w:proofErr w:type="spellEnd"/>
      <w:r w:rsidR="00C14F1B" w:rsidRPr="00F60F59">
        <w:rPr>
          <w:lang w:val="en-US" w:eastAsia="lt-LT"/>
        </w:rPr>
        <w:t xml:space="preserve"> (</w:t>
      </w:r>
      <w:r w:rsidRPr="00F60F59">
        <w:rPr>
          <w:lang w:eastAsia="lt-LT"/>
        </w:rPr>
        <w:t>BI</w:t>
      </w:r>
      <w:r w:rsidR="00C14F1B" w:rsidRPr="00F60F59">
        <w:rPr>
          <w:lang w:val="en-US" w:eastAsia="lt-LT"/>
        </w:rPr>
        <w:t>)</w:t>
      </w:r>
      <w:r w:rsidRPr="00F60F59">
        <w:rPr>
          <w:lang w:eastAsia="lt-LT"/>
        </w:rPr>
        <w:t xml:space="preserve">. IBLP buvo vertinamas pagal ALUR/ASCEND tyrimų rezultatus. Pažymėtina, kad ALUR/ASCEND tyrimo pacientai prieš tyrimą jau buvo gydomi </w:t>
      </w:r>
      <w:r w:rsidR="00D256B5" w:rsidRPr="00F60F59">
        <w:rPr>
          <w:lang w:val="lt-LT" w:eastAsia="lt-LT"/>
        </w:rPr>
        <w:t>chemoterapija</w:t>
      </w:r>
      <w:r w:rsidRPr="00F60F59">
        <w:rPr>
          <w:lang w:eastAsia="lt-LT"/>
        </w:rPr>
        <w:t xml:space="preserve">, todėl pasirinkta šių tyrimų pacientų populiacija nevisai tinka palyginimui su klinikinio tyrimo1001 pacientų populiacija. ALUR/ASCEND tyrimų </w:t>
      </w:r>
      <w:r w:rsidR="003819AC" w:rsidRPr="00F60F59">
        <w:rPr>
          <w:lang w:eastAsia="lt-LT"/>
        </w:rPr>
        <w:t xml:space="preserve">pacientai </w:t>
      </w:r>
      <w:r w:rsidRPr="00F60F59">
        <w:rPr>
          <w:lang w:eastAsia="lt-LT"/>
        </w:rPr>
        <w:t>turėjo pažangesnę chemoterapiją prieš ALK TK</w:t>
      </w:r>
      <w:r w:rsidR="00422BD2" w:rsidRPr="00F60F59">
        <w:rPr>
          <w:lang w:val="lt-LT" w:eastAsia="lt-LT"/>
        </w:rPr>
        <w:t>I</w:t>
      </w:r>
      <w:r w:rsidRPr="00F60F59">
        <w:rPr>
          <w:lang w:eastAsia="lt-LT"/>
        </w:rPr>
        <w:t xml:space="preserve"> skyrimą nei pacientai iš klinikinio tyrimo 1001 (</w:t>
      </w:r>
      <w:r w:rsidR="00E93750">
        <w:rPr>
          <w:rFonts w:eastAsia="Arial"/>
          <w:szCs w:val="24"/>
        </w:rPr>
        <w:t xml:space="preserve">EXP3B, EXP4 ir EXP5 </w:t>
      </w:r>
      <w:bookmarkStart w:id="0" w:name="_GoBack"/>
      <w:bookmarkEnd w:id="0"/>
      <w:r w:rsidRPr="00F60F59">
        <w:rPr>
          <w:lang w:eastAsia="lt-LT"/>
        </w:rPr>
        <w:t xml:space="preserve">pogrupiai). Dėl to, tikėtina, chemoterapijos derinio efektyvumas nebuvo įvertintas MAIC analizėje, nes analizė rėmėsi </w:t>
      </w:r>
      <w:proofErr w:type="spellStart"/>
      <w:r w:rsidRPr="00F60F59">
        <w:rPr>
          <w:lang w:eastAsia="lt-LT"/>
        </w:rPr>
        <w:t>monoterapijos</w:t>
      </w:r>
      <w:proofErr w:type="spellEnd"/>
      <w:r w:rsidRPr="00F60F59">
        <w:rPr>
          <w:lang w:eastAsia="lt-LT"/>
        </w:rPr>
        <w:t xml:space="preserve"> efektyvumu vertinant IBLP. Taip pat ALUR/ASCEND tyrimuose nebuvo vertinamas bendras</w:t>
      </w:r>
      <w:r w:rsidR="00A31587" w:rsidRPr="00F60F59">
        <w:rPr>
          <w:lang w:val="lt-LT" w:eastAsia="lt-LT"/>
        </w:rPr>
        <w:t>is</w:t>
      </w:r>
      <w:r w:rsidRPr="00F60F59">
        <w:rPr>
          <w:lang w:eastAsia="lt-LT"/>
        </w:rPr>
        <w:t xml:space="preserve"> </w:t>
      </w:r>
      <w:proofErr w:type="spellStart"/>
      <w:r w:rsidRPr="00F60F59">
        <w:rPr>
          <w:lang w:eastAsia="lt-LT"/>
        </w:rPr>
        <w:t>išgyvenamumas</w:t>
      </w:r>
      <w:proofErr w:type="spellEnd"/>
      <w:r w:rsidRPr="00F60F59">
        <w:rPr>
          <w:lang w:eastAsia="lt-LT"/>
        </w:rPr>
        <w:t xml:space="preserve">. Iš </w:t>
      </w:r>
      <w:r w:rsidR="00C14F1B" w:rsidRPr="00F60F59">
        <w:t xml:space="preserve">PROFILE 1001 ir </w:t>
      </w:r>
      <w:r w:rsidRPr="00F60F59">
        <w:t>PROFILE 1005 (</w:t>
      </w:r>
      <w:proofErr w:type="spellStart"/>
      <w:r w:rsidRPr="00F60F59">
        <w:t>krizotinibas</w:t>
      </w:r>
      <w:proofErr w:type="spellEnd"/>
      <w:r w:rsidRPr="00F60F59">
        <w:t xml:space="preserve">) </w:t>
      </w:r>
      <w:r w:rsidRPr="00F60F59">
        <w:rPr>
          <w:lang w:eastAsia="lt-LT"/>
        </w:rPr>
        <w:t xml:space="preserve">retrospektyvinės analizės buvo </w:t>
      </w:r>
      <w:r w:rsidRPr="00F60F59">
        <w:t xml:space="preserve">paimti tik pacientai, kurie </w:t>
      </w:r>
      <w:r w:rsidRPr="00F60F59">
        <w:rPr>
          <w:u w:val="single"/>
        </w:rPr>
        <w:t>galimai</w:t>
      </w:r>
      <w:r w:rsidRPr="00F60F59">
        <w:t xml:space="preserve"> buvo gydomi chemoterapija (paraiškos 36 punktas). Šis pacientų pogrupis buvo nedidelis ir taikomas gydymas nėra tiksliai apibrėžtas, kas leidžia abejoti parinkto pacientų pogrupio tinkamumu BI vertinimui.</w:t>
      </w:r>
    </w:p>
    <w:p w14:paraId="7150F2A5" w14:textId="273569B9" w:rsidR="00D5367A" w:rsidRPr="00F60F59" w:rsidRDefault="00D5367A" w:rsidP="008C3CED">
      <w:pPr>
        <w:pStyle w:val="Protokolui"/>
        <w:spacing w:line="276" w:lineRule="auto"/>
        <w:rPr>
          <w:lang w:eastAsia="lt-LT"/>
        </w:rPr>
      </w:pPr>
      <w:r w:rsidRPr="00F60F59">
        <w:rPr>
          <w:rFonts w:eastAsia="Arial"/>
        </w:rPr>
        <w:t xml:space="preserve">Nors pateikti MAIC rezultatai vertinami palankiai, tačiau jie negali atstoti tiesioginio palyginimo duomenų. Šiuo metu Lietuvoje remiantis Plaučių vėžio gydymo aprašu, nustačius ALK </w:t>
      </w:r>
      <w:proofErr w:type="spellStart"/>
      <w:r w:rsidRPr="00F60F59">
        <w:rPr>
          <w:rFonts w:eastAsia="Arial"/>
        </w:rPr>
        <w:t>tirozino</w:t>
      </w:r>
      <w:proofErr w:type="spellEnd"/>
      <w:r w:rsidRPr="00F60F59">
        <w:rPr>
          <w:rFonts w:eastAsia="Arial"/>
        </w:rPr>
        <w:t xml:space="preserve"> </w:t>
      </w:r>
      <w:proofErr w:type="spellStart"/>
      <w:r w:rsidRPr="00F60F59">
        <w:rPr>
          <w:rFonts w:eastAsia="Arial"/>
        </w:rPr>
        <w:t>kinazės</w:t>
      </w:r>
      <w:proofErr w:type="spellEnd"/>
      <w:r w:rsidRPr="00F60F59">
        <w:rPr>
          <w:rFonts w:eastAsia="Arial"/>
        </w:rPr>
        <w:t xml:space="preserve"> geno </w:t>
      </w:r>
      <w:proofErr w:type="spellStart"/>
      <w:r w:rsidRPr="00F60F59">
        <w:rPr>
          <w:rFonts w:eastAsia="Arial"/>
        </w:rPr>
        <w:t>translokaciją</w:t>
      </w:r>
      <w:proofErr w:type="spellEnd"/>
      <w:r w:rsidRPr="00F60F59">
        <w:rPr>
          <w:rFonts w:eastAsia="Arial"/>
        </w:rPr>
        <w:t xml:space="preserve">, skiriami ALK </w:t>
      </w:r>
      <w:proofErr w:type="spellStart"/>
      <w:r w:rsidRPr="00F60F59">
        <w:rPr>
          <w:rFonts w:eastAsia="Arial"/>
        </w:rPr>
        <w:t>tirozino</w:t>
      </w:r>
      <w:proofErr w:type="spellEnd"/>
      <w:r w:rsidRPr="00F60F59">
        <w:rPr>
          <w:rFonts w:eastAsia="Arial"/>
        </w:rPr>
        <w:t xml:space="preserve"> </w:t>
      </w:r>
      <w:proofErr w:type="spellStart"/>
      <w:r w:rsidRPr="00F60F59">
        <w:rPr>
          <w:rFonts w:eastAsia="Arial"/>
        </w:rPr>
        <w:t>kinazės</w:t>
      </w:r>
      <w:proofErr w:type="spellEnd"/>
      <w:r w:rsidRPr="00F60F59">
        <w:rPr>
          <w:rFonts w:eastAsia="Arial"/>
        </w:rPr>
        <w:t xml:space="preserve"> inhibitoriai pirmaeiliam gydymui (</w:t>
      </w:r>
      <w:proofErr w:type="spellStart"/>
      <w:r w:rsidRPr="00F60F59">
        <w:rPr>
          <w:rFonts w:eastAsia="Arial"/>
        </w:rPr>
        <w:t>alektinibas</w:t>
      </w:r>
      <w:proofErr w:type="spellEnd"/>
      <w:r w:rsidRPr="00F60F59">
        <w:rPr>
          <w:rFonts w:eastAsia="Arial"/>
        </w:rPr>
        <w:t xml:space="preserve">, </w:t>
      </w:r>
      <w:proofErr w:type="spellStart"/>
      <w:r w:rsidRPr="00F60F59">
        <w:rPr>
          <w:rFonts w:eastAsia="Arial"/>
        </w:rPr>
        <w:t>ceritinibas</w:t>
      </w:r>
      <w:proofErr w:type="spellEnd"/>
      <w:r w:rsidRPr="00F60F59">
        <w:rPr>
          <w:rFonts w:eastAsia="Arial"/>
        </w:rPr>
        <w:t xml:space="preserve">, </w:t>
      </w:r>
      <w:proofErr w:type="spellStart"/>
      <w:r w:rsidRPr="00F60F59">
        <w:rPr>
          <w:rFonts w:eastAsia="Arial"/>
        </w:rPr>
        <w:t>krizotinibas</w:t>
      </w:r>
      <w:proofErr w:type="spellEnd"/>
      <w:r w:rsidRPr="00F60F59">
        <w:rPr>
          <w:rFonts w:eastAsia="Arial"/>
        </w:rPr>
        <w:t>) (14 punktas). Paraiškoje paminėta, kad jei liga progresuoja skiriant gydymą antros kartos ALK TKI, gali būti skiriamas chemoterapijos derinys. Dažniausiai šiuo atveju taikoma chemoterapija dviem preparatais, iš kurių vienas yra platina (</w:t>
      </w:r>
      <w:proofErr w:type="spellStart"/>
      <w:r w:rsidRPr="00F60F59">
        <w:rPr>
          <w:rFonts w:eastAsia="Arial"/>
        </w:rPr>
        <w:t>cisplatina</w:t>
      </w:r>
      <w:proofErr w:type="spellEnd"/>
      <w:r w:rsidRPr="00F60F59">
        <w:rPr>
          <w:rFonts w:eastAsia="Arial"/>
        </w:rPr>
        <w:t xml:space="preserve"> arba </w:t>
      </w:r>
      <w:proofErr w:type="spellStart"/>
      <w:r w:rsidRPr="00F60F59">
        <w:rPr>
          <w:rFonts w:eastAsia="Arial"/>
        </w:rPr>
        <w:t>karboplatina</w:t>
      </w:r>
      <w:proofErr w:type="spellEnd"/>
      <w:r w:rsidRPr="00F60F59">
        <w:rPr>
          <w:rFonts w:eastAsia="Arial"/>
        </w:rPr>
        <w:t>)“ (Paraiška, penktasis skirsnis, klinikinis veiksmingumas, 44 p</w:t>
      </w:r>
      <w:r w:rsidR="00C14F1B" w:rsidRPr="00F60F59">
        <w:rPr>
          <w:rFonts w:eastAsia="Arial"/>
          <w:lang w:val="lt-LT"/>
        </w:rPr>
        <w:t>.</w:t>
      </w:r>
      <w:r w:rsidRPr="00F60F59">
        <w:rPr>
          <w:rFonts w:eastAsia="Arial"/>
        </w:rPr>
        <w:t xml:space="preserve">). </w:t>
      </w:r>
      <w:r w:rsidRPr="00F60F59">
        <w:rPr>
          <w:lang w:eastAsia="lt-LT"/>
        </w:rPr>
        <w:t xml:space="preserve">Nors tikėtina, kad </w:t>
      </w:r>
      <w:proofErr w:type="spellStart"/>
      <w:r w:rsidRPr="00F60F59">
        <w:rPr>
          <w:lang w:eastAsia="lt-LT"/>
        </w:rPr>
        <w:t>pemetreksedo</w:t>
      </w:r>
      <w:proofErr w:type="spellEnd"/>
      <w:r w:rsidRPr="00F60F59">
        <w:rPr>
          <w:lang w:eastAsia="lt-LT"/>
        </w:rPr>
        <w:t xml:space="preserve"> ir </w:t>
      </w:r>
      <w:proofErr w:type="spellStart"/>
      <w:r w:rsidRPr="00F60F59">
        <w:rPr>
          <w:lang w:eastAsia="lt-LT"/>
        </w:rPr>
        <w:t>docetakselio</w:t>
      </w:r>
      <w:proofErr w:type="spellEnd"/>
      <w:r w:rsidRPr="00F60F59">
        <w:rPr>
          <w:lang w:eastAsia="lt-LT"/>
        </w:rPr>
        <w:t xml:space="preserve"> efektyvumas yra panašus, </w:t>
      </w:r>
      <w:proofErr w:type="spellStart"/>
      <w:r w:rsidRPr="00F60F59">
        <w:rPr>
          <w:lang w:eastAsia="lt-LT"/>
        </w:rPr>
        <w:t>monoterapija</w:t>
      </w:r>
      <w:proofErr w:type="spellEnd"/>
      <w:r w:rsidRPr="00F60F59">
        <w:rPr>
          <w:lang w:eastAsia="lt-LT"/>
        </w:rPr>
        <w:t xml:space="preserve"> šiais vaistiniais preparatais negali būti prilyginama </w:t>
      </w:r>
      <w:proofErr w:type="spellStart"/>
      <w:r w:rsidRPr="00F60F59">
        <w:rPr>
          <w:lang w:eastAsia="lt-LT"/>
        </w:rPr>
        <w:t>pemetreksedo</w:t>
      </w:r>
      <w:proofErr w:type="spellEnd"/>
      <w:r w:rsidRPr="00F60F59">
        <w:rPr>
          <w:lang w:eastAsia="lt-LT"/>
        </w:rPr>
        <w:t>/</w:t>
      </w:r>
      <w:proofErr w:type="spellStart"/>
      <w:r w:rsidRPr="00F60F59">
        <w:rPr>
          <w:lang w:eastAsia="lt-LT"/>
        </w:rPr>
        <w:t>docetakselio</w:t>
      </w:r>
      <w:proofErr w:type="spellEnd"/>
      <w:r w:rsidRPr="00F60F59">
        <w:rPr>
          <w:lang w:eastAsia="lt-LT"/>
        </w:rPr>
        <w:t xml:space="preserve"> derinio su platinos junginiais efektyvumui, gydymas deriniu platinos pagrindu, tikėtina, yra veiksmingesnis. </w:t>
      </w:r>
    </w:p>
    <w:p w14:paraId="4979857F" w14:textId="77777777" w:rsidR="00D5367A" w:rsidRPr="00F60F59" w:rsidRDefault="00D5367A" w:rsidP="008C3CED">
      <w:pPr>
        <w:tabs>
          <w:tab w:val="left" w:pos="426"/>
        </w:tabs>
        <w:spacing w:line="276" w:lineRule="auto"/>
        <w:jc w:val="both"/>
      </w:pPr>
      <w:r w:rsidRPr="00F60F59">
        <w:rPr>
          <w:lang w:eastAsia="lt-LT"/>
        </w:rPr>
        <w:tab/>
        <w:t xml:space="preserve">Įvertinus pateiktos MAIC analizės rezultatus nepakanka duomenų teigti, kad </w:t>
      </w:r>
      <w:proofErr w:type="spellStart"/>
      <w:r w:rsidRPr="00F60F59">
        <w:rPr>
          <w:lang w:eastAsia="lt-LT"/>
        </w:rPr>
        <w:t>lorlatinibas</w:t>
      </w:r>
      <w:proofErr w:type="spellEnd"/>
      <w:r w:rsidRPr="00F60F59">
        <w:rPr>
          <w:lang w:eastAsia="lt-LT"/>
        </w:rPr>
        <w:t xml:space="preserve"> yra pranašesnis už chemoterapijos derinius dėl nepakankamos pradinių pacientų charakteristikų atitikties palyginamuose tyrimuose bei svarbių veiksnių, įtakuojančių efektyvumą, </w:t>
      </w:r>
      <w:proofErr w:type="spellStart"/>
      <w:r w:rsidRPr="00F60F59">
        <w:rPr>
          <w:lang w:eastAsia="lt-LT"/>
        </w:rPr>
        <w:t>neįtraukimo</w:t>
      </w:r>
      <w:proofErr w:type="spellEnd"/>
      <w:r w:rsidRPr="00F60F59">
        <w:rPr>
          <w:lang w:eastAsia="lt-LT"/>
        </w:rPr>
        <w:t xml:space="preserve"> į MAIC analizę (pvz. chemoterapijos deriniai).</w:t>
      </w:r>
    </w:p>
    <w:p w14:paraId="56034628" w14:textId="77777777" w:rsidR="00D5367A" w:rsidRPr="00F60F59" w:rsidRDefault="00D5367A" w:rsidP="008C3CED">
      <w:pPr>
        <w:tabs>
          <w:tab w:val="left" w:pos="426"/>
        </w:tabs>
        <w:spacing w:line="276" w:lineRule="auto"/>
        <w:jc w:val="both"/>
        <w:rPr>
          <w:lang w:eastAsia="lt-LT"/>
        </w:rPr>
      </w:pPr>
    </w:p>
    <w:p w14:paraId="56A75162" w14:textId="2BECD02C" w:rsidR="00D5367A" w:rsidRPr="00F60F59" w:rsidRDefault="00D5367A" w:rsidP="008C3CED">
      <w:pPr>
        <w:tabs>
          <w:tab w:val="left" w:pos="426"/>
        </w:tabs>
        <w:spacing w:line="276" w:lineRule="auto"/>
        <w:jc w:val="both"/>
        <w:rPr>
          <w:i/>
          <w:lang w:eastAsia="lt-LT"/>
        </w:rPr>
      </w:pPr>
      <w:r w:rsidRPr="00F60F59">
        <w:rPr>
          <w:i/>
          <w:lang w:eastAsia="lt-LT"/>
        </w:rPr>
        <w:t>Kiti tyrimai</w:t>
      </w:r>
    </w:p>
    <w:p w14:paraId="0C6EBE65" w14:textId="3B9D3D13" w:rsidR="00D5367A" w:rsidRPr="00F60F59" w:rsidRDefault="00D5367A" w:rsidP="008C3CED">
      <w:pPr>
        <w:pStyle w:val="Protokolui"/>
        <w:spacing w:line="276" w:lineRule="auto"/>
        <w:rPr>
          <w:szCs w:val="24"/>
          <w:lang w:eastAsia="lt-LT"/>
        </w:rPr>
      </w:pPr>
      <w:r w:rsidRPr="00F60F59">
        <w:t xml:space="preserve">Klinikinis efektyvumas, skiriant </w:t>
      </w:r>
      <w:proofErr w:type="spellStart"/>
      <w:r w:rsidRPr="00F60F59">
        <w:t>monoterapiją</w:t>
      </w:r>
      <w:proofErr w:type="spellEnd"/>
      <w:r w:rsidRPr="00F60F59">
        <w:t xml:space="preserve"> </w:t>
      </w:r>
      <w:proofErr w:type="spellStart"/>
      <w:r w:rsidRPr="00F60F59">
        <w:t>lorlatinibu</w:t>
      </w:r>
      <w:proofErr w:type="spellEnd"/>
      <w:r w:rsidRPr="00F60F59">
        <w:t xml:space="preserve"> pacientams, sergantiems </w:t>
      </w:r>
      <w:proofErr w:type="spellStart"/>
      <w:r w:rsidRPr="00F60F59">
        <w:t>mNLPV</w:t>
      </w:r>
      <w:proofErr w:type="spellEnd"/>
      <w:r w:rsidRPr="00F60F59">
        <w:t xml:space="preserve"> po nesėkmingos pirmos ir/ar antros kartos ALK </w:t>
      </w:r>
      <w:proofErr w:type="spellStart"/>
      <w:r w:rsidRPr="00F60F59">
        <w:t>TKIs</w:t>
      </w:r>
      <w:proofErr w:type="spellEnd"/>
      <w:r w:rsidRPr="00F60F59">
        <w:t xml:space="preserve"> </w:t>
      </w:r>
      <w:proofErr w:type="spellStart"/>
      <w:r w:rsidRPr="00F60F59">
        <w:t>monoterapijos</w:t>
      </w:r>
      <w:proofErr w:type="spellEnd"/>
      <w:r w:rsidRPr="00F60F59">
        <w:t xml:space="preserve">, buvo įvertintas atvirame, be kontrolinės šakos I/II fazės klinikiniame tyrime 1001. </w:t>
      </w:r>
      <w:r w:rsidRPr="00F60F59">
        <w:rPr>
          <w:szCs w:val="24"/>
          <w:lang w:eastAsia="lt-LT"/>
        </w:rPr>
        <w:tab/>
      </w:r>
    </w:p>
    <w:p w14:paraId="0F8AE144" w14:textId="0EC3D1F6" w:rsidR="00D5367A" w:rsidRPr="00F60F59" w:rsidRDefault="00D5367A" w:rsidP="008C3CED">
      <w:pPr>
        <w:pStyle w:val="Protokolui"/>
        <w:spacing w:line="276" w:lineRule="auto"/>
        <w:rPr>
          <w:lang w:val="lt-LT" w:eastAsia="lt-LT"/>
        </w:rPr>
      </w:pPr>
      <w:r w:rsidRPr="00F60F59">
        <w:rPr>
          <w:lang w:eastAsia="lt-LT"/>
        </w:rPr>
        <w:lastRenderedPageBreak/>
        <w:t xml:space="preserve">Remiantis klinikinio tyrimo protokolu specifinė hipotezė kiekvienai pacientų kohortai (nuo EXP1 iki EXP5)  nebuvo numatyta ir jų imčių dydžiai nebuvo statistiškai pagrįsti. </w:t>
      </w:r>
      <w:r w:rsidR="009E6114" w:rsidRPr="00F60F59">
        <w:rPr>
          <w:lang w:val="lt-LT" w:eastAsia="lt-LT"/>
        </w:rPr>
        <w:t>Paraiškoje vertinimui buvo pateikti EXP3B</w:t>
      </w:r>
      <w:r w:rsidR="00422BD2" w:rsidRPr="00F60F59">
        <w:rPr>
          <w:lang w:val="lt-LT" w:eastAsia="lt-LT"/>
        </w:rPr>
        <w:t xml:space="preserve">, </w:t>
      </w:r>
      <w:r w:rsidR="00422BD2" w:rsidRPr="00F60F59">
        <w:rPr>
          <w:lang w:eastAsia="lt-LT"/>
        </w:rPr>
        <w:t>EXP4</w:t>
      </w:r>
      <w:r w:rsidR="00422BD2" w:rsidRPr="00F60F59">
        <w:rPr>
          <w:lang w:val="lt-LT" w:eastAsia="lt-LT"/>
        </w:rPr>
        <w:t xml:space="preserve"> ir </w:t>
      </w:r>
      <w:r w:rsidR="009E6114" w:rsidRPr="00F60F59">
        <w:rPr>
          <w:lang w:val="lt-LT" w:eastAsia="lt-LT"/>
        </w:rPr>
        <w:t xml:space="preserve">EXP5 </w:t>
      </w:r>
      <w:r w:rsidR="00D256B5" w:rsidRPr="00F60F59">
        <w:rPr>
          <w:lang w:val="lt-LT" w:eastAsia="lt-LT"/>
        </w:rPr>
        <w:t>pogrupių</w:t>
      </w:r>
      <w:r w:rsidR="009E6114" w:rsidRPr="00F60F59">
        <w:rPr>
          <w:lang w:val="lt-LT" w:eastAsia="lt-LT"/>
        </w:rPr>
        <w:t xml:space="preserve"> duomenys. </w:t>
      </w:r>
      <w:r w:rsidRPr="00F60F59">
        <w:rPr>
          <w:lang w:eastAsia="lt-LT"/>
        </w:rPr>
        <w:t xml:space="preserve">EXP3B kohortoje liko pacientai, kurie buvo prieš tai gydomi tik antros kartos ALK </w:t>
      </w:r>
      <w:r w:rsidR="00D256B5" w:rsidRPr="00F60F59">
        <w:rPr>
          <w:lang w:eastAsia="lt-LT"/>
        </w:rPr>
        <w:t>T</w:t>
      </w:r>
      <w:r w:rsidR="00D256B5" w:rsidRPr="00F60F59">
        <w:rPr>
          <w:lang w:val="lt-LT" w:eastAsia="lt-LT"/>
        </w:rPr>
        <w:t>K</w:t>
      </w:r>
      <w:r w:rsidR="00422BD2" w:rsidRPr="00F60F59">
        <w:rPr>
          <w:lang w:eastAsia="lt-LT"/>
        </w:rPr>
        <w:t>I</w:t>
      </w:r>
      <w:r w:rsidRPr="00F60F59">
        <w:rPr>
          <w:lang w:eastAsia="lt-LT"/>
        </w:rPr>
        <w:t>. Pacientai iš EXP4 ir EXP5 buvo</w:t>
      </w:r>
      <w:r w:rsidR="00422BD2" w:rsidRPr="00F60F59">
        <w:rPr>
          <w:lang w:eastAsia="lt-LT"/>
        </w:rPr>
        <w:t xml:space="preserve"> gydomi daugiau 2 arba 3 ALK </w:t>
      </w:r>
      <w:proofErr w:type="spellStart"/>
      <w:r w:rsidR="00422BD2" w:rsidRPr="00F60F59">
        <w:rPr>
          <w:lang w:eastAsia="lt-LT"/>
        </w:rPr>
        <w:t>TKI</w:t>
      </w:r>
      <w:r w:rsidR="00D256B5" w:rsidRPr="00F60F59">
        <w:rPr>
          <w:lang w:val="lt-LT" w:eastAsia="lt-LT"/>
        </w:rPr>
        <w:t>s</w:t>
      </w:r>
      <w:proofErr w:type="spellEnd"/>
      <w:r w:rsidRPr="00F60F59">
        <w:rPr>
          <w:lang w:eastAsia="lt-LT"/>
        </w:rPr>
        <w:t xml:space="preserve">, daugiausiai iš kurių buvo </w:t>
      </w:r>
      <w:proofErr w:type="spellStart"/>
      <w:r w:rsidRPr="00F60F59">
        <w:rPr>
          <w:lang w:eastAsia="lt-LT"/>
        </w:rPr>
        <w:t>krizotinibas</w:t>
      </w:r>
      <w:proofErr w:type="spellEnd"/>
      <w:r w:rsidRPr="00F60F59">
        <w:rPr>
          <w:lang w:eastAsia="lt-LT"/>
        </w:rPr>
        <w:t xml:space="preserve"> ir 1 arba 2 antros kartos ALK TK</w:t>
      </w:r>
      <w:r w:rsidR="00422BD2" w:rsidRPr="00F60F59">
        <w:rPr>
          <w:lang w:val="lt-LT" w:eastAsia="lt-LT"/>
        </w:rPr>
        <w:t>I</w:t>
      </w:r>
      <w:r w:rsidRPr="00F60F59">
        <w:rPr>
          <w:lang w:eastAsia="lt-LT"/>
        </w:rPr>
        <w:t>. EXP4 ir EXP5 kohortos apėmė pacientus su intensyvesniu ALK TK</w:t>
      </w:r>
      <w:r w:rsidR="00422BD2" w:rsidRPr="00F60F59">
        <w:rPr>
          <w:lang w:val="lt-LT" w:eastAsia="lt-LT"/>
        </w:rPr>
        <w:t>I</w:t>
      </w:r>
      <w:r w:rsidRPr="00F60F59">
        <w:rPr>
          <w:lang w:eastAsia="lt-LT"/>
        </w:rPr>
        <w:t xml:space="preserve"> gydymu, todėl šių 2 kohortų pacientų duomenis buvo suplanuota naudoti bendrai veiksmingumo analizei. EXP 3B, EXP 4 ir EXP5 nebuvo pritaikyti statistiniam reikšmingumui nustatyti vertinant pirminę ir antrines </w:t>
      </w:r>
      <w:r w:rsidR="00A31587" w:rsidRPr="00F60F59">
        <w:rPr>
          <w:lang w:val="lt-LT" w:eastAsia="lt-LT"/>
        </w:rPr>
        <w:t xml:space="preserve">vertinamąsias </w:t>
      </w:r>
      <w:r w:rsidRPr="00F60F59">
        <w:rPr>
          <w:lang w:eastAsia="lt-LT"/>
        </w:rPr>
        <w:t xml:space="preserve">baigtis, todėl šių rezultatų išvadų interpretacija yra ribota. Kadangi tai buvo vienos šakos tyrimas, kontrolinės šakos nebuvo numatyta, palyginamojo </w:t>
      </w:r>
      <w:proofErr w:type="spellStart"/>
      <w:r w:rsidRPr="00F60F59">
        <w:rPr>
          <w:lang w:eastAsia="lt-LT"/>
        </w:rPr>
        <w:t>lorlatinibo</w:t>
      </w:r>
      <w:proofErr w:type="spellEnd"/>
      <w:r w:rsidRPr="00F60F59">
        <w:rPr>
          <w:lang w:eastAsia="lt-LT"/>
        </w:rPr>
        <w:t xml:space="preserve"> efektyvumo yra neįmanoma įvertinti. </w:t>
      </w:r>
    </w:p>
    <w:p w14:paraId="5DF0A67F" w14:textId="7A173C1E" w:rsidR="00D5367A" w:rsidRPr="00F60F59" w:rsidRDefault="00D5367A" w:rsidP="008C3CED">
      <w:pPr>
        <w:pStyle w:val="Protokolui"/>
        <w:spacing w:line="276" w:lineRule="auto"/>
        <w:rPr>
          <w:i/>
          <w:lang w:eastAsia="lt-LT"/>
        </w:rPr>
      </w:pPr>
      <w:r w:rsidRPr="00F60F59">
        <w:rPr>
          <w:i/>
          <w:lang w:eastAsia="lt-LT"/>
        </w:rPr>
        <w:t xml:space="preserve">Klinikinio tyrimo 1001 rezultatai </w:t>
      </w:r>
    </w:p>
    <w:p w14:paraId="74304A33" w14:textId="40EF0E96" w:rsidR="00D5367A" w:rsidRPr="00F60F59" w:rsidRDefault="00D5367A" w:rsidP="008C3CED">
      <w:pPr>
        <w:pStyle w:val="Protokolui"/>
        <w:spacing w:line="276" w:lineRule="auto"/>
        <w:rPr>
          <w:rFonts w:eastAsia="Arial"/>
          <w:szCs w:val="24"/>
        </w:rPr>
      </w:pPr>
      <w:r w:rsidRPr="00F60F59">
        <w:rPr>
          <w:szCs w:val="24"/>
          <w:u w:val="single"/>
          <w:lang w:eastAsia="lt-LT"/>
        </w:rPr>
        <w:t xml:space="preserve">Pirminė </w:t>
      </w:r>
      <w:r w:rsidR="00A31587" w:rsidRPr="00F60F59">
        <w:rPr>
          <w:szCs w:val="24"/>
          <w:u w:val="single"/>
          <w:lang w:val="lt-LT" w:eastAsia="lt-LT"/>
        </w:rPr>
        <w:t xml:space="preserve">vertinamoji </w:t>
      </w:r>
      <w:r w:rsidRPr="00F60F59">
        <w:rPr>
          <w:szCs w:val="24"/>
          <w:u w:val="single"/>
          <w:lang w:eastAsia="lt-LT"/>
        </w:rPr>
        <w:t xml:space="preserve">baigtis </w:t>
      </w:r>
      <w:r w:rsidRPr="00F60F59">
        <w:rPr>
          <w:rFonts w:eastAsia="Arial"/>
          <w:szCs w:val="24"/>
          <w:u w:val="single"/>
        </w:rPr>
        <w:t>buvo</w:t>
      </w:r>
      <w:r w:rsidRPr="00F60F59">
        <w:rPr>
          <w:rFonts w:eastAsia="Arial"/>
          <w:szCs w:val="24"/>
        </w:rPr>
        <w:t xml:space="preserve"> OAD bei </w:t>
      </w:r>
      <w:proofErr w:type="spellStart"/>
      <w:r w:rsidRPr="00F60F59">
        <w:rPr>
          <w:rFonts w:eastAsia="Arial"/>
          <w:szCs w:val="24"/>
        </w:rPr>
        <w:t>intrakranijinis</w:t>
      </w:r>
      <w:proofErr w:type="spellEnd"/>
      <w:r w:rsidRPr="00F60F59">
        <w:rPr>
          <w:rFonts w:eastAsia="Arial"/>
          <w:szCs w:val="24"/>
        </w:rPr>
        <w:t xml:space="preserve"> OAD, įvertintas </w:t>
      </w:r>
      <w:r w:rsidR="00D256B5" w:rsidRPr="00F60F59">
        <w:rPr>
          <w:rFonts w:eastAsia="Arial"/>
          <w:szCs w:val="24"/>
          <w:lang w:val="lt-LT"/>
        </w:rPr>
        <w:t>nepriklausomo peržiūros komiteto (N</w:t>
      </w:r>
      <w:r w:rsidRPr="00F60F59">
        <w:rPr>
          <w:rFonts w:eastAsia="Arial"/>
          <w:szCs w:val="24"/>
        </w:rPr>
        <w:t>PK</w:t>
      </w:r>
      <w:r w:rsidR="00D256B5" w:rsidRPr="00F60F59">
        <w:rPr>
          <w:rFonts w:eastAsia="Arial"/>
          <w:szCs w:val="24"/>
          <w:lang w:val="lt-LT"/>
        </w:rPr>
        <w:t xml:space="preserve">) </w:t>
      </w:r>
      <w:r w:rsidRPr="00F60F59">
        <w:rPr>
          <w:rFonts w:eastAsia="Arial"/>
          <w:szCs w:val="24"/>
        </w:rPr>
        <w:t xml:space="preserve">pagal RECIST v.1.1.: iki 5 pažaidų CNS. OAD buvo vertinamas bendrai ir atskirose EXP3B, 4 ir 5 imtyse. Efektyvumo analizė parodė, kad bendroje EXP3B–5 populiacijoje OAD (VA ir DA) </w:t>
      </w:r>
      <w:r w:rsidRPr="00F60F59">
        <w:rPr>
          <w:rFonts w:eastAsia="Arial"/>
          <w:szCs w:val="24"/>
          <w:u w:val="single"/>
        </w:rPr>
        <w:t>buvo 40,3 proc</w:t>
      </w:r>
      <w:r w:rsidRPr="00F60F59">
        <w:rPr>
          <w:rFonts w:eastAsia="Arial"/>
          <w:szCs w:val="24"/>
        </w:rPr>
        <w:t xml:space="preserve">. (PI 32,1–48,9); o vertinant NPK pacientų su smegenų metastazėmis </w:t>
      </w:r>
      <w:r w:rsidRPr="00F60F59">
        <w:rPr>
          <w:rFonts w:eastAsia="Arial"/>
          <w:szCs w:val="24"/>
          <w:u w:val="single"/>
        </w:rPr>
        <w:t>OAD – 47,9 proc.</w:t>
      </w:r>
      <w:r w:rsidRPr="00F60F59">
        <w:rPr>
          <w:rFonts w:eastAsia="Arial"/>
          <w:szCs w:val="24"/>
        </w:rPr>
        <w:t xml:space="preserve"> (PI 37,5–58,4) (</w:t>
      </w:r>
      <w:r w:rsidRPr="00F60F59">
        <w:rPr>
          <w:rFonts w:eastAsia="Arial"/>
          <w:i/>
          <w:szCs w:val="24"/>
        </w:rPr>
        <w:t>Paraiška 14, 15</w:t>
      </w:r>
      <w:r w:rsidR="009E5C6C" w:rsidRPr="00F60F59">
        <w:rPr>
          <w:rFonts w:eastAsia="Arial"/>
          <w:i/>
          <w:szCs w:val="24"/>
          <w:lang w:val="lt-LT"/>
        </w:rPr>
        <w:t xml:space="preserve"> lentelės</w:t>
      </w:r>
      <w:r w:rsidRPr="00F60F59">
        <w:rPr>
          <w:rFonts w:eastAsia="Arial"/>
          <w:szCs w:val="24"/>
        </w:rPr>
        <w:t>). Papildomai buvo įvertintas geriausias atsako į gydymą dažnis (GAD). GAD bendroje EXP3B–5 populiacijoje buvo 2,2 proc. pasiekus pilną atsaką ir 38,1 proc. – dalinį atsaką. Vertinant NPK pacientų su smegenų metastazėmis GAD buvo 27,7 proc. pasiekus pilną atsaką ir 20,2 proc. – dalinį atsaką (</w:t>
      </w:r>
      <w:r w:rsidRPr="00F60F59">
        <w:rPr>
          <w:rFonts w:eastAsia="Arial"/>
          <w:i/>
          <w:szCs w:val="24"/>
        </w:rPr>
        <w:t>Paraiška 14, 1</w:t>
      </w:r>
      <w:r w:rsidR="009E5C6C" w:rsidRPr="00F60F59">
        <w:rPr>
          <w:rFonts w:eastAsia="Arial"/>
          <w:i/>
          <w:szCs w:val="24"/>
          <w:lang w:val="lt-LT"/>
        </w:rPr>
        <w:t>5 lentelės</w:t>
      </w:r>
      <w:r w:rsidRPr="00F60F59">
        <w:rPr>
          <w:rFonts w:eastAsia="Arial"/>
          <w:szCs w:val="24"/>
        </w:rPr>
        <w:t xml:space="preserve">). </w:t>
      </w:r>
    </w:p>
    <w:p w14:paraId="7B9B6E3A" w14:textId="2E0A59EB" w:rsidR="00D5367A" w:rsidRPr="00F60F59" w:rsidRDefault="00D5367A" w:rsidP="008C3CED">
      <w:pPr>
        <w:pStyle w:val="Protokolui"/>
        <w:spacing w:line="276" w:lineRule="auto"/>
        <w:rPr>
          <w:rFonts w:eastAsia="Arial"/>
          <w:u w:val="single"/>
        </w:rPr>
      </w:pPr>
      <w:r w:rsidRPr="00F60F59">
        <w:rPr>
          <w:u w:val="single"/>
          <w:lang w:eastAsia="lt-LT"/>
        </w:rPr>
        <w:t>Antrinės</w:t>
      </w:r>
      <w:r w:rsidR="00A31587" w:rsidRPr="00F60F59">
        <w:rPr>
          <w:u w:val="single"/>
          <w:lang w:val="lt-LT" w:eastAsia="lt-LT"/>
        </w:rPr>
        <w:t xml:space="preserve"> vertinamosios</w:t>
      </w:r>
      <w:r w:rsidRPr="00F60F59">
        <w:rPr>
          <w:u w:val="single"/>
          <w:lang w:eastAsia="lt-LT"/>
        </w:rPr>
        <w:t xml:space="preserve"> baigtys</w:t>
      </w:r>
      <w:r w:rsidR="00A31587" w:rsidRPr="00F60F59">
        <w:rPr>
          <w:u w:val="single"/>
          <w:lang w:val="lt-LT" w:eastAsia="lt-LT"/>
        </w:rPr>
        <w:t>.</w:t>
      </w:r>
      <w:r w:rsidR="00EA3806" w:rsidRPr="00F60F59">
        <w:rPr>
          <w:u w:val="single"/>
          <w:lang w:val="lt-LT" w:eastAsia="lt-LT"/>
        </w:rPr>
        <w:t xml:space="preserve"> </w:t>
      </w:r>
      <w:r w:rsidRPr="00F60F59">
        <w:rPr>
          <w:rFonts w:eastAsia="Arial"/>
        </w:rPr>
        <w:t xml:space="preserve">IBLP yra laikas nuo 1 ciklo 1 dienos iki pirmojo objektyvaus ligos progresavimo arba mirties dėl bet kokios priežasties, atsižvelgiant į tai, kas įvyko anksčiau. Gydymas </w:t>
      </w:r>
      <w:proofErr w:type="spellStart"/>
      <w:r w:rsidRPr="00F60F59">
        <w:rPr>
          <w:rFonts w:eastAsia="Arial"/>
        </w:rPr>
        <w:t>lorlatinibu</w:t>
      </w:r>
      <w:proofErr w:type="spellEnd"/>
      <w:r w:rsidRPr="00F60F59">
        <w:rPr>
          <w:rFonts w:eastAsia="Arial"/>
        </w:rPr>
        <w:t xml:space="preserve"> užtikrino 6,9 mėnesių IBLP. </w:t>
      </w:r>
      <w:r w:rsidR="00D256B5" w:rsidRPr="00F60F59">
        <w:rPr>
          <w:rFonts w:eastAsia="Arial"/>
          <w:lang w:val="lt-LT"/>
        </w:rPr>
        <w:t>Pateiktos a</w:t>
      </w:r>
      <w:proofErr w:type="spellStart"/>
      <w:r w:rsidRPr="00F60F59">
        <w:rPr>
          <w:rFonts w:eastAsia="Arial"/>
        </w:rPr>
        <w:t>nalizės</w:t>
      </w:r>
      <w:proofErr w:type="spellEnd"/>
      <w:r w:rsidRPr="00F60F59">
        <w:rPr>
          <w:rFonts w:eastAsia="Arial"/>
        </w:rPr>
        <w:t xml:space="preserve"> vertinimo metu bendroje pacientų populiacijoje 15,8 proc. pacientų, kuriems yra III arba IV stadijos NSLPV su arba be smegenų metastazėmis, buvo gyvi ir tęsė dalyvavimą tyrime. B</w:t>
      </w:r>
      <w:r w:rsidR="009E5C6C" w:rsidRPr="00F60F59">
        <w:rPr>
          <w:rFonts w:eastAsia="Arial"/>
          <w:lang w:val="lt-LT"/>
        </w:rPr>
        <w:t>I</w:t>
      </w:r>
      <w:r w:rsidRPr="00F60F59">
        <w:rPr>
          <w:rFonts w:eastAsia="Arial"/>
        </w:rPr>
        <w:t xml:space="preserve"> yra laikas nuo 1 ciklo 1 dienos iki mirties dėl bet kokios priežasties datos. </w:t>
      </w:r>
      <w:r w:rsidR="00D256B5" w:rsidRPr="00F60F59">
        <w:rPr>
          <w:rFonts w:eastAsia="Arial"/>
          <w:lang w:val="lt-LT"/>
        </w:rPr>
        <w:t>B</w:t>
      </w:r>
      <w:proofErr w:type="spellStart"/>
      <w:r w:rsidRPr="00F60F59">
        <w:rPr>
          <w:rFonts w:eastAsia="Arial"/>
        </w:rPr>
        <w:t>endroje</w:t>
      </w:r>
      <w:proofErr w:type="spellEnd"/>
      <w:r w:rsidRPr="00F60F59">
        <w:rPr>
          <w:rFonts w:eastAsia="Arial"/>
        </w:rPr>
        <w:t xml:space="preserve"> populiacijoje 15,8 proc. pacientų, kuriems yra III arba IV stadijos NSLPV su arba be smegenų metastazių, buvo gyvi ir tęsė dalyvavimą tyrime. </w:t>
      </w:r>
      <w:r w:rsidRPr="00F60F59">
        <w:rPr>
          <w:rFonts w:eastAsia="Arial"/>
          <w:u w:val="single"/>
        </w:rPr>
        <w:t>B</w:t>
      </w:r>
      <w:r w:rsidR="009E5C6C" w:rsidRPr="00F60F59">
        <w:rPr>
          <w:rFonts w:eastAsia="Arial"/>
          <w:u w:val="single"/>
          <w:lang w:val="lt-LT"/>
        </w:rPr>
        <w:t>I</w:t>
      </w:r>
      <w:r w:rsidRPr="00F60F59">
        <w:rPr>
          <w:rFonts w:eastAsia="Arial"/>
          <w:u w:val="single"/>
        </w:rPr>
        <w:t xml:space="preserve"> buvo 20,4 mėnesiai.</w:t>
      </w:r>
    </w:p>
    <w:p w14:paraId="14E08FE6" w14:textId="77777777" w:rsidR="00D5367A" w:rsidRPr="00F60F59" w:rsidRDefault="00D5367A" w:rsidP="008C3CED">
      <w:pPr>
        <w:pStyle w:val="Protokolui"/>
        <w:spacing w:line="276" w:lineRule="auto"/>
        <w:rPr>
          <w:lang w:eastAsia="lt-LT"/>
        </w:rPr>
      </w:pPr>
      <w:r w:rsidRPr="00F60F59">
        <w:rPr>
          <w:lang w:eastAsia="lt-LT"/>
        </w:rPr>
        <w:t xml:space="preserve">Vaistinio preparato </w:t>
      </w:r>
      <w:proofErr w:type="spellStart"/>
      <w:r w:rsidRPr="00F60F59">
        <w:rPr>
          <w:lang w:eastAsia="lt-LT"/>
        </w:rPr>
        <w:t>lorlatinibo</w:t>
      </w:r>
      <w:proofErr w:type="spellEnd"/>
      <w:r w:rsidRPr="00F60F59">
        <w:rPr>
          <w:lang w:eastAsia="lt-LT"/>
        </w:rPr>
        <w:t xml:space="preserve"> charakteristikų santraukoje pateikta išsami informacija apie nepageidaujamus reiškinius. Klinikinio tyrimo 1001 duomenys įtraukti į PCS saugumo duomenų santrauką (4.8) ir klinikinio veiksmingumo aprašymą (5.1). Vartojant </w:t>
      </w:r>
      <w:proofErr w:type="spellStart"/>
      <w:r w:rsidRPr="00F60F59">
        <w:t>lorlatinibą</w:t>
      </w:r>
      <w:proofErr w:type="spellEnd"/>
      <w:r w:rsidRPr="00F60F59">
        <w:rPr>
          <w:lang w:eastAsia="lt-LT"/>
        </w:rPr>
        <w:t xml:space="preserve"> dažniausi nepageidaujami reiškiniai buvo: </w:t>
      </w:r>
      <w:proofErr w:type="spellStart"/>
      <w:r w:rsidRPr="00F60F59">
        <w:rPr>
          <w:lang w:eastAsia="lt-LT"/>
        </w:rPr>
        <w:t>hipercholesterolemija</w:t>
      </w:r>
      <w:proofErr w:type="spellEnd"/>
      <w:r w:rsidRPr="00F60F59">
        <w:rPr>
          <w:lang w:eastAsia="lt-LT"/>
        </w:rPr>
        <w:t xml:space="preserve">, </w:t>
      </w:r>
      <w:proofErr w:type="spellStart"/>
      <w:r w:rsidRPr="00F60F59">
        <w:rPr>
          <w:lang w:eastAsia="lt-LT"/>
        </w:rPr>
        <w:t>hipertrigliceridemija</w:t>
      </w:r>
      <w:proofErr w:type="spellEnd"/>
      <w:r w:rsidRPr="00F60F59">
        <w:rPr>
          <w:lang w:eastAsia="lt-LT"/>
        </w:rPr>
        <w:t>, edema, periferinė neuropatija, kūno masės padidėjimas.</w:t>
      </w:r>
    </w:p>
    <w:p w14:paraId="05FD2288" w14:textId="001D9377" w:rsidR="00D5367A" w:rsidRPr="00F60F59" w:rsidRDefault="00D5367A" w:rsidP="008C3CED">
      <w:pPr>
        <w:pStyle w:val="Protokolui"/>
        <w:spacing w:line="276" w:lineRule="auto"/>
        <w:rPr>
          <w:lang w:eastAsia="lt-LT"/>
        </w:rPr>
      </w:pPr>
      <w:r w:rsidRPr="00F60F59">
        <w:rPr>
          <w:lang w:eastAsia="lt-LT"/>
        </w:rPr>
        <w:t xml:space="preserve">Sunkūs </w:t>
      </w:r>
      <w:r w:rsidR="009E5C6C" w:rsidRPr="00F60F59">
        <w:rPr>
          <w:lang w:val="lt-LT" w:eastAsia="lt-LT"/>
        </w:rPr>
        <w:t>nepageidaujami reiškiniai (</w:t>
      </w:r>
      <w:r w:rsidRPr="00F60F59">
        <w:rPr>
          <w:lang w:eastAsia="lt-LT"/>
        </w:rPr>
        <w:t>NR</w:t>
      </w:r>
      <w:r w:rsidR="009E5C6C" w:rsidRPr="00F60F59">
        <w:rPr>
          <w:lang w:val="lt-LT" w:eastAsia="lt-LT"/>
        </w:rPr>
        <w:t>)</w:t>
      </w:r>
      <w:r w:rsidRPr="00F60F59">
        <w:rPr>
          <w:lang w:eastAsia="lt-LT"/>
        </w:rPr>
        <w:t xml:space="preserve"> (3–4 laipsnio), kurie pasireiškė &gt;2 proc. tyrime dalyvavusiųjų, yra nurodyti 8 lentelėje. Dažniausias </w:t>
      </w:r>
      <w:proofErr w:type="spellStart"/>
      <w:r w:rsidRPr="00F60F59">
        <w:rPr>
          <w:lang w:val="en-GB" w:eastAsia="lt-LT"/>
        </w:rPr>
        <w:t>tyrime</w:t>
      </w:r>
      <w:proofErr w:type="spellEnd"/>
      <w:r w:rsidRPr="00F60F59">
        <w:rPr>
          <w:lang w:val="en-GB" w:eastAsia="lt-LT"/>
        </w:rPr>
        <w:t xml:space="preserve"> </w:t>
      </w:r>
      <w:proofErr w:type="spellStart"/>
      <w:r w:rsidRPr="00F60F59">
        <w:rPr>
          <w:lang w:val="en-GB" w:eastAsia="lt-LT"/>
        </w:rPr>
        <w:t>dalyvavusi</w:t>
      </w:r>
      <w:proofErr w:type="spellEnd"/>
      <w:r w:rsidRPr="00F60F59">
        <w:rPr>
          <w:lang w:eastAsia="lt-LT"/>
        </w:rPr>
        <w:t>ų sunkus NR buvo ligos progresas (</w:t>
      </w:r>
      <w:r w:rsidRPr="00F60F59">
        <w:rPr>
          <w:lang w:val="en-GB" w:eastAsia="lt-LT"/>
        </w:rPr>
        <w:t>11,5 proc.)</w:t>
      </w:r>
      <w:r w:rsidRPr="00F60F59">
        <w:rPr>
          <w:lang w:eastAsia="lt-LT"/>
        </w:rPr>
        <w:t>.</w:t>
      </w:r>
    </w:p>
    <w:p w14:paraId="5B2262D1" w14:textId="5C14CD1F" w:rsidR="00D5367A" w:rsidRPr="00F60F59" w:rsidRDefault="00D5367A" w:rsidP="008C3CED">
      <w:pPr>
        <w:pStyle w:val="Protokolui"/>
        <w:spacing w:line="276" w:lineRule="auto"/>
        <w:rPr>
          <w:lang w:eastAsia="lt-LT"/>
        </w:rPr>
      </w:pPr>
      <w:r w:rsidRPr="00F60F59">
        <w:rPr>
          <w:lang w:eastAsia="lt-LT"/>
        </w:rPr>
        <w:t xml:space="preserve">Vertinimo metu buvo atsižvelgta į NICE rekomendacijas, kuriose </w:t>
      </w:r>
      <w:proofErr w:type="spellStart"/>
      <w:r w:rsidRPr="00F60F59">
        <w:rPr>
          <w:lang w:eastAsia="lt-LT"/>
        </w:rPr>
        <w:t>lorlatinibas</w:t>
      </w:r>
      <w:proofErr w:type="spellEnd"/>
      <w:r w:rsidRPr="00F60F59">
        <w:rPr>
          <w:lang w:eastAsia="lt-LT"/>
        </w:rPr>
        <w:t xml:space="preserve"> rekomenduojamas </w:t>
      </w:r>
      <w:r w:rsidRPr="00F60F59">
        <w:rPr>
          <w:u w:val="single"/>
          <w:lang w:eastAsia="lt-LT"/>
        </w:rPr>
        <w:t>kaip gydymo pasirinkimas</w:t>
      </w:r>
      <w:r w:rsidRPr="00F60F59">
        <w:rPr>
          <w:lang w:eastAsia="lt-LT"/>
        </w:rPr>
        <w:t>:</w:t>
      </w:r>
      <w:r w:rsidRPr="00F60F59">
        <w:rPr>
          <w:rFonts w:eastAsia="Arial"/>
        </w:rPr>
        <w:t xml:space="preserve"> „</w:t>
      </w:r>
      <w:proofErr w:type="spellStart"/>
      <w:r w:rsidRPr="00F60F59">
        <w:rPr>
          <w:rFonts w:eastAsia="Arial"/>
        </w:rPr>
        <w:t>Lorlatinibas</w:t>
      </w:r>
      <w:proofErr w:type="spellEnd"/>
      <w:r w:rsidRPr="00F60F59">
        <w:rPr>
          <w:rFonts w:eastAsia="Arial"/>
        </w:rPr>
        <w:t xml:space="preserve"> rekomenduojamas kaip gydymo pasirinkimas pacientams, kuriems yra </w:t>
      </w:r>
      <w:proofErr w:type="spellStart"/>
      <w:r w:rsidRPr="00F60F59">
        <w:rPr>
          <w:rFonts w:eastAsia="Arial"/>
        </w:rPr>
        <w:t>anaplastinės</w:t>
      </w:r>
      <w:proofErr w:type="spellEnd"/>
      <w:r w:rsidRPr="00F60F59">
        <w:rPr>
          <w:rFonts w:eastAsia="Arial"/>
        </w:rPr>
        <w:t xml:space="preserve"> limfomos </w:t>
      </w:r>
      <w:proofErr w:type="spellStart"/>
      <w:r w:rsidRPr="00F60F59">
        <w:rPr>
          <w:rFonts w:eastAsia="Arial"/>
        </w:rPr>
        <w:t>tirozinkinazės</w:t>
      </w:r>
      <w:proofErr w:type="spellEnd"/>
      <w:r w:rsidRPr="00F60F59">
        <w:rPr>
          <w:rFonts w:eastAsia="Arial"/>
        </w:rPr>
        <w:t xml:space="preserve"> (ALK TK)</w:t>
      </w:r>
      <w:r w:rsidR="00D256B5" w:rsidRPr="00F60F59">
        <w:rPr>
          <w:rFonts w:eastAsia="Arial"/>
          <w:lang w:val="lt-LT"/>
        </w:rPr>
        <w:t xml:space="preserve"> </w:t>
      </w:r>
      <w:r w:rsidRPr="00F60F59">
        <w:rPr>
          <w:rFonts w:eastAsia="Arial"/>
        </w:rPr>
        <w:t xml:space="preserve">teigiamas nesmulkiųjų ląstelių išplitęs vėžys ir kuriems nustatyta ligos progresija po pirmos eilės gydymo ALK TK </w:t>
      </w:r>
      <w:r w:rsidR="00D256B5" w:rsidRPr="00F60F59">
        <w:rPr>
          <w:rFonts w:eastAsia="Arial"/>
        </w:rPr>
        <w:t>inhibitoriumi</w:t>
      </w:r>
      <w:r w:rsidRPr="00F60F59">
        <w:rPr>
          <w:rFonts w:eastAsia="Arial"/>
        </w:rPr>
        <w:t xml:space="preserve">: </w:t>
      </w:r>
      <w:proofErr w:type="spellStart"/>
      <w:r w:rsidRPr="00F60F59">
        <w:rPr>
          <w:rFonts w:eastAsia="Arial"/>
        </w:rPr>
        <w:t>alektinibu</w:t>
      </w:r>
      <w:proofErr w:type="spellEnd"/>
      <w:r w:rsidRPr="00F60F59">
        <w:rPr>
          <w:rFonts w:eastAsia="Arial"/>
        </w:rPr>
        <w:t xml:space="preserve"> ar </w:t>
      </w:r>
      <w:proofErr w:type="spellStart"/>
      <w:r w:rsidRPr="00F60F59">
        <w:rPr>
          <w:rFonts w:eastAsia="Arial"/>
        </w:rPr>
        <w:t>ceritinibu</w:t>
      </w:r>
      <w:proofErr w:type="spellEnd"/>
      <w:r w:rsidRPr="00F60F59">
        <w:rPr>
          <w:rFonts w:eastAsia="Arial"/>
        </w:rPr>
        <w:t xml:space="preserve">, arba </w:t>
      </w:r>
      <w:proofErr w:type="spellStart"/>
      <w:r w:rsidRPr="00F60F59">
        <w:rPr>
          <w:rFonts w:eastAsia="Arial"/>
        </w:rPr>
        <w:t>krizotinibu</w:t>
      </w:r>
      <w:proofErr w:type="spellEnd"/>
      <w:r w:rsidRPr="00F60F59">
        <w:rPr>
          <w:rFonts w:eastAsia="Arial"/>
        </w:rPr>
        <w:t xml:space="preserve"> bei nors vienu ALK TK. Pareiškėjas tieks </w:t>
      </w:r>
      <w:proofErr w:type="spellStart"/>
      <w:r w:rsidRPr="00F60F59">
        <w:rPr>
          <w:rFonts w:eastAsia="Arial"/>
        </w:rPr>
        <w:t>lorlatinibą</w:t>
      </w:r>
      <w:proofErr w:type="spellEnd"/>
      <w:r w:rsidRPr="00F60F59">
        <w:rPr>
          <w:rFonts w:eastAsia="Arial"/>
        </w:rPr>
        <w:t xml:space="preserve"> pagal komercinį susitarimą</w:t>
      </w:r>
      <w:r w:rsidRPr="00F60F59">
        <w:rPr>
          <w:lang w:eastAsia="lt-LT"/>
        </w:rPr>
        <w:t xml:space="preserve">“. Taip pat į ESMO (2020) gaires, kuriose </w:t>
      </w:r>
      <w:proofErr w:type="spellStart"/>
      <w:r w:rsidRPr="00F60F59">
        <w:rPr>
          <w:lang w:eastAsia="lt-LT"/>
        </w:rPr>
        <w:t>lorlatinibas</w:t>
      </w:r>
      <w:proofErr w:type="spellEnd"/>
      <w:r w:rsidRPr="00F60F59">
        <w:rPr>
          <w:lang w:eastAsia="lt-LT"/>
        </w:rPr>
        <w:t xml:space="preserve"> apibrėžiamas kaip „</w:t>
      </w:r>
      <w:r w:rsidRPr="00F60F59">
        <w:rPr>
          <w:u w:val="single"/>
          <w:lang w:eastAsia="lt-LT"/>
        </w:rPr>
        <w:t>gydymo pasirinkimas</w:t>
      </w:r>
      <w:r w:rsidRPr="00F60F59">
        <w:rPr>
          <w:lang w:eastAsia="lt-LT"/>
        </w:rPr>
        <w:t>, kai pacientams yra ligos progresavi</w:t>
      </w:r>
      <w:r w:rsidR="00422BD2" w:rsidRPr="00F60F59">
        <w:rPr>
          <w:lang w:eastAsia="lt-LT"/>
        </w:rPr>
        <w:t>mas gydant antros kartos AKK TKI</w:t>
      </w:r>
      <w:r w:rsidRPr="00F60F59">
        <w:rPr>
          <w:lang w:eastAsia="lt-LT"/>
        </w:rPr>
        <w:t xml:space="preserve">, jei yra &lt;patvirtintas&gt;“. [III, A; ESMO-MCBS v1.1 santykis: 3]. Klinikinis tyrimas 1001 parodė </w:t>
      </w:r>
      <w:proofErr w:type="spellStart"/>
      <w:r w:rsidRPr="00F60F59">
        <w:rPr>
          <w:lang w:eastAsia="lt-LT"/>
        </w:rPr>
        <w:t>lorlatinibo</w:t>
      </w:r>
      <w:proofErr w:type="spellEnd"/>
      <w:r w:rsidRPr="00F60F59">
        <w:rPr>
          <w:lang w:eastAsia="lt-LT"/>
        </w:rPr>
        <w:t xml:space="preserve"> efektyvumą, tačiau nepateikė tiesioginių įrodymų dėl palyginamojo efektyvumo su šiuo metu taikoma chemoterapija pacientams, kurie serga </w:t>
      </w:r>
      <w:proofErr w:type="spellStart"/>
      <w:r w:rsidRPr="00F60F59">
        <w:t>anaplastinės</w:t>
      </w:r>
      <w:proofErr w:type="spellEnd"/>
      <w:r w:rsidRPr="00F60F59">
        <w:t xml:space="preserve"> limfomos </w:t>
      </w:r>
      <w:proofErr w:type="spellStart"/>
      <w:r w:rsidRPr="00F60F59">
        <w:t>kinazės</w:t>
      </w:r>
      <w:proofErr w:type="spellEnd"/>
      <w:r w:rsidRPr="00F60F59">
        <w:t xml:space="preserve"> (ALK) atžvilgiu teigiamu </w:t>
      </w:r>
      <w:r w:rsidRPr="00F60F59">
        <w:lastRenderedPageBreak/>
        <w:t xml:space="preserve">pažengusiu </w:t>
      </w:r>
      <w:proofErr w:type="spellStart"/>
      <w:r w:rsidRPr="00F60F59">
        <w:t>nesmulkialąsteliniu</w:t>
      </w:r>
      <w:proofErr w:type="spellEnd"/>
      <w:r w:rsidRPr="00F60F59">
        <w:t xml:space="preserve"> plaučių vėžiu (NSLPV), kai liga progresavo po nesėkmingos ALT </w:t>
      </w:r>
      <w:r w:rsidR="00422BD2" w:rsidRPr="00F60F59">
        <w:t>TKI</w:t>
      </w:r>
      <w:r w:rsidRPr="00F60F59">
        <w:t xml:space="preserve"> terapijos</w:t>
      </w:r>
      <w:r w:rsidRPr="00F60F59">
        <w:rPr>
          <w:lang w:eastAsia="lt-LT"/>
        </w:rPr>
        <w:t xml:space="preserve">. Todėl išvados apie palyginamąjį efektyvumą, remiantis pateiktais duomenimis, padaryti neįmanoma, kas sudaro prielaidą dėl neigiamo klinikinio veiksmingumo vertinimo. </w:t>
      </w:r>
    </w:p>
    <w:p w14:paraId="5135DA98" w14:textId="06BB6919" w:rsidR="00D5367A" w:rsidRPr="00F60F59" w:rsidRDefault="00D5367A" w:rsidP="008C3CED">
      <w:pPr>
        <w:pStyle w:val="Protokolui"/>
        <w:spacing w:line="276" w:lineRule="auto"/>
        <w:rPr>
          <w:lang w:val="lt-LT" w:eastAsia="lt-LT"/>
        </w:rPr>
      </w:pPr>
      <w:r w:rsidRPr="00F60F59">
        <w:rPr>
          <w:lang w:val="lt-LT" w:eastAsia="lt-LT"/>
        </w:rPr>
        <w:t xml:space="preserve">Apibendrinant netiesioginio palyginimo rezultatus ir atsižvelgiant į tiesioginio palyginimo nebuvimo atvirame, be kontrolinės šakos II fazės klinikiniame tyrime, </w:t>
      </w:r>
      <w:r w:rsidR="00F45A85" w:rsidRPr="00F60F59">
        <w:rPr>
          <w:lang w:val="lt-LT" w:eastAsia="lt-LT"/>
        </w:rPr>
        <w:t>pateikti duomenys</w:t>
      </w:r>
      <w:r w:rsidR="00C67327" w:rsidRPr="00F60F59">
        <w:t xml:space="preserve"> apie palyginamąjį efektyvumą yra netinkami vertinti</w:t>
      </w:r>
      <w:r w:rsidR="00C67327" w:rsidRPr="00F60F59">
        <w:rPr>
          <w:lang w:val="lt-LT"/>
        </w:rPr>
        <w:t>,</w:t>
      </w:r>
      <w:r w:rsidRPr="00F60F59">
        <w:rPr>
          <w:lang w:val="lt-LT"/>
        </w:rPr>
        <w:t xml:space="preserve"> </w:t>
      </w:r>
      <w:r w:rsidR="00C67327" w:rsidRPr="00F60F59">
        <w:rPr>
          <w:lang w:val="lt-LT"/>
        </w:rPr>
        <w:t xml:space="preserve">o klinikinį veiksmingumą neįmanoma apibrėžti, </w:t>
      </w:r>
      <w:r w:rsidRPr="00F60F59">
        <w:rPr>
          <w:lang w:val="lt-LT"/>
        </w:rPr>
        <w:t>lyginant su įprasta klinikine praktika.</w:t>
      </w:r>
      <w:r w:rsidRPr="00F60F59">
        <w:rPr>
          <w:lang w:val="lt-LT" w:eastAsia="lt-LT"/>
        </w:rPr>
        <w:t xml:space="preserve">  </w:t>
      </w:r>
    </w:p>
    <w:p w14:paraId="7D8E1322" w14:textId="4E810805" w:rsidR="00D5367A" w:rsidRPr="00F60F59" w:rsidRDefault="00D5367A" w:rsidP="008C3CED">
      <w:pPr>
        <w:pStyle w:val="ListParagraph"/>
        <w:tabs>
          <w:tab w:val="left" w:pos="426"/>
        </w:tabs>
        <w:spacing w:line="276" w:lineRule="auto"/>
        <w:ind w:left="0"/>
        <w:rPr>
          <w:b/>
          <w:bCs/>
          <w:caps/>
        </w:rPr>
      </w:pPr>
    </w:p>
    <w:p w14:paraId="69676358" w14:textId="21F77681" w:rsidR="00BB24AB" w:rsidRPr="00F60F59" w:rsidRDefault="00BB24AB" w:rsidP="008C3CED">
      <w:pPr>
        <w:tabs>
          <w:tab w:val="left" w:pos="426"/>
        </w:tabs>
        <w:spacing w:line="276" w:lineRule="auto"/>
        <w:jc w:val="both"/>
        <w:rPr>
          <w:b/>
          <w:lang w:eastAsia="lt-LT"/>
        </w:rPr>
      </w:pPr>
      <w:proofErr w:type="spellStart"/>
      <w:r w:rsidRPr="00F60F59">
        <w:rPr>
          <w:b/>
          <w:lang w:eastAsia="lt-LT"/>
        </w:rPr>
        <w:t>Privalumai</w:t>
      </w:r>
      <w:proofErr w:type="spellEnd"/>
      <w:r w:rsidRPr="00F60F59">
        <w:rPr>
          <w:b/>
          <w:lang w:eastAsia="lt-LT"/>
        </w:rPr>
        <w:t xml:space="preserve"> (</w:t>
      </w:r>
      <w:r w:rsidRPr="00F60F59">
        <w:rPr>
          <w:b/>
          <w:i/>
          <w:lang w:eastAsia="lt-LT"/>
        </w:rPr>
        <w:t xml:space="preserve">angl. </w:t>
      </w:r>
      <w:proofErr w:type="spellStart"/>
      <w:r w:rsidRPr="00F60F59">
        <w:rPr>
          <w:b/>
          <w:i/>
          <w:lang w:eastAsia="lt-LT"/>
        </w:rPr>
        <w:t>strength</w:t>
      </w:r>
      <w:proofErr w:type="spellEnd"/>
      <w:r w:rsidRPr="00F60F59">
        <w:rPr>
          <w:b/>
          <w:lang w:eastAsia="lt-LT"/>
        </w:rPr>
        <w:t>)</w:t>
      </w:r>
    </w:p>
    <w:p w14:paraId="7FB322BC" w14:textId="5F90F90A" w:rsidR="00BB24AB" w:rsidRPr="00F60F59" w:rsidRDefault="005208A6" w:rsidP="008C3CED">
      <w:pPr>
        <w:tabs>
          <w:tab w:val="left" w:pos="426"/>
        </w:tabs>
        <w:spacing w:line="276" w:lineRule="auto"/>
        <w:jc w:val="both"/>
        <w:rPr>
          <w:lang w:eastAsia="lt-LT"/>
        </w:rPr>
      </w:pPr>
      <w:proofErr w:type="spellStart"/>
      <w:r w:rsidRPr="00F60F59">
        <w:rPr>
          <w:lang w:eastAsia="lt-LT"/>
        </w:rPr>
        <w:t>A</w:t>
      </w:r>
      <w:r w:rsidR="009E5C6C" w:rsidRPr="00F60F59">
        <w:rPr>
          <w:lang w:eastAsia="lt-LT"/>
        </w:rPr>
        <w:t>kivaidžių</w:t>
      </w:r>
      <w:proofErr w:type="spellEnd"/>
      <w:r w:rsidRPr="00F60F59">
        <w:rPr>
          <w:lang w:eastAsia="lt-LT"/>
        </w:rPr>
        <w:t xml:space="preserve"> </w:t>
      </w:r>
      <w:proofErr w:type="spellStart"/>
      <w:r w:rsidRPr="00F60F59">
        <w:rPr>
          <w:lang w:eastAsia="lt-LT"/>
        </w:rPr>
        <w:t>privalumų</w:t>
      </w:r>
      <w:proofErr w:type="spellEnd"/>
      <w:r w:rsidRPr="00F60F59">
        <w:rPr>
          <w:lang w:eastAsia="lt-LT"/>
        </w:rPr>
        <w:t xml:space="preserve"> nėra.</w:t>
      </w:r>
    </w:p>
    <w:p w14:paraId="58C2282A" w14:textId="77777777" w:rsidR="005208A6" w:rsidRPr="00F60F59" w:rsidRDefault="005208A6" w:rsidP="008C3CED">
      <w:pPr>
        <w:tabs>
          <w:tab w:val="left" w:pos="426"/>
        </w:tabs>
        <w:spacing w:line="276" w:lineRule="auto"/>
        <w:jc w:val="both"/>
        <w:rPr>
          <w:b/>
          <w:lang w:eastAsia="lt-LT"/>
        </w:rPr>
      </w:pPr>
    </w:p>
    <w:p w14:paraId="49E67590" w14:textId="4368DB93" w:rsidR="00BB24AB" w:rsidRPr="00F60F59" w:rsidRDefault="00BB24AB" w:rsidP="008C3CED">
      <w:pPr>
        <w:tabs>
          <w:tab w:val="left" w:pos="426"/>
        </w:tabs>
        <w:spacing w:line="276" w:lineRule="auto"/>
        <w:jc w:val="both"/>
        <w:rPr>
          <w:b/>
          <w:lang w:eastAsia="lt-LT"/>
        </w:rPr>
      </w:pPr>
      <w:r w:rsidRPr="00F60F59">
        <w:rPr>
          <w:b/>
          <w:lang w:eastAsia="lt-LT"/>
        </w:rPr>
        <w:t>Trūkumai (</w:t>
      </w:r>
      <w:r w:rsidRPr="00F60F59">
        <w:rPr>
          <w:b/>
          <w:i/>
          <w:lang w:eastAsia="lt-LT"/>
        </w:rPr>
        <w:t xml:space="preserve">angl. </w:t>
      </w:r>
      <w:proofErr w:type="spellStart"/>
      <w:r w:rsidRPr="00F60F59">
        <w:rPr>
          <w:b/>
          <w:i/>
          <w:lang w:eastAsia="lt-LT"/>
        </w:rPr>
        <w:t>weakness</w:t>
      </w:r>
      <w:proofErr w:type="spellEnd"/>
      <w:r w:rsidRPr="00F60F59">
        <w:rPr>
          <w:b/>
          <w:lang w:eastAsia="lt-LT"/>
        </w:rPr>
        <w:t>)</w:t>
      </w:r>
    </w:p>
    <w:p w14:paraId="06BD2E0B" w14:textId="1E9C1B76" w:rsidR="00BB24AB" w:rsidRPr="00F60F59" w:rsidRDefault="00A31587" w:rsidP="008C3CED">
      <w:pPr>
        <w:pStyle w:val="ListParagraph"/>
        <w:numPr>
          <w:ilvl w:val="0"/>
          <w:numId w:val="15"/>
        </w:numPr>
        <w:tabs>
          <w:tab w:val="left" w:pos="426"/>
        </w:tabs>
        <w:spacing w:line="276" w:lineRule="auto"/>
        <w:jc w:val="both"/>
        <w:rPr>
          <w:lang w:eastAsia="lt-LT"/>
        </w:rPr>
      </w:pPr>
      <w:r w:rsidRPr="00F60F59">
        <w:rPr>
          <w:lang w:eastAsia="lt-LT"/>
        </w:rPr>
        <w:t>T</w:t>
      </w:r>
      <w:r w:rsidR="00BB24AB" w:rsidRPr="00F60F59">
        <w:rPr>
          <w:lang w:eastAsia="lt-LT"/>
        </w:rPr>
        <w:t>iesioginis efektyvumo palyginimas nepateiktas</w:t>
      </w:r>
      <w:r w:rsidRPr="00F60F59">
        <w:rPr>
          <w:lang w:eastAsia="lt-LT"/>
        </w:rPr>
        <w:t>.</w:t>
      </w:r>
    </w:p>
    <w:p w14:paraId="229C1A0A" w14:textId="65D63024" w:rsidR="00BB24AB" w:rsidRPr="00F60F59" w:rsidRDefault="00A31587" w:rsidP="008C3CED">
      <w:pPr>
        <w:pStyle w:val="ListParagraph"/>
        <w:numPr>
          <w:ilvl w:val="0"/>
          <w:numId w:val="15"/>
        </w:numPr>
        <w:tabs>
          <w:tab w:val="left" w:pos="426"/>
        </w:tabs>
        <w:spacing w:line="276" w:lineRule="auto"/>
        <w:jc w:val="both"/>
        <w:rPr>
          <w:lang w:eastAsia="lt-LT"/>
        </w:rPr>
      </w:pPr>
      <w:r w:rsidRPr="00F60F59">
        <w:rPr>
          <w:lang w:eastAsia="lt-LT"/>
        </w:rPr>
        <w:t>N</w:t>
      </w:r>
      <w:r w:rsidR="00BB24AB" w:rsidRPr="00F60F59">
        <w:rPr>
          <w:lang w:eastAsia="lt-LT"/>
        </w:rPr>
        <w:t xml:space="preserve">etiesioginiame palyginame palyginamieji </w:t>
      </w:r>
      <w:proofErr w:type="spellStart"/>
      <w:r w:rsidR="00BB24AB" w:rsidRPr="00F60F59">
        <w:rPr>
          <w:lang w:eastAsia="lt-LT"/>
        </w:rPr>
        <w:t>pemetreksedo</w:t>
      </w:r>
      <w:proofErr w:type="spellEnd"/>
      <w:r w:rsidR="00BB24AB" w:rsidRPr="00F60F59">
        <w:rPr>
          <w:lang w:eastAsia="lt-LT"/>
        </w:rPr>
        <w:t>/</w:t>
      </w:r>
      <w:proofErr w:type="spellStart"/>
      <w:r w:rsidR="00BB24AB" w:rsidRPr="00F60F59">
        <w:rPr>
          <w:lang w:eastAsia="lt-LT"/>
        </w:rPr>
        <w:t>docetakselio</w:t>
      </w:r>
      <w:proofErr w:type="spellEnd"/>
      <w:r w:rsidR="00BB24AB" w:rsidRPr="00F60F59">
        <w:rPr>
          <w:lang w:eastAsia="lt-LT"/>
        </w:rPr>
        <w:t xml:space="preserve"> </w:t>
      </w:r>
      <w:proofErr w:type="spellStart"/>
      <w:r w:rsidR="00BB24AB" w:rsidRPr="00F60F59">
        <w:rPr>
          <w:lang w:eastAsia="lt-LT"/>
        </w:rPr>
        <w:t>monoterapija</w:t>
      </w:r>
      <w:proofErr w:type="spellEnd"/>
      <w:r w:rsidR="00BB24AB" w:rsidRPr="00F60F59">
        <w:rPr>
          <w:lang w:eastAsia="lt-LT"/>
        </w:rPr>
        <w:t xml:space="preserve">, įprastinė klinika praktika Lietuvoje laikoma </w:t>
      </w:r>
      <w:proofErr w:type="spellStart"/>
      <w:r w:rsidR="00BB24AB" w:rsidRPr="00F60F59">
        <w:rPr>
          <w:lang w:eastAsia="lt-LT"/>
        </w:rPr>
        <w:t>pemetreksedo</w:t>
      </w:r>
      <w:proofErr w:type="spellEnd"/>
      <w:r w:rsidR="00BB24AB" w:rsidRPr="00F60F59">
        <w:rPr>
          <w:lang w:eastAsia="lt-LT"/>
        </w:rPr>
        <w:t>/</w:t>
      </w:r>
      <w:proofErr w:type="spellStart"/>
      <w:r w:rsidR="00BB24AB" w:rsidRPr="00F60F59">
        <w:rPr>
          <w:lang w:eastAsia="lt-LT"/>
        </w:rPr>
        <w:t>docetakselio</w:t>
      </w:r>
      <w:proofErr w:type="spellEnd"/>
      <w:r w:rsidR="00BB24AB" w:rsidRPr="00F60F59">
        <w:rPr>
          <w:lang w:eastAsia="lt-LT"/>
        </w:rPr>
        <w:t xml:space="preserve"> su platinos junginiais chemoterapija. Tikėtina, kad pervertintas </w:t>
      </w:r>
      <w:proofErr w:type="spellStart"/>
      <w:r w:rsidR="00BB24AB" w:rsidRPr="00F60F59">
        <w:rPr>
          <w:lang w:eastAsia="lt-LT"/>
        </w:rPr>
        <w:t>monoterapijos</w:t>
      </w:r>
      <w:proofErr w:type="spellEnd"/>
      <w:r w:rsidR="00BB24AB" w:rsidRPr="00F60F59">
        <w:rPr>
          <w:lang w:eastAsia="lt-LT"/>
        </w:rPr>
        <w:t xml:space="preserve"> efektyvumas, palyginus su chemoterapijos deriniais.</w:t>
      </w:r>
    </w:p>
    <w:p w14:paraId="599FB465" w14:textId="11B0A4B8" w:rsidR="00BB24AB" w:rsidRPr="00F60F59" w:rsidRDefault="00BB24AB" w:rsidP="008C3CED">
      <w:pPr>
        <w:pStyle w:val="ListParagraph"/>
        <w:numPr>
          <w:ilvl w:val="0"/>
          <w:numId w:val="15"/>
        </w:numPr>
        <w:tabs>
          <w:tab w:val="left" w:pos="426"/>
        </w:tabs>
        <w:spacing w:line="276" w:lineRule="auto"/>
        <w:jc w:val="both"/>
        <w:rPr>
          <w:lang w:eastAsia="lt-LT"/>
        </w:rPr>
      </w:pPr>
      <w:r w:rsidRPr="00F60F59">
        <w:rPr>
          <w:lang w:eastAsia="lt-LT"/>
        </w:rPr>
        <w:t xml:space="preserve"> </w:t>
      </w:r>
      <w:r w:rsidR="00A31587" w:rsidRPr="00F60F59">
        <w:rPr>
          <w:lang w:eastAsia="lt-LT"/>
        </w:rPr>
        <w:t>N</w:t>
      </w:r>
      <w:r w:rsidRPr="00F60F59">
        <w:rPr>
          <w:lang w:eastAsia="lt-LT"/>
        </w:rPr>
        <w:t xml:space="preserve">etiesioginio palyginimo rezultatų nepakanka padaryti išvadą apie </w:t>
      </w:r>
      <w:proofErr w:type="spellStart"/>
      <w:r w:rsidRPr="00F60F59">
        <w:rPr>
          <w:lang w:eastAsia="lt-LT"/>
        </w:rPr>
        <w:t>lorlatinibo</w:t>
      </w:r>
      <w:proofErr w:type="spellEnd"/>
      <w:r w:rsidRPr="00F60F59">
        <w:rPr>
          <w:lang w:eastAsia="lt-LT"/>
        </w:rPr>
        <w:t xml:space="preserve"> pranašumo prieš </w:t>
      </w:r>
      <w:proofErr w:type="spellStart"/>
      <w:r w:rsidRPr="00F60F59">
        <w:rPr>
          <w:lang w:eastAsia="lt-LT"/>
        </w:rPr>
        <w:t>pemetreksedo</w:t>
      </w:r>
      <w:proofErr w:type="spellEnd"/>
      <w:r w:rsidRPr="00F60F59">
        <w:rPr>
          <w:lang w:eastAsia="lt-LT"/>
        </w:rPr>
        <w:t>/</w:t>
      </w:r>
      <w:proofErr w:type="spellStart"/>
      <w:r w:rsidRPr="00F60F59">
        <w:rPr>
          <w:lang w:eastAsia="lt-LT"/>
        </w:rPr>
        <w:t>docetakselio</w:t>
      </w:r>
      <w:proofErr w:type="spellEnd"/>
      <w:r w:rsidRPr="00F60F59">
        <w:rPr>
          <w:lang w:eastAsia="lt-LT"/>
        </w:rPr>
        <w:t xml:space="preserve"> su platinos junginiais chemoterapija.</w:t>
      </w:r>
    </w:p>
    <w:p w14:paraId="5ED85A76" w14:textId="1EFF89A4" w:rsidR="00BB24AB" w:rsidRPr="00F60F59" w:rsidRDefault="00A31587" w:rsidP="008C3CED">
      <w:pPr>
        <w:pStyle w:val="ListParagraph"/>
        <w:numPr>
          <w:ilvl w:val="0"/>
          <w:numId w:val="15"/>
        </w:numPr>
        <w:tabs>
          <w:tab w:val="left" w:pos="426"/>
        </w:tabs>
        <w:spacing w:line="276" w:lineRule="auto"/>
        <w:jc w:val="both"/>
      </w:pPr>
      <w:proofErr w:type="spellStart"/>
      <w:r w:rsidRPr="00F60F59">
        <w:rPr>
          <w:lang w:eastAsia="lt-LT"/>
        </w:rPr>
        <w:t>L</w:t>
      </w:r>
      <w:r w:rsidR="00BB24AB" w:rsidRPr="00F60F59">
        <w:rPr>
          <w:lang w:eastAsia="lt-LT"/>
        </w:rPr>
        <w:t>orlatinibo</w:t>
      </w:r>
      <w:proofErr w:type="spellEnd"/>
      <w:r w:rsidR="00BB24AB" w:rsidRPr="00F60F59">
        <w:rPr>
          <w:lang w:eastAsia="lt-LT"/>
        </w:rPr>
        <w:t xml:space="preserve"> </w:t>
      </w:r>
      <w:r w:rsidR="00BB24AB" w:rsidRPr="00F60F59">
        <w:t xml:space="preserve">klinikinis efektyvumas, skiriant </w:t>
      </w:r>
      <w:proofErr w:type="spellStart"/>
      <w:r w:rsidR="00BB24AB" w:rsidRPr="00F60F59">
        <w:t>monoterapiją</w:t>
      </w:r>
      <w:proofErr w:type="spellEnd"/>
      <w:r w:rsidR="00BB24AB" w:rsidRPr="00F60F59">
        <w:t xml:space="preserve"> </w:t>
      </w:r>
      <w:proofErr w:type="spellStart"/>
      <w:r w:rsidR="00BB24AB" w:rsidRPr="00F60F59">
        <w:t>lorlatinibu</w:t>
      </w:r>
      <w:proofErr w:type="spellEnd"/>
      <w:r w:rsidR="00BB24AB" w:rsidRPr="00F60F59">
        <w:t xml:space="preserve"> pacientams, sergantiems </w:t>
      </w:r>
      <w:proofErr w:type="spellStart"/>
      <w:r w:rsidR="00BB24AB" w:rsidRPr="00F60F59">
        <w:t>mNLPV</w:t>
      </w:r>
      <w:proofErr w:type="spellEnd"/>
      <w:r w:rsidR="00BB24AB" w:rsidRPr="00F60F59">
        <w:t xml:space="preserve"> po nesėkmingos pirmos ir/ar antros kartos ALK </w:t>
      </w:r>
      <w:proofErr w:type="spellStart"/>
      <w:r w:rsidR="00BB24AB" w:rsidRPr="00F60F59">
        <w:t>TKIs</w:t>
      </w:r>
      <w:proofErr w:type="spellEnd"/>
      <w:r w:rsidR="00BB24AB" w:rsidRPr="00F60F59">
        <w:t xml:space="preserve"> </w:t>
      </w:r>
      <w:proofErr w:type="spellStart"/>
      <w:r w:rsidR="00BB24AB" w:rsidRPr="00F60F59">
        <w:t>monoterapijos</w:t>
      </w:r>
      <w:proofErr w:type="spellEnd"/>
      <w:r w:rsidR="00BB24AB" w:rsidRPr="00F60F59">
        <w:t xml:space="preserve">, buvo įvertintas atvirame, be kontrolinės šakos I/II fazės tyrime 1001. Pateiktas klinikinis tyrimas yra I/II fazės, daugkartinės dozės, dozės </w:t>
      </w:r>
      <w:proofErr w:type="spellStart"/>
      <w:r w:rsidR="00BB24AB" w:rsidRPr="00F60F59">
        <w:t>eskalacijos</w:t>
      </w:r>
      <w:proofErr w:type="spellEnd"/>
      <w:r w:rsidR="00BB24AB" w:rsidRPr="00F60F59">
        <w:t xml:space="preserve">, saugumo, FK/FD bei </w:t>
      </w:r>
      <w:proofErr w:type="spellStart"/>
      <w:r w:rsidR="00BB24AB" w:rsidRPr="00F60F59">
        <w:t>priešnavikinio</w:t>
      </w:r>
      <w:proofErr w:type="spellEnd"/>
      <w:r w:rsidR="00BB24AB" w:rsidRPr="00F60F59">
        <w:t xml:space="preserve"> aktyvumo tyrimas.</w:t>
      </w:r>
    </w:p>
    <w:p w14:paraId="26E33F23" w14:textId="77777777" w:rsidR="0088126A" w:rsidRPr="00F60F59" w:rsidRDefault="0088126A" w:rsidP="008C3CED">
      <w:pPr>
        <w:pStyle w:val="ListParagraph"/>
        <w:tabs>
          <w:tab w:val="left" w:pos="426"/>
        </w:tabs>
        <w:spacing w:line="276" w:lineRule="auto"/>
        <w:rPr>
          <w:b/>
          <w:bCs/>
          <w:caps/>
        </w:rPr>
      </w:pPr>
    </w:p>
    <w:p w14:paraId="7DE09EB5" w14:textId="69E9DD74" w:rsidR="00E03C3F" w:rsidRPr="00F60F59" w:rsidRDefault="00CC7832" w:rsidP="008C3CED">
      <w:pPr>
        <w:pStyle w:val="ListParagraph"/>
        <w:numPr>
          <w:ilvl w:val="0"/>
          <w:numId w:val="12"/>
        </w:numPr>
        <w:tabs>
          <w:tab w:val="left" w:pos="567"/>
        </w:tabs>
        <w:spacing w:line="276" w:lineRule="auto"/>
        <w:ind w:hanging="720"/>
        <w:rPr>
          <w:b/>
          <w:bCs/>
          <w:caps/>
        </w:rPr>
      </w:pPr>
      <w:r w:rsidRPr="00F60F59">
        <w:rPr>
          <w:b/>
          <w:bCs/>
          <w:caps/>
        </w:rPr>
        <w:t xml:space="preserve">ekonominio vertinimo </w:t>
      </w:r>
      <w:r w:rsidR="002F0E4F" w:rsidRPr="00F60F59">
        <w:rPr>
          <w:b/>
          <w:bCs/>
          <w:caps/>
        </w:rPr>
        <w:t>apibendrinimas</w:t>
      </w:r>
    </w:p>
    <w:p w14:paraId="473630AF" w14:textId="77777777" w:rsidR="00EB0F75" w:rsidRPr="00F60F59" w:rsidRDefault="00EB0F75" w:rsidP="008C3CED">
      <w:pPr>
        <w:tabs>
          <w:tab w:val="left" w:pos="284"/>
        </w:tabs>
        <w:spacing w:line="276" w:lineRule="auto"/>
        <w:rPr>
          <w:i/>
          <w:sz w:val="22"/>
          <w:szCs w:val="22"/>
        </w:rPr>
      </w:pPr>
    </w:p>
    <w:p w14:paraId="1954B24D" w14:textId="30907A50" w:rsidR="00EB0F75" w:rsidRPr="00F60F59" w:rsidRDefault="00EB0F75" w:rsidP="008C3CED">
      <w:pPr>
        <w:pStyle w:val="Protokolui"/>
        <w:spacing w:line="276" w:lineRule="auto"/>
      </w:pPr>
      <w:r w:rsidRPr="00F60F59">
        <w:t>Į ekonominę analizę įtraukti pacientai atitinka kompensacijai teikiamas terapines indikacijas.</w:t>
      </w:r>
    </w:p>
    <w:p w14:paraId="00B78433" w14:textId="757B15FB" w:rsidR="00EB0F75" w:rsidRPr="00F60F59" w:rsidRDefault="00EB0F75" w:rsidP="008C3CED">
      <w:pPr>
        <w:pStyle w:val="Protokolui"/>
        <w:spacing w:line="276" w:lineRule="auto"/>
      </w:pPr>
      <w:r w:rsidRPr="00F60F59">
        <w:t xml:space="preserve">Į ekonominę analizę įtraukti pacientai atitinka į klinikinį tyrimą 1001 (II fazės atviras, </w:t>
      </w:r>
      <w:proofErr w:type="spellStart"/>
      <w:r w:rsidRPr="00F60F59">
        <w:t>daugiacentris</w:t>
      </w:r>
      <w:proofErr w:type="spellEnd"/>
      <w:r w:rsidRPr="00F60F59">
        <w:t xml:space="preserve">, priešvėžinio veiksmingumo vertinimo vartojant </w:t>
      </w:r>
      <w:proofErr w:type="spellStart"/>
      <w:r w:rsidRPr="00F60F59">
        <w:t>lorlatinibą</w:t>
      </w:r>
      <w:proofErr w:type="spellEnd"/>
      <w:r w:rsidRPr="00F60F59">
        <w:t xml:space="preserve">, kaip vieną vaistą, tyrimas pacientams, sergantiems pažengusiu NSLPV nustačius ALK </w:t>
      </w:r>
      <w:proofErr w:type="spellStart"/>
      <w:r w:rsidRPr="00F60F59">
        <w:t>tirozino</w:t>
      </w:r>
      <w:proofErr w:type="spellEnd"/>
      <w:r w:rsidRPr="00F60F59">
        <w:t xml:space="preserve"> </w:t>
      </w:r>
      <w:proofErr w:type="spellStart"/>
      <w:r w:rsidRPr="00F60F59">
        <w:t>kinazės</w:t>
      </w:r>
      <w:proofErr w:type="spellEnd"/>
      <w:r w:rsidRPr="00F60F59">
        <w:t xml:space="preserve"> geno </w:t>
      </w:r>
      <w:proofErr w:type="spellStart"/>
      <w:r w:rsidRPr="00F60F59">
        <w:t>translokaciją</w:t>
      </w:r>
      <w:proofErr w:type="spellEnd"/>
      <w:r w:rsidRPr="00F60F59">
        <w:t xml:space="preserve">) įtrauktų pacientų populiacijos 3B-5 pogrupių charakteristikas. </w:t>
      </w:r>
    </w:p>
    <w:p w14:paraId="0E073ED7" w14:textId="254F5D3B" w:rsidR="00EB0F75" w:rsidRPr="00F60F59" w:rsidRDefault="00EB0F75" w:rsidP="008C3CED">
      <w:pPr>
        <w:pStyle w:val="Protokolui"/>
        <w:spacing w:line="276" w:lineRule="auto"/>
      </w:pPr>
      <w:r w:rsidRPr="00F60F59">
        <w:t>Ekonominėje analizėje pateiktas palyginamasis gydymas atitinka klinikinio paraiškos vertinimo dalyje pateiktą palyginamąjį gydymą</w:t>
      </w:r>
      <w:r w:rsidRPr="00F60F59">
        <w:rPr>
          <w:lang w:val="lt-LT"/>
        </w:rPr>
        <w:t xml:space="preserve">. </w:t>
      </w:r>
      <w:r w:rsidRPr="00F60F59">
        <w:t>Ekonominėje analizėje pateiktas palyginamasis gydymas atitinka įprastą Lietuvos Respublikos klinikinę praktiką. Tačiau, kaip pažymima protokolo klinikinėje dalyje, pasirinktas palyginamasis gydymas analizėje nėra vienintelis galimas gydymas nagrinėjamai pacientų populiacijai. Pareiškėjas duomenų, apie dažniausiai taikomą chemoterapijos derinį, nepateikė.</w:t>
      </w:r>
    </w:p>
    <w:p w14:paraId="2F1C7E0A" w14:textId="77777777" w:rsidR="00EB0F75" w:rsidRPr="00F60F59" w:rsidRDefault="00EB0F75" w:rsidP="008C3CED">
      <w:pPr>
        <w:pStyle w:val="Protokolui"/>
        <w:spacing w:line="276" w:lineRule="auto"/>
      </w:pPr>
      <w:r w:rsidRPr="00F60F59">
        <w:t xml:space="preserve">Analizėje taikomas modeliavimas naudojant padalintos kohortos </w:t>
      </w:r>
      <w:proofErr w:type="spellStart"/>
      <w:r w:rsidRPr="00F60F59">
        <w:t>išgyvenamumo</w:t>
      </w:r>
      <w:proofErr w:type="spellEnd"/>
      <w:r w:rsidRPr="00F60F59">
        <w:t xml:space="preserve"> (angl. </w:t>
      </w:r>
      <w:proofErr w:type="spellStart"/>
      <w:r w:rsidRPr="00F60F59">
        <w:rPr>
          <w:i/>
        </w:rPr>
        <w:t>partitioned</w:t>
      </w:r>
      <w:proofErr w:type="spellEnd"/>
      <w:r w:rsidRPr="00F60F59">
        <w:rPr>
          <w:i/>
        </w:rPr>
        <w:t xml:space="preserve"> </w:t>
      </w:r>
      <w:proofErr w:type="spellStart"/>
      <w:r w:rsidRPr="00F60F59">
        <w:rPr>
          <w:i/>
        </w:rPr>
        <w:t>survival</w:t>
      </w:r>
      <w:proofErr w:type="spellEnd"/>
      <w:r w:rsidRPr="00F60F59">
        <w:rPr>
          <w:i/>
        </w:rPr>
        <w:t xml:space="preserve"> </w:t>
      </w:r>
      <w:proofErr w:type="spellStart"/>
      <w:r w:rsidRPr="00F60F59">
        <w:rPr>
          <w:i/>
        </w:rPr>
        <w:t>analysis</w:t>
      </w:r>
      <w:proofErr w:type="spellEnd"/>
      <w:r w:rsidRPr="00F60F59">
        <w:t xml:space="preserve">) modelio tipą. Modelio struktūra pateikiama 5 paveiksle. Modelį sudaro 3 sveikatos būklės: neprogresuojanti liga, progresuojanti liga ir mirtis. Pacientai modeliavimo pradžioje patenka į neprogresuojančios ligos būklę ir jiems taikoma rizika ligai progresuoti. Mirtis gali ištikti tiek esant neprogresuojančios ligos būklėje, tiek esant progresuojančios ligos būklėje. Mirtis yra absorbuojanti sveikatos būklė, iš jos nebėra pereinama į kitas sveikatos būkles. Pacientų dalis esanti neprogresuojančios ligos būklėje apskaičiuota remiantis </w:t>
      </w:r>
      <w:proofErr w:type="spellStart"/>
      <w:r w:rsidRPr="00F60F59">
        <w:t>išgyvenamumo</w:t>
      </w:r>
      <w:proofErr w:type="spellEnd"/>
      <w:r w:rsidRPr="00F60F59">
        <w:t xml:space="preserve"> be ligos progresavimo (IBLP) duomenimis. Pacientų dalis esanti progresuojančios ligos būklėje </w:t>
      </w:r>
      <w:r w:rsidRPr="00F60F59">
        <w:lastRenderedPageBreak/>
        <w:t xml:space="preserve">apskaičiuojama remiantis bendro </w:t>
      </w:r>
      <w:proofErr w:type="spellStart"/>
      <w:r w:rsidRPr="00F60F59">
        <w:t>išgyvenamumo</w:t>
      </w:r>
      <w:proofErr w:type="spellEnd"/>
      <w:r w:rsidRPr="00F60F59">
        <w:t xml:space="preserve"> (BI) ir IBLP duomenimis. Pacientų dalis mirties būklėje apskaičiuojama remiantis BI duomenimis. </w:t>
      </w:r>
    </w:p>
    <w:p w14:paraId="70B85601" w14:textId="3E017C7C" w:rsidR="00EB0F75" w:rsidRPr="00F60F59" w:rsidRDefault="00EB0F75" w:rsidP="008C3CED">
      <w:pPr>
        <w:pStyle w:val="Protokolui"/>
        <w:spacing w:line="276" w:lineRule="auto"/>
      </w:pPr>
      <w:r w:rsidRPr="00F60F59">
        <w:t xml:space="preserve">Modelio ciklą sudaro 30 d. Tai pakankamai trumpas periodas šiai ligai vertinti, taip pat atitinka </w:t>
      </w:r>
      <w:proofErr w:type="spellStart"/>
      <w:r w:rsidRPr="00F60F59">
        <w:t>lorlatinibo</w:t>
      </w:r>
      <w:proofErr w:type="spellEnd"/>
      <w:r w:rsidRPr="00F60F59">
        <w:t xml:space="preserve"> pakuotės dydį. Kaštams pirmos eilės vaistams netaikomas pusės ciklo koregavimas, daroma prielaida, kad jie bus skiriami kiekvieno naujo modelio ciklo pradžioje. Visiems kitiems kaštams taikoma pusės ciklo korekcija.</w:t>
      </w:r>
    </w:p>
    <w:p w14:paraId="688DABB3" w14:textId="07488683" w:rsidR="00EB0F75" w:rsidRPr="00F60F59" w:rsidRDefault="00EB0F75" w:rsidP="008C3CED">
      <w:pPr>
        <w:pStyle w:val="Protokolui"/>
        <w:spacing w:line="276" w:lineRule="auto"/>
        <w:rPr>
          <w:lang w:val="lt-LT" w:eastAsia="lt-LT"/>
        </w:rPr>
      </w:pPr>
      <w:proofErr w:type="spellStart"/>
      <w:r w:rsidRPr="00F60F59">
        <w:rPr>
          <w:lang w:val="en-US" w:eastAsia="lt-LT"/>
        </w:rPr>
        <w:t>Analiz</w:t>
      </w:r>
      <w:proofErr w:type="spellEnd"/>
      <w:r w:rsidRPr="00F60F59">
        <w:rPr>
          <w:lang w:eastAsia="lt-LT"/>
        </w:rPr>
        <w:t>ės modelio tipas yra laikomas pagrįstu. Modelyje šališkumas nėra jaučiamas.</w:t>
      </w:r>
      <w:r w:rsidRPr="00F60F59">
        <w:rPr>
          <w:lang w:val="lt-LT" w:eastAsia="lt-LT"/>
        </w:rPr>
        <w:t xml:space="preserve"> Modeliavimo pasirinkimas yra tinkamas įvertinti poveikį su sveikata susijusiai gyvenimo kokybei ir ligos progresavimo eigą ALK-teigiamu NSLPV sergantiems pacientams, tai atitinka vertinamąsias baigtis klinikiniame tyrime 1001.</w:t>
      </w:r>
    </w:p>
    <w:p w14:paraId="4B90F38E" w14:textId="77777777" w:rsidR="00EB0F75" w:rsidRPr="00F60F59" w:rsidRDefault="00EB0F75" w:rsidP="008C3CED">
      <w:pPr>
        <w:pStyle w:val="Protokolui"/>
        <w:spacing w:line="276" w:lineRule="auto"/>
      </w:pPr>
      <w:r w:rsidRPr="00F60F59">
        <w:t>Analizė atlikta iš PSDF biudžeto perspektyvos, įtraukti tiesiogiai su sveikatos sistema susiję kaštai. Tai atitinka teisės aktuose nustatytus paraiškos rengimo taisyklių reikalavimus.</w:t>
      </w:r>
    </w:p>
    <w:p w14:paraId="5BCCDF57" w14:textId="4340D6B1" w:rsidR="00EB0F75" w:rsidRPr="00F60F59" w:rsidRDefault="00EB0F75" w:rsidP="008C3CED">
      <w:pPr>
        <w:pStyle w:val="Protokolui"/>
        <w:spacing w:line="276" w:lineRule="auto"/>
      </w:pPr>
      <w:r w:rsidRPr="00F60F59">
        <w:rPr>
          <w:lang w:eastAsia="lt-LT"/>
        </w:rPr>
        <w:t xml:space="preserve">Analizėje taikoma 20 metų laiko perspektyva. Pasirinkta laiko perspektyva yra </w:t>
      </w:r>
      <w:r w:rsidRPr="00F60F59">
        <w:rPr>
          <w:iCs/>
          <w:lang w:eastAsia="lt-LT"/>
        </w:rPr>
        <w:t xml:space="preserve">tinkama atsižvelgiant į nedidelį šios pacientų grupės ilgalaikį </w:t>
      </w:r>
      <w:proofErr w:type="spellStart"/>
      <w:r w:rsidRPr="00F60F59">
        <w:rPr>
          <w:iCs/>
          <w:lang w:eastAsia="lt-LT"/>
        </w:rPr>
        <w:t>išgyvenamumą</w:t>
      </w:r>
      <w:proofErr w:type="spellEnd"/>
      <w:r w:rsidRPr="00F60F59">
        <w:rPr>
          <w:iCs/>
          <w:lang w:eastAsia="lt-LT"/>
        </w:rPr>
        <w:t>. P</w:t>
      </w:r>
      <w:r w:rsidRPr="00F60F59">
        <w:rPr>
          <w:lang w:eastAsia="lt-LT"/>
        </w:rPr>
        <w:t>asirinkta laiko perspektyva iš esmės apima visus su gydymu susijusius kaštus ir gydymo baigtis.</w:t>
      </w:r>
    </w:p>
    <w:p w14:paraId="528AE606" w14:textId="47EBC198" w:rsidR="00EB0F75" w:rsidRPr="00F60F59" w:rsidRDefault="00EB0F75" w:rsidP="008C3CED">
      <w:pPr>
        <w:pStyle w:val="Protokolui"/>
        <w:spacing w:line="276" w:lineRule="auto"/>
        <w:rPr>
          <w:lang w:val="lt-LT" w:eastAsia="lt-LT"/>
        </w:rPr>
      </w:pPr>
      <w:r w:rsidRPr="00F60F59">
        <w:rPr>
          <w:lang w:val="lt-LT" w:eastAsia="lt-LT"/>
        </w:rPr>
        <w:t xml:space="preserve">Klinikiniai įrodymai, naudojami ekonominio vertinimo dalyje, atitinka vertinimo protokolo 3.1 ir 3.2 skyriuose naudojamus </w:t>
      </w:r>
      <w:proofErr w:type="spellStart"/>
      <w:r w:rsidRPr="00F60F59">
        <w:rPr>
          <w:lang w:val="lt-LT" w:eastAsia="lt-LT"/>
        </w:rPr>
        <w:t>įrodymus</w:t>
      </w:r>
      <w:proofErr w:type="spellEnd"/>
      <w:r w:rsidRPr="00F60F59">
        <w:rPr>
          <w:lang w:val="lt-LT" w:eastAsia="lt-LT"/>
        </w:rPr>
        <w:t>.</w:t>
      </w:r>
      <w:r w:rsidR="0000303E" w:rsidRPr="00F60F59">
        <w:rPr>
          <w:lang w:val="lt-LT" w:eastAsia="lt-LT"/>
        </w:rPr>
        <w:t xml:space="preserve"> </w:t>
      </w:r>
      <w:r w:rsidRPr="00F60F59">
        <w:rPr>
          <w:lang w:val="lt-LT" w:eastAsia="lt-LT"/>
        </w:rPr>
        <w:t xml:space="preserve">Pacientų populiaciją šioje analizėje labiausiai atitinka pacientų EXP-3B:5 grupė iš tyrimo 1001, t. y. gydyti bent vienu, kitu nei </w:t>
      </w:r>
      <w:proofErr w:type="spellStart"/>
      <w:r w:rsidRPr="00F60F59">
        <w:rPr>
          <w:lang w:val="lt-LT" w:eastAsia="lt-LT"/>
        </w:rPr>
        <w:t>krizotinibas</w:t>
      </w:r>
      <w:proofErr w:type="spellEnd"/>
      <w:r w:rsidRPr="00F60F59">
        <w:rPr>
          <w:lang w:val="lt-LT" w:eastAsia="lt-LT"/>
        </w:rPr>
        <w:t xml:space="preserve">, ALK TKI. EXP-3B:5 grupėje buvo vertinti 139 pacientai. Atsižvelgiant į tai, kad klinikiniame tyrime nebuvo kontrolinės grupės pacientų, palyginamojo gydymo sukuriama nauda vertinama naudojant kitus šaltinius, rastus atliekant sisteminę literatūros apžvalgą. Šie šaltiniai yra ALUR, ASCEND-5 ir PROFILE 1001/1005 klinikiniai tyrimai. Siekiant atlikti palyginimą buvo taikomi </w:t>
      </w:r>
      <w:proofErr w:type="spellStart"/>
      <w:r w:rsidRPr="00F60F59">
        <w:rPr>
          <w:lang w:val="lt-LT" w:eastAsia="lt-LT"/>
        </w:rPr>
        <w:t>naïve</w:t>
      </w:r>
      <w:proofErr w:type="spellEnd"/>
      <w:r w:rsidRPr="00F60F59">
        <w:rPr>
          <w:lang w:val="lt-LT" w:eastAsia="lt-LT"/>
        </w:rPr>
        <w:t xml:space="preserve"> </w:t>
      </w:r>
      <w:proofErr w:type="spellStart"/>
      <w:r w:rsidRPr="00F60F59">
        <w:rPr>
          <w:lang w:val="lt-LT" w:eastAsia="lt-LT"/>
        </w:rPr>
        <w:t>and</w:t>
      </w:r>
      <w:proofErr w:type="spellEnd"/>
      <w:r w:rsidRPr="00F60F59">
        <w:rPr>
          <w:lang w:val="lt-LT" w:eastAsia="lt-LT"/>
        </w:rPr>
        <w:t xml:space="preserve"> MAIC netiesioginio palyginimo metodai.</w:t>
      </w:r>
    </w:p>
    <w:p w14:paraId="1A5D6905" w14:textId="77777777" w:rsidR="0000303E" w:rsidRPr="00F60F59" w:rsidRDefault="0000303E" w:rsidP="008C3CED">
      <w:pPr>
        <w:pStyle w:val="Protokolui"/>
        <w:spacing w:line="276" w:lineRule="auto"/>
        <w:rPr>
          <w:lang w:eastAsia="lt-LT"/>
        </w:rPr>
      </w:pPr>
      <w:r w:rsidRPr="00F60F59">
        <w:rPr>
          <w:lang w:eastAsia="lt-LT"/>
        </w:rPr>
        <w:t xml:space="preserve">Kadangi analizėje taikoma ilgesnė laiko perspektyva nei stebėjimo laikotarpis klinikiniuose tyrimuose, kurių rezultatai naudojami šioje analizėje, taikomi ekstrapoliacijos metodai. Atsižvelgiant į tai, kad pateikti klinikiniai įrodymai nepagrindžia </w:t>
      </w:r>
      <w:proofErr w:type="spellStart"/>
      <w:r w:rsidRPr="00F60F59">
        <w:rPr>
          <w:lang w:eastAsia="lt-LT"/>
        </w:rPr>
        <w:t>lorlatinibo</w:t>
      </w:r>
      <w:proofErr w:type="spellEnd"/>
      <w:r w:rsidRPr="00F60F59">
        <w:rPr>
          <w:lang w:eastAsia="lt-LT"/>
        </w:rPr>
        <w:t xml:space="preserve"> pranašumo prieš įprastą klinikinę praktiką (palyginamasis efektyvumas neįrodytas kaip didesnis, o klinikinis veiksmingumas yra įvertintas kaip nepagrindžiantis papildomos naudos pacientų sveikatai sukūrimo, lyginant su įprasta klinikine praktika), tolimesnės veiksmingumo prielaidos, grindžiamos šiais </w:t>
      </w:r>
      <w:proofErr w:type="spellStart"/>
      <w:r w:rsidRPr="00F60F59">
        <w:rPr>
          <w:lang w:eastAsia="lt-LT"/>
        </w:rPr>
        <w:t>įrodymais</w:t>
      </w:r>
      <w:proofErr w:type="spellEnd"/>
      <w:r w:rsidRPr="00F60F59">
        <w:rPr>
          <w:lang w:eastAsia="lt-LT"/>
        </w:rPr>
        <w:t>, yra netinkamos vertinti.</w:t>
      </w:r>
    </w:p>
    <w:p w14:paraId="70CF0D1F" w14:textId="0AD4A227" w:rsidR="0000303E" w:rsidRPr="00F60F59" w:rsidRDefault="0000303E" w:rsidP="008C3CED">
      <w:pPr>
        <w:pStyle w:val="Protokolui"/>
        <w:spacing w:line="276" w:lineRule="auto"/>
        <w:rPr>
          <w:lang w:eastAsia="lt-LT"/>
        </w:rPr>
      </w:pPr>
      <w:r w:rsidRPr="00F60F59">
        <w:rPr>
          <w:lang w:val="lt-LT" w:eastAsia="lt-LT"/>
        </w:rPr>
        <w:t xml:space="preserve">Sveikatos priežiūros paslaugų, vaistinių preparatų įsigijimo kaštai, nepageidaujamų reiškinių kaštai </w:t>
      </w:r>
      <w:proofErr w:type="spellStart"/>
      <w:r w:rsidRPr="00F60F59">
        <w:rPr>
          <w:lang w:val="lt-LT" w:eastAsia="lt-LT"/>
        </w:rPr>
        <w:t>apskaičuoti</w:t>
      </w:r>
      <w:proofErr w:type="spellEnd"/>
      <w:r w:rsidRPr="00F60F59">
        <w:rPr>
          <w:lang w:val="lt-LT" w:eastAsia="lt-LT"/>
        </w:rPr>
        <w:t xml:space="preserve"> iš esmės tinkamai. Egzistuoja tikslesnių duomenų apie sveikatos priežiūros paslaugų poreikį, trūkumas.</w:t>
      </w:r>
    </w:p>
    <w:p w14:paraId="5C9F92C9" w14:textId="77777777" w:rsidR="0000303E" w:rsidRPr="00F60F59" w:rsidRDefault="0000303E" w:rsidP="008C3CED">
      <w:pPr>
        <w:pStyle w:val="Protokolui"/>
        <w:spacing w:line="276" w:lineRule="auto"/>
        <w:rPr>
          <w:lang w:eastAsia="lt-LT"/>
        </w:rPr>
      </w:pPr>
    </w:p>
    <w:p w14:paraId="6F31F953" w14:textId="6B36E13B" w:rsidR="0000303E" w:rsidRPr="00F60F59" w:rsidRDefault="0000303E" w:rsidP="008C3CED">
      <w:pPr>
        <w:pStyle w:val="Protokolui"/>
        <w:spacing w:line="276" w:lineRule="auto"/>
        <w:rPr>
          <w:lang w:eastAsia="lt-LT"/>
        </w:rPr>
      </w:pPr>
    </w:p>
    <w:p w14:paraId="336B8CD8" w14:textId="0B3E9E1A" w:rsidR="0000303E" w:rsidRPr="00F60F59" w:rsidRDefault="0000303E" w:rsidP="008C3CED">
      <w:pPr>
        <w:pStyle w:val="Protokolui"/>
        <w:spacing w:line="276" w:lineRule="auto"/>
        <w:rPr>
          <w:b/>
          <w:bCs/>
          <w:lang w:val="lt-LT" w:eastAsia="lt-LT"/>
        </w:rPr>
      </w:pPr>
      <w:r w:rsidRPr="00F60F59">
        <w:rPr>
          <w:b/>
          <w:bCs/>
          <w:lang w:val="lt-LT" w:eastAsia="lt-LT"/>
        </w:rPr>
        <w:t>Pagrindiniai ekonominės analizės trūkumai:</w:t>
      </w:r>
    </w:p>
    <w:p w14:paraId="1EB37163" w14:textId="77777777" w:rsidR="0000303E" w:rsidRPr="00F60F59" w:rsidRDefault="0000303E" w:rsidP="008C3CED">
      <w:pPr>
        <w:pStyle w:val="Protokolui"/>
        <w:spacing w:line="276" w:lineRule="auto"/>
        <w:rPr>
          <w:b/>
          <w:bCs/>
          <w:lang w:val="lt-LT" w:eastAsia="lt-LT"/>
        </w:rPr>
      </w:pPr>
    </w:p>
    <w:p w14:paraId="6F91558A" w14:textId="3DCDB80D" w:rsidR="0000303E" w:rsidRPr="00F60F59" w:rsidRDefault="0000303E" w:rsidP="008C3CED">
      <w:pPr>
        <w:pStyle w:val="Protokolui"/>
        <w:numPr>
          <w:ilvl w:val="0"/>
          <w:numId w:val="13"/>
        </w:numPr>
        <w:spacing w:line="276" w:lineRule="auto"/>
        <w:rPr>
          <w:lang w:eastAsia="lt-LT"/>
        </w:rPr>
      </w:pPr>
      <w:r w:rsidRPr="00F60F59">
        <w:rPr>
          <w:lang w:eastAsia="lt-LT"/>
        </w:rPr>
        <w:t xml:space="preserve">Esminis šios ekonominės analizės trūkumas yra patikimų klinikinių duomenų, kuriais grindžiama visa ekonominė analizė, stoka. Trūksta tiesioginių palyginamųjų duomenų kadangi pagrindinis klinikinis tyrimas, kuris grindžia </w:t>
      </w:r>
      <w:proofErr w:type="spellStart"/>
      <w:r w:rsidRPr="00F60F59">
        <w:rPr>
          <w:lang w:eastAsia="lt-LT"/>
        </w:rPr>
        <w:t>lorlatinibo</w:t>
      </w:r>
      <w:proofErr w:type="spellEnd"/>
      <w:r w:rsidRPr="00F60F59">
        <w:rPr>
          <w:lang w:eastAsia="lt-LT"/>
        </w:rPr>
        <w:t xml:space="preserve"> efektyvumą, buvo atviras, vienos gydymo šakos. Analizėje taikomas netiesioginis palyginimas ir palyginamojo gydymo nauda vertinama naudojant klinikinių tyrimų ALUR ir ASCEND-5 IBLP duomenis ir klinikinio tyrimo PROFILE 1001/1005 BI duomenis. Pabrėžtina, kad toks palyginimas yra neapibrėžtas dėl populiacijos skirtumų lyginant su klinikinio tyrimo 1001 populiacija – skiriasi prieš tai taikytas gydymas (pvz., kai kuriuose tyrimuose, kuriais yra remiamas palyginamojo gydymo PDC efektyvumas, pacientai iki tyrimo pradžios buvo gydyti PDC </w:t>
      </w:r>
      <w:r w:rsidRPr="00F60F59">
        <w:rPr>
          <w:lang w:eastAsia="lt-LT"/>
        </w:rPr>
        <w:lastRenderedPageBreak/>
        <w:t xml:space="preserve">terapija. Taip pat minėtuose klinikiniuose tyrimuose palyginamosios tyrimo šakos buvo </w:t>
      </w:r>
      <w:proofErr w:type="spellStart"/>
      <w:r w:rsidRPr="00F60F59">
        <w:rPr>
          <w:lang w:eastAsia="lt-LT"/>
        </w:rPr>
        <w:t>pemetreksedo</w:t>
      </w:r>
      <w:proofErr w:type="spellEnd"/>
      <w:r w:rsidRPr="00F60F59">
        <w:rPr>
          <w:lang w:eastAsia="lt-LT"/>
        </w:rPr>
        <w:t xml:space="preserve"> ar </w:t>
      </w:r>
      <w:proofErr w:type="spellStart"/>
      <w:r w:rsidRPr="00F60F59">
        <w:rPr>
          <w:lang w:eastAsia="lt-LT"/>
        </w:rPr>
        <w:t>docetakselio</w:t>
      </w:r>
      <w:proofErr w:type="spellEnd"/>
      <w:r w:rsidRPr="00F60F59">
        <w:rPr>
          <w:lang w:eastAsia="lt-LT"/>
        </w:rPr>
        <w:t xml:space="preserve"> </w:t>
      </w:r>
      <w:proofErr w:type="spellStart"/>
      <w:r w:rsidRPr="00F60F59">
        <w:rPr>
          <w:lang w:eastAsia="lt-LT"/>
        </w:rPr>
        <w:t>monoterapija</w:t>
      </w:r>
      <w:proofErr w:type="spellEnd"/>
      <w:r w:rsidRPr="00F60F59">
        <w:rPr>
          <w:lang w:eastAsia="lt-LT"/>
        </w:rPr>
        <w:t xml:space="preserve">, o ne PDC.  Dėl šios priežasties palyginamojo gydymo sukuriama nauda yra neapibrėžta ir Tarnyba iš pateiktų duomenų negali įvertinti </w:t>
      </w:r>
      <w:proofErr w:type="spellStart"/>
      <w:r w:rsidRPr="00F60F59">
        <w:rPr>
          <w:lang w:eastAsia="lt-LT"/>
        </w:rPr>
        <w:t>lorlatinibo</w:t>
      </w:r>
      <w:proofErr w:type="spellEnd"/>
      <w:r w:rsidRPr="00F60F59">
        <w:rPr>
          <w:lang w:eastAsia="lt-LT"/>
        </w:rPr>
        <w:t xml:space="preserve"> </w:t>
      </w:r>
      <w:proofErr w:type="spellStart"/>
      <w:r w:rsidRPr="00F60F59">
        <w:rPr>
          <w:lang w:eastAsia="lt-LT"/>
        </w:rPr>
        <w:t>inkrementinės</w:t>
      </w:r>
      <w:proofErr w:type="spellEnd"/>
      <w:r w:rsidRPr="00F60F59">
        <w:rPr>
          <w:lang w:eastAsia="lt-LT"/>
        </w:rPr>
        <w:t xml:space="preserve"> kaštų naudingumo vertės. Tai yra esminė šios </w:t>
      </w:r>
      <w:proofErr w:type="spellStart"/>
      <w:r w:rsidRPr="00F60F59">
        <w:rPr>
          <w:lang w:eastAsia="lt-LT"/>
        </w:rPr>
        <w:t>farmakoekonominės</w:t>
      </w:r>
      <w:proofErr w:type="spellEnd"/>
      <w:r w:rsidRPr="00F60F59">
        <w:rPr>
          <w:lang w:eastAsia="lt-LT"/>
        </w:rPr>
        <w:t xml:space="preserve"> analizės problema. </w:t>
      </w:r>
    </w:p>
    <w:p w14:paraId="425AB234" w14:textId="26E33F5F" w:rsidR="0000303E" w:rsidRPr="00F60F59" w:rsidRDefault="0000303E" w:rsidP="008C3CED">
      <w:pPr>
        <w:pStyle w:val="Protokolui"/>
        <w:numPr>
          <w:ilvl w:val="0"/>
          <w:numId w:val="13"/>
        </w:numPr>
        <w:spacing w:line="276" w:lineRule="auto"/>
        <w:rPr>
          <w:lang w:val="lt-LT" w:eastAsia="lt-LT"/>
        </w:rPr>
      </w:pPr>
      <w:r w:rsidRPr="00F60F59">
        <w:rPr>
          <w:lang w:val="lt-LT" w:eastAsia="lt-LT"/>
        </w:rPr>
        <w:t>Gyvenimo kokybės įverčiai buvo gauti taikant netiesioginį palyginimą. Tyrimų, naudotų netiesioginiam palyginimui, populiacijos šiek tiek skyrėsi, todėl gyvenimo kokybės įverčiai laikomi neapibrėžtais.</w:t>
      </w:r>
    </w:p>
    <w:p w14:paraId="7702F5FA" w14:textId="1A8E8C10" w:rsidR="0000303E" w:rsidRPr="00F60F59" w:rsidRDefault="0000303E" w:rsidP="008C3CED">
      <w:pPr>
        <w:pStyle w:val="Protokolui"/>
        <w:numPr>
          <w:ilvl w:val="0"/>
          <w:numId w:val="13"/>
        </w:numPr>
        <w:spacing w:line="276" w:lineRule="auto"/>
        <w:rPr>
          <w:lang w:val="lt-LT" w:eastAsia="lt-LT"/>
        </w:rPr>
      </w:pPr>
      <w:r w:rsidRPr="00F60F59">
        <w:rPr>
          <w:lang w:val="lt-LT" w:eastAsia="lt-LT"/>
        </w:rPr>
        <w:t>Tarnybos vertinimu, sekančių eilių gydymo prielaidos yra neapibrėžtos dėl duomenų trūkumo ir tai gali turėti gana reikšmingą įtaką analizės rezultatams.</w:t>
      </w:r>
    </w:p>
    <w:p w14:paraId="5F98979B" w14:textId="77777777" w:rsidR="0000303E" w:rsidRPr="00F60F59" w:rsidRDefault="0000303E" w:rsidP="008C3CED">
      <w:pPr>
        <w:pStyle w:val="Protokolui"/>
        <w:spacing w:line="276" w:lineRule="auto"/>
        <w:ind w:firstLine="0"/>
        <w:rPr>
          <w:lang w:eastAsia="lt-LT"/>
        </w:rPr>
      </w:pPr>
    </w:p>
    <w:p w14:paraId="554DB857" w14:textId="5E9C9948" w:rsidR="0000303E" w:rsidRPr="00F60F59" w:rsidRDefault="0000303E" w:rsidP="008C3CED">
      <w:pPr>
        <w:pStyle w:val="Protokolui"/>
        <w:spacing w:line="276" w:lineRule="auto"/>
        <w:rPr>
          <w:rFonts w:eastAsia="Arial"/>
          <w:lang w:val="lt-LT"/>
        </w:rPr>
      </w:pPr>
      <w:r w:rsidRPr="00F60F59">
        <w:rPr>
          <w:lang w:val="lt-LT" w:eastAsia="lt-LT"/>
        </w:rPr>
        <w:t xml:space="preserve">Remiantis tuo, kas išdėstyta pirmiau, bei tuo, kad šios rekomendacijos klinikinės dalies vertinime pažymima, kad </w:t>
      </w:r>
      <w:r w:rsidRPr="00F60F59">
        <w:rPr>
          <w:rFonts w:eastAsia="Arial"/>
        </w:rPr>
        <w:t xml:space="preserve">pateikti klinikiniai įrodymai nepragrindžia </w:t>
      </w:r>
      <w:proofErr w:type="spellStart"/>
      <w:r w:rsidRPr="00F60F59">
        <w:rPr>
          <w:rFonts w:eastAsia="Arial"/>
        </w:rPr>
        <w:t>lorlatinibo</w:t>
      </w:r>
      <w:proofErr w:type="spellEnd"/>
      <w:r w:rsidRPr="00F60F59">
        <w:rPr>
          <w:rFonts w:eastAsia="Arial"/>
        </w:rPr>
        <w:t xml:space="preserve"> pranašumo prieš įprastą klinikinę praktiką </w:t>
      </w:r>
      <w:r w:rsidRPr="00F60F59">
        <w:rPr>
          <w:rFonts w:eastAsia="Arial"/>
          <w:lang w:val="lt-LT"/>
        </w:rPr>
        <w:t>(</w:t>
      </w:r>
      <w:r w:rsidRPr="00F60F59">
        <w:rPr>
          <w:rFonts w:eastAsia="Arial"/>
        </w:rPr>
        <w:t>palyginamasis efektyvumas neįrodytas kaip didesnis, o klinikinis veiksmingumas yra įvertintas kaip nepagrindžiantis papildomos naudos pacientų sveikatai sukūrimo, lyginant su įprasta klinikine praktika</w:t>
      </w:r>
      <w:r w:rsidRPr="00F60F59">
        <w:rPr>
          <w:rFonts w:eastAsia="Arial"/>
          <w:lang w:val="lt-LT"/>
        </w:rPr>
        <w:t xml:space="preserve">), </w:t>
      </w:r>
      <w:r w:rsidRPr="00F60F59">
        <w:rPr>
          <w:rFonts w:eastAsia="Arial"/>
        </w:rPr>
        <w:t>ekonominės analizės rezultatų pateikimas</w:t>
      </w:r>
      <w:r w:rsidRPr="00F60F59">
        <w:rPr>
          <w:rFonts w:eastAsia="Arial"/>
          <w:lang w:val="lt-LT"/>
        </w:rPr>
        <w:t xml:space="preserve"> yra </w:t>
      </w:r>
      <w:r w:rsidRPr="00F60F59">
        <w:rPr>
          <w:rFonts w:eastAsia="Arial"/>
        </w:rPr>
        <w:t>netikslingas</w:t>
      </w:r>
      <w:r w:rsidRPr="00F60F59">
        <w:rPr>
          <w:rFonts w:eastAsia="Arial"/>
          <w:lang w:val="lt-LT"/>
        </w:rPr>
        <w:t xml:space="preserve"> ir </w:t>
      </w:r>
      <w:r w:rsidRPr="00F60F59">
        <w:rPr>
          <w:rFonts w:eastAsia="Arial"/>
        </w:rPr>
        <w:t xml:space="preserve">ekonominės analizės </w:t>
      </w:r>
      <w:proofErr w:type="spellStart"/>
      <w:r w:rsidRPr="00F60F59">
        <w:rPr>
          <w:rFonts w:eastAsia="Arial"/>
        </w:rPr>
        <w:t>rezult</w:t>
      </w:r>
      <w:r w:rsidRPr="00F60F59">
        <w:rPr>
          <w:rFonts w:eastAsia="Arial"/>
          <w:lang w:val="lt-LT"/>
        </w:rPr>
        <w:t>at</w:t>
      </w:r>
      <w:proofErr w:type="spellEnd"/>
      <w:r w:rsidRPr="00F60F59">
        <w:rPr>
          <w:rFonts w:eastAsia="Arial"/>
        </w:rPr>
        <w:t>a</w:t>
      </w:r>
      <w:r w:rsidRPr="00F60F59">
        <w:rPr>
          <w:rFonts w:eastAsia="Arial"/>
          <w:lang w:val="lt-LT"/>
        </w:rPr>
        <w:t xml:space="preserve">i Tarnybos nebuvo perskaičiuojami. </w:t>
      </w:r>
    </w:p>
    <w:p w14:paraId="38B15A44" w14:textId="77777777" w:rsidR="008C3CED" w:rsidRPr="00F60F59" w:rsidRDefault="008C3CED" w:rsidP="008C3CED">
      <w:pPr>
        <w:pStyle w:val="Protokolui"/>
        <w:spacing w:line="276" w:lineRule="auto"/>
        <w:rPr>
          <w:rFonts w:eastAsia="Arial"/>
          <w:lang w:val="lt-LT"/>
        </w:rPr>
      </w:pPr>
    </w:p>
    <w:p w14:paraId="4FC424F9" w14:textId="4E767245" w:rsidR="00C62B36" w:rsidRPr="00F60F59" w:rsidRDefault="00C62B36" w:rsidP="008C3CED">
      <w:pPr>
        <w:pStyle w:val="ListParagraph"/>
        <w:numPr>
          <w:ilvl w:val="0"/>
          <w:numId w:val="12"/>
        </w:numPr>
        <w:tabs>
          <w:tab w:val="left" w:pos="567"/>
        </w:tabs>
        <w:spacing w:line="276" w:lineRule="auto"/>
        <w:ind w:hanging="720"/>
        <w:rPr>
          <w:b/>
          <w:bCs/>
          <w:caps/>
        </w:rPr>
      </w:pPr>
      <w:r w:rsidRPr="00F60F59">
        <w:rPr>
          <w:b/>
          <w:bCs/>
          <w:caps/>
        </w:rPr>
        <w:t xml:space="preserve">Pacientų organizacijų pateikti duomenys </w:t>
      </w:r>
    </w:p>
    <w:p w14:paraId="79BCFF40" w14:textId="1992DF4A" w:rsidR="00937907" w:rsidRPr="00F60F59" w:rsidRDefault="005B49ED" w:rsidP="008C3CED">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F60F59">
            <w:rPr>
              <w:rStyle w:val="Style2"/>
              <w:rFonts w:ascii="MS Gothic" w:eastAsia="MS Gothic" w:hAnsi="MS Gothic" w:hint="eastAsia"/>
              <w:sz w:val="24"/>
            </w:rPr>
            <w:t>☐</w:t>
          </w:r>
        </w:sdtContent>
      </w:sdt>
      <w:r w:rsidR="00937907" w:rsidRPr="00F60F59">
        <w:t xml:space="preserve"> Pacientų organizacijos pozicija pateikta. Žr. priedą.</w:t>
      </w:r>
    </w:p>
    <w:p w14:paraId="62992180" w14:textId="6CE164AD" w:rsidR="00937907" w:rsidRPr="00F60F59" w:rsidRDefault="005B49ED" w:rsidP="008C3CED">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00303E" w:rsidRPr="00F60F59">
            <w:rPr>
              <w:rStyle w:val="Style2"/>
              <w:rFonts w:ascii="MS Gothic" w:eastAsia="MS Gothic" w:hAnsi="MS Gothic" w:hint="eastAsia"/>
              <w:sz w:val="24"/>
            </w:rPr>
            <w:t>☒</w:t>
          </w:r>
        </w:sdtContent>
      </w:sdt>
      <w:r w:rsidR="00937907" w:rsidRPr="00F60F59">
        <w:t xml:space="preserve"> Pacientų organizacijos pozicija </w:t>
      </w:r>
      <w:r w:rsidR="00880A44" w:rsidRPr="00F60F59">
        <w:t>ne</w:t>
      </w:r>
      <w:r w:rsidR="00937907" w:rsidRPr="00F60F59">
        <w:t>pateikta.</w:t>
      </w:r>
    </w:p>
    <w:p w14:paraId="03E73D82" w14:textId="77777777" w:rsidR="00D417D2" w:rsidRPr="00F60F59" w:rsidRDefault="00D417D2" w:rsidP="008C3CED">
      <w:pPr>
        <w:spacing w:after="120" w:line="276" w:lineRule="auto"/>
        <w:jc w:val="both"/>
      </w:pPr>
    </w:p>
    <w:p w14:paraId="3D3277FA" w14:textId="3CEEB2D2" w:rsidR="00C62B36" w:rsidRPr="00F60F59" w:rsidRDefault="00C62B36" w:rsidP="008C3CED">
      <w:pPr>
        <w:pStyle w:val="ListParagraph"/>
        <w:numPr>
          <w:ilvl w:val="0"/>
          <w:numId w:val="12"/>
        </w:numPr>
        <w:tabs>
          <w:tab w:val="left" w:pos="567"/>
        </w:tabs>
        <w:spacing w:line="276" w:lineRule="auto"/>
        <w:ind w:hanging="720"/>
        <w:rPr>
          <w:b/>
          <w:bCs/>
          <w:caps/>
        </w:rPr>
      </w:pPr>
      <w:r w:rsidRPr="00F60F59">
        <w:rPr>
          <w:b/>
          <w:bCs/>
          <w:caps/>
        </w:rPr>
        <w:t>Gydytojų organizacijų pateikti duomenys</w:t>
      </w:r>
    </w:p>
    <w:p w14:paraId="389A346C" w14:textId="17184B64" w:rsidR="00937907" w:rsidRPr="00F60F59" w:rsidRDefault="005B49ED" w:rsidP="008C3CED">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F60F59">
            <w:rPr>
              <w:rStyle w:val="Style2"/>
              <w:rFonts w:ascii="MS Gothic" w:eastAsia="MS Gothic" w:hAnsi="MS Gothic" w:hint="eastAsia"/>
              <w:sz w:val="24"/>
            </w:rPr>
            <w:t>☐</w:t>
          </w:r>
        </w:sdtContent>
      </w:sdt>
      <w:r w:rsidR="00662983" w:rsidRPr="00F60F59">
        <w:t xml:space="preserve"> </w:t>
      </w:r>
      <w:r w:rsidR="00937907" w:rsidRPr="00F60F59">
        <w:t xml:space="preserve">Gydytojų specialistų organizacijos pozicija pateikta. </w:t>
      </w:r>
      <w:r w:rsidR="00662983" w:rsidRPr="00F60F59">
        <w:t>Žr. priedą</w:t>
      </w:r>
      <w:r w:rsidR="00937907" w:rsidRPr="00F60F59">
        <w:t>.</w:t>
      </w:r>
    </w:p>
    <w:p w14:paraId="5D8CC48C" w14:textId="3BBFA8FD" w:rsidR="00662983" w:rsidRPr="00F60F59" w:rsidRDefault="005B49ED" w:rsidP="008C3CED">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00303E" w:rsidRPr="00F60F59">
            <w:rPr>
              <w:rStyle w:val="Style2"/>
              <w:rFonts w:ascii="MS Gothic" w:eastAsia="MS Gothic" w:hAnsi="MS Gothic" w:hint="eastAsia"/>
              <w:sz w:val="24"/>
            </w:rPr>
            <w:t>☒</w:t>
          </w:r>
        </w:sdtContent>
      </w:sdt>
      <w:r w:rsidR="00662983" w:rsidRPr="00F60F59">
        <w:t xml:space="preserve"> </w:t>
      </w:r>
      <w:r w:rsidR="00937907" w:rsidRPr="00F60F59">
        <w:t xml:space="preserve">Gydytojų specialistų organizacijos pozicija </w:t>
      </w:r>
      <w:r w:rsidR="00880A44" w:rsidRPr="00F60F59">
        <w:t>ne</w:t>
      </w:r>
      <w:r w:rsidR="00937907" w:rsidRPr="00F60F59">
        <w:t>pateikta.</w:t>
      </w:r>
    </w:p>
    <w:p w14:paraId="3701D46A" w14:textId="77777777" w:rsidR="00A042B9" w:rsidRPr="00F60F59" w:rsidRDefault="00A042B9" w:rsidP="008C3CED">
      <w:pPr>
        <w:spacing w:after="120" w:line="276" w:lineRule="auto"/>
        <w:jc w:val="both"/>
      </w:pPr>
    </w:p>
    <w:p w14:paraId="78F23ECB" w14:textId="23A3A002" w:rsidR="002F0E4F" w:rsidRPr="00F60F59" w:rsidRDefault="002F0E4F" w:rsidP="008C3CED">
      <w:pPr>
        <w:pStyle w:val="ListParagraph"/>
        <w:numPr>
          <w:ilvl w:val="0"/>
          <w:numId w:val="12"/>
        </w:numPr>
        <w:tabs>
          <w:tab w:val="left" w:pos="567"/>
        </w:tabs>
        <w:spacing w:line="276" w:lineRule="auto"/>
        <w:ind w:hanging="720"/>
        <w:rPr>
          <w:b/>
          <w:bCs/>
          <w:caps/>
        </w:rPr>
      </w:pPr>
      <w:r w:rsidRPr="00F60F59">
        <w:rPr>
          <w:b/>
          <w:bCs/>
          <w:caps/>
        </w:rPr>
        <w:t xml:space="preserve">Išvada </w:t>
      </w:r>
    </w:p>
    <w:p w14:paraId="08D5B3B6" w14:textId="42C2D02C" w:rsidR="0061611B" w:rsidRPr="00F60F59" w:rsidRDefault="0061611B" w:rsidP="008C3CED">
      <w:pPr>
        <w:spacing w:line="276" w:lineRule="auto"/>
        <w:rPr>
          <w:i/>
          <w:szCs w:val="22"/>
        </w:rPr>
      </w:pPr>
    </w:p>
    <w:tbl>
      <w:tblPr>
        <w:tblStyle w:val="TableGrid"/>
        <w:tblW w:w="0" w:type="auto"/>
        <w:tblLook w:val="04A0" w:firstRow="1" w:lastRow="0" w:firstColumn="1" w:lastColumn="0" w:noHBand="0" w:noVBand="1"/>
      </w:tblPr>
      <w:tblGrid>
        <w:gridCol w:w="4815"/>
        <w:gridCol w:w="4814"/>
      </w:tblGrid>
      <w:tr w:rsidR="00F60F59" w:rsidRPr="00F60F59" w14:paraId="25A2473E" w14:textId="77777777" w:rsidTr="00C16245">
        <w:trPr>
          <w:trHeight w:val="510"/>
        </w:trPr>
        <w:tc>
          <w:tcPr>
            <w:tcW w:w="4815" w:type="dxa"/>
            <w:vAlign w:val="center"/>
          </w:tcPr>
          <w:p w14:paraId="7EFE6941" w14:textId="23B8BB6D" w:rsidR="00B13D65"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F60F59">
              <w:rPr>
                <w:rStyle w:val="Style2"/>
                <w:rFonts w:eastAsia="MS Gothic"/>
                <w:b/>
                <w:bCs/>
                <w:sz w:val="24"/>
              </w:rPr>
              <w:t>Rekomenduojama kompensuoti</w:t>
            </w:r>
          </w:p>
        </w:tc>
        <w:tc>
          <w:tcPr>
            <w:tcW w:w="4814" w:type="dxa"/>
            <w:vAlign w:val="center"/>
          </w:tcPr>
          <w:p w14:paraId="330A1A5E" w14:textId="19247DC1" w:rsidR="00B13D65"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F60F59">
              <w:rPr>
                <w:rStyle w:val="Style2"/>
                <w:rFonts w:eastAsia="MS Gothic"/>
                <w:b/>
                <w:bCs/>
                <w:sz w:val="24"/>
              </w:rPr>
              <w:t xml:space="preserve">Rekomenduojama nekompensuoti </w:t>
            </w:r>
          </w:p>
        </w:tc>
      </w:tr>
      <w:tr w:rsidR="00F60F59" w:rsidRPr="00F60F59" w14:paraId="143A7356" w14:textId="77777777" w:rsidTr="00C16245">
        <w:trPr>
          <w:trHeight w:val="510"/>
        </w:trPr>
        <w:tc>
          <w:tcPr>
            <w:tcW w:w="9629" w:type="dxa"/>
            <w:gridSpan w:val="2"/>
            <w:vAlign w:val="center"/>
          </w:tcPr>
          <w:p w14:paraId="0AF5D6B4" w14:textId="6D8B6C59"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60F59">
              <w:rPr>
                <w:rStyle w:val="Style2"/>
                <w:rFonts w:eastAsia="MS Gothic"/>
                <w:b/>
                <w:bCs/>
                <w:sz w:val="24"/>
              </w:rPr>
              <w:t>Palyginamasis efektyvumas</w:t>
            </w:r>
          </w:p>
        </w:tc>
      </w:tr>
      <w:tr w:rsidR="00F60F59" w:rsidRPr="00F60F59" w14:paraId="28A0C814" w14:textId="77777777" w:rsidTr="0061611B">
        <w:tc>
          <w:tcPr>
            <w:tcW w:w="4815" w:type="dxa"/>
          </w:tcPr>
          <w:p w14:paraId="216769B5" w14:textId="6CF34C9B" w:rsidR="00B13D65"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32.1. yra didesnis</w:t>
            </w:r>
          </w:p>
          <w:p w14:paraId="3B48F372" w14:textId="77777777" w:rsidR="00662983" w:rsidRPr="00F60F59" w:rsidRDefault="00662983"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5CE5263E" w:rsidR="00B13D65"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32.1. iš esmės nesiskiria</w:t>
            </w:r>
          </w:p>
        </w:tc>
        <w:tc>
          <w:tcPr>
            <w:tcW w:w="4814" w:type="dxa"/>
          </w:tcPr>
          <w:p w14:paraId="507828D9" w14:textId="26B80CE5" w:rsidR="00B13D65"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33.1. yra mažesnis</w:t>
            </w:r>
          </w:p>
          <w:p w14:paraId="7DD363F6" w14:textId="77777777" w:rsidR="00BA278D" w:rsidRPr="00F60F59" w:rsidRDefault="00BA278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US"/>
              </w:rPr>
            </w:pPr>
          </w:p>
          <w:p w14:paraId="680682B8" w14:textId="329E7A4C" w:rsidR="00662983"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33.1. yra neįrodytas kaip toks pat</w:t>
            </w:r>
          </w:p>
          <w:p w14:paraId="35205E85" w14:textId="77777777" w:rsidR="00662983" w:rsidRPr="00F60F59" w:rsidRDefault="00662983"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617F68D1" w:rsidR="00B13D65"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8C3CED" w:rsidRPr="00F60F59">
                  <w:rPr>
                    <w:rStyle w:val="Style2"/>
                    <w:rFonts w:ascii="MS Gothic" w:eastAsia="MS Gothic" w:hAnsi="MS Gothic" w:hint="eastAsia"/>
                    <w:sz w:val="24"/>
                  </w:rPr>
                  <w:t>☐</w:t>
                </w:r>
              </w:sdtContent>
            </w:sdt>
            <w:r w:rsidR="00662983" w:rsidRPr="00F60F59">
              <w:t xml:space="preserve"> 33.1 </w:t>
            </w:r>
            <w:r w:rsidR="00B00959" w:rsidRPr="00F60F59">
              <w:t xml:space="preserve">yra </w:t>
            </w:r>
            <w:r w:rsidR="00B13D65" w:rsidRPr="00F60F59">
              <w:t>neįrodytas kaip didesnis</w:t>
            </w:r>
          </w:p>
          <w:p w14:paraId="512E653B" w14:textId="77777777" w:rsidR="00662983" w:rsidRPr="00F60F59" w:rsidRDefault="00662983"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512D4707" w:rsidR="00B13D65" w:rsidRPr="00F60F59" w:rsidRDefault="005B49ED"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1"/>
                  <w14:checkedState w14:val="2612" w14:font="MS Gothic"/>
                  <w14:uncheckedState w14:val="2610" w14:font="MS Gothic"/>
                </w14:checkbox>
              </w:sdtPr>
              <w:sdtEndPr>
                <w:rPr>
                  <w:rStyle w:val="Style2"/>
                </w:rPr>
              </w:sdtEndPr>
              <w:sdtContent>
                <w:r w:rsidR="008C3CED" w:rsidRPr="00F60F59">
                  <w:rPr>
                    <w:rStyle w:val="Style2"/>
                    <w:rFonts w:ascii="MS Gothic" w:eastAsia="MS Gothic" w:hAnsi="MS Gothic" w:hint="eastAsia"/>
                    <w:sz w:val="24"/>
                  </w:rPr>
                  <w:t>☒</w:t>
                </w:r>
              </w:sdtContent>
            </w:sdt>
            <w:r w:rsidR="00B13D65" w:rsidRPr="00F60F59">
              <w:t xml:space="preserve"> 33.1. pateikti duomenys apie palyginamąjį efektyvumą yra netinkami vertinti</w:t>
            </w:r>
          </w:p>
          <w:p w14:paraId="5DDAA961" w14:textId="77777777" w:rsidR="00B13D65" w:rsidRPr="00F60F59" w:rsidRDefault="00B13D65" w:rsidP="006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F60F59" w:rsidRPr="00F60F59" w14:paraId="161CC3FE" w14:textId="77777777" w:rsidTr="00C16245">
        <w:trPr>
          <w:trHeight w:val="510"/>
        </w:trPr>
        <w:tc>
          <w:tcPr>
            <w:tcW w:w="9629" w:type="dxa"/>
            <w:gridSpan w:val="2"/>
            <w:vAlign w:val="center"/>
          </w:tcPr>
          <w:p w14:paraId="1AB46894" w14:textId="3E765638"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60F59">
              <w:rPr>
                <w:rStyle w:val="Style2"/>
                <w:rFonts w:eastAsia="MS Gothic"/>
                <w:b/>
                <w:bCs/>
                <w:sz w:val="24"/>
              </w:rPr>
              <w:t>Klinikinis veiksmingumas</w:t>
            </w:r>
          </w:p>
        </w:tc>
      </w:tr>
      <w:tr w:rsidR="00F60F59" w:rsidRPr="00F60F59" w14:paraId="3C60570A" w14:textId="77777777" w:rsidTr="0061611B">
        <w:tc>
          <w:tcPr>
            <w:tcW w:w="4815" w:type="dxa"/>
          </w:tcPr>
          <w:p w14:paraId="6897B306" w14:textId="70C15EA4"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32.2. yra įvertintas kaip pagrindžiantis papildomos naudos pacientų sveikatai sukūrimą, lyginant su įprasta klinikine praktika</w:t>
            </w:r>
          </w:p>
          <w:p w14:paraId="71D57105" w14:textId="77777777" w:rsidR="00662983"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5C0FE0B2"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32.2. </w:t>
            </w:r>
            <w:r w:rsidR="00B00959" w:rsidRPr="00F60F59">
              <w:t xml:space="preserve">yra </w:t>
            </w:r>
            <w:r w:rsidR="00B13D65" w:rsidRPr="00F60F59">
              <w:t>įvertintas kaip pagrindžiantis nesiskiriančios naudos pacientų sveikatai sukūrimą, lyginant su įprasta klinikine praktika</w:t>
            </w:r>
          </w:p>
          <w:p w14:paraId="287AD233" w14:textId="77777777"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74A2DECF" w14:textId="56363785" w:rsidR="00662983" w:rsidRPr="00F60F59" w:rsidRDefault="005B49ED" w:rsidP="008C3CED">
            <w:pPr>
              <w:spacing w:line="276" w:lineRule="auto"/>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BA278D" w:rsidRPr="00F60F59">
                  <w:rPr>
                    <w:rStyle w:val="Style2"/>
                    <w:rFonts w:ascii="MS Gothic" w:eastAsia="MS Gothic" w:hAnsi="MS Gothic" w:hint="eastAsia"/>
                    <w:sz w:val="24"/>
                  </w:rPr>
                  <w:t>☒</w:t>
                </w:r>
              </w:sdtContent>
            </w:sdt>
            <w:r w:rsidR="00B13D65" w:rsidRPr="00F60F59">
              <w:t xml:space="preserve"> 33.1. yra įvertintas kaip nepagrindžiantis papildomos </w:t>
            </w:r>
            <w:r w:rsidR="00662983" w:rsidRPr="00F60F59">
              <w:t>naudos pacientų sveikatai sukūrimo, lyginant su  įprasta klinikine praktika</w:t>
            </w:r>
          </w:p>
          <w:p w14:paraId="6C70BCFC" w14:textId="77777777" w:rsidR="00662983" w:rsidRPr="00F60F59" w:rsidRDefault="00662983" w:rsidP="008C3CED">
            <w:pPr>
              <w:spacing w:line="276" w:lineRule="auto"/>
              <w:jc w:val="both"/>
            </w:pPr>
          </w:p>
          <w:p w14:paraId="0ADEC30D" w14:textId="1353964F" w:rsidR="00B13D65" w:rsidRPr="00F60F59" w:rsidRDefault="005B49ED" w:rsidP="008C3CED">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F60F59">
                  <w:rPr>
                    <w:rStyle w:val="Style2"/>
                    <w:rFonts w:ascii="Segoe UI Symbol" w:eastAsia="MS Gothic" w:hAnsi="Segoe UI Symbol" w:cs="Segoe UI Symbol"/>
                    <w:sz w:val="24"/>
                  </w:rPr>
                  <w:t>☐</w:t>
                </w:r>
              </w:sdtContent>
            </w:sdt>
            <w:r w:rsidR="00B13D65" w:rsidRPr="00F60F59">
              <w:t xml:space="preserve"> </w:t>
            </w:r>
            <w:r w:rsidR="00662983" w:rsidRPr="00F60F59">
              <w:t xml:space="preserve">33.1. </w:t>
            </w:r>
            <w:r w:rsidR="00B00959" w:rsidRPr="00F60F59">
              <w:t xml:space="preserve">yra įvertintas kaip nepagrindžiantis </w:t>
            </w:r>
            <w:r w:rsidR="00B13D65" w:rsidRPr="00F60F59">
              <w:t>nesiskiriančios naudos pacientų sveikatai sukūrimo, lyginant su įprasta klinikine praktika</w:t>
            </w:r>
          </w:p>
          <w:p w14:paraId="1EED7901" w14:textId="77777777"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F60F59" w:rsidRPr="00F60F59" w14:paraId="1C75AE76" w14:textId="77777777" w:rsidTr="00C16245">
        <w:trPr>
          <w:trHeight w:val="510"/>
        </w:trPr>
        <w:tc>
          <w:tcPr>
            <w:tcW w:w="9629" w:type="dxa"/>
            <w:gridSpan w:val="2"/>
            <w:vAlign w:val="center"/>
          </w:tcPr>
          <w:p w14:paraId="0247EDAD" w14:textId="7FBBB759"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60F59">
              <w:rPr>
                <w:rStyle w:val="Style2"/>
                <w:rFonts w:eastAsia="MS Gothic"/>
                <w:b/>
                <w:bCs/>
                <w:sz w:val="24"/>
              </w:rPr>
              <w:t>Kaštų naudingumas</w:t>
            </w:r>
          </w:p>
        </w:tc>
      </w:tr>
      <w:tr w:rsidR="00B13D65" w:rsidRPr="00F60F59" w14:paraId="7091A05B" w14:textId="77777777" w:rsidTr="0061611B">
        <w:tc>
          <w:tcPr>
            <w:tcW w:w="4815" w:type="dxa"/>
          </w:tcPr>
          <w:p w14:paraId="69B2A994" w14:textId="3249F238"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F60F59">
                  <w:rPr>
                    <w:rStyle w:val="Style2"/>
                    <w:rFonts w:ascii="MS Gothic" w:eastAsia="MS Gothic" w:hAnsi="MS Gothic" w:hint="eastAsia"/>
                    <w:sz w:val="24"/>
                  </w:rPr>
                  <w:t>☐</w:t>
                </w:r>
              </w:sdtContent>
            </w:sdt>
            <w:r w:rsidR="00B13D65" w:rsidRPr="00F60F59">
              <w:t xml:space="preserve"> 32.3. atitinka referencinę naudingumo vertę, </w:t>
            </w:r>
            <w:r w:rsidR="00662983" w:rsidRPr="00F60F59">
              <w:t>&lt;</w:t>
            </w:r>
            <w:r w:rsidR="00B13D65" w:rsidRPr="00F60F59">
              <w:t>taikant</w:t>
            </w:r>
            <w:r w:rsidR="00662983" w:rsidRPr="00F60F59">
              <w:t xml:space="preserve"> PGS&gt; &lt;</w:t>
            </w:r>
            <w:r w:rsidR="00B13D65" w:rsidRPr="00F60F59">
              <w:t>netaikant PGS</w:t>
            </w:r>
            <w:r w:rsidR="00662983" w:rsidRPr="00F60F59">
              <w:t>&gt;</w:t>
            </w:r>
          </w:p>
          <w:p w14:paraId="3F76F153" w14:textId="77777777" w:rsidR="00662983"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072E7" w14:textId="565CB771"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32.3. gydymo juo kaštai yra mažesni ar tokie patys esant iš esmės nesiskiriančiam palyginamajam efektyvumui, </w:t>
            </w:r>
            <w:r w:rsidR="00662983" w:rsidRPr="00F60F59">
              <w:t>&lt;</w:t>
            </w:r>
            <w:r w:rsidR="00B13D65" w:rsidRPr="00F60F59">
              <w:t xml:space="preserve">taikant </w:t>
            </w:r>
            <w:r w:rsidR="00662983" w:rsidRPr="00F60F59">
              <w:t>PGS&gt; &lt;</w:t>
            </w:r>
            <w:r w:rsidR="00B13D65" w:rsidRPr="00F60F59">
              <w:t>netaikant PGS</w:t>
            </w:r>
            <w:r w:rsidR="00662983" w:rsidRPr="00F60F59">
              <w:t>&gt;</w:t>
            </w:r>
            <w:r w:rsidR="00B00959" w:rsidRPr="00F60F59">
              <w:t>, lyginant su įprasta klinikine praktika</w:t>
            </w:r>
          </w:p>
          <w:p w14:paraId="25E4BD1E" w14:textId="77777777"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53380063" w14:textId="5EB8488A"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33.3. neatitinka referencinės naudingumo vertės Lietuvos Respublikoje</w:t>
            </w:r>
          </w:p>
          <w:p w14:paraId="229ED51A" w14:textId="77777777" w:rsidR="00662983"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28FB2120"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F60F59">
                  <w:rPr>
                    <w:rStyle w:val="Style2"/>
                    <w:rFonts w:ascii="Segoe UI Symbol" w:eastAsia="MS Gothic" w:hAnsi="Segoe UI Symbol" w:cs="Segoe UI Symbol"/>
                    <w:sz w:val="24"/>
                  </w:rPr>
                  <w:t>☐</w:t>
                </w:r>
              </w:sdtContent>
            </w:sdt>
            <w:r w:rsidR="00B13D65" w:rsidRPr="00F60F59">
              <w:t xml:space="preserve"> 33.3. gydymo juo kaštai yra didesni esant iš esmės nesiskiriančiam palyginamajam efektyvumui, </w:t>
            </w:r>
            <w:r w:rsidR="00662983" w:rsidRPr="00F60F59">
              <w:t>&lt;</w:t>
            </w:r>
            <w:r w:rsidR="00B13D65" w:rsidRPr="00F60F59">
              <w:t>taikant</w:t>
            </w:r>
            <w:r w:rsidR="00662983" w:rsidRPr="00F60F59">
              <w:t xml:space="preserve"> PGS&gt;</w:t>
            </w:r>
            <w:r w:rsidR="00B13D65" w:rsidRPr="00F60F59">
              <w:t xml:space="preserve"> </w:t>
            </w:r>
            <w:r w:rsidR="00662983" w:rsidRPr="00F60F59">
              <w:t>&lt;</w:t>
            </w:r>
            <w:r w:rsidR="00B13D65" w:rsidRPr="00F60F59">
              <w:t>netaikant PGS</w:t>
            </w:r>
            <w:r w:rsidR="00662983" w:rsidRPr="00F60F59">
              <w:t>&gt;</w:t>
            </w:r>
            <w:r w:rsidR="00B00959" w:rsidRPr="00F60F59">
              <w:t>, lyginant su įprasta klinikine praktika</w:t>
            </w:r>
          </w:p>
          <w:p w14:paraId="4A9C7D2A" w14:textId="77777777" w:rsidR="00662983" w:rsidRPr="00F60F59" w:rsidRDefault="00662983"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7F944A23" w:rsidR="00B13D65" w:rsidRPr="00F60F59" w:rsidRDefault="005B49ED"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00303E" w:rsidRPr="00F60F59">
                  <w:rPr>
                    <w:rStyle w:val="Style2"/>
                    <w:rFonts w:ascii="MS Gothic" w:eastAsia="MS Gothic" w:hAnsi="MS Gothic" w:hint="eastAsia"/>
                    <w:sz w:val="24"/>
                  </w:rPr>
                  <w:t>☒</w:t>
                </w:r>
              </w:sdtContent>
            </w:sdt>
            <w:r w:rsidR="00B13D65" w:rsidRPr="00F60F59">
              <w:t xml:space="preserve"> 33.3. pateikti duomenys apie kaštų na</w:t>
            </w:r>
            <w:r w:rsidR="00662983" w:rsidRPr="00F60F59">
              <w:t>udingumą yra netinkami vertinti</w:t>
            </w:r>
          </w:p>
          <w:p w14:paraId="470A48A4" w14:textId="77777777" w:rsidR="00B13D65" w:rsidRPr="00F60F59" w:rsidRDefault="00B13D65" w:rsidP="008C3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1B85C083" w14:textId="77777777" w:rsidR="009E44AE" w:rsidRPr="00F60F59" w:rsidRDefault="009E44AE" w:rsidP="008C3CED">
      <w:pPr>
        <w:spacing w:line="276" w:lineRule="auto"/>
      </w:pPr>
    </w:p>
    <w:p w14:paraId="3B2D1F25" w14:textId="3A80E19F" w:rsidR="000001B0" w:rsidRPr="00F60F59" w:rsidRDefault="000001B0" w:rsidP="008C3CED">
      <w:pPr>
        <w:pStyle w:val="ListParagraph"/>
        <w:numPr>
          <w:ilvl w:val="0"/>
          <w:numId w:val="12"/>
        </w:numPr>
        <w:spacing w:line="276" w:lineRule="auto"/>
        <w:ind w:left="567" w:hanging="567"/>
      </w:pPr>
      <w:r w:rsidRPr="00F60F59">
        <w:rPr>
          <w:b/>
        </w:rPr>
        <w:t>REKOME</w:t>
      </w:r>
      <w:r w:rsidR="00D83182" w:rsidRPr="00F60F59">
        <w:rPr>
          <w:b/>
        </w:rPr>
        <w:t>N</w:t>
      </w:r>
      <w:r w:rsidRPr="00F60F59">
        <w:rPr>
          <w:b/>
        </w:rPr>
        <w:t>DACIJA</w:t>
      </w:r>
    </w:p>
    <w:p w14:paraId="7D5C6700" w14:textId="481889B6" w:rsidR="00D5470B" w:rsidRPr="00F60F59" w:rsidRDefault="00D5470B" w:rsidP="008C3CED">
      <w:pPr>
        <w:pStyle w:val="ListParagraph"/>
        <w:spacing w:line="276" w:lineRule="auto"/>
        <w:ind w:left="426"/>
      </w:pPr>
    </w:p>
    <w:p w14:paraId="297867ED" w14:textId="0C12B723" w:rsidR="000723FF" w:rsidRPr="00F60F59" w:rsidRDefault="00B947E1" w:rsidP="00CC6AD7">
      <w:pPr>
        <w:pStyle w:val="Protokolui"/>
        <w:spacing w:line="276" w:lineRule="auto"/>
        <w:rPr>
          <w:i/>
        </w:rPr>
      </w:pPr>
      <w:r w:rsidRPr="00F60F59">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F60F59">
        <w:rPr>
          <w:i/>
        </w:rPr>
        <w:t xml:space="preserve">nekompensuoti </w:t>
      </w:r>
      <w:r w:rsidRPr="00F60F59">
        <w:t>vaistinio preparato pagal paraiškoje nurodytą indikaciją be skyrimo sąlygų netaikant PGS dėl vertinimo išvadų, nurodytų 33.1, 33.3 papunkčiuose (žr. 6 skyrių),  neatitikties 34.1 papunktyje išdėstytoms sąlygoms</w:t>
      </w:r>
      <w:r w:rsidR="005839B9" w:rsidRPr="00F60F59">
        <w:t xml:space="preserve">. </w:t>
      </w:r>
    </w:p>
    <w:p w14:paraId="5BE80758" w14:textId="77777777" w:rsidR="00E41146" w:rsidRPr="00F60F59" w:rsidRDefault="00E41146" w:rsidP="008C3CED">
      <w:pPr>
        <w:spacing w:line="276" w:lineRule="auto"/>
        <w:jc w:val="both"/>
        <w:rPr>
          <w:i/>
        </w:rPr>
      </w:pPr>
    </w:p>
    <w:sectPr w:rsidR="00E41146" w:rsidRPr="00F60F59"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27486F" w16cid:durableId="27320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914A2" w14:textId="77777777" w:rsidR="005B49ED" w:rsidRDefault="005B49ED">
      <w:r>
        <w:separator/>
      </w:r>
    </w:p>
  </w:endnote>
  <w:endnote w:type="continuationSeparator" w:id="0">
    <w:p w14:paraId="6A0A8CEF" w14:textId="77777777" w:rsidR="005B49ED" w:rsidRDefault="005B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EC2A4" w14:textId="77777777" w:rsidR="005B49ED" w:rsidRDefault="005B49ED">
      <w:r>
        <w:separator/>
      </w:r>
    </w:p>
  </w:footnote>
  <w:footnote w:type="continuationSeparator" w:id="0">
    <w:p w14:paraId="125A4822" w14:textId="77777777" w:rsidR="005B49ED" w:rsidRDefault="005B4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18C41CE1"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3750">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E3A7401"/>
    <w:multiLevelType w:val="hybridMultilevel"/>
    <w:tmpl w:val="1D5CACCC"/>
    <w:lvl w:ilvl="0" w:tplc="538EFBAC">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C7E69"/>
    <w:multiLevelType w:val="hybridMultilevel"/>
    <w:tmpl w:val="1F96FE10"/>
    <w:lvl w:ilvl="0" w:tplc="8C1A54CA">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093CA9"/>
    <w:multiLevelType w:val="hybridMultilevel"/>
    <w:tmpl w:val="DF683C72"/>
    <w:lvl w:ilvl="0" w:tplc="6750D22E">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5"/>
  </w:num>
  <w:num w:numId="6">
    <w:abstractNumId w:val="4"/>
  </w:num>
  <w:num w:numId="7">
    <w:abstractNumId w:val="3"/>
  </w:num>
  <w:num w:numId="8">
    <w:abstractNumId w:val="14"/>
  </w:num>
  <w:num w:numId="9">
    <w:abstractNumId w:val="0"/>
  </w:num>
  <w:num w:numId="10">
    <w:abstractNumId w:val="11"/>
  </w:num>
  <w:num w:numId="11">
    <w:abstractNumId w:val="13"/>
  </w:num>
  <w:num w:numId="12">
    <w:abstractNumId w:val="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03E"/>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75755"/>
    <w:rsid w:val="0008190F"/>
    <w:rsid w:val="00081D9C"/>
    <w:rsid w:val="00082907"/>
    <w:rsid w:val="0008378D"/>
    <w:rsid w:val="000908A5"/>
    <w:rsid w:val="00092805"/>
    <w:rsid w:val="000C454C"/>
    <w:rsid w:val="000C6B9B"/>
    <w:rsid w:val="000D5038"/>
    <w:rsid w:val="000E29D4"/>
    <w:rsid w:val="000F3540"/>
    <w:rsid w:val="00100491"/>
    <w:rsid w:val="00104E2E"/>
    <w:rsid w:val="00107287"/>
    <w:rsid w:val="00116DA4"/>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314B"/>
    <w:rsid w:val="002946C7"/>
    <w:rsid w:val="002B3CC1"/>
    <w:rsid w:val="002C079D"/>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19AC"/>
    <w:rsid w:val="00386307"/>
    <w:rsid w:val="003874DE"/>
    <w:rsid w:val="00393E9F"/>
    <w:rsid w:val="0039696E"/>
    <w:rsid w:val="003B211A"/>
    <w:rsid w:val="003C141F"/>
    <w:rsid w:val="003C6B0E"/>
    <w:rsid w:val="003C7257"/>
    <w:rsid w:val="003C7E35"/>
    <w:rsid w:val="003D1E99"/>
    <w:rsid w:val="003D3AD8"/>
    <w:rsid w:val="003D6208"/>
    <w:rsid w:val="00404E8A"/>
    <w:rsid w:val="0040622F"/>
    <w:rsid w:val="00413F24"/>
    <w:rsid w:val="004144A3"/>
    <w:rsid w:val="00422853"/>
    <w:rsid w:val="00422BD2"/>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4F29"/>
    <w:rsid w:val="004D48A6"/>
    <w:rsid w:val="004D7B8F"/>
    <w:rsid w:val="004E6458"/>
    <w:rsid w:val="004E6E7D"/>
    <w:rsid w:val="004F00B3"/>
    <w:rsid w:val="004F1AAC"/>
    <w:rsid w:val="004F1AE2"/>
    <w:rsid w:val="004F34F0"/>
    <w:rsid w:val="004F3B2B"/>
    <w:rsid w:val="004F6050"/>
    <w:rsid w:val="005005EF"/>
    <w:rsid w:val="005112FA"/>
    <w:rsid w:val="005123C2"/>
    <w:rsid w:val="005208A6"/>
    <w:rsid w:val="0052144B"/>
    <w:rsid w:val="00524066"/>
    <w:rsid w:val="00534E11"/>
    <w:rsid w:val="005378D8"/>
    <w:rsid w:val="005400D9"/>
    <w:rsid w:val="005476A4"/>
    <w:rsid w:val="0055019B"/>
    <w:rsid w:val="00556E63"/>
    <w:rsid w:val="005601A4"/>
    <w:rsid w:val="00566DBB"/>
    <w:rsid w:val="005767DB"/>
    <w:rsid w:val="005815E6"/>
    <w:rsid w:val="005839B9"/>
    <w:rsid w:val="0058712F"/>
    <w:rsid w:val="005976CE"/>
    <w:rsid w:val="005A23D4"/>
    <w:rsid w:val="005A2D1E"/>
    <w:rsid w:val="005B3756"/>
    <w:rsid w:val="005B49ED"/>
    <w:rsid w:val="005C493F"/>
    <w:rsid w:val="005C6BF7"/>
    <w:rsid w:val="005C71BF"/>
    <w:rsid w:val="005D002C"/>
    <w:rsid w:val="005D30E1"/>
    <w:rsid w:val="005D6555"/>
    <w:rsid w:val="005D7BDF"/>
    <w:rsid w:val="005E40DD"/>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1E5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71847"/>
    <w:rsid w:val="00795DC5"/>
    <w:rsid w:val="00797153"/>
    <w:rsid w:val="007A21F7"/>
    <w:rsid w:val="007A2B68"/>
    <w:rsid w:val="007B0DDA"/>
    <w:rsid w:val="007C00C8"/>
    <w:rsid w:val="007D3347"/>
    <w:rsid w:val="007E5466"/>
    <w:rsid w:val="007F1949"/>
    <w:rsid w:val="007F2592"/>
    <w:rsid w:val="00800A08"/>
    <w:rsid w:val="00817A84"/>
    <w:rsid w:val="008225A4"/>
    <w:rsid w:val="00824B92"/>
    <w:rsid w:val="00826D5E"/>
    <w:rsid w:val="00832013"/>
    <w:rsid w:val="00832DB7"/>
    <w:rsid w:val="008339F3"/>
    <w:rsid w:val="00834732"/>
    <w:rsid w:val="008364F7"/>
    <w:rsid w:val="0085200C"/>
    <w:rsid w:val="00856C79"/>
    <w:rsid w:val="00857C52"/>
    <w:rsid w:val="00860D5F"/>
    <w:rsid w:val="00871216"/>
    <w:rsid w:val="00880A44"/>
    <w:rsid w:val="0088126A"/>
    <w:rsid w:val="0088345E"/>
    <w:rsid w:val="0088656F"/>
    <w:rsid w:val="00891EF6"/>
    <w:rsid w:val="008A0303"/>
    <w:rsid w:val="008A5FDD"/>
    <w:rsid w:val="008C3947"/>
    <w:rsid w:val="008C3CED"/>
    <w:rsid w:val="008D69B0"/>
    <w:rsid w:val="008E473B"/>
    <w:rsid w:val="008E51A6"/>
    <w:rsid w:val="008E7329"/>
    <w:rsid w:val="008F2ED5"/>
    <w:rsid w:val="00905BED"/>
    <w:rsid w:val="00905D4C"/>
    <w:rsid w:val="0092297E"/>
    <w:rsid w:val="00923651"/>
    <w:rsid w:val="00927B56"/>
    <w:rsid w:val="009341BF"/>
    <w:rsid w:val="00934E5D"/>
    <w:rsid w:val="00937907"/>
    <w:rsid w:val="00941739"/>
    <w:rsid w:val="00951573"/>
    <w:rsid w:val="00963003"/>
    <w:rsid w:val="00966EEF"/>
    <w:rsid w:val="00971B28"/>
    <w:rsid w:val="00983471"/>
    <w:rsid w:val="009909AB"/>
    <w:rsid w:val="009B37DB"/>
    <w:rsid w:val="009C6168"/>
    <w:rsid w:val="009C7A8C"/>
    <w:rsid w:val="009D23F9"/>
    <w:rsid w:val="009D4FA8"/>
    <w:rsid w:val="009E2D56"/>
    <w:rsid w:val="009E44AE"/>
    <w:rsid w:val="009E5C6C"/>
    <w:rsid w:val="009E6114"/>
    <w:rsid w:val="009E6CD6"/>
    <w:rsid w:val="009F4D66"/>
    <w:rsid w:val="00A00C3C"/>
    <w:rsid w:val="00A01091"/>
    <w:rsid w:val="00A042B9"/>
    <w:rsid w:val="00A06DBB"/>
    <w:rsid w:val="00A22ADF"/>
    <w:rsid w:val="00A31587"/>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057"/>
    <w:rsid w:val="00AC64D2"/>
    <w:rsid w:val="00AD02E7"/>
    <w:rsid w:val="00AE0FE8"/>
    <w:rsid w:val="00AE1322"/>
    <w:rsid w:val="00AF41C9"/>
    <w:rsid w:val="00AF60D5"/>
    <w:rsid w:val="00B00959"/>
    <w:rsid w:val="00B04415"/>
    <w:rsid w:val="00B06509"/>
    <w:rsid w:val="00B11D60"/>
    <w:rsid w:val="00B13D65"/>
    <w:rsid w:val="00B21805"/>
    <w:rsid w:val="00B3072E"/>
    <w:rsid w:val="00B36E15"/>
    <w:rsid w:val="00B37245"/>
    <w:rsid w:val="00B4017A"/>
    <w:rsid w:val="00B4468D"/>
    <w:rsid w:val="00B55EFC"/>
    <w:rsid w:val="00B71C72"/>
    <w:rsid w:val="00B81E92"/>
    <w:rsid w:val="00B908D7"/>
    <w:rsid w:val="00B915AB"/>
    <w:rsid w:val="00B935E8"/>
    <w:rsid w:val="00B93B30"/>
    <w:rsid w:val="00B947E1"/>
    <w:rsid w:val="00B94CB5"/>
    <w:rsid w:val="00BA0DD9"/>
    <w:rsid w:val="00BA278D"/>
    <w:rsid w:val="00BA5DBC"/>
    <w:rsid w:val="00BB24AB"/>
    <w:rsid w:val="00BB6312"/>
    <w:rsid w:val="00BB7DB5"/>
    <w:rsid w:val="00BC4D06"/>
    <w:rsid w:val="00BD585E"/>
    <w:rsid w:val="00BD6919"/>
    <w:rsid w:val="00BE1EA7"/>
    <w:rsid w:val="00BE7489"/>
    <w:rsid w:val="00BF2E0D"/>
    <w:rsid w:val="00BF3927"/>
    <w:rsid w:val="00BF3F8B"/>
    <w:rsid w:val="00BF76DA"/>
    <w:rsid w:val="00C07C7B"/>
    <w:rsid w:val="00C14F1B"/>
    <w:rsid w:val="00C16245"/>
    <w:rsid w:val="00C22DC5"/>
    <w:rsid w:val="00C24479"/>
    <w:rsid w:val="00C273F2"/>
    <w:rsid w:val="00C37B53"/>
    <w:rsid w:val="00C517D2"/>
    <w:rsid w:val="00C56537"/>
    <w:rsid w:val="00C5772E"/>
    <w:rsid w:val="00C62B36"/>
    <w:rsid w:val="00C6398B"/>
    <w:rsid w:val="00C67327"/>
    <w:rsid w:val="00C7012C"/>
    <w:rsid w:val="00C712EA"/>
    <w:rsid w:val="00CA217D"/>
    <w:rsid w:val="00CC09D4"/>
    <w:rsid w:val="00CC5434"/>
    <w:rsid w:val="00CC668D"/>
    <w:rsid w:val="00CC6AD7"/>
    <w:rsid w:val="00CC7832"/>
    <w:rsid w:val="00CF0C1C"/>
    <w:rsid w:val="00CF27FD"/>
    <w:rsid w:val="00CF2B3B"/>
    <w:rsid w:val="00CF5F12"/>
    <w:rsid w:val="00D00D8F"/>
    <w:rsid w:val="00D21F3A"/>
    <w:rsid w:val="00D23808"/>
    <w:rsid w:val="00D256B5"/>
    <w:rsid w:val="00D3016A"/>
    <w:rsid w:val="00D417D2"/>
    <w:rsid w:val="00D42960"/>
    <w:rsid w:val="00D43BD7"/>
    <w:rsid w:val="00D4485B"/>
    <w:rsid w:val="00D4708D"/>
    <w:rsid w:val="00D4744C"/>
    <w:rsid w:val="00D521DE"/>
    <w:rsid w:val="00D5367A"/>
    <w:rsid w:val="00D5470B"/>
    <w:rsid w:val="00D63068"/>
    <w:rsid w:val="00D6498C"/>
    <w:rsid w:val="00D76A70"/>
    <w:rsid w:val="00D77032"/>
    <w:rsid w:val="00D83182"/>
    <w:rsid w:val="00D8521E"/>
    <w:rsid w:val="00D9291C"/>
    <w:rsid w:val="00D93A97"/>
    <w:rsid w:val="00DA1B82"/>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1146"/>
    <w:rsid w:val="00E475F8"/>
    <w:rsid w:val="00E5102E"/>
    <w:rsid w:val="00E5721C"/>
    <w:rsid w:val="00E60827"/>
    <w:rsid w:val="00E619C6"/>
    <w:rsid w:val="00E745A1"/>
    <w:rsid w:val="00E81529"/>
    <w:rsid w:val="00E83A13"/>
    <w:rsid w:val="00E93750"/>
    <w:rsid w:val="00E96DDC"/>
    <w:rsid w:val="00EA3806"/>
    <w:rsid w:val="00EB0F75"/>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19D0"/>
    <w:rsid w:val="00F42426"/>
    <w:rsid w:val="00F456BC"/>
    <w:rsid w:val="00F45A85"/>
    <w:rsid w:val="00F50666"/>
    <w:rsid w:val="00F60F59"/>
    <w:rsid w:val="00F707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 w:val="2042B8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 List,Bullets Points,Table Header Row,Table Legend,Bullet1,Summary Bullets"/>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Default">
    <w:name w:val="Default"/>
    <w:rsid w:val="00905BED"/>
    <w:pPr>
      <w:autoSpaceDE w:val="0"/>
      <w:autoSpaceDN w:val="0"/>
      <w:adjustRightInd w:val="0"/>
    </w:pPr>
    <w:rPr>
      <w:rFonts w:ascii="Trebuchet MS" w:hAnsi="Trebuchet MS" w:cs="Trebuchet MS"/>
      <w:color w:val="000000"/>
      <w:sz w:val="24"/>
      <w:szCs w:val="24"/>
      <w:lang w:eastAsia="en-US"/>
    </w:rPr>
  </w:style>
  <w:style w:type="character" w:customStyle="1" w:styleId="ListParagraphChar">
    <w:name w:val="List Paragraph Char"/>
    <w:aliases w:val="Bullet List Char,Bullets Points Char,Table Header Row Char,Table Legend Char,Bullet1 Char,Summary Bullets Char"/>
    <w:basedOn w:val="DefaultParagraphFont"/>
    <w:link w:val="ListParagraph"/>
    <w:uiPriority w:val="34"/>
    <w:rsid w:val="00905BED"/>
    <w:rPr>
      <w:sz w:val="24"/>
      <w:szCs w:val="24"/>
      <w:lang w:eastAsia="en-US"/>
    </w:rPr>
  </w:style>
  <w:style w:type="paragraph" w:customStyle="1" w:styleId="Protokolui">
    <w:name w:val="Protokolui"/>
    <w:basedOn w:val="BodyText"/>
    <w:link w:val="ProtokoluiChar"/>
    <w:qFormat/>
    <w:rsid w:val="00D5367A"/>
    <w:pPr>
      <w:spacing w:after="0"/>
      <w:ind w:firstLine="432"/>
      <w:jc w:val="both"/>
    </w:pPr>
    <w:rPr>
      <w:szCs w:val="20"/>
      <w:lang w:val="x-none"/>
    </w:rPr>
  </w:style>
  <w:style w:type="character" w:customStyle="1" w:styleId="ProtokoluiChar">
    <w:name w:val="Protokolui Char"/>
    <w:link w:val="Protokolui"/>
    <w:rsid w:val="00D5367A"/>
    <w:rPr>
      <w:sz w:val="24"/>
      <w:lang w:val="x-none" w:eastAsia="en-US"/>
    </w:rPr>
  </w:style>
  <w:style w:type="paragraph" w:styleId="BodyText">
    <w:name w:val="Body Text"/>
    <w:basedOn w:val="Normal"/>
    <w:link w:val="BodyTextChar"/>
    <w:semiHidden/>
    <w:unhideWhenUsed/>
    <w:rsid w:val="00D5367A"/>
    <w:pPr>
      <w:spacing w:after="120"/>
    </w:pPr>
  </w:style>
  <w:style w:type="character" w:customStyle="1" w:styleId="BodyTextChar">
    <w:name w:val="Body Text Char"/>
    <w:basedOn w:val="DefaultParagraphFont"/>
    <w:link w:val="BodyText"/>
    <w:semiHidden/>
    <w:rsid w:val="00D536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590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5CE70BF63E43928EAD4E513C63AB4C"/>
        <w:category>
          <w:name w:val="General"/>
          <w:gallery w:val="placeholder"/>
        </w:category>
        <w:types>
          <w:type w:val="bbPlcHdr"/>
        </w:types>
        <w:behaviors>
          <w:behavior w:val="content"/>
        </w:behaviors>
        <w:guid w:val="{B55711CC-0357-433E-A400-439B0014BA3D}"/>
      </w:docPartPr>
      <w:docPartBody>
        <w:p w:rsidR="00982D26" w:rsidRDefault="003954FA" w:rsidP="003954FA">
          <w:pPr>
            <w:pStyle w:val="105CE70BF63E43928EAD4E513C63AB4C"/>
          </w:pPr>
          <w:r>
            <w:rPr>
              <w:rStyle w:val="PlaceholderText"/>
            </w:rPr>
            <w:t>Click here to enter a date.</w:t>
          </w:r>
        </w:p>
      </w:docPartBody>
    </w:docPart>
    <w:docPart>
      <w:docPartPr>
        <w:name w:val="FB7A3B31EBC1419D840B542CC9AFF57D"/>
        <w:category>
          <w:name w:val="General"/>
          <w:gallery w:val="placeholder"/>
        </w:category>
        <w:types>
          <w:type w:val="bbPlcHdr"/>
        </w:types>
        <w:behaviors>
          <w:behavior w:val="content"/>
        </w:behaviors>
        <w:guid w:val="{8E23E2EF-1DE4-428C-A2A1-910D26ED4FB5}"/>
      </w:docPartPr>
      <w:docPartBody>
        <w:p w:rsidR="00982D26" w:rsidRDefault="003954FA" w:rsidP="003954FA">
          <w:pPr>
            <w:pStyle w:val="FB7A3B31EBC1419D840B542CC9AFF57D"/>
          </w:pPr>
          <w:r>
            <w:rPr>
              <w:rStyle w:val="PlaceholderText"/>
            </w:rPr>
            <w:t>Click here to enter a date.</w:t>
          </w:r>
        </w:p>
      </w:docPartBody>
    </w:docPart>
    <w:docPart>
      <w:docPartPr>
        <w:name w:val="9EF7ED4A80AE4009918E4230B98AE5FF"/>
        <w:category>
          <w:name w:val="General"/>
          <w:gallery w:val="placeholder"/>
        </w:category>
        <w:types>
          <w:type w:val="bbPlcHdr"/>
        </w:types>
        <w:behaviors>
          <w:behavior w:val="content"/>
        </w:behaviors>
        <w:guid w:val="{7D691263-35C9-49B8-B42E-66DC3BCE44F2}"/>
      </w:docPartPr>
      <w:docPartBody>
        <w:p w:rsidR="00982D26" w:rsidRDefault="003954FA" w:rsidP="003954FA">
          <w:pPr>
            <w:pStyle w:val="9EF7ED4A80AE4009918E4230B98AE5FF"/>
          </w:pPr>
          <w:r>
            <w:rPr>
              <w:rStyle w:val="PlaceholderText"/>
            </w:rPr>
            <w:t>Click here to enter a date.</w:t>
          </w:r>
        </w:p>
      </w:docPartBody>
    </w:docPart>
    <w:docPart>
      <w:docPartPr>
        <w:name w:val="E5007A15DD0E43F08F99656C1B9773B9"/>
        <w:category>
          <w:name w:val="General"/>
          <w:gallery w:val="placeholder"/>
        </w:category>
        <w:types>
          <w:type w:val="bbPlcHdr"/>
        </w:types>
        <w:behaviors>
          <w:behavior w:val="content"/>
        </w:behaviors>
        <w:guid w:val="{15253990-D681-476A-A626-3D27DE9B44D3}"/>
      </w:docPartPr>
      <w:docPartBody>
        <w:p w:rsidR="00982D26" w:rsidRDefault="003954FA" w:rsidP="003954FA">
          <w:pPr>
            <w:pStyle w:val="E5007A15DD0E43F08F99656C1B9773B9"/>
          </w:pPr>
          <w:r>
            <w:rPr>
              <w:rStyle w:val="PlaceholderText"/>
            </w:rPr>
            <w:t>Click here to enter a date.</w:t>
          </w:r>
        </w:p>
      </w:docPartBody>
    </w:docPart>
    <w:docPart>
      <w:docPartPr>
        <w:name w:val="E2A9041F828440ADA2A36D4C502CCD90"/>
        <w:category>
          <w:name w:val="General"/>
          <w:gallery w:val="placeholder"/>
        </w:category>
        <w:types>
          <w:type w:val="bbPlcHdr"/>
        </w:types>
        <w:behaviors>
          <w:behavior w:val="content"/>
        </w:behaviors>
        <w:guid w:val="{BD67D5E5-EFE2-4864-A110-C769712D9488}"/>
      </w:docPartPr>
      <w:docPartBody>
        <w:p w:rsidR="00982D26" w:rsidRDefault="003954FA" w:rsidP="003954FA">
          <w:pPr>
            <w:pStyle w:val="E2A9041F828440ADA2A36D4C502CCD90"/>
          </w:pPr>
          <w:r>
            <w:rPr>
              <w:rStyle w:val="PlaceholderText"/>
            </w:rPr>
            <w:t>Click here to enter a date.</w:t>
          </w:r>
        </w:p>
      </w:docPartBody>
    </w:docPart>
    <w:docPart>
      <w:docPartPr>
        <w:name w:val="C1BD5EE021AA41E48AC26B6D59C5C08A"/>
        <w:category>
          <w:name w:val="General"/>
          <w:gallery w:val="placeholder"/>
        </w:category>
        <w:types>
          <w:type w:val="bbPlcHdr"/>
        </w:types>
        <w:behaviors>
          <w:behavior w:val="content"/>
        </w:behaviors>
        <w:guid w:val="{201DABC3-5304-4B32-9DAA-3CB7D8FF18B4}"/>
      </w:docPartPr>
      <w:docPartBody>
        <w:p w:rsidR="00982D26" w:rsidRDefault="003954FA" w:rsidP="003954FA">
          <w:pPr>
            <w:pStyle w:val="C1BD5EE021AA41E48AC26B6D59C5C08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301435"/>
    <w:rsid w:val="0039237F"/>
    <w:rsid w:val="0039303B"/>
    <w:rsid w:val="003954FA"/>
    <w:rsid w:val="004144A3"/>
    <w:rsid w:val="004160E7"/>
    <w:rsid w:val="004416C6"/>
    <w:rsid w:val="004F5AB2"/>
    <w:rsid w:val="005074B9"/>
    <w:rsid w:val="00570EDC"/>
    <w:rsid w:val="005E40DD"/>
    <w:rsid w:val="006D66DB"/>
    <w:rsid w:val="007219C1"/>
    <w:rsid w:val="00753462"/>
    <w:rsid w:val="00772325"/>
    <w:rsid w:val="007A2FE0"/>
    <w:rsid w:val="007C6D1D"/>
    <w:rsid w:val="0090074D"/>
    <w:rsid w:val="00982D26"/>
    <w:rsid w:val="009B3BF0"/>
    <w:rsid w:val="009D5E5E"/>
    <w:rsid w:val="009F1BB4"/>
    <w:rsid w:val="00A353FB"/>
    <w:rsid w:val="00A701FF"/>
    <w:rsid w:val="00A706BE"/>
    <w:rsid w:val="00AB6ED4"/>
    <w:rsid w:val="00AD17B3"/>
    <w:rsid w:val="00B14210"/>
    <w:rsid w:val="00B23DC0"/>
    <w:rsid w:val="00B96656"/>
    <w:rsid w:val="00BE29C1"/>
    <w:rsid w:val="00C2401D"/>
    <w:rsid w:val="00C53A68"/>
    <w:rsid w:val="00CA5BB4"/>
    <w:rsid w:val="00CB4BD1"/>
    <w:rsid w:val="00CD35E4"/>
    <w:rsid w:val="00CE2DA9"/>
    <w:rsid w:val="00CE44BE"/>
    <w:rsid w:val="00D3543A"/>
    <w:rsid w:val="00D4356B"/>
    <w:rsid w:val="00D7162F"/>
    <w:rsid w:val="00DD0E0D"/>
    <w:rsid w:val="00E3620D"/>
    <w:rsid w:val="00E44A86"/>
    <w:rsid w:val="00E522EB"/>
    <w:rsid w:val="00E60827"/>
    <w:rsid w:val="00E73FF6"/>
    <w:rsid w:val="00EF6E0C"/>
    <w:rsid w:val="00F55028"/>
    <w:rsid w:val="00F77BEF"/>
    <w:rsid w:val="00F9056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54FA"/>
    <w:rPr>
      <w:color w:val="808080"/>
    </w:rPr>
  </w:style>
  <w:style w:type="paragraph" w:customStyle="1" w:styleId="105CE70BF63E43928EAD4E513C63AB4C">
    <w:name w:val="105CE70BF63E43928EAD4E513C63AB4C"/>
    <w:rsid w:val="003954FA"/>
  </w:style>
  <w:style w:type="paragraph" w:customStyle="1" w:styleId="FB7A3B31EBC1419D840B542CC9AFF57D">
    <w:name w:val="FB7A3B31EBC1419D840B542CC9AFF57D"/>
    <w:rsid w:val="003954FA"/>
  </w:style>
  <w:style w:type="paragraph" w:customStyle="1" w:styleId="9EF7ED4A80AE4009918E4230B98AE5FF">
    <w:name w:val="9EF7ED4A80AE4009918E4230B98AE5FF"/>
    <w:rsid w:val="003954FA"/>
  </w:style>
  <w:style w:type="paragraph" w:customStyle="1" w:styleId="E5007A15DD0E43F08F99656C1B9773B9">
    <w:name w:val="E5007A15DD0E43F08F99656C1B9773B9"/>
    <w:rsid w:val="003954FA"/>
  </w:style>
  <w:style w:type="paragraph" w:customStyle="1" w:styleId="E2A9041F828440ADA2A36D4C502CCD90">
    <w:name w:val="E2A9041F828440ADA2A36D4C502CCD90"/>
    <w:rsid w:val="003954FA"/>
  </w:style>
  <w:style w:type="paragraph" w:customStyle="1" w:styleId="C1BD5EE021AA41E48AC26B6D59C5C08A">
    <w:name w:val="C1BD5EE021AA41E48AC26B6D59C5C08A"/>
    <w:rsid w:val="00395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17D2-A806-4DF5-9510-FA92D047F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1E370-515C-4977-8E28-2A56EF43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AC572-D939-49A7-BBA1-25F66E19ADAA}">
  <ds:schemaRefs>
    <ds:schemaRef ds:uri="http://schemas.microsoft.com/sharepoint/v3/contenttype/forms"/>
  </ds:schemaRefs>
</ds:datastoreItem>
</file>

<file path=customXml/itemProps4.xml><?xml version="1.0" encoding="utf-8"?>
<ds:datastoreItem xmlns:ds="http://schemas.openxmlformats.org/officeDocument/2006/customXml" ds:itemID="{68F2574C-3636-4E73-B056-22DCE407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TotalTime>
  <Pages>9</Pages>
  <Words>15398</Words>
  <Characters>8777</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S.M.C.A.</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Larisa Gorobets</cp:lastModifiedBy>
  <cp:revision>2</cp:revision>
  <cp:lastPrinted>2015-11-17T07:39:00Z</cp:lastPrinted>
  <dcterms:created xsi:type="dcterms:W3CDTF">2022-12-09T08:14:00Z</dcterms:created>
  <dcterms:modified xsi:type="dcterms:W3CDTF">2022-12-09T08:14:00Z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