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Pr="00F329EA" w:rsidRDefault="004C263A" w:rsidP="001B3C5B">
      <w:pPr>
        <w:ind w:left="6096"/>
      </w:pPr>
      <w:r>
        <w:t xml:space="preserve">(Valstybinės vaistų kontrolės tarnybos prie Lietuvos Respublikos sveikatos apsaugos ministerijos viršininko 2022 m.                         d. </w:t>
      </w:r>
      <w:r w:rsidRPr="00F329EA">
        <w:t>įsakymo Nr.                    redakcija)</w:t>
      </w:r>
    </w:p>
    <w:p w14:paraId="3336BD74" w14:textId="77777777" w:rsidR="001B3C5B" w:rsidRPr="00F329EA" w:rsidRDefault="001B3C5B" w:rsidP="00FA4169"/>
    <w:p w14:paraId="77AFB67E" w14:textId="16397257" w:rsidR="00613501" w:rsidRPr="00F329EA" w:rsidRDefault="002F0E4F" w:rsidP="003B211A">
      <w:pPr>
        <w:jc w:val="center"/>
        <w:rPr>
          <w:b/>
          <w:bCs/>
          <w:caps/>
        </w:rPr>
      </w:pPr>
      <w:r w:rsidRPr="00F329EA">
        <w:rPr>
          <w:b/>
        </w:rPr>
        <w:t xml:space="preserve">REKOMENDACIJA DĖL VAISTINIO PREPARATO </w:t>
      </w:r>
      <w:r w:rsidRPr="00F329EA">
        <w:rPr>
          <w:b/>
          <w:bCs/>
          <w:caps/>
        </w:rPr>
        <w:t>Lietuvos Respublikos Sveikatos apsaugos ministerijos vaistinių preparatų ir medicinos pagalbos priemonių kompensavimo komisijai</w:t>
      </w:r>
    </w:p>
    <w:p w14:paraId="34E4395D" w14:textId="623D0445" w:rsidR="00B13D65" w:rsidRPr="00F329EA" w:rsidRDefault="00B13D65" w:rsidP="003B211A">
      <w:pPr>
        <w:jc w:val="center"/>
        <w:rPr>
          <w:b/>
        </w:rPr>
      </w:pPr>
    </w:p>
    <w:p w14:paraId="37797D00" w14:textId="77777777" w:rsidR="00852B6E" w:rsidRPr="00880A44" w:rsidRDefault="00852B6E" w:rsidP="00852B6E">
      <w:pPr>
        <w:jc w:val="center"/>
        <w:rPr>
          <w:b/>
        </w:rPr>
      </w:pPr>
      <w:r>
        <w:rPr>
          <w:b/>
        </w:rPr>
        <w:t>Rinvoq</w:t>
      </w:r>
      <w:r w:rsidRPr="00880A44">
        <w:rPr>
          <w:b/>
        </w:rPr>
        <w:t xml:space="preserve"> </w:t>
      </w:r>
      <w:r>
        <w:rPr>
          <w:b/>
        </w:rPr>
        <w:t xml:space="preserve">15 </w:t>
      </w:r>
      <w:r w:rsidRPr="00F60C95">
        <w:rPr>
          <w:b/>
        </w:rPr>
        <w:t>mg pailginto atpalaidavimo tabletės</w:t>
      </w:r>
    </w:p>
    <w:p w14:paraId="4ABD344E" w14:textId="77777777" w:rsidR="00852B6E" w:rsidRPr="00396F99" w:rsidRDefault="00852B6E" w:rsidP="00852B6E">
      <w:pPr>
        <w:jc w:val="center"/>
      </w:pPr>
    </w:p>
    <w:p w14:paraId="578C73DE" w14:textId="77777777" w:rsidR="00852B6E" w:rsidRPr="00880A44" w:rsidRDefault="00852B6E" w:rsidP="00852B6E">
      <w:pPr>
        <w:jc w:val="center"/>
      </w:pPr>
      <w:proofErr w:type="spellStart"/>
      <w:r>
        <w:rPr>
          <w:b/>
        </w:rPr>
        <w:t>Upadacitinibas</w:t>
      </w:r>
      <w:proofErr w:type="spellEnd"/>
      <w:r>
        <w:rPr>
          <w:b/>
        </w:rPr>
        <w:t xml:space="preserve"> </w:t>
      </w:r>
    </w:p>
    <w:p w14:paraId="4245FC31" w14:textId="77777777" w:rsidR="00852B6E" w:rsidRPr="00880A44" w:rsidRDefault="00852B6E" w:rsidP="00852B6E">
      <w:pPr>
        <w:jc w:val="center"/>
      </w:pPr>
    </w:p>
    <w:p w14:paraId="11E8B6E6" w14:textId="77777777" w:rsidR="00852B6E" w:rsidRPr="00852B6E" w:rsidRDefault="00852B6E" w:rsidP="00852B6E">
      <w:pPr>
        <w:jc w:val="center"/>
      </w:pPr>
      <w:r w:rsidRPr="00852B6E">
        <w:t>Paraiškos numeris STV-59A</w:t>
      </w:r>
    </w:p>
    <w:p w14:paraId="71C9E00F" w14:textId="68A59888" w:rsidR="001A0642" w:rsidRPr="00F329EA" w:rsidRDefault="001A0642" w:rsidP="006F3037">
      <w:pPr>
        <w:rPr>
          <w:b/>
        </w:rPr>
      </w:pPr>
    </w:p>
    <w:p w14:paraId="33D987A0" w14:textId="77777777" w:rsidR="001A0642" w:rsidRPr="00F329EA" w:rsidRDefault="001A0642" w:rsidP="003B211A">
      <w:pPr>
        <w:jc w:val="center"/>
        <w:rPr>
          <w:b/>
        </w:rPr>
      </w:pPr>
    </w:p>
    <w:p w14:paraId="78C89D1C" w14:textId="0DA88316" w:rsidR="00D4485B" w:rsidRPr="00F329EA" w:rsidRDefault="00B13D65" w:rsidP="00937907">
      <w:pPr>
        <w:pStyle w:val="Sraopastraipa"/>
        <w:numPr>
          <w:ilvl w:val="0"/>
          <w:numId w:val="12"/>
        </w:numPr>
        <w:tabs>
          <w:tab w:val="left" w:pos="284"/>
        </w:tabs>
        <w:rPr>
          <w:b/>
          <w:bCs/>
          <w:caps/>
        </w:rPr>
      </w:pPr>
      <w:r w:rsidRPr="00F329EA">
        <w:rPr>
          <w:b/>
          <w:bCs/>
          <w:caps/>
        </w:rPr>
        <w:t>Bendroji dalis</w:t>
      </w:r>
    </w:p>
    <w:p w14:paraId="04A7C7A7" w14:textId="77777777" w:rsidR="00B13D65" w:rsidRPr="00F329EA" w:rsidRDefault="00B13D65" w:rsidP="00E03C3F">
      <w:pPr>
        <w:pStyle w:val="Sraopastraipa"/>
        <w:tabs>
          <w:tab w:val="left" w:pos="284"/>
        </w:tabs>
        <w:ind w:left="0"/>
        <w:rPr>
          <w:b/>
          <w:bCs/>
          <w:caps/>
        </w:rPr>
      </w:pPr>
    </w:p>
    <w:tbl>
      <w:tblPr>
        <w:tblStyle w:val="Lentelstinklelis"/>
        <w:tblW w:w="9918" w:type="dxa"/>
        <w:jc w:val="center"/>
        <w:tblLook w:val="04A0" w:firstRow="1" w:lastRow="0" w:firstColumn="1" w:lastColumn="0" w:noHBand="0" w:noVBand="1"/>
      </w:tblPr>
      <w:tblGrid>
        <w:gridCol w:w="705"/>
        <w:gridCol w:w="4117"/>
        <w:gridCol w:w="5096"/>
      </w:tblGrid>
      <w:tr w:rsidR="001A0642" w:rsidRPr="00F329EA" w14:paraId="1581DA67" w14:textId="77777777" w:rsidTr="00A445D1">
        <w:trPr>
          <w:trHeight w:val="342"/>
          <w:jc w:val="center"/>
        </w:trPr>
        <w:tc>
          <w:tcPr>
            <w:tcW w:w="705" w:type="dxa"/>
          </w:tcPr>
          <w:p w14:paraId="247D2EB7" w14:textId="77777777" w:rsidR="001A0642" w:rsidRPr="00F329EA" w:rsidRDefault="001A0642" w:rsidP="00261D2E">
            <w:pPr>
              <w:tabs>
                <w:tab w:val="left" w:pos="284"/>
              </w:tabs>
              <w:spacing w:line="280" w:lineRule="atLeast"/>
              <w:rPr>
                <w:rFonts w:eastAsia="Arial"/>
                <w:b/>
              </w:rPr>
            </w:pPr>
            <w:r w:rsidRPr="00F329EA">
              <w:rPr>
                <w:rFonts w:eastAsia="Arial"/>
                <w:b/>
              </w:rPr>
              <w:t>1.1</w:t>
            </w:r>
          </w:p>
        </w:tc>
        <w:tc>
          <w:tcPr>
            <w:tcW w:w="4117" w:type="dxa"/>
          </w:tcPr>
          <w:p w14:paraId="7175ED38"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Pareiškėjas</w:t>
            </w:r>
          </w:p>
        </w:tc>
        <w:tc>
          <w:tcPr>
            <w:tcW w:w="5096" w:type="dxa"/>
          </w:tcPr>
          <w:p w14:paraId="541A7185" w14:textId="77777777" w:rsidR="001A0642" w:rsidRPr="00F329EA" w:rsidRDefault="001A0642" w:rsidP="00261D2E">
            <w:pPr>
              <w:pStyle w:val="Sraopastraipa"/>
              <w:spacing w:after="120"/>
              <w:ind w:left="0"/>
              <w:contextualSpacing w:val="0"/>
              <w:jc w:val="both"/>
            </w:pPr>
            <w:r w:rsidRPr="00F329EA">
              <w:t>UAB „</w:t>
            </w:r>
            <w:proofErr w:type="spellStart"/>
            <w:r w:rsidRPr="00F329EA">
              <w:t>AbbVie</w:t>
            </w:r>
            <w:proofErr w:type="spellEnd"/>
            <w:r w:rsidRPr="00F329EA">
              <w:t>“</w:t>
            </w:r>
          </w:p>
        </w:tc>
      </w:tr>
      <w:tr w:rsidR="001A0642" w:rsidRPr="00F329EA" w14:paraId="743DF67C" w14:textId="77777777" w:rsidTr="00A445D1">
        <w:trPr>
          <w:trHeight w:val="479"/>
          <w:jc w:val="center"/>
        </w:trPr>
        <w:tc>
          <w:tcPr>
            <w:tcW w:w="705" w:type="dxa"/>
          </w:tcPr>
          <w:p w14:paraId="31A46827" w14:textId="77777777" w:rsidR="001A0642" w:rsidRPr="00F329EA" w:rsidRDefault="001A0642" w:rsidP="00261D2E">
            <w:pPr>
              <w:tabs>
                <w:tab w:val="left" w:pos="284"/>
              </w:tabs>
              <w:spacing w:line="280" w:lineRule="atLeast"/>
              <w:rPr>
                <w:rFonts w:eastAsia="Arial"/>
                <w:b/>
              </w:rPr>
            </w:pPr>
            <w:r w:rsidRPr="00F329EA">
              <w:rPr>
                <w:rFonts w:eastAsia="Arial"/>
                <w:b/>
              </w:rPr>
              <w:t>1.2</w:t>
            </w:r>
          </w:p>
        </w:tc>
        <w:tc>
          <w:tcPr>
            <w:tcW w:w="4117" w:type="dxa"/>
          </w:tcPr>
          <w:p w14:paraId="0B3C65A1"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Registracijos data (EVA)</w:t>
            </w:r>
          </w:p>
          <w:p w14:paraId="27139394" w14:textId="77777777" w:rsidR="001A0642" w:rsidRPr="00F329EA" w:rsidRDefault="001A0642" w:rsidP="00261D2E">
            <w:pPr>
              <w:tabs>
                <w:tab w:val="left" w:pos="284"/>
              </w:tabs>
              <w:spacing w:line="280" w:lineRule="atLeast"/>
              <w:rPr>
                <w:bCs/>
                <w:color w:val="000000"/>
                <w:lang w:eastAsia="lt-LT"/>
              </w:rPr>
            </w:pPr>
          </w:p>
        </w:tc>
        <w:tc>
          <w:tcPr>
            <w:tcW w:w="5096" w:type="dxa"/>
          </w:tcPr>
          <w:p w14:paraId="3511502F" w14:textId="28B232D2" w:rsidR="001A0642" w:rsidRPr="009D03DA" w:rsidRDefault="00000000" w:rsidP="00816C37">
            <w:pPr>
              <w:pStyle w:val="Sraopastraipa"/>
              <w:spacing w:after="120"/>
              <w:ind w:left="0"/>
              <w:contextualSpacing w:val="0"/>
              <w:jc w:val="both"/>
              <w:rPr>
                <w:rStyle w:val="Style2"/>
              </w:rPr>
            </w:pPr>
            <w:sdt>
              <w:sdtPr>
                <w:rPr>
                  <w:sz w:val="32"/>
                  <w:szCs w:val="18"/>
                  <w:shd w:val="clear" w:color="auto" w:fill="FFFFFF"/>
                  <w:lang w:val="en-US" w:eastAsia="lt-LT"/>
                </w:rPr>
                <w:alias w:val="Nurodykite konkrečią dieną"/>
                <w:tag w:val="Nurodykite pradžios datą"/>
                <w:id w:val="423238108"/>
                <w:placeholder>
                  <w:docPart w:val="1E61463EC4028D41A19333908A55DAFF"/>
                </w:placeholder>
                <w15:color w:val="FFCC99"/>
                <w:date>
                  <w:dateFormat w:val="yyyy 'm.' MMMM d 'd.'"/>
                  <w:lid w:val="lt-LT"/>
                  <w:storeMappedDataAs w:val="dateTime"/>
                  <w:calendar w:val="gregorian"/>
                </w:date>
              </w:sdtPr>
              <w:sdtContent>
                <w:r w:rsidR="00240D62" w:rsidRPr="009D03DA">
                  <w:rPr>
                    <w:szCs w:val="18"/>
                    <w:shd w:val="clear" w:color="auto" w:fill="FFFFFF"/>
                    <w:lang w:val="en-US" w:eastAsia="lt-LT"/>
                  </w:rPr>
                  <w:t xml:space="preserve">2019 m. </w:t>
                </w:r>
                <w:proofErr w:type="spellStart"/>
                <w:r w:rsidR="00240D62" w:rsidRPr="009D03DA">
                  <w:rPr>
                    <w:szCs w:val="18"/>
                    <w:shd w:val="clear" w:color="auto" w:fill="FFFFFF"/>
                    <w:lang w:val="en-US" w:eastAsia="lt-LT"/>
                  </w:rPr>
                  <w:t>gruodžio</w:t>
                </w:r>
                <w:proofErr w:type="spellEnd"/>
                <w:r w:rsidR="00240D62" w:rsidRPr="009D03DA">
                  <w:rPr>
                    <w:szCs w:val="18"/>
                    <w:shd w:val="clear" w:color="auto" w:fill="FFFFFF"/>
                    <w:lang w:val="en-US" w:eastAsia="lt-LT"/>
                  </w:rPr>
                  <w:t xml:space="preserve"> 16 d.</w:t>
                </w:r>
                <w:r w:rsidR="00240D62" w:rsidRPr="009D03DA">
                  <w:rPr>
                    <w:szCs w:val="18"/>
                    <w:shd w:val="clear" w:color="auto" w:fill="FFFFFF"/>
                    <w:lang w:val="en-US" w:eastAsia="lt-LT"/>
                  </w:rPr>
                  <w:cr/>
                </w:r>
              </w:sdtContent>
            </w:sdt>
          </w:p>
        </w:tc>
      </w:tr>
      <w:tr w:rsidR="001A0642" w:rsidRPr="00F329EA" w14:paraId="456F4DD7" w14:textId="77777777" w:rsidTr="00A445D1">
        <w:trPr>
          <w:trHeight w:val="1328"/>
          <w:jc w:val="center"/>
        </w:trPr>
        <w:tc>
          <w:tcPr>
            <w:tcW w:w="705" w:type="dxa"/>
          </w:tcPr>
          <w:p w14:paraId="0825E3F8" w14:textId="77777777" w:rsidR="001A0642" w:rsidRPr="00F329EA" w:rsidRDefault="001A0642" w:rsidP="00261D2E">
            <w:pPr>
              <w:tabs>
                <w:tab w:val="left" w:pos="284"/>
              </w:tabs>
              <w:spacing w:line="280" w:lineRule="atLeast"/>
              <w:rPr>
                <w:rFonts w:eastAsia="Arial"/>
                <w:b/>
              </w:rPr>
            </w:pPr>
            <w:r w:rsidRPr="00F329EA">
              <w:rPr>
                <w:rFonts w:eastAsia="Arial"/>
                <w:b/>
              </w:rPr>
              <w:t>1.3</w:t>
            </w:r>
          </w:p>
        </w:tc>
        <w:tc>
          <w:tcPr>
            <w:tcW w:w="4117" w:type="dxa"/>
          </w:tcPr>
          <w:p w14:paraId="30A74A61" w14:textId="77777777" w:rsidR="001A0642" w:rsidRPr="00F329EA" w:rsidRDefault="001A0642" w:rsidP="00261D2E">
            <w:pPr>
              <w:pStyle w:val="Betarp"/>
              <w:rPr>
                <w:rFonts w:ascii="Times New Roman" w:hAnsi="Times New Roman"/>
                <w:b/>
                <w:sz w:val="24"/>
                <w:szCs w:val="24"/>
              </w:rPr>
            </w:pPr>
            <w:r w:rsidRPr="00F329EA">
              <w:rPr>
                <w:rFonts w:ascii="Times New Roman" w:hAnsi="Times New Roman"/>
                <w:b/>
                <w:sz w:val="24"/>
                <w:szCs w:val="24"/>
              </w:rPr>
              <w:t xml:space="preserve">Paraiškos tipas </w:t>
            </w:r>
          </w:p>
          <w:p w14:paraId="1CDD484D" w14:textId="77777777" w:rsidR="001A0642" w:rsidRPr="00F329EA" w:rsidRDefault="001A0642" w:rsidP="00261D2E">
            <w:pPr>
              <w:rPr>
                <w:b/>
              </w:rPr>
            </w:pPr>
            <w:r w:rsidRPr="00F329EA">
              <w:rPr>
                <w:b/>
              </w:rPr>
              <w:t xml:space="preserve">(pagal </w:t>
            </w:r>
            <w:r w:rsidRPr="00F329EA">
              <w:rPr>
                <w:b/>
                <w:shd w:val="clear" w:color="auto" w:fill="FFFFFF"/>
              </w:rPr>
              <w:t>vaistinio preparato registracijos tipą, įtvirtintą</w:t>
            </w:r>
            <w:r w:rsidRPr="00F329EA">
              <w:rPr>
                <w:b/>
              </w:rPr>
              <w:t xml:space="preserve"> Direktyvos 2001/83/EB straipsniuose)</w:t>
            </w:r>
          </w:p>
          <w:p w14:paraId="702B7C60" w14:textId="77777777" w:rsidR="001A0642" w:rsidRPr="00F329EA" w:rsidRDefault="001A0642" w:rsidP="00261D2E">
            <w:pPr>
              <w:tabs>
                <w:tab w:val="left" w:pos="284"/>
              </w:tabs>
              <w:spacing w:line="280" w:lineRule="atLeast"/>
              <w:rPr>
                <w:b/>
                <w:bCs/>
                <w:color w:val="000000"/>
                <w:lang w:eastAsia="lt-LT"/>
              </w:rPr>
            </w:pPr>
          </w:p>
        </w:tc>
        <w:tc>
          <w:tcPr>
            <w:tcW w:w="5096" w:type="dxa"/>
          </w:tcPr>
          <w:p w14:paraId="4F4F56E0" w14:textId="77777777" w:rsidR="001A0642" w:rsidRPr="00F329EA" w:rsidRDefault="00000000" w:rsidP="00261D2E">
            <w:sdt>
              <w:sdtPr>
                <w:rPr>
                  <w:rStyle w:val="Style2"/>
                </w:rPr>
                <w:id w:val="-366596377"/>
                <w15:color w:val="FFCC00"/>
                <w14:checkbox>
                  <w14:checked w14:val="1"/>
                  <w14:checkedState w14:val="2612" w14:font="MS Gothic"/>
                  <w14:uncheckedState w14:val="2610" w14:font="MS Gothic"/>
                </w14:checkbox>
              </w:sdtPr>
              <w:sdtContent>
                <w:r w:rsidR="001A0642" w:rsidRPr="00F329EA">
                  <w:rPr>
                    <w:rStyle w:val="Style2"/>
                    <w:rFonts w:ascii="MS Gothic" w:eastAsia="MS Gothic" w:hAnsi="MS Gothic" w:hint="eastAsia"/>
                  </w:rPr>
                  <w:t>☒</w:t>
                </w:r>
              </w:sdtContent>
            </w:sdt>
            <w:r w:rsidR="001A0642" w:rsidRPr="00F329EA">
              <w:t xml:space="preserve"> 8.3 str. (pilna byla, pagrįsta savais tyrimais) </w:t>
            </w:r>
          </w:p>
          <w:p w14:paraId="31C4ADB6" w14:textId="77777777" w:rsidR="001A0642" w:rsidRPr="00F329EA" w:rsidRDefault="00000000" w:rsidP="00261D2E">
            <w:sdt>
              <w:sdtPr>
                <w:rPr>
                  <w:rStyle w:val="Style2"/>
                </w:rPr>
                <w:id w:val="675462298"/>
                <w15:color w:val="FFCC00"/>
                <w14:checkbox>
                  <w14:checked w14:val="0"/>
                  <w14:checkedState w14:val="2612" w14:font="MS Gothic"/>
                  <w14:uncheckedState w14:val="2610" w14:font="MS Gothic"/>
                </w14:checkbox>
              </w:sdtPr>
              <w:sdtContent>
                <w:r w:rsidR="001A0642" w:rsidRPr="00F329EA">
                  <w:rPr>
                    <w:rStyle w:val="Style2"/>
                    <w:rFonts w:ascii="Segoe UI Symbol" w:eastAsia="MS Gothic" w:hAnsi="Segoe UI Symbol" w:cs="Segoe UI Symbol"/>
                  </w:rPr>
                  <w:t>☐</w:t>
                </w:r>
              </w:sdtContent>
            </w:sdt>
            <w:r w:rsidR="001A0642" w:rsidRPr="00F329EA">
              <w:t xml:space="preserve"> 10 a str. (pripažintas medicininis vartojimas) </w:t>
            </w:r>
          </w:p>
          <w:p w14:paraId="6148ECE4" w14:textId="77777777" w:rsidR="001A0642" w:rsidRPr="00F329EA" w:rsidRDefault="00000000" w:rsidP="00261D2E">
            <w:sdt>
              <w:sdtPr>
                <w:rPr>
                  <w:rStyle w:val="Style2"/>
                </w:rPr>
                <w:id w:val="-1290435890"/>
                <w15:color w:val="FFCC00"/>
                <w14:checkbox>
                  <w14:checked w14:val="0"/>
                  <w14:checkedState w14:val="2612" w14:font="MS Gothic"/>
                  <w14:uncheckedState w14:val="2610" w14:font="MS Gothic"/>
                </w14:checkbox>
              </w:sdtPr>
              <w:sdtContent>
                <w:r w:rsidR="001A0642" w:rsidRPr="00F329EA">
                  <w:rPr>
                    <w:rStyle w:val="Style2"/>
                    <w:rFonts w:ascii="MS Gothic" w:eastAsia="MS Gothic" w:hAnsi="MS Gothic" w:hint="eastAsia"/>
                  </w:rPr>
                  <w:t>☐</w:t>
                </w:r>
              </w:sdtContent>
            </w:sdt>
            <w:r w:rsidR="001A0642" w:rsidRPr="00F329EA">
              <w:t xml:space="preserve"> 10.1 str. (</w:t>
            </w:r>
            <w:proofErr w:type="spellStart"/>
            <w:r w:rsidR="001A0642" w:rsidRPr="00F329EA">
              <w:t>generinis</w:t>
            </w:r>
            <w:proofErr w:type="spellEnd"/>
            <w:r w:rsidR="001A0642" w:rsidRPr="00F329EA">
              <w:t>)</w:t>
            </w:r>
          </w:p>
          <w:p w14:paraId="45B4D57F" w14:textId="77777777" w:rsidR="001A0642" w:rsidRPr="00F329EA" w:rsidRDefault="00000000" w:rsidP="00261D2E">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1A0642" w:rsidRPr="00F329EA">
                  <w:rPr>
                    <w:rStyle w:val="Style2"/>
                    <w:rFonts w:ascii="Segoe UI Symbol" w:eastAsia="MS Gothic" w:hAnsi="Segoe UI Symbol" w:cs="Segoe UI Symbol"/>
                  </w:rPr>
                  <w:t>☐</w:t>
                </w:r>
              </w:sdtContent>
            </w:sdt>
            <w:r w:rsidR="001A0642" w:rsidRPr="00F329EA">
              <w:t xml:space="preserve"> 10.3 str. (hibridinis)</w:t>
            </w:r>
          </w:p>
        </w:tc>
      </w:tr>
      <w:tr w:rsidR="001A0642" w:rsidRPr="00F329EA" w14:paraId="550EFC56" w14:textId="77777777" w:rsidTr="00A445D1">
        <w:trPr>
          <w:trHeight w:val="1109"/>
          <w:jc w:val="center"/>
        </w:trPr>
        <w:tc>
          <w:tcPr>
            <w:tcW w:w="705" w:type="dxa"/>
          </w:tcPr>
          <w:p w14:paraId="5A0A0FBD" w14:textId="77777777" w:rsidR="001A0642" w:rsidRPr="00F329EA" w:rsidRDefault="001A0642" w:rsidP="00261D2E">
            <w:pPr>
              <w:tabs>
                <w:tab w:val="left" w:pos="284"/>
              </w:tabs>
              <w:spacing w:line="280" w:lineRule="atLeast"/>
              <w:rPr>
                <w:rFonts w:eastAsia="Arial"/>
                <w:b/>
              </w:rPr>
            </w:pPr>
            <w:r w:rsidRPr="00F329EA">
              <w:rPr>
                <w:rFonts w:eastAsia="Arial"/>
                <w:b/>
              </w:rPr>
              <w:t>1.4</w:t>
            </w:r>
          </w:p>
        </w:tc>
        <w:tc>
          <w:tcPr>
            <w:tcW w:w="4117" w:type="dxa"/>
          </w:tcPr>
          <w:p w14:paraId="4F0AAF4F"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Ar vaistinis preparatas įrašytas į Bendrijos retųjų vaistinių preparatų registrą?</w:t>
            </w:r>
          </w:p>
          <w:p w14:paraId="67F447E2" w14:textId="77777777" w:rsidR="001A0642" w:rsidRPr="00F329EA" w:rsidRDefault="001A0642" w:rsidP="00261D2E">
            <w:pPr>
              <w:tabs>
                <w:tab w:val="left" w:pos="284"/>
              </w:tabs>
              <w:spacing w:line="280" w:lineRule="atLeast"/>
              <w:rPr>
                <w:bCs/>
                <w:i/>
                <w:color w:val="000000"/>
                <w:lang w:eastAsia="lt-LT"/>
              </w:rPr>
            </w:pPr>
          </w:p>
          <w:p w14:paraId="21768F4E" w14:textId="77777777" w:rsidR="001A0642" w:rsidRPr="00F329EA" w:rsidRDefault="001A0642" w:rsidP="00261D2E">
            <w:pPr>
              <w:tabs>
                <w:tab w:val="left" w:pos="284"/>
              </w:tabs>
              <w:spacing w:line="280" w:lineRule="atLeast"/>
              <w:jc w:val="both"/>
              <w:rPr>
                <w:b/>
                <w:bCs/>
                <w:color w:val="000000"/>
                <w:sz w:val="22"/>
                <w:szCs w:val="22"/>
                <w:lang w:eastAsia="lt-LT"/>
              </w:rPr>
            </w:pPr>
          </w:p>
        </w:tc>
        <w:tc>
          <w:tcPr>
            <w:tcW w:w="5096" w:type="dxa"/>
          </w:tcPr>
          <w:p w14:paraId="5C6473E2" w14:textId="77777777" w:rsidR="001A0642" w:rsidRPr="00F329EA" w:rsidRDefault="00000000" w:rsidP="00261D2E">
            <w:sdt>
              <w:sdtPr>
                <w:rPr>
                  <w:rStyle w:val="Style2"/>
                </w:rPr>
                <w:id w:val="2024432173"/>
                <w15:color w:val="FFCC00"/>
                <w14:checkbox>
                  <w14:checked w14:val="0"/>
                  <w14:checkedState w14:val="2612" w14:font="MS Gothic"/>
                  <w14:uncheckedState w14:val="2610" w14:font="MS Gothic"/>
                </w14:checkbox>
              </w:sdtPr>
              <w:sdtContent>
                <w:r w:rsidR="001A0642" w:rsidRPr="00F329EA">
                  <w:rPr>
                    <w:rStyle w:val="Style2"/>
                    <w:rFonts w:ascii="Segoe UI Symbol" w:eastAsia="MS Gothic" w:hAnsi="Segoe UI Symbol" w:cs="Segoe UI Symbol"/>
                  </w:rPr>
                  <w:t>☐</w:t>
                </w:r>
              </w:sdtContent>
            </w:sdt>
            <w:r w:rsidR="001A0642" w:rsidRPr="00F329EA">
              <w:t xml:space="preserve"> Taip</w:t>
            </w:r>
          </w:p>
          <w:p w14:paraId="14BE890F" w14:textId="77777777" w:rsidR="001A0642" w:rsidRPr="00F329EA" w:rsidRDefault="00000000" w:rsidP="00261D2E">
            <w:sdt>
              <w:sdtPr>
                <w:rPr>
                  <w:rStyle w:val="Style2"/>
                </w:rPr>
                <w:id w:val="-970507926"/>
                <w15:color w:val="FFCC00"/>
                <w14:checkbox>
                  <w14:checked w14:val="1"/>
                  <w14:checkedState w14:val="2612" w14:font="MS Gothic"/>
                  <w14:uncheckedState w14:val="2610" w14:font="MS Gothic"/>
                </w14:checkbox>
              </w:sdtPr>
              <w:sdtContent>
                <w:r w:rsidR="001A0642" w:rsidRPr="00F329EA">
                  <w:rPr>
                    <w:rStyle w:val="Style2"/>
                    <w:rFonts w:ascii="MS Gothic" w:eastAsia="MS Gothic" w:hAnsi="MS Gothic" w:hint="eastAsia"/>
                  </w:rPr>
                  <w:t>☒</w:t>
                </w:r>
              </w:sdtContent>
            </w:sdt>
            <w:r w:rsidR="001A0642" w:rsidRPr="00F329EA">
              <w:t xml:space="preserve"> Ne</w:t>
            </w:r>
          </w:p>
          <w:p w14:paraId="6C9CC3C3" w14:textId="77777777" w:rsidR="001A0642" w:rsidRPr="00F329EA" w:rsidRDefault="00000000" w:rsidP="00261D2E">
            <w:pPr>
              <w:rPr>
                <w:rFonts w:eastAsia="Arial"/>
                <w:b/>
              </w:rPr>
            </w:pPr>
            <w:sdt>
              <w:sdtPr>
                <w:alias w:val="Nurodykite konkrečią dieną"/>
                <w:tag w:val="Nurodykite pradžios datą"/>
                <w:id w:val="693498901"/>
                <w:placeholder>
                  <w:docPart w:val="BAEB045BC3FF144D9D6BD3ED15F8ABB3"/>
                </w:placeholder>
                <w:showingPlcHdr/>
                <w15:color w:val="FFCC99"/>
                <w:date w:fullDate="2022-05-18T00:00:00Z">
                  <w:dateFormat w:val="yyyy 'm.' MMMM d 'd.'"/>
                  <w:lid w:val="lt-LT"/>
                  <w:storeMappedDataAs w:val="dateTime"/>
                  <w:calendar w:val="gregorian"/>
                </w:date>
              </w:sdtPr>
              <w:sdtContent>
                <w:r w:rsidR="001A0642" w:rsidRPr="00F329EA">
                  <w:rPr>
                    <w:rStyle w:val="Vietosrezervavimoenklotekstas"/>
                  </w:rPr>
                  <w:t>Click here to enter a date.</w:t>
                </w:r>
              </w:sdtContent>
            </w:sdt>
          </w:p>
        </w:tc>
      </w:tr>
      <w:tr w:rsidR="00852B6E" w:rsidRPr="00F329EA" w14:paraId="0375CE42" w14:textId="77777777" w:rsidTr="00A445D1">
        <w:trPr>
          <w:trHeight w:val="958"/>
          <w:jc w:val="center"/>
        </w:trPr>
        <w:tc>
          <w:tcPr>
            <w:tcW w:w="705" w:type="dxa"/>
            <w:tcBorders>
              <w:bottom w:val="single" w:sz="4" w:space="0" w:color="auto"/>
            </w:tcBorders>
          </w:tcPr>
          <w:p w14:paraId="3AF349AE" w14:textId="77777777" w:rsidR="00852B6E" w:rsidRPr="00F329EA" w:rsidRDefault="00852B6E" w:rsidP="00852B6E">
            <w:pPr>
              <w:tabs>
                <w:tab w:val="left" w:pos="284"/>
              </w:tabs>
              <w:spacing w:line="280" w:lineRule="atLeast"/>
              <w:rPr>
                <w:rFonts w:eastAsia="Arial"/>
                <w:b/>
              </w:rPr>
            </w:pPr>
            <w:r w:rsidRPr="00F329EA">
              <w:rPr>
                <w:rFonts w:eastAsia="Arial"/>
                <w:b/>
              </w:rPr>
              <w:t>1.5</w:t>
            </w:r>
          </w:p>
        </w:tc>
        <w:tc>
          <w:tcPr>
            <w:tcW w:w="4117" w:type="dxa"/>
            <w:tcBorders>
              <w:bottom w:val="single" w:sz="4" w:space="0" w:color="auto"/>
            </w:tcBorders>
          </w:tcPr>
          <w:p w14:paraId="225E7B45" w14:textId="77777777" w:rsidR="00852B6E" w:rsidRPr="00F329EA" w:rsidRDefault="00852B6E" w:rsidP="00852B6E">
            <w:pPr>
              <w:tabs>
                <w:tab w:val="left" w:pos="284"/>
              </w:tabs>
              <w:spacing w:line="280" w:lineRule="atLeast"/>
              <w:rPr>
                <w:b/>
                <w:bCs/>
                <w:color w:val="000000"/>
                <w:lang w:eastAsia="lt-LT"/>
              </w:rPr>
            </w:pPr>
            <w:r w:rsidRPr="00F329EA">
              <w:rPr>
                <w:b/>
                <w:bCs/>
                <w:color w:val="000000"/>
                <w:lang w:eastAsia="lt-LT"/>
              </w:rPr>
              <w:t>Pareiškėjo teikiama (-</w:t>
            </w:r>
            <w:proofErr w:type="spellStart"/>
            <w:r w:rsidRPr="00F329EA">
              <w:rPr>
                <w:b/>
                <w:bCs/>
                <w:color w:val="000000"/>
                <w:lang w:eastAsia="lt-LT"/>
              </w:rPr>
              <w:t>os</w:t>
            </w:r>
            <w:proofErr w:type="spellEnd"/>
            <w:r w:rsidRPr="00F329EA">
              <w:rPr>
                <w:b/>
                <w:bCs/>
                <w:color w:val="000000"/>
                <w:lang w:eastAsia="lt-LT"/>
              </w:rPr>
              <w:t>) kompensuoti preparato indikacija (-</w:t>
            </w:r>
            <w:proofErr w:type="spellStart"/>
            <w:r w:rsidRPr="00F329EA">
              <w:rPr>
                <w:b/>
                <w:bCs/>
                <w:color w:val="000000"/>
                <w:lang w:eastAsia="lt-LT"/>
              </w:rPr>
              <w:t>os</w:t>
            </w:r>
            <w:proofErr w:type="spellEnd"/>
            <w:r w:rsidRPr="00F329EA">
              <w:rPr>
                <w:b/>
                <w:bCs/>
                <w:color w:val="000000"/>
                <w:lang w:eastAsia="lt-LT"/>
              </w:rPr>
              <w:t>)</w:t>
            </w:r>
          </w:p>
          <w:p w14:paraId="1DABBE7D" w14:textId="77777777" w:rsidR="00852B6E" w:rsidRPr="00F329EA" w:rsidRDefault="00852B6E" w:rsidP="00852B6E">
            <w:pPr>
              <w:tabs>
                <w:tab w:val="left" w:pos="284"/>
              </w:tabs>
              <w:spacing w:line="280" w:lineRule="atLeast"/>
              <w:rPr>
                <w:b/>
                <w:bCs/>
                <w:color w:val="000000"/>
                <w:lang w:eastAsia="lt-LT"/>
              </w:rPr>
            </w:pPr>
            <w:r w:rsidRPr="00F329EA">
              <w:rPr>
                <w:b/>
                <w:bCs/>
                <w:color w:val="000000"/>
                <w:lang w:eastAsia="lt-LT"/>
              </w:rPr>
              <w:t xml:space="preserve">Kodas pagal TLK-10 AM  </w:t>
            </w:r>
          </w:p>
        </w:tc>
        <w:tc>
          <w:tcPr>
            <w:tcW w:w="5096" w:type="dxa"/>
            <w:tcBorders>
              <w:bottom w:val="single" w:sz="4" w:space="0" w:color="auto"/>
            </w:tcBorders>
          </w:tcPr>
          <w:p w14:paraId="25853CAF" w14:textId="1B1D63A3" w:rsidR="00852B6E" w:rsidRPr="00F329EA" w:rsidRDefault="00852B6E" w:rsidP="00852B6E">
            <w:pPr>
              <w:pStyle w:val="Sraopastraipa"/>
              <w:spacing w:after="120"/>
              <w:ind w:left="0"/>
              <w:contextualSpacing w:val="0"/>
              <w:jc w:val="both"/>
            </w:pPr>
            <w:r w:rsidRPr="000840AB">
              <w:rPr>
                <w:rFonts w:eastAsia="TimesNewRoman"/>
              </w:rPr>
              <w:t xml:space="preserve">RINVOQ yra skiriamas suaugusiems pacientams aktyviam </w:t>
            </w:r>
            <w:proofErr w:type="spellStart"/>
            <w:r w:rsidRPr="000840AB">
              <w:rPr>
                <w:rFonts w:eastAsia="TimesNewRoman"/>
              </w:rPr>
              <w:t>ankiloziniam</w:t>
            </w:r>
            <w:proofErr w:type="spellEnd"/>
            <w:r w:rsidRPr="000840AB">
              <w:rPr>
                <w:rFonts w:eastAsia="TimesNewRoman"/>
              </w:rPr>
              <w:t xml:space="preserve"> </w:t>
            </w:r>
            <w:proofErr w:type="spellStart"/>
            <w:r w:rsidRPr="000840AB">
              <w:rPr>
                <w:rFonts w:eastAsia="TimesNewRoman"/>
              </w:rPr>
              <w:t>spondilitui</w:t>
            </w:r>
            <w:proofErr w:type="spellEnd"/>
            <w:r w:rsidRPr="000840AB">
              <w:rPr>
                <w:rFonts w:eastAsia="TimesNewRoman"/>
              </w:rPr>
              <w:t xml:space="preserve"> gydyti, jeigu atsakas į </w:t>
            </w:r>
            <w:proofErr w:type="spellStart"/>
            <w:r w:rsidRPr="000840AB">
              <w:rPr>
                <w:rFonts w:eastAsia="TimesNewRoman"/>
              </w:rPr>
              <w:t>įprasta</w:t>
            </w:r>
            <w:proofErr w:type="spellEnd"/>
            <w:r w:rsidRPr="000840AB">
              <w:rPr>
                <w:rFonts w:eastAsia="TimesNewRoman"/>
              </w:rPr>
              <w:t xml:space="preserve">̨ </w:t>
            </w:r>
            <w:proofErr w:type="spellStart"/>
            <w:r w:rsidRPr="000840AB">
              <w:rPr>
                <w:rFonts w:eastAsia="TimesNewRoman"/>
              </w:rPr>
              <w:t>gydyma</w:t>
            </w:r>
            <w:proofErr w:type="spellEnd"/>
            <w:r w:rsidRPr="000840AB">
              <w:rPr>
                <w:rFonts w:eastAsia="TimesNewRoman"/>
              </w:rPr>
              <w:t xml:space="preserve">̨ buvo nepakankamas. </w:t>
            </w:r>
          </w:p>
        </w:tc>
      </w:tr>
      <w:tr w:rsidR="00852B6E" w:rsidRPr="00F329EA" w14:paraId="04D2B2BE" w14:textId="77777777" w:rsidTr="00A445D1">
        <w:trPr>
          <w:trHeight w:val="479"/>
          <w:jc w:val="center"/>
        </w:trPr>
        <w:tc>
          <w:tcPr>
            <w:tcW w:w="705" w:type="dxa"/>
            <w:tcBorders>
              <w:top w:val="single" w:sz="4" w:space="0" w:color="auto"/>
              <w:left w:val="single" w:sz="4" w:space="0" w:color="auto"/>
              <w:bottom w:val="single" w:sz="4" w:space="0" w:color="auto"/>
              <w:right w:val="single" w:sz="4" w:space="0" w:color="auto"/>
            </w:tcBorders>
          </w:tcPr>
          <w:p w14:paraId="597674CB" w14:textId="77777777" w:rsidR="00852B6E" w:rsidRPr="00F329EA" w:rsidRDefault="00852B6E" w:rsidP="00852B6E">
            <w:pPr>
              <w:tabs>
                <w:tab w:val="left" w:pos="284"/>
              </w:tabs>
              <w:spacing w:line="280" w:lineRule="atLeast"/>
              <w:rPr>
                <w:rFonts w:eastAsia="Arial"/>
                <w:b/>
              </w:rPr>
            </w:pPr>
            <w:r w:rsidRPr="00F329EA">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306B8024" w14:textId="009EA7F3" w:rsidR="00852B6E" w:rsidRPr="00F329EA" w:rsidRDefault="00852B6E" w:rsidP="00852B6E">
            <w:pPr>
              <w:tabs>
                <w:tab w:val="left" w:pos="284"/>
              </w:tabs>
              <w:spacing w:line="280" w:lineRule="atLeast"/>
              <w:rPr>
                <w:bCs/>
                <w:color w:val="000000"/>
                <w:u w:val="single"/>
                <w:lang w:eastAsia="lt-LT"/>
              </w:rPr>
            </w:pPr>
            <w:r w:rsidRPr="00F329EA">
              <w:rPr>
                <w:b/>
                <w:bCs/>
                <w:color w:val="000000"/>
                <w:lang w:eastAsia="lt-LT"/>
              </w:rPr>
              <w:t xml:space="preserve">Teikiamos skyrimo sąlygos </w:t>
            </w:r>
          </w:p>
        </w:tc>
        <w:tc>
          <w:tcPr>
            <w:tcW w:w="5096" w:type="dxa"/>
            <w:tcBorders>
              <w:top w:val="single" w:sz="4" w:space="0" w:color="auto"/>
              <w:left w:val="single" w:sz="4" w:space="0" w:color="auto"/>
              <w:bottom w:val="single" w:sz="4" w:space="0" w:color="auto"/>
              <w:right w:val="single" w:sz="4" w:space="0" w:color="auto"/>
            </w:tcBorders>
          </w:tcPr>
          <w:p w14:paraId="271FAA3D" w14:textId="518429BF" w:rsidR="00852B6E" w:rsidRPr="00F329EA" w:rsidRDefault="00852B6E" w:rsidP="00852B6E">
            <w:pPr>
              <w:spacing w:line="276" w:lineRule="auto"/>
              <w:jc w:val="both"/>
            </w:pPr>
            <w:r w:rsidRPr="00D947F4">
              <w:rPr>
                <w:rFonts w:eastAsia="TimesNewRoman"/>
              </w:rPr>
              <w:t>R</w:t>
            </w:r>
            <w:r>
              <w:rPr>
                <w:rFonts w:eastAsia="TimesNewRoman"/>
              </w:rPr>
              <w:t>INVOQ</w:t>
            </w:r>
            <w:r w:rsidRPr="00D947F4">
              <w:rPr>
                <w:rFonts w:eastAsia="TimesNewRoman"/>
              </w:rPr>
              <w:t xml:space="preserve"> yra skiriamas suaugusiems pacientams aktyviam </w:t>
            </w:r>
            <w:proofErr w:type="spellStart"/>
            <w:r w:rsidRPr="00D947F4">
              <w:rPr>
                <w:rFonts w:eastAsia="TimesNewRoman"/>
              </w:rPr>
              <w:t>ankiloziniam</w:t>
            </w:r>
            <w:proofErr w:type="spellEnd"/>
            <w:r w:rsidRPr="00D947F4">
              <w:rPr>
                <w:rFonts w:eastAsia="TimesNewRoman"/>
              </w:rPr>
              <w:t xml:space="preserve"> </w:t>
            </w:r>
            <w:proofErr w:type="spellStart"/>
            <w:r w:rsidRPr="00D947F4">
              <w:rPr>
                <w:rFonts w:eastAsia="TimesNewRoman"/>
              </w:rPr>
              <w:t>spondilitui</w:t>
            </w:r>
            <w:proofErr w:type="spellEnd"/>
            <w:r w:rsidRPr="00D947F4">
              <w:rPr>
                <w:rFonts w:eastAsia="TimesNewRoman"/>
              </w:rPr>
              <w:t xml:space="preserve"> gydyti, jei gydant vienu ar daugiau biologinių ligą modifikuojančių vaistinių preparatų (</w:t>
            </w:r>
            <w:proofErr w:type="spellStart"/>
            <w:r w:rsidRPr="00D947F4">
              <w:rPr>
                <w:rFonts w:eastAsia="TimesNewRoman"/>
              </w:rPr>
              <w:t>bLMV</w:t>
            </w:r>
            <w:proofErr w:type="spellEnd"/>
            <w:r w:rsidRPr="00D947F4">
              <w:rPr>
                <w:rFonts w:eastAsia="TimesNewRoman"/>
              </w:rPr>
              <w:t>)  gydymas buvo nepakankamas.</w:t>
            </w:r>
          </w:p>
        </w:tc>
      </w:tr>
      <w:tr w:rsidR="001A0642" w:rsidRPr="00516FF8" w14:paraId="0AC37291" w14:textId="77777777" w:rsidTr="00A445D1">
        <w:trPr>
          <w:trHeight w:val="479"/>
          <w:jc w:val="center"/>
        </w:trPr>
        <w:tc>
          <w:tcPr>
            <w:tcW w:w="705" w:type="dxa"/>
            <w:tcBorders>
              <w:top w:val="single" w:sz="4" w:space="0" w:color="auto"/>
              <w:left w:val="single" w:sz="4" w:space="0" w:color="auto"/>
              <w:bottom w:val="single" w:sz="4" w:space="0" w:color="auto"/>
              <w:right w:val="single" w:sz="4" w:space="0" w:color="auto"/>
            </w:tcBorders>
          </w:tcPr>
          <w:p w14:paraId="221FC891" w14:textId="77777777" w:rsidR="001A0642" w:rsidRPr="00F329EA" w:rsidRDefault="001A0642" w:rsidP="00261D2E">
            <w:pPr>
              <w:tabs>
                <w:tab w:val="left" w:pos="284"/>
              </w:tabs>
              <w:spacing w:line="280" w:lineRule="atLeast"/>
              <w:rPr>
                <w:rFonts w:eastAsia="Arial"/>
                <w:b/>
              </w:rPr>
            </w:pPr>
            <w:r w:rsidRPr="00F329EA">
              <w:rPr>
                <w:rFonts w:eastAsia="Arial"/>
                <w:b/>
              </w:rPr>
              <w:lastRenderedPageBreak/>
              <w:t>1.7</w:t>
            </w:r>
          </w:p>
        </w:tc>
        <w:tc>
          <w:tcPr>
            <w:tcW w:w="4117" w:type="dxa"/>
            <w:tcBorders>
              <w:top w:val="single" w:sz="4" w:space="0" w:color="auto"/>
              <w:left w:val="single" w:sz="4" w:space="0" w:color="auto"/>
              <w:bottom w:val="single" w:sz="4" w:space="0" w:color="auto"/>
              <w:right w:val="single" w:sz="4" w:space="0" w:color="auto"/>
            </w:tcBorders>
          </w:tcPr>
          <w:p w14:paraId="385E163A" w14:textId="317340DA" w:rsidR="001A0642" w:rsidRPr="00F329EA" w:rsidRDefault="0026788C" w:rsidP="00261D2E">
            <w:pPr>
              <w:tabs>
                <w:tab w:val="left" w:pos="284"/>
              </w:tabs>
              <w:spacing w:line="280" w:lineRule="atLeast"/>
              <w:rPr>
                <w:b/>
                <w:bCs/>
                <w:color w:val="000000"/>
                <w:lang w:eastAsia="lt-LT"/>
              </w:rPr>
            </w:pPr>
            <w:r w:rsidRPr="00F329EA">
              <w:rPr>
                <w:b/>
              </w:rPr>
              <w:t>Palyginamasis gydymas</w:t>
            </w:r>
          </w:p>
        </w:tc>
        <w:tc>
          <w:tcPr>
            <w:tcW w:w="5096" w:type="dxa"/>
            <w:tcBorders>
              <w:top w:val="single" w:sz="4" w:space="0" w:color="auto"/>
              <w:left w:val="single" w:sz="4" w:space="0" w:color="auto"/>
              <w:bottom w:val="single" w:sz="4" w:space="0" w:color="auto"/>
              <w:right w:val="single" w:sz="4" w:space="0" w:color="auto"/>
            </w:tcBorders>
          </w:tcPr>
          <w:p w14:paraId="466E2663" w14:textId="2CC9D34D" w:rsidR="001A0642" w:rsidRPr="00F329EA" w:rsidRDefault="0026788C" w:rsidP="00261D2E">
            <w:pPr>
              <w:rPr>
                <w:rStyle w:val="Style2"/>
                <w:sz w:val="24"/>
              </w:rPr>
            </w:pPr>
            <w:proofErr w:type="spellStart"/>
            <w:r w:rsidRPr="00F329EA">
              <w:rPr>
                <w:rStyle w:val="Style2"/>
                <w:sz w:val="24"/>
              </w:rPr>
              <w:t>Sekukinumabas</w:t>
            </w:r>
            <w:proofErr w:type="spellEnd"/>
          </w:p>
        </w:tc>
      </w:tr>
    </w:tbl>
    <w:p w14:paraId="108176F7" w14:textId="640C6F75" w:rsidR="00F70C9E" w:rsidRDefault="00F70C9E" w:rsidP="00E03C3F">
      <w:pPr>
        <w:pStyle w:val="Sraopastraipa"/>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240D62">
        <w:rPr>
          <w:rFonts w:eastAsia="Arial"/>
          <w:b/>
        </w:rPr>
        <w:t xml:space="preserve">1.8 Kitų </w:t>
      </w:r>
      <w:r w:rsidR="00DF583C" w:rsidRPr="00240D62">
        <w:rPr>
          <w:rFonts w:eastAsia="Arial"/>
          <w:b/>
        </w:rPr>
        <w:t xml:space="preserve">valstybių </w:t>
      </w:r>
      <w:r w:rsidRPr="00240D62">
        <w:rPr>
          <w:rFonts w:eastAsia="Arial"/>
          <w:b/>
        </w:rPr>
        <w:t xml:space="preserve">atsakingų institucijų atlikto </w:t>
      </w:r>
      <w:r w:rsidR="00DF583C" w:rsidRPr="00240D62">
        <w:rPr>
          <w:rFonts w:eastAsia="Arial"/>
          <w:b/>
        </w:rPr>
        <w:t>Sveikatos technologijų vertinimo (toliau – STV)</w:t>
      </w:r>
      <w:r w:rsidRPr="00240D62">
        <w:rPr>
          <w:rFonts w:eastAsia="Arial"/>
          <w:b/>
        </w:rPr>
        <w:t xml:space="preserve"> išvados</w:t>
      </w:r>
    </w:p>
    <w:p w14:paraId="30721FDD" w14:textId="77777777" w:rsidR="00F70C9E" w:rsidRDefault="00F70C9E" w:rsidP="00F70C9E">
      <w:pPr>
        <w:spacing w:line="276" w:lineRule="auto"/>
        <w:rPr>
          <w:rFonts w:eastAsia="Arial"/>
        </w:rPr>
      </w:pPr>
    </w:p>
    <w:tbl>
      <w:tblPr>
        <w:tblStyle w:val="Lentelstinklelis"/>
        <w:tblW w:w="10124" w:type="dxa"/>
        <w:tblInd w:w="-431" w:type="dxa"/>
        <w:tblLook w:val="04A0" w:firstRow="1" w:lastRow="0" w:firstColumn="1" w:lastColumn="0" w:noHBand="0" w:noVBand="1"/>
      </w:tblPr>
      <w:tblGrid>
        <w:gridCol w:w="2872"/>
        <w:gridCol w:w="1857"/>
        <w:gridCol w:w="3179"/>
        <w:gridCol w:w="2216"/>
      </w:tblGrid>
      <w:tr w:rsidR="00240D62" w:rsidRPr="00D05364" w14:paraId="5DA6FA3D" w14:textId="77777777" w:rsidTr="00240D62">
        <w:trPr>
          <w:trHeight w:val="924"/>
        </w:trPr>
        <w:tc>
          <w:tcPr>
            <w:tcW w:w="2872" w:type="dxa"/>
          </w:tcPr>
          <w:p w14:paraId="13C3EE76" w14:textId="77777777" w:rsidR="00240D62" w:rsidRPr="00D05364" w:rsidRDefault="00240D62" w:rsidP="0084063F">
            <w:pPr>
              <w:spacing w:line="276" w:lineRule="auto"/>
              <w:rPr>
                <w:rFonts w:eastAsia="Arial"/>
              </w:rPr>
            </w:pPr>
            <w:r w:rsidRPr="00D05364">
              <w:rPr>
                <w:rFonts w:eastAsia="Arial"/>
              </w:rPr>
              <w:t>STV agentūros pavadinimas, šalis</w:t>
            </w:r>
          </w:p>
        </w:tc>
        <w:tc>
          <w:tcPr>
            <w:tcW w:w="1857" w:type="dxa"/>
          </w:tcPr>
          <w:p w14:paraId="5E9FEBE6" w14:textId="77777777" w:rsidR="00240D62" w:rsidRPr="00D05364" w:rsidRDefault="00240D62" w:rsidP="0084063F">
            <w:pPr>
              <w:spacing w:line="276" w:lineRule="auto"/>
              <w:rPr>
                <w:rFonts w:eastAsia="Arial"/>
              </w:rPr>
            </w:pPr>
            <w:r w:rsidRPr="00D05364">
              <w:rPr>
                <w:rFonts w:eastAsia="Arial"/>
              </w:rPr>
              <w:t>STV vertinimas atliktas</w:t>
            </w:r>
          </w:p>
        </w:tc>
        <w:tc>
          <w:tcPr>
            <w:tcW w:w="3179" w:type="dxa"/>
          </w:tcPr>
          <w:p w14:paraId="3829B7E3" w14:textId="77777777" w:rsidR="00240D62" w:rsidRPr="00D05364" w:rsidRDefault="00240D62" w:rsidP="0084063F">
            <w:pPr>
              <w:spacing w:line="276" w:lineRule="auto"/>
              <w:rPr>
                <w:rFonts w:eastAsia="Arial"/>
              </w:rPr>
            </w:pPr>
            <w:r w:rsidRPr="00D05364">
              <w:rPr>
                <w:rFonts w:eastAsia="Arial"/>
              </w:rPr>
              <w:t>Klinikinio vertinimo išvada</w:t>
            </w:r>
          </w:p>
        </w:tc>
        <w:tc>
          <w:tcPr>
            <w:tcW w:w="2216" w:type="dxa"/>
          </w:tcPr>
          <w:p w14:paraId="3380576F" w14:textId="77777777" w:rsidR="00240D62" w:rsidRPr="00D05364" w:rsidRDefault="00240D62" w:rsidP="0084063F">
            <w:pPr>
              <w:spacing w:line="276" w:lineRule="auto"/>
              <w:rPr>
                <w:rFonts w:eastAsia="Arial"/>
              </w:rPr>
            </w:pPr>
            <w:r w:rsidRPr="004C2C4B">
              <w:rPr>
                <w:rFonts w:eastAsia="Arial"/>
              </w:rPr>
              <w:t>Farmakoekonominio vertinimo išvada</w:t>
            </w:r>
          </w:p>
        </w:tc>
      </w:tr>
      <w:tr w:rsidR="00240D62" w:rsidRPr="00D05364" w14:paraId="37334807" w14:textId="77777777" w:rsidTr="00240D62">
        <w:trPr>
          <w:trHeight w:val="1765"/>
        </w:trPr>
        <w:tc>
          <w:tcPr>
            <w:tcW w:w="2872" w:type="dxa"/>
          </w:tcPr>
          <w:p w14:paraId="69DAE9D9" w14:textId="77777777" w:rsidR="00240D62" w:rsidRPr="00D05364" w:rsidRDefault="00240D62" w:rsidP="0084063F">
            <w:pPr>
              <w:autoSpaceDE w:val="0"/>
              <w:autoSpaceDN w:val="0"/>
              <w:adjustRightInd w:val="0"/>
              <w:rPr>
                <w:bCs/>
              </w:rPr>
            </w:pPr>
            <w:r w:rsidRPr="00D05364">
              <w:rPr>
                <w:bCs/>
              </w:rPr>
              <w:t>Nacionalinis sveikatos ir klinikinės kompetencijos institutas, Didžioji Britanija</w:t>
            </w:r>
          </w:p>
          <w:p w14:paraId="0E4A150F" w14:textId="77777777" w:rsidR="00240D62" w:rsidRPr="00D05364" w:rsidRDefault="00240D62" w:rsidP="0084063F">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857" w:type="dxa"/>
          </w:tcPr>
          <w:p w14:paraId="4B169127" w14:textId="77777777" w:rsidR="00240D62" w:rsidRPr="00D05364" w:rsidRDefault="00000000" w:rsidP="0084063F">
            <w:sdt>
              <w:sdtPr>
                <w:rPr>
                  <w:rStyle w:val="Style2"/>
                </w:rPr>
                <w:id w:val="941655713"/>
                <w15:color w:val="FFCC00"/>
                <w14:checkbox>
                  <w14:checked w14:val="1"/>
                  <w14:checkedState w14:val="2612" w14:font="MS Gothic"/>
                  <w14:uncheckedState w14:val="2610" w14:font="MS Gothic"/>
                </w14:checkbox>
              </w:sdtPr>
              <w:sdtContent>
                <w:r w:rsidR="00240D62">
                  <w:rPr>
                    <w:rStyle w:val="Style2"/>
                    <w:rFonts w:ascii="MS Gothic" w:eastAsia="MS Gothic" w:hAnsi="MS Gothic" w:hint="eastAsia"/>
                  </w:rPr>
                  <w:t>☒</w:t>
                </w:r>
              </w:sdtContent>
            </w:sdt>
            <w:r w:rsidR="00240D62" w:rsidRPr="00D05364">
              <w:t xml:space="preserve"> Taip</w:t>
            </w:r>
          </w:p>
          <w:p w14:paraId="3BCB618E" w14:textId="77777777" w:rsidR="00240D62" w:rsidRPr="00D05364" w:rsidRDefault="00000000" w:rsidP="0084063F">
            <w:sdt>
              <w:sdtPr>
                <w:rPr>
                  <w:rStyle w:val="Style2"/>
                </w:rPr>
                <w:id w:val="965469950"/>
                <w15:color w:val="FFCC00"/>
                <w14:checkbox>
                  <w14:checked w14:val="0"/>
                  <w14:checkedState w14:val="2612" w14:font="MS Gothic"/>
                  <w14:uncheckedState w14:val="2610" w14:font="MS Gothic"/>
                </w14:checkbox>
              </w:sdtPr>
              <w:sdtContent>
                <w:r w:rsidR="00240D62">
                  <w:rPr>
                    <w:rStyle w:val="Style2"/>
                    <w:rFonts w:ascii="MS Gothic" w:eastAsia="MS Gothic" w:hAnsi="MS Gothic" w:hint="eastAsia"/>
                  </w:rPr>
                  <w:t>☐</w:t>
                </w:r>
              </w:sdtContent>
            </w:sdt>
            <w:r w:rsidR="00240D62" w:rsidRPr="00D05364">
              <w:t xml:space="preserve"> Ne</w:t>
            </w:r>
          </w:p>
          <w:p w14:paraId="046A5D01" w14:textId="77777777" w:rsidR="00240D62" w:rsidRPr="00D05364" w:rsidRDefault="00000000" w:rsidP="0084063F">
            <w:pPr>
              <w:rPr>
                <w:rFonts w:eastAsia="Arial"/>
              </w:rPr>
            </w:pPr>
            <w:sdt>
              <w:sdtPr>
                <w:alias w:val="Nurodykite konkrečią dieną"/>
                <w:tag w:val="Nurodykite pradžios datą"/>
                <w:id w:val="304677642"/>
                <w:placeholder>
                  <w:docPart w:val="66FBD8BF19962E409C2183387E30EF86"/>
                </w:placeholder>
                <w15:color w:val="FFCC99"/>
                <w:date w:fullDate="2022-09-30T00:00:00Z">
                  <w:dateFormat w:val="yyyy 'm.' MMMM d 'd.'"/>
                  <w:lid w:val="lt-LT"/>
                  <w:storeMappedDataAs w:val="dateTime"/>
                  <w:calendar w:val="gregorian"/>
                </w:date>
              </w:sdtPr>
              <w:sdtContent>
                <w:r w:rsidR="00240D62">
                  <w:t>2022 m. rugsėjo 30 d.</w:t>
                </w:r>
              </w:sdtContent>
            </w:sdt>
          </w:p>
        </w:tc>
        <w:tc>
          <w:tcPr>
            <w:tcW w:w="3179" w:type="dxa"/>
          </w:tcPr>
          <w:p w14:paraId="7F7EAFB9" w14:textId="77777777" w:rsidR="00240D62" w:rsidRPr="00D05364" w:rsidRDefault="00240D62" w:rsidP="0084063F">
            <w:pPr>
              <w:spacing w:line="276" w:lineRule="auto"/>
              <w:rPr>
                <w:rFonts w:eastAsia="Arial"/>
              </w:rPr>
            </w:pPr>
            <w:proofErr w:type="spellStart"/>
            <w:r w:rsidRPr="00D30005">
              <w:rPr>
                <w:rFonts w:eastAsia="Arial"/>
              </w:rPr>
              <w:t>Upadacitinibas</w:t>
            </w:r>
            <w:proofErr w:type="spellEnd"/>
            <w:r w:rsidRPr="00D30005">
              <w:rPr>
                <w:rFonts w:eastAsia="Arial"/>
              </w:rPr>
              <w:t xml:space="preserve"> rekomenduojamas suaugusiųjų aktyviam </w:t>
            </w:r>
            <w:proofErr w:type="spellStart"/>
            <w:r w:rsidRPr="00D30005">
              <w:rPr>
                <w:rFonts w:eastAsia="Arial"/>
              </w:rPr>
              <w:t>ankiloziniam</w:t>
            </w:r>
            <w:proofErr w:type="spellEnd"/>
            <w:r w:rsidRPr="00D30005">
              <w:rPr>
                <w:rFonts w:eastAsia="Arial"/>
              </w:rPr>
              <w:t xml:space="preserve"> </w:t>
            </w:r>
            <w:proofErr w:type="spellStart"/>
            <w:r w:rsidRPr="00D30005">
              <w:rPr>
                <w:rFonts w:eastAsia="Arial"/>
              </w:rPr>
              <w:t>spondilitui</w:t>
            </w:r>
            <w:proofErr w:type="spellEnd"/>
            <w:r w:rsidRPr="00D30005">
              <w:rPr>
                <w:rFonts w:eastAsia="Arial"/>
              </w:rPr>
              <w:t xml:space="preserve">, kuris nėra pakankamai gerai kontroliuojamas įprastiniu gydymu, gydyti, tik jei: naviko nekrozės faktoriaus (TNF) alfa inhibitoriai netinka arba nepakankamai gerai kontroliuoja būklę ir bendrovė </w:t>
            </w:r>
            <w:r>
              <w:rPr>
                <w:rFonts w:eastAsia="Arial"/>
              </w:rPr>
              <w:t xml:space="preserve">tiekia </w:t>
            </w:r>
            <w:proofErr w:type="spellStart"/>
            <w:r w:rsidRPr="00D30005">
              <w:rPr>
                <w:rFonts w:eastAsia="Arial"/>
              </w:rPr>
              <w:t>upadacitinib</w:t>
            </w:r>
            <w:r>
              <w:rPr>
                <w:rFonts w:eastAsia="Arial"/>
              </w:rPr>
              <w:t>ą</w:t>
            </w:r>
            <w:proofErr w:type="spellEnd"/>
            <w:r w:rsidRPr="00D30005">
              <w:rPr>
                <w:rFonts w:eastAsia="Arial"/>
              </w:rPr>
              <w:t xml:space="preserve"> pagal komercinį susitarimą.</w:t>
            </w:r>
          </w:p>
        </w:tc>
        <w:tc>
          <w:tcPr>
            <w:tcW w:w="2216" w:type="dxa"/>
          </w:tcPr>
          <w:p w14:paraId="3A284D89" w14:textId="77777777" w:rsidR="00240D62" w:rsidRPr="00D05364" w:rsidRDefault="00240D62" w:rsidP="0084063F">
            <w:pPr>
              <w:spacing w:line="276" w:lineRule="auto"/>
              <w:rPr>
                <w:rFonts w:eastAsia="Arial"/>
              </w:rPr>
            </w:pPr>
          </w:p>
        </w:tc>
      </w:tr>
      <w:tr w:rsidR="00240D62" w:rsidRPr="00D05364" w14:paraId="4407C2AC" w14:textId="77777777" w:rsidTr="00240D62">
        <w:trPr>
          <w:trHeight w:val="1547"/>
        </w:trPr>
        <w:tc>
          <w:tcPr>
            <w:tcW w:w="2872" w:type="dxa"/>
          </w:tcPr>
          <w:p w14:paraId="455F046B" w14:textId="77777777" w:rsidR="00240D62" w:rsidRPr="00D05364" w:rsidRDefault="00240D62" w:rsidP="0084063F">
            <w:pPr>
              <w:spacing w:line="276" w:lineRule="auto"/>
              <w:rPr>
                <w:rFonts w:eastAsia="Arial"/>
              </w:rPr>
            </w:pPr>
            <w:r w:rsidRPr="00D05364">
              <w:rPr>
                <w:rFonts w:eastAsia="Arial"/>
              </w:rPr>
              <w:t>Kanados sveikatos technologijų agentūra</w:t>
            </w:r>
          </w:p>
          <w:p w14:paraId="69394879" w14:textId="77777777" w:rsidR="00240D62" w:rsidRPr="00D05364" w:rsidRDefault="00240D62" w:rsidP="0084063F">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857" w:type="dxa"/>
          </w:tcPr>
          <w:p w14:paraId="559E2E5C" w14:textId="77777777" w:rsidR="00240D62" w:rsidRPr="00D05364" w:rsidRDefault="00000000" w:rsidP="0084063F">
            <w:sdt>
              <w:sdtPr>
                <w:rPr>
                  <w:rStyle w:val="Style2"/>
                </w:rPr>
                <w:id w:val="-823201798"/>
                <w15:color w:val="FFCC00"/>
                <w14:checkbox>
                  <w14:checked w14:val="0"/>
                  <w14:checkedState w14:val="2612" w14:font="MS Gothic"/>
                  <w14:uncheckedState w14:val="2610" w14:font="MS Gothic"/>
                </w14:checkbox>
              </w:sdtPr>
              <w:sdtContent>
                <w:r w:rsidR="00240D62" w:rsidRPr="00D05364">
                  <w:rPr>
                    <w:rStyle w:val="Style2"/>
                    <w:rFonts w:ascii="Segoe UI Symbol" w:eastAsia="MS Gothic" w:hAnsi="Segoe UI Symbol" w:cs="Segoe UI Symbol"/>
                  </w:rPr>
                  <w:t>☐</w:t>
                </w:r>
              </w:sdtContent>
            </w:sdt>
            <w:r w:rsidR="00240D62" w:rsidRPr="00D05364">
              <w:t xml:space="preserve"> Taip</w:t>
            </w:r>
          </w:p>
          <w:p w14:paraId="3065688C" w14:textId="77777777" w:rsidR="00240D62" w:rsidRPr="00D05364" w:rsidRDefault="00000000" w:rsidP="0084063F">
            <w:sdt>
              <w:sdtPr>
                <w:rPr>
                  <w:rStyle w:val="Style2"/>
                </w:rPr>
                <w:id w:val="-936837472"/>
                <w15:color w:val="FFCC00"/>
                <w14:checkbox>
                  <w14:checked w14:val="1"/>
                  <w14:checkedState w14:val="2612" w14:font="MS Gothic"/>
                  <w14:uncheckedState w14:val="2610" w14:font="MS Gothic"/>
                </w14:checkbox>
              </w:sdtPr>
              <w:sdtContent>
                <w:r w:rsidR="00240D62">
                  <w:rPr>
                    <w:rStyle w:val="Style2"/>
                    <w:rFonts w:ascii="MS Gothic" w:eastAsia="MS Gothic" w:hAnsi="MS Gothic" w:hint="eastAsia"/>
                  </w:rPr>
                  <w:t>☒</w:t>
                </w:r>
              </w:sdtContent>
            </w:sdt>
            <w:r w:rsidR="00240D62" w:rsidRPr="00D05364">
              <w:t xml:space="preserve"> Ne</w:t>
            </w:r>
          </w:p>
          <w:p w14:paraId="3D6896A1" w14:textId="77777777" w:rsidR="00240D62" w:rsidRPr="00D05364" w:rsidRDefault="00000000" w:rsidP="0084063F">
            <w:pPr>
              <w:spacing w:line="276" w:lineRule="auto"/>
              <w:rPr>
                <w:rFonts w:eastAsia="Arial"/>
              </w:rPr>
            </w:pPr>
            <w:sdt>
              <w:sdtPr>
                <w:alias w:val="Nurodykite konkrečią dieną"/>
                <w:tag w:val="Nurodykite pradžios datą"/>
                <w:id w:val="-1609032184"/>
                <w:placeholder>
                  <w:docPart w:val="54CBFBD745B0B549951F12CA9A6F5D19"/>
                </w:placeholder>
                <w:showingPlcHdr/>
                <w15:color w:val="FFCC99"/>
                <w:date w:fullDate="2022-05-18T00:00:00Z">
                  <w:dateFormat w:val="yyyy 'm.' MMMM d 'd.'"/>
                  <w:lid w:val="lt-LT"/>
                  <w:storeMappedDataAs w:val="dateTime"/>
                  <w:calendar w:val="gregorian"/>
                </w:date>
              </w:sdtPr>
              <w:sdtContent>
                <w:r w:rsidR="00240D62">
                  <w:rPr>
                    <w:rStyle w:val="Vietosrezervavimoenklotekstas"/>
                  </w:rPr>
                  <w:t>Click here to enter a date.</w:t>
                </w:r>
              </w:sdtContent>
            </w:sdt>
          </w:p>
        </w:tc>
        <w:tc>
          <w:tcPr>
            <w:tcW w:w="3179" w:type="dxa"/>
          </w:tcPr>
          <w:p w14:paraId="70677B2C" w14:textId="77777777" w:rsidR="00240D62" w:rsidRPr="00D05364" w:rsidRDefault="00240D62" w:rsidP="0084063F">
            <w:pPr>
              <w:spacing w:line="276" w:lineRule="auto"/>
              <w:rPr>
                <w:rFonts w:eastAsia="Arial"/>
              </w:rPr>
            </w:pPr>
            <w:r>
              <w:rPr>
                <w:rFonts w:eastAsia="Arial"/>
              </w:rPr>
              <w:t>Šiuo metu vyksta vertinimas.</w:t>
            </w:r>
          </w:p>
        </w:tc>
        <w:tc>
          <w:tcPr>
            <w:tcW w:w="2216" w:type="dxa"/>
          </w:tcPr>
          <w:p w14:paraId="4CED3B46" w14:textId="77777777" w:rsidR="00240D62" w:rsidRPr="00D05364" w:rsidRDefault="00240D62" w:rsidP="0084063F">
            <w:pPr>
              <w:spacing w:line="276" w:lineRule="auto"/>
              <w:rPr>
                <w:rFonts w:eastAsia="Arial"/>
              </w:rPr>
            </w:pPr>
          </w:p>
        </w:tc>
      </w:tr>
      <w:tr w:rsidR="00240D62" w:rsidRPr="00D05364" w14:paraId="34774452" w14:textId="77777777" w:rsidTr="00240D62">
        <w:trPr>
          <w:trHeight w:val="1927"/>
        </w:trPr>
        <w:tc>
          <w:tcPr>
            <w:tcW w:w="2872" w:type="dxa"/>
          </w:tcPr>
          <w:p w14:paraId="78C41CF1" w14:textId="77777777" w:rsidR="00240D62" w:rsidRPr="00D05364" w:rsidRDefault="00240D62" w:rsidP="0084063F">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16974F4D" w14:textId="77777777" w:rsidR="00240D62" w:rsidRPr="00D05364" w:rsidRDefault="00240D62" w:rsidP="0084063F">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857" w:type="dxa"/>
          </w:tcPr>
          <w:p w14:paraId="45C9F94A" w14:textId="77777777" w:rsidR="00240D62" w:rsidRPr="00D05364" w:rsidRDefault="00000000" w:rsidP="0084063F">
            <w:sdt>
              <w:sdtPr>
                <w:rPr>
                  <w:rStyle w:val="Style2"/>
                </w:rPr>
                <w:id w:val="1733429185"/>
                <w15:color w:val="FFCC00"/>
                <w14:checkbox>
                  <w14:checked w14:val="1"/>
                  <w14:checkedState w14:val="2612" w14:font="MS Gothic"/>
                  <w14:uncheckedState w14:val="2610" w14:font="MS Gothic"/>
                </w14:checkbox>
              </w:sdtPr>
              <w:sdtContent>
                <w:r w:rsidR="00240D62">
                  <w:rPr>
                    <w:rStyle w:val="Style2"/>
                    <w:rFonts w:ascii="MS Gothic" w:eastAsia="MS Gothic" w:hAnsi="MS Gothic" w:hint="eastAsia"/>
                  </w:rPr>
                  <w:t>☒</w:t>
                </w:r>
              </w:sdtContent>
            </w:sdt>
            <w:r w:rsidR="00240D62" w:rsidRPr="00D05364">
              <w:t xml:space="preserve"> Taip</w:t>
            </w:r>
          </w:p>
          <w:p w14:paraId="706D6E30" w14:textId="77777777" w:rsidR="00240D62" w:rsidRPr="00D05364" w:rsidRDefault="00000000" w:rsidP="0084063F">
            <w:sdt>
              <w:sdtPr>
                <w:rPr>
                  <w:rStyle w:val="Style2"/>
                </w:rPr>
                <w:id w:val="-1014219925"/>
                <w15:color w:val="FFCC00"/>
                <w14:checkbox>
                  <w14:checked w14:val="0"/>
                  <w14:checkedState w14:val="2612" w14:font="MS Gothic"/>
                  <w14:uncheckedState w14:val="2610" w14:font="MS Gothic"/>
                </w14:checkbox>
              </w:sdtPr>
              <w:sdtContent>
                <w:r w:rsidR="00240D62">
                  <w:rPr>
                    <w:rStyle w:val="Style2"/>
                    <w:rFonts w:ascii="MS Gothic" w:eastAsia="MS Gothic" w:hAnsi="MS Gothic" w:hint="eastAsia"/>
                  </w:rPr>
                  <w:t>☐</w:t>
                </w:r>
              </w:sdtContent>
            </w:sdt>
            <w:r w:rsidR="00240D62" w:rsidRPr="00D05364">
              <w:t xml:space="preserve"> Ne</w:t>
            </w:r>
          </w:p>
          <w:p w14:paraId="31290D44" w14:textId="77777777" w:rsidR="00240D62" w:rsidRPr="00D05364" w:rsidRDefault="00000000" w:rsidP="0084063F">
            <w:pPr>
              <w:spacing w:line="276" w:lineRule="auto"/>
              <w:rPr>
                <w:rFonts w:eastAsia="Arial"/>
              </w:rPr>
            </w:pPr>
            <w:sdt>
              <w:sdtPr>
                <w:alias w:val="Nurodykite konkrečią dieną"/>
                <w:tag w:val="Nurodykite pradžios datą"/>
                <w:id w:val="-639112519"/>
                <w:placeholder>
                  <w:docPart w:val="38176DFAA191194986E3616BA0056A50"/>
                </w:placeholder>
                <w15:color w:val="FFCC99"/>
                <w:date>
                  <w:dateFormat w:val="yyyy 'm.' MMMM d 'd.'"/>
                  <w:lid w:val="lt-LT"/>
                  <w:storeMappedDataAs w:val="dateTime"/>
                  <w:calendar w:val="gregorian"/>
                </w:date>
              </w:sdtPr>
              <w:sdtContent>
                <w:r w:rsidR="00240D62">
                  <w:t>2021 m. spalio 11 d.</w:t>
                </w:r>
              </w:sdtContent>
            </w:sdt>
          </w:p>
        </w:tc>
        <w:tc>
          <w:tcPr>
            <w:tcW w:w="3179" w:type="dxa"/>
          </w:tcPr>
          <w:p w14:paraId="0EEEBDDA" w14:textId="77777777" w:rsidR="00240D62" w:rsidRPr="00D05364" w:rsidRDefault="00240D62" w:rsidP="0084063F">
            <w:pPr>
              <w:spacing w:line="276" w:lineRule="auto"/>
              <w:rPr>
                <w:rFonts w:eastAsia="Arial"/>
              </w:rPr>
            </w:pPr>
            <w:r>
              <w:rPr>
                <w:rFonts w:eastAsia="Arial"/>
              </w:rPr>
              <w:t>Pilnas vertinimas</w:t>
            </w:r>
            <w:r w:rsidRPr="00D30005">
              <w:rPr>
                <w:rFonts w:eastAsia="Arial"/>
              </w:rPr>
              <w:t xml:space="preserve"> nerekomenduojamas. NCPE rekomenduoja nesvarstyti </w:t>
            </w:r>
            <w:proofErr w:type="spellStart"/>
            <w:r w:rsidRPr="00D30005">
              <w:rPr>
                <w:rFonts w:eastAsia="Arial"/>
              </w:rPr>
              <w:t>upadacitinibo</w:t>
            </w:r>
            <w:proofErr w:type="spellEnd"/>
            <w:r w:rsidRPr="00D30005">
              <w:rPr>
                <w:rFonts w:eastAsia="Arial"/>
              </w:rPr>
              <w:t xml:space="preserve"> kompensavimo už pateiktą kainą</w:t>
            </w:r>
            <w:r>
              <w:rPr>
                <w:rFonts w:eastAsia="Arial"/>
              </w:rPr>
              <w:t>.</w:t>
            </w:r>
          </w:p>
        </w:tc>
        <w:tc>
          <w:tcPr>
            <w:tcW w:w="2216" w:type="dxa"/>
          </w:tcPr>
          <w:p w14:paraId="77F606FE" w14:textId="77777777" w:rsidR="00240D62" w:rsidRPr="00D05364" w:rsidRDefault="00240D62" w:rsidP="0084063F">
            <w:pPr>
              <w:spacing w:line="276" w:lineRule="auto"/>
              <w:rPr>
                <w:rFonts w:eastAsia="Arial"/>
              </w:rPr>
            </w:pPr>
          </w:p>
        </w:tc>
      </w:tr>
    </w:tbl>
    <w:p w14:paraId="2EB7FD31" w14:textId="69A0F277" w:rsidR="00F70C9E" w:rsidRDefault="00F70C9E" w:rsidP="00E03C3F">
      <w:pPr>
        <w:pStyle w:val="Sraopastraipa"/>
        <w:tabs>
          <w:tab w:val="left" w:pos="426"/>
        </w:tabs>
        <w:ind w:left="0"/>
        <w:rPr>
          <w:b/>
          <w:bCs/>
          <w:caps/>
        </w:rPr>
      </w:pPr>
    </w:p>
    <w:p w14:paraId="5E82BD7C" w14:textId="77777777" w:rsidR="008651E2" w:rsidRDefault="008651E2" w:rsidP="00E03C3F">
      <w:pPr>
        <w:pStyle w:val="Sraopastraipa"/>
        <w:tabs>
          <w:tab w:val="left" w:pos="426"/>
        </w:tabs>
        <w:ind w:left="0"/>
        <w:rPr>
          <w:b/>
          <w:bCs/>
          <w:caps/>
        </w:rPr>
      </w:pPr>
    </w:p>
    <w:p w14:paraId="5055E8A8" w14:textId="36BEDF1E" w:rsidR="002E6F80" w:rsidRDefault="00CC7832" w:rsidP="00937907">
      <w:pPr>
        <w:pStyle w:val="Sraopastraipa"/>
        <w:numPr>
          <w:ilvl w:val="0"/>
          <w:numId w:val="12"/>
        </w:numPr>
        <w:tabs>
          <w:tab w:val="left" w:pos="284"/>
        </w:tabs>
        <w:rPr>
          <w:b/>
          <w:bCs/>
          <w:caps/>
        </w:rPr>
      </w:pPr>
      <w:r w:rsidRPr="00240D62">
        <w:rPr>
          <w:b/>
          <w:bCs/>
          <w:caps/>
        </w:rPr>
        <w:t>Klinikinio vertinimo a</w:t>
      </w:r>
      <w:r w:rsidR="00D4485B" w:rsidRPr="00240D62">
        <w:rPr>
          <w:b/>
          <w:bCs/>
          <w:caps/>
        </w:rPr>
        <w:t>pibendrinimas</w:t>
      </w:r>
    </w:p>
    <w:p w14:paraId="538252E5" w14:textId="0A92B0E3" w:rsidR="00240D62" w:rsidRDefault="00240D62" w:rsidP="00240D62">
      <w:pPr>
        <w:tabs>
          <w:tab w:val="left" w:pos="284"/>
        </w:tabs>
        <w:rPr>
          <w:b/>
          <w:bCs/>
          <w:caps/>
        </w:rPr>
      </w:pPr>
    </w:p>
    <w:p w14:paraId="33FB847D" w14:textId="77777777" w:rsidR="00240D62" w:rsidRDefault="00240D62" w:rsidP="00240D62">
      <w:pPr>
        <w:tabs>
          <w:tab w:val="left" w:pos="284"/>
        </w:tabs>
        <w:jc w:val="both"/>
        <w:rPr>
          <w:b/>
          <w:bCs/>
          <w:caps/>
        </w:rPr>
      </w:pPr>
    </w:p>
    <w:p w14:paraId="53167252" w14:textId="77777777" w:rsidR="00240D62" w:rsidRDefault="00240D62" w:rsidP="00240D62">
      <w:pPr>
        <w:ind w:firstLine="709"/>
        <w:jc w:val="both"/>
        <w:rPr>
          <w:sz w:val="20"/>
        </w:rPr>
      </w:pPr>
      <w:proofErr w:type="spellStart"/>
      <w:r w:rsidRPr="00CD3274">
        <w:rPr>
          <w:color w:val="000000"/>
        </w:rPr>
        <w:t>Spondiloartritas</w:t>
      </w:r>
      <w:proofErr w:type="spellEnd"/>
      <w:r w:rsidRPr="00CD3274">
        <w:rPr>
          <w:color w:val="000000"/>
        </w:rPr>
        <w:t xml:space="preserve"> (</w:t>
      </w:r>
      <w:proofErr w:type="spellStart"/>
      <w:r w:rsidRPr="00CD3274">
        <w:rPr>
          <w:color w:val="000000"/>
        </w:rPr>
        <w:t>SpA</w:t>
      </w:r>
      <w:proofErr w:type="spellEnd"/>
      <w:r w:rsidRPr="00CD3274">
        <w:rPr>
          <w:color w:val="000000"/>
        </w:rPr>
        <w:t xml:space="preserve">) yra kliniškai </w:t>
      </w:r>
      <w:proofErr w:type="spellStart"/>
      <w:r w:rsidRPr="002875D5">
        <w:rPr>
          <w:color w:val="000000"/>
        </w:rPr>
        <w:t>heterogeniška</w:t>
      </w:r>
      <w:proofErr w:type="spellEnd"/>
      <w:r w:rsidRPr="002875D5">
        <w:rPr>
          <w:color w:val="000000"/>
        </w:rPr>
        <w:t xml:space="preserve"> </w:t>
      </w:r>
      <w:r w:rsidRPr="00CD3274">
        <w:rPr>
          <w:color w:val="000000"/>
        </w:rPr>
        <w:t xml:space="preserve">tarpusavyje persidengiančių uždegiminių reumatinių ligų, turinčių panašias genetines ir klinikines savybes, grupė. Šios ligos gali pasireikšti tuo pačiu metu arba nuosekliai tam pačiam pacientui. Tai apima ašinį </w:t>
      </w:r>
      <w:proofErr w:type="spellStart"/>
      <w:r w:rsidRPr="00CD3274">
        <w:rPr>
          <w:color w:val="000000"/>
        </w:rPr>
        <w:t>SpA</w:t>
      </w:r>
      <w:proofErr w:type="spellEnd"/>
      <w:r w:rsidRPr="00CD3274">
        <w:rPr>
          <w:color w:val="000000"/>
        </w:rPr>
        <w:t xml:space="preserve"> (</w:t>
      </w:r>
      <w:proofErr w:type="spellStart"/>
      <w:r w:rsidRPr="00CD3274">
        <w:rPr>
          <w:color w:val="000000"/>
        </w:rPr>
        <w:t>nr-axSpA</w:t>
      </w:r>
      <w:proofErr w:type="spellEnd"/>
      <w:r w:rsidRPr="00CD3274">
        <w:rPr>
          <w:color w:val="000000"/>
        </w:rPr>
        <w:t xml:space="preserve"> ir AS) ir periferinį </w:t>
      </w:r>
      <w:proofErr w:type="spellStart"/>
      <w:r w:rsidRPr="00CD3274">
        <w:rPr>
          <w:color w:val="000000"/>
        </w:rPr>
        <w:t>SpA</w:t>
      </w:r>
      <w:proofErr w:type="spellEnd"/>
      <w:r w:rsidRPr="00CD3274">
        <w:rPr>
          <w:color w:val="000000"/>
        </w:rPr>
        <w:t xml:space="preserve"> (</w:t>
      </w:r>
      <w:proofErr w:type="spellStart"/>
      <w:r w:rsidRPr="00CD3274">
        <w:rPr>
          <w:color w:val="000000"/>
        </w:rPr>
        <w:t>PsA</w:t>
      </w:r>
      <w:proofErr w:type="spellEnd"/>
      <w:r w:rsidRPr="00CD3274">
        <w:rPr>
          <w:color w:val="000000"/>
        </w:rPr>
        <w:t xml:space="preserve">, </w:t>
      </w:r>
      <w:proofErr w:type="spellStart"/>
      <w:r w:rsidRPr="00CD3274">
        <w:rPr>
          <w:color w:val="000000"/>
        </w:rPr>
        <w:t>uSpA</w:t>
      </w:r>
      <w:proofErr w:type="spellEnd"/>
      <w:r w:rsidRPr="00CD3274">
        <w:rPr>
          <w:color w:val="000000"/>
        </w:rPr>
        <w:t>, IBD-</w:t>
      </w:r>
      <w:proofErr w:type="spellStart"/>
      <w:r w:rsidRPr="00CD3274">
        <w:rPr>
          <w:color w:val="000000"/>
        </w:rPr>
        <w:t>SpA</w:t>
      </w:r>
      <w:proofErr w:type="spellEnd"/>
      <w:r w:rsidRPr="00CD3274">
        <w:rPr>
          <w:color w:val="000000"/>
        </w:rPr>
        <w:t xml:space="preserve">, </w:t>
      </w:r>
      <w:proofErr w:type="spellStart"/>
      <w:r w:rsidRPr="00CD3274">
        <w:rPr>
          <w:color w:val="000000"/>
        </w:rPr>
        <w:t>ReA</w:t>
      </w:r>
      <w:proofErr w:type="spellEnd"/>
      <w:r w:rsidRPr="00CD3274">
        <w:rPr>
          <w:color w:val="000000"/>
        </w:rPr>
        <w:t>), kur visi pogrupiai turi bendras genetines ir klinikines savybes.</w:t>
      </w:r>
      <w:r w:rsidRPr="00CD3274">
        <w:rPr>
          <w:sz w:val="20"/>
        </w:rPr>
        <w:t xml:space="preserve"> </w:t>
      </w:r>
    </w:p>
    <w:p w14:paraId="1F2C957F" w14:textId="77777777" w:rsidR="00240D62" w:rsidRDefault="00240D62" w:rsidP="00240D62">
      <w:pPr>
        <w:ind w:firstLine="645"/>
        <w:jc w:val="both"/>
        <w:rPr>
          <w:color w:val="000000"/>
        </w:rPr>
      </w:pPr>
      <w:proofErr w:type="spellStart"/>
      <w:r w:rsidRPr="00CD3274">
        <w:rPr>
          <w:color w:val="000000"/>
        </w:rPr>
        <w:t>Spondiloartropatijų</w:t>
      </w:r>
      <w:proofErr w:type="spellEnd"/>
      <w:r w:rsidRPr="00CD3274">
        <w:rPr>
          <w:color w:val="000000"/>
        </w:rPr>
        <w:t xml:space="preserve"> pogrupiai klasifikuojami pagal pagrindinio sąnario pažeidimo vietą - ašinę ar periferinę.</w:t>
      </w:r>
      <w:r>
        <w:rPr>
          <w:color w:val="000000"/>
        </w:rPr>
        <w:t xml:space="preserve"> </w:t>
      </w:r>
      <w:r w:rsidRPr="00681FD0">
        <w:rPr>
          <w:color w:val="000000"/>
        </w:rPr>
        <w:t xml:space="preserve">Ašinės </w:t>
      </w:r>
      <w:proofErr w:type="spellStart"/>
      <w:r w:rsidRPr="00681FD0">
        <w:rPr>
          <w:color w:val="000000"/>
        </w:rPr>
        <w:t>spondiloartropatijos</w:t>
      </w:r>
      <w:proofErr w:type="spellEnd"/>
      <w:r w:rsidRPr="00681FD0">
        <w:rPr>
          <w:color w:val="000000"/>
        </w:rPr>
        <w:t xml:space="preserve"> daugiausia veikia stuburo (ašinę) ir </w:t>
      </w:r>
      <w:proofErr w:type="spellStart"/>
      <w:r w:rsidRPr="00681FD0">
        <w:rPr>
          <w:color w:val="000000"/>
        </w:rPr>
        <w:t>sakroiliakinį</w:t>
      </w:r>
      <w:proofErr w:type="spellEnd"/>
      <w:r w:rsidRPr="00681FD0">
        <w:rPr>
          <w:color w:val="000000"/>
        </w:rPr>
        <w:t xml:space="preserve"> sąnarį jungiantį  du dubens kaulus, ir apima </w:t>
      </w:r>
      <w:proofErr w:type="spellStart"/>
      <w:r w:rsidRPr="00681FD0">
        <w:rPr>
          <w:color w:val="000000"/>
        </w:rPr>
        <w:t>neradiografinį</w:t>
      </w:r>
      <w:proofErr w:type="spellEnd"/>
      <w:r w:rsidRPr="00681FD0">
        <w:rPr>
          <w:color w:val="000000"/>
        </w:rPr>
        <w:t xml:space="preserve"> </w:t>
      </w:r>
      <w:proofErr w:type="spellStart"/>
      <w:r w:rsidRPr="00681FD0">
        <w:rPr>
          <w:color w:val="000000"/>
        </w:rPr>
        <w:t>axSpA</w:t>
      </w:r>
      <w:proofErr w:type="spellEnd"/>
      <w:r w:rsidRPr="00681FD0">
        <w:rPr>
          <w:color w:val="000000"/>
        </w:rPr>
        <w:t xml:space="preserve"> (</w:t>
      </w:r>
      <w:proofErr w:type="spellStart"/>
      <w:r w:rsidRPr="00681FD0">
        <w:rPr>
          <w:color w:val="000000"/>
        </w:rPr>
        <w:t>nr.</w:t>
      </w:r>
      <w:proofErr w:type="spellEnd"/>
      <w:r w:rsidRPr="00681FD0">
        <w:rPr>
          <w:color w:val="000000"/>
        </w:rPr>
        <w:t xml:space="preserve"> -</w:t>
      </w:r>
      <w:proofErr w:type="spellStart"/>
      <w:r w:rsidRPr="00681FD0">
        <w:rPr>
          <w:color w:val="000000"/>
        </w:rPr>
        <w:t>axSpA</w:t>
      </w:r>
      <w:proofErr w:type="spellEnd"/>
      <w:r w:rsidRPr="00681FD0">
        <w:rPr>
          <w:color w:val="000000"/>
        </w:rPr>
        <w:t xml:space="preserve">) ir </w:t>
      </w:r>
      <w:proofErr w:type="spellStart"/>
      <w:r w:rsidRPr="00681FD0">
        <w:rPr>
          <w:color w:val="000000"/>
        </w:rPr>
        <w:t>radiografinį</w:t>
      </w:r>
      <w:proofErr w:type="spellEnd"/>
      <w:r w:rsidRPr="00681FD0">
        <w:rPr>
          <w:color w:val="000000"/>
        </w:rPr>
        <w:t xml:space="preserve"> </w:t>
      </w:r>
      <w:proofErr w:type="spellStart"/>
      <w:r w:rsidRPr="00681FD0">
        <w:rPr>
          <w:color w:val="000000"/>
        </w:rPr>
        <w:t>axSpA</w:t>
      </w:r>
      <w:proofErr w:type="spellEnd"/>
      <w:r w:rsidRPr="00681FD0">
        <w:rPr>
          <w:color w:val="000000"/>
        </w:rPr>
        <w:t xml:space="preserve">, taip pat žinomą kaip </w:t>
      </w:r>
      <w:proofErr w:type="spellStart"/>
      <w:r w:rsidRPr="00681FD0">
        <w:rPr>
          <w:color w:val="000000"/>
        </w:rPr>
        <w:t>ankilozinis</w:t>
      </w:r>
      <w:proofErr w:type="spellEnd"/>
      <w:r w:rsidRPr="00681FD0">
        <w:rPr>
          <w:color w:val="000000"/>
        </w:rPr>
        <w:t xml:space="preserve"> </w:t>
      </w:r>
      <w:proofErr w:type="spellStart"/>
      <w:r w:rsidRPr="00681FD0">
        <w:rPr>
          <w:color w:val="000000"/>
        </w:rPr>
        <w:t>spondilitas</w:t>
      </w:r>
      <w:proofErr w:type="spellEnd"/>
      <w:r w:rsidRPr="00681FD0">
        <w:rPr>
          <w:color w:val="000000"/>
        </w:rPr>
        <w:t xml:space="preserve"> (AS).</w:t>
      </w:r>
      <w:r w:rsidRPr="00CD3274">
        <w:rPr>
          <w:color w:val="000000"/>
        </w:rPr>
        <w:t xml:space="preserve"> Periferinės </w:t>
      </w:r>
      <w:proofErr w:type="spellStart"/>
      <w:r w:rsidRPr="00CD3274">
        <w:rPr>
          <w:color w:val="000000"/>
        </w:rPr>
        <w:t>spondiloartropatijos</w:t>
      </w:r>
      <w:proofErr w:type="spellEnd"/>
      <w:r w:rsidRPr="00CD3274">
        <w:rPr>
          <w:color w:val="000000"/>
        </w:rPr>
        <w:t xml:space="preserve"> </w:t>
      </w:r>
      <w:r w:rsidRPr="00CD3274">
        <w:rPr>
          <w:color w:val="000000"/>
        </w:rPr>
        <w:lastRenderedPageBreak/>
        <w:t xml:space="preserve">paprastai pažeidžia periferinius sąnarius ir apima </w:t>
      </w:r>
      <w:proofErr w:type="spellStart"/>
      <w:r w:rsidRPr="00CD3274">
        <w:rPr>
          <w:color w:val="000000"/>
        </w:rPr>
        <w:t>psoriazinį</w:t>
      </w:r>
      <w:proofErr w:type="spellEnd"/>
      <w:r w:rsidRPr="00CD3274">
        <w:rPr>
          <w:color w:val="000000"/>
        </w:rPr>
        <w:t xml:space="preserve"> artritą (</w:t>
      </w:r>
      <w:proofErr w:type="spellStart"/>
      <w:r w:rsidRPr="00CD3274">
        <w:rPr>
          <w:color w:val="000000"/>
        </w:rPr>
        <w:t>PsA</w:t>
      </w:r>
      <w:proofErr w:type="spellEnd"/>
      <w:r w:rsidRPr="00CD3274">
        <w:rPr>
          <w:color w:val="000000"/>
        </w:rPr>
        <w:t>), reaktyvųjį artritą (</w:t>
      </w:r>
      <w:proofErr w:type="spellStart"/>
      <w:r w:rsidRPr="00CD3274">
        <w:rPr>
          <w:color w:val="000000"/>
        </w:rPr>
        <w:t>ReA</w:t>
      </w:r>
      <w:proofErr w:type="spellEnd"/>
      <w:r w:rsidRPr="00CD3274">
        <w:rPr>
          <w:color w:val="000000"/>
        </w:rPr>
        <w:t xml:space="preserve">), su IBD susijusį arba </w:t>
      </w:r>
      <w:proofErr w:type="spellStart"/>
      <w:r w:rsidRPr="00CD3274">
        <w:rPr>
          <w:color w:val="000000"/>
        </w:rPr>
        <w:t>enteropatinį</w:t>
      </w:r>
      <w:proofErr w:type="spellEnd"/>
      <w:r w:rsidRPr="00CD3274">
        <w:rPr>
          <w:color w:val="000000"/>
        </w:rPr>
        <w:t xml:space="preserve"> artritą (IBD-</w:t>
      </w:r>
      <w:proofErr w:type="spellStart"/>
      <w:r w:rsidRPr="00CD3274">
        <w:rPr>
          <w:color w:val="000000"/>
        </w:rPr>
        <w:t>SpA</w:t>
      </w:r>
      <w:proofErr w:type="spellEnd"/>
      <w:r w:rsidRPr="00CD3274">
        <w:rPr>
          <w:color w:val="000000"/>
        </w:rPr>
        <w:t xml:space="preserve">) ir nediferencijuotą </w:t>
      </w:r>
      <w:proofErr w:type="spellStart"/>
      <w:r w:rsidRPr="00CD3274">
        <w:rPr>
          <w:color w:val="000000"/>
        </w:rPr>
        <w:t>SpA</w:t>
      </w:r>
      <w:proofErr w:type="spellEnd"/>
      <w:r w:rsidRPr="00CD3274">
        <w:rPr>
          <w:color w:val="000000"/>
        </w:rPr>
        <w:t xml:space="preserve"> (</w:t>
      </w:r>
      <w:proofErr w:type="spellStart"/>
      <w:r w:rsidRPr="00CD3274">
        <w:rPr>
          <w:color w:val="000000"/>
        </w:rPr>
        <w:t>uSpA</w:t>
      </w:r>
      <w:proofErr w:type="spellEnd"/>
      <w:r w:rsidRPr="00CD3274">
        <w:rPr>
          <w:color w:val="000000"/>
        </w:rPr>
        <w:t xml:space="preserve">). </w:t>
      </w:r>
    </w:p>
    <w:p w14:paraId="0C6FFD96" w14:textId="77777777" w:rsidR="00240D62" w:rsidRDefault="00240D62" w:rsidP="00240D62">
      <w:pPr>
        <w:ind w:firstLine="645"/>
        <w:jc w:val="both"/>
        <w:rPr>
          <w:color w:val="000000"/>
        </w:rPr>
      </w:pPr>
      <w:r w:rsidRPr="00CD3274">
        <w:t xml:space="preserve">AS diagnozė paprastai nustatoma derinant klinikinius uždegiminio nugaros skausmo ir </w:t>
      </w:r>
      <w:proofErr w:type="spellStart"/>
      <w:r w:rsidRPr="00CD3274">
        <w:t>entezito</w:t>
      </w:r>
      <w:proofErr w:type="spellEnd"/>
      <w:r w:rsidRPr="00CD3274">
        <w:t xml:space="preserve"> ar artrito kriterijus su radiologiniais radiniais. Ankstyva diagnozė yra svarbi, nes ankstyva medicininė </w:t>
      </w:r>
      <w:r>
        <w:t xml:space="preserve">pagalba </w:t>
      </w:r>
      <w:r w:rsidRPr="00CD3274">
        <w:t>ir kineziterapija gali pagerinti funkcinius rezultatus. Gydymo priemonės gali būti farmakologinės, kineziterapija ir chirurginės.</w:t>
      </w:r>
    </w:p>
    <w:p w14:paraId="3F600BCE" w14:textId="77777777" w:rsidR="00240D62" w:rsidRDefault="00240D62" w:rsidP="00240D62">
      <w:pPr>
        <w:ind w:firstLine="645"/>
        <w:jc w:val="both"/>
        <w:rPr>
          <w:color w:val="000000"/>
        </w:rPr>
      </w:pPr>
      <w:r w:rsidRPr="00681FD0">
        <w:t>AS gydomas tradiciniais sisteminiais medikamentais (</w:t>
      </w:r>
      <w:proofErr w:type="spellStart"/>
      <w:r w:rsidRPr="00681FD0">
        <w:t>metotreksatu</w:t>
      </w:r>
      <w:proofErr w:type="spellEnd"/>
      <w:r w:rsidRPr="00681FD0">
        <w:t xml:space="preserve">, </w:t>
      </w:r>
      <w:proofErr w:type="spellStart"/>
      <w:r w:rsidRPr="00681FD0">
        <w:t>ciklosporinu</w:t>
      </w:r>
      <w:proofErr w:type="spellEnd"/>
      <w:r w:rsidRPr="00681FD0">
        <w:t xml:space="preserve">), kurie derinami su biologine terapija TNF alfa inhibitoriais – </w:t>
      </w:r>
      <w:proofErr w:type="spellStart"/>
      <w:r w:rsidRPr="00681FD0">
        <w:t>etanerceptu</w:t>
      </w:r>
      <w:proofErr w:type="spellEnd"/>
      <w:r w:rsidRPr="00681FD0">
        <w:t xml:space="preserve">, </w:t>
      </w:r>
      <w:proofErr w:type="spellStart"/>
      <w:r w:rsidRPr="00681FD0">
        <w:t>adalimumabu</w:t>
      </w:r>
      <w:proofErr w:type="spellEnd"/>
      <w:r w:rsidRPr="00681FD0">
        <w:t xml:space="preserve">, </w:t>
      </w:r>
      <w:proofErr w:type="spellStart"/>
      <w:r w:rsidRPr="00681FD0">
        <w:t>infliksimabu</w:t>
      </w:r>
      <w:proofErr w:type="spellEnd"/>
      <w:r w:rsidRPr="00681FD0">
        <w:t xml:space="preserve"> ar  IL-17A inhibitoriumi sekukinumabu.</w:t>
      </w:r>
      <w:r w:rsidRPr="00CD3274">
        <w:t xml:space="preserve"> Nepaisant taikomo gydymo, kuris veikia </w:t>
      </w:r>
      <w:proofErr w:type="spellStart"/>
      <w:r w:rsidRPr="00CD3274">
        <w:t>patogenezines</w:t>
      </w:r>
      <w:proofErr w:type="spellEnd"/>
      <w:r w:rsidRPr="00CD3274">
        <w:t xml:space="preserve"> grandis, ne visi pacientai gydymą toleruoja ir ne visiems stebimas norimas teigiamas atsakas</w:t>
      </w:r>
      <w:r>
        <w:t>.</w:t>
      </w:r>
    </w:p>
    <w:p w14:paraId="62B1AD09" w14:textId="77777777" w:rsidR="00240D62" w:rsidRDefault="00240D62" w:rsidP="00240D62">
      <w:pPr>
        <w:ind w:firstLine="645"/>
        <w:jc w:val="both"/>
      </w:pPr>
      <w:r>
        <w:t>Remiantis</w:t>
      </w:r>
      <w:r w:rsidRPr="00CD3274">
        <w:t xml:space="preserve"> 2018 m. vasario 15 d. SAM įsakymu V-180 „Dėl </w:t>
      </w:r>
      <w:proofErr w:type="spellStart"/>
      <w:r w:rsidRPr="00CD3274">
        <w:rPr>
          <w:color w:val="000000"/>
        </w:rPr>
        <w:t>Ankilozinio</w:t>
      </w:r>
      <w:proofErr w:type="spellEnd"/>
      <w:r w:rsidRPr="00CD3274">
        <w:rPr>
          <w:color w:val="000000"/>
        </w:rPr>
        <w:t xml:space="preserve"> </w:t>
      </w:r>
      <w:proofErr w:type="spellStart"/>
      <w:r w:rsidRPr="00CD3274">
        <w:rPr>
          <w:color w:val="000000"/>
        </w:rPr>
        <w:t>spondilito</w:t>
      </w:r>
      <w:proofErr w:type="spellEnd"/>
      <w:r w:rsidRPr="00CD3274">
        <w:rPr>
          <w:color w:val="000000"/>
        </w:rPr>
        <w:t xml:space="preserve"> ir kitos patikslintos uždegiminės </w:t>
      </w:r>
      <w:proofErr w:type="spellStart"/>
      <w:r w:rsidRPr="00CD3274">
        <w:rPr>
          <w:color w:val="000000"/>
        </w:rPr>
        <w:t>spondilopatijos</w:t>
      </w:r>
      <w:proofErr w:type="spellEnd"/>
      <w:r w:rsidRPr="00CD3274">
        <w:rPr>
          <w:color w:val="000000"/>
        </w:rPr>
        <w:t xml:space="preserve"> (</w:t>
      </w:r>
      <w:proofErr w:type="spellStart"/>
      <w:r w:rsidRPr="00CD3274">
        <w:rPr>
          <w:color w:val="000000"/>
        </w:rPr>
        <w:t>neradiografinio</w:t>
      </w:r>
      <w:proofErr w:type="spellEnd"/>
      <w:r w:rsidRPr="00CD3274">
        <w:rPr>
          <w:color w:val="000000"/>
        </w:rPr>
        <w:t xml:space="preserve"> ašinio </w:t>
      </w:r>
      <w:proofErr w:type="spellStart"/>
      <w:r w:rsidRPr="00CD3274">
        <w:rPr>
          <w:color w:val="000000"/>
        </w:rPr>
        <w:t>spondiloartrito</w:t>
      </w:r>
      <w:proofErr w:type="spellEnd"/>
      <w:r w:rsidRPr="00CD3274">
        <w:rPr>
          <w:color w:val="000000"/>
        </w:rPr>
        <w:t>) gydymo vaistais, kurių įsigijimo išlaidos apmokamos Privalomojo sveikatos draudimo fondo biudžeto lėšomis, tvarkos aprašo patvirtinimo“</w:t>
      </w:r>
      <w:r w:rsidRPr="00CD3274">
        <w:t xml:space="preserve"> nustatyt</w:t>
      </w:r>
      <w:r>
        <w:t>a</w:t>
      </w:r>
      <w:r w:rsidRPr="00CD3274">
        <w:t xml:space="preserve"> gydymo tvark</w:t>
      </w:r>
      <w:r>
        <w:t>a, šiuo metu biologinių ligą modifikuojančių vaistų eiliškumas yra toks:</w:t>
      </w:r>
    </w:p>
    <w:p w14:paraId="55480BE2" w14:textId="77777777" w:rsidR="00240D62" w:rsidRPr="00C143A7" w:rsidRDefault="00240D62" w:rsidP="00240D62">
      <w:pPr>
        <w:ind w:firstLine="645"/>
        <w:jc w:val="both"/>
        <w:rPr>
          <w:color w:val="000000"/>
        </w:rPr>
      </w:pPr>
    </w:p>
    <w:tbl>
      <w:tblPr>
        <w:tblW w:w="4959" w:type="pct"/>
        <w:tblCellMar>
          <w:left w:w="0" w:type="dxa"/>
          <w:right w:w="0" w:type="dxa"/>
        </w:tblCellMar>
        <w:tblLook w:val="04A0" w:firstRow="1" w:lastRow="0" w:firstColumn="1" w:lastColumn="0" w:noHBand="0" w:noVBand="1"/>
      </w:tblPr>
      <w:tblGrid>
        <w:gridCol w:w="2870"/>
        <w:gridCol w:w="3241"/>
        <w:gridCol w:w="3148"/>
      </w:tblGrid>
      <w:tr w:rsidR="00240D62" w:rsidRPr="00681FD0" w14:paraId="5AA2EF73" w14:textId="77777777" w:rsidTr="0084063F">
        <w:trPr>
          <w:trHeight w:val="363"/>
        </w:trPr>
        <w:tc>
          <w:tcPr>
            <w:tcW w:w="15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FCC03B" w14:textId="77777777" w:rsidR="00240D62" w:rsidRPr="00681FD0" w:rsidRDefault="00240D62" w:rsidP="0084063F">
            <w:pPr>
              <w:spacing w:line="252" w:lineRule="atLeast"/>
              <w:jc w:val="both"/>
              <w:rPr>
                <w:sz w:val="21"/>
                <w:lang w:val="en-US"/>
              </w:rPr>
            </w:pPr>
            <w:r w:rsidRPr="00681FD0">
              <w:rPr>
                <w:color w:val="000000"/>
                <w:sz w:val="21"/>
              </w:rPr>
              <w:t>Skyrimo sąlygos</w:t>
            </w:r>
          </w:p>
        </w:tc>
        <w:tc>
          <w:tcPr>
            <w:tcW w:w="17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677D30" w14:textId="77777777" w:rsidR="00240D62" w:rsidRPr="00681FD0" w:rsidRDefault="00240D62" w:rsidP="0084063F">
            <w:pPr>
              <w:spacing w:line="252" w:lineRule="atLeast"/>
              <w:jc w:val="both"/>
              <w:rPr>
                <w:sz w:val="21"/>
                <w:lang w:val="en-US"/>
              </w:rPr>
            </w:pPr>
            <w:r w:rsidRPr="00681FD0">
              <w:rPr>
                <w:color w:val="000000"/>
                <w:sz w:val="21"/>
              </w:rPr>
              <w:t>Pirmaeilis vaistinis preparatas *</w:t>
            </w:r>
          </w:p>
        </w:tc>
        <w:tc>
          <w:tcPr>
            <w:tcW w:w="17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3A678B" w14:textId="77777777" w:rsidR="00240D62" w:rsidRPr="00681FD0" w:rsidRDefault="00240D62" w:rsidP="0084063F">
            <w:pPr>
              <w:spacing w:line="252" w:lineRule="atLeast"/>
              <w:jc w:val="both"/>
              <w:rPr>
                <w:sz w:val="21"/>
                <w:lang w:val="en-US"/>
              </w:rPr>
            </w:pPr>
            <w:r w:rsidRPr="00681FD0">
              <w:rPr>
                <w:color w:val="000000"/>
                <w:sz w:val="21"/>
              </w:rPr>
              <w:t>Antraeilis ir tolesnis vaistiniai preparatai*</w:t>
            </w:r>
          </w:p>
        </w:tc>
      </w:tr>
      <w:tr w:rsidR="00240D62" w:rsidRPr="00681FD0" w14:paraId="3300B685" w14:textId="77777777" w:rsidTr="0084063F">
        <w:trPr>
          <w:trHeight w:val="188"/>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C8F235" w14:textId="77777777" w:rsidR="00240D62" w:rsidRPr="00681FD0" w:rsidRDefault="00240D62" w:rsidP="0084063F">
            <w:pPr>
              <w:spacing w:line="252" w:lineRule="atLeast"/>
              <w:jc w:val="both"/>
              <w:rPr>
                <w:sz w:val="21"/>
                <w:lang w:val="en-US"/>
              </w:rPr>
            </w:pPr>
            <w:r w:rsidRPr="00681FD0">
              <w:rPr>
                <w:color w:val="000000"/>
                <w:sz w:val="21"/>
              </w:rPr>
              <w:t>Ankilozinis spondilitas (M45)</w:t>
            </w:r>
          </w:p>
        </w:tc>
      </w:tr>
      <w:tr w:rsidR="00240D62" w:rsidRPr="00681FD0" w14:paraId="79B4CB4D" w14:textId="77777777" w:rsidTr="0084063F">
        <w:trPr>
          <w:trHeight w:val="552"/>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66C8EF" w14:textId="77777777" w:rsidR="00240D62" w:rsidRPr="0039412A" w:rsidRDefault="00240D62" w:rsidP="0084063F">
            <w:pPr>
              <w:spacing w:line="252" w:lineRule="atLeast"/>
              <w:jc w:val="both"/>
              <w:rPr>
                <w:sz w:val="21"/>
              </w:rPr>
            </w:pPr>
            <w:r w:rsidRPr="00681FD0">
              <w:rPr>
                <w:color w:val="000000"/>
                <w:sz w:val="21"/>
              </w:rPr>
              <w:t>Nėra apribojimų skirti vaistinį preparatą, kurio gydymo kaina yra mažiausia</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2B3750A4" w14:textId="77777777" w:rsidR="00240D62" w:rsidRPr="00681FD0" w:rsidRDefault="00240D62" w:rsidP="0084063F">
            <w:pPr>
              <w:spacing w:line="252" w:lineRule="atLeast"/>
              <w:jc w:val="both"/>
              <w:rPr>
                <w:sz w:val="21"/>
                <w:lang w:val="en-US"/>
              </w:rPr>
            </w:pPr>
            <w:r w:rsidRPr="00681FD0">
              <w:rPr>
                <w:color w:val="000000"/>
                <w:sz w:val="21"/>
              </w:rPr>
              <w:t>TNFα blokatorius</w:t>
            </w:r>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041D78ED" w14:textId="77777777" w:rsidR="00240D62" w:rsidRPr="00681FD0" w:rsidRDefault="00240D62" w:rsidP="0084063F">
            <w:pPr>
              <w:spacing w:line="252" w:lineRule="atLeast"/>
              <w:jc w:val="both"/>
              <w:rPr>
                <w:sz w:val="21"/>
                <w:lang w:val="en-US"/>
              </w:rPr>
            </w:pPr>
            <w:r w:rsidRPr="00681FD0">
              <w:rPr>
                <w:color w:val="000000"/>
                <w:sz w:val="21"/>
              </w:rPr>
              <w:t xml:space="preserve">TNαF blokatorius, </w:t>
            </w:r>
            <w:proofErr w:type="spellStart"/>
            <w:r w:rsidRPr="00681FD0">
              <w:rPr>
                <w:color w:val="000000"/>
                <w:sz w:val="21"/>
              </w:rPr>
              <w:t>sekukinumabas</w:t>
            </w:r>
            <w:proofErr w:type="spellEnd"/>
          </w:p>
        </w:tc>
      </w:tr>
      <w:tr w:rsidR="00240D62" w:rsidRPr="00681FD0" w14:paraId="34CC6092" w14:textId="77777777" w:rsidTr="0084063F">
        <w:trPr>
          <w:trHeight w:val="552"/>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E83373" w14:textId="77777777" w:rsidR="00240D62" w:rsidRPr="00681FD0" w:rsidRDefault="00240D62" w:rsidP="0084063F">
            <w:pPr>
              <w:spacing w:line="252" w:lineRule="atLeast"/>
              <w:jc w:val="both"/>
              <w:rPr>
                <w:sz w:val="21"/>
                <w:lang w:val="en-US"/>
              </w:rPr>
            </w:pPr>
            <w:r w:rsidRPr="00681FD0">
              <w:rPr>
                <w:color w:val="000000"/>
                <w:sz w:val="21"/>
              </w:rPr>
              <w:t>Pažeistas žarnynas</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120A7A9A" w14:textId="77777777" w:rsidR="00240D62" w:rsidRPr="00681FD0" w:rsidRDefault="00240D62" w:rsidP="0084063F">
            <w:pPr>
              <w:spacing w:line="252" w:lineRule="atLeast"/>
              <w:jc w:val="both"/>
              <w:rPr>
                <w:sz w:val="21"/>
                <w:lang w:val="en-US"/>
              </w:rPr>
            </w:pPr>
            <w:proofErr w:type="spellStart"/>
            <w:r w:rsidRPr="00681FD0">
              <w:rPr>
                <w:color w:val="000000"/>
                <w:sz w:val="21"/>
              </w:rPr>
              <w:t>Adalimumabas</w:t>
            </w:r>
            <w:proofErr w:type="spellEnd"/>
            <w:r w:rsidRPr="00681FD0">
              <w:rPr>
                <w:color w:val="000000"/>
                <w:sz w:val="21"/>
              </w:rPr>
              <w:t xml:space="preserve">, </w:t>
            </w:r>
            <w:proofErr w:type="spellStart"/>
            <w:r w:rsidRPr="00681FD0">
              <w:rPr>
                <w:color w:val="000000"/>
                <w:sz w:val="21"/>
              </w:rPr>
              <w:t>infliksimabas</w:t>
            </w:r>
            <w:proofErr w:type="spellEnd"/>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370E25C9" w14:textId="77777777" w:rsidR="00240D62" w:rsidRPr="00681FD0" w:rsidRDefault="00240D62" w:rsidP="0084063F">
            <w:pPr>
              <w:spacing w:line="252" w:lineRule="atLeast"/>
              <w:jc w:val="both"/>
              <w:rPr>
                <w:sz w:val="21"/>
                <w:lang w:val="en-US"/>
              </w:rPr>
            </w:pPr>
            <w:r w:rsidRPr="00681FD0">
              <w:rPr>
                <w:color w:val="000000"/>
                <w:sz w:val="21"/>
              </w:rPr>
              <w:t xml:space="preserve">Kitas TNFα blokatorius: </w:t>
            </w:r>
            <w:proofErr w:type="spellStart"/>
            <w:r w:rsidRPr="00681FD0">
              <w:rPr>
                <w:color w:val="000000"/>
                <w:sz w:val="21"/>
              </w:rPr>
              <w:t>adalimumabas</w:t>
            </w:r>
            <w:proofErr w:type="spellEnd"/>
            <w:r w:rsidRPr="00681FD0">
              <w:rPr>
                <w:color w:val="000000"/>
                <w:sz w:val="21"/>
              </w:rPr>
              <w:t xml:space="preserve"> arba </w:t>
            </w:r>
            <w:proofErr w:type="spellStart"/>
            <w:r w:rsidRPr="00681FD0">
              <w:rPr>
                <w:color w:val="000000"/>
                <w:sz w:val="21"/>
              </w:rPr>
              <w:t>infliksimabas</w:t>
            </w:r>
            <w:proofErr w:type="spellEnd"/>
            <w:r w:rsidRPr="00681FD0">
              <w:rPr>
                <w:color w:val="000000"/>
                <w:sz w:val="21"/>
              </w:rPr>
              <w:t>, kuris nebuvo skirtas</w:t>
            </w:r>
          </w:p>
        </w:tc>
      </w:tr>
      <w:tr w:rsidR="00240D62" w:rsidRPr="00681FD0" w14:paraId="0D65ED8E" w14:textId="77777777" w:rsidTr="0084063F">
        <w:trPr>
          <w:trHeight w:val="552"/>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17EA2" w14:textId="77777777" w:rsidR="00240D62" w:rsidRPr="00681FD0" w:rsidRDefault="00240D62" w:rsidP="0084063F">
            <w:pPr>
              <w:spacing w:line="252" w:lineRule="atLeast"/>
              <w:jc w:val="both"/>
              <w:rPr>
                <w:sz w:val="21"/>
                <w:lang w:val="en-US"/>
              </w:rPr>
            </w:pPr>
            <w:r w:rsidRPr="00681FD0">
              <w:rPr>
                <w:color w:val="000000"/>
                <w:sz w:val="21"/>
              </w:rPr>
              <w:t>Pažeistos akys</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1183CC2B" w14:textId="77777777" w:rsidR="00240D62" w:rsidRPr="00681FD0" w:rsidRDefault="00240D62" w:rsidP="0084063F">
            <w:pPr>
              <w:spacing w:line="252" w:lineRule="atLeast"/>
              <w:jc w:val="both"/>
              <w:rPr>
                <w:sz w:val="21"/>
                <w:lang w:val="en-US"/>
              </w:rPr>
            </w:pPr>
            <w:proofErr w:type="spellStart"/>
            <w:r w:rsidRPr="00681FD0">
              <w:rPr>
                <w:color w:val="000000"/>
                <w:sz w:val="21"/>
              </w:rPr>
              <w:t>Adalimumabas</w:t>
            </w:r>
            <w:proofErr w:type="spellEnd"/>
            <w:r w:rsidRPr="00681FD0">
              <w:rPr>
                <w:color w:val="000000"/>
                <w:sz w:val="21"/>
              </w:rPr>
              <w:t xml:space="preserve">, </w:t>
            </w:r>
            <w:proofErr w:type="spellStart"/>
            <w:r w:rsidRPr="00681FD0">
              <w:rPr>
                <w:color w:val="000000"/>
                <w:sz w:val="21"/>
              </w:rPr>
              <w:t>infliksimabas</w:t>
            </w:r>
            <w:proofErr w:type="spellEnd"/>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083C53C2" w14:textId="77777777" w:rsidR="00240D62" w:rsidRPr="00681FD0" w:rsidRDefault="00240D62" w:rsidP="0084063F">
            <w:pPr>
              <w:spacing w:line="252" w:lineRule="atLeast"/>
              <w:jc w:val="both"/>
              <w:rPr>
                <w:sz w:val="21"/>
                <w:lang w:val="en-US"/>
              </w:rPr>
            </w:pPr>
            <w:r w:rsidRPr="00681FD0">
              <w:rPr>
                <w:color w:val="000000"/>
                <w:sz w:val="21"/>
              </w:rPr>
              <w:t xml:space="preserve">Kitas TNFα blokatorius: </w:t>
            </w:r>
            <w:proofErr w:type="spellStart"/>
            <w:r w:rsidRPr="00681FD0">
              <w:rPr>
                <w:color w:val="000000"/>
                <w:sz w:val="21"/>
              </w:rPr>
              <w:t>adalimumabas</w:t>
            </w:r>
            <w:proofErr w:type="spellEnd"/>
            <w:r w:rsidRPr="00681FD0">
              <w:rPr>
                <w:color w:val="000000"/>
                <w:sz w:val="21"/>
              </w:rPr>
              <w:t xml:space="preserve"> arba </w:t>
            </w:r>
            <w:proofErr w:type="spellStart"/>
            <w:r w:rsidRPr="00681FD0">
              <w:rPr>
                <w:color w:val="000000"/>
                <w:sz w:val="21"/>
              </w:rPr>
              <w:t>infliksimabas</w:t>
            </w:r>
            <w:proofErr w:type="spellEnd"/>
            <w:r w:rsidRPr="00681FD0">
              <w:rPr>
                <w:color w:val="000000"/>
                <w:sz w:val="21"/>
              </w:rPr>
              <w:t>, kuris nebuvo skirtas</w:t>
            </w:r>
          </w:p>
        </w:tc>
      </w:tr>
      <w:tr w:rsidR="00240D62" w:rsidRPr="00681FD0" w14:paraId="4067A8DA" w14:textId="77777777" w:rsidTr="0084063F">
        <w:trPr>
          <w:trHeight w:val="363"/>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571D48" w14:textId="77777777" w:rsidR="00240D62" w:rsidRPr="00681FD0" w:rsidRDefault="00240D62" w:rsidP="0084063F">
            <w:pPr>
              <w:spacing w:line="252" w:lineRule="atLeast"/>
              <w:jc w:val="both"/>
              <w:rPr>
                <w:sz w:val="21"/>
                <w:lang w:val="en-US"/>
              </w:rPr>
            </w:pPr>
            <w:r w:rsidRPr="00681FD0">
              <w:rPr>
                <w:color w:val="000000"/>
                <w:sz w:val="21"/>
              </w:rPr>
              <w:t>Pacientas yra sirgęs tuberkulioze</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1B0B0B94" w14:textId="77777777" w:rsidR="00240D62" w:rsidRPr="00681FD0" w:rsidRDefault="00240D62" w:rsidP="0084063F">
            <w:pPr>
              <w:spacing w:line="252" w:lineRule="atLeast"/>
              <w:jc w:val="both"/>
              <w:rPr>
                <w:sz w:val="21"/>
                <w:lang w:val="en-US"/>
              </w:rPr>
            </w:pPr>
            <w:proofErr w:type="spellStart"/>
            <w:r w:rsidRPr="00681FD0">
              <w:rPr>
                <w:color w:val="000000"/>
                <w:sz w:val="21"/>
              </w:rPr>
              <w:t>Etanerceptas</w:t>
            </w:r>
            <w:proofErr w:type="spellEnd"/>
            <w:r w:rsidRPr="00681FD0">
              <w:rPr>
                <w:color w:val="000000"/>
                <w:sz w:val="21"/>
              </w:rPr>
              <w:t xml:space="preserve">, </w:t>
            </w:r>
            <w:proofErr w:type="spellStart"/>
            <w:r w:rsidRPr="00681FD0">
              <w:rPr>
                <w:color w:val="000000"/>
                <w:sz w:val="21"/>
              </w:rPr>
              <w:t>sekukinumabas</w:t>
            </w:r>
            <w:proofErr w:type="spellEnd"/>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11C7FDFE" w14:textId="77777777" w:rsidR="00240D62" w:rsidRPr="00681FD0" w:rsidRDefault="00240D62" w:rsidP="0084063F">
            <w:pPr>
              <w:spacing w:line="252" w:lineRule="atLeast"/>
              <w:jc w:val="both"/>
              <w:rPr>
                <w:sz w:val="21"/>
                <w:lang w:val="en-US"/>
              </w:rPr>
            </w:pPr>
            <w:r w:rsidRPr="00681FD0">
              <w:rPr>
                <w:color w:val="000000"/>
                <w:sz w:val="21"/>
              </w:rPr>
              <w:t xml:space="preserve">Kitas TNFα blokatorius, </w:t>
            </w:r>
            <w:proofErr w:type="spellStart"/>
            <w:r w:rsidRPr="00681FD0">
              <w:rPr>
                <w:color w:val="000000"/>
                <w:sz w:val="21"/>
              </w:rPr>
              <w:t>sekukinumabas</w:t>
            </w:r>
            <w:proofErr w:type="spellEnd"/>
          </w:p>
        </w:tc>
      </w:tr>
      <w:tr w:rsidR="00240D62" w:rsidRPr="00681FD0" w14:paraId="0ACDD843" w14:textId="77777777" w:rsidTr="0084063F">
        <w:trPr>
          <w:trHeight w:val="726"/>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C59A25" w14:textId="77777777" w:rsidR="00240D62" w:rsidRPr="00681FD0" w:rsidRDefault="00240D62" w:rsidP="0084063F">
            <w:pPr>
              <w:spacing w:line="252" w:lineRule="atLeast"/>
              <w:jc w:val="both"/>
              <w:rPr>
                <w:sz w:val="21"/>
                <w:lang w:val="en-US"/>
              </w:rPr>
            </w:pPr>
            <w:r w:rsidRPr="00681FD0">
              <w:rPr>
                <w:color w:val="000000"/>
                <w:sz w:val="21"/>
              </w:rPr>
              <w:t>Alergija vienam iš TNF blokatorių</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2EB76D50" w14:textId="77777777" w:rsidR="00240D62" w:rsidRPr="00681FD0" w:rsidRDefault="00240D62" w:rsidP="0084063F">
            <w:pPr>
              <w:spacing w:line="252" w:lineRule="atLeast"/>
              <w:jc w:val="both"/>
              <w:rPr>
                <w:sz w:val="21"/>
                <w:lang w:val="en-US"/>
              </w:rPr>
            </w:pPr>
            <w:r w:rsidRPr="00681FD0">
              <w:rPr>
                <w:color w:val="000000"/>
                <w:sz w:val="21"/>
              </w:rPr>
              <w:t>Kitas TNFα blokatorius (ne      -</w:t>
            </w:r>
            <w:proofErr w:type="spellStart"/>
            <w:r w:rsidRPr="00681FD0">
              <w:rPr>
                <w:color w:val="000000"/>
                <w:sz w:val="21"/>
              </w:rPr>
              <w:t>mabas</w:t>
            </w:r>
            <w:proofErr w:type="spellEnd"/>
            <w:r w:rsidRPr="00681FD0">
              <w:rPr>
                <w:color w:val="000000"/>
                <w:sz w:val="21"/>
              </w:rPr>
              <w:t>, jei buvo -</w:t>
            </w:r>
            <w:proofErr w:type="spellStart"/>
            <w:r w:rsidRPr="00681FD0">
              <w:rPr>
                <w:color w:val="000000"/>
                <w:sz w:val="21"/>
              </w:rPr>
              <w:t>mabas</w:t>
            </w:r>
            <w:proofErr w:type="spellEnd"/>
            <w:r w:rsidRPr="00681FD0">
              <w:rPr>
                <w:color w:val="000000"/>
                <w:sz w:val="21"/>
              </w:rPr>
              <w:t>, arba ne -</w:t>
            </w:r>
            <w:proofErr w:type="spellStart"/>
            <w:r w:rsidRPr="00681FD0">
              <w:rPr>
                <w:color w:val="000000"/>
                <w:sz w:val="21"/>
              </w:rPr>
              <w:t>ceptas</w:t>
            </w:r>
            <w:proofErr w:type="spellEnd"/>
            <w:r w:rsidRPr="00681FD0">
              <w:rPr>
                <w:color w:val="000000"/>
                <w:sz w:val="21"/>
              </w:rPr>
              <w:t>, jei buvo -</w:t>
            </w:r>
            <w:proofErr w:type="spellStart"/>
            <w:r w:rsidRPr="00681FD0">
              <w:rPr>
                <w:color w:val="000000"/>
                <w:sz w:val="21"/>
              </w:rPr>
              <w:t>ceptas</w:t>
            </w:r>
            <w:proofErr w:type="spellEnd"/>
            <w:r w:rsidRPr="00681FD0">
              <w:rPr>
                <w:color w:val="000000"/>
                <w:sz w:val="21"/>
              </w:rPr>
              <w:t>)</w:t>
            </w:r>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4DE950CE" w14:textId="77777777" w:rsidR="00240D62" w:rsidRPr="00681FD0" w:rsidRDefault="00240D62" w:rsidP="0084063F">
            <w:pPr>
              <w:spacing w:line="252" w:lineRule="atLeast"/>
              <w:jc w:val="both"/>
              <w:rPr>
                <w:sz w:val="21"/>
                <w:lang w:val="en-US"/>
              </w:rPr>
            </w:pPr>
            <w:r w:rsidRPr="00681FD0">
              <w:rPr>
                <w:color w:val="000000"/>
                <w:sz w:val="21"/>
              </w:rPr>
              <w:t>Kitas TNFα blokatorius (ne    -</w:t>
            </w:r>
            <w:proofErr w:type="spellStart"/>
            <w:r w:rsidRPr="00681FD0">
              <w:rPr>
                <w:color w:val="000000"/>
                <w:sz w:val="21"/>
              </w:rPr>
              <w:t>mabas</w:t>
            </w:r>
            <w:proofErr w:type="spellEnd"/>
            <w:r w:rsidRPr="00681FD0">
              <w:rPr>
                <w:color w:val="000000"/>
                <w:sz w:val="21"/>
              </w:rPr>
              <w:t>, jei buvo -</w:t>
            </w:r>
            <w:proofErr w:type="spellStart"/>
            <w:r w:rsidRPr="00681FD0">
              <w:rPr>
                <w:color w:val="000000"/>
                <w:sz w:val="21"/>
              </w:rPr>
              <w:t>mabas</w:t>
            </w:r>
            <w:proofErr w:type="spellEnd"/>
            <w:r w:rsidRPr="00681FD0">
              <w:rPr>
                <w:color w:val="000000"/>
                <w:sz w:val="21"/>
              </w:rPr>
              <w:t>, arba ne -</w:t>
            </w:r>
            <w:proofErr w:type="spellStart"/>
            <w:r w:rsidRPr="00681FD0">
              <w:rPr>
                <w:color w:val="000000"/>
                <w:sz w:val="21"/>
              </w:rPr>
              <w:t>ceptas</w:t>
            </w:r>
            <w:proofErr w:type="spellEnd"/>
            <w:r w:rsidRPr="00681FD0">
              <w:rPr>
                <w:color w:val="000000"/>
                <w:sz w:val="21"/>
              </w:rPr>
              <w:t>, jei buvo   -</w:t>
            </w:r>
            <w:proofErr w:type="spellStart"/>
            <w:r w:rsidRPr="00681FD0">
              <w:rPr>
                <w:color w:val="000000"/>
                <w:sz w:val="21"/>
              </w:rPr>
              <w:t>ceptas</w:t>
            </w:r>
            <w:proofErr w:type="spellEnd"/>
            <w:r w:rsidRPr="00681FD0">
              <w:rPr>
                <w:color w:val="000000"/>
                <w:sz w:val="21"/>
              </w:rPr>
              <w:t xml:space="preserve">), </w:t>
            </w:r>
            <w:proofErr w:type="spellStart"/>
            <w:r w:rsidRPr="00681FD0">
              <w:rPr>
                <w:color w:val="000000"/>
                <w:sz w:val="21"/>
              </w:rPr>
              <w:t>sekukinumabas</w:t>
            </w:r>
            <w:proofErr w:type="spellEnd"/>
          </w:p>
        </w:tc>
      </w:tr>
    </w:tbl>
    <w:p w14:paraId="15EE4B9F" w14:textId="77777777" w:rsidR="00240D62" w:rsidRDefault="00240D62" w:rsidP="00240D62">
      <w:pPr>
        <w:tabs>
          <w:tab w:val="left" w:pos="426"/>
        </w:tabs>
        <w:jc w:val="both"/>
        <w:rPr>
          <w:color w:val="000000"/>
          <w:lang w:eastAsia="lt-LT"/>
        </w:rPr>
      </w:pPr>
    </w:p>
    <w:p w14:paraId="71D7DEF6" w14:textId="77777777" w:rsidR="00240D62" w:rsidRDefault="00240D62" w:rsidP="00240D62">
      <w:pPr>
        <w:spacing w:line="276" w:lineRule="auto"/>
        <w:ind w:firstLine="645"/>
        <w:jc w:val="both"/>
        <w:rPr>
          <w:color w:val="000000"/>
        </w:rPr>
      </w:pPr>
      <w:r w:rsidRPr="00C143A7">
        <w:rPr>
          <w:color w:val="000000"/>
        </w:rPr>
        <w:t>AS gydomas tradiciniais sisteminiais medikamentais (</w:t>
      </w:r>
      <w:proofErr w:type="spellStart"/>
      <w:r w:rsidRPr="00C143A7">
        <w:rPr>
          <w:color w:val="000000"/>
        </w:rPr>
        <w:t>metotreksatu</w:t>
      </w:r>
      <w:proofErr w:type="spellEnd"/>
      <w:r w:rsidRPr="00C143A7">
        <w:rPr>
          <w:color w:val="000000"/>
        </w:rPr>
        <w:t xml:space="preserve">, </w:t>
      </w:r>
      <w:proofErr w:type="spellStart"/>
      <w:r w:rsidRPr="00C143A7">
        <w:rPr>
          <w:color w:val="000000"/>
        </w:rPr>
        <w:t>ciklosporinu</w:t>
      </w:r>
      <w:proofErr w:type="spellEnd"/>
      <w:r w:rsidRPr="00C143A7">
        <w:rPr>
          <w:color w:val="000000"/>
        </w:rPr>
        <w:t xml:space="preserve">), kurie derinami su biologine terapija TNF alfa inhibitoriais – </w:t>
      </w:r>
      <w:proofErr w:type="spellStart"/>
      <w:r w:rsidRPr="00C143A7">
        <w:rPr>
          <w:color w:val="000000"/>
        </w:rPr>
        <w:t>etanerceptu</w:t>
      </w:r>
      <w:proofErr w:type="spellEnd"/>
      <w:r w:rsidRPr="00C143A7">
        <w:rPr>
          <w:color w:val="000000"/>
        </w:rPr>
        <w:t xml:space="preserve">, </w:t>
      </w:r>
      <w:proofErr w:type="spellStart"/>
      <w:r w:rsidRPr="00C143A7">
        <w:rPr>
          <w:color w:val="000000"/>
        </w:rPr>
        <w:t>adalimumabu</w:t>
      </w:r>
      <w:proofErr w:type="spellEnd"/>
      <w:r w:rsidRPr="00C143A7">
        <w:rPr>
          <w:color w:val="000000"/>
        </w:rPr>
        <w:t xml:space="preserve">, </w:t>
      </w:r>
      <w:proofErr w:type="spellStart"/>
      <w:r w:rsidRPr="00C143A7">
        <w:rPr>
          <w:color w:val="000000"/>
        </w:rPr>
        <w:t>infliksimabu</w:t>
      </w:r>
      <w:proofErr w:type="spellEnd"/>
      <w:r w:rsidRPr="00C143A7">
        <w:rPr>
          <w:color w:val="000000"/>
        </w:rPr>
        <w:t xml:space="preserve"> ar  IL-17A inhibitoriumi sekukinumabu. Nepaisant taikomo gydymo, kuris veikia </w:t>
      </w:r>
      <w:proofErr w:type="spellStart"/>
      <w:r w:rsidRPr="00C143A7">
        <w:rPr>
          <w:color w:val="000000"/>
        </w:rPr>
        <w:t>patogenezines</w:t>
      </w:r>
      <w:proofErr w:type="spellEnd"/>
      <w:r w:rsidRPr="00C143A7">
        <w:rPr>
          <w:color w:val="000000"/>
        </w:rPr>
        <w:t xml:space="preserve"> grandis, ne visi pacientai gydymą toleruoja ir ne visiems stebimas norimas teigiamas atsakas.</w:t>
      </w:r>
    </w:p>
    <w:p w14:paraId="01917929" w14:textId="77777777" w:rsidR="00240D62" w:rsidRDefault="00240D62" w:rsidP="00240D62">
      <w:pPr>
        <w:spacing w:line="276" w:lineRule="auto"/>
        <w:ind w:firstLine="645"/>
        <w:jc w:val="both"/>
        <w:rPr>
          <w:color w:val="000000"/>
        </w:rPr>
      </w:pPr>
      <w:r w:rsidRPr="00C143A7">
        <w:rPr>
          <w:color w:val="000000"/>
        </w:rPr>
        <w:t xml:space="preserve">Kadangi </w:t>
      </w:r>
      <w:r>
        <w:rPr>
          <w:color w:val="000000"/>
        </w:rPr>
        <w:t xml:space="preserve">pareiškėjo </w:t>
      </w:r>
      <w:r w:rsidRPr="00C143A7">
        <w:rPr>
          <w:color w:val="000000"/>
        </w:rPr>
        <w:t>siūlomos skyrimo sąlygos atitinka aprašo antros eilės skyrimo sąlygą</w:t>
      </w:r>
      <w:r>
        <w:rPr>
          <w:color w:val="000000"/>
        </w:rPr>
        <w:t>,</w:t>
      </w:r>
      <w:r w:rsidRPr="00C143A7">
        <w:rPr>
          <w:color w:val="000000"/>
        </w:rPr>
        <w:t xml:space="preserve"> paraiškoje</w:t>
      </w:r>
      <w:r>
        <w:rPr>
          <w:color w:val="000000"/>
        </w:rPr>
        <w:t xml:space="preserve"> </w:t>
      </w:r>
      <w:proofErr w:type="spellStart"/>
      <w:r>
        <w:rPr>
          <w:color w:val="000000"/>
        </w:rPr>
        <w:t>u</w:t>
      </w:r>
      <w:r w:rsidRPr="005E493E">
        <w:rPr>
          <w:color w:val="000000"/>
        </w:rPr>
        <w:t>padacitinib</w:t>
      </w:r>
      <w:r>
        <w:rPr>
          <w:color w:val="000000"/>
        </w:rPr>
        <w:t>as</w:t>
      </w:r>
      <w:proofErr w:type="spellEnd"/>
      <w:r w:rsidRPr="005E493E">
        <w:rPr>
          <w:color w:val="000000"/>
        </w:rPr>
        <w:t xml:space="preserve"> (</w:t>
      </w:r>
      <w:proofErr w:type="spellStart"/>
      <w:r w:rsidRPr="005E493E">
        <w:rPr>
          <w:color w:val="000000"/>
        </w:rPr>
        <w:t>Rinvoq</w:t>
      </w:r>
      <w:proofErr w:type="spellEnd"/>
      <w:r w:rsidRPr="005E493E">
        <w:rPr>
          <w:color w:val="000000"/>
        </w:rPr>
        <w:t xml:space="preserve">) siekiant pagrįsti nesiskiriantį klinikinį veiksmingumą buvo lyginamas su </w:t>
      </w:r>
      <w:r>
        <w:rPr>
          <w:color w:val="000000"/>
        </w:rPr>
        <w:t>s</w:t>
      </w:r>
      <w:r w:rsidRPr="005E493E">
        <w:rPr>
          <w:color w:val="000000"/>
        </w:rPr>
        <w:t>ekukinumabu.</w:t>
      </w:r>
    </w:p>
    <w:p w14:paraId="44E1BBB0" w14:textId="77777777" w:rsidR="00240D62" w:rsidRDefault="00240D62" w:rsidP="00240D62">
      <w:pPr>
        <w:spacing w:line="276" w:lineRule="auto"/>
        <w:ind w:firstLine="645"/>
        <w:jc w:val="both"/>
        <w:rPr>
          <w:rStyle w:val="y2iqfc"/>
          <w:color w:val="202124"/>
        </w:rPr>
      </w:pPr>
      <w:r w:rsidRPr="005E493E">
        <w:rPr>
          <w:rStyle w:val="y2iqfc"/>
          <w:color w:val="202124"/>
          <w:szCs w:val="20"/>
        </w:rPr>
        <w:t xml:space="preserve">Pareiškėjas pateikė netiesioginio palyginimo tyrimą – metaanalizę, nes jo duomenimis, tiesioginio palyginimo tyrimų tarp </w:t>
      </w:r>
      <w:proofErr w:type="spellStart"/>
      <w:r w:rsidRPr="005E493E">
        <w:rPr>
          <w:rStyle w:val="y2iqfc"/>
          <w:color w:val="202124"/>
          <w:szCs w:val="20"/>
        </w:rPr>
        <w:t>upadacitinibo</w:t>
      </w:r>
      <w:proofErr w:type="spellEnd"/>
      <w:r w:rsidRPr="005E493E">
        <w:rPr>
          <w:rStyle w:val="y2iqfc"/>
          <w:color w:val="202124"/>
          <w:szCs w:val="20"/>
        </w:rPr>
        <w:t xml:space="preserve"> ir </w:t>
      </w:r>
      <w:proofErr w:type="spellStart"/>
      <w:r w:rsidRPr="005E493E">
        <w:rPr>
          <w:rStyle w:val="y2iqfc"/>
          <w:color w:val="202124"/>
          <w:szCs w:val="20"/>
        </w:rPr>
        <w:t>sekukinumabo</w:t>
      </w:r>
      <w:proofErr w:type="spellEnd"/>
      <w:r w:rsidRPr="005E493E">
        <w:rPr>
          <w:rStyle w:val="y2iqfc"/>
          <w:color w:val="202124"/>
          <w:szCs w:val="20"/>
        </w:rPr>
        <w:t xml:space="preserve"> nėra. </w:t>
      </w:r>
      <w:r w:rsidRPr="00906356">
        <w:rPr>
          <w:rStyle w:val="y2iqfc"/>
          <w:color w:val="202124"/>
          <w:szCs w:val="20"/>
        </w:rPr>
        <w:t xml:space="preserve">Netiesioginės </w:t>
      </w:r>
      <w:r>
        <w:rPr>
          <w:rStyle w:val="y2iqfc"/>
          <w:color w:val="202124"/>
          <w:szCs w:val="20"/>
        </w:rPr>
        <w:t xml:space="preserve">tinklinės </w:t>
      </w:r>
      <w:r w:rsidRPr="00906356">
        <w:rPr>
          <w:rStyle w:val="y2iqfc"/>
          <w:color w:val="202124"/>
          <w:szCs w:val="20"/>
        </w:rPr>
        <w:t xml:space="preserve">metaanalizės </w:t>
      </w:r>
      <w:r>
        <w:rPr>
          <w:rStyle w:val="y2iqfc"/>
          <w:color w:val="202124"/>
          <w:szCs w:val="20"/>
        </w:rPr>
        <w:t xml:space="preserve">(NMA) </w:t>
      </w:r>
      <w:r w:rsidRPr="00906356">
        <w:rPr>
          <w:rStyle w:val="y2iqfc"/>
          <w:color w:val="202124"/>
          <w:szCs w:val="20"/>
        </w:rPr>
        <w:t xml:space="preserve">tikslas </w:t>
      </w:r>
      <w:r>
        <w:rPr>
          <w:rStyle w:val="y2iqfc"/>
          <w:color w:val="202124"/>
          <w:szCs w:val="20"/>
        </w:rPr>
        <w:t xml:space="preserve">buvo </w:t>
      </w:r>
      <w:r w:rsidRPr="00906356">
        <w:rPr>
          <w:rStyle w:val="y2iqfc"/>
          <w:color w:val="202124"/>
          <w:szCs w:val="20"/>
        </w:rPr>
        <w:t xml:space="preserve">palyginti </w:t>
      </w:r>
      <w:proofErr w:type="spellStart"/>
      <w:r>
        <w:rPr>
          <w:rStyle w:val="y2iqfc"/>
          <w:color w:val="202124"/>
          <w:szCs w:val="20"/>
        </w:rPr>
        <w:t>upadacitinibo</w:t>
      </w:r>
      <w:proofErr w:type="spellEnd"/>
      <w:r w:rsidRPr="00906356">
        <w:rPr>
          <w:rStyle w:val="y2iqfc"/>
          <w:color w:val="202124"/>
          <w:szCs w:val="20"/>
        </w:rPr>
        <w:t xml:space="preserve"> veiksmingumą su kitais </w:t>
      </w:r>
      <w:proofErr w:type="spellStart"/>
      <w:r>
        <w:rPr>
          <w:rStyle w:val="y2iqfc"/>
          <w:color w:val="202124"/>
          <w:szCs w:val="20"/>
        </w:rPr>
        <w:t>bLMV</w:t>
      </w:r>
      <w:proofErr w:type="spellEnd"/>
      <w:r w:rsidRPr="00906356">
        <w:rPr>
          <w:rStyle w:val="y2iqfc"/>
          <w:color w:val="202124"/>
          <w:szCs w:val="20"/>
        </w:rPr>
        <w:t xml:space="preserve"> ir </w:t>
      </w:r>
      <w:proofErr w:type="spellStart"/>
      <w:r w:rsidRPr="00906356">
        <w:rPr>
          <w:rStyle w:val="y2iqfc"/>
          <w:color w:val="202124"/>
          <w:szCs w:val="20"/>
        </w:rPr>
        <w:t>t</w:t>
      </w:r>
      <w:r>
        <w:rPr>
          <w:rStyle w:val="y2iqfc"/>
          <w:color w:val="202124"/>
          <w:szCs w:val="20"/>
        </w:rPr>
        <w:t>sLMV</w:t>
      </w:r>
      <w:proofErr w:type="spellEnd"/>
      <w:r w:rsidRPr="00906356">
        <w:rPr>
          <w:rStyle w:val="y2iqfc"/>
          <w:color w:val="202124"/>
          <w:szCs w:val="20"/>
        </w:rPr>
        <w:t xml:space="preserve">, gydant suaugusiuosius, sergančius aktyviu AS, kuriems anksčiau buvo nepakankamas atsakas ir (arba) netoleravimas nesteroidiniams vaistams nuo uždegimo (NVNU-IR) ir nepakankamas atsakas į ankstesnį </w:t>
      </w:r>
      <w:proofErr w:type="spellStart"/>
      <w:r w:rsidRPr="00906356">
        <w:rPr>
          <w:rStyle w:val="y2iqfc"/>
          <w:color w:val="202124"/>
          <w:szCs w:val="20"/>
        </w:rPr>
        <w:t>b</w:t>
      </w:r>
      <w:r>
        <w:rPr>
          <w:rStyle w:val="y2iqfc"/>
          <w:color w:val="202124"/>
          <w:szCs w:val="20"/>
        </w:rPr>
        <w:t>LMV</w:t>
      </w:r>
      <w:proofErr w:type="spellEnd"/>
      <w:r w:rsidRPr="00906356">
        <w:rPr>
          <w:rStyle w:val="y2iqfc"/>
          <w:color w:val="202124"/>
          <w:szCs w:val="20"/>
        </w:rPr>
        <w:t xml:space="preserve"> vartojimą (</w:t>
      </w:r>
      <w:proofErr w:type="spellStart"/>
      <w:r w:rsidRPr="00906356">
        <w:rPr>
          <w:rStyle w:val="y2iqfc"/>
          <w:color w:val="202124"/>
          <w:szCs w:val="20"/>
        </w:rPr>
        <w:t>bDMARD</w:t>
      </w:r>
      <w:proofErr w:type="spellEnd"/>
      <w:r w:rsidRPr="00906356">
        <w:rPr>
          <w:rStyle w:val="y2iqfc"/>
          <w:color w:val="202124"/>
          <w:szCs w:val="20"/>
        </w:rPr>
        <w:t>-IR).</w:t>
      </w:r>
    </w:p>
    <w:p w14:paraId="22EA25B5" w14:textId="77777777" w:rsidR="00240D62" w:rsidRDefault="00240D62" w:rsidP="00240D62">
      <w:pPr>
        <w:spacing w:line="276" w:lineRule="auto"/>
        <w:ind w:firstLine="645"/>
        <w:jc w:val="both"/>
        <w:rPr>
          <w:rStyle w:val="y2iqfc"/>
          <w:color w:val="202124"/>
        </w:rPr>
      </w:pPr>
      <w:r>
        <w:rPr>
          <w:rStyle w:val="y2iqfc"/>
          <w:color w:val="202124"/>
          <w:szCs w:val="20"/>
        </w:rPr>
        <w:t>Pateiktame tyrime buvo vertinami ASAS20, ASAS40, ASASPR,</w:t>
      </w:r>
      <w:r w:rsidRPr="00AD2F89">
        <w:rPr>
          <w:rStyle w:val="y2iqfc"/>
          <w:color w:val="202124"/>
          <w:szCs w:val="20"/>
        </w:rPr>
        <w:t xml:space="preserve"> BASDAI50, BASDAI CFB</w:t>
      </w:r>
      <w:r>
        <w:rPr>
          <w:rStyle w:val="y2iqfc"/>
          <w:color w:val="202124"/>
          <w:szCs w:val="20"/>
        </w:rPr>
        <w:t xml:space="preserve"> 12-ą ir 14-ą savaitę. Vertinant visus rodiklius, buvo gauti rezultatai, kad </w:t>
      </w:r>
      <w:proofErr w:type="spellStart"/>
      <w:r>
        <w:rPr>
          <w:rStyle w:val="y2iqfc"/>
          <w:color w:val="202124"/>
          <w:szCs w:val="20"/>
        </w:rPr>
        <w:t>upadacitinibas</w:t>
      </w:r>
      <w:proofErr w:type="spellEnd"/>
      <w:r>
        <w:rPr>
          <w:rStyle w:val="y2iqfc"/>
          <w:color w:val="202124"/>
          <w:szCs w:val="20"/>
        </w:rPr>
        <w:t xml:space="preserve"> </w:t>
      </w:r>
      <w:r w:rsidRPr="00906356">
        <w:rPr>
          <w:rStyle w:val="y2iqfc"/>
          <w:color w:val="202124"/>
        </w:rPr>
        <w:t>yra statistiškai reikšmingai geresnis nei</w:t>
      </w:r>
      <w:r>
        <w:rPr>
          <w:rStyle w:val="y2iqfc"/>
          <w:color w:val="202124"/>
        </w:rPr>
        <w:t xml:space="preserve"> placebas</w:t>
      </w:r>
      <w:r w:rsidRPr="00906356">
        <w:rPr>
          <w:rStyle w:val="y2iqfc"/>
          <w:color w:val="202124"/>
        </w:rPr>
        <w:t xml:space="preserve"> ir statistiškai lygiavertis kitiems lyginamiesiems </w:t>
      </w:r>
      <w:r w:rsidRPr="00906356">
        <w:rPr>
          <w:rStyle w:val="y2iqfc"/>
          <w:color w:val="202124"/>
        </w:rPr>
        <w:lastRenderedPageBreak/>
        <w:t>preparatams</w:t>
      </w:r>
      <w:r>
        <w:rPr>
          <w:rStyle w:val="y2iqfc"/>
          <w:color w:val="202124"/>
        </w:rPr>
        <w:t xml:space="preserve">. Pradinėje paraiškoje nebuvo pateikta saugumo duomenų </w:t>
      </w:r>
      <w:proofErr w:type="spellStart"/>
      <w:r>
        <w:rPr>
          <w:rStyle w:val="y2iqfc"/>
          <w:color w:val="202124"/>
        </w:rPr>
        <w:t>upadacitinibą</w:t>
      </w:r>
      <w:proofErr w:type="spellEnd"/>
      <w:r>
        <w:rPr>
          <w:rStyle w:val="y2iqfc"/>
          <w:color w:val="202124"/>
        </w:rPr>
        <w:t xml:space="preserve"> lyginant su </w:t>
      </w:r>
      <w:proofErr w:type="spellStart"/>
      <w:r>
        <w:rPr>
          <w:rStyle w:val="y2iqfc"/>
          <w:color w:val="202124"/>
        </w:rPr>
        <w:t>sekukinumabu</w:t>
      </w:r>
      <w:proofErr w:type="spellEnd"/>
      <w:r>
        <w:rPr>
          <w:rStyle w:val="y2iqfc"/>
          <w:color w:val="202124"/>
        </w:rPr>
        <w:t>, todėl pareiškėjui buvo pateikti papildomi klausimai.</w:t>
      </w:r>
    </w:p>
    <w:p w14:paraId="38989DC0" w14:textId="457CF072" w:rsidR="00240D62" w:rsidRPr="00240D62" w:rsidRDefault="00240D62" w:rsidP="00240D62">
      <w:pPr>
        <w:spacing w:line="276" w:lineRule="auto"/>
        <w:ind w:firstLine="645"/>
        <w:jc w:val="both"/>
        <w:rPr>
          <w:color w:val="202124"/>
        </w:rPr>
      </w:pPr>
      <w:r w:rsidRPr="0021517F">
        <w:rPr>
          <w:rStyle w:val="y2iqfc"/>
          <w:color w:val="202124"/>
        </w:rPr>
        <w:t xml:space="preserve">Po pateiktų klausimų pareiškėjas pateikė </w:t>
      </w:r>
      <w:proofErr w:type="spellStart"/>
      <w:r w:rsidRPr="0021517F">
        <w:rPr>
          <w:rStyle w:val="y2iqfc"/>
          <w:color w:val="202124"/>
        </w:rPr>
        <w:t>upadacitinibo</w:t>
      </w:r>
      <w:proofErr w:type="spellEnd"/>
      <w:r w:rsidRPr="0021517F">
        <w:rPr>
          <w:rStyle w:val="y2iqfc"/>
          <w:color w:val="202124"/>
        </w:rPr>
        <w:t xml:space="preserve"> ir </w:t>
      </w:r>
      <w:proofErr w:type="spellStart"/>
      <w:r w:rsidRPr="0021517F">
        <w:rPr>
          <w:rStyle w:val="y2iqfc"/>
          <w:color w:val="202124"/>
        </w:rPr>
        <w:t>sekukinumabo</w:t>
      </w:r>
      <w:proofErr w:type="spellEnd"/>
      <w:r w:rsidRPr="0021517F">
        <w:rPr>
          <w:rStyle w:val="y2iqfc"/>
          <w:color w:val="202124"/>
        </w:rPr>
        <w:t xml:space="preserve"> netiesioginio saugumo palyginimo rezultatus, pagal kurios galima teigti, kad </w:t>
      </w:r>
      <w:proofErr w:type="spellStart"/>
      <w:r w:rsidRPr="0021517F">
        <w:rPr>
          <w:rStyle w:val="y2iqfc"/>
          <w:color w:val="202124"/>
        </w:rPr>
        <w:t>kad</w:t>
      </w:r>
      <w:proofErr w:type="spellEnd"/>
      <w:r w:rsidRPr="0021517F">
        <w:rPr>
          <w:rStyle w:val="y2iqfc"/>
          <w:color w:val="202124"/>
        </w:rPr>
        <w:t xml:space="preserve"> </w:t>
      </w:r>
      <w:proofErr w:type="spellStart"/>
      <w:r w:rsidRPr="0021517F">
        <w:rPr>
          <w:rStyle w:val="y2iqfc"/>
          <w:color w:val="202124"/>
        </w:rPr>
        <w:t>upadacitinibo</w:t>
      </w:r>
      <w:proofErr w:type="spellEnd"/>
      <w:r w:rsidRPr="0021517F">
        <w:rPr>
          <w:rStyle w:val="y2iqfc"/>
          <w:color w:val="202124"/>
        </w:rPr>
        <w:t xml:space="preserve"> ir </w:t>
      </w:r>
      <w:proofErr w:type="spellStart"/>
      <w:r w:rsidRPr="0021517F">
        <w:rPr>
          <w:rStyle w:val="y2iqfc"/>
          <w:color w:val="202124"/>
        </w:rPr>
        <w:t>sekukinumabo</w:t>
      </w:r>
      <w:proofErr w:type="spellEnd"/>
      <w:r w:rsidRPr="0021517F">
        <w:rPr>
          <w:rStyle w:val="y2iqfc"/>
          <w:color w:val="202124"/>
        </w:rPr>
        <w:t xml:space="preserve"> saugumas pacientams, sergantiems </w:t>
      </w:r>
      <w:proofErr w:type="spellStart"/>
      <w:r w:rsidRPr="0021517F">
        <w:rPr>
          <w:rStyle w:val="y2iqfc"/>
          <w:color w:val="202124"/>
        </w:rPr>
        <w:t>ankiloziniu</w:t>
      </w:r>
      <w:proofErr w:type="spellEnd"/>
      <w:r w:rsidRPr="0021517F">
        <w:rPr>
          <w:rStyle w:val="y2iqfc"/>
          <w:color w:val="202124"/>
        </w:rPr>
        <w:t xml:space="preserve"> </w:t>
      </w:r>
      <w:proofErr w:type="spellStart"/>
      <w:r w:rsidRPr="0021517F">
        <w:rPr>
          <w:rStyle w:val="y2iqfc"/>
          <w:color w:val="202124"/>
        </w:rPr>
        <w:t>spondilitu</w:t>
      </w:r>
      <w:proofErr w:type="spellEnd"/>
      <w:r w:rsidRPr="0021517F">
        <w:rPr>
          <w:rStyle w:val="y2iqfc"/>
          <w:color w:val="202124"/>
        </w:rPr>
        <w:t xml:space="preserve">, kuriems gydymas vienu ar daugiau </w:t>
      </w:r>
      <w:proofErr w:type="spellStart"/>
      <w:r w:rsidRPr="0021517F">
        <w:rPr>
          <w:rStyle w:val="y2iqfc"/>
          <w:color w:val="202124"/>
        </w:rPr>
        <w:t>bLMV</w:t>
      </w:r>
      <w:proofErr w:type="spellEnd"/>
      <w:r w:rsidRPr="0021517F">
        <w:rPr>
          <w:rStyle w:val="y2iqfc"/>
          <w:color w:val="202124"/>
        </w:rPr>
        <w:t xml:space="preserve"> buvo nepakankamas, yra panašus.</w:t>
      </w:r>
    </w:p>
    <w:p w14:paraId="05435903" w14:textId="77777777" w:rsidR="008651E2" w:rsidRPr="006D4C85" w:rsidRDefault="008651E2" w:rsidP="00A93AA6">
      <w:pPr>
        <w:pStyle w:val="Sraopastraipa"/>
        <w:tabs>
          <w:tab w:val="left" w:pos="426"/>
        </w:tabs>
        <w:ind w:left="0"/>
        <w:rPr>
          <w:b/>
          <w:bCs/>
          <w:caps/>
        </w:rPr>
      </w:pPr>
    </w:p>
    <w:p w14:paraId="7DE09EB5" w14:textId="77BEAAE0" w:rsidR="00E03C3F" w:rsidRDefault="00CC7832" w:rsidP="00937907">
      <w:pPr>
        <w:pStyle w:val="Sraopastraipa"/>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68AE5752" w14:textId="371EFC12" w:rsidR="00061311" w:rsidRDefault="00061311" w:rsidP="00061311">
      <w:pPr>
        <w:tabs>
          <w:tab w:val="left" w:pos="426"/>
        </w:tabs>
        <w:rPr>
          <w:b/>
          <w:bCs/>
          <w:caps/>
        </w:rPr>
      </w:pPr>
    </w:p>
    <w:p w14:paraId="0806CE6D" w14:textId="7DF6F516" w:rsidR="00B52E0C" w:rsidRDefault="00B52E0C" w:rsidP="00B52E0C">
      <w:pPr>
        <w:autoSpaceDE w:val="0"/>
        <w:autoSpaceDN w:val="0"/>
        <w:spacing w:line="276" w:lineRule="auto"/>
        <w:ind w:firstLine="720"/>
        <w:jc w:val="both"/>
      </w:pPr>
      <w:r>
        <w:t>Pareiškėjas Rinvoq kompensavimui teikia susiaurintos indikacijos skyrimo sąlygą: „</w:t>
      </w:r>
      <w:r w:rsidRPr="00D947F4">
        <w:rPr>
          <w:rFonts w:eastAsia="TimesNewRoman"/>
        </w:rPr>
        <w:t>R</w:t>
      </w:r>
      <w:r>
        <w:rPr>
          <w:rFonts w:eastAsia="TimesNewRoman"/>
        </w:rPr>
        <w:t>invoq</w:t>
      </w:r>
      <w:r w:rsidRPr="00D947F4">
        <w:rPr>
          <w:rFonts w:eastAsia="TimesNewRoman"/>
        </w:rPr>
        <w:t xml:space="preserve"> yra skiriamas suaugusiems pacientams aktyviam </w:t>
      </w:r>
      <w:proofErr w:type="spellStart"/>
      <w:r w:rsidRPr="00D947F4">
        <w:rPr>
          <w:rFonts w:eastAsia="TimesNewRoman"/>
        </w:rPr>
        <w:t>ankiloziniam</w:t>
      </w:r>
      <w:proofErr w:type="spellEnd"/>
      <w:r w:rsidRPr="00D947F4">
        <w:rPr>
          <w:rFonts w:eastAsia="TimesNewRoman"/>
        </w:rPr>
        <w:t xml:space="preserve"> </w:t>
      </w:r>
      <w:proofErr w:type="spellStart"/>
      <w:r w:rsidRPr="00D947F4">
        <w:rPr>
          <w:rFonts w:eastAsia="TimesNewRoman"/>
        </w:rPr>
        <w:t>spondilitui</w:t>
      </w:r>
      <w:proofErr w:type="spellEnd"/>
      <w:r w:rsidRPr="00D947F4">
        <w:rPr>
          <w:rFonts w:eastAsia="TimesNewRoman"/>
        </w:rPr>
        <w:t xml:space="preserve"> gydyti, </w:t>
      </w:r>
      <w:r w:rsidRPr="00CC1091">
        <w:rPr>
          <w:rFonts w:eastAsia="TimesNewRoman"/>
          <w:u w:val="single"/>
        </w:rPr>
        <w:t>jei gydant vienu ar daugiau biologinių ligą modifikuojančių vaistinių preparatų (</w:t>
      </w:r>
      <w:proofErr w:type="spellStart"/>
      <w:r w:rsidRPr="00CC1091">
        <w:rPr>
          <w:rFonts w:eastAsia="TimesNewRoman"/>
          <w:u w:val="single"/>
        </w:rPr>
        <w:t>bLMV</w:t>
      </w:r>
      <w:proofErr w:type="spellEnd"/>
      <w:r w:rsidRPr="00CC1091">
        <w:rPr>
          <w:rFonts w:eastAsia="TimesNewRoman"/>
          <w:u w:val="single"/>
        </w:rPr>
        <w:t>) gydymas buvo nepakankamas</w:t>
      </w:r>
      <w:r w:rsidRPr="00D947F4">
        <w:rPr>
          <w:rFonts w:eastAsia="TimesNewRoman"/>
        </w:rPr>
        <w:t>.</w:t>
      </w:r>
      <w:r>
        <w:t>“.</w:t>
      </w:r>
    </w:p>
    <w:p w14:paraId="0829D5A3" w14:textId="77777777" w:rsidR="00B52E0C" w:rsidRPr="001B27EA" w:rsidRDefault="00B52E0C" w:rsidP="00B52E0C">
      <w:pPr>
        <w:autoSpaceDE w:val="0"/>
        <w:autoSpaceDN w:val="0"/>
        <w:spacing w:line="276" w:lineRule="auto"/>
        <w:ind w:firstLine="720"/>
        <w:jc w:val="both"/>
        <w:rPr>
          <w:szCs w:val="20"/>
        </w:rPr>
      </w:pPr>
      <w:r>
        <w:t>Indikaciją su skyrimo sąlygomis atitinkančios populiacijos klinikinis veiksmingumas ir saugumas pagrįstas SELECT-AXIS 1 (</w:t>
      </w:r>
      <w:proofErr w:type="spellStart"/>
      <w:r>
        <w:t>bLMV</w:t>
      </w:r>
      <w:proofErr w:type="spellEnd"/>
      <w:r>
        <w:t xml:space="preserve"> negydyti</w:t>
      </w:r>
      <w:r w:rsidRPr="00155BEF">
        <w:t xml:space="preserve">) </w:t>
      </w:r>
      <w:r>
        <w:t xml:space="preserve">ir </w:t>
      </w:r>
      <w:r w:rsidRPr="00155BEF">
        <w:t>SELECT-AXIS 2 (</w:t>
      </w:r>
      <w:proofErr w:type="spellStart"/>
      <w:r>
        <w:t>bLMV</w:t>
      </w:r>
      <w:proofErr w:type="spellEnd"/>
      <w:r>
        <w:t xml:space="preserve"> gydyti</w:t>
      </w:r>
      <w:r w:rsidRPr="00155BEF">
        <w:t>)</w:t>
      </w:r>
      <w:r>
        <w:t xml:space="preserve"> klinikinių tyrimų duomenimis. Pareiškėjas pateikė netiesioginį </w:t>
      </w:r>
      <w:proofErr w:type="spellStart"/>
      <w:r>
        <w:t>upadacitinibo</w:t>
      </w:r>
      <w:proofErr w:type="spellEnd"/>
      <w:r>
        <w:t xml:space="preserve"> ir </w:t>
      </w:r>
      <w:proofErr w:type="spellStart"/>
      <w:r>
        <w:t>sekukinumabo</w:t>
      </w:r>
      <w:proofErr w:type="spellEnd"/>
      <w:r>
        <w:t xml:space="preserve"> palyginimą. </w:t>
      </w:r>
      <w:proofErr w:type="spellStart"/>
      <w:r>
        <w:rPr>
          <w:color w:val="000000"/>
          <w:shd w:val="clear" w:color="auto" w:fill="FFFFFF"/>
        </w:rPr>
        <w:t>Sekukinumabas</w:t>
      </w:r>
      <w:proofErr w:type="spellEnd"/>
      <w:r>
        <w:rPr>
          <w:color w:val="000000"/>
          <w:shd w:val="clear" w:color="auto" w:fill="FFFFFF"/>
        </w:rPr>
        <w:t xml:space="preserve"> Lietuvoje yra kompensuojamas, Pareiškėjo kompensavimui teikiamos indikacijos su skyrimo sąlygomis gydymui, ir remiantis biologinių ligą modifikuojančių vaistų skyrimo eiliškumu gydant </w:t>
      </w:r>
      <w:proofErr w:type="spellStart"/>
      <w:r>
        <w:rPr>
          <w:color w:val="000000"/>
          <w:shd w:val="clear" w:color="auto" w:fill="FFFFFF"/>
        </w:rPr>
        <w:t>ankilozinį</w:t>
      </w:r>
      <w:proofErr w:type="spellEnd"/>
      <w:r>
        <w:rPr>
          <w:color w:val="000000"/>
          <w:shd w:val="clear" w:color="auto" w:fill="FFFFFF"/>
        </w:rPr>
        <w:t xml:space="preserve"> </w:t>
      </w:r>
      <w:proofErr w:type="spellStart"/>
      <w:r>
        <w:rPr>
          <w:color w:val="000000"/>
          <w:shd w:val="clear" w:color="auto" w:fill="FFFFFF"/>
        </w:rPr>
        <w:t>spondilitą</w:t>
      </w:r>
      <w:proofErr w:type="spellEnd"/>
      <w:r>
        <w:rPr>
          <w:color w:val="000000"/>
          <w:shd w:val="clear" w:color="auto" w:fill="FFFFFF"/>
        </w:rPr>
        <w:t>, 2023 m. yra</w:t>
      </w:r>
      <w:r>
        <w:rPr>
          <w:color w:val="000000"/>
        </w:rPr>
        <w:t xml:space="preserve"> mažiausios metinės gydymo kainos. Tarnyba vertina, kad </w:t>
      </w:r>
      <w:proofErr w:type="spellStart"/>
      <w:r>
        <w:rPr>
          <w:color w:val="000000"/>
        </w:rPr>
        <w:t>sekukinumabas</w:t>
      </w:r>
      <w:proofErr w:type="spellEnd"/>
      <w:r>
        <w:rPr>
          <w:color w:val="000000"/>
        </w:rPr>
        <w:t xml:space="preserve"> </w:t>
      </w:r>
      <w:r>
        <w:rPr>
          <w:rFonts w:eastAsia="Arial"/>
          <w:bCs/>
        </w:rPr>
        <w:t xml:space="preserve">atitinka </w:t>
      </w:r>
      <w:r w:rsidRPr="00CD69B3">
        <w:rPr>
          <w:rFonts w:eastAsia="Arial"/>
          <w:bCs/>
        </w:rPr>
        <w:t>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w:t>
      </w:r>
      <w:r>
        <w:rPr>
          <w:rFonts w:eastAsia="Arial"/>
          <w:bCs/>
        </w:rPr>
        <w:t xml:space="preserve"> 116 punktą ir yra tinkamas palyginamasis.</w:t>
      </w:r>
      <w:r w:rsidRPr="00D05364">
        <w:rPr>
          <w:rFonts w:eastAsia="Arial"/>
          <w:bCs/>
          <w:i/>
          <w:iCs/>
          <w:color w:val="00B050"/>
        </w:rPr>
        <w:t xml:space="preserve"> </w:t>
      </w:r>
    </w:p>
    <w:p w14:paraId="47F57DDE" w14:textId="77777777" w:rsidR="00B52E0C" w:rsidRDefault="00B52E0C" w:rsidP="00B52E0C">
      <w:pPr>
        <w:spacing w:line="276" w:lineRule="auto"/>
        <w:ind w:firstLine="720"/>
        <w:jc w:val="both"/>
        <w:rPr>
          <w:rFonts w:eastAsia="Arial"/>
          <w:bCs/>
          <w:i/>
          <w:iCs/>
          <w:color w:val="00B050"/>
        </w:rPr>
      </w:pPr>
      <w:r w:rsidRPr="00207229">
        <w:rPr>
          <w:bCs/>
          <w:lang w:eastAsia="lt-LT"/>
        </w:rPr>
        <w:t>Ekonominėje dalyje modeliavimas nėra taikomas ir klini</w:t>
      </w:r>
      <w:r>
        <w:rPr>
          <w:bCs/>
          <w:lang w:eastAsia="lt-LT"/>
        </w:rPr>
        <w:t>kiniai duomenys nėra įtraukiami.</w:t>
      </w:r>
      <w:r w:rsidRPr="00207229">
        <w:rPr>
          <w:bCs/>
          <w:lang w:eastAsia="lt-LT"/>
        </w:rPr>
        <w:t xml:space="preserve"> </w:t>
      </w:r>
      <w:r w:rsidRPr="00207229">
        <w:t xml:space="preserve">Pareiškėjas analizę atlieka iš kaštų mažinimo perspektyvos. Tarnyba, atsižvelgdama į ankstesnių paraiškų biologinių ligą modifikuojančių vaistinių preparatų sveikatos technologijų vertinimo praktiką, bei tai, kad pagal klinikinius duomenis vertinama, kad sveikatai sukuriama nauda yra panaši, laiko, kad ekonominėje analizėje nėra tikslinga modeliuoti ir vertinti sveikatai sukuriamos naudos (QALYS ir ICER nevertinami), kadangi papildomų prielaidų taikymas (modeliavimas) lemtų papildomus neapibrėžtumus. Pagal </w:t>
      </w:r>
      <w:proofErr w:type="spellStart"/>
      <w:r w:rsidRPr="00207229">
        <w:t>bLMV</w:t>
      </w:r>
      <w:proofErr w:type="spellEnd"/>
      <w:r w:rsidRPr="00207229">
        <w:t xml:space="preserve"> vertinimų praktiką matyti, kad esminius skirtumus lemia tik vaistinių preparatų įsigijimo </w:t>
      </w:r>
      <w:r>
        <w:t xml:space="preserve">ir su gydymu susijusių nepageidaujamų reiškinių </w:t>
      </w:r>
      <w:r w:rsidRPr="00207229">
        <w:t xml:space="preserve">kaštai (sveikatos būklių (gydymo), skyrimo, stebėsenos ir kiti kaštai </w:t>
      </w:r>
      <w:r>
        <w:t xml:space="preserve">yra </w:t>
      </w:r>
      <w:r w:rsidRPr="00207229">
        <w:t>panašūs</w:t>
      </w:r>
      <w:r>
        <w:t>).</w:t>
      </w:r>
    </w:p>
    <w:p w14:paraId="2FEA9B92" w14:textId="304D1B37" w:rsidR="00B52E0C" w:rsidRPr="00EB150A" w:rsidRDefault="00B52E0C" w:rsidP="00B52E0C">
      <w:pPr>
        <w:tabs>
          <w:tab w:val="left" w:pos="567"/>
        </w:tabs>
        <w:spacing w:line="276" w:lineRule="auto"/>
        <w:jc w:val="both"/>
      </w:pPr>
      <w:r>
        <w:tab/>
        <w:t xml:space="preserve">Palyginamųjų kaštų skirtumai vertinami penkerių metų laikotarpiu, kadangi </w:t>
      </w:r>
      <w:proofErr w:type="spellStart"/>
      <w:r>
        <w:t>sekukinumabo</w:t>
      </w:r>
      <w:proofErr w:type="spellEnd"/>
      <w:r>
        <w:t xml:space="preserve"> įsigijimo kaštai pirmaisiais ir sekančiais gydymo metais skiriasi (dozavimas). </w:t>
      </w:r>
      <w:r>
        <w:rPr>
          <w:iCs/>
        </w:rPr>
        <w:t>V</w:t>
      </w:r>
      <w:r w:rsidRPr="00E53155">
        <w:rPr>
          <w:iCs/>
        </w:rPr>
        <w:t>aistinių preparatų dozavimas taikomas</w:t>
      </w:r>
      <w:r>
        <w:rPr>
          <w:iCs/>
        </w:rPr>
        <w:t xml:space="preserve"> pagal </w:t>
      </w:r>
      <w:r w:rsidRPr="00E53155">
        <w:rPr>
          <w:iCs/>
        </w:rPr>
        <w:t>vaistinių prepar</w:t>
      </w:r>
      <w:r>
        <w:rPr>
          <w:iCs/>
        </w:rPr>
        <w:t>atų charakteristikų santraukas.</w:t>
      </w:r>
      <w:r>
        <w:rPr>
          <w:rFonts w:asciiTheme="majorBidi" w:hAnsiTheme="majorBidi" w:cstheme="majorBidi"/>
        </w:rPr>
        <w:t xml:space="preserve"> </w:t>
      </w:r>
      <w:r w:rsidRPr="00E53155">
        <w:rPr>
          <w:iCs/>
        </w:rPr>
        <w:t xml:space="preserve">Apskaičiuojant </w:t>
      </w:r>
      <w:proofErr w:type="spellStart"/>
      <w:r w:rsidRPr="00E53155">
        <w:rPr>
          <w:iCs/>
        </w:rPr>
        <w:t>sekukinumabo</w:t>
      </w:r>
      <w:proofErr w:type="spellEnd"/>
      <w:r w:rsidRPr="00E53155">
        <w:rPr>
          <w:iCs/>
        </w:rPr>
        <w:t xml:space="preserve"> kainą, atsižvelgiama, kad </w:t>
      </w:r>
      <w:proofErr w:type="spellStart"/>
      <w:r w:rsidRPr="00E53155">
        <w:rPr>
          <w:iCs/>
        </w:rPr>
        <w:t>sekukinumabo</w:t>
      </w:r>
      <w:proofErr w:type="spellEnd"/>
      <w:r w:rsidRPr="00E53155">
        <w:rPr>
          <w:iCs/>
        </w:rPr>
        <w:t xml:space="preserve"> įsigijimo kaštai priklauso</w:t>
      </w:r>
      <w:r>
        <w:rPr>
          <w:iCs/>
        </w:rPr>
        <w:t xml:space="preserve"> nuo suvartojamos dozės: </w:t>
      </w:r>
      <w:proofErr w:type="spellStart"/>
      <w:r>
        <w:rPr>
          <w:iCs/>
        </w:rPr>
        <w:t>s</w:t>
      </w:r>
      <w:r w:rsidRPr="00016EE1">
        <w:rPr>
          <w:iCs/>
        </w:rPr>
        <w:t>ekukinumabo</w:t>
      </w:r>
      <w:proofErr w:type="spellEnd"/>
      <w:r w:rsidRPr="00016EE1">
        <w:rPr>
          <w:iCs/>
        </w:rPr>
        <w:t xml:space="preserve"> kainai apskaičiuoti taikomas kainos ir dozių (300 mg ir 150 mg) svertinis vidurkis pagal Valstybinės ligonių kasos pateiktus duomenis apie faktiškai </w:t>
      </w:r>
      <w:proofErr w:type="spellStart"/>
      <w:r w:rsidRPr="00016EE1">
        <w:rPr>
          <w:iCs/>
        </w:rPr>
        <w:t>ankilozinio</w:t>
      </w:r>
      <w:proofErr w:type="spellEnd"/>
      <w:r w:rsidRPr="00016EE1">
        <w:rPr>
          <w:iCs/>
        </w:rPr>
        <w:t xml:space="preserve"> </w:t>
      </w:r>
      <w:proofErr w:type="spellStart"/>
      <w:r w:rsidRPr="00016EE1">
        <w:rPr>
          <w:iCs/>
        </w:rPr>
        <w:t>spondilito</w:t>
      </w:r>
      <w:proofErr w:type="spellEnd"/>
      <w:r w:rsidRPr="00016EE1">
        <w:rPr>
          <w:iCs/>
        </w:rPr>
        <w:t xml:space="preserve"> gyd</w:t>
      </w:r>
      <w:r>
        <w:rPr>
          <w:iCs/>
        </w:rPr>
        <w:t>y</w:t>
      </w:r>
      <w:r w:rsidRPr="00016EE1">
        <w:rPr>
          <w:iCs/>
        </w:rPr>
        <w:t xml:space="preserve">mui skirtas </w:t>
      </w:r>
      <w:proofErr w:type="spellStart"/>
      <w:r w:rsidRPr="00016EE1">
        <w:rPr>
          <w:iCs/>
        </w:rPr>
        <w:t>sekukinumabo</w:t>
      </w:r>
      <w:proofErr w:type="spellEnd"/>
      <w:r w:rsidRPr="00016EE1">
        <w:rPr>
          <w:iCs/>
        </w:rPr>
        <w:t xml:space="preserve"> dozes 2022 m.</w:t>
      </w:r>
      <w:r>
        <w:rPr>
          <w:iCs/>
        </w:rPr>
        <w:t xml:space="preserve"> Palyginamojoje analizėje taikoma konfidenciali </w:t>
      </w:r>
      <w:proofErr w:type="spellStart"/>
      <w:r>
        <w:rPr>
          <w:iCs/>
        </w:rPr>
        <w:t>sekukinumabo</w:t>
      </w:r>
      <w:proofErr w:type="spellEnd"/>
      <w:r>
        <w:rPr>
          <w:iCs/>
        </w:rPr>
        <w:t xml:space="preserve"> kaina (sudaryta PGS sutartis).</w:t>
      </w:r>
      <w:r w:rsidRPr="00247761">
        <w:rPr>
          <w:iCs/>
        </w:rPr>
        <w:t xml:space="preserve"> </w:t>
      </w:r>
      <w:r w:rsidRPr="00E53155">
        <w:rPr>
          <w:iCs/>
        </w:rPr>
        <w:t>Pareiškėjo Lietuvai t</w:t>
      </w:r>
      <w:r w:rsidR="00952F25">
        <w:rPr>
          <w:iCs/>
        </w:rPr>
        <w:t>eikiama</w:t>
      </w:r>
      <w:r w:rsidRPr="00E53155">
        <w:rPr>
          <w:iCs/>
        </w:rPr>
        <w:t xml:space="preserve"> </w:t>
      </w:r>
      <w:proofErr w:type="spellStart"/>
      <w:r w:rsidRPr="00E53155">
        <w:rPr>
          <w:iCs/>
        </w:rPr>
        <w:t>upadacitinibo</w:t>
      </w:r>
      <w:proofErr w:type="spellEnd"/>
      <w:r w:rsidRPr="00E53155">
        <w:rPr>
          <w:iCs/>
        </w:rPr>
        <w:t xml:space="preserve"> </w:t>
      </w:r>
      <w:r w:rsidRPr="00EB713F">
        <w:rPr>
          <w:iCs/>
        </w:rPr>
        <w:t xml:space="preserve">kaina (bazinė) – </w:t>
      </w:r>
      <w:r w:rsidR="00ED3369" w:rsidRPr="00EB713F">
        <w:t>***</w:t>
      </w:r>
      <w:r w:rsidRPr="00EB713F">
        <w:t>Eur.</w:t>
      </w:r>
      <w:r w:rsidRPr="00E53155">
        <w:t xml:space="preserve"> (PGS neteikiama).</w:t>
      </w:r>
      <w:r>
        <w:t xml:space="preserve"> Analizėje įtraukiami su gydymu susiję nepageidaujamų reiškinių (NR) kaštai, </w:t>
      </w:r>
      <w:r w:rsidRPr="00367627">
        <w:rPr>
          <w:color w:val="000000"/>
        </w:rPr>
        <w:t>kurie lemia pacientų hospitalizacijų poreikį</w:t>
      </w:r>
      <w:r>
        <w:rPr>
          <w:color w:val="000000"/>
        </w:rPr>
        <w:t xml:space="preserve">. </w:t>
      </w:r>
      <w:r w:rsidRPr="00367627">
        <w:rPr>
          <w:color w:val="000000"/>
        </w:rPr>
        <w:t>NR pasireiškimo dažnis</w:t>
      </w:r>
      <w:r>
        <w:rPr>
          <w:color w:val="000000"/>
        </w:rPr>
        <w:t xml:space="preserve"> grindžiamas remiantis </w:t>
      </w:r>
      <w:r>
        <w:t>SELECT-AXIS 2 ir</w:t>
      </w:r>
      <w:r w:rsidRPr="008B064A">
        <w:t xml:space="preserve"> </w:t>
      </w:r>
      <w:r>
        <w:t>MEASURE 1-5 klinikinių tyrimų duomenimis. Kaštai a</w:t>
      </w:r>
      <w:r>
        <w:rPr>
          <w:color w:val="000000"/>
        </w:rPr>
        <w:t>pskaičiuoti pagal</w:t>
      </w:r>
      <w:r w:rsidRPr="00BE2C47">
        <w:rPr>
          <w:color w:val="000000"/>
        </w:rPr>
        <w:t xml:space="preserve"> </w:t>
      </w:r>
      <w:r w:rsidRPr="00367627">
        <w:rPr>
          <w:color w:val="000000"/>
        </w:rPr>
        <w:t xml:space="preserve">DRG kodus, 2023 m. I </w:t>
      </w:r>
      <w:proofErr w:type="spellStart"/>
      <w:r w:rsidRPr="00367627">
        <w:rPr>
          <w:color w:val="000000"/>
        </w:rPr>
        <w:t>pusm</w:t>
      </w:r>
      <w:proofErr w:type="spellEnd"/>
      <w:r w:rsidRPr="00367627">
        <w:rPr>
          <w:color w:val="000000"/>
        </w:rPr>
        <w:t xml:space="preserve">. įkainius ir 2022 m. atvejų skaičių. </w:t>
      </w:r>
    </w:p>
    <w:p w14:paraId="13FA11B8" w14:textId="32F8DD67" w:rsidR="00B52E0C" w:rsidRPr="00B52E0C" w:rsidRDefault="00B52E0C" w:rsidP="00B52E0C">
      <w:pPr>
        <w:tabs>
          <w:tab w:val="left" w:pos="567"/>
        </w:tabs>
        <w:spacing w:line="276" w:lineRule="auto"/>
        <w:jc w:val="both"/>
        <w:rPr>
          <w:color w:val="000000"/>
        </w:rPr>
      </w:pPr>
      <w:r>
        <w:rPr>
          <w:color w:val="000000"/>
        </w:rPr>
        <w:lastRenderedPageBreak/>
        <w:tab/>
        <w:t>Dėl vaistinių preparatų skyrimo ir stebėsenos kaštų taikoma prielaida</w:t>
      </w:r>
      <w:r w:rsidRPr="002F396E">
        <w:rPr>
          <w:color w:val="000000"/>
        </w:rPr>
        <w:t xml:space="preserve">, kad vaistiniai preparatai </w:t>
      </w:r>
      <w:r w:rsidRPr="002F396E">
        <w:t xml:space="preserve">yra vartojami ambulatoriškai ir papildomi skyrimo kaštai nepatiriami: </w:t>
      </w:r>
      <w:proofErr w:type="spellStart"/>
      <w:r w:rsidRPr="002F396E">
        <w:t>u</w:t>
      </w:r>
      <w:r w:rsidRPr="002F396E">
        <w:rPr>
          <w:iCs/>
        </w:rPr>
        <w:t>padacitinibo</w:t>
      </w:r>
      <w:proofErr w:type="spellEnd"/>
      <w:r w:rsidRPr="002F396E">
        <w:rPr>
          <w:iCs/>
        </w:rPr>
        <w:t xml:space="preserve"> farmacinė forma - </w:t>
      </w:r>
      <w:r w:rsidRPr="002F396E">
        <w:rPr>
          <w:color w:val="000000"/>
        </w:rPr>
        <w:t xml:space="preserve">pailginto atpalaidavimo tabletės, </w:t>
      </w:r>
      <w:proofErr w:type="spellStart"/>
      <w:r w:rsidRPr="002F396E">
        <w:t>sekukinumabo</w:t>
      </w:r>
      <w:proofErr w:type="spellEnd"/>
      <w:r w:rsidRPr="002F396E">
        <w:t xml:space="preserve"> injekcinis tirpalas užpildytame </w:t>
      </w:r>
      <w:proofErr w:type="spellStart"/>
      <w:r w:rsidRPr="002F396E">
        <w:t>švirkštiklyje</w:t>
      </w:r>
      <w:proofErr w:type="spellEnd"/>
      <w:r w:rsidRPr="002F396E">
        <w:t xml:space="preserve"> </w:t>
      </w:r>
      <w:r>
        <w:t xml:space="preserve">(poodinė forma). </w:t>
      </w:r>
      <w:r w:rsidRPr="002F396E">
        <w:rPr>
          <w:color w:val="000000"/>
        </w:rPr>
        <w:t>Tarnyba vertina, kad stebėsenos kaštai (</w:t>
      </w:r>
      <w:proofErr w:type="spellStart"/>
      <w:r w:rsidRPr="002F396E">
        <w:rPr>
          <w:color w:val="000000"/>
        </w:rPr>
        <w:t>reumatologo</w:t>
      </w:r>
      <w:proofErr w:type="spellEnd"/>
      <w:r w:rsidRPr="002F396E">
        <w:rPr>
          <w:color w:val="000000"/>
        </w:rPr>
        <w:t xml:space="preserve"> konsultacija), </w:t>
      </w:r>
      <w:proofErr w:type="spellStart"/>
      <w:r w:rsidRPr="002F396E">
        <w:rPr>
          <w:color w:val="000000"/>
        </w:rPr>
        <w:t>abiems</w:t>
      </w:r>
      <w:proofErr w:type="spellEnd"/>
      <w:r w:rsidRPr="002F396E">
        <w:rPr>
          <w:color w:val="000000"/>
        </w:rPr>
        <w:t xml:space="preserve"> vaistiniams preparatams (</w:t>
      </w:r>
      <w:proofErr w:type="spellStart"/>
      <w:r w:rsidRPr="002F396E">
        <w:rPr>
          <w:color w:val="000000"/>
        </w:rPr>
        <w:t>bLMV</w:t>
      </w:r>
      <w:proofErr w:type="spellEnd"/>
      <w:r w:rsidRPr="002F396E">
        <w:rPr>
          <w:color w:val="000000"/>
        </w:rPr>
        <w:t xml:space="preserve">) bus vienodi, kadangi priežiūra pagal </w:t>
      </w:r>
      <w:proofErr w:type="spellStart"/>
      <w:r w:rsidRPr="002F396E">
        <w:rPr>
          <w:color w:val="000000"/>
        </w:rPr>
        <w:t>ankilozinio</w:t>
      </w:r>
      <w:proofErr w:type="spellEnd"/>
      <w:r w:rsidRPr="002F396E">
        <w:rPr>
          <w:color w:val="000000"/>
        </w:rPr>
        <w:t xml:space="preserve"> </w:t>
      </w:r>
      <w:proofErr w:type="spellStart"/>
      <w:r w:rsidRPr="002F396E">
        <w:rPr>
          <w:color w:val="000000"/>
        </w:rPr>
        <w:t>spondilito</w:t>
      </w:r>
      <w:proofErr w:type="spellEnd"/>
      <w:r w:rsidRPr="002F396E">
        <w:rPr>
          <w:color w:val="000000"/>
        </w:rPr>
        <w:t xml:space="preserve"> tvarkos aprašą yra vykdoma tuo pačiu periodiškumu visiems </w:t>
      </w:r>
      <w:proofErr w:type="spellStart"/>
      <w:r w:rsidRPr="002F396E">
        <w:rPr>
          <w:color w:val="000000"/>
        </w:rPr>
        <w:t>bLMV</w:t>
      </w:r>
      <w:proofErr w:type="spellEnd"/>
      <w:r>
        <w:rPr>
          <w:color w:val="000000"/>
        </w:rPr>
        <w:t>, todėl ekonominėje analizėje neįtraukiami.</w:t>
      </w:r>
    </w:p>
    <w:p w14:paraId="7B867F61" w14:textId="4FCBEF94" w:rsidR="00B52E0C" w:rsidRDefault="00B52E0C" w:rsidP="00B52E0C">
      <w:pPr>
        <w:tabs>
          <w:tab w:val="left" w:pos="567"/>
        </w:tabs>
        <w:spacing w:line="276" w:lineRule="auto"/>
        <w:jc w:val="both"/>
      </w:pPr>
      <w:r>
        <w:tab/>
        <w:t xml:space="preserve">Apibendrinant, ekonominė analizė atliekama lyginant </w:t>
      </w:r>
      <w:proofErr w:type="spellStart"/>
      <w:r>
        <w:t>upadacitinibo</w:t>
      </w:r>
      <w:proofErr w:type="spellEnd"/>
      <w:r>
        <w:t xml:space="preserve"> ir </w:t>
      </w:r>
      <w:proofErr w:type="spellStart"/>
      <w:r>
        <w:t>sekukinumabo</w:t>
      </w:r>
      <w:proofErr w:type="spellEnd"/>
      <w:r>
        <w:t xml:space="preserve"> vaistinių preparatų įsigijimo kaštus penkerių metų laikotarpiu ir įtraukiant vienkartinius patiriamus kaštus dėl su vaistinių preparatų gydymu susijusių </w:t>
      </w:r>
      <w:r w:rsidRPr="00B52E0C">
        <w:t>nepageidaujamų reiškinių (</w:t>
      </w:r>
      <w:r w:rsidRPr="00B52E0C">
        <w:rPr>
          <w:iCs/>
          <w:lang w:eastAsia="lt-LT"/>
        </w:rPr>
        <w:t>Lentelė 3.1).</w:t>
      </w:r>
    </w:p>
    <w:p w14:paraId="71D1ADA3" w14:textId="77777777" w:rsidR="00B52E0C" w:rsidRDefault="00B52E0C" w:rsidP="00B52E0C">
      <w:pPr>
        <w:tabs>
          <w:tab w:val="left" w:pos="567"/>
        </w:tabs>
        <w:spacing w:line="276" w:lineRule="auto"/>
        <w:jc w:val="both"/>
      </w:pPr>
    </w:p>
    <w:p w14:paraId="13FF3ABB" w14:textId="56D0EBF1" w:rsidR="00B52E0C" w:rsidRPr="00B52E0C" w:rsidRDefault="00B52E0C" w:rsidP="00B52E0C">
      <w:pPr>
        <w:tabs>
          <w:tab w:val="left" w:pos="567"/>
        </w:tabs>
        <w:spacing w:line="276" w:lineRule="auto"/>
        <w:jc w:val="center"/>
        <w:rPr>
          <w:iCs/>
          <w:lang w:eastAsia="lt-LT"/>
        </w:rPr>
      </w:pPr>
      <w:r w:rsidRPr="00B52E0C">
        <w:rPr>
          <w:iCs/>
          <w:lang w:eastAsia="lt-LT"/>
        </w:rPr>
        <w:t>Lentelė 3.1. Kaštų mažinimo analizės rezultatas</w:t>
      </w:r>
    </w:p>
    <w:tbl>
      <w:tblPr>
        <w:tblStyle w:val="Lentelstinklelis"/>
        <w:tblW w:w="9526" w:type="dxa"/>
        <w:jc w:val="center"/>
        <w:tblLook w:val="04A0" w:firstRow="1" w:lastRow="0" w:firstColumn="1" w:lastColumn="0" w:noHBand="0" w:noVBand="1"/>
      </w:tblPr>
      <w:tblGrid>
        <w:gridCol w:w="2335"/>
        <w:gridCol w:w="1984"/>
        <w:gridCol w:w="2336"/>
        <w:gridCol w:w="2871"/>
      </w:tblGrid>
      <w:tr w:rsidR="00B52E0C" w:rsidRPr="00A15521" w14:paraId="4873ABE6" w14:textId="77777777" w:rsidTr="0084446E">
        <w:trPr>
          <w:trHeight w:val="260"/>
          <w:jc w:val="center"/>
        </w:trPr>
        <w:tc>
          <w:tcPr>
            <w:tcW w:w="2335" w:type="dxa"/>
            <w:noWrap/>
            <w:hideMark/>
          </w:tcPr>
          <w:p w14:paraId="417CDCCB" w14:textId="77777777" w:rsidR="00B52E0C" w:rsidRPr="00A15521" w:rsidRDefault="00B52E0C" w:rsidP="0084446E">
            <w:pPr>
              <w:rPr>
                <w:lang w:eastAsia="lt-LT"/>
              </w:rPr>
            </w:pPr>
            <w:r w:rsidRPr="00A15521">
              <w:rPr>
                <w:lang w:eastAsia="lt-LT"/>
              </w:rPr>
              <w:t>Kategorijos</w:t>
            </w:r>
          </w:p>
        </w:tc>
        <w:tc>
          <w:tcPr>
            <w:tcW w:w="1984" w:type="dxa"/>
            <w:noWrap/>
            <w:hideMark/>
          </w:tcPr>
          <w:p w14:paraId="6E2F2ECF" w14:textId="77777777" w:rsidR="00B52E0C" w:rsidRPr="00A15521" w:rsidRDefault="00B52E0C" w:rsidP="0084446E">
            <w:pPr>
              <w:jc w:val="center"/>
              <w:rPr>
                <w:lang w:eastAsia="lt-LT"/>
              </w:rPr>
            </w:pPr>
            <w:r w:rsidRPr="00A15521">
              <w:rPr>
                <w:lang w:eastAsia="lt-LT"/>
              </w:rPr>
              <w:t>Rinvoq (15 mg)</w:t>
            </w:r>
          </w:p>
        </w:tc>
        <w:tc>
          <w:tcPr>
            <w:tcW w:w="2336" w:type="dxa"/>
            <w:noWrap/>
            <w:hideMark/>
          </w:tcPr>
          <w:p w14:paraId="2323BDF4" w14:textId="77777777" w:rsidR="00B52E0C" w:rsidRPr="00A15521" w:rsidRDefault="00B52E0C" w:rsidP="0084446E">
            <w:pPr>
              <w:jc w:val="center"/>
              <w:rPr>
                <w:lang w:eastAsia="lt-LT"/>
              </w:rPr>
            </w:pPr>
            <w:proofErr w:type="spellStart"/>
            <w:r w:rsidRPr="00A15521">
              <w:rPr>
                <w:lang w:eastAsia="lt-LT"/>
              </w:rPr>
              <w:t>Cosentyx</w:t>
            </w:r>
            <w:proofErr w:type="spellEnd"/>
            <w:r w:rsidRPr="00A15521">
              <w:rPr>
                <w:lang w:eastAsia="lt-LT"/>
              </w:rPr>
              <w:t xml:space="preserve"> (150 mg arba 300 mg)</w:t>
            </w:r>
          </w:p>
        </w:tc>
        <w:tc>
          <w:tcPr>
            <w:tcW w:w="2871" w:type="dxa"/>
            <w:noWrap/>
            <w:hideMark/>
          </w:tcPr>
          <w:p w14:paraId="2D3AEBC5" w14:textId="77777777" w:rsidR="00B52E0C" w:rsidRPr="00A15521" w:rsidRDefault="00B52E0C" w:rsidP="0084446E">
            <w:pPr>
              <w:jc w:val="center"/>
              <w:rPr>
                <w:lang w:eastAsia="lt-LT"/>
              </w:rPr>
            </w:pPr>
            <w:r w:rsidRPr="00A15521">
              <w:rPr>
                <w:lang w:eastAsia="lt-LT"/>
              </w:rPr>
              <w:t>Skirtumas</w:t>
            </w:r>
          </w:p>
        </w:tc>
      </w:tr>
      <w:tr w:rsidR="00B52E0C" w:rsidRPr="00EB713F" w14:paraId="685D0D65" w14:textId="77777777" w:rsidTr="0084446E">
        <w:trPr>
          <w:trHeight w:val="248"/>
          <w:jc w:val="center"/>
        </w:trPr>
        <w:tc>
          <w:tcPr>
            <w:tcW w:w="2335" w:type="dxa"/>
            <w:noWrap/>
            <w:hideMark/>
          </w:tcPr>
          <w:p w14:paraId="18966D66" w14:textId="77777777" w:rsidR="00B52E0C" w:rsidRPr="00EB713F" w:rsidRDefault="00B52E0C" w:rsidP="0084446E">
            <w:pPr>
              <w:rPr>
                <w:color w:val="000000"/>
                <w:lang w:eastAsia="lt-LT"/>
              </w:rPr>
            </w:pPr>
            <w:r w:rsidRPr="00EB713F">
              <w:rPr>
                <w:color w:val="000000"/>
                <w:lang w:eastAsia="lt-LT"/>
              </w:rPr>
              <w:t xml:space="preserve">Vaistų įsigijimo kaštai </w:t>
            </w:r>
          </w:p>
        </w:tc>
        <w:tc>
          <w:tcPr>
            <w:tcW w:w="1984" w:type="dxa"/>
            <w:noWrap/>
            <w:hideMark/>
          </w:tcPr>
          <w:p w14:paraId="5DEFA989" w14:textId="7DADC099" w:rsidR="00B52E0C" w:rsidRPr="00EB713F" w:rsidRDefault="00ED3369" w:rsidP="0084446E">
            <w:pPr>
              <w:jc w:val="center"/>
              <w:rPr>
                <w:color w:val="000000"/>
                <w:lang w:eastAsia="lt-LT"/>
              </w:rPr>
            </w:pPr>
            <w:r w:rsidRPr="00EB713F">
              <w:rPr>
                <w:color w:val="000000"/>
                <w:lang w:eastAsia="lt-LT"/>
              </w:rPr>
              <w:t>****</w:t>
            </w:r>
            <w:r w:rsidR="00B52E0C" w:rsidRPr="00EB713F">
              <w:rPr>
                <w:color w:val="000000"/>
                <w:lang w:eastAsia="lt-LT"/>
              </w:rPr>
              <w:t xml:space="preserve"> Eur.</w:t>
            </w:r>
          </w:p>
        </w:tc>
        <w:tc>
          <w:tcPr>
            <w:tcW w:w="2336" w:type="dxa"/>
            <w:noWrap/>
            <w:hideMark/>
          </w:tcPr>
          <w:p w14:paraId="4E47D18C" w14:textId="617FC115" w:rsidR="00B52E0C" w:rsidRPr="00EB713F" w:rsidRDefault="0090377C" w:rsidP="0084446E">
            <w:pPr>
              <w:jc w:val="center"/>
              <w:rPr>
                <w:color w:val="000000"/>
                <w:lang w:eastAsia="lt-LT"/>
              </w:rPr>
            </w:pPr>
            <w:r w:rsidRPr="00EB713F">
              <w:rPr>
                <w:color w:val="000000"/>
                <w:lang w:val="en-US" w:eastAsia="lt-LT"/>
              </w:rPr>
              <w:t>****</w:t>
            </w:r>
            <w:r w:rsidR="00B52E0C" w:rsidRPr="00EB713F">
              <w:rPr>
                <w:color w:val="000000"/>
                <w:lang w:eastAsia="lt-LT"/>
              </w:rPr>
              <w:t xml:space="preserve"> Eur.</w:t>
            </w:r>
          </w:p>
        </w:tc>
        <w:tc>
          <w:tcPr>
            <w:tcW w:w="2871" w:type="dxa"/>
            <w:noWrap/>
            <w:hideMark/>
          </w:tcPr>
          <w:p w14:paraId="343ECD77" w14:textId="30EBDC2C" w:rsidR="00B52E0C" w:rsidRPr="00EB713F" w:rsidRDefault="0090377C" w:rsidP="0084446E">
            <w:pPr>
              <w:jc w:val="center"/>
              <w:rPr>
                <w:color w:val="000000"/>
                <w:lang w:eastAsia="lt-LT"/>
              </w:rPr>
            </w:pPr>
            <w:r w:rsidRPr="00EB713F">
              <w:rPr>
                <w:color w:val="000000"/>
                <w:lang w:eastAsia="lt-LT"/>
              </w:rPr>
              <w:t xml:space="preserve">-*** </w:t>
            </w:r>
            <w:r w:rsidR="00B52E0C" w:rsidRPr="00EB713F">
              <w:rPr>
                <w:color w:val="000000"/>
                <w:lang w:eastAsia="lt-LT"/>
              </w:rPr>
              <w:t>Eur.</w:t>
            </w:r>
          </w:p>
        </w:tc>
      </w:tr>
      <w:tr w:rsidR="00B52E0C" w:rsidRPr="00EB713F" w14:paraId="050E3B0E" w14:textId="77777777" w:rsidTr="0084446E">
        <w:trPr>
          <w:trHeight w:val="237"/>
          <w:jc w:val="center"/>
        </w:trPr>
        <w:tc>
          <w:tcPr>
            <w:tcW w:w="2335" w:type="dxa"/>
            <w:noWrap/>
            <w:hideMark/>
          </w:tcPr>
          <w:p w14:paraId="54D7BA40" w14:textId="77777777" w:rsidR="00B52E0C" w:rsidRPr="00EB713F" w:rsidRDefault="00B52E0C" w:rsidP="0084446E">
            <w:pPr>
              <w:rPr>
                <w:color w:val="000000"/>
                <w:lang w:eastAsia="lt-LT"/>
              </w:rPr>
            </w:pPr>
            <w:r w:rsidRPr="00EB713F">
              <w:rPr>
                <w:color w:val="000000"/>
                <w:lang w:eastAsia="lt-LT"/>
              </w:rPr>
              <w:t xml:space="preserve">Nepageidaujami reiškiniai </w:t>
            </w:r>
          </w:p>
        </w:tc>
        <w:tc>
          <w:tcPr>
            <w:tcW w:w="1984" w:type="dxa"/>
            <w:noWrap/>
            <w:hideMark/>
          </w:tcPr>
          <w:p w14:paraId="73110BEE" w14:textId="77777777" w:rsidR="00B52E0C" w:rsidRPr="00EB713F" w:rsidRDefault="00B52E0C" w:rsidP="0084446E">
            <w:pPr>
              <w:jc w:val="center"/>
              <w:rPr>
                <w:color w:val="000000"/>
                <w:lang w:eastAsia="lt-LT"/>
              </w:rPr>
            </w:pPr>
            <w:r w:rsidRPr="00EB713F">
              <w:rPr>
                <w:color w:val="000000"/>
                <w:lang w:eastAsia="lt-LT"/>
              </w:rPr>
              <w:t>43 Eur.</w:t>
            </w:r>
          </w:p>
        </w:tc>
        <w:tc>
          <w:tcPr>
            <w:tcW w:w="2336" w:type="dxa"/>
            <w:noWrap/>
            <w:hideMark/>
          </w:tcPr>
          <w:p w14:paraId="70038BC4" w14:textId="77777777" w:rsidR="00B52E0C" w:rsidRPr="00EB713F" w:rsidRDefault="00B52E0C" w:rsidP="0084446E">
            <w:pPr>
              <w:jc w:val="center"/>
              <w:rPr>
                <w:color w:val="000000"/>
                <w:lang w:eastAsia="lt-LT"/>
              </w:rPr>
            </w:pPr>
            <w:r w:rsidRPr="00EB713F">
              <w:rPr>
                <w:color w:val="000000"/>
                <w:lang w:eastAsia="lt-LT"/>
              </w:rPr>
              <w:t>5,44 Eur.</w:t>
            </w:r>
          </w:p>
        </w:tc>
        <w:tc>
          <w:tcPr>
            <w:tcW w:w="2871" w:type="dxa"/>
            <w:noWrap/>
            <w:hideMark/>
          </w:tcPr>
          <w:p w14:paraId="5315C408" w14:textId="77777777" w:rsidR="00B52E0C" w:rsidRPr="00EB713F" w:rsidRDefault="00B52E0C" w:rsidP="0084446E">
            <w:pPr>
              <w:jc w:val="center"/>
              <w:rPr>
                <w:color w:val="000000"/>
                <w:lang w:eastAsia="lt-LT"/>
              </w:rPr>
            </w:pPr>
            <w:r w:rsidRPr="00EB713F">
              <w:rPr>
                <w:color w:val="000000"/>
                <w:lang w:eastAsia="lt-LT"/>
              </w:rPr>
              <w:t>37,5 Eur.</w:t>
            </w:r>
          </w:p>
        </w:tc>
      </w:tr>
      <w:tr w:rsidR="00B52E0C" w:rsidRPr="00EB713F" w14:paraId="05904CF1" w14:textId="77777777" w:rsidTr="0084446E">
        <w:trPr>
          <w:trHeight w:val="237"/>
          <w:jc w:val="center"/>
        </w:trPr>
        <w:tc>
          <w:tcPr>
            <w:tcW w:w="2335" w:type="dxa"/>
            <w:noWrap/>
            <w:hideMark/>
          </w:tcPr>
          <w:p w14:paraId="0DFC3AE4" w14:textId="77777777" w:rsidR="00B52E0C" w:rsidRPr="00EB713F" w:rsidRDefault="00B52E0C" w:rsidP="0084446E">
            <w:pPr>
              <w:rPr>
                <w:b/>
                <w:bCs/>
                <w:color w:val="000000"/>
                <w:lang w:eastAsia="lt-LT"/>
              </w:rPr>
            </w:pPr>
            <w:r w:rsidRPr="00EB713F">
              <w:rPr>
                <w:b/>
                <w:bCs/>
                <w:color w:val="000000"/>
                <w:lang w:eastAsia="lt-LT"/>
              </w:rPr>
              <w:t xml:space="preserve">Viso kaštai (Eur.) </w:t>
            </w:r>
          </w:p>
        </w:tc>
        <w:tc>
          <w:tcPr>
            <w:tcW w:w="1984" w:type="dxa"/>
            <w:noWrap/>
            <w:hideMark/>
          </w:tcPr>
          <w:p w14:paraId="206BF627" w14:textId="475D1F99" w:rsidR="00B52E0C" w:rsidRPr="00EB713F" w:rsidRDefault="00ED3369" w:rsidP="0084446E">
            <w:pPr>
              <w:jc w:val="center"/>
              <w:rPr>
                <w:b/>
                <w:bCs/>
                <w:color w:val="000000"/>
                <w:lang w:eastAsia="lt-LT"/>
              </w:rPr>
            </w:pPr>
            <w:r w:rsidRPr="00EB713F">
              <w:rPr>
                <w:b/>
                <w:bCs/>
                <w:color w:val="000000"/>
                <w:lang w:eastAsia="lt-LT"/>
              </w:rPr>
              <w:t>****</w:t>
            </w:r>
            <w:r w:rsidR="00B52E0C" w:rsidRPr="00EB713F">
              <w:rPr>
                <w:b/>
                <w:bCs/>
                <w:color w:val="000000"/>
                <w:lang w:eastAsia="lt-LT"/>
              </w:rPr>
              <w:t xml:space="preserve"> Eur.</w:t>
            </w:r>
          </w:p>
        </w:tc>
        <w:tc>
          <w:tcPr>
            <w:tcW w:w="2336" w:type="dxa"/>
            <w:noWrap/>
            <w:hideMark/>
          </w:tcPr>
          <w:p w14:paraId="68CEE7EB" w14:textId="760BA39F" w:rsidR="00B52E0C" w:rsidRPr="00EB713F" w:rsidRDefault="0090377C" w:rsidP="0084446E">
            <w:pPr>
              <w:jc w:val="center"/>
              <w:rPr>
                <w:b/>
                <w:bCs/>
                <w:color w:val="000000"/>
                <w:lang w:eastAsia="lt-LT"/>
              </w:rPr>
            </w:pPr>
            <w:r w:rsidRPr="00EB713F">
              <w:rPr>
                <w:b/>
                <w:bCs/>
                <w:color w:val="000000"/>
                <w:lang w:eastAsia="lt-LT"/>
              </w:rPr>
              <w:t>****</w:t>
            </w:r>
            <w:r w:rsidR="00B52E0C" w:rsidRPr="00EB713F">
              <w:rPr>
                <w:b/>
                <w:bCs/>
                <w:color w:val="000000"/>
                <w:lang w:eastAsia="lt-LT"/>
              </w:rPr>
              <w:t xml:space="preserve"> Eur.</w:t>
            </w:r>
          </w:p>
        </w:tc>
        <w:tc>
          <w:tcPr>
            <w:tcW w:w="2871" w:type="dxa"/>
            <w:noWrap/>
            <w:hideMark/>
          </w:tcPr>
          <w:p w14:paraId="64A41396" w14:textId="173DCFE4" w:rsidR="00B52E0C" w:rsidRPr="00EB713F" w:rsidRDefault="0090377C" w:rsidP="0090377C">
            <w:pPr>
              <w:jc w:val="center"/>
              <w:rPr>
                <w:b/>
                <w:bCs/>
                <w:color w:val="000000"/>
                <w:lang w:eastAsia="lt-LT"/>
              </w:rPr>
            </w:pPr>
            <w:r w:rsidRPr="00EB713F">
              <w:rPr>
                <w:b/>
                <w:bCs/>
                <w:color w:val="000000"/>
                <w:lang w:eastAsia="lt-LT"/>
              </w:rPr>
              <w:t xml:space="preserve">-*** </w:t>
            </w:r>
            <w:r w:rsidR="00B52E0C" w:rsidRPr="00EB713F">
              <w:rPr>
                <w:b/>
                <w:bCs/>
                <w:color w:val="000000"/>
                <w:lang w:eastAsia="lt-LT"/>
              </w:rPr>
              <w:t>Eur.</w:t>
            </w:r>
          </w:p>
        </w:tc>
      </w:tr>
    </w:tbl>
    <w:p w14:paraId="0BE47F2A" w14:textId="77777777" w:rsidR="00B52E0C" w:rsidRPr="00EB713F" w:rsidRDefault="00B52E0C" w:rsidP="00B52E0C">
      <w:pPr>
        <w:tabs>
          <w:tab w:val="left" w:pos="567"/>
        </w:tabs>
        <w:spacing w:line="276" w:lineRule="auto"/>
        <w:jc w:val="both"/>
        <w:rPr>
          <w:iCs/>
          <w:lang w:eastAsia="lt-LT"/>
        </w:rPr>
      </w:pPr>
    </w:p>
    <w:p w14:paraId="3AB90EA3" w14:textId="7C505D72" w:rsidR="00061311" w:rsidRPr="00240D62" w:rsidRDefault="00B52E0C" w:rsidP="00B52E0C">
      <w:pPr>
        <w:shd w:val="clear" w:color="auto" w:fill="FFFFFF"/>
        <w:spacing w:line="276" w:lineRule="auto"/>
        <w:ind w:firstLine="720"/>
        <w:jc w:val="both"/>
        <w:rPr>
          <w:rFonts w:eastAsia="Arial"/>
        </w:rPr>
      </w:pPr>
      <w:r w:rsidRPr="00EB713F">
        <w:rPr>
          <w:rFonts w:eastAsia="Arial"/>
        </w:rPr>
        <w:t xml:space="preserve">Vertinant penkerių metų laiko perspektyvoje, </w:t>
      </w:r>
      <w:proofErr w:type="spellStart"/>
      <w:r w:rsidRPr="00EB713F">
        <w:rPr>
          <w:rFonts w:eastAsia="Arial"/>
        </w:rPr>
        <w:t>upadacitinibo</w:t>
      </w:r>
      <w:proofErr w:type="spellEnd"/>
      <w:r w:rsidRPr="00EB713F">
        <w:rPr>
          <w:rFonts w:eastAsia="Arial"/>
        </w:rPr>
        <w:t xml:space="preserve"> kaštai mažesni nei </w:t>
      </w:r>
      <w:proofErr w:type="spellStart"/>
      <w:r w:rsidRPr="00EB713F">
        <w:rPr>
          <w:rFonts w:eastAsia="Arial"/>
        </w:rPr>
        <w:t>sekukinumabo</w:t>
      </w:r>
      <w:proofErr w:type="spellEnd"/>
      <w:r w:rsidRPr="00EB713F">
        <w:rPr>
          <w:rFonts w:eastAsia="Arial"/>
        </w:rPr>
        <w:t xml:space="preserve">, apskaičiuojant su </w:t>
      </w:r>
      <w:proofErr w:type="spellStart"/>
      <w:r w:rsidRPr="00EB713F">
        <w:rPr>
          <w:rFonts w:eastAsia="Arial"/>
        </w:rPr>
        <w:t>upadacitinibo</w:t>
      </w:r>
      <w:proofErr w:type="spellEnd"/>
      <w:r w:rsidRPr="00EB713F">
        <w:rPr>
          <w:rFonts w:eastAsia="Arial"/>
        </w:rPr>
        <w:t xml:space="preserve"> Lietuvai taikoma </w:t>
      </w:r>
      <w:r w:rsidR="00692F89" w:rsidRPr="00EB713F">
        <w:rPr>
          <w:rFonts w:eastAsia="Arial"/>
          <w:u w:val="single"/>
        </w:rPr>
        <w:t>bazine</w:t>
      </w:r>
      <w:r w:rsidR="00692F89" w:rsidRPr="00EB713F">
        <w:rPr>
          <w:rFonts w:eastAsia="Arial"/>
        </w:rPr>
        <w:t xml:space="preserve"> </w:t>
      </w:r>
      <w:r w:rsidRPr="00EB713F">
        <w:rPr>
          <w:rFonts w:eastAsia="Arial"/>
        </w:rPr>
        <w:t>kaina (</w:t>
      </w:r>
      <w:r w:rsidR="00EB713F">
        <w:rPr>
          <w:rFonts w:eastAsia="Arial"/>
        </w:rPr>
        <w:t>***</w:t>
      </w:r>
      <w:r w:rsidRPr="00EB713F">
        <w:rPr>
          <w:rFonts w:eastAsia="Arial"/>
        </w:rPr>
        <w:t xml:space="preserve"> Eur., PGS nesiūloma) ir </w:t>
      </w:r>
      <w:proofErr w:type="spellStart"/>
      <w:r w:rsidRPr="00EB713F">
        <w:rPr>
          <w:rFonts w:eastAsia="Arial"/>
        </w:rPr>
        <w:t>sekukinumabo</w:t>
      </w:r>
      <w:proofErr w:type="spellEnd"/>
      <w:r w:rsidRPr="00EB713F">
        <w:rPr>
          <w:rFonts w:eastAsia="Arial"/>
        </w:rPr>
        <w:t xml:space="preserve"> kainos nuolaida pagal prieinamumo gerinimo sutartį (konfidenciali</w:t>
      </w:r>
      <w:r>
        <w:rPr>
          <w:rFonts w:eastAsia="Arial"/>
        </w:rPr>
        <w:t xml:space="preserve"> kaina).</w:t>
      </w:r>
    </w:p>
    <w:p w14:paraId="1A900598" w14:textId="65638B29" w:rsidR="00C62B36" w:rsidRDefault="00C62B36" w:rsidP="00A93AA6">
      <w:pPr>
        <w:tabs>
          <w:tab w:val="left" w:pos="426"/>
        </w:tabs>
        <w:rPr>
          <w:i/>
          <w:color w:val="00B050"/>
          <w:sz w:val="22"/>
          <w:szCs w:val="22"/>
        </w:rPr>
      </w:pPr>
    </w:p>
    <w:p w14:paraId="36DEA333" w14:textId="77777777" w:rsidR="00E84FAD" w:rsidRDefault="00E84FAD" w:rsidP="00A93AA6">
      <w:pPr>
        <w:tabs>
          <w:tab w:val="left" w:pos="426"/>
        </w:tabs>
        <w:rPr>
          <w:b/>
          <w:bCs/>
          <w:caps/>
        </w:rPr>
      </w:pPr>
    </w:p>
    <w:p w14:paraId="4FC424F9" w14:textId="4E767245" w:rsidR="00C62B36" w:rsidRPr="00797153" w:rsidRDefault="00C62B36" w:rsidP="00937907">
      <w:pPr>
        <w:pStyle w:val="Sraopastraipa"/>
        <w:numPr>
          <w:ilvl w:val="0"/>
          <w:numId w:val="12"/>
        </w:numPr>
        <w:tabs>
          <w:tab w:val="left" w:pos="284"/>
        </w:tabs>
        <w:rPr>
          <w:b/>
          <w:bCs/>
          <w:caps/>
        </w:rPr>
      </w:pPr>
      <w:r w:rsidRPr="00797153">
        <w:rPr>
          <w:b/>
          <w:bCs/>
          <w:caps/>
        </w:rPr>
        <w:t xml:space="preserve">Pacientų organizacijų pateikti duomenys </w:t>
      </w:r>
    </w:p>
    <w:p w14:paraId="79BCFF40" w14:textId="1992DF4A" w:rsidR="00937907" w:rsidRPr="00797153"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62992180" w14:textId="2F285823" w:rsidR="00937907" w:rsidRPr="00797153"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B35176">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Sraopastraipa"/>
        <w:numPr>
          <w:ilvl w:val="0"/>
          <w:numId w:val="12"/>
        </w:numPr>
        <w:tabs>
          <w:tab w:val="left" w:pos="426"/>
        </w:tabs>
        <w:rPr>
          <w:b/>
          <w:bCs/>
          <w:caps/>
        </w:rPr>
      </w:pPr>
      <w:r w:rsidRPr="00797153">
        <w:rPr>
          <w:b/>
          <w:bCs/>
          <w:caps/>
        </w:rPr>
        <w:t>Gydytojų organizacijų pateikti duomenys</w:t>
      </w:r>
    </w:p>
    <w:p w14:paraId="389A346C" w14:textId="7EF63B34" w:rsidR="00937907" w:rsidRPr="00797153" w:rsidRDefault="00000000"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8152AF">
            <w:rPr>
              <w:rStyle w:val="Style2"/>
              <w:rFonts w:ascii="MS Gothic" w:eastAsia="MS Gothic" w:hAnsi="MS Gothic" w:hint="eastAsia"/>
            </w:rPr>
            <w:t>☐</w:t>
          </w:r>
        </w:sdtContent>
      </w:sdt>
      <w:r w:rsidR="00662983" w:rsidRPr="00797153">
        <w:t xml:space="preserve"> </w:t>
      </w:r>
      <w:r w:rsidR="00937907" w:rsidRPr="00797153">
        <w:t>Gydytojų specialistų o</w:t>
      </w:r>
      <w:r w:rsidR="008152AF">
        <w:t>rganizacijos pozicija pateikta.</w:t>
      </w:r>
    </w:p>
    <w:p w14:paraId="19CE60AE" w14:textId="65480AE6" w:rsidR="008152AF" w:rsidRPr="006E501F"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8152AF">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Sraopastraipa"/>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673"/>
        <w:gridCol w:w="4673"/>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1B919F91"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885712E" w:rsidR="00B13D65" w:rsidRPr="00B13D65"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D2102A">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507828D9" w14:textId="09AE523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lastRenderedPageBreak/>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70C15EA4"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BBA234"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D2102A">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13D65"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2C664869"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Pr>
                    <w:rStyle w:val="Style2"/>
                    <w:rFonts w:ascii="MS Gothic" w:eastAsia="MS Gothic" w:hAnsi="MS Gothic" w:hint="eastAsia"/>
                    <w:sz w:val="24"/>
                  </w:rPr>
                  <w:t>☐</w:t>
                </w:r>
              </w:sdtContent>
            </w:sdt>
            <w:r w:rsidR="00B13D65" w:rsidRPr="00B13D65">
              <w:t xml:space="preserve"> 32.3. atitink</w:t>
            </w:r>
            <w:r w:rsidR="00F329EA">
              <w:t>a referencinę naudingumo vertę;</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7A8EC964" w:rsidR="00B13D65" w:rsidRPr="00B13D65"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1"/>
                  <w14:checkedState w14:val="2612" w14:font="MS Gothic"/>
                  <w14:uncheckedState w14:val="2610" w14:font="MS Gothic"/>
                </w14:checkbox>
              </w:sdtPr>
              <w:sdtContent>
                <w:r w:rsidR="00B35176">
                  <w:rPr>
                    <w:rStyle w:val="Style2"/>
                    <w:rFonts w:ascii="MS Gothic" w:eastAsia="MS Gothic" w:hAnsi="MS Gothic" w:hint="eastAsia"/>
                    <w:sz w:val="24"/>
                  </w:rPr>
                  <w:t>☒</w:t>
                </w:r>
              </w:sdtContent>
            </w:sdt>
            <w:r w:rsidR="00B13D65" w:rsidRPr="00B13D65">
              <w:t xml:space="preserve"> 32.3. </w:t>
            </w:r>
            <w:r w:rsidR="00061311" w:rsidRPr="00B13D65">
              <w:t xml:space="preserve">gydymo juo kaštai yra mažesni ar tokie patys esant iš esmės nesiskiriančiam palyginamajam efektyvumui, </w:t>
            </w:r>
            <w:r w:rsidR="00952F25">
              <w:t>ne</w:t>
            </w:r>
            <w:r w:rsidR="00061311" w:rsidRPr="00B13D65">
              <w:t xml:space="preserve">taikant </w:t>
            </w:r>
            <w:r w:rsidR="00061311">
              <w:t>PGS.</w:t>
            </w:r>
          </w:p>
        </w:tc>
        <w:tc>
          <w:tcPr>
            <w:tcW w:w="4981" w:type="dxa"/>
          </w:tcPr>
          <w:p w14:paraId="53380063" w14:textId="07F023EC"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B8917C6"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gydymo juo kaštai yra didesni esant iš esmės nesiskirian</w:t>
            </w:r>
            <w:r w:rsidR="00F329EA">
              <w:t>čiam palyginamajam efektyvumui;</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5060B" w:rsidRDefault="0055060B" w:rsidP="0055060B">
      <w:pPr>
        <w:rPr>
          <w:b/>
        </w:rPr>
      </w:pPr>
    </w:p>
    <w:p w14:paraId="4761590D" w14:textId="77777777" w:rsidR="0055060B" w:rsidRPr="0055060B" w:rsidRDefault="0055060B" w:rsidP="0055060B">
      <w:pPr>
        <w:pStyle w:val="Sraopastraipa"/>
        <w:numPr>
          <w:ilvl w:val="0"/>
          <w:numId w:val="12"/>
        </w:numPr>
        <w:ind w:left="567" w:hanging="567"/>
        <w:rPr>
          <w:b/>
        </w:rPr>
      </w:pPr>
      <w:r w:rsidRPr="0055060B">
        <w:rPr>
          <w:b/>
        </w:rPr>
        <w:t>REKOMENDACIJA</w:t>
      </w:r>
    </w:p>
    <w:p w14:paraId="7CA221DC" w14:textId="1C624B11" w:rsidR="0055060B" w:rsidRPr="00D07E53" w:rsidRDefault="0055060B" w:rsidP="0055060B">
      <w:pPr>
        <w:rPr>
          <w:iCs/>
        </w:rPr>
      </w:pPr>
    </w:p>
    <w:p w14:paraId="02C5651A" w14:textId="79F6119D" w:rsidR="00061311" w:rsidRPr="00413423" w:rsidRDefault="00061311" w:rsidP="00061311">
      <w:pPr>
        <w:spacing w:line="276" w:lineRule="auto"/>
        <w:ind w:firstLine="567"/>
        <w:jc w:val="both"/>
        <w:rPr>
          <w:color w:val="000000" w:themeColor="text1"/>
        </w:rPr>
      </w:pPr>
      <w:r w:rsidRPr="003F514B">
        <w:t>Vadovaujantis</w:t>
      </w:r>
      <w:r w:rsidRPr="00B351ED">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69C43CA8" w14:textId="77462AFE" w:rsidR="00061311" w:rsidRDefault="00061311" w:rsidP="00061311">
      <w:pPr>
        <w:spacing w:line="276" w:lineRule="auto"/>
        <w:jc w:val="both"/>
      </w:pPr>
      <w:r w:rsidRPr="00513C05">
        <w:t xml:space="preserve">34.3. rekomenduojama </w:t>
      </w:r>
      <w:r w:rsidRPr="009A01CE">
        <w:rPr>
          <w:i/>
        </w:rPr>
        <w:t xml:space="preserve">kompensuoti </w:t>
      </w:r>
      <w:r w:rsidRPr="00513C05">
        <w:t xml:space="preserve">vaistinį preparatą pagal paraiškoje nurodytą </w:t>
      </w:r>
      <w:r w:rsidRPr="008B649B">
        <w:t xml:space="preserve">indikaciją su skyrimo sąlygomis, </w:t>
      </w:r>
      <w:r w:rsidR="008152AF">
        <w:t>ne</w:t>
      </w:r>
      <w:r w:rsidRPr="008B649B">
        <w:t>taikant PGS, dėl iš esmės nesiskiriančio gydymo efektyvumo ir sukuriamos naudos pacientų sveikatai, lyginant su įprasta klinikine praktika, ir dėl mažesnių gydymo kaštų dydžio (kaštų minimizavimas).</w:t>
      </w:r>
    </w:p>
    <w:p w14:paraId="4675BD1C" w14:textId="77777777" w:rsidR="0055060B" w:rsidRPr="008B63AB" w:rsidRDefault="0055060B" w:rsidP="0055060B"/>
    <w:p w14:paraId="2DE4B8C2" w14:textId="77777777" w:rsidR="0055060B" w:rsidRPr="008B63AB" w:rsidRDefault="0055060B" w:rsidP="0055060B">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3A90BF4C" w14:textId="77777777" w:rsidR="0055060B" w:rsidRPr="008B63AB" w:rsidRDefault="0055060B" w:rsidP="0055060B">
      <w:pPr>
        <w:tabs>
          <w:tab w:val="left" w:pos="426"/>
        </w:tabs>
        <w:jc w:val="both"/>
        <w:rPr>
          <w:b/>
          <w:color w:val="000000"/>
          <w:lang w:eastAsia="lt-LT"/>
        </w:rPr>
      </w:pPr>
    </w:p>
    <w:p w14:paraId="5E0791C3" w14:textId="77777777" w:rsidR="0055060B" w:rsidRPr="008B63AB" w:rsidRDefault="0055060B" w:rsidP="0055060B">
      <w:pPr>
        <w:outlineLvl w:val="0"/>
        <w:rPr>
          <w:b/>
          <w:lang w:eastAsia="lt-LT"/>
        </w:rPr>
      </w:pPr>
      <w:r w:rsidRPr="008B63AB">
        <w:rPr>
          <w:b/>
          <w:lang w:eastAsia="lt-LT"/>
        </w:rPr>
        <w:t>Terapinės indikacijos</w:t>
      </w:r>
    </w:p>
    <w:p w14:paraId="1CA7BDE9" w14:textId="77777777" w:rsidR="008152AF" w:rsidRPr="008152AF" w:rsidRDefault="00000000" w:rsidP="008152AF">
      <w:sdt>
        <w:sdtPr>
          <w:rPr>
            <w:rStyle w:val="Style2"/>
          </w:rPr>
          <w:id w:val="1146316688"/>
          <w15:color w:val="FFCC00"/>
          <w14:checkbox>
            <w14:checked w14:val="1"/>
            <w14:checkedState w14:val="2612" w14:font="MS Gothic"/>
            <w14:uncheckedState w14:val="2610" w14:font="MS Gothic"/>
          </w14:checkbox>
        </w:sdtPr>
        <w:sdtContent>
          <w:r w:rsidR="0055060B" w:rsidRPr="008152AF">
            <w:rPr>
              <w:rStyle w:val="Style2"/>
              <w:rFonts w:ascii="MS Gothic" w:eastAsia="MS Gothic" w:hAnsi="MS Gothic"/>
            </w:rPr>
            <w:t>☒</w:t>
          </w:r>
        </w:sdtContent>
      </w:sdt>
      <w:r w:rsidR="0055060B" w:rsidRPr="008152AF">
        <w:t xml:space="preserve"> Siūloma kompensuoti Pareiškėjo teikiamą indikaciją be pakeitimų.</w:t>
      </w:r>
    </w:p>
    <w:p w14:paraId="5966C71A" w14:textId="0E318428" w:rsidR="008152AF" w:rsidRPr="008152AF" w:rsidRDefault="008152AF" w:rsidP="008152AF">
      <w:r w:rsidRPr="008152AF">
        <w:rPr>
          <w:rFonts w:eastAsia="TimesNewRoman"/>
        </w:rPr>
        <w:t xml:space="preserve">RINVOQ yra skiriamas suaugusiems pacientams aktyviam </w:t>
      </w:r>
      <w:proofErr w:type="spellStart"/>
      <w:r w:rsidRPr="008152AF">
        <w:rPr>
          <w:rFonts w:eastAsia="TimesNewRoman"/>
        </w:rPr>
        <w:t>ankiloziniam</w:t>
      </w:r>
      <w:proofErr w:type="spellEnd"/>
      <w:r w:rsidRPr="008152AF">
        <w:rPr>
          <w:rFonts w:eastAsia="TimesNewRoman"/>
        </w:rPr>
        <w:t xml:space="preserve"> </w:t>
      </w:r>
      <w:proofErr w:type="spellStart"/>
      <w:r w:rsidRPr="008152AF">
        <w:rPr>
          <w:rFonts w:eastAsia="TimesNewRoman"/>
        </w:rPr>
        <w:t>spondilitui</w:t>
      </w:r>
      <w:proofErr w:type="spellEnd"/>
      <w:r w:rsidRPr="008152AF">
        <w:rPr>
          <w:rFonts w:eastAsia="TimesNewRoman"/>
        </w:rPr>
        <w:t xml:space="preserve"> gydyti, jeigu atsakas į </w:t>
      </w:r>
      <w:proofErr w:type="spellStart"/>
      <w:r w:rsidRPr="008152AF">
        <w:rPr>
          <w:rFonts w:eastAsia="TimesNewRoman"/>
        </w:rPr>
        <w:t>įprasta</w:t>
      </w:r>
      <w:proofErr w:type="spellEnd"/>
      <w:r w:rsidRPr="008152AF">
        <w:rPr>
          <w:rFonts w:eastAsia="TimesNewRoman"/>
        </w:rPr>
        <w:t xml:space="preserve">̨ </w:t>
      </w:r>
      <w:proofErr w:type="spellStart"/>
      <w:r w:rsidRPr="008152AF">
        <w:rPr>
          <w:rFonts w:eastAsia="TimesNewRoman"/>
        </w:rPr>
        <w:t>gydyma</w:t>
      </w:r>
      <w:proofErr w:type="spellEnd"/>
      <w:r w:rsidRPr="008152AF">
        <w:rPr>
          <w:rFonts w:eastAsia="TimesNewRoman"/>
        </w:rPr>
        <w:t xml:space="preserve">̨ buvo nepakankamas. </w:t>
      </w:r>
    </w:p>
    <w:p w14:paraId="17992EA8" w14:textId="77777777" w:rsidR="0055060B" w:rsidRPr="008152AF" w:rsidRDefault="0055060B" w:rsidP="0055060B">
      <w:pPr>
        <w:rPr>
          <w:b/>
          <w:highlight w:val="yellow"/>
        </w:rPr>
      </w:pPr>
    </w:p>
    <w:p w14:paraId="6A9F9827" w14:textId="77777777" w:rsidR="0055060B" w:rsidRPr="008152AF" w:rsidRDefault="0055060B" w:rsidP="0055060B">
      <w:pPr>
        <w:outlineLvl w:val="0"/>
        <w:rPr>
          <w:b/>
        </w:rPr>
      </w:pPr>
      <w:r w:rsidRPr="008152AF">
        <w:rPr>
          <w:b/>
        </w:rPr>
        <w:t>Skyrimo sąlygos</w:t>
      </w:r>
    </w:p>
    <w:p w14:paraId="223B363D" w14:textId="254A997C" w:rsidR="00F174C8" w:rsidRPr="008152AF" w:rsidRDefault="00000000" w:rsidP="0055060B">
      <w:sdt>
        <w:sdtPr>
          <w:rPr>
            <w:rStyle w:val="Style2"/>
          </w:rPr>
          <w:id w:val="169305347"/>
          <w15:color w:val="FFCC00"/>
          <w14:checkbox>
            <w14:checked w14:val="1"/>
            <w14:checkedState w14:val="2612" w14:font="MS Gothic"/>
            <w14:uncheckedState w14:val="2610" w14:font="MS Gothic"/>
          </w14:checkbox>
        </w:sdtPr>
        <w:sdtContent>
          <w:r w:rsidR="0055060B" w:rsidRPr="008152AF">
            <w:rPr>
              <w:rStyle w:val="Style2"/>
              <w:rFonts w:ascii="MS Gothic" w:eastAsia="MS Gothic" w:hAnsi="MS Gothic"/>
            </w:rPr>
            <w:t>☒</w:t>
          </w:r>
        </w:sdtContent>
      </w:sdt>
      <w:r w:rsidR="0055060B" w:rsidRPr="008152AF">
        <w:t xml:space="preserve"> Pareiškėjo siūlomos skyrimo sąlygos priimtinos. </w:t>
      </w:r>
    </w:p>
    <w:p w14:paraId="31461D3D" w14:textId="245DEEBD" w:rsidR="00720A6E" w:rsidRDefault="008152AF" w:rsidP="00272461">
      <w:pPr>
        <w:spacing w:line="276" w:lineRule="auto"/>
        <w:jc w:val="both"/>
        <w:rPr>
          <w:iCs/>
        </w:rPr>
      </w:pPr>
      <w:r w:rsidRPr="008152AF">
        <w:rPr>
          <w:rFonts w:eastAsia="TimesNewRoman"/>
        </w:rPr>
        <w:lastRenderedPageBreak/>
        <w:t xml:space="preserve">RINVOQ yra skiriamas suaugusiems pacientams aktyviam </w:t>
      </w:r>
      <w:proofErr w:type="spellStart"/>
      <w:r w:rsidRPr="008152AF">
        <w:rPr>
          <w:rFonts w:eastAsia="TimesNewRoman"/>
        </w:rPr>
        <w:t>ankiloziniam</w:t>
      </w:r>
      <w:proofErr w:type="spellEnd"/>
      <w:r w:rsidRPr="008152AF">
        <w:rPr>
          <w:rFonts w:eastAsia="TimesNewRoman"/>
        </w:rPr>
        <w:t xml:space="preserve"> </w:t>
      </w:r>
      <w:proofErr w:type="spellStart"/>
      <w:r w:rsidRPr="008152AF">
        <w:rPr>
          <w:rFonts w:eastAsia="TimesNewRoman"/>
        </w:rPr>
        <w:t>spondilitui</w:t>
      </w:r>
      <w:proofErr w:type="spellEnd"/>
      <w:r w:rsidRPr="008152AF">
        <w:rPr>
          <w:rFonts w:eastAsia="TimesNewRoman"/>
        </w:rPr>
        <w:t xml:space="preserve"> gydyti, jei gydant vienu ar daugiau biologinių ligą modifikuojančių vaistinių preparatų (</w:t>
      </w:r>
      <w:proofErr w:type="spellStart"/>
      <w:r w:rsidRPr="008152AF">
        <w:rPr>
          <w:rFonts w:eastAsia="TimesNewRoman"/>
        </w:rPr>
        <w:t>bLMV</w:t>
      </w:r>
      <w:proofErr w:type="spellEnd"/>
      <w:r w:rsidRPr="008152AF">
        <w:rPr>
          <w:rFonts w:eastAsia="TimesNewRoman"/>
        </w:rPr>
        <w:t>) gydymas buvo nepakankamas.</w:t>
      </w:r>
    </w:p>
    <w:p w14:paraId="59BED6AC" w14:textId="77777777" w:rsidR="00720A6E" w:rsidRPr="00516FF8" w:rsidRDefault="00720A6E" w:rsidP="00272461">
      <w:pPr>
        <w:spacing w:line="276" w:lineRule="auto"/>
        <w:jc w:val="both"/>
        <w:rPr>
          <w:iCs/>
        </w:rPr>
      </w:pPr>
    </w:p>
    <w:sectPr w:rsidR="00720A6E" w:rsidRPr="00516FF8" w:rsidSect="00240D62">
      <w:headerReference w:type="even" r:id="rId7"/>
      <w:headerReference w:type="default" r:id="rId8"/>
      <w:headerReference w:type="first" r:id="rId9"/>
      <w:footerReference w:type="first" r:id="rId10"/>
      <w:pgSz w:w="11907" w:h="16840" w:code="9"/>
      <w:pgMar w:top="1134" w:right="850"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54AF" w14:textId="77777777" w:rsidR="009D49A1" w:rsidRDefault="009D49A1">
      <w:r>
        <w:separator/>
      </w:r>
    </w:p>
  </w:endnote>
  <w:endnote w:type="continuationSeparator" w:id="0">
    <w:p w14:paraId="3F7866A9" w14:textId="77777777" w:rsidR="009D49A1" w:rsidRDefault="009D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Malgun Gothic Semilight"/>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4C8A" w14:textId="77777777" w:rsidR="009D49A1" w:rsidRDefault="009D49A1">
      <w:r>
        <w:separator/>
      </w:r>
    </w:p>
  </w:footnote>
  <w:footnote w:type="continuationSeparator" w:id="0">
    <w:p w14:paraId="36CFDC4A" w14:textId="77777777" w:rsidR="009D49A1" w:rsidRDefault="009D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2A081F49"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0377C">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551246">
    <w:abstractNumId w:val="7"/>
  </w:num>
  <w:num w:numId="2" w16cid:durableId="215506641">
    <w:abstractNumId w:val="2"/>
  </w:num>
  <w:num w:numId="3" w16cid:durableId="1209688516">
    <w:abstractNumId w:val="9"/>
  </w:num>
  <w:num w:numId="4" w16cid:durableId="34240836">
    <w:abstractNumId w:val="8"/>
  </w:num>
  <w:num w:numId="5" w16cid:durableId="509300294">
    <w:abstractNumId w:val="6"/>
  </w:num>
  <w:num w:numId="6" w16cid:durableId="1134370338">
    <w:abstractNumId w:val="5"/>
  </w:num>
  <w:num w:numId="7" w16cid:durableId="2019113563">
    <w:abstractNumId w:val="4"/>
  </w:num>
  <w:num w:numId="8" w16cid:durableId="1377580295">
    <w:abstractNumId w:val="14"/>
  </w:num>
  <w:num w:numId="9" w16cid:durableId="576088169">
    <w:abstractNumId w:val="0"/>
  </w:num>
  <w:num w:numId="10" w16cid:durableId="615911875">
    <w:abstractNumId w:val="10"/>
  </w:num>
  <w:num w:numId="11" w16cid:durableId="1608266815">
    <w:abstractNumId w:val="12"/>
  </w:num>
  <w:num w:numId="12" w16cid:durableId="178785297">
    <w:abstractNumId w:val="3"/>
  </w:num>
  <w:num w:numId="13" w16cid:durableId="451629956">
    <w:abstractNumId w:val="1"/>
  </w:num>
  <w:num w:numId="14" w16cid:durableId="1378622972">
    <w:abstractNumId w:val="11"/>
  </w:num>
  <w:num w:numId="15" w16cid:durableId="1259484908">
    <w:abstractNumId w:val="15"/>
  </w:num>
  <w:num w:numId="16" w16cid:durableId="1197431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36F7"/>
    <w:rsid w:val="0002686C"/>
    <w:rsid w:val="00031D0E"/>
    <w:rsid w:val="000337E6"/>
    <w:rsid w:val="0003402E"/>
    <w:rsid w:val="00034EAE"/>
    <w:rsid w:val="000606BE"/>
    <w:rsid w:val="00061311"/>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648F"/>
    <w:rsid w:val="00117406"/>
    <w:rsid w:val="00121EF0"/>
    <w:rsid w:val="00124A9E"/>
    <w:rsid w:val="00130703"/>
    <w:rsid w:val="0013153F"/>
    <w:rsid w:val="001408B8"/>
    <w:rsid w:val="001521D9"/>
    <w:rsid w:val="001554E2"/>
    <w:rsid w:val="00164146"/>
    <w:rsid w:val="0017369C"/>
    <w:rsid w:val="00180C39"/>
    <w:rsid w:val="00180D96"/>
    <w:rsid w:val="001921F3"/>
    <w:rsid w:val="001A0642"/>
    <w:rsid w:val="001B3C5B"/>
    <w:rsid w:val="001C54B6"/>
    <w:rsid w:val="001E4BBB"/>
    <w:rsid w:val="001E6304"/>
    <w:rsid w:val="0020381E"/>
    <w:rsid w:val="00213471"/>
    <w:rsid w:val="00214F6C"/>
    <w:rsid w:val="00215906"/>
    <w:rsid w:val="00240D62"/>
    <w:rsid w:val="0025132E"/>
    <w:rsid w:val="0025697F"/>
    <w:rsid w:val="00260258"/>
    <w:rsid w:val="0026788C"/>
    <w:rsid w:val="00272428"/>
    <w:rsid w:val="00272461"/>
    <w:rsid w:val="00272948"/>
    <w:rsid w:val="002946C7"/>
    <w:rsid w:val="002A6B73"/>
    <w:rsid w:val="002B3CC1"/>
    <w:rsid w:val="002C09E0"/>
    <w:rsid w:val="002C3A10"/>
    <w:rsid w:val="002C4A90"/>
    <w:rsid w:val="002D02EF"/>
    <w:rsid w:val="002E0702"/>
    <w:rsid w:val="002E6F80"/>
    <w:rsid w:val="002F0E4F"/>
    <w:rsid w:val="002F1053"/>
    <w:rsid w:val="00306D00"/>
    <w:rsid w:val="00317B0E"/>
    <w:rsid w:val="00325546"/>
    <w:rsid w:val="00347FAA"/>
    <w:rsid w:val="0035172D"/>
    <w:rsid w:val="0036187D"/>
    <w:rsid w:val="00381024"/>
    <w:rsid w:val="00386307"/>
    <w:rsid w:val="003874DE"/>
    <w:rsid w:val="00390F3E"/>
    <w:rsid w:val="00393E9F"/>
    <w:rsid w:val="0039696E"/>
    <w:rsid w:val="003B211A"/>
    <w:rsid w:val="003C12B3"/>
    <w:rsid w:val="003C141F"/>
    <w:rsid w:val="003C6B0E"/>
    <w:rsid w:val="003C7257"/>
    <w:rsid w:val="003C7E35"/>
    <w:rsid w:val="003D3B33"/>
    <w:rsid w:val="003E5FCD"/>
    <w:rsid w:val="00404E8A"/>
    <w:rsid w:val="0040622F"/>
    <w:rsid w:val="00423160"/>
    <w:rsid w:val="00453862"/>
    <w:rsid w:val="00461338"/>
    <w:rsid w:val="00464E8A"/>
    <w:rsid w:val="004677DB"/>
    <w:rsid w:val="0048630F"/>
    <w:rsid w:val="004947A1"/>
    <w:rsid w:val="0049482A"/>
    <w:rsid w:val="004979D3"/>
    <w:rsid w:val="004A00E7"/>
    <w:rsid w:val="004A3A61"/>
    <w:rsid w:val="004B59BA"/>
    <w:rsid w:val="004C263A"/>
    <w:rsid w:val="004D7B8F"/>
    <w:rsid w:val="004E6458"/>
    <w:rsid w:val="004E6E7D"/>
    <w:rsid w:val="004F1AAC"/>
    <w:rsid w:val="004F1AE2"/>
    <w:rsid w:val="004F34F0"/>
    <w:rsid w:val="004F3A42"/>
    <w:rsid w:val="005005EF"/>
    <w:rsid w:val="00516FF8"/>
    <w:rsid w:val="005270F1"/>
    <w:rsid w:val="00534E11"/>
    <w:rsid w:val="005400D9"/>
    <w:rsid w:val="005476A4"/>
    <w:rsid w:val="0055019B"/>
    <w:rsid w:val="0055060B"/>
    <w:rsid w:val="00556E63"/>
    <w:rsid w:val="005601A4"/>
    <w:rsid w:val="00566DBB"/>
    <w:rsid w:val="005976CE"/>
    <w:rsid w:val="005A23D4"/>
    <w:rsid w:val="005A2D1E"/>
    <w:rsid w:val="005C493F"/>
    <w:rsid w:val="005C6BF7"/>
    <w:rsid w:val="005C71BF"/>
    <w:rsid w:val="005D002C"/>
    <w:rsid w:val="005D30E1"/>
    <w:rsid w:val="005D6555"/>
    <w:rsid w:val="005D7BDF"/>
    <w:rsid w:val="005F71D9"/>
    <w:rsid w:val="005F7602"/>
    <w:rsid w:val="006108BA"/>
    <w:rsid w:val="00613501"/>
    <w:rsid w:val="006166A8"/>
    <w:rsid w:val="006174A1"/>
    <w:rsid w:val="00633B49"/>
    <w:rsid w:val="006343F7"/>
    <w:rsid w:val="0064297F"/>
    <w:rsid w:val="00646CF3"/>
    <w:rsid w:val="00662983"/>
    <w:rsid w:val="006661F8"/>
    <w:rsid w:val="006705B8"/>
    <w:rsid w:val="006834D3"/>
    <w:rsid w:val="00692625"/>
    <w:rsid w:val="00692F89"/>
    <w:rsid w:val="00695CD3"/>
    <w:rsid w:val="006A38B6"/>
    <w:rsid w:val="006B1987"/>
    <w:rsid w:val="006B5B71"/>
    <w:rsid w:val="006B6CB0"/>
    <w:rsid w:val="006C2B64"/>
    <w:rsid w:val="006D4C85"/>
    <w:rsid w:val="006E33F6"/>
    <w:rsid w:val="006F1251"/>
    <w:rsid w:val="006F1C23"/>
    <w:rsid w:val="006F3037"/>
    <w:rsid w:val="00703166"/>
    <w:rsid w:val="007127F3"/>
    <w:rsid w:val="00720A6E"/>
    <w:rsid w:val="007301CF"/>
    <w:rsid w:val="007316FB"/>
    <w:rsid w:val="00737E2D"/>
    <w:rsid w:val="00742033"/>
    <w:rsid w:val="007424D5"/>
    <w:rsid w:val="007523DD"/>
    <w:rsid w:val="00757B7E"/>
    <w:rsid w:val="00795DC5"/>
    <w:rsid w:val="00797153"/>
    <w:rsid w:val="007B0DDA"/>
    <w:rsid w:val="007D6482"/>
    <w:rsid w:val="007E5466"/>
    <w:rsid w:val="007F1949"/>
    <w:rsid w:val="00802956"/>
    <w:rsid w:val="008075B7"/>
    <w:rsid w:val="008152AF"/>
    <w:rsid w:val="00816C37"/>
    <w:rsid w:val="00817A84"/>
    <w:rsid w:val="008225A4"/>
    <w:rsid w:val="00826D5E"/>
    <w:rsid w:val="00832013"/>
    <w:rsid w:val="00834732"/>
    <w:rsid w:val="00843554"/>
    <w:rsid w:val="0085200C"/>
    <w:rsid w:val="00852B6E"/>
    <w:rsid w:val="00857C52"/>
    <w:rsid w:val="008651E2"/>
    <w:rsid w:val="00880A44"/>
    <w:rsid w:val="0088345E"/>
    <w:rsid w:val="0088656F"/>
    <w:rsid w:val="008A0303"/>
    <w:rsid w:val="008A5FDD"/>
    <w:rsid w:val="008C3947"/>
    <w:rsid w:val="008E7329"/>
    <w:rsid w:val="008F0FAE"/>
    <w:rsid w:val="008F2ED5"/>
    <w:rsid w:val="0090377C"/>
    <w:rsid w:val="009145D2"/>
    <w:rsid w:val="00916202"/>
    <w:rsid w:val="0092297E"/>
    <w:rsid w:val="0093069F"/>
    <w:rsid w:val="009341BF"/>
    <w:rsid w:val="00937907"/>
    <w:rsid w:val="00941739"/>
    <w:rsid w:val="00950375"/>
    <w:rsid w:val="00951573"/>
    <w:rsid w:val="00952F25"/>
    <w:rsid w:val="00963003"/>
    <w:rsid w:val="00983471"/>
    <w:rsid w:val="009909AB"/>
    <w:rsid w:val="009A01CE"/>
    <w:rsid w:val="009B37DB"/>
    <w:rsid w:val="009C7A8C"/>
    <w:rsid w:val="009D03DA"/>
    <w:rsid w:val="009D23F9"/>
    <w:rsid w:val="009D49A1"/>
    <w:rsid w:val="009D4FA8"/>
    <w:rsid w:val="009E6CD6"/>
    <w:rsid w:val="00A00C3C"/>
    <w:rsid w:val="00A01091"/>
    <w:rsid w:val="00A06DBB"/>
    <w:rsid w:val="00A31E86"/>
    <w:rsid w:val="00A31F20"/>
    <w:rsid w:val="00A445D1"/>
    <w:rsid w:val="00A54D87"/>
    <w:rsid w:val="00A5544B"/>
    <w:rsid w:val="00A5553C"/>
    <w:rsid w:val="00A71554"/>
    <w:rsid w:val="00A81785"/>
    <w:rsid w:val="00A84803"/>
    <w:rsid w:val="00A84C51"/>
    <w:rsid w:val="00A86F2B"/>
    <w:rsid w:val="00A91366"/>
    <w:rsid w:val="00A93AA6"/>
    <w:rsid w:val="00AA4E48"/>
    <w:rsid w:val="00AA6202"/>
    <w:rsid w:val="00AB37A5"/>
    <w:rsid w:val="00AC4A99"/>
    <w:rsid w:val="00AC64D2"/>
    <w:rsid w:val="00AE0FE8"/>
    <w:rsid w:val="00AF60D5"/>
    <w:rsid w:val="00B04415"/>
    <w:rsid w:val="00B11D60"/>
    <w:rsid w:val="00B11E4B"/>
    <w:rsid w:val="00B13D65"/>
    <w:rsid w:val="00B22497"/>
    <w:rsid w:val="00B35176"/>
    <w:rsid w:val="00B351ED"/>
    <w:rsid w:val="00B37245"/>
    <w:rsid w:val="00B4017A"/>
    <w:rsid w:val="00B4468D"/>
    <w:rsid w:val="00B52E0C"/>
    <w:rsid w:val="00B71C72"/>
    <w:rsid w:val="00B81E92"/>
    <w:rsid w:val="00B93B30"/>
    <w:rsid w:val="00B94CB5"/>
    <w:rsid w:val="00BA0DD9"/>
    <w:rsid w:val="00BB6312"/>
    <w:rsid w:val="00BC4D06"/>
    <w:rsid w:val="00BD585E"/>
    <w:rsid w:val="00BF2E0D"/>
    <w:rsid w:val="00BF3F8B"/>
    <w:rsid w:val="00BF76DA"/>
    <w:rsid w:val="00C07C7B"/>
    <w:rsid w:val="00C24479"/>
    <w:rsid w:val="00C37B53"/>
    <w:rsid w:val="00C517D2"/>
    <w:rsid w:val="00C62B36"/>
    <w:rsid w:val="00C638D6"/>
    <w:rsid w:val="00C7012C"/>
    <w:rsid w:val="00C72CA5"/>
    <w:rsid w:val="00C96915"/>
    <w:rsid w:val="00CB1C5E"/>
    <w:rsid w:val="00CC668D"/>
    <w:rsid w:val="00CC7832"/>
    <w:rsid w:val="00CD1F9B"/>
    <w:rsid w:val="00CF0C1C"/>
    <w:rsid w:val="00CF1FFA"/>
    <w:rsid w:val="00D07E53"/>
    <w:rsid w:val="00D2102A"/>
    <w:rsid w:val="00D23808"/>
    <w:rsid w:val="00D2781D"/>
    <w:rsid w:val="00D3016A"/>
    <w:rsid w:val="00D317D4"/>
    <w:rsid w:val="00D42960"/>
    <w:rsid w:val="00D43BD7"/>
    <w:rsid w:val="00D4485B"/>
    <w:rsid w:val="00D4708D"/>
    <w:rsid w:val="00D4744C"/>
    <w:rsid w:val="00D63068"/>
    <w:rsid w:val="00D6498C"/>
    <w:rsid w:val="00D8521E"/>
    <w:rsid w:val="00D9291C"/>
    <w:rsid w:val="00D93A97"/>
    <w:rsid w:val="00DB1F64"/>
    <w:rsid w:val="00DC2F53"/>
    <w:rsid w:val="00DC6816"/>
    <w:rsid w:val="00DC76C2"/>
    <w:rsid w:val="00DD1CF2"/>
    <w:rsid w:val="00DF41B7"/>
    <w:rsid w:val="00DF4A4A"/>
    <w:rsid w:val="00DF583C"/>
    <w:rsid w:val="00E03C3F"/>
    <w:rsid w:val="00E11F21"/>
    <w:rsid w:val="00E24D45"/>
    <w:rsid w:val="00E33DB8"/>
    <w:rsid w:val="00E34387"/>
    <w:rsid w:val="00E369FE"/>
    <w:rsid w:val="00E37C6F"/>
    <w:rsid w:val="00E475F8"/>
    <w:rsid w:val="00E5102E"/>
    <w:rsid w:val="00E5721C"/>
    <w:rsid w:val="00E619C6"/>
    <w:rsid w:val="00E745A1"/>
    <w:rsid w:val="00E81529"/>
    <w:rsid w:val="00E83A13"/>
    <w:rsid w:val="00E84FAD"/>
    <w:rsid w:val="00EB713F"/>
    <w:rsid w:val="00EC2356"/>
    <w:rsid w:val="00EC2582"/>
    <w:rsid w:val="00EC337C"/>
    <w:rsid w:val="00ED0CFF"/>
    <w:rsid w:val="00ED31D2"/>
    <w:rsid w:val="00ED3369"/>
    <w:rsid w:val="00EE0ACF"/>
    <w:rsid w:val="00EE0EAC"/>
    <w:rsid w:val="00EE33CB"/>
    <w:rsid w:val="00EF33B4"/>
    <w:rsid w:val="00F0061A"/>
    <w:rsid w:val="00F02834"/>
    <w:rsid w:val="00F07CD7"/>
    <w:rsid w:val="00F127E9"/>
    <w:rsid w:val="00F174C8"/>
    <w:rsid w:val="00F329EA"/>
    <w:rsid w:val="00F36972"/>
    <w:rsid w:val="00F42426"/>
    <w:rsid w:val="00F456BC"/>
    <w:rsid w:val="00F50666"/>
    <w:rsid w:val="00F60C95"/>
    <w:rsid w:val="00F70C9E"/>
    <w:rsid w:val="00F74A74"/>
    <w:rsid w:val="00F8382C"/>
    <w:rsid w:val="00F855D7"/>
    <w:rsid w:val="00F92035"/>
    <w:rsid w:val="00F92748"/>
    <w:rsid w:val="00F953C7"/>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locked/>
    <w:rsid w:val="0055060B"/>
    <w:rPr>
      <w:sz w:val="24"/>
      <w:szCs w:val="24"/>
      <w:lang w:eastAsia="en-US"/>
    </w:rPr>
  </w:style>
  <w:style w:type="paragraph" w:styleId="Dokumentoinaostekstas">
    <w:name w:val="endnote text"/>
    <w:basedOn w:val="prastasis"/>
    <w:link w:val="DokumentoinaostekstasDiagrama"/>
    <w:semiHidden/>
    <w:unhideWhenUsed/>
    <w:rsid w:val="0055060B"/>
    <w:rPr>
      <w:sz w:val="20"/>
      <w:szCs w:val="20"/>
    </w:rPr>
  </w:style>
  <w:style w:type="character" w:customStyle="1" w:styleId="DokumentoinaostekstasDiagrama">
    <w:name w:val="Dokumento išnašos tekstas Diagrama"/>
    <w:basedOn w:val="Numatytasispastraiposriftas"/>
    <w:link w:val="Dokumentoinaostekstas"/>
    <w:semiHidden/>
    <w:rsid w:val="0055060B"/>
    <w:rPr>
      <w:lang w:eastAsia="en-US"/>
    </w:rPr>
  </w:style>
  <w:style w:type="character" w:styleId="Dokumentoinaosnumeris">
    <w:name w:val="endnote reference"/>
    <w:basedOn w:val="Numatytasispastraiposriftas"/>
    <w:semiHidden/>
    <w:unhideWhenUsed/>
    <w:rsid w:val="0055060B"/>
    <w:rPr>
      <w:vertAlign w:val="superscript"/>
    </w:rPr>
  </w:style>
  <w:style w:type="paragraph" w:styleId="HTMLiankstoformatuotas">
    <w:name w:val="HTML Preformatted"/>
    <w:basedOn w:val="prastasis"/>
    <w:link w:val="HTMLiankstoformatuotasDiagrama"/>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8651E2"/>
    <w:rPr>
      <w:rFonts w:ascii="Courier New" w:hAnsi="Courier New" w:cs="Courier New"/>
      <w:lang w:eastAsia="en-GB"/>
    </w:rPr>
  </w:style>
  <w:style w:type="character" w:customStyle="1" w:styleId="y2iqfc">
    <w:name w:val="y2iqfc"/>
    <w:basedOn w:val="Numatytasispastraiposriftas"/>
    <w:rsid w:val="008651E2"/>
  </w:style>
  <w:style w:type="paragraph" w:styleId="prastasiniatinklio">
    <w:name w:val="Normal (Web)"/>
    <w:basedOn w:val="prastasis"/>
    <w:uiPriority w:val="99"/>
    <w:unhideWhenUsed/>
    <w:rsid w:val="003C12B3"/>
    <w:pPr>
      <w:spacing w:before="100" w:beforeAutospacing="1" w:after="100" w:afterAutospacing="1"/>
    </w:pPr>
    <w:rPr>
      <w:lang w:val="en-US"/>
    </w:rPr>
  </w:style>
  <w:style w:type="paragraph" w:customStyle="1" w:styleId="Tekstas">
    <w:name w:val="Tekstas"/>
    <w:basedOn w:val="prastasis"/>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1463EC4028D41A19333908A55DAFF"/>
        <w:category>
          <w:name w:val="General"/>
          <w:gallery w:val="placeholder"/>
        </w:category>
        <w:types>
          <w:type w:val="bbPlcHdr"/>
        </w:types>
        <w:behaviors>
          <w:behavior w:val="content"/>
        </w:behaviors>
        <w:guid w:val="{D739BEED-E64E-6745-8427-629CED01300A}"/>
      </w:docPartPr>
      <w:docPartBody>
        <w:p w:rsidR="004045EC" w:rsidRDefault="007D17CA" w:rsidP="007D17CA">
          <w:pPr>
            <w:pStyle w:val="1E61463EC4028D41A19333908A55DAFF"/>
          </w:pPr>
          <w:r>
            <w:rPr>
              <w:rStyle w:val="Vietosrezervavimoenklotekstas"/>
            </w:rPr>
            <w:t>Click here to enter a date.</w:t>
          </w:r>
        </w:p>
      </w:docPartBody>
    </w:docPart>
    <w:docPart>
      <w:docPartPr>
        <w:name w:val="BAEB045BC3FF144D9D6BD3ED15F8ABB3"/>
        <w:category>
          <w:name w:val="General"/>
          <w:gallery w:val="placeholder"/>
        </w:category>
        <w:types>
          <w:type w:val="bbPlcHdr"/>
        </w:types>
        <w:behaviors>
          <w:behavior w:val="content"/>
        </w:behaviors>
        <w:guid w:val="{CD0131CE-E5FC-EA4D-83C0-91A0B9A13136}"/>
      </w:docPartPr>
      <w:docPartBody>
        <w:p w:rsidR="004045EC" w:rsidRDefault="007D17CA" w:rsidP="007D17CA">
          <w:pPr>
            <w:pStyle w:val="BAEB045BC3FF144D9D6BD3ED15F8ABB3"/>
          </w:pPr>
          <w:r>
            <w:rPr>
              <w:rStyle w:val="Vietosrezervavimoenklotekstas"/>
            </w:rPr>
            <w:t>Click here to enter a date.</w:t>
          </w:r>
        </w:p>
      </w:docPartBody>
    </w:docPart>
    <w:docPart>
      <w:docPartPr>
        <w:name w:val="66FBD8BF19962E409C2183387E30EF86"/>
        <w:category>
          <w:name w:val="General"/>
          <w:gallery w:val="placeholder"/>
        </w:category>
        <w:types>
          <w:type w:val="bbPlcHdr"/>
        </w:types>
        <w:behaviors>
          <w:behavior w:val="content"/>
        </w:behaviors>
        <w:guid w:val="{109BD0D9-53EC-1A40-AF8C-D144588C597A}"/>
      </w:docPartPr>
      <w:docPartBody>
        <w:p w:rsidR="00732269" w:rsidRDefault="00D83A99" w:rsidP="00D83A99">
          <w:pPr>
            <w:pStyle w:val="66FBD8BF19962E409C2183387E30EF86"/>
          </w:pPr>
          <w:r>
            <w:rPr>
              <w:rStyle w:val="Vietosrezervavimoenklotekstas"/>
            </w:rPr>
            <w:t>Click here to enter a date.</w:t>
          </w:r>
        </w:p>
      </w:docPartBody>
    </w:docPart>
    <w:docPart>
      <w:docPartPr>
        <w:name w:val="54CBFBD745B0B549951F12CA9A6F5D19"/>
        <w:category>
          <w:name w:val="General"/>
          <w:gallery w:val="placeholder"/>
        </w:category>
        <w:types>
          <w:type w:val="bbPlcHdr"/>
        </w:types>
        <w:behaviors>
          <w:behavior w:val="content"/>
        </w:behaviors>
        <w:guid w:val="{E73A4567-9129-3545-A3F9-0432060A6079}"/>
      </w:docPartPr>
      <w:docPartBody>
        <w:p w:rsidR="00732269" w:rsidRDefault="00D83A99" w:rsidP="00D83A99">
          <w:pPr>
            <w:pStyle w:val="54CBFBD745B0B549951F12CA9A6F5D19"/>
          </w:pPr>
          <w:r>
            <w:rPr>
              <w:rStyle w:val="Vietosrezervavimoenklotekstas"/>
            </w:rPr>
            <w:t>Click here to enter a date.</w:t>
          </w:r>
        </w:p>
      </w:docPartBody>
    </w:docPart>
    <w:docPart>
      <w:docPartPr>
        <w:name w:val="38176DFAA191194986E3616BA0056A50"/>
        <w:category>
          <w:name w:val="General"/>
          <w:gallery w:val="placeholder"/>
        </w:category>
        <w:types>
          <w:type w:val="bbPlcHdr"/>
        </w:types>
        <w:behaviors>
          <w:behavior w:val="content"/>
        </w:behaviors>
        <w:guid w:val="{2084507B-08BD-3941-935F-D293F6499C94}"/>
      </w:docPartPr>
      <w:docPartBody>
        <w:p w:rsidR="00732269" w:rsidRDefault="00D83A99" w:rsidP="00D83A99">
          <w:pPr>
            <w:pStyle w:val="38176DFAA191194986E3616BA0056A5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Malgun Gothic Semilight"/>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06A56"/>
    <w:rsid w:val="001227E4"/>
    <w:rsid w:val="003A2F2A"/>
    <w:rsid w:val="003C1AE1"/>
    <w:rsid w:val="004045EC"/>
    <w:rsid w:val="004144A3"/>
    <w:rsid w:val="004160E7"/>
    <w:rsid w:val="005074B9"/>
    <w:rsid w:val="005E40DD"/>
    <w:rsid w:val="0063095E"/>
    <w:rsid w:val="00732269"/>
    <w:rsid w:val="007C6D1D"/>
    <w:rsid w:val="007D17CA"/>
    <w:rsid w:val="00843AE5"/>
    <w:rsid w:val="008C49D4"/>
    <w:rsid w:val="0093331A"/>
    <w:rsid w:val="00936288"/>
    <w:rsid w:val="009B3BF0"/>
    <w:rsid w:val="009D5E5E"/>
    <w:rsid w:val="00B23DC0"/>
    <w:rsid w:val="00BF3A1E"/>
    <w:rsid w:val="00C83DFB"/>
    <w:rsid w:val="00CA1056"/>
    <w:rsid w:val="00CB4BD1"/>
    <w:rsid w:val="00CD34D6"/>
    <w:rsid w:val="00CE2DA9"/>
    <w:rsid w:val="00CE44BE"/>
    <w:rsid w:val="00CE49F2"/>
    <w:rsid w:val="00D83A99"/>
    <w:rsid w:val="00DE3D78"/>
    <w:rsid w:val="00E1112E"/>
    <w:rsid w:val="00E44A86"/>
    <w:rsid w:val="00EF6E0C"/>
    <w:rsid w:val="00F019D0"/>
    <w:rsid w:val="00FA3F58"/>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83A99"/>
    <w:rPr>
      <w:color w:val="808080"/>
    </w:rPr>
  </w:style>
  <w:style w:type="paragraph" w:customStyle="1" w:styleId="1E61463EC4028D41A19333908A55DAFF">
    <w:name w:val="1E61463EC4028D41A19333908A55DAFF"/>
    <w:rsid w:val="007D17CA"/>
    <w:pPr>
      <w:spacing w:after="0" w:line="240" w:lineRule="auto"/>
    </w:pPr>
    <w:rPr>
      <w:sz w:val="24"/>
      <w:szCs w:val="24"/>
      <w:lang w:eastAsia="en-GB"/>
    </w:rPr>
  </w:style>
  <w:style w:type="paragraph" w:customStyle="1" w:styleId="BAEB045BC3FF144D9D6BD3ED15F8ABB3">
    <w:name w:val="BAEB045BC3FF144D9D6BD3ED15F8ABB3"/>
    <w:rsid w:val="007D17CA"/>
    <w:pPr>
      <w:spacing w:after="0" w:line="240" w:lineRule="auto"/>
    </w:pPr>
    <w:rPr>
      <w:sz w:val="24"/>
      <w:szCs w:val="24"/>
      <w:lang w:eastAsia="en-GB"/>
    </w:rPr>
  </w:style>
  <w:style w:type="paragraph" w:customStyle="1" w:styleId="66FBD8BF19962E409C2183387E30EF86">
    <w:name w:val="66FBD8BF19962E409C2183387E30EF86"/>
    <w:rsid w:val="00D83A99"/>
    <w:pPr>
      <w:spacing w:after="0" w:line="240" w:lineRule="auto"/>
    </w:pPr>
    <w:rPr>
      <w:sz w:val="24"/>
      <w:szCs w:val="24"/>
      <w:lang w:val="en-US" w:eastAsia="en-US"/>
    </w:rPr>
  </w:style>
  <w:style w:type="paragraph" w:customStyle="1" w:styleId="54CBFBD745B0B549951F12CA9A6F5D19">
    <w:name w:val="54CBFBD745B0B549951F12CA9A6F5D19"/>
    <w:rsid w:val="00D83A99"/>
    <w:pPr>
      <w:spacing w:after="0" w:line="240" w:lineRule="auto"/>
    </w:pPr>
    <w:rPr>
      <w:sz w:val="24"/>
      <w:szCs w:val="24"/>
      <w:lang w:val="en-US" w:eastAsia="en-US"/>
    </w:rPr>
  </w:style>
  <w:style w:type="paragraph" w:customStyle="1" w:styleId="38176DFAA191194986E3616BA0056A50">
    <w:name w:val="38176DFAA191194986E3616BA0056A50"/>
    <w:rsid w:val="00D83A99"/>
    <w:pPr>
      <w:spacing w:after="0" w:line="240"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9589</Words>
  <Characters>5467</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15026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2023-10-23T12:59:00Z</dcterms:created>
  <dcterms:modified xsi:type="dcterms:W3CDTF">2023-11-09T13:58:00Z</dcterms:modified>
</cp:coreProperties>
</file>