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1B3C5B">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A4169"/>
    <w:p w14:paraId="77AFB67E" w14:textId="16397257"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4E4395D" w14:textId="623D0445" w:rsidR="00B13D65" w:rsidRDefault="00B13D65" w:rsidP="003B211A">
      <w:pPr>
        <w:jc w:val="center"/>
        <w:rPr>
          <w:b/>
        </w:rPr>
      </w:pPr>
    </w:p>
    <w:p w14:paraId="07145B9A" w14:textId="40B9EED8" w:rsidR="008B2311" w:rsidRPr="00216CE2" w:rsidRDefault="008B2311" w:rsidP="008B2311">
      <w:pPr>
        <w:jc w:val="center"/>
        <w:rPr>
          <w:b/>
          <w:color w:val="000000" w:themeColor="text1"/>
          <w:lang w:val="en-US" w:eastAsia="en-GB"/>
        </w:rPr>
      </w:pPr>
      <w:r w:rsidRPr="00216CE2">
        <w:rPr>
          <w:b/>
          <w:color w:val="000000" w:themeColor="text1"/>
        </w:rPr>
        <w:t xml:space="preserve">Tremfya 100 mg </w:t>
      </w:r>
      <w:r w:rsidRPr="00216CE2">
        <w:rPr>
          <w:b/>
          <w:color w:val="000000" w:themeColor="text1"/>
          <w:shd w:val="clear" w:color="auto" w:fill="FFFFFF"/>
          <w:lang w:eastAsia="en-GB"/>
        </w:rPr>
        <w:t>injekcinis tirpalas užpildytame švirkštiklyj</w:t>
      </w:r>
      <w:r w:rsidRPr="00216CE2">
        <w:rPr>
          <w:b/>
          <w:color w:val="000000" w:themeColor="text1"/>
          <w:shd w:val="clear" w:color="auto" w:fill="FFFFFF"/>
          <w:lang w:val="en-US" w:eastAsia="en-GB"/>
        </w:rPr>
        <w:t>e</w:t>
      </w:r>
    </w:p>
    <w:p w14:paraId="330AE555" w14:textId="77777777" w:rsidR="008B2311" w:rsidRPr="005A6B07" w:rsidRDefault="008B2311" w:rsidP="008B2311">
      <w:pPr>
        <w:jc w:val="center"/>
        <w:rPr>
          <w:b/>
        </w:rPr>
      </w:pPr>
    </w:p>
    <w:p w14:paraId="440CC52C" w14:textId="77777777" w:rsidR="008B2311" w:rsidRPr="008B2311" w:rsidRDefault="008B2311" w:rsidP="008B2311">
      <w:pPr>
        <w:jc w:val="center"/>
        <w:rPr>
          <w:b/>
          <w:bCs/>
        </w:rPr>
      </w:pPr>
      <w:r w:rsidRPr="008B2311">
        <w:rPr>
          <w:b/>
          <w:bCs/>
        </w:rPr>
        <w:t>(Guselkumabas)</w:t>
      </w:r>
    </w:p>
    <w:p w14:paraId="38F4F3EA" w14:textId="77777777" w:rsidR="008B2311" w:rsidRPr="00D05364" w:rsidRDefault="008B2311" w:rsidP="008B2311">
      <w:pPr>
        <w:jc w:val="center"/>
      </w:pPr>
    </w:p>
    <w:p w14:paraId="1E2B8830" w14:textId="54500DEA" w:rsidR="008B2311" w:rsidRPr="0081174A" w:rsidRDefault="008B2311" w:rsidP="0081174A">
      <w:pPr>
        <w:jc w:val="center"/>
        <w:rPr>
          <w:b/>
        </w:rPr>
      </w:pPr>
      <w:r w:rsidRPr="0081174A">
        <w:rPr>
          <w:b/>
        </w:rPr>
        <w:t>STV-55</w:t>
      </w:r>
    </w:p>
    <w:p w14:paraId="33D987A0" w14:textId="77777777" w:rsidR="001A0642" w:rsidRPr="0081174A" w:rsidRDefault="001A0642" w:rsidP="003B211A">
      <w:pPr>
        <w:jc w:val="center"/>
        <w:rPr>
          <w:b/>
        </w:rPr>
      </w:pPr>
    </w:p>
    <w:p w14:paraId="78C89D1C" w14:textId="0DA88316" w:rsidR="00D4485B" w:rsidRPr="0081174A" w:rsidRDefault="00B13D65" w:rsidP="00937907">
      <w:pPr>
        <w:pStyle w:val="ListParagraph"/>
        <w:numPr>
          <w:ilvl w:val="0"/>
          <w:numId w:val="12"/>
        </w:numPr>
        <w:tabs>
          <w:tab w:val="left" w:pos="284"/>
        </w:tabs>
        <w:rPr>
          <w:b/>
          <w:bCs/>
          <w:caps/>
        </w:rPr>
      </w:pPr>
      <w:r w:rsidRPr="0081174A">
        <w:rPr>
          <w:b/>
          <w:bCs/>
          <w:caps/>
        </w:rPr>
        <w:t>Bendroji dalis</w:t>
      </w:r>
    </w:p>
    <w:p w14:paraId="04A7C7A7" w14:textId="77777777" w:rsidR="00B13D65" w:rsidRPr="0081174A" w:rsidRDefault="00B13D65" w:rsidP="00E03C3F">
      <w:pPr>
        <w:pStyle w:val="ListParagraph"/>
        <w:tabs>
          <w:tab w:val="left" w:pos="284"/>
        </w:tabs>
        <w:ind w:left="0"/>
        <w:rPr>
          <w:b/>
          <w:bCs/>
          <w:caps/>
        </w:rPr>
      </w:pPr>
    </w:p>
    <w:tbl>
      <w:tblPr>
        <w:tblStyle w:val="TableGrid"/>
        <w:tblW w:w="9918" w:type="dxa"/>
        <w:tblLook w:val="04A0" w:firstRow="1" w:lastRow="0" w:firstColumn="1" w:lastColumn="0" w:noHBand="0" w:noVBand="1"/>
      </w:tblPr>
      <w:tblGrid>
        <w:gridCol w:w="705"/>
        <w:gridCol w:w="4117"/>
        <w:gridCol w:w="5096"/>
      </w:tblGrid>
      <w:tr w:rsidR="008B2311" w:rsidRPr="0081174A" w14:paraId="71D4B164" w14:textId="77777777" w:rsidTr="00F414C7">
        <w:trPr>
          <w:trHeight w:val="342"/>
        </w:trPr>
        <w:tc>
          <w:tcPr>
            <w:tcW w:w="705" w:type="dxa"/>
          </w:tcPr>
          <w:p w14:paraId="6447287D" w14:textId="77777777" w:rsidR="008B2311" w:rsidRPr="0081174A" w:rsidRDefault="008B2311" w:rsidP="00F414C7">
            <w:pPr>
              <w:tabs>
                <w:tab w:val="left" w:pos="284"/>
              </w:tabs>
              <w:spacing w:line="280" w:lineRule="atLeast"/>
              <w:rPr>
                <w:rFonts w:eastAsia="Arial"/>
                <w:b/>
              </w:rPr>
            </w:pPr>
            <w:r w:rsidRPr="0081174A">
              <w:rPr>
                <w:rFonts w:eastAsia="Arial"/>
                <w:b/>
              </w:rPr>
              <w:t>1.1</w:t>
            </w:r>
          </w:p>
        </w:tc>
        <w:tc>
          <w:tcPr>
            <w:tcW w:w="4117" w:type="dxa"/>
          </w:tcPr>
          <w:p w14:paraId="18E94005" w14:textId="77777777" w:rsidR="008B2311" w:rsidRPr="0081174A" w:rsidRDefault="008B2311" w:rsidP="00F414C7">
            <w:pPr>
              <w:tabs>
                <w:tab w:val="left" w:pos="284"/>
              </w:tabs>
              <w:spacing w:line="280" w:lineRule="atLeast"/>
              <w:rPr>
                <w:b/>
                <w:bCs/>
                <w:color w:val="000000"/>
                <w:lang w:eastAsia="lt-LT"/>
              </w:rPr>
            </w:pPr>
            <w:r w:rsidRPr="0081174A">
              <w:rPr>
                <w:b/>
                <w:bCs/>
                <w:color w:val="000000"/>
                <w:lang w:eastAsia="lt-LT"/>
              </w:rPr>
              <w:t>Pareiškėjas</w:t>
            </w:r>
          </w:p>
        </w:tc>
        <w:tc>
          <w:tcPr>
            <w:tcW w:w="5096" w:type="dxa"/>
          </w:tcPr>
          <w:p w14:paraId="4749B5EA" w14:textId="77777777" w:rsidR="008B2311" w:rsidRPr="0081174A" w:rsidRDefault="008B2311" w:rsidP="00F414C7">
            <w:pPr>
              <w:pStyle w:val="ListParagraph"/>
              <w:spacing w:after="120"/>
              <w:ind w:left="0"/>
              <w:contextualSpacing w:val="0"/>
              <w:jc w:val="both"/>
            </w:pPr>
            <w:r w:rsidRPr="0081174A">
              <w:t>UAB „Johnson &amp; Johnson”</w:t>
            </w:r>
          </w:p>
        </w:tc>
      </w:tr>
      <w:tr w:rsidR="008B2311" w:rsidRPr="0081174A" w14:paraId="417FC00D" w14:textId="77777777" w:rsidTr="00F414C7">
        <w:trPr>
          <w:trHeight w:val="479"/>
        </w:trPr>
        <w:tc>
          <w:tcPr>
            <w:tcW w:w="705" w:type="dxa"/>
          </w:tcPr>
          <w:p w14:paraId="07A62BF0" w14:textId="77777777" w:rsidR="008B2311" w:rsidRPr="0081174A" w:rsidRDefault="008B2311" w:rsidP="00F414C7">
            <w:pPr>
              <w:tabs>
                <w:tab w:val="left" w:pos="284"/>
              </w:tabs>
              <w:spacing w:line="280" w:lineRule="atLeast"/>
              <w:rPr>
                <w:rFonts w:eastAsia="Arial"/>
                <w:b/>
              </w:rPr>
            </w:pPr>
            <w:r w:rsidRPr="0081174A">
              <w:rPr>
                <w:rFonts w:eastAsia="Arial"/>
                <w:b/>
              </w:rPr>
              <w:t>1.2</w:t>
            </w:r>
          </w:p>
        </w:tc>
        <w:tc>
          <w:tcPr>
            <w:tcW w:w="4117" w:type="dxa"/>
          </w:tcPr>
          <w:p w14:paraId="0CF04B2A" w14:textId="77777777" w:rsidR="008B2311" w:rsidRPr="0081174A" w:rsidRDefault="008B2311" w:rsidP="00F414C7">
            <w:pPr>
              <w:tabs>
                <w:tab w:val="left" w:pos="284"/>
              </w:tabs>
              <w:spacing w:line="280" w:lineRule="atLeast"/>
              <w:rPr>
                <w:b/>
                <w:bCs/>
                <w:color w:val="000000"/>
                <w:lang w:eastAsia="lt-LT"/>
              </w:rPr>
            </w:pPr>
            <w:r w:rsidRPr="0081174A">
              <w:rPr>
                <w:b/>
                <w:bCs/>
                <w:color w:val="000000"/>
                <w:lang w:eastAsia="lt-LT"/>
              </w:rPr>
              <w:t>Registracijos data (EVA)</w:t>
            </w:r>
          </w:p>
          <w:p w14:paraId="79804DD7" w14:textId="77777777" w:rsidR="008B2311" w:rsidRPr="0081174A" w:rsidRDefault="008B2311" w:rsidP="00F414C7">
            <w:pPr>
              <w:tabs>
                <w:tab w:val="left" w:pos="284"/>
              </w:tabs>
              <w:spacing w:line="280" w:lineRule="atLeast"/>
              <w:rPr>
                <w:bCs/>
                <w:color w:val="000000"/>
                <w:lang w:eastAsia="lt-LT"/>
              </w:rPr>
            </w:pPr>
          </w:p>
        </w:tc>
        <w:tc>
          <w:tcPr>
            <w:tcW w:w="5096" w:type="dxa"/>
          </w:tcPr>
          <w:p w14:paraId="4A372B2A" w14:textId="77777777" w:rsidR="008B2311" w:rsidRPr="0081174A" w:rsidRDefault="008A786A" w:rsidP="00F414C7">
            <w:pPr>
              <w:pStyle w:val="ListParagraph"/>
              <w:spacing w:after="120"/>
              <w:ind w:left="0"/>
              <w:contextualSpacing w:val="0"/>
              <w:jc w:val="both"/>
              <w:rPr>
                <w:rStyle w:val="Style2"/>
              </w:rPr>
            </w:pPr>
            <w:sdt>
              <w:sdtPr>
                <w:rPr>
                  <w:color w:val="000000" w:themeColor="text1"/>
                  <w:sz w:val="32"/>
                  <w:shd w:val="clear" w:color="auto" w:fill="FFFFFF"/>
                  <w:lang w:eastAsia="en-GB"/>
                </w:rPr>
                <w:alias w:val="Nurodykite konkrečią dieną"/>
                <w:tag w:val="Nurodykite pradžios datą"/>
                <w:id w:val="423238108"/>
                <w:placeholder>
                  <w:docPart w:val="B514D13E29E191409236538E7BBD836F"/>
                </w:placeholder>
                <w15:color w:val="FFCC99"/>
                <w:date w:fullDate="2017-11-10T00:00:00Z">
                  <w:dateFormat w:val="yyyy 'm.' MMMM d 'd.'"/>
                  <w:lid w:val="lt-LT"/>
                  <w:storeMappedDataAs w:val="dateTime"/>
                  <w:calendar w:val="gregorian"/>
                </w:date>
              </w:sdtPr>
              <w:sdtEndPr/>
              <w:sdtContent>
                <w:r w:rsidR="008B2311" w:rsidRPr="0081174A">
                  <w:rPr>
                    <w:color w:val="000000" w:themeColor="text1"/>
                    <w:shd w:val="clear" w:color="auto" w:fill="FFFFFF"/>
                    <w:lang w:eastAsia="en-GB"/>
                  </w:rPr>
                  <w:t>2017 m. lapkričio 10 d.</w:t>
                </w:r>
              </w:sdtContent>
            </w:sdt>
          </w:p>
        </w:tc>
      </w:tr>
      <w:tr w:rsidR="008B2311" w:rsidRPr="0081174A" w14:paraId="44D6C7A5" w14:textId="77777777" w:rsidTr="00F414C7">
        <w:trPr>
          <w:trHeight w:val="1328"/>
        </w:trPr>
        <w:tc>
          <w:tcPr>
            <w:tcW w:w="705" w:type="dxa"/>
          </w:tcPr>
          <w:p w14:paraId="5CF78BBC" w14:textId="77777777" w:rsidR="008B2311" w:rsidRPr="0081174A" w:rsidRDefault="008B2311" w:rsidP="00F414C7">
            <w:pPr>
              <w:tabs>
                <w:tab w:val="left" w:pos="284"/>
              </w:tabs>
              <w:spacing w:line="280" w:lineRule="atLeast"/>
              <w:rPr>
                <w:rFonts w:eastAsia="Arial"/>
                <w:b/>
              </w:rPr>
            </w:pPr>
            <w:r w:rsidRPr="0081174A">
              <w:rPr>
                <w:rFonts w:eastAsia="Arial"/>
                <w:b/>
              </w:rPr>
              <w:t>1.3</w:t>
            </w:r>
          </w:p>
        </w:tc>
        <w:tc>
          <w:tcPr>
            <w:tcW w:w="4117" w:type="dxa"/>
          </w:tcPr>
          <w:p w14:paraId="1FB8A369" w14:textId="77777777" w:rsidR="008B2311" w:rsidRPr="0081174A" w:rsidRDefault="008B2311" w:rsidP="00F414C7">
            <w:pPr>
              <w:pStyle w:val="NoSpacing"/>
              <w:rPr>
                <w:rFonts w:ascii="Times New Roman" w:hAnsi="Times New Roman"/>
                <w:b/>
                <w:sz w:val="24"/>
                <w:szCs w:val="24"/>
              </w:rPr>
            </w:pPr>
            <w:r w:rsidRPr="0081174A">
              <w:rPr>
                <w:rFonts w:ascii="Times New Roman" w:hAnsi="Times New Roman"/>
                <w:b/>
                <w:sz w:val="24"/>
                <w:szCs w:val="24"/>
              </w:rPr>
              <w:t xml:space="preserve">Paraiškos tipas </w:t>
            </w:r>
          </w:p>
          <w:p w14:paraId="0961AD25" w14:textId="77777777" w:rsidR="008B2311" w:rsidRPr="0081174A" w:rsidRDefault="008B2311" w:rsidP="00F414C7">
            <w:pPr>
              <w:rPr>
                <w:b/>
              </w:rPr>
            </w:pPr>
            <w:r w:rsidRPr="0081174A">
              <w:rPr>
                <w:b/>
              </w:rPr>
              <w:t xml:space="preserve">(pagal </w:t>
            </w:r>
            <w:r w:rsidRPr="0081174A">
              <w:rPr>
                <w:b/>
                <w:shd w:val="clear" w:color="auto" w:fill="FFFFFF"/>
              </w:rPr>
              <w:t>vaistinio preparato registracijos tipą, įtvirtintą</w:t>
            </w:r>
            <w:r w:rsidRPr="0081174A">
              <w:rPr>
                <w:b/>
              </w:rPr>
              <w:t xml:space="preserve"> Direktyvos 2001/83/EB straipsniuose)</w:t>
            </w:r>
          </w:p>
          <w:p w14:paraId="033C0830" w14:textId="77777777" w:rsidR="008B2311" w:rsidRPr="0081174A" w:rsidRDefault="008B2311" w:rsidP="00F414C7">
            <w:pPr>
              <w:tabs>
                <w:tab w:val="left" w:pos="284"/>
              </w:tabs>
              <w:spacing w:line="280" w:lineRule="atLeast"/>
              <w:rPr>
                <w:b/>
                <w:bCs/>
                <w:color w:val="000000"/>
                <w:lang w:eastAsia="lt-LT"/>
              </w:rPr>
            </w:pPr>
          </w:p>
        </w:tc>
        <w:tc>
          <w:tcPr>
            <w:tcW w:w="5096" w:type="dxa"/>
          </w:tcPr>
          <w:p w14:paraId="3112BF34" w14:textId="77777777" w:rsidR="008B2311" w:rsidRPr="0081174A" w:rsidRDefault="008A786A" w:rsidP="00F414C7">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8B2311" w:rsidRPr="0081174A">
                  <w:rPr>
                    <w:rStyle w:val="Style2"/>
                    <w:rFonts w:ascii="MS Gothic" w:eastAsia="MS Gothic" w:hAnsi="MS Gothic" w:hint="eastAsia"/>
                  </w:rPr>
                  <w:t>☒</w:t>
                </w:r>
              </w:sdtContent>
            </w:sdt>
            <w:r w:rsidR="008B2311" w:rsidRPr="0081174A">
              <w:t xml:space="preserve"> 8.3 str. (pilna byla, pagrįsta savais tyrimais) </w:t>
            </w:r>
          </w:p>
          <w:p w14:paraId="373DF659" w14:textId="77777777" w:rsidR="008B2311" w:rsidRPr="0081174A" w:rsidRDefault="008A786A" w:rsidP="00F414C7">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8B2311" w:rsidRPr="0081174A">
                  <w:rPr>
                    <w:rStyle w:val="Style2"/>
                    <w:rFonts w:ascii="Segoe UI Symbol" w:eastAsia="MS Gothic" w:hAnsi="Segoe UI Symbol" w:cs="Segoe UI Symbol"/>
                  </w:rPr>
                  <w:t>☐</w:t>
                </w:r>
              </w:sdtContent>
            </w:sdt>
            <w:r w:rsidR="008B2311" w:rsidRPr="0081174A">
              <w:t xml:space="preserve"> 10 a str. (pripažintas medicininis vartojimas) </w:t>
            </w:r>
          </w:p>
          <w:p w14:paraId="5F20979C" w14:textId="77777777" w:rsidR="008B2311" w:rsidRPr="0081174A" w:rsidRDefault="008A786A" w:rsidP="00F414C7">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8B2311" w:rsidRPr="0081174A">
                  <w:rPr>
                    <w:rStyle w:val="Style2"/>
                    <w:rFonts w:ascii="MS Gothic" w:eastAsia="MS Gothic" w:hAnsi="MS Gothic" w:hint="eastAsia"/>
                  </w:rPr>
                  <w:t>☐</w:t>
                </w:r>
              </w:sdtContent>
            </w:sdt>
            <w:r w:rsidR="008B2311" w:rsidRPr="0081174A">
              <w:t xml:space="preserve"> 10.1 str. (generinis)</w:t>
            </w:r>
          </w:p>
          <w:p w14:paraId="00652F5E" w14:textId="77777777" w:rsidR="008B2311" w:rsidRPr="0081174A" w:rsidRDefault="008A786A" w:rsidP="00F414C7">
            <w:pPr>
              <w:rPr>
                <w:rStyle w:val="Style2"/>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8B2311" w:rsidRPr="0081174A">
                  <w:rPr>
                    <w:rStyle w:val="Style2"/>
                    <w:rFonts w:ascii="Segoe UI Symbol" w:eastAsia="MS Gothic" w:hAnsi="Segoe UI Symbol" w:cs="Segoe UI Symbol"/>
                  </w:rPr>
                  <w:t>☐</w:t>
                </w:r>
              </w:sdtContent>
            </w:sdt>
            <w:r w:rsidR="008B2311" w:rsidRPr="0081174A">
              <w:t xml:space="preserve"> 10.3 str. (hibridinis)</w:t>
            </w:r>
          </w:p>
        </w:tc>
      </w:tr>
      <w:tr w:rsidR="008B2311" w:rsidRPr="0081174A" w14:paraId="094D8E4C" w14:textId="77777777" w:rsidTr="00F414C7">
        <w:trPr>
          <w:trHeight w:val="1109"/>
        </w:trPr>
        <w:tc>
          <w:tcPr>
            <w:tcW w:w="705" w:type="dxa"/>
          </w:tcPr>
          <w:p w14:paraId="7EB5DC02" w14:textId="77777777" w:rsidR="008B2311" w:rsidRPr="0081174A" w:rsidRDefault="008B2311" w:rsidP="00F414C7">
            <w:pPr>
              <w:tabs>
                <w:tab w:val="left" w:pos="284"/>
              </w:tabs>
              <w:spacing w:line="280" w:lineRule="atLeast"/>
              <w:rPr>
                <w:rFonts w:eastAsia="Arial"/>
                <w:b/>
              </w:rPr>
            </w:pPr>
            <w:r w:rsidRPr="0081174A">
              <w:rPr>
                <w:rFonts w:eastAsia="Arial"/>
                <w:b/>
              </w:rPr>
              <w:t>1.4</w:t>
            </w:r>
          </w:p>
        </w:tc>
        <w:tc>
          <w:tcPr>
            <w:tcW w:w="4117" w:type="dxa"/>
          </w:tcPr>
          <w:p w14:paraId="21C62380" w14:textId="77777777" w:rsidR="008B2311" w:rsidRPr="0081174A" w:rsidRDefault="008B2311" w:rsidP="00F414C7">
            <w:pPr>
              <w:tabs>
                <w:tab w:val="left" w:pos="284"/>
              </w:tabs>
              <w:spacing w:line="280" w:lineRule="atLeast"/>
              <w:rPr>
                <w:b/>
                <w:bCs/>
                <w:color w:val="000000"/>
                <w:lang w:eastAsia="lt-LT"/>
              </w:rPr>
            </w:pPr>
            <w:r w:rsidRPr="0081174A">
              <w:rPr>
                <w:b/>
                <w:bCs/>
                <w:color w:val="000000"/>
                <w:lang w:eastAsia="lt-LT"/>
              </w:rPr>
              <w:t>Ar vaistinis preparatas įrašytas į Bendrijos retųjų vaistinių preparatų registrą?</w:t>
            </w:r>
          </w:p>
          <w:p w14:paraId="494CB932" w14:textId="77777777" w:rsidR="008B2311" w:rsidRPr="0081174A" w:rsidRDefault="008B2311" w:rsidP="00F414C7">
            <w:pPr>
              <w:tabs>
                <w:tab w:val="left" w:pos="284"/>
              </w:tabs>
              <w:spacing w:line="280" w:lineRule="atLeast"/>
              <w:rPr>
                <w:bCs/>
                <w:i/>
                <w:color w:val="000000"/>
                <w:lang w:eastAsia="lt-LT"/>
              </w:rPr>
            </w:pPr>
          </w:p>
          <w:p w14:paraId="1F6988E2" w14:textId="77777777" w:rsidR="008B2311" w:rsidRPr="0081174A" w:rsidRDefault="008B2311" w:rsidP="00F414C7">
            <w:pPr>
              <w:tabs>
                <w:tab w:val="left" w:pos="284"/>
              </w:tabs>
              <w:spacing w:line="280" w:lineRule="atLeast"/>
              <w:jc w:val="both"/>
              <w:rPr>
                <w:b/>
                <w:bCs/>
                <w:color w:val="000000"/>
                <w:sz w:val="22"/>
                <w:szCs w:val="22"/>
                <w:lang w:eastAsia="lt-LT"/>
              </w:rPr>
            </w:pPr>
          </w:p>
        </w:tc>
        <w:tc>
          <w:tcPr>
            <w:tcW w:w="5096" w:type="dxa"/>
          </w:tcPr>
          <w:p w14:paraId="2EB51826" w14:textId="77777777" w:rsidR="008B2311" w:rsidRPr="0081174A" w:rsidRDefault="008A786A" w:rsidP="00F414C7">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8B2311" w:rsidRPr="0081174A">
                  <w:rPr>
                    <w:rStyle w:val="Style2"/>
                    <w:rFonts w:ascii="Segoe UI Symbol" w:eastAsia="MS Gothic" w:hAnsi="Segoe UI Symbol" w:cs="Segoe UI Symbol"/>
                  </w:rPr>
                  <w:t>☐</w:t>
                </w:r>
              </w:sdtContent>
            </w:sdt>
            <w:r w:rsidR="008B2311" w:rsidRPr="0081174A">
              <w:t xml:space="preserve"> Taip</w:t>
            </w:r>
          </w:p>
          <w:p w14:paraId="746C3FAB" w14:textId="77777777" w:rsidR="008B2311" w:rsidRPr="0081174A" w:rsidRDefault="008A786A" w:rsidP="00F414C7">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8B2311" w:rsidRPr="0081174A">
                  <w:rPr>
                    <w:rStyle w:val="Style2"/>
                    <w:rFonts w:ascii="MS Gothic" w:eastAsia="MS Gothic" w:hAnsi="MS Gothic" w:hint="eastAsia"/>
                  </w:rPr>
                  <w:t>☒</w:t>
                </w:r>
              </w:sdtContent>
            </w:sdt>
            <w:r w:rsidR="008B2311" w:rsidRPr="0081174A">
              <w:t xml:space="preserve"> Ne</w:t>
            </w:r>
          </w:p>
          <w:p w14:paraId="77D38977" w14:textId="77777777" w:rsidR="008B2311" w:rsidRPr="0081174A" w:rsidRDefault="008A786A" w:rsidP="00F414C7">
            <w:pPr>
              <w:rPr>
                <w:rFonts w:eastAsia="Arial"/>
                <w:b/>
              </w:rPr>
            </w:pPr>
            <w:sdt>
              <w:sdtPr>
                <w:alias w:val="Nurodykite konkrečią dieną"/>
                <w:tag w:val="Nurodykite pradžios datą"/>
                <w:id w:val="693498901"/>
                <w:placeholder>
                  <w:docPart w:val="BF0A31848C56EB4099824EADB2FAEB16"/>
                </w:placeholder>
                <w:showingPlcHdr/>
                <w15:color w:val="FFCC99"/>
                <w:date w:fullDate="2022-05-18T00:00:00Z">
                  <w:dateFormat w:val="yyyy 'm.' MMMM d 'd.'"/>
                  <w:lid w:val="lt-LT"/>
                  <w:storeMappedDataAs w:val="dateTime"/>
                  <w:calendar w:val="gregorian"/>
                </w:date>
              </w:sdtPr>
              <w:sdtEndPr/>
              <w:sdtContent>
                <w:r w:rsidR="008B2311" w:rsidRPr="0081174A">
                  <w:rPr>
                    <w:rStyle w:val="PlaceholderText"/>
                  </w:rPr>
                  <w:t>Click here to enter a date.</w:t>
                </w:r>
              </w:sdtContent>
            </w:sdt>
          </w:p>
        </w:tc>
      </w:tr>
      <w:tr w:rsidR="008B2311" w:rsidRPr="0081174A" w14:paraId="662C3FE7" w14:textId="77777777" w:rsidTr="00F414C7">
        <w:trPr>
          <w:trHeight w:val="958"/>
        </w:trPr>
        <w:tc>
          <w:tcPr>
            <w:tcW w:w="705" w:type="dxa"/>
            <w:tcBorders>
              <w:bottom w:val="single" w:sz="4" w:space="0" w:color="auto"/>
            </w:tcBorders>
          </w:tcPr>
          <w:p w14:paraId="7F58BB05" w14:textId="77777777" w:rsidR="008B2311" w:rsidRPr="0081174A" w:rsidRDefault="008B2311" w:rsidP="00F414C7">
            <w:pPr>
              <w:tabs>
                <w:tab w:val="left" w:pos="284"/>
              </w:tabs>
              <w:spacing w:line="280" w:lineRule="atLeast"/>
              <w:rPr>
                <w:rFonts w:eastAsia="Arial"/>
                <w:b/>
              </w:rPr>
            </w:pPr>
            <w:r w:rsidRPr="0081174A">
              <w:rPr>
                <w:rFonts w:eastAsia="Arial"/>
                <w:b/>
              </w:rPr>
              <w:t>1.5</w:t>
            </w:r>
          </w:p>
        </w:tc>
        <w:tc>
          <w:tcPr>
            <w:tcW w:w="4117" w:type="dxa"/>
            <w:tcBorders>
              <w:bottom w:val="single" w:sz="4" w:space="0" w:color="auto"/>
            </w:tcBorders>
          </w:tcPr>
          <w:p w14:paraId="0A0B9E9D" w14:textId="77777777" w:rsidR="008B2311" w:rsidRPr="0081174A" w:rsidRDefault="008B2311" w:rsidP="00F414C7">
            <w:pPr>
              <w:tabs>
                <w:tab w:val="left" w:pos="284"/>
              </w:tabs>
              <w:spacing w:line="280" w:lineRule="atLeast"/>
              <w:rPr>
                <w:b/>
                <w:bCs/>
                <w:color w:val="000000"/>
                <w:lang w:eastAsia="lt-LT"/>
              </w:rPr>
            </w:pPr>
            <w:r w:rsidRPr="0081174A">
              <w:rPr>
                <w:b/>
                <w:bCs/>
                <w:color w:val="000000"/>
                <w:lang w:eastAsia="lt-LT"/>
              </w:rPr>
              <w:t>Pareiškėjo teikiama (-os) kompensuoti preparato indikacija (-os)</w:t>
            </w:r>
          </w:p>
          <w:p w14:paraId="7AD0A0CF" w14:textId="77777777" w:rsidR="008B2311" w:rsidRPr="0081174A" w:rsidRDefault="008B2311" w:rsidP="00F414C7">
            <w:pPr>
              <w:tabs>
                <w:tab w:val="left" w:pos="284"/>
              </w:tabs>
              <w:spacing w:line="280" w:lineRule="atLeast"/>
              <w:rPr>
                <w:b/>
                <w:bCs/>
                <w:color w:val="000000"/>
                <w:lang w:eastAsia="lt-LT"/>
              </w:rPr>
            </w:pPr>
            <w:r w:rsidRPr="0081174A">
              <w:rPr>
                <w:b/>
                <w:bCs/>
                <w:color w:val="000000"/>
                <w:lang w:eastAsia="lt-LT"/>
              </w:rPr>
              <w:t xml:space="preserve">Kodas pagal TLK-10 AM  </w:t>
            </w:r>
          </w:p>
        </w:tc>
        <w:tc>
          <w:tcPr>
            <w:tcW w:w="5096" w:type="dxa"/>
            <w:tcBorders>
              <w:bottom w:val="single" w:sz="4" w:space="0" w:color="auto"/>
            </w:tcBorders>
          </w:tcPr>
          <w:p w14:paraId="3A1C96AD" w14:textId="2E19062B" w:rsidR="008B2311" w:rsidRPr="0081174A" w:rsidRDefault="008B2311" w:rsidP="00F414C7">
            <w:pPr>
              <w:jc w:val="both"/>
            </w:pPr>
            <w:r w:rsidRPr="0081174A">
              <w:t xml:space="preserve">Tremfya, vartojamas vienas ar derinyje su metotreksatu (MTX), yra skirtas aktyvaus psoriazinio artrito gydymui suaugusiems pacientams, kuriems pasireiškė nepakankamas atsakas į anksčiau taikytą gydymą ligos eigą keičiančiais vaistiniais preparatais nuo reumato (LEKVNR) arba kurie tokio gydymo netoleravo; </w:t>
            </w:r>
          </w:p>
          <w:p w14:paraId="715F6C2B" w14:textId="77777777" w:rsidR="008B2311" w:rsidRPr="0081174A" w:rsidRDefault="008B2311" w:rsidP="00F414C7">
            <w:pPr>
              <w:jc w:val="both"/>
            </w:pPr>
          </w:p>
          <w:p w14:paraId="36D6B6B6" w14:textId="74C5A5A7" w:rsidR="008B2311" w:rsidRPr="0081174A" w:rsidRDefault="008B2311" w:rsidP="008B2311">
            <w:pPr>
              <w:jc w:val="both"/>
            </w:pPr>
            <w:r w:rsidRPr="0081174A">
              <w:t>TLK-10 AM M07.</w:t>
            </w:r>
          </w:p>
        </w:tc>
      </w:tr>
      <w:tr w:rsidR="008B2311" w:rsidRPr="0081174A" w14:paraId="34D65676"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4A9C6E50" w14:textId="77777777" w:rsidR="008B2311" w:rsidRPr="0081174A" w:rsidRDefault="008B2311" w:rsidP="00F414C7">
            <w:pPr>
              <w:tabs>
                <w:tab w:val="left" w:pos="284"/>
              </w:tabs>
              <w:spacing w:line="280" w:lineRule="atLeast"/>
              <w:rPr>
                <w:rFonts w:eastAsia="Arial"/>
                <w:b/>
              </w:rPr>
            </w:pPr>
            <w:r w:rsidRPr="0081174A">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6E40D464" w14:textId="79F65978" w:rsidR="008B2311" w:rsidRPr="0081174A" w:rsidRDefault="0081174A" w:rsidP="00F414C7">
            <w:pPr>
              <w:tabs>
                <w:tab w:val="left" w:pos="284"/>
              </w:tabs>
              <w:spacing w:line="280" w:lineRule="atLeast"/>
              <w:rPr>
                <w:bCs/>
                <w:color w:val="000000"/>
                <w:u w:val="single"/>
                <w:lang w:eastAsia="lt-LT"/>
              </w:rPr>
            </w:pPr>
            <w:r w:rsidRPr="0081174A">
              <w:rPr>
                <w:b/>
                <w:bCs/>
                <w:color w:val="000000"/>
                <w:lang w:eastAsia="lt-LT"/>
              </w:rPr>
              <w:t>T</w:t>
            </w:r>
            <w:r w:rsidR="008B2311" w:rsidRPr="0081174A">
              <w:rPr>
                <w:b/>
                <w:bCs/>
                <w:color w:val="000000"/>
                <w:lang w:eastAsia="lt-LT"/>
              </w:rPr>
              <w:t xml:space="preserve">eikiamos skyrimo sąlygos </w:t>
            </w:r>
          </w:p>
        </w:tc>
        <w:tc>
          <w:tcPr>
            <w:tcW w:w="5096" w:type="dxa"/>
            <w:tcBorders>
              <w:top w:val="single" w:sz="4" w:space="0" w:color="auto"/>
              <w:left w:val="single" w:sz="4" w:space="0" w:color="auto"/>
              <w:bottom w:val="single" w:sz="4" w:space="0" w:color="auto"/>
              <w:right w:val="single" w:sz="4" w:space="0" w:color="auto"/>
            </w:tcBorders>
          </w:tcPr>
          <w:p w14:paraId="4820FEA8" w14:textId="77777777" w:rsidR="008B2311" w:rsidRPr="0081174A" w:rsidRDefault="008B2311" w:rsidP="00F414C7">
            <w:pPr>
              <w:spacing w:line="276" w:lineRule="auto"/>
              <w:jc w:val="both"/>
            </w:pPr>
            <w:r w:rsidRPr="0081174A">
              <w:t xml:space="preserve">Tremfya, vartojamas vienas ar derinyje su metotreksatu (MTX), yra skirtas aktyvaus psoriazinio artrito gydymui suaugusiems </w:t>
            </w:r>
            <w:r w:rsidRPr="0081174A">
              <w:lastRenderedPageBreak/>
              <w:t>pacientams, kuriems pasireiškė nepakankamas atsakas į anksčiau taikytą gydymą ligos eigą modifikuojančiu biologiniu vaistiniu preparatu nuo reumato arba kurie tokio gydymo netoleravo.</w:t>
            </w:r>
          </w:p>
        </w:tc>
      </w:tr>
      <w:tr w:rsidR="008B2311" w:rsidRPr="00D05364" w14:paraId="39E8577B"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1DBFC822" w14:textId="77777777" w:rsidR="008B2311" w:rsidRPr="0081174A" w:rsidRDefault="008B2311" w:rsidP="00F414C7">
            <w:pPr>
              <w:tabs>
                <w:tab w:val="left" w:pos="284"/>
              </w:tabs>
              <w:spacing w:line="280" w:lineRule="atLeast"/>
              <w:rPr>
                <w:rFonts w:eastAsia="Arial"/>
                <w:b/>
              </w:rPr>
            </w:pPr>
            <w:r w:rsidRPr="0081174A">
              <w:rPr>
                <w:rFonts w:eastAsia="Arial"/>
                <w:b/>
              </w:rPr>
              <w:lastRenderedPageBreak/>
              <w:t>1.7</w:t>
            </w:r>
          </w:p>
        </w:tc>
        <w:tc>
          <w:tcPr>
            <w:tcW w:w="4117" w:type="dxa"/>
            <w:tcBorders>
              <w:top w:val="single" w:sz="4" w:space="0" w:color="auto"/>
              <w:left w:val="single" w:sz="4" w:space="0" w:color="auto"/>
              <w:bottom w:val="single" w:sz="4" w:space="0" w:color="auto"/>
              <w:right w:val="single" w:sz="4" w:space="0" w:color="auto"/>
            </w:tcBorders>
          </w:tcPr>
          <w:p w14:paraId="616D7CF8" w14:textId="0A2028A0" w:rsidR="008B2311" w:rsidRPr="0081174A" w:rsidRDefault="0081174A" w:rsidP="00F414C7">
            <w:pPr>
              <w:tabs>
                <w:tab w:val="left" w:pos="284"/>
              </w:tabs>
              <w:spacing w:line="280" w:lineRule="atLeast"/>
              <w:rPr>
                <w:bCs/>
                <w:color w:val="000000"/>
                <w:lang w:eastAsia="lt-LT"/>
              </w:rPr>
            </w:pPr>
            <w:r w:rsidRPr="0081174A">
              <w:rPr>
                <w:b/>
              </w:rPr>
              <w:t>Palyginamasis gydymas</w:t>
            </w:r>
          </w:p>
        </w:tc>
        <w:tc>
          <w:tcPr>
            <w:tcW w:w="5096" w:type="dxa"/>
            <w:tcBorders>
              <w:top w:val="single" w:sz="4" w:space="0" w:color="auto"/>
              <w:left w:val="single" w:sz="4" w:space="0" w:color="auto"/>
              <w:bottom w:val="single" w:sz="4" w:space="0" w:color="auto"/>
              <w:right w:val="single" w:sz="4" w:space="0" w:color="auto"/>
            </w:tcBorders>
          </w:tcPr>
          <w:p w14:paraId="400278FD" w14:textId="6B3C2750" w:rsidR="008B2311" w:rsidRPr="0081174A" w:rsidRDefault="0081174A" w:rsidP="00F414C7">
            <w:pPr>
              <w:rPr>
                <w:rStyle w:val="Style2"/>
                <w:sz w:val="24"/>
              </w:rPr>
            </w:pPr>
            <w:r w:rsidRPr="0081174A">
              <w:rPr>
                <w:rStyle w:val="Style2"/>
                <w:sz w:val="24"/>
              </w:rPr>
              <w:t>Sekukinumabas</w:t>
            </w:r>
          </w:p>
        </w:tc>
      </w:tr>
    </w:tbl>
    <w:p w14:paraId="2ACFCA02" w14:textId="6E01D2C5" w:rsidR="008B2311" w:rsidRDefault="008B2311" w:rsidP="00E03C3F">
      <w:pPr>
        <w:pStyle w:val="ListParagraph"/>
        <w:tabs>
          <w:tab w:val="left" w:pos="426"/>
        </w:tabs>
        <w:ind w:left="0"/>
        <w:rPr>
          <w:b/>
          <w:bCs/>
          <w:caps/>
        </w:rPr>
      </w:pPr>
    </w:p>
    <w:p w14:paraId="1948C8BA" w14:textId="77777777" w:rsidR="008B2311" w:rsidRDefault="008B2311" w:rsidP="00E03C3F">
      <w:pPr>
        <w:pStyle w:val="ListParagraph"/>
        <w:tabs>
          <w:tab w:val="left" w:pos="426"/>
        </w:tabs>
        <w:ind w:left="0"/>
        <w:rPr>
          <w:b/>
          <w:bCs/>
          <w:caps/>
        </w:rPr>
      </w:pPr>
    </w:p>
    <w:p w14:paraId="2871CA7F" w14:textId="2370BDDB" w:rsidR="00F70C9E" w:rsidRPr="00177C8C" w:rsidRDefault="00F70C9E" w:rsidP="00880A44">
      <w:pPr>
        <w:spacing w:line="276" w:lineRule="auto"/>
        <w:jc w:val="both"/>
        <w:rPr>
          <w:rFonts w:eastAsia="Arial"/>
          <w:b/>
        </w:rPr>
      </w:pPr>
      <w:r w:rsidRPr="0081174A">
        <w:rPr>
          <w:rFonts w:eastAsia="Arial"/>
          <w:b/>
        </w:rPr>
        <w:t>1.8</w:t>
      </w:r>
      <w:r w:rsidRPr="00177C8C">
        <w:rPr>
          <w:rFonts w:eastAsia="Arial"/>
          <w:b/>
        </w:rPr>
        <w:t xml:space="preserve"> Kitų </w:t>
      </w:r>
      <w:r w:rsidR="00DF583C">
        <w:rPr>
          <w:rFonts w:eastAsia="Arial"/>
          <w:b/>
        </w:rPr>
        <w:t xml:space="preserve">valstybių </w:t>
      </w:r>
      <w:r>
        <w:rPr>
          <w:rFonts w:eastAsia="Arial"/>
          <w:b/>
        </w:rPr>
        <w:t xml:space="preserve">atsakingų institucijų atlikto </w:t>
      </w:r>
      <w:r w:rsidR="00DF583C">
        <w:rPr>
          <w:rFonts w:eastAsia="Arial"/>
          <w:b/>
        </w:rPr>
        <w:t>Sveikatos technologijų vertinimo (toliau – STV)</w:t>
      </w:r>
      <w:r w:rsidRPr="00177C8C">
        <w:rPr>
          <w:rFonts w:eastAsia="Arial"/>
          <w:b/>
        </w:rPr>
        <w:t xml:space="preserve"> išvados</w:t>
      </w:r>
    </w:p>
    <w:p w14:paraId="30721FDD" w14:textId="77777777" w:rsidR="00F70C9E" w:rsidRDefault="00F70C9E" w:rsidP="00F70C9E">
      <w:pPr>
        <w:spacing w:line="276" w:lineRule="auto"/>
        <w:rPr>
          <w:rFonts w:eastAsia="Arial"/>
        </w:rPr>
      </w:pPr>
    </w:p>
    <w:tbl>
      <w:tblPr>
        <w:tblStyle w:val="TableGrid"/>
        <w:tblW w:w="9880" w:type="dxa"/>
        <w:tblLook w:val="04A0" w:firstRow="1" w:lastRow="0" w:firstColumn="1" w:lastColumn="0" w:noHBand="0" w:noVBand="1"/>
      </w:tblPr>
      <w:tblGrid>
        <w:gridCol w:w="2848"/>
        <w:gridCol w:w="1863"/>
        <w:gridCol w:w="2517"/>
        <w:gridCol w:w="2652"/>
      </w:tblGrid>
      <w:tr w:rsidR="008C223C" w:rsidRPr="00D05364" w14:paraId="3131A298" w14:textId="77777777" w:rsidTr="0081174A">
        <w:trPr>
          <w:trHeight w:val="937"/>
        </w:trPr>
        <w:tc>
          <w:tcPr>
            <w:tcW w:w="2848" w:type="dxa"/>
          </w:tcPr>
          <w:p w14:paraId="7B988725" w14:textId="77777777" w:rsidR="008C223C" w:rsidRPr="00D05364" w:rsidRDefault="008C223C" w:rsidP="00F414C7">
            <w:pPr>
              <w:spacing w:line="276" w:lineRule="auto"/>
              <w:rPr>
                <w:rFonts w:eastAsia="Arial"/>
              </w:rPr>
            </w:pPr>
            <w:r w:rsidRPr="00D05364">
              <w:rPr>
                <w:rFonts w:eastAsia="Arial"/>
              </w:rPr>
              <w:t>STV agentūros pavadinimas, šalis</w:t>
            </w:r>
          </w:p>
        </w:tc>
        <w:tc>
          <w:tcPr>
            <w:tcW w:w="1863" w:type="dxa"/>
          </w:tcPr>
          <w:p w14:paraId="258595D2" w14:textId="77777777" w:rsidR="008C223C" w:rsidRPr="00D05364" w:rsidRDefault="008C223C" w:rsidP="00F414C7">
            <w:pPr>
              <w:spacing w:line="276" w:lineRule="auto"/>
              <w:rPr>
                <w:rFonts w:eastAsia="Arial"/>
              </w:rPr>
            </w:pPr>
            <w:r w:rsidRPr="00D05364">
              <w:rPr>
                <w:rFonts w:eastAsia="Arial"/>
              </w:rPr>
              <w:t>STV vertinimas atliktas</w:t>
            </w:r>
          </w:p>
        </w:tc>
        <w:tc>
          <w:tcPr>
            <w:tcW w:w="2517" w:type="dxa"/>
          </w:tcPr>
          <w:p w14:paraId="10D16B0A" w14:textId="77777777" w:rsidR="008C223C" w:rsidRPr="00D05364" w:rsidRDefault="008C223C" w:rsidP="00F414C7">
            <w:pPr>
              <w:spacing w:line="276" w:lineRule="auto"/>
              <w:rPr>
                <w:rFonts w:eastAsia="Arial"/>
              </w:rPr>
            </w:pPr>
            <w:r w:rsidRPr="00D05364">
              <w:rPr>
                <w:rFonts w:eastAsia="Arial"/>
              </w:rPr>
              <w:t>Klinikinio vertinimo išvada</w:t>
            </w:r>
          </w:p>
        </w:tc>
        <w:tc>
          <w:tcPr>
            <w:tcW w:w="2652" w:type="dxa"/>
          </w:tcPr>
          <w:p w14:paraId="4D0418A0" w14:textId="77777777" w:rsidR="008C223C" w:rsidRPr="00D05364" w:rsidRDefault="008C223C" w:rsidP="00F414C7">
            <w:pPr>
              <w:spacing w:line="276" w:lineRule="auto"/>
              <w:rPr>
                <w:rFonts w:eastAsia="Arial"/>
              </w:rPr>
            </w:pPr>
            <w:r w:rsidRPr="004C2C4B">
              <w:rPr>
                <w:rFonts w:eastAsia="Arial"/>
              </w:rPr>
              <w:t>Farmakoekonominio vertinimo išvada</w:t>
            </w:r>
          </w:p>
        </w:tc>
      </w:tr>
      <w:tr w:rsidR="008C223C" w:rsidRPr="00D05364" w14:paraId="7BC249DB" w14:textId="77777777" w:rsidTr="0081174A">
        <w:trPr>
          <w:trHeight w:val="1790"/>
        </w:trPr>
        <w:tc>
          <w:tcPr>
            <w:tcW w:w="2848" w:type="dxa"/>
          </w:tcPr>
          <w:p w14:paraId="58376D58" w14:textId="77777777" w:rsidR="008C223C" w:rsidRPr="00D05364" w:rsidRDefault="008C223C" w:rsidP="00F414C7">
            <w:pPr>
              <w:autoSpaceDE w:val="0"/>
              <w:autoSpaceDN w:val="0"/>
              <w:adjustRightInd w:val="0"/>
              <w:rPr>
                <w:bCs/>
              </w:rPr>
            </w:pPr>
            <w:r w:rsidRPr="00D05364">
              <w:rPr>
                <w:bCs/>
              </w:rPr>
              <w:t>Nacionalinis sveikatos ir klinikinės kompetencijos institutas, Didžioji Britanija</w:t>
            </w:r>
          </w:p>
          <w:p w14:paraId="616AB7C9" w14:textId="77777777" w:rsidR="008C223C" w:rsidRPr="00D05364" w:rsidRDefault="008C223C" w:rsidP="00F414C7">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863" w:type="dxa"/>
          </w:tcPr>
          <w:p w14:paraId="56198CA9" w14:textId="77777777" w:rsidR="008C223C" w:rsidRPr="00D05364" w:rsidRDefault="008A786A" w:rsidP="00F414C7">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8C223C">
                  <w:rPr>
                    <w:rStyle w:val="Style2"/>
                    <w:rFonts w:ascii="MS Gothic" w:eastAsia="MS Gothic" w:hAnsi="MS Gothic" w:hint="eastAsia"/>
                  </w:rPr>
                  <w:t>☒</w:t>
                </w:r>
              </w:sdtContent>
            </w:sdt>
            <w:r w:rsidR="008C223C" w:rsidRPr="00D05364">
              <w:t xml:space="preserve"> Taip</w:t>
            </w:r>
          </w:p>
          <w:p w14:paraId="2D3605CA" w14:textId="77777777" w:rsidR="008C223C" w:rsidRPr="00D05364" w:rsidRDefault="008A786A" w:rsidP="00F414C7">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8C223C">
                  <w:rPr>
                    <w:rStyle w:val="Style2"/>
                    <w:rFonts w:ascii="MS Gothic" w:eastAsia="MS Gothic" w:hAnsi="MS Gothic" w:hint="eastAsia"/>
                  </w:rPr>
                  <w:t>☐</w:t>
                </w:r>
              </w:sdtContent>
            </w:sdt>
            <w:r w:rsidR="008C223C" w:rsidRPr="00D05364">
              <w:t xml:space="preserve"> Ne</w:t>
            </w:r>
          </w:p>
          <w:p w14:paraId="0C88DA6C" w14:textId="77777777" w:rsidR="008C223C" w:rsidRPr="00D05364" w:rsidRDefault="008A786A" w:rsidP="00F414C7">
            <w:pPr>
              <w:rPr>
                <w:rFonts w:eastAsia="Arial"/>
              </w:rPr>
            </w:pPr>
            <w:sdt>
              <w:sdtPr>
                <w:alias w:val="Nurodykite konkrečią dieną"/>
                <w:tag w:val="Nurodykite pradžios datą"/>
                <w:id w:val="922837954"/>
                <w:placeholder>
                  <w:docPart w:val="DC49282196F03F47BE5129E2E27666BA"/>
                </w:placeholder>
                <w15:color w:val="FFCC99"/>
                <w:date>
                  <w:dateFormat w:val="yyyy 'm.' MMMM d 'd.'"/>
                  <w:lid w:val="lt-LT"/>
                  <w:storeMappedDataAs w:val="dateTime"/>
                  <w:calendar w:val="gregorian"/>
                </w:date>
              </w:sdtPr>
              <w:sdtEndPr/>
              <w:sdtContent>
                <w:r w:rsidR="008C223C" w:rsidRPr="008C223C">
                  <w:t>2022 m. rugpjūčio 10 d.</w:t>
                </w:r>
              </w:sdtContent>
            </w:sdt>
          </w:p>
        </w:tc>
        <w:tc>
          <w:tcPr>
            <w:tcW w:w="2517" w:type="dxa"/>
          </w:tcPr>
          <w:p w14:paraId="79301202" w14:textId="77777777" w:rsidR="008C223C" w:rsidRPr="0081174A" w:rsidRDefault="008C223C" w:rsidP="00F414C7">
            <w:pPr>
              <w:spacing w:line="276" w:lineRule="auto"/>
              <w:rPr>
                <w:rFonts w:eastAsia="Arial"/>
                <w:sz w:val="20"/>
                <w:szCs w:val="20"/>
              </w:rPr>
            </w:pPr>
            <w:r w:rsidRPr="0081174A">
              <w:rPr>
                <w:rFonts w:eastAsia="Arial"/>
                <w:sz w:val="20"/>
                <w:szCs w:val="20"/>
              </w:rPr>
              <w:t>Rekomenduojama kompensuoti kaip dar vieną gydymo alternatyvą pas sergantiems pacientams, kuriems jau anksčiau buvo taikyta gydymas biologine terapija, jeigu kompanija pateiks komercinį susitarimą.</w:t>
            </w:r>
          </w:p>
        </w:tc>
        <w:tc>
          <w:tcPr>
            <w:tcW w:w="2652" w:type="dxa"/>
          </w:tcPr>
          <w:p w14:paraId="442FE072" w14:textId="4D999CDA" w:rsidR="008C223C" w:rsidRPr="0081174A" w:rsidRDefault="0081174A" w:rsidP="0081174A">
            <w:pPr>
              <w:spacing w:line="276" w:lineRule="auto"/>
              <w:rPr>
                <w:rFonts w:eastAsia="Arial"/>
                <w:sz w:val="20"/>
                <w:szCs w:val="20"/>
              </w:rPr>
            </w:pPr>
            <w:r w:rsidRPr="0081174A">
              <w:rPr>
                <w:rFonts w:eastAsia="Arial"/>
                <w:sz w:val="20"/>
                <w:szCs w:val="20"/>
              </w:rPr>
              <w:t>Rekomenduojama kompensuoti pagal komercinį susitarimą.</w:t>
            </w:r>
          </w:p>
        </w:tc>
      </w:tr>
      <w:tr w:rsidR="008C223C" w:rsidRPr="00D05364" w14:paraId="5DE842D5" w14:textId="77777777" w:rsidTr="0081174A">
        <w:trPr>
          <w:trHeight w:val="1569"/>
        </w:trPr>
        <w:tc>
          <w:tcPr>
            <w:tcW w:w="2848" w:type="dxa"/>
          </w:tcPr>
          <w:p w14:paraId="67984B98" w14:textId="77777777" w:rsidR="008C223C" w:rsidRPr="00D05364" w:rsidRDefault="008C223C" w:rsidP="00F414C7">
            <w:pPr>
              <w:spacing w:line="276" w:lineRule="auto"/>
              <w:rPr>
                <w:rFonts w:eastAsia="Arial"/>
              </w:rPr>
            </w:pPr>
            <w:r w:rsidRPr="00D05364">
              <w:rPr>
                <w:rFonts w:eastAsia="Arial"/>
              </w:rPr>
              <w:t>Kanados sveikatos technologijų agentūra</w:t>
            </w:r>
          </w:p>
          <w:p w14:paraId="5898FBEE" w14:textId="77777777" w:rsidR="008C223C" w:rsidRPr="00D05364" w:rsidRDefault="008C223C" w:rsidP="00F414C7">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863" w:type="dxa"/>
          </w:tcPr>
          <w:p w14:paraId="0005C104" w14:textId="77777777" w:rsidR="008C223C" w:rsidRPr="00D05364" w:rsidRDefault="008A786A" w:rsidP="00F414C7">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8C223C">
                  <w:rPr>
                    <w:rStyle w:val="Style2"/>
                    <w:rFonts w:ascii="MS Gothic" w:eastAsia="MS Gothic" w:hAnsi="MS Gothic" w:hint="eastAsia"/>
                  </w:rPr>
                  <w:t>☒</w:t>
                </w:r>
              </w:sdtContent>
            </w:sdt>
            <w:r w:rsidR="008C223C" w:rsidRPr="00D05364">
              <w:t xml:space="preserve"> Taip</w:t>
            </w:r>
          </w:p>
          <w:p w14:paraId="77CA6AFA" w14:textId="77777777" w:rsidR="008C223C" w:rsidRPr="00D05364" w:rsidRDefault="008A786A" w:rsidP="00F414C7">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8C223C">
                  <w:rPr>
                    <w:rStyle w:val="Style2"/>
                    <w:rFonts w:ascii="MS Gothic" w:eastAsia="MS Gothic" w:hAnsi="MS Gothic" w:hint="eastAsia"/>
                  </w:rPr>
                  <w:t>☐</w:t>
                </w:r>
              </w:sdtContent>
            </w:sdt>
            <w:r w:rsidR="008C223C" w:rsidRPr="00D05364">
              <w:t xml:space="preserve"> Ne</w:t>
            </w:r>
          </w:p>
          <w:p w14:paraId="2B76DF53" w14:textId="77777777" w:rsidR="008C223C" w:rsidRPr="00D05364" w:rsidRDefault="008A786A" w:rsidP="00F414C7">
            <w:pPr>
              <w:spacing w:line="276" w:lineRule="auto"/>
              <w:rPr>
                <w:rFonts w:eastAsia="Arial"/>
              </w:rPr>
            </w:pPr>
            <w:sdt>
              <w:sdtPr>
                <w:alias w:val="Nurodykite konkrečią dieną"/>
                <w:tag w:val="Nurodykite pradžios datą"/>
                <w:id w:val="1072468416"/>
                <w:placeholder>
                  <w:docPart w:val="A763FD79C15BD4489224F45586FF694D"/>
                </w:placeholder>
                <w15:color w:val="FFCC99"/>
                <w:date w:fullDate="2023-02-23T00:00:00Z">
                  <w:dateFormat w:val="yyyy 'm.' MMMM d 'd.'"/>
                  <w:lid w:val="lt-LT"/>
                  <w:storeMappedDataAs w:val="dateTime"/>
                  <w:calendar w:val="gregorian"/>
                </w:date>
              </w:sdtPr>
              <w:sdtEndPr/>
              <w:sdtContent>
                <w:r w:rsidR="008C223C">
                  <w:t>2023 m. vasario 23 d.</w:t>
                </w:r>
              </w:sdtContent>
            </w:sdt>
          </w:p>
        </w:tc>
        <w:tc>
          <w:tcPr>
            <w:tcW w:w="2517" w:type="dxa"/>
          </w:tcPr>
          <w:p w14:paraId="0A624727" w14:textId="77777777" w:rsidR="008C223C" w:rsidRPr="00BF29CF" w:rsidRDefault="008C223C" w:rsidP="00F414C7">
            <w:pPr>
              <w:spacing w:line="276" w:lineRule="auto"/>
              <w:rPr>
                <w:rFonts w:eastAsia="Arial"/>
                <w:sz w:val="20"/>
                <w:szCs w:val="20"/>
              </w:rPr>
            </w:pPr>
            <w:r w:rsidRPr="00BF29CF">
              <w:rPr>
                <w:rFonts w:eastAsia="Arial"/>
                <w:sz w:val="20"/>
                <w:szCs w:val="20"/>
              </w:rPr>
              <w:t>Tiesioginio palyginimo su kitu aktyviu pas gydymu trūksta. Rekomenduojama kompensuoti, jeigu bus išpildyti kriterijai dėl kainos.</w:t>
            </w:r>
          </w:p>
        </w:tc>
        <w:tc>
          <w:tcPr>
            <w:tcW w:w="2652" w:type="dxa"/>
          </w:tcPr>
          <w:p w14:paraId="77504808" w14:textId="44CD39C6" w:rsidR="008C223C" w:rsidRPr="00D05364" w:rsidRDefault="0081174A" w:rsidP="00F414C7">
            <w:pPr>
              <w:spacing w:line="276" w:lineRule="auto"/>
              <w:rPr>
                <w:rFonts w:eastAsia="Arial"/>
              </w:rPr>
            </w:pPr>
            <w:r w:rsidRPr="00BF29CF">
              <w:rPr>
                <w:rFonts w:eastAsia="Arial"/>
                <w:sz w:val="20"/>
                <w:szCs w:val="20"/>
              </w:rPr>
              <w:t>Rekomenduojama kompensuoti, jeigu bus išpildyti kriterijai dėl kainos.</w:t>
            </w:r>
          </w:p>
        </w:tc>
      </w:tr>
      <w:tr w:rsidR="008C223C" w:rsidRPr="00D05364" w14:paraId="7E8AF159" w14:textId="77777777" w:rsidTr="0081174A">
        <w:trPr>
          <w:trHeight w:val="1954"/>
        </w:trPr>
        <w:tc>
          <w:tcPr>
            <w:tcW w:w="2848" w:type="dxa"/>
          </w:tcPr>
          <w:p w14:paraId="3258BCD2" w14:textId="77777777" w:rsidR="008C223C" w:rsidRPr="00D05364" w:rsidRDefault="008C223C" w:rsidP="00F414C7">
            <w:pPr>
              <w:spacing w:line="276" w:lineRule="auto"/>
              <w:rPr>
                <w:rFonts w:eastAsia="Arial"/>
              </w:rPr>
            </w:pPr>
            <w:r w:rsidRPr="00D05364">
              <w:rPr>
                <w:rFonts w:eastAsia="Arial"/>
              </w:rPr>
              <w:t>Nacionalinis farmakoekonomikos centras, Airija</w:t>
            </w:r>
          </w:p>
          <w:p w14:paraId="11509D28" w14:textId="77777777" w:rsidR="008C223C" w:rsidRPr="00D05364" w:rsidRDefault="008C223C" w:rsidP="00F414C7">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863" w:type="dxa"/>
          </w:tcPr>
          <w:p w14:paraId="5CA9CB57" w14:textId="77777777" w:rsidR="008C223C" w:rsidRPr="00D05364" w:rsidRDefault="008A786A" w:rsidP="00F414C7">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8C223C">
                  <w:rPr>
                    <w:rStyle w:val="Style2"/>
                    <w:rFonts w:ascii="MS Gothic" w:eastAsia="MS Gothic" w:hAnsi="MS Gothic" w:hint="eastAsia"/>
                  </w:rPr>
                  <w:t>☒</w:t>
                </w:r>
              </w:sdtContent>
            </w:sdt>
            <w:r w:rsidR="008C223C" w:rsidRPr="00D05364">
              <w:t xml:space="preserve"> Taip</w:t>
            </w:r>
          </w:p>
          <w:p w14:paraId="78EAB134" w14:textId="77777777" w:rsidR="008C223C" w:rsidRPr="00D05364" w:rsidRDefault="008A786A" w:rsidP="00F414C7">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8C223C">
                  <w:rPr>
                    <w:rStyle w:val="Style2"/>
                    <w:rFonts w:ascii="MS Gothic" w:eastAsia="MS Gothic" w:hAnsi="MS Gothic" w:hint="eastAsia"/>
                  </w:rPr>
                  <w:t>☐</w:t>
                </w:r>
              </w:sdtContent>
            </w:sdt>
            <w:r w:rsidR="008C223C" w:rsidRPr="00D05364">
              <w:t xml:space="preserve"> Ne</w:t>
            </w:r>
          </w:p>
          <w:p w14:paraId="5E9D079B" w14:textId="77777777" w:rsidR="008C223C" w:rsidRPr="00D05364" w:rsidRDefault="008A786A" w:rsidP="00F414C7">
            <w:pPr>
              <w:spacing w:line="276" w:lineRule="auto"/>
              <w:rPr>
                <w:rFonts w:eastAsia="Arial"/>
              </w:rPr>
            </w:pPr>
            <w:sdt>
              <w:sdtPr>
                <w:alias w:val="Nurodykite konkrečią dieną"/>
                <w:tag w:val="Nurodykite pradžios datą"/>
                <w:id w:val="-198323198"/>
                <w:placeholder>
                  <w:docPart w:val="CDB2BF14A6388A4DAC5D9BFC5D109471"/>
                </w:placeholder>
                <w15:color w:val="FFCC99"/>
                <w:date>
                  <w:dateFormat w:val="yyyy 'm.' MMMM d 'd.'"/>
                  <w:lid w:val="lt-LT"/>
                  <w:storeMappedDataAs w:val="dateTime"/>
                  <w:calendar w:val="gregorian"/>
                </w:date>
              </w:sdtPr>
              <w:sdtEndPr/>
              <w:sdtContent>
                <w:r w:rsidR="008C223C">
                  <w:t>2021 m. vasario 1</w:t>
                </w:r>
                <w:r w:rsidR="008C223C">
                  <w:rPr>
                    <w:lang w:val="en-US"/>
                  </w:rPr>
                  <w:t>7</w:t>
                </w:r>
                <w:r w:rsidR="008C223C">
                  <w:t xml:space="preserve"> d.</w:t>
                </w:r>
              </w:sdtContent>
            </w:sdt>
          </w:p>
        </w:tc>
        <w:tc>
          <w:tcPr>
            <w:tcW w:w="2517" w:type="dxa"/>
          </w:tcPr>
          <w:p w14:paraId="4939BEEB" w14:textId="5B84D6BC" w:rsidR="008C223C" w:rsidRPr="00317C50" w:rsidRDefault="008C223C" w:rsidP="0081174A">
            <w:pPr>
              <w:spacing w:line="276" w:lineRule="auto"/>
              <w:rPr>
                <w:rFonts w:eastAsia="Arial"/>
                <w:sz w:val="20"/>
                <w:szCs w:val="20"/>
              </w:rPr>
            </w:pPr>
            <w:r w:rsidRPr="00317C50">
              <w:rPr>
                <w:rFonts w:eastAsia="Arial"/>
                <w:sz w:val="20"/>
                <w:szCs w:val="20"/>
              </w:rPr>
              <w:t>Pilnas paraiškos STV vertinimas nerekomenduojamas.</w:t>
            </w:r>
          </w:p>
        </w:tc>
        <w:tc>
          <w:tcPr>
            <w:tcW w:w="2652" w:type="dxa"/>
          </w:tcPr>
          <w:p w14:paraId="475E0FA4" w14:textId="36F944F0" w:rsidR="008C223C" w:rsidRPr="00D05364" w:rsidRDefault="0081174A" w:rsidP="00F414C7">
            <w:pPr>
              <w:spacing w:line="276" w:lineRule="auto"/>
              <w:rPr>
                <w:rFonts w:eastAsia="Arial"/>
              </w:rPr>
            </w:pPr>
            <w:r w:rsidRPr="00317C50">
              <w:rPr>
                <w:rFonts w:eastAsia="Arial"/>
                <w:sz w:val="20"/>
                <w:szCs w:val="20"/>
              </w:rPr>
              <w:t>Pagal kompanijos dabartinę kainą, vaistas neturėtų būti kompensuojamas.</w:t>
            </w:r>
          </w:p>
        </w:tc>
      </w:tr>
    </w:tbl>
    <w:p w14:paraId="2EB7FD31" w14:textId="69A0F277" w:rsidR="00F70C9E" w:rsidRDefault="00F70C9E" w:rsidP="00E03C3F">
      <w:pPr>
        <w:pStyle w:val="ListParagraph"/>
        <w:tabs>
          <w:tab w:val="left" w:pos="426"/>
        </w:tabs>
        <w:ind w:left="0"/>
        <w:rPr>
          <w:b/>
          <w:bCs/>
          <w:caps/>
        </w:rPr>
      </w:pPr>
    </w:p>
    <w:p w14:paraId="5E82BD7C" w14:textId="77777777" w:rsidR="008651E2" w:rsidRDefault="008651E2" w:rsidP="00E03C3F">
      <w:pPr>
        <w:pStyle w:val="ListParagraph"/>
        <w:tabs>
          <w:tab w:val="left" w:pos="426"/>
        </w:tabs>
        <w:ind w:left="0"/>
        <w:rPr>
          <w:b/>
          <w:bCs/>
          <w:caps/>
        </w:rPr>
      </w:pPr>
    </w:p>
    <w:p w14:paraId="5055E8A8" w14:textId="471A9757" w:rsidR="002E6F80" w:rsidRPr="00937907" w:rsidRDefault="00CC7832" w:rsidP="00937907">
      <w:pPr>
        <w:pStyle w:val="ListParagraph"/>
        <w:numPr>
          <w:ilvl w:val="0"/>
          <w:numId w:val="12"/>
        </w:numPr>
        <w:tabs>
          <w:tab w:val="left" w:pos="284"/>
        </w:tabs>
        <w:rPr>
          <w:b/>
          <w:bCs/>
          <w:caps/>
        </w:rPr>
      </w:pPr>
      <w:r w:rsidRPr="00937907">
        <w:rPr>
          <w:b/>
          <w:bCs/>
          <w:caps/>
        </w:rPr>
        <w:t>Klinikinio vertinimo a</w:t>
      </w:r>
      <w:r w:rsidR="00D4485B" w:rsidRPr="00937907">
        <w:rPr>
          <w:b/>
          <w:bCs/>
          <w:caps/>
        </w:rPr>
        <w:t>pibendrinimas</w:t>
      </w:r>
    </w:p>
    <w:p w14:paraId="62D93C5A" w14:textId="405B3D45" w:rsidR="006705B8" w:rsidRDefault="006705B8" w:rsidP="00A93AA6">
      <w:pPr>
        <w:pStyle w:val="ListParagraph"/>
        <w:tabs>
          <w:tab w:val="left" w:pos="426"/>
        </w:tabs>
        <w:ind w:left="0"/>
      </w:pPr>
    </w:p>
    <w:p w14:paraId="4834FE25" w14:textId="77777777" w:rsidR="00D1611D" w:rsidRDefault="00D1611D" w:rsidP="00D1611D">
      <w:pPr>
        <w:pStyle w:val="Tekstas"/>
        <w:spacing w:line="276" w:lineRule="auto"/>
        <w:ind w:firstLine="720"/>
      </w:pPr>
      <w:proofErr w:type="spellStart"/>
      <w:r w:rsidRPr="00981CD0">
        <w:rPr>
          <w:lang w:val="en-US"/>
        </w:rPr>
        <w:t>Psoriazinis</w:t>
      </w:r>
      <w:proofErr w:type="spellEnd"/>
      <w:r w:rsidRPr="00981CD0">
        <w:rPr>
          <w:lang w:val="en-US"/>
        </w:rPr>
        <w:t xml:space="preserve"> </w:t>
      </w:r>
      <w:proofErr w:type="spellStart"/>
      <w:r w:rsidRPr="00981CD0">
        <w:rPr>
          <w:lang w:val="en-US"/>
        </w:rPr>
        <w:t>artritas</w:t>
      </w:r>
      <w:proofErr w:type="spellEnd"/>
      <w:r w:rsidRPr="00981CD0">
        <w:rPr>
          <w:lang w:val="en-US"/>
        </w:rPr>
        <w:t xml:space="preserve"> (PsA) - </w:t>
      </w:r>
      <w:proofErr w:type="spellStart"/>
      <w:r w:rsidRPr="00981CD0">
        <w:rPr>
          <w:lang w:val="en-US"/>
        </w:rPr>
        <w:t>autoimuninės</w:t>
      </w:r>
      <w:proofErr w:type="spellEnd"/>
      <w:r w:rsidRPr="00981CD0">
        <w:rPr>
          <w:lang w:val="en-US"/>
        </w:rPr>
        <w:t xml:space="preserve"> </w:t>
      </w:r>
      <w:proofErr w:type="spellStart"/>
      <w:r w:rsidRPr="00981CD0">
        <w:rPr>
          <w:lang w:val="en-US"/>
        </w:rPr>
        <w:t>kilmės</w:t>
      </w:r>
      <w:proofErr w:type="spellEnd"/>
      <w:r w:rsidRPr="00981CD0">
        <w:rPr>
          <w:lang w:val="en-US"/>
        </w:rPr>
        <w:t xml:space="preserve"> </w:t>
      </w:r>
      <w:proofErr w:type="spellStart"/>
      <w:r w:rsidRPr="00981CD0">
        <w:rPr>
          <w:lang w:val="en-US"/>
        </w:rPr>
        <w:t>lėtinis</w:t>
      </w:r>
      <w:proofErr w:type="spellEnd"/>
      <w:r w:rsidRPr="00981CD0">
        <w:rPr>
          <w:lang w:val="en-US"/>
        </w:rPr>
        <w:t xml:space="preserve"> </w:t>
      </w:r>
      <w:proofErr w:type="spellStart"/>
      <w:r w:rsidRPr="00981CD0">
        <w:rPr>
          <w:lang w:val="en-US"/>
        </w:rPr>
        <w:t>artritas</w:t>
      </w:r>
      <w:proofErr w:type="spellEnd"/>
      <w:r w:rsidRPr="00981CD0">
        <w:rPr>
          <w:lang w:val="en-US"/>
        </w:rPr>
        <w:t xml:space="preserve"> </w:t>
      </w:r>
      <w:proofErr w:type="spellStart"/>
      <w:r w:rsidRPr="00981CD0">
        <w:rPr>
          <w:lang w:val="en-US"/>
        </w:rPr>
        <w:t>nustatomas</w:t>
      </w:r>
      <w:proofErr w:type="spellEnd"/>
      <w:r w:rsidRPr="00981CD0">
        <w:rPr>
          <w:lang w:val="en-US"/>
        </w:rPr>
        <w:t xml:space="preserve"> </w:t>
      </w:r>
      <w:proofErr w:type="spellStart"/>
      <w:r w:rsidRPr="00981CD0">
        <w:rPr>
          <w:lang w:val="en-US"/>
        </w:rPr>
        <w:t>psoriaze</w:t>
      </w:r>
      <w:proofErr w:type="spellEnd"/>
      <w:r w:rsidRPr="00981CD0">
        <w:rPr>
          <w:lang w:val="en-US"/>
        </w:rPr>
        <w:t xml:space="preserve"> </w:t>
      </w:r>
      <w:proofErr w:type="spellStart"/>
      <w:r w:rsidRPr="00981CD0">
        <w:rPr>
          <w:lang w:val="en-US"/>
        </w:rPr>
        <w:t>sergantiems</w:t>
      </w:r>
      <w:proofErr w:type="spellEnd"/>
      <w:r w:rsidRPr="00981CD0">
        <w:rPr>
          <w:lang w:val="en-US"/>
        </w:rPr>
        <w:t xml:space="preserve"> </w:t>
      </w:r>
      <w:proofErr w:type="spellStart"/>
      <w:r w:rsidRPr="00981CD0">
        <w:rPr>
          <w:lang w:val="en-US"/>
        </w:rPr>
        <w:t>ligoniams</w:t>
      </w:r>
      <w:proofErr w:type="spellEnd"/>
      <w:r w:rsidRPr="00981CD0">
        <w:rPr>
          <w:lang w:val="en-US"/>
        </w:rPr>
        <w:t>.</w:t>
      </w:r>
      <w:r>
        <w:rPr>
          <w:lang w:val="en-US"/>
        </w:rPr>
        <w:t xml:space="preserve"> PsA </w:t>
      </w:r>
      <w:proofErr w:type="spellStart"/>
      <w:r w:rsidRPr="00981CD0">
        <w:rPr>
          <w:lang w:val="en-US"/>
        </w:rPr>
        <w:t>priskiriamas</w:t>
      </w:r>
      <w:proofErr w:type="spellEnd"/>
      <w:r w:rsidRPr="00981CD0">
        <w:rPr>
          <w:lang w:val="en-US"/>
        </w:rPr>
        <w:t xml:space="preserve"> </w:t>
      </w:r>
      <w:proofErr w:type="spellStart"/>
      <w:r w:rsidRPr="00981CD0">
        <w:rPr>
          <w:lang w:val="en-US"/>
        </w:rPr>
        <w:t>spondiloartropatijų</w:t>
      </w:r>
      <w:proofErr w:type="spellEnd"/>
      <w:r w:rsidRPr="00981CD0">
        <w:rPr>
          <w:lang w:val="en-US"/>
        </w:rPr>
        <w:t xml:space="preserve"> </w:t>
      </w:r>
      <w:proofErr w:type="spellStart"/>
      <w:r w:rsidRPr="00981CD0">
        <w:rPr>
          <w:lang w:val="en-US"/>
        </w:rPr>
        <w:t>grupės</w:t>
      </w:r>
      <w:proofErr w:type="spellEnd"/>
      <w:r w:rsidRPr="00981CD0">
        <w:rPr>
          <w:lang w:val="en-US"/>
        </w:rPr>
        <w:t xml:space="preserve"> </w:t>
      </w:r>
      <w:proofErr w:type="spellStart"/>
      <w:r w:rsidRPr="00981CD0">
        <w:rPr>
          <w:lang w:val="en-US"/>
        </w:rPr>
        <w:t>ligoms</w:t>
      </w:r>
      <w:proofErr w:type="spellEnd"/>
      <w:r w:rsidRPr="00981CD0">
        <w:rPr>
          <w:lang w:val="en-US"/>
        </w:rPr>
        <w:t xml:space="preserve">. PsA </w:t>
      </w:r>
      <w:proofErr w:type="spellStart"/>
      <w:r w:rsidRPr="00981CD0">
        <w:rPr>
          <w:lang w:val="en-US"/>
        </w:rPr>
        <w:t>būdingas</w:t>
      </w:r>
      <w:proofErr w:type="spellEnd"/>
      <w:r w:rsidRPr="00981CD0">
        <w:rPr>
          <w:lang w:val="en-US"/>
        </w:rPr>
        <w:t xml:space="preserve"> </w:t>
      </w:r>
      <w:proofErr w:type="spellStart"/>
      <w:r w:rsidRPr="00981CD0">
        <w:rPr>
          <w:lang w:val="en-US"/>
        </w:rPr>
        <w:t>sinovitas</w:t>
      </w:r>
      <w:proofErr w:type="spellEnd"/>
      <w:r w:rsidRPr="00981CD0">
        <w:rPr>
          <w:lang w:val="en-US"/>
        </w:rPr>
        <w:t xml:space="preserve">, </w:t>
      </w:r>
      <w:proofErr w:type="spellStart"/>
      <w:r w:rsidRPr="00981CD0">
        <w:rPr>
          <w:lang w:val="en-US"/>
        </w:rPr>
        <w:t>entezitas</w:t>
      </w:r>
      <w:proofErr w:type="spellEnd"/>
      <w:r w:rsidRPr="00981CD0">
        <w:rPr>
          <w:lang w:val="en-US"/>
        </w:rPr>
        <w:t xml:space="preserve">, </w:t>
      </w:r>
      <w:proofErr w:type="spellStart"/>
      <w:r w:rsidRPr="00981CD0">
        <w:rPr>
          <w:lang w:val="en-US"/>
        </w:rPr>
        <w:t>daktilitas</w:t>
      </w:r>
      <w:proofErr w:type="spellEnd"/>
      <w:r w:rsidRPr="00981CD0">
        <w:rPr>
          <w:lang w:val="en-US"/>
        </w:rPr>
        <w:t xml:space="preserve"> ir </w:t>
      </w:r>
      <w:proofErr w:type="spellStart"/>
      <w:r w:rsidRPr="00981CD0">
        <w:rPr>
          <w:lang w:val="en-US"/>
        </w:rPr>
        <w:t>ašinis</w:t>
      </w:r>
      <w:proofErr w:type="spellEnd"/>
      <w:r w:rsidRPr="00981CD0">
        <w:rPr>
          <w:lang w:val="en-US"/>
        </w:rPr>
        <w:t xml:space="preserve"> </w:t>
      </w:r>
      <w:proofErr w:type="spellStart"/>
      <w:r w:rsidRPr="00981CD0">
        <w:rPr>
          <w:lang w:val="en-US"/>
        </w:rPr>
        <w:t>pažeidimas</w:t>
      </w:r>
      <w:proofErr w:type="spellEnd"/>
      <w:r>
        <w:rPr>
          <w:lang w:val="en-US"/>
        </w:rPr>
        <w:t xml:space="preserve"> </w:t>
      </w:r>
      <w:r w:rsidRPr="00981CD0">
        <w:rPr>
          <w:lang w:val="en-US"/>
        </w:rPr>
        <w:t>(</w:t>
      </w:r>
      <w:proofErr w:type="spellStart"/>
      <w:r w:rsidRPr="00981CD0">
        <w:rPr>
          <w:lang w:val="en-US"/>
        </w:rPr>
        <w:t>sakroileitas</w:t>
      </w:r>
      <w:proofErr w:type="spellEnd"/>
      <w:r w:rsidRPr="00981CD0">
        <w:rPr>
          <w:lang w:val="en-US"/>
        </w:rPr>
        <w:t xml:space="preserve"> ir (arba) </w:t>
      </w:r>
      <w:proofErr w:type="spellStart"/>
      <w:r w:rsidRPr="00981CD0">
        <w:rPr>
          <w:lang w:val="en-US"/>
        </w:rPr>
        <w:t>spondilitas</w:t>
      </w:r>
      <w:proofErr w:type="spellEnd"/>
      <w:r w:rsidRPr="00981CD0">
        <w:rPr>
          <w:lang w:val="en-US"/>
        </w:rPr>
        <w:t xml:space="preserve">). </w:t>
      </w:r>
      <w:proofErr w:type="spellStart"/>
      <w:r w:rsidRPr="00981CD0">
        <w:rPr>
          <w:lang w:val="en-US"/>
        </w:rPr>
        <w:t>Neretai</w:t>
      </w:r>
      <w:proofErr w:type="spellEnd"/>
      <w:r w:rsidRPr="00981CD0">
        <w:rPr>
          <w:lang w:val="en-US"/>
        </w:rPr>
        <w:t xml:space="preserve"> </w:t>
      </w:r>
      <w:proofErr w:type="spellStart"/>
      <w:r w:rsidRPr="00981CD0">
        <w:rPr>
          <w:lang w:val="en-US"/>
        </w:rPr>
        <w:t>nustatomas</w:t>
      </w:r>
      <w:proofErr w:type="spellEnd"/>
      <w:r w:rsidRPr="00981CD0">
        <w:rPr>
          <w:lang w:val="en-US"/>
        </w:rPr>
        <w:t xml:space="preserve"> </w:t>
      </w:r>
      <w:proofErr w:type="spellStart"/>
      <w:r w:rsidRPr="00981CD0">
        <w:rPr>
          <w:lang w:val="en-US"/>
        </w:rPr>
        <w:t>žarnyno</w:t>
      </w:r>
      <w:proofErr w:type="spellEnd"/>
      <w:r w:rsidRPr="00981CD0">
        <w:rPr>
          <w:lang w:val="en-US"/>
        </w:rPr>
        <w:t xml:space="preserve"> ar </w:t>
      </w:r>
      <w:proofErr w:type="spellStart"/>
      <w:r w:rsidRPr="00981CD0">
        <w:rPr>
          <w:lang w:val="en-US"/>
        </w:rPr>
        <w:t>akių</w:t>
      </w:r>
      <w:proofErr w:type="spellEnd"/>
      <w:r w:rsidRPr="00981CD0">
        <w:rPr>
          <w:lang w:val="en-US"/>
        </w:rPr>
        <w:t xml:space="preserve"> </w:t>
      </w:r>
      <w:proofErr w:type="spellStart"/>
      <w:r w:rsidRPr="00981CD0">
        <w:rPr>
          <w:lang w:val="en-US"/>
        </w:rPr>
        <w:t>uždegimas</w:t>
      </w:r>
      <w:proofErr w:type="spellEnd"/>
      <w:r w:rsidRPr="00981CD0">
        <w:rPr>
          <w:lang w:val="en-US"/>
        </w:rPr>
        <w:t xml:space="preserve">. PsA </w:t>
      </w:r>
      <w:proofErr w:type="spellStart"/>
      <w:r w:rsidRPr="00981CD0">
        <w:rPr>
          <w:lang w:val="en-US"/>
        </w:rPr>
        <w:t>dažnai</w:t>
      </w:r>
      <w:proofErr w:type="spellEnd"/>
      <w:r w:rsidRPr="00981CD0">
        <w:rPr>
          <w:lang w:val="en-US"/>
        </w:rPr>
        <w:t xml:space="preserve"> </w:t>
      </w:r>
      <w:proofErr w:type="spellStart"/>
      <w:r w:rsidRPr="00981CD0">
        <w:rPr>
          <w:lang w:val="en-US"/>
        </w:rPr>
        <w:t>yra</w:t>
      </w:r>
      <w:proofErr w:type="spellEnd"/>
      <w:r w:rsidRPr="00981CD0">
        <w:rPr>
          <w:lang w:val="en-US"/>
        </w:rPr>
        <w:t xml:space="preserve"> </w:t>
      </w:r>
      <w:proofErr w:type="spellStart"/>
      <w:r w:rsidRPr="00981CD0">
        <w:rPr>
          <w:lang w:val="en-US"/>
        </w:rPr>
        <w:t>glaudžiai</w:t>
      </w:r>
      <w:proofErr w:type="spellEnd"/>
      <w:r w:rsidRPr="00981CD0">
        <w:rPr>
          <w:lang w:val="en-US"/>
        </w:rPr>
        <w:t xml:space="preserve"> </w:t>
      </w:r>
      <w:proofErr w:type="spellStart"/>
      <w:r w:rsidRPr="00981CD0">
        <w:rPr>
          <w:lang w:val="en-US"/>
        </w:rPr>
        <w:t>susijęs</w:t>
      </w:r>
      <w:proofErr w:type="spellEnd"/>
      <w:r w:rsidRPr="00981CD0">
        <w:rPr>
          <w:lang w:val="en-US"/>
        </w:rPr>
        <w:t xml:space="preserve"> su</w:t>
      </w:r>
      <w:r>
        <w:rPr>
          <w:lang w:val="en-US"/>
        </w:rPr>
        <w:t xml:space="preserve"> </w:t>
      </w:r>
      <w:proofErr w:type="spellStart"/>
      <w:r w:rsidRPr="00981CD0">
        <w:rPr>
          <w:lang w:val="en-US"/>
        </w:rPr>
        <w:t>metaboliniu</w:t>
      </w:r>
      <w:proofErr w:type="spellEnd"/>
      <w:r w:rsidRPr="00981CD0">
        <w:rPr>
          <w:lang w:val="en-US"/>
        </w:rPr>
        <w:t xml:space="preserve"> </w:t>
      </w:r>
      <w:proofErr w:type="spellStart"/>
      <w:r w:rsidRPr="00981CD0">
        <w:rPr>
          <w:lang w:val="en-US"/>
        </w:rPr>
        <w:t>sindromu</w:t>
      </w:r>
      <w:proofErr w:type="spellEnd"/>
      <w:r w:rsidRPr="00981CD0">
        <w:rPr>
          <w:lang w:val="en-US"/>
        </w:rPr>
        <w:t xml:space="preserve">, </w:t>
      </w:r>
      <w:proofErr w:type="spellStart"/>
      <w:r w:rsidRPr="00981CD0">
        <w:rPr>
          <w:lang w:val="en-US"/>
        </w:rPr>
        <w:t>nutukimu</w:t>
      </w:r>
      <w:proofErr w:type="spellEnd"/>
      <w:r w:rsidRPr="00981CD0">
        <w:rPr>
          <w:lang w:val="en-US"/>
        </w:rPr>
        <w:t xml:space="preserve">, </w:t>
      </w:r>
      <w:proofErr w:type="spellStart"/>
      <w:r w:rsidRPr="00981CD0">
        <w:rPr>
          <w:lang w:val="en-US"/>
        </w:rPr>
        <w:t>hiperlipidemija</w:t>
      </w:r>
      <w:proofErr w:type="spellEnd"/>
      <w:r w:rsidRPr="00981CD0">
        <w:rPr>
          <w:lang w:val="en-US"/>
        </w:rPr>
        <w:t xml:space="preserve">, </w:t>
      </w:r>
      <w:proofErr w:type="spellStart"/>
      <w:r w:rsidRPr="00981CD0">
        <w:rPr>
          <w:lang w:val="en-US"/>
        </w:rPr>
        <w:t>cukriniu</w:t>
      </w:r>
      <w:proofErr w:type="spellEnd"/>
      <w:r w:rsidRPr="00981CD0">
        <w:rPr>
          <w:lang w:val="en-US"/>
        </w:rPr>
        <w:t xml:space="preserve"> </w:t>
      </w:r>
      <w:proofErr w:type="spellStart"/>
      <w:r w:rsidRPr="00981CD0">
        <w:rPr>
          <w:lang w:val="en-US"/>
        </w:rPr>
        <w:t>diabetu</w:t>
      </w:r>
      <w:proofErr w:type="spellEnd"/>
      <w:r w:rsidRPr="00981CD0">
        <w:rPr>
          <w:lang w:val="en-US"/>
        </w:rPr>
        <w:t xml:space="preserve"> </w:t>
      </w:r>
      <w:proofErr w:type="spellStart"/>
      <w:r w:rsidRPr="00981CD0">
        <w:rPr>
          <w:lang w:val="en-US"/>
        </w:rPr>
        <w:t>bei</w:t>
      </w:r>
      <w:proofErr w:type="spellEnd"/>
      <w:r w:rsidRPr="00981CD0">
        <w:rPr>
          <w:lang w:val="en-US"/>
        </w:rPr>
        <w:t xml:space="preserve"> </w:t>
      </w:r>
      <w:proofErr w:type="spellStart"/>
      <w:r w:rsidRPr="00981CD0">
        <w:rPr>
          <w:lang w:val="en-US"/>
        </w:rPr>
        <w:t>širdies</w:t>
      </w:r>
      <w:proofErr w:type="spellEnd"/>
      <w:r w:rsidRPr="00981CD0">
        <w:rPr>
          <w:lang w:val="en-US"/>
        </w:rPr>
        <w:t xml:space="preserve"> ir </w:t>
      </w:r>
      <w:proofErr w:type="spellStart"/>
      <w:r w:rsidRPr="00981CD0">
        <w:rPr>
          <w:lang w:val="en-US"/>
        </w:rPr>
        <w:t>kraujagyslių</w:t>
      </w:r>
      <w:proofErr w:type="spellEnd"/>
      <w:r w:rsidRPr="00981CD0">
        <w:rPr>
          <w:lang w:val="en-US"/>
        </w:rPr>
        <w:t xml:space="preserve"> </w:t>
      </w:r>
      <w:proofErr w:type="spellStart"/>
      <w:r w:rsidRPr="00981CD0">
        <w:rPr>
          <w:lang w:val="en-US"/>
        </w:rPr>
        <w:t>sistemos</w:t>
      </w:r>
      <w:proofErr w:type="spellEnd"/>
      <w:r w:rsidRPr="00981CD0">
        <w:rPr>
          <w:lang w:val="en-US"/>
        </w:rPr>
        <w:t xml:space="preserve"> </w:t>
      </w:r>
      <w:proofErr w:type="spellStart"/>
      <w:r w:rsidRPr="00981CD0">
        <w:rPr>
          <w:lang w:val="en-US"/>
        </w:rPr>
        <w:t>ligomis</w:t>
      </w:r>
      <w:proofErr w:type="spellEnd"/>
      <w:r>
        <w:rPr>
          <w:lang w:val="en-US"/>
        </w:rPr>
        <w:t>.</w:t>
      </w:r>
    </w:p>
    <w:p w14:paraId="3406B579" w14:textId="77777777" w:rsidR="00D1611D" w:rsidRPr="00AD6A4F" w:rsidRDefault="00D1611D" w:rsidP="00216CE2">
      <w:pPr>
        <w:pStyle w:val="Tekstas"/>
        <w:spacing w:line="276" w:lineRule="auto"/>
        <w:ind w:firstLine="720"/>
      </w:pPr>
      <w:r>
        <w:t xml:space="preserve">Ligotumas </w:t>
      </w:r>
      <w:r w:rsidRPr="00B708D1">
        <w:t xml:space="preserve">PsA </w:t>
      </w:r>
      <w:r>
        <w:t xml:space="preserve">pasaulyje svyruoja nuo </w:t>
      </w:r>
      <w:r w:rsidRPr="00B708D1">
        <w:t>0</w:t>
      </w:r>
      <w:r>
        <w:t>,</w:t>
      </w:r>
      <w:r w:rsidRPr="00B708D1">
        <w:t xml:space="preserve">02% </w:t>
      </w:r>
      <w:r>
        <w:t>iki</w:t>
      </w:r>
      <w:r w:rsidRPr="00B708D1">
        <w:t xml:space="preserve"> 0</w:t>
      </w:r>
      <w:r>
        <w:t>,</w:t>
      </w:r>
      <w:r w:rsidRPr="00B708D1">
        <w:t>17%</w:t>
      </w:r>
      <w:r>
        <w:t xml:space="preserve">. Ligotumo rodikliai tarp vyrų ir moterų nesiskiria. Tyrimų, kuriuose naudoti CASPAR kriterijai arba TLK kodai, duomenimis PsA sergamumo rodikliai svyruoja nuo </w:t>
      </w:r>
      <w:r w:rsidRPr="006848D0">
        <w:t>6</w:t>
      </w:r>
      <w:r>
        <w:t>,</w:t>
      </w:r>
      <w:r w:rsidRPr="006848D0">
        <w:t xml:space="preserve">26 </w:t>
      </w:r>
      <w:r>
        <w:t xml:space="preserve">atv. iki </w:t>
      </w:r>
      <w:r w:rsidRPr="006848D0">
        <w:t>1</w:t>
      </w:r>
      <w:r>
        <w:t>,</w:t>
      </w:r>
      <w:r w:rsidRPr="006848D0">
        <w:t xml:space="preserve">3 </w:t>
      </w:r>
      <w:r>
        <w:t xml:space="preserve">atv. iš </w:t>
      </w:r>
      <w:r w:rsidRPr="006848D0">
        <w:t xml:space="preserve">100,000 </w:t>
      </w:r>
      <w:r>
        <w:t>gyv</w:t>
      </w:r>
      <w:r w:rsidRPr="006848D0">
        <w:t>.</w:t>
      </w:r>
      <w:r>
        <w:t xml:space="preserve"> </w:t>
      </w:r>
    </w:p>
    <w:p w14:paraId="006CA93E" w14:textId="77777777" w:rsidR="00D1611D" w:rsidRDefault="00D1611D" w:rsidP="00216CE2">
      <w:pPr>
        <w:pStyle w:val="Tekstas"/>
        <w:spacing w:line="276" w:lineRule="auto"/>
        <w:ind w:firstLine="720"/>
      </w:pPr>
      <w:r>
        <w:lastRenderedPageBreak/>
        <w:t xml:space="preserve">Lietuvos gydytojų reumatologų patariamojo susitikimo metu (2021 m. balandžio 29 d.) </w:t>
      </w:r>
      <w:r w:rsidRPr="00B708D1">
        <w:t xml:space="preserve">ekspertai pažymėjo, kad tikslių publikuotų duomenų apie </w:t>
      </w:r>
      <w:r>
        <w:t xml:space="preserve">PsA </w:t>
      </w:r>
      <w:r w:rsidRPr="00B708D1">
        <w:t>paplitimą Lietuvoje</w:t>
      </w:r>
      <w:r w:rsidRPr="00577FBC">
        <w:t xml:space="preserve"> </w:t>
      </w:r>
      <w:r w:rsidRPr="00B708D1">
        <w:t>nėra. 2008 m. Lietuvoje atlikto</w:t>
      </w:r>
      <w:r>
        <w:t xml:space="preserve"> </w:t>
      </w:r>
      <w:r w:rsidRPr="00B708D1">
        <w:t>reumatoidinio artrito ir spondiloartropatijų paplitimo tyrimo duomenimis nustatyta, kad spondiloartropatijų, kurias sudaro ankilozinis spondilitas, reaktyvusis artritas, psoriazinis artritas, uždegiminių žarnų ligų artritas, jaunatvinis spondiloartritas</w:t>
      </w:r>
      <w:r>
        <w:t xml:space="preserve"> ir</w:t>
      </w:r>
      <w:r w:rsidRPr="00B708D1">
        <w:t xml:space="preserve"> nediferencijuotas spondiloartritas, paplitimas Lietuvo</w:t>
      </w:r>
      <w:r>
        <w:t>je</w:t>
      </w:r>
      <w:r w:rsidRPr="00B708D1">
        <w:t xml:space="preserve"> yra 0,64%. Higienos in</w:t>
      </w:r>
      <w:r>
        <w:t>s</w:t>
      </w:r>
      <w:r w:rsidRPr="00B708D1">
        <w:t>titut</w:t>
      </w:r>
      <w:r>
        <w:t xml:space="preserve">o pateiktais duomenimis PsA </w:t>
      </w:r>
      <w:r w:rsidRPr="00B708D1">
        <w:t>sergančiųjų skaičius 2019 m.</w:t>
      </w:r>
      <w:r>
        <w:t xml:space="preserve"> </w:t>
      </w:r>
      <w:r w:rsidRPr="00B708D1">
        <w:t>ir</w:t>
      </w:r>
      <w:r>
        <w:t xml:space="preserve"> </w:t>
      </w:r>
      <w:r w:rsidRPr="00B708D1">
        <w:t>2020 m. atitinkamai buvo 3739</w:t>
      </w:r>
      <w:r>
        <w:t xml:space="preserve"> </w:t>
      </w:r>
      <w:r w:rsidRPr="00B708D1">
        <w:t>ir 3550</w:t>
      </w:r>
      <w:r>
        <w:t xml:space="preserve"> atvejai</w:t>
      </w:r>
      <w:r w:rsidRPr="00B708D1">
        <w:t>, o naujų atvejų skaičius 2019 m. ir 2020 m. atitinkamai - 1272 ir 995</w:t>
      </w:r>
      <w:r>
        <w:t xml:space="preserve"> atvejai</w:t>
      </w:r>
      <w:r w:rsidRPr="00B708D1">
        <w:t xml:space="preserve"> (COVID-19 pandemijos pasekoje sergamum</w:t>
      </w:r>
      <w:r>
        <w:t>o</w:t>
      </w:r>
      <w:r w:rsidRPr="00B708D1">
        <w:t xml:space="preserve"> ir ligotum</w:t>
      </w:r>
      <w:r>
        <w:t>o atvejai</w:t>
      </w:r>
      <w:r w:rsidRPr="00B708D1">
        <w:t xml:space="preserve"> 2020 m. sumažėjo).</w:t>
      </w:r>
      <w:r w:rsidRPr="00496C42">
        <w:t xml:space="preserve"> </w:t>
      </w:r>
    </w:p>
    <w:p w14:paraId="63A57189" w14:textId="77777777" w:rsidR="00D1611D" w:rsidRDefault="00D1611D" w:rsidP="00216CE2">
      <w:pPr>
        <w:pStyle w:val="Tekstas"/>
        <w:spacing w:line="276" w:lineRule="auto"/>
        <w:ind w:firstLine="720"/>
      </w:pPr>
      <w:r>
        <w:t>Europos lygos prieš reumatą</w:t>
      </w:r>
      <w:r w:rsidRPr="00FD6CF5">
        <w:t xml:space="preserve"> </w:t>
      </w:r>
      <w:r>
        <w:t>(</w:t>
      </w:r>
      <w:r w:rsidRPr="00FD6CF5">
        <w:t>EULAR</w:t>
      </w:r>
      <w:r>
        <w:t>)</w:t>
      </w:r>
      <w:r w:rsidRPr="00FD6CF5">
        <w:t xml:space="preserve"> 2019 m.</w:t>
      </w:r>
      <w:r>
        <w:t xml:space="preserve"> PsA gydymo</w:t>
      </w:r>
      <w:r w:rsidRPr="00FD6CF5">
        <w:t xml:space="preserve"> rekomendacijose paminėta, kad esant odos pažeidimui gali būti teikiama pirmenybė IL-17 ar IL-12/23 inhibitoriams, nes tiesioginiuose palyginamuosiuose tyrimuose jie įrodė savo pranašumą prieš TNFα blokatorius. Nauji IL-23 inhibitoriai </w:t>
      </w:r>
      <w:r>
        <w:t xml:space="preserve">(guselkumabas priskiriamas šiai grupei) </w:t>
      </w:r>
      <w:r w:rsidRPr="00FD6CF5">
        <w:t xml:space="preserve">minimi šiose rekomendacijose kaip naujausia terapija, parodžiusi puikų </w:t>
      </w:r>
      <w:r>
        <w:t xml:space="preserve">efektyvumą esant </w:t>
      </w:r>
      <w:r w:rsidRPr="00FD6CF5">
        <w:t>psoriazei</w:t>
      </w:r>
      <w:r>
        <w:t xml:space="preserve">, todėl </w:t>
      </w:r>
      <w:r w:rsidRPr="00FD6CF5">
        <w:t xml:space="preserve">manoma, kad skirtingas poveikis į patogenezę nulems skirtingas įvairių interleukinų </w:t>
      </w:r>
      <w:r>
        <w:t xml:space="preserve">tarptautines </w:t>
      </w:r>
      <w:r w:rsidRPr="00FD6CF5">
        <w:t>rekomendacijas</w:t>
      </w:r>
      <w:r>
        <w:t>.</w:t>
      </w:r>
    </w:p>
    <w:p w14:paraId="074A472D" w14:textId="3CA11854" w:rsidR="00D1611D" w:rsidRDefault="00216CE2" w:rsidP="00216CE2">
      <w:pPr>
        <w:pStyle w:val="ListParagraph"/>
        <w:tabs>
          <w:tab w:val="left" w:pos="851"/>
        </w:tabs>
        <w:spacing w:line="276" w:lineRule="auto"/>
        <w:ind w:left="0"/>
        <w:jc w:val="both"/>
      </w:pPr>
      <w:r>
        <w:tab/>
      </w:r>
      <w:r w:rsidR="00D1611D">
        <w:t xml:space="preserve">Lietuvoje PsA diagnozuojamas ir gydomas vadovaujantis SAM ministro įsakymu patvirtintu </w:t>
      </w:r>
      <w:r w:rsidR="00D1611D">
        <w:rPr>
          <w:rFonts w:eastAsia="Arial"/>
        </w:rPr>
        <w:t xml:space="preserve">PsA </w:t>
      </w:r>
      <w:r w:rsidR="00D1611D" w:rsidRPr="00683AD9">
        <w:rPr>
          <w:rFonts w:eastAsia="Arial"/>
        </w:rPr>
        <w:t xml:space="preserve">gydymo vaistais, kurių įsigijimo išlaidos apmokamos privalomojo sveikatos draudimo fondo biudžeto lėšomis, </w:t>
      </w:r>
      <w:r w:rsidR="00D1611D" w:rsidRPr="00D62009">
        <w:rPr>
          <w:rFonts w:eastAsia="Arial"/>
        </w:rPr>
        <w:t>tvarkos aprašu</w:t>
      </w:r>
      <w:r w:rsidR="00D1611D">
        <w:rPr>
          <w:rFonts w:eastAsia="Arial"/>
        </w:rPr>
        <w:t xml:space="preserve"> (toliau – Tvarkos aprašas;)</w:t>
      </w:r>
      <w:r w:rsidR="00D1611D">
        <w:t xml:space="preserve">. Pirmaeilis psoriazinio artrito gydymas pradedamas skiriant pirmaeilį TNFα blokatorių, kurio metinė gydymo kaina yra mažiausia. Antraeilis gydymas skiriamas „Jei gydymas pirmaeiliu biologiniu ligą modifikuojančiu vaistu (bLMV) yra neefektyvus po 3 mėnesių nuo gydymo bLMV pradžios arba pasireiškia bLMV nepageidaujamos reakcijos ir (ar) gydymo metu atsiranda kontraindikacijų tęsti paskirtą gydymą bLMV, bLMV keičiamas gydytojo reumatologo sprendimu tretinio lygio ambulatorines ir stacionarines reumatologijos paslaugas teikiančioje ASPĮ“. Antraeilio gydymo pasirinkimo galimybės yra reglamentuotos Tvarkos aprašo priede: „IL inhibitorius, kurio gydymo kaina mažiausia, arba FDE inhibitorius, kurio gydymo kaina mažiausia, arba kito bendrinio pavadinimo TNFα blokatorius, kurio gydymo kaina mažiausia“. </w:t>
      </w:r>
      <w:r w:rsidR="00D1611D" w:rsidRPr="0083549F">
        <w:rPr>
          <w:rFonts w:eastAsia="Arial"/>
        </w:rPr>
        <w:t>Remiantis PsA gydymo vaistais, kurių įsigijimo išlaidos apmokamos privalomojo sveikatos draudimo fondo biudžeto lėšomis, tvarkos aprašu (toliau – Tvarkos aprašas</w:t>
      </w:r>
      <w:r w:rsidR="00D1611D">
        <w:rPr>
          <w:rFonts w:eastAsia="Arial"/>
        </w:rPr>
        <w:t xml:space="preserve"> </w:t>
      </w:r>
      <w:r w:rsidR="00D1611D" w:rsidRPr="0083549F">
        <w:rPr>
          <w:rFonts w:eastAsia="Arial"/>
        </w:rPr>
        <w:t>ir kompensuojamųjų vaistų sąrašais, siūlomas kompensuoti vaistinis preparatas guselkumabas (vienas ar derinyje su MTX) lyginamas su šiuo metu PsA II-os eilės gydymui Lietuvoje kompensuojamais IL inhibitoriais sekukinumabu ir ustekinumabu</w:t>
      </w:r>
      <w:r w:rsidR="00D1611D">
        <w:rPr>
          <w:rFonts w:eastAsia="Arial"/>
        </w:rPr>
        <w:t xml:space="preserve"> (Tvarkos apraše nurodomi kaip IL inhibitoriai).</w:t>
      </w:r>
    </w:p>
    <w:p w14:paraId="7621BADA" w14:textId="77777777" w:rsidR="00D1611D" w:rsidRDefault="00D1611D" w:rsidP="00A93AA6">
      <w:pPr>
        <w:pStyle w:val="ListParagraph"/>
        <w:tabs>
          <w:tab w:val="left" w:pos="426"/>
        </w:tabs>
        <w:ind w:left="0"/>
      </w:pPr>
    </w:p>
    <w:p w14:paraId="5715147B" w14:textId="6D7A8D99" w:rsidR="008075B7" w:rsidRPr="008075B7" w:rsidRDefault="00216CE2" w:rsidP="00A93AA6">
      <w:pPr>
        <w:pStyle w:val="ListParagraph"/>
        <w:tabs>
          <w:tab w:val="left" w:pos="426"/>
        </w:tabs>
        <w:ind w:left="0"/>
        <w:rPr>
          <w:i/>
          <w:iCs/>
          <w:u w:val="single"/>
        </w:rPr>
      </w:pPr>
      <w:r>
        <w:rPr>
          <w:i/>
          <w:iCs/>
          <w:u w:val="single"/>
        </w:rPr>
        <w:t>Tiesioginis palyginimas</w:t>
      </w:r>
    </w:p>
    <w:p w14:paraId="71108C9C" w14:textId="68F0B3B2" w:rsidR="00D1611D" w:rsidRPr="00D31A86" w:rsidRDefault="00D1611D" w:rsidP="00D31A86">
      <w:pPr>
        <w:pStyle w:val="Tekstas"/>
        <w:spacing w:line="276" w:lineRule="auto"/>
        <w:ind w:firstLine="720"/>
        <w:rPr>
          <w:rFonts w:eastAsia="Arial"/>
        </w:rPr>
      </w:pPr>
      <w:r w:rsidRPr="003C26B8">
        <w:rPr>
          <w:rFonts w:eastAsia="Arial"/>
          <w:bCs/>
        </w:rPr>
        <w:t xml:space="preserve">Palyginamajam efektyvumui ir klinikiniam veiksmingumui įvertinti </w:t>
      </w:r>
      <w:r>
        <w:rPr>
          <w:rFonts w:eastAsia="Arial"/>
          <w:bCs/>
        </w:rPr>
        <w:t>pareiškėjas pateikė du tiesioginius klinikinius tyrimus. Tyrimas DISCOVER-</w:t>
      </w:r>
      <w:r>
        <w:rPr>
          <w:rFonts w:eastAsia="Arial"/>
          <w:bCs/>
          <w:lang w:val="en-US"/>
        </w:rPr>
        <w:t xml:space="preserve">1, tai </w:t>
      </w:r>
      <w:proofErr w:type="spellStart"/>
      <w:r>
        <w:rPr>
          <w:rFonts w:eastAsia="Arial"/>
          <w:bCs/>
          <w:lang w:val="en-US"/>
        </w:rPr>
        <w:t>multicentrinis</w:t>
      </w:r>
      <w:proofErr w:type="spellEnd"/>
      <w:r>
        <w:rPr>
          <w:rFonts w:eastAsia="Arial"/>
          <w:bCs/>
          <w:lang w:val="en-US"/>
        </w:rPr>
        <w:t xml:space="preserve">, </w:t>
      </w:r>
      <w:proofErr w:type="spellStart"/>
      <w:r>
        <w:rPr>
          <w:rFonts w:eastAsia="Arial"/>
          <w:bCs/>
          <w:lang w:val="en-US"/>
        </w:rPr>
        <w:t>randomizuotas</w:t>
      </w:r>
      <w:proofErr w:type="spellEnd"/>
      <w:r>
        <w:rPr>
          <w:rFonts w:eastAsia="Arial"/>
          <w:bCs/>
          <w:lang w:val="en-US"/>
        </w:rPr>
        <w:t xml:space="preserve">, 3 </w:t>
      </w:r>
      <w:proofErr w:type="spellStart"/>
      <w:r>
        <w:rPr>
          <w:rFonts w:eastAsia="Arial"/>
          <w:bCs/>
          <w:lang w:val="en-US"/>
        </w:rPr>
        <w:t>faz</w:t>
      </w:r>
      <w:proofErr w:type="spellEnd"/>
      <w:r>
        <w:rPr>
          <w:rFonts w:eastAsia="Arial"/>
          <w:bCs/>
        </w:rPr>
        <w:t xml:space="preserve">ės placebu kontroliuojamas, dvigubai aklas. Į tyrimą įtraukti aktyviu pas sergantys suaugusieji, kuriems buvo nustatytas nepakankamas ligos atsakas į standartinį gydymą ligą modifikuojančiais vaistais. Apie </w:t>
      </w:r>
      <w:r w:rsidRPr="009100D4">
        <w:rPr>
          <w:rFonts w:eastAsia="Arial"/>
          <w:bCs/>
        </w:rPr>
        <w:t xml:space="preserve">30 proc. </w:t>
      </w:r>
      <w:r>
        <w:rPr>
          <w:rFonts w:eastAsia="Arial"/>
          <w:bCs/>
        </w:rPr>
        <w:t xml:space="preserve">Į tyrimą įtrauktų pacientų buvo buvo gydyti </w:t>
      </w:r>
      <w:r w:rsidRPr="009100D4">
        <w:rPr>
          <w:rFonts w:eastAsia="Arial"/>
          <w:bCs/>
        </w:rPr>
        <w:t>2 skirtingais TNF al</w:t>
      </w:r>
      <w:r>
        <w:rPr>
          <w:rFonts w:eastAsia="Arial"/>
          <w:bCs/>
        </w:rPr>
        <w:t xml:space="preserve">fa inhibitoriais. </w:t>
      </w:r>
      <w:r>
        <w:t xml:space="preserve">DISCOVER-1 tyrime buvo atitinkamai 381 pacientai, kuriems 0-inę ir 4-ąją savaitę, o paskui kas 8 savaites (K8S) buvo skiriama 100 mg guselkumabo arba buvo skiriama 100 mg guselkumabo kas </w:t>
      </w:r>
      <w:r w:rsidRPr="006F09DC">
        <w:t xml:space="preserve">4 </w:t>
      </w:r>
      <w:r>
        <w:t xml:space="preserve">savaites (K4S), arba placebas. Kitas vertinimui pateiktas tiesioginis tyrimas buvo COSMOS, tai </w:t>
      </w:r>
      <w:r w:rsidRPr="00C85EE2">
        <w:t>IIIb fazės randomizuot</w:t>
      </w:r>
      <w:r>
        <w:t>as</w:t>
      </w:r>
      <w:r w:rsidRPr="00C85EE2">
        <w:t>, atsitiktinių imčių, dvigubai koduot</w:t>
      </w:r>
      <w:r>
        <w:t>as</w:t>
      </w:r>
      <w:r w:rsidRPr="00C85EE2">
        <w:t>, placebu kontroliuojam</w:t>
      </w:r>
      <w:r>
        <w:t xml:space="preserve">as tyrimas, kurio </w:t>
      </w:r>
      <w:r w:rsidRPr="00C85EE2">
        <w:t xml:space="preserve">populiacija </w:t>
      </w:r>
      <w:r>
        <w:t>buvo</w:t>
      </w:r>
      <w:r w:rsidRPr="00C85EE2">
        <w:t xml:space="preserve"> biologine terapija gydyti</w:t>
      </w:r>
      <w:r>
        <w:t xml:space="preserve"> (TNF alfa inhibitoriais)</w:t>
      </w:r>
      <w:r w:rsidRPr="00C85EE2">
        <w:t xml:space="preserve"> </w:t>
      </w:r>
      <w:r>
        <w:t>PsA sergantys</w:t>
      </w:r>
      <w:r w:rsidRPr="00C85EE2">
        <w:t xml:space="preserve"> pacientai</w:t>
      </w:r>
      <w:r>
        <w:t xml:space="preserve">. Tyrime guselkumabas buvo lygintas su placebu. Tiek tyrimas DICOVER-1, tiek tyrimas COSMOS detaliau nagrinėjami nebus, kadangi vertinama, jog šie tyrimai neatspindi Lietuvos situacijos, kadangi žinoma, </w:t>
      </w:r>
      <w:r>
        <w:lastRenderedPageBreak/>
        <w:t xml:space="preserve">jog Lietuvoje pas gydyti antrai biologinės terapijos eilei yra kompensuojamas aktyvus gydymas. </w:t>
      </w:r>
      <w:r w:rsidRPr="0083549F">
        <w:rPr>
          <w:rFonts w:eastAsia="Arial"/>
        </w:rPr>
        <w:t>Remiantis PsA gydymo vaistais, kurių įsigijimo išlaidos apmokamos privalomojo sveikatos draudimo fondo biudžeto lėšomis, tvarkos aprašu ir kompensuojamųjų vaistų sąrašais</w:t>
      </w:r>
      <w:r>
        <w:rPr>
          <w:rFonts w:eastAsia="Arial"/>
        </w:rPr>
        <w:t xml:space="preserve">, </w:t>
      </w:r>
      <w:r w:rsidRPr="0083549F">
        <w:rPr>
          <w:rFonts w:eastAsia="Arial"/>
        </w:rPr>
        <w:t>šiuo metu PsA II-os eilės gydymui Lietuvoje kompensuojamais IL inhibitoriais sekukinumabu ir ustekinumabu</w:t>
      </w:r>
      <w:r>
        <w:rPr>
          <w:rFonts w:eastAsia="Arial"/>
        </w:rPr>
        <w:t xml:space="preserve"> (Tvarkos apraše nurodomi kaip IL inhibitoriai).</w:t>
      </w:r>
    </w:p>
    <w:p w14:paraId="133DBC4A" w14:textId="19F542CE" w:rsidR="00CB1C5E" w:rsidRDefault="00CB1C5E" w:rsidP="00CB1C5E">
      <w:pPr>
        <w:tabs>
          <w:tab w:val="left" w:pos="426"/>
        </w:tabs>
        <w:spacing w:line="276" w:lineRule="auto"/>
        <w:jc w:val="both"/>
        <w:rPr>
          <w:i/>
          <w:iCs/>
          <w:u w:val="single"/>
        </w:rPr>
      </w:pPr>
      <w:r w:rsidRPr="00CB1C5E">
        <w:rPr>
          <w:i/>
          <w:iCs/>
          <w:u w:val="single"/>
        </w:rPr>
        <w:t xml:space="preserve">Netiesioginis palyginimas </w:t>
      </w:r>
    </w:p>
    <w:p w14:paraId="4CAD8BD1" w14:textId="273D8937" w:rsidR="00D31A86" w:rsidRDefault="00771743" w:rsidP="00D31A86">
      <w:pPr>
        <w:pStyle w:val="Tekstas"/>
        <w:spacing w:line="276" w:lineRule="auto"/>
        <w:ind w:firstLine="360"/>
      </w:pPr>
      <w:r>
        <w:rPr>
          <w:bCs/>
          <w:lang w:eastAsia="lt-LT"/>
        </w:rPr>
        <w:tab/>
      </w:r>
      <w:r w:rsidR="002A5FC9" w:rsidRPr="002A5FC9">
        <w:rPr>
          <w:bCs/>
          <w:highlight w:val="lightGray"/>
          <w:lang w:val="en-US" w:eastAsia="lt-LT"/>
        </w:rPr>
        <w:t>****</w:t>
      </w:r>
      <w:r w:rsidR="00D31A86">
        <w:t xml:space="preserve"> </w:t>
      </w:r>
    </w:p>
    <w:p w14:paraId="05435903" w14:textId="77777777" w:rsidR="008651E2" w:rsidRPr="006D4C85" w:rsidRDefault="008651E2" w:rsidP="00A93AA6">
      <w:pPr>
        <w:pStyle w:val="ListParagraph"/>
        <w:tabs>
          <w:tab w:val="left" w:pos="426"/>
        </w:tabs>
        <w:ind w:left="0"/>
        <w:rPr>
          <w:b/>
          <w:bCs/>
          <w:caps/>
        </w:rPr>
      </w:pPr>
    </w:p>
    <w:p w14:paraId="7DE09EB5" w14:textId="04C72FFD" w:rsidR="00E03C3F" w:rsidRPr="00A93AA6" w:rsidRDefault="00CC7832" w:rsidP="00937907">
      <w:pPr>
        <w:pStyle w:val="ListParagraph"/>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1A900598" w14:textId="65638B29" w:rsidR="00C62B36" w:rsidRPr="00216CE2" w:rsidRDefault="00C62B36" w:rsidP="00A93AA6">
      <w:pPr>
        <w:tabs>
          <w:tab w:val="left" w:pos="426"/>
        </w:tabs>
        <w:rPr>
          <w:i/>
          <w:color w:val="000000" w:themeColor="text1"/>
          <w:sz w:val="22"/>
          <w:szCs w:val="22"/>
        </w:rPr>
      </w:pPr>
    </w:p>
    <w:p w14:paraId="7F58BF4D" w14:textId="3092542E" w:rsidR="005648CF" w:rsidRDefault="00216CE2" w:rsidP="00083C68">
      <w:pPr>
        <w:tabs>
          <w:tab w:val="left" w:pos="709"/>
        </w:tabs>
        <w:spacing w:line="276" w:lineRule="auto"/>
        <w:jc w:val="both"/>
        <w:rPr>
          <w:b/>
          <w:bCs/>
          <w:caps/>
        </w:rPr>
      </w:pPr>
      <w:r>
        <w:tab/>
      </w:r>
      <w:r w:rsidR="005648CF">
        <w:t xml:space="preserve">Pareiškėjas </w:t>
      </w:r>
      <w:r w:rsidR="005648CF" w:rsidRPr="009D0859">
        <w:rPr>
          <w:rFonts w:eastAsia="Arial"/>
        </w:rPr>
        <w:t>guselkumabo</w:t>
      </w:r>
      <w:r w:rsidR="005648CF">
        <w:t xml:space="preserve"> kompensavimui teikia indikaciją su skyrimo sąlyga: </w:t>
      </w:r>
      <w:r w:rsidR="005648CF" w:rsidRPr="009D0859">
        <w:rPr>
          <w:rFonts w:eastAsia="Arial"/>
        </w:rPr>
        <w:t xml:space="preserve">Tremfya, vartojamas vienas ar derinyje su metotreksatu (MTX), yra skirtas aktyvaus psoriazinio artrito gydymui suaugusiems pacientams, kuriems pasireiškė nepakankamas atsakas į anksčiau taikytą gydymą ligos eigą modifikuojančiu </w:t>
      </w:r>
      <w:r w:rsidR="005648CF" w:rsidRPr="009D0859">
        <w:rPr>
          <w:rFonts w:eastAsia="Arial"/>
          <w:b/>
        </w:rPr>
        <w:t>biologiniu vaistiniu preparatu</w:t>
      </w:r>
      <w:r w:rsidR="005648CF" w:rsidRPr="009D0859">
        <w:rPr>
          <w:rFonts w:eastAsia="Arial"/>
        </w:rPr>
        <w:t xml:space="preserve"> nuo reumato arba kurie tokio gydymo netoleravo.</w:t>
      </w:r>
    </w:p>
    <w:p w14:paraId="0AAFDAF9" w14:textId="77777777" w:rsidR="005648CF" w:rsidRDefault="005648CF" w:rsidP="00083C68">
      <w:pPr>
        <w:tabs>
          <w:tab w:val="left" w:pos="709"/>
        </w:tabs>
        <w:spacing w:line="276" w:lineRule="auto"/>
        <w:jc w:val="both"/>
        <w:rPr>
          <w:b/>
          <w:bCs/>
          <w:caps/>
        </w:rPr>
      </w:pPr>
      <w:r>
        <w:rPr>
          <w:rFonts w:eastAsia="Arial"/>
        </w:rPr>
        <w:tab/>
      </w:r>
      <w:r w:rsidRPr="009D0859">
        <w:rPr>
          <w:rFonts w:eastAsia="Arial"/>
        </w:rPr>
        <w:t>Guselkumab</w:t>
      </w:r>
      <w:r>
        <w:t>o klinikinio veiksmingumo populiacijos atitinkančios skyrimo sąlygą (s</w:t>
      </w:r>
      <w:r w:rsidRPr="00FD53A8">
        <w:t xml:space="preserve">uaugę pacientai, </w:t>
      </w:r>
      <w:r w:rsidRPr="007A21BB">
        <w:t>sergantys aktyviu psoriaziniu artritu, kurie nepasiekė atsako į bent vieną taikytą  bDMARD) klinikiniai duomenys  įtraukti iš III fazės DISCOVER-1 klinikinio tyrimo</w:t>
      </w:r>
      <w:r>
        <w:t xml:space="preserve">. </w:t>
      </w:r>
      <w:r w:rsidRPr="007A21BB">
        <w:t>Taip pat, įtraukti IIIb fazės randomizuoto, atsitiktinių imčių, dvigubai koduoto, placebu kontroliuojamo guselkumabo klinikinio tyrimo COSMOS duomenys, kurio tiriamoji populiacija yra biologine terapija gydyti psoriaziniu artritu sergantys pacientai. Lyginant klinikinį efektyvumą ir saugumą tarp palyginamųjų, kaštų analizėje duomenys įtraukti iš netiesioginio palyginimo tinklinės meta analizės.</w:t>
      </w:r>
    </w:p>
    <w:p w14:paraId="17702873" w14:textId="77777777" w:rsidR="005648CF" w:rsidRDefault="005648CF" w:rsidP="00083C68">
      <w:pPr>
        <w:tabs>
          <w:tab w:val="left" w:pos="709"/>
        </w:tabs>
        <w:spacing w:line="276" w:lineRule="auto"/>
        <w:jc w:val="both"/>
        <w:rPr>
          <w:rFonts w:eastAsia="Arial"/>
        </w:rPr>
      </w:pPr>
      <w:r>
        <w:rPr>
          <w:rFonts w:eastAsia="Arial"/>
        </w:rPr>
        <w:tab/>
        <w:t>P</w:t>
      </w:r>
      <w:r w:rsidRPr="009D0859">
        <w:rPr>
          <w:rFonts w:eastAsia="Arial"/>
        </w:rPr>
        <w:t xml:space="preserve">irminė paraiška pateikta guselkumabo kaštų naudingumui įvertinti. Pareiškėjo pateiktas modelis tinkamas sveikatai sukuriamai naudai vertinti (QALYS), laikoma, kad visi esminiai kaštai įtraukti ir prielaidos bei joms taikyti šaltiniai yra pagrįsti (ICER apskaičiavimui). Atsižvelgiant, kad atnaujinus paraišką Pareiškėjas </w:t>
      </w:r>
      <w:r>
        <w:t xml:space="preserve">guselkumabo </w:t>
      </w:r>
      <w:r w:rsidRPr="009D0859">
        <w:rPr>
          <w:rFonts w:eastAsia="Arial"/>
        </w:rPr>
        <w:t>kompensavimui teikia kaštų mažinimo perspektyvos analizę, bei vaistinių preparatų įsigijimo kaštai lemia esminius kaštų skirtumus, Tarnyba vertina vaistinių preparatų įsigijimo kaštus penkerių metų laikotarpiu lyginant su sekukinumabu. Pareiškėjui pateiktus Lietuvai taikomą guselkumabo kainos nuolaidą, vertinamuoju laikotarpiu, guselkumabo kaštai mažesni nei sekukinumabo (pritaikius konfidencialią sekukinumabo PGS).</w:t>
      </w:r>
    </w:p>
    <w:p w14:paraId="44CC7AC6" w14:textId="77777777" w:rsidR="005648CF" w:rsidRDefault="005648CF" w:rsidP="005648CF">
      <w:pPr>
        <w:tabs>
          <w:tab w:val="left" w:pos="426"/>
        </w:tabs>
        <w:jc w:val="both"/>
        <w:rPr>
          <w:rFonts w:eastAsia="Arial"/>
        </w:rPr>
      </w:pPr>
      <w:r>
        <w:rPr>
          <w:rFonts w:eastAsia="Arial"/>
        </w:rPr>
        <w:tab/>
      </w:r>
    </w:p>
    <w:p w14:paraId="738EE434" w14:textId="77777777" w:rsidR="005648CF" w:rsidRDefault="005648CF" w:rsidP="005648CF">
      <w:pPr>
        <w:tabs>
          <w:tab w:val="left" w:pos="426"/>
        </w:tabs>
        <w:jc w:val="both"/>
        <w:rPr>
          <w:rFonts w:eastAsia="Arial"/>
          <w:b/>
        </w:rPr>
      </w:pPr>
      <w:r>
        <w:rPr>
          <w:rFonts w:eastAsia="Arial"/>
          <w:b/>
        </w:rPr>
        <w:t>Pagrindinis ekonominės analizės rezultatas</w:t>
      </w:r>
    </w:p>
    <w:p w14:paraId="4BD59CC5" w14:textId="77777777" w:rsidR="005648CF" w:rsidRDefault="005648CF" w:rsidP="005648CF">
      <w:pPr>
        <w:tabs>
          <w:tab w:val="left" w:pos="426"/>
        </w:tabs>
        <w:jc w:val="both"/>
        <w:rPr>
          <w:rFonts w:eastAsia="Arial"/>
          <w:b/>
        </w:rPr>
      </w:pPr>
    </w:p>
    <w:tbl>
      <w:tblPr>
        <w:tblStyle w:val="TableGrid"/>
        <w:tblW w:w="9580" w:type="dxa"/>
        <w:tblLook w:val="04A0" w:firstRow="1" w:lastRow="0" w:firstColumn="1" w:lastColumn="0" w:noHBand="0" w:noVBand="1"/>
      </w:tblPr>
      <w:tblGrid>
        <w:gridCol w:w="2659"/>
        <w:gridCol w:w="1207"/>
        <w:gridCol w:w="1513"/>
        <w:gridCol w:w="1252"/>
        <w:gridCol w:w="1513"/>
        <w:gridCol w:w="1436"/>
      </w:tblGrid>
      <w:tr w:rsidR="005648CF" w:rsidRPr="00E77A5C" w14:paraId="21B83ECA" w14:textId="77777777" w:rsidTr="00F414C7">
        <w:trPr>
          <w:trHeight w:val="260"/>
        </w:trPr>
        <w:tc>
          <w:tcPr>
            <w:tcW w:w="2659" w:type="dxa"/>
            <w:noWrap/>
            <w:hideMark/>
          </w:tcPr>
          <w:p w14:paraId="5CEC1166" w14:textId="77777777" w:rsidR="005648CF" w:rsidRPr="00E77A5C" w:rsidRDefault="005648CF" w:rsidP="00F414C7">
            <w:pPr>
              <w:rPr>
                <w:sz w:val="22"/>
                <w:szCs w:val="22"/>
              </w:rPr>
            </w:pPr>
            <w:r w:rsidRPr="00E77A5C">
              <w:rPr>
                <w:sz w:val="22"/>
                <w:szCs w:val="22"/>
              </w:rPr>
              <w:t>Vaistas</w:t>
            </w:r>
          </w:p>
        </w:tc>
        <w:tc>
          <w:tcPr>
            <w:tcW w:w="1207" w:type="dxa"/>
            <w:noWrap/>
            <w:hideMark/>
          </w:tcPr>
          <w:p w14:paraId="67645C1B" w14:textId="77777777" w:rsidR="005648CF" w:rsidRPr="00E77A5C" w:rsidRDefault="005648CF" w:rsidP="00F414C7">
            <w:pPr>
              <w:jc w:val="center"/>
              <w:rPr>
                <w:sz w:val="22"/>
                <w:szCs w:val="22"/>
              </w:rPr>
            </w:pPr>
            <w:r w:rsidRPr="00E77A5C">
              <w:rPr>
                <w:sz w:val="22"/>
                <w:szCs w:val="22"/>
              </w:rPr>
              <w:t xml:space="preserve">Inj. sk. </w:t>
            </w:r>
          </w:p>
          <w:p w14:paraId="102E60C9" w14:textId="77777777" w:rsidR="005648CF" w:rsidRPr="00E77A5C" w:rsidRDefault="005648CF" w:rsidP="00F414C7">
            <w:pPr>
              <w:jc w:val="center"/>
              <w:rPr>
                <w:sz w:val="22"/>
                <w:szCs w:val="22"/>
              </w:rPr>
            </w:pPr>
            <w:r w:rsidRPr="00E77A5C">
              <w:rPr>
                <w:sz w:val="22"/>
                <w:szCs w:val="22"/>
              </w:rPr>
              <w:t>1, 2 ir 4-ais metais</w:t>
            </w:r>
          </w:p>
        </w:tc>
        <w:tc>
          <w:tcPr>
            <w:tcW w:w="1512" w:type="dxa"/>
            <w:noWrap/>
            <w:hideMark/>
          </w:tcPr>
          <w:p w14:paraId="5E43C4DA" w14:textId="77777777" w:rsidR="005648CF" w:rsidRPr="00E77A5C" w:rsidRDefault="005648CF" w:rsidP="00F414C7">
            <w:pPr>
              <w:jc w:val="center"/>
              <w:rPr>
                <w:sz w:val="22"/>
                <w:szCs w:val="22"/>
              </w:rPr>
            </w:pPr>
            <w:r w:rsidRPr="00E77A5C">
              <w:rPr>
                <w:sz w:val="22"/>
                <w:szCs w:val="22"/>
              </w:rPr>
              <w:t>G</w:t>
            </w:r>
            <w:r>
              <w:rPr>
                <w:sz w:val="22"/>
                <w:szCs w:val="22"/>
              </w:rPr>
              <w:t>ydymo kaina, Eur.</w:t>
            </w:r>
          </w:p>
        </w:tc>
        <w:tc>
          <w:tcPr>
            <w:tcW w:w="1252" w:type="dxa"/>
            <w:noWrap/>
            <w:hideMark/>
          </w:tcPr>
          <w:p w14:paraId="68E3C41F" w14:textId="77777777" w:rsidR="005648CF" w:rsidRPr="00E77A5C" w:rsidRDefault="005648CF" w:rsidP="00F414C7">
            <w:pPr>
              <w:jc w:val="center"/>
              <w:rPr>
                <w:sz w:val="22"/>
                <w:szCs w:val="22"/>
              </w:rPr>
            </w:pPr>
            <w:r w:rsidRPr="00E77A5C">
              <w:rPr>
                <w:sz w:val="22"/>
                <w:szCs w:val="22"/>
              </w:rPr>
              <w:t>Inj. sk. 3, 5-ais metais</w:t>
            </w:r>
          </w:p>
        </w:tc>
        <w:tc>
          <w:tcPr>
            <w:tcW w:w="1512" w:type="dxa"/>
            <w:noWrap/>
            <w:hideMark/>
          </w:tcPr>
          <w:p w14:paraId="04E7CCCE" w14:textId="77777777" w:rsidR="005648CF" w:rsidRPr="00E77A5C" w:rsidRDefault="005648CF" w:rsidP="00F414C7">
            <w:pPr>
              <w:jc w:val="center"/>
              <w:rPr>
                <w:sz w:val="22"/>
                <w:szCs w:val="22"/>
              </w:rPr>
            </w:pPr>
            <w:r w:rsidRPr="00E77A5C">
              <w:rPr>
                <w:sz w:val="22"/>
                <w:szCs w:val="22"/>
              </w:rPr>
              <w:t>Gydymo kaina</w:t>
            </w:r>
            <w:r>
              <w:rPr>
                <w:sz w:val="22"/>
                <w:szCs w:val="22"/>
              </w:rPr>
              <w:t>, Eur.</w:t>
            </w:r>
          </w:p>
        </w:tc>
        <w:tc>
          <w:tcPr>
            <w:tcW w:w="1436" w:type="dxa"/>
            <w:noWrap/>
            <w:hideMark/>
          </w:tcPr>
          <w:p w14:paraId="4BA8B1C2" w14:textId="77777777" w:rsidR="005648CF" w:rsidRPr="00E77A5C" w:rsidRDefault="005648CF" w:rsidP="00F414C7">
            <w:pPr>
              <w:jc w:val="center"/>
              <w:rPr>
                <w:sz w:val="22"/>
                <w:szCs w:val="22"/>
              </w:rPr>
            </w:pPr>
            <w:r w:rsidRPr="00E77A5C">
              <w:rPr>
                <w:sz w:val="22"/>
                <w:szCs w:val="22"/>
              </w:rPr>
              <w:t>1-5-tų metų gydymo kaina</w:t>
            </w:r>
            <w:r>
              <w:rPr>
                <w:sz w:val="22"/>
                <w:szCs w:val="22"/>
              </w:rPr>
              <w:t>, Eur.</w:t>
            </w:r>
          </w:p>
        </w:tc>
      </w:tr>
      <w:tr w:rsidR="005648CF" w:rsidRPr="00E77A5C" w14:paraId="41E9AF9B" w14:textId="77777777" w:rsidTr="00F414C7">
        <w:trPr>
          <w:trHeight w:val="260"/>
        </w:trPr>
        <w:tc>
          <w:tcPr>
            <w:tcW w:w="2659" w:type="dxa"/>
            <w:noWrap/>
            <w:hideMark/>
          </w:tcPr>
          <w:p w14:paraId="344D80A8" w14:textId="77777777" w:rsidR="005648CF" w:rsidRPr="00E77A5C" w:rsidRDefault="005648CF" w:rsidP="00F414C7">
            <w:pPr>
              <w:rPr>
                <w:sz w:val="22"/>
                <w:szCs w:val="22"/>
              </w:rPr>
            </w:pPr>
            <w:r w:rsidRPr="00E77A5C">
              <w:rPr>
                <w:sz w:val="22"/>
                <w:szCs w:val="22"/>
              </w:rPr>
              <w:t>Guselkumabas 100 mg kas 8 sav.</w:t>
            </w:r>
          </w:p>
        </w:tc>
        <w:tc>
          <w:tcPr>
            <w:tcW w:w="1207" w:type="dxa"/>
            <w:noWrap/>
            <w:vAlign w:val="center"/>
            <w:hideMark/>
          </w:tcPr>
          <w:p w14:paraId="1C4D8C7E" w14:textId="77777777" w:rsidR="005648CF" w:rsidRPr="00E77A5C" w:rsidRDefault="005648CF" w:rsidP="00F414C7">
            <w:pPr>
              <w:jc w:val="center"/>
              <w:rPr>
                <w:sz w:val="22"/>
                <w:szCs w:val="22"/>
              </w:rPr>
            </w:pPr>
            <w:r w:rsidRPr="00E77A5C">
              <w:rPr>
                <w:sz w:val="22"/>
                <w:szCs w:val="22"/>
              </w:rPr>
              <w:t>7</w:t>
            </w:r>
          </w:p>
        </w:tc>
        <w:tc>
          <w:tcPr>
            <w:tcW w:w="1512" w:type="dxa"/>
            <w:noWrap/>
            <w:vAlign w:val="center"/>
            <w:hideMark/>
          </w:tcPr>
          <w:p w14:paraId="661380FB" w14:textId="7EC13762" w:rsidR="005648CF" w:rsidRPr="007A52A3" w:rsidRDefault="007A52A3" w:rsidP="00F414C7">
            <w:pPr>
              <w:jc w:val="center"/>
              <w:rPr>
                <w:sz w:val="22"/>
                <w:szCs w:val="22"/>
                <w:lang w:val="en-US"/>
              </w:rPr>
            </w:pPr>
            <w:r w:rsidRPr="008A786A">
              <w:rPr>
                <w:sz w:val="22"/>
                <w:szCs w:val="22"/>
                <w:highlight w:val="lightGray"/>
                <w:lang w:val="en-US"/>
              </w:rPr>
              <w:t>*****</w:t>
            </w:r>
          </w:p>
        </w:tc>
        <w:tc>
          <w:tcPr>
            <w:tcW w:w="1252" w:type="dxa"/>
            <w:noWrap/>
            <w:vAlign w:val="center"/>
            <w:hideMark/>
          </w:tcPr>
          <w:p w14:paraId="15481AC4" w14:textId="77777777" w:rsidR="005648CF" w:rsidRPr="00E77A5C" w:rsidRDefault="005648CF" w:rsidP="00F414C7">
            <w:pPr>
              <w:jc w:val="center"/>
              <w:rPr>
                <w:sz w:val="22"/>
                <w:szCs w:val="22"/>
              </w:rPr>
            </w:pPr>
            <w:r w:rsidRPr="00E77A5C">
              <w:rPr>
                <w:sz w:val="22"/>
                <w:szCs w:val="22"/>
              </w:rPr>
              <w:t>6</w:t>
            </w:r>
          </w:p>
        </w:tc>
        <w:tc>
          <w:tcPr>
            <w:tcW w:w="1512" w:type="dxa"/>
            <w:noWrap/>
            <w:vAlign w:val="center"/>
            <w:hideMark/>
          </w:tcPr>
          <w:p w14:paraId="0A37952B" w14:textId="28C6506B" w:rsidR="005648CF" w:rsidRPr="00E77A5C" w:rsidRDefault="007A52A3" w:rsidP="00F414C7">
            <w:pPr>
              <w:jc w:val="center"/>
              <w:rPr>
                <w:sz w:val="22"/>
                <w:szCs w:val="22"/>
              </w:rPr>
            </w:pPr>
            <w:r w:rsidRPr="008A786A">
              <w:rPr>
                <w:sz w:val="22"/>
                <w:szCs w:val="22"/>
                <w:highlight w:val="lightGray"/>
                <w:lang w:val="en-US"/>
              </w:rPr>
              <w:t>*****</w:t>
            </w:r>
          </w:p>
        </w:tc>
        <w:tc>
          <w:tcPr>
            <w:tcW w:w="1436" w:type="dxa"/>
            <w:noWrap/>
            <w:vAlign w:val="center"/>
            <w:hideMark/>
          </w:tcPr>
          <w:p w14:paraId="00B52F71" w14:textId="579AF3B6" w:rsidR="005648CF" w:rsidRPr="00E77A5C" w:rsidRDefault="007A52A3" w:rsidP="00F414C7">
            <w:pPr>
              <w:jc w:val="center"/>
              <w:rPr>
                <w:b/>
                <w:sz w:val="22"/>
                <w:szCs w:val="22"/>
                <w:highlight w:val="yellow"/>
              </w:rPr>
            </w:pPr>
            <w:r w:rsidRPr="008A786A">
              <w:rPr>
                <w:sz w:val="22"/>
                <w:szCs w:val="22"/>
                <w:highlight w:val="lightGray"/>
                <w:lang w:val="en-US"/>
              </w:rPr>
              <w:t>*****</w:t>
            </w:r>
          </w:p>
        </w:tc>
      </w:tr>
      <w:tr w:rsidR="005648CF" w:rsidRPr="00E77A5C" w14:paraId="6D9B5F45" w14:textId="77777777" w:rsidTr="00F414C7">
        <w:trPr>
          <w:trHeight w:val="260"/>
        </w:trPr>
        <w:tc>
          <w:tcPr>
            <w:tcW w:w="2659" w:type="dxa"/>
            <w:noWrap/>
            <w:hideMark/>
          </w:tcPr>
          <w:p w14:paraId="3D02B7EF" w14:textId="77777777" w:rsidR="005648CF" w:rsidRDefault="005648CF" w:rsidP="00F414C7">
            <w:pPr>
              <w:rPr>
                <w:sz w:val="22"/>
                <w:szCs w:val="22"/>
              </w:rPr>
            </w:pPr>
            <w:r w:rsidRPr="00E77A5C">
              <w:rPr>
                <w:sz w:val="22"/>
                <w:szCs w:val="22"/>
              </w:rPr>
              <w:t xml:space="preserve">Guselkumabas 100 mg </w:t>
            </w:r>
          </w:p>
          <w:p w14:paraId="2C571CF9" w14:textId="77777777" w:rsidR="005648CF" w:rsidRPr="00E77A5C" w:rsidRDefault="005648CF" w:rsidP="00F414C7">
            <w:pPr>
              <w:rPr>
                <w:sz w:val="22"/>
                <w:szCs w:val="22"/>
              </w:rPr>
            </w:pPr>
            <w:r w:rsidRPr="00E77A5C">
              <w:rPr>
                <w:sz w:val="22"/>
                <w:szCs w:val="22"/>
              </w:rPr>
              <w:t>kas 4 sav.</w:t>
            </w:r>
          </w:p>
        </w:tc>
        <w:tc>
          <w:tcPr>
            <w:tcW w:w="1207" w:type="dxa"/>
            <w:noWrap/>
            <w:vAlign w:val="center"/>
            <w:hideMark/>
          </w:tcPr>
          <w:p w14:paraId="24FF4B6F" w14:textId="77777777" w:rsidR="005648CF" w:rsidRPr="00E77A5C" w:rsidRDefault="005648CF" w:rsidP="00F414C7">
            <w:pPr>
              <w:jc w:val="center"/>
              <w:rPr>
                <w:sz w:val="22"/>
                <w:szCs w:val="22"/>
              </w:rPr>
            </w:pPr>
            <w:r w:rsidRPr="00E77A5C">
              <w:rPr>
                <w:sz w:val="22"/>
                <w:szCs w:val="22"/>
              </w:rPr>
              <w:t>13</w:t>
            </w:r>
          </w:p>
        </w:tc>
        <w:tc>
          <w:tcPr>
            <w:tcW w:w="1512" w:type="dxa"/>
            <w:noWrap/>
            <w:vAlign w:val="center"/>
            <w:hideMark/>
          </w:tcPr>
          <w:p w14:paraId="70FDA608" w14:textId="06B042C0" w:rsidR="005648CF" w:rsidRPr="00E77A5C" w:rsidRDefault="007A52A3" w:rsidP="00F414C7">
            <w:pPr>
              <w:jc w:val="center"/>
              <w:rPr>
                <w:sz w:val="22"/>
                <w:szCs w:val="22"/>
              </w:rPr>
            </w:pPr>
            <w:r w:rsidRPr="008A786A">
              <w:rPr>
                <w:sz w:val="22"/>
                <w:szCs w:val="22"/>
                <w:highlight w:val="lightGray"/>
                <w:lang w:val="en-US"/>
              </w:rPr>
              <w:t>*****</w:t>
            </w:r>
          </w:p>
        </w:tc>
        <w:tc>
          <w:tcPr>
            <w:tcW w:w="1252" w:type="dxa"/>
            <w:noWrap/>
            <w:vAlign w:val="center"/>
            <w:hideMark/>
          </w:tcPr>
          <w:p w14:paraId="4DD77066" w14:textId="77777777" w:rsidR="005648CF" w:rsidRPr="00E77A5C" w:rsidRDefault="005648CF" w:rsidP="00F414C7">
            <w:pPr>
              <w:jc w:val="center"/>
              <w:rPr>
                <w:sz w:val="22"/>
                <w:szCs w:val="22"/>
              </w:rPr>
            </w:pPr>
            <w:r w:rsidRPr="00E77A5C">
              <w:rPr>
                <w:sz w:val="22"/>
                <w:szCs w:val="22"/>
              </w:rPr>
              <w:t>13</w:t>
            </w:r>
          </w:p>
        </w:tc>
        <w:tc>
          <w:tcPr>
            <w:tcW w:w="1512" w:type="dxa"/>
            <w:noWrap/>
            <w:vAlign w:val="center"/>
            <w:hideMark/>
          </w:tcPr>
          <w:p w14:paraId="5CFFDDAF" w14:textId="57118EAA" w:rsidR="005648CF" w:rsidRPr="00E77A5C" w:rsidRDefault="007A52A3" w:rsidP="00F414C7">
            <w:pPr>
              <w:jc w:val="center"/>
              <w:rPr>
                <w:sz w:val="22"/>
                <w:szCs w:val="22"/>
              </w:rPr>
            </w:pPr>
            <w:r w:rsidRPr="008A786A">
              <w:rPr>
                <w:sz w:val="22"/>
                <w:szCs w:val="22"/>
                <w:highlight w:val="lightGray"/>
                <w:lang w:val="en-US"/>
              </w:rPr>
              <w:t>*****</w:t>
            </w:r>
          </w:p>
        </w:tc>
        <w:tc>
          <w:tcPr>
            <w:tcW w:w="1436" w:type="dxa"/>
            <w:noWrap/>
            <w:vAlign w:val="center"/>
            <w:hideMark/>
          </w:tcPr>
          <w:p w14:paraId="12DAC3EF" w14:textId="6E8472CB" w:rsidR="005648CF" w:rsidRPr="00E77A5C" w:rsidRDefault="007A52A3" w:rsidP="00F414C7">
            <w:pPr>
              <w:jc w:val="center"/>
              <w:rPr>
                <w:sz w:val="22"/>
                <w:szCs w:val="22"/>
              </w:rPr>
            </w:pPr>
            <w:r w:rsidRPr="008A786A">
              <w:rPr>
                <w:sz w:val="22"/>
                <w:szCs w:val="22"/>
                <w:highlight w:val="lightGray"/>
                <w:lang w:val="en-US"/>
              </w:rPr>
              <w:t>*****</w:t>
            </w:r>
          </w:p>
        </w:tc>
      </w:tr>
      <w:tr w:rsidR="005648CF" w:rsidRPr="00E77A5C" w14:paraId="6A677285" w14:textId="77777777" w:rsidTr="00F414C7">
        <w:trPr>
          <w:trHeight w:val="260"/>
        </w:trPr>
        <w:tc>
          <w:tcPr>
            <w:tcW w:w="2659" w:type="dxa"/>
            <w:noWrap/>
            <w:hideMark/>
          </w:tcPr>
          <w:p w14:paraId="7CA2C3C9" w14:textId="77777777" w:rsidR="005648CF" w:rsidRDefault="005648CF" w:rsidP="00F414C7">
            <w:pPr>
              <w:rPr>
                <w:b/>
                <w:sz w:val="22"/>
                <w:szCs w:val="22"/>
              </w:rPr>
            </w:pPr>
            <w:r w:rsidRPr="00E77A5C">
              <w:rPr>
                <w:b/>
                <w:sz w:val="22"/>
                <w:szCs w:val="22"/>
              </w:rPr>
              <w:t xml:space="preserve">Guselkumabas </w:t>
            </w:r>
          </w:p>
          <w:p w14:paraId="0B3E019D" w14:textId="77777777" w:rsidR="005648CF" w:rsidRPr="00E77A5C" w:rsidRDefault="005648CF" w:rsidP="00F414C7">
            <w:pPr>
              <w:rPr>
                <w:b/>
                <w:sz w:val="22"/>
                <w:szCs w:val="22"/>
              </w:rPr>
            </w:pPr>
            <w:r w:rsidRPr="00E77A5C">
              <w:rPr>
                <w:b/>
                <w:sz w:val="22"/>
                <w:szCs w:val="22"/>
              </w:rPr>
              <w:t>(kas 8 ir 4 sav.)</w:t>
            </w:r>
          </w:p>
        </w:tc>
        <w:tc>
          <w:tcPr>
            <w:tcW w:w="2720" w:type="dxa"/>
            <w:gridSpan w:val="2"/>
            <w:noWrap/>
            <w:vAlign w:val="center"/>
            <w:hideMark/>
          </w:tcPr>
          <w:p w14:paraId="64D0A6CB" w14:textId="1A1C6CE6" w:rsidR="005648CF" w:rsidRPr="00E77A5C" w:rsidRDefault="007A52A3" w:rsidP="00F414C7">
            <w:pPr>
              <w:jc w:val="center"/>
              <w:rPr>
                <w:sz w:val="22"/>
                <w:szCs w:val="22"/>
              </w:rPr>
            </w:pPr>
            <w:r w:rsidRPr="008A786A">
              <w:rPr>
                <w:sz w:val="22"/>
                <w:szCs w:val="22"/>
                <w:highlight w:val="lightGray"/>
                <w:lang w:val="en-US"/>
              </w:rPr>
              <w:t>*****</w:t>
            </w:r>
            <w:r w:rsidR="005648CF" w:rsidRPr="008A786A">
              <w:rPr>
                <w:bCs/>
                <w:sz w:val="22"/>
                <w:szCs w:val="22"/>
                <w:highlight w:val="lightGray"/>
              </w:rPr>
              <w:t>Eur.</w:t>
            </w:r>
          </w:p>
        </w:tc>
        <w:tc>
          <w:tcPr>
            <w:tcW w:w="2765" w:type="dxa"/>
            <w:gridSpan w:val="2"/>
            <w:noWrap/>
            <w:vAlign w:val="center"/>
            <w:hideMark/>
          </w:tcPr>
          <w:p w14:paraId="339BB3E1" w14:textId="34B7663D" w:rsidR="005648CF" w:rsidRPr="00E77A5C" w:rsidRDefault="007A52A3" w:rsidP="00F414C7">
            <w:pPr>
              <w:jc w:val="center"/>
              <w:rPr>
                <w:sz w:val="22"/>
                <w:szCs w:val="22"/>
              </w:rPr>
            </w:pPr>
            <w:r w:rsidRPr="008A786A">
              <w:rPr>
                <w:sz w:val="22"/>
                <w:szCs w:val="22"/>
                <w:highlight w:val="lightGray"/>
                <w:lang w:val="en-US"/>
              </w:rPr>
              <w:t>*****</w:t>
            </w:r>
            <w:r w:rsidR="005648CF" w:rsidRPr="008A786A">
              <w:rPr>
                <w:sz w:val="22"/>
                <w:szCs w:val="22"/>
                <w:highlight w:val="lightGray"/>
              </w:rPr>
              <w:t>Eur.</w:t>
            </w:r>
          </w:p>
        </w:tc>
        <w:tc>
          <w:tcPr>
            <w:tcW w:w="1436" w:type="dxa"/>
            <w:noWrap/>
            <w:vAlign w:val="center"/>
            <w:hideMark/>
          </w:tcPr>
          <w:p w14:paraId="77509B6C" w14:textId="1644E2DB" w:rsidR="005648CF" w:rsidRPr="00E77A5C" w:rsidRDefault="007A52A3" w:rsidP="00F414C7">
            <w:pPr>
              <w:jc w:val="center"/>
              <w:rPr>
                <w:sz w:val="22"/>
                <w:szCs w:val="22"/>
                <w:lang w:val="en-US"/>
              </w:rPr>
            </w:pPr>
            <w:r w:rsidRPr="008A786A">
              <w:rPr>
                <w:sz w:val="22"/>
                <w:szCs w:val="22"/>
                <w:highlight w:val="lightGray"/>
                <w:lang w:val="en-US"/>
              </w:rPr>
              <w:t>*****</w:t>
            </w:r>
          </w:p>
        </w:tc>
      </w:tr>
      <w:tr w:rsidR="005648CF" w:rsidRPr="00E77A5C" w14:paraId="0DB5B5D3" w14:textId="77777777" w:rsidTr="00F414C7">
        <w:trPr>
          <w:trHeight w:val="260"/>
        </w:trPr>
        <w:tc>
          <w:tcPr>
            <w:tcW w:w="2659" w:type="dxa"/>
            <w:noWrap/>
            <w:hideMark/>
          </w:tcPr>
          <w:p w14:paraId="1DA154ED" w14:textId="77777777" w:rsidR="005648CF" w:rsidRPr="00E77A5C" w:rsidRDefault="005648CF" w:rsidP="00F414C7">
            <w:pPr>
              <w:rPr>
                <w:sz w:val="22"/>
                <w:szCs w:val="22"/>
              </w:rPr>
            </w:pPr>
            <w:r w:rsidRPr="00E77A5C">
              <w:rPr>
                <w:sz w:val="22"/>
                <w:szCs w:val="22"/>
              </w:rPr>
              <w:t>Sekukinumabas 300 mg</w:t>
            </w:r>
          </w:p>
        </w:tc>
        <w:tc>
          <w:tcPr>
            <w:tcW w:w="1207" w:type="dxa"/>
            <w:noWrap/>
            <w:vAlign w:val="center"/>
            <w:hideMark/>
          </w:tcPr>
          <w:p w14:paraId="5143BE32" w14:textId="77777777" w:rsidR="005648CF" w:rsidRPr="00E77A5C" w:rsidRDefault="005648CF" w:rsidP="00F414C7">
            <w:pPr>
              <w:jc w:val="center"/>
              <w:rPr>
                <w:sz w:val="22"/>
                <w:szCs w:val="22"/>
              </w:rPr>
            </w:pPr>
            <w:r w:rsidRPr="00E77A5C">
              <w:rPr>
                <w:sz w:val="22"/>
                <w:szCs w:val="22"/>
              </w:rPr>
              <w:t>16</w:t>
            </w:r>
          </w:p>
        </w:tc>
        <w:tc>
          <w:tcPr>
            <w:tcW w:w="1512" w:type="dxa"/>
            <w:noWrap/>
            <w:vAlign w:val="center"/>
            <w:hideMark/>
          </w:tcPr>
          <w:p w14:paraId="2EE4638D" w14:textId="47DF9416" w:rsidR="005648CF" w:rsidRPr="00E77A5C" w:rsidRDefault="00774C29" w:rsidP="00F414C7">
            <w:pPr>
              <w:jc w:val="center"/>
              <w:rPr>
                <w:sz w:val="22"/>
                <w:szCs w:val="22"/>
              </w:rPr>
            </w:pPr>
            <w:r w:rsidRPr="008A786A">
              <w:rPr>
                <w:sz w:val="22"/>
                <w:szCs w:val="22"/>
                <w:highlight w:val="lightGray"/>
              </w:rPr>
              <w:t>**** Eur.</w:t>
            </w:r>
          </w:p>
        </w:tc>
        <w:tc>
          <w:tcPr>
            <w:tcW w:w="1252" w:type="dxa"/>
            <w:noWrap/>
            <w:vAlign w:val="center"/>
            <w:hideMark/>
          </w:tcPr>
          <w:p w14:paraId="0ACBD478" w14:textId="77777777" w:rsidR="005648CF" w:rsidRPr="00E77A5C" w:rsidRDefault="005648CF" w:rsidP="00F414C7">
            <w:pPr>
              <w:jc w:val="center"/>
              <w:rPr>
                <w:sz w:val="22"/>
                <w:szCs w:val="22"/>
              </w:rPr>
            </w:pPr>
            <w:r w:rsidRPr="00E77A5C">
              <w:rPr>
                <w:sz w:val="22"/>
                <w:szCs w:val="22"/>
              </w:rPr>
              <w:t>12</w:t>
            </w:r>
          </w:p>
        </w:tc>
        <w:tc>
          <w:tcPr>
            <w:tcW w:w="1512" w:type="dxa"/>
            <w:noWrap/>
            <w:vAlign w:val="center"/>
            <w:hideMark/>
          </w:tcPr>
          <w:p w14:paraId="48A2B491" w14:textId="2050D45F" w:rsidR="005648CF" w:rsidRPr="00E77A5C" w:rsidRDefault="00774C29" w:rsidP="00F414C7">
            <w:pPr>
              <w:jc w:val="center"/>
              <w:rPr>
                <w:sz w:val="22"/>
                <w:szCs w:val="22"/>
              </w:rPr>
            </w:pPr>
            <w:r w:rsidRPr="008A786A">
              <w:rPr>
                <w:sz w:val="22"/>
                <w:szCs w:val="22"/>
                <w:highlight w:val="lightGray"/>
              </w:rPr>
              <w:t>**** Eur.</w:t>
            </w:r>
          </w:p>
        </w:tc>
        <w:tc>
          <w:tcPr>
            <w:tcW w:w="1436" w:type="dxa"/>
            <w:noWrap/>
            <w:vAlign w:val="center"/>
            <w:hideMark/>
          </w:tcPr>
          <w:p w14:paraId="24F608A0" w14:textId="2659D112" w:rsidR="005648CF" w:rsidRPr="00E77A5C" w:rsidRDefault="00774C29" w:rsidP="00F414C7">
            <w:pPr>
              <w:jc w:val="center"/>
              <w:rPr>
                <w:sz w:val="22"/>
                <w:szCs w:val="22"/>
              </w:rPr>
            </w:pPr>
            <w:r w:rsidRPr="008A786A">
              <w:rPr>
                <w:sz w:val="22"/>
                <w:szCs w:val="22"/>
                <w:highlight w:val="lightGray"/>
              </w:rPr>
              <w:t>**** Eur.</w:t>
            </w:r>
          </w:p>
        </w:tc>
      </w:tr>
      <w:tr w:rsidR="005648CF" w:rsidRPr="00E77A5C" w14:paraId="3EFE6917" w14:textId="77777777" w:rsidTr="00F414C7">
        <w:trPr>
          <w:trHeight w:val="260"/>
        </w:trPr>
        <w:tc>
          <w:tcPr>
            <w:tcW w:w="2659" w:type="dxa"/>
            <w:noWrap/>
          </w:tcPr>
          <w:p w14:paraId="0F0D0F03" w14:textId="77777777" w:rsidR="005648CF" w:rsidRPr="00E77A5C" w:rsidRDefault="005648CF" w:rsidP="00F414C7">
            <w:pPr>
              <w:rPr>
                <w:sz w:val="22"/>
                <w:szCs w:val="22"/>
              </w:rPr>
            </w:pPr>
            <w:r w:rsidRPr="00E77A5C">
              <w:rPr>
                <w:sz w:val="22"/>
                <w:szCs w:val="22"/>
              </w:rPr>
              <w:t>Sekukinumabas 150 mg</w:t>
            </w:r>
          </w:p>
        </w:tc>
        <w:tc>
          <w:tcPr>
            <w:tcW w:w="1207" w:type="dxa"/>
            <w:noWrap/>
            <w:vAlign w:val="center"/>
          </w:tcPr>
          <w:p w14:paraId="030591C7" w14:textId="77777777" w:rsidR="005648CF" w:rsidRPr="00E77A5C" w:rsidRDefault="005648CF" w:rsidP="00F414C7">
            <w:pPr>
              <w:jc w:val="center"/>
              <w:rPr>
                <w:sz w:val="22"/>
                <w:szCs w:val="22"/>
              </w:rPr>
            </w:pPr>
            <w:r w:rsidRPr="00E77A5C">
              <w:rPr>
                <w:sz w:val="22"/>
                <w:szCs w:val="22"/>
              </w:rPr>
              <w:t>16</w:t>
            </w:r>
          </w:p>
        </w:tc>
        <w:tc>
          <w:tcPr>
            <w:tcW w:w="1512" w:type="dxa"/>
            <w:noWrap/>
            <w:vAlign w:val="center"/>
          </w:tcPr>
          <w:p w14:paraId="07B62ECD" w14:textId="28FE4523" w:rsidR="005648CF" w:rsidRPr="00E77A5C" w:rsidRDefault="00774C29" w:rsidP="00F414C7">
            <w:pPr>
              <w:jc w:val="center"/>
              <w:rPr>
                <w:sz w:val="22"/>
                <w:szCs w:val="22"/>
              </w:rPr>
            </w:pPr>
            <w:r w:rsidRPr="008A786A">
              <w:rPr>
                <w:sz w:val="22"/>
                <w:szCs w:val="22"/>
                <w:highlight w:val="lightGray"/>
              </w:rPr>
              <w:t>**** Eur.</w:t>
            </w:r>
          </w:p>
        </w:tc>
        <w:tc>
          <w:tcPr>
            <w:tcW w:w="1252" w:type="dxa"/>
            <w:noWrap/>
            <w:vAlign w:val="center"/>
          </w:tcPr>
          <w:p w14:paraId="732E2818" w14:textId="77777777" w:rsidR="005648CF" w:rsidRPr="00E77A5C" w:rsidRDefault="005648CF" w:rsidP="00F414C7">
            <w:pPr>
              <w:jc w:val="center"/>
              <w:rPr>
                <w:sz w:val="22"/>
                <w:szCs w:val="22"/>
              </w:rPr>
            </w:pPr>
            <w:r w:rsidRPr="00E77A5C">
              <w:rPr>
                <w:sz w:val="22"/>
                <w:szCs w:val="22"/>
              </w:rPr>
              <w:t>12</w:t>
            </w:r>
          </w:p>
        </w:tc>
        <w:tc>
          <w:tcPr>
            <w:tcW w:w="1512" w:type="dxa"/>
            <w:noWrap/>
            <w:vAlign w:val="center"/>
          </w:tcPr>
          <w:p w14:paraId="4CC50556" w14:textId="393D0CA0" w:rsidR="005648CF" w:rsidRPr="00E77A5C" w:rsidRDefault="00774C29" w:rsidP="00F414C7">
            <w:pPr>
              <w:jc w:val="center"/>
              <w:rPr>
                <w:sz w:val="22"/>
                <w:szCs w:val="22"/>
              </w:rPr>
            </w:pPr>
            <w:r w:rsidRPr="008A786A">
              <w:rPr>
                <w:sz w:val="22"/>
                <w:szCs w:val="22"/>
                <w:highlight w:val="lightGray"/>
              </w:rPr>
              <w:t>**** Eur.</w:t>
            </w:r>
          </w:p>
        </w:tc>
        <w:tc>
          <w:tcPr>
            <w:tcW w:w="1436" w:type="dxa"/>
            <w:noWrap/>
            <w:vAlign w:val="center"/>
          </w:tcPr>
          <w:p w14:paraId="3D6AA310" w14:textId="005DC3F2" w:rsidR="005648CF" w:rsidRPr="00E77A5C" w:rsidRDefault="00774C29" w:rsidP="00F414C7">
            <w:pPr>
              <w:jc w:val="center"/>
              <w:rPr>
                <w:sz w:val="22"/>
                <w:szCs w:val="22"/>
              </w:rPr>
            </w:pPr>
            <w:r w:rsidRPr="008A786A">
              <w:rPr>
                <w:sz w:val="22"/>
                <w:szCs w:val="22"/>
                <w:highlight w:val="lightGray"/>
              </w:rPr>
              <w:t>**** Eur.</w:t>
            </w:r>
          </w:p>
        </w:tc>
      </w:tr>
      <w:tr w:rsidR="005648CF" w:rsidRPr="00E77A5C" w14:paraId="3471DC7D" w14:textId="77777777" w:rsidTr="00F414C7">
        <w:trPr>
          <w:trHeight w:val="260"/>
        </w:trPr>
        <w:tc>
          <w:tcPr>
            <w:tcW w:w="2659" w:type="dxa"/>
            <w:noWrap/>
          </w:tcPr>
          <w:p w14:paraId="41126DC0" w14:textId="77777777" w:rsidR="005648CF" w:rsidRDefault="005648CF" w:rsidP="00F414C7">
            <w:pPr>
              <w:rPr>
                <w:b/>
                <w:sz w:val="22"/>
                <w:szCs w:val="22"/>
              </w:rPr>
            </w:pPr>
            <w:r w:rsidRPr="00E77A5C">
              <w:rPr>
                <w:b/>
                <w:sz w:val="22"/>
                <w:szCs w:val="22"/>
              </w:rPr>
              <w:t xml:space="preserve">Sekukinumabas </w:t>
            </w:r>
          </w:p>
          <w:p w14:paraId="7B0922C8" w14:textId="77777777" w:rsidR="005648CF" w:rsidRPr="00E77A5C" w:rsidRDefault="005648CF" w:rsidP="00F414C7">
            <w:pPr>
              <w:rPr>
                <w:b/>
                <w:sz w:val="22"/>
                <w:szCs w:val="22"/>
              </w:rPr>
            </w:pPr>
            <w:r w:rsidRPr="00E77A5C">
              <w:rPr>
                <w:b/>
                <w:sz w:val="22"/>
                <w:szCs w:val="22"/>
              </w:rPr>
              <w:t>150/300 mg.</w:t>
            </w:r>
          </w:p>
        </w:tc>
        <w:tc>
          <w:tcPr>
            <w:tcW w:w="2720" w:type="dxa"/>
            <w:gridSpan w:val="2"/>
            <w:noWrap/>
            <w:vAlign w:val="center"/>
          </w:tcPr>
          <w:p w14:paraId="2888502A" w14:textId="48C143D6" w:rsidR="005648CF" w:rsidRPr="001E3551" w:rsidRDefault="001E3551" w:rsidP="00F414C7">
            <w:pPr>
              <w:jc w:val="center"/>
              <w:rPr>
                <w:sz w:val="22"/>
                <w:szCs w:val="22"/>
                <w:highlight w:val="darkGray"/>
              </w:rPr>
            </w:pPr>
            <w:r w:rsidRPr="008A786A">
              <w:rPr>
                <w:sz w:val="22"/>
                <w:szCs w:val="22"/>
                <w:highlight w:val="lightGray"/>
              </w:rPr>
              <w:t>****</w:t>
            </w:r>
            <w:r w:rsidR="005648CF" w:rsidRPr="008A786A">
              <w:rPr>
                <w:sz w:val="22"/>
                <w:szCs w:val="22"/>
                <w:highlight w:val="lightGray"/>
              </w:rPr>
              <w:t xml:space="preserve"> Eur.</w:t>
            </w:r>
          </w:p>
        </w:tc>
        <w:tc>
          <w:tcPr>
            <w:tcW w:w="2765" w:type="dxa"/>
            <w:gridSpan w:val="2"/>
            <w:noWrap/>
            <w:vAlign w:val="center"/>
          </w:tcPr>
          <w:p w14:paraId="10781854" w14:textId="678AE181" w:rsidR="005648CF" w:rsidRPr="001E3551" w:rsidRDefault="001E3551" w:rsidP="00F414C7">
            <w:pPr>
              <w:jc w:val="center"/>
              <w:rPr>
                <w:sz w:val="22"/>
                <w:szCs w:val="22"/>
                <w:highlight w:val="darkGray"/>
              </w:rPr>
            </w:pPr>
            <w:r w:rsidRPr="008A786A">
              <w:rPr>
                <w:sz w:val="22"/>
                <w:szCs w:val="22"/>
                <w:highlight w:val="lightGray"/>
              </w:rPr>
              <w:t>****</w:t>
            </w:r>
            <w:r w:rsidR="005648CF" w:rsidRPr="008A786A">
              <w:rPr>
                <w:sz w:val="22"/>
                <w:szCs w:val="22"/>
                <w:highlight w:val="lightGray"/>
              </w:rPr>
              <w:t xml:space="preserve"> Eur.</w:t>
            </w:r>
          </w:p>
        </w:tc>
        <w:tc>
          <w:tcPr>
            <w:tcW w:w="1436" w:type="dxa"/>
            <w:noWrap/>
            <w:vAlign w:val="center"/>
          </w:tcPr>
          <w:p w14:paraId="6A4A036A" w14:textId="0EE09B23" w:rsidR="005648CF" w:rsidRPr="001E3551" w:rsidRDefault="001E3551" w:rsidP="00F414C7">
            <w:pPr>
              <w:jc w:val="center"/>
              <w:rPr>
                <w:b/>
                <w:sz w:val="22"/>
                <w:szCs w:val="22"/>
                <w:highlight w:val="darkGray"/>
              </w:rPr>
            </w:pPr>
            <w:r w:rsidRPr="008A786A">
              <w:rPr>
                <w:b/>
                <w:sz w:val="22"/>
                <w:szCs w:val="22"/>
                <w:highlight w:val="lightGray"/>
              </w:rPr>
              <w:t>****</w:t>
            </w:r>
            <w:r w:rsidRPr="008A786A">
              <w:rPr>
                <w:bCs/>
                <w:sz w:val="22"/>
                <w:szCs w:val="22"/>
                <w:highlight w:val="lightGray"/>
              </w:rPr>
              <w:t xml:space="preserve"> Eur</w:t>
            </w:r>
            <w:r w:rsidRPr="008A786A">
              <w:rPr>
                <w:b/>
                <w:sz w:val="22"/>
                <w:szCs w:val="22"/>
                <w:highlight w:val="lightGray"/>
              </w:rPr>
              <w:t>.</w:t>
            </w:r>
          </w:p>
        </w:tc>
      </w:tr>
    </w:tbl>
    <w:p w14:paraId="0F247F3B" w14:textId="77777777" w:rsidR="005648CF" w:rsidRDefault="005648CF" w:rsidP="005648CF">
      <w:pPr>
        <w:tabs>
          <w:tab w:val="left" w:pos="426"/>
        </w:tabs>
        <w:jc w:val="both"/>
        <w:rPr>
          <w:rFonts w:eastAsia="Arial"/>
          <w:b/>
        </w:rPr>
      </w:pPr>
    </w:p>
    <w:p w14:paraId="0631A96B" w14:textId="251970B2" w:rsidR="005648CF" w:rsidRDefault="005648CF" w:rsidP="00083C68">
      <w:pPr>
        <w:tabs>
          <w:tab w:val="left" w:pos="709"/>
        </w:tabs>
        <w:spacing w:line="276" w:lineRule="auto"/>
        <w:jc w:val="both"/>
        <w:rPr>
          <w:rFonts w:eastAsia="Arial"/>
          <w:b/>
        </w:rPr>
      </w:pPr>
      <w:r>
        <w:lastRenderedPageBreak/>
        <w:tab/>
        <w:t xml:space="preserve">Apskaičiuojant vaistinių preparatų </w:t>
      </w:r>
      <w:r w:rsidRPr="00945124">
        <w:t>įsigijimo kaštus penkerių metų laikotarpiu, taikant galutinę Pareiškėjo Lietuvai siūlomą guselkumabo pakuotės kainą (</w:t>
      </w:r>
      <w:r w:rsidR="003D2768" w:rsidRPr="008A786A">
        <w:rPr>
          <w:highlight w:val="lightGray"/>
        </w:rPr>
        <w:t>****</w:t>
      </w:r>
      <w:r w:rsidRPr="00945124">
        <w:t xml:space="preserve"> Eur.) ir laikantis aukščiau aprašytų prielaidų dėl guselkumabo ir sekukinumabo dozių skyrimo, guselkumabo įsigijimo kaštai yra mažesni (atitinkamai </w:t>
      </w:r>
      <w:r w:rsidR="003D2768" w:rsidRPr="008A786A">
        <w:rPr>
          <w:highlight w:val="lightGray"/>
        </w:rPr>
        <w:t>****</w:t>
      </w:r>
      <w:r w:rsidRPr="00945124">
        <w:t xml:space="preserve"> Eur. lyginant </w:t>
      </w:r>
      <w:r w:rsidRPr="001E3551">
        <w:t>su</w:t>
      </w:r>
      <w:r w:rsidR="001E3551">
        <w:t xml:space="preserve"> </w:t>
      </w:r>
      <w:r w:rsidR="001E3551" w:rsidRPr="008A786A">
        <w:rPr>
          <w:highlight w:val="lightGray"/>
          <w:lang w:val="en-US"/>
        </w:rPr>
        <w:t>****</w:t>
      </w:r>
      <w:r w:rsidRPr="001E3551">
        <w:t xml:space="preserve"> Eur.).</w:t>
      </w:r>
      <w:r w:rsidRPr="00945124">
        <w:t xml:space="preserve"> Laikoma, kad yra pasiekiamas kaštų mažinimas.</w:t>
      </w:r>
    </w:p>
    <w:p w14:paraId="36DEA333" w14:textId="3CEC9D59" w:rsidR="00E84FAD" w:rsidRDefault="00E84FAD" w:rsidP="00A93AA6">
      <w:pPr>
        <w:tabs>
          <w:tab w:val="left" w:pos="426"/>
        </w:tabs>
        <w:rPr>
          <w:b/>
          <w:bCs/>
          <w:caps/>
        </w:rPr>
      </w:pPr>
    </w:p>
    <w:p w14:paraId="5C5D38CC" w14:textId="77777777" w:rsidR="005648CF" w:rsidRDefault="005648CF" w:rsidP="00A93AA6">
      <w:pPr>
        <w:tabs>
          <w:tab w:val="left" w:pos="426"/>
        </w:tabs>
        <w:rPr>
          <w:b/>
          <w:bCs/>
          <w:caps/>
        </w:rPr>
      </w:pPr>
    </w:p>
    <w:p w14:paraId="4FC424F9" w14:textId="4E767245" w:rsidR="00C62B36" w:rsidRPr="00797153" w:rsidRDefault="00C62B36" w:rsidP="00937907">
      <w:pPr>
        <w:pStyle w:val="ListParagraph"/>
        <w:numPr>
          <w:ilvl w:val="0"/>
          <w:numId w:val="12"/>
        </w:numPr>
        <w:tabs>
          <w:tab w:val="left" w:pos="284"/>
        </w:tabs>
        <w:rPr>
          <w:b/>
          <w:bCs/>
          <w:caps/>
        </w:rPr>
      </w:pPr>
      <w:r w:rsidRPr="00797153">
        <w:rPr>
          <w:b/>
          <w:bCs/>
          <w:caps/>
        </w:rPr>
        <w:t xml:space="preserve">Pacientų organizacijų pateikti duomenys </w:t>
      </w:r>
    </w:p>
    <w:p w14:paraId="79BCFF40" w14:textId="1992DF4A" w:rsidR="00937907" w:rsidRPr="00797153" w:rsidRDefault="008A786A"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937907" w:rsidRPr="00797153">
            <w:rPr>
              <w:rStyle w:val="Style2"/>
              <w:rFonts w:ascii="MS Gothic" w:eastAsia="MS Gothic" w:hAnsi="MS Gothic" w:hint="eastAsia"/>
            </w:rPr>
            <w:t>☐</w:t>
          </w:r>
        </w:sdtContent>
      </w:sdt>
      <w:r w:rsidR="00937907" w:rsidRPr="00797153">
        <w:t xml:space="preserve"> Pacientų organizacijos pozicija pateikta. Žr. priedą.</w:t>
      </w:r>
    </w:p>
    <w:p w14:paraId="62992180" w14:textId="2F285823" w:rsidR="00937907" w:rsidRPr="00797153" w:rsidRDefault="008A786A"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B35176">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937907">
      <w:pPr>
        <w:pStyle w:val="ListParagraph"/>
        <w:numPr>
          <w:ilvl w:val="0"/>
          <w:numId w:val="12"/>
        </w:numPr>
        <w:tabs>
          <w:tab w:val="left" w:pos="426"/>
        </w:tabs>
        <w:rPr>
          <w:b/>
          <w:bCs/>
          <w:caps/>
        </w:rPr>
      </w:pPr>
      <w:r w:rsidRPr="00797153">
        <w:rPr>
          <w:b/>
          <w:bCs/>
          <w:caps/>
        </w:rPr>
        <w:t>Gydytojų organizacijų pateikti duomenys</w:t>
      </w:r>
    </w:p>
    <w:p w14:paraId="389A346C" w14:textId="73B325B7" w:rsidR="00937907" w:rsidRPr="00797153" w:rsidRDefault="008A786A"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B35176">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D8CC48C" w14:textId="26425340" w:rsidR="00662983" w:rsidRPr="006E501F" w:rsidRDefault="008A786A"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B35176">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78F23ECB" w14:textId="23A3A002" w:rsidR="002F0E4F" w:rsidRDefault="002F0E4F" w:rsidP="00937907">
      <w:pPr>
        <w:pStyle w:val="ListParagraph"/>
        <w:numPr>
          <w:ilvl w:val="0"/>
          <w:numId w:val="12"/>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B13D65" w14:paraId="25A2473E" w14:textId="77777777" w:rsidTr="00BD1E5A">
        <w:tc>
          <w:tcPr>
            <w:tcW w:w="4981"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981"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BD1E5A">
        <w:tc>
          <w:tcPr>
            <w:tcW w:w="9962" w:type="dxa"/>
            <w:gridSpan w:val="2"/>
          </w:tcPr>
          <w:p w14:paraId="5D93D24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BD1E5A">
        <w:tc>
          <w:tcPr>
            <w:tcW w:w="4981" w:type="dxa"/>
          </w:tcPr>
          <w:p w14:paraId="216769B5" w14:textId="1B919F91" w:rsid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32.1. yra didesnis</w:t>
            </w:r>
          </w:p>
          <w:p w14:paraId="3B48F372"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885712E" w:rsidR="00B13D65" w:rsidRPr="00B13D65" w:rsidRDefault="008A786A"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D2102A">
                  <w:rPr>
                    <w:rStyle w:val="Style2"/>
                    <w:rFonts w:ascii="MS Gothic" w:eastAsia="MS Gothic" w:hAnsi="MS Gothic" w:hint="eastAsia"/>
                    <w:sz w:val="24"/>
                  </w:rPr>
                  <w:t>☒</w:t>
                </w:r>
              </w:sdtContent>
            </w:sdt>
            <w:r w:rsidR="00B13D65" w:rsidRPr="00B13D65">
              <w:t xml:space="preserve"> 32.1. iš esmės nesiskiria</w:t>
            </w:r>
          </w:p>
        </w:tc>
        <w:tc>
          <w:tcPr>
            <w:tcW w:w="4981" w:type="dxa"/>
          </w:tcPr>
          <w:p w14:paraId="507828D9" w14:textId="09AE523F" w:rsid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BD1E5A">
        <w:tc>
          <w:tcPr>
            <w:tcW w:w="9962" w:type="dxa"/>
            <w:gridSpan w:val="2"/>
          </w:tcPr>
          <w:p w14:paraId="3B2878F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Klinikinis veiksmingumas</w:t>
            </w:r>
          </w:p>
          <w:p w14:paraId="1AB4689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BD1E5A">
        <w:tc>
          <w:tcPr>
            <w:tcW w:w="4981" w:type="dxa"/>
          </w:tcPr>
          <w:p w14:paraId="6897B306" w14:textId="70C15EA4" w:rsid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BBA234" w:rsidR="00B13D65" w:rsidRP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D2102A">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B13D65" w:rsidRDefault="008A786A"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BD1E5A">
            <w:pPr>
              <w:jc w:val="both"/>
            </w:pPr>
          </w:p>
          <w:p w14:paraId="0ADEC30D" w14:textId="25150412" w:rsidR="00B13D65" w:rsidRPr="00B13D65" w:rsidRDefault="008A786A"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BD1E5A">
        <w:tc>
          <w:tcPr>
            <w:tcW w:w="9962"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BD1E5A">
        <w:tc>
          <w:tcPr>
            <w:tcW w:w="4981" w:type="dxa"/>
          </w:tcPr>
          <w:p w14:paraId="69B2A994" w14:textId="1275FD5A" w:rsid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Pr>
                    <w:rStyle w:val="Style2"/>
                    <w:rFonts w:ascii="MS Gothic" w:eastAsia="MS Gothic" w:hAnsi="MS Gothic" w:hint="eastAsia"/>
                    <w:sz w:val="24"/>
                  </w:rPr>
                  <w:t>☐</w:t>
                </w:r>
              </w:sdtContent>
            </w:sdt>
            <w:r w:rsidR="00B13D65" w:rsidRPr="00B13D65">
              <w:t xml:space="preserve"> 32.3. atitink</w:t>
            </w:r>
            <w:r w:rsidR="0081174A">
              <w:t>a referencinę naudingumo vertę;</w:t>
            </w:r>
          </w:p>
          <w:p w14:paraId="3F76F153"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3543BFF6" w:rsidR="00B13D65" w:rsidRPr="00B13D65" w:rsidRDefault="008A786A"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1"/>
                  <w14:checkedState w14:val="2612" w14:font="MS Gothic"/>
                  <w14:uncheckedState w14:val="2610" w14:font="MS Gothic"/>
                </w14:checkbox>
              </w:sdtPr>
              <w:sdtEndPr>
                <w:rPr>
                  <w:rStyle w:val="Style2"/>
                </w:rPr>
              </w:sdtEndPr>
              <w:sdtContent>
                <w:r w:rsidR="00B35176">
                  <w:rPr>
                    <w:rStyle w:val="Style2"/>
                    <w:rFonts w:ascii="MS Gothic" w:eastAsia="MS Gothic" w:hAnsi="MS Gothic" w:hint="eastAsia"/>
                    <w:sz w:val="24"/>
                  </w:rPr>
                  <w:t>☒</w:t>
                </w:r>
              </w:sdtContent>
            </w:sdt>
            <w:r w:rsidR="00B13D65" w:rsidRPr="00B13D65">
              <w:t xml:space="preserve"> 32.3. </w:t>
            </w:r>
            <w:r w:rsidR="005648CF" w:rsidRPr="00B13D65">
              <w:t xml:space="preserve">gydymo juo kaštai yra mažesni ar tokie patys esant iš esmės nesiskiriančiam palyginamajam efektyvumui, taikant </w:t>
            </w:r>
            <w:r w:rsidR="005648CF">
              <w:t>PGS.</w:t>
            </w:r>
          </w:p>
        </w:tc>
        <w:tc>
          <w:tcPr>
            <w:tcW w:w="4981" w:type="dxa"/>
          </w:tcPr>
          <w:p w14:paraId="53380063" w14:textId="07F023EC" w:rsid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229ED51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696AD5FC" w:rsid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gydymo juo kaštai yra didesni esant iš esmės nesiskirian</w:t>
            </w:r>
            <w:r w:rsidR="0081174A">
              <w:t>čiam palyginamajam efektyvumui;</w:t>
            </w:r>
          </w:p>
          <w:p w14:paraId="4A9C7D2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B13D65" w:rsidRDefault="008A786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55060B" w:rsidRDefault="0055060B" w:rsidP="0055060B">
      <w:pPr>
        <w:rPr>
          <w:b/>
        </w:rPr>
      </w:pPr>
    </w:p>
    <w:p w14:paraId="4761590D" w14:textId="77777777" w:rsidR="0055060B" w:rsidRPr="0055060B" w:rsidRDefault="0055060B" w:rsidP="0055060B">
      <w:pPr>
        <w:pStyle w:val="ListParagraph"/>
        <w:numPr>
          <w:ilvl w:val="0"/>
          <w:numId w:val="12"/>
        </w:numPr>
        <w:ind w:left="567" w:hanging="567"/>
        <w:rPr>
          <w:b/>
        </w:rPr>
      </w:pPr>
      <w:r w:rsidRPr="0055060B">
        <w:rPr>
          <w:b/>
        </w:rPr>
        <w:t>REKOMENDACIJA</w:t>
      </w:r>
    </w:p>
    <w:p w14:paraId="7CA221DC" w14:textId="77777777" w:rsidR="0055060B" w:rsidRPr="00432D48" w:rsidRDefault="0055060B" w:rsidP="0055060B">
      <w:pPr>
        <w:rPr>
          <w:i/>
          <w:color w:val="000000" w:themeColor="text1"/>
        </w:rPr>
      </w:pPr>
    </w:p>
    <w:p w14:paraId="66646AAE" w14:textId="255EAF5F" w:rsidR="005648CF" w:rsidRPr="00413423" w:rsidRDefault="005648CF" w:rsidP="005648CF">
      <w:pPr>
        <w:spacing w:line="276" w:lineRule="auto"/>
        <w:ind w:firstLine="567"/>
        <w:jc w:val="both"/>
        <w:rPr>
          <w:color w:val="000000" w:themeColor="text1"/>
        </w:rPr>
      </w:pPr>
      <w:r w:rsidRPr="003F514B">
        <w:t>Vadovaujantis</w:t>
      </w:r>
      <w:r w:rsidRPr="00B351ED">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47E57CF7" w14:textId="355D92B8" w:rsidR="00F174C8" w:rsidRPr="00B351ED" w:rsidRDefault="005648CF" w:rsidP="005648CF">
      <w:pPr>
        <w:spacing w:line="276" w:lineRule="auto"/>
        <w:jc w:val="both"/>
        <w:rPr>
          <w:color w:val="000000" w:themeColor="text1"/>
        </w:rPr>
      </w:pPr>
      <w:r w:rsidRPr="00513C05">
        <w:t xml:space="preserve">34.3. rekomenduojama </w:t>
      </w:r>
      <w:r w:rsidRPr="00432D48">
        <w:rPr>
          <w:i/>
        </w:rPr>
        <w:t xml:space="preserve">kompensuoti </w:t>
      </w:r>
      <w:r w:rsidRPr="00513C05">
        <w:t xml:space="preserve">vaistinį preparatą pagal paraiškoje nurodytą </w:t>
      </w:r>
      <w:r w:rsidRPr="008B649B">
        <w:t>indikaciją su skyrimo sąlygomis, taikant PGS, dėl iš esmės nesiskiriančio gydymo efektyvumo ir sukuriamos naudos pacientų sveikatai, lyginant su įprasta klinikine praktika, ir dėl mažesnių gydymo kaštų dydžio (kaštų minimizavimas).</w:t>
      </w:r>
    </w:p>
    <w:p w14:paraId="4675BD1C" w14:textId="77777777" w:rsidR="0055060B" w:rsidRPr="008B63AB" w:rsidRDefault="0055060B" w:rsidP="0055060B"/>
    <w:p w14:paraId="2DE4B8C2" w14:textId="77777777" w:rsidR="0055060B" w:rsidRPr="008B63AB" w:rsidRDefault="0055060B" w:rsidP="0055060B">
      <w:pPr>
        <w:tabs>
          <w:tab w:val="left" w:pos="567"/>
        </w:tabs>
        <w:ind w:left="567" w:hanging="567"/>
        <w:jc w:val="both"/>
        <w:rPr>
          <w:b/>
          <w:color w:val="000000"/>
          <w:lang w:eastAsia="lt-LT"/>
        </w:rPr>
      </w:pPr>
      <w:r w:rsidRPr="008B63AB">
        <w:rPr>
          <w:b/>
          <w:color w:val="000000"/>
          <w:lang w:eastAsia="lt-LT"/>
        </w:rPr>
        <w:t>8.</w:t>
      </w:r>
      <w:r w:rsidRPr="008B63AB">
        <w:rPr>
          <w:b/>
          <w:color w:val="000000"/>
          <w:lang w:eastAsia="lt-LT"/>
        </w:rPr>
        <w:tab/>
        <w:t xml:space="preserve">SIŪLOMOS KOMPENSUOTI TERAPINĖS INDIKACIJOS IR SKYRIMO SĄLYGOS </w:t>
      </w:r>
    </w:p>
    <w:p w14:paraId="04411EAD" w14:textId="341E2E17" w:rsidR="004A3A61" w:rsidRDefault="004A3A61" w:rsidP="00272461">
      <w:pPr>
        <w:spacing w:line="276" w:lineRule="auto"/>
        <w:jc w:val="both"/>
        <w:rPr>
          <w:i/>
          <w:iCs/>
        </w:rPr>
      </w:pPr>
    </w:p>
    <w:p w14:paraId="4D1C47A8" w14:textId="77777777" w:rsidR="000915AB" w:rsidRPr="0002553B" w:rsidRDefault="000915AB" w:rsidP="000915AB">
      <w:pPr>
        <w:pStyle w:val="NoSpacing"/>
        <w:rPr>
          <w:rFonts w:ascii="Times New Roman" w:hAnsi="Times New Roman"/>
          <w:b/>
          <w:sz w:val="24"/>
          <w:szCs w:val="24"/>
          <w:lang w:eastAsia="lt-LT"/>
        </w:rPr>
      </w:pPr>
      <w:r w:rsidRPr="0002553B">
        <w:rPr>
          <w:rFonts w:ascii="Times New Roman" w:hAnsi="Times New Roman"/>
          <w:b/>
          <w:sz w:val="24"/>
          <w:szCs w:val="24"/>
          <w:lang w:eastAsia="lt-LT"/>
        </w:rPr>
        <w:t>Terapinės indikacijos</w:t>
      </w:r>
    </w:p>
    <w:p w14:paraId="50F5D671" w14:textId="77777777" w:rsidR="000915AB" w:rsidRDefault="008A786A" w:rsidP="000915AB">
      <w:pPr>
        <w:pStyle w:val="NoSpacing"/>
        <w:rPr>
          <w:rFonts w:ascii="Times New Roman" w:hAnsi="Times New Roman"/>
          <w:sz w:val="24"/>
          <w:szCs w:val="24"/>
        </w:rPr>
      </w:pPr>
      <w:sdt>
        <w:sdtPr>
          <w:rPr>
            <w:rStyle w:val="Style2"/>
            <w:rFonts w:ascii="Times New Roman" w:hAnsi="Times New Roman"/>
            <w:sz w:val="24"/>
            <w:szCs w:val="24"/>
          </w:rPr>
          <w:id w:val="-154227290"/>
          <w15:color w:val="FFCC00"/>
          <w14:checkbox>
            <w14:checked w14:val="1"/>
            <w14:checkedState w14:val="2612" w14:font="MS Gothic"/>
            <w14:uncheckedState w14:val="2610" w14:font="MS Gothic"/>
          </w14:checkbox>
        </w:sdtPr>
        <w:sdtEndPr>
          <w:rPr>
            <w:rStyle w:val="Style2"/>
          </w:rPr>
        </w:sdtEndPr>
        <w:sdtContent>
          <w:r w:rsidR="000915AB">
            <w:rPr>
              <w:rStyle w:val="Style2"/>
              <w:rFonts w:ascii="MS Gothic" w:eastAsia="MS Gothic" w:hAnsi="MS Gothic" w:hint="eastAsia"/>
              <w:sz w:val="24"/>
              <w:szCs w:val="24"/>
            </w:rPr>
            <w:t>☒</w:t>
          </w:r>
        </w:sdtContent>
      </w:sdt>
      <w:r w:rsidR="000915AB" w:rsidRPr="0002553B">
        <w:rPr>
          <w:rFonts w:ascii="Times New Roman" w:hAnsi="Times New Roman"/>
          <w:sz w:val="24"/>
          <w:szCs w:val="24"/>
        </w:rPr>
        <w:t xml:space="preserve"> Siūloma kompensuoti Pareiškėjo teikiamą indikaciją be pakeitimų</w:t>
      </w:r>
      <w:r w:rsidR="000915AB">
        <w:rPr>
          <w:rFonts w:ascii="Times New Roman" w:hAnsi="Times New Roman"/>
          <w:sz w:val="24"/>
          <w:szCs w:val="24"/>
        </w:rPr>
        <w:t>:</w:t>
      </w:r>
    </w:p>
    <w:p w14:paraId="023081CC" w14:textId="2C3D9E70" w:rsidR="000915AB" w:rsidRPr="00432D48" w:rsidRDefault="000915AB" w:rsidP="000915AB">
      <w:pPr>
        <w:pStyle w:val="NoSpacing"/>
        <w:spacing w:line="276" w:lineRule="auto"/>
        <w:jc w:val="both"/>
        <w:rPr>
          <w:rFonts w:ascii="Times New Roman" w:hAnsi="Times New Roman"/>
          <w:iCs/>
          <w:sz w:val="24"/>
          <w:szCs w:val="24"/>
        </w:rPr>
      </w:pPr>
      <w:r w:rsidRPr="00432D48">
        <w:rPr>
          <w:rFonts w:ascii="Times New Roman" w:hAnsi="Times New Roman"/>
          <w:iCs/>
          <w:sz w:val="24"/>
          <w:szCs w:val="24"/>
        </w:rPr>
        <w:t>Tremfya, vartojamas vienas ar derinyje su metotreksatu (MTX), yra skirtas aktyvaus psoriazinio artrito gydymui suaugusiems pacientams, kuriems pasireiškė nepakankamas atsakas į anksčiau taikytą gydymą ligos eigą keičiančiais vaistiniais preparatais nuo reumato (LEKVNR) arba kurie tokio gydymo netoleravo</w:t>
      </w:r>
      <w:r w:rsidR="00432D48">
        <w:rPr>
          <w:rFonts w:ascii="Times New Roman" w:hAnsi="Times New Roman"/>
          <w:iCs/>
          <w:sz w:val="24"/>
          <w:szCs w:val="24"/>
        </w:rPr>
        <w:t>.</w:t>
      </w:r>
    </w:p>
    <w:p w14:paraId="19F0334C" w14:textId="77777777" w:rsidR="000915AB" w:rsidRPr="0002553B" w:rsidRDefault="000915AB" w:rsidP="000915AB">
      <w:pPr>
        <w:pStyle w:val="NoSpacing"/>
        <w:rPr>
          <w:rFonts w:ascii="Times New Roman" w:hAnsi="Times New Roman"/>
          <w:sz w:val="24"/>
          <w:szCs w:val="24"/>
        </w:rPr>
      </w:pPr>
    </w:p>
    <w:p w14:paraId="2EECA954" w14:textId="77777777" w:rsidR="000915AB" w:rsidRPr="0002553B" w:rsidRDefault="000915AB" w:rsidP="000915AB">
      <w:pPr>
        <w:pStyle w:val="NoSpacing"/>
        <w:rPr>
          <w:rFonts w:ascii="Times New Roman" w:hAnsi="Times New Roman"/>
          <w:b/>
          <w:sz w:val="24"/>
          <w:szCs w:val="24"/>
        </w:rPr>
      </w:pPr>
      <w:r w:rsidRPr="0002553B">
        <w:rPr>
          <w:rFonts w:ascii="Times New Roman" w:hAnsi="Times New Roman"/>
          <w:b/>
          <w:sz w:val="24"/>
          <w:szCs w:val="24"/>
        </w:rPr>
        <w:t>Skyrimo sąlygos</w:t>
      </w:r>
    </w:p>
    <w:p w14:paraId="48F8289A" w14:textId="77777777" w:rsidR="003E68D9" w:rsidRDefault="008A786A" w:rsidP="003E68D9">
      <w:pPr>
        <w:pStyle w:val="NoSpacing"/>
        <w:rPr>
          <w:rFonts w:ascii="Times New Roman" w:hAnsi="Times New Roman"/>
          <w:sz w:val="24"/>
          <w:szCs w:val="24"/>
        </w:rPr>
      </w:pPr>
      <w:sdt>
        <w:sdtPr>
          <w:rPr>
            <w:rStyle w:val="Style2"/>
            <w:rFonts w:ascii="Times New Roman" w:hAnsi="Times New Roman"/>
            <w:sz w:val="24"/>
            <w:szCs w:val="24"/>
          </w:rPr>
          <w:id w:val="181254200"/>
          <w15:color w:val="FFCC00"/>
          <w14:checkbox>
            <w14:checked w14:val="1"/>
            <w14:checkedState w14:val="2612" w14:font="MS Gothic"/>
            <w14:uncheckedState w14:val="2610" w14:font="MS Gothic"/>
          </w14:checkbox>
        </w:sdtPr>
        <w:sdtEndPr>
          <w:rPr>
            <w:rStyle w:val="Style2"/>
          </w:rPr>
        </w:sdtEndPr>
        <w:sdtContent>
          <w:r w:rsidR="003E68D9">
            <w:rPr>
              <w:rStyle w:val="Style2"/>
              <w:rFonts w:ascii="MS Gothic" w:eastAsia="MS Gothic" w:hAnsi="MS Gothic" w:hint="eastAsia"/>
              <w:sz w:val="24"/>
              <w:szCs w:val="24"/>
            </w:rPr>
            <w:t>☒</w:t>
          </w:r>
        </w:sdtContent>
      </w:sdt>
      <w:r w:rsidR="003E68D9">
        <w:rPr>
          <w:rFonts w:ascii="Times New Roman" w:hAnsi="Times New Roman"/>
          <w:sz w:val="24"/>
          <w:szCs w:val="24"/>
        </w:rPr>
        <w:t xml:space="preserve"> Siūloma kompensuoti Pareiškėjo teikiamą skyrimo sąlygą su pakeitimais:</w:t>
      </w:r>
    </w:p>
    <w:p w14:paraId="00238513" w14:textId="0ECC9AC1" w:rsidR="000915AB" w:rsidRPr="0081174A" w:rsidRDefault="00432D48" w:rsidP="00AB2365">
      <w:pPr>
        <w:pStyle w:val="NoSpacing"/>
        <w:spacing w:line="276" w:lineRule="auto"/>
        <w:jc w:val="both"/>
        <w:rPr>
          <w:rFonts w:ascii="Times New Roman" w:hAnsi="Times New Roman"/>
          <w:sz w:val="24"/>
          <w:szCs w:val="24"/>
        </w:rPr>
      </w:pPr>
      <w:r>
        <w:rPr>
          <w:rFonts w:ascii="Times New Roman" w:eastAsia="Times New Roman" w:hAnsi="Times New Roman"/>
          <w:sz w:val="24"/>
          <w:szCs w:val="24"/>
          <w:lang w:eastAsia="en-GB"/>
        </w:rPr>
        <w:t>S</w:t>
      </w:r>
      <w:r w:rsidR="003E68D9" w:rsidRPr="0081174A">
        <w:rPr>
          <w:rFonts w:ascii="Times New Roman" w:eastAsia="Times New Roman" w:hAnsi="Times New Roman"/>
          <w:sz w:val="24"/>
          <w:szCs w:val="24"/>
          <w:lang w:eastAsia="en-GB"/>
        </w:rPr>
        <w:t>kiriamas suaugusiems pacientams aktyviam psoriaziniam artritui gydyti jei gydant vienu ar daugiau biologinių ligą modifikuojančių vaistinių preparatų (bLMV) gydymo tikslas nepasiekiamas per 6 mėnesius ar 3 mėnesius nuo gydymo pradžios nėra gydymo efekto, ar pastebimas ligos pablogėjimas.</w:t>
      </w:r>
    </w:p>
    <w:sectPr w:rsidR="000915AB" w:rsidRPr="0081174A"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ECEA" w14:textId="77777777" w:rsidR="00B317DE" w:rsidRDefault="00B317DE">
      <w:r>
        <w:separator/>
      </w:r>
    </w:p>
  </w:endnote>
  <w:endnote w:type="continuationSeparator" w:id="0">
    <w:p w14:paraId="359421C0" w14:textId="77777777" w:rsidR="00B317DE" w:rsidRDefault="00B3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41EB" w14:textId="77777777" w:rsidR="00F27CDE" w:rsidRDefault="00F27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1D39" w14:textId="77777777" w:rsidR="00F27CDE" w:rsidRDefault="00F27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15A5" w14:textId="77777777" w:rsidR="00B317DE" w:rsidRDefault="00B317DE">
      <w:r>
        <w:separator/>
      </w:r>
    </w:p>
  </w:footnote>
  <w:footnote w:type="continuationSeparator" w:id="0">
    <w:p w14:paraId="6AC7E860" w14:textId="77777777" w:rsidR="00B317DE" w:rsidRDefault="00B3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48E45154"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CDE">
      <w:rPr>
        <w:rStyle w:val="PageNumber"/>
        <w:noProof/>
      </w:rPr>
      <w:t>2</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70815">
    <w:abstractNumId w:val="7"/>
  </w:num>
  <w:num w:numId="2" w16cid:durableId="2094426195">
    <w:abstractNumId w:val="2"/>
  </w:num>
  <w:num w:numId="3" w16cid:durableId="1121149531">
    <w:abstractNumId w:val="9"/>
  </w:num>
  <w:num w:numId="4" w16cid:durableId="1552226969">
    <w:abstractNumId w:val="8"/>
  </w:num>
  <w:num w:numId="5" w16cid:durableId="1459376839">
    <w:abstractNumId w:val="6"/>
  </w:num>
  <w:num w:numId="6" w16cid:durableId="1336568958">
    <w:abstractNumId w:val="5"/>
  </w:num>
  <w:num w:numId="7" w16cid:durableId="424964955">
    <w:abstractNumId w:val="4"/>
  </w:num>
  <w:num w:numId="8" w16cid:durableId="571045146">
    <w:abstractNumId w:val="14"/>
  </w:num>
  <w:num w:numId="9" w16cid:durableId="243271544">
    <w:abstractNumId w:val="0"/>
  </w:num>
  <w:num w:numId="10" w16cid:durableId="759712863">
    <w:abstractNumId w:val="10"/>
  </w:num>
  <w:num w:numId="11" w16cid:durableId="825634166">
    <w:abstractNumId w:val="12"/>
  </w:num>
  <w:num w:numId="12" w16cid:durableId="270019435">
    <w:abstractNumId w:val="3"/>
  </w:num>
  <w:num w:numId="13" w16cid:durableId="685257393">
    <w:abstractNumId w:val="1"/>
  </w:num>
  <w:num w:numId="14" w16cid:durableId="1147210043">
    <w:abstractNumId w:val="11"/>
  </w:num>
  <w:num w:numId="15" w16cid:durableId="1441102123">
    <w:abstractNumId w:val="15"/>
  </w:num>
  <w:num w:numId="16" w16cid:durableId="841548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36F7"/>
    <w:rsid w:val="0002686C"/>
    <w:rsid w:val="00031D0E"/>
    <w:rsid w:val="000337E6"/>
    <w:rsid w:val="0003402E"/>
    <w:rsid w:val="00034EAE"/>
    <w:rsid w:val="000606BE"/>
    <w:rsid w:val="000736B8"/>
    <w:rsid w:val="0008190F"/>
    <w:rsid w:val="00081D9C"/>
    <w:rsid w:val="00082907"/>
    <w:rsid w:val="0008378D"/>
    <w:rsid w:val="00083C68"/>
    <w:rsid w:val="000908A5"/>
    <w:rsid w:val="000915AB"/>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21D9"/>
    <w:rsid w:val="001554E2"/>
    <w:rsid w:val="00164146"/>
    <w:rsid w:val="0017369C"/>
    <w:rsid w:val="00180C39"/>
    <w:rsid w:val="00180D96"/>
    <w:rsid w:val="001921F3"/>
    <w:rsid w:val="001A0642"/>
    <w:rsid w:val="001B2165"/>
    <w:rsid w:val="001B3C5B"/>
    <w:rsid w:val="001E3551"/>
    <w:rsid w:val="001E4BBB"/>
    <w:rsid w:val="001E6304"/>
    <w:rsid w:val="0020381E"/>
    <w:rsid w:val="00213471"/>
    <w:rsid w:val="00214F6C"/>
    <w:rsid w:val="00215906"/>
    <w:rsid w:val="00216CE2"/>
    <w:rsid w:val="0025697F"/>
    <w:rsid w:val="00260258"/>
    <w:rsid w:val="00272428"/>
    <w:rsid w:val="00272461"/>
    <w:rsid w:val="00272948"/>
    <w:rsid w:val="002946C7"/>
    <w:rsid w:val="002A5FC9"/>
    <w:rsid w:val="002A6B73"/>
    <w:rsid w:val="002B3CC1"/>
    <w:rsid w:val="002C09E0"/>
    <w:rsid w:val="002C3A10"/>
    <w:rsid w:val="002C4A90"/>
    <w:rsid w:val="002D02EF"/>
    <w:rsid w:val="002E0702"/>
    <w:rsid w:val="002E6F80"/>
    <w:rsid w:val="002F0E4F"/>
    <w:rsid w:val="002F1053"/>
    <w:rsid w:val="00306D00"/>
    <w:rsid w:val="00317B0E"/>
    <w:rsid w:val="00347FAA"/>
    <w:rsid w:val="0035172D"/>
    <w:rsid w:val="0036187D"/>
    <w:rsid w:val="00381024"/>
    <w:rsid w:val="00386307"/>
    <w:rsid w:val="003874DE"/>
    <w:rsid w:val="00390F3E"/>
    <w:rsid w:val="00393E9F"/>
    <w:rsid w:val="0039696E"/>
    <w:rsid w:val="003B211A"/>
    <w:rsid w:val="003C12B3"/>
    <w:rsid w:val="003C141F"/>
    <w:rsid w:val="003C6B0E"/>
    <w:rsid w:val="003C7257"/>
    <w:rsid w:val="003C7E35"/>
    <w:rsid w:val="003D2768"/>
    <w:rsid w:val="003E5FCD"/>
    <w:rsid w:val="003E68D9"/>
    <w:rsid w:val="00404E8A"/>
    <w:rsid w:val="0040622F"/>
    <w:rsid w:val="00417DCF"/>
    <w:rsid w:val="00423160"/>
    <w:rsid w:val="00432D48"/>
    <w:rsid w:val="00453862"/>
    <w:rsid w:val="00461338"/>
    <w:rsid w:val="004677DB"/>
    <w:rsid w:val="0048630F"/>
    <w:rsid w:val="00491592"/>
    <w:rsid w:val="004947A1"/>
    <w:rsid w:val="0049482A"/>
    <w:rsid w:val="004979D3"/>
    <w:rsid w:val="004A00E7"/>
    <w:rsid w:val="004A3A61"/>
    <w:rsid w:val="004B59BA"/>
    <w:rsid w:val="004C263A"/>
    <w:rsid w:val="004D7B8F"/>
    <w:rsid w:val="004E6458"/>
    <w:rsid w:val="004E6E7D"/>
    <w:rsid w:val="004E77E2"/>
    <w:rsid w:val="004F1AAC"/>
    <w:rsid w:val="004F1AE2"/>
    <w:rsid w:val="004F34F0"/>
    <w:rsid w:val="005005EF"/>
    <w:rsid w:val="005270F1"/>
    <w:rsid w:val="00534E11"/>
    <w:rsid w:val="005400D9"/>
    <w:rsid w:val="005476A4"/>
    <w:rsid w:val="0055019B"/>
    <w:rsid w:val="0055060B"/>
    <w:rsid w:val="00556E63"/>
    <w:rsid w:val="005601A4"/>
    <w:rsid w:val="005648CF"/>
    <w:rsid w:val="00566DBB"/>
    <w:rsid w:val="005976CE"/>
    <w:rsid w:val="005A23D4"/>
    <w:rsid w:val="005A2D1E"/>
    <w:rsid w:val="005C493F"/>
    <w:rsid w:val="005C6BF7"/>
    <w:rsid w:val="005C71BF"/>
    <w:rsid w:val="005D002C"/>
    <w:rsid w:val="005D30E1"/>
    <w:rsid w:val="005D6555"/>
    <w:rsid w:val="005D7BDF"/>
    <w:rsid w:val="005F71D9"/>
    <w:rsid w:val="005F7602"/>
    <w:rsid w:val="006108BA"/>
    <w:rsid w:val="00613501"/>
    <w:rsid w:val="006166A8"/>
    <w:rsid w:val="006174A1"/>
    <w:rsid w:val="00633B49"/>
    <w:rsid w:val="00636A50"/>
    <w:rsid w:val="0064297F"/>
    <w:rsid w:val="00646CF3"/>
    <w:rsid w:val="00662983"/>
    <w:rsid w:val="006661F8"/>
    <w:rsid w:val="006705B8"/>
    <w:rsid w:val="006834D3"/>
    <w:rsid w:val="00692625"/>
    <w:rsid w:val="00695CD3"/>
    <w:rsid w:val="006A38B6"/>
    <w:rsid w:val="006B1987"/>
    <w:rsid w:val="006B5B71"/>
    <w:rsid w:val="006B6CB0"/>
    <w:rsid w:val="006C2B64"/>
    <w:rsid w:val="006D4C85"/>
    <w:rsid w:val="006E33F6"/>
    <w:rsid w:val="006F1251"/>
    <w:rsid w:val="006F1C23"/>
    <w:rsid w:val="006F3037"/>
    <w:rsid w:val="00703166"/>
    <w:rsid w:val="007127F3"/>
    <w:rsid w:val="007301CF"/>
    <w:rsid w:val="007316FB"/>
    <w:rsid w:val="00737E2D"/>
    <w:rsid w:val="00742033"/>
    <w:rsid w:val="007424D5"/>
    <w:rsid w:val="007523DD"/>
    <w:rsid w:val="00757B7E"/>
    <w:rsid w:val="00771743"/>
    <w:rsid w:val="00774C29"/>
    <w:rsid w:val="00795DC5"/>
    <w:rsid w:val="00797153"/>
    <w:rsid w:val="007A52A3"/>
    <w:rsid w:val="007B0DDA"/>
    <w:rsid w:val="007D6482"/>
    <w:rsid w:val="007E5466"/>
    <w:rsid w:val="007F1949"/>
    <w:rsid w:val="00802956"/>
    <w:rsid w:val="008075B7"/>
    <w:rsid w:val="0081174A"/>
    <w:rsid w:val="00817A84"/>
    <w:rsid w:val="008225A4"/>
    <w:rsid w:val="00826D5E"/>
    <w:rsid w:val="00832013"/>
    <w:rsid w:val="00834732"/>
    <w:rsid w:val="00843554"/>
    <w:rsid w:val="0085200C"/>
    <w:rsid w:val="00857C52"/>
    <w:rsid w:val="008651E2"/>
    <w:rsid w:val="00880A44"/>
    <w:rsid w:val="0088345E"/>
    <w:rsid w:val="0088656F"/>
    <w:rsid w:val="008A0303"/>
    <w:rsid w:val="008A5FDD"/>
    <w:rsid w:val="008A786A"/>
    <w:rsid w:val="008B2311"/>
    <w:rsid w:val="008C223C"/>
    <w:rsid w:val="008C3947"/>
    <w:rsid w:val="008E7329"/>
    <w:rsid w:val="008F2ED5"/>
    <w:rsid w:val="009145D2"/>
    <w:rsid w:val="00916202"/>
    <w:rsid w:val="0092297E"/>
    <w:rsid w:val="0093069F"/>
    <w:rsid w:val="009341BF"/>
    <w:rsid w:val="00937907"/>
    <w:rsid w:val="00941739"/>
    <w:rsid w:val="00951573"/>
    <w:rsid w:val="00963003"/>
    <w:rsid w:val="00983471"/>
    <w:rsid w:val="009909AB"/>
    <w:rsid w:val="009B37DB"/>
    <w:rsid w:val="009C7A8C"/>
    <w:rsid w:val="009D23F9"/>
    <w:rsid w:val="009D4FA8"/>
    <w:rsid w:val="009E6CD6"/>
    <w:rsid w:val="00A00C3C"/>
    <w:rsid w:val="00A01091"/>
    <w:rsid w:val="00A06DBB"/>
    <w:rsid w:val="00A31E86"/>
    <w:rsid w:val="00A54D87"/>
    <w:rsid w:val="00A5553C"/>
    <w:rsid w:val="00A71554"/>
    <w:rsid w:val="00A81785"/>
    <w:rsid w:val="00A84803"/>
    <w:rsid w:val="00A84C51"/>
    <w:rsid w:val="00A86F2B"/>
    <w:rsid w:val="00A91366"/>
    <w:rsid w:val="00A93AA6"/>
    <w:rsid w:val="00AA4E48"/>
    <w:rsid w:val="00AA6202"/>
    <w:rsid w:val="00AB2365"/>
    <w:rsid w:val="00AC4A99"/>
    <w:rsid w:val="00AC64D2"/>
    <w:rsid w:val="00AE0FE8"/>
    <w:rsid w:val="00AF60D5"/>
    <w:rsid w:val="00B04415"/>
    <w:rsid w:val="00B11D60"/>
    <w:rsid w:val="00B11E4B"/>
    <w:rsid w:val="00B13D65"/>
    <w:rsid w:val="00B15903"/>
    <w:rsid w:val="00B22497"/>
    <w:rsid w:val="00B317DE"/>
    <w:rsid w:val="00B35176"/>
    <w:rsid w:val="00B351ED"/>
    <w:rsid w:val="00B37245"/>
    <w:rsid w:val="00B4017A"/>
    <w:rsid w:val="00B4468D"/>
    <w:rsid w:val="00B71C72"/>
    <w:rsid w:val="00B81E92"/>
    <w:rsid w:val="00B93B30"/>
    <w:rsid w:val="00B94CB5"/>
    <w:rsid w:val="00BA0DD9"/>
    <w:rsid w:val="00BB6312"/>
    <w:rsid w:val="00BC4D06"/>
    <w:rsid w:val="00BD585E"/>
    <w:rsid w:val="00BF26A2"/>
    <w:rsid w:val="00BF2E0D"/>
    <w:rsid w:val="00BF3F8B"/>
    <w:rsid w:val="00BF76DA"/>
    <w:rsid w:val="00C07C7B"/>
    <w:rsid w:val="00C24479"/>
    <w:rsid w:val="00C37B53"/>
    <w:rsid w:val="00C517D2"/>
    <w:rsid w:val="00C62B36"/>
    <w:rsid w:val="00C638D6"/>
    <w:rsid w:val="00C7012C"/>
    <w:rsid w:val="00C96915"/>
    <w:rsid w:val="00CA38BC"/>
    <w:rsid w:val="00CB1C5E"/>
    <w:rsid w:val="00CC668D"/>
    <w:rsid w:val="00CC7832"/>
    <w:rsid w:val="00CF0C1C"/>
    <w:rsid w:val="00CF1FFA"/>
    <w:rsid w:val="00D1611D"/>
    <w:rsid w:val="00D2102A"/>
    <w:rsid w:val="00D23808"/>
    <w:rsid w:val="00D2781D"/>
    <w:rsid w:val="00D3016A"/>
    <w:rsid w:val="00D317D4"/>
    <w:rsid w:val="00D31A86"/>
    <w:rsid w:val="00D42960"/>
    <w:rsid w:val="00D43BD7"/>
    <w:rsid w:val="00D4485B"/>
    <w:rsid w:val="00D4708D"/>
    <w:rsid w:val="00D4744C"/>
    <w:rsid w:val="00D63068"/>
    <w:rsid w:val="00D6498C"/>
    <w:rsid w:val="00D8521E"/>
    <w:rsid w:val="00D9291C"/>
    <w:rsid w:val="00D93A97"/>
    <w:rsid w:val="00DB0A92"/>
    <w:rsid w:val="00DB1F64"/>
    <w:rsid w:val="00DC2F53"/>
    <w:rsid w:val="00DC6816"/>
    <w:rsid w:val="00DC76C2"/>
    <w:rsid w:val="00DD1CF2"/>
    <w:rsid w:val="00DF41B7"/>
    <w:rsid w:val="00DF4A4A"/>
    <w:rsid w:val="00DF583C"/>
    <w:rsid w:val="00E03C3F"/>
    <w:rsid w:val="00E24D45"/>
    <w:rsid w:val="00E33DB8"/>
    <w:rsid w:val="00E34387"/>
    <w:rsid w:val="00E369FE"/>
    <w:rsid w:val="00E37C6F"/>
    <w:rsid w:val="00E475F8"/>
    <w:rsid w:val="00E5102E"/>
    <w:rsid w:val="00E5721C"/>
    <w:rsid w:val="00E619C6"/>
    <w:rsid w:val="00E745A1"/>
    <w:rsid w:val="00E81529"/>
    <w:rsid w:val="00E83A13"/>
    <w:rsid w:val="00E84FAD"/>
    <w:rsid w:val="00EC2356"/>
    <w:rsid w:val="00EC2582"/>
    <w:rsid w:val="00EC337C"/>
    <w:rsid w:val="00ED0CFF"/>
    <w:rsid w:val="00ED31D2"/>
    <w:rsid w:val="00EE0ACF"/>
    <w:rsid w:val="00EE0EAC"/>
    <w:rsid w:val="00EE33CB"/>
    <w:rsid w:val="00F0061A"/>
    <w:rsid w:val="00F02834"/>
    <w:rsid w:val="00F07CD7"/>
    <w:rsid w:val="00F127E9"/>
    <w:rsid w:val="00F174C8"/>
    <w:rsid w:val="00F27CDE"/>
    <w:rsid w:val="00F36972"/>
    <w:rsid w:val="00F42426"/>
    <w:rsid w:val="00F456BC"/>
    <w:rsid w:val="00F50666"/>
    <w:rsid w:val="00F60C95"/>
    <w:rsid w:val="00F70C9E"/>
    <w:rsid w:val="00F74A74"/>
    <w:rsid w:val="00F8382C"/>
    <w:rsid w:val="00F855D7"/>
    <w:rsid w:val="00F92035"/>
    <w:rsid w:val="00F92748"/>
    <w:rsid w:val="00F953C7"/>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 w:type="paragraph" w:customStyle="1" w:styleId="Tekstas">
    <w:name w:val="Tekstas"/>
    <w:basedOn w:val="Normal"/>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3905">
      <w:bodyDiv w:val="1"/>
      <w:marLeft w:val="0"/>
      <w:marRight w:val="0"/>
      <w:marTop w:val="0"/>
      <w:marBottom w:val="0"/>
      <w:divBdr>
        <w:top w:val="none" w:sz="0" w:space="0" w:color="auto"/>
        <w:left w:val="none" w:sz="0" w:space="0" w:color="auto"/>
        <w:bottom w:val="none" w:sz="0" w:space="0" w:color="auto"/>
        <w:right w:val="none" w:sz="0" w:space="0" w:color="auto"/>
      </w:divBdr>
    </w:div>
    <w:div w:id="136710298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14D13E29E191409236538E7BBD836F"/>
        <w:category>
          <w:name w:val="General"/>
          <w:gallery w:val="placeholder"/>
        </w:category>
        <w:types>
          <w:type w:val="bbPlcHdr"/>
        </w:types>
        <w:behaviors>
          <w:behavior w:val="content"/>
        </w:behaviors>
        <w:guid w:val="{08B958DA-4556-B84C-B369-7954438DF593}"/>
      </w:docPartPr>
      <w:docPartBody>
        <w:p w:rsidR="0096442F" w:rsidRDefault="00220729" w:rsidP="00220729">
          <w:pPr>
            <w:pStyle w:val="B514D13E29E191409236538E7BBD836F"/>
          </w:pPr>
          <w:r>
            <w:rPr>
              <w:rStyle w:val="PlaceholderText"/>
            </w:rPr>
            <w:t>Click here to enter a date.</w:t>
          </w:r>
        </w:p>
      </w:docPartBody>
    </w:docPart>
    <w:docPart>
      <w:docPartPr>
        <w:name w:val="BF0A31848C56EB4099824EADB2FAEB16"/>
        <w:category>
          <w:name w:val="General"/>
          <w:gallery w:val="placeholder"/>
        </w:category>
        <w:types>
          <w:type w:val="bbPlcHdr"/>
        </w:types>
        <w:behaviors>
          <w:behavior w:val="content"/>
        </w:behaviors>
        <w:guid w:val="{44992E16-AD39-A94A-87B8-01A1080B2D64}"/>
      </w:docPartPr>
      <w:docPartBody>
        <w:p w:rsidR="0096442F" w:rsidRDefault="00220729" w:rsidP="00220729">
          <w:pPr>
            <w:pStyle w:val="BF0A31848C56EB4099824EADB2FAEB16"/>
          </w:pPr>
          <w:r>
            <w:rPr>
              <w:rStyle w:val="PlaceholderText"/>
            </w:rPr>
            <w:t>Click here to enter a date.</w:t>
          </w:r>
        </w:p>
      </w:docPartBody>
    </w:docPart>
    <w:docPart>
      <w:docPartPr>
        <w:name w:val="DC49282196F03F47BE5129E2E27666BA"/>
        <w:category>
          <w:name w:val="General"/>
          <w:gallery w:val="placeholder"/>
        </w:category>
        <w:types>
          <w:type w:val="bbPlcHdr"/>
        </w:types>
        <w:behaviors>
          <w:behavior w:val="content"/>
        </w:behaviors>
        <w:guid w:val="{51F8E8B4-07BD-0540-9E5C-27DEDF826559}"/>
      </w:docPartPr>
      <w:docPartBody>
        <w:p w:rsidR="0096442F" w:rsidRDefault="00220729" w:rsidP="00220729">
          <w:pPr>
            <w:pStyle w:val="DC49282196F03F47BE5129E2E27666BA"/>
          </w:pPr>
          <w:r>
            <w:rPr>
              <w:rStyle w:val="PlaceholderText"/>
            </w:rPr>
            <w:t>Click here to enter a date.</w:t>
          </w:r>
        </w:p>
      </w:docPartBody>
    </w:docPart>
    <w:docPart>
      <w:docPartPr>
        <w:name w:val="A763FD79C15BD4489224F45586FF694D"/>
        <w:category>
          <w:name w:val="General"/>
          <w:gallery w:val="placeholder"/>
        </w:category>
        <w:types>
          <w:type w:val="bbPlcHdr"/>
        </w:types>
        <w:behaviors>
          <w:behavior w:val="content"/>
        </w:behaviors>
        <w:guid w:val="{C8DD9904-6198-6747-B506-2ABAB976DE98}"/>
      </w:docPartPr>
      <w:docPartBody>
        <w:p w:rsidR="0096442F" w:rsidRDefault="00220729" w:rsidP="00220729">
          <w:pPr>
            <w:pStyle w:val="A763FD79C15BD4489224F45586FF694D"/>
          </w:pPr>
          <w:r>
            <w:rPr>
              <w:rStyle w:val="PlaceholderText"/>
            </w:rPr>
            <w:t>Click here to enter a date.</w:t>
          </w:r>
        </w:p>
      </w:docPartBody>
    </w:docPart>
    <w:docPart>
      <w:docPartPr>
        <w:name w:val="CDB2BF14A6388A4DAC5D9BFC5D109471"/>
        <w:category>
          <w:name w:val="General"/>
          <w:gallery w:val="placeholder"/>
        </w:category>
        <w:types>
          <w:type w:val="bbPlcHdr"/>
        </w:types>
        <w:behaviors>
          <w:behavior w:val="content"/>
        </w:behaviors>
        <w:guid w:val="{C9DB73ED-ADD1-D94F-84B8-FA0043647867}"/>
      </w:docPartPr>
      <w:docPartBody>
        <w:p w:rsidR="0096442F" w:rsidRDefault="00220729" w:rsidP="00220729">
          <w:pPr>
            <w:pStyle w:val="CDB2BF14A6388A4DAC5D9BFC5D10947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106A56"/>
    <w:rsid w:val="001227E4"/>
    <w:rsid w:val="00220729"/>
    <w:rsid w:val="003A2F2A"/>
    <w:rsid w:val="003C1AE1"/>
    <w:rsid w:val="004144A3"/>
    <w:rsid w:val="004160E7"/>
    <w:rsid w:val="005074B9"/>
    <w:rsid w:val="005E40DD"/>
    <w:rsid w:val="007C6D1D"/>
    <w:rsid w:val="007D17CA"/>
    <w:rsid w:val="00843AE5"/>
    <w:rsid w:val="008C49D4"/>
    <w:rsid w:val="00936288"/>
    <w:rsid w:val="0096442F"/>
    <w:rsid w:val="009B3BF0"/>
    <w:rsid w:val="009D5E5E"/>
    <w:rsid w:val="00A04012"/>
    <w:rsid w:val="00B23DC0"/>
    <w:rsid w:val="00CB4BD1"/>
    <w:rsid w:val="00CC33BC"/>
    <w:rsid w:val="00CE2DA9"/>
    <w:rsid w:val="00CE44BE"/>
    <w:rsid w:val="00CE49F2"/>
    <w:rsid w:val="00DF3050"/>
    <w:rsid w:val="00E44A86"/>
    <w:rsid w:val="00EF6E0C"/>
    <w:rsid w:val="00F64D17"/>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20729"/>
    <w:rPr>
      <w:color w:val="808080"/>
    </w:rPr>
  </w:style>
  <w:style w:type="paragraph" w:customStyle="1" w:styleId="B514D13E29E191409236538E7BBD836F">
    <w:name w:val="B514D13E29E191409236538E7BBD836F"/>
    <w:rsid w:val="00220729"/>
    <w:pPr>
      <w:spacing w:after="0" w:line="240" w:lineRule="auto"/>
    </w:pPr>
    <w:rPr>
      <w:sz w:val="24"/>
      <w:szCs w:val="24"/>
      <w:lang w:eastAsia="en-GB"/>
    </w:rPr>
  </w:style>
  <w:style w:type="paragraph" w:customStyle="1" w:styleId="BF0A31848C56EB4099824EADB2FAEB16">
    <w:name w:val="BF0A31848C56EB4099824EADB2FAEB16"/>
    <w:rsid w:val="00220729"/>
    <w:pPr>
      <w:spacing w:after="0" w:line="240" w:lineRule="auto"/>
    </w:pPr>
    <w:rPr>
      <w:sz w:val="24"/>
      <w:szCs w:val="24"/>
      <w:lang w:eastAsia="en-GB"/>
    </w:rPr>
  </w:style>
  <w:style w:type="paragraph" w:customStyle="1" w:styleId="DC49282196F03F47BE5129E2E27666BA">
    <w:name w:val="DC49282196F03F47BE5129E2E27666BA"/>
    <w:rsid w:val="00220729"/>
    <w:pPr>
      <w:spacing w:after="0" w:line="240" w:lineRule="auto"/>
    </w:pPr>
    <w:rPr>
      <w:sz w:val="24"/>
      <w:szCs w:val="24"/>
      <w:lang w:eastAsia="en-GB"/>
    </w:rPr>
  </w:style>
  <w:style w:type="paragraph" w:customStyle="1" w:styleId="A763FD79C15BD4489224F45586FF694D">
    <w:name w:val="A763FD79C15BD4489224F45586FF694D"/>
    <w:rsid w:val="00220729"/>
    <w:pPr>
      <w:spacing w:after="0" w:line="240" w:lineRule="auto"/>
    </w:pPr>
    <w:rPr>
      <w:sz w:val="24"/>
      <w:szCs w:val="24"/>
      <w:lang w:eastAsia="en-GB"/>
    </w:rPr>
  </w:style>
  <w:style w:type="paragraph" w:customStyle="1" w:styleId="CDB2BF14A6388A4DAC5D9BFC5D109471">
    <w:name w:val="CDB2BF14A6388A4DAC5D9BFC5D109471"/>
    <w:rsid w:val="002207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40FB5-107A-4261-991A-5A1FF57A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12615</Characters>
  <Application>Microsoft Office Word</Application>
  <DocSecurity>0</DocSecurity>
  <Lines>105</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14348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2023-05-11T14:29:00Z</dcterms:created>
  <dcterms:modified xsi:type="dcterms:W3CDTF">2023-05-16T14:50:00Z</dcterms:modified>
</cp:coreProperties>
</file>