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C4948" w14:textId="77777777" w:rsidR="005F7602" w:rsidRDefault="005F7602" w:rsidP="002946C7">
      <w:pPr>
        <w:ind w:left="5529"/>
      </w:pPr>
    </w:p>
    <w:p w14:paraId="78643521" w14:textId="77777777" w:rsidR="001B3C5B" w:rsidRPr="00E33EFF" w:rsidRDefault="001B3C5B" w:rsidP="001B3C5B">
      <w:pPr>
        <w:ind w:left="6096"/>
      </w:pPr>
      <w:r w:rsidRPr="00E33EFF">
        <w:t>Forma patvirtinta</w:t>
      </w:r>
    </w:p>
    <w:p w14:paraId="37573B5C" w14:textId="77777777" w:rsidR="004C263A" w:rsidRPr="00E33EFF" w:rsidRDefault="001B3C5B" w:rsidP="001B3C5B">
      <w:pPr>
        <w:ind w:left="6096"/>
      </w:pPr>
      <w:r w:rsidRPr="00E33EFF">
        <w:t>Valstybinės vaistų kontrolės tarnybos prie Lietuvos Respublikos sveikatos apsaugos ministerijos viršininko 2021 m</w:t>
      </w:r>
      <w:r w:rsidR="004C263A" w:rsidRPr="00E33EFF">
        <w:t xml:space="preserve">. lapkričio 12 </w:t>
      </w:r>
      <w:r w:rsidRPr="00E33EFF">
        <w:t>d. įsakymu Nr.</w:t>
      </w:r>
      <w:r w:rsidR="004C263A" w:rsidRPr="00E33EFF">
        <w:t xml:space="preserve"> (1.72E)1A-1418</w:t>
      </w:r>
    </w:p>
    <w:p w14:paraId="288D0261" w14:textId="77777777" w:rsidR="001B3C5B" w:rsidRPr="00E33EFF" w:rsidRDefault="004C263A" w:rsidP="001B3C5B">
      <w:pPr>
        <w:ind w:left="6096"/>
      </w:pPr>
      <w:r w:rsidRPr="00E33EFF">
        <w:t>(Valstybinės vaistų kontrolės tarnybos prie Lietuvos Respublikos sveikatos apsaugos ministerijos viršininko 2022 m.                         d. įsakymo Nr.                    redakcija)</w:t>
      </w:r>
    </w:p>
    <w:p w14:paraId="44A1016E" w14:textId="77777777" w:rsidR="001B3C5B" w:rsidRPr="00E33EFF" w:rsidRDefault="001B3C5B" w:rsidP="00FA4169"/>
    <w:p w14:paraId="6FC0A9A8" w14:textId="77777777" w:rsidR="00613501" w:rsidRPr="00E33EFF" w:rsidRDefault="002F0E4F" w:rsidP="003B211A">
      <w:pPr>
        <w:jc w:val="center"/>
        <w:rPr>
          <w:b/>
          <w:bCs/>
          <w:caps/>
        </w:rPr>
      </w:pPr>
      <w:r w:rsidRPr="00E33EFF">
        <w:rPr>
          <w:b/>
        </w:rPr>
        <w:t xml:space="preserve">REKOMENDACIJA DĖL VAISTINIO PREPARATO </w:t>
      </w:r>
      <w:r w:rsidRPr="00E33EFF">
        <w:rPr>
          <w:b/>
          <w:bCs/>
          <w:caps/>
        </w:rPr>
        <w:t>Lietuvos Respublikos Sveikatos apsaugos ministerijos vaistinių preparatų ir medicinos pagalbos priemonių kompensavimo komisijai</w:t>
      </w:r>
    </w:p>
    <w:p w14:paraId="4D3983EC" w14:textId="77777777" w:rsidR="00B13D65" w:rsidRPr="00E33EFF" w:rsidRDefault="00B13D65" w:rsidP="003B211A">
      <w:pPr>
        <w:jc w:val="center"/>
        <w:rPr>
          <w:b/>
        </w:rPr>
      </w:pPr>
    </w:p>
    <w:p w14:paraId="054F5152" w14:textId="77777777" w:rsidR="00C27F7D" w:rsidRPr="00D05364" w:rsidRDefault="00C27F7D" w:rsidP="00C27F7D">
      <w:pPr>
        <w:jc w:val="center"/>
        <w:rPr>
          <w:b/>
        </w:rPr>
      </w:pPr>
      <w:r w:rsidRPr="002035FC">
        <w:rPr>
          <w:b/>
        </w:rPr>
        <w:t>Lynparza</w:t>
      </w:r>
      <w:r>
        <w:rPr>
          <w:b/>
        </w:rPr>
        <w:t xml:space="preserve"> </w:t>
      </w:r>
      <w:r w:rsidRPr="002035FC">
        <w:rPr>
          <w:b/>
        </w:rPr>
        <w:t>100 mg</w:t>
      </w:r>
      <w:r>
        <w:rPr>
          <w:b/>
        </w:rPr>
        <w:t xml:space="preserve">, 150 mg </w:t>
      </w:r>
      <w:r w:rsidRPr="002035FC">
        <w:rPr>
          <w:b/>
        </w:rPr>
        <w:t>plėvele dengtos tabletės</w:t>
      </w:r>
    </w:p>
    <w:p w14:paraId="4EEF5788" w14:textId="77777777" w:rsidR="00C27F7D" w:rsidRPr="00D05364" w:rsidRDefault="00C27F7D" w:rsidP="00C27F7D">
      <w:pPr>
        <w:jc w:val="center"/>
      </w:pPr>
    </w:p>
    <w:p w14:paraId="4EFDE4B5" w14:textId="38CAC782" w:rsidR="00C27F7D" w:rsidRPr="00D05364" w:rsidRDefault="00C27F7D" w:rsidP="00C27F7D">
      <w:pPr>
        <w:jc w:val="center"/>
      </w:pPr>
      <w:r w:rsidRPr="002035FC">
        <w:rPr>
          <w:b/>
        </w:rPr>
        <w:t>Olaparibas</w:t>
      </w:r>
    </w:p>
    <w:p w14:paraId="7D3BC798" w14:textId="77777777" w:rsidR="00C27F7D" w:rsidRPr="00D05364" w:rsidRDefault="00C27F7D" w:rsidP="00C27F7D">
      <w:pPr>
        <w:jc w:val="center"/>
      </w:pPr>
    </w:p>
    <w:p w14:paraId="79651C3C" w14:textId="77777777" w:rsidR="00C27F7D" w:rsidRPr="00D05364" w:rsidRDefault="00C27F7D" w:rsidP="00C27F7D">
      <w:pPr>
        <w:jc w:val="center"/>
        <w:rPr>
          <w:b/>
        </w:rPr>
      </w:pPr>
      <w:r>
        <w:rPr>
          <w:b/>
        </w:rPr>
        <w:t>STV–113</w:t>
      </w:r>
    </w:p>
    <w:p w14:paraId="603A1C7E" w14:textId="77777777" w:rsidR="00D4708D" w:rsidRPr="00E33EFF" w:rsidRDefault="00D4708D" w:rsidP="003B211A">
      <w:pPr>
        <w:jc w:val="center"/>
        <w:rPr>
          <w:b/>
        </w:rPr>
      </w:pPr>
    </w:p>
    <w:p w14:paraId="3063FC38" w14:textId="77777777" w:rsidR="00D4485B" w:rsidRPr="00E33EFF" w:rsidRDefault="00B13D65" w:rsidP="00CC09D4">
      <w:pPr>
        <w:pStyle w:val="ListParagraph"/>
        <w:numPr>
          <w:ilvl w:val="0"/>
          <w:numId w:val="12"/>
        </w:numPr>
        <w:tabs>
          <w:tab w:val="left" w:pos="567"/>
        </w:tabs>
        <w:ind w:left="567" w:hanging="567"/>
        <w:rPr>
          <w:b/>
          <w:bCs/>
          <w:caps/>
        </w:rPr>
      </w:pPr>
      <w:r w:rsidRPr="00E33EFF">
        <w:rPr>
          <w:b/>
          <w:bCs/>
          <w:caps/>
        </w:rPr>
        <w:t>Bendroji dalis</w:t>
      </w:r>
    </w:p>
    <w:p w14:paraId="06CFC025" w14:textId="77777777" w:rsidR="00B13D65" w:rsidRPr="00E33EFF" w:rsidRDefault="00B13D65" w:rsidP="00E03C3F">
      <w:pPr>
        <w:pStyle w:val="ListParagraph"/>
        <w:tabs>
          <w:tab w:val="left" w:pos="284"/>
        </w:tabs>
        <w:ind w:left="0"/>
        <w:rPr>
          <w:b/>
          <w:bCs/>
          <w:caps/>
        </w:rPr>
      </w:pPr>
    </w:p>
    <w:tbl>
      <w:tblPr>
        <w:tblStyle w:val="TableGrid"/>
        <w:tblW w:w="9493" w:type="dxa"/>
        <w:tblLook w:val="04A0" w:firstRow="1" w:lastRow="0" w:firstColumn="1" w:lastColumn="0" w:noHBand="0" w:noVBand="1"/>
      </w:tblPr>
      <w:tblGrid>
        <w:gridCol w:w="632"/>
        <w:gridCol w:w="3694"/>
        <w:gridCol w:w="5167"/>
      </w:tblGrid>
      <w:tr w:rsidR="00B13D65" w:rsidRPr="00E33EFF" w14:paraId="3F447215" w14:textId="77777777" w:rsidTr="00BE7489">
        <w:trPr>
          <w:trHeight w:val="538"/>
        </w:trPr>
        <w:tc>
          <w:tcPr>
            <w:tcW w:w="632" w:type="dxa"/>
          </w:tcPr>
          <w:p w14:paraId="6B0B1013" w14:textId="77777777" w:rsidR="00B13D65" w:rsidRPr="00E33EFF" w:rsidRDefault="00B13D65" w:rsidP="00824B92">
            <w:pPr>
              <w:rPr>
                <w:rFonts w:eastAsia="Arial"/>
              </w:rPr>
            </w:pPr>
            <w:r w:rsidRPr="00E33EFF">
              <w:rPr>
                <w:rFonts w:eastAsia="Arial"/>
              </w:rPr>
              <w:t>1.1</w:t>
            </w:r>
          </w:p>
        </w:tc>
        <w:tc>
          <w:tcPr>
            <w:tcW w:w="3694" w:type="dxa"/>
          </w:tcPr>
          <w:p w14:paraId="2274916E" w14:textId="77777777" w:rsidR="00B13D65" w:rsidRPr="00E33EFF" w:rsidRDefault="00B13D65" w:rsidP="00824B92">
            <w:pPr>
              <w:rPr>
                <w:rFonts w:eastAsia="Arial"/>
              </w:rPr>
            </w:pPr>
            <w:r w:rsidRPr="00E33EFF">
              <w:rPr>
                <w:rFonts w:eastAsia="Arial"/>
              </w:rPr>
              <w:t>Pareiškėjas</w:t>
            </w:r>
          </w:p>
          <w:p w14:paraId="6CFBEB6B" w14:textId="77777777" w:rsidR="00B13D65" w:rsidRPr="00E33EFF" w:rsidRDefault="00B13D65" w:rsidP="00824B92">
            <w:pPr>
              <w:rPr>
                <w:rFonts w:eastAsia="Arial"/>
              </w:rPr>
            </w:pPr>
          </w:p>
        </w:tc>
        <w:tc>
          <w:tcPr>
            <w:tcW w:w="5167" w:type="dxa"/>
          </w:tcPr>
          <w:p w14:paraId="17836C7F" w14:textId="4ECE1FCC" w:rsidR="00937907" w:rsidRPr="00E33EFF" w:rsidRDefault="00C27F7D" w:rsidP="00C27F7D">
            <w:pPr>
              <w:tabs>
                <w:tab w:val="left" w:pos="1040"/>
              </w:tabs>
            </w:pPr>
            <w:r w:rsidRPr="002035FC">
              <w:t>UAB „AstraZeneca Lietuva“</w:t>
            </w:r>
          </w:p>
          <w:p w14:paraId="27E60B18" w14:textId="77777777" w:rsidR="00B13D65" w:rsidRPr="00E33EFF" w:rsidRDefault="00B13D65" w:rsidP="00824B92">
            <w:pPr>
              <w:rPr>
                <w:rFonts w:eastAsia="Arial"/>
              </w:rPr>
            </w:pPr>
          </w:p>
        </w:tc>
      </w:tr>
      <w:tr w:rsidR="00B13D65" w:rsidRPr="00E33EFF" w14:paraId="2C1BEEE3" w14:textId="77777777" w:rsidTr="00BE7489">
        <w:trPr>
          <w:trHeight w:val="538"/>
        </w:trPr>
        <w:tc>
          <w:tcPr>
            <w:tcW w:w="632" w:type="dxa"/>
          </w:tcPr>
          <w:p w14:paraId="3FD96BB7" w14:textId="77777777" w:rsidR="00B13D65" w:rsidRPr="00E33EFF" w:rsidRDefault="002E0702" w:rsidP="00824B92">
            <w:pPr>
              <w:rPr>
                <w:rFonts w:eastAsia="Arial"/>
              </w:rPr>
            </w:pPr>
            <w:r w:rsidRPr="00E33EFF">
              <w:rPr>
                <w:rFonts w:eastAsia="Arial"/>
              </w:rPr>
              <w:t>1.2</w:t>
            </w:r>
          </w:p>
        </w:tc>
        <w:tc>
          <w:tcPr>
            <w:tcW w:w="3694" w:type="dxa"/>
          </w:tcPr>
          <w:p w14:paraId="13062E64" w14:textId="77777777" w:rsidR="00B13D65" w:rsidRPr="00E33EFF" w:rsidRDefault="00B13D65" w:rsidP="00824B92">
            <w:pPr>
              <w:rPr>
                <w:bCs/>
                <w:color w:val="000000"/>
                <w:lang w:eastAsia="lt-LT"/>
              </w:rPr>
            </w:pPr>
            <w:r w:rsidRPr="00E33EFF">
              <w:rPr>
                <w:bCs/>
                <w:color w:val="000000"/>
                <w:lang w:eastAsia="lt-LT"/>
              </w:rPr>
              <w:t xml:space="preserve">Registracijos data </w:t>
            </w:r>
          </w:p>
          <w:p w14:paraId="6F2E5CCF" w14:textId="77777777" w:rsidR="00B13D65" w:rsidRPr="00E33EFF" w:rsidRDefault="00B13D65" w:rsidP="00824B92">
            <w:pPr>
              <w:rPr>
                <w:bCs/>
                <w:color w:val="000000"/>
                <w:lang w:eastAsia="lt-LT"/>
              </w:rPr>
            </w:pPr>
          </w:p>
        </w:tc>
        <w:tc>
          <w:tcPr>
            <w:tcW w:w="5167" w:type="dxa"/>
          </w:tcPr>
          <w:p w14:paraId="60AB7106" w14:textId="00DE48E8" w:rsidR="00B13D65" w:rsidRPr="00E33EFF" w:rsidRDefault="00C81311" w:rsidP="00824B92">
            <w:pPr>
              <w:rPr>
                <w:rStyle w:val="Style2"/>
              </w:rPr>
            </w:pPr>
            <w:sdt>
              <w:sdtPr>
                <w:rPr>
                  <w:sz w:val="32"/>
                </w:rPr>
                <w:alias w:val="Nurodykite konkrečią dieną"/>
                <w:tag w:val="Nurodykite pradžios datą"/>
                <w:id w:val="423238108"/>
                <w:placeholder>
                  <w:docPart w:val="EC39394C6A20B043B249A35CDEAA4FE6"/>
                </w:placeholder>
                <w15:color w:val="FFCC99"/>
                <w:date w:fullDate="2014-12-16T00:00:00Z">
                  <w:dateFormat w:val="yyyy 'm.' MMMM d 'd.'"/>
                  <w:lid w:val="lt-LT"/>
                  <w:storeMappedDataAs w:val="dateTime"/>
                  <w:calendar w:val="gregorian"/>
                </w:date>
              </w:sdtPr>
              <w:sdtEndPr>
                <w:rPr>
                  <w:sz w:val="24"/>
                </w:rPr>
              </w:sdtEndPr>
              <w:sdtContent>
                <w:r w:rsidR="00C27F7D">
                  <w:t>2014 m. gruodžio 16 d.</w:t>
                </w:r>
              </w:sdtContent>
            </w:sdt>
          </w:p>
        </w:tc>
      </w:tr>
      <w:tr w:rsidR="00B13D65" w:rsidRPr="00E33EFF" w14:paraId="4019465F" w14:textId="77777777" w:rsidTr="00BE7489">
        <w:trPr>
          <w:trHeight w:val="1500"/>
        </w:trPr>
        <w:tc>
          <w:tcPr>
            <w:tcW w:w="632" w:type="dxa"/>
          </w:tcPr>
          <w:p w14:paraId="46A85008" w14:textId="77777777" w:rsidR="00B13D65" w:rsidRPr="00E33EFF" w:rsidRDefault="002E0702" w:rsidP="00824B92">
            <w:pPr>
              <w:rPr>
                <w:rFonts w:eastAsia="Arial"/>
              </w:rPr>
            </w:pPr>
            <w:r w:rsidRPr="00E33EFF">
              <w:rPr>
                <w:rFonts w:eastAsia="Arial"/>
              </w:rPr>
              <w:t>1.3</w:t>
            </w:r>
          </w:p>
        </w:tc>
        <w:tc>
          <w:tcPr>
            <w:tcW w:w="3694" w:type="dxa"/>
          </w:tcPr>
          <w:p w14:paraId="42132D61" w14:textId="77777777" w:rsidR="00B13D65" w:rsidRPr="00E33EFF" w:rsidRDefault="00B13D65" w:rsidP="00824B92">
            <w:r w:rsidRPr="00E33EFF">
              <w:t xml:space="preserve">Paraiškos tipas </w:t>
            </w:r>
          </w:p>
          <w:p w14:paraId="74C0C058" w14:textId="77777777" w:rsidR="00B13D65" w:rsidRPr="00E33EFF" w:rsidRDefault="00B13D65" w:rsidP="00824B92">
            <w:r w:rsidRPr="00E33EFF">
              <w:t>(</w:t>
            </w:r>
            <w:r w:rsidR="00695CD3" w:rsidRPr="00E33EFF">
              <w:t xml:space="preserve">pagal </w:t>
            </w:r>
            <w:r w:rsidR="0039696E" w:rsidRPr="00E33EFF">
              <w:rPr>
                <w:color w:val="333333"/>
                <w:shd w:val="clear" w:color="auto" w:fill="FFFFFF"/>
              </w:rPr>
              <w:t>vaistinio preparato registracijos tipą, įtvirtintą</w:t>
            </w:r>
            <w:r w:rsidR="0039696E" w:rsidRPr="00E33EFF">
              <w:t xml:space="preserve"> </w:t>
            </w:r>
            <w:r w:rsidRPr="00E33EFF">
              <w:t>Direktyv</w:t>
            </w:r>
            <w:r w:rsidR="00695CD3" w:rsidRPr="00E33EFF">
              <w:t>os</w:t>
            </w:r>
            <w:r w:rsidRPr="00E33EFF">
              <w:t xml:space="preserve"> 2001/83/EB</w:t>
            </w:r>
            <w:r w:rsidR="00695CD3" w:rsidRPr="00E33EFF">
              <w:t xml:space="preserve"> </w:t>
            </w:r>
            <w:proofErr w:type="spellStart"/>
            <w:r w:rsidR="00695CD3" w:rsidRPr="00E33EFF">
              <w:t>straips</w:t>
            </w:r>
            <w:r w:rsidR="0039696E" w:rsidRPr="00E33EFF">
              <w:t>iuose</w:t>
            </w:r>
            <w:proofErr w:type="spellEnd"/>
            <w:r w:rsidRPr="00E33EFF">
              <w:t>)</w:t>
            </w:r>
          </w:p>
          <w:p w14:paraId="219FF591" w14:textId="77777777" w:rsidR="00B13D65" w:rsidRPr="00E33EFF" w:rsidRDefault="00B13D65" w:rsidP="00824B92">
            <w:pPr>
              <w:rPr>
                <w:bCs/>
                <w:color w:val="000000"/>
                <w:lang w:eastAsia="lt-LT"/>
              </w:rPr>
            </w:pPr>
          </w:p>
        </w:tc>
        <w:tc>
          <w:tcPr>
            <w:tcW w:w="5167" w:type="dxa"/>
          </w:tcPr>
          <w:p w14:paraId="109C906C" w14:textId="2E055741" w:rsidR="00B13D65" w:rsidRPr="00E33EFF" w:rsidRDefault="00C81311" w:rsidP="00824B92">
            <w:pPr>
              <w:rPr>
                <w:sz w:val="22"/>
                <w:szCs w:val="22"/>
              </w:rPr>
            </w:pPr>
            <w:sdt>
              <w:sdtPr>
                <w:rPr>
                  <w:rStyle w:val="Style2"/>
                  <w:sz w:val="22"/>
                  <w:szCs w:val="22"/>
                </w:rPr>
                <w:id w:val="526292078"/>
                <w15:color w:val="FFCC00"/>
                <w14:checkbox>
                  <w14:checked w14:val="1"/>
                  <w14:checkedState w14:val="2612" w14:font="MS Gothic"/>
                  <w14:uncheckedState w14:val="2610" w14:font="MS Gothic"/>
                </w14:checkbox>
              </w:sdtPr>
              <w:sdtEndPr>
                <w:rPr>
                  <w:rStyle w:val="Style2"/>
                </w:rPr>
              </w:sdtEndPr>
              <w:sdtContent>
                <w:r w:rsidR="00C27F7D">
                  <w:rPr>
                    <w:rStyle w:val="Style2"/>
                    <w:rFonts w:ascii="MS Gothic" w:eastAsia="MS Gothic" w:hAnsi="MS Gothic" w:hint="eastAsia"/>
                    <w:sz w:val="22"/>
                    <w:szCs w:val="22"/>
                  </w:rPr>
                  <w:t>☒</w:t>
                </w:r>
              </w:sdtContent>
            </w:sdt>
            <w:r w:rsidR="00B13D65" w:rsidRPr="00E33EFF">
              <w:rPr>
                <w:sz w:val="22"/>
                <w:szCs w:val="22"/>
              </w:rPr>
              <w:t xml:space="preserve">8.3 str. (pilna byla, pagrįsta savais tyrimais) </w:t>
            </w:r>
          </w:p>
          <w:p w14:paraId="615D436B" w14:textId="77777777" w:rsidR="00B13D65" w:rsidRPr="00E33EFF" w:rsidRDefault="00C81311" w:rsidP="00824B92">
            <w:pPr>
              <w:rPr>
                <w:sz w:val="22"/>
                <w:szCs w:val="22"/>
              </w:rPr>
            </w:pPr>
            <w:sdt>
              <w:sdtPr>
                <w:rPr>
                  <w:rStyle w:val="Style2"/>
                  <w:sz w:val="22"/>
                  <w:szCs w:val="22"/>
                </w:rPr>
                <w:id w:val="-1497953736"/>
                <w15:color w:val="FFCC00"/>
                <w14:checkbox>
                  <w14:checked w14:val="0"/>
                  <w14:checkedState w14:val="2612" w14:font="MS Gothic"/>
                  <w14:uncheckedState w14:val="2610" w14:font="MS Gothic"/>
                </w14:checkbox>
              </w:sdtPr>
              <w:sdtEndPr>
                <w:rPr>
                  <w:rStyle w:val="Style2"/>
                </w:rPr>
              </w:sdtEndPr>
              <w:sdtContent>
                <w:r w:rsidR="00CC7832" w:rsidRPr="00E33EFF">
                  <w:rPr>
                    <w:rStyle w:val="Style2"/>
                    <w:rFonts w:ascii="Segoe UI Symbol" w:eastAsia="MS Gothic" w:hAnsi="Segoe UI Symbol" w:cs="Segoe UI Symbol"/>
                    <w:sz w:val="22"/>
                    <w:szCs w:val="22"/>
                  </w:rPr>
                  <w:t>☐</w:t>
                </w:r>
              </w:sdtContent>
            </w:sdt>
            <w:r w:rsidR="00B13D65" w:rsidRPr="00E33EFF">
              <w:rPr>
                <w:sz w:val="22"/>
                <w:szCs w:val="22"/>
              </w:rPr>
              <w:t xml:space="preserve">10 a str. (pripažintas medicininis vartojimas) </w:t>
            </w:r>
          </w:p>
          <w:p w14:paraId="51F044F3" w14:textId="77777777" w:rsidR="00B13D65" w:rsidRPr="00E33EFF" w:rsidRDefault="00C81311" w:rsidP="00824B92">
            <w:pPr>
              <w:rPr>
                <w:sz w:val="22"/>
                <w:szCs w:val="22"/>
              </w:rPr>
            </w:pPr>
            <w:sdt>
              <w:sdtPr>
                <w:rPr>
                  <w:rStyle w:val="Style2"/>
                  <w:sz w:val="22"/>
                  <w:szCs w:val="22"/>
                </w:rPr>
                <w:id w:val="204142496"/>
                <w15:color w:val="FFCC00"/>
                <w14:checkbox>
                  <w14:checked w14:val="0"/>
                  <w14:checkedState w14:val="2612" w14:font="MS Gothic"/>
                  <w14:uncheckedState w14:val="2610" w14:font="MS Gothic"/>
                </w14:checkbox>
              </w:sdtPr>
              <w:sdtEndPr>
                <w:rPr>
                  <w:rStyle w:val="Style2"/>
                </w:rPr>
              </w:sdtEndPr>
              <w:sdtContent>
                <w:r w:rsidR="00CC7832" w:rsidRPr="00E33EFF">
                  <w:rPr>
                    <w:rStyle w:val="Style2"/>
                    <w:rFonts w:ascii="Segoe UI Symbol" w:eastAsia="MS Gothic" w:hAnsi="Segoe UI Symbol" w:cs="Segoe UI Symbol"/>
                    <w:sz w:val="22"/>
                    <w:szCs w:val="22"/>
                  </w:rPr>
                  <w:t>☐</w:t>
                </w:r>
              </w:sdtContent>
            </w:sdt>
            <w:r w:rsidR="00B13D65" w:rsidRPr="00E33EFF">
              <w:rPr>
                <w:sz w:val="22"/>
                <w:szCs w:val="22"/>
              </w:rPr>
              <w:t>10.1 str. (</w:t>
            </w:r>
            <w:proofErr w:type="spellStart"/>
            <w:r w:rsidR="00B13D65" w:rsidRPr="00E33EFF">
              <w:rPr>
                <w:sz w:val="22"/>
                <w:szCs w:val="22"/>
              </w:rPr>
              <w:t>generinis</w:t>
            </w:r>
            <w:proofErr w:type="spellEnd"/>
            <w:r w:rsidR="00B13D65" w:rsidRPr="00E33EFF">
              <w:rPr>
                <w:sz w:val="22"/>
                <w:szCs w:val="22"/>
              </w:rPr>
              <w:t>)</w:t>
            </w:r>
          </w:p>
          <w:p w14:paraId="0991F965" w14:textId="77777777" w:rsidR="00B13D65" w:rsidRPr="00E33EFF" w:rsidRDefault="00C81311" w:rsidP="00824B92">
            <w:pPr>
              <w:rPr>
                <w:rStyle w:val="Style2"/>
                <w:sz w:val="24"/>
              </w:rPr>
            </w:pPr>
            <w:sdt>
              <w:sdtPr>
                <w:rPr>
                  <w:rStyle w:val="Style2"/>
                  <w:sz w:val="22"/>
                  <w:szCs w:val="22"/>
                </w:rPr>
                <w:id w:val="820305101"/>
                <w15:color w:val="FFCC00"/>
                <w14:checkbox>
                  <w14:checked w14:val="0"/>
                  <w14:checkedState w14:val="2612" w14:font="MS Gothic"/>
                  <w14:uncheckedState w14:val="2610" w14:font="MS Gothic"/>
                </w14:checkbox>
              </w:sdtPr>
              <w:sdtEndPr>
                <w:rPr>
                  <w:rStyle w:val="Style2"/>
                </w:rPr>
              </w:sdtEndPr>
              <w:sdtContent>
                <w:r w:rsidR="00CC7832" w:rsidRPr="00E33EFF">
                  <w:rPr>
                    <w:rStyle w:val="Style2"/>
                    <w:rFonts w:ascii="Segoe UI Symbol" w:eastAsia="MS Gothic" w:hAnsi="Segoe UI Symbol" w:cs="Segoe UI Symbol"/>
                    <w:sz w:val="22"/>
                    <w:szCs w:val="22"/>
                  </w:rPr>
                  <w:t>☐</w:t>
                </w:r>
              </w:sdtContent>
            </w:sdt>
            <w:r w:rsidR="00B13D65" w:rsidRPr="00E33EFF">
              <w:rPr>
                <w:sz w:val="22"/>
                <w:szCs w:val="22"/>
              </w:rPr>
              <w:t>10.3 str. (hibridinis)</w:t>
            </w:r>
          </w:p>
        </w:tc>
      </w:tr>
      <w:tr w:rsidR="00B13D65" w:rsidRPr="00E33EFF" w14:paraId="46AB9980" w14:textId="77777777" w:rsidTr="00C27F7D">
        <w:trPr>
          <w:trHeight w:val="1076"/>
        </w:trPr>
        <w:tc>
          <w:tcPr>
            <w:tcW w:w="632" w:type="dxa"/>
          </w:tcPr>
          <w:p w14:paraId="24AD8A92" w14:textId="77777777" w:rsidR="00B13D65" w:rsidRPr="00E33EFF" w:rsidRDefault="00B13D65" w:rsidP="00824B92">
            <w:pPr>
              <w:rPr>
                <w:rFonts w:eastAsia="Arial"/>
              </w:rPr>
            </w:pPr>
            <w:r w:rsidRPr="00E33EFF">
              <w:rPr>
                <w:rFonts w:eastAsia="Arial"/>
              </w:rPr>
              <w:t>1.</w:t>
            </w:r>
            <w:r w:rsidR="002E0702" w:rsidRPr="00E33EFF">
              <w:rPr>
                <w:rFonts w:eastAsia="Arial"/>
              </w:rPr>
              <w:t>4</w:t>
            </w:r>
          </w:p>
        </w:tc>
        <w:tc>
          <w:tcPr>
            <w:tcW w:w="3694" w:type="dxa"/>
          </w:tcPr>
          <w:p w14:paraId="7CE3222F" w14:textId="5E11FCF0" w:rsidR="00B13D65" w:rsidRPr="00E33EFF" w:rsidRDefault="00B13D65" w:rsidP="00824B92">
            <w:pPr>
              <w:rPr>
                <w:bCs/>
                <w:color w:val="000000"/>
                <w:lang w:eastAsia="lt-LT"/>
              </w:rPr>
            </w:pPr>
            <w:r w:rsidRPr="00E33EFF">
              <w:rPr>
                <w:bCs/>
                <w:color w:val="000000"/>
                <w:lang w:eastAsia="lt-LT"/>
              </w:rPr>
              <w:t xml:space="preserve">Ar vaistinis preparatas įrašytas į Bendrijos retųjų vaistinių preparatų registrą? </w:t>
            </w:r>
          </w:p>
        </w:tc>
        <w:tc>
          <w:tcPr>
            <w:tcW w:w="5167" w:type="dxa"/>
          </w:tcPr>
          <w:p w14:paraId="30A365E1" w14:textId="77777777" w:rsidR="00B13D65" w:rsidRPr="00E33EFF" w:rsidRDefault="00C81311" w:rsidP="00824B92">
            <w:sdt>
              <w:sdtPr>
                <w:rPr>
                  <w:rStyle w:val="Style2"/>
                  <w:sz w:val="24"/>
                </w:rPr>
                <w:id w:val="2024432173"/>
                <w15:color w:val="FFCC00"/>
                <w14:checkbox>
                  <w14:checked w14:val="0"/>
                  <w14:checkedState w14:val="2612" w14:font="MS Gothic"/>
                  <w14:uncheckedState w14:val="2610" w14:font="MS Gothic"/>
                </w14:checkbox>
              </w:sdtPr>
              <w:sdtEndPr>
                <w:rPr>
                  <w:rStyle w:val="Style2"/>
                </w:rPr>
              </w:sdtEndPr>
              <w:sdtContent>
                <w:r w:rsidR="00D417D2" w:rsidRPr="00E33EFF">
                  <w:rPr>
                    <w:rStyle w:val="Style2"/>
                    <w:rFonts w:ascii="MS Gothic" w:eastAsia="MS Gothic" w:hAnsi="MS Gothic" w:hint="eastAsia"/>
                    <w:sz w:val="24"/>
                  </w:rPr>
                  <w:t>☐</w:t>
                </w:r>
              </w:sdtContent>
            </w:sdt>
            <w:r w:rsidR="00B13D65" w:rsidRPr="00E33EFF">
              <w:t xml:space="preserve"> Taip</w:t>
            </w:r>
          </w:p>
          <w:p w14:paraId="07882582" w14:textId="45FECDC9" w:rsidR="00B13D65" w:rsidRPr="00E33EFF" w:rsidRDefault="00C81311" w:rsidP="00824B92">
            <w:sdt>
              <w:sdtPr>
                <w:rPr>
                  <w:rStyle w:val="Style2"/>
                  <w:sz w:val="24"/>
                </w:rPr>
                <w:id w:val="-970507926"/>
                <w15:color w:val="FFCC00"/>
                <w14:checkbox>
                  <w14:checked w14:val="1"/>
                  <w14:checkedState w14:val="2612" w14:font="MS Gothic"/>
                  <w14:uncheckedState w14:val="2610" w14:font="MS Gothic"/>
                </w14:checkbox>
              </w:sdtPr>
              <w:sdtEndPr>
                <w:rPr>
                  <w:rStyle w:val="Style2"/>
                </w:rPr>
              </w:sdtEndPr>
              <w:sdtContent>
                <w:r w:rsidR="00C27F7D">
                  <w:rPr>
                    <w:rStyle w:val="Style2"/>
                    <w:rFonts w:ascii="MS Gothic" w:eastAsia="MS Gothic" w:hAnsi="MS Gothic" w:hint="eastAsia"/>
                    <w:sz w:val="24"/>
                  </w:rPr>
                  <w:t>☒</w:t>
                </w:r>
              </w:sdtContent>
            </w:sdt>
            <w:r w:rsidR="00B13D65" w:rsidRPr="00E33EFF">
              <w:t xml:space="preserve"> Ne</w:t>
            </w:r>
          </w:p>
          <w:p w14:paraId="0D13AB9F" w14:textId="4DBED068" w:rsidR="00B13D65" w:rsidRPr="00E33EFF" w:rsidRDefault="00B13D65" w:rsidP="00824B92">
            <w:pPr>
              <w:rPr>
                <w:rFonts w:eastAsia="Arial"/>
              </w:rPr>
            </w:pPr>
          </w:p>
        </w:tc>
      </w:tr>
      <w:tr w:rsidR="00D417D2" w:rsidRPr="00E33EFF" w14:paraId="3EE73962" w14:textId="77777777" w:rsidTr="00BE7489">
        <w:trPr>
          <w:trHeight w:val="476"/>
        </w:trPr>
        <w:tc>
          <w:tcPr>
            <w:tcW w:w="632" w:type="dxa"/>
          </w:tcPr>
          <w:p w14:paraId="402C99D1" w14:textId="77777777" w:rsidR="00D417D2" w:rsidRPr="00E33EFF" w:rsidRDefault="00D417D2" w:rsidP="00824B92">
            <w:pPr>
              <w:rPr>
                <w:rFonts w:eastAsia="Arial"/>
              </w:rPr>
            </w:pPr>
            <w:r w:rsidRPr="00E33EFF">
              <w:rPr>
                <w:rFonts w:eastAsia="Arial"/>
              </w:rPr>
              <w:t>1.5</w:t>
            </w:r>
          </w:p>
        </w:tc>
        <w:tc>
          <w:tcPr>
            <w:tcW w:w="3694" w:type="dxa"/>
          </w:tcPr>
          <w:p w14:paraId="0A15CA5C" w14:textId="77777777" w:rsidR="00D417D2" w:rsidRPr="00E33EFF" w:rsidRDefault="00D417D2" w:rsidP="00824B92">
            <w:pPr>
              <w:rPr>
                <w:bCs/>
                <w:color w:val="000000"/>
                <w:lang w:eastAsia="lt-LT"/>
              </w:rPr>
            </w:pPr>
            <w:r w:rsidRPr="00E33EFF">
              <w:t>STV paraiškos pobūdis</w:t>
            </w:r>
          </w:p>
        </w:tc>
        <w:tc>
          <w:tcPr>
            <w:tcW w:w="5167" w:type="dxa"/>
          </w:tcPr>
          <w:p w14:paraId="0100E053" w14:textId="3FD6B7D8" w:rsidR="00D417D2" w:rsidRPr="00E33EFF" w:rsidRDefault="00C81311" w:rsidP="00824B92">
            <w:sdt>
              <w:sdtPr>
                <w:rPr>
                  <w:rStyle w:val="Style2"/>
                  <w:sz w:val="24"/>
                </w:rPr>
                <w:id w:val="-468433535"/>
                <w15:color w:val="FFCC00"/>
                <w14:checkbox>
                  <w14:checked w14:val="1"/>
                  <w14:checkedState w14:val="2612" w14:font="MS Gothic"/>
                  <w14:uncheckedState w14:val="2610" w14:font="MS Gothic"/>
                </w14:checkbox>
              </w:sdtPr>
              <w:sdtEndPr>
                <w:rPr>
                  <w:rStyle w:val="Style2"/>
                </w:rPr>
              </w:sdtEndPr>
              <w:sdtContent>
                <w:r w:rsidR="00C27F7D">
                  <w:rPr>
                    <w:rStyle w:val="Style2"/>
                    <w:rFonts w:ascii="MS Gothic" w:eastAsia="MS Gothic" w:hAnsi="MS Gothic" w:hint="eastAsia"/>
                    <w:sz w:val="24"/>
                  </w:rPr>
                  <w:t>☒</w:t>
                </w:r>
              </w:sdtContent>
            </w:sdt>
            <w:r w:rsidR="00D417D2" w:rsidRPr="00E33EFF">
              <w:t xml:space="preserve"> Pilna paraiška</w:t>
            </w:r>
          </w:p>
          <w:p w14:paraId="19AA8CC6" w14:textId="77777777" w:rsidR="00D417D2" w:rsidRPr="00E33EFF" w:rsidRDefault="00C81311" w:rsidP="00824B92">
            <w:sdt>
              <w:sdtPr>
                <w:rPr>
                  <w:rStyle w:val="Style2"/>
                  <w:sz w:val="24"/>
                </w:rPr>
                <w:id w:val="-1489014904"/>
                <w15:color w:val="FFCC00"/>
                <w14:checkbox>
                  <w14:checked w14:val="0"/>
                  <w14:checkedState w14:val="2612" w14:font="MS Gothic"/>
                  <w14:uncheckedState w14:val="2610" w14:font="MS Gothic"/>
                </w14:checkbox>
              </w:sdtPr>
              <w:sdtEndPr>
                <w:rPr>
                  <w:rStyle w:val="Style2"/>
                </w:rPr>
              </w:sdtEndPr>
              <w:sdtContent>
                <w:r w:rsidR="00D417D2" w:rsidRPr="00E33EFF">
                  <w:rPr>
                    <w:rStyle w:val="Style2"/>
                    <w:rFonts w:ascii="MS Gothic" w:eastAsia="MS Gothic" w:hAnsi="MS Gothic" w:hint="eastAsia"/>
                    <w:sz w:val="24"/>
                  </w:rPr>
                  <w:t>☐</w:t>
                </w:r>
              </w:sdtContent>
            </w:sdt>
            <w:r w:rsidR="00D417D2" w:rsidRPr="00E33EFF">
              <w:t xml:space="preserve"> Supaprastinta paraiška</w:t>
            </w:r>
          </w:p>
        </w:tc>
      </w:tr>
      <w:tr w:rsidR="00B13D65" w:rsidRPr="00E33EFF" w14:paraId="6EAD8B33" w14:textId="77777777" w:rsidTr="00BE7489">
        <w:trPr>
          <w:trHeight w:val="1922"/>
        </w:trPr>
        <w:tc>
          <w:tcPr>
            <w:tcW w:w="632" w:type="dxa"/>
          </w:tcPr>
          <w:p w14:paraId="47914572" w14:textId="77777777" w:rsidR="00B13D65" w:rsidRPr="00E33EFF" w:rsidRDefault="00B13D65" w:rsidP="00824B92">
            <w:pPr>
              <w:rPr>
                <w:rFonts w:eastAsia="Arial"/>
              </w:rPr>
            </w:pPr>
            <w:r w:rsidRPr="00E33EFF">
              <w:rPr>
                <w:rFonts w:eastAsia="Arial"/>
              </w:rPr>
              <w:t>1.</w:t>
            </w:r>
            <w:r w:rsidR="00D417D2" w:rsidRPr="00E33EFF">
              <w:rPr>
                <w:rFonts w:eastAsia="Arial"/>
              </w:rPr>
              <w:t>6</w:t>
            </w:r>
          </w:p>
        </w:tc>
        <w:tc>
          <w:tcPr>
            <w:tcW w:w="3694" w:type="dxa"/>
          </w:tcPr>
          <w:p w14:paraId="2B220AAB" w14:textId="77777777" w:rsidR="007656B2" w:rsidRPr="00E33EFF" w:rsidRDefault="00DE4484" w:rsidP="00824B92">
            <w:pPr>
              <w:rPr>
                <w:bCs/>
                <w:color w:val="000000"/>
                <w:lang w:eastAsia="lt-LT"/>
              </w:rPr>
            </w:pPr>
            <w:r w:rsidRPr="00E33EFF">
              <w:rPr>
                <w:bCs/>
                <w:color w:val="000000"/>
                <w:lang w:eastAsia="lt-LT"/>
              </w:rPr>
              <w:t>Par</w:t>
            </w:r>
            <w:r w:rsidR="007656B2" w:rsidRPr="00E33EFF">
              <w:rPr>
                <w:bCs/>
                <w:color w:val="000000"/>
                <w:lang w:eastAsia="lt-LT"/>
              </w:rPr>
              <w:t>eiškėjo t</w:t>
            </w:r>
            <w:r w:rsidR="00B13D65" w:rsidRPr="00E33EFF">
              <w:rPr>
                <w:bCs/>
                <w:color w:val="000000"/>
                <w:lang w:eastAsia="lt-LT"/>
              </w:rPr>
              <w:t>eikiama (-</w:t>
            </w:r>
            <w:proofErr w:type="spellStart"/>
            <w:r w:rsidR="00B13D65" w:rsidRPr="00E33EFF">
              <w:rPr>
                <w:bCs/>
                <w:color w:val="000000"/>
                <w:lang w:eastAsia="lt-LT"/>
              </w:rPr>
              <w:t>os</w:t>
            </w:r>
            <w:proofErr w:type="spellEnd"/>
            <w:r w:rsidR="00B13D65" w:rsidRPr="00E33EFF">
              <w:rPr>
                <w:bCs/>
                <w:color w:val="000000"/>
                <w:lang w:eastAsia="lt-LT"/>
              </w:rPr>
              <w:t>) kompensuoti vaistinio preparato indikacija (-</w:t>
            </w:r>
            <w:proofErr w:type="spellStart"/>
            <w:r w:rsidR="00B13D65" w:rsidRPr="00E33EFF">
              <w:rPr>
                <w:bCs/>
                <w:color w:val="000000"/>
                <w:lang w:eastAsia="lt-LT"/>
              </w:rPr>
              <w:t>os</w:t>
            </w:r>
            <w:proofErr w:type="spellEnd"/>
            <w:r w:rsidR="00B13D65" w:rsidRPr="00E33EFF">
              <w:rPr>
                <w:bCs/>
                <w:color w:val="000000"/>
                <w:lang w:eastAsia="lt-LT"/>
              </w:rPr>
              <w:t>)</w:t>
            </w:r>
          </w:p>
          <w:p w14:paraId="54001D4F" w14:textId="77777777" w:rsidR="00AE1322" w:rsidRDefault="00AE1322" w:rsidP="00824B92">
            <w:pPr>
              <w:rPr>
                <w:bCs/>
                <w:color w:val="000000"/>
                <w:lang w:eastAsia="lt-LT"/>
              </w:rPr>
            </w:pPr>
          </w:p>
          <w:p w14:paraId="23713BB7" w14:textId="682910B5" w:rsidR="00AE1322" w:rsidRDefault="00AE1322" w:rsidP="00824B92">
            <w:pPr>
              <w:rPr>
                <w:bCs/>
                <w:color w:val="000000"/>
                <w:lang w:eastAsia="lt-LT"/>
              </w:rPr>
            </w:pPr>
          </w:p>
          <w:p w14:paraId="0A72E3AC" w14:textId="7494F0E2" w:rsidR="00AB2785" w:rsidRDefault="00AB2785" w:rsidP="00824B92">
            <w:pPr>
              <w:rPr>
                <w:bCs/>
                <w:color w:val="000000"/>
                <w:lang w:eastAsia="lt-LT"/>
              </w:rPr>
            </w:pPr>
          </w:p>
          <w:p w14:paraId="10E9FF2C" w14:textId="7BEEF234" w:rsidR="00AB2785" w:rsidRDefault="00AB2785" w:rsidP="00824B92">
            <w:pPr>
              <w:rPr>
                <w:bCs/>
                <w:color w:val="000000"/>
                <w:lang w:eastAsia="lt-LT"/>
              </w:rPr>
            </w:pPr>
          </w:p>
          <w:p w14:paraId="18CEB013" w14:textId="77777777" w:rsidR="00AB2785" w:rsidRDefault="00AB2785" w:rsidP="00824B92">
            <w:pPr>
              <w:rPr>
                <w:bCs/>
                <w:color w:val="000000"/>
                <w:lang w:eastAsia="lt-LT"/>
              </w:rPr>
            </w:pPr>
          </w:p>
          <w:p w14:paraId="4A0C910E" w14:textId="77777777" w:rsidR="00B13D65" w:rsidRPr="00E33EFF" w:rsidRDefault="007656B2" w:rsidP="00824B92">
            <w:pPr>
              <w:rPr>
                <w:bCs/>
                <w:color w:val="000000"/>
                <w:lang w:eastAsia="lt-LT"/>
              </w:rPr>
            </w:pPr>
            <w:r w:rsidRPr="00E33EFF">
              <w:rPr>
                <w:bCs/>
                <w:color w:val="000000"/>
                <w:lang w:eastAsia="lt-LT"/>
              </w:rPr>
              <w:t>K</w:t>
            </w:r>
            <w:r w:rsidR="00B13D65" w:rsidRPr="00E33EFF">
              <w:rPr>
                <w:bCs/>
                <w:color w:val="000000"/>
                <w:lang w:eastAsia="lt-LT"/>
              </w:rPr>
              <w:t>odas</w:t>
            </w:r>
            <w:r w:rsidRPr="00E33EFF">
              <w:rPr>
                <w:bCs/>
                <w:color w:val="000000"/>
                <w:lang w:eastAsia="lt-LT"/>
              </w:rPr>
              <w:t xml:space="preserve"> pagal TLK-10 AM</w:t>
            </w:r>
          </w:p>
        </w:tc>
        <w:tc>
          <w:tcPr>
            <w:tcW w:w="5167" w:type="dxa"/>
          </w:tcPr>
          <w:p w14:paraId="7D8E5674" w14:textId="77777777" w:rsidR="00C27F7D" w:rsidRPr="00D05364" w:rsidRDefault="00C27F7D" w:rsidP="00C27F7D">
            <w:pPr>
              <w:pStyle w:val="ListParagraph"/>
              <w:spacing w:after="120"/>
              <w:ind w:left="0"/>
              <w:contextualSpacing w:val="0"/>
              <w:jc w:val="both"/>
            </w:pPr>
            <w:r w:rsidRPr="002954D4">
              <w:t xml:space="preserve">Lynparza </w:t>
            </w:r>
            <w:proofErr w:type="spellStart"/>
            <w:r w:rsidRPr="002954D4">
              <w:t>monoterapija</w:t>
            </w:r>
            <w:proofErr w:type="spellEnd"/>
            <w:r w:rsidRPr="002954D4">
              <w:t xml:space="preserve"> skirta suaugusių pacientų, sergančių </w:t>
            </w:r>
            <w:proofErr w:type="spellStart"/>
            <w:r w:rsidRPr="002954D4">
              <w:t>metastazavusiu</w:t>
            </w:r>
            <w:proofErr w:type="spellEnd"/>
            <w:r w:rsidRPr="002954D4">
              <w:t xml:space="preserve"> kastracijai atspariu prostatos vėžiu ir turinčių BRCA1/2 mutacijų (</w:t>
            </w:r>
            <w:proofErr w:type="spellStart"/>
            <w:r w:rsidRPr="002954D4">
              <w:t>germinacinių</w:t>
            </w:r>
            <w:proofErr w:type="spellEnd"/>
            <w:r w:rsidRPr="002954D4">
              <w:t xml:space="preserve"> ir / arba somatinių), kai vėžys progresavo po ankstesnio gydymo, kurio sudėtyje buvo naujas hormoninis vaistinis preparatas.</w:t>
            </w:r>
          </w:p>
          <w:p w14:paraId="5897922E" w14:textId="77777777" w:rsidR="00C27F7D" w:rsidRDefault="00C27F7D" w:rsidP="00C27F7D">
            <w:pPr>
              <w:pStyle w:val="ListParagraph"/>
              <w:spacing w:after="120"/>
              <w:ind w:left="0"/>
              <w:contextualSpacing w:val="0"/>
              <w:jc w:val="both"/>
            </w:pPr>
          </w:p>
          <w:p w14:paraId="2CD1260D" w14:textId="244DBE0C" w:rsidR="00B13D65" w:rsidRPr="00E33EFF" w:rsidRDefault="00C27F7D" w:rsidP="00C27F7D">
            <w:r w:rsidRPr="004B1D95">
              <w:t>TLK-10 AM  kodas: C61</w:t>
            </w:r>
          </w:p>
        </w:tc>
      </w:tr>
      <w:tr w:rsidR="00B13D65" w:rsidRPr="00E33EFF" w14:paraId="0EB96183" w14:textId="77777777" w:rsidTr="00BE7489">
        <w:trPr>
          <w:trHeight w:val="378"/>
        </w:trPr>
        <w:tc>
          <w:tcPr>
            <w:tcW w:w="632" w:type="dxa"/>
          </w:tcPr>
          <w:p w14:paraId="12C21280" w14:textId="77777777" w:rsidR="00B13D65" w:rsidRPr="00E33EFF" w:rsidRDefault="00B13D65" w:rsidP="00824B92">
            <w:pPr>
              <w:rPr>
                <w:rFonts w:eastAsia="Arial"/>
              </w:rPr>
            </w:pPr>
            <w:r w:rsidRPr="00E33EFF">
              <w:rPr>
                <w:rFonts w:eastAsia="Arial"/>
              </w:rPr>
              <w:t>1.</w:t>
            </w:r>
            <w:r w:rsidR="002E0702" w:rsidRPr="00E33EFF">
              <w:rPr>
                <w:rFonts w:eastAsia="Arial"/>
              </w:rPr>
              <w:t>6</w:t>
            </w:r>
          </w:p>
        </w:tc>
        <w:tc>
          <w:tcPr>
            <w:tcW w:w="3694" w:type="dxa"/>
          </w:tcPr>
          <w:p w14:paraId="3A4C6C6D" w14:textId="77777777" w:rsidR="00B13D65" w:rsidRPr="00E33EFF" w:rsidRDefault="007656B2" w:rsidP="00824B92">
            <w:pPr>
              <w:rPr>
                <w:bCs/>
                <w:color w:val="000000"/>
                <w:u w:val="single"/>
                <w:lang w:eastAsia="lt-LT"/>
              </w:rPr>
            </w:pPr>
            <w:r w:rsidRPr="00E33EFF">
              <w:rPr>
                <w:bCs/>
                <w:color w:val="000000"/>
                <w:lang w:eastAsia="lt-LT"/>
              </w:rPr>
              <w:t>Pareiškėjo t</w:t>
            </w:r>
            <w:r w:rsidR="00B13D65" w:rsidRPr="00E33EFF">
              <w:rPr>
                <w:bCs/>
                <w:color w:val="000000"/>
                <w:lang w:eastAsia="lt-LT"/>
              </w:rPr>
              <w:t>eikiamos skyrimo sąlygos</w:t>
            </w:r>
            <w:r w:rsidR="005B3756" w:rsidRPr="00E33EFF">
              <w:rPr>
                <w:bCs/>
                <w:color w:val="000000"/>
                <w:lang w:eastAsia="lt-LT"/>
              </w:rPr>
              <w:t xml:space="preserve"> </w:t>
            </w:r>
          </w:p>
        </w:tc>
        <w:tc>
          <w:tcPr>
            <w:tcW w:w="5167" w:type="dxa"/>
          </w:tcPr>
          <w:p w14:paraId="20E866B8" w14:textId="67A1EF7C" w:rsidR="00B13D65" w:rsidRPr="00E33EFF" w:rsidRDefault="00DF666B" w:rsidP="00824B92">
            <w:r>
              <w:t>Netaikoma.</w:t>
            </w:r>
          </w:p>
        </w:tc>
      </w:tr>
      <w:tr w:rsidR="00B13D65" w:rsidRPr="00E33EFF" w14:paraId="5689FB22" w14:textId="77777777" w:rsidTr="00BE7489">
        <w:trPr>
          <w:trHeight w:val="378"/>
        </w:trPr>
        <w:tc>
          <w:tcPr>
            <w:tcW w:w="632" w:type="dxa"/>
          </w:tcPr>
          <w:p w14:paraId="78DE88B2" w14:textId="77777777" w:rsidR="00B13D65" w:rsidRPr="00E33EFF" w:rsidRDefault="00B13D65" w:rsidP="00824B92">
            <w:pPr>
              <w:rPr>
                <w:rFonts w:eastAsia="Arial"/>
              </w:rPr>
            </w:pPr>
            <w:r w:rsidRPr="00E33EFF">
              <w:rPr>
                <w:rFonts w:eastAsia="Arial"/>
              </w:rPr>
              <w:lastRenderedPageBreak/>
              <w:t>1.7</w:t>
            </w:r>
          </w:p>
        </w:tc>
        <w:tc>
          <w:tcPr>
            <w:tcW w:w="3694" w:type="dxa"/>
          </w:tcPr>
          <w:p w14:paraId="0C2F1804" w14:textId="77777777" w:rsidR="00B13D65" w:rsidRPr="00E33EFF" w:rsidRDefault="007656B2" w:rsidP="00824B92">
            <w:pPr>
              <w:rPr>
                <w:bCs/>
                <w:color w:val="000000"/>
                <w:lang w:eastAsia="lt-LT"/>
              </w:rPr>
            </w:pPr>
            <w:r w:rsidRPr="00E33EFF">
              <w:rPr>
                <w:bCs/>
                <w:color w:val="000000"/>
                <w:lang w:eastAsia="lt-LT"/>
              </w:rPr>
              <w:t>Pareiškėjo teikiamas p</w:t>
            </w:r>
            <w:r w:rsidR="00B13D65" w:rsidRPr="00E33EFF">
              <w:rPr>
                <w:bCs/>
                <w:color w:val="000000"/>
                <w:lang w:eastAsia="lt-LT"/>
              </w:rPr>
              <w:t>alyginamasis</w:t>
            </w:r>
            <w:r w:rsidR="005B3756" w:rsidRPr="00E33EFF">
              <w:rPr>
                <w:bCs/>
                <w:color w:val="000000"/>
                <w:lang w:eastAsia="lt-LT"/>
              </w:rPr>
              <w:t xml:space="preserve"> </w:t>
            </w:r>
            <w:r w:rsidR="00B13D65" w:rsidRPr="00E33EFF">
              <w:rPr>
                <w:bCs/>
                <w:color w:val="000000"/>
                <w:lang w:eastAsia="lt-LT"/>
              </w:rPr>
              <w:t xml:space="preserve">gydymas </w:t>
            </w:r>
          </w:p>
          <w:p w14:paraId="6F2BA657" w14:textId="77777777" w:rsidR="009F4D66" w:rsidRPr="00E33EFF" w:rsidRDefault="009F4D66" w:rsidP="00824B92">
            <w:pPr>
              <w:rPr>
                <w:bCs/>
                <w:color w:val="000000"/>
                <w:lang w:eastAsia="lt-LT"/>
              </w:rPr>
            </w:pPr>
          </w:p>
        </w:tc>
        <w:tc>
          <w:tcPr>
            <w:tcW w:w="5167" w:type="dxa"/>
          </w:tcPr>
          <w:p w14:paraId="78994FA3" w14:textId="6A0C6BAA" w:rsidR="009F4D66" w:rsidRPr="00E33EFF" w:rsidRDefault="00C81311" w:rsidP="00824B92">
            <w:sdt>
              <w:sdtPr>
                <w:rPr>
                  <w:rStyle w:val="Style2"/>
                  <w:sz w:val="24"/>
                </w:rPr>
                <w:id w:val="1480955706"/>
                <w15:color w:val="FFCC00"/>
                <w14:checkbox>
                  <w14:checked w14:val="1"/>
                  <w14:checkedState w14:val="2612" w14:font="MS Gothic"/>
                  <w14:uncheckedState w14:val="2610" w14:font="MS Gothic"/>
                </w14:checkbox>
              </w:sdtPr>
              <w:sdtEndPr>
                <w:rPr>
                  <w:rStyle w:val="Style2"/>
                </w:rPr>
              </w:sdtEndPr>
              <w:sdtContent>
                <w:r w:rsidR="00DF666B">
                  <w:rPr>
                    <w:rStyle w:val="Style2"/>
                    <w:rFonts w:ascii="MS Gothic" w:eastAsia="MS Gothic" w:hAnsi="MS Gothic" w:hint="eastAsia"/>
                    <w:sz w:val="24"/>
                  </w:rPr>
                  <w:t>☒</w:t>
                </w:r>
              </w:sdtContent>
            </w:sdt>
            <w:r w:rsidR="009F4D66" w:rsidRPr="00E33EFF">
              <w:t xml:space="preserve"> Tinkamas</w:t>
            </w:r>
          </w:p>
          <w:p w14:paraId="2C91201E" w14:textId="77777777" w:rsidR="00B13D65" w:rsidRPr="00E33EFF" w:rsidRDefault="00C81311" w:rsidP="00824B92">
            <w:sdt>
              <w:sdtPr>
                <w:rPr>
                  <w:rStyle w:val="Style2"/>
                  <w:sz w:val="24"/>
                </w:rPr>
                <w:id w:val="-352420698"/>
                <w15:color w:val="FFCC00"/>
                <w14:checkbox>
                  <w14:checked w14:val="0"/>
                  <w14:checkedState w14:val="2612" w14:font="MS Gothic"/>
                  <w14:uncheckedState w14:val="2610" w14:font="MS Gothic"/>
                </w14:checkbox>
              </w:sdtPr>
              <w:sdtEndPr>
                <w:rPr>
                  <w:rStyle w:val="Style2"/>
                </w:rPr>
              </w:sdtEndPr>
              <w:sdtContent>
                <w:r w:rsidR="009F4D66" w:rsidRPr="00E33EFF">
                  <w:rPr>
                    <w:rStyle w:val="Style2"/>
                    <w:rFonts w:ascii="MS Gothic" w:eastAsia="MS Gothic" w:hAnsi="MS Gothic" w:hint="eastAsia"/>
                    <w:sz w:val="24"/>
                  </w:rPr>
                  <w:t>☐</w:t>
                </w:r>
              </w:sdtContent>
            </w:sdt>
            <w:r w:rsidR="009F4D66" w:rsidRPr="00E33EFF">
              <w:t xml:space="preserve"> Netinkama</w:t>
            </w:r>
          </w:p>
        </w:tc>
      </w:tr>
    </w:tbl>
    <w:p w14:paraId="06743833" w14:textId="77777777" w:rsidR="00F70C9E" w:rsidRPr="00E33EFF" w:rsidRDefault="00F70C9E" w:rsidP="00E03C3F">
      <w:pPr>
        <w:pStyle w:val="ListParagraph"/>
        <w:tabs>
          <w:tab w:val="left" w:pos="426"/>
        </w:tabs>
        <w:ind w:left="0"/>
        <w:rPr>
          <w:b/>
          <w:bCs/>
          <w:caps/>
        </w:rPr>
      </w:pPr>
    </w:p>
    <w:p w14:paraId="339C9EC5" w14:textId="77777777" w:rsidR="00F70C9E" w:rsidRPr="00E33EFF" w:rsidRDefault="00F70C9E" w:rsidP="00880A44">
      <w:pPr>
        <w:spacing w:line="276" w:lineRule="auto"/>
        <w:jc w:val="both"/>
        <w:rPr>
          <w:rFonts w:eastAsia="Arial"/>
          <w:b/>
        </w:rPr>
      </w:pPr>
      <w:r w:rsidRPr="00E33EFF">
        <w:rPr>
          <w:rFonts w:eastAsia="Arial"/>
          <w:b/>
        </w:rPr>
        <w:t xml:space="preserve">1.8 Kitų </w:t>
      </w:r>
      <w:r w:rsidR="00DF583C" w:rsidRPr="00E33EFF">
        <w:rPr>
          <w:rFonts w:eastAsia="Arial"/>
          <w:b/>
        </w:rPr>
        <w:t xml:space="preserve">valstybių </w:t>
      </w:r>
      <w:r w:rsidRPr="00E33EFF">
        <w:rPr>
          <w:rFonts w:eastAsia="Arial"/>
          <w:b/>
        </w:rPr>
        <w:t xml:space="preserve">atsakingų institucijų atlikto </w:t>
      </w:r>
      <w:r w:rsidR="00DF583C" w:rsidRPr="00E33EFF">
        <w:rPr>
          <w:rFonts w:eastAsia="Arial"/>
          <w:b/>
        </w:rPr>
        <w:t>Sveikatos technologijų vertinimo (toliau – STV)</w:t>
      </w:r>
      <w:r w:rsidRPr="00E33EFF">
        <w:rPr>
          <w:rFonts w:eastAsia="Arial"/>
          <w:b/>
        </w:rPr>
        <w:t xml:space="preserve"> išvados</w:t>
      </w:r>
    </w:p>
    <w:p w14:paraId="1A83C5C8" w14:textId="77777777" w:rsidR="00F70C9E" w:rsidRPr="00E33EFF" w:rsidRDefault="00F70C9E" w:rsidP="00F70C9E">
      <w:pPr>
        <w:spacing w:line="276" w:lineRule="auto"/>
        <w:rPr>
          <w:rFonts w:eastAsia="Arial"/>
        </w:rPr>
      </w:pPr>
    </w:p>
    <w:tbl>
      <w:tblPr>
        <w:tblStyle w:val="TableGrid"/>
        <w:tblW w:w="9918" w:type="dxa"/>
        <w:tblLook w:val="04A0" w:firstRow="1" w:lastRow="0" w:firstColumn="1" w:lastColumn="0" w:noHBand="0" w:noVBand="1"/>
      </w:tblPr>
      <w:tblGrid>
        <w:gridCol w:w="2289"/>
        <w:gridCol w:w="1675"/>
        <w:gridCol w:w="3119"/>
        <w:gridCol w:w="2835"/>
      </w:tblGrid>
      <w:tr w:rsidR="00DF666B" w:rsidRPr="00D05364" w14:paraId="08344861" w14:textId="77777777" w:rsidTr="000A7808">
        <w:trPr>
          <w:trHeight w:val="924"/>
        </w:trPr>
        <w:tc>
          <w:tcPr>
            <w:tcW w:w="2289" w:type="dxa"/>
          </w:tcPr>
          <w:p w14:paraId="22D6555B" w14:textId="77777777" w:rsidR="00DF666B" w:rsidRPr="00D05364" w:rsidRDefault="00DF666B" w:rsidP="000A7808">
            <w:pPr>
              <w:spacing w:line="276" w:lineRule="auto"/>
              <w:rPr>
                <w:rFonts w:eastAsia="Arial"/>
              </w:rPr>
            </w:pPr>
            <w:r w:rsidRPr="00D05364">
              <w:rPr>
                <w:rFonts w:eastAsia="Arial"/>
              </w:rPr>
              <w:t>STV agentūros pavadinimas, šalis</w:t>
            </w:r>
          </w:p>
        </w:tc>
        <w:tc>
          <w:tcPr>
            <w:tcW w:w="1675" w:type="dxa"/>
          </w:tcPr>
          <w:p w14:paraId="13955AAE" w14:textId="77777777" w:rsidR="00DF666B" w:rsidRPr="00D05364" w:rsidRDefault="00DF666B" w:rsidP="000A7808">
            <w:pPr>
              <w:spacing w:line="276" w:lineRule="auto"/>
              <w:rPr>
                <w:rFonts w:eastAsia="Arial"/>
              </w:rPr>
            </w:pPr>
            <w:r w:rsidRPr="00D05364">
              <w:rPr>
                <w:rFonts w:eastAsia="Arial"/>
              </w:rPr>
              <w:t>STV vertinimas atliktas</w:t>
            </w:r>
          </w:p>
        </w:tc>
        <w:tc>
          <w:tcPr>
            <w:tcW w:w="3119" w:type="dxa"/>
          </w:tcPr>
          <w:p w14:paraId="63C477C9" w14:textId="77777777" w:rsidR="00DF666B" w:rsidRPr="00D05364" w:rsidRDefault="00DF666B" w:rsidP="000A7808">
            <w:pPr>
              <w:spacing w:line="276" w:lineRule="auto"/>
              <w:rPr>
                <w:rFonts w:eastAsia="Arial"/>
              </w:rPr>
            </w:pPr>
            <w:r w:rsidRPr="00D05364">
              <w:rPr>
                <w:rFonts w:eastAsia="Arial"/>
              </w:rPr>
              <w:t>Klinikinio vertinimo išvada</w:t>
            </w:r>
          </w:p>
        </w:tc>
        <w:tc>
          <w:tcPr>
            <w:tcW w:w="2835" w:type="dxa"/>
          </w:tcPr>
          <w:p w14:paraId="03344B2A" w14:textId="77777777" w:rsidR="00DF666B" w:rsidRPr="00D05364" w:rsidRDefault="00DF666B" w:rsidP="000A7808">
            <w:pPr>
              <w:spacing w:line="276" w:lineRule="auto"/>
              <w:rPr>
                <w:rFonts w:eastAsia="Arial"/>
              </w:rPr>
            </w:pPr>
            <w:r w:rsidRPr="00D05364">
              <w:rPr>
                <w:rFonts w:eastAsia="Arial"/>
              </w:rPr>
              <w:t>Farmakoekonominio vertinimo išvada</w:t>
            </w:r>
          </w:p>
        </w:tc>
      </w:tr>
      <w:tr w:rsidR="00DF666B" w:rsidRPr="00D05364" w14:paraId="267F9727" w14:textId="77777777" w:rsidTr="000A7808">
        <w:trPr>
          <w:trHeight w:val="1765"/>
        </w:trPr>
        <w:tc>
          <w:tcPr>
            <w:tcW w:w="2289" w:type="dxa"/>
          </w:tcPr>
          <w:p w14:paraId="58C9549B" w14:textId="77777777" w:rsidR="00DF666B" w:rsidRPr="00D05364" w:rsidRDefault="00DF666B" w:rsidP="000A7808">
            <w:pPr>
              <w:autoSpaceDE w:val="0"/>
              <w:autoSpaceDN w:val="0"/>
              <w:adjustRightInd w:val="0"/>
              <w:rPr>
                <w:bCs/>
              </w:rPr>
            </w:pPr>
            <w:r w:rsidRPr="00D05364">
              <w:rPr>
                <w:bCs/>
              </w:rPr>
              <w:t>Nacionalinis sveikatos ir klinikinės kompetencijos institutas, Didžioji Britanija</w:t>
            </w:r>
          </w:p>
          <w:p w14:paraId="3EBFA4F4" w14:textId="77777777" w:rsidR="00DF666B" w:rsidRPr="00D05364" w:rsidRDefault="00DF666B" w:rsidP="000A7808">
            <w:pPr>
              <w:spacing w:line="276" w:lineRule="auto"/>
              <w:rPr>
                <w:rFonts w:eastAsia="Arial"/>
              </w:rPr>
            </w:pPr>
            <w:r w:rsidRPr="00D05364">
              <w:rPr>
                <w:rFonts w:eastAsia="Arial"/>
              </w:rPr>
              <w:t xml:space="preserve">(angl. </w:t>
            </w:r>
            <w:proofErr w:type="spellStart"/>
            <w:r w:rsidRPr="00D05364">
              <w:rPr>
                <w:rFonts w:eastAsia="Arial"/>
                <w:i/>
              </w:rPr>
              <w:t>National</w:t>
            </w:r>
            <w:proofErr w:type="spellEnd"/>
            <w:r w:rsidRPr="00D05364">
              <w:rPr>
                <w:rFonts w:eastAsia="Arial"/>
                <w:i/>
              </w:rPr>
              <w:t xml:space="preserve"> Institute </w:t>
            </w:r>
            <w:proofErr w:type="spellStart"/>
            <w:r w:rsidRPr="00D05364">
              <w:rPr>
                <w:rFonts w:eastAsia="Arial"/>
                <w:i/>
              </w:rPr>
              <w:t>for</w:t>
            </w:r>
            <w:proofErr w:type="spellEnd"/>
            <w:r w:rsidRPr="00D05364">
              <w:rPr>
                <w:rFonts w:eastAsia="Arial"/>
                <w:i/>
              </w:rPr>
              <w:t xml:space="preserve"> </w:t>
            </w:r>
            <w:proofErr w:type="spellStart"/>
            <w:r w:rsidRPr="00D05364">
              <w:rPr>
                <w:rFonts w:eastAsia="Arial"/>
                <w:i/>
              </w:rPr>
              <w:t>Health</w:t>
            </w:r>
            <w:proofErr w:type="spellEnd"/>
            <w:r w:rsidRPr="00D05364">
              <w:rPr>
                <w:rFonts w:eastAsia="Arial"/>
                <w:i/>
              </w:rPr>
              <w:t xml:space="preserve"> and Care </w:t>
            </w:r>
            <w:proofErr w:type="spellStart"/>
            <w:r w:rsidRPr="00D05364">
              <w:rPr>
                <w:rFonts w:eastAsia="Arial"/>
                <w:i/>
              </w:rPr>
              <w:t>Excellence</w:t>
            </w:r>
            <w:proofErr w:type="spellEnd"/>
            <w:r w:rsidRPr="00D05364">
              <w:rPr>
                <w:rFonts w:eastAsia="Arial"/>
                <w:i/>
              </w:rPr>
              <w:t>, NICE</w:t>
            </w:r>
            <w:r w:rsidRPr="00D05364">
              <w:rPr>
                <w:rFonts w:eastAsia="Arial"/>
              </w:rPr>
              <w:t>)</w:t>
            </w:r>
          </w:p>
        </w:tc>
        <w:tc>
          <w:tcPr>
            <w:tcW w:w="1675" w:type="dxa"/>
          </w:tcPr>
          <w:p w14:paraId="5927E959" w14:textId="77777777" w:rsidR="00DF666B" w:rsidRPr="00D05364" w:rsidRDefault="00C81311" w:rsidP="000A7808">
            <w:sdt>
              <w:sdtPr>
                <w:rPr>
                  <w:rStyle w:val="Style2"/>
                </w:rPr>
                <w:id w:val="1558205022"/>
                <w15:color w:val="FFCC00"/>
                <w14:checkbox>
                  <w14:checked w14:val="1"/>
                  <w14:checkedState w14:val="2612" w14:font="MS Gothic"/>
                  <w14:uncheckedState w14:val="2610" w14:font="MS Gothic"/>
                </w14:checkbox>
              </w:sdtPr>
              <w:sdtEndPr>
                <w:rPr>
                  <w:rStyle w:val="Style2"/>
                </w:rPr>
              </w:sdtEndPr>
              <w:sdtContent>
                <w:r w:rsidR="00DF666B">
                  <w:rPr>
                    <w:rStyle w:val="Style2"/>
                    <w:rFonts w:ascii="MS Gothic" w:eastAsia="MS Gothic" w:hAnsi="MS Gothic" w:hint="eastAsia"/>
                  </w:rPr>
                  <w:t>☒</w:t>
                </w:r>
              </w:sdtContent>
            </w:sdt>
            <w:r w:rsidR="00DF666B" w:rsidRPr="00D05364">
              <w:t xml:space="preserve"> Taip</w:t>
            </w:r>
          </w:p>
          <w:p w14:paraId="6B2FEAD3" w14:textId="77777777" w:rsidR="00DF666B" w:rsidRPr="00D05364" w:rsidRDefault="00C81311" w:rsidP="000A7808">
            <w:sdt>
              <w:sdtPr>
                <w:rPr>
                  <w:rStyle w:val="Style2"/>
                </w:rPr>
                <w:id w:val="866029625"/>
                <w15:color w:val="FFCC00"/>
                <w14:checkbox>
                  <w14:checked w14:val="0"/>
                  <w14:checkedState w14:val="2612" w14:font="MS Gothic"/>
                  <w14:uncheckedState w14:val="2610" w14:font="MS Gothic"/>
                </w14:checkbox>
              </w:sdtPr>
              <w:sdtEndPr>
                <w:rPr>
                  <w:rStyle w:val="Style2"/>
                </w:rPr>
              </w:sdtEndPr>
              <w:sdtContent>
                <w:r w:rsidR="00DF666B" w:rsidRPr="00D05364">
                  <w:rPr>
                    <w:rStyle w:val="Style2"/>
                    <w:rFonts w:ascii="MS Gothic" w:eastAsia="MS Gothic" w:hAnsi="MS Gothic" w:hint="eastAsia"/>
                  </w:rPr>
                  <w:t>☐</w:t>
                </w:r>
              </w:sdtContent>
            </w:sdt>
            <w:r w:rsidR="00DF666B" w:rsidRPr="00D05364">
              <w:t xml:space="preserve"> Ne</w:t>
            </w:r>
          </w:p>
          <w:p w14:paraId="28508548" w14:textId="77777777" w:rsidR="00DF666B" w:rsidRPr="00D05364" w:rsidRDefault="00C81311" w:rsidP="000A7808">
            <w:pPr>
              <w:rPr>
                <w:rFonts w:eastAsia="Arial"/>
              </w:rPr>
            </w:pPr>
            <w:sdt>
              <w:sdtPr>
                <w:alias w:val="Nurodykite konkrečią dieną"/>
                <w:tag w:val="Nurodykite pradžios datą"/>
                <w:id w:val="922837954"/>
                <w:placeholder>
                  <w:docPart w:val="A2DC46BA9657324C80630EA25429050F"/>
                </w:placeholder>
                <w15:color w:val="FFCC99"/>
                <w:date w:fullDate="2023-05-10T00:00:00Z">
                  <w:dateFormat w:val="yyyy 'm.' MMMM d 'd.'"/>
                  <w:lid w:val="lt-LT"/>
                  <w:storeMappedDataAs w:val="dateTime"/>
                  <w:calendar w:val="gregorian"/>
                </w:date>
              </w:sdtPr>
              <w:sdtEndPr/>
              <w:sdtContent>
                <w:r w:rsidR="00DF666B">
                  <w:t>2023 m. gegužės 10 d.</w:t>
                </w:r>
              </w:sdtContent>
            </w:sdt>
          </w:p>
        </w:tc>
        <w:tc>
          <w:tcPr>
            <w:tcW w:w="3119" w:type="dxa"/>
          </w:tcPr>
          <w:p w14:paraId="3415F2E6" w14:textId="77777777" w:rsidR="00DF666B" w:rsidRPr="00D05364" w:rsidRDefault="00DF666B" w:rsidP="000A7808">
            <w:pPr>
              <w:spacing w:line="276" w:lineRule="auto"/>
              <w:jc w:val="both"/>
              <w:rPr>
                <w:rFonts w:eastAsia="Arial"/>
              </w:rPr>
            </w:pPr>
            <w:r>
              <w:rPr>
                <w:rFonts w:eastAsia="Arial"/>
              </w:rPr>
              <w:t xml:space="preserve">Olaparibas rekomenduojamas kaip vienas iš pasirinkimo variantų gydyti hormonams atsparų </w:t>
            </w:r>
            <w:proofErr w:type="spellStart"/>
            <w:r>
              <w:rPr>
                <w:rFonts w:eastAsia="Arial"/>
              </w:rPr>
              <w:t>metastazavusį</w:t>
            </w:r>
            <w:proofErr w:type="spellEnd"/>
            <w:r>
              <w:rPr>
                <w:rFonts w:eastAsia="Arial"/>
              </w:rPr>
              <w:t xml:space="preserve"> prostatos vėžį (</w:t>
            </w:r>
            <w:proofErr w:type="spellStart"/>
            <w:r>
              <w:t>mKAPV</w:t>
            </w:r>
            <w:proofErr w:type="spellEnd"/>
            <w:r>
              <w:t xml:space="preserve">) esant </w:t>
            </w:r>
            <w:r w:rsidRPr="00CC509F">
              <w:t xml:space="preserve">BRCA1 </w:t>
            </w:r>
            <w:r>
              <w:t>arba</w:t>
            </w:r>
            <w:r w:rsidRPr="00CC509F">
              <w:t xml:space="preserve"> BRCA2</w:t>
            </w:r>
            <w:r>
              <w:t xml:space="preserve"> mutacijoms, kuris progresavo po </w:t>
            </w:r>
            <w:proofErr w:type="spellStart"/>
            <w:r>
              <w:t>hormonoterapijos</w:t>
            </w:r>
            <w:proofErr w:type="spellEnd"/>
            <w:r>
              <w:t xml:space="preserve"> naujais preparatais (pvz. </w:t>
            </w:r>
            <w:proofErr w:type="spellStart"/>
            <w:r>
              <w:t>abirateronu</w:t>
            </w:r>
            <w:proofErr w:type="spellEnd"/>
            <w:r>
              <w:t xml:space="preserve"> ar </w:t>
            </w:r>
            <w:proofErr w:type="spellStart"/>
            <w:r>
              <w:t>enzalutamidu</w:t>
            </w:r>
            <w:proofErr w:type="spellEnd"/>
            <w:r>
              <w:t xml:space="preserve">). </w:t>
            </w:r>
          </w:p>
        </w:tc>
        <w:tc>
          <w:tcPr>
            <w:tcW w:w="2835" w:type="dxa"/>
          </w:tcPr>
          <w:p w14:paraId="49142FEE" w14:textId="6E419138" w:rsidR="00DF666B" w:rsidRPr="00D05364" w:rsidRDefault="0048066C" w:rsidP="000A7808">
            <w:pPr>
              <w:spacing w:line="276" w:lineRule="auto"/>
              <w:rPr>
                <w:rFonts w:eastAsia="Arial"/>
              </w:rPr>
            </w:pPr>
            <w:r>
              <w:rPr>
                <w:rFonts w:eastAsia="Arial"/>
              </w:rPr>
              <w:t>Olaparibas rekomenduojamas tik tokiu atveju, jei vaisto kaina bus taikoma pagal komercinį susitarimą nustatyta nuolaida.</w:t>
            </w:r>
          </w:p>
        </w:tc>
      </w:tr>
      <w:tr w:rsidR="00DF666B" w:rsidRPr="00D05364" w14:paraId="07FD1842" w14:textId="77777777" w:rsidTr="000A7808">
        <w:trPr>
          <w:trHeight w:val="1547"/>
        </w:trPr>
        <w:tc>
          <w:tcPr>
            <w:tcW w:w="2289" w:type="dxa"/>
          </w:tcPr>
          <w:p w14:paraId="07D676E8" w14:textId="77777777" w:rsidR="00DF666B" w:rsidRPr="00D05364" w:rsidRDefault="00DF666B" w:rsidP="000A7808">
            <w:pPr>
              <w:spacing w:line="276" w:lineRule="auto"/>
              <w:rPr>
                <w:rFonts w:eastAsia="Arial"/>
              </w:rPr>
            </w:pPr>
            <w:r w:rsidRPr="00D05364">
              <w:rPr>
                <w:rFonts w:eastAsia="Arial"/>
              </w:rPr>
              <w:t>Kanados sveikatos technologijų agentūra</w:t>
            </w:r>
          </w:p>
          <w:p w14:paraId="499C5D8D" w14:textId="77777777" w:rsidR="00DF666B" w:rsidRPr="00D05364" w:rsidRDefault="00DF666B" w:rsidP="000A7808">
            <w:pPr>
              <w:spacing w:line="276" w:lineRule="auto"/>
              <w:rPr>
                <w:rFonts w:eastAsia="Arial"/>
              </w:rPr>
            </w:pPr>
            <w:r w:rsidRPr="00D05364">
              <w:rPr>
                <w:rFonts w:eastAsia="Arial"/>
              </w:rPr>
              <w:t xml:space="preserve">(angl. </w:t>
            </w:r>
            <w:proofErr w:type="spellStart"/>
            <w:r w:rsidRPr="00D05364">
              <w:rPr>
                <w:rFonts w:eastAsia="Arial"/>
                <w:i/>
              </w:rPr>
              <w:t>Canadian</w:t>
            </w:r>
            <w:proofErr w:type="spellEnd"/>
            <w:r w:rsidRPr="00D05364">
              <w:rPr>
                <w:rFonts w:eastAsia="Arial"/>
                <w:i/>
              </w:rPr>
              <w:t xml:space="preserve"> </w:t>
            </w:r>
            <w:proofErr w:type="spellStart"/>
            <w:r w:rsidRPr="00D05364">
              <w:rPr>
                <w:rFonts w:eastAsia="Arial"/>
                <w:i/>
              </w:rPr>
              <w:t>health</w:t>
            </w:r>
            <w:proofErr w:type="spellEnd"/>
            <w:r w:rsidRPr="00D05364">
              <w:rPr>
                <w:rFonts w:eastAsia="Arial"/>
                <w:i/>
              </w:rPr>
              <w:t xml:space="preserve"> </w:t>
            </w:r>
            <w:proofErr w:type="spellStart"/>
            <w:r w:rsidRPr="00D05364">
              <w:rPr>
                <w:rFonts w:eastAsia="Arial"/>
                <w:i/>
              </w:rPr>
              <w:t>Technology</w:t>
            </w:r>
            <w:proofErr w:type="spellEnd"/>
            <w:r w:rsidRPr="00D05364">
              <w:rPr>
                <w:rFonts w:eastAsia="Arial"/>
                <w:i/>
              </w:rPr>
              <w:t xml:space="preserve"> </w:t>
            </w:r>
            <w:proofErr w:type="spellStart"/>
            <w:r w:rsidRPr="00D05364">
              <w:rPr>
                <w:rFonts w:eastAsia="Arial"/>
                <w:i/>
              </w:rPr>
              <w:t>Assessment</w:t>
            </w:r>
            <w:proofErr w:type="spellEnd"/>
            <w:r w:rsidRPr="00D05364">
              <w:rPr>
                <w:rFonts w:eastAsia="Arial"/>
                <w:i/>
              </w:rPr>
              <w:t xml:space="preserve"> </w:t>
            </w:r>
            <w:proofErr w:type="spellStart"/>
            <w:r w:rsidRPr="00D05364">
              <w:rPr>
                <w:rFonts w:eastAsia="Arial"/>
                <w:i/>
              </w:rPr>
              <w:t>agency</w:t>
            </w:r>
            <w:proofErr w:type="spellEnd"/>
            <w:r w:rsidRPr="00D05364">
              <w:rPr>
                <w:rFonts w:eastAsia="Arial"/>
                <w:i/>
              </w:rPr>
              <w:t>, CADTH</w:t>
            </w:r>
            <w:r w:rsidRPr="00D05364">
              <w:rPr>
                <w:rFonts w:eastAsia="Arial"/>
              </w:rPr>
              <w:t>)</w:t>
            </w:r>
          </w:p>
        </w:tc>
        <w:tc>
          <w:tcPr>
            <w:tcW w:w="1675" w:type="dxa"/>
          </w:tcPr>
          <w:p w14:paraId="0EBDB7B4" w14:textId="77777777" w:rsidR="00DF666B" w:rsidRPr="00D05364" w:rsidRDefault="00C81311" w:rsidP="000A7808">
            <w:sdt>
              <w:sdtPr>
                <w:rPr>
                  <w:rStyle w:val="Style2"/>
                </w:rPr>
                <w:id w:val="-372539057"/>
                <w15:color w:val="FFCC00"/>
                <w14:checkbox>
                  <w14:checked w14:val="1"/>
                  <w14:checkedState w14:val="2612" w14:font="MS Gothic"/>
                  <w14:uncheckedState w14:val="2610" w14:font="MS Gothic"/>
                </w14:checkbox>
              </w:sdtPr>
              <w:sdtEndPr>
                <w:rPr>
                  <w:rStyle w:val="Style2"/>
                </w:rPr>
              </w:sdtEndPr>
              <w:sdtContent>
                <w:r w:rsidR="00DF666B">
                  <w:rPr>
                    <w:rStyle w:val="Style2"/>
                    <w:rFonts w:ascii="MS Gothic" w:eastAsia="MS Gothic" w:hAnsi="MS Gothic" w:hint="eastAsia"/>
                  </w:rPr>
                  <w:t>☒</w:t>
                </w:r>
              </w:sdtContent>
            </w:sdt>
            <w:r w:rsidR="00DF666B" w:rsidRPr="00D05364">
              <w:t xml:space="preserve"> Taip</w:t>
            </w:r>
          </w:p>
          <w:p w14:paraId="1F3D20D3" w14:textId="77777777" w:rsidR="00DF666B" w:rsidRPr="00D05364" w:rsidRDefault="00C81311" w:rsidP="000A7808">
            <w:sdt>
              <w:sdtPr>
                <w:rPr>
                  <w:rStyle w:val="Style2"/>
                </w:rPr>
                <w:id w:val="594442222"/>
                <w15:color w:val="FFCC00"/>
                <w14:checkbox>
                  <w14:checked w14:val="0"/>
                  <w14:checkedState w14:val="2612" w14:font="MS Gothic"/>
                  <w14:uncheckedState w14:val="2610" w14:font="MS Gothic"/>
                </w14:checkbox>
              </w:sdtPr>
              <w:sdtEndPr>
                <w:rPr>
                  <w:rStyle w:val="Style2"/>
                </w:rPr>
              </w:sdtEndPr>
              <w:sdtContent>
                <w:r w:rsidR="00DF666B" w:rsidRPr="00D05364">
                  <w:rPr>
                    <w:rStyle w:val="Style2"/>
                    <w:rFonts w:ascii="Segoe UI Symbol" w:eastAsia="MS Gothic" w:hAnsi="Segoe UI Symbol" w:cs="Segoe UI Symbol"/>
                  </w:rPr>
                  <w:t>☐</w:t>
                </w:r>
              </w:sdtContent>
            </w:sdt>
            <w:r w:rsidR="00DF666B" w:rsidRPr="00D05364">
              <w:t xml:space="preserve"> Ne</w:t>
            </w:r>
          </w:p>
          <w:p w14:paraId="07210D7B" w14:textId="77777777" w:rsidR="00DF666B" w:rsidRPr="00D05364" w:rsidRDefault="00C81311" w:rsidP="000A7808">
            <w:pPr>
              <w:spacing w:line="276" w:lineRule="auto"/>
              <w:rPr>
                <w:rFonts w:eastAsia="Arial"/>
              </w:rPr>
            </w:pPr>
            <w:sdt>
              <w:sdtPr>
                <w:alias w:val="Nurodykite konkrečią dieną"/>
                <w:tag w:val="Nurodykite pradžios datą"/>
                <w:id w:val="1072468416"/>
                <w:placeholder>
                  <w:docPart w:val="87FAD8B48C765842AFE85B9AC3F2931D"/>
                </w:placeholder>
                <w15:color w:val="FFCC99"/>
                <w:date w:fullDate="2021-04-21T00:00:00Z">
                  <w:dateFormat w:val="yyyy 'm.' MMMM d 'd.'"/>
                  <w:lid w:val="lt-LT"/>
                  <w:storeMappedDataAs w:val="dateTime"/>
                  <w:calendar w:val="gregorian"/>
                </w:date>
              </w:sdtPr>
              <w:sdtEndPr/>
              <w:sdtContent>
                <w:r w:rsidR="00DF666B">
                  <w:t>2021 m. balandžio 21 d.</w:t>
                </w:r>
              </w:sdtContent>
            </w:sdt>
          </w:p>
        </w:tc>
        <w:tc>
          <w:tcPr>
            <w:tcW w:w="3119" w:type="dxa"/>
          </w:tcPr>
          <w:p w14:paraId="1A0EDE75" w14:textId="77777777" w:rsidR="00DF666B" w:rsidRPr="00D05364" w:rsidRDefault="00DF666B" w:rsidP="000A7808">
            <w:pPr>
              <w:spacing w:line="276" w:lineRule="auto"/>
              <w:jc w:val="both"/>
              <w:rPr>
                <w:rFonts w:eastAsia="Arial"/>
              </w:rPr>
            </w:pPr>
            <w:r>
              <w:rPr>
                <w:rFonts w:eastAsia="Arial"/>
              </w:rPr>
              <w:t xml:space="preserve">Olaparibo </w:t>
            </w:r>
            <w:proofErr w:type="spellStart"/>
            <w:r>
              <w:rPr>
                <w:rFonts w:eastAsia="Arial"/>
              </w:rPr>
              <w:t>monoterapija</w:t>
            </w:r>
            <w:proofErr w:type="spellEnd"/>
            <w:r>
              <w:rPr>
                <w:rFonts w:eastAsia="Arial"/>
              </w:rPr>
              <w:t xml:space="preserve"> rekomenduojama </w:t>
            </w:r>
            <w:proofErr w:type="spellStart"/>
            <w:r>
              <w:t>mKAPV</w:t>
            </w:r>
            <w:proofErr w:type="spellEnd"/>
            <w:r>
              <w:t xml:space="preserve"> su BRCA ar ATM mutacijomis, esant progresavimui po </w:t>
            </w:r>
            <w:r w:rsidRPr="004B1D95">
              <w:t xml:space="preserve">ankstesnio gydymo, kurio sudėtyje buvo naujas hormoninis </w:t>
            </w:r>
            <w:r>
              <w:t xml:space="preserve">/ androgenų receptorių ašį veikiantis </w:t>
            </w:r>
            <w:r w:rsidRPr="004B1D95">
              <w:t>vaistinis preparatas</w:t>
            </w:r>
            <w:r>
              <w:t>.</w:t>
            </w:r>
          </w:p>
        </w:tc>
        <w:tc>
          <w:tcPr>
            <w:tcW w:w="2835" w:type="dxa"/>
          </w:tcPr>
          <w:p w14:paraId="4778FFE0" w14:textId="5C239277" w:rsidR="00DF666B" w:rsidRPr="00D05364" w:rsidRDefault="0048066C" w:rsidP="000A7808">
            <w:pPr>
              <w:spacing w:line="276" w:lineRule="auto"/>
              <w:rPr>
                <w:rFonts w:eastAsia="Arial"/>
              </w:rPr>
            </w:pPr>
            <w:r>
              <w:rPr>
                <w:rFonts w:eastAsia="Arial"/>
              </w:rPr>
              <w:t>Kad olaparibo kaštų naudingumas atitiktų referencinę kaštų naudingumo vertę reikalinga</w:t>
            </w:r>
            <w:r w:rsidRPr="00D66D94">
              <w:rPr>
                <w:rFonts w:eastAsia="Arial"/>
              </w:rPr>
              <w:t>71%</w:t>
            </w:r>
            <w:r>
              <w:rPr>
                <w:rFonts w:eastAsia="Arial"/>
              </w:rPr>
              <w:t xml:space="preserve"> nuolaida vaisto kainai.  </w:t>
            </w:r>
          </w:p>
        </w:tc>
      </w:tr>
      <w:tr w:rsidR="0048066C" w:rsidRPr="00D05364" w14:paraId="52EE65EC" w14:textId="77777777" w:rsidTr="00C60C41">
        <w:trPr>
          <w:trHeight w:val="1927"/>
        </w:trPr>
        <w:tc>
          <w:tcPr>
            <w:tcW w:w="2289" w:type="dxa"/>
          </w:tcPr>
          <w:p w14:paraId="13985453" w14:textId="77777777" w:rsidR="0048066C" w:rsidRPr="00D05364" w:rsidRDefault="0048066C" w:rsidP="000A7808">
            <w:pPr>
              <w:spacing w:line="276" w:lineRule="auto"/>
              <w:rPr>
                <w:rFonts w:eastAsia="Arial"/>
              </w:rPr>
            </w:pPr>
            <w:r w:rsidRPr="00D05364">
              <w:rPr>
                <w:rFonts w:eastAsia="Arial"/>
              </w:rPr>
              <w:t xml:space="preserve">Nacionalinis </w:t>
            </w:r>
            <w:proofErr w:type="spellStart"/>
            <w:r w:rsidRPr="00D05364">
              <w:rPr>
                <w:rFonts w:eastAsia="Arial"/>
              </w:rPr>
              <w:t>farmakoekonomikos</w:t>
            </w:r>
            <w:proofErr w:type="spellEnd"/>
            <w:r w:rsidRPr="00D05364">
              <w:rPr>
                <w:rFonts w:eastAsia="Arial"/>
              </w:rPr>
              <w:t xml:space="preserve"> centras, Airija</w:t>
            </w:r>
          </w:p>
          <w:p w14:paraId="55E7BE68" w14:textId="77777777" w:rsidR="0048066C" w:rsidRPr="00D05364" w:rsidRDefault="0048066C" w:rsidP="000A7808">
            <w:pPr>
              <w:spacing w:line="276" w:lineRule="auto"/>
              <w:rPr>
                <w:rFonts w:eastAsia="Arial"/>
              </w:rPr>
            </w:pPr>
            <w:r w:rsidRPr="00D05364">
              <w:rPr>
                <w:rFonts w:eastAsia="Arial"/>
              </w:rPr>
              <w:t>(angl.</w:t>
            </w:r>
            <w:r w:rsidRPr="00D05364">
              <w:rPr>
                <w:rFonts w:eastAsia="Arial"/>
                <w:i/>
              </w:rPr>
              <w:t xml:space="preserve"> </w:t>
            </w:r>
            <w:proofErr w:type="spellStart"/>
            <w:r w:rsidRPr="00D05364">
              <w:rPr>
                <w:rFonts w:eastAsia="Arial"/>
                <w:i/>
              </w:rPr>
              <w:t>National</w:t>
            </w:r>
            <w:proofErr w:type="spellEnd"/>
            <w:r w:rsidRPr="00D05364">
              <w:rPr>
                <w:rFonts w:eastAsia="Arial"/>
                <w:i/>
              </w:rPr>
              <w:t xml:space="preserve"> Centre </w:t>
            </w:r>
            <w:proofErr w:type="spellStart"/>
            <w:r w:rsidRPr="00D05364">
              <w:rPr>
                <w:rFonts w:eastAsia="Arial"/>
                <w:i/>
              </w:rPr>
              <w:t>for</w:t>
            </w:r>
            <w:proofErr w:type="spellEnd"/>
            <w:r w:rsidRPr="00D05364">
              <w:rPr>
                <w:rFonts w:eastAsia="Arial"/>
                <w:i/>
              </w:rPr>
              <w:t xml:space="preserve"> </w:t>
            </w:r>
            <w:proofErr w:type="spellStart"/>
            <w:r w:rsidRPr="00D05364">
              <w:rPr>
                <w:rFonts w:eastAsia="Arial"/>
                <w:i/>
              </w:rPr>
              <w:t>Pharmacoeconomics</w:t>
            </w:r>
            <w:proofErr w:type="spellEnd"/>
            <w:r w:rsidRPr="00D05364">
              <w:rPr>
                <w:rFonts w:eastAsia="Arial"/>
                <w:i/>
              </w:rPr>
              <w:t>, NCPE</w:t>
            </w:r>
            <w:r w:rsidRPr="00D05364">
              <w:rPr>
                <w:rFonts w:eastAsia="Arial"/>
              </w:rPr>
              <w:t>)</w:t>
            </w:r>
          </w:p>
        </w:tc>
        <w:tc>
          <w:tcPr>
            <w:tcW w:w="1675" w:type="dxa"/>
          </w:tcPr>
          <w:p w14:paraId="368075D9" w14:textId="77777777" w:rsidR="0048066C" w:rsidRPr="00D05364" w:rsidRDefault="00C81311" w:rsidP="000A7808">
            <w:sdt>
              <w:sdtPr>
                <w:rPr>
                  <w:rStyle w:val="Style2"/>
                </w:rPr>
                <w:id w:val="-1888403732"/>
                <w15:color w:val="FFCC00"/>
                <w14:checkbox>
                  <w14:checked w14:val="1"/>
                  <w14:checkedState w14:val="2612" w14:font="MS Gothic"/>
                  <w14:uncheckedState w14:val="2610" w14:font="MS Gothic"/>
                </w14:checkbox>
              </w:sdtPr>
              <w:sdtEndPr>
                <w:rPr>
                  <w:rStyle w:val="Style2"/>
                </w:rPr>
              </w:sdtEndPr>
              <w:sdtContent>
                <w:r w:rsidR="0048066C">
                  <w:rPr>
                    <w:rStyle w:val="Style2"/>
                    <w:rFonts w:ascii="MS Gothic" w:eastAsia="MS Gothic" w:hAnsi="MS Gothic" w:hint="eastAsia"/>
                  </w:rPr>
                  <w:t>☒</w:t>
                </w:r>
              </w:sdtContent>
            </w:sdt>
            <w:r w:rsidR="0048066C" w:rsidRPr="00D05364">
              <w:t xml:space="preserve"> Taip</w:t>
            </w:r>
          </w:p>
          <w:p w14:paraId="7935C60B" w14:textId="77777777" w:rsidR="0048066C" w:rsidRPr="00D05364" w:rsidRDefault="00C81311" w:rsidP="000A7808">
            <w:sdt>
              <w:sdtPr>
                <w:rPr>
                  <w:rStyle w:val="Style2"/>
                </w:rPr>
                <w:id w:val="1092201793"/>
                <w15:color w:val="FFCC00"/>
                <w14:checkbox>
                  <w14:checked w14:val="0"/>
                  <w14:checkedState w14:val="2612" w14:font="MS Gothic"/>
                  <w14:uncheckedState w14:val="2610" w14:font="MS Gothic"/>
                </w14:checkbox>
              </w:sdtPr>
              <w:sdtEndPr>
                <w:rPr>
                  <w:rStyle w:val="Style2"/>
                </w:rPr>
              </w:sdtEndPr>
              <w:sdtContent>
                <w:r w:rsidR="0048066C" w:rsidRPr="00D05364">
                  <w:rPr>
                    <w:rStyle w:val="Style2"/>
                    <w:rFonts w:ascii="Segoe UI Symbol" w:eastAsia="MS Gothic" w:hAnsi="Segoe UI Symbol" w:cs="Segoe UI Symbol"/>
                  </w:rPr>
                  <w:t>☐</w:t>
                </w:r>
              </w:sdtContent>
            </w:sdt>
            <w:r w:rsidR="0048066C" w:rsidRPr="00D05364">
              <w:t xml:space="preserve"> Ne</w:t>
            </w:r>
          </w:p>
          <w:p w14:paraId="1EFB8763" w14:textId="77777777" w:rsidR="0048066C" w:rsidRPr="00D05364" w:rsidRDefault="00C81311" w:rsidP="000A7808">
            <w:pPr>
              <w:spacing w:line="276" w:lineRule="auto"/>
              <w:rPr>
                <w:rFonts w:eastAsia="Arial"/>
              </w:rPr>
            </w:pPr>
            <w:sdt>
              <w:sdtPr>
                <w:alias w:val="Nurodykite konkrečią dieną"/>
                <w:tag w:val="Nurodykite pradžios datą"/>
                <w:id w:val="-198323198"/>
                <w:placeholder>
                  <w:docPart w:val="B3158115E13547F0A89F3FF294F1B727"/>
                </w:placeholder>
                <w15:color w:val="FFCC99"/>
                <w:date w:fullDate="2021-06-15T00:00:00Z">
                  <w:dateFormat w:val="yyyy 'm.' MMMM d 'd.'"/>
                  <w:lid w:val="lt-LT"/>
                  <w:storeMappedDataAs w:val="dateTime"/>
                  <w:calendar w:val="gregorian"/>
                </w:date>
              </w:sdtPr>
              <w:sdtEndPr/>
              <w:sdtContent>
                <w:r w:rsidR="0048066C">
                  <w:t>2021 m. birželio 15 d.</w:t>
                </w:r>
              </w:sdtContent>
            </w:sdt>
          </w:p>
        </w:tc>
        <w:tc>
          <w:tcPr>
            <w:tcW w:w="5954" w:type="dxa"/>
            <w:gridSpan w:val="2"/>
          </w:tcPr>
          <w:p w14:paraId="4DC9D49D" w14:textId="6C6CBCEC" w:rsidR="0048066C" w:rsidRPr="00D05364" w:rsidRDefault="0048066C" w:rsidP="000A7808">
            <w:pPr>
              <w:spacing w:line="276" w:lineRule="auto"/>
              <w:rPr>
                <w:rFonts w:eastAsia="Arial"/>
              </w:rPr>
            </w:pPr>
            <w:r>
              <w:rPr>
                <w:rFonts w:eastAsia="Arial"/>
              </w:rPr>
              <w:t>Atliktas greitasis vertinimas. Olaparibas nerekomenduojamas kompensuoti dėl pateiktos kainos.</w:t>
            </w:r>
          </w:p>
        </w:tc>
      </w:tr>
      <w:tr w:rsidR="00DF666B" w:rsidRPr="00D05364" w14:paraId="237B08B5" w14:textId="77777777" w:rsidTr="000A7808">
        <w:trPr>
          <w:trHeight w:val="690"/>
        </w:trPr>
        <w:tc>
          <w:tcPr>
            <w:tcW w:w="2289" w:type="dxa"/>
          </w:tcPr>
          <w:p w14:paraId="1EC8F53D" w14:textId="77777777" w:rsidR="00DF666B" w:rsidRPr="00D05364" w:rsidRDefault="00DF666B" w:rsidP="000A7808">
            <w:pPr>
              <w:spacing w:line="276" w:lineRule="auto"/>
              <w:rPr>
                <w:rFonts w:eastAsia="Arial"/>
              </w:rPr>
            </w:pPr>
            <w:r>
              <w:t xml:space="preserve">Škotijos vaistų </w:t>
            </w:r>
            <w:r w:rsidRPr="006A1D1E">
              <w:t xml:space="preserve">konsorciumas </w:t>
            </w:r>
            <w:r>
              <w:t xml:space="preserve">(angl. </w:t>
            </w:r>
            <w:proofErr w:type="spellStart"/>
            <w:r w:rsidRPr="006A1D1E">
              <w:rPr>
                <w:i/>
                <w:iCs/>
              </w:rPr>
              <w:t>Scottish</w:t>
            </w:r>
            <w:proofErr w:type="spellEnd"/>
            <w:r w:rsidRPr="006A1D1E">
              <w:rPr>
                <w:i/>
                <w:iCs/>
              </w:rPr>
              <w:t xml:space="preserve"> </w:t>
            </w:r>
            <w:proofErr w:type="spellStart"/>
            <w:r w:rsidRPr="006A1D1E">
              <w:rPr>
                <w:i/>
                <w:iCs/>
              </w:rPr>
              <w:t>Medicines</w:t>
            </w:r>
            <w:proofErr w:type="spellEnd"/>
            <w:r w:rsidRPr="006A1D1E">
              <w:rPr>
                <w:i/>
                <w:iCs/>
              </w:rPr>
              <w:t xml:space="preserve"> </w:t>
            </w:r>
            <w:proofErr w:type="spellStart"/>
            <w:r w:rsidRPr="006A1D1E">
              <w:rPr>
                <w:i/>
                <w:iCs/>
              </w:rPr>
              <w:t>Consortium</w:t>
            </w:r>
            <w:proofErr w:type="spellEnd"/>
            <w:r>
              <w:t>)</w:t>
            </w:r>
          </w:p>
        </w:tc>
        <w:tc>
          <w:tcPr>
            <w:tcW w:w="1675" w:type="dxa"/>
          </w:tcPr>
          <w:p w14:paraId="1E74EB38" w14:textId="77777777" w:rsidR="00DF666B" w:rsidRPr="00D05364" w:rsidRDefault="00C81311" w:rsidP="000A7808">
            <w:sdt>
              <w:sdtPr>
                <w:rPr>
                  <w:rStyle w:val="Style2"/>
                </w:rPr>
                <w:id w:val="1634437882"/>
                <w15:color w:val="FFCC00"/>
                <w14:checkbox>
                  <w14:checked w14:val="1"/>
                  <w14:checkedState w14:val="2612" w14:font="MS Gothic"/>
                  <w14:uncheckedState w14:val="2610" w14:font="MS Gothic"/>
                </w14:checkbox>
              </w:sdtPr>
              <w:sdtEndPr>
                <w:rPr>
                  <w:rStyle w:val="Style2"/>
                </w:rPr>
              </w:sdtEndPr>
              <w:sdtContent>
                <w:r w:rsidR="00DF666B">
                  <w:rPr>
                    <w:rStyle w:val="Style2"/>
                    <w:rFonts w:ascii="MS Gothic" w:eastAsia="MS Gothic" w:hAnsi="MS Gothic" w:hint="eastAsia"/>
                  </w:rPr>
                  <w:t>☒</w:t>
                </w:r>
              </w:sdtContent>
            </w:sdt>
            <w:r w:rsidR="00DF666B" w:rsidRPr="00D05364">
              <w:t xml:space="preserve"> Taip</w:t>
            </w:r>
          </w:p>
          <w:p w14:paraId="067096D1" w14:textId="77777777" w:rsidR="00DF666B" w:rsidRPr="00D05364" w:rsidRDefault="00C81311" w:rsidP="000A7808">
            <w:sdt>
              <w:sdtPr>
                <w:rPr>
                  <w:rStyle w:val="Style2"/>
                </w:rPr>
                <w:id w:val="85655384"/>
                <w15:color w:val="FFCC00"/>
                <w14:checkbox>
                  <w14:checked w14:val="0"/>
                  <w14:checkedState w14:val="2612" w14:font="MS Gothic"/>
                  <w14:uncheckedState w14:val="2610" w14:font="MS Gothic"/>
                </w14:checkbox>
              </w:sdtPr>
              <w:sdtEndPr>
                <w:rPr>
                  <w:rStyle w:val="Style2"/>
                </w:rPr>
              </w:sdtEndPr>
              <w:sdtContent>
                <w:r w:rsidR="00DF666B" w:rsidRPr="00D05364">
                  <w:rPr>
                    <w:rStyle w:val="Style2"/>
                    <w:rFonts w:ascii="Segoe UI Symbol" w:eastAsia="MS Gothic" w:hAnsi="Segoe UI Symbol" w:cs="Segoe UI Symbol"/>
                  </w:rPr>
                  <w:t>☐</w:t>
                </w:r>
              </w:sdtContent>
            </w:sdt>
            <w:r w:rsidR="00DF666B" w:rsidRPr="00D05364">
              <w:t xml:space="preserve"> Ne</w:t>
            </w:r>
          </w:p>
          <w:p w14:paraId="285690BE" w14:textId="77777777" w:rsidR="00DF666B" w:rsidRPr="00D05364" w:rsidRDefault="00C81311" w:rsidP="000A7808">
            <w:pPr>
              <w:pStyle w:val="ListParagraph"/>
              <w:spacing w:after="120"/>
              <w:ind w:left="0"/>
              <w:contextualSpacing w:val="0"/>
              <w:jc w:val="both"/>
              <w:rPr>
                <w:rStyle w:val="Style2"/>
              </w:rPr>
            </w:pPr>
            <w:sdt>
              <w:sdtPr>
                <w:rPr>
                  <w:sz w:val="32"/>
                  <w:szCs w:val="21"/>
                </w:rPr>
                <w:alias w:val="Nurodykite konkrečią dieną"/>
                <w:tag w:val="Nurodykite pradžios datą"/>
                <w:id w:val="1004862963"/>
                <w:placeholder>
                  <w:docPart w:val="7E62EF57BCA1054FA3B1E216CB815017"/>
                </w:placeholder>
                <w15:color w:val="FFCC99"/>
                <w:date w:fullDate="2021-09-10T00:00:00Z">
                  <w:dateFormat w:val="yyyy 'm.' MMMM d 'd.'"/>
                  <w:lid w:val="lt-LT"/>
                  <w:storeMappedDataAs w:val="dateTime"/>
                  <w:calendar w:val="gregorian"/>
                </w:date>
              </w:sdtPr>
              <w:sdtEndPr/>
              <w:sdtContent>
                <w:r w:rsidR="00DF666B" w:rsidRPr="00FD447B">
                  <w:rPr>
                    <w:szCs w:val="21"/>
                  </w:rPr>
                  <w:t>2021 m. rugsėjo 10 d.</w:t>
                </w:r>
              </w:sdtContent>
            </w:sdt>
          </w:p>
        </w:tc>
        <w:tc>
          <w:tcPr>
            <w:tcW w:w="3119" w:type="dxa"/>
          </w:tcPr>
          <w:p w14:paraId="1BFB8113" w14:textId="77777777" w:rsidR="00DF666B" w:rsidRPr="00D05364" w:rsidRDefault="00DF666B" w:rsidP="000A7808">
            <w:pPr>
              <w:spacing w:line="276" w:lineRule="auto"/>
              <w:jc w:val="both"/>
              <w:rPr>
                <w:rFonts w:eastAsia="Arial"/>
              </w:rPr>
            </w:pPr>
            <w:r>
              <w:rPr>
                <w:rFonts w:eastAsia="Arial"/>
              </w:rPr>
              <w:t xml:space="preserve">Olaparibas priimtas vartojimui kaip monoterapija suaugusių pacientų, sergančių </w:t>
            </w:r>
            <w:proofErr w:type="spellStart"/>
            <w:r>
              <w:t>mKAPV</w:t>
            </w:r>
            <w:proofErr w:type="spellEnd"/>
            <w:r>
              <w:rPr>
                <w:rFonts w:eastAsia="Arial"/>
              </w:rPr>
              <w:t xml:space="preserve"> su </w:t>
            </w:r>
            <w:r w:rsidRPr="00681EA8">
              <w:rPr>
                <w:rFonts w:eastAsia="Arial"/>
              </w:rPr>
              <w:t>BRCA1/2</w:t>
            </w:r>
            <w:r>
              <w:rPr>
                <w:rFonts w:eastAsia="Arial"/>
              </w:rPr>
              <w:t xml:space="preserve"> mutacijomis, kurių liga progresavo po </w:t>
            </w:r>
            <w:proofErr w:type="spellStart"/>
            <w:r w:rsidRPr="004B1D95">
              <w:t>po</w:t>
            </w:r>
            <w:proofErr w:type="spellEnd"/>
            <w:r w:rsidRPr="004B1D95">
              <w:t xml:space="preserve"> ankstesnio gydymo, kurio sudėtyje buvo naujas hormoninis vaistinis preparatas</w:t>
            </w:r>
            <w:r>
              <w:t>, gydymui.</w:t>
            </w:r>
          </w:p>
        </w:tc>
        <w:tc>
          <w:tcPr>
            <w:tcW w:w="2835" w:type="dxa"/>
          </w:tcPr>
          <w:p w14:paraId="423A3314" w14:textId="4DC64E59" w:rsidR="00DF666B" w:rsidRDefault="0048066C" w:rsidP="000A7808">
            <w:pPr>
              <w:spacing w:line="276" w:lineRule="auto"/>
              <w:rPr>
                <w:rFonts w:eastAsia="Arial"/>
              </w:rPr>
            </w:pPr>
            <w:r>
              <w:rPr>
                <w:rFonts w:eastAsia="Arial"/>
              </w:rPr>
              <w:t xml:space="preserve">Rekomendacija galioja su sąlyga, jei </w:t>
            </w:r>
            <w:proofErr w:type="spellStart"/>
            <w:r>
              <w:rPr>
                <w:rFonts w:eastAsia="Arial"/>
              </w:rPr>
              <w:t>olaparibui</w:t>
            </w:r>
            <w:proofErr w:type="spellEnd"/>
            <w:r>
              <w:rPr>
                <w:rFonts w:eastAsia="Arial"/>
              </w:rPr>
              <w:t xml:space="preserve"> bus taikoma prieinamumo gerinimo sutartyje nustatyta kaina.</w:t>
            </w:r>
          </w:p>
          <w:p w14:paraId="1A936449" w14:textId="77777777" w:rsidR="0048066C" w:rsidRPr="0048066C" w:rsidRDefault="0048066C" w:rsidP="0048066C">
            <w:pPr>
              <w:ind w:firstLine="720"/>
              <w:rPr>
                <w:rFonts w:eastAsia="Arial"/>
              </w:rPr>
            </w:pPr>
          </w:p>
        </w:tc>
      </w:tr>
    </w:tbl>
    <w:p w14:paraId="2B7F5589" w14:textId="4A94BC5A" w:rsidR="007A2B68" w:rsidRDefault="007A2B68">
      <w:pPr>
        <w:rPr>
          <w:b/>
          <w:bCs/>
          <w:caps/>
        </w:rPr>
      </w:pPr>
    </w:p>
    <w:p w14:paraId="4F013173" w14:textId="77777777" w:rsidR="002E6F80" w:rsidRPr="00E33EFF" w:rsidRDefault="00CC7832" w:rsidP="00CC09D4">
      <w:pPr>
        <w:pStyle w:val="ListParagraph"/>
        <w:numPr>
          <w:ilvl w:val="0"/>
          <w:numId w:val="12"/>
        </w:numPr>
        <w:tabs>
          <w:tab w:val="left" w:pos="567"/>
        </w:tabs>
        <w:ind w:hanging="720"/>
        <w:rPr>
          <w:b/>
          <w:bCs/>
          <w:caps/>
        </w:rPr>
      </w:pPr>
      <w:r w:rsidRPr="00E33EFF">
        <w:rPr>
          <w:b/>
          <w:bCs/>
          <w:caps/>
        </w:rPr>
        <w:lastRenderedPageBreak/>
        <w:t>Klinikinio vertinimo a</w:t>
      </w:r>
      <w:r w:rsidR="00D4485B" w:rsidRPr="00E33EFF">
        <w:rPr>
          <w:b/>
          <w:bCs/>
          <w:caps/>
        </w:rPr>
        <w:t>pibendrinimas</w:t>
      </w:r>
    </w:p>
    <w:p w14:paraId="65664C65" w14:textId="09C071F9" w:rsidR="00D4485B" w:rsidRDefault="00D4485B" w:rsidP="00A93AA6">
      <w:pPr>
        <w:pStyle w:val="ListParagraph"/>
        <w:tabs>
          <w:tab w:val="left" w:pos="426"/>
        </w:tabs>
        <w:ind w:left="0"/>
        <w:rPr>
          <w:b/>
          <w:bCs/>
          <w:caps/>
        </w:rPr>
      </w:pPr>
    </w:p>
    <w:p w14:paraId="1596E32B" w14:textId="3C53C9FB" w:rsidR="0095206A" w:rsidRPr="00A93F38" w:rsidRDefault="0048066C" w:rsidP="0048066C">
      <w:pPr>
        <w:tabs>
          <w:tab w:val="left" w:pos="426"/>
        </w:tabs>
        <w:spacing w:line="276" w:lineRule="auto"/>
        <w:jc w:val="both"/>
        <w:rPr>
          <w:rFonts w:eastAsia="Arial"/>
          <w:iCs/>
        </w:rPr>
      </w:pPr>
      <w:r>
        <w:rPr>
          <w:rFonts w:eastAsia="Arial"/>
        </w:rPr>
        <w:tab/>
      </w:r>
      <w:r>
        <w:rPr>
          <w:rFonts w:eastAsia="Arial"/>
        </w:rPr>
        <w:tab/>
      </w:r>
      <w:r w:rsidR="0095206A" w:rsidRPr="008D1B2D">
        <w:rPr>
          <w:rFonts w:eastAsia="Arial"/>
        </w:rPr>
        <w:t xml:space="preserve">Prostatos vėžys – dažniausias vyrų onkologinis susirgimas Lietuvoje. </w:t>
      </w:r>
      <w:r w:rsidR="0095206A" w:rsidRPr="00EB31EC">
        <w:rPr>
          <w:rFonts w:eastAsia="Arial"/>
          <w:iCs/>
        </w:rPr>
        <w:t>Sergamumo rodikliai Lietuvoje didėja</w:t>
      </w:r>
      <w:r w:rsidR="0095206A">
        <w:rPr>
          <w:rFonts w:eastAsia="Arial"/>
          <w:iCs/>
        </w:rPr>
        <w:t>.</w:t>
      </w:r>
      <w:r w:rsidR="0095206A" w:rsidRPr="00EB31EC">
        <w:rPr>
          <w:rFonts w:eastAsia="Arial"/>
          <w:iCs/>
        </w:rPr>
        <w:t xml:space="preserve"> 2020 metais sergančiųjų skaičius sudarė 777</w:t>
      </w:r>
      <w:r w:rsidR="003407ED">
        <w:rPr>
          <w:rFonts w:eastAsia="Arial"/>
          <w:iCs/>
        </w:rPr>
        <w:t xml:space="preserve"> atvejų </w:t>
      </w:r>
      <w:r w:rsidR="0095206A" w:rsidRPr="00EB31EC">
        <w:rPr>
          <w:rFonts w:eastAsia="Arial"/>
          <w:iCs/>
        </w:rPr>
        <w:t>100</w:t>
      </w:r>
      <w:r w:rsidR="003407ED">
        <w:rPr>
          <w:rFonts w:eastAsia="Arial"/>
          <w:iCs/>
        </w:rPr>
        <w:t xml:space="preserve"> </w:t>
      </w:r>
      <w:r w:rsidR="0095206A" w:rsidRPr="00EB31EC">
        <w:rPr>
          <w:rFonts w:eastAsia="Arial"/>
          <w:iCs/>
        </w:rPr>
        <w:t>000 gyv</w:t>
      </w:r>
      <w:r w:rsidR="003407ED">
        <w:rPr>
          <w:rFonts w:eastAsia="Arial"/>
          <w:iCs/>
        </w:rPr>
        <w:t>entojų</w:t>
      </w:r>
      <w:r w:rsidR="0095206A" w:rsidRPr="00EB31EC">
        <w:rPr>
          <w:rFonts w:eastAsia="Arial"/>
          <w:iCs/>
        </w:rPr>
        <w:t xml:space="preserve">, o mirčių </w:t>
      </w:r>
      <w:r w:rsidR="003407ED">
        <w:rPr>
          <w:rFonts w:eastAsia="Arial"/>
          <w:iCs/>
        </w:rPr>
        <w:t xml:space="preserve">skaičius – </w:t>
      </w:r>
      <w:r w:rsidR="0095206A" w:rsidRPr="00EB31EC">
        <w:rPr>
          <w:rFonts w:eastAsia="Arial"/>
          <w:iCs/>
        </w:rPr>
        <w:t>19,21</w:t>
      </w:r>
      <w:r w:rsidR="003407ED">
        <w:rPr>
          <w:rFonts w:eastAsia="Arial"/>
          <w:iCs/>
        </w:rPr>
        <w:t xml:space="preserve"> atvejų </w:t>
      </w:r>
      <w:r w:rsidR="0095206A" w:rsidRPr="00EB31EC">
        <w:rPr>
          <w:rFonts w:eastAsia="Arial"/>
          <w:iCs/>
        </w:rPr>
        <w:t>100</w:t>
      </w:r>
      <w:r w:rsidR="003407ED">
        <w:rPr>
          <w:rFonts w:eastAsia="Arial"/>
          <w:iCs/>
        </w:rPr>
        <w:t xml:space="preserve"> </w:t>
      </w:r>
      <w:r w:rsidR="0095206A" w:rsidRPr="00EB31EC">
        <w:rPr>
          <w:rFonts w:eastAsia="Arial"/>
          <w:iCs/>
        </w:rPr>
        <w:t>000 gyv</w:t>
      </w:r>
      <w:r w:rsidR="003407ED">
        <w:rPr>
          <w:rFonts w:eastAsia="Arial"/>
          <w:iCs/>
        </w:rPr>
        <w:t>entojų</w:t>
      </w:r>
      <w:r w:rsidR="0095206A" w:rsidRPr="00EB31EC">
        <w:rPr>
          <w:rFonts w:eastAsia="Arial"/>
          <w:iCs/>
        </w:rPr>
        <w:t xml:space="preserve">. </w:t>
      </w:r>
      <w:r w:rsidR="0095206A">
        <w:rPr>
          <w:rFonts w:eastAsia="Arial"/>
          <w:iCs/>
        </w:rPr>
        <w:t>S</w:t>
      </w:r>
      <w:r w:rsidR="0095206A" w:rsidRPr="00EB31EC">
        <w:rPr>
          <w:rFonts w:eastAsia="Arial"/>
          <w:iCs/>
        </w:rPr>
        <w:t xml:space="preserve">ergančiųjų amžiaus mediana </w:t>
      </w:r>
      <w:r w:rsidR="003407ED">
        <w:rPr>
          <w:rFonts w:eastAsia="Arial"/>
          <w:iCs/>
        </w:rPr>
        <w:t xml:space="preserve">buvo </w:t>
      </w:r>
      <w:r w:rsidR="0095206A" w:rsidRPr="00EB31EC">
        <w:rPr>
          <w:rFonts w:eastAsia="Arial"/>
          <w:iCs/>
        </w:rPr>
        <w:t>70 metų, o bendro išgyvenamumo mediana</w:t>
      </w:r>
      <w:r w:rsidR="003407ED">
        <w:rPr>
          <w:rFonts w:eastAsia="Arial"/>
          <w:iCs/>
        </w:rPr>
        <w:t xml:space="preserve"> –</w:t>
      </w:r>
      <w:r w:rsidR="0095206A" w:rsidRPr="00EB31EC">
        <w:rPr>
          <w:rFonts w:eastAsia="Arial"/>
          <w:iCs/>
        </w:rPr>
        <w:t xml:space="preserve"> apie 20 mėn</w:t>
      </w:r>
      <w:r w:rsidR="003407ED">
        <w:rPr>
          <w:rFonts w:eastAsia="Arial"/>
          <w:iCs/>
        </w:rPr>
        <w:t>esių.</w:t>
      </w:r>
    </w:p>
    <w:p w14:paraId="5895A11E" w14:textId="21DDEA4F" w:rsidR="0095206A" w:rsidRPr="008D1B2D" w:rsidRDefault="0095206A" w:rsidP="0048066C">
      <w:pPr>
        <w:spacing w:line="276" w:lineRule="auto"/>
        <w:ind w:firstLine="720"/>
        <w:jc w:val="both"/>
        <w:rPr>
          <w:rFonts w:eastAsia="Arial"/>
        </w:rPr>
      </w:pPr>
      <w:r w:rsidRPr="008D1B2D">
        <w:t xml:space="preserve">Siūlomas kompensuoti </w:t>
      </w:r>
      <w:proofErr w:type="spellStart"/>
      <w:r w:rsidRPr="008D1B2D">
        <w:t>priešnavikinis</w:t>
      </w:r>
      <w:proofErr w:type="spellEnd"/>
      <w:r w:rsidRPr="008D1B2D">
        <w:t xml:space="preserve"> vaistinis preparatas </w:t>
      </w:r>
      <w:proofErr w:type="spellStart"/>
      <w:r w:rsidRPr="008D1B2D">
        <w:t>olaparibas</w:t>
      </w:r>
      <w:proofErr w:type="spellEnd"/>
      <w:r w:rsidRPr="008D1B2D">
        <w:t xml:space="preserve"> slopina žmogaus fermentus – poli (ADF </w:t>
      </w:r>
      <w:proofErr w:type="spellStart"/>
      <w:r w:rsidRPr="008D1B2D">
        <w:t>ribozės</w:t>
      </w:r>
      <w:proofErr w:type="spellEnd"/>
      <w:r w:rsidRPr="008D1B2D">
        <w:t xml:space="preserve">) </w:t>
      </w:r>
      <w:proofErr w:type="spellStart"/>
      <w:r w:rsidRPr="008D1B2D">
        <w:t>polimerazes</w:t>
      </w:r>
      <w:proofErr w:type="spellEnd"/>
      <w:r w:rsidRPr="008D1B2D">
        <w:t xml:space="preserve"> (PARP-1, PARP-2, PARP-3). Nustatyta, kad </w:t>
      </w:r>
      <w:proofErr w:type="spellStart"/>
      <w:r w:rsidRPr="008D1B2D">
        <w:t>olaparibas</w:t>
      </w:r>
      <w:proofErr w:type="spellEnd"/>
      <w:r w:rsidRPr="008D1B2D">
        <w:t xml:space="preserve"> slopina atrinktų navikinių ląstelių linijų augimą </w:t>
      </w:r>
      <w:proofErr w:type="spellStart"/>
      <w:r w:rsidRPr="00AE71F0">
        <w:rPr>
          <w:i/>
          <w:iCs/>
        </w:rPr>
        <w:t>in</w:t>
      </w:r>
      <w:proofErr w:type="spellEnd"/>
      <w:r w:rsidRPr="00AE71F0">
        <w:rPr>
          <w:i/>
          <w:iCs/>
        </w:rPr>
        <w:t xml:space="preserve"> </w:t>
      </w:r>
      <w:proofErr w:type="spellStart"/>
      <w:r w:rsidRPr="00AE71F0">
        <w:rPr>
          <w:i/>
          <w:iCs/>
        </w:rPr>
        <w:t>vitro</w:t>
      </w:r>
      <w:proofErr w:type="spellEnd"/>
      <w:r w:rsidRPr="008D1B2D">
        <w:t xml:space="preserve"> bei navikų augimą </w:t>
      </w:r>
      <w:proofErr w:type="spellStart"/>
      <w:r w:rsidRPr="00AE71F0">
        <w:rPr>
          <w:i/>
          <w:iCs/>
        </w:rPr>
        <w:t>in</w:t>
      </w:r>
      <w:proofErr w:type="spellEnd"/>
      <w:r w:rsidRPr="00AE71F0">
        <w:rPr>
          <w:i/>
          <w:iCs/>
        </w:rPr>
        <w:t xml:space="preserve"> </w:t>
      </w:r>
      <w:proofErr w:type="spellStart"/>
      <w:r w:rsidRPr="00AE71F0">
        <w:rPr>
          <w:i/>
          <w:iCs/>
        </w:rPr>
        <w:t>vivo</w:t>
      </w:r>
      <w:proofErr w:type="spellEnd"/>
      <w:r w:rsidRPr="008D1B2D">
        <w:t xml:space="preserve">, veikdamas vienas arba kartu su ištirta chemoterapija. Prieš skiriant Lynparza gBRCA1/2 mutaciją turinčio </w:t>
      </w:r>
      <w:proofErr w:type="spellStart"/>
      <w:r w:rsidRPr="008D1B2D">
        <w:t>mKAPV</w:t>
      </w:r>
      <w:proofErr w:type="spellEnd"/>
      <w:r w:rsidRPr="008D1B2D">
        <w:t xml:space="preserve"> gydymui, būtina patvirtinti kenksmingos arba įtariamai kenksmingos BRCA1/2 mutacijos buvimą navikinio audinio arba kraujo mėginyje.</w:t>
      </w:r>
      <w:r w:rsidRPr="008D1B2D">
        <w:rPr>
          <w:rFonts w:eastAsia="Arial"/>
        </w:rPr>
        <w:t xml:space="preserve"> </w:t>
      </w:r>
    </w:p>
    <w:p w14:paraId="7F52D416" w14:textId="77777777" w:rsidR="0095206A" w:rsidRPr="008D1B2D" w:rsidRDefault="0095206A" w:rsidP="0048066C">
      <w:pPr>
        <w:spacing w:line="276" w:lineRule="auto"/>
        <w:jc w:val="both"/>
      </w:pPr>
      <w:r>
        <w:rPr>
          <w:rFonts w:eastAsia="Arial"/>
        </w:rPr>
        <w:tab/>
      </w:r>
      <w:r w:rsidRPr="008D1B2D">
        <w:rPr>
          <w:rFonts w:eastAsia="Arial"/>
        </w:rPr>
        <w:t xml:space="preserve">Lietuvoje šiuo metu </w:t>
      </w:r>
      <w:proofErr w:type="spellStart"/>
      <w:r w:rsidRPr="008D1B2D">
        <w:t>mKAPV</w:t>
      </w:r>
      <w:proofErr w:type="spellEnd"/>
      <w:r w:rsidRPr="008D1B2D">
        <w:t xml:space="preserve"> gydomas </w:t>
      </w:r>
      <w:proofErr w:type="spellStart"/>
      <w:r w:rsidRPr="008D1B2D">
        <w:t>docetakseliu</w:t>
      </w:r>
      <w:proofErr w:type="spellEnd"/>
      <w:r w:rsidRPr="008D1B2D">
        <w:t xml:space="preserve">, </w:t>
      </w:r>
      <w:proofErr w:type="spellStart"/>
      <w:r w:rsidRPr="008D1B2D">
        <w:t>abirateronu</w:t>
      </w:r>
      <w:proofErr w:type="spellEnd"/>
      <w:r w:rsidRPr="008D1B2D">
        <w:t xml:space="preserve">, </w:t>
      </w:r>
      <w:proofErr w:type="spellStart"/>
      <w:r w:rsidRPr="008D1B2D">
        <w:t>enzalutamidu</w:t>
      </w:r>
      <w:proofErr w:type="spellEnd"/>
      <w:r w:rsidRPr="008D1B2D">
        <w:t xml:space="preserve">, </w:t>
      </w:r>
      <w:proofErr w:type="spellStart"/>
      <w:r w:rsidRPr="008D1B2D">
        <w:t>kabazitakseliu</w:t>
      </w:r>
      <w:proofErr w:type="spellEnd"/>
      <w:r w:rsidRPr="008D1B2D">
        <w:t xml:space="preserve">. Tiek </w:t>
      </w:r>
      <w:proofErr w:type="spellStart"/>
      <w:r w:rsidRPr="008D1B2D">
        <w:t>abiratenonas</w:t>
      </w:r>
      <w:proofErr w:type="spellEnd"/>
      <w:r w:rsidRPr="008D1B2D">
        <w:t xml:space="preserve">, tiek </w:t>
      </w:r>
      <w:proofErr w:type="spellStart"/>
      <w:r w:rsidRPr="008D1B2D">
        <w:t>enzalutamidas</w:t>
      </w:r>
      <w:proofErr w:type="spellEnd"/>
      <w:r w:rsidRPr="008D1B2D">
        <w:t xml:space="preserve"> skiriami </w:t>
      </w:r>
      <w:proofErr w:type="spellStart"/>
      <w:r w:rsidRPr="008D1B2D">
        <w:t>mKAPV</w:t>
      </w:r>
      <w:proofErr w:type="spellEnd"/>
      <w:r w:rsidRPr="008D1B2D">
        <w:t xml:space="preserve"> gydyti kai nėra simptomų arba pasireiškia nedideli simptomai po nesėkmingos androgenų </w:t>
      </w:r>
      <w:proofErr w:type="spellStart"/>
      <w:r w:rsidRPr="008D1B2D">
        <w:t>deprivacijos</w:t>
      </w:r>
      <w:proofErr w:type="spellEnd"/>
      <w:r w:rsidRPr="008D1B2D">
        <w:t xml:space="preserve"> terapijos ir dar nėra klinikinių indikacijų skirti chemoterapiją, arba kai </w:t>
      </w:r>
      <w:proofErr w:type="spellStart"/>
      <w:r w:rsidRPr="008D1B2D">
        <w:t>mKAPV</w:t>
      </w:r>
      <w:proofErr w:type="spellEnd"/>
      <w:r w:rsidRPr="008D1B2D">
        <w:t xml:space="preserve"> progresavo taikant chemoterapiją su </w:t>
      </w:r>
      <w:proofErr w:type="spellStart"/>
      <w:r w:rsidRPr="008D1B2D">
        <w:t>docetakseliu</w:t>
      </w:r>
      <w:proofErr w:type="spellEnd"/>
      <w:r w:rsidRPr="008D1B2D">
        <w:t xml:space="preserve"> arba po jos. </w:t>
      </w:r>
      <w:r>
        <w:t>Kai</w:t>
      </w:r>
      <w:r w:rsidRPr="008D1B2D">
        <w:t xml:space="preserve"> nustatomas </w:t>
      </w:r>
      <w:proofErr w:type="spellStart"/>
      <w:r w:rsidRPr="008D1B2D">
        <w:t>mKAPV</w:t>
      </w:r>
      <w:proofErr w:type="spellEnd"/>
      <w:r w:rsidRPr="008D1B2D">
        <w:t xml:space="preserve"> progresavimas po chemoterapijos, toliau skiriamas </w:t>
      </w:r>
      <w:proofErr w:type="spellStart"/>
      <w:r w:rsidRPr="008D1B2D">
        <w:t>docetakselis</w:t>
      </w:r>
      <w:proofErr w:type="spellEnd"/>
      <w:r w:rsidRPr="008D1B2D">
        <w:t xml:space="preserve"> (pakartotinai), </w:t>
      </w:r>
      <w:proofErr w:type="spellStart"/>
      <w:r w:rsidRPr="008D1B2D">
        <w:t>abirateronas</w:t>
      </w:r>
      <w:proofErr w:type="spellEnd"/>
      <w:r w:rsidRPr="008D1B2D">
        <w:t xml:space="preserve"> (jei nebuvo skirtas anksčiau), </w:t>
      </w:r>
      <w:proofErr w:type="spellStart"/>
      <w:r w:rsidRPr="008D1B2D">
        <w:t>enzalutamidas</w:t>
      </w:r>
      <w:proofErr w:type="spellEnd"/>
      <w:r w:rsidRPr="008D1B2D">
        <w:t xml:space="preserve"> (jei nebuvo skirtas anksčiau) arba </w:t>
      </w:r>
      <w:proofErr w:type="spellStart"/>
      <w:r w:rsidRPr="008D1B2D">
        <w:t>kabazitakselis</w:t>
      </w:r>
      <w:proofErr w:type="spellEnd"/>
      <w:r w:rsidRPr="008D1B2D">
        <w:t>.</w:t>
      </w:r>
    </w:p>
    <w:p w14:paraId="2CC9C8F5" w14:textId="77777777" w:rsidR="00AB2785" w:rsidRDefault="0095206A" w:rsidP="0048066C">
      <w:pPr>
        <w:spacing w:line="276" w:lineRule="auto"/>
        <w:jc w:val="both"/>
        <w:rPr>
          <w:rFonts w:eastAsia="Arial"/>
        </w:rPr>
      </w:pPr>
      <w:r>
        <w:rPr>
          <w:rFonts w:eastAsia="Arial"/>
        </w:rPr>
        <w:tab/>
      </w:r>
      <w:r w:rsidRPr="008D1B2D">
        <w:rPr>
          <w:rFonts w:eastAsia="Arial"/>
        </w:rPr>
        <w:t xml:space="preserve">Paraiškoje pateiktas klinikinis tyrimas </w:t>
      </w:r>
      <w:proofErr w:type="spellStart"/>
      <w:r w:rsidRPr="008D1B2D">
        <w:rPr>
          <w:rFonts w:eastAsia="Arial"/>
        </w:rPr>
        <w:t>PROfound</w:t>
      </w:r>
      <w:proofErr w:type="spellEnd"/>
      <w:r w:rsidRPr="008D1B2D">
        <w:rPr>
          <w:rFonts w:eastAsia="Arial"/>
        </w:rPr>
        <w:t xml:space="preserve">, kuriame olaparibo veiksmingumas buvo lygintas su </w:t>
      </w:r>
      <w:proofErr w:type="spellStart"/>
      <w:r w:rsidRPr="008D1B2D">
        <w:rPr>
          <w:rFonts w:eastAsia="Arial"/>
        </w:rPr>
        <w:t>enzalutamido</w:t>
      </w:r>
      <w:proofErr w:type="spellEnd"/>
      <w:r w:rsidRPr="008D1B2D">
        <w:rPr>
          <w:rFonts w:eastAsia="Arial"/>
        </w:rPr>
        <w:t xml:space="preserve"> </w:t>
      </w:r>
      <w:r>
        <w:rPr>
          <w:rFonts w:eastAsia="Arial"/>
        </w:rPr>
        <w:t>arba</w:t>
      </w:r>
      <w:r w:rsidRPr="008D1B2D">
        <w:rPr>
          <w:rFonts w:eastAsia="Arial"/>
        </w:rPr>
        <w:t xml:space="preserve"> </w:t>
      </w:r>
      <w:proofErr w:type="spellStart"/>
      <w:r w:rsidRPr="008D1B2D">
        <w:rPr>
          <w:rFonts w:eastAsia="Arial"/>
        </w:rPr>
        <w:t>abiraterono</w:t>
      </w:r>
      <w:proofErr w:type="spellEnd"/>
      <w:r w:rsidRPr="008D1B2D">
        <w:rPr>
          <w:rFonts w:eastAsia="Arial"/>
        </w:rPr>
        <w:t xml:space="preserve"> veiksmingumu. Į tyrimą įtraukti 387 pacientai, sergantys </w:t>
      </w:r>
      <w:proofErr w:type="spellStart"/>
      <w:r w:rsidRPr="008D1B2D">
        <w:rPr>
          <w:rFonts w:eastAsia="Arial"/>
        </w:rPr>
        <w:t>mKAPV</w:t>
      </w:r>
      <w:proofErr w:type="spellEnd"/>
      <w:r w:rsidRPr="008D1B2D">
        <w:rPr>
          <w:rFonts w:eastAsia="Arial"/>
        </w:rPr>
        <w:t xml:space="preserve">, </w:t>
      </w:r>
      <w:r w:rsidRPr="008D1B2D">
        <w:t>kurių liga prieš tai progresavo skiriant naują hormoninį vaistinį preparatą (NHV</w:t>
      </w:r>
      <w:r w:rsidR="00512F95">
        <w:t xml:space="preserve">) – </w:t>
      </w:r>
      <w:proofErr w:type="spellStart"/>
      <w:r w:rsidR="00512F95">
        <w:t>enzalutamidą</w:t>
      </w:r>
      <w:proofErr w:type="spellEnd"/>
      <w:r w:rsidR="00512F95">
        <w:t xml:space="preserve"> arba </w:t>
      </w:r>
      <w:proofErr w:type="spellStart"/>
      <w:r w:rsidR="00512F95">
        <w:t>abirateroną</w:t>
      </w:r>
      <w:proofErr w:type="spellEnd"/>
      <w:r w:rsidR="00512F95">
        <w:t xml:space="preserve"> –</w:t>
      </w:r>
      <w:r w:rsidRPr="008D1B2D">
        <w:t xml:space="preserve"> </w:t>
      </w:r>
      <w:proofErr w:type="spellStart"/>
      <w:r w:rsidRPr="008D1B2D">
        <w:t>mKAPV</w:t>
      </w:r>
      <w:proofErr w:type="spellEnd"/>
      <w:r w:rsidRPr="008D1B2D">
        <w:t xml:space="preserve"> gydyti. Vertinta A kohorta, į kurią įtraukti pacientai, kuriems buvo nustatytos BRCA1/2 mutacijos. </w:t>
      </w:r>
      <w:r w:rsidRPr="008D1B2D">
        <w:rPr>
          <w:rFonts w:eastAsia="Arial"/>
        </w:rPr>
        <w:t xml:space="preserve">A kohortoje 65 % olaparibo grupės pacientų prieš tai buvo gydyti </w:t>
      </w:r>
      <w:proofErr w:type="spellStart"/>
      <w:r w:rsidRPr="008D1B2D">
        <w:rPr>
          <w:rFonts w:eastAsia="Arial"/>
        </w:rPr>
        <w:t>taksanais</w:t>
      </w:r>
      <w:proofErr w:type="spellEnd"/>
      <w:r w:rsidRPr="008D1B2D">
        <w:rPr>
          <w:rFonts w:eastAsia="Arial"/>
        </w:rPr>
        <w:t xml:space="preserve">, 42 % – </w:t>
      </w:r>
      <w:proofErr w:type="spellStart"/>
      <w:r w:rsidRPr="008D1B2D">
        <w:rPr>
          <w:rFonts w:eastAsia="Arial"/>
        </w:rPr>
        <w:t>enzalutamidu</w:t>
      </w:r>
      <w:proofErr w:type="spellEnd"/>
      <w:r w:rsidRPr="008D1B2D">
        <w:rPr>
          <w:rFonts w:eastAsia="Arial"/>
        </w:rPr>
        <w:t xml:space="preserve">, 38 % – </w:t>
      </w:r>
      <w:proofErr w:type="spellStart"/>
      <w:r w:rsidRPr="008D1B2D">
        <w:rPr>
          <w:rFonts w:eastAsia="Arial"/>
        </w:rPr>
        <w:t>abirateronu</w:t>
      </w:r>
      <w:proofErr w:type="spellEnd"/>
      <w:r w:rsidRPr="008D1B2D">
        <w:rPr>
          <w:rFonts w:eastAsia="Arial"/>
        </w:rPr>
        <w:t xml:space="preserve"> bei 20 % – </w:t>
      </w:r>
      <w:proofErr w:type="spellStart"/>
      <w:r w:rsidRPr="008D1B2D">
        <w:rPr>
          <w:rFonts w:eastAsia="Arial"/>
        </w:rPr>
        <w:t>enzalutamidu</w:t>
      </w:r>
      <w:proofErr w:type="spellEnd"/>
      <w:r w:rsidRPr="008D1B2D">
        <w:rPr>
          <w:rFonts w:eastAsia="Arial"/>
        </w:rPr>
        <w:t xml:space="preserve"> ir taip pat </w:t>
      </w:r>
      <w:proofErr w:type="spellStart"/>
      <w:r w:rsidRPr="008D1B2D">
        <w:rPr>
          <w:rFonts w:eastAsia="Arial"/>
        </w:rPr>
        <w:t>abiraterou</w:t>
      </w:r>
      <w:proofErr w:type="spellEnd"/>
      <w:r w:rsidRPr="008D1B2D">
        <w:rPr>
          <w:rFonts w:eastAsia="Arial"/>
        </w:rPr>
        <w:t xml:space="preserve">. 63 % lyginamosios grupės pacientų prieš tai buvo gydomi </w:t>
      </w:r>
      <w:proofErr w:type="spellStart"/>
      <w:r w:rsidRPr="008D1B2D">
        <w:rPr>
          <w:rFonts w:eastAsia="Arial"/>
        </w:rPr>
        <w:t>taksanais</w:t>
      </w:r>
      <w:proofErr w:type="spellEnd"/>
      <w:r w:rsidRPr="008D1B2D">
        <w:rPr>
          <w:rFonts w:eastAsia="Arial"/>
        </w:rPr>
        <w:t xml:space="preserve">, 48 % – </w:t>
      </w:r>
      <w:proofErr w:type="spellStart"/>
      <w:r w:rsidRPr="008D1B2D">
        <w:rPr>
          <w:rFonts w:eastAsia="Arial"/>
        </w:rPr>
        <w:t>enzalutamidu</w:t>
      </w:r>
      <w:proofErr w:type="spellEnd"/>
      <w:r w:rsidRPr="008D1B2D">
        <w:rPr>
          <w:rFonts w:eastAsia="Arial"/>
        </w:rPr>
        <w:t xml:space="preserve">, 35 % – </w:t>
      </w:r>
      <w:proofErr w:type="spellStart"/>
      <w:r w:rsidRPr="008D1B2D">
        <w:rPr>
          <w:rFonts w:eastAsia="Arial"/>
        </w:rPr>
        <w:t>abirateronu</w:t>
      </w:r>
      <w:proofErr w:type="spellEnd"/>
      <w:r w:rsidRPr="008D1B2D">
        <w:rPr>
          <w:rFonts w:eastAsia="Arial"/>
        </w:rPr>
        <w:t xml:space="preserve"> bei 14 – </w:t>
      </w:r>
      <w:proofErr w:type="spellStart"/>
      <w:r w:rsidRPr="008D1B2D">
        <w:rPr>
          <w:rFonts w:eastAsia="Arial"/>
        </w:rPr>
        <w:t>enzalutamidu</w:t>
      </w:r>
      <w:proofErr w:type="spellEnd"/>
      <w:r w:rsidRPr="008D1B2D">
        <w:rPr>
          <w:rFonts w:eastAsia="Arial"/>
        </w:rPr>
        <w:t xml:space="preserve"> ir taip pat </w:t>
      </w:r>
      <w:proofErr w:type="spellStart"/>
      <w:r w:rsidRPr="008D1B2D">
        <w:rPr>
          <w:rFonts w:eastAsia="Arial"/>
        </w:rPr>
        <w:t>abirateron</w:t>
      </w:r>
      <w:r w:rsidR="00512F95">
        <w:rPr>
          <w:rFonts w:eastAsia="Arial"/>
        </w:rPr>
        <w:t>u</w:t>
      </w:r>
      <w:proofErr w:type="spellEnd"/>
      <w:r w:rsidRPr="008D1B2D">
        <w:rPr>
          <w:rFonts w:eastAsia="Arial"/>
        </w:rPr>
        <w:t xml:space="preserve">. </w:t>
      </w:r>
      <w:r w:rsidRPr="008D1B2D">
        <w:t xml:space="preserve">Tarnybos nuomone, pacientų populiacija, kuri prieš </w:t>
      </w:r>
      <w:proofErr w:type="spellStart"/>
      <w:r w:rsidRPr="008D1B2D">
        <w:t>PROfound</w:t>
      </w:r>
      <w:proofErr w:type="spellEnd"/>
      <w:r w:rsidRPr="008D1B2D">
        <w:t xml:space="preserve"> tyrimą buvo gydyta abiem NHV</w:t>
      </w:r>
      <w:r w:rsidR="00512F95">
        <w:t xml:space="preserve">, </w:t>
      </w:r>
      <w:r w:rsidR="00E7663E">
        <w:t>į tyrimą įtraukta netikslingai,</w:t>
      </w:r>
      <w:r>
        <w:t xml:space="preserve"> nes </w:t>
      </w:r>
      <w:r>
        <w:rPr>
          <w:lang w:eastAsia="en-GB"/>
        </w:rPr>
        <w:t xml:space="preserve">palyginamajam gydymui </w:t>
      </w:r>
      <w:proofErr w:type="spellStart"/>
      <w:r>
        <w:rPr>
          <w:lang w:eastAsia="en-GB"/>
        </w:rPr>
        <w:t>a</w:t>
      </w:r>
      <w:r w:rsidRPr="0021477A">
        <w:rPr>
          <w:lang w:eastAsia="en-GB"/>
        </w:rPr>
        <w:t>birateronas</w:t>
      </w:r>
      <w:proofErr w:type="spellEnd"/>
      <w:r w:rsidRPr="0021477A">
        <w:rPr>
          <w:lang w:eastAsia="en-GB"/>
        </w:rPr>
        <w:t xml:space="preserve"> </w:t>
      </w:r>
      <w:r>
        <w:rPr>
          <w:lang w:eastAsia="en-GB"/>
        </w:rPr>
        <w:t>ir</w:t>
      </w:r>
      <w:r w:rsidRPr="0021477A">
        <w:rPr>
          <w:lang w:eastAsia="en-GB"/>
        </w:rPr>
        <w:t xml:space="preserve"> </w:t>
      </w:r>
      <w:proofErr w:type="spellStart"/>
      <w:r w:rsidRPr="0021477A">
        <w:rPr>
          <w:lang w:eastAsia="en-GB"/>
        </w:rPr>
        <w:t>enzalutamidas</w:t>
      </w:r>
      <w:proofErr w:type="spellEnd"/>
      <w:r w:rsidRPr="0021477A">
        <w:rPr>
          <w:lang w:eastAsia="en-GB"/>
        </w:rPr>
        <w:t xml:space="preserve"> gali būti skiri</w:t>
      </w:r>
      <w:r>
        <w:rPr>
          <w:lang w:eastAsia="en-GB"/>
        </w:rPr>
        <w:t xml:space="preserve">ami </w:t>
      </w:r>
      <w:r w:rsidRPr="0021477A">
        <w:rPr>
          <w:lang w:eastAsia="en-GB"/>
        </w:rPr>
        <w:t>tik tuo atveju, jeigu nebuvo skirt</w:t>
      </w:r>
      <w:r>
        <w:rPr>
          <w:lang w:eastAsia="en-GB"/>
        </w:rPr>
        <w:t>i</w:t>
      </w:r>
      <w:r w:rsidRPr="0021477A">
        <w:rPr>
          <w:lang w:eastAsia="en-GB"/>
        </w:rPr>
        <w:t xml:space="preserve"> viso ankstesnio </w:t>
      </w:r>
      <w:r>
        <w:rPr>
          <w:lang w:eastAsia="en-GB"/>
        </w:rPr>
        <w:t>PV</w:t>
      </w:r>
      <w:r w:rsidRPr="0021477A">
        <w:rPr>
          <w:lang w:eastAsia="en-GB"/>
        </w:rPr>
        <w:t xml:space="preserve"> gydymo met</w:t>
      </w:r>
      <w:r w:rsidR="00E7663E">
        <w:rPr>
          <w:lang w:eastAsia="en-GB"/>
        </w:rPr>
        <w:t>u</w:t>
      </w:r>
      <w:r w:rsidRPr="008D1B2D">
        <w:t xml:space="preserve">. Pareiškėjo prašyta pateikti pacientų, kuriems anksčiau  nebuvo taikytas gydymas abiem vaistais – ir </w:t>
      </w:r>
      <w:proofErr w:type="spellStart"/>
      <w:r w:rsidRPr="008D1B2D">
        <w:t>abirateronu</w:t>
      </w:r>
      <w:proofErr w:type="spellEnd"/>
      <w:r w:rsidRPr="008D1B2D">
        <w:t xml:space="preserve">, ir </w:t>
      </w:r>
      <w:proofErr w:type="spellStart"/>
      <w:r w:rsidRPr="008D1B2D">
        <w:t>enzalutamidu</w:t>
      </w:r>
      <w:proofErr w:type="spellEnd"/>
      <w:r w:rsidRPr="008D1B2D">
        <w:t xml:space="preserve"> – duomenis.</w:t>
      </w:r>
    </w:p>
    <w:p w14:paraId="24A0CDAD" w14:textId="17431C63" w:rsidR="0095206A" w:rsidRPr="00AB2785" w:rsidRDefault="00AB2785" w:rsidP="0048066C">
      <w:pPr>
        <w:spacing w:line="276" w:lineRule="auto"/>
        <w:jc w:val="both"/>
        <w:rPr>
          <w:rFonts w:eastAsia="Arial"/>
        </w:rPr>
      </w:pPr>
      <w:r>
        <w:rPr>
          <w:rFonts w:eastAsia="Arial"/>
        </w:rPr>
        <w:tab/>
      </w:r>
      <w:r w:rsidR="0095206A" w:rsidRPr="008D1B2D">
        <w:t xml:space="preserve">Pareiškėjas pateikė </w:t>
      </w:r>
      <w:r w:rsidR="004C149F">
        <w:t>******</w:t>
      </w:r>
      <w:r w:rsidR="0095206A" w:rsidRPr="008D1B2D">
        <w:t xml:space="preserve"> </w:t>
      </w:r>
      <w:r w:rsidR="0095206A">
        <w:t>rezultatus</w:t>
      </w:r>
      <w:r w:rsidR="0095206A" w:rsidRPr="008D1B2D">
        <w:t xml:space="preserve"> </w:t>
      </w:r>
      <w:r w:rsidR="00F13023">
        <w:t>*******</w:t>
      </w:r>
      <w:r w:rsidR="00533B85">
        <w:t xml:space="preserve"> </w:t>
      </w:r>
      <w:r w:rsidR="0095206A" w:rsidRPr="008D1B2D">
        <w:t xml:space="preserve"> </w:t>
      </w:r>
      <w:r w:rsidR="0095206A">
        <w:t>Remiantis šiais duomenimis</w:t>
      </w:r>
      <w:r w:rsidR="0095206A" w:rsidRPr="008D1B2D">
        <w:t xml:space="preserve">, olaparibo efektyvumas, lyginant su </w:t>
      </w:r>
      <w:proofErr w:type="spellStart"/>
      <w:r w:rsidR="0095206A" w:rsidRPr="008D1B2D">
        <w:t>abirateronu</w:t>
      </w:r>
      <w:proofErr w:type="spellEnd"/>
      <w:r w:rsidR="0095206A" w:rsidRPr="008D1B2D">
        <w:t xml:space="preserve"> arba </w:t>
      </w:r>
      <w:proofErr w:type="spellStart"/>
      <w:r w:rsidR="0095206A" w:rsidRPr="008D1B2D">
        <w:t>enzalutamidu</w:t>
      </w:r>
      <w:proofErr w:type="spellEnd"/>
      <w:r w:rsidR="00533B85">
        <w:t xml:space="preserve"> **********</w:t>
      </w:r>
      <w:r w:rsidR="0095206A" w:rsidRPr="008D1B2D">
        <w:t xml:space="preserve">. </w:t>
      </w:r>
    </w:p>
    <w:p w14:paraId="47FF2BD5" w14:textId="7D315223" w:rsidR="0095206A" w:rsidRPr="00F51308" w:rsidRDefault="0095206A" w:rsidP="0048066C">
      <w:pPr>
        <w:tabs>
          <w:tab w:val="left" w:pos="426"/>
        </w:tabs>
        <w:spacing w:line="276" w:lineRule="auto"/>
        <w:jc w:val="both"/>
        <w:rPr>
          <w:iCs/>
          <w:lang w:eastAsia="lt-LT"/>
        </w:rPr>
      </w:pPr>
      <w:r>
        <w:tab/>
      </w:r>
      <w:r w:rsidR="00AB2785">
        <w:tab/>
      </w:r>
      <w:r w:rsidRPr="008D1B2D">
        <w:t xml:space="preserve">Kitos vertinamosios baigtys buvo pateiktos tik bendrai A kohortos populiacijai, įskaitant pacientus, kuriems </w:t>
      </w:r>
      <w:r>
        <w:t xml:space="preserve">prieš tyrimą </w:t>
      </w:r>
      <w:r w:rsidRPr="008D1B2D">
        <w:t xml:space="preserve">buvo skirti abu NHV: tarpinės analizės duomenimis, </w:t>
      </w:r>
      <w:proofErr w:type="spellStart"/>
      <w:r w:rsidRPr="008D1B2D">
        <w:t>rIBLP</w:t>
      </w:r>
      <w:proofErr w:type="spellEnd"/>
      <w:r w:rsidRPr="008D1B2D">
        <w:t xml:space="preserve"> mediana buvo 3,8 mėn. ilgesnė olaparibo grupėje, lyginant su kontroline grupe</w:t>
      </w:r>
      <w:r w:rsidR="00E7663E">
        <w:t>;</w:t>
      </w:r>
      <w:r w:rsidRPr="008D1B2D">
        <w:t xml:space="preserve"> objektyvus atsakas ir reikšmingas (</w:t>
      </w:r>
      <w:r w:rsidRPr="008D1B2D">
        <w:rPr>
          <w:rFonts w:eastAsia="Arial"/>
        </w:rPr>
        <w:t xml:space="preserve">≥ 50 %) </w:t>
      </w:r>
      <w:r w:rsidRPr="008D1B2D">
        <w:t>PSA50 atsakas dažniau nustatyti olaparibo grupėje</w:t>
      </w:r>
      <w:r w:rsidR="00E7663E">
        <w:t>;</w:t>
      </w:r>
      <w:r w:rsidRPr="008D1B2D">
        <w:t xml:space="preserve"> olaparibo grupėje taip pat stebėtas ilgesnis laikas iki skausmo progresavimo ir geresni gyvenimo kokybės rezultatai. </w:t>
      </w:r>
      <w:r>
        <w:rPr>
          <w:iCs/>
          <w:lang w:eastAsia="lt-LT"/>
        </w:rPr>
        <w:t>Į šias analizes įtrauktas pogrupis, kuriems prieš tyrimą skirti abu NHV,</w:t>
      </w:r>
      <w:r w:rsidRPr="00CF4F0C">
        <w:rPr>
          <w:iCs/>
          <w:lang w:eastAsia="lt-LT"/>
        </w:rPr>
        <w:t xml:space="preserve"> </w:t>
      </w:r>
      <w:r w:rsidR="00E7663E">
        <w:rPr>
          <w:iCs/>
          <w:lang w:eastAsia="lt-LT"/>
        </w:rPr>
        <w:t xml:space="preserve">ir kuris </w:t>
      </w:r>
      <w:r w:rsidRPr="00CF4F0C">
        <w:rPr>
          <w:iCs/>
          <w:lang w:eastAsia="lt-LT"/>
        </w:rPr>
        <w:t>galėjo neigiamai iškreipti kontrolinės grupės rezultatus.</w:t>
      </w:r>
    </w:p>
    <w:p w14:paraId="36E114E8" w14:textId="3C39D9DD" w:rsidR="0095206A" w:rsidRPr="0095206A" w:rsidRDefault="0095206A" w:rsidP="0048066C">
      <w:pPr>
        <w:spacing w:line="276" w:lineRule="auto"/>
        <w:jc w:val="both"/>
        <w:rPr>
          <w:rFonts w:eastAsia="Arial"/>
        </w:rPr>
      </w:pPr>
      <w:r w:rsidRPr="008D1B2D">
        <w:rPr>
          <w:rFonts w:eastAsia="Arial"/>
        </w:rPr>
        <w:tab/>
      </w:r>
      <w:r w:rsidR="007A19FA">
        <w:rPr>
          <w:rFonts w:eastAsia="Arial"/>
        </w:rPr>
        <w:t xml:space="preserve">Tyrime </w:t>
      </w:r>
      <w:proofErr w:type="spellStart"/>
      <w:r w:rsidR="007A19FA" w:rsidRPr="008D1B2D">
        <w:rPr>
          <w:rFonts w:eastAsia="Arial"/>
        </w:rPr>
        <w:t>PROfound</w:t>
      </w:r>
      <w:proofErr w:type="spellEnd"/>
      <w:r w:rsidR="007A19FA" w:rsidRPr="008D1B2D">
        <w:rPr>
          <w:rFonts w:eastAsia="Arial"/>
        </w:rPr>
        <w:t xml:space="preserve"> </w:t>
      </w:r>
      <w:r w:rsidR="007A19FA">
        <w:rPr>
          <w:rFonts w:eastAsia="Arial"/>
        </w:rPr>
        <w:t>d</w:t>
      </w:r>
      <w:r w:rsidRPr="008D1B2D">
        <w:rPr>
          <w:rFonts w:eastAsia="Arial"/>
        </w:rPr>
        <w:t>ažniausiai pasireiškusios nepageidaujamos reakcijos olaparibo grupėje buvo anemija (46 %), pykinimas (</w:t>
      </w:r>
      <w:r w:rsidRPr="008D1B2D">
        <w:t>41 %)</w:t>
      </w:r>
      <w:r w:rsidRPr="008D1B2D">
        <w:rPr>
          <w:rFonts w:eastAsia="Arial"/>
        </w:rPr>
        <w:t xml:space="preserve">, nuovargis arba </w:t>
      </w:r>
      <w:proofErr w:type="spellStart"/>
      <w:r w:rsidRPr="008D1B2D">
        <w:rPr>
          <w:rFonts w:eastAsia="Arial"/>
        </w:rPr>
        <w:t>astenija</w:t>
      </w:r>
      <w:proofErr w:type="spellEnd"/>
      <w:r w:rsidRPr="008D1B2D">
        <w:rPr>
          <w:rFonts w:eastAsia="Arial"/>
        </w:rPr>
        <w:t xml:space="preserve"> (41 %). Dažniausia nepageidaujama reakcija kontrolinėje grupėje buvo nuovargis ar </w:t>
      </w:r>
      <w:proofErr w:type="spellStart"/>
      <w:r w:rsidRPr="008D1B2D">
        <w:rPr>
          <w:rFonts w:eastAsia="Arial"/>
        </w:rPr>
        <w:t>astenija</w:t>
      </w:r>
      <w:proofErr w:type="spellEnd"/>
      <w:r w:rsidRPr="008D1B2D">
        <w:rPr>
          <w:rFonts w:eastAsia="Arial"/>
        </w:rPr>
        <w:t xml:space="preserve"> (32 %). </w:t>
      </w:r>
      <w:r w:rsidR="007A19FA" w:rsidRPr="008D1B2D">
        <w:rPr>
          <w:rFonts w:eastAsia="Arial"/>
        </w:rPr>
        <w:t xml:space="preserve">Bendras  nepageidaujamų reakcijų skaičius, įskaitant sunkias nepageidaujamas reakcijas, buvo didesnis olaparibo grupėje, lyginant su placebu. </w:t>
      </w:r>
      <w:r w:rsidRPr="008D1B2D">
        <w:rPr>
          <w:rFonts w:eastAsia="Arial"/>
        </w:rPr>
        <w:t xml:space="preserve">Olaparibo grupėje nustatyta 11 (4 %) plaučių embolijos atvejų, kontrolinėje grupėje </w:t>
      </w:r>
      <w:r w:rsidRPr="008D1B2D">
        <w:rPr>
          <w:rFonts w:eastAsia="Arial"/>
        </w:rPr>
        <w:lastRenderedPageBreak/>
        <w:t>nustatytas 1 (1 %) atvejis.  Daugiausia (</w:t>
      </w:r>
      <w:r w:rsidRPr="008D1B2D">
        <w:t>21 %)</w:t>
      </w:r>
      <w:r w:rsidRPr="008D1B2D">
        <w:rPr>
          <w:rFonts w:eastAsia="Arial"/>
        </w:rPr>
        <w:t xml:space="preserve"> sunkių nepageidaujamų reakcijų olaparibo grupėje sietos su anemija.</w:t>
      </w:r>
    </w:p>
    <w:p w14:paraId="37F037BB" w14:textId="77777777" w:rsidR="0095206A" w:rsidRPr="00557D65" w:rsidRDefault="0095206A" w:rsidP="0095206A">
      <w:pPr>
        <w:jc w:val="both"/>
      </w:pPr>
    </w:p>
    <w:p w14:paraId="68930C12" w14:textId="77777777" w:rsidR="00B07732" w:rsidRPr="00557D65" w:rsidRDefault="00B07732" w:rsidP="0095206A">
      <w:pPr>
        <w:jc w:val="both"/>
      </w:pPr>
    </w:p>
    <w:p w14:paraId="208DAA37" w14:textId="77777777" w:rsidR="00E03C3F" w:rsidRPr="00557D65" w:rsidRDefault="00CC7832" w:rsidP="00CC09D4">
      <w:pPr>
        <w:pStyle w:val="ListParagraph"/>
        <w:numPr>
          <w:ilvl w:val="0"/>
          <w:numId w:val="12"/>
        </w:numPr>
        <w:tabs>
          <w:tab w:val="left" w:pos="567"/>
        </w:tabs>
        <w:ind w:hanging="720"/>
        <w:rPr>
          <w:b/>
          <w:bCs/>
          <w:caps/>
        </w:rPr>
      </w:pPr>
      <w:r w:rsidRPr="00557D65">
        <w:rPr>
          <w:b/>
          <w:bCs/>
          <w:caps/>
        </w:rPr>
        <w:t xml:space="preserve">ekonominio vertinimo </w:t>
      </w:r>
      <w:r w:rsidR="002F0E4F" w:rsidRPr="00557D65">
        <w:rPr>
          <w:b/>
          <w:bCs/>
          <w:caps/>
        </w:rPr>
        <w:t>apibendrinimas</w:t>
      </w:r>
    </w:p>
    <w:p w14:paraId="52DD8058" w14:textId="77777777" w:rsidR="00B07732" w:rsidRPr="00557D65" w:rsidRDefault="00B07732" w:rsidP="002E6F80">
      <w:pPr>
        <w:tabs>
          <w:tab w:val="left" w:pos="284"/>
        </w:tabs>
        <w:rPr>
          <w:i/>
          <w:sz w:val="22"/>
          <w:szCs w:val="22"/>
        </w:rPr>
      </w:pPr>
    </w:p>
    <w:p w14:paraId="7555FF59" w14:textId="77777777" w:rsidR="00B07732" w:rsidRDefault="00B07732" w:rsidP="00B07732">
      <w:pPr>
        <w:tabs>
          <w:tab w:val="left" w:pos="567"/>
        </w:tabs>
        <w:spacing w:line="276" w:lineRule="auto"/>
        <w:ind w:firstLine="432"/>
        <w:jc w:val="both"/>
      </w:pPr>
      <w:bookmarkStart w:id="0" w:name="_Hlk146805176"/>
      <w:r w:rsidRPr="00B07732">
        <w:rPr>
          <w:iCs/>
        </w:rPr>
        <w:t xml:space="preserve">Pareiškėjas pateikė </w:t>
      </w:r>
      <w:r>
        <w:rPr>
          <w:iCs/>
        </w:rPr>
        <w:t xml:space="preserve">kaštų naudingumo analizę, kurioje olaparibo kaštų naudingumas yra lyginamas su gydytojo parinktu nauju hormoniniu vaistiniu preparatu – </w:t>
      </w:r>
      <w:proofErr w:type="spellStart"/>
      <w:r>
        <w:rPr>
          <w:iCs/>
        </w:rPr>
        <w:t>enzalutamidu</w:t>
      </w:r>
      <w:proofErr w:type="spellEnd"/>
      <w:r>
        <w:rPr>
          <w:iCs/>
        </w:rPr>
        <w:t xml:space="preserve"> arba </w:t>
      </w:r>
      <w:proofErr w:type="spellStart"/>
      <w:r>
        <w:rPr>
          <w:iCs/>
        </w:rPr>
        <w:t>abiraterono</w:t>
      </w:r>
      <w:proofErr w:type="spellEnd"/>
      <w:r>
        <w:rPr>
          <w:iCs/>
        </w:rPr>
        <w:t xml:space="preserve"> acetatu. </w:t>
      </w:r>
      <w:r w:rsidRPr="00B07732">
        <w:rPr>
          <w:iCs/>
        </w:rPr>
        <w:t xml:space="preserve">Ekonominės analizės populiacija atitinka pacientų, įtrauktų į </w:t>
      </w:r>
      <w:proofErr w:type="spellStart"/>
      <w:r w:rsidRPr="00B07732">
        <w:rPr>
          <w:iCs/>
        </w:rPr>
        <w:t>PROfound</w:t>
      </w:r>
      <w:proofErr w:type="spellEnd"/>
      <w:r w:rsidRPr="00B07732">
        <w:rPr>
          <w:iCs/>
        </w:rPr>
        <w:t xml:space="preserve"> klinikinį tyrimą, charakteristikas. </w:t>
      </w:r>
      <w:proofErr w:type="spellStart"/>
      <w:r w:rsidRPr="00B07732">
        <w:rPr>
          <w:iCs/>
        </w:rPr>
        <w:t>PROfound</w:t>
      </w:r>
      <w:proofErr w:type="spellEnd"/>
      <w:r w:rsidRPr="00B07732">
        <w:rPr>
          <w:iCs/>
        </w:rPr>
        <w:t xml:space="preserve"> klinikinis tyrimas yra III fazės randomizuotas, atviras, multicentrinis tyrimas, kurio metu buvo vertinamas olaparibo saugumas ir veiksmingumas gydant vyrus, sergančius </w:t>
      </w:r>
      <w:proofErr w:type="spellStart"/>
      <w:r w:rsidRPr="00B07732">
        <w:rPr>
          <w:iCs/>
        </w:rPr>
        <w:t>metastazavusiu</w:t>
      </w:r>
      <w:proofErr w:type="spellEnd"/>
      <w:r w:rsidRPr="00B07732">
        <w:rPr>
          <w:iCs/>
        </w:rPr>
        <w:t xml:space="preserve"> kastracijai atspariu prostatos vėžiu. Olaparibas buvo lygintas su tyrėjo parinktu nauju hormoniniu vaistiniu preparatu [NHV] – </w:t>
      </w:r>
      <w:proofErr w:type="spellStart"/>
      <w:r w:rsidRPr="00B07732">
        <w:rPr>
          <w:iCs/>
        </w:rPr>
        <w:t>enzalutamidu</w:t>
      </w:r>
      <w:proofErr w:type="spellEnd"/>
      <w:r w:rsidRPr="00B07732">
        <w:rPr>
          <w:iCs/>
        </w:rPr>
        <w:t xml:space="preserve"> arba </w:t>
      </w:r>
      <w:proofErr w:type="spellStart"/>
      <w:r w:rsidRPr="00B07732">
        <w:rPr>
          <w:iCs/>
        </w:rPr>
        <w:t>abiraterono</w:t>
      </w:r>
      <w:proofErr w:type="spellEnd"/>
      <w:r w:rsidRPr="00B07732">
        <w:rPr>
          <w:iCs/>
        </w:rPr>
        <w:t xml:space="preserve"> acetatu.</w:t>
      </w:r>
      <w:r>
        <w:rPr>
          <w:iCs/>
        </w:rPr>
        <w:t xml:space="preserve"> </w:t>
      </w:r>
      <w:r w:rsidRPr="00145FA0">
        <w:t xml:space="preserve">Ekonominėje analizėje atskiri pacientų pogrupiai analizuojami nebuvo. </w:t>
      </w:r>
    </w:p>
    <w:p w14:paraId="4D50596A" w14:textId="4D97B2BF" w:rsidR="00B07732" w:rsidRDefault="00B07732" w:rsidP="00B07732">
      <w:pPr>
        <w:spacing w:line="276" w:lineRule="auto"/>
        <w:ind w:firstLine="432"/>
        <w:jc w:val="both"/>
        <w:rPr>
          <w:rFonts w:eastAsia="Arial"/>
          <w:bCs/>
        </w:rPr>
      </w:pPr>
      <w:r w:rsidRPr="00145FA0">
        <w:rPr>
          <w:rFonts w:eastAsia="Arial"/>
          <w:bCs/>
          <w:szCs w:val="22"/>
        </w:rPr>
        <w:t xml:space="preserve">Ekonominėje analizėje pateiktas palyginamasis gydymas </w:t>
      </w:r>
      <w:r>
        <w:rPr>
          <w:rFonts w:eastAsia="Arial"/>
          <w:bCs/>
          <w:szCs w:val="22"/>
        </w:rPr>
        <w:t xml:space="preserve">iš esmės </w:t>
      </w:r>
      <w:r w:rsidRPr="00145FA0">
        <w:rPr>
          <w:rFonts w:eastAsia="Arial"/>
          <w:bCs/>
          <w:szCs w:val="22"/>
        </w:rPr>
        <w:t>atitinka įprast</w:t>
      </w:r>
      <w:r>
        <w:rPr>
          <w:rFonts w:eastAsia="Arial"/>
          <w:bCs/>
          <w:szCs w:val="22"/>
        </w:rPr>
        <w:t>ą</w:t>
      </w:r>
      <w:r w:rsidRPr="00145FA0">
        <w:rPr>
          <w:rFonts w:eastAsia="Arial"/>
          <w:bCs/>
          <w:szCs w:val="22"/>
        </w:rPr>
        <w:t xml:space="preserve"> Lietuvos Respublikos klinikinės praktikos.</w:t>
      </w:r>
      <w:r w:rsidRPr="00145FA0">
        <w:rPr>
          <w:rFonts w:eastAsia="Arial"/>
          <w:bCs/>
          <w:i/>
          <w:iCs/>
          <w:color w:val="00B050"/>
        </w:rPr>
        <w:t xml:space="preserve"> </w:t>
      </w:r>
      <w:r w:rsidRPr="00145FA0">
        <w:rPr>
          <w:rFonts w:eastAsia="Arial"/>
          <w:bCs/>
        </w:rPr>
        <w:t xml:space="preserve">Pateiktoje ekonominėje analizėje palyginamasis gydymas yra gydytojo pasirenkamas gydymas tarp </w:t>
      </w:r>
      <w:proofErr w:type="spellStart"/>
      <w:r w:rsidRPr="00145FA0">
        <w:rPr>
          <w:rFonts w:eastAsia="Arial"/>
          <w:bCs/>
        </w:rPr>
        <w:t>abiraterono</w:t>
      </w:r>
      <w:proofErr w:type="spellEnd"/>
      <w:r w:rsidRPr="00145FA0">
        <w:rPr>
          <w:rFonts w:eastAsia="Arial"/>
          <w:bCs/>
        </w:rPr>
        <w:t xml:space="preserve"> ir </w:t>
      </w:r>
      <w:proofErr w:type="spellStart"/>
      <w:r w:rsidRPr="00145FA0">
        <w:rPr>
          <w:rFonts w:eastAsia="Arial"/>
          <w:bCs/>
        </w:rPr>
        <w:t>enzalutamido</w:t>
      </w:r>
      <w:proofErr w:type="spellEnd"/>
      <w:r w:rsidRPr="00145FA0">
        <w:rPr>
          <w:rFonts w:eastAsia="Arial"/>
          <w:bCs/>
        </w:rPr>
        <w:t>.</w:t>
      </w:r>
    </w:p>
    <w:p w14:paraId="00C7DD8F" w14:textId="77777777" w:rsidR="00B07732" w:rsidRDefault="00B07732" w:rsidP="00B07732">
      <w:pPr>
        <w:spacing w:line="276" w:lineRule="auto"/>
        <w:ind w:firstLine="432"/>
        <w:jc w:val="both"/>
        <w:rPr>
          <w:lang w:eastAsia="lt-LT"/>
        </w:rPr>
      </w:pPr>
      <w:r w:rsidRPr="00145FA0">
        <w:rPr>
          <w:bCs/>
          <w:iCs/>
          <w:lang w:eastAsia="lt-LT"/>
        </w:rPr>
        <w:t xml:space="preserve">Ekonominėje analizėje taikomi modeliavimo metodai. Kartu su ekonomine analize pateiktas ekonominio modelis, parengtas </w:t>
      </w:r>
      <w:r w:rsidRPr="00145FA0">
        <w:t>Microsoft Excel® programa ir skirtas į</w:t>
      </w:r>
      <w:r>
        <w:t xml:space="preserve">vertinti olaparibo kaštų naudingumui gydant </w:t>
      </w:r>
      <w:bookmarkStart w:id="1" w:name="_Hlk146492234"/>
      <w:r>
        <w:t xml:space="preserve">sergančiuosius </w:t>
      </w:r>
      <w:proofErr w:type="spellStart"/>
      <w:r w:rsidRPr="00145FA0">
        <w:rPr>
          <w:lang w:eastAsia="lt-LT"/>
        </w:rPr>
        <w:t>metastazavusiu</w:t>
      </w:r>
      <w:proofErr w:type="spellEnd"/>
      <w:r w:rsidRPr="00145FA0">
        <w:rPr>
          <w:lang w:eastAsia="lt-LT"/>
        </w:rPr>
        <w:t xml:space="preserve"> kastracijai atspariu prostatos vėžiu ir turinčių BRCA1/2 mutacijų (</w:t>
      </w:r>
      <w:proofErr w:type="spellStart"/>
      <w:r w:rsidRPr="00145FA0">
        <w:rPr>
          <w:lang w:eastAsia="lt-LT"/>
        </w:rPr>
        <w:t>germinacinių</w:t>
      </w:r>
      <w:proofErr w:type="spellEnd"/>
      <w:r w:rsidRPr="00145FA0">
        <w:rPr>
          <w:lang w:eastAsia="lt-LT"/>
        </w:rPr>
        <w:t xml:space="preserve"> ir / arba somatinių), kai vėžys progresavo po ankstesnio gydymo, kurio sudėtyje buvo naujas hormoninis vaistinis preparatas.</w:t>
      </w:r>
    </w:p>
    <w:bookmarkEnd w:id="1"/>
    <w:p w14:paraId="0E8B69E7" w14:textId="77777777" w:rsidR="00B07732" w:rsidRDefault="00B07732" w:rsidP="00B07732">
      <w:pPr>
        <w:spacing w:line="276" w:lineRule="auto"/>
        <w:ind w:firstLine="432"/>
        <w:jc w:val="both"/>
        <w:rPr>
          <w:lang w:eastAsia="lt-LT"/>
        </w:rPr>
      </w:pPr>
      <w:r>
        <w:rPr>
          <w:lang w:eastAsia="lt-LT"/>
        </w:rPr>
        <w:t xml:space="preserve">Pateiktas ekonominis modelis yra išskaidyto išgyvenamumo (angl. </w:t>
      </w:r>
      <w:proofErr w:type="spellStart"/>
      <w:r w:rsidRPr="00145FA0">
        <w:rPr>
          <w:i/>
          <w:iCs/>
        </w:rPr>
        <w:t>partitioned</w:t>
      </w:r>
      <w:proofErr w:type="spellEnd"/>
      <w:r w:rsidRPr="00145FA0">
        <w:rPr>
          <w:i/>
          <w:iCs/>
        </w:rPr>
        <w:t xml:space="preserve"> </w:t>
      </w:r>
      <w:proofErr w:type="spellStart"/>
      <w:r w:rsidRPr="00145FA0">
        <w:rPr>
          <w:i/>
          <w:iCs/>
        </w:rPr>
        <w:t>survival</w:t>
      </w:r>
      <w:proofErr w:type="spellEnd"/>
      <w:r>
        <w:t>)</w:t>
      </w:r>
      <w:r>
        <w:rPr>
          <w:lang w:eastAsia="lt-LT"/>
        </w:rPr>
        <w:t xml:space="preserve"> modelis, kuriame modeliuojamos 3 sveikatos būklės:</w:t>
      </w:r>
    </w:p>
    <w:p w14:paraId="156A8A2E" w14:textId="77777777" w:rsidR="00B07732" w:rsidRDefault="00B07732" w:rsidP="00B07732">
      <w:pPr>
        <w:pStyle w:val="ListParagraph"/>
        <w:numPr>
          <w:ilvl w:val="0"/>
          <w:numId w:val="13"/>
        </w:numPr>
        <w:spacing w:line="276" w:lineRule="auto"/>
        <w:jc w:val="both"/>
        <w:rPr>
          <w:lang w:eastAsia="lt-LT"/>
        </w:rPr>
      </w:pPr>
      <w:r>
        <w:rPr>
          <w:lang w:eastAsia="lt-LT"/>
        </w:rPr>
        <w:t xml:space="preserve">Būklė iki ligos progresavimo (angl. </w:t>
      </w:r>
      <w:proofErr w:type="spellStart"/>
      <w:r w:rsidRPr="00145FA0">
        <w:rPr>
          <w:i/>
          <w:iCs/>
          <w:lang w:eastAsia="lt-LT"/>
        </w:rPr>
        <w:t>progression-free</w:t>
      </w:r>
      <w:proofErr w:type="spellEnd"/>
      <w:r>
        <w:rPr>
          <w:lang w:eastAsia="lt-LT"/>
        </w:rPr>
        <w:t>)</w:t>
      </w:r>
    </w:p>
    <w:p w14:paraId="3343BBB9" w14:textId="77777777" w:rsidR="00B07732" w:rsidRDefault="00B07732" w:rsidP="00B07732">
      <w:pPr>
        <w:pStyle w:val="ListParagraph"/>
        <w:numPr>
          <w:ilvl w:val="0"/>
          <w:numId w:val="13"/>
        </w:numPr>
        <w:rPr>
          <w:lang w:eastAsia="lt-LT"/>
        </w:rPr>
      </w:pPr>
      <w:r>
        <w:rPr>
          <w:lang w:eastAsia="lt-LT"/>
        </w:rPr>
        <w:t xml:space="preserve">Progresuojančios ligos būklė (angl. </w:t>
      </w:r>
      <w:proofErr w:type="spellStart"/>
      <w:r w:rsidRPr="00145FA0">
        <w:rPr>
          <w:i/>
          <w:iCs/>
          <w:lang w:eastAsia="lt-LT"/>
        </w:rPr>
        <w:t>progressed</w:t>
      </w:r>
      <w:proofErr w:type="spellEnd"/>
      <w:r w:rsidRPr="00145FA0">
        <w:rPr>
          <w:i/>
          <w:iCs/>
          <w:lang w:eastAsia="lt-LT"/>
        </w:rPr>
        <w:t xml:space="preserve"> </w:t>
      </w:r>
      <w:proofErr w:type="spellStart"/>
      <w:r w:rsidRPr="00145FA0">
        <w:rPr>
          <w:i/>
          <w:iCs/>
          <w:lang w:eastAsia="lt-LT"/>
        </w:rPr>
        <w:t>disease</w:t>
      </w:r>
      <w:proofErr w:type="spellEnd"/>
      <w:r>
        <w:rPr>
          <w:lang w:eastAsia="lt-LT"/>
        </w:rPr>
        <w:t>)</w:t>
      </w:r>
    </w:p>
    <w:p w14:paraId="1A9176A6" w14:textId="77777777" w:rsidR="00B07732" w:rsidRDefault="00B07732" w:rsidP="00B07732">
      <w:pPr>
        <w:pStyle w:val="ListParagraph"/>
        <w:numPr>
          <w:ilvl w:val="0"/>
          <w:numId w:val="13"/>
        </w:numPr>
        <w:spacing w:line="276" w:lineRule="auto"/>
        <w:jc w:val="both"/>
        <w:rPr>
          <w:lang w:eastAsia="lt-LT"/>
        </w:rPr>
      </w:pPr>
      <w:r>
        <w:rPr>
          <w:lang w:eastAsia="lt-LT"/>
        </w:rPr>
        <w:t xml:space="preserve">Mirtis. </w:t>
      </w:r>
    </w:p>
    <w:p w14:paraId="29F8A784" w14:textId="77777777" w:rsidR="00B07732" w:rsidRDefault="00B07732" w:rsidP="00B07732">
      <w:pPr>
        <w:spacing w:line="276" w:lineRule="auto"/>
        <w:ind w:firstLine="432"/>
        <w:jc w:val="both"/>
        <w:rPr>
          <w:lang w:eastAsia="lt-LT"/>
        </w:rPr>
      </w:pPr>
      <w:r w:rsidRPr="00B07732">
        <w:rPr>
          <w:rFonts w:eastAsia="Arial"/>
          <w:bCs/>
        </w:rPr>
        <w:t xml:space="preserve">Analizės struktūra yra tinkama olaparibo kaštų naudingumui įvertinti gydant sergančiuosius </w:t>
      </w:r>
      <w:proofErr w:type="spellStart"/>
      <w:r w:rsidRPr="00B07732">
        <w:rPr>
          <w:rFonts w:eastAsia="Arial"/>
          <w:bCs/>
        </w:rPr>
        <w:t>metastazavusiu</w:t>
      </w:r>
      <w:proofErr w:type="spellEnd"/>
      <w:r w:rsidRPr="00B07732">
        <w:rPr>
          <w:rFonts w:eastAsia="Arial"/>
          <w:bCs/>
        </w:rPr>
        <w:t xml:space="preserve"> kastracijai atspariu prostatos vėžiu ir turinčius BRCA1/2 mutacijų (</w:t>
      </w:r>
      <w:proofErr w:type="spellStart"/>
      <w:r w:rsidRPr="00B07732">
        <w:rPr>
          <w:rFonts w:eastAsia="Arial"/>
          <w:bCs/>
        </w:rPr>
        <w:t>germinacinių</w:t>
      </w:r>
      <w:proofErr w:type="spellEnd"/>
      <w:r w:rsidRPr="00B07732">
        <w:rPr>
          <w:rFonts w:eastAsia="Arial"/>
          <w:bCs/>
        </w:rPr>
        <w:t xml:space="preserve"> ir / arba somatinių), kai vėžys progresavo po ankstesnio gydymo, kurio sudėtyje buvo naujas hormoninis vaistinis preparatas.</w:t>
      </w:r>
    </w:p>
    <w:p w14:paraId="6935524C" w14:textId="386F8972" w:rsidR="00B07732" w:rsidRPr="00B07732" w:rsidRDefault="00B07732" w:rsidP="00B07732">
      <w:pPr>
        <w:spacing w:line="276" w:lineRule="auto"/>
        <w:ind w:firstLine="432"/>
        <w:jc w:val="both"/>
        <w:rPr>
          <w:lang w:eastAsia="lt-LT"/>
        </w:rPr>
      </w:pPr>
      <w:r w:rsidRPr="00145FA0">
        <w:rPr>
          <w:lang w:eastAsia="lt-LT"/>
        </w:rPr>
        <w:t xml:space="preserve">Ekonominė analizė remiasi </w:t>
      </w:r>
      <w:proofErr w:type="spellStart"/>
      <w:r w:rsidRPr="00145FA0">
        <w:rPr>
          <w:lang w:eastAsia="lt-LT"/>
        </w:rPr>
        <w:t>PROfound</w:t>
      </w:r>
      <w:proofErr w:type="spellEnd"/>
      <w:r w:rsidRPr="00145FA0">
        <w:rPr>
          <w:lang w:eastAsia="lt-LT"/>
        </w:rPr>
        <w:t xml:space="preserve"> klinikinio tyrimo A kohortos rezultatais. </w:t>
      </w:r>
      <w:r>
        <w:t>Šio tyrimo pagrindinė vertinamoji baigtis buvo A kohortos pacientų išgyvenamumas be radiologinio progresavimo (angl</w:t>
      </w:r>
      <w:r w:rsidRPr="009F76FB">
        <w:rPr>
          <w:i/>
          <w:iCs/>
        </w:rPr>
        <w:t xml:space="preserve">. </w:t>
      </w:r>
      <w:proofErr w:type="spellStart"/>
      <w:r w:rsidRPr="009F76FB">
        <w:rPr>
          <w:i/>
          <w:iCs/>
        </w:rPr>
        <w:t>radiological</w:t>
      </w:r>
      <w:proofErr w:type="spellEnd"/>
      <w:r w:rsidRPr="009F76FB">
        <w:rPr>
          <w:i/>
          <w:iCs/>
        </w:rPr>
        <w:t xml:space="preserve"> </w:t>
      </w:r>
      <w:proofErr w:type="spellStart"/>
      <w:r w:rsidRPr="009F76FB">
        <w:rPr>
          <w:i/>
          <w:iCs/>
        </w:rPr>
        <w:t>progression</w:t>
      </w:r>
      <w:proofErr w:type="spellEnd"/>
      <w:r w:rsidRPr="009F76FB">
        <w:rPr>
          <w:i/>
          <w:iCs/>
        </w:rPr>
        <w:t xml:space="preserve"> </w:t>
      </w:r>
      <w:proofErr w:type="spellStart"/>
      <w:r w:rsidRPr="009F76FB">
        <w:rPr>
          <w:i/>
          <w:iCs/>
        </w:rPr>
        <w:t>free</w:t>
      </w:r>
      <w:proofErr w:type="spellEnd"/>
      <w:r w:rsidRPr="009F76FB">
        <w:rPr>
          <w:i/>
          <w:iCs/>
        </w:rPr>
        <w:t xml:space="preserve"> </w:t>
      </w:r>
      <w:proofErr w:type="spellStart"/>
      <w:r w:rsidRPr="009F76FB">
        <w:rPr>
          <w:i/>
          <w:iCs/>
        </w:rPr>
        <w:t>survival</w:t>
      </w:r>
      <w:proofErr w:type="spellEnd"/>
      <w:r w:rsidRPr="009F76FB">
        <w:rPr>
          <w:i/>
          <w:iCs/>
        </w:rPr>
        <w:t xml:space="preserve">, </w:t>
      </w:r>
      <w:proofErr w:type="spellStart"/>
      <w:r w:rsidRPr="009F76FB">
        <w:rPr>
          <w:i/>
          <w:iCs/>
        </w:rPr>
        <w:t>rPFS</w:t>
      </w:r>
      <w:proofErr w:type="spellEnd"/>
      <w:r>
        <w:t xml:space="preserve">), nustatytas BICR pagal RECIST 1.1 kriterijus (minkštiesiems audiniams) arba prostatos vėžio darbo grupės (angl. </w:t>
      </w:r>
      <w:proofErr w:type="spellStart"/>
      <w:r w:rsidRPr="009F76FB">
        <w:rPr>
          <w:i/>
          <w:iCs/>
        </w:rPr>
        <w:t>Prostate</w:t>
      </w:r>
      <w:proofErr w:type="spellEnd"/>
      <w:r w:rsidRPr="009F76FB">
        <w:rPr>
          <w:i/>
          <w:iCs/>
        </w:rPr>
        <w:t xml:space="preserve"> </w:t>
      </w:r>
      <w:proofErr w:type="spellStart"/>
      <w:r w:rsidRPr="009F76FB">
        <w:rPr>
          <w:i/>
          <w:iCs/>
        </w:rPr>
        <w:t>Cancer</w:t>
      </w:r>
      <w:proofErr w:type="spellEnd"/>
      <w:r w:rsidRPr="009F76FB">
        <w:rPr>
          <w:i/>
          <w:iCs/>
        </w:rPr>
        <w:t xml:space="preserve"> </w:t>
      </w:r>
      <w:proofErr w:type="spellStart"/>
      <w:r w:rsidRPr="009F76FB">
        <w:rPr>
          <w:i/>
          <w:iCs/>
        </w:rPr>
        <w:t>Working</w:t>
      </w:r>
      <w:proofErr w:type="spellEnd"/>
      <w:r w:rsidRPr="009F76FB">
        <w:rPr>
          <w:i/>
          <w:iCs/>
        </w:rPr>
        <w:t xml:space="preserve"> Group, PCWG3</w:t>
      </w:r>
      <w:r>
        <w:t xml:space="preserve">) (kaulams). Svarbiausios antrinės vertinamosios baigtys buvo BICR patvirtinto objektyvaus atsako dažnis (angl. </w:t>
      </w:r>
      <w:proofErr w:type="spellStart"/>
      <w:r w:rsidRPr="009F76FB">
        <w:rPr>
          <w:i/>
          <w:iCs/>
        </w:rPr>
        <w:t>objective</w:t>
      </w:r>
      <w:proofErr w:type="spellEnd"/>
      <w:r w:rsidRPr="009F76FB">
        <w:rPr>
          <w:i/>
          <w:iCs/>
        </w:rPr>
        <w:t xml:space="preserve"> </w:t>
      </w:r>
      <w:proofErr w:type="spellStart"/>
      <w:r w:rsidRPr="009F76FB">
        <w:rPr>
          <w:i/>
          <w:iCs/>
        </w:rPr>
        <w:t>response</w:t>
      </w:r>
      <w:proofErr w:type="spellEnd"/>
      <w:r w:rsidRPr="009F76FB">
        <w:rPr>
          <w:i/>
          <w:iCs/>
        </w:rPr>
        <w:t xml:space="preserve"> rate, ORR</w:t>
      </w:r>
      <w:r>
        <w:t xml:space="preserve">), BICR nustatytas </w:t>
      </w:r>
      <w:proofErr w:type="spellStart"/>
      <w:r>
        <w:t>rPFS</w:t>
      </w:r>
      <w:proofErr w:type="spellEnd"/>
      <w:r>
        <w:t xml:space="preserve">, laikas iki skausmo progresavimo (angl. </w:t>
      </w:r>
      <w:proofErr w:type="spellStart"/>
      <w:r w:rsidRPr="009F76FB">
        <w:rPr>
          <w:i/>
          <w:iCs/>
        </w:rPr>
        <w:t>time</w:t>
      </w:r>
      <w:proofErr w:type="spellEnd"/>
      <w:r w:rsidRPr="009F76FB">
        <w:rPr>
          <w:i/>
          <w:iCs/>
        </w:rPr>
        <w:t xml:space="preserve"> to </w:t>
      </w:r>
      <w:proofErr w:type="spellStart"/>
      <w:r w:rsidRPr="009F76FB">
        <w:rPr>
          <w:i/>
          <w:iCs/>
        </w:rPr>
        <w:t>pain</w:t>
      </w:r>
      <w:proofErr w:type="spellEnd"/>
      <w:r w:rsidRPr="009F76FB">
        <w:rPr>
          <w:i/>
          <w:iCs/>
        </w:rPr>
        <w:t xml:space="preserve"> </w:t>
      </w:r>
      <w:proofErr w:type="spellStart"/>
      <w:r w:rsidRPr="009F76FB">
        <w:rPr>
          <w:i/>
          <w:iCs/>
        </w:rPr>
        <w:t>progression</w:t>
      </w:r>
      <w:proofErr w:type="spellEnd"/>
      <w:r w:rsidRPr="009F76FB">
        <w:rPr>
          <w:i/>
          <w:iCs/>
        </w:rPr>
        <w:t>, TTPP</w:t>
      </w:r>
      <w:r>
        <w:t xml:space="preserve">) ir bendras išgyvenamumas (angl. </w:t>
      </w:r>
      <w:proofErr w:type="spellStart"/>
      <w:r w:rsidRPr="009F76FB">
        <w:rPr>
          <w:i/>
          <w:iCs/>
        </w:rPr>
        <w:t>overall</w:t>
      </w:r>
      <w:proofErr w:type="spellEnd"/>
      <w:r w:rsidRPr="009F76FB">
        <w:rPr>
          <w:i/>
          <w:iCs/>
        </w:rPr>
        <w:t xml:space="preserve"> </w:t>
      </w:r>
      <w:proofErr w:type="spellStart"/>
      <w:r w:rsidRPr="009F76FB">
        <w:rPr>
          <w:i/>
          <w:iCs/>
        </w:rPr>
        <w:t>survival</w:t>
      </w:r>
      <w:proofErr w:type="spellEnd"/>
      <w:r w:rsidRPr="009F76FB">
        <w:rPr>
          <w:i/>
          <w:iCs/>
        </w:rPr>
        <w:t>, BI</w:t>
      </w:r>
      <w:r>
        <w:t>).</w:t>
      </w:r>
    </w:p>
    <w:p w14:paraId="4D82826B" w14:textId="795A1605" w:rsidR="00B07732" w:rsidRPr="00B07732" w:rsidRDefault="00B07732" w:rsidP="00B07732">
      <w:pPr>
        <w:pStyle w:val="VVKT"/>
        <w:rPr>
          <w:rFonts w:eastAsia="Arial"/>
          <w:b/>
          <w:sz w:val="28"/>
        </w:rPr>
      </w:pPr>
      <w:r w:rsidRPr="00145FA0">
        <w:t>Analizė atlikta iš PSDF biudžeto perspektyvos, įtraukti tiesiogiai su sveikatos sistema susiję kaštai. Tai atitinka teisės aktuose nustatytus paraiškos rengimo taisyklių reikalavimus.</w:t>
      </w:r>
      <w:r>
        <w:t xml:space="preserve"> </w:t>
      </w:r>
      <w:r w:rsidRPr="00145FA0">
        <w:t xml:space="preserve">Analizėje taikoma </w:t>
      </w:r>
      <w:r w:rsidR="0068018C">
        <w:t>***</w:t>
      </w:r>
      <w:r w:rsidRPr="00145FA0">
        <w:t xml:space="preserve"> metų laiko perspektyva. Tai iš esmės apima viso gyvenimo laiko perspektyvą ir yra pakankama įtraukiant su gyd</w:t>
      </w:r>
      <w:r>
        <w:t>y</w:t>
      </w:r>
      <w:r w:rsidRPr="00145FA0">
        <w:t xml:space="preserve">mu susijusius kaštus ir </w:t>
      </w:r>
      <w:r>
        <w:t xml:space="preserve">apskaičiuojant </w:t>
      </w:r>
      <w:r w:rsidRPr="00145FA0">
        <w:t xml:space="preserve">gaunamą sveikatai sukuriamą naudą. Pasirinkta laiko perspektyva yra </w:t>
      </w:r>
      <w:r w:rsidRPr="00145FA0">
        <w:rPr>
          <w:iCs/>
        </w:rPr>
        <w:t xml:space="preserve">tinkama. </w:t>
      </w:r>
    </w:p>
    <w:p w14:paraId="61C14666" w14:textId="2363FA35" w:rsidR="00B07732" w:rsidRDefault="00B07732" w:rsidP="00B07732">
      <w:pPr>
        <w:pStyle w:val="VVKT"/>
        <w:rPr>
          <w:rFonts w:eastAsia="Arial"/>
        </w:rPr>
      </w:pPr>
      <w:r>
        <w:rPr>
          <w:rFonts w:eastAsia="Arial"/>
        </w:rPr>
        <w:t xml:space="preserve">Ekonominėje analizėje naudojama ilgesnė laiko perspektyva, besitęsianti po klinikinio tyrimo stebėsenos pabaigos, todėl taikomi duomenų ekstrapoliacijos metodai. </w:t>
      </w:r>
    </w:p>
    <w:p w14:paraId="385AD3A6" w14:textId="706D419A" w:rsidR="00B07732" w:rsidRDefault="00B07732" w:rsidP="00171B94">
      <w:pPr>
        <w:pStyle w:val="VVKT"/>
        <w:rPr>
          <w:rFonts w:eastAsia="Arial"/>
        </w:rPr>
      </w:pPr>
      <w:r w:rsidRPr="00B07732">
        <w:rPr>
          <w:rFonts w:eastAsia="Arial"/>
        </w:rPr>
        <w:lastRenderedPageBreak/>
        <w:t>Pareiškėjo taikomos prielaidos, vertinant efektyvumo skirtumus tarp siūlomo ir palyginamojo gydymo ilgajame laikotarpyje yra netinkamai pagrįstos.</w:t>
      </w:r>
      <w:r>
        <w:rPr>
          <w:rFonts w:eastAsia="Arial"/>
        </w:rPr>
        <w:t xml:space="preserve"> Tarnybos nuomone, modeliuojamas BI skirtumas yra neapibrėžtas – šį neapibrėžtumą iš esmės lemia klinikiniame tyrime </w:t>
      </w:r>
      <w:proofErr w:type="spellStart"/>
      <w:r>
        <w:rPr>
          <w:rFonts w:eastAsia="Arial"/>
        </w:rPr>
        <w:t>PROfound</w:t>
      </w:r>
      <w:proofErr w:type="spellEnd"/>
      <w:r>
        <w:rPr>
          <w:rFonts w:eastAsia="Arial"/>
        </w:rPr>
        <w:t xml:space="preserve"> taikytas </w:t>
      </w:r>
      <w:r w:rsidR="006B55D7">
        <w:rPr>
          <w:rFonts w:eastAsia="Arial"/>
        </w:rPr>
        <w:t>********</w:t>
      </w:r>
      <w:r>
        <w:rPr>
          <w:rFonts w:eastAsia="Arial"/>
        </w:rPr>
        <w:t xml:space="preserve">, kurio įtaka BI rezultatams buvo bandoma eliminuoti atliekant duomenų korekciją. Po korekcijos gauti palyginamojo gydymo BI rezultatai pasižymi neapibrėžtumu, plačiais rizikos santykio pasikliautinaisiais intervalais, maža populiacijos, kuriai taikytas kryžminis perėjimas imtimi. Taip pat nėra iki galo pagrįstas </w:t>
      </w:r>
      <w:r w:rsidR="00171B94">
        <w:rPr>
          <w:rFonts w:eastAsia="Arial"/>
        </w:rPr>
        <w:t xml:space="preserve">BI parametrinių skirstinių pasirinkimas, kuris lemia tikėtiną olaparibo BI klinikinės baigties pervertinimą. </w:t>
      </w:r>
      <w:r w:rsidR="00171B94" w:rsidRPr="00171B94">
        <w:rPr>
          <w:rFonts w:eastAsia="Arial"/>
        </w:rPr>
        <w:t>Tarnybos nuomone, modeliuojamas BI daro labai didelę įtaką analizės rezultatui, todėl minėti BI neapibrėžtumai lemia visos analizės rezultato neapibrėžtumą.</w:t>
      </w:r>
    </w:p>
    <w:p w14:paraId="23CC2303" w14:textId="6967F0D2" w:rsidR="009916D6" w:rsidRDefault="009916D6" w:rsidP="00171B94">
      <w:pPr>
        <w:pStyle w:val="VVKT"/>
      </w:pPr>
      <w:r>
        <w:t xml:space="preserve">Poveikis sveikatai analizėje vertinamas apskaičiuojant kokybiškus gyvenimo metus (QALYs). Apskaičiuojant QALY buvo naudojamos gyvenimo kokybės koeficientų reikšmės, gautos atlikus </w:t>
      </w:r>
      <w:proofErr w:type="spellStart"/>
      <w:r>
        <w:t>PROfound</w:t>
      </w:r>
      <w:proofErr w:type="spellEnd"/>
      <w:r>
        <w:t xml:space="preserve"> klinikinį tyrimą, kurį atliekant buvo pildomas</w:t>
      </w:r>
      <w:r w:rsidRPr="000A0EE5">
        <w:t xml:space="preserve"> EQ-5D-5L </w:t>
      </w:r>
      <w:r>
        <w:t>klausimynas.</w:t>
      </w:r>
    </w:p>
    <w:p w14:paraId="2854D324" w14:textId="79239BC0" w:rsidR="009916D6" w:rsidRDefault="009916D6" w:rsidP="009916D6">
      <w:pPr>
        <w:pStyle w:val="VVKT"/>
      </w:pPr>
      <w:r>
        <w:t>Į ekonominę analizę įtraukiami vaistinių preparatų įsigijimo, nepageidaujamų reiškinių valdymo, vaistinių preparatų administravimo (suleidimo), s</w:t>
      </w:r>
      <w:r w:rsidRPr="009916D6">
        <w:t>veikatos priežiūros paslaugų kaštai</w:t>
      </w:r>
      <w:r>
        <w:t xml:space="preserve">. </w:t>
      </w:r>
      <w:r w:rsidRPr="009916D6">
        <w:t>Dozavimas ir gydymo trukmė ekonominėje analizėje atitinka klinikiniuose įrodymuose pateiktą informaciją.</w:t>
      </w:r>
    </w:p>
    <w:p w14:paraId="1DF142AB" w14:textId="6918E9B8" w:rsidR="009916D6" w:rsidRDefault="009916D6" w:rsidP="009916D6">
      <w:pPr>
        <w:pStyle w:val="VVKT"/>
      </w:pPr>
      <w:r>
        <w:t xml:space="preserve">Atsižvelgiant į klinikinės vertinimo dalies išvadą, esant nesiskiriančiam palyginamajam efektyvumui, atliekant ekonominį vertinimą yra vertinama tik kaštų naudingumo analizės kaštų skaičiavimo dalis. Perskaičiuodama analizės rezultatus Tarnyba atnaujino vaistinių preparatų įsigijimo, nepageidaujamų reiškinių valdymo, sveikatos priežiūros paslaugų įkainius. Šio analizės rezultatas rodo, kad </w:t>
      </w:r>
      <w:r w:rsidRPr="009916D6">
        <w:t xml:space="preserve">gydymo </w:t>
      </w:r>
      <w:r>
        <w:t>olaparibu</w:t>
      </w:r>
      <w:r w:rsidRPr="009916D6">
        <w:t xml:space="preserve"> kaštai yra didesni esant iš esmės nesiskiriančiam palyginamajam efektyvumui, netaikant PGS, lyginant su įprasta klinikine praktika</w:t>
      </w:r>
      <w:r>
        <w:t xml:space="preserve">. </w:t>
      </w:r>
    </w:p>
    <w:bookmarkEnd w:id="0"/>
    <w:p w14:paraId="0CFF55DB" w14:textId="79845415" w:rsidR="00C62B36" w:rsidRPr="009916D6" w:rsidRDefault="00C62B36" w:rsidP="009916D6">
      <w:pPr>
        <w:tabs>
          <w:tab w:val="left" w:pos="284"/>
        </w:tabs>
        <w:rPr>
          <w:bCs/>
          <w:i/>
          <w:caps/>
          <w:sz w:val="22"/>
          <w:szCs w:val="22"/>
        </w:rPr>
      </w:pPr>
    </w:p>
    <w:p w14:paraId="3A8D662F" w14:textId="77777777" w:rsidR="0035172D" w:rsidRPr="00E33EFF" w:rsidRDefault="0035172D" w:rsidP="00A93AA6">
      <w:pPr>
        <w:tabs>
          <w:tab w:val="left" w:pos="426"/>
        </w:tabs>
        <w:rPr>
          <w:b/>
          <w:lang w:eastAsia="lt-LT"/>
        </w:rPr>
      </w:pPr>
      <w:r w:rsidRPr="00E33EFF">
        <w:rPr>
          <w:b/>
          <w:lang w:eastAsia="lt-LT"/>
        </w:rPr>
        <w:t>Ekonominės analizės rezultatas</w:t>
      </w:r>
    </w:p>
    <w:p w14:paraId="5D95F8AE" w14:textId="77777777" w:rsidR="009E44AE" w:rsidRDefault="009E44AE" w:rsidP="00A93AA6">
      <w:pPr>
        <w:tabs>
          <w:tab w:val="left" w:pos="426"/>
        </w:tabs>
        <w:rPr>
          <w:b/>
          <w:lang w:eastAsia="lt-LT"/>
        </w:rPr>
      </w:pPr>
    </w:p>
    <w:tbl>
      <w:tblPr>
        <w:tblStyle w:val="TableGrid"/>
        <w:tblW w:w="9908"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97"/>
        <w:gridCol w:w="2148"/>
        <w:gridCol w:w="2340"/>
        <w:gridCol w:w="2723"/>
      </w:tblGrid>
      <w:tr w:rsidR="009916D6" w:rsidRPr="00145FA0" w14:paraId="354B88A7" w14:textId="77777777" w:rsidTr="006B4F60">
        <w:trPr>
          <w:trHeight w:val="364"/>
          <w:jc w:val="center"/>
        </w:trPr>
        <w:tc>
          <w:tcPr>
            <w:tcW w:w="9908" w:type="dxa"/>
            <w:gridSpan w:val="4"/>
            <w:tcBorders>
              <w:top w:val="single" w:sz="12" w:space="0" w:color="auto"/>
              <w:left w:val="single" w:sz="18" w:space="0" w:color="auto"/>
              <w:bottom w:val="single" w:sz="4" w:space="0" w:color="auto"/>
              <w:right w:val="single" w:sz="18" w:space="0" w:color="auto"/>
            </w:tcBorders>
            <w:vAlign w:val="center"/>
          </w:tcPr>
          <w:p w14:paraId="026D470E" w14:textId="77777777" w:rsidR="009916D6" w:rsidRPr="00145FA0" w:rsidRDefault="009916D6" w:rsidP="006B4F60">
            <w:pPr>
              <w:tabs>
                <w:tab w:val="left" w:pos="567"/>
              </w:tabs>
              <w:jc w:val="center"/>
              <w:rPr>
                <w:b/>
                <w:i/>
                <w:iCs/>
                <w:color w:val="00B050"/>
                <w:sz w:val="22"/>
                <w:szCs w:val="22"/>
                <w:lang w:eastAsia="lt-LT"/>
              </w:rPr>
            </w:pPr>
            <w:r w:rsidRPr="00145FA0">
              <w:rPr>
                <w:b/>
                <w:lang w:eastAsia="lt-LT"/>
              </w:rPr>
              <w:t>Kaštai</w:t>
            </w:r>
            <w:r>
              <w:rPr>
                <w:b/>
                <w:lang w:eastAsia="lt-LT"/>
              </w:rPr>
              <w:t>, Eur</w:t>
            </w:r>
          </w:p>
        </w:tc>
      </w:tr>
      <w:tr w:rsidR="009916D6" w:rsidRPr="00145FA0" w14:paraId="788B312E" w14:textId="77777777" w:rsidTr="006B4F60">
        <w:trPr>
          <w:jc w:val="center"/>
        </w:trPr>
        <w:tc>
          <w:tcPr>
            <w:tcW w:w="2697" w:type="dxa"/>
            <w:tcBorders>
              <w:top w:val="single" w:sz="4" w:space="0" w:color="auto"/>
              <w:left w:val="single" w:sz="18" w:space="0" w:color="auto"/>
              <w:bottom w:val="single" w:sz="4" w:space="0" w:color="auto"/>
            </w:tcBorders>
          </w:tcPr>
          <w:p w14:paraId="2DC63AB9" w14:textId="77777777" w:rsidR="009916D6" w:rsidRPr="00145FA0" w:rsidRDefault="009916D6" w:rsidP="006B4F60">
            <w:pPr>
              <w:tabs>
                <w:tab w:val="left" w:pos="567"/>
              </w:tabs>
              <w:jc w:val="both"/>
              <w:rPr>
                <w:color w:val="00B050"/>
                <w:lang w:eastAsia="lt-LT"/>
              </w:rPr>
            </w:pPr>
          </w:p>
        </w:tc>
        <w:tc>
          <w:tcPr>
            <w:tcW w:w="2148" w:type="dxa"/>
            <w:tcBorders>
              <w:top w:val="single" w:sz="4" w:space="0" w:color="auto"/>
              <w:bottom w:val="single" w:sz="4" w:space="0" w:color="auto"/>
            </w:tcBorders>
            <w:vAlign w:val="center"/>
          </w:tcPr>
          <w:p w14:paraId="28C7A3B3" w14:textId="77777777" w:rsidR="009916D6" w:rsidRPr="00145FA0" w:rsidRDefault="009916D6" w:rsidP="006B4F60">
            <w:pPr>
              <w:tabs>
                <w:tab w:val="left" w:pos="567"/>
              </w:tabs>
              <w:jc w:val="center"/>
              <w:rPr>
                <w:i/>
                <w:iCs/>
                <w:lang w:eastAsia="lt-LT"/>
              </w:rPr>
            </w:pPr>
            <w:r>
              <w:rPr>
                <w:i/>
                <w:iCs/>
                <w:lang w:eastAsia="lt-LT"/>
              </w:rPr>
              <w:t>Olaparibas</w:t>
            </w:r>
          </w:p>
        </w:tc>
        <w:tc>
          <w:tcPr>
            <w:tcW w:w="2340" w:type="dxa"/>
            <w:tcBorders>
              <w:top w:val="single" w:sz="4" w:space="0" w:color="auto"/>
              <w:bottom w:val="single" w:sz="4" w:space="0" w:color="auto"/>
            </w:tcBorders>
            <w:vAlign w:val="center"/>
          </w:tcPr>
          <w:p w14:paraId="0DDFD15D" w14:textId="77777777" w:rsidR="009916D6" w:rsidRPr="003177EC" w:rsidRDefault="009916D6" w:rsidP="006B4F60">
            <w:pPr>
              <w:tabs>
                <w:tab w:val="left" w:pos="567"/>
              </w:tabs>
              <w:jc w:val="center"/>
              <w:rPr>
                <w:i/>
                <w:iCs/>
                <w:lang w:val="en-US" w:eastAsia="lt-LT"/>
              </w:rPr>
            </w:pPr>
            <w:r w:rsidRPr="00145FA0">
              <w:rPr>
                <w:i/>
                <w:iCs/>
                <w:lang w:eastAsia="lt-LT"/>
              </w:rPr>
              <w:t xml:space="preserve">Palyginamasis </w:t>
            </w:r>
            <w:r>
              <w:rPr>
                <w:i/>
                <w:iCs/>
                <w:lang w:eastAsia="lt-LT"/>
              </w:rPr>
              <w:t>gydymas</w:t>
            </w:r>
          </w:p>
        </w:tc>
        <w:tc>
          <w:tcPr>
            <w:tcW w:w="2723" w:type="dxa"/>
            <w:tcBorders>
              <w:top w:val="single" w:sz="4" w:space="0" w:color="auto"/>
              <w:bottom w:val="single" w:sz="4" w:space="0" w:color="auto"/>
              <w:right w:val="single" w:sz="18" w:space="0" w:color="auto"/>
            </w:tcBorders>
            <w:vAlign w:val="center"/>
          </w:tcPr>
          <w:p w14:paraId="5E6F8D43" w14:textId="77777777" w:rsidR="009916D6" w:rsidRPr="00145FA0" w:rsidRDefault="009916D6" w:rsidP="006B4F60">
            <w:pPr>
              <w:tabs>
                <w:tab w:val="left" w:pos="567"/>
              </w:tabs>
              <w:jc w:val="center"/>
              <w:rPr>
                <w:i/>
                <w:lang w:eastAsia="lt-LT"/>
              </w:rPr>
            </w:pPr>
            <w:r w:rsidRPr="00145FA0">
              <w:rPr>
                <w:i/>
                <w:lang w:eastAsia="lt-LT"/>
              </w:rPr>
              <w:t>Skirtumas</w:t>
            </w:r>
          </w:p>
        </w:tc>
      </w:tr>
      <w:tr w:rsidR="009916D6" w:rsidRPr="00145FA0" w14:paraId="28CBD8D1" w14:textId="77777777" w:rsidTr="006B4F60">
        <w:trPr>
          <w:jc w:val="center"/>
        </w:trPr>
        <w:tc>
          <w:tcPr>
            <w:tcW w:w="2697" w:type="dxa"/>
            <w:tcBorders>
              <w:top w:val="single" w:sz="4" w:space="0" w:color="auto"/>
              <w:left w:val="single" w:sz="18" w:space="0" w:color="auto"/>
              <w:bottom w:val="single" w:sz="4" w:space="0" w:color="auto"/>
            </w:tcBorders>
            <w:vAlign w:val="center"/>
          </w:tcPr>
          <w:p w14:paraId="0EEABCDB" w14:textId="77777777" w:rsidR="009916D6" w:rsidRPr="001827EA" w:rsidRDefault="009916D6" w:rsidP="006B4F60">
            <w:pPr>
              <w:tabs>
                <w:tab w:val="left" w:pos="567"/>
              </w:tabs>
              <w:rPr>
                <w:iCs/>
                <w:color w:val="000000"/>
                <w:lang w:eastAsia="lt-LT"/>
              </w:rPr>
            </w:pPr>
            <w:r w:rsidRPr="001827EA">
              <w:rPr>
                <w:iCs/>
                <w:color w:val="000000"/>
                <w:lang w:eastAsia="lt-LT"/>
              </w:rPr>
              <w:t>Vaistinių preparatų įsigijimo kaštai</w:t>
            </w:r>
          </w:p>
        </w:tc>
        <w:tc>
          <w:tcPr>
            <w:tcW w:w="2148" w:type="dxa"/>
            <w:tcBorders>
              <w:top w:val="single" w:sz="4" w:space="0" w:color="auto"/>
              <w:bottom w:val="single" w:sz="4" w:space="0" w:color="auto"/>
            </w:tcBorders>
            <w:vAlign w:val="center"/>
          </w:tcPr>
          <w:p w14:paraId="5E5BDCDF" w14:textId="658B1A0C" w:rsidR="009916D6" w:rsidRPr="00C81311" w:rsidRDefault="007F4786" w:rsidP="006B4F60">
            <w:pPr>
              <w:tabs>
                <w:tab w:val="left" w:pos="567"/>
              </w:tabs>
              <w:jc w:val="center"/>
              <w:rPr>
                <w:i/>
                <w:iCs/>
                <w:lang w:eastAsia="lt-LT"/>
              </w:rPr>
            </w:pPr>
            <w:r w:rsidRPr="00C81311">
              <w:t>***</w:t>
            </w:r>
          </w:p>
        </w:tc>
        <w:tc>
          <w:tcPr>
            <w:tcW w:w="2340" w:type="dxa"/>
            <w:tcBorders>
              <w:top w:val="single" w:sz="4" w:space="0" w:color="auto"/>
              <w:bottom w:val="single" w:sz="4" w:space="0" w:color="auto"/>
            </w:tcBorders>
            <w:vAlign w:val="center"/>
          </w:tcPr>
          <w:p w14:paraId="05354383" w14:textId="2AC1D479" w:rsidR="009916D6" w:rsidRPr="00C81311" w:rsidRDefault="007F4786" w:rsidP="006B4F60">
            <w:pPr>
              <w:tabs>
                <w:tab w:val="left" w:pos="567"/>
              </w:tabs>
              <w:jc w:val="center"/>
              <w:rPr>
                <w:i/>
                <w:iCs/>
                <w:lang w:eastAsia="lt-LT"/>
              </w:rPr>
            </w:pPr>
            <w:r w:rsidRPr="00C81311">
              <w:t>***</w:t>
            </w:r>
          </w:p>
        </w:tc>
        <w:tc>
          <w:tcPr>
            <w:tcW w:w="2723" w:type="dxa"/>
            <w:tcBorders>
              <w:top w:val="single" w:sz="4" w:space="0" w:color="auto"/>
              <w:bottom w:val="single" w:sz="4" w:space="0" w:color="auto"/>
              <w:right w:val="single" w:sz="18" w:space="0" w:color="auto"/>
            </w:tcBorders>
            <w:vAlign w:val="center"/>
          </w:tcPr>
          <w:p w14:paraId="676BACAA" w14:textId="20C3F2E1" w:rsidR="009916D6" w:rsidRPr="00C81311" w:rsidRDefault="00B36CD5" w:rsidP="006B4F60">
            <w:pPr>
              <w:tabs>
                <w:tab w:val="left" w:pos="567"/>
              </w:tabs>
              <w:jc w:val="center"/>
              <w:rPr>
                <w:lang w:eastAsia="lt-LT"/>
              </w:rPr>
            </w:pPr>
            <w:r w:rsidRPr="00C81311">
              <w:t>***</w:t>
            </w:r>
          </w:p>
        </w:tc>
      </w:tr>
      <w:tr w:rsidR="009916D6" w:rsidRPr="00145FA0" w14:paraId="0A9FA725" w14:textId="77777777" w:rsidTr="006B4F60">
        <w:trPr>
          <w:jc w:val="center"/>
        </w:trPr>
        <w:tc>
          <w:tcPr>
            <w:tcW w:w="2697" w:type="dxa"/>
            <w:tcBorders>
              <w:top w:val="single" w:sz="4" w:space="0" w:color="auto"/>
              <w:left w:val="single" w:sz="18" w:space="0" w:color="auto"/>
              <w:bottom w:val="single" w:sz="4" w:space="0" w:color="auto"/>
            </w:tcBorders>
            <w:vAlign w:val="center"/>
          </w:tcPr>
          <w:p w14:paraId="2F498259" w14:textId="77777777" w:rsidR="009916D6" w:rsidRPr="001827EA" w:rsidRDefault="009916D6" w:rsidP="006B4F60">
            <w:pPr>
              <w:tabs>
                <w:tab w:val="left" w:pos="567"/>
              </w:tabs>
              <w:rPr>
                <w:iCs/>
                <w:color w:val="00B050"/>
                <w:lang w:eastAsia="lt-LT"/>
              </w:rPr>
            </w:pPr>
            <w:r w:rsidRPr="001827EA">
              <w:rPr>
                <w:iCs/>
                <w:color w:val="000000"/>
                <w:lang w:eastAsia="lt-LT"/>
              </w:rPr>
              <w:t>Nepageidaujamų reiškinių valdymo kaštai</w:t>
            </w:r>
          </w:p>
        </w:tc>
        <w:tc>
          <w:tcPr>
            <w:tcW w:w="2148" w:type="dxa"/>
            <w:tcBorders>
              <w:top w:val="single" w:sz="4" w:space="0" w:color="auto"/>
              <w:bottom w:val="single" w:sz="4" w:space="0" w:color="auto"/>
            </w:tcBorders>
            <w:vAlign w:val="center"/>
          </w:tcPr>
          <w:p w14:paraId="321A618E" w14:textId="3B74531B" w:rsidR="009916D6" w:rsidRPr="00C81311" w:rsidRDefault="007F4786" w:rsidP="006B4F60">
            <w:pPr>
              <w:tabs>
                <w:tab w:val="left" w:pos="567"/>
              </w:tabs>
              <w:jc w:val="center"/>
              <w:rPr>
                <w:i/>
                <w:iCs/>
                <w:lang w:eastAsia="lt-LT"/>
              </w:rPr>
            </w:pPr>
            <w:r w:rsidRPr="00C81311">
              <w:t>***</w:t>
            </w:r>
          </w:p>
        </w:tc>
        <w:tc>
          <w:tcPr>
            <w:tcW w:w="2340" w:type="dxa"/>
            <w:tcBorders>
              <w:top w:val="single" w:sz="4" w:space="0" w:color="auto"/>
              <w:bottom w:val="single" w:sz="4" w:space="0" w:color="auto"/>
            </w:tcBorders>
            <w:vAlign w:val="center"/>
          </w:tcPr>
          <w:p w14:paraId="391D5A88" w14:textId="7BC38175" w:rsidR="009916D6" w:rsidRPr="00C81311" w:rsidRDefault="007F4786" w:rsidP="006B4F60">
            <w:pPr>
              <w:tabs>
                <w:tab w:val="left" w:pos="567"/>
              </w:tabs>
              <w:jc w:val="center"/>
              <w:rPr>
                <w:i/>
                <w:iCs/>
                <w:lang w:eastAsia="lt-LT"/>
              </w:rPr>
            </w:pPr>
            <w:r w:rsidRPr="00C81311">
              <w:t>***</w:t>
            </w:r>
          </w:p>
        </w:tc>
        <w:tc>
          <w:tcPr>
            <w:tcW w:w="2723" w:type="dxa"/>
            <w:tcBorders>
              <w:top w:val="single" w:sz="4" w:space="0" w:color="auto"/>
              <w:bottom w:val="single" w:sz="4" w:space="0" w:color="auto"/>
              <w:right w:val="single" w:sz="18" w:space="0" w:color="auto"/>
            </w:tcBorders>
            <w:vAlign w:val="center"/>
          </w:tcPr>
          <w:p w14:paraId="3626D3FF" w14:textId="0E74DE95" w:rsidR="009916D6" w:rsidRPr="00C81311" w:rsidRDefault="00B36CD5" w:rsidP="006B4F60">
            <w:pPr>
              <w:tabs>
                <w:tab w:val="left" w:pos="567"/>
              </w:tabs>
              <w:jc w:val="center"/>
              <w:rPr>
                <w:i/>
                <w:iCs/>
                <w:lang w:eastAsia="lt-LT"/>
              </w:rPr>
            </w:pPr>
            <w:r w:rsidRPr="00C81311">
              <w:t>***</w:t>
            </w:r>
          </w:p>
        </w:tc>
      </w:tr>
      <w:tr w:rsidR="009916D6" w:rsidRPr="00145FA0" w14:paraId="05D32F2B" w14:textId="77777777" w:rsidTr="006B4F60">
        <w:trPr>
          <w:jc w:val="center"/>
        </w:trPr>
        <w:tc>
          <w:tcPr>
            <w:tcW w:w="2697" w:type="dxa"/>
            <w:tcBorders>
              <w:top w:val="single" w:sz="4" w:space="0" w:color="auto"/>
              <w:left w:val="single" w:sz="18" w:space="0" w:color="auto"/>
              <w:bottom w:val="single" w:sz="12" w:space="0" w:color="auto"/>
            </w:tcBorders>
            <w:vAlign w:val="center"/>
          </w:tcPr>
          <w:p w14:paraId="29DBF130" w14:textId="77777777" w:rsidR="009916D6" w:rsidRPr="001827EA" w:rsidRDefault="009916D6" w:rsidP="006B4F60">
            <w:pPr>
              <w:tabs>
                <w:tab w:val="left" w:pos="567"/>
              </w:tabs>
              <w:rPr>
                <w:iCs/>
                <w:color w:val="000000"/>
                <w:lang w:eastAsia="lt-LT"/>
              </w:rPr>
            </w:pPr>
            <w:r w:rsidRPr="001827EA">
              <w:rPr>
                <w:iCs/>
                <w:color w:val="000000"/>
                <w:lang w:eastAsia="lt-LT"/>
              </w:rPr>
              <w:t>Vaistų administravimo ir gydymo kaštai</w:t>
            </w:r>
          </w:p>
        </w:tc>
        <w:tc>
          <w:tcPr>
            <w:tcW w:w="2148" w:type="dxa"/>
            <w:tcBorders>
              <w:top w:val="single" w:sz="4" w:space="0" w:color="auto"/>
              <w:bottom w:val="single" w:sz="12" w:space="0" w:color="auto"/>
            </w:tcBorders>
            <w:vAlign w:val="center"/>
          </w:tcPr>
          <w:p w14:paraId="75C0817F" w14:textId="2C27C100" w:rsidR="009916D6" w:rsidRPr="00C81311" w:rsidRDefault="007F4786" w:rsidP="006B4F60">
            <w:pPr>
              <w:tabs>
                <w:tab w:val="left" w:pos="567"/>
              </w:tabs>
              <w:jc w:val="center"/>
              <w:rPr>
                <w:i/>
                <w:iCs/>
                <w:lang w:eastAsia="lt-LT"/>
              </w:rPr>
            </w:pPr>
            <w:r w:rsidRPr="00C81311">
              <w:t>***</w:t>
            </w:r>
          </w:p>
        </w:tc>
        <w:tc>
          <w:tcPr>
            <w:tcW w:w="2340" w:type="dxa"/>
            <w:tcBorders>
              <w:top w:val="single" w:sz="4" w:space="0" w:color="auto"/>
              <w:bottom w:val="single" w:sz="12" w:space="0" w:color="auto"/>
            </w:tcBorders>
            <w:vAlign w:val="center"/>
          </w:tcPr>
          <w:p w14:paraId="7534D4C7" w14:textId="0499F068" w:rsidR="009916D6" w:rsidRPr="00C81311" w:rsidRDefault="007F4786" w:rsidP="006B4F60">
            <w:pPr>
              <w:tabs>
                <w:tab w:val="left" w:pos="567"/>
              </w:tabs>
              <w:jc w:val="center"/>
              <w:rPr>
                <w:i/>
                <w:iCs/>
                <w:lang w:eastAsia="lt-LT"/>
              </w:rPr>
            </w:pPr>
            <w:r w:rsidRPr="00C81311">
              <w:t>***</w:t>
            </w:r>
          </w:p>
        </w:tc>
        <w:tc>
          <w:tcPr>
            <w:tcW w:w="2723" w:type="dxa"/>
            <w:tcBorders>
              <w:top w:val="single" w:sz="4" w:space="0" w:color="auto"/>
              <w:bottom w:val="single" w:sz="12" w:space="0" w:color="auto"/>
              <w:right w:val="single" w:sz="18" w:space="0" w:color="auto"/>
            </w:tcBorders>
            <w:vAlign w:val="center"/>
          </w:tcPr>
          <w:p w14:paraId="06D3C903" w14:textId="612EA83C" w:rsidR="009916D6" w:rsidRPr="00C81311" w:rsidRDefault="00B36CD5" w:rsidP="006B4F60">
            <w:pPr>
              <w:tabs>
                <w:tab w:val="left" w:pos="567"/>
              </w:tabs>
              <w:jc w:val="center"/>
              <w:rPr>
                <w:i/>
                <w:iCs/>
                <w:lang w:eastAsia="lt-LT"/>
              </w:rPr>
            </w:pPr>
            <w:r w:rsidRPr="00C81311">
              <w:t>***</w:t>
            </w:r>
          </w:p>
        </w:tc>
      </w:tr>
      <w:tr w:rsidR="009916D6" w:rsidRPr="00145FA0" w14:paraId="569451C0" w14:textId="77777777" w:rsidTr="009916D6">
        <w:trPr>
          <w:trHeight w:val="339"/>
          <w:jc w:val="center"/>
        </w:trPr>
        <w:tc>
          <w:tcPr>
            <w:tcW w:w="2697" w:type="dxa"/>
            <w:tcBorders>
              <w:top w:val="single" w:sz="12" w:space="0" w:color="auto"/>
              <w:left w:val="single" w:sz="18" w:space="0" w:color="auto"/>
              <w:bottom w:val="single" w:sz="18" w:space="0" w:color="auto"/>
            </w:tcBorders>
          </w:tcPr>
          <w:p w14:paraId="11C52525" w14:textId="77777777" w:rsidR="009916D6" w:rsidRPr="001827EA" w:rsidRDefault="009916D6" w:rsidP="006B4F60">
            <w:pPr>
              <w:tabs>
                <w:tab w:val="left" w:pos="567"/>
              </w:tabs>
              <w:jc w:val="right"/>
              <w:rPr>
                <w:b/>
                <w:bCs/>
                <w:iCs/>
                <w:lang w:eastAsia="lt-LT"/>
              </w:rPr>
            </w:pPr>
            <w:r w:rsidRPr="001827EA">
              <w:rPr>
                <w:b/>
                <w:bCs/>
                <w:iCs/>
                <w:lang w:eastAsia="lt-LT"/>
              </w:rPr>
              <w:t>VISO</w:t>
            </w:r>
          </w:p>
        </w:tc>
        <w:tc>
          <w:tcPr>
            <w:tcW w:w="2148" w:type="dxa"/>
            <w:tcBorders>
              <w:top w:val="single" w:sz="12" w:space="0" w:color="auto"/>
              <w:bottom w:val="single" w:sz="18" w:space="0" w:color="auto"/>
            </w:tcBorders>
            <w:vAlign w:val="center"/>
          </w:tcPr>
          <w:p w14:paraId="532EA979" w14:textId="55F50837" w:rsidR="009916D6" w:rsidRPr="00C81311" w:rsidRDefault="007F4786" w:rsidP="006B4F60">
            <w:pPr>
              <w:tabs>
                <w:tab w:val="left" w:pos="567"/>
              </w:tabs>
              <w:jc w:val="center"/>
              <w:rPr>
                <w:b/>
                <w:bCs/>
                <w:i/>
                <w:iCs/>
                <w:lang w:eastAsia="lt-LT"/>
              </w:rPr>
            </w:pPr>
            <w:r w:rsidRPr="00C81311">
              <w:rPr>
                <w:b/>
                <w:bCs/>
              </w:rPr>
              <w:t>***</w:t>
            </w:r>
          </w:p>
        </w:tc>
        <w:tc>
          <w:tcPr>
            <w:tcW w:w="2340" w:type="dxa"/>
            <w:tcBorders>
              <w:top w:val="single" w:sz="12" w:space="0" w:color="auto"/>
              <w:bottom w:val="single" w:sz="18" w:space="0" w:color="auto"/>
            </w:tcBorders>
            <w:vAlign w:val="center"/>
          </w:tcPr>
          <w:p w14:paraId="4028672A" w14:textId="0B233075" w:rsidR="009916D6" w:rsidRPr="00C81311" w:rsidRDefault="00B36CD5" w:rsidP="006B4F60">
            <w:pPr>
              <w:tabs>
                <w:tab w:val="left" w:pos="567"/>
              </w:tabs>
              <w:jc w:val="center"/>
              <w:rPr>
                <w:b/>
                <w:bCs/>
                <w:i/>
                <w:iCs/>
                <w:lang w:eastAsia="lt-LT"/>
              </w:rPr>
            </w:pPr>
            <w:r w:rsidRPr="00C81311">
              <w:rPr>
                <w:b/>
                <w:bCs/>
              </w:rPr>
              <w:t>***</w:t>
            </w:r>
          </w:p>
        </w:tc>
        <w:tc>
          <w:tcPr>
            <w:tcW w:w="2723" w:type="dxa"/>
            <w:tcBorders>
              <w:top w:val="single" w:sz="12" w:space="0" w:color="auto"/>
              <w:bottom w:val="single" w:sz="18" w:space="0" w:color="auto"/>
              <w:right w:val="single" w:sz="18" w:space="0" w:color="auto"/>
            </w:tcBorders>
            <w:vAlign w:val="center"/>
          </w:tcPr>
          <w:p w14:paraId="690A98C9" w14:textId="45A746E4" w:rsidR="009916D6" w:rsidRPr="00C81311" w:rsidRDefault="00B36CD5" w:rsidP="006B4F60">
            <w:pPr>
              <w:tabs>
                <w:tab w:val="left" w:pos="567"/>
              </w:tabs>
              <w:jc w:val="center"/>
              <w:rPr>
                <w:b/>
                <w:bCs/>
                <w:i/>
                <w:iCs/>
                <w:lang w:eastAsia="lt-LT"/>
              </w:rPr>
            </w:pPr>
            <w:r w:rsidRPr="00C81311">
              <w:rPr>
                <w:b/>
                <w:bCs/>
              </w:rPr>
              <w:t>***</w:t>
            </w:r>
          </w:p>
        </w:tc>
      </w:tr>
    </w:tbl>
    <w:p w14:paraId="58FE46D2" w14:textId="77777777" w:rsidR="009916D6" w:rsidRDefault="009916D6" w:rsidP="00A93AA6">
      <w:pPr>
        <w:tabs>
          <w:tab w:val="left" w:pos="426"/>
        </w:tabs>
        <w:rPr>
          <w:b/>
          <w:lang w:eastAsia="lt-LT"/>
        </w:rPr>
      </w:pPr>
    </w:p>
    <w:p w14:paraId="673FD706" w14:textId="77777777" w:rsidR="0035172D" w:rsidRPr="00E33EFF" w:rsidRDefault="0035172D" w:rsidP="00A93AA6">
      <w:pPr>
        <w:tabs>
          <w:tab w:val="left" w:pos="426"/>
        </w:tabs>
        <w:rPr>
          <w:b/>
          <w:bCs/>
          <w:caps/>
        </w:rPr>
      </w:pPr>
    </w:p>
    <w:p w14:paraId="1728EF07" w14:textId="77777777" w:rsidR="00C62B36" w:rsidRPr="00E33EFF" w:rsidRDefault="00C62B36" w:rsidP="00CC09D4">
      <w:pPr>
        <w:pStyle w:val="ListParagraph"/>
        <w:numPr>
          <w:ilvl w:val="0"/>
          <w:numId w:val="12"/>
        </w:numPr>
        <w:tabs>
          <w:tab w:val="left" w:pos="567"/>
        </w:tabs>
        <w:ind w:hanging="720"/>
        <w:rPr>
          <w:b/>
          <w:bCs/>
          <w:caps/>
        </w:rPr>
      </w:pPr>
      <w:r w:rsidRPr="00E33EFF">
        <w:rPr>
          <w:b/>
          <w:bCs/>
          <w:caps/>
        </w:rPr>
        <w:t xml:space="preserve">Pacientų organizacijų pateikti duomenys </w:t>
      </w:r>
    </w:p>
    <w:p w14:paraId="18669DF6" w14:textId="77777777" w:rsidR="00937907" w:rsidRPr="00E33EFF" w:rsidRDefault="00C81311" w:rsidP="00937907">
      <w:pPr>
        <w:spacing w:after="120"/>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EndPr>
          <w:rPr>
            <w:rStyle w:val="Style2"/>
          </w:rPr>
        </w:sdtEndPr>
        <w:sdtContent>
          <w:r w:rsidR="00937907" w:rsidRPr="00E33EFF">
            <w:rPr>
              <w:rStyle w:val="Style2"/>
              <w:rFonts w:ascii="MS Gothic" w:eastAsia="MS Gothic" w:hAnsi="MS Gothic" w:hint="eastAsia"/>
              <w:sz w:val="24"/>
            </w:rPr>
            <w:t>☐</w:t>
          </w:r>
        </w:sdtContent>
      </w:sdt>
      <w:r w:rsidR="00937907" w:rsidRPr="00E33EFF">
        <w:t xml:space="preserve"> Pacientų organizacijos pozicija pateikta. Žr. priedą.</w:t>
      </w:r>
    </w:p>
    <w:p w14:paraId="33C6A59C" w14:textId="4859F461" w:rsidR="00937907" w:rsidRPr="00E33EFF" w:rsidRDefault="00C81311" w:rsidP="00937907">
      <w:pPr>
        <w:spacing w:after="120"/>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EndPr>
          <w:rPr>
            <w:rStyle w:val="Style2"/>
          </w:rPr>
        </w:sdtEndPr>
        <w:sdtContent>
          <w:r w:rsidR="009916D6">
            <w:rPr>
              <w:rStyle w:val="Style2"/>
              <w:rFonts w:ascii="MS Gothic" w:eastAsia="MS Gothic" w:hAnsi="MS Gothic" w:hint="eastAsia"/>
              <w:sz w:val="24"/>
            </w:rPr>
            <w:t>☒</w:t>
          </w:r>
        </w:sdtContent>
      </w:sdt>
      <w:r w:rsidR="00937907" w:rsidRPr="00E33EFF">
        <w:t xml:space="preserve"> Pacientų organizacijos pozicija </w:t>
      </w:r>
      <w:r w:rsidR="00880A44" w:rsidRPr="00E33EFF">
        <w:t>ne</w:t>
      </w:r>
      <w:r w:rsidR="00937907" w:rsidRPr="00E33EFF">
        <w:t>pateikta.</w:t>
      </w:r>
    </w:p>
    <w:p w14:paraId="2A7FC0C0" w14:textId="77777777" w:rsidR="0048066C" w:rsidRDefault="0048066C" w:rsidP="00937907">
      <w:pPr>
        <w:spacing w:after="120"/>
        <w:jc w:val="both"/>
      </w:pPr>
    </w:p>
    <w:p w14:paraId="3DAEC04D" w14:textId="77777777" w:rsidR="00C62B36" w:rsidRPr="00E33EFF" w:rsidRDefault="00C62B36" w:rsidP="00CC09D4">
      <w:pPr>
        <w:pStyle w:val="ListParagraph"/>
        <w:numPr>
          <w:ilvl w:val="0"/>
          <w:numId w:val="12"/>
        </w:numPr>
        <w:tabs>
          <w:tab w:val="left" w:pos="567"/>
        </w:tabs>
        <w:ind w:hanging="720"/>
        <w:rPr>
          <w:b/>
          <w:bCs/>
          <w:caps/>
        </w:rPr>
      </w:pPr>
      <w:r w:rsidRPr="00E33EFF">
        <w:rPr>
          <w:b/>
          <w:bCs/>
          <w:caps/>
        </w:rPr>
        <w:t>Gydytojų organizacijų pateikti duomenys</w:t>
      </w:r>
    </w:p>
    <w:p w14:paraId="74142CA6" w14:textId="77777777" w:rsidR="00937907" w:rsidRPr="00E33EFF" w:rsidRDefault="00C81311" w:rsidP="00662983">
      <w:pPr>
        <w:spacing w:after="120"/>
        <w:jc w:val="both"/>
      </w:pPr>
      <w:sdt>
        <w:sdtPr>
          <w:rPr>
            <w:rStyle w:val="Style2"/>
            <w:rFonts w:ascii="MS Gothic" w:eastAsia="MS Gothic" w:hAnsi="MS Gothic"/>
            <w:sz w:val="24"/>
          </w:rPr>
          <w:id w:val="1613862788"/>
          <w15:color w:val="FFCC00"/>
          <w14:checkbox>
            <w14:checked w14:val="0"/>
            <w14:checkedState w14:val="2612" w14:font="MS Gothic"/>
            <w14:uncheckedState w14:val="2610" w14:font="MS Gothic"/>
          </w14:checkbox>
        </w:sdtPr>
        <w:sdtEndPr>
          <w:rPr>
            <w:rStyle w:val="Style2"/>
          </w:rPr>
        </w:sdtEndPr>
        <w:sdtContent>
          <w:r w:rsidR="00937907" w:rsidRPr="00E33EFF">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pateikta. </w:t>
      </w:r>
      <w:r w:rsidR="00662983" w:rsidRPr="00E33EFF">
        <w:t>Žr. priedą</w:t>
      </w:r>
      <w:r w:rsidR="00937907" w:rsidRPr="00E33EFF">
        <w:t>.</w:t>
      </w:r>
    </w:p>
    <w:p w14:paraId="4501E4F9" w14:textId="49D80C29" w:rsidR="00662983" w:rsidRPr="00E33EFF" w:rsidRDefault="00C81311" w:rsidP="00662983">
      <w:pPr>
        <w:spacing w:after="120"/>
        <w:jc w:val="both"/>
      </w:pPr>
      <w:sdt>
        <w:sdtPr>
          <w:rPr>
            <w:rStyle w:val="Style2"/>
            <w:rFonts w:ascii="MS Gothic" w:eastAsia="MS Gothic" w:hAnsi="MS Gothic"/>
            <w:sz w:val="24"/>
          </w:rPr>
          <w:id w:val="-41988141"/>
          <w15:color w:val="FFCC00"/>
          <w14:checkbox>
            <w14:checked w14:val="1"/>
            <w14:checkedState w14:val="2612" w14:font="MS Gothic"/>
            <w14:uncheckedState w14:val="2610" w14:font="MS Gothic"/>
          </w14:checkbox>
        </w:sdtPr>
        <w:sdtEndPr>
          <w:rPr>
            <w:rStyle w:val="Style2"/>
          </w:rPr>
        </w:sdtEndPr>
        <w:sdtContent>
          <w:r w:rsidR="009916D6">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w:t>
      </w:r>
      <w:r w:rsidR="00880A44" w:rsidRPr="00E33EFF">
        <w:t>ne</w:t>
      </w:r>
      <w:r w:rsidR="00937907" w:rsidRPr="00E33EFF">
        <w:t>pateikta.</w:t>
      </w:r>
    </w:p>
    <w:p w14:paraId="74BA0A48" w14:textId="77777777" w:rsidR="00A042B9" w:rsidRPr="00E33EFF" w:rsidRDefault="00A042B9" w:rsidP="00662983">
      <w:pPr>
        <w:spacing w:after="120"/>
        <w:jc w:val="both"/>
      </w:pPr>
    </w:p>
    <w:p w14:paraId="20296697" w14:textId="77777777" w:rsidR="002F0E4F" w:rsidRPr="00E33EFF" w:rsidRDefault="002F0E4F" w:rsidP="00CC09D4">
      <w:pPr>
        <w:pStyle w:val="ListParagraph"/>
        <w:numPr>
          <w:ilvl w:val="0"/>
          <w:numId w:val="12"/>
        </w:numPr>
        <w:tabs>
          <w:tab w:val="left" w:pos="567"/>
        </w:tabs>
        <w:ind w:hanging="720"/>
        <w:rPr>
          <w:b/>
          <w:bCs/>
          <w:caps/>
        </w:rPr>
      </w:pPr>
      <w:r w:rsidRPr="00E33EFF">
        <w:rPr>
          <w:b/>
          <w:bCs/>
          <w:caps/>
        </w:rPr>
        <w:t xml:space="preserve">Išvada </w:t>
      </w:r>
    </w:p>
    <w:p w14:paraId="24D67345" w14:textId="0434703C" w:rsidR="0061611B" w:rsidRPr="00E33EFF" w:rsidRDefault="0061611B" w:rsidP="0061611B">
      <w:pPr>
        <w:rPr>
          <w:i/>
          <w:color w:val="00B050"/>
          <w:szCs w:val="22"/>
        </w:rPr>
      </w:pPr>
    </w:p>
    <w:tbl>
      <w:tblPr>
        <w:tblStyle w:val="TableGrid"/>
        <w:tblW w:w="0" w:type="auto"/>
        <w:tblLook w:val="04A0" w:firstRow="1" w:lastRow="0" w:firstColumn="1" w:lastColumn="0" w:noHBand="0" w:noVBand="1"/>
      </w:tblPr>
      <w:tblGrid>
        <w:gridCol w:w="4815"/>
        <w:gridCol w:w="4814"/>
      </w:tblGrid>
      <w:tr w:rsidR="00B13D65" w:rsidRPr="00E33EFF" w14:paraId="34DD38E7" w14:textId="77777777" w:rsidTr="00C16245">
        <w:trPr>
          <w:trHeight w:val="510"/>
        </w:trPr>
        <w:tc>
          <w:tcPr>
            <w:tcW w:w="4815" w:type="dxa"/>
            <w:vAlign w:val="center"/>
          </w:tcPr>
          <w:p w14:paraId="5210EDB7" w14:textId="77777777" w:rsidR="00B13D65"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E33EFF">
              <w:rPr>
                <w:rStyle w:val="Style2"/>
                <w:rFonts w:eastAsia="MS Gothic"/>
                <w:b/>
                <w:bCs/>
                <w:sz w:val="24"/>
              </w:rPr>
              <w:t>Rekomenduojama kompensuoti</w:t>
            </w:r>
          </w:p>
        </w:tc>
        <w:tc>
          <w:tcPr>
            <w:tcW w:w="4814" w:type="dxa"/>
            <w:vAlign w:val="center"/>
          </w:tcPr>
          <w:p w14:paraId="6E7C628A" w14:textId="77777777" w:rsidR="00B13D65"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E33EFF">
              <w:rPr>
                <w:rStyle w:val="Style2"/>
                <w:rFonts w:eastAsia="MS Gothic"/>
                <w:b/>
                <w:bCs/>
                <w:sz w:val="24"/>
              </w:rPr>
              <w:t xml:space="preserve">Rekomenduojama nekompensuoti </w:t>
            </w:r>
          </w:p>
        </w:tc>
      </w:tr>
      <w:tr w:rsidR="00B13D65" w:rsidRPr="00E33EFF" w14:paraId="1F7D80CB" w14:textId="77777777" w:rsidTr="00C16245">
        <w:trPr>
          <w:trHeight w:val="510"/>
        </w:trPr>
        <w:tc>
          <w:tcPr>
            <w:tcW w:w="9629" w:type="dxa"/>
            <w:gridSpan w:val="2"/>
            <w:vAlign w:val="center"/>
          </w:tcPr>
          <w:p w14:paraId="25DCB7A2" w14:textId="77777777"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Palyginamasis efektyvumas</w:t>
            </w:r>
          </w:p>
        </w:tc>
      </w:tr>
      <w:tr w:rsidR="00B13D65" w:rsidRPr="00E33EFF" w14:paraId="4EC68A90" w14:textId="77777777" w:rsidTr="0061611B">
        <w:tc>
          <w:tcPr>
            <w:tcW w:w="4815" w:type="dxa"/>
          </w:tcPr>
          <w:p w14:paraId="2CC2B567" w14:textId="77777777" w:rsidR="00B13D65" w:rsidRPr="00E33EFF" w:rsidRDefault="00C81311"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32.1. yra didesnis</w:t>
            </w:r>
            <w:r w:rsidR="00B00959" w:rsidRPr="00E33EFF">
              <w:t>, lyginant su įprasta klinikine praktika</w:t>
            </w:r>
          </w:p>
          <w:p w14:paraId="44B5F919"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4221544" w14:textId="7020CF41" w:rsidR="00B13D65" w:rsidRPr="00E33EFF" w:rsidRDefault="00C81311" w:rsidP="00662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1"/>
                  <w14:checkedState w14:val="2612" w14:font="MS Gothic"/>
                  <w14:uncheckedState w14:val="2610" w14:font="MS Gothic"/>
                </w14:checkbox>
              </w:sdtPr>
              <w:sdtEndPr>
                <w:rPr>
                  <w:rStyle w:val="Style2"/>
                </w:rPr>
              </w:sdtEndPr>
              <w:sdtContent>
                <w:r w:rsidR="0095206A">
                  <w:rPr>
                    <w:rStyle w:val="Style2"/>
                    <w:rFonts w:ascii="MS Gothic" w:eastAsia="MS Gothic" w:hAnsi="MS Gothic" w:hint="eastAsia"/>
                    <w:sz w:val="24"/>
                  </w:rPr>
                  <w:t>☒</w:t>
                </w:r>
              </w:sdtContent>
            </w:sdt>
            <w:r w:rsidR="00B13D65" w:rsidRPr="00E33EFF">
              <w:t xml:space="preserve"> 32.1. iš esmės nesiskiria</w:t>
            </w:r>
            <w:r w:rsidR="00B00959" w:rsidRPr="00E33EFF">
              <w:t>, lyginant su įprasta klinikine praktika</w:t>
            </w:r>
          </w:p>
        </w:tc>
        <w:tc>
          <w:tcPr>
            <w:tcW w:w="4814" w:type="dxa"/>
          </w:tcPr>
          <w:p w14:paraId="7A969BBB" w14:textId="77777777" w:rsidR="00B13D65" w:rsidRPr="00E33EFF" w:rsidRDefault="00C81311"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33.1. yra mažesnis</w:t>
            </w:r>
            <w:r w:rsidR="00B00959" w:rsidRPr="00E33EFF">
              <w:t>, lyginant su įprasta klinikine praktika</w:t>
            </w:r>
          </w:p>
          <w:p w14:paraId="7EE14074"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2729528" w14:textId="77777777" w:rsidR="00662983" w:rsidRPr="00E33EFF" w:rsidRDefault="00C81311"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33.1. yra neįrodytas kaip toks pat</w:t>
            </w:r>
            <w:r w:rsidR="00B00959" w:rsidRPr="00E33EFF">
              <w:t>, lyginant su įprasta klinikine praktika</w:t>
            </w:r>
          </w:p>
          <w:p w14:paraId="20D0F27B"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AF30F16" w14:textId="77777777" w:rsidR="00B13D65" w:rsidRPr="00E33EFF" w:rsidRDefault="00C81311"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EndPr>
                <w:rPr>
                  <w:rStyle w:val="Style2"/>
                </w:rPr>
              </w:sdtEndPr>
              <w:sdtContent>
                <w:r w:rsidR="00662983" w:rsidRPr="00E33EFF">
                  <w:rPr>
                    <w:rStyle w:val="Style2"/>
                    <w:rFonts w:ascii="Segoe UI Symbol" w:eastAsia="MS Gothic" w:hAnsi="Segoe UI Symbol" w:cs="Segoe UI Symbol"/>
                    <w:sz w:val="24"/>
                  </w:rPr>
                  <w:t>☐</w:t>
                </w:r>
              </w:sdtContent>
            </w:sdt>
            <w:r w:rsidR="00662983" w:rsidRPr="00E33EFF">
              <w:t xml:space="preserve"> 33.1 </w:t>
            </w:r>
            <w:r w:rsidR="00B00959" w:rsidRPr="00E33EFF">
              <w:t xml:space="preserve">yra </w:t>
            </w:r>
            <w:r w:rsidR="00B13D65" w:rsidRPr="00E33EFF">
              <w:t>neįrodytas kaip didesnis</w:t>
            </w:r>
            <w:r w:rsidR="00B00959" w:rsidRPr="00E33EFF">
              <w:t>, lyginant su įprasta klinikine praktika</w:t>
            </w:r>
          </w:p>
          <w:p w14:paraId="29966D86"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AF47FCE" w14:textId="77777777" w:rsidR="00B13D65" w:rsidRPr="00E33EFF" w:rsidRDefault="00C81311"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33.1. pateikti duomenys apie palyginamąjį efektyvumą yra netinkami vertinti</w:t>
            </w:r>
          </w:p>
          <w:p w14:paraId="60D7B84F"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E33EFF" w14:paraId="74E6CE45" w14:textId="77777777" w:rsidTr="00C16245">
        <w:trPr>
          <w:trHeight w:val="510"/>
        </w:trPr>
        <w:tc>
          <w:tcPr>
            <w:tcW w:w="9629" w:type="dxa"/>
            <w:gridSpan w:val="2"/>
            <w:vAlign w:val="center"/>
          </w:tcPr>
          <w:p w14:paraId="31BE8450" w14:textId="77777777"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Klinikinis veiksmingumas</w:t>
            </w:r>
          </w:p>
        </w:tc>
      </w:tr>
      <w:tr w:rsidR="00B13D65" w:rsidRPr="00E33EFF" w14:paraId="787153A7" w14:textId="77777777" w:rsidTr="0061611B">
        <w:tc>
          <w:tcPr>
            <w:tcW w:w="4815" w:type="dxa"/>
          </w:tcPr>
          <w:p w14:paraId="55842BC5" w14:textId="77777777" w:rsidR="00B13D65" w:rsidRPr="00E33EFF" w:rsidRDefault="00C81311"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32.2. yra įvertintas kaip pagrindžiantis papildomos naudos pacientų sveikatai sukūrimą, lyginant su įprasta klinikine praktika</w:t>
            </w:r>
          </w:p>
          <w:p w14:paraId="4A900466"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205A31C" w14:textId="04C4E2AE" w:rsidR="00B13D65" w:rsidRPr="00E33EFF" w:rsidRDefault="00C81311"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1"/>
                  <w14:checkedState w14:val="2612" w14:font="MS Gothic"/>
                  <w14:uncheckedState w14:val="2610" w14:font="MS Gothic"/>
                </w14:checkbox>
              </w:sdtPr>
              <w:sdtEndPr>
                <w:rPr>
                  <w:rStyle w:val="Style2"/>
                </w:rPr>
              </w:sdtEndPr>
              <w:sdtContent>
                <w:r w:rsidR="0095206A">
                  <w:rPr>
                    <w:rStyle w:val="Style2"/>
                    <w:rFonts w:ascii="MS Gothic" w:eastAsia="MS Gothic" w:hAnsi="MS Gothic" w:hint="eastAsia"/>
                    <w:sz w:val="24"/>
                  </w:rPr>
                  <w:t>☒</w:t>
                </w:r>
              </w:sdtContent>
            </w:sdt>
            <w:r w:rsidR="00B13D65" w:rsidRPr="00E33EFF">
              <w:t xml:space="preserve"> 32.2. </w:t>
            </w:r>
            <w:r w:rsidR="00B00959" w:rsidRPr="00E33EFF">
              <w:t xml:space="preserve">yra </w:t>
            </w:r>
            <w:r w:rsidR="00B13D65" w:rsidRPr="00E33EFF">
              <w:t>įvertintas kaip pagrindžiantis nesiskiriančios naudos pacientų sveikatai sukūrimą, lyginant su įprasta klinikine praktika</w:t>
            </w:r>
          </w:p>
          <w:p w14:paraId="7D4F2BC8"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614F83DA" w14:textId="77777777" w:rsidR="00662983" w:rsidRPr="00E33EFF" w:rsidRDefault="00C81311" w:rsidP="00662983">
            <w:pPr>
              <w:jc w:val="both"/>
            </w:pPr>
            <w:sdt>
              <w:sdtPr>
                <w:rPr>
                  <w:rStyle w:val="Style2"/>
                  <w:sz w:val="24"/>
                </w:rPr>
                <w:id w:val="-1034573056"/>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33.1. yra įvertintas kaip nepagrindžiantis papildomos </w:t>
            </w:r>
            <w:r w:rsidR="00662983" w:rsidRPr="00E33EFF">
              <w:t>naudos pacientų sveikatai sukūrimo, lyginant su  įprasta klinikine praktika</w:t>
            </w:r>
          </w:p>
          <w:p w14:paraId="42822720" w14:textId="77777777" w:rsidR="00662983" w:rsidRPr="00E33EFF" w:rsidRDefault="00662983" w:rsidP="00BD1E5A">
            <w:pPr>
              <w:jc w:val="both"/>
            </w:pPr>
          </w:p>
          <w:p w14:paraId="1623C3CE" w14:textId="77777777" w:rsidR="00B13D65" w:rsidRPr="00E33EFF" w:rsidRDefault="00C81311" w:rsidP="00BD1E5A">
            <w:pPr>
              <w:jc w:val="both"/>
            </w:pPr>
            <w:sdt>
              <w:sdtPr>
                <w:rPr>
                  <w:rStyle w:val="Style2"/>
                  <w:sz w:val="24"/>
                </w:rPr>
                <w:id w:val="1289549109"/>
                <w15:color w:val="FFCC00"/>
                <w14:checkbox>
                  <w14:checked w14:val="0"/>
                  <w14:checkedState w14:val="2612" w14:font="MS Gothic"/>
                  <w14:uncheckedState w14:val="2610" w14:font="MS Gothic"/>
                </w14:checkbox>
              </w:sdtPr>
              <w:sdtEndPr>
                <w:rPr>
                  <w:rStyle w:val="Style2"/>
                </w:rPr>
              </w:sdtEndPr>
              <w:sdtContent>
                <w:r w:rsidR="00662983" w:rsidRPr="00E33EFF">
                  <w:rPr>
                    <w:rStyle w:val="Style2"/>
                    <w:rFonts w:ascii="Segoe UI Symbol" w:eastAsia="MS Gothic" w:hAnsi="Segoe UI Symbol" w:cs="Segoe UI Symbol"/>
                    <w:sz w:val="24"/>
                  </w:rPr>
                  <w:t>☐</w:t>
                </w:r>
              </w:sdtContent>
            </w:sdt>
            <w:r w:rsidR="00B13D65" w:rsidRPr="00E33EFF">
              <w:t xml:space="preserve"> </w:t>
            </w:r>
            <w:r w:rsidR="00662983" w:rsidRPr="00E33EFF">
              <w:t xml:space="preserve">33.1. </w:t>
            </w:r>
            <w:r w:rsidR="00B00959" w:rsidRPr="00E33EFF">
              <w:t xml:space="preserve">yra įvertintas kaip nepagrindžiantis </w:t>
            </w:r>
            <w:r w:rsidR="00B13D65" w:rsidRPr="00E33EFF">
              <w:t>nesiskiriančios naudos pacientų sveikatai sukūrimo, lyginant su įprasta klinikine praktika</w:t>
            </w:r>
          </w:p>
          <w:p w14:paraId="751B6CC1"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8282DC9"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E33EFF" w14:paraId="45FB2C22" w14:textId="77777777" w:rsidTr="00C16245">
        <w:trPr>
          <w:trHeight w:val="510"/>
        </w:trPr>
        <w:tc>
          <w:tcPr>
            <w:tcW w:w="9629" w:type="dxa"/>
            <w:gridSpan w:val="2"/>
            <w:vAlign w:val="center"/>
          </w:tcPr>
          <w:p w14:paraId="2EA3337E" w14:textId="77777777"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Kaštų naudingumas</w:t>
            </w:r>
          </w:p>
        </w:tc>
      </w:tr>
      <w:tr w:rsidR="00B13D65" w:rsidRPr="00E33EFF" w14:paraId="31873CEA" w14:textId="77777777" w:rsidTr="0061611B">
        <w:tc>
          <w:tcPr>
            <w:tcW w:w="4815" w:type="dxa"/>
          </w:tcPr>
          <w:p w14:paraId="4FD8F981" w14:textId="10F8FE3D" w:rsidR="00B13D65" w:rsidRPr="00E33EFF" w:rsidRDefault="00C81311"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0"/>
                  <w14:checkedState w14:val="2612" w14:font="MS Gothic"/>
                  <w14:uncheckedState w14:val="2610" w14:font="MS Gothic"/>
                </w14:checkbox>
              </w:sdtPr>
              <w:sdtEndPr>
                <w:rPr>
                  <w:rStyle w:val="Style2"/>
                </w:rPr>
              </w:sdtEndPr>
              <w:sdtContent>
                <w:r w:rsidR="00A06DBB" w:rsidRPr="00E33EFF">
                  <w:rPr>
                    <w:rStyle w:val="Style2"/>
                    <w:rFonts w:ascii="MS Gothic" w:eastAsia="MS Gothic" w:hAnsi="MS Gothic" w:hint="eastAsia"/>
                    <w:sz w:val="24"/>
                  </w:rPr>
                  <w:t>☐</w:t>
                </w:r>
              </w:sdtContent>
            </w:sdt>
            <w:r w:rsidR="00B13D65" w:rsidRPr="00E33EFF">
              <w:t xml:space="preserve"> 32.3. atitinka referencinę naudingumo vertę, </w:t>
            </w:r>
          </w:p>
          <w:p w14:paraId="51E8ABF2"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61933D6" w14:textId="3B3E2BB9" w:rsidR="00B13D65" w:rsidRPr="00E33EFF" w:rsidRDefault="00C81311"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308081728"/>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32.3. gydymo juo kaštai yra mažesni ar tokie patys esant iš esmės nesiskiriančiam palyginamajam efektyvumui, </w:t>
            </w:r>
            <w:r w:rsidR="00B00959" w:rsidRPr="00E33EFF">
              <w:t>lyginant su įprasta klinikine praktika</w:t>
            </w:r>
          </w:p>
          <w:p w14:paraId="6FE6792C"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77C3846B" w14:textId="77777777" w:rsidR="00B13D65" w:rsidRPr="00E33EFF" w:rsidRDefault="00C81311"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33.3. neatitinka referencinės naudingumo vertės Lietuvos Respublikoje</w:t>
            </w:r>
          </w:p>
          <w:p w14:paraId="22BBEB64"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42322C" w14:textId="6633C490" w:rsidR="00B13D65" w:rsidRPr="00E33EFF" w:rsidRDefault="00C81311"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135473618"/>
                <w15:color w:val="FFCC00"/>
                <w14:checkbox>
                  <w14:checked w14:val="1"/>
                  <w14:checkedState w14:val="2612" w14:font="MS Gothic"/>
                  <w14:uncheckedState w14:val="2610" w14:font="MS Gothic"/>
                </w14:checkbox>
              </w:sdtPr>
              <w:sdtEndPr>
                <w:rPr>
                  <w:rStyle w:val="Style2"/>
                </w:rPr>
              </w:sdtEndPr>
              <w:sdtContent>
                <w:r w:rsidR="0048066C">
                  <w:rPr>
                    <w:rStyle w:val="Style2"/>
                    <w:rFonts w:ascii="MS Gothic" w:eastAsia="MS Gothic" w:hAnsi="MS Gothic" w:hint="eastAsia"/>
                    <w:sz w:val="24"/>
                  </w:rPr>
                  <w:t>☒</w:t>
                </w:r>
              </w:sdtContent>
            </w:sdt>
            <w:r w:rsidR="00B13D65" w:rsidRPr="00E33EFF">
              <w:t xml:space="preserve"> 33.3. gydymo juo kaštai yra didesni esant iš esmės nesiskiriančiam palyginamajam efektyvumui</w:t>
            </w:r>
            <w:r w:rsidR="0048066C">
              <w:t xml:space="preserve">, </w:t>
            </w:r>
            <w:r w:rsidR="00B13D65" w:rsidRPr="00E33EFF">
              <w:t>netaikant PGS</w:t>
            </w:r>
            <w:r w:rsidR="00B00959" w:rsidRPr="00E33EFF">
              <w:t>, lyginant su įprasta klinikine praktika</w:t>
            </w:r>
          </w:p>
          <w:p w14:paraId="6C8B8977"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0257F02" w14:textId="77777777" w:rsidR="00B13D65" w:rsidRPr="00E33EFF" w:rsidRDefault="00C81311"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08360022"/>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33.3. pateikti duomenys apie kaštų na</w:t>
            </w:r>
            <w:r w:rsidR="00662983" w:rsidRPr="00E33EFF">
              <w:t>udingumą yra netinkami vertinti</w:t>
            </w:r>
          </w:p>
          <w:p w14:paraId="79865567"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7194C919" w14:textId="77777777" w:rsidR="009E44AE" w:rsidRDefault="009E44AE" w:rsidP="00381024"/>
    <w:p w14:paraId="73F3A6D6" w14:textId="77777777" w:rsidR="000001B0" w:rsidRPr="00E33EFF" w:rsidRDefault="000001B0" w:rsidP="00CC09D4">
      <w:pPr>
        <w:pStyle w:val="ListParagraph"/>
        <w:numPr>
          <w:ilvl w:val="0"/>
          <w:numId w:val="12"/>
        </w:numPr>
        <w:ind w:left="567" w:hanging="567"/>
      </w:pPr>
      <w:r w:rsidRPr="00E33EFF">
        <w:rPr>
          <w:b/>
        </w:rPr>
        <w:t>REKOME</w:t>
      </w:r>
      <w:r w:rsidR="00D83182" w:rsidRPr="00E33EFF">
        <w:rPr>
          <w:b/>
        </w:rPr>
        <w:t>N</w:t>
      </w:r>
      <w:r w:rsidRPr="00E33EFF">
        <w:rPr>
          <w:b/>
        </w:rPr>
        <w:t>DACIJA</w:t>
      </w:r>
    </w:p>
    <w:p w14:paraId="6554492A" w14:textId="77777777" w:rsidR="00D5470B" w:rsidRPr="00E33EFF" w:rsidRDefault="00D5470B" w:rsidP="00C712EA">
      <w:pPr>
        <w:pStyle w:val="ListParagraph"/>
        <w:ind w:left="426"/>
      </w:pPr>
    </w:p>
    <w:p w14:paraId="37EF44D4" w14:textId="6E59D69C" w:rsidR="0048066C" w:rsidRPr="00C00032" w:rsidRDefault="0048066C" w:rsidP="0048066C">
      <w:pPr>
        <w:spacing w:line="276" w:lineRule="auto"/>
        <w:ind w:firstLine="432"/>
        <w:jc w:val="both"/>
      </w:pPr>
      <w:r w:rsidRPr="00145FA0">
        <w:t xml:space="preserve">Vadovaujantis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 34.4. rekomenduojama </w:t>
      </w:r>
      <w:r w:rsidRPr="00145FA0">
        <w:rPr>
          <w:i/>
        </w:rPr>
        <w:t xml:space="preserve">nekompensuoti </w:t>
      </w:r>
      <w:r w:rsidRPr="00145FA0">
        <w:t xml:space="preserve">vaistinio preparato pagal paraiškoje nurodytą indikaciją su skyrimo </w:t>
      </w:r>
      <w:r w:rsidRPr="00145FA0">
        <w:lastRenderedPageBreak/>
        <w:t>sąlygomis</w:t>
      </w:r>
      <w:r>
        <w:t>,</w:t>
      </w:r>
      <w:r w:rsidRPr="00145FA0">
        <w:t xml:space="preserve"> netaikant PGS dėl vertinimo išvadų, nurodytų 33.3 papunktyje (žr. 8 ir 17 skyrius), neatitikties 34.3 papunktyje išdėstytoms sąlygoms.</w:t>
      </w:r>
    </w:p>
    <w:p w14:paraId="25718DDC" w14:textId="77777777" w:rsidR="0048066C" w:rsidRPr="0048066C" w:rsidRDefault="0048066C" w:rsidP="004F3B2B">
      <w:pPr>
        <w:rPr>
          <w:iCs/>
        </w:rPr>
      </w:pPr>
    </w:p>
    <w:p w14:paraId="197D1537" w14:textId="77777777" w:rsidR="000723FF" w:rsidRPr="000723FF" w:rsidRDefault="000723FF" w:rsidP="00824B92">
      <w:pPr>
        <w:rPr>
          <w:b/>
        </w:rPr>
      </w:pPr>
    </w:p>
    <w:sectPr w:rsidR="000723FF" w:rsidRPr="000723FF" w:rsidSect="005D30E1">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30396" w14:textId="77777777" w:rsidR="009F6958" w:rsidRDefault="009F6958">
      <w:r>
        <w:separator/>
      </w:r>
    </w:p>
  </w:endnote>
  <w:endnote w:type="continuationSeparator" w:id="0">
    <w:p w14:paraId="5F3D94FA" w14:textId="77777777" w:rsidR="009F6958" w:rsidRDefault="009F6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89B3E" w14:textId="77777777" w:rsidR="005D1F44" w:rsidRDefault="005D1F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BD419" w14:textId="77777777" w:rsidR="005D1F44" w:rsidRDefault="005D1F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6CA3D" w14:textId="77777777" w:rsidR="00347FAA" w:rsidRDefault="00347FAA">
    <w:pPr>
      <w:pStyle w:val="Footer"/>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3606B" w14:textId="77777777" w:rsidR="009F6958" w:rsidRDefault="009F6958">
      <w:r>
        <w:separator/>
      </w:r>
    </w:p>
  </w:footnote>
  <w:footnote w:type="continuationSeparator" w:id="0">
    <w:p w14:paraId="512B885D" w14:textId="77777777" w:rsidR="009F6958" w:rsidRDefault="009F6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87EC6" w14:textId="77777777"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4B46D6A" w14:textId="77777777" w:rsidR="00347FAA" w:rsidRDefault="00347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3474" w14:textId="313979BA"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D1F44">
      <w:rPr>
        <w:rStyle w:val="PageNumber"/>
        <w:noProof/>
      </w:rPr>
      <w:t>7</w:t>
    </w:r>
    <w:r>
      <w:rPr>
        <w:rStyle w:val="PageNumber"/>
      </w:rPr>
      <w:fldChar w:fldCharType="end"/>
    </w:r>
  </w:p>
  <w:p w14:paraId="411C497D" w14:textId="77777777" w:rsidR="00347FAA" w:rsidRDefault="00347F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EFF40" w14:textId="77777777" w:rsidR="00347FAA" w:rsidRDefault="00347FAA" w:rsidP="00FD793C">
    <w:pPr>
      <w:pStyle w:val="Header"/>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6"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17954D5"/>
    <w:multiLevelType w:val="hybridMultilevel"/>
    <w:tmpl w:val="03763DC8"/>
    <w:lvl w:ilvl="0" w:tplc="B1548DF2">
      <w:start w:val="15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F616124"/>
    <w:multiLevelType w:val="hybridMultilevel"/>
    <w:tmpl w:val="67CEDFE2"/>
    <w:lvl w:ilvl="0" w:tplc="4E64B7EC">
      <w:start w:val="9"/>
      <w:numFmt w:val="bullet"/>
      <w:lvlText w:val="-"/>
      <w:lvlJc w:val="left"/>
      <w:pPr>
        <w:ind w:left="792" w:hanging="360"/>
      </w:pPr>
      <w:rPr>
        <w:rFonts w:ascii="Times New Roman" w:eastAsia="Times New Roman" w:hAnsi="Times New Roman" w:cs="Times New Roman"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2"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70662193">
    <w:abstractNumId w:val="6"/>
  </w:num>
  <w:num w:numId="2" w16cid:durableId="552817983">
    <w:abstractNumId w:val="1"/>
  </w:num>
  <w:num w:numId="3" w16cid:durableId="1371027616">
    <w:abstractNumId w:val="9"/>
  </w:num>
  <w:num w:numId="4" w16cid:durableId="2039233739">
    <w:abstractNumId w:val="7"/>
  </w:num>
  <w:num w:numId="5" w16cid:durableId="726419248">
    <w:abstractNumId w:val="5"/>
  </w:num>
  <w:num w:numId="6" w16cid:durableId="1126779223">
    <w:abstractNumId w:val="4"/>
  </w:num>
  <w:num w:numId="7" w16cid:durableId="1741293786">
    <w:abstractNumId w:val="3"/>
  </w:num>
  <w:num w:numId="8" w16cid:durableId="1201748695">
    <w:abstractNumId w:val="13"/>
  </w:num>
  <w:num w:numId="9" w16cid:durableId="584534784">
    <w:abstractNumId w:val="0"/>
  </w:num>
  <w:num w:numId="10" w16cid:durableId="1669476232">
    <w:abstractNumId w:val="10"/>
  </w:num>
  <w:num w:numId="11" w16cid:durableId="1168708931">
    <w:abstractNumId w:val="12"/>
  </w:num>
  <w:num w:numId="12" w16cid:durableId="150564137">
    <w:abstractNumId w:val="2"/>
  </w:num>
  <w:num w:numId="13" w16cid:durableId="1814834835">
    <w:abstractNumId w:val="11"/>
  </w:num>
  <w:num w:numId="14" w16cid:durableId="1223067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EF2"/>
    <w:rsid w:val="000001B0"/>
    <w:rsid w:val="00003F5B"/>
    <w:rsid w:val="000114DD"/>
    <w:rsid w:val="000136F7"/>
    <w:rsid w:val="0002686C"/>
    <w:rsid w:val="00031D0E"/>
    <w:rsid w:val="000337E6"/>
    <w:rsid w:val="0003402E"/>
    <w:rsid w:val="00034EAE"/>
    <w:rsid w:val="00042924"/>
    <w:rsid w:val="00053975"/>
    <w:rsid w:val="00057A2B"/>
    <w:rsid w:val="000606BE"/>
    <w:rsid w:val="000723FF"/>
    <w:rsid w:val="000736B8"/>
    <w:rsid w:val="0008190F"/>
    <w:rsid w:val="00081D9C"/>
    <w:rsid w:val="00082907"/>
    <w:rsid w:val="0008378D"/>
    <w:rsid w:val="000908A5"/>
    <w:rsid w:val="00092805"/>
    <w:rsid w:val="000C454C"/>
    <w:rsid w:val="000D5038"/>
    <w:rsid w:val="000E29D4"/>
    <w:rsid w:val="000F3540"/>
    <w:rsid w:val="00100491"/>
    <w:rsid w:val="00104E2E"/>
    <w:rsid w:val="00107287"/>
    <w:rsid w:val="00117406"/>
    <w:rsid w:val="00121EF0"/>
    <w:rsid w:val="00124A9E"/>
    <w:rsid w:val="00130703"/>
    <w:rsid w:val="0013153F"/>
    <w:rsid w:val="001408B8"/>
    <w:rsid w:val="001517E2"/>
    <w:rsid w:val="001521D9"/>
    <w:rsid w:val="001554E2"/>
    <w:rsid w:val="00164146"/>
    <w:rsid w:val="00171B94"/>
    <w:rsid w:val="0017369C"/>
    <w:rsid w:val="00175D57"/>
    <w:rsid w:val="00180C39"/>
    <w:rsid w:val="00180D96"/>
    <w:rsid w:val="00184BD3"/>
    <w:rsid w:val="001921F3"/>
    <w:rsid w:val="001B3C5B"/>
    <w:rsid w:val="001D746F"/>
    <w:rsid w:val="001E4BBB"/>
    <w:rsid w:val="001E6304"/>
    <w:rsid w:val="0020381E"/>
    <w:rsid w:val="00213471"/>
    <w:rsid w:val="00215906"/>
    <w:rsid w:val="00241CD8"/>
    <w:rsid w:val="0024233B"/>
    <w:rsid w:val="00244B09"/>
    <w:rsid w:val="002519CB"/>
    <w:rsid w:val="0025697F"/>
    <w:rsid w:val="00260258"/>
    <w:rsid w:val="0026588E"/>
    <w:rsid w:val="00272428"/>
    <w:rsid w:val="00272948"/>
    <w:rsid w:val="00292392"/>
    <w:rsid w:val="002946C7"/>
    <w:rsid w:val="002B3CC1"/>
    <w:rsid w:val="002C09E0"/>
    <w:rsid w:val="002C1BB1"/>
    <w:rsid w:val="002C2786"/>
    <w:rsid w:val="002C3A10"/>
    <w:rsid w:val="002C4A90"/>
    <w:rsid w:val="002C4ED5"/>
    <w:rsid w:val="002D02EF"/>
    <w:rsid w:val="002D6EF2"/>
    <w:rsid w:val="002E0702"/>
    <w:rsid w:val="002E57AD"/>
    <w:rsid w:val="002E6F80"/>
    <w:rsid w:val="002F0E4F"/>
    <w:rsid w:val="002F1053"/>
    <w:rsid w:val="00317B0E"/>
    <w:rsid w:val="003407ED"/>
    <w:rsid w:val="00347FAA"/>
    <w:rsid w:val="0035172D"/>
    <w:rsid w:val="0036187D"/>
    <w:rsid w:val="00367EDB"/>
    <w:rsid w:val="00381024"/>
    <w:rsid w:val="00386307"/>
    <w:rsid w:val="003874DE"/>
    <w:rsid w:val="00393E9F"/>
    <w:rsid w:val="0039696E"/>
    <w:rsid w:val="003B211A"/>
    <w:rsid w:val="003C141F"/>
    <w:rsid w:val="003C6B0E"/>
    <w:rsid w:val="003C7257"/>
    <w:rsid w:val="003C7E35"/>
    <w:rsid w:val="003D1E99"/>
    <w:rsid w:val="003D6208"/>
    <w:rsid w:val="00404E8A"/>
    <w:rsid w:val="0040622F"/>
    <w:rsid w:val="00413F24"/>
    <w:rsid w:val="00422853"/>
    <w:rsid w:val="00423160"/>
    <w:rsid w:val="00426EB4"/>
    <w:rsid w:val="00453862"/>
    <w:rsid w:val="0045469B"/>
    <w:rsid w:val="00461338"/>
    <w:rsid w:val="004677DB"/>
    <w:rsid w:val="004720F1"/>
    <w:rsid w:val="00476256"/>
    <w:rsid w:val="0048066C"/>
    <w:rsid w:val="0048630F"/>
    <w:rsid w:val="004947A1"/>
    <w:rsid w:val="0049482A"/>
    <w:rsid w:val="004979D3"/>
    <w:rsid w:val="004A00E7"/>
    <w:rsid w:val="004A3A61"/>
    <w:rsid w:val="004B59BA"/>
    <w:rsid w:val="004B5A03"/>
    <w:rsid w:val="004C149F"/>
    <w:rsid w:val="004C263A"/>
    <w:rsid w:val="004D48A6"/>
    <w:rsid w:val="004D7B8F"/>
    <w:rsid w:val="004E6458"/>
    <w:rsid w:val="004E6E7D"/>
    <w:rsid w:val="004F1AAC"/>
    <w:rsid w:val="004F1AE2"/>
    <w:rsid w:val="004F34F0"/>
    <w:rsid w:val="004F3B2B"/>
    <w:rsid w:val="004F6050"/>
    <w:rsid w:val="005005EF"/>
    <w:rsid w:val="005123C2"/>
    <w:rsid w:val="00512F95"/>
    <w:rsid w:val="0052144B"/>
    <w:rsid w:val="00524066"/>
    <w:rsid w:val="00533B85"/>
    <w:rsid w:val="00534E11"/>
    <w:rsid w:val="005378D8"/>
    <w:rsid w:val="005400D9"/>
    <w:rsid w:val="005476A4"/>
    <w:rsid w:val="0055019B"/>
    <w:rsid w:val="00556E63"/>
    <w:rsid w:val="00557D65"/>
    <w:rsid w:val="005601A4"/>
    <w:rsid w:val="00566DBB"/>
    <w:rsid w:val="005767DB"/>
    <w:rsid w:val="005815E6"/>
    <w:rsid w:val="0058712F"/>
    <w:rsid w:val="005976CE"/>
    <w:rsid w:val="005A23D4"/>
    <w:rsid w:val="005A2D1E"/>
    <w:rsid w:val="005B3756"/>
    <w:rsid w:val="005C493F"/>
    <w:rsid w:val="005C6BF7"/>
    <w:rsid w:val="005C71BF"/>
    <w:rsid w:val="005D002C"/>
    <w:rsid w:val="005D1F44"/>
    <w:rsid w:val="005D30E1"/>
    <w:rsid w:val="005D6555"/>
    <w:rsid w:val="005D7BDF"/>
    <w:rsid w:val="005E4870"/>
    <w:rsid w:val="005F71D9"/>
    <w:rsid w:val="005F7602"/>
    <w:rsid w:val="006062BE"/>
    <w:rsid w:val="00613143"/>
    <w:rsid w:val="00613501"/>
    <w:rsid w:val="0061611B"/>
    <w:rsid w:val="006166A8"/>
    <w:rsid w:val="006174A1"/>
    <w:rsid w:val="00621D6C"/>
    <w:rsid w:val="00633B49"/>
    <w:rsid w:val="0064297F"/>
    <w:rsid w:val="00645102"/>
    <w:rsid w:val="00646CF3"/>
    <w:rsid w:val="00651FB4"/>
    <w:rsid w:val="00653D11"/>
    <w:rsid w:val="00662983"/>
    <w:rsid w:val="0068018C"/>
    <w:rsid w:val="006834D3"/>
    <w:rsid w:val="00692625"/>
    <w:rsid w:val="00695CD3"/>
    <w:rsid w:val="006A38B6"/>
    <w:rsid w:val="006B1987"/>
    <w:rsid w:val="006B55D7"/>
    <w:rsid w:val="006B5B71"/>
    <w:rsid w:val="006B6CB0"/>
    <w:rsid w:val="006C0296"/>
    <w:rsid w:val="006C2B64"/>
    <w:rsid w:val="006D4C85"/>
    <w:rsid w:val="006D66AC"/>
    <w:rsid w:val="006E33F6"/>
    <w:rsid w:val="006F1251"/>
    <w:rsid w:val="006F1C23"/>
    <w:rsid w:val="00702C18"/>
    <w:rsid w:val="00703166"/>
    <w:rsid w:val="007127F3"/>
    <w:rsid w:val="007301CF"/>
    <w:rsid w:val="007316FB"/>
    <w:rsid w:val="007374D0"/>
    <w:rsid w:val="00737E2D"/>
    <w:rsid w:val="007424D5"/>
    <w:rsid w:val="00750A88"/>
    <w:rsid w:val="007523DD"/>
    <w:rsid w:val="00757B7E"/>
    <w:rsid w:val="007656B2"/>
    <w:rsid w:val="0077016F"/>
    <w:rsid w:val="007713AD"/>
    <w:rsid w:val="00781449"/>
    <w:rsid w:val="00795DC5"/>
    <w:rsid w:val="00797153"/>
    <w:rsid w:val="007A19FA"/>
    <w:rsid w:val="007A21F7"/>
    <w:rsid w:val="007A2B68"/>
    <w:rsid w:val="007B0DDA"/>
    <w:rsid w:val="007D3347"/>
    <w:rsid w:val="007E5466"/>
    <w:rsid w:val="007F1949"/>
    <w:rsid w:val="007F2592"/>
    <w:rsid w:val="007F4786"/>
    <w:rsid w:val="00800A08"/>
    <w:rsid w:val="00817A84"/>
    <w:rsid w:val="008225A4"/>
    <w:rsid w:val="00824B92"/>
    <w:rsid w:val="00826D5E"/>
    <w:rsid w:val="00832013"/>
    <w:rsid w:val="00832DB7"/>
    <w:rsid w:val="00834732"/>
    <w:rsid w:val="0085200C"/>
    <w:rsid w:val="00857C52"/>
    <w:rsid w:val="00860D5F"/>
    <w:rsid w:val="00880A44"/>
    <w:rsid w:val="0088345E"/>
    <w:rsid w:val="0088656F"/>
    <w:rsid w:val="00891EF6"/>
    <w:rsid w:val="008A0303"/>
    <w:rsid w:val="008A5FDD"/>
    <w:rsid w:val="008C3947"/>
    <w:rsid w:val="008E473B"/>
    <w:rsid w:val="008E51A6"/>
    <w:rsid w:val="008E7329"/>
    <w:rsid w:val="008F2ED5"/>
    <w:rsid w:val="0092297E"/>
    <w:rsid w:val="00923651"/>
    <w:rsid w:val="00927B56"/>
    <w:rsid w:val="009341BF"/>
    <w:rsid w:val="00937907"/>
    <w:rsid w:val="00941739"/>
    <w:rsid w:val="00941EEF"/>
    <w:rsid w:val="00951573"/>
    <w:rsid w:val="0095206A"/>
    <w:rsid w:val="00963003"/>
    <w:rsid w:val="00966EEF"/>
    <w:rsid w:val="00971B28"/>
    <w:rsid w:val="00983471"/>
    <w:rsid w:val="009909AB"/>
    <w:rsid w:val="009916D6"/>
    <w:rsid w:val="009A423E"/>
    <w:rsid w:val="009B37DB"/>
    <w:rsid w:val="009C7A8C"/>
    <w:rsid w:val="009D23F9"/>
    <w:rsid w:val="009D4FA8"/>
    <w:rsid w:val="009E44AE"/>
    <w:rsid w:val="009E6CD6"/>
    <w:rsid w:val="009F4D66"/>
    <w:rsid w:val="009F6958"/>
    <w:rsid w:val="00A00C3C"/>
    <w:rsid w:val="00A01091"/>
    <w:rsid w:val="00A042B9"/>
    <w:rsid w:val="00A06DBB"/>
    <w:rsid w:val="00A228E8"/>
    <w:rsid w:val="00A22ADF"/>
    <w:rsid w:val="00A31E86"/>
    <w:rsid w:val="00A54D87"/>
    <w:rsid w:val="00A5553C"/>
    <w:rsid w:val="00A701C9"/>
    <w:rsid w:val="00A81785"/>
    <w:rsid w:val="00A84803"/>
    <w:rsid w:val="00A84C51"/>
    <w:rsid w:val="00A867A8"/>
    <w:rsid w:val="00A86F2B"/>
    <w:rsid w:val="00A91366"/>
    <w:rsid w:val="00A93AA6"/>
    <w:rsid w:val="00AA4E48"/>
    <w:rsid w:val="00AA6202"/>
    <w:rsid w:val="00AA7B57"/>
    <w:rsid w:val="00AB2785"/>
    <w:rsid w:val="00AC26FC"/>
    <w:rsid w:val="00AC4A99"/>
    <w:rsid w:val="00AC64D2"/>
    <w:rsid w:val="00AD02E7"/>
    <w:rsid w:val="00AE0FE8"/>
    <w:rsid w:val="00AE1322"/>
    <w:rsid w:val="00AF60D5"/>
    <w:rsid w:val="00B00959"/>
    <w:rsid w:val="00B04415"/>
    <w:rsid w:val="00B06509"/>
    <w:rsid w:val="00B07732"/>
    <w:rsid w:val="00B11D60"/>
    <w:rsid w:val="00B13D65"/>
    <w:rsid w:val="00B21805"/>
    <w:rsid w:val="00B3072E"/>
    <w:rsid w:val="00B36CD5"/>
    <w:rsid w:val="00B36E15"/>
    <w:rsid w:val="00B37245"/>
    <w:rsid w:val="00B4017A"/>
    <w:rsid w:val="00B4468D"/>
    <w:rsid w:val="00B71C72"/>
    <w:rsid w:val="00B81E92"/>
    <w:rsid w:val="00B908D7"/>
    <w:rsid w:val="00B915AB"/>
    <w:rsid w:val="00B935E8"/>
    <w:rsid w:val="00B93B30"/>
    <w:rsid w:val="00B94CB5"/>
    <w:rsid w:val="00BA0DD9"/>
    <w:rsid w:val="00BA5DBC"/>
    <w:rsid w:val="00BB6312"/>
    <w:rsid w:val="00BC4D06"/>
    <w:rsid w:val="00BD585E"/>
    <w:rsid w:val="00BD6919"/>
    <w:rsid w:val="00BE1EA7"/>
    <w:rsid w:val="00BE7489"/>
    <w:rsid w:val="00BF2E0D"/>
    <w:rsid w:val="00BF3927"/>
    <w:rsid w:val="00BF3F8B"/>
    <w:rsid w:val="00BF76DA"/>
    <w:rsid w:val="00C0451C"/>
    <w:rsid w:val="00C07C7B"/>
    <w:rsid w:val="00C16245"/>
    <w:rsid w:val="00C22DC5"/>
    <w:rsid w:val="00C24479"/>
    <w:rsid w:val="00C273F2"/>
    <w:rsid w:val="00C27F7D"/>
    <w:rsid w:val="00C37B53"/>
    <w:rsid w:val="00C517D2"/>
    <w:rsid w:val="00C5772E"/>
    <w:rsid w:val="00C62B36"/>
    <w:rsid w:val="00C7012C"/>
    <w:rsid w:val="00C712EA"/>
    <w:rsid w:val="00C81311"/>
    <w:rsid w:val="00CA217D"/>
    <w:rsid w:val="00CC09D4"/>
    <w:rsid w:val="00CC668D"/>
    <w:rsid w:val="00CC7832"/>
    <w:rsid w:val="00CF0C1C"/>
    <w:rsid w:val="00CF27FD"/>
    <w:rsid w:val="00CF5F12"/>
    <w:rsid w:val="00D00D8F"/>
    <w:rsid w:val="00D04A73"/>
    <w:rsid w:val="00D21F3A"/>
    <w:rsid w:val="00D23808"/>
    <w:rsid w:val="00D3016A"/>
    <w:rsid w:val="00D417D2"/>
    <w:rsid w:val="00D42960"/>
    <w:rsid w:val="00D43BD7"/>
    <w:rsid w:val="00D4485B"/>
    <w:rsid w:val="00D4708D"/>
    <w:rsid w:val="00D4744C"/>
    <w:rsid w:val="00D521DE"/>
    <w:rsid w:val="00D5470B"/>
    <w:rsid w:val="00D63068"/>
    <w:rsid w:val="00D6498C"/>
    <w:rsid w:val="00D73069"/>
    <w:rsid w:val="00D76A70"/>
    <w:rsid w:val="00D83182"/>
    <w:rsid w:val="00D8521E"/>
    <w:rsid w:val="00D9291C"/>
    <w:rsid w:val="00D93A97"/>
    <w:rsid w:val="00DB1F64"/>
    <w:rsid w:val="00DC2F53"/>
    <w:rsid w:val="00DC5BAC"/>
    <w:rsid w:val="00DC6816"/>
    <w:rsid w:val="00DC76C2"/>
    <w:rsid w:val="00DD1CF2"/>
    <w:rsid w:val="00DD57FF"/>
    <w:rsid w:val="00DE4484"/>
    <w:rsid w:val="00DF41B7"/>
    <w:rsid w:val="00DF4A4A"/>
    <w:rsid w:val="00DF583C"/>
    <w:rsid w:val="00DF666B"/>
    <w:rsid w:val="00E03C3F"/>
    <w:rsid w:val="00E06FD7"/>
    <w:rsid w:val="00E07417"/>
    <w:rsid w:val="00E24D45"/>
    <w:rsid w:val="00E33DB8"/>
    <w:rsid w:val="00E33EFF"/>
    <w:rsid w:val="00E34387"/>
    <w:rsid w:val="00E348BA"/>
    <w:rsid w:val="00E369FE"/>
    <w:rsid w:val="00E37C6F"/>
    <w:rsid w:val="00E475F8"/>
    <w:rsid w:val="00E5102E"/>
    <w:rsid w:val="00E5721C"/>
    <w:rsid w:val="00E619C6"/>
    <w:rsid w:val="00E63399"/>
    <w:rsid w:val="00E745A1"/>
    <w:rsid w:val="00E7663E"/>
    <w:rsid w:val="00E81529"/>
    <w:rsid w:val="00E83A13"/>
    <w:rsid w:val="00EB6FC5"/>
    <w:rsid w:val="00EC2356"/>
    <w:rsid w:val="00EC2582"/>
    <w:rsid w:val="00EC337C"/>
    <w:rsid w:val="00ED0CFF"/>
    <w:rsid w:val="00ED31D2"/>
    <w:rsid w:val="00EE0EAC"/>
    <w:rsid w:val="00EE3322"/>
    <w:rsid w:val="00EE33CB"/>
    <w:rsid w:val="00EF217E"/>
    <w:rsid w:val="00F0061A"/>
    <w:rsid w:val="00F02834"/>
    <w:rsid w:val="00F04EEB"/>
    <w:rsid w:val="00F05467"/>
    <w:rsid w:val="00F055D2"/>
    <w:rsid w:val="00F07CD7"/>
    <w:rsid w:val="00F127E9"/>
    <w:rsid w:val="00F13023"/>
    <w:rsid w:val="00F14B5D"/>
    <w:rsid w:val="00F259FC"/>
    <w:rsid w:val="00F36972"/>
    <w:rsid w:val="00F42426"/>
    <w:rsid w:val="00F456BC"/>
    <w:rsid w:val="00F50666"/>
    <w:rsid w:val="00F70C9E"/>
    <w:rsid w:val="00F74A74"/>
    <w:rsid w:val="00F7572C"/>
    <w:rsid w:val="00F8382C"/>
    <w:rsid w:val="00F855D7"/>
    <w:rsid w:val="00F92035"/>
    <w:rsid w:val="00F92748"/>
    <w:rsid w:val="00FA4169"/>
    <w:rsid w:val="00FB0D41"/>
    <w:rsid w:val="00FB2030"/>
    <w:rsid w:val="00FB22A5"/>
    <w:rsid w:val="00FD0E46"/>
    <w:rsid w:val="00FD1CF2"/>
    <w:rsid w:val="00FD3EDF"/>
    <w:rsid w:val="00FD793C"/>
    <w:rsid w:val="00FE0FD5"/>
    <w:rsid w:val="00FE20E6"/>
    <w:rsid w:val="00FE3E3B"/>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5BE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1529"/>
    <w:rPr>
      <w:sz w:val="24"/>
      <w:szCs w:val="24"/>
      <w:lang w:eastAsia="en-US"/>
    </w:rPr>
  </w:style>
  <w:style w:type="paragraph" w:styleId="Heading1">
    <w:name w:val="heading 1"/>
    <w:basedOn w:val="Normal"/>
    <w:next w:val="Normal"/>
    <w:qFormat/>
    <w:rsid w:val="00A84C51"/>
    <w:pPr>
      <w:keepNext/>
      <w:jc w:val="center"/>
      <w:outlineLvl w:val="0"/>
    </w:pPr>
    <w:rPr>
      <w:b/>
      <w:bCs/>
      <w:caps/>
    </w:rPr>
  </w:style>
  <w:style w:type="paragraph" w:styleId="Heading2">
    <w:name w:val="heading 2"/>
    <w:basedOn w:val="Normal"/>
    <w:next w:val="Normal"/>
    <w:qFormat/>
    <w:rsid w:val="00A84C51"/>
    <w:pPr>
      <w:keepNext/>
      <w:jc w:val="center"/>
      <w:outlineLvl w:val="1"/>
    </w:pPr>
    <w:rPr>
      <w:b/>
      <w:bCs/>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4C51"/>
    <w:pPr>
      <w:tabs>
        <w:tab w:val="center" w:pos="4986"/>
        <w:tab w:val="right" w:pos="9972"/>
      </w:tabs>
    </w:pPr>
  </w:style>
  <w:style w:type="paragraph" w:styleId="Footer">
    <w:name w:val="footer"/>
    <w:basedOn w:val="Normal"/>
    <w:link w:val="FooterChar"/>
    <w:rsid w:val="00A84C51"/>
    <w:pPr>
      <w:tabs>
        <w:tab w:val="center" w:pos="4986"/>
        <w:tab w:val="right" w:pos="9972"/>
      </w:tabs>
    </w:pPr>
  </w:style>
  <w:style w:type="character" w:styleId="PageNumber">
    <w:name w:val="page number"/>
    <w:basedOn w:val="DefaultParagraphFont"/>
    <w:rsid w:val="00A84C51"/>
  </w:style>
  <w:style w:type="character" w:styleId="Hyperlink">
    <w:name w:val="Hyperlink"/>
    <w:basedOn w:val="DefaultParagraphFont"/>
    <w:rsid w:val="00A84C51"/>
    <w:rPr>
      <w:color w:val="0000FF"/>
      <w:u w:val="single"/>
    </w:rPr>
  </w:style>
  <w:style w:type="paragraph" w:styleId="BalloonText">
    <w:name w:val="Balloon Text"/>
    <w:basedOn w:val="Normal"/>
    <w:semiHidden/>
    <w:rsid w:val="00EC2356"/>
    <w:rPr>
      <w:rFonts w:ascii="Tahoma" w:hAnsi="Tahoma" w:cs="Tahoma"/>
      <w:sz w:val="16"/>
      <w:szCs w:val="16"/>
    </w:rPr>
  </w:style>
  <w:style w:type="character" w:customStyle="1" w:styleId="FooterChar">
    <w:name w:val="Footer Char"/>
    <w:basedOn w:val="DefaultParagraphFont"/>
    <w:link w:val="Footer"/>
    <w:rsid w:val="00737E2D"/>
    <w:rPr>
      <w:sz w:val="24"/>
      <w:szCs w:val="24"/>
      <w:lang w:eastAsia="en-US"/>
    </w:rPr>
  </w:style>
  <w:style w:type="character" w:customStyle="1" w:styleId="Neapdorotaspaminjimas1">
    <w:name w:val="Neapdorotas paminėjimas1"/>
    <w:basedOn w:val="DefaultParagraphFont"/>
    <w:uiPriority w:val="99"/>
    <w:semiHidden/>
    <w:unhideWhenUsed/>
    <w:rsid w:val="00A31E86"/>
    <w:rPr>
      <w:color w:val="605E5C"/>
      <w:shd w:val="clear" w:color="auto" w:fill="E1DFDD"/>
    </w:rPr>
  </w:style>
  <w:style w:type="character" w:styleId="FollowedHyperlink">
    <w:name w:val="FollowedHyperlink"/>
    <w:basedOn w:val="DefaultParagraphFont"/>
    <w:semiHidden/>
    <w:unhideWhenUsed/>
    <w:rsid w:val="00A31E86"/>
    <w:rPr>
      <w:color w:val="800080" w:themeColor="followedHyperlink"/>
      <w:u w:val="single"/>
    </w:rPr>
  </w:style>
  <w:style w:type="table" w:styleId="TableGrid">
    <w:name w:val="Table Grid"/>
    <w:basedOn w:val="TableNormal"/>
    <w:uiPriority w:val="39"/>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7012C"/>
    <w:rPr>
      <w:sz w:val="16"/>
      <w:szCs w:val="16"/>
    </w:rPr>
  </w:style>
  <w:style w:type="paragraph" w:styleId="CommentText">
    <w:name w:val="annotation text"/>
    <w:basedOn w:val="Normal"/>
    <w:link w:val="CommentTextChar"/>
    <w:unhideWhenUsed/>
    <w:rsid w:val="00C7012C"/>
    <w:rPr>
      <w:sz w:val="20"/>
      <w:szCs w:val="20"/>
    </w:rPr>
  </w:style>
  <w:style w:type="character" w:customStyle="1" w:styleId="CommentTextChar">
    <w:name w:val="Comment Text Char"/>
    <w:basedOn w:val="DefaultParagraphFont"/>
    <w:link w:val="CommentText"/>
    <w:rsid w:val="00C7012C"/>
    <w:rPr>
      <w:lang w:eastAsia="en-US"/>
    </w:rPr>
  </w:style>
  <w:style w:type="paragraph" w:styleId="CommentSubject">
    <w:name w:val="annotation subject"/>
    <w:basedOn w:val="CommentText"/>
    <w:next w:val="CommentText"/>
    <w:link w:val="CommentSubjectChar"/>
    <w:semiHidden/>
    <w:unhideWhenUsed/>
    <w:rsid w:val="00C7012C"/>
    <w:rPr>
      <w:b/>
      <w:bCs/>
    </w:rPr>
  </w:style>
  <w:style w:type="character" w:customStyle="1" w:styleId="CommentSubjectChar">
    <w:name w:val="Comment Subject Char"/>
    <w:basedOn w:val="CommentTextChar"/>
    <w:link w:val="CommentSubject"/>
    <w:semiHidden/>
    <w:rsid w:val="00C7012C"/>
    <w:rPr>
      <w:b/>
      <w:bCs/>
      <w:lang w:eastAsia="en-US"/>
    </w:rPr>
  </w:style>
  <w:style w:type="paragraph" w:styleId="ListParagraph">
    <w:name w:val="List Paragraph"/>
    <w:aliases w:val="Bullet1,Bullet 1,Bullet List,1. Bullet Blank,Bulleted - 2,Dairy Paragraphe,Bullets Points,List Paragraph CCT minutes,Section 5,Table Legend,Bullet List 2,Table Header Row,Colorful List - Accent 11"/>
    <w:basedOn w:val="Normal"/>
    <w:link w:val="ListParagraphChar"/>
    <w:uiPriority w:val="34"/>
    <w:qFormat/>
    <w:rsid w:val="00104E2E"/>
    <w:pPr>
      <w:ind w:left="720"/>
      <w:contextualSpacing/>
    </w:pPr>
  </w:style>
  <w:style w:type="character" w:customStyle="1" w:styleId="Style2">
    <w:name w:val="Style2"/>
    <w:basedOn w:val="DefaultParagraphFont"/>
    <w:uiPriority w:val="1"/>
    <w:rsid w:val="00D6498C"/>
    <w:rPr>
      <w:sz w:val="32"/>
    </w:rPr>
  </w:style>
  <w:style w:type="character" w:styleId="PlaceholderText">
    <w:name w:val="Placeholder Text"/>
    <w:basedOn w:val="DefaultParagraphFont"/>
    <w:uiPriority w:val="99"/>
    <w:rsid w:val="00B13D65"/>
    <w:rPr>
      <w:color w:val="808080"/>
    </w:rPr>
  </w:style>
  <w:style w:type="paragraph" w:styleId="NoSpacing">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TableNormal"/>
    <w:next w:val="TableGrid"/>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6256"/>
    <w:rPr>
      <w:sz w:val="24"/>
      <w:szCs w:val="24"/>
      <w:lang w:eastAsia="en-US"/>
    </w:rPr>
  </w:style>
  <w:style w:type="character" w:customStyle="1" w:styleId="ListParagraphChar">
    <w:name w:val="List Paragraph Char"/>
    <w:aliases w:val="Bullet1 Char,Bullet 1 Char,Bullet List Char,1. Bullet Blank Char,Bulleted - 2 Char,Dairy Paragraphe Char,Bullets Points Char,List Paragraph CCT minutes Char,Section 5 Char,Table Legend Char,Bullet List 2 Char,Table Header Row Char"/>
    <w:link w:val="ListParagraph"/>
    <w:uiPriority w:val="34"/>
    <w:rsid w:val="00B07732"/>
    <w:rPr>
      <w:sz w:val="24"/>
      <w:szCs w:val="24"/>
      <w:lang w:eastAsia="en-US"/>
    </w:rPr>
  </w:style>
  <w:style w:type="paragraph" w:customStyle="1" w:styleId="VVKT">
    <w:name w:val="VVKT"/>
    <w:basedOn w:val="Normal"/>
    <w:link w:val="VVKTChar"/>
    <w:qFormat/>
    <w:rsid w:val="00B07732"/>
    <w:pPr>
      <w:tabs>
        <w:tab w:val="left" w:pos="567"/>
      </w:tabs>
      <w:spacing w:line="276" w:lineRule="auto"/>
      <w:ind w:firstLine="432"/>
      <w:jc w:val="both"/>
    </w:pPr>
    <w:rPr>
      <w:color w:val="000000"/>
      <w:lang w:eastAsia="lt-LT"/>
    </w:rPr>
  </w:style>
  <w:style w:type="character" w:customStyle="1" w:styleId="VVKTChar">
    <w:name w:val="VVKT Char"/>
    <w:basedOn w:val="DefaultParagraphFont"/>
    <w:link w:val="VVKT"/>
    <w:rsid w:val="00B07732"/>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39394C6A20B043B249A35CDEAA4FE6"/>
        <w:category>
          <w:name w:val="General"/>
          <w:gallery w:val="placeholder"/>
        </w:category>
        <w:types>
          <w:type w:val="bbPlcHdr"/>
        </w:types>
        <w:behaviors>
          <w:behavior w:val="content"/>
        </w:behaviors>
        <w:guid w:val="{E28A53EC-0FEA-734F-AE15-E7A7171CF1F3}"/>
      </w:docPartPr>
      <w:docPartBody>
        <w:p w:rsidR="007C58B9" w:rsidRDefault="0018506D" w:rsidP="0018506D">
          <w:pPr>
            <w:pStyle w:val="EC39394C6A20B043B249A35CDEAA4FE6"/>
          </w:pPr>
          <w:r>
            <w:rPr>
              <w:rStyle w:val="PlaceholderText"/>
            </w:rPr>
            <w:t>Click here to enter a date.</w:t>
          </w:r>
        </w:p>
      </w:docPartBody>
    </w:docPart>
    <w:docPart>
      <w:docPartPr>
        <w:name w:val="A2DC46BA9657324C80630EA25429050F"/>
        <w:category>
          <w:name w:val="General"/>
          <w:gallery w:val="placeholder"/>
        </w:category>
        <w:types>
          <w:type w:val="bbPlcHdr"/>
        </w:types>
        <w:behaviors>
          <w:behavior w:val="content"/>
        </w:behaviors>
        <w:guid w:val="{CD59F4FC-8EBF-794E-8D45-79961F566CF0}"/>
      </w:docPartPr>
      <w:docPartBody>
        <w:p w:rsidR="007C58B9" w:rsidRDefault="0018506D" w:rsidP="0018506D">
          <w:pPr>
            <w:pStyle w:val="A2DC46BA9657324C80630EA25429050F"/>
          </w:pPr>
          <w:r>
            <w:rPr>
              <w:rStyle w:val="PlaceholderText"/>
            </w:rPr>
            <w:t>Click here to enter a date.</w:t>
          </w:r>
        </w:p>
      </w:docPartBody>
    </w:docPart>
    <w:docPart>
      <w:docPartPr>
        <w:name w:val="87FAD8B48C765842AFE85B9AC3F2931D"/>
        <w:category>
          <w:name w:val="General"/>
          <w:gallery w:val="placeholder"/>
        </w:category>
        <w:types>
          <w:type w:val="bbPlcHdr"/>
        </w:types>
        <w:behaviors>
          <w:behavior w:val="content"/>
        </w:behaviors>
        <w:guid w:val="{982009C3-4FBF-374A-A944-3FDBC239D3F6}"/>
      </w:docPartPr>
      <w:docPartBody>
        <w:p w:rsidR="007C58B9" w:rsidRDefault="0018506D" w:rsidP="0018506D">
          <w:pPr>
            <w:pStyle w:val="87FAD8B48C765842AFE85B9AC3F2931D"/>
          </w:pPr>
          <w:r>
            <w:rPr>
              <w:rStyle w:val="PlaceholderText"/>
            </w:rPr>
            <w:t>Click here to enter a date.</w:t>
          </w:r>
        </w:p>
      </w:docPartBody>
    </w:docPart>
    <w:docPart>
      <w:docPartPr>
        <w:name w:val="7E62EF57BCA1054FA3B1E216CB815017"/>
        <w:category>
          <w:name w:val="General"/>
          <w:gallery w:val="placeholder"/>
        </w:category>
        <w:types>
          <w:type w:val="bbPlcHdr"/>
        </w:types>
        <w:behaviors>
          <w:behavior w:val="content"/>
        </w:behaviors>
        <w:guid w:val="{1325A53E-C7CC-944B-A8EC-D6C06E71C1E5}"/>
      </w:docPartPr>
      <w:docPartBody>
        <w:p w:rsidR="007C58B9" w:rsidRDefault="0018506D" w:rsidP="0018506D">
          <w:pPr>
            <w:pStyle w:val="7E62EF57BCA1054FA3B1E216CB815017"/>
          </w:pPr>
          <w:r>
            <w:rPr>
              <w:rStyle w:val="PlaceholderText"/>
            </w:rPr>
            <w:t>Click here to enter a date.</w:t>
          </w:r>
        </w:p>
      </w:docPartBody>
    </w:docPart>
    <w:docPart>
      <w:docPartPr>
        <w:name w:val="B3158115E13547F0A89F3FF294F1B727"/>
        <w:category>
          <w:name w:val="General"/>
          <w:gallery w:val="placeholder"/>
        </w:category>
        <w:types>
          <w:type w:val="bbPlcHdr"/>
        </w:types>
        <w:behaviors>
          <w:behavior w:val="content"/>
        </w:behaviors>
        <w:guid w:val="{73745AB4-73B8-453F-ADAE-C5D275439339}"/>
      </w:docPartPr>
      <w:docPartBody>
        <w:p w:rsidR="00001D8A" w:rsidRDefault="007C58B9" w:rsidP="007C58B9">
          <w:pPr>
            <w:pStyle w:val="B3158115E13547F0A89F3FF294F1B727"/>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06D"/>
    <w:rsid w:val="00001D8A"/>
    <w:rsid w:val="00111BB0"/>
    <w:rsid w:val="0018506D"/>
    <w:rsid w:val="005D1BF7"/>
    <w:rsid w:val="007B0B39"/>
    <w:rsid w:val="007C58B9"/>
    <w:rsid w:val="0088213D"/>
    <w:rsid w:val="00FA06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C58B9"/>
    <w:rPr>
      <w:color w:val="808080"/>
    </w:rPr>
  </w:style>
  <w:style w:type="paragraph" w:customStyle="1" w:styleId="B3158115E13547F0A89F3FF294F1B727">
    <w:name w:val="B3158115E13547F0A89F3FF294F1B727"/>
    <w:rsid w:val="007C58B9"/>
    <w:pPr>
      <w:spacing w:after="160" w:line="259" w:lineRule="auto"/>
    </w:pPr>
    <w:rPr>
      <w:kern w:val="2"/>
      <w:sz w:val="22"/>
      <w:szCs w:val="22"/>
      <w14:ligatures w14:val="standardContextual"/>
    </w:rPr>
  </w:style>
  <w:style w:type="paragraph" w:customStyle="1" w:styleId="EC39394C6A20B043B249A35CDEAA4FE6">
    <w:name w:val="EC39394C6A20B043B249A35CDEAA4FE6"/>
    <w:rsid w:val="0018506D"/>
  </w:style>
  <w:style w:type="paragraph" w:customStyle="1" w:styleId="A2DC46BA9657324C80630EA25429050F">
    <w:name w:val="A2DC46BA9657324C80630EA25429050F"/>
    <w:rsid w:val="0018506D"/>
  </w:style>
  <w:style w:type="paragraph" w:customStyle="1" w:styleId="87FAD8B48C765842AFE85B9AC3F2931D">
    <w:name w:val="87FAD8B48C765842AFE85B9AC3F2931D"/>
    <w:rsid w:val="0018506D"/>
  </w:style>
  <w:style w:type="paragraph" w:customStyle="1" w:styleId="7E62EF57BCA1054FA3B1E216CB815017">
    <w:name w:val="7E62EF57BCA1054FA3B1E216CB815017"/>
    <w:rsid w:val="001850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A8CFD-BEA7-480D-8D9B-EAFEB7AFD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1894</Words>
  <Characters>13809</Characters>
  <Application>Microsoft Office Word</Application>
  <DocSecurity>0</DocSecurity>
  <Lines>115</Lines>
  <Paragraphs>31</Paragraphs>
  <ScaleCrop>false</ScaleCrop>
  <Company/>
  <LinksUpToDate>false</LinksUpToDate>
  <CharactersWithSpaces>15672</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2023-10-09T07:43:00Z</dcterms:created>
  <dcterms:modified xsi:type="dcterms:W3CDTF">2023-11-09T16:16:00Z</dcterms:modified>
</cp:coreProperties>
</file>