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34F776AE" w:rsidR="005F7602" w:rsidRPr="0065248F" w:rsidRDefault="005A3FB0" w:rsidP="002946C7">
      <w:pPr>
        <w:ind w:left="5529"/>
      </w:pPr>
      <w:r>
        <w:t xml:space="preserve"> </w:t>
      </w:r>
    </w:p>
    <w:p w14:paraId="12FA4B9E" w14:textId="77777777" w:rsidR="001B3C5B" w:rsidRPr="0065248F" w:rsidRDefault="001B3C5B" w:rsidP="001B3C5B">
      <w:pPr>
        <w:ind w:left="6096"/>
      </w:pPr>
      <w:r w:rsidRPr="0065248F">
        <w:t>Forma patvirtinta</w:t>
      </w:r>
    </w:p>
    <w:p w14:paraId="7206970B" w14:textId="70E9BD2E" w:rsidR="004C263A" w:rsidRPr="0065248F" w:rsidRDefault="001B3C5B" w:rsidP="001B3C5B">
      <w:pPr>
        <w:ind w:left="6096"/>
      </w:pPr>
      <w:r w:rsidRPr="0065248F">
        <w:t>Valstybinės vaistų kontrolės tarnybos prie Lietuvos Respublikos sveikatos apsaugos ministerijos viršininko 2021 m</w:t>
      </w:r>
      <w:r w:rsidR="004C263A" w:rsidRPr="0065248F">
        <w:t xml:space="preserve">. lapkričio 12 </w:t>
      </w:r>
      <w:r w:rsidRPr="0065248F">
        <w:t>d. įsakymu Nr.</w:t>
      </w:r>
      <w:r w:rsidR="004C263A" w:rsidRPr="0065248F">
        <w:t xml:space="preserve"> (1.72E)1A-1418</w:t>
      </w:r>
    </w:p>
    <w:p w14:paraId="5B219AA6" w14:textId="520B9136" w:rsidR="001B3C5B" w:rsidRPr="0065248F" w:rsidRDefault="004C263A" w:rsidP="001B3C5B">
      <w:pPr>
        <w:ind w:left="6096"/>
      </w:pPr>
      <w:r w:rsidRPr="0065248F">
        <w:t>(Valstybinės vaistų kontrolės tarnybos prie Lietuvos Respublikos sveikatos apsaugos ministerijos viršininko 2022 m.                         d. įsakymo Nr.                    redakcija)</w:t>
      </w:r>
    </w:p>
    <w:p w14:paraId="3336BD74" w14:textId="77777777" w:rsidR="001B3C5B" w:rsidRPr="0065248F" w:rsidRDefault="001B3C5B" w:rsidP="00FA4169"/>
    <w:p w14:paraId="77AFB67E" w14:textId="16397257" w:rsidR="00613501" w:rsidRPr="0065248F" w:rsidRDefault="002F0E4F" w:rsidP="003B211A">
      <w:pPr>
        <w:jc w:val="center"/>
        <w:rPr>
          <w:b/>
          <w:bCs/>
          <w:caps/>
        </w:rPr>
      </w:pPr>
      <w:r w:rsidRPr="0065248F">
        <w:rPr>
          <w:b/>
        </w:rPr>
        <w:t xml:space="preserve">REKOMENDACIJA DĖL VAISTINIO PREPARATO </w:t>
      </w:r>
      <w:r w:rsidRPr="0065248F">
        <w:rPr>
          <w:b/>
          <w:bCs/>
          <w:caps/>
        </w:rPr>
        <w:t>Lietuvos Respublikos Sveikatos apsaugos ministerijos vaistinių preparatų ir medicinos pagalbos priemonių kompensavimo komisijai</w:t>
      </w:r>
    </w:p>
    <w:p w14:paraId="34E4395D" w14:textId="15FB10DF" w:rsidR="00B13D65" w:rsidRPr="0065248F" w:rsidRDefault="00B13D65" w:rsidP="003B211A">
      <w:pPr>
        <w:jc w:val="center"/>
        <w:rPr>
          <w:b/>
        </w:rPr>
      </w:pPr>
    </w:p>
    <w:p w14:paraId="4B7EE07C" w14:textId="77777777" w:rsidR="00940E18" w:rsidRPr="0065248F" w:rsidRDefault="00940E18" w:rsidP="00940E18">
      <w:pPr>
        <w:jc w:val="center"/>
        <w:rPr>
          <w:b/>
          <w:sz w:val="26"/>
          <w:szCs w:val="26"/>
        </w:rPr>
      </w:pPr>
      <w:proofErr w:type="spellStart"/>
      <w:r w:rsidRPr="0065248F">
        <w:rPr>
          <w:b/>
          <w:sz w:val="26"/>
          <w:szCs w:val="26"/>
        </w:rPr>
        <w:t>Calquence</w:t>
      </w:r>
      <w:proofErr w:type="spellEnd"/>
      <w:r w:rsidRPr="0065248F">
        <w:rPr>
          <w:b/>
          <w:sz w:val="26"/>
          <w:szCs w:val="26"/>
        </w:rPr>
        <w:t xml:space="preserve"> 100 mg kietosios kapsulės</w:t>
      </w:r>
    </w:p>
    <w:p w14:paraId="5D76E2F7" w14:textId="77777777" w:rsidR="00940E18" w:rsidRPr="0065248F" w:rsidRDefault="00940E18" w:rsidP="00940E18">
      <w:pPr>
        <w:jc w:val="center"/>
        <w:rPr>
          <w:sz w:val="26"/>
          <w:szCs w:val="26"/>
        </w:rPr>
      </w:pPr>
    </w:p>
    <w:p w14:paraId="34EE097A" w14:textId="77777777" w:rsidR="00940E18" w:rsidRPr="0065248F" w:rsidRDefault="00940E18" w:rsidP="00940E18">
      <w:pPr>
        <w:jc w:val="center"/>
        <w:rPr>
          <w:sz w:val="26"/>
          <w:szCs w:val="26"/>
        </w:rPr>
      </w:pPr>
      <w:proofErr w:type="spellStart"/>
      <w:r w:rsidRPr="0065248F">
        <w:rPr>
          <w:b/>
          <w:sz w:val="26"/>
          <w:szCs w:val="26"/>
        </w:rPr>
        <w:t>Akalabrutinibas</w:t>
      </w:r>
      <w:proofErr w:type="spellEnd"/>
    </w:p>
    <w:p w14:paraId="2AEE6ECE" w14:textId="77777777" w:rsidR="00940E18" w:rsidRPr="0065248F" w:rsidRDefault="00940E18" w:rsidP="00940E18">
      <w:pPr>
        <w:rPr>
          <w:sz w:val="26"/>
          <w:szCs w:val="26"/>
        </w:rPr>
      </w:pPr>
    </w:p>
    <w:p w14:paraId="181D9461" w14:textId="77777777" w:rsidR="00940E18" w:rsidRPr="0065248F" w:rsidRDefault="00940E18" w:rsidP="00940E18">
      <w:pPr>
        <w:jc w:val="center"/>
        <w:rPr>
          <w:b/>
        </w:rPr>
      </w:pPr>
      <w:r w:rsidRPr="0065248F">
        <w:rPr>
          <w:b/>
        </w:rPr>
        <w:t>STV-50</w:t>
      </w:r>
    </w:p>
    <w:p w14:paraId="453197C8" w14:textId="77777777" w:rsidR="00D4708D" w:rsidRPr="0065248F" w:rsidRDefault="00D4708D" w:rsidP="003B211A">
      <w:pPr>
        <w:jc w:val="center"/>
        <w:rPr>
          <w:b/>
        </w:rPr>
      </w:pPr>
    </w:p>
    <w:p w14:paraId="78C89D1C" w14:textId="0DEFFAA5" w:rsidR="00D4485B" w:rsidRPr="0065248F" w:rsidRDefault="00B13D65" w:rsidP="00CC09D4">
      <w:pPr>
        <w:pStyle w:val="ListParagraph"/>
        <w:numPr>
          <w:ilvl w:val="0"/>
          <w:numId w:val="12"/>
        </w:numPr>
        <w:tabs>
          <w:tab w:val="left" w:pos="567"/>
        </w:tabs>
        <w:ind w:left="567" w:hanging="567"/>
        <w:rPr>
          <w:b/>
          <w:bCs/>
          <w:caps/>
        </w:rPr>
      </w:pPr>
      <w:r w:rsidRPr="0065248F">
        <w:rPr>
          <w:b/>
          <w:bCs/>
          <w:caps/>
        </w:rPr>
        <w:t>Bendroji dalis</w:t>
      </w:r>
    </w:p>
    <w:p w14:paraId="04A7C7A7" w14:textId="77777777" w:rsidR="00B13D65" w:rsidRPr="0065248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9032BF" w:rsidRPr="0065248F" w14:paraId="18A83EC2" w14:textId="77777777" w:rsidTr="00BE7489">
        <w:trPr>
          <w:trHeight w:val="538"/>
        </w:trPr>
        <w:tc>
          <w:tcPr>
            <w:tcW w:w="632" w:type="dxa"/>
          </w:tcPr>
          <w:p w14:paraId="0646FBEA" w14:textId="77777777" w:rsidR="009032BF" w:rsidRPr="0065248F" w:rsidRDefault="009032BF" w:rsidP="009032BF">
            <w:pPr>
              <w:rPr>
                <w:rFonts w:eastAsia="Arial"/>
              </w:rPr>
            </w:pPr>
            <w:r w:rsidRPr="0065248F">
              <w:rPr>
                <w:rFonts w:eastAsia="Arial"/>
              </w:rPr>
              <w:t>1.1</w:t>
            </w:r>
          </w:p>
        </w:tc>
        <w:tc>
          <w:tcPr>
            <w:tcW w:w="3694" w:type="dxa"/>
          </w:tcPr>
          <w:p w14:paraId="6C3AE864" w14:textId="77777777" w:rsidR="009032BF" w:rsidRPr="0065248F" w:rsidRDefault="009032BF" w:rsidP="009032BF">
            <w:pPr>
              <w:rPr>
                <w:rFonts w:eastAsia="Arial"/>
              </w:rPr>
            </w:pPr>
            <w:r w:rsidRPr="0065248F">
              <w:rPr>
                <w:rFonts w:eastAsia="Arial"/>
              </w:rPr>
              <w:t>Pareiškėjas</w:t>
            </w:r>
          </w:p>
          <w:p w14:paraId="2AF240DC" w14:textId="77777777" w:rsidR="009032BF" w:rsidRPr="0065248F" w:rsidRDefault="009032BF" w:rsidP="009032BF">
            <w:pPr>
              <w:rPr>
                <w:rFonts w:eastAsia="Arial"/>
              </w:rPr>
            </w:pPr>
          </w:p>
        </w:tc>
        <w:tc>
          <w:tcPr>
            <w:tcW w:w="5167" w:type="dxa"/>
          </w:tcPr>
          <w:p w14:paraId="2AAF0D91" w14:textId="7A3B6B56" w:rsidR="009032BF" w:rsidRPr="0065248F" w:rsidRDefault="009032BF" w:rsidP="009032BF">
            <w:pPr>
              <w:rPr>
                <w:rFonts w:eastAsia="Arial"/>
              </w:rPr>
            </w:pPr>
            <w:r w:rsidRPr="0065248F">
              <w:t>UAB „</w:t>
            </w:r>
            <w:proofErr w:type="spellStart"/>
            <w:r w:rsidRPr="0065248F">
              <w:t>AstraZeneca</w:t>
            </w:r>
            <w:proofErr w:type="spellEnd"/>
            <w:r w:rsidRPr="0065248F">
              <w:t xml:space="preserve"> Lietuva“</w:t>
            </w:r>
          </w:p>
        </w:tc>
      </w:tr>
      <w:tr w:rsidR="009032BF" w:rsidRPr="0065248F" w14:paraId="31998B0D" w14:textId="77777777" w:rsidTr="00BE7489">
        <w:trPr>
          <w:trHeight w:val="538"/>
        </w:trPr>
        <w:tc>
          <w:tcPr>
            <w:tcW w:w="632" w:type="dxa"/>
          </w:tcPr>
          <w:p w14:paraId="2005EC67" w14:textId="662300D0" w:rsidR="009032BF" w:rsidRPr="0065248F" w:rsidRDefault="009032BF" w:rsidP="009032BF">
            <w:pPr>
              <w:rPr>
                <w:rFonts w:eastAsia="Arial"/>
              </w:rPr>
            </w:pPr>
            <w:r w:rsidRPr="0065248F">
              <w:rPr>
                <w:rFonts w:eastAsia="Arial"/>
              </w:rPr>
              <w:t>1.2</w:t>
            </w:r>
          </w:p>
        </w:tc>
        <w:tc>
          <w:tcPr>
            <w:tcW w:w="3694" w:type="dxa"/>
          </w:tcPr>
          <w:p w14:paraId="1E4AE3B1" w14:textId="77777777" w:rsidR="009032BF" w:rsidRPr="0065248F" w:rsidRDefault="009032BF" w:rsidP="009032BF">
            <w:pPr>
              <w:rPr>
                <w:bCs/>
                <w:color w:val="000000"/>
                <w:lang w:eastAsia="lt-LT"/>
              </w:rPr>
            </w:pPr>
            <w:r w:rsidRPr="0065248F">
              <w:rPr>
                <w:bCs/>
                <w:color w:val="000000"/>
                <w:lang w:eastAsia="lt-LT"/>
              </w:rPr>
              <w:t xml:space="preserve">Registracijos data </w:t>
            </w:r>
          </w:p>
          <w:p w14:paraId="3A0DC096" w14:textId="77777777" w:rsidR="009032BF" w:rsidRPr="0065248F" w:rsidRDefault="009032BF" w:rsidP="009032BF">
            <w:pPr>
              <w:rPr>
                <w:bCs/>
                <w:color w:val="000000"/>
                <w:lang w:eastAsia="lt-LT"/>
              </w:rPr>
            </w:pPr>
          </w:p>
        </w:tc>
        <w:tc>
          <w:tcPr>
            <w:tcW w:w="5167" w:type="dxa"/>
          </w:tcPr>
          <w:p w14:paraId="3CA218AD" w14:textId="74BE19AD" w:rsidR="009032BF" w:rsidRPr="0065248F" w:rsidRDefault="00B613EB" w:rsidP="009032BF">
            <w:pPr>
              <w:rPr>
                <w:rStyle w:val="Style2"/>
                <w:sz w:val="24"/>
              </w:rPr>
            </w:pPr>
            <w:sdt>
              <w:sdtPr>
                <w:rPr>
                  <w:sz w:val="32"/>
                </w:rPr>
                <w:alias w:val="Nurodykite konkrečią dieną"/>
                <w:tag w:val="Nurodykite pradžios datą"/>
                <w:id w:val="423238108"/>
                <w:placeholder>
                  <w:docPart w:val="FC344060ADF74D2F9381853A8C6F791B"/>
                </w:placeholder>
                <w15:color w:val="FFCC99"/>
                <w:date>
                  <w:dateFormat w:val="yyyy 'm.' MMMM d 'd.'"/>
                  <w:lid w:val="lt-LT"/>
                  <w:storeMappedDataAs w:val="dateTime"/>
                  <w:calendar w:val="gregorian"/>
                </w:date>
              </w:sdtPr>
              <w:sdtEndPr>
                <w:rPr>
                  <w:sz w:val="24"/>
                </w:rPr>
              </w:sdtEndPr>
              <w:sdtContent>
                <w:r w:rsidR="009032BF" w:rsidRPr="0065248F">
                  <w:t>2020 m. lapkričio 5 d.</w:t>
                </w:r>
              </w:sdtContent>
            </w:sdt>
          </w:p>
        </w:tc>
      </w:tr>
      <w:tr w:rsidR="009032BF" w:rsidRPr="0065248F" w14:paraId="15968AE1" w14:textId="77777777" w:rsidTr="00BE7489">
        <w:trPr>
          <w:trHeight w:val="1500"/>
        </w:trPr>
        <w:tc>
          <w:tcPr>
            <w:tcW w:w="632" w:type="dxa"/>
          </w:tcPr>
          <w:p w14:paraId="6A784245" w14:textId="1E461489" w:rsidR="009032BF" w:rsidRPr="0065248F" w:rsidRDefault="009032BF" w:rsidP="009032BF">
            <w:pPr>
              <w:rPr>
                <w:rFonts w:eastAsia="Arial"/>
              </w:rPr>
            </w:pPr>
            <w:r w:rsidRPr="0065248F">
              <w:rPr>
                <w:rFonts w:eastAsia="Arial"/>
              </w:rPr>
              <w:t>1.3</w:t>
            </w:r>
          </w:p>
        </w:tc>
        <w:tc>
          <w:tcPr>
            <w:tcW w:w="3694" w:type="dxa"/>
          </w:tcPr>
          <w:p w14:paraId="22933506" w14:textId="77777777" w:rsidR="009032BF" w:rsidRPr="0065248F" w:rsidRDefault="009032BF" w:rsidP="009032BF">
            <w:r w:rsidRPr="0065248F">
              <w:t xml:space="preserve">Paraiškos tipas </w:t>
            </w:r>
          </w:p>
          <w:p w14:paraId="0465E680" w14:textId="0D0B55B3" w:rsidR="009032BF" w:rsidRPr="0065248F" w:rsidRDefault="009032BF" w:rsidP="009032BF">
            <w:r w:rsidRPr="0065248F">
              <w:t xml:space="preserve">(pagal </w:t>
            </w:r>
            <w:r w:rsidRPr="0065248F">
              <w:rPr>
                <w:color w:val="333333"/>
                <w:shd w:val="clear" w:color="auto" w:fill="FFFFFF"/>
              </w:rPr>
              <w:t>vaistinio preparato registracijos tipą, įtvirtintą</w:t>
            </w:r>
            <w:r w:rsidRPr="0065248F">
              <w:t xml:space="preserve"> Direktyvos 2001/83/EB straips</w:t>
            </w:r>
            <w:r w:rsidR="00E24019">
              <w:t>n</w:t>
            </w:r>
            <w:r w:rsidRPr="0065248F">
              <w:t>iuose)</w:t>
            </w:r>
          </w:p>
          <w:p w14:paraId="77089D80" w14:textId="6681D72A" w:rsidR="009032BF" w:rsidRPr="0065248F" w:rsidRDefault="009032BF" w:rsidP="009032BF">
            <w:pPr>
              <w:rPr>
                <w:bCs/>
                <w:color w:val="000000"/>
                <w:lang w:eastAsia="lt-LT"/>
              </w:rPr>
            </w:pPr>
          </w:p>
        </w:tc>
        <w:tc>
          <w:tcPr>
            <w:tcW w:w="5167" w:type="dxa"/>
          </w:tcPr>
          <w:p w14:paraId="208F40EC" w14:textId="0BC094C6" w:rsidR="009032BF" w:rsidRPr="0065248F" w:rsidRDefault="00B613EB" w:rsidP="009032BF">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9032BF" w:rsidRPr="0065248F">
                  <w:rPr>
                    <w:rStyle w:val="Style2"/>
                    <w:rFonts w:ascii="MS Gothic" w:eastAsia="MS Gothic" w:hAnsi="MS Gothic"/>
                    <w:sz w:val="22"/>
                    <w:szCs w:val="22"/>
                  </w:rPr>
                  <w:t>☒</w:t>
                </w:r>
              </w:sdtContent>
            </w:sdt>
            <w:r w:rsidR="009032BF" w:rsidRPr="0065248F">
              <w:rPr>
                <w:sz w:val="22"/>
                <w:szCs w:val="22"/>
              </w:rPr>
              <w:t xml:space="preserve">8.3 str. (pilna byla, pagrįsta savais tyrimais) </w:t>
            </w:r>
          </w:p>
          <w:p w14:paraId="32BA564E" w14:textId="3FDA3E01" w:rsidR="009032BF" w:rsidRPr="0065248F" w:rsidRDefault="00B613EB" w:rsidP="009032BF">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9032BF" w:rsidRPr="0065248F">
                  <w:rPr>
                    <w:rStyle w:val="Style2"/>
                    <w:rFonts w:ascii="Segoe UI Symbol" w:eastAsia="MS Gothic" w:hAnsi="Segoe UI Symbol" w:cs="Segoe UI Symbol"/>
                    <w:sz w:val="22"/>
                    <w:szCs w:val="22"/>
                  </w:rPr>
                  <w:t>☐</w:t>
                </w:r>
              </w:sdtContent>
            </w:sdt>
            <w:r w:rsidR="009032BF" w:rsidRPr="0065248F">
              <w:rPr>
                <w:sz w:val="22"/>
                <w:szCs w:val="22"/>
              </w:rPr>
              <w:t xml:space="preserve">10 a str. (pripažintas medicininis vartojimas) </w:t>
            </w:r>
          </w:p>
          <w:p w14:paraId="318DCD7F" w14:textId="32333E53" w:rsidR="009032BF" w:rsidRPr="0065248F" w:rsidRDefault="00B613EB" w:rsidP="009032BF">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9032BF" w:rsidRPr="0065248F">
                  <w:rPr>
                    <w:rStyle w:val="Style2"/>
                    <w:rFonts w:ascii="Segoe UI Symbol" w:eastAsia="MS Gothic" w:hAnsi="Segoe UI Symbol" w:cs="Segoe UI Symbol"/>
                    <w:sz w:val="22"/>
                    <w:szCs w:val="22"/>
                  </w:rPr>
                  <w:t>☐</w:t>
                </w:r>
              </w:sdtContent>
            </w:sdt>
            <w:r w:rsidR="009032BF" w:rsidRPr="0065248F">
              <w:rPr>
                <w:sz w:val="22"/>
                <w:szCs w:val="22"/>
              </w:rPr>
              <w:t>10.1 str. (</w:t>
            </w:r>
            <w:proofErr w:type="spellStart"/>
            <w:r w:rsidR="009032BF" w:rsidRPr="0065248F">
              <w:rPr>
                <w:sz w:val="22"/>
                <w:szCs w:val="22"/>
              </w:rPr>
              <w:t>generinis</w:t>
            </w:r>
            <w:proofErr w:type="spellEnd"/>
            <w:r w:rsidR="009032BF" w:rsidRPr="0065248F">
              <w:rPr>
                <w:sz w:val="22"/>
                <w:szCs w:val="22"/>
              </w:rPr>
              <w:t>)</w:t>
            </w:r>
          </w:p>
          <w:p w14:paraId="3B0A4F72" w14:textId="3F5FB073" w:rsidR="009032BF" w:rsidRPr="0065248F" w:rsidRDefault="00B613EB" w:rsidP="009032BF">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9032BF" w:rsidRPr="0065248F">
                  <w:rPr>
                    <w:rStyle w:val="Style2"/>
                    <w:rFonts w:ascii="Segoe UI Symbol" w:eastAsia="MS Gothic" w:hAnsi="Segoe UI Symbol" w:cs="Segoe UI Symbol"/>
                    <w:sz w:val="22"/>
                    <w:szCs w:val="22"/>
                  </w:rPr>
                  <w:t>☐</w:t>
                </w:r>
              </w:sdtContent>
            </w:sdt>
            <w:r w:rsidR="009032BF" w:rsidRPr="0065248F">
              <w:rPr>
                <w:sz w:val="22"/>
                <w:szCs w:val="22"/>
              </w:rPr>
              <w:t>10.3 str. (hibridinis)</w:t>
            </w:r>
          </w:p>
        </w:tc>
      </w:tr>
      <w:tr w:rsidR="009032BF" w:rsidRPr="0065248F" w14:paraId="310E9662" w14:textId="77777777" w:rsidTr="00940E18">
        <w:trPr>
          <w:trHeight w:val="1134"/>
        </w:trPr>
        <w:tc>
          <w:tcPr>
            <w:tcW w:w="632" w:type="dxa"/>
          </w:tcPr>
          <w:p w14:paraId="4B5A91A2" w14:textId="561B5E5F" w:rsidR="009032BF" w:rsidRPr="0065248F" w:rsidRDefault="009032BF" w:rsidP="009032BF">
            <w:pPr>
              <w:rPr>
                <w:rFonts w:eastAsia="Arial"/>
              </w:rPr>
            </w:pPr>
            <w:r w:rsidRPr="0065248F">
              <w:rPr>
                <w:rFonts w:eastAsia="Arial"/>
              </w:rPr>
              <w:t>1.4</w:t>
            </w:r>
          </w:p>
        </w:tc>
        <w:tc>
          <w:tcPr>
            <w:tcW w:w="3694" w:type="dxa"/>
          </w:tcPr>
          <w:p w14:paraId="6C91E105" w14:textId="77777777" w:rsidR="009032BF" w:rsidRPr="0065248F" w:rsidRDefault="009032BF" w:rsidP="009032BF">
            <w:pPr>
              <w:rPr>
                <w:bCs/>
                <w:color w:val="000000"/>
                <w:lang w:eastAsia="lt-LT"/>
              </w:rPr>
            </w:pPr>
            <w:r w:rsidRPr="0065248F">
              <w:rPr>
                <w:bCs/>
                <w:color w:val="000000"/>
                <w:lang w:eastAsia="lt-LT"/>
              </w:rPr>
              <w:t xml:space="preserve">Ar vaistinis preparatas įrašytas į Bendrijos retųjų vaistinių preparatų registrą? </w:t>
            </w:r>
          </w:p>
          <w:p w14:paraId="483071A3" w14:textId="7F1330EC" w:rsidR="009032BF" w:rsidRPr="0065248F" w:rsidRDefault="009032BF" w:rsidP="009032BF">
            <w:pPr>
              <w:rPr>
                <w:bCs/>
                <w:color w:val="000000"/>
                <w:lang w:eastAsia="lt-LT"/>
              </w:rPr>
            </w:pPr>
          </w:p>
        </w:tc>
        <w:tc>
          <w:tcPr>
            <w:tcW w:w="5167" w:type="dxa"/>
          </w:tcPr>
          <w:p w14:paraId="05845C60" w14:textId="10CF4033" w:rsidR="009032BF" w:rsidRPr="0065248F" w:rsidRDefault="00B613EB" w:rsidP="009032BF">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9032BF" w:rsidRPr="0065248F">
                  <w:rPr>
                    <w:rStyle w:val="Style2"/>
                    <w:rFonts w:ascii="MS Gothic" w:eastAsia="MS Gothic" w:hAnsi="MS Gothic"/>
                    <w:sz w:val="24"/>
                  </w:rPr>
                  <w:t>☐</w:t>
                </w:r>
              </w:sdtContent>
            </w:sdt>
            <w:r w:rsidR="009032BF" w:rsidRPr="0065248F">
              <w:t xml:space="preserve"> Taip</w:t>
            </w:r>
          </w:p>
          <w:p w14:paraId="41D88067" w14:textId="58D1635A" w:rsidR="009032BF" w:rsidRPr="0065248F" w:rsidRDefault="00B613EB" w:rsidP="009032BF">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9032BF" w:rsidRPr="0065248F">
                  <w:rPr>
                    <w:rStyle w:val="Style2"/>
                    <w:rFonts w:ascii="MS Gothic" w:eastAsia="MS Gothic" w:hAnsi="MS Gothic"/>
                    <w:sz w:val="24"/>
                  </w:rPr>
                  <w:t>☒</w:t>
                </w:r>
              </w:sdtContent>
            </w:sdt>
            <w:r w:rsidR="009032BF" w:rsidRPr="0065248F">
              <w:t xml:space="preserve"> Ne</w:t>
            </w:r>
          </w:p>
          <w:p w14:paraId="29C2CBBB" w14:textId="77777777" w:rsidR="009032BF" w:rsidRPr="0065248F" w:rsidRDefault="00B613EB" w:rsidP="009032BF">
            <w:pPr>
              <w:rPr>
                <w:rFonts w:eastAsia="Arial"/>
              </w:rPr>
            </w:pPr>
            <w:sdt>
              <w:sdtPr>
                <w:alias w:val="Nurodykite konkrečią dieną"/>
                <w:tag w:val="Nurodykite pradžios datą"/>
                <w:id w:val="693498901"/>
                <w:placeholder>
                  <w:docPart w:val="F4CFB56B215A4347A13BA10D6C1E1251"/>
                </w:placeholder>
                <w:showingPlcHdr/>
                <w15:color w:val="FFCC99"/>
                <w:date w:fullDate="2022-05-18T00:00:00Z">
                  <w:dateFormat w:val="yyyy 'm.' MMMM d 'd.'"/>
                  <w:lid w:val="lt-LT"/>
                  <w:storeMappedDataAs w:val="dateTime"/>
                  <w:calendar w:val="gregorian"/>
                </w:date>
              </w:sdtPr>
              <w:sdtEndPr/>
              <w:sdtContent>
                <w:r w:rsidR="009032BF" w:rsidRPr="0065248F">
                  <w:rPr>
                    <w:rStyle w:val="PlaceholderText"/>
                  </w:rPr>
                  <w:t>Click here to enter a date.</w:t>
                </w:r>
              </w:sdtContent>
            </w:sdt>
          </w:p>
        </w:tc>
      </w:tr>
      <w:tr w:rsidR="009032BF" w:rsidRPr="0065248F" w14:paraId="7841E5F8" w14:textId="77777777" w:rsidTr="00BE7489">
        <w:trPr>
          <w:trHeight w:val="476"/>
        </w:trPr>
        <w:tc>
          <w:tcPr>
            <w:tcW w:w="632" w:type="dxa"/>
          </w:tcPr>
          <w:p w14:paraId="109D2861" w14:textId="73BF27DF" w:rsidR="009032BF" w:rsidRPr="0065248F" w:rsidRDefault="009032BF" w:rsidP="009032BF">
            <w:pPr>
              <w:rPr>
                <w:rFonts w:eastAsia="Arial"/>
              </w:rPr>
            </w:pPr>
            <w:r w:rsidRPr="0065248F">
              <w:rPr>
                <w:rFonts w:eastAsia="Arial"/>
              </w:rPr>
              <w:t>1.5</w:t>
            </w:r>
          </w:p>
        </w:tc>
        <w:tc>
          <w:tcPr>
            <w:tcW w:w="3694" w:type="dxa"/>
          </w:tcPr>
          <w:p w14:paraId="7822D63E" w14:textId="68C38334" w:rsidR="009032BF" w:rsidRPr="0065248F" w:rsidRDefault="009032BF" w:rsidP="009032BF">
            <w:pPr>
              <w:rPr>
                <w:bCs/>
                <w:color w:val="000000"/>
                <w:lang w:eastAsia="lt-LT"/>
              </w:rPr>
            </w:pPr>
            <w:r w:rsidRPr="0065248F">
              <w:t>STV paraiškos pobūdis</w:t>
            </w:r>
          </w:p>
        </w:tc>
        <w:tc>
          <w:tcPr>
            <w:tcW w:w="5167" w:type="dxa"/>
          </w:tcPr>
          <w:p w14:paraId="403461B9" w14:textId="2AE48BF1" w:rsidR="009032BF" w:rsidRPr="0065248F" w:rsidRDefault="00B613EB" w:rsidP="009032BF">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9032BF" w:rsidRPr="0065248F">
                  <w:rPr>
                    <w:rStyle w:val="Style2"/>
                    <w:rFonts w:ascii="MS Gothic" w:eastAsia="MS Gothic" w:hAnsi="MS Gothic"/>
                    <w:sz w:val="24"/>
                  </w:rPr>
                  <w:t>☒</w:t>
                </w:r>
              </w:sdtContent>
            </w:sdt>
            <w:r w:rsidR="009032BF" w:rsidRPr="0065248F">
              <w:t xml:space="preserve"> Pilna paraiška</w:t>
            </w:r>
          </w:p>
          <w:p w14:paraId="6B8213E3" w14:textId="3495CDF4" w:rsidR="009032BF" w:rsidRPr="0065248F" w:rsidRDefault="00B613EB" w:rsidP="009032BF">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9032BF" w:rsidRPr="0065248F">
                  <w:rPr>
                    <w:rStyle w:val="Style2"/>
                    <w:rFonts w:ascii="MS Gothic" w:eastAsia="MS Gothic" w:hAnsi="MS Gothic"/>
                    <w:sz w:val="24"/>
                  </w:rPr>
                  <w:t>☐</w:t>
                </w:r>
              </w:sdtContent>
            </w:sdt>
            <w:r w:rsidR="009032BF" w:rsidRPr="0065248F">
              <w:t xml:space="preserve"> Supaprastinta paraiška</w:t>
            </w:r>
          </w:p>
        </w:tc>
      </w:tr>
      <w:tr w:rsidR="009032BF" w:rsidRPr="0065248F" w14:paraId="274D1DAF" w14:textId="77777777" w:rsidTr="009032BF">
        <w:trPr>
          <w:trHeight w:val="1922"/>
        </w:trPr>
        <w:tc>
          <w:tcPr>
            <w:tcW w:w="632" w:type="dxa"/>
          </w:tcPr>
          <w:p w14:paraId="17ABF217" w14:textId="14AC00D7" w:rsidR="009032BF" w:rsidRPr="0065248F" w:rsidRDefault="009032BF" w:rsidP="009032BF">
            <w:pPr>
              <w:rPr>
                <w:rFonts w:eastAsia="Arial"/>
              </w:rPr>
            </w:pPr>
            <w:r w:rsidRPr="0065248F">
              <w:rPr>
                <w:rFonts w:eastAsia="Arial"/>
              </w:rPr>
              <w:t>1.6</w:t>
            </w:r>
          </w:p>
        </w:tc>
        <w:tc>
          <w:tcPr>
            <w:tcW w:w="3694" w:type="dxa"/>
          </w:tcPr>
          <w:p w14:paraId="4D49DBF5" w14:textId="77777777" w:rsidR="009032BF" w:rsidRPr="0065248F" w:rsidRDefault="009032BF" w:rsidP="009032BF">
            <w:pPr>
              <w:rPr>
                <w:bCs/>
                <w:color w:val="000000"/>
                <w:lang w:eastAsia="lt-LT"/>
              </w:rPr>
            </w:pPr>
            <w:r w:rsidRPr="0065248F">
              <w:rPr>
                <w:bCs/>
                <w:color w:val="000000"/>
                <w:lang w:eastAsia="lt-LT"/>
              </w:rPr>
              <w:t>Pareiškėjo teikiama (-</w:t>
            </w:r>
            <w:proofErr w:type="spellStart"/>
            <w:r w:rsidRPr="0065248F">
              <w:rPr>
                <w:bCs/>
                <w:color w:val="000000"/>
                <w:lang w:eastAsia="lt-LT"/>
              </w:rPr>
              <w:t>os</w:t>
            </w:r>
            <w:proofErr w:type="spellEnd"/>
            <w:r w:rsidRPr="0065248F">
              <w:rPr>
                <w:bCs/>
                <w:color w:val="000000"/>
                <w:lang w:eastAsia="lt-LT"/>
              </w:rPr>
              <w:t>) kompensuoti vaistinio preparato indikacija (-</w:t>
            </w:r>
            <w:proofErr w:type="spellStart"/>
            <w:r w:rsidRPr="0065248F">
              <w:rPr>
                <w:bCs/>
                <w:color w:val="000000"/>
                <w:lang w:eastAsia="lt-LT"/>
              </w:rPr>
              <w:t>os</w:t>
            </w:r>
            <w:proofErr w:type="spellEnd"/>
            <w:r w:rsidRPr="0065248F">
              <w:rPr>
                <w:bCs/>
                <w:color w:val="000000"/>
                <w:lang w:eastAsia="lt-LT"/>
              </w:rPr>
              <w:t>)</w:t>
            </w:r>
          </w:p>
          <w:p w14:paraId="3FB07EE5" w14:textId="77777777" w:rsidR="009032BF" w:rsidRPr="0065248F" w:rsidRDefault="009032BF" w:rsidP="009032BF">
            <w:pPr>
              <w:rPr>
                <w:bCs/>
                <w:color w:val="000000"/>
                <w:lang w:eastAsia="lt-LT"/>
              </w:rPr>
            </w:pPr>
          </w:p>
          <w:p w14:paraId="3A6B054C" w14:textId="77777777" w:rsidR="009032BF" w:rsidRPr="0065248F" w:rsidRDefault="009032BF" w:rsidP="009032BF">
            <w:pPr>
              <w:rPr>
                <w:bCs/>
                <w:color w:val="000000"/>
                <w:lang w:eastAsia="lt-LT"/>
              </w:rPr>
            </w:pPr>
          </w:p>
          <w:p w14:paraId="6B4FEEC1" w14:textId="378668B0" w:rsidR="009032BF" w:rsidRPr="0065248F" w:rsidRDefault="009032BF" w:rsidP="009032BF">
            <w:pPr>
              <w:rPr>
                <w:bCs/>
                <w:color w:val="000000"/>
                <w:lang w:eastAsia="lt-LT"/>
              </w:rPr>
            </w:pPr>
            <w:r w:rsidRPr="0065248F">
              <w:rPr>
                <w:bCs/>
                <w:color w:val="000000"/>
                <w:lang w:eastAsia="lt-LT"/>
              </w:rPr>
              <w:t>Kodas pagal TLK-10 AM</w:t>
            </w:r>
          </w:p>
        </w:tc>
        <w:tc>
          <w:tcPr>
            <w:tcW w:w="5167" w:type="dxa"/>
            <w:vAlign w:val="center"/>
          </w:tcPr>
          <w:p w14:paraId="236C403A" w14:textId="0BB81852" w:rsidR="00940E18" w:rsidRPr="0065248F" w:rsidRDefault="009032BF" w:rsidP="009032BF">
            <w:r w:rsidRPr="0065248F">
              <w:t xml:space="preserve">Suaugusiųjų anksčiau bent vienu vaistu gydytos lėtinės </w:t>
            </w:r>
            <w:proofErr w:type="spellStart"/>
            <w:r w:rsidRPr="0065248F">
              <w:t>limfoc</w:t>
            </w:r>
            <w:r w:rsidR="00940E18" w:rsidRPr="0065248F">
              <w:t>itinės</w:t>
            </w:r>
            <w:proofErr w:type="spellEnd"/>
            <w:r w:rsidR="00940E18" w:rsidRPr="0065248F">
              <w:t xml:space="preserve"> leukemijos (LLL) gydymui.</w:t>
            </w:r>
          </w:p>
          <w:p w14:paraId="1E86AC49" w14:textId="77777777" w:rsidR="00940E18" w:rsidRPr="0065248F" w:rsidRDefault="00940E18" w:rsidP="009032BF"/>
          <w:p w14:paraId="13F7DFB0" w14:textId="1D74CD69" w:rsidR="009032BF" w:rsidRPr="0065248F" w:rsidRDefault="00940E18" w:rsidP="00975ED6">
            <w:r w:rsidRPr="0065248F">
              <w:t>C91.1</w:t>
            </w:r>
          </w:p>
        </w:tc>
      </w:tr>
      <w:tr w:rsidR="009032BF" w:rsidRPr="0065248F" w14:paraId="2F79DC08" w14:textId="77777777" w:rsidTr="00BE7489">
        <w:trPr>
          <w:trHeight w:val="378"/>
        </w:trPr>
        <w:tc>
          <w:tcPr>
            <w:tcW w:w="632" w:type="dxa"/>
          </w:tcPr>
          <w:p w14:paraId="547885A2" w14:textId="08AA8055" w:rsidR="009032BF" w:rsidRPr="0065248F" w:rsidRDefault="009032BF" w:rsidP="009032BF">
            <w:pPr>
              <w:rPr>
                <w:rFonts w:eastAsia="Arial"/>
              </w:rPr>
            </w:pPr>
            <w:r w:rsidRPr="0065248F">
              <w:rPr>
                <w:rFonts w:eastAsia="Arial"/>
              </w:rPr>
              <w:t>1.6</w:t>
            </w:r>
          </w:p>
        </w:tc>
        <w:tc>
          <w:tcPr>
            <w:tcW w:w="3694" w:type="dxa"/>
          </w:tcPr>
          <w:p w14:paraId="2EAB877F" w14:textId="39A36941" w:rsidR="009032BF" w:rsidRPr="0065248F" w:rsidRDefault="009032BF" w:rsidP="009032BF">
            <w:pPr>
              <w:rPr>
                <w:bCs/>
                <w:color w:val="000000"/>
                <w:u w:val="single"/>
                <w:lang w:eastAsia="lt-LT"/>
              </w:rPr>
            </w:pPr>
            <w:r w:rsidRPr="0065248F">
              <w:rPr>
                <w:bCs/>
                <w:color w:val="000000"/>
                <w:lang w:eastAsia="lt-LT"/>
              </w:rPr>
              <w:t xml:space="preserve">Pareiškėjo teikiamos skyrimo sąlygos </w:t>
            </w:r>
          </w:p>
        </w:tc>
        <w:tc>
          <w:tcPr>
            <w:tcW w:w="5167" w:type="dxa"/>
          </w:tcPr>
          <w:p w14:paraId="18778D1B" w14:textId="77777777" w:rsidR="009032BF" w:rsidRPr="0065248F" w:rsidRDefault="009032BF" w:rsidP="009032BF">
            <w:pPr>
              <w:spacing w:line="276" w:lineRule="auto"/>
              <w:jc w:val="both"/>
              <w:rPr>
                <w:color w:val="000000"/>
                <w:lang w:eastAsia="lt-LT"/>
              </w:rPr>
            </w:pPr>
            <w:r w:rsidRPr="0065248F">
              <w:rPr>
                <w:color w:val="000000"/>
                <w:lang w:eastAsia="lt-LT"/>
              </w:rPr>
              <w:t xml:space="preserve">Identiškos vaistinio preparato </w:t>
            </w:r>
            <w:proofErr w:type="spellStart"/>
            <w:r w:rsidRPr="0065248F">
              <w:rPr>
                <w:color w:val="000000"/>
                <w:lang w:eastAsia="lt-LT"/>
              </w:rPr>
              <w:t>ibrutinibo</w:t>
            </w:r>
            <w:proofErr w:type="spellEnd"/>
            <w:r w:rsidRPr="0065248F">
              <w:rPr>
                <w:color w:val="000000"/>
                <w:lang w:eastAsia="lt-LT"/>
              </w:rPr>
              <w:t>, skiriamo antros eilės LLL pacientų gydymui, sąlygoms:</w:t>
            </w:r>
          </w:p>
          <w:p w14:paraId="42D528D7" w14:textId="77777777" w:rsidR="009032BF" w:rsidRPr="0065248F" w:rsidRDefault="009032BF" w:rsidP="009032BF">
            <w:pPr>
              <w:pStyle w:val="ListParagraph"/>
              <w:numPr>
                <w:ilvl w:val="0"/>
                <w:numId w:val="13"/>
              </w:numPr>
              <w:spacing w:line="276" w:lineRule="auto"/>
              <w:jc w:val="both"/>
              <w:rPr>
                <w:color w:val="000000"/>
                <w:lang w:eastAsia="lt-LT"/>
              </w:rPr>
            </w:pPr>
            <w:r w:rsidRPr="0065248F">
              <w:rPr>
                <w:color w:val="000000"/>
                <w:lang w:eastAsia="lt-LT"/>
              </w:rPr>
              <w:lastRenderedPageBreak/>
              <w:t xml:space="preserve">anksčiau taikytas LLL gydymas, kuriems gydymas </w:t>
            </w:r>
            <w:proofErr w:type="spellStart"/>
            <w:r w:rsidRPr="0065248F">
              <w:rPr>
                <w:color w:val="000000"/>
                <w:lang w:eastAsia="lt-LT"/>
              </w:rPr>
              <w:t>fludarabinu</w:t>
            </w:r>
            <w:proofErr w:type="spellEnd"/>
            <w:r w:rsidRPr="0065248F">
              <w:rPr>
                <w:color w:val="000000"/>
                <w:lang w:eastAsia="lt-LT"/>
              </w:rPr>
              <w:t xml:space="preserve"> netinka ir yra LLL gydymo indikacijos;</w:t>
            </w:r>
          </w:p>
          <w:p w14:paraId="0579DF58" w14:textId="74F3AA32" w:rsidR="009032BF" w:rsidRPr="0065248F" w:rsidRDefault="009032BF" w:rsidP="009032BF">
            <w:pPr>
              <w:pStyle w:val="ListParagraph"/>
              <w:numPr>
                <w:ilvl w:val="0"/>
                <w:numId w:val="13"/>
              </w:numPr>
              <w:spacing w:line="276" w:lineRule="auto"/>
              <w:jc w:val="both"/>
              <w:rPr>
                <w:color w:val="000000"/>
                <w:lang w:eastAsia="lt-LT"/>
              </w:rPr>
            </w:pPr>
            <w:r w:rsidRPr="0065248F">
              <w:rPr>
                <w:color w:val="000000"/>
                <w:lang w:eastAsia="lt-LT"/>
              </w:rPr>
              <w:t xml:space="preserve">nustatyta 17p </w:t>
            </w:r>
            <w:proofErr w:type="spellStart"/>
            <w:r w:rsidRPr="0065248F">
              <w:rPr>
                <w:color w:val="000000"/>
                <w:lang w:eastAsia="lt-LT"/>
              </w:rPr>
              <w:t>delecija</w:t>
            </w:r>
            <w:proofErr w:type="spellEnd"/>
            <w:r w:rsidRPr="0065248F">
              <w:rPr>
                <w:color w:val="000000"/>
                <w:lang w:eastAsia="lt-LT"/>
              </w:rPr>
              <w:t xml:space="preserve"> arba TP53 mutacija ir yra LLL gydymo indikacijos.</w:t>
            </w:r>
          </w:p>
        </w:tc>
      </w:tr>
      <w:tr w:rsidR="009032BF" w:rsidRPr="0065248F" w14:paraId="3B125269" w14:textId="77777777" w:rsidTr="00BE7489">
        <w:trPr>
          <w:trHeight w:val="378"/>
        </w:trPr>
        <w:tc>
          <w:tcPr>
            <w:tcW w:w="632" w:type="dxa"/>
          </w:tcPr>
          <w:p w14:paraId="0058E11F" w14:textId="77777777" w:rsidR="009032BF" w:rsidRPr="0065248F" w:rsidRDefault="009032BF" w:rsidP="009032BF">
            <w:pPr>
              <w:rPr>
                <w:rFonts w:eastAsia="Arial"/>
              </w:rPr>
            </w:pPr>
            <w:r w:rsidRPr="0065248F">
              <w:rPr>
                <w:rFonts w:eastAsia="Arial"/>
              </w:rPr>
              <w:lastRenderedPageBreak/>
              <w:t>1.7</w:t>
            </w:r>
          </w:p>
        </w:tc>
        <w:tc>
          <w:tcPr>
            <w:tcW w:w="3694" w:type="dxa"/>
          </w:tcPr>
          <w:p w14:paraId="738E1926" w14:textId="77777777" w:rsidR="009032BF" w:rsidRPr="0065248F" w:rsidRDefault="009032BF" w:rsidP="009032BF">
            <w:pPr>
              <w:rPr>
                <w:bCs/>
                <w:color w:val="000000"/>
                <w:lang w:eastAsia="lt-LT"/>
              </w:rPr>
            </w:pPr>
            <w:r w:rsidRPr="0065248F">
              <w:rPr>
                <w:bCs/>
                <w:color w:val="000000"/>
                <w:lang w:eastAsia="lt-LT"/>
              </w:rPr>
              <w:t xml:space="preserve">Pareiškėjo teikiamas palyginamasis gydymas </w:t>
            </w:r>
          </w:p>
          <w:p w14:paraId="61EC5BBD" w14:textId="67EFC4E9" w:rsidR="009032BF" w:rsidRPr="0065248F" w:rsidRDefault="00ED4784" w:rsidP="009032BF">
            <w:pPr>
              <w:rPr>
                <w:bCs/>
                <w:color w:val="000000"/>
                <w:lang w:eastAsia="lt-LT"/>
              </w:rPr>
            </w:pPr>
            <w:r w:rsidRPr="0065248F">
              <w:rPr>
                <w:bCs/>
                <w:color w:val="000000"/>
                <w:lang w:eastAsia="lt-LT"/>
              </w:rPr>
              <w:t xml:space="preserve">Tiesioginis – </w:t>
            </w:r>
            <w:proofErr w:type="spellStart"/>
            <w:r w:rsidRPr="0065248F">
              <w:rPr>
                <w:bCs/>
                <w:color w:val="000000"/>
                <w:lang w:eastAsia="lt-LT"/>
              </w:rPr>
              <w:t>ibrutinibas</w:t>
            </w:r>
            <w:proofErr w:type="spellEnd"/>
          </w:p>
          <w:p w14:paraId="4DD7BE11" w14:textId="3D27C7FD" w:rsidR="00ED4784" w:rsidRPr="0065248F" w:rsidRDefault="00ED4784" w:rsidP="009032BF">
            <w:pPr>
              <w:rPr>
                <w:bCs/>
                <w:color w:val="000000"/>
                <w:lang w:eastAsia="lt-LT"/>
              </w:rPr>
            </w:pPr>
            <w:r w:rsidRPr="0065248F">
              <w:rPr>
                <w:bCs/>
                <w:color w:val="000000"/>
                <w:lang w:eastAsia="lt-LT"/>
              </w:rPr>
              <w:t xml:space="preserve">Netiesioginis - </w:t>
            </w:r>
            <w:proofErr w:type="spellStart"/>
            <w:r w:rsidRPr="0065248F">
              <w:rPr>
                <w:bCs/>
                <w:color w:val="000000"/>
                <w:lang w:eastAsia="lt-LT"/>
              </w:rPr>
              <w:t>ibrutinibas</w:t>
            </w:r>
            <w:proofErr w:type="spellEnd"/>
          </w:p>
          <w:p w14:paraId="62057D94" w14:textId="77777777" w:rsidR="009032BF" w:rsidRPr="0065248F" w:rsidRDefault="009032BF" w:rsidP="009032BF">
            <w:pPr>
              <w:rPr>
                <w:bCs/>
                <w:color w:val="000000"/>
                <w:lang w:eastAsia="lt-LT"/>
              </w:rPr>
            </w:pPr>
          </w:p>
          <w:p w14:paraId="6CC1022E" w14:textId="2B6BCEE1" w:rsidR="009032BF" w:rsidRPr="0065248F" w:rsidRDefault="009032BF" w:rsidP="009032BF">
            <w:pPr>
              <w:rPr>
                <w:bCs/>
                <w:color w:val="000000"/>
                <w:lang w:eastAsia="lt-LT"/>
              </w:rPr>
            </w:pPr>
          </w:p>
        </w:tc>
        <w:tc>
          <w:tcPr>
            <w:tcW w:w="5167" w:type="dxa"/>
          </w:tcPr>
          <w:p w14:paraId="1F113AC0" w14:textId="672AE33F" w:rsidR="009032BF" w:rsidRPr="0065248F" w:rsidRDefault="00B613EB" w:rsidP="009032BF">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9032BF" w:rsidRPr="0065248F">
                  <w:rPr>
                    <w:rStyle w:val="Style2"/>
                    <w:rFonts w:ascii="MS Gothic" w:eastAsia="MS Gothic" w:hAnsi="MS Gothic"/>
                    <w:sz w:val="24"/>
                  </w:rPr>
                  <w:t>☒</w:t>
                </w:r>
              </w:sdtContent>
            </w:sdt>
            <w:r w:rsidR="009032BF" w:rsidRPr="0065248F">
              <w:t xml:space="preserve"> Tinkamas</w:t>
            </w:r>
          </w:p>
          <w:p w14:paraId="41B44044" w14:textId="1C44DCE3" w:rsidR="009032BF" w:rsidRPr="0065248F" w:rsidRDefault="00B613EB" w:rsidP="009032BF">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9032BF" w:rsidRPr="0065248F">
                  <w:rPr>
                    <w:rStyle w:val="Style2"/>
                    <w:rFonts w:ascii="MS Gothic" w:eastAsia="MS Gothic" w:hAnsi="MS Gothic"/>
                    <w:sz w:val="24"/>
                  </w:rPr>
                  <w:t>☐</w:t>
                </w:r>
              </w:sdtContent>
            </w:sdt>
            <w:r w:rsidR="009032BF" w:rsidRPr="0065248F">
              <w:t xml:space="preserve"> Netinkama</w:t>
            </w:r>
            <w:r w:rsidR="00E24019">
              <w:t>s</w:t>
            </w:r>
          </w:p>
        </w:tc>
      </w:tr>
    </w:tbl>
    <w:p w14:paraId="108176F7" w14:textId="640C6F75" w:rsidR="00F70C9E" w:rsidRPr="0065248F" w:rsidRDefault="00F70C9E" w:rsidP="00E03C3F">
      <w:pPr>
        <w:pStyle w:val="ListParagraph"/>
        <w:tabs>
          <w:tab w:val="left" w:pos="426"/>
        </w:tabs>
        <w:ind w:left="0"/>
        <w:rPr>
          <w:b/>
          <w:bCs/>
          <w:caps/>
        </w:rPr>
      </w:pPr>
    </w:p>
    <w:p w14:paraId="2871CA7F" w14:textId="2370BDDB" w:rsidR="00F70C9E" w:rsidRPr="0065248F" w:rsidRDefault="00F70C9E" w:rsidP="00880A44">
      <w:pPr>
        <w:spacing w:line="276" w:lineRule="auto"/>
        <w:jc w:val="both"/>
        <w:rPr>
          <w:rFonts w:eastAsia="Arial"/>
          <w:b/>
        </w:rPr>
      </w:pPr>
      <w:r w:rsidRPr="0065248F">
        <w:rPr>
          <w:rFonts w:eastAsia="Arial"/>
          <w:b/>
        </w:rPr>
        <w:t xml:space="preserve">1.8 Kitų </w:t>
      </w:r>
      <w:r w:rsidR="00DF583C" w:rsidRPr="0065248F">
        <w:rPr>
          <w:rFonts w:eastAsia="Arial"/>
          <w:b/>
        </w:rPr>
        <w:t xml:space="preserve">valstybių </w:t>
      </w:r>
      <w:r w:rsidRPr="0065248F">
        <w:rPr>
          <w:rFonts w:eastAsia="Arial"/>
          <w:b/>
        </w:rPr>
        <w:t xml:space="preserve">atsakingų institucijų atlikto </w:t>
      </w:r>
      <w:r w:rsidR="00DF583C" w:rsidRPr="0065248F">
        <w:rPr>
          <w:rFonts w:eastAsia="Arial"/>
          <w:b/>
        </w:rPr>
        <w:t>Sveikatos technologijų vertinimo (toliau – STV)</w:t>
      </w:r>
      <w:r w:rsidRPr="0065248F">
        <w:rPr>
          <w:rFonts w:eastAsia="Arial"/>
          <w:b/>
        </w:rPr>
        <w:t xml:space="preserve"> išvados</w:t>
      </w:r>
    </w:p>
    <w:p w14:paraId="30721FDD" w14:textId="77777777" w:rsidR="00F70C9E" w:rsidRPr="0065248F" w:rsidRDefault="00F70C9E" w:rsidP="00F70C9E">
      <w:pPr>
        <w:spacing w:line="276" w:lineRule="auto"/>
        <w:rPr>
          <w:rFonts w:eastAsia="Arial"/>
        </w:rPr>
      </w:pPr>
    </w:p>
    <w:tbl>
      <w:tblPr>
        <w:tblStyle w:val="TableGrid"/>
        <w:tblW w:w="9918" w:type="dxa"/>
        <w:tblLook w:val="04A0" w:firstRow="1" w:lastRow="0" w:firstColumn="1" w:lastColumn="0" w:noHBand="0" w:noVBand="1"/>
      </w:tblPr>
      <w:tblGrid>
        <w:gridCol w:w="2289"/>
        <w:gridCol w:w="2314"/>
        <w:gridCol w:w="2622"/>
        <w:gridCol w:w="2693"/>
      </w:tblGrid>
      <w:tr w:rsidR="009032BF" w:rsidRPr="0065248F" w14:paraId="653DE5D3" w14:textId="77777777" w:rsidTr="009032BF">
        <w:trPr>
          <w:trHeight w:val="924"/>
        </w:trPr>
        <w:tc>
          <w:tcPr>
            <w:tcW w:w="2289" w:type="dxa"/>
          </w:tcPr>
          <w:p w14:paraId="1E1D09D8" w14:textId="77777777" w:rsidR="009032BF" w:rsidRPr="0065248F" w:rsidRDefault="009032BF" w:rsidP="00C56BC1">
            <w:pPr>
              <w:spacing w:line="276" w:lineRule="auto"/>
              <w:rPr>
                <w:rFonts w:eastAsia="Arial"/>
              </w:rPr>
            </w:pPr>
            <w:r w:rsidRPr="0065248F">
              <w:rPr>
                <w:rFonts w:eastAsia="Arial"/>
              </w:rPr>
              <w:t>STV agentūros pavadinimas, šalis</w:t>
            </w:r>
          </w:p>
        </w:tc>
        <w:tc>
          <w:tcPr>
            <w:tcW w:w="2314" w:type="dxa"/>
          </w:tcPr>
          <w:p w14:paraId="5B0F77EA" w14:textId="77777777" w:rsidR="009032BF" w:rsidRPr="0065248F" w:rsidRDefault="009032BF" w:rsidP="00C56BC1">
            <w:pPr>
              <w:spacing w:line="276" w:lineRule="auto"/>
              <w:rPr>
                <w:rFonts w:eastAsia="Arial"/>
              </w:rPr>
            </w:pPr>
            <w:r w:rsidRPr="0065248F">
              <w:rPr>
                <w:rFonts w:eastAsia="Arial"/>
              </w:rPr>
              <w:t>STV vertinimas atliktas</w:t>
            </w:r>
          </w:p>
        </w:tc>
        <w:tc>
          <w:tcPr>
            <w:tcW w:w="2622" w:type="dxa"/>
          </w:tcPr>
          <w:p w14:paraId="7B78262E" w14:textId="77777777" w:rsidR="009032BF" w:rsidRPr="0065248F" w:rsidRDefault="009032BF" w:rsidP="00C56BC1">
            <w:pPr>
              <w:spacing w:line="276" w:lineRule="auto"/>
              <w:rPr>
                <w:rFonts w:eastAsia="Arial"/>
              </w:rPr>
            </w:pPr>
            <w:r w:rsidRPr="0065248F">
              <w:rPr>
                <w:rFonts w:eastAsia="Arial"/>
              </w:rPr>
              <w:t>Klinikinio vertinimo išvada</w:t>
            </w:r>
          </w:p>
        </w:tc>
        <w:tc>
          <w:tcPr>
            <w:tcW w:w="2693" w:type="dxa"/>
          </w:tcPr>
          <w:p w14:paraId="4B5DB6E2" w14:textId="77777777" w:rsidR="009032BF" w:rsidRPr="0065248F" w:rsidRDefault="009032BF" w:rsidP="00C56BC1">
            <w:pPr>
              <w:spacing w:line="276" w:lineRule="auto"/>
              <w:rPr>
                <w:rFonts w:eastAsia="Arial"/>
              </w:rPr>
            </w:pPr>
            <w:proofErr w:type="spellStart"/>
            <w:r w:rsidRPr="0065248F">
              <w:rPr>
                <w:rFonts w:eastAsia="Arial"/>
              </w:rPr>
              <w:t>Farmakoekonominio</w:t>
            </w:r>
            <w:proofErr w:type="spellEnd"/>
            <w:r w:rsidRPr="0065248F">
              <w:rPr>
                <w:rFonts w:eastAsia="Arial"/>
              </w:rPr>
              <w:t xml:space="preserve"> vertinimo išvada</w:t>
            </w:r>
          </w:p>
        </w:tc>
      </w:tr>
      <w:tr w:rsidR="009032BF" w:rsidRPr="0065248F" w14:paraId="05457132" w14:textId="77777777" w:rsidTr="009032BF">
        <w:trPr>
          <w:trHeight w:val="1765"/>
        </w:trPr>
        <w:tc>
          <w:tcPr>
            <w:tcW w:w="2289" w:type="dxa"/>
          </w:tcPr>
          <w:p w14:paraId="12A6B4CF" w14:textId="77777777" w:rsidR="009032BF" w:rsidRPr="0065248F" w:rsidRDefault="009032BF" w:rsidP="00C56BC1">
            <w:pPr>
              <w:autoSpaceDE w:val="0"/>
              <w:autoSpaceDN w:val="0"/>
              <w:adjustRightInd w:val="0"/>
              <w:rPr>
                <w:bCs/>
              </w:rPr>
            </w:pPr>
            <w:r w:rsidRPr="0065248F">
              <w:rPr>
                <w:bCs/>
              </w:rPr>
              <w:t>Nacionalinis sveikatos ir klinikinės kompetencijos institutas, Didžioji Britanija</w:t>
            </w:r>
          </w:p>
          <w:p w14:paraId="207324EB" w14:textId="77777777" w:rsidR="009032BF" w:rsidRPr="0065248F" w:rsidRDefault="009032BF" w:rsidP="00C56BC1">
            <w:pPr>
              <w:spacing w:line="276" w:lineRule="auto"/>
              <w:rPr>
                <w:rFonts w:eastAsia="Arial"/>
              </w:rPr>
            </w:pPr>
            <w:r w:rsidRPr="0065248F">
              <w:rPr>
                <w:rFonts w:eastAsia="Arial"/>
              </w:rPr>
              <w:t xml:space="preserve">(angl. </w:t>
            </w:r>
            <w:proofErr w:type="spellStart"/>
            <w:r w:rsidRPr="0065248F">
              <w:rPr>
                <w:rFonts w:eastAsia="Arial"/>
                <w:i/>
              </w:rPr>
              <w:t>National</w:t>
            </w:r>
            <w:proofErr w:type="spellEnd"/>
            <w:r w:rsidRPr="0065248F">
              <w:rPr>
                <w:rFonts w:eastAsia="Arial"/>
                <w:i/>
              </w:rPr>
              <w:t xml:space="preserve"> Institute </w:t>
            </w:r>
            <w:proofErr w:type="spellStart"/>
            <w:r w:rsidRPr="0065248F">
              <w:rPr>
                <w:rFonts w:eastAsia="Arial"/>
                <w:i/>
              </w:rPr>
              <w:t>for</w:t>
            </w:r>
            <w:proofErr w:type="spellEnd"/>
            <w:r w:rsidRPr="0065248F">
              <w:rPr>
                <w:rFonts w:eastAsia="Arial"/>
                <w:i/>
              </w:rPr>
              <w:t xml:space="preserve"> </w:t>
            </w:r>
            <w:proofErr w:type="spellStart"/>
            <w:r w:rsidRPr="0065248F">
              <w:rPr>
                <w:rFonts w:eastAsia="Arial"/>
                <w:i/>
              </w:rPr>
              <w:t>Health</w:t>
            </w:r>
            <w:proofErr w:type="spellEnd"/>
            <w:r w:rsidRPr="0065248F">
              <w:rPr>
                <w:rFonts w:eastAsia="Arial"/>
                <w:i/>
              </w:rPr>
              <w:t xml:space="preserve"> </w:t>
            </w:r>
            <w:proofErr w:type="spellStart"/>
            <w:r w:rsidRPr="0065248F">
              <w:rPr>
                <w:rFonts w:eastAsia="Arial"/>
                <w:i/>
              </w:rPr>
              <w:t>and</w:t>
            </w:r>
            <w:proofErr w:type="spellEnd"/>
            <w:r w:rsidRPr="0065248F">
              <w:rPr>
                <w:rFonts w:eastAsia="Arial"/>
                <w:i/>
              </w:rPr>
              <w:t xml:space="preserve"> Care </w:t>
            </w:r>
            <w:proofErr w:type="spellStart"/>
            <w:r w:rsidRPr="0065248F">
              <w:rPr>
                <w:rFonts w:eastAsia="Arial"/>
                <w:i/>
              </w:rPr>
              <w:t>Excellence</w:t>
            </w:r>
            <w:proofErr w:type="spellEnd"/>
            <w:r w:rsidRPr="0065248F">
              <w:rPr>
                <w:rFonts w:eastAsia="Arial"/>
                <w:i/>
              </w:rPr>
              <w:t>, NICE</w:t>
            </w:r>
            <w:r w:rsidRPr="0065248F">
              <w:rPr>
                <w:rFonts w:eastAsia="Arial"/>
              </w:rPr>
              <w:t>)</w:t>
            </w:r>
          </w:p>
        </w:tc>
        <w:tc>
          <w:tcPr>
            <w:tcW w:w="2314" w:type="dxa"/>
          </w:tcPr>
          <w:p w14:paraId="7C5C1C4A" w14:textId="77777777" w:rsidR="009032BF" w:rsidRPr="0065248F" w:rsidRDefault="00B613EB" w:rsidP="00C56BC1">
            <w:pPr>
              <w:pStyle w:val="ListParagraph"/>
              <w:spacing w:after="120"/>
              <w:ind w:left="0"/>
              <w:contextualSpacing w:val="0"/>
              <w:jc w:val="both"/>
            </w:pPr>
            <w:sdt>
              <w:sdtPr>
                <w:rPr>
                  <w:rStyle w:val="Style2"/>
                </w:rPr>
                <w:id w:val="918755927"/>
                <w15:color w:val="FFCC00"/>
                <w14:checkbox>
                  <w14:checked w14:val="1"/>
                  <w14:checkedState w14:val="2612" w14:font="MS Gothic"/>
                  <w14:uncheckedState w14:val="2610" w14:font="MS Gothic"/>
                </w14:checkbox>
              </w:sdtPr>
              <w:sdtEndPr>
                <w:rPr>
                  <w:rStyle w:val="Style2"/>
                </w:rPr>
              </w:sdtEndPr>
              <w:sdtContent>
                <w:r w:rsidR="009032BF" w:rsidRPr="0065248F">
                  <w:rPr>
                    <w:rStyle w:val="Style2"/>
                    <w:rFonts w:ascii="MS Gothic" w:eastAsia="MS Gothic" w:hAnsi="MS Gothic"/>
                  </w:rPr>
                  <w:t>☒</w:t>
                </w:r>
              </w:sdtContent>
            </w:sdt>
            <w:r w:rsidR="009032BF" w:rsidRPr="0065248F">
              <w:t xml:space="preserve"> Taip</w:t>
            </w:r>
          </w:p>
          <w:p w14:paraId="74B649AD" w14:textId="77777777" w:rsidR="009032BF" w:rsidRPr="0065248F" w:rsidRDefault="00B613EB" w:rsidP="00C56BC1">
            <w:pPr>
              <w:pStyle w:val="ListParagraph"/>
              <w:spacing w:after="120"/>
              <w:ind w:left="0"/>
              <w:contextualSpacing w:val="0"/>
              <w:jc w:val="both"/>
            </w:pPr>
            <w:sdt>
              <w:sdtPr>
                <w:rPr>
                  <w:rStyle w:val="Style2"/>
                </w:rPr>
                <w:id w:val="-856893046"/>
                <w15:color w:val="FFCC00"/>
                <w14:checkbox>
                  <w14:checked w14:val="0"/>
                  <w14:checkedState w14:val="2612" w14:font="MS Gothic"/>
                  <w14:uncheckedState w14:val="2610" w14:font="MS Gothic"/>
                </w14:checkbox>
              </w:sdtPr>
              <w:sdtEndPr>
                <w:rPr>
                  <w:rStyle w:val="Style2"/>
                </w:rPr>
              </w:sdtEndPr>
              <w:sdtContent>
                <w:r w:rsidR="009032BF" w:rsidRPr="0065248F">
                  <w:rPr>
                    <w:rStyle w:val="Style2"/>
                    <w:rFonts w:ascii="Segoe UI Symbol" w:eastAsia="MS Gothic" w:hAnsi="Segoe UI Symbol" w:cs="Segoe UI Symbol"/>
                  </w:rPr>
                  <w:t>☐</w:t>
                </w:r>
              </w:sdtContent>
            </w:sdt>
            <w:r w:rsidR="009032BF" w:rsidRPr="0065248F">
              <w:t xml:space="preserve"> Ne</w:t>
            </w:r>
          </w:p>
          <w:p w14:paraId="1035695D" w14:textId="77777777" w:rsidR="009032BF" w:rsidRPr="0065248F" w:rsidRDefault="00B613EB" w:rsidP="00C56BC1">
            <w:pPr>
              <w:rPr>
                <w:rFonts w:eastAsia="Arial"/>
              </w:rPr>
            </w:pPr>
            <w:sdt>
              <w:sdtPr>
                <w:alias w:val="Nurodykite konkrečią dieną"/>
                <w:tag w:val="Nurodykite pradžios datą"/>
                <w:id w:val="-3133985"/>
                <w:placeholder>
                  <w:docPart w:val="DF29160A747D40BFBF35B879828FB6D7"/>
                </w:placeholder>
                <w15:color w:val="FFCC99"/>
                <w:date>
                  <w:dateFormat w:val="yyyy 'm.' MMMM d 'd.'"/>
                  <w:lid w:val="lt-LT"/>
                  <w:storeMappedDataAs w:val="dateTime"/>
                  <w:calendar w:val="gregorian"/>
                </w:date>
              </w:sdtPr>
              <w:sdtEndPr/>
              <w:sdtContent>
                <w:r w:rsidR="009032BF" w:rsidRPr="0065248F">
                  <w:t>2021 m. balandžio 21 d.</w:t>
                </w:r>
              </w:sdtContent>
            </w:sdt>
          </w:p>
        </w:tc>
        <w:tc>
          <w:tcPr>
            <w:tcW w:w="5315" w:type="dxa"/>
            <w:gridSpan w:val="2"/>
          </w:tcPr>
          <w:p w14:paraId="6C17BD78" w14:textId="77777777" w:rsidR="009032BF" w:rsidRPr="0065248F" w:rsidRDefault="009032BF" w:rsidP="00C56BC1">
            <w:pPr>
              <w:spacing w:line="276" w:lineRule="auto"/>
            </w:pPr>
            <w:proofErr w:type="spellStart"/>
            <w:r w:rsidRPr="0065248F">
              <w:t>Monoterapija</w:t>
            </w:r>
            <w:proofErr w:type="spellEnd"/>
            <w:r w:rsidRPr="0065248F">
              <w:t xml:space="preserve"> </w:t>
            </w:r>
            <w:proofErr w:type="spellStart"/>
            <w:r w:rsidRPr="0065248F">
              <w:t>akalabrutinibu</w:t>
            </w:r>
            <w:proofErr w:type="spellEnd"/>
            <w:r w:rsidRPr="0065248F">
              <w:t xml:space="preserve"> rekomenduojama kaip pasirenkamasis gydymas esant anksčiau gydytai LLL, jei:</w:t>
            </w:r>
          </w:p>
          <w:p w14:paraId="65CC96A2" w14:textId="77777777" w:rsidR="009032BF" w:rsidRPr="0065248F" w:rsidRDefault="009032BF" w:rsidP="009032BF">
            <w:pPr>
              <w:pStyle w:val="ListParagraph"/>
              <w:numPr>
                <w:ilvl w:val="0"/>
                <w:numId w:val="14"/>
              </w:numPr>
              <w:spacing w:line="276" w:lineRule="auto"/>
              <w:rPr>
                <w:rFonts w:eastAsia="Arial"/>
              </w:rPr>
            </w:pPr>
            <w:r w:rsidRPr="0065248F">
              <w:rPr>
                <w:color w:val="000000"/>
                <w:lang w:eastAsia="lt-LT"/>
              </w:rPr>
              <w:t xml:space="preserve">nustatyta 17p </w:t>
            </w:r>
            <w:proofErr w:type="spellStart"/>
            <w:r w:rsidRPr="0065248F">
              <w:rPr>
                <w:color w:val="000000"/>
                <w:lang w:eastAsia="lt-LT"/>
              </w:rPr>
              <w:t>delecija</w:t>
            </w:r>
            <w:proofErr w:type="spellEnd"/>
            <w:r w:rsidRPr="0065248F">
              <w:rPr>
                <w:color w:val="000000"/>
                <w:lang w:eastAsia="lt-LT"/>
              </w:rPr>
              <w:t xml:space="preserve"> arba TP53 mutacija ARBA</w:t>
            </w:r>
          </w:p>
          <w:p w14:paraId="74BBB05F" w14:textId="77777777" w:rsidR="009032BF" w:rsidRPr="0065248F" w:rsidRDefault="009032BF" w:rsidP="009032BF">
            <w:pPr>
              <w:pStyle w:val="ListParagraph"/>
              <w:numPr>
                <w:ilvl w:val="0"/>
                <w:numId w:val="14"/>
              </w:numPr>
              <w:spacing w:line="276" w:lineRule="auto"/>
              <w:rPr>
                <w:rFonts w:eastAsia="Arial"/>
              </w:rPr>
            </w:pPr>
            <w:r w:rsidRPr="0065248F">
              <w:rPr>
                <w:rFonts w:eastAsia="Arial"/>
              </w:rPr>
              <w:t>ne</w:t>
            </w:r>
            <w:r w:rsidRPr="0065248F">
              <w:rPr>
                <w:color w:val="000000"/>
                <w:lang w:eastAsia="lt-LT"/>
              </w:rPr>
              <w:t xml:space="preserve">nustatyta 17p </w:t>
            </w:r>
            <w:proofErr w:type="spellStart"/>
            <w:r w:rsidRPr="0065248F">
              <w:rPr>
                <w:color w:val="000000"/>
                <w:lang w:eastAsia="lt-LT"/>
              </w:rPr>
              <w:t>delecija</w:t>
            </w:r>
            <w:proofErr w:type="spellEnd"/>
            <w:r w:rsidRPr="0065248F">
              <w:rPr>
                <w:color w:val="000000"/>
                <w:lang w:eastAsia="lt-LT"/>
              </w:rPr>
              <w:t xml:space="preserve"> ar TP53 mutacija ir gydymas </w:t>
            </w:r>
            <w:proofErr w:type="spellStart"/>
            <w:r w:rsidRPr="0065248F">
              <w:rPr>
                <w:color w:val="000000"/>
                <w:lang w:eastAsia="lt-LT"/>
              </w:rPr>
              <w:t>fludarabino</w:t>
            </w:r>
            <w:proofErr w:type="spellEnd"/>
            <w:r w:rsidRPr="0065248F">
              <w:rPr>
                <w:color w:val="000000"/>
                <w:lang w:eastAsia="lt-LT"/>
              </w:rPr>
              <w:t xml:space="preserve"> – </w:t>
            </w:r>
            <w:proofErr w:type="spellStart"/>
            <w:r w:rsidRPr="0065248F">
              <w:rPr>
                <w:color w:val="000000"/>
                <w:lang w:eastAsia="lt-LT"/>
              </w:rPr>
              <w:t>ciklofosfamido</w:t>
            </w:r>
            <w:proofErr w:type="spellEnd"/>
            <w:r w:rsidRPr="0065248F">
              <w:rPr>
                <w:color w:val="000000"/>
                <w:lang w:eastAsia="lt-LT"/>
              </w:rPr>
              <w:t xml:space="preserve"> bei </w:t>
            </w:r>
            <w:proofErr w:type="spellStart"/>
            <w:r w:rsidRPr="0065248F">
              <w:rPr>
                <w:color w:val="000000"/>
                <w:lang w:eastAsia="lt-LT"/>
              </w:rPr>
              <w:t>bendamustino</w:t>
            </w:r>
            <w:proofErr w:type="spellEnd"/>
            <w:r w:rsidRPr="0065248F">
              <w:rPr>
                <w:color w:val="000000"/>
                <w:lang w:eastAsia="lt-LT"/>
              </w:rPr>
              <w:t xml:space="preserve"> – </w:t>
            </w:r>
            <w:proofErr w:type="spellStart"/>
            <w:r w:rsidRPr="0065248F">
              <w:rPr>
                <w:color w:val="000000"/>
                <w:lang w:eastAsia="lt-LT"/>
              </w:rPr>
              <w:t>rituksimabo</w:t>
            </w:r>
            <w:proofErr w:type="spellEnd"/>
            <w:r w:rsidRPr="0065248F">
              <w:rPr>
                <w:color w:val="000000"/>
                <w:lang w:eastAsia="lt-LT"/>
              </w:rPr>
              <w:t xml:space="preserve"> deriniais netinka</w:t>
            </w:r>
          </w:p>
          <w:p w14:paraId="5F6A1F73" w14:textId="77777777" w:rsidR="009032BF" w:rsidRPr="0065248F" w:rsidRDefault="009032BF" w:rsidP="009032BF">
            <w:pPr>
              <w:pStyle w:val="ListParagraph"/>
              <w:numPr>
                <w:ilvl w:val="0"/>
                <w:numId w:val="14"/>
              </w:numPr>
              <w:spacing w:line="276" w:lineRule="auto"/>
              <w:rPr>
                <w:rFonts w:eastAsia="Arial"/>
              </w:rPr>
            </w:pPr>
            <w:r w:rsidRPr="0065248F">
              <w:rPr>
                <w:rFonts w:eastAsia="Arial"/>
              </w:rPr>
              <w:t xml:space="preserve">įmonė sutinka </w:t>
            </w:r>
            <w:r w:rsidRPr="00981620">
              <w:rPr>
                <w:rFonts w:eastAsia="Arial"/>
              </w:rPr>
              <w:t>laikytis komercinio susitarimo.</w:t>
            </w:r>
          </w:p>
        </w:tc>
      </w:tr>
      <w:tr w:rsidR="009032BF" w:rsidRPr="0065248F" w14:paraId="0E8F1625" w14:textId="77777777" w:rsidTr="009032BF">
        <w:trPr>
          <w:trHeight w:val="1547"/>
        </w:trPr>
        <w:tc>
          <w:tcPr>
            <w:tcW w:w="2289" w:type="dxa"/>
          </w:tcPr>
          <w:p w14:paraId="54144CA7" w14:textId="77777777" w:rsidR="009032BF" w:rsidRPr="0065248F" w:rsidRDefault="009032BF" w:rsidP="00C56BC1">
            <w:pPr>
              <w:spacing w:line="276" w:lineRule="auto"/>
              <w:rPr>
                <w:rFonts w:eastAsia="Arial"/>
              </w:rPr>
            </w:pPr>
            <w:r w:rsidRPr="0065248F">
              <w:rPr>
                <w:rFonts w:eastAsia="Arial"/>
              </w:rPr>
              <w:t>Kanados sveikatos technologijų agentūra</w:t>
            </w:r>
          </w:p>
          <w:p w14:paraId="29CD7311" w14:textId="77777777" w:rsidR="009032BF" w:rsidRPr="0065248F" w:rsidRDefault="009032BF" w:rsidP="00C56BC1">
            <w:pPr>
              <w:spacing w:line="276" w:lineRule="auto"/>
              <w:rPr>
                <w:rFonts w:eastAsia="Arial"/>
              </w:rPr>
            </w:pPr>
            <w:r w:rsidRPr="0065248F">
              <w:rPr>
                <w:rFonts w:eastAsia="Arial"/>
              </w:rPr>
              <w:t xml:space="preserve">(angl. </w:t>
            </w:r>
            <w:proofErr w:type="spellStart"/>
            <w:r w:rsidRPr="0065248F">
              <w:rPr>
                <w:rFonts w:eastAsia="Arial"/>
                <w:i/>
              </w:rPr>
              <w:t>Canadian</w:t>
            </w:r>
            <w:proofErr w:type="spellEnd"/>
            <w:r w:rsidRPr="0065248F">
              <w:rPr>
                <w:rFonts w:eastAsia="Arial"/>
                <w:i/>
              </w:rPr>
              <w:t xml:space="preserve"> </w:t>
            </w:r>
            <w:proofErr w:type="spellStart"/>
            <w:r w:rsidRPr="0065248F">
              <w:rPr>
                <w:rFonts w:eastAsia="Arial"/>
                <w:i/>
              </w:rPr>
              <w:t>health</w:t>
            </w:r>
            <w:proofErr w:type="spellEnd"/>
            <w:r w:rsidRPr="0065248F">
              <w:rPr>
                <w:rFonts w:eastAsia="Arial"/>
                <w:i/>
              </w:rPr>
              <w:t xml:space="preserve"> </w:t>
            </w:r>
            <w:proofErr w:type="spellStart"/>
            <w:r w:rsidRPr="0065248F">
              <w:rPr>
                <w:rFonts w:eastAsia="Arial"/>
                <w:i/>
              </w:rPr>
              <w:t>Technology</w:t>
            </w:r>
            <w:proofErr w:type="spellEnd"/>
            <w:r w:rsidRPr="0065248F">
              <w:rPr>
                <w:rFonts w:eastAsia="Arial"/>
                <w:i/>
              </w:rPr>
              <w:t xml:space="preserve"> </w:t>
            </w:r>
            <w:proofErr w:type="spellStart"/>
            <w:r w:rsidRPr="0065248F">
              <w:rPr>
                <w:rFonts w:eastAsia="Arial"/>
                <w:i/>
              </w:rPr>
              <w:t>Assessment</w:t>
            </w:r>
            <w:proofErr w:type="spellEnd"/>
            <w:r w:rsidRPr="0065248F">
              <w:rPr>
                <w:rFonts w:eastAsia="Arial"/>
                <w:i/>
              </w:rPr>
              <w:t xml:space="preserve"> </w:t>
            </w:r>
            <w:proofErr w:type="spellStart"/>
            <w:r w:rsidRPr="0065248F">
              <w:rPr>
                <w:rFonts w:eastAsia="Arial"/>
                <w:i/>
              </w:rPr>
              <w:t>agency</w:t>
            </w:r>
            <w:proofErr w:type="spellEnd"/>
            <w:r w:rsidRPr="0065248F">
              <w:rPr>
                <w:rFonts w:eastAsia="Arial"/>
                <w:i/>
              </w:rPr>
              <w:t>, CADTH</w:t>
            </w:r>
            <w:r w:rsidRPr="0065248F">
              <w:rPr>
                <w:rFonts w:eastAsia="Arial"/>
              </w:rPr>
              <w:t>)</w:t>
            </w:r>
          </w:p>
        </w:tc>
        <w:tc>
          <w:tcPr>
            <w:tcW w:w="2314" w:type="dxa"/>
          </w:tcPr>
          <w:p w14:paraId="49C42931" w14:textId="77777777" w:rsidR="009032BF" w:rsidRPr="0065248F" w:rsidRDefault="00B613EB" w:rsidP="00C56BC1">
            <w:pPr>
              <w:pStyle w:val="ListParagraph"/>
              <w:spacing w:after="120"/>
              <w:ind w:left="0"/>
              <w:contextualSpacing w:val="0"/>
              <w:jc w:val="both"/>
            </w:pPr>
            <w:sdt>
              <w:sdtPr>
                <w:rPr>
                  <w:rStyle w:val="Style2"/>
                </w:rPr>
                <w:id w:val="602073791"/>
                <w15:color w:val="FFCC00"/>
                <w14:checkbox>
                  <w14:checked w14:val="1"/>
                  <w14:checkedState w14:val="2612" w14:font="MS Gothic"/>
                  <w14:uncheckedState w14:val="2610" w14:font="MS Gothic"/>
                </w14:checkbox>
              </w:sdtPr>
              <w:sdtEndPr>
                <w:rPr>
                  <w:rStyle w:val="Style2"/>
                </w:rPr>
              </w:sdtEndPr>
              <w:sdtContent>
                <w:r w:rsidR="009032BF" w:rsidRPr="0065248F">
                  <w:rPr>
                    <w:rStyle w:val="Style2"/>
                    <w:rFonts w:ascii="MS Gothic" w:eastAsia="MS Gothic" w:hAnsi="MS Gothic"/>
                  </w:rPr>
                  <w:t>☒</w:t>
                </w:r>
              </w:sdtContent>
            </w:sdt>
            <w:r w:rsidR="009032BF" w:rsidRPr="0065248F">
              <w:t xml:space="preserve"> Taip</w:t>
            </w:r>
          </w:p>
          <w:p w14:paraId="056D2AB9" w14:textId="77777777" w:rsidR="009032BF" w:rsidRPr="0065248F" w:rsidRDefault="00B613EB" w:rsidP="00C56BC1">
            <w:pPr>
              <w:pStyle w:val="ListParagraph"/>
              <w:spacing w:after="120"/>
              <w:ind w:left="0"/>
              <w:contextualSpacing w:val="0"/>
              <w:jc w:val="both"/>
            </w:pPr>
            <w:sdt>
              <w:sdtPr>
                <w:rPr>
                  <w:rStyle w:val="Style2"/>
                </w:rPr>
                <w:id w:val="439193403"/>
                <w15:color w:val="FFCC00"/>
                <w14:checkbox>
                  <w14:checked w14:val="0"/>
                  <w14:checkedState w14:val="2612" w14:font="MS Gothic"/>
                  <w14:uncheckedState w14:val="2610" w14:font="MS Gothic"/>
                </w14:checkbox>
              </w:sdtPr>
              <w:sdtEndPr>
                <w:rPr>
                  <w:rStyle w:val="Style2"/>
                </w:rPr>
              </w:sdtEndPr>
              <w:sdtContent>
                <w:r w:rsidR="009032BF" w:rsidRPr="0065248F">
                  <w:rPr>
                    <w:rStyle w:val="Style2"/>
                    <w:rFonts w:ascii="Segoe UI Symbol" w:eastAsia="MS Gothic" w:hAnsi="Segoe UI Symbol" w:cs="Segoe UI Symbol"/>
                  </w:rPr>
                  <w:t>☐</w:t>
                </w:r>
              </w:sdtContent>
            </w:sdt>
            <w:r w:rsidR="009032BF" w:rsidRPr="0065248F">
              <w:t xml:space="preserve"> Ne</w:t>
            </w:r>
          </w:p>
          <w:p w14:paraId="480CC097" w14:textId="77777777" w:rsidR="009032BF" w:rsidRPr="0065248F" w:rsidRDefault="00B613EB" w:rsidP="00C56BC1">
            <w:pPr>
              <w:spacing w:line="276" w:lineRule="auto"/>
              <w:rPr>
                <w:rFonts w:eastAsia="Arial"/>
              </w:rPr>
            </w:pPr>
            <w:sdt>
              <w:sdtPr>
                <w:alias w:val="Nurodykite konkrečią dieną"/>
                <w:tag w:val="Nurodykite pradžios datą"/>
                <w:id w:val="459153443"/>
                <w:placeholder>
                  <w:docPart w:val="BBD98ECB47C44EBF943E34E8070C97CE"/>
                </w:placeholder>
                <w15:color w:val="FFCC99"/>
                <w:date>
                  <w:dateFormat w:val="yyyy 'm.' MMMM d 'd.'"/>
                  <w:lid w:val="lt-LT"/>
                  <w:storeMappedDataAs w:val="dateTime"/>
                  <w:calendar w:val="gregorian"/>
                </w:date>
              </w:sdtPr>
              <w:sdtEndPr/>
              <w:sdtContent>
                <w:r w:rsidR="009032BF" w:rsidRPr="0065248F">
                  <w:t>2020 m. lapkričio 17 d.</w:t>
                </w:r>
              </w:sdtContent>
            </w:sdt>
          </w:p>
        </w:tc>
        <w:tc>
          <w:tcPr>
            <w:tcW w:w="5315" w:type="dxa"/>
            <w:gridSpan w:val="2"/>
          </w:tcPr>
          <w:p w14:paraId="2C454257" w14:textId="77777777" w:rsidR="009032BF" w:rsidRPr="0065248F" w:rsidRDefault="009032BF" w:rsidP="00C56BC1">
            <w:pPr>
              <w:spacing w:line="276" w:lineRule="auto"/>
            </w:pPr>
            <w:proofErr w:type="spellStart"/>
            <w:r w:rsidRPr="00981620">
              <w:rPr>
                <w:rFonts w:eastAsia="Arial"/>
              </w:rPr>
              <w:t>Monoterapija</w:t>
            </w:r>
            <w:proofErr w:type="spellEnd"/>
            <w:r w:rsidRPr="00981620">
              <w:rPr>
                <w:rFonts w:eastAsia="Arial"/>
              </w:rPr>
              <w:t xml:space="preserve"> </w:t>
            </w:r>
            <w:proofErr w:type="spellStart"/>
            <w:r w:rsidRPr="0065248F">
              <w:t>akalabrutinibu</w:t>
            </w:r>
            <w:proofErr w:type="spellEnd"/>
            <w:r w:rsidRPr="0065248F">
              <w:t xml:space="preserve"> rekomenduojama esant LLL atkryčiui ar </w:t>
            </w:r>
            <w:proofErr w:type="spellStart"/>
            <w:r w:rsidRPr="0065248F">
              <w:t>refrakterinei</w:t>
            </w:r>
            <w:proofErr w:type="spellEnd"/>
            <w:r w:rsidRPr="0065248F">
              <w:t xml:space="preserve"> jos formai, jei:</w:t>
            </w:r>
          </w:p>
          <w:p w14:paraId="780EC324" w14:textId="77777777" w:rsidR="009032BF" w:rsidRPr="00981620" w:rsidRDefault="009032BF" w:rsidP="009032BF">
            <w:pPr>
              <w:pStyle w:val="ListParagraph"/>
              <w:numPr>
                <w:ilvl w:val="0"/>
                <w:numId w:val="15"/>
              </w:numPr>
              <w:spacing w:line="276" w:lineRule="auto"/>
              <w:rPr>
                <w:rFonts w:eastAsia="Arial"/>
              </w:rPr>
            </w:pPr>
            <w:r w:rsidRPr="00981620">
              <w:rPr>
                <w:rFonts w:eastAsia="Arial"/>
              </w:rPr>
              <w:t>anksčiau buvo taikytas bent vienas gydymo metodas ir</w:t>
            </w:r>
          </w:p>
          <w:p w14:paraId="69613D7A" w14:textId="77777777" w:rsidR="009032BF" w:rsidRPr="0065248F" w:rsidRDefault="009032BF" w:rsidP="009032BF">
            <w:pPr>
              <w:pStyle w:val="ListParagraph"/>
              <w:numPr>
                <w:ilvl w:val="0"/>
                <w:numId w:val="15"/>
              </w:numPr>
              <w:spacing w:line="276" w:lineRule="auto"/>
              <w:rPr>
                <w:rFonts w:eastAsia="Arial"/>
              </w:rPr>
            </w:pPr>
            <w:r w:rsidRPr="00981620">
              <w:rPr>
                <w:rFonts w:eastAsia="Arial"/>
              </w:rPr>
              <w:t xml:space="preserve">pagal </w:t>
            </w:r>
            <w:proofErr w:type="spellStart"/>
            <w:r w:rsidRPr="00981620">
              <w:rPr>
                <w:rFonts w:eastAsia="Arial"/>
              </w:rPr>
              <w:t>iwCLL</w:t>
            </w:r>
            <w:proofErr w:type="spellEnd"/>
            <w:r w:rsidRPr="00981620">
              <w:rPr>
                <w:rFonts w:eastAsia="Arial"/>
              </w:rPr>
              <w:t xml:space="preserve"> 2008 m. kriterijus nustatyta aktyvi liga</w:t>
            </w:r>
          </w:p>
          <w:p w14:paraId="528065D5" w14:textId="77777777" w:rsidR="009032BF" w:rsidRPr="0065248F" w:rsidRDefault="009032BF" w:rsidP="009032BF">
            <w:pPr>
              <w:pStyle w:val="ListParagraph"/>
              <w:numPr>
                <w:ilvl w:val="0"/>
                <w:numId w:val="15"/>
              </w:numPr>
              <w:spacing w:line="276" w:lineRule="auto"/>
              <w:rPr>
                <w:rFonts w:eastAsia="Arial"/>
              </w:rPr>
            </w:pPr>
            <w:r w:rsidRPr="00981620">
              <w:rPr>
                <w:rFonts w:eastAsia="Arial"/>
              </w:rPr>
              <w:t>pacientas yra geros funkcinės būklės</w:t>
            </w:r>
          </w:p>
          <w:p w14:paraId="22CF8787" w14:textId="4611C3C7" w:rsidR="009032BF" w:rsidRPr="0065248F" w:rsidRDefault="0065248F" w:rsidP="009032BF">
            <w:pPr>
              <w:pStyle w:val="ListParagraph"/>
              <w:numPr>
                <w:ilvl w:val="0"/>
                <w:numId w:val="15"/>
              </w:numPr>
              <w:spacing w:line="276" w:lineRule="auto"/>
              <w:rPr>
                <w:rFonts w:eastAsia="Arial"/>
              </w:rPr>
            </w:pPr>
            <w:r>
              <w:rPr>
                <w:rFonts w:eastAsia="Arial"/>
              </w:rPr>
              <w:t>pareiškėjas</w:t>
            </w:r>
            <w:r w:rsidRPr="00981620">
              <w:rPr>
                <w:rFonts w:eastAsia="Arial"/>
              </w:rPr>
              <w:t xml:space="preserve"> </w:t>
            </w:r>
            <w:r w:rsidR="009032BF" w:rsidRPr="00981620">
              <w:rPr>
                <w:rFonts w:eastAsia="Arial"/>
              </w:rPr>
              <w:t>sutinka laikytis komercinio susitarimo.</w:t>
            </w:r>
          </w:p>
        </w:tc>
      </w:tr>
      <w:tr w:rsidR="009032BF" w:rsidRPr="0065248F" w14:paraId="3B8EB8F1" w14:textId="77777777" w:rsidTr="009032BF">
        <w:trPr>
          <w:trHeight w:val="1927"/>
        </w:trPr>
        <w:tc>
          <w:tcPr>
            <w:tcW w:w="2289" w:type="dxa"/>
          </w:tcPr>
          <w:p w14:paraId="22514397" w14:textId="77777777" w:rsidR="009032BF" w:rsidRPr="0065248F" w:rsidRDefault="009032BF" w:rsidP="00C56BC1">
            <w:pPr>
              <w:spacing w:line="276" w:lineRule="auto"/>
              <w:rPr>
                <w:rFonts w:eastAsia="Arial"/>
              </w:rPr>
            </w:pPr>
            <w:r w:rsidRPr="0065248F">
              <w:rPr>
                <w:rFonts w:eastAsia="Arial"/>
              </w:rPr>
              <w:t xml:space="preserve">Nacionalinis </w:t>
            </w:r>
            <w:proofErr w:type="spellStart"/>
            <w:r w:rsidRPr="0065248F">
              <w:rPr>
                <w:rFonts w:eastAsia="Arial"/>
              </w:rPr>
              <w:t>farmakoekonomikos</w:t>
            </w:r>
            <w:proofErr w:type="spellEnd"/>
            <w:r w:rsidRPr="0065248F">
              <w:rPr>
                <w:rFonts w:eastAsia="Arial"/>
              </w:rPr>
              <w:t xml:space="preserve"> centras, Airija</w:t>
            </w:r>
          </w:p>
          <w:p w14:paraId="229AA989" w14:textId="77777777" w:rsidR="009032BF" w:rsidRPr="0065248F" w:rsidRDefault="009032BF" w:rsidP="00C56BC1">
            <w:pPr>
              <w:spacing w:line="276" w:lineRule="auto"/>
              <w:rPr>
                <w:rFonts w:eastAsia="Arial"/>
              </w:rPr>
            </w:pPr>
            <w:r w:rsidRPr="0065248F">
              <w:rPr>
                <w:rFonts w:eastAsia="Arial"/>
              </w:rPr>
              <w:t>(angl.</w:t>
            </w:r>
            <w:r w:rsidRPr="0065248F">
              <w:rPr>
                <w:rFonts w:eastAsia="Arial"/>
                <w:i/>
              </w:rPr>
              <w:t xml:space="preserve"> </w:t>
            </w:r>
            <w:proofErr w:type="spellStart"/>
            <w:r w:rsidRPr="0065248F">
              <w:rPr>
                <w:rFonts w:eastAsia="Arial"/>
                <w:i/>
              </w:rPr>
              <w:t>National</w:t>
            </w:r>
            <w:proofErr w:type="spellEnd"/>
            <w:r w:rsidRPr="0065248F">
              <w:rPr>
                <w:rFonts w:eastAsia="Arial"/>
                <w:i/>
              </w:rPr>
              <w:t xml:space="preserve"> Centre </w:t>
            </w:r>
            <w:proofErr w:type="spellStart"/>
            <w:r w:rsidRPr="0065248F">
              <w:rPr>
                <w:rFonts w:eastAsia="Arial"/>
                <w:i/>
              </w:rPr>
              <w:t>for</w:t>
            </w:r>
            <w:proofErr w:type="spellEnd"/>
            <w:r w:rsidRPr="0065248F">
              <w:rPr>
                <w:rFonts w:eastAsia="Arial"/>
                <w:i/>
              </w:rPr>
              <w:t xml:space="preserve"> </w:t>
            </w:r>
            <w:proofErr w:type="spellStart"/>
            <w:r w:rsidRPr="0065248F">
              <w:rPr>
                <w:rFonts w:eastAsia="Arial"/>
                <w:i/>
              </w:rPr>
              <w:t>Pharmacoeconomics</w:t>
            </w:r>
            <w:proofErr w:type="spellEnd"/>
            <w:r w:rsidRPr="0065248F">
              <w:rPr>
                <w:rFonts w:eastAsia="Arial"/>
                <w:i/>
              </w:rPr>
              <w:t>, NCPE</w:t>
            </w:r>
            <w:r w:rsidRPr="0065248F">
              <w:rPr>
                <w:rFonts w:eastAsia="Arial"/>
              </w:rPr>
              <w:t>)</w:t>
            </w:r>
          </w:p>
        </w:tc>
        <w:tc>
          <w:tcPr>
            <w:tcW w:w="2314" w:type="dxa"/>
          </w:tcPr>
          <w:p w14:paraId="2266B0A8" w14:textId="77777777" w:rsidR="009032BF" w:rsidRPr="0065248F" w:rsidRDefault="00B613EB" w:rsidP="00C56BC1">
            <w:pPr>
              <w:pStyle w:val="ListParagraph"/>
              <w:spacing w:after="120"/>
              <w:ind w:left="0"/>
              <w:contextualSpacing w:val="0"/>
              <w:jc w:val="both"/>
            </w:pPr>
            <w:sdt>
              <w:sdtPr>
                <w:rPr>
                  <w:rStyle w:val="Style2"/>
                </w:rPr>
                <w:id w:val="924611845"/>
                <w15:color w:val="FFCC00"/>
                <w14:checkbox>
                  <w14:checked w14:val="1"/>
                  <w14:checkedState w14:val="2612" w14:font="MS Gothic"/>
                  <w14:uncheckedState w14:val="2610" w14:font="MS Gothic"/>
                </w14:checkbox>
              </w:sdtPr>
              <w:sdtEndPr>
                <w:rPr>
                  <w:rStyle w:val="Style2"/>
                </w:rPr>
              </w:sdtEndPr>
              <w:sdtContent>
                <w:r w:rsidR="009032BF" w:rsidRPr="0065248F">
                  <w:rPr>
                    <w:rStyle w:val="Style2"/>
                    <w:rFonts w:ascii="MS Gothic" w:eastAsia="MS Gothic" w:hAnsi="MS Gothic"/>
                  </w:rPr>
                  <w:t>☒</w:t>
                </w:r>
              </w:sdtContent>
            </w:sdt>
            <w:r w:rsidR="009032BF" w:rsidRPr="0065248F">
              <w:t xml:space="preserve"> Taip</w:t>
            </w:r>
          </w:p>
          <w:p w14:paraId="5893E63C" w14:textId="77777777" w:rsidR="009032BF" w:rsidRPr="0065248F" w:rsidRDefault="00B613EB" w:rsidP="00C56BC1">
            <w:pPr>
              <w:pStyle w:val="ListParagraph"/>
              <w:spacing w:after="120"/>
              <w:ind w:left="0"/>
              <w:contextualSpacing w:val="0"/>
              <w:jc w:val="both"/>
            </w:pPr>
            <w:sdt>
              <w:sdtPr>
                <w:rPr>
                  <w:rStyle w:val="Style2"/>
                </w:rPr>
                <w:id w:val="-1550527192"/>
                <w15:color w:val="FFCC00"/>
                <w14:checkbox>
                  <w14:checked w14:val="0"/>
                  <w14:checkedState w14:val="2612" w14:font="MS Gothic"/>
                  <w14:uncheckedState w14:val="2610" w14:font="MS Gothic"/>
                </w14:checkbox>
              </w:sdtPr>
              <w:sdtEndPr>
                <w:rPr>
                  <w:rStyle w:val="Style2"/>
                </w:rPr>
              </w:sdtEndPr>
              <w:sdtContent>
                <w:r w:rsidR="009032BF" w:rsidRPr="0065248F">
                  <w:rPr>
                    <w:rStyle w:val="Style2"/>
                    <w:rFonts w:ascii="MS Gothic" w:eastAsia="MS Gothic" w:hAnsi="MS Gothic"/>
                  </w:rPr>
                  <w:t>☐</w:t>
                </w:r>
              </w:sdtContent>
            </w:sdt>
            <w:r w:rsidR="009032BF" w:rsidRPr="0065248F">
              <w:t xml:space="preserve"> Ne</w:t>
            </w:r>
          </w:p>
          <w:p w14:paraId="3CF47765" w14:textId="77777777" w:rsidR="009032BF" w:rsidRPr="0065248F" w:rsidRDefault="00B613EB" w:rsidP="00C56BC1">
            <w:pPr>
              <w:spacing w:line="276" w:lineRule="auto"/>
              <w:rPr>
                <w:rFonts w:eastAsia="Arial"/>
              </w:rPr>
            </w:pPr>
            <w:sdt>
              <w:sdtPr>
                <w:alias w:val="Nurodykite konkrečią dieną"/>
                <w:tag w:val="Nurodykite pradžios datą"/>
                <w:id w:val="-1109655105"/>
                <w:placeholder>
                  <w:docPart w:val="C88644625D434A5FB009E4E104776C5C"/>
                </w:placeholder>
                <w15:color w:val="FFCC99"/>
                <w:date>
                  <w:dateFormat w:val="yyyy 'm.' MMMM d 'd.'"/>
                  <w:lid w:val="lt-LT"/>
                  <w:storeMappedDataAs w:val="dateTime"/>
                  <w:calendar w:val="gregorian"/>
                </w:date>
              </w:sdtPr>
              <w:sdtEndPr/>
              <w:sdtContent>
                <w:r w:rsidR="009032BF" w:rsidRPr="0065248F">
                  <w:t>2021 m. vasario 4 d.</w:t>
                </w:r>
              </w:sdtContent>
            </w:sdt>
          </w:p>
        </w:tc>
        <w:tc>
          <w:tcPr>
            <w:tcW w:w="5315" w:type="dxa"/>
            <w:gridSpan w:val="2"/>
          </w:tcPr>
          <w:p w14:paraId="0995313D" w14:textId="05928FD6" w:rsidR="009032BF" w:rsidRPr="0065248F" w:rsidRDefault="009032BF" w:rsidP="00975ED6">
            <w:pPr>
              <w:spacing w:line="276" w:lineRule="auto"/>
              <w:rPr>
                <w:rFonts w:eastAsia="Arial"/>
              </w:rPr>
            </w:pPr>
            <w:r w:rsidRPr="0065248F">
              <w:rPr>
                <w:rFonts w:eastAsia="Arial"/>
              </w:rPr>
              <w:t xml:space="preserve">STV nuspręsta neatlikti dėl netinkamos </w:t>
            </w:r>
            <w:r w:rsidR="00975ED6" w:rsidRPr="0065248F">
              <w:rPr>
                <w:rFonts w:eastAsia="Arial"/>
              </w:rPr>
              <w:t xml:space="preserve">pareiškėjo </w:t>
            </w:r>
            <w:r w:rsidRPr="0065248F">
              <w:rPr>
                <w:rFonts w:eastAsia="Arial"/>
              </w:rPr>
              <w:t xml:space="preserve">siūlomos kainos. 2021 m. spalio mėn. po konfidencialių derybų dėl kainos HSE (angl. </w:t>
            </w:r>
            <w:proofErr w:type="spellStart"/>
            <w:r w:rsidRPr="0065248F">
              <w:rPr>
                <w:rFonts w:eastAsia="Arial"/>
                <w:i/>
                <w:iCs/>
              </w:rPr>
              <w:t>Health</w:t>
            </w:r>
            <w:proofErr w:type="spellEnd"/>
            <w:r w:rsidRPr="0065248F">
              <w:rPr>
                <w:rFonts w:eastAsia="Arial"/>
                <w:i/>
                <w:iCs/>
              </w:rPr>
              <w:t xml:space="preserve"> </w:t>
            </w:r>
            <w:proofErr w:type="spellStart"/>
            <w:r w:rsidRPr="0065248F">
              <w:rPr>
                <w:rFonts w:eastAsia="Arial"/>
                <w:i/>
                <w:iCs/>
              </w:rPr>
              <w:t>Service</w:t>
            </w:r>
            <w:proofErr w:type="spellEnd"/>
            <w:r w:rsidRPr="0065248F">
              <w:rPr>
                <w:rFonts w:eastAsia="Arial"/>
                <w:i/>
                <w:iCs/>
              </w:rPr>
              <w:t xml:space="preserve"> </w:t>
            </w:r>
            <w:proofErr w:type="spellStart"/>
            <w:r w:rsidRPr="0065248F">
              <w:rPr>
                <w:rFonts w:eastAsia="Arial"/>
                <w:i/>
                <w:iCs/>
              </w:rPr>
              <w:t>Executive</w:t>
            </w:r>
            <w:proofErr w:type="spellEnd"/>
            <w:r w:rsidRPr="0065248F">
              <w:rPr>
                <w:rFonts w:eastAsia="Arial"/>
              </w:rPr>
              <w:t>) pri</w:t>
            </w:r>
            <w:r w:rsidR="00975ED6" w:rsidRPr="0065248F">
              <w:rPr>
                <w:rFonts w:eastAsia="Arial"/>
              </w:rPr>
              <w:t>ė</w:t>
            </w:r>
            <w:r w:rsidRPr="0065248F">
              <w:rPr>
                <w:rFonts w:eastAsia="Arial"/>
              </w:rPr>
              <w:t>mė sprendimą kompensuoti vaistinį preparatą esant anksčiau gydytai LLL.</w:t>
            </w:r>
          </w:p>
        </w:tc>
      </w:tr>
      <w:tr w:rsidR="009032BF" w:rsidRPr="0065248F" w14:paraId="1A2BF606" w14:textId="77777777" w:rsidTr="009032BF">
        <w:trPr>
          <w:trHeight w:val="690"/>
        </w:trPr>
        <w:tc>
          <w:tcPr>
            <w:tcW w:w="2289" w:type="dxa"/>
          </w:tcPr>
          <w:p w14:paraId="6D59CFD6" w14:textId="77777777" w:rsidR="009032BF" w:rsidRPr="0065248F" w:rsidRDefault="009032BF" w:rsidP="00C56BC1">
            <w:pPr>
              <w:spacing w:line="276" w:lineRule="auto"/>
              <w:rPr>
                <w:rFonts w:eastAsia="Arial"/>
              </w:rPr>
            </w:pPr>
            <w:r w:rsidRPr="0065248F">
              <w:rPr>
                <w:rFonts w:eastAsia="Arial"/>
              </w:rPr>
              <w:t xml:space="preserve">Škotijos medicinos konsorciumas (angl. </w:t>
            </w:r>
            <w:proofErr w:type="spellStart"/>
            <w:r w:rsidRPr="0065248F">
              <w:rPr>
                <w:rFonts w:eastAsia="Arial"/>
                <w:i/>
              </w:rPr>
              <w:lastRenderedPageBreak/>
              <w:t>Scottish</w:t>
            </w:r>
            <w:proofErr w:type="spellEnd"/>
            <w:r w:rsidRPr="0065248F">
              <w:rPr>
                <w:rFonts w:eastAsia="Arial"/>
                <w:i/>
              </w:rPr>
              <w:t xml:space="preserve"> </w:t>
            </w:r>
            <w:proofErr w:type="spellStart"/>
            <w:r w:rsidRPr="0065248F">
              <w:rPr>
                <w:rFonts w:eastAsia="Arial"/>
                <w:i/>
              </w:rPr>
              <w:t>Medicines</w:t>
            </w:r>
            <w:proofErr w:type="spellEnd"/>
            <w:r w:rsidRPr="0065248F">
              <w:rPr>
                <w:rFonts w:eastAsia="Arial"/>
                <w:i/>
              </w:rPr>
              <w:t xml:space="preserve"> </w:t>
            </w:r>
            <w:proofErr w:type="spellStart"/>
            <w:r w:rsidRPr="0065248F">
              <w:rPr>
                <w:rFonts w:eastAsia="Arial"/>
                <w:i/>
              </w:rPr>
              <w:t>Consortium</w:t>
            </w:r>
            <w:proofErr w:type="spellEnd"/>
            <w:r w:rsidRPr="0065248F">
              <w:rPr>
                <w:rFonts w:eastAsia="Arial"/>
                <w:i/>
              </w:rPr>
              <w:t>, SMC</w:t>
            </w:r>
            <w:r w:rsidRPr="0065248F">
              <w:rPr>
                <w:rFonts w:eastAsia="Arial"/>
              </w:rPr>
              <w:t>)</w:t>
            </w:r>
          </w:p>
        </w:tc>
        <w:tc>
          <w:tcPr>
            <w:tcW w:w="2314" w:type="dxa"/>
          </w:tcPr>
          <w:p w14:paraId="2987403A" w14:textId="77777777" w:rsidR="009032BF" w:rsidRPr="0065248F" w:rsidRDefault="00B613EB" w:rsidP="00C56BC1">
            <w:pPr>
              <w:pStyle w:val="ListParagraph"/>
              <w:spacing w:after="120"/>
              <w:ind w:left="0"/>
              <w:contextualSpacing w:val="0"/>
              <w:jc w:val="both"/>
            </w:pPr>
            <w:sdt>
              <w:sdtPr>
                <w:rPr>
                  <w:rStyle w:val="Style2"/>
                </w:rPr>
                <w:id w:val="-1222666236"/>
                <w15:color w:val="FFCC00"/>
                <w14:checkbox>
                  <w14:checked w14:val="1"/>
                  <w14:checkedState w14:val="2612" w14:font="MS Gothic"/>
                  <w14:uncheckedState w14:val="2610" w14:font="MS Gothic"/>
                </w14:checkbox>
              </w:sdtPr>
              <w:sdtEndPr>
                <w:rPr>
                  <w:rStyle w:val="Style2"/>
                </w:rPr>
              </w:sdtEndPr>
              <w:sdtContent>
                <w:r w:rsidR="009032BF" w:rsidRPr="0065248F">
                  <w:rPr>
                    <w:rStyle w:val="Style2"/>
                    <w:rFonts w:ascii="MS Gothic" w:eastAsia="MS Gothic" w:hAnsi="MS Gothic"/>
                  </w:rPr>
                  <w:t>☒</w:t>
                </w:r>
              </w:sdtContent>
            </w:sdt>
            <w:r w:rsidR="009032BF" w:rsidRPr="0065248F">
              <w:t xml:space="preserve"> Taip</w:t>
            </w:r>
          </w:p>
          <w:p w14:paraId="44B7B1BC" w14:textId="77777777" w:rsidR="009032BF" w:rsidRPr="0065248F" w:rsidRDefault="00B613EB" w:rsidP="00C56BC1">
            <w:pPr>
              <w:pStyle w:val="ListParagraph"/>
              <w:spacing w:after="120"/>
              <w:ind w:left="0"/>
              <w:contextualSpacing w:val="0"/>
              <w:jc w:val="both"/>
            </w:pPr>
            <w:sdt>
              <w:sdtPr>
                <w:rPr>
                  <w:rStyle w:val="Style2"/>
                </w:rPr>
                <w:id w:val="885764470"/>
                <w15:color w:val="FFCC00"/>
                <w14:checkbox>
                  <w14:checked w14:val="0"/>
                  <w14:checkedState w14:val="2612" w14:font="MS Gothic"/>
                  <w14:uncheckedState w14:val="2610" w14:font="MS Gothic"/>
                </w14:checkbox>
              </w:sdtPr>
              <w:sdtEndPr>
                <w:rPr>
                  <w:rStyle w:val="Style2"/>
                </w:rPr>
              </w:sdtEndPr>
              <w:sdtContent>
                <w:r w:rsidR="009032BF" w:rsidRPr="0065248F">
                  <w:rPr>
                    <w:rStyle w:val="Style2"/>
                    <w:rFonts w:ascii="MS Gothic" w:eastAsia="MS Gothic" w:hAnsi="MS Gothic"/>
                  </w:rPr>
                  <w:t>☐</w:t>
                </w:r>
              </w:sdtContent>
            </w:sdt>
            <w:r w:rsidR="009032BF" w:rsidRPr="0065248F">
              <w:t xml:space="preserve"> Ne</w:t>
            </w:r>
          </w:p>
          <w:p w14:paraId="562A49C5" w14:textId="77777777" w:rsidR="009032BF" w:rsidRPr="0065248F" w:rsidRDefault="00B613EB" w:rsidP="00C56BC1">
            <w:pPr>
              <w:pStyle w:val="ListParagraph"/>
              <w:spacing w:after="120"/>
              <w:ind w:left="0"/>
              <w:contextualSpacing w:val="0"/>
              <w:jc w:val="both"/>
              <w:rPr>
                <w:rStyle w:val="Style2"/>
              </w:rPr>
            </w:pPr>
            <w:sdt>
              <w:sdtPr>
                <w:rPr>
                  <w:sz w:val="32"/>
                </w:rPr>
                <w:alias w:val="Nurodykite konkrečią dieną"/>
                <w:tag w:val="Nurodykite pradžios datą"/>
                <w:id w:val="1811206414"/>
                <w:placeholder>
                  <w:docPart w:val="FCB40CE61861419AAF1F318F7707E5D0"/>
                </w:placeholder>
                <w15:color w:val="FFCC99"/>
                <w:date>
                  <w:dateFormat w:val="yyyy 'm.' MMMM d 'd.'"/>
                  <w:lid w:val="lt-LT"/>
                  <w:storeMappedDataAs w:val="dateTime"/>
                  <w:calendar w:val="gregorian"/>
                </w:date>
              </w:sdtPr>
              <w:sdtEndPr/>
              <w:sdtContent>
                <w:r w:rsidR="009032BF" w:rsidRPr="0065248F">
                  <w:t>2021 m. kovo 5 d.</w:t>
                </w:r>
              </w:sdtContent>
            </w:sdt>
          </w:p>
        </w:tc>
        <w:tc>
          <w:tcPr>
            <w:tcW w:w="5315" w:type="dxa"/>
            <w:gridSpan w:val="2"/>
          </w:tcPr>
          <w:p w14:paraId="2F5CE78E" w14:textId="77777777" w:rsidR="009032BF" w:rsidRPr="0065248F" w:rsidRDefault="009032BF" w:rsidP="00C56BC1">
            <w:pPr>
              <w:spacing w:line="276" w:lineRule="auto"/>
              <w:rPr>
                <w:rFonts w:eastAsia="Arial"/>
              </w:rPr>
            </w:pPr>
            <w:proofErr w:type="spellStart"/>
            <w:r w:rsidRPr="0065248F">
              <w:rPr>
                <w:rFonts w:eastAsia="Arial"/>
              </w:rPr>
              <w:lastRenderedPageBreak/>
              <w:t>Monoterapija</w:t>
            </w:r>
            <w:proofErr w:type="spellEnd"/>
            <w:r w:rsidRPr="0065248F">
              <w:rPr>
                <w:rFonts w:eastAsia="Arial"/>
              </w:rPr>
              <w:t xml:space="preserve"> </w:t>
            </w:r>
            <w:proofErr w:type="spellStart"/>
            <w:r w:rsidRPr="0065248F">
              <w:rPr>
                <w:rFonts w:eastAsia="Arial"/>
              </w:rPr>
              <w:t>akalabrutinibu</w:t>
            </w:r>
            <w:proofErr w:type="spellEnd"/>
            <w:r w:rsidRPr="0065248F">
              <w:rPr>
                <w:rFonts w:eastAsia="Arial"/>
              </w:rPr>
              <w:t xml:space="preserve"> rekomenduojama </w:t>
            </w:r>
            <w:r w:rsidRPr="0065248F">
              <w:t xml:space="preserve">esant anksčiau gydytos LLL atkryčiui ar </w:t>
            </w:r>
            <w:proofErr w:type="spellStart"/>
            <w:r w:rsidRPr="0065248F">
              <w:t>refrakterinei</w:t>
            </w:r>
            <w:proofErr w:type="spellEnd"/>
            <w:r w:rsidRPr="0065248F">
              <w:t xml:space="preserve"> jos formai, kuriems </w:t>
            </w:r>
            <w:proofErr w:type="spellStart"/>
            <w:r w:rsidRPr="0065248F">
              <w:t>chemoimunoterapija</w:t>
            </w:r>
            <w:proofErr w:type="spellEnd"/>
            <w:r w:rsidRPr="0065248F">
              <w:t xml:space="preserve"> yra netinkama.</w:t>
            </w:r>
          </w:p>
        </w:tc>
      </w:tr>
    </w:tbl>
    <w:p w14:paraId="4FC15F2B" w14:textId="77777777" w:rsidR="00ED4784" w:rsidRPr="0065248F" w:rsidRDefault="00ED4784" w:rsidP="00ED4784">
      <w:pPr>
        <w:tabs>
          <w:tab w:val="left" w:pos="567"/>
        </w:tabs>
        <w:rPr>
          <w:b/>
          <w:bCs/>
          <w:caps/>
        </w:rPr>
      </w:pPr>
    </w:p>
    <w:p w14:paraId="5055E8A8" w14:textId="65217639" w:rsidR="002E6F80" w:rsidRPr="0065248F" w:rsidRDefault="00CC7832" w:rsidP="00CC09D4">
      <w:pPr>
        <w:pStyle w:val="ListParagraph"/>
        <w:numPr>
          <w:ilvl w:val="0"/>
          <w:numId w:val="12"/>
        </w:numPr>
        <w:tabs>
          <w:tab w:val="left" w:pos="567"/>
        </w:tabs>
        <w:ind w:hanging="720"/>
        <w:rPr>
          <w:b/>
          <w:bCs/>
          <w:caps/>
        </w:rPr>
      </w:pPr>
      <w:r w:rsidRPr="0065248F">
        <w:rPr>
          <w:b/>
          <w:bCs/>
          <w:caps/>
        </w:rPr>
        <w:t>Klinikinio vertinimo a</w:t>
      </w:r>
      <w:r w:rsidR="00D4485B" w:rsidRPr="0065248F">
        <w:rPr>
          <w:b/>
          <w:bCs/>
          <w:caps/>
        </w:rPr>
        <w:t>pibendrinimas</w:t>
      </w:r>
    </w:p>
    <w:p w14:paraId="25F89291" w14:textId="191B2790" w:rsidR="00D4485B" w:rsidRPr="0065248F" w:rsidRDefault="00D4485B" w:rsidP="00A93AA6">
      <w:pPr>
        <w:pStyle w:val="ListParagraph"/>
        <w:tabs>
          <w:tab w:val="left" w:pos="426"/>
        </w:tabs>
        <w:ind w:left="0"/>
        <w:rPr>
          <w:b/>
          <w:bCs/>
          <w:caps/>
        </w:rPr>
      </w:pPr>
    </w:p>
    <w:p w14:paraId="6E0E91A1" w14:textId="532E1824" w:rsidR="009032BF" w:rsidRPr="0065248F" w:rsidRDefault="009032BF" w:rsidP="00981620">
      <w:pPr>
        <w:pStyle w:val="ListParagraph"/>
        <w:tabs>
          <w:tab w:val="left" w:pos="426"/>
        </w:tabs>
        <w:spacing w:line="276" w:lineRule="auto"/>
        <w:ind w:left="0"/>
        <w:jc w:val="both"/>
        <w:rPr>
          <w:color w:val="000000"/>
          <w:lang w:eastAsia="lt-LT"/>
        </w:rPr>
      </w:pPr>
      <w:r w:rsidRPr="0065248F">
        <w:rPr>
          <w:color w:val="000000"/>
          <w:lang w:eastAsia="lt-LT"/>
        </w:rPr>
        <w:tab/>
      </w:r>
      <w:r w:rsidRPr="0065248F">
        <w:rPr>
          <w:color w:val="000000"/>
          <w:lang w:eastAsia="lt-LT"/>
        </w:rPr>
        <w:tab/>
        <w:t xml:space="preserve">Lėtinė </w:t>
      </w:r>
      <w:proofErr w:type="spellStart"/>
      <w:r w:rsidRPr="0065248F">
        <w:rPr>
          <w:color w:val="000000"/>
          <w:lang w:eastAsia="lt-LT"/>
        </w:rPr>
        <w:t>limfocitinė</w:t>
      </w:r>
      <w:proofErr w:type="spellEnd"/>
      <w:r w:rsidRPr="0065248F">
        <w:rPr>
          <w:color w:val="000000"/>
          <w:lang w:eastAsia="lt-LT"/>
        </w:rPr>
        <w:t xml:space="preserve"> leukemija yra piktybinė kraujo liga, kuriai būdinga nekontroliuojama </w:t>
      </w:r>
      <w:proofErr w:type="spellStart"/>
      <w:r w:rsidRPr="0065248F">
        <w:rPr>
          <w:color w:val="000000"/>
          <w:lang w:eastAsia="lt-LT"/>
        </w:rPr>
        <w:t>monokloninių</w:t>
      </w:r>
      <w:proofErr w:type="spellEnd"/>
      <w:r w:rsidRPr="0065248F">
        <w:rPr>
          <w:color w:val="000000"/>
          <w:lang w:eastAsia="lt-LT"/>
        </w:rPr>
        <w:t xml:space="preserve"> B limfocitų gamyba ir jų kaupimasis kraujyje, kaulų čiulpuose ir blužnyje. Pagal</w:t>
      </w:r>
      <w:r w:rsidR="00975ED6" w:rsidRPr="0065248F">
        <w:rPr>
          <w:color w:val="000000"/>
          <w:lang w:eastAsia="lt-LT"/>
        </w:rPr>
        <w:t xml:space="preserve"> Europos medicininės onkologijos draugijos </w:t>
      </w:r>
      <w:r w:rsidRPr="0065248F">
        <w:rPr>
          <w:color w:val="000000"/>
          <w:lang w:eastAsia="lt-LT"/>
        </w:rPr>
        <w:t xml:space="preserve">(angl. </w:t>
      </w:r>
      <w:proofErr w:type="spellStart"/>
      <w:r w:rsidRPr="0065248F">
        <w:rPr>
          <w:i/>
          <w:iCs/>
          <w:color w:val="000000"/>
          <w:lang w:eastAsia="lt-LT"/>
        </w:rPr>
        <w:t>European</w:t>
      </w:r>
      <w:proofErr w:type="spellEnd"/>
      <w:r w:rsidRPr="0065248F">
        <w:rPr>
          <w:i/>
          <w:iCs/>
          <w:color w:val="000000"/>
          <w:lang w:eastAsia="lt-LT"/>
        </w:rPr>
        <w:t xml:space="preserve"> </w:t>
      </w:r>
      <w:proofErr w:type="spellStart"/>
      <w:r w:rsidRPr="0065248F">
        <w:rPr>
          <w:i/>
          <w:iCs/>
          <w:color w:val="000000"/>
          <w:lang w:eastAsia="lt-LT"/>
        </w:rPr>
        <w:t>Society</w:t>
      </w:r>
      <w:proofErr w:type="spellEnd"/>
      <w:r w:rsidRPr="0065248F">
        <w:rPr>
          <w:i/>
          <w:iCs/>
          <w:color w:val="000000"/>
          <w:lang w:eastAsia="lt-LT"/>
        </w:rPr>
        <w:t xml:space="preserve"> </w:t>
      </w:r>
      <w:proofErr w:type="spellStart"/>
      <w:r w:rsidRPr="0065248F">
        <w:rPr>
          <w:i/>
          <w:iCs/>
          <w:color w:val="000000"/>
          <w:lang w:eastAsia="lt-LT"/>
        </w:rPr>
        <w:t>for</w:t>
      </w:r>
      <w:proofErr w:type="spellEnd"/>
      <w:r w:rsidRPr="0065248F">
        <w:rPr>
          <w:i/>
          <w:iCs/>
          <w:color w:val="000000"/>
          <w:lang w:eastAsia="lt-LT"/>
        </w:rPr>
        <w:t xml:space="preserve"> </w:t>
      </w:r>
      <w:proofErr w:type="spellStart"/>
      <w:r w:rsidRPr="0065248F">
        <w:rPr>
          <w:i/>
          <w:iCs/>
          <w:color w:val="000000"/>
          <w:lang w:eastAsia="lt-LT"/>
        </w:rPr>
        <w:t>Medical</w:t>
      </w:r>
      <w:proofErr w:type="spellEnd"/>
      <w:r w:rsidRPr="0065248F">
        <w:rPr>
          <w:i/>
          <w:iCs/>
          <w:color w:val="000000"/>
          <w:lang w:eastAsia="lt-LT"/>
        </w:rPr>
        <w:t xml:space="preserve"> </w:t>
      </w:r>
      <w:proofErr w:type="spellStart"/>
      <w:r w:rsidRPr="0065248F">
        <w:rPr>
          <w:i/>
          <w:iCs/>
          <w:color w:val="000000"/>
          <w:lang w:eastAsia="lt-LT"/>
        </w:rPr>
        <w:t>Oncology</w:t>
      </w:r>
      <w:proofErr w:type="spellEnd"/>
      <w:r w:rsidR="00975ED6" w:rsidRPr="0065248F">
        <w:rPr>
          <w:i/>
          <w:iCs/>
          <w:color w:val="000000"/>
          <w:lang w:eastAsia="lt-LT"/>
        </w:rPr>
        <w:t>, ESMO</w:t>
      </w:r>
      <w:r w:rsidRPr="0065248F">
        <w:rPr>
          <w:color w:val="000000"/>
          <w:lang w:eastAsia="lt-LT"/>
        </w:rPr>
        <w:t>) diagnostikos ir gydymo gair</w:t>
      </w:r>
      <w:r w:rsidR="00975ED6" w:rsidRPr="0065248F">
        <w:rPr>
          <w:color w:val="000000"/>
          <w:lang w:eastAsia="lt-LT"/>
        </w:rPr>
        <w:t>es</w:t>
      </w:r>
      <w:r w:rsidRPr="0065248F">
        <w:rPr>
          <w:color w:val="000000"/>
          <w:lang w:eastAsia="lt-LT"/>
        </w:rPr>
        <w:t>, LLL yra dažniausia</w:t>
      </w:r>
      <w:r w:rsidR="00975ED6" w:rsidRPr="0065248F">
        <w:rPr>
          <w:color w:val="000000"/>
          <w:lang w:eastAsia="lt-LT"/>
        </w:rPr>
        <w:t>i Vakarų šalyse pasitaikanti</w:t>
      </w:r>
      <w:r w:rsidRPr="0065248F">
        <w:rPr>
          <w:color w:val="000000"/>
          <w:lang w:eastAsia="lt-LT"/>
        </w:rPr>
        <w:t xml:space="preserve"> leukemijos forma, kasmet nustatoma 4,2 atvejų/100 </w:t>
      </w:r>
      <w:r w:rsidR="00BA61E3">
        <w:rPr>
          <w:color w:val="000000"/>
          <w:lang w:eastAsia="lt-LT"/>
        </w:rPr>
        <w:t>000</w:t>
      </w:r>
      <w:r w:rsidRPr="00BA61E3">
        <w:rPr>
          <w:color w:val="000000"/>
          <w:lang w:eastAsia="lt-LT"/>
        </w:rPr>
        <w:t xml:space="preserve"> asmenų, ypač vyresnių nei 80 metų populiacijoje (30 atvejų/100 </w:t>
      </w:r>
      <w:r w:rsidR="00BA61E3">
        <w:rPr>
          <w:color w:val="000000"/>
          <w:lang w:eastAsia="lt-LT"/>
        </w:rPr>
        <w:t>000</w:t>
      </w:r>
      <w:r w:rsidRPr="00BA61E3">
        <w:rPr>
          <w:color w:val="000000"/>
          <w:lang w:eastAsia="lt-LT"/>
        </w:rPr>
        <w:t xml:space="preserve"> asmenų). LLL yra neišgydoma, todėl gydymo tikslas yra pasiekti atsaką į gydymą, išlaikyti kuo ilgesnį laikotarpį be ligos progresavimo</w:t>
      </w:r>
      <w:r w:rsidRPr="0065248F">
        <w:rPr>
          <w:color w:val="000000"/>
          <w:lang w:eastAsia="lt-LT"/>
        </w:rPr>
        <w:t xml:space="preserve">, kontroliuoti ligos eigą, palengvinti ligos simptomus ir taip prailginti </w:t>
      </w:r>
      <w:proofErr w:type="spellStart"/>
      <w:r w:rsidRPr="0065248F">
        <w:rPr>
          <w:color w:val="000000"/>
          <w:lang w:eastAsia="lt-LT"/>
        </w:rPr>
        <w:t>išgyvenamumą</w:t>
      </w:r>
      <w:proofErr w:type="spellEnd"/>
      <w:r w:rsidRPr="0065248F">
        <w:rPr>
          <w:color w:val="000000"/>
          <w:lang w:eastAsia="lt-LT"/>
        </w:rPr>
        <w:t xml:space="preserve">. Paraiškoje pateikta informacija dėl vaistinio preparato </w:t>
      </w:r>
      <w:proofErr w:type="spellStart"/>
      <w:r w:rsidRPr="0065248F">
        <w:rPr>
          <w:color w:val="000000"/>
          <w:lang w:eastAsia="lt-LT"/>
        </w:rPr>
        <w:t>akalabrutinibo</w:t>
      </w:r>
      <w:proofErr w:type="spellEnd"/>
      <w:r w:rsidRPr="0065248F">
        <w:rPr>
          <w:color w:val="000000"/>
          <w:lang w:eastAsia="lt-LT"/>
        </w:rPr>
        <w:t>, skirto s</w:t>
      </w:r>
      <w:r w:rsidRPr="0065248F">
        <w:t xml:space="preserve">uaugusių pacientų lėtinei </w:t>
      </w:r>
      <w:proofErr w:type="spellStart"/>
      <w:r w:rsidRPr="0065248F">
        <w:t>limfocitinei</w:t>
      </w:r>
      <w:proofErr w:type="spellEnd"/>
      <w:r w:rsidRPr="0065248F">
        <w:t xml:space="preserve"> leukemijai (LLL) gydyti, kuri anksčiau gydyta bent vienu vaistu.</w:t>
      </w:r>
    </w:p>
    <w:p w14:paraId="3FF5CAD8" w14:textId="4EAFDDE6" w:rsidR="009032BF" w:rsidRPr="0065248F" w:rsidRDefault="009032BF" w:rsidP="00981620">
      <w:pPr>
        <w:spacing w:line="276" w:lineRule="auto"/>
        <w:ind w:firstLine="720"/>
        <w:jc w:val="both"/>
      </w:pPr>
      <w:r w:rsidRPr="0065248F">
        <w:rPr>
          <w:color w:val="000000"/>
          <w:lang w:eastAsia="lt-LT"/>
        </w:rPr>
        <w:t xml:space="preserve">Šiuo metu Lietuvoje </w:t>
      </w:r>
      <w:proofErr w:type="spellStart"/>
      <w:r w:rsidRPr="0065248F">
        <w:rPr>
          <w:color w:val="000000"/>
          <w:lang w:eastAsia="lt-LT"/>
        </w:rPr>
        <w:t>ibrutinibas</w:t>
      </w:r>
      <w:proofErr w:type="spellEnd"/>
      <w:r w:rsidRPr="0065248F">
        <w:rPr>
          <w:color w:val="000000"/>
          <w:lang w:eastAsia="lt-LT"/>
        </w:rPr>
        <w:t xml:space="preserve">, </w:t>
      </w:r>
      <w:proofErr w:type="spellStart"/>
      <w:r w:rsidRPr="0065248F">
        <w:rPr>
          <w:color w:val="000000"/>
          <w:lang w:eastAsia="lt-LT"/>
        </w:rPr>
        <w:t>venetoklaksas</w:t>
      </w:r>
      <w:proofErr w:type="spellEnd"/>
      <w:r w:rsidRPr="0065248F">
        <w:rPr>
          <w:color w:val="000000"/>
          <w:lang w:eastAsia="lt-LT"/>
        </w:rPr>
        <w:t xml:space="preserve">, </w:t>
      </w:r>
      <w:proofErr w:type="spellStart"/>
      <w:r w:rsidRPr="0065248F">
        <w:rPr>
          <w:color w:val="000000"/>
          <w:lang w:eastAsia="lt-LT"/>
        </w:rPr>
        <w:t>chlorambuclas</w:t>
      </w:r>
      <w:proofErr w:type="spellEnd"/>
      <w:r w:rsidRPr="0065248F">
        <w:rPr>
          <w:color w:val="000000"/>
          <w:lang w:eastAsia="lt-LT"/>
        </w:rPr>
        <w:t xml:space="preserve">, </w:t>
      </w:r>
      <w:proofErr w:type="spellStart"/>
      <w:r w:rsidRPr="0065248F">
        <w:rPr>
          <w:color w:val="000000"/>
          <w:lang w:eastAsia="lt-LT"/>
        </w:rPr>
        <w:t>ciklofosfamidas</w:t>
      </w:r>
      <w:proofErr w:type="spellEnd"/>
      <w:r w:rsidRPr="0065248F">
        <w:rPr>
          <w:color w:val="000000"/>
          <w:lang w:eastAsia="lt-LT"/>
        </w:rPr>
        <w:t xml:space="preserve">, </w:t>
      </w:r>
      <w:proofErr w:type="spellStart"/>
      <w:r w:rsidRPr="0065248F">
        <w:rPr>
          <w:color w:val="000000"/>
          <w:lang w:eastAsia="lt-LT"/>
        </w:rPr>
        <w:t>rituksimabas</w:t>
      </w:r>
      <w:proofErr w:type="spellEnd"/>
      <w:r w:rsidRPr="0065248F">
        <w:rPr>
          <w:color w:val="000000"/>
          <w:lang w:eastAsia="lt-LT"/>
        </w:rPr>
        <w:t xml:space="preserve"> ir </w:t>
      </w:r>
      <w:proofErr w:type="spellStart"/>
      <w:r w:rsidRPr="0065248F">
        <w:rPr>
          <w:color w:val="000000"/>
          <w:lang w:eastAsia="lt-LT"/>
        </w:rPr>
        <w:t>fludarabinas</w:t>
      </w:r>
      <w:proofErr w:type="spellEnd"/>
      <w:r w:rsidRPr="0065248F">
        <w:t xml:space="preserve"> yra įtraukti į kompensuojamųjų vaistų sąrašą suaugusių pacientų </w:t>
      </w:r>
      <w:proofErr w:type="spellStart"/>
      <w:r w:rsidRPr="0065248F">
        <w:t>pacientų</w:t>
      </w:r>
      <w:proofErr w:type="spellEnd"/>
      <w:r w:rsidRPr="0065248F">
        <w:t xml:space="preserve"> lėtinei </w:t>
      </w:r>
      <w:proofErr w:type="spellStart"/>
      <w:r w:rsidRPr="0065248F">
        <w:t>limfocitinei</w:t>
      </w:r>
      <w:proofErr w:type="spellEnd"/>
      <w:r w:rsidRPr="0065248F">
        <w:t xml:space="preserve"> leukemijai (LLL) gydyti. Pareiškėjo siūlomas skyrimo sąlygas</w:t>
      </w:r>
      <w:r w:rsidR="00975ED6" w:rsidRPr="0065248F">
        <w:t>, įskaitant</w:t>
      </w:r>
      <w:r w:rsidRPr="0065248F">
        <w:t xml:space="preserve"> </w:t>
      </w:r>
      <w:r w:rsidR="00975ED6" w:rsidRPr="0065248F">
        <w:t xml:space="preserve"> 1)</w:t>
      </w:r>
      <w:r w:rsidRPr="0065248F">
        <w:t xml:space="preserve"> anksčiau taikyt</w:t>
      </w:r>
      <w:r w:rsidR="00975ED6" w:rsidRPr="0065248F">
        <w:t>ą</w:t>
      </w:r>
      <w:r w:rsidRPr="0065248F">
        <w:t xml:space="preserve"> LLL gydym</w:t>
      </w:r>
      <w:r w:rsidR="00975ED6" w:rsidRPr="0065248F">
        <w:t>ą pacientams</w:t>
      </w:r>
      <w:r w:rsidRPr="0065248F">
        <w:t xml:space="preserve">, kuriems gydymas </w:t>
      </w:r>
      <w:proofErr w:type="spellStart"/>
      <w:r w:rsidRPr="0065248F">
        <w:t>fludarabinu</w:t>
      </w:r>
      <w:proofErr w:type="spellEnd"/>
      <w:r w:rsidRPr="0065248F">
        <w:t xml:space="preserve"> netinka ir LLL gydymo indikacij</w:t>
      </w:r>
      <w:r w:rsidR="00975ED6" w:rsidRPr="0065248F">
        <w:t xml:space="preserve">ų buvimą ir </w:t>
      </w:r>
      <w:r w:rsidRPr="0065248F">
        <w:t>) nustatyt</w:t>
      </w:r>
      <w:r w:rsidR="00975ED6" w:rsidRPr="0065248F">
        <w:t>ą</w:t>
      </w:r>
      <w:r w:rsidRPr="0065248F">
        <w:t xml:space="preserve"> 17p </w:t>
      </w:r>
      <w:proofErr w:type="spellStart"/>
      <w:r w:rsidRPr="0065248F">
        <w:t>delecij</w:t>
      </w:r>
      <w:r w:rsidR="00975ED6" w:rsidRPr="0065248F">
        <w:t>ą</w:t>
      </w:r>
      <w:proofErr w:type="spellEnd"/>
      <w:r w:rsidRPr="0065248F">
        <w:t xml:space="preserve"> arba TP53 mutacij</w:t>
      </w:r>
      <w:r w:rsidR="00975ED6" w:rsidRPr="0065248F">
        <w:t>ą</w:t>
      </w:r>
      <w:r w:rsidRPr="0065248F">
        <w:t xml:space="preserve"> turi tik </w:t>
      </w:r>
      <w:proofErr w:type="spellStart"/>
      <w:r w:rsidRPr="0065248F">
        <w:t>ibrutinibas</w:t>
      </w:r>
      <w:proofErr w:type="spellEnd"/>
      <w:r w:rsidRPr="0065248F">
        <w:t xml:space="preserve">. </w:t>
      </w:r>
    </w:p>
    <w:p w14:paraId="537395F6" w14:textId="0EAC0E7B" w:rsidR="009032BF" w:rsidRPr="0065248F" w:rsidRDefault="009032BF" w:rsidP="00981620">
      <w:pPr>
        <w:widowControl w:val="0"/>
        <w:spacing w:line="276" w:lineRule="auto"/>
        <w:ind w:firstLine="720"/>
        <w:jc w:val="both"/>
      </w:pPr>
      <w:r w:rsidRPr="0065248F">
        <w:t>Gydymas</w:t>
      </w:r>
      <w:r w:rsidR="00975ED6" w:rsidRPr="0065248F">
        <w:t xml:space="preserve"> </w:t>
      </w:r>
      <w:proofErr w:type="spellStart"/>
      <w:r w:rsidR="00DC073A">
        <w:t>ibrutinibu</w:t>
      </w:r>
      <w:proofErr w:type="spellEnd"/>
      <w:r w:rsidR="00DC073A">
        <w:t xml:space="preserve"> </w:t>
      </w:r>
      <w:r w:rsidRPr="0065248F">
        <w:t xml:space="preserve">yra apmokamas iš PSDF lėšų ir skiriamas numatytam pacientų pogrupiui gydyti, todėl  laikytina, kad </w:t>
      </w:r>
      <w:r w:rsidR="00DC073A">
        <w:t xml:space="preserve">jis </w:t>
      </w:r>
      <w:r w:rsidRPr="0065248F">
        <w:t xml:space="preserve">yra Lietuvos klinikinėje praktikoje taikomas gydymo metodas. Kadangi Lietuvoje nėra LLL gydymą reglamentuojančio dokumento, gydymo strategija parenkama pagal ESMO diagnostikos ir gydymo gaires. </w:t>
      </w:r>
      <w:r w:rsidRPr="0065248F">
        <w:rPr>
          <w:color w:val="000000"/>
          <w:lang w:eastAsia="lt-LT"/>
        </w:rPr>
        <w:t>LLL gydymas priklauso nuo ligos stadijos, paciento biologinio amžiaus, gretutinių ligų, chromosomų mutacijų.</w:t>
      </w:r>
      <w:r w:rsidRPr="0065248F">
        <w:t xml:space="preserve"> Gydymas pradedamas esant simptominei ar išplitusiai </w:t>
      </w:r>
      <w:proofErr w:type="spellStart"/>
      <w:r w:rsidR="00507302" w:rsidRPr="0065248F">
        <w:t>be</w:t>
      </w:r>
      <w:r w:rsidRPr="0065248F">
        <w:t>simptomei</w:t>
      </w:r>
      <w:proofErr w:type="spellEnd"/>
      <w:r w:rsidRPr="0065248F">
        <w:t xml:space="preserve"> ligos forma</w:t>
      </w:r>
      <w:r w:rsidR="00507302" w:rsidRPr="0065248F">
        <w:t>i.</w:t>
      </w:r>
      <w:r w:rsidR="00981620">
        <w:t xml:space="preserve"> </w:t>
      </w:r>
      <w:proofErr w:type="spellStart"/>
      <w:r w:rsidR="00507302" w:rsidRPr="0065248F">
        <w:t>I</w:t>
      </w:r>
      <w:r w:rsidRPr="0065248F">
        <w:t>brutinibas</w:t>
      </w:r>
      <w:proofErr w:type="spellEnd"/>
      <w:r w:rsidRPr="0065248F">
        <w:t xml:space="preserve"> arba </w:t>
      </w:r>
      <w:proofErr w:type="spellStart"/>
      <w:r w:rsidRPr="0065248F">
        <w:t>akalabrutinibas</w:t>
      </w:r>
      <w:proofErr w:type="spellEnd"/>
      <w:r w:rsidRPr="0065248F">
        <w:t xml:space="preserve"> skiriamas nustačius 17p </w:t>
      </w:r>
      <w:proofErr w:type="spellStart"/>
      <w:r w:rsidRPr="0065248F">
        <w:t>deleciją</w:t>
      </w:r>
      <w:proofErr w:type="spellEnd"/>
      <w:r w:rsidRPr="0065248F">
        <w:t xml:space="preserve"> arba TP53 mutaciją </w:t>
      </w:r>
      <w:r w:rsidRPr="0065248F">
        <w:rPr>
          <w:color w:val="000000"/>
          <w:lang w:eastAsia="lt-LT"/>
        </w:rPr>
        <w:t>(</w:t>
      </w:r>
      <w:r w:rsidRPr="0065248F">
        <w:rPr>
          <w:rFonts w:eastAsia="Arial"/>
          <w:szCs w:val="22"/>
        </w:rPr>
        <w:t>įrodymų lyg</w:t>
      </w:r>
      <w:r w:rsidR="00507302" w:rsidRPr="0065248F">
        <w:rPr>
          <w:rFonts w:eastAsia="Arial"/>
          <w:szCs w:val="22"/>
        </w:rPr>
        <w:t>muo</w:t>
      </w:r>
      <w:r w:rsidRPr="0065248F">
        <w:rPr>
          <w:rFonts w:eastAsia="Arial"/>
          <w:szCs w:val="22"/>
        </w:rPr>
        <w:t xml:space="preserve"> I, kokybės lygis A)</w:t>
      </w:r>
      <w:r w:rsidRPr="0065248F">
        <w:t xml:space="preserve">. </w:t>
      </w:r>
      <w:r w:rsidRPr="0065248F">
        <w:rPr>
          <w:rFonts w:eastAsia="Arial"/>
          <w:szCs w:val="22"/>
        </w:rPr>
        <w:t xml:space="preserve">Simptominių </w:t>
      </w:r>
      <w:proofErr w:type="spellStart"/>
      <w:r w:rsidRPr="0065248F">
        <w:rPr>
          <w:rFonts w:eastAsia="Arial"/>
          <w:szCs w:val="22"/>
        </w:rPr>
        <w:t>recidyvuojančių</w:t>
      </w:r>
      <w:proofErr w:type="spellEnd"/>
      <w:r w:rsidRPr="0065248F">
        <w:rPr>
          <w:rFonts w:eastAsia="Arial"/>
          <w:szCs w:val="22"/>
        </w:rPr>
        <w:t xml:space="preserve"> ir </w:t>
      </w:r>
      <w:proofErr w:type="spellStart"/>
      <w:r w:rsidRPr="0065248F">
        <w:rPr>
          <w:rFonts w:eastAsia="Arial"/>
          <w:szCs w:val="22"/>
        </w:rPr>
        <w:t>refrakterinių</w:t>
      </w:r>
      <w:proofErr w:type="spellEnd"/>
      <w:r w:rsidRPr="0065248F">
        <w:rPr>
          <w:rFonts w:eastAsia="Arial"/>
          <w:szCs w:val="22"/>
        </w:rPr>
        <w:t xml:space="preserve"> LLL formų gydymo strategija priklauso nuo nustatomų mutacijų ir remisijos trukmės. </w:t>
      </w:r>
      <w:r w:rsidRPr="0065248F">
        <w:rPr>
          <w:color w:val="000000"/>
          <w:lang w:eastAsia="lt-LT"/>
        </w:rPr>
        <w:t xml:space="preserve">Nustačius 17p </w:t>
      </w:r>
      <w:proofErr w:type="spellStart"/>
      <w:r w:rsidRPr="0065248F">
        <w:rPr>
          <w:color w:val="000000"/>
          <w:lang w:eastAsia="lt-LT"/>
        </w:rPr>
        <w:t>deleciją</w:t>
      </w:r>
      <w:proofErr w:type="spellEnd"/>
      <w:r w:rsidRPr="0065248F">
        <w:rPr>
          <w:color w:val="000000"/>
          <w:lang w:eastAsia="lt-LT"/>
        </w:rPr>
        <w:t xml:space="preserve"> ar TP53 mutaciją arba </w:t>
      </w:r>
      <w:r w:rsidR="00507302" w:rsidRPr="0065248F">
        <w:rPr>
          <w:color w:val="000000"/>
          <w:lang w:eastAsia="lt-LT"/>
        </w:rPr>
        <w:t xml:space="preserve">kai </w:t>
      </w:r>
      <w:r w:rsidRPr="0065248F">
        <w:rPr>
          <w:color w:val="000000"/>
          <w:lang w:eastAsia="lt-LT"/>
        </w:rPr>
        <w:t xml:space="preserve">remisija truko trumpiau nei 36 mėnesius, skiriamas </w:t>
      </w:r>
      <w:proofErr w:type="spellStart"/>
      <w:r w:rsidRPr="0065248F">
        <w:rPr>
          <w:color w:val="000000"/>
          <w:lang w:eastAsia="lt-LT"/>
        </w:rPr>
        <w:t>ibrutinibas</w:t>
      </w:r>
      <w:proofErr w:type="spellEnd"/>
      <w:r w:rsidRPr="0065248F">
        <w:rPr>
          <w:color w:val="000000"/>
          <w:lang w:eastAsia="lt-LT"/>
        </w:rPr>
        <w:t xml:space="preserve"> ar </w:t>
      </w:r>
      <w:proofErr w:type="spellStart"/>
      <w:r w:rsidRPr="0065248F">
        <w:rPr>
          <w:color w:val="000000"/>
          <w:lang w:eastAsia="lt-LT"/>
        </w:rPr>
        <w:t>akalabrutinibas</w:t>
      </w:r>
      <w:proofErr w:type="spellEnd"/>
      <w:r w:rsidRPr="0065248F">
        <w:rPr>
          <w:color w:val="000000"/>
          <w:lang w:eastAsia="lt-LT"/>
        </w:rPr>
        <w:t xml:space="preserve"> (</w:t>
      </w:r>
      <w:r w:rsidRPr="0065248F">
        <w:rPr>
          <w:rFonts w:eastAsia="Arial"/>
          <w:szCs w:val="22"/>
        </w:rPr>
        <w:t>įrodymų lygis I, kokybės lygis A)</w:t>
      </w:r>
      <w:r w:rsidR="00DC073A">
        <w:rPr>
          <w:rFonts w:eastAsia="Arial"/>
          <w:szCs w:val="22"/>
        </w:rPr>
        <w:t xml:space="preserve"> arba</w:t>
      </w:r>
      <w:r w:rsidRPr="0065248F">
        <w:rPr>
          <w:rFonts w:eastAsia="Arial"/>
          <w:szCs w:val="22"/>
        </w:rPr>
        <w:t xml:space="preserve"> kiti vaistiniai preparatai</w:t>
      </w:r>
      <w:r w:rsidRPr="0065248F">
        <w:rPr>
          <w:color w:val="000000"/>
          <w:lang w:eastAsia="lt-LT"/>
        </w:rPr>
        <w:t xml:space="preserve">. </w:t>
      </w:r>
      <w:r w:rsidRPr="0065248F">
        <w:t xml:space="preserve">Gydymas </w:t>
      </w:r>
      <w:proofErr w:type="spellStart"/>
      <w:r w:rsidRPr="0065248F">
        <w:t>ibrutinibu</w:t>
      </w:r>
      <w:proofErr w:type="spellEnd"/>
      <w:r w:rsidRPr="0065248F">
        <w:t xml:space="preserve"> ar </w:t>
      </w:r>
      <w:proofErr w:type="spellStart"/>
      <w:r w:rsidRPr="0065248F">
        <w:t>akalabrutinibu</w:t>
      </w:r>
      <w:proofErr w:type="spellEnd"/>
      <w:r w:rsidRPr="0065248F">
        <w:t xml:space="preserve"> nutraukiamas, jei pasireiškia netoleruojamas toksinis poveikis arba </w:t>
      </w:r>
      <w:r w:rsidR="00DC073A" w:rsidRPr="0065248F">
        <w:t>patvirtinamas</w:t>
      </w:r>
      <w:r w:rsidRPr="0065248F">
        <w:t xml:space="preserve"> ligos progresavimas pagal </w:t>
      </w:r>
      <w:proofErr w:type="spellStart"/>
      <w:r w:rsidRPr="0065248F">
        <w:t>iwCLL</w:t>
      </w:r>
      <w:proofErr w:type="spellEnd"/>
      <w:r w:rsidRPr="0065248F">
        <w:t xml:space="preserve"> 2008 m. kriterijus.</w:t>
      </w:r>
    </w:p>
    <w:p w14:paraId="144CE1E0" w14:textId="77777777" w:rsidR="009032BF" w:rsidRPr="0065248F" w:rsidRDefault="009032BF" w:rsidP="00981620">
      <w:pPr>
        <w:widowControl w:val="0"/>
        <w:spacing w:line="276" w:lineRule="auto"/>
        <w:jc w:val="both"/>
      </w:pPr>
    </w:p>
    <w:p w14:paraId="64820A3E" w14:textId="77777777" w:rsidR="009032BF" w:rsidRPr="0065248F" w:rsidRDefault="009032BF" w:rsidP="00981620">
      <w:pPr>
        <w:widowControl w:val="0"/>
        <w:spacing w:line="276" w:lineRule="auto"/>
        <w:jc w:val="both"/>
      </w:pPr>
      <w:r w:rsidRPr="0065248F">
        <w:rPr>
          <w:bCs/>
          <w:i/>
          <w:iCs/>
          <w:color w:val="000000"/>
          <w:lang w:eastAsia="lt-LT"/>
        </w:rPr>
        <w:t>Tiesioginis palyginimas</w:t>
      </w:r>
    </w:p>
    <w:p w14:paraId="6BCFCB61" w14:textId="39BFE20D" w:rsidR="009032BF" w:rsidRPr="0065248F" w:rsidRDefault="009032BF" w:rsidP="00981620">
      <w:pPr>
        <w:widowControl w:val="0"/>
        <w:spacing w:line="276" w:lineRule="auto"/>
        <w:ind w:firstLine="720"/>
        <w:jc w:val="both"/>
        <w:rPr>
          <w:rFonts w:eastAsia="Arial"/>
          <w:bCs/>
        </w:rPr>
      </w:pPr>
      <w:r w:rsidRPr="0065248F">
        <w:rPr>
          <w:bCs/>
          <w:color w:val="000000"/>
          <w:lang w:eastAsia="lt-LT"/>
        </w:rPr>
        <w:t xml:space="preserve">Klinikinis vertinimas buvo atliktas pagal paraiškoje pateiktą klinikinį tyrimą ELEVATE-RR. ELEVATE-RR tyrime įrodyta, jog </w:t>
      </w:r>
      <w:r w:rsidRPr="0065248F">
        <w:rPr>
          <w:rFonts w:eastAsia="Arial"/>
          <w:bCs/>
        </w:rPr>
        <w:t xml:space="preserve">pacientams su nustatyta LLL </w:t>
      </w:r>
      <w:proofErr w:type="spellStart"/>
      <w:r w:rsidRPr="0065248F">
        <w:rPr>
          <w:rFonts w:eastAsia="Arial"/>
          <w:bCs/>
        </w:rPr>
        <w:t>akalabrutinibo</w:t>
      </w:r>
      <w:proofErr w:type="spellEnd"/>
      <w:r w:rsidRPr="0065248F">
        <w:rPr>
          <w:rFonts w:eastAsia="Arial"/>
          <w:bCs/>
        </w:rPr>
        <w:t xml:space="preserve"> klinikinis efektyvumas  nesiskiria nuo </w:t>
      </w:r>
      <w:proofErr w:type="spellStart"/>
      <w:r w:rsidRPr="0065248F">
        <w:rPr>
          <w:rFonts w:eastAsia="Arial"/>
          <w:bCs/>
        </w:rPr>
        <w:t>ibrutinibo</w:t>
      </w:r>
      <w:proofErr w:type="spellEnd"/>
      <w:r w:rsidRPr="0065248F">
        <w:rPr>
          <w:rFonts w:eastAsia="Arial"/>
          <w:bCs/>
        </w:rPr>
        <w:t>, o saugum</w:t>
      </w:r>
      <w:r w:rsidR="00507302" w:rsidRPr="0065248F">
        <w:rPr>
          <w:rFonts w:eastAsia="Arial"/>
          <w:bCs/>
        </w:rPr>
        <w:t>as</w:t>
      </w:r>
      <w:r w:rsidRPr="0065248F">
        <w:rPr>
          <w:rFonts w:eastAsia="Arial"/>
          <w:bCs/>
        </w:rPr>
        <w:t xml:space="preserve"> buvo geresnis. </w:t>
      </w:r>
      <w:r w:rsidRPr="0065248F">
        <w:t xml:space="preserve">Vertinant nepriklausomo tyrėjų komiteto įvertintą </w:t>
      </w:r>
      <w:proofErr w:type="spellStart"/>
      <w:r w:rsidRPr="0065248F">
        <w:t>išgyvenamumą</w:t>
      </w:r>
      <w:proofErr w:type="spellEnd"/>
      <w:r w:rsidRPr="0065248F">
        <w:t xml:space="preserve"> be ligos progresavimo, </w:t>
      </w:r>
      <w:r w:rsidR="00DC073A">
        <w:t xml:space="preserve">gydymas </w:t>
      </w:r>
      <w:proofErr w:type="spellStart"/>
      <w:r w:rsidR="00DC073A" w:rsidRPr="0065248F">
        <w:t>akalabrutinib</w:t>
      </w:r>
      <w:r w:rsidR="00DC073A">
        <w:t>u</w:t>
      </w:r>
      <w:proofErr w:type="spellEnd"/>
      <w:r w:rsidR="00DC073A">
        <w:t xml:space="preserve"> ne prastesnis (</w:t>
      </w:r>
      <w:r w:rsidR="00DC073A" w:rsidRPr="0065248F">
        <w:t xml:space="preserve">angl. </w:t>
      </w:r>
      <w:proofErr w:type="spellStart"/>
      <w:r w:rsidR="00DC073A" w:rsidRPr="0065248F">
        <w:rPr>
          <w:i/>
          <w:iCs/>
        </w:rPr>
        <w:t>non-inferior</w:t>
      </w:r>
      <w:proofErr w:type="spellEnd"/>
      <w:r w:rsidR="00DC073A" w:rsidRPr="0065248F">
        <w:t xml:space="preserve">) </w:t>
      </w:r>
      <w:r w:rsidR="00DC073A">
        <w:t xml:space="preserve">už </w:t>
      </w:r>
      <w:r w:rsidR="006B3DE5">
        <w:t xml:space="preserve">gydymą </w:t>
      </w:r>
      <w:proofErr w:type="spellStart"/>
      <w:r w:rsidR="006B3DE5">
        <w:t>ibrutinibu</w:t>
      </w:r>
      <w:proofErr w:type="spellEnd"/>
      <w:r w:rsidR="006B3DE5" w:rsidRPr="0065248F">
        <w:t xml:space="preserve"> </w:t>
      </w:r>
      <w:r w:rsidRPr="0065248F">
        <w:t xml:space="preserve">(RS </w:t>
      </w:r>
      <w:r w:rsidR="00DC073A">
        <w:t>=</w:t>
      </w:r>
      <w:r w:rsidRPr="0065248F">
        <w:t>1,00 [95% PI 0,79 – 1,27]).</w:t>
      </w:r>
      <w:r w:rsidRPr="0065248F">
        <w:rPr>
          <w:rFonts w:eastAsia="Arial"/>
          <w:bCs/>
        </w:rPr>
        <w:t xml:space="preserve"> Analizuojant pacientų, kuriems nustatytos specifinės genų mutacijos, </w:t>
      </w:r>
      <w:proofErr w:type="spellStart"/>
      <w:r w:rsidRPr="0065248F">
        <w:t>akalabrutinibo</w:t>
      </w:r>
      <w:proofErr w:type="spellEnd"/>
      <w:r w:rsidRPr="0065248F">
        <w:t xml:space="preserve"> ir </w:t>
      </w:r>
      <w:proofErr w:type="spellStart"/>
      <w:r w:rsidRPr="0065248F">
        <w:t>ibrutinibo</w:t>
      </w:r>
      <w:proofErr w:type="spellEnd"/>
      <w:r w:rsidRPr="0065248F">
        <w:t xml:space="preserve"> klinikinis efektyvumas nesiskiria tiek esant izoliuotai 17p </w:t>
      </w:r>
      <w:proofErr w:type="spellStart"/>
      <w:r w:rsidRPr="0065248F">
        <w:t>delecijai</w:t>
      </w:r>
      <w:proofErr w:type="spellEnd"/>
      <w:r w:rsidRPr="0065248F">
        <w:t xml:space="preserve"> (RS </w:t>
      </w:r>
      <w:r w:rsidR="00DC073A">
        <w:t>=</w:t>
      </w:r>
      <w:r w:rsidRPr="0065248F">
        <w:t xml:space="preserve">1,00 [95% PI 0,73 – 1,38]) ar TP53 mutacijai (RS 0,95 [95% PI 0,68 – 1,33]), tiek esant 17p </w:t>
      </w:r>
      <w:proofErr w:type="spellStart"/>
      <w:r w:rsidRPr="0065248F">
        <w:t>delecijai</w:t>
      </w:r>
      <w:proofErr w:type="spellEnd"/>
      <w:r w:rsidRPr="0065248F">
        <w:t xml:space="preserve"> ir kitų mutacijų deriniams: 17p </w:t>
      </w:r>
      <w:proofErr w:type="spellStart"/>
      <w:r w:rsidRPr="0065248F">
        <w:t>delecijai</w:t>
      </w:r>
      <w:proofErr w:type="spellEnd"/>
      <w:r w:rsidRPr="0065248F">
        <w:t xml:space="preserve"> ir TP53 mutacijoms (RS</w:t>
      </w:r>
      <w:r w:rsidR="00DC073A">
        <w:t>=</w:t>
      </w:r>
      <w:r w:rsidRPr="0065248F">
        <w:t xml:space="preserve">0,94 [95% PI 0,65 – 1,35]), 17p ir 11q </w:t>
      </w:r>
      <w:proofErr w:type="spellStart"/>
      <w:r w:rsidRPr="0065248F">
        <w:t>delecijoms</w:t>
      </w:r>
      <w:proofErr w:type="spellEnd"/>
      <w:r w:rsidRPr="0065248F">
        <w:t xml:space="preserve"> (RS </w:t>
      </w:r>
      <w:r w:rsidR="00DC073A">
        <w:t>=</w:t>
      </w:r>
      <w:r w:rsidRPr="0065248F">
        <w:t xml:space="preserve">1,78 [95% PI 0,86 – 3,67], 17p </w:t>
      </w:r>
      <w:proofErr w:type="spellStart"/>
      <w:r w:rsidRPr="0065248F">
        <w:t>delecijai</w:t>
      </w:r>
      <w:proofErr w:type="spellEnd"/>
      <w:r w:rsidRPr="0065248F">
        <w:t xml:space="preserve"> ir pakitusiam </w:t>
      </w:r>
      <w:proofErr w:type="spellStart"/>
      <w:r w:rsidRPr="0065248F">
        <w:t>kariotipui</w:t>
      </w:r>
      <w:proofErr w:type="spellEnd"/>
      <w:r w:rsidRPr="0065248F">
        <w:t xml:space="preserve"> (RS </w:t>
      </w:r>
      <w:r w:rsidR="00DC073A">
        <w:t>=</w:t>
      </w:r>
      <w:r w:rsidRPr="0065248F">
        <w:t>1,06 [95% PI 0,70 – 1,62]).</w:t>
      </w:r>
    </w:p>
    <w:p w14:paraId="1DBA46CB" w14:textId="3A3256B5" w:rsidR="009032BF" w:rsidRPr="0065248F" w:rsidRDefault="009032BF" w:rsidP="00981620">
      <w:pPr>
        <w:tabs>
          <w:tab w:val="left" w:pos="426"/>
        </w:tabs>
        <w:spacing w:line="276" w:lineRule="auto"/>
        <w:jc w:val="both"/>
      </w:pPr>
      <w:r w:rsidRPr="0065248F">
        <w:rPr>
          <w:rFonts w:eastAsia="Arial"/>
          <w:bCs/>
        </w:rPr>
        <w:lastRenderedPageBreak/>
        <w:tab/>
      </w:r>
      <w:r w:rsidRPr="0065248F">
        <w:rPr>
          <w:rFonts w:eastAsia="Arial"/>
          <w:bCs/>
        </w:rPr>
        <w:tab/>
        <w:t xml:space="preserve">Vertinant svarbiausias ELEVATE-RR tyrimo antrines vertinamąsias baigtis, </w:t>
      </w:r>
      <w:r w:rsidRPr="0065248F">
        <w:t xml:space="preserve">prieširdžių virpėjimo ir plazdėjimo dažnis vartojant </w:t>
      </w:r>
      <w:proofErr w:type="spellStart"/>
      <w:r w:rsidRPr="0065248F">
        <w:t>akalabrutinibą</w:t>
      </w:r>
      <w:proofErr w:type="spellEnd"/>
      <w:r w:rsidRPr="0065248F">
        <w:t xml:space="preserve"> buvo reikšmingai mažesnis, lyginant su </w:t>
      </w:r>
      <w:proofErr w:type="spellStart"/>
      <w:r w:rsidRPr="0065248F">
        <w:t>ibrutinibu</w:t>
      </w:r>
      <w:proofErr w:type="spellEnd"/>
      <w:r w:rsidRPr="0065248F">
        <w:t xml:space="preserve"> (9,4% ir 16,0%; P=0,02). </w:t>
      </w:r>
      <w:proofErr w:type="spellStart"/>
      <w:r w:rsidRPr="0065248F">
        <w:t>Richterio</w:t>
      </w:r>
      <w:proofErr w:type="spellEnd"/>
      <w:r w:rsidRPr="0065248F">
        <w:t xml:space="preserve"> transformacijų ir ≥3 sunkumo laipsnio infekcijų dažnis tarp grupių nesiskyrė.</w:t>
      </w:r>
    </w:p>
    <w:p w14:paraId="38352B75" w14:textId="77777777" w:rsidR="009032BF" w:rsidRPr="0065248F" w:rsidRDefault="009032BF" w:rsidP="00981620">
      <w:pPr>
        <w:tabs>
          <w:tab w:val="left" w:pos="426"/>
        </w:tabs>
        <w:spacing w:line="276" w:lineRule="auto"/>
        <w:jc w:val="both"/>
      </w:pPr>
    </w:p>
    <w:p w14:paraId="0E3AABA5" w14:textId="77777777" w:rsidR="009032BF" w:rsidRPr="0065248F" w:rsidRDefault="009032BF" w:rsidP="00981620">
      <w:pPr>
        <w:tabs>
          <w:tab w:val="left" w:pos="426"/>
        </w:tabs>
        <w:spacing w:line="276" w:lineRule="auto"/>
        <w:jc w:val="both"/>
        <w:rPr>
          <w:i/>
          <w:iCs/>
        </w:rPr>
      </w:pPr>
      <w:r w:rsidRPr="0065248F">
        <w:rPr>
          <w:i/>
          <w:iCs/>
        </w:rPr>
        <w:t>Netiesioginis palyginimas</w:t>
      </w:r>
      <w:r w:rsidRPr="0065248F">
        <w:rPr>
          <w:iCs/>
        </w:rPr>
        <w:t xml:space="preserve"> </w:t>
      </w:r>
    </w:p>
    <w:p w14:paraId="7BD7A0DF" w14:textId="77777777" w:rsidR="009032BF" w:rsidRPr="0065248F" w:rsidRDefault="009032BF" w:rsidP="00981620">
      <w:pPr>
        <w:tabs>
          <w:tab w:val="left" w:pos="426"/>
        </w:tabs>
        <w:spacing w:line="276" w:lineRule="auto"/>
        <w:jc w:val="both"/>
        <w:rPr>
          <w:rFonts w:eastAsia="Arial"/>
          <w:bCs/>
          <w:iCs/>
        </w:rPr>
      </w:pPr>
      <w:r w:rsidRPr="0065248F">
        <w:rPr>
          <w:iCs/>
        </w:rPr>
        <w:tab/>
      </w:r>
      <w:r w:rsidRPr="0065248F">
        <w:rPr>
          <w:iCs/>
        </w:rPr>
        <w:tab/>
        <w:t>Klinikinis vertinimas buvo pagal atliktas pagal paraiškoje pateiktą netiesioginį ASCEND (</w:t>
      </w:r>
      <w:proofErr w:type="spellStart"/>
      <w:r w:rsidRPr="0065248F">
        <w:rPr>
          <w:iCs/>
        </w:rPr>
        <w:t>akalabrutinibo</w:t>
      </w:r>
      <w:proofErr w:type="spellEnd"/>
      <w:r w:rsidRPr="0065248F">
        <w:rPr>
          <w:iCs/>
        </w:rPr>
        <w:t xml:space="preserve"> ir </w:t>
      </w:r>
      <w:proofErr w:type="spellStart"/>
      <w:r w:rsidRPr="0065248F">
        <w:rPr>
          <w:iCs/>
        </w:rPr>
        <w:t>bendamustino</w:t>
      </w:r>
      <w:proofErr w:type="spellEnd"/>
      <w:r w:rsidRPr="0065248F">
        <w:rPr>
          <w:iCs/>
        </w:rPr>
        <w:t>/</w:t>
      </w:r>
      <w:proofErr w:type="spellStart"/>
      <w:r w:rsidRPr="0065248F">
        <w:rPr>
          <w:iCs/>
        </w:rPr>
        <w:t>rituksimabo</w:t>
      </w:r>
      <w:proofErr w:type="spellEnd"/>
      <w:r w:rsidRPr="0065248F">
        <w:rPr>
          <w:iCs/>
        </w:rPr>
        <w:t xml:space="preserve"> ar </w:t>
      </w:r>
      <w:proofErr w:type="spellStart"/>
      <w:r w:rsidRPr="0065248F">
        <w:rPr>
          <w:iCs/>
        </w:rPr>
        <w:t>idelalisibo</w:t>
      </w:r>
      <w:proofErr w:type="spellEnd"/>
      <w:r w:rsidRPr="0065248F">
        <w:rPr>
          <w:iCs/>
        </w:rPr>
        <w:t>/</w:t>
      </w:r>
      <w:proofErr w:type="spellStart"/>
      <w:r w:rsidRPr="0065248F">
        <w:rPr>
          <w:iCs/>
        </w:rPr>
        <w:t>rituksimabo</w:t>
      </w:r>
      <w:proofErr w:type="spellEnd"/>
      <w:r w:rsidRPr="0065248F">
        <w:rPr>
          <w:iCs/>
        </w:rPr>
        <w:t xml:space="preserve"> derinių) ir RESONATE (</w:t>
      </w:r>
      <w:proofErr w:type="spellStart"/>
      <w:r w:rsidRPr="0065248F">
        <w:rPr>
          <w:iCs/>
        </w:rPr>
        <w:t>ibrutinibo</w:t>
      </w:r>
      <w:proofErr w:type="spellEnd"/>
      <w:r w:rsidRPr="0065248F">
        <w:rPr>
          <w:iCs/>
        </w:rPr>
        <w:t xml:space="preserve"> ir </w:t>
      </w:r>
      <w:proofErr w:type="spellStart"/>
      <w:r w:rsidRPr="0065248F">
        <w:rPr>
          <w:iCs/>
        </w:rPr>
        <w:t>ofatumumabo</w:t>
      </w:r>
      <w:proofErr w:type="spellEnd"/>
      <w:r w:rsidRPr="0065248F">
        <w:rPr>
          <w:iCs/>
        </w:rPr>
        <w:t>) klinikinių tyrimų palyginimą atliekant tinklinę meta-analizę. T</w:t>
      </w:r>
      <w:r w:rsidRPr="0065248F">
        <w:rPr>
          <w:rFonts w:eastAsia="Arial"/>
          <w:bCs/>
          <w:iCs/>
        </w:rPr>
        <w:t xml:space="preserve">yrimų specifiniai pogrupiai ir vertinamosios nesiskyrė nuo ELEVATE-RR tyrimo. Netiesioginiame </w:t>
      </w:r>
      <w:proofErr w:type="spellStart"/>
      <w:r w:rsidRPr="0065248F">
        <w:rPr>
          <w:rFonts w:eastAsia="Arial"/>
          <w:bCs/>
          <w:iCs/>
        </w:rPr>
        <w:t>akalabrutinibo</w:t>
      </w:r>
      <w:proofErr w:type="spellEnd"/>
      <w:r w:rsidRPr="0065248F">
        <w:rPr>
          <w:rFonts w:eastAsia="Arial"/>
          <w:bCs/>
          <w:iCs/>
        </w:rPr>
        <w:t xml:space="preserve"> ir </w:t>
      </w:r>
      <w:proofErr w:type="spellStart"/>
      <w:r w:rsidRPr="0065248F">
        <w:rPr>
          <w:rFonts w:eastAsia="Arial"/>
          <w:bCs/>
          <w:iCs/>
        </w:rPr>
        <w:t>ibrutinibo</w:t>
      </w:r>
      <w:proofErr w:type="spellEnd"/>
      <w:r w:rsidRPr="0065248F">
        <w:rPr>
          <w:rFonts w:eastAsia="Arial"/>
          <w:bCs/>
          <w:iCs/>
        </w:rPr>
        <w:t xml:space="preserve"> palyginime stebimos analogiškos tendencijos kaip ir tiesioginiame palyginime: </w:t>
      </w:r>
      <w:proofErr w:type="spellStart"/>
      <w:r w:rsidRPr="0065248F">
        <w:rPr>
          <w:rFonts w:eastAsia="Arial"/>
          <w:bCs/>
          <w:iCs/>
        </w:rPr>
        <w:t>akalabrutinibo</w:t>
      </w:r>
      <w:proofErr w:type="spellEnd"/>
      <w:r w:rsidRPr="0065248F">
        <w:rPr>
          <w:rFonts w:eastAsia="Arial"/>
          <w:bCs/>
          <w:iCs/>
        </w:rPr>
        <w:t xml:space="preserve"> klinikinis efektyvumas nesiskiria nuo </w:t>
      </w:r>
      <w:proofErr w:type="spellStart"/>
      <w:r w:rsidRPr="0065248F">
        <w:rPr>
          <w:rFonts w:eastAsia="Arial"/>
          <w:bCs/>
          <w:iCs/>
        </w:rPr>
        <w:t>ibrutinibo</w:t>
      </w:r>
      <w:proofErr w:type="spellEnd"/>
      <w:r w:rsidRPr="0065248F">
        <w:rPr>
          <w:rFonts w:eastAsia="Arial"/>
          <w:bCs/>
          <w:iCs/>
        </w:rPr>
        <w:t xml:space="preserve">, vartojant </w:t>
      </w:r>
      <w:proofErr w:type="spellStart"/>
      <w:r w:rsidRPr="0065248F">
        <w:rPr>
          <w:rFonts w:eastAsia="Arial"/>
          <w:bCs/>
          <w:iCs/>
        </w:rPr>
        <w:t>akalabrutinibą</w:t>
      </w:r>
      <w:proofErr w:type="spellEnd"/>
      <w:r w:rsidRPr="0065248F">
        <w:rPr>
          <w:rFonts w:eastAsia="Arial"/>
          <w:bCs/>
          <w:iCs/>
        </w:rPr>
        <w:t xml:space="preserve"> pasireiškia reikšmingai mažiau bet kokio ir sunkaus laipsnio nepageidaujamų reiškinių. Lyginant su </w:t>
      </w:r>
      <w:proofErr w:type="spellStart"/>
      <w:r w:rsidRPr="0065248F">
        <w:rPr>
          <w:rFonts w:eastAsia="Arial"/>
          <w:bCs/>
          <w:iCs/>
        </w:rPr>
        <w:t>ibrutinibu</w:t>
      </w:r>
      <w:proofErr w:type="spellEnd"/>
      <w:r w:rsidRPr="0065248F">
        <w:rPr>
          <w:rFonts w:eastAsia="Arial"/>
          <w:bCs/>
          <w:iCs/>
        </w:rPr>
        <w:t xml:space="preserve">, vartojant </w:t>
      </w:r>
      <w:proofErr w:type="spellStart"/>
      <w:r w:rsidRPr="0065248F">
        <w:rPr>
          <w:rFonts w:eastAsia="Arial"/>
          <w:bCs/>
          <w:iCs/>
        </w:rPr>
        <w:t>akalabrutinibą</w:t>
      </w:r>
      <w:proofErr w:type="spellEnd"/>
      <w:r w:rsidRPr="0065248F">
        <w:rPr>
          <w:rFonts w:eastAsia="Arial"/>
          <w:bCs/>
          <w:iCs/>
        </w:rPr>
        <w:t xml:space="preserve"> </w:t>
      </w:r>
      <w:proofErr w:type="spellStart"/>
      <w:r w:rsidRPr="0065248F">
        <w:rPr>
          <w:rFonts w:eastAsia="Arial"/>
          <w:bCs/>
          <w:iCs/>
        </w:rPr>
        <w:t>išgyvenamumas</w:t>
      </w:r>
      <w:proofErr w:type="spellEnd"/>
      <w:r w:rsidRPr="0065248F">
        <w:rPr>
          <w:rFonts w:eastAsia="Arial"/>
          <w:bCs/>
          <w:iCs/>
        </w:rPr>
        <w:t xml:space="preserve"> be ligos progresavimo (</w:t>
      </w:r>
      <w:r w:rsidRPr="0065248F">
        <w:rPr>
          <w:rFonts w:eastAsia="Arial"/>
          <w:bCs/>
        </w:rPr>
        <w:t>RS 0,79 [95% PI 0,40 – 1,54])</w:t>
      </w:r>
      <w:r w:rsidRPr="0065248F">
        <w:rPr>
          <w:rFonts w:eastAsia="Arial"/>
          <w:bCs/>
          <w:iCs/>
        </w:rPr>
        <w:t xml:space="preserve"> ar bendras </w:t>
      </w:r>
      <w:proofErr w:type="spellStart"/>
      <w:r w:rsidRPr="0065248F">
        <w:rPr>
          <w:rFonts w:eastAsia="Arial"/>
          <w:bCs/>
          <w:iCs/>
        </w:rPr>
        <w:t>išgyvenamumas</w:t>
      </w:r>
      <w:proofErr w:type="spellEnd"/>
      <w:r w:rsidRPr="0065248F">
        <w:rPr>
          <w:rFonts w:eastAsia="Arial"/>
          <w:bCs/>
          <w:iCs/>
        </w:rPr>
        <w:t xml:space="preserve"> (</w:t>
      </w:r>
      <w:r w:rsidRPr="0065248F">
        <w:rPr>
          <w:rFonts w:eastAsia="Arial"/>
          <w:bCs/>
        </w:rPr>
        <w:t>RS 1,30 [0,49 – 3,48])</w:t>
      </w:r>
      <w:r w:rsidRPr="0065248F">
        <w:rPr>
          <w:rFonts w:eastAsia="Arial"/>
          <w:bCs/>
          <w:iCs/>
        </w:rPr>
        <w:t xml:space="preserve"> statistiškai reikšmingai nesiskyrė.</w:t>
      </w:r>
    </w:p>
    <w:p w14:paraId="1A43733D" w14:textId="2ED71F82" w:rsidR="009032BF" w:rsidRPr="0065248F" w:rsidRDefault="009032BF" w:rsidP="00981620">
      <w:pPr>
        <w:tabs>
          <w:tab w:val="left" w:pos="426"/>
        </w:tabs>
        <w:spacing w:line="276" w:lineRule="auto"/>
        <w:jc w:val="both"/>
        <w:rPr>
          <w:rFonts w:eastAsia="Arial"/>
          <w:bCs/>
          <w:iCs/>
        </w:rPr>
      </w:pPr>
      <w:r w:rsidRPr="0065248F">
        <w:rPr>
          <w:rFonts w:eastAsia="Arial"/>
          <w:bCs/>
          <w:iCs/>
        </w:rPr>
        <w:tab/>
      </w:r>
      <w:r w:rsidRPr="0065248F">
        <w:rPr>
          <w:rFonts w:eastAsia="Arial"/>
          <w:bCs/>
          <w:iCs/>
        </w:rPr>
        <w:tab/>
        <w:t>Vertinant saugum</w:t>
      </w:r>
      <w:r w:rsidR="00A969FB" w:rsidRPr="0065248F">
        <w:rPr>
          <w:rFonts w:eastAsia="Arial"/>
          <w:bCs/>
          <w:iCs/>
        </w:rPr>
        <w:t>ą</w:t>
      </w:r>
      <w:r w:rsidRPr="0065248F">
        <w:rPr>
          <w:rFonts w:eastAsia="Arial"/>
          <w:bCs/>
          <w:iCs/>
        </w:rPr>
        <w:t>,</w:t>
      </w:r>
      <w:r w:rsidR="00A969FB" w:rsidRPr="0065248F">
        <w:rPr>
          <w:rFonts w:eastAsia="Arial"/>
          <w:bCs/>
          <w:iCs/>
        </w:rPr>
        <w:t xml:space="preserve"> nusta</w:t>
      </w:r>
      <w:r w:rsidR="00981620">
        <w:rPr>
          <w:rFonts w:eastAsia="Arial"/>
          <w:bCs/>
          <w:iCs/>
        </w:rPr>
        <w:t>t</w:t>
      </w:r>
      <w:r w:rsidR="00A969FB" w:rsidRPr="0065248F">
        <w:rPr>
          <w:rFonts w:eastAsia="Arial"/>
          <w:bCs/>
          <w:iCs/>
        </w:rPr>
        <w:t xml:space="preserve">yta, kad </w:t>
      </w:r>
      <w:r w:rsidRPr="0065248F">
        <w:rPr>
          <w:rFonts w:eastAsia="Arial"/>
          <w:bCs/>
          <w:iCs/>
        </w:rPr>
        <w:t xml:space="preserve">vartojant </w:t>
      </w:r>
      <w:proofErr w:type="spellStart"/>
      <w:r w:rsidRPr="0065248F">
        <w:rPr>
          <w:rFonts w:eastAsia="Arial"/>
          <w:bCs/>
          <w:iCs/>
        </w:rPr>
        <w:t>akalabrutinibą</w:t>
      </w:r>
      <w:proofErr w:type="spellEnd"/>
      <w:r w:rsidRPr="0065248F">
        <w:rPr>
          <w:rFonts w:eastAsia="Arial"/>
          <w:bCs/>
          <w:iCs/>
        </w:rPr>
        <w:t xml:space="preserve"> rečiau </w:t>
      </w:r>
      <w:r w:rsidRPr="0065248F">
        <w:rPr>
          <w:rFonts w:eastAsia="Arial"/>
          <w:bCs/>
        </w:rPr>
        <w:t>išsivystė bet kokio laipsnio viduriavimas (14,4% ir 53,8%, P&lt;0,001) ar vidurių užkietėjimas (5,3% ir 17,9%, P&lt;0,01), pykinimas (4,0% ir 31,3%, P&lt;0,001) ir/ar vėmimas (0,8% ir 16,9%, P&lt;0,001), nuovargis (5,1% ir 34,4%, P&lt;0,001), karščiavimas (12,4% ir 29,7%, P&lt;0,001), periferinės edemos (8,8% ir 19,5%, P&lt;0,05), 3 – 4 sunkumo laipsnio infekcijos (11,1% ir 21,0, P&lt;0,05) ir arterinė hipertenzija (0,4% ir 6,0%, P&lt;0,01). Naujų, preparato charakteristikų santraukoje n</w:t>
      </w:r>
      <w:r w:rsidR="00A969FB" w:rsidRPr="0065248F">
        <w:rPr>
          <w:rFonts w:eastAsia="Arial"/>
          <w:bCs/>
        </w:rPr>
        <w:t>e</w:t>
      </w:r>
      <w:r w:rsidRPr="0065248F">
        <w:rPr>
          <w:rFonts w:eastAsia="Arial"/>
          <w:bCs/>
        </w:rPr>
        <w:t>nurodytų nepageidaujamų reiškinių nenustatyta.</w:t>
      </w:r>
    </w:p>
    <w:p w14:paraId="41864F8F" w14:textId="77777777" w:rsidR="009032BF" w:rsidRPr="0065248F" w:rsidRDefault="009032BF" w:rsidP="00981620">
      <w:pPr>
        <w:tabs>
          <w:tab w:val="left" w:pos="426"/>
        </w:tabs>
        <w:spacing w:line="276" w:lineRule="auto"/>
        <w:jc w:val="both"/>
        <w:rPr>
          <w:bCs/>
          <w:i/>
          <w:color w:val="000000"/>
          <w:lang w:eastAsia="lt-LT"/>
        </w:rPr>
      </w:pPr>
    </w:p>
    <w:p w14:paraId="28A8B81D" w14:textId="1D1ECC0A" w:rsidR="009032BF" w:rsidRPr="0065248F" w:rsidRDefault="009032BF" w:rsidP="00981620">
      <w:pPr>
        <w:tabs>
          <w:tab w:val="left" w:pos="426"/>
        </w:tabs>
        <w:spacing w:line="276" w:lineRule="auto"/>
        <w:jc w:val="both"/>
        <w:rPr>
          <w:bCs/>
          <w:i/>
          <w:color w:val="000000"/>
          <w:lang w:eastAsia="lt-LT"/>
        </w:rPr>
      </w:pPr>
      <w:proofErr w:type="spellStart"/>
      <w:r w:rsidRPr="0065248F">
        <w:rPr>
          <w:bCs/>
          <w:i/>
          <w:color w:val="000000"/>
          <w:lang w:eastAsia="lt-LT"/>
        </w:rPr>
        <w:t>Privalumai</w:t>
      </w:r>
      <w:proofErr w:type="spellEnd"/>
      <w:r w:rsidRPr="0065248F">
        <w:rPr>
          <w:bCs/>
          <w:i/>
          <w:color w:val="000000"/>
          <w:lang w:eastAsia="lt-LT"/>
        </w:rPr>
        <w:t xml:space="preserve"> ir trūkumai</w:t>
      </w:r>
    </w:p>
    <w:p w14:paraId="6BABF8EA" w14:textId="77777777" w:rsidR="009032BF" w:rsidRPr="0065248F" w:rsidRDefault="009032BF" w:rsidP="00981620">
      <w:pPr>
        <w:tabs>
          <w:tab w:val="left" w:pos="426"/>
        </w:tabs>
        <w:spacing w:line="276" w:lineRule="auto"/>
        <w:jc w:val="both"/>
        <w:rPr>
          <w:iCs/>
        </w:rPr>
      </w:pPr>
      <w:r w:rsidRPr="0065248F">
        <w:rPr>
          <w:bCs/>
          <w:color w:val="000000"/>
          <w:lang w:eastAsia="lt-LT"/>
        </w:rPr>
        <w:tab/>
      </w:r>
      <w:r w:rsidRPr="0065248F">
        <w:rPr>
          <w:bCs/>
          <w:color w:val="000000"/>
          <w:lang w:eastAsia="lt-LT"/>
        </w:rPr>
        <w:tab/>
        <w:t xml:space="preserve">Jei vaistinis preparatas būtų įrašytas į kompensavimo sąrašus, gydymo šiuo vaistiniu preparatu taikymas klinikinėje praktikoje galėtų turėti </w:t>
      </w:r>
      <w:proofErr w:type="spellStart"/>
      <w:r w:rsidRPr="0065248F">
        <w:rPr>
          <w:bCs/>
          <w:color w:val="000000"/>
          <w:lang w:eastAsia="lt-LT"/>
        </w:rPr>
        <w:t>privalumų</w:t>
      </w:r>
      <w:proofErr w:type="spellEnd"/>
      <w:r w:rsidRPr="0065248F">
        <w:rPr>
          <w:bCs/>
          <w:color w:val="000000"/>
          <w:lang w:eastAsia="lt-LT"/>
        </w:rPr>
        <w:t xml:space="preserve"> ir trūkumų medicininėms paslaugoms ar pacientams.</w:t>
      </w:r>
    </w:p>
    <w:p w14:paraId="3F7914AE" w14:textId="59754704" w:rsidR="009032BF" w:rsidRPr="0065248F" w:rsidRDefault="009032BF" w:rsidP="00981620">
      <w:pPr>
        <w:tabs>
          <w:tab w:val="left" w:pos="426"/>
        </w:tabs>
        <w:spacing w:line="276" w:lineRule="auto"/>
        <w:jc w:val="both"/>
        <w:rPr>
          <w:bCs/>
          <w:color w:val="000000"/>
          <w:lang w:eastAsia="lt-LT"/>
        </w:rPr>
      </w:pPr>
      <w:r w:rsidRPr="0065248F">
        <w:rPr>
          <w:bCs/>
          <w:color w:val="000000"/>
          <w:lang w:eastAsia="lt-LT"/>
        </w:rPr>
        <w:tab/>
      </w:r>
      <w:r w:rsidRPr="0065248F">
        <w:rPr>
          <w:bCs/>
          <w:color w:val="000000"/>
          <w:lang w:eastAsia="lt-LT"/>
        </w:rPr>
        <w:tab/>
      </w:r>
      <w:proofErr w:type="spellStart"/>
      <w:r w:rsidRPr="0065248F">
        <w:rPr>
          <w:bCs/>
          <w:color w:val="000000"/>
          <w:u w:val="single"/>
          <w:lang w:eastAsia="lt-LT"/>
        </w:rPr>
        <w:t>Privalumai</w:t>
      </w:r>
      <w:proofErr w:type="spellEnd"/>
      <w:r w:rsidR="00A969FB" w:rsidRPr="0065248F">
        <w:rPr>
          <w:bCs/>
          <w:color w:val="000000"/>
          <w:u w:val="single"/>
          <w:lang w:eastAsia="lt-LT"/>
        </w:rPr>
        <w:t xml:space="preserve">. </w:t>
      </w:r>
      <w:r w:rsidR="00A969FB" w:rsidRPr="0065248F">
        <w:rPr>
          <w:bCs/>
          <w:color w:val="000000"/>
          <w:lang w:eastAsia="lt-LT"/>
        </w:rPr>
        <w:t>P</w:t>
      </w:r>
      <w:r w:rsidRPr="0065248F">
        <w:rPr>
          <w:bCs/>
          <w:color w:val="000000"/>
          <w:lang w:eastAsia="lt-LT"/>
        </w:rPr>
        <w:t xml:space="preserve">acientams – analogiško klinikinio efektyvumo gydymas su mažiau patiriamų šalutinių poveikių, bloginančių gyvenimo kokybę; medicinos paslaugoms – nereikalingas papildomas paciento ištyrimas prieš pradedant gydymą nei jį stebint, mažesnis ambulatorinių ir stacionarinių sveikatos priežiūros paslaugų poreikis šalutinių poveikių gydymui, lyginant su </w:t>
      </w:r>
      <w:proofErr w:type="spellStart"/>
      <w:r w:rsidRPr="0065248F">
        <w:rPr>
          <w:bCs/>
          <w:color w:val="000000"/>
          <w:lang w:eastAsia="lt-LT"/>
        </w:rPr>
        <w:t>ibrutinibu</w:t>
      </w:r>
      <w:proofErr w:type="spellEnd"/>
      <w:r w:rsidRPr="0065248F">
        <w:rPr>
          <w:bCs/>
          <w:color w:val="000000"/>
          <w:lang w:eastAsia="lt-LT"/>
        </w:rPr>
        <w:t xml:space="preserve"> (ypač širdies ir kraujagyslių sistemos ligų, ritmo sutrikimų).</w:t>
      </w:r>
    </w:p>
    <w:p w14:paraId="231B31CD" w14:textId="5FAD7F15" w:rsidR="009032BF" w:rsidRPr="00981620" w:rsidRDefault="009032BF" w:rsidP="00981620">
      <w:pPr>
        <w:tabs>
          <w:tab w:val="left" w:pos="426"/>
        </w:tabs>
        <w:spacing w:line="276" w:lineRule="auto"/>
        <w:jc w:val="both"/>
        <w:rPr>
          <w:bCs/>
          <w:color w:val="000000"/>
          <w:lang w:eastAsia="lt-LT"/>
        </w:rPr>
      </w:pPr>
      <w:r w:rsidRPr="0065248F">
        <w:rPr>
          <w:bCs/>
          <w:color w:val="000000"/>
          <w:lang w:eastAsia="lt-LT"/>
        </w:rPr>
        <w:tab/>
      </w:r>
      <w:r w:rsidRPr="0065248F">
        <w:rPr>
          <w:bCs/>
          <w:color w:val="000000"/>
          <w:lang w:eastAsia="lt-LT"/>
        </w:rPr>
        <w:tab/>
      </w:r>
      <w:r w:rsidRPr="0065248F">
        <w:rPr>
          <w:bCs/>
          <w:color w:val="000000"/>
          <w:u w:val="single"/>
          <w:lang w:eastAsia="lt-LT"/>
        </w:rPr>
        <w:t>Trūkumai</w:t>
      </w:r>
      <w:r w:rsidR="00A969FB" w:rsidRPr="0065248F">
        <w:rPr>
          <w:bCs/>
          <w:color w:val="000000"/>
          <w:u w:val="single"/>
          <w:lang w:eastAsia="lt-LT"/>
        </w:rPr>
        <w:t>.</w:t>
      </w:r>
      <w:r w:rsidR="005A3FB0" w:rsidRPr="005A3FB0">
        <w:rPr>
          <w:bCs/>
          <w:color w:val="000000"/>
          <w:lang w:eastAsia="lt-LT"/>
        </w:rPr>
        <w:t xml:space="preserve"> </w:t>
      </w:r>
      <w:r w:rsidR="00A969FB" w:rsidRPr="0065248F">
        <w:rPr>
          <w:bCs/>
          <w:color w:val="000000"/>
          <w:lang w:eastAsia="lt-LT"/>
        </w:rPr>
        <w:t>P</w:t>
      </w:r>
      <w:r w:rsidRPr="0065248F">
        <w:rPr>
          <w:bCs/>
          <w:color w:val="000000"/>
          <w:lang w:eastAsia="lt-LT"/>
        </w:rPr>
        <w:t xml:space="preserve">acientams – nėra; medicinos paslaugoms: stebėsenos dėl sąveikų su priešgrybeliniais, </w:t>
      </w:r>
      <w:proofErr w:type="spellStart"/>
      <w:r w:rsidRPr="0065248F">
        <w:rPr>
          <w:bCs/>
          <w:color w:val="000000"/>
          <w:lang w:eastAsia="lt-LT"/>
        </w:rPr>
        <w:t>priešvirusiniais</w:t>
      </w:r>
      <w:proofErr w:type="spellEnd"/>
      <w:r w:rsidRPr="0065248F">
        <w:rPr>
          <w:bCs/>
          <w:color w:val="000000"/>
          <w:lang w:eastAsia="lt-LT"/>
        </w:rPr>
        <w:t xml:space="preserve">, </w:t>
      </w:r>
      <w:proofErr w:type="spellStart"/>
      <w:r w:rsidRPr="0065248F">
        <w:rPr>
          <w:bCs/>
          <w:color w:val="000000"/>
          <w:lang w:eastAsia="lt-LT"/>
        </w:rPr>
        <w:t>antiepilepsiniais</w:t>
      </w:r>
      <w:proofErr w:type="spellEnd"/>
      <w:r w:rsidRPr="0065248F">
        <w:rPr>
          <w:bCs/>
          <w:color w:val="000000"/>
          <w:lang w:eastAsia="lt-LT"/>
        </w:rPr>
        <w:t xml:space="preserve">, </w:t>
      </w:r>
      <w:proofErr w:type="spellStart"/>
      <w:r w:rsidRPr="0065248F">
        <w:rPr>
          <w:bCs/>
          <w:color w:val="000000"/>
          <w:lang w:eastAsia="lt-LT"/>
        </w:rPr>
        <w:t>antiaritminiais</w:t>
      </w:r>
      <w:proofErr w:type="spellEnd"/>
      <w:r w:rsidRPr="0065248F">
        <w:rPr>
          <w:bCs/>
          <w:color w:val="000000"/>
          <w:lang w:eastAsia="lt-LT"/>
        </w:rPr>
        <w:t xml:space="preserve"> ir kitais vaistais, poreikis.</w:t>
      </w:r>
    </w:p>
    <w:p w14:paraId="65525019" w14:textId="54CB10BA" w:rsidR="009032BF" w:rsidRPr="00981620" w:rsidRDefault="009032BF" w:rsidP="00981620">
      <w:pPr>
        <w:widowControl w:val="0"/>
        <w:spacing w:line="276" w:lineRule="auto"/>
        <w:ind w:firstLine="720"/>
        <w:jc w:val="both"/>
        <w:rPr>
          <w:bCs/>
          <w:color w:val="000000"/>
          <w:lang w:eastAsia="lt-LT"/>
        </w:rPr>
      </w:pPr>
      <w:r w:rsidRPr="0065248F">
        <w:rPr>
          <w:bCs/>
          <w:color w:val="000000"/>
          <w:u w:val="single"/>
          <w:lang w:eastAsia="lt-LT"/>
        </w:rPr>
        <w:t>Praktinės problemos pacientui ar jo globėjui</w:t>
      </w:r>
      <w:r w:rsidR="00A969FB" w:rsidRPr="0065248F">
        <w:rPr>
          <w:bCs/>
          <w:color w:val="000000"/>
          <w:u w:val="single"/>
          <w:lang w:eastAsia="lt-LT"/>
        </w:rPr>
        <w:t>.</w:t>
      </w:r>
      <w:r w:rsidR="005A3FB0" w:rsidRPr="00AB6AD9">
        <w:rPr>
          <w:bCs/>
          <w:color w:val="000000"/>
          <w:lang w:eastAsia="lt-LT"/>
        </w:rPr>
        <w:t xml:space="preserve"> </w:t>
      </w:r>
      <w:r w:rsidR="00A969FB" w:rsidRPr="0065248F">
        <w:rPr>
          <w:bCs/>
          <w:color w:val="000000"/>
          <w:lang w:eastAsia="lt-LT"/>
        </w:rPr>
        <w:t>D</w:t>
      </w:r>
      <w:r w:rsidRPr="0065248F">
        <w:rPr>
          <w:bCs/>
          <w:color w:val="000000"/>
          <w:lang w:eastAsia="lt-LT"/>
        </w:rPr>
        <w:t xml:space="preserve">ažnesnis </w:t>
      </w:r>
      <w:proofErr w:type="spellStart"/>
      <w:r w:rsidRPr="0065248F">
        <w:rPr>
          <w:bCs/>
          <w:color w:val="000000"/>
          <w:lang w:eastAsia="lt-LT"/>
        </w:rPr>
        <w:t>akalabrutinibo</w:t>
      </w:r>
      <w:proofErr w:type="spellEnd"/>
      <w:r w:rsidRPr="0065248F">
        <w:rPr>
          <w:bCs/>
          <w:color w:val="000000"/>
          <w:lang w:eastAsia="lt-LT"/>
        </w:rPr>
        <w:t xml:space="preserve"> dozavimas (100 mg – viena tabletė – du kartus per parą), lyginant su </w:t>
      </w:r>
      <w:proofErr w:type="spellStart"/>
      <w:r w:rsidRPr="0065248F">
        <w:rPr>
          <w:bCs/>
          <w:color w:val="000000"/>
          <w:lang w:eastAsia="lt-LT"/>
        </w:rPr>
        <w:t>ibrutinibu</w:t>
      </w:r>
      <w:proofErr w:type="spellEnd"/>
      <w:r w:rsidRPr="0065248F">
        <w:rPr>
          <w:bCs/>
          <w:color w:val="000000"/>
          <w:lang w:eastAsia="lt-LT"/>
        </w:rPr>
        <w:t xml:space="preserve"> (420 mg – viena tabletė – vieną kartą per parą).</w:t>
      </w:r>
    </w:p>
    <w:p w14:paraId="21D7CBFD" w14:textId="2228ECAA" w:rsidR="009032BF" w:rsidRPr="0065248F" w:rsidRDefault="009032BF" w:rsidP="00975ED6">
      <w:pPr>
        <w:spacing w:line="276" w:lineRule="auto"/>
        <w:ind w:firstLine="720"/>
        <w:jc w:val="both"/>
        <w:rPr>
          <w:b/>
          <w:color w:val="000000"/>
          <w:lang w:eastAsia="lt-LT"/>
        </w:rPr>
      </w:pPr>
      <w:r w:rsidRPr="0065248F">
        <w:rPr>
          <w:bCs/>
          <w:color w:val="000000"/>
          <w:u w:val="single"/>
          <w:lang w:eastAsia="lt-LT"/>
        </w:rPr>
        <w:t>Pasekmės teikiamoms paslaugoms</w:t>
      </w:r>
      <w:r w:rsidR="00A969FB" w:rsidRPr="0065248F">
        <w:rPr>
          <w:bCs/>
          <w:color w:val="000000"/>
          <w:u w:val="single"/>
          <w:lang w:eastAsia="lt-LT"/>
        </w:rPr>
        <w:t>.</w:t>
      </w:r>
      <w:r w:rsidR="005A3FB0" w:rsidRPr="005A3FB0">
        <w:rPr>
          <w:bCs/>
          <w:color w:val="000000"/>
          <w:lang w:eastAsia="lt-LT"/>
        </w:rPr>
        <w:t xml:space="preserve"> </w:t>
      </w:r>
      <w:r w:rsidR="00A969FB" w:rsidRPr="0065248F">
        <w:rPr>
          <w:bCs/>
          <w:color w:val="000000"/>
          <w:lang w:eastAsia="lt-LT"/>
        </w:rPr>
        <w:t>N</w:t>
      </w:r>
      <w:r w:rsidRPr="0065248F">
        <w:rPr>
          <w:bCs/>
          <w:color w:val="000000"/>
          <w:lang w:eastAsia="lt-LT"/>
        </w:rPr>
        <w:t xml:space="preserve">ebūtų, nes </w:t>
      </w:r>
      <w:r w:rsidR="00A969FB" w:rsidRPr="0065248F">
        <w:rPr>
          <w:bCs/>
          <w:color w:val="000000"/>
          <w:lang w:eastAsia="lt-LT"/>
        </w:rPr>
        <w:t xml:space="preserve">taikant </w:t>
      </w:r>
      <w:r w:rsidRPr="0065248F">
        <w:rPr>
          <w:bCs/>
          <w:color w:val="000000"/>
          <w:lang w:eastAsia="lt-LT"/>
        </w:rPr>
        <w:t xml:space="preserve">gydymas </w:t>
      </w:r>
      <w:r w:rsidRPr="00981620">
        <w:rPr>
          <w:bCs/>
          <w:color w:val="000000"/>
          <w:lang w:eastAsia="lt-LT"/>
        </w:rPr>
        <w:t>nereik</w:t>
      </w:r>
      <w:r w:rsidR="00A969FB" w:rsidRPr="00981620">
        <w:rPr>
          <w:bCs/>
          <w:color w:val="000000"/>
          <w:lang w:eastAsia="lt-LT"/>
        </w:rPr>
        <w:t>ia</w:t>
      </w:r>
      <w:r w:rsidRPr="00981620">
        <w:rPr>
          <w:bCs/>
          <w:color w:val="000000"/>
          <w:lang w:eastAsia="lt-LT"/>
        </w:rPr>
        <w:t xml:space="preserve"> poky</w:t>
      </w:r>
      <w:r w:rsidRPr="0065248F">
        <w:rPr>
          <w:bCs/>
          <w:color w:val="000000"/>
          <w:lang w:eastAsia="lt-LT"/>
        </w:rPr>
        <w:t xml:space="preserve">čių organizaciniame gydymo įgyvendinimo lygmenyje, nes šiuo metu Lietuvoje pacientai, kuriems nustatyta LLL, jau yra gydomi </w:t>
      </w:r>
      <w:proofErr w:type="spellStart"/>
      <w:r w:rsidRPr="0065248F">
        <w:rPr>
          <w:bCs/>
          <w:color w:val="000000"/>
          <w:lang w:eastAsia="lt-LT"/>
        </w:rPr>
        <w:t>ibrutinibu</w:t>
      </w:r>
      <w:proofErr w:type="spellEnd"/>
      <w:r w:rsidRPr="0065248F">
        <w:rPr>
          <w:bCs/>
          <w:color w:val="000000"/>
          <w:lang w:eastAsia="lt-LT"/>
        </w:rPr>
        <w:t xml:space="preserve">, o siūlomos </w:t>
      </w:r>
      <w:r w:rsidR="00A969FB" w:rsidRPr="0065248F">
        <w:rPr>
          <w:bCs/>
          <w:color w:val="000000"/>
          <w:lang w:eastAsia="lt-LT"/>
        </w:rPr>
        <w:t xml:space="preserve">tokis pačios kaip </w:t>
      </w:r>
      <w:proofErr w:type="spellStart"/>
      <w:r w:rsidR="00A969FB" w:rsidRPr="0065248F">
        <w:rPr>
          <w:bCs/>
          <w:color w:val="000000"/>
          <w:lang w:eastAsia="lt-LT"/>
        </w:rPr>
        <w:t>ibrutinimbo</w:t>
      </w:r>
      <w:proofErr w:type="spellEnd"/>
      <w:r w:rsidR="00A969FB" w:rsidRPr="0065248F">
        <w:rPr>
          <w:bCs/>
          <w:color w:val="000000"/>
          <w:lang w:eastAsia="lt-LT"/>
        </w:rPr>
        <w:t xml:space="preserve"> </w:t>
      </w:r>
      <w:r w:rsidRPr="0065248F">
        <w:rPr>
          <w:bCs/>
          <w:color w:val="000000"/>
          <w:lang w:eastAsia="lt-LT"/>
        </w:rPr>
        <w:t>skyrimo sąlygos išlaiky</w:t>
      </w:r>
      <w:r w:rsidR="00A969FB" w:rsidRPr="0065248F">
        <w:rPr>
          <w:bCs/>
          <w:color w:val="000000"/>
          <w:lang w:eastAsia="lt-LT"/>
        </w:rPr>
        <w:t>tų</w:t>
      </w:r>
      <w:r w:rsidRPr="0065248F">
        <w:rPr>
          <w:bCs/>
          <w:color w:val="000000"/>
          <w:lang w:eastAsia="lt-LT"/>
        </w:rPr>
        <w:t xml:space="preserve"> identišką pacientų populiaciją.</w:t>
      </w:r>
    </w:p>
    <w:p w14:paraId="41C96EBE" w14:textId="7DB3BAEA" w:rsidR="009032BF" w:rsidRPr="0065248F" w:rsidRDefault="00A969FB" w:rsidP="00DD4616">
      <w:pPr>
        <w:pStyle w:val="ListParagraph"/>
        <w:tabs>
          <w:tab w:val="left" w:pos="426"/>
        </w:tabs>
        <w:spacing w:line="276" w:lineRule="auto"/>
        <w:ind w:left="0"/>
        <w:jc w:val="both"/>
        <w:rPr>
          <w:b/>
          <w:bCs/>
          <w:caps/>
        </w:rPr>
      </w:pPr>
      <w:r w:rsidRPr="0065248F">
        <w:tab/>
      </w:r>
      <w:r w:rsidR="009032BF" w:rsidRPr="0065248F">
        <w:t xml:space="preserve">Klinikinis </w:t>
      </w:r>
      <w:proofErr w:type="spellStart"/>
      <w:r w:rsidR="009032BF" w:rsidRPr="0065248F">
        <w:t>akalabrutinibo</w:t>
      </w:r>
      <w:proofErr w:type="spellEnd"/>
      <w:r w:rsidR="009032BF" w:rsidRPr="0065248F">
        <w:t xml:space="preserve"> </w:t>
      </w:r>
      <w:r w:rsidRPr="0065248F">
        <w:t xml:space="preserve">veiksmingumas </w:t>
      </w:r>
      <w:r w:rsidR="009032BF" w:rsidRPr="0065248F">
        <w:t>registruot</w:t>
      </w:r>
      <w:r w:rsidRPr="0065248F">
        <w:t>ų</w:t>
      </w:r>
      <w:r w:rsidR="009032BF" w:rsidRPr="0065248F">
        <w:t xml:space="preserve"> </w:t>
      </w:r>
      <w:r w:rsidRPr="0065248F">
        <w:t xml:space="preserve">terapinių </w:t>
      </w:r>
      <w:r w:rsidR="009032BF" w:rsidRPr="0065248F">
        <w:t>indikacij</w:t>
      </w:r>
      <w:r w:rsidRPr="0065248F">
        <w:t>ų atžvilgiu</w:t>
      </w:r>
      <w:r w:rsidR="009032BF" w:rsidRPr="0065248F">
        <w:t xml:space="preserve"> Tarnybai abejon</w:t>
      </w:r>
      <w:r w:rsidRPr="0065248F">
        <w:t>ių</w:t>
      </w:r>
      <w:r w:rsidR="009032BF" w:rsidRPr="0065248F">
        <w:t xml:space="preserve"> nekelia. Kadangi yra tiesioginių klinikinių duomenų, kuriuose įrodytas nesiskiriantis </w:t>
      </w:r>
      <w:proofErr w:type="spellStart"/>
      <w:r w:rsidR="009032BF" w:rsidRPr="0065248F">
        <w:t>akalabrutinibo</w:t>
      </w:r>
      <w:proofErr w:type="spellEnd"/>
      <w:r w:rsidR="009032BF" w:rsidRPr="0065248F">
        <w:t xml:space="preserve"> ir </w:t>
      </w:r>
      <w:proofErr w:type="spellStart"/>
      <w:r w:rsidR="009032BF" w:rsidRPr="0065248F">
        <w:t>ibrutinibo</w:t>
      </w:r>
      <w:proofErr w:type="spellEnd"/>
      <w:r w:rsidR="009032BF" w:rsidRPr="0065248F">
        <w:t xml:space="preserve"> klinikinis veiksminguma</w:t>
      </w:r>
      <w:r w:rsidR="00E24019">
        <w:t xml:space="preserve">s, klinikinio vertinimo išvada </w:t>
      </w:r>
      <w:r w:rsidR="009032BF" w:rsidRPr="0065248F">
        <w:t>apibrėžta kaip „pagrindžiantis nesiskiriančios naudos pacientų sveikatai sukūrimą, lyginant su įprasta klinikine praktika“.</w:t>
      </w:r>
    </w:p>
    <w:p w14:paraId="27FB9247" w14:textId="77777777" w:rsidR="009032BF" w:rsidRPr="0065248F" w:rsidRDefault="009032BF" w:rsidP="00A93AA6">
      <w:pPr>
        <w:pStyle w:val="ListParagraph"/>
        <w:tabs>
          <w:tab w:val="left" w:pos="426"/>
        </w:tabs>
        <w:ind w:left="0"/>
        <w:rPr>
          <w:b/>
          <w:bCs/>
          <w:caps/>
        </w:rPr>
      </w:pPr>
    </w:p>
    <w:p w14:paraId="7DE09EB5" w14:textId="69E9DD74" w:rsidR="00E03C3F" w:rsidRPr="0065248F" w:rsidRDefault="00CC7832" w:rsidP="00CC09D4">
      <w:pPr>
        <w:pStyle w:val="ListParagraph"/>
        <w:numPr>
          <w:ilvl w:val="0"/>
          <w:numId w:val="12"/>
        </w:numPr>
        <w:tabs>
          <w:tab w:val="left" w:pos="567"/>
        </w:tabs>
        <w:ind w:hanging="720"/>
        <w:rPr>
          <w:b/>
          <w:bCs/>
          <w:caps/>
        </w:rPr>
      </w:pPr>
      <w:r w:rsidRPr="0065248F">
        <w:rPr>
          <w:b/>
          <w:bCs/>
          <w:caps/>
        </w:rPr>
        <w:lastRenderedPageBreak/>
        <w:t xml:space="preserve">ekonominio vertinimo </w:t>
      </w:r>
      <w:r w:rsidR="002F0E4F" w:rsidRPr="0065248F">
        <w:rPr>
          <w:b/>
          <w:bCs/>
          <w:caps/>
        </w:rPr>
        <w:t>apibendrinimas</w:t>
      </w:r>
    </w:p>
    <w:p w14:paraId="1A900598" w14:textId="3FCBA309" w:rsidR="00C62B36" w:rsidRPr="0065248F" w:rsidRDefault="00C62B36" w:rsidP="00A93AA6">
      <w:pPr>
        <w:tabs>
          <w:tab w:val="left" w:pos="426"/>
        </w:tabs>
        <w:rPr>
          <w:i/>
          <w:color w:val="00B050"/>
          <w:sz w:val="22"/>
          <w:szCs w:val="22"/>
        </w:rPr>
      </w:pPr>
    </w:p>
    <w:p w14:paraId="218FFFBD" w14:textId="77777777" w:rsidR="00AA7671" w:rsidRPr="0065248F" w:rsidRDefault="00AA7671" w:rsidP="00DC073A">
      <w:pPr>
        <w:shd w:val="clear" w:color="auto" w:fill="FFFFFF"/>
        <w:spacing w:line="276" w:lineRule="auto"/>
        <w:ind w:firstLine="720"/>
        <w:jc w:val="both"/>
        <w:rPr>
          <w:iCs/>
          <w:lang w:eastAsia="lt-LT"/>
        </w:rPr>
      </w:pPr>
      <w:r w:rsidRPr="0065248F">
        <w:rPr>
          <w:iCs/>
          <w:lang w:eastAsia="lt-LT"/>
        </w:rPr>
        <w:t xml:space="preserve">Pateikta kaštų mažinimo analizė, lyginant vaistų įsigijimo kaštus bei kaštus nepageidaujamų reakcijų suvaldymui. Analizėje laikomasi prielaidos, jog asmens sveikatos priežiūros paslaugos tarp lyginamųjų būklių bus vienodos. Taip pat, laikomasi prielaidos, jog </w:t>
      </w:r>
      <w:proofErr w:type="spellStart"/>
      <w:r w:rsidRPr="0065248F">
        <w:rPr>
          <w:iCs/>
          <w:lang w:eastAsia="lt-LT"/>
        </w:rPr>
        <w:t>akalabrutinibo</w:t>
      </w:r>
      <w:proofErr w:type="spellEnd"/>
      <w:r w:rsidRPr="0065248F">
        <w:rPr>
          <w:iCs/>
          <w:lang w:eastAsia="lt-LT"/>
        </w:rPr>
        <w:t xml:space="preserve"> skyrimas nepareikalaus papildomų kaštų, lyginant su </w:t>
      </w:r>
      <w:proofErr w:type="spellStart"/>
      <w:r w:rsidRPr="0065248F">
        <w:rPr>
          <w:iCs/>
          <w:lang w:eastAsia="lt-LT"/>
        </w:rPr>
        <w:t>ibrutinibu</w:t>
      </w:r>
      <w:proofErr w:type="spellEnd"/>
      <w:r w:rsidRPr="0065248F">
        <w:rPr>
          <w:iCs/>
          <w:lang w:eastAsia="lt-LT"/>
        </w:rPr>
        <w:t xml:space="preserve">. Tarnybai atlikus perskaičiavimą, taikant PGS, gydymas </w:t>
      </w:r>
      <w:proofErr w:type="spellStart"/>
      <w:r w:rsidRPr="0065248F">
        <w:rPr>
          <w:iCs/>
          <w:lang w:eastAsia="lt-LT"/>
        </w:rPr>
        <w:t>akalabrutinibu</w:t>
      </w:r>
      <w:proofErr w:type="spellEnd"/>
      <w:r w:rsidRPr="0065248F">
        <w:rPr>
          <w:iCs/>
          <w:lang w:eastAsia="lt-LT"/>
        </w:rPr>
        <w:t xml:space="preserve"> lieka pigesne gydymo alternatyva, lyginant su gydymu </w:t>
      </w:r>
      <w:proofErr w:type="spellStart"/>
      <w:r w:rsidRPr="0065248F">
        <w:rPr>
          <w:iCs/>
          <w:lang w:eastAsia="lt-LT"/>
        </w:rPr>
        <w:t>ibrutinibu</w:t>
      </w:r>
      <w:proofErr w:type="spellEnd"/>
      <w:r w:rsidRPr="0065248F">
        <w:rPr>
          <w:iCs/>
          <w:lang w:eastAsia="lt-LT"/>
        </w:rPr>
        <w:t>.</w:t>
      </w:r>
    </w:p>
    <w:p w14:paraId="023A54E9" w14:textId="77777777" w:rsidR="00F40C04" w:rsidRPr="0065248F" w:rsidRDefault="00F40C04" w:rsidP="00A93AA6">
      <w:pPr>
        <w:tabs>
          <w:tab w:val="left" w:pos="426"/>
        </w:tabs>
        <w:rPr>
          <w:b/>
          <w:bCs/>
          <w:caps/>
        </w:rPr>
      </w:pPr>
    </w:p>
    <w:p w14:paraId="174D84D7" w14:textId="2A98EE7C" w:rsidR="0035172D" w:rsidRPr="0065248F" w:rsidRDefault="0035172D" w:rsidP="00A93AA6">
      <w:pPr>
        <w:tabs>
          <w:tab w:val="left" w:pos="426"/>
        </w:tabs>
        <w:rPr>
          <w:b/>
          <w:lang w:eastAsia="lt-LT"/>
        </w:rPr>
      </w:pPr>
      <w:r w:rsidRPr="0065248F">
        <w:rPr>
          <w:b/>
          <w:lang w:eastAsia="lt-LT"/>
        </w:rPr>
        <w:t>Ekonominės analizės rezultatas</w:t>
      </w:r>
    </w:p>
    <w:p w14:paraId="4801D227" w14:textId="77777777" w:rsidR="009E44AE" w:rsidRPr="0065248F"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65248F"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65248F" w:rsidRDefault="009E44AE" w:rsidP="009E44AE">
            <w:pPr>
              <w:tabs>
                <w:tab w:val="left" w:pos="567"/>
              </w:tabs>
              <w:jc w:val="center"/>
              <w:rPr>
                <w:b/>
                <w:bCs/>
                <w:sz w:val="26"/>
                <w:szCs w:val="26"/>
                <w:lang w:eastAsia="lt-LT"/>
              </w:rPr>
            </w:pPr>
            <w:r w:rsidRPr="0065248F">
              <w:rPr>
                <w:b/>
                <w:bCs/>
                <w:sz w:val="26"/>
                <w:szCs w:val="26"/>
                <w:lang w:eastAsia="lt-LT"/>
              </w:rPr>
              <w:t>Rezultatai</w:t>
            </w:r>
          </w:p>
        </w:tc>
      </w:tr>
      <w:tr w:rsidR="00F62365" w:rsidRPr="0065248F" w14:paraId="319AF392" w14:textId="77777777" w:rsidTr="00AA7671">
        <w:trPr>
          <w:trHeight w:val="267"/>
          <w:jc w:val="center"/>
        </w:trPr>
        <w:tc>
          <w:tcPr>
            <w:tcW w:w="6200" w:type="dxa"/>
            <w:tcBorders>
              <w:left w:val="single" w:sz="4" w:space="0" w:color="auto"/>
            </w:tcBorders>
          </w:tcPr>
          <w:p w14:paraId="44CD8D27" w14:textId="2FB35E28" w:rsidR="00F62365" w:rsidRPr="0065248F" w:rsidRDefault="00F62365" w:rsidP="00F62365">
            <w:pPr>
              <w:tabs>
                <w:tab w:val="left" w:pos="567"/>
              </w:tabs>
              <w:jc w:val="right"/>
              <w:rPr>
                <w:iCs/>
                <w:lang w:eastAsia="lt-LT"/>
              </w:rPr>
            </w:pPr>
            <w:bookmarkStart w:id="0" w:name="_GoBack" w:colFirst="1" w:colLast="1"/>
            <w:r w:rsidRPr="0065248F">
              <w:rPr>
                <w:iCs/>
                <w:lang w:eastAsia="lt-LT"/>
              </w:rPr>
              <w:t>Kaštų skirtumas (pirmi metai)</w:t>
            </w:r>
          </w:p>
        </w:tc>
        <w:tc>
          <w:tcPr>
            <w:tcW w:w="3239" w:type="dxa"/>
            <w:tcBorders>
              <w:right w:val="single" w:sz="4" w:space="0" w:color="auto"/>
            </w:tcBorders>
          </w:tcPr>
          <w:p w14:paraId="1CACF0B4" w14:textId="6550BEAE" w:rsidR="00F62365" w:rsidRPr="0065248F" w:rsidRDefault="00F62365" w:rsidP="00F62365">
            <w:pPr>
              <w:tabs>
                <w:tab w:val="left" w:pos="567"/>
              </w:tabs>
              <w:jc w:val="both"/>
              <w:rPr>
                <w:i/>
                <w:iCs/>
                <w:lang w:eastAsia="lt-LT"/>
              </w:rPr>
            </w:pPr>
            <w:r w:rsidRPr="00EF39E7">
              <w:rPr>
                <w:b/>
                <w:bCs/>
                <w:sz w:val="20"/>
              </w:rPr>
              <w:t>*******</w:t>
            </w:r>
          </w:p>
        </w:tc>
      </w:tr>
      <w:tr w:rsidR="00F62365" w:rsidRPr="0065248F" w14:paraId="49F818A3" w14:textId="77777777" w:rsidTr="00AA7671">
        <w:trPr>
          <w:trHeight w:val="267"/>
          <w:jc w:val="center"/>
        </w:trPr>
        <w:tc>
          <w:tcPr>
            <w:tcW w:w="6200" w:type="dxa"/>
            <w:tcBorders>
              <w:left w:val="single" w:sz="4" w:space="0" w:color="auto"/>
            </w:tcBorders>
          </w:tcPr>
          <w:p w14:paraId="021DB925" w14:textId="128E7347" w:rsidR="00F62365" w:rsidRPr="0065248F" w:rsidRDefault="00F62365" w:rsidP="00F62365">
            <w:pPr>
              <w:tabs>
                <w:tab w:val="left" w:pos="567"/>
              </w:tabs>
              <w:jc w:val="right"/>
              <w:rPr>
                <w:iCs/>
                <w:lang w:eastAsia="lt-LT"/>
              </w:rPr>
            </w:pPr>
            <w:r w:rsidRPr="0065248F">
              <w:rPr>
                <w:iCs/>
                <w:lang w:eastAsia="lt-LT"/>
              </w:rPr>
              <w:t>Kaštų skirtumas (tolimesni metai)</w:t>
            </w:r>
          </w:p>
        </w:tc>
        <w:tc>
          <w:tcPr>
            <w:tcW w:w="3239" w:type="dxa"/>
            <w:tcBorders>
              <w:right w:val="single" w:sz="4" w:space="0" w:color="auto"/>
            </w:tcBorders>
          </w:tcPr>
          <w:p w14:paraId="4954817B" w14:textId="2C5C30C1" w:rsidR="00F62365" w:rsidRPr="0065248F" w:rsidRDefault="00F62365" w:rsidP="00F62365">
            <w:pPr>
              <w:tabs>
                <w:tab w:val="left" w:pos="567"/>
              </w:tabs>
              <w:jc w:val="both"/>
              <w:rPr>
                <w:i/>
                <w:iCs/>
                <w:lang w:eastAsia="lt-LT"/>
              </w:rPr>
            </w:pPr>
            <w:r w:rsidRPr="00EF39E7">
              <w:rPr>
                <w:b/>
                <w:bCs/>
                <w:sz w:val="20"/>
              </w:rPr>
              <w:t>*******</w:t>
            </w:r>
          </w:p>
        </w:tc>
      </w:tr>
      <w:bookmarkEnd w:id="0"/>
    </w:tbl>
    <w:p w14:paraId="33875138" w14:textId="7FDBE2C2" w:rsidR="0035172D" w:rsidRPr="0065248F" w:rsidRDefault="0035172D" w:rsidP="00A93AA6">
      <w:pPr>
        <w:tabs>
          <w:tab w:val="left" w:pos="426"/>
        </w:tabs>
        <w:rPr>
          <w:b/>
          <w:bCs/>
          <w:caps/>
        </w:rPr>
      </w:pPr>
    </w:p>
    <w:p w14:paraId="3197311A" w14:textId="77777777" w:rsidR="009032BF" w:rsidRPr="0065248F" w:rsidRDefault="009032BF" w:rsidP="00A93AA6">
      <w:pPr>
        <w:tabs>
          <w:tab w:val="left" w:pos="426"/>
        </w:tabs>
        <w:rPr>
          <w:b/>
          <w:bCs/>
          <w:caps/>
        </w:rPr>
      </w:pPr>
    </w:p>
    <w:p w14:paraId="4FC424F9" w14:textId="4E767245" w:rsidR="00C62B36" w:rsidRPr="0065248F" w:rsidRDefault="00C62B36" w:rsidP="00CC09D4">
      <w:pPr>
        <w:pStyle w:val="ListParagraph"/>
        <w:numPr>
          <w:ilvl w:val="0"/>
          <w:numId w:val="12"/>
        </w:numPr>
        <w:tabs>
          <w:tab w:val="left" w:pos="567"/>
        </w:tabs>
        <w:ind w:hanging="720"/>
        <w:rPr>
          <w:b/>
          <w:bCs/>
          <w:caps/>
        </w:rPr>
      </w:pPr>
      <w:r w:rsidRPr="0065248F">
        <w:rPr>
          <w:b/>
          <w:bCs/>
          <w:caps/>
        </w:rPr>
        <w:t xml:space="preserve">Pacientų organizacijų pateikti duomenys </w:t>
      </w:r>
    </w:p>
    <w:p w14:paraId="79BCFF40" w14:textId="1884B69E" w:rsidR="00937907" w:rsidRPr="00BA61E3" w:rsidRDefault="00B613EB"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EndPr>
          <w:rPr>
            <w:rStyle w:val="Style2"/>
          </w:rPr>
        </w:sdtEndPr>
        <w:sdtContent>
          <w:r w:rsidR="00AA7671" w:rsidRPr="0065248F">
            <w:rPr>
              <w:rStyle w:val="Style2"/>
              <w:rFonts w:ascii="MS Gothic" w:eastAsia="MS Gothic" w:hAnsi="MS Gothic"/>
              <w:sz w:val="24"/>
            </w:rPr>
            <w:t>☒</w:t>
          </w:r>
        </w:sdtContent>
      </w:sdt>
      <w:r w:rsidR="00937907" w:rsidRPr="0065248F">
        <w:t xml:space="preserve"> Pacientų organizacijos pozicija pateikta. Žr. priedą.</w:t>
      </w:r>
      <w:r w:rsidR="00AA7671" w:rsidRPr="0065248F">
        <w:t xml:space="preserve"> POLA klausimynas</w:t>
      </w:r>
    </w:p>
    <w:p w14:paraId="62992180" w14:textId="2531D5E3" w:rsidR="00937907" w:rsidRPr="0065248F" w:rsidRDefault="00B613EB"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EndPr>
          <w:rPr>
            <w:rStyle w:val="Style2"/>
          </w:rPr>
        </w:sdtEndPr>
        <w:sdtContent>
          <w:r w:rsidR="00937907" w:rsidRPr="0065248F">
            <w:rPr>
              <w:rStyle w:val="Style2"/>
              <w:rFonts w:ascii="MS Gothic" w:eastAsia="MS Gothic" w:hAnsi="MS Gothic"/>
              <w:sz w:val="24"/>
            </w:rPr>
            <w:t>☐</w:t>
          </w:r>
        </w:sdtContent>
      </w:sdt>
      <w:r w:rsidR="00937907" w:rsidRPr="0065248F">
        <w:t xml:space="preserve"> Pacientų organizacijos pozicija </w:t>
      </w:r>
      <w:r w:rsidR="00880A44" w:rsidRPr="0065248F">
        <w:t>ne</w:t>
      </w:r>
      <w:r w:rsidR="00937907" w:rsidRPr="00BA61E3">
        <w:t>pateikta.</w:t>
      </w:r>
    </w:p>
    <w:p w14:paraId="03E73D82" w14:textId="77777777" w:rsidR="00D417D2" w:rsidRPr="0065248F" w:rsidRDefault="00D417D2" w:rsidP="00937907">
      <w:pPr>
        <w:spacing w:after="120"/>
        <w:jc w:val="both"/>
      </w:pPr>
    </w:p>
    <w:p w14:paraId="3D3277FA" w14:textId="3CEEB2D2" w:rsidR="00C62B36" w:rsidRPr="0065248F" w:rsidRDefault="00C62B36" w:rsidP="00CC09D4">
      <w:pPr>
        <w:pStyle w:val="ListParagraph"/>
        <w:numPr>
          <w:ilvl w:val="0"/>
          <w:numId w:val="12"/>
        </w:numPr>
        <w:tabs>
          <w:tab w:val="left" w:pos="567"/>
        </w:tabs>
        <w:ind w:hanging="720"/>
        <w:rPr>
          <w:b/>
          <w:bCs/>
          <w:caps/>
        </w:rPr>
      </w:pPr>
      <w:r w:rsidRPr="0065248F">
        <w:rPr>
          <w:b/>
          <w:bCs/>
          <w:caps/>
        </w:rPr>
        <w:t>Gydytojų organizacijų pateikti duomenys</w:t>
      </w:r>
    </w:p>
    <w:p w14:paraId="389A346C" w14:textId="25EAC9CC" w:rsidR="00937907" w:rsidRPr="0065248F" w:rsidRDefault="00B613EB"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EndPr>
          <w:rPr>
            <w:rStyle w:val="Style2"/>
          </w:rPr>
        </w:sdtEndPr>
        <w:sdtContent>
          <w:r w:rsidR="00AA7671" w:rsidRPr="0065248F">
            <w:rPr>
              <w:rStyle w:val="Style2"/>
              <w:rFonts w:ascii="MS Gothic" w:eastAsia="MS Gothic" w:hAnsi="MS Gothic"/>
              <w:sz w:val="24"/>
            </w:rPr>
            <w:t>☒</w:t>
          </w:r>
        </w:sdtContent>
      </w:sdt>
      <w:r w:rsidR="00662983" w:rsidRPr="0065248F">
        <w:t xml:space="preserve"> </w:t>
      </w:r>
      <w:r w:rsidR="00937907" w:rsidRPr="0065248F">
        <w:t xml:space="preserve">Gydytojų specialistų organizacijos pozicija pateikta. </w:t>
      </w:r>
      <w:r w:rsidR="00662983" w:rsidRPr="00BA61E3">
        <w:t>Žr. priedą</w:t>
      </w:r>
      <w:r w:rsidR="00937907" w:rsidRPr="0065248F">
        <w:t>.</w:t>
      </w:r>
      <w:r w:rsidR="00AA7671" w:rsidRPr="0065248F">
        <w:t xml:space="preserve"> KKOHTD užpildyta gydytojų forma</w:t>
      </w:r>
    </w:p>
    <w:p w14:paraId="5D8CC48C" w14:textId="0BDF99DB" w:rsidR="00662983" w:rsidRPr="0065248F" w:rsidRDefault="00B613EB"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EndPr>
          <w:rPr>
            <w:rStyle w:val="Style2"/>
          </w:rPr>
        </w:sdtEndPr>
        <w:sdtContent>
          <w:r w:rsidR="00937907" w:rsidRPr="0065248F">
            <w:rPr>
              <w:rStyle w:val="Style2"/>
              <w:rFonts w:ascii="MS Gothic" w:eastAsia="MS Gothic" w:hAnsi="MS Gothic"/>
              <w:sz w:val="24"/>
            </w:rPr>
            <w:t>☐</w:t>
          </w:r>
        </w:sdtContent>
      </w:sdt>
      <w:r w:rsidR="00662983" w:rsidRPr="0065248F">
        <w:t xml:space="preserve"> </w:t>
      </w:r>
      <w:r w:rsidR="00937907" w:rsidRPr="0065248F">
        <w:t>Gydytojų specialistų organizacijos pozicija</w:t>
      </w:r>
      <w:r w:rsidR="00937907" w:rsidRPr="00BA61E3">
        <w:t xml:space="preserve"> </w:t>
      </w:r>
      <w:r w:rsidR="00880A44" w:rsidRPr="0065248F">
        <w:t>ne</w:t>
      </w:r>
      <w:r w:rsidR="00937907" w:rsidRPr="0065248F">
        <w:t>pateikta.</w:t>
      </w:r>
    </w:p>
    <w:p w14:paraId="1C1E1312" w14:textId="77777777" w:rsidR="009032BF" w:rsidRPr="0065248F" w:rsidRDefault="009032BF" w:rsidP="00662983">
      <w:pPr>
        <w:spacing w:after="120"/>
        <w:jc w:val="both"/>
      </w:pPr>
    </w:p>
    <w:p w14:paraId="78F23ECB" w14:textId="23A3A002" w:rsidR="002F0E4F" w:rsidRPr="0065248F" w:rsidRDefault="002F0E4F" w:rsidP="00CC09D4">
      <w:pPr>
        <w:pStyle w:val="ListParagraph"/>
        <w:numPr>
          <w:ilvl w:val="0"/>
          <w:numId w:val="12"/>
        </w:numPr>
        <w:tabs>
          <w:tab w:val="left" w:pos="567"/>
        </w:tabs>
        <w:ind w:hanging="720"/>
        <w:rPr>
          <w:b/>
          <w:bCs/>
          <w:caps/>
        </w:rPr>
      </w:pPr>
      <w:r w:rsidRPr="0065248F">
        <w:rPr>
          <w:b/>
          <w:bCs/>
          <w:caps/>
        </w:rPr>
        <w:t xml:space="preserve">Išvada </w:t>
      </w:r>
    </w:p>
    <w:p w14:paraId="08D5B3B6" w14:textId="2119AC15" w:rsidR="0061611B" w:rsidRPr="0065248F" w:rsidRDefault="0061611B" w:rsidP="0061611B">
      <w:pPr>
        <w:rPr>
          <w:i/>
          <w:color w:val="00B050"/>
          <w:szCs w:val="22"/>
        </w:rPr>
      </w:pPr>
    </w:p>
    <w:tbl>
      <w:tblPr>
        <w:tblStyle w:val="TableGrid"/>
        <w:tblW w:w="0" w:type="auto"/>
        <w:tblLook w:val="04A0" w:firstRow="1" w:lastRow="0" w:firstColumn="1" w:lastColumn="0" w:noHBand="0" w:noVBand="1"/>
      </w:tblPr>
      <w:tblGrid>
        <w:gridCol w:w="4815"/>
        <w:gridCol w:w="4814"/>
      </w:tblGrid>
      <w:tr w:rsidR="00B13D65" w:rsidRPr="0065248F" w14:paraId="25A2473E" w14:textId="77777777" w:rsidTr="00C16245">
        <w:trPr>
          <w:trHeight w:val="510"/>
        </w:trPr>
        <w:tc>
          <w:tcPr>
            <w:tcW w:w="4815" w:type="dxa"/>
            <w:vAlign w:val="center"/>
          </w:tcPr>
          <w:p w14:paraId="7EFE6941" w14:textId="23B8BB6D" w:rsidR="00B13D65" w:rsidRPr="0065248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65248F">
              <w:rPr>
                <w:rStyle w:val="Style2"/>
                <w:rFonts w:eastAsia="MS Gothic"/>
                <w:b/>
                <w:bCs/>
                <w:sz w:val="24"/>
              </w:rPr>
              <w:t>Rekomenduojama kompensuoti</w:t>
            </w:r>
          </w:p>
        </w:tc>
        <w:tc>
          <w:tcPr>
            <w:tcW w:w="4814" w:type="dxa"/>
            <w:vAlign w:val="center"/>
          </w:tcPr>
          <w:p w14:paraId="330A1A5E" w14:textId="19247DC1" w:rsidR="00B13D65" w:rsidRPr="0065248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65248F">
              <w:rPr>
                <w:rStyle w:val="Style2"/>
                <w:rFonts w:eastAsia="MS Gothic"/>
                <w:b/>
                <w:bCs/>
                <w:sz w:val="24"/>
              </w:rPr>
              <w:t xml:space="preserve">Rekomenduojama nekompensuoti </w:t>
            </w:r>
          </w:p>
        </w:tc>
      </w:tr>
      <w:tr w:rsidR="00B13D65" w:rsidRPr="0065248F" w14:paraId="143A7356" w14:textId="77777777" w:rsidTr="00C16245">
        <w:trPr>
          <w:trHeight w:val="510"/>
        </w:trPr>
        <w:tc>
          <w:tcPr>
            <w:tcW w:w="9629" w:type="dxa"/>
            <w:gridSpan w:val="2"/>
            <w:vAlign w:val="center"/>
          </w:tcPr>
          <w:p w14:paraId="0AF5D6B4" w14:textId="6D8B6C59" w:rsidR="00B13D65" w:rsidRPr="0065248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65248F">
              <w:rPr>
                <w:rStyle w:val="Style2"/>
                <w:rFonts w:eastAsia="MS Gothic"/>
                <w:b/>
                <w:bCs/>
                <w:sz w:val="24"/>
              </w:rPr>
              <w:t>Palyginamasis efektyvumas</w:t>
            </w:r>
          </w:p>
        </w:tc>
      </w:tr>
      <w:tr w:rsidR="00B13D65" w:rsidRPr="0065248F" w14:paraId="28A0C814" w14:textId="77777777" w:rsidTr="0061611B">
        <w:tc>
          <w:tcPr>
            <w:tcW w:w="4815" w:type="dxa"/>
          </w:tcPr>
          <w:p w14:paraId="216769B5" w14:textId="6B4508AD" w:rsidR="00B13D65" w:rsidRPr="0065248F" w:rsidRDefault="00B613E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B13D65" w:rsidRPr="0065248F">
                  <w:rPr>
                    <w:rStyle w:val="Style2"/>
                    <w:rFonts w:ascii="Segoe UI Symbol" w:eastAsia="MS Gothic" w:hAnsi="Segoe UI Symbol" w:cs="Segoe UI Symbol"/>
                    <w:sz w:val="24"/>
                  </w:rPr>
                  <w:t>☐</w:t>
                </w:r>
              </w:sdtContent>
            </w:sdt>
            <w:r w:rsidR="00B13D65" w:rsidRPr="0065248F">
              <w:t xml:space="preserve"> 32.1. yra didesnis</w:t>
            </w:r>
          </w:p>
          <w:p w14:paraId="3B48F372" w14:textId="77777777" w:rsidR="00662983" w:rsidRPr="0065248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6450AB3" w:rsidR="00B13D65" w:rsidRPr="0065248F" w:rsidRDefault="00B613EB" w:rsidP="00940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EndPr>
                <w:rPr>
                  <w:rStyle w:val="Style2"/>
                </w:rPr>
              </w:sdtEndPr>
              <w:sdtContent>
                <w:r w:rsidR="009032BF" w:rsidRPr="0065248F">
                  <w:rPr>
                    <w:rStyle w:val="Style2"/>
                    <w:rFonts w:ascii="MS Gothic" w:eastAsia="MS Gothic" w:hAnsi="MS Gothic"/>
                    <w:sz w:val="24"/>
                  </w:rPr>
                  <w:t>☒</w:t>
                </w:r>
              </w:sdtContent>
            </w:sdt>
            <w:r w:rsidR="00B13D65" w:rsidRPr="0065248F">
              <w:t xml:space="preserve"> 32.1. iš esmės nesiskiria</w:t>
            </w:r>
          </w:p>
        </w:tc>
        <w:tc>
          <w:tcPr>
            <w:tcW w:w="4814" w:type="dxa"/>
          </w:tcPr>
          <w:p w14:paraId="507828D9" w14:textId="3BCA556F" w:rsidR="00B13D65" w:rsidRPr="0065248F" w:rsidRDefault="00B613E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65248F">
                  <w:rPr>
                    <w:rStyle w:val="Style2"/>
                    <w:rFonts w:ascii="Segoe UI Symbol" w:eastAsia="MS Gothic" w:hAnsi="Segoe UI Symbol" w:cs="Segoe UI Symbol"/>
                    <w:sz w:val="24"/>
                  </w:rPr>
                  <w:t>☐</w:t>
                </w:r>
              </w:sdtContent>
            </w:sdt>
            <w:r w:rsidR="00B13D65" w:rsidRPr="0065248F">
              <w:t xml:space="preserve"> 33.1. yra mažesnis</w:t>
            </w:r>
          </w:p>
          <w:p w14:paraId="7F95DEEC" w14:textId="77777777" w:rsidR="00662983" w:rsidRPr="0065248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403E3814" w:rsidR="00662983" w:rsidRPr="0065248F" w:rsidRDefault="00B613E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65248F">
                  <w:rPr>
                    <w:rStyle w:val="Style2"/>
                    <w:rFonts w:ascii="Segoe UI Symbol" w:eastAsia="MS Gothic" w:hAnsi="Segoe UI Symbol" w:cs="Segoe UI Symbol"/>
                    <w:sz w:val="24"/>
                  </w:rPr>
                  <w:t>☐</w:t>
                </w:r>
              </w:sdtContent>
            </w:sdt>
            <w:r w:rsidR="00B13D65" w:rsidRPr="0065248F">
              <w:t xml:space="preserve"> 33.1. yra neįrodytas kaip toks pat</w:t>
            </w:r>
          </w:p>
          <w:p w14:paraId="35205E85" w14:textId="77777777" w:rsidR="00662983" w:rsidRPr="0065248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4EC2D04A" w:rsidR="00B13D65" w:rsidRPr="0065248F" w:rsidRDefault="00B613E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65248F">
                  <w:rPr>
                    <w:rStyle w:val="Style2"/>
                    <w:rFonts w:ascii="Segoe UI Symbol" w:eastAsia="MS Gothic" w:hAnsi="Segoe UI Symbol" w:cs="Segoe UI Symbol"/>
                    <w:sz w:val="24"/>
                  </w:rPr>
                  <w:t>☐</w:t>
                </w:r>
              </w:sdtContent>
            </w:sdt>
            <w:r w:rsidR="00662983" w:rsidRPr="0065248F">
              <w:t xml:space="preserve"> 33.1 </w:t>
            </w:r>
            <w:r w:rsidR="00B00959" w:rsidRPr="0065248F">
              <w:t xml:space="preserve">yra </w:t>
            </w:r>
            <w:r w:rsidR="00B13D65" w:rsidRPr="00BA61E3">
              <w:t xml:space="preserve">neįrodytas kaip </w:t>
            </w:r>
            <w:r w:rsidR="00B13D65" w:rsidRPr="0065248F">
              <w:t>didesnis</w:t>
            </w:r>
          </w:p>
          <w:p w14:paraId="512E653B" w14:textId="77777777" w:rsidR="00662983" w:rsidRPr="0065248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65248F" w:rsidRDefault="00B613E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65248F">
                  <w:rPr>
                    <w:rStyle w:val="Style2"/>
                    <w:rFonts w:ascii="Segoe UI Symbol" w:eastAsia="MS Gothic" w:hAnsi="Segoe UI Symbol" w:cs="Segoe UI Symbol"/>
                    <w:sz w:val="24"/>
                  </w:rPr>
                  <w:t>☐</w:t>
                </w:r>
              </w:sdtContent>
            </w:sdt>
            <w:r w:rsidR="00B13D65" w:rsidRPr="0065248F">
              <w:t xml:space="preserve"> 33.1. pateikti duomenys apie palyginamąjį efektyvumą yra netinkami vertinti</w:t>
            </w:r>
          </w:p>
          <w:p w14:paraId="5DDAA961" w14:textId="77777777" w:rsidR="00B13D65" w:rsidRPr="0065248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65248F" w14:paraId="161CC3FE" w14:textId="77777777" w:rsidTr="00C16245">
        <w:trPr>
          <w:trHeight w:val="510"/>
        </w:trPr>
        <w:tc>
          <w:tcPr>
            <w:tcW w:w="9629" w:type="dxa"/>
            <w:gridSpan w:val="2"/>
            <w:vAlign w:val="center"/>
          </w:tcPr>
          <w:p w14:paraId="1AB46894" w14:textId="3E765638" w:rsidR="00B13D65" w:rsidRPr="0065248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65248F">
              <w:rPr>
                <w:rStyle w:val="Style2"/>
                <w:rFonts w:eastAsia="MS Gothic"/>
                <w:b/>
                <w:bCs/>
                <w:sz w:val="24"/>
              </w:rPr>
              <w:t>Klinikinis veiksmingumas</w:t>
            </w:r>
          </w:p>
        </w:tc>
      </w:tr>
      <w:tr w:rsidR="00B13D65" w:rsidRPr="0065248F" w14:paraId="3C60570A" w14:textId="77777777" w:rsidTr="0061611B">
        <w:tc>
          <w:tcPr>
            <w:tcW w:w="4815" w:type="dxa"/>
          </w:tcPr>
          <w:p w14:paraId="6897B306" w14:textId="70C15EA4" w:rsidR="00B13D65" w:rsidRPr="0065248F" w:rsidRDefault="00B613E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B13D65" w:rsidRPr="0065248F">
                  <w:rPr>
                    <w:rStyle w:val="Style2"/>
                    <w:rFonts w:ascii="Segoe UI Symbol" w:eastAsia="MS Gothic" w:hAnsi="Segoe UI Symbol" w:cs="Segoe UI Symbol"/>
                    <w:sz w:val="24"/>
                  </w:rPr>
                  <w:t>☐</w:t>
                </w:r>
              </w:sdtContent>
            </w:sdt>
            <w:r w:rsidR="00B13D65" w:rsidRPr="0065248F">
              <w:t xml:space="preserve"> 32.2. yra įvertintas kaip pagrindžiantis papildomos naudos pacientų sveikatai sukūrimą, lyginant su įprasta klinikine praktika</w:t>
            </w:r>
          </w:p>
          <w:p w14:paraId="71D57105" w14:textId="77777777" w:rsidR="00662983" w:rsidRPr="0065248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1BAE8BC0" w:rsidR="00B13D65" w:rsidRPr="0065248F" w:rsidRDefault="00B613E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EndPr>
                <w:rPr>
                  <w:rStyle w:val="Style2"/>
                </w:rPr>
              </w:sdtEndPr>
              <w:sdtContent>
                <w:r w:rsidR="009032BF" w:rsidRPr="0065248F">
                  <w:rPr>
                    <w:rStyle w:val="Style2"/>
                    <w:rFonts w:ascii="MS Gothic" w:eastAsia="MS Gothic" w:hAnsi="MS Gothic"/>
                    <w:sz w:val="24"/>
                  </w:rPr>
                  <w:t>☒</w:t>
                </w:r>
              </w:sdtContent>
            </w:sdt>
            <w:r w:rsidR="00B13D65" w:rsidRPr="0065248F">
              <w:t xml:space="preserve"> 32.2. </w:t>
            </w:r>
            <w:r w:rsidR="00B00959" w:rsidRPr="0065248F">
              <w:t xml:space="preserve">yra </w:t>
            </w:r>
            <w:r w:rsidR="00B13D65" w:rsidRPr="00BA61E3">
              <w:t>įvertintas kaip pagrindžiantis nesiskiriančios naudos pacientų sveikatai sukūrimą, lyginant su įprasta klinikine praktika</w:t>
            </w:r>
          </w:p>
          <w:p w14:paraId="287AD233" w14:textId="77777777" w:rsidR="00B13D65" w:rsidRPr="0065248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65248F" w:rsidRDefault="00B613EB"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65248F">
                  <w:rPr>
                    <w:rStyle w:val="Style2"/>
                    <w:rFonts w:ascii="Segoe UI Symbol" w:eastAsia="MS Gothic" w:hAnsi="Segoe UI Symbol" w:cs="Segoe UI Symbol"/>
                    <w:sz w:val="24"/>
                  </w:rPr>
                  <w:t>☐</w:t>
                </w:r>
              </w:sdtContent>
            </w:sdt>
            <w:r w:rsidR="00B13D65" w:rsidRPr="0065248F">
              <w:t xml:space="preserve"> 33.1. yra įvertintas kaip nepagrindžiantis papildomos </w:t>
            </w:r>
            <w:r w:rsidR="00662983" w:rsidRPr="0065248F">
              <w:t>naudos pacientų sveikatai sukūrimo, lyginant su  įprasta klinikine praktika</w:t>
            </w:r>
          </w:p>
          <w:p w14:paraId="6C70BCFC" w14:textId="77777777" w:rsidR="00662983" w:rsidRPr="0065248F" w:rsidRDefault="00662983" w:rsidP="00BD1E5A">
            <w:pPr>
              <w:jc w:val="both"/>
            </w:pPr>
          </w:p>
          <w:p w14:paraId="0ADEC30D" w14:textId="1353964F" w:rsidR="00B13D65" w:rsidRPr="0065248F" w:rsidRDefault="00B613EB"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65248F">
                  <w:rPr>
                    <w:rStyle w:val="Style2"/>
                    <w:rFonts w:ascii="Segoe UI Symbol" w:eastAsia="MS Gothic" w:hAnsi="Segoe UI Symbol" w:cs="Segoe UI Symbol"/>
                    <w:sz w:val="24"/>
                  </w:rPr>
                  <w:t>☐</w:t>
                </w:r>
              </w:sdtContent>
            </w:sdt>
            <w:r w:rsidR="00B13D65" w:rsidRPr="0065248F">
              <w:t xml:space="preserve"> </w:t>
            </w:r>
            <w:r w:rsidR="00662983" w:rsidRPr="0065248F">
              <w:t xml:space="preserve">33.1. </w:t>
            </w:r>
            <w:r w:rsidR="00B00959" w:rsidRPr="00BA61E3">
              <w:t xml:space="preserve">yra įvertintas kaip nepagrindžiantis </w:t>
            </w:r>
            <w:r w:rsidR="00B13D65" w:rsidRPr="0065248F">
              <w:t>nesiskiriančios naudos pacientų sveikatai sukūrimo, lyginant su įprasta klinikine praktika</w:t>
            </w:r>
          </w:p>
          <w:p w14:paraId="1EED7901" w14:textId="77777777" w:rsidR="00B13D65" w:rsidRPr="0065248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65248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65248F" w14:paraId="1C75AE76" w14:textId="77777777" w:rsidTr="00C16245">
        <w:trPr>
          <w:trHeight w:val="510"/>
        </w:trPr>
        <w:tc>
          <w:tcPr>
            <w:tcW w:w="9629" w:type="dxa"/>
            <w:gridSpan w:val="2"/>
            <w:vAlign w:val="center"/>
          </w:tcPr>
          <w:p w14:paraId="0247EDAD" w14:textId="7FBBB759" w:rsidR="00B13D65" w:rsidRPr="0065248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65248F">
              <w:rPr>
                <w:rStyle w:val="Style2"/>
                <w:rFonts w:eastAsia="MS Gothic"/>
                <w:b/>
                <w:bCs/>
                <w:sz w:val="24"/>
              </w:rPr>
              <w:lastRenderedPageBreak/>
              <w:t>Kaštų naudingumas</w:t>
            </w:r>
          </w:p>
        </w:tc>
      </w:tr>
      <w:tr w:rsidR="00B13D65" w:rsidRPr="0065248F" w14:paraId="7091A05B" w14:textId="77777777" w:rsidTr="0061611B">
        <w:tc>
          <w:tcPr>
            <w:tcW w:w="4815" w:type="dxa"/>
          </w:tcPr>
          <w:p w14:paraId="69B2A994" w14:textId="04DB8EEA" w:rsidR="00B13D65" w:rsidRPr="0065248F" w:rsidRDefault="00B613E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65248F">
                  <w:rPr>
                    <w:rStyle w:val="Style2"/>
                    <w:rFonts w:ascii="MS Gothic" w:eastAsia="MS Gothic" w:hAnsi="MS Gothic"/>
                    <w:sz w:val="24"/>
                  </w:rPr>
                  <w:t>☐</w:t>
                </w:r>
              </w:sdtContent>
            </w:sdt>
            <w:r w:rsidR="00B13D65" w:rsidRPr="0065248F">
              <w:t xml:space="preserve"> 32.3. atitinka referencinę naudingumo vertę, </w:t>
            </w:r>
          </w:p>
          <w:p w14:paraId="3F76F153" w14:textId="77777777" w:rsidR="00662983" w:rsidRPr="0065248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169E710D" w:rsidR="00B13D65" w:rsidRPr="0065248F" w:rsidRDefault="00B613E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1"/>
                  <w14:checkedState w14:val="2612" w14:font="MS Gothic"/>
                  <w14:uncheckedState w14:val="2610" w14:font="MS Gothic"/>
                </w14:checkbox>
              </w:sdtPr>
              <w:sdtEndPr>
                <w:rPr>
                  <w:rStyle w:val="Style2"/>
                </w:rPr>
              </w:sdtEndPr>
              <w:sdtContent>
                <w:r w:rsidR="00AA7671" w:rsidRPr="0065248F">
                  <w:rPr>
                    <w:rStyle w:val="Style2"/>
                    <w:rFonts w:ascii="MS Gothic" w:eastAsia="MS Gothic" w:hAnsi="MS Gothic"/>
                    <w:sz w:val="24"/>
                  </w:rPr>
                  <w:t>☒</w:t>
                </w:r>
              </w:sdtContent>
            </w:sdt>
            <w:r w:rsidR="00B13D65" w:rsidRPr="0065248F">
              <w:t xml:space="preserve"> 32.3. gydymo juo kaštai yra mažesni ar tokie patys esant iš esmės nesiskiriančiam palyginamajam efektyvumui, taikant </w:t>
            </w:r>
            <w:r w:rsidR="00AA7671" w:rsidRPr="0065248F">
              <w:t>PGS</w:t>
            </w:r>
            <w:r w:rsidR="00B00959" w:rsidRPr="00BA61E3">
              <w:t>, lyginant su įprasta klinikine praktika</w:t>
            </w:r>
          </w:p>
          <w:p w14:paraId="25E4BD1E" w14:textId="77777777" w:rsidR="00B13D65" w:rsidRPr="0065248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65248F" w:rsidRDefault="00B613E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65248F">
                  <w:rPr>
                    <w:rStyle w:val="Style2"/>
                    <w:rFonts w:ascii="Segoe UI Symbol" w:eastAsia="MS Gothic" w:hAnsi="Segoe UI Symbol" w:cs="Segoe UI Symbol"/>
                    <w:sz w:val="24"/>
                  </w:rPr>
                  <w:t>☐</w:t>
                </w:r>
              </w:sdtContent>
            </w:sdt>
            <w:r w:rsidR="00B13D65" w:rsidRPr="0065248F">
              <w:t xml:space="preserve"> 33.3. neatitinka referencinės naudingumo vertės Lietuvos Respublikoje</w:t>
            </w:r>
          </w:p>
          <w:p w14:paraId="229ED51A" w14:textId="77777777" w:rsidR="00662983" w:rsidRPr="0065248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526F777C" w:rsidR="00B13D65" w:rsidRPr="0065248F" w:rsidRDefault="00B613E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65248F">
                  <w:rPr>
                    <w:rStyle w:val="Style2"/>
                    <w:rFonts w:ascii="Segoe UI Symbol" w:eastAsia="MS Gothic" w:hAnsi="Segoe UI Symbol" w:cs="Segoe UI Symbol"/>
                    <w:sz w:val="24"/>
                  </w:rPr>
                  <w:t>☐</w:t>
                </w:r>
              </w:sdtContent>
            </w:sdt>
            <w:r w:rsidR="00B13D65" w:rsidRPr="0065248F">
              <w:t xml:space="preserve"> 33.3. gydymo juo kaštai yra didesni esant iš esmės nesiskiriančiam palyginamajam efektyvumui, </w:t>
            </w:r>
            <w:r w:rsidR="00B00959" w:rsidRPr="0065248F">
              <w:t>, lyginant su įprasta klinikine praktika</w:t>
            </w:r>
          </w:p>
          <w:p w14:paraId="4A9C7D2A" w14:textId="77777777" w:rsidR="00662983" w:rsidRPr="0065248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65248F" w:rsidRDefault="00B613E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65248F">
                  <w:rPr>
                    <w:rStyle w:val="Style2"/>
                    <w:rFonts w:ascii="Segoe UI Symbol" w:eastAsia="MS Gothic" w:hAnsi="Segoe UI Symbol" w:cs="Segoe UI Symbol"/>
                    <w:sz w:val="24"/>
                  </w:rPr>
                  <w:t>☐</w:t>
                </w:r>
              </w:sdtContent>
            </w:sdt>
            <w:r w:rsidR="00B13D65" w:rsidRPr="0065248F">
              <w:t xml:space="preserve"> 33.3. pateikti duomenys apie kaštų na</w:t>
            </w:r>
            <w:r w:rsidR="00662983" w:rsidRPr="0065248F">
              <w:t>udingumą yra netinkami vertinti</w:t>
            </w:r>
          </w:p>
          <w:p w14:paraId="470A48A4" w14:textId="77777777" w:rsidR="00B13D65" w:rsidRPr="0065248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3B2D1F25" w14:textId="3A80E19F" w:rsidR="000001B0" w:rsidRPr="0065248F" w:rsidRDefault="000001B0" w:rsidP="00CC09D4">
      <w:pPr>
        <w:pStyle w:val="ListParagraph"/>
        <w:numPr>
          <w:ilvl w:val="0"/>
          <w:numId w:val="12"/>
        </w:numPr>
        <w:ind w:left="567" w:hanging="567"/>
      </w:pPr>
      <w:r w:rsidRPr="00DC073A">
        <w:rPr>
          <w:b/>
        </w:rPr>
        <w:t>REKOME</w:t>
      </w:r>
      <w:r w:rsidR="00D83182" w:rsidRPr="0065248F">
        <w:rPr>
          <w:b/>
        </w:rPr>
        <w:t>N</w:t>
      </w:r>
      <w:r w:rsidRPr="0065248F">
        <w:rPr>
          <w:b/>
        </w:rPr>
        <w:t>DACIJA</w:t>
      </w:r>
    </w:p>
    <w:p w14:paraId="7D5C6700" w14:textId="77777777" w:rsidR="00D5470B" w:rsidRPr="0065248F" w:rsidRDefault="00D5470B" w:rsidP="00C712EA">
      <w:pPr>
        <w:pStyle w:val="ListParagraph"/>
        <w:ind w:left="426"/>
      </w:pPr>
    </w:p>
    <w:p w14:paraId="2359AB28" w14:textId="438EEBAD" w:rsidR="004F3B2B" w:rsidRPr="0065248F" w:rsidRDefault="004F3B2B" w:rsidP="00DC073A">
      <w:pPr>
        <w:spacing w:line="276" w:lineRule="auto"/>
        <w:jc w:val="both"/>
      </w:pPr>
      <w:r w:rsidRPr="0065248F">
        <w:t xml:space="preserve">Vadovaujantis </w:t>
      </w:r>
      <w:r w:rsidR="00F259FC" w:rsidRPr="0065248F">
        <w:t xml:space="preserve">Vaistinių preparatų ir medicinos pagalbos priemonių įrašymo į kompensavimo sąrašus ir jų keitimo tvarkos aprašo, patvirtinto </w:t>
      </w:r>
      <w:r w:rsidRPr="0065248F">
        <w:t>Lietuvos Respublikos sveikatos apsaugos ministro 2002 m. balandžio 5 d. įsakymu Nr. V-159 „Dėl vaistinių preparatų ir medicinos pagalbos priemonių įrašymo į kompensavimo sąrašus ir jų keitimo tvarkos aprašo patvirtinimo“</w:t>
      </w:r>
      <w:r w:rsidR="00F259FC" w:rsidRPr="0065248F">
        <w:t>,</w:t>
      </w:r>
      <w:r w:rsidRPr="0065248F">
        <w:t xml:space="preserve"> punktu</w:t>
      </w:r>
    </w:p>
    <w:p w14:paraId="453D3C61" w14:textId="495A3DB5" w:rsidR="004F3B2B" w:rsidRPr="0065248F" w:rsidRDefault="004F3B2B" w:rsidP="00DC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5248F">
        <w:t xml:space="preserve">34.3. </w:t>
      </w:r>
      <w:r w:rsidR="00975ED6" w:rsidRPr="0065248F">
        <w:t>rekom</w:t>
      </w:r>
      <w:r w:rsidR="00111770" w:rsidRPr="0065248F">
        <w:t>e</w:t>
      </w:r>
      <w:r w:rsidR="00975ED6" w:rsidRPr="0065248F">
        <w:t xml:space="preserve">nduojama </w:t>
      </w:r>
      <w:r w:rsidRPr="00782F4F">
        <w:rPr>
          <w:b/>
          <w:i/>
        </w:rPr>
        <w:t xml:space="preserve">kompensuoti </w:t>
      </w:r>
      <w:r w:rsidRPr="0065248F">
        <w:t>vaistinį preparatą pagal paraiškoje nurodytą indikaciją su skyrimo sąlygomis</w:t>
      </w:r>
      <w:r w:rsidR="00AA7671" w:rsidRPr="0065248F">
        <w:t>, taikant PGS</w:t>
      </w:r>
      <w:r w:rsidRPr="0065248F">
        <w:t>, dėl iš esmės nesiskiriančio gydymo efektyvumo ir sukuriamos naudos pacientų sveikatai, lyginant su įprasta klinikine praktika, ir dėl mažesnių gydymo kašt</w:t>
      </w:r>
      <w:r w:rsidR="00AA7671" w:rsidRPr="0065248F">
        <w:t>ų dydžio (kaštų minimizavimas).</w:t>
      </w:r>
    </w:p>
    <w:p w14:paraId="59422C01" w14:textId="77777777" w:rsidR="004F3B2B" w:rsidRPr="0065248F" w:rsidRDefault="004F3B2B" w:rsidP="004F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BC01EE" w14:textId="44333E0B" w:rsidR="000723FF" w:rsidRPr="0065248F" w:rsidRDefault="000723FF" w:rsidP="00381024"/>
    <w:p w14:paraId="18B4292E" w14:textId="45BBB7D8" w:rsidR="000723FF" w:rsidRPr="0065248F" w:rsidRDefault="00CC09D4" w:rsidP="00CC09D4">
      <w:pPr>
        <w:tabs>
          <w:tab w:val="left" w:pos="567"/>
        </w:tabs>
        <w:ind w:left="567" w:hanging="567"/>
        <w:jc w:val="both"/>
        <w:rPr>
          <w:b/>
          <w:color w:val="000000"/>
          <w:lang w:eastAsia="lt-LT"/>
        </w:rPr>
      </w:pPr>
      <w:r w:rsidRPr="0065248F">
        <w:rPr>
          <w:b/>
          <w:color w:val="000000"/>
          <w:lang w:eastAsia="lt-LT"/>
        </w:rPr>
        <w:t>8.</w:t>
      </w:r>
      <w:r w:rsidRPr="0065248F">
        <w:rPr>
          <w:b/>
          <w:color w:val="000000"/>
          <w:lang w:eastAsia="lt-LT"/>
        </w:rPr>
        <w:tab/>
      </w:r>
      <w:r w:rsidR="000723FF" w:rsidRPr="0065248F">
        <w:rPr>
          <w:b/>
          <w:color w:val="000000"/>
          <w:lang w:eastAsia="lt-LT"/>
        </w:rPr>
        <w:t xml:space="preserve">SIŪLOMOS KOMPENSUOTI TERAPINĖS </w:t>
      </w:r>
      <w:r w:rsidR="00940E18" w:rsidRPr="0065248F">
        <w:rPr>
          <w:b/>
          <w:color w:val="000000"/>
          <w:lang w:eastAsia="lt-LT"/>
        </w:rPr>
        <w:t>INDIKACIJOS IR SKYRIMO SĄLYGOS</w:t>
      </w:r>
    </w:p>
    <w:p w14:paraId="691340BB" w14:textId="77777777" w:rsidR="000723FF" w:rsidRPr="0065248F" w:rsidRDefault="000723FF" w:rsidP="000723FF">
      <w:pPr>
        <w:tabs>
          <w:tab w:val="left" w:pos="426"/>
        </w:tabs>
        <w:jc w:val="both"/>
        <w:rPr>
          <w:b/>
          <w:color w:val="000000"/>
          <w:lang w:eastAsia="lt-LT"/>
        </w:rPr>
      </w:pPr>
    </w:p>
    <w:p w14:paraId="529C92C4" w14:textId="152E5FB4" w:rsidR="000723FF" w:rsidRPr="0065248F" w:rsidRDefault="000723FF" w:rsidP="00824B92">
      <w:pPr>
        <w:rPr>
          <w:b/>
          <w:lang w:eastAsia="lt-LT"/>
        </w:rPr>
      </w:pPr>
      <w:r w:rsidRPr="0065248F">
        <w:rPr>
          <w:b/>
          <w:lang w:eastAsia="lt-LT"/>
        </w:rPr>
        <w:t>Terapinės indikacijos</w:t>
      </w:r>
    </w:p>
    <w:p w14:paraId="5BB746DD" w14:textId="08FCDD88" w:rsidR="000723FF" w:rsidRPr="00BA61E3" w:rsidRDefault="00B613EB" w:rsidP="00824B92">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9032BF" w:rsidRPr="0065248F">
            <w:rPr>
              <w:rStyle w:val="Style2"/>
              <w:rFonts w:ascii="MS Gothic" w:eastAsia="MS Gothic" w:hAnsi="MS Gothic"/>
            </w:rPr>
            <w:t>☒</w:t>
          </w:r>
        </w:sdtContent>
      </w:sdt>
      <w:r w:rsidR="000723FF" w:rsidRPr="0065248F">
        <w:t xml:space="preserve"> Siūloma kompensuoti Pareiškėjo teikiamą indikaciją be pakeitimų.</w:t>
      </w:r>
    </w:p>
    <w:p w14:paraId="67CB6FF0" w14:textId="61DA6E51" w:rsidR="00940E18" w:rsidRPr="0065248F" w:rsidRDefault="00940E18" w:rsidP="00824B92"/>
    <w:p w14:paraId="13C70A1F" w14:textId="06B24B3E" w:rsidR="00940E18" w:rsidRPr="0065248F" w:rsidRDefault="00940E18" w:rsidP="00824B92">
      <w:pPr>
        <w:rPr>
          <w:i/>
        </w:rPr>
      </w:pPr>
      <w:r w:rsidRPr="0065248F">
        <w:rPr>
          <w:i/>
        </w:rPr>
        <w:t xml:space="preserve">Suaugusiųjų anksčiau bent vienu vaistu gydytos lėtinės </w:t>
      </w:r>
      <w:proofErr w:type="spellStart"/>
      <w:r w:rsidRPr="0065248F">
        <w:rPr>
          <w:i/>
        </w:rPr>
        <w:t>limfocitinės</w:t>
      </w:r>
      <w:proofErr w:type="spellEnd"/>
      <w:r w:rsidRPr="0065248F">
        <w:rPr>
          <w:i/>
        </w:rPr>
        <w:t xml:space="preserve"> leukemijos (LLL) gydymui.</w:t>
      </w:r>
    </w:p>
    <w:p w14:paraId="7DD65F7E" w14:textId="3A1A3E2C" w:rsidR="000723FF" w:rsidRPr="0065248F" w:rsidRDefault="000723FF" w:rsidP="00824B92"/>
    <w:p w14:paraId="241A6E6B" w14:textId="77777777" w:rsidR="000723FF" w:rsidRPr="0065248F" w:rsidRDefault="000723FF" w:rsidP="00824B92">
      <w:pPr>
        <w:rPr>
          <w:b/>
        </w:rPr>
      </w:pPr>
      <w:r w:rsidRPr="0065248F">
        <w:rPr>
          <w:b/>
        </w:rPr>
        <w:t>Skyrimo sąlygos</w:t>
      </w:r>
    </w:p>
    <w:p w14:paraId="250ACC46" w14:textId="17941676" w:rsidR="000723FF" w:rsidRPr="0065248F" w:rsidRDefault="00B613EB" w:rsidP="00824B92">
      <w:sdt>
        <w:sdtPr>
          <w:rPr>
            <w:rStyle w:val="Style2"/>
          </w:rPr>
          <w:id w:val="169305347"/>
          <w15:color w:val="FFCC00"/>
          <w14:checkbox>
            <w14:checked w14:val="1"/>
            <w14:checkedState w14:val="2612" w14:font="MS Gothic"/>
            <w14:uncheckedState w14:val="2610" w14:font="MS Gothic"/>
          </w14:checkbox>
        </w:sdtPr>
        <w:sdtEndPr>
          <w:rPr>
            <w:rStyle w:val="Style2"/>
          </w:rPr>
        </w:sdtEndPr>
        <w:sdtContent>
          <w:r w:rsidR="009032BF" w:rsidRPr="0065248F">
            <w:rPr>
              <w:rStyle w:val="Style2"/>
              <w:rFonts w:ascii="MS Gothic" w:eastAsia="MS Gothic" w:hAnsi="MS Gothic"/>
            </w:rPr>
            <w:t>☒</w:t>
          </w:r>
        </w:sdtContent>
      </w:sdt>
      <w:r w:rsidR="000723FF" w:rsidRPr="0065248F">
        <w:t xml:space="preserve"> Pareiškėjo siūlomos skyrimo sąlygos priimtinos. </w:t>
      </w:r>
    </w:p>
    <w:p w14:paraId="7CDFF220" w14:textId="69024B62" w:rsidR="000723FF" w:rsidRPr="0065248F" w:rsidRDefault="000723FF" w:rsidP="00824B92">
      <w:pPr>
        <w:rPr>
          <w:b/>
        </w:rPr>
      </w:pPr>
    </w:p>
    <w:p w14:paraId="47B06916" w14:textId="77777777" w:rsidR="00940E18" w:rsidRPr="00525B14" w:rsidRDefault="00940E18" w:rsidP="00940E18">
      <w:pPr>
        <w:pStyle w:val="ListParagraph"/>
        <w:numPr>
          <w:ilvl w:val="0"/>
          <w:numId w:val="13"/>
        </w:numPr>
        <w:spacing w:line="276" w:lineRule="auto"/>
        <w:jc w:val="both"/>
        <w:rPr>
          <w:color w:val="000000"/>
          <w:lang w:eastAsia="lt-LT"/>
        </w:rPr>
      </w:pPr>
      <w:r w:rsidRPr="00525B14">
        <w:rPr>
          <w:color w:val="000000"/>
          <w:lang w:eastAsia="lt-LT"/>
        </w:rPr>
        <w:t xml:space="preserve">anksčiau taikytas LLL gydymas, kuriems gydymas </w:t>
      </w:r>
      <w:proofErr w:type="spellStart"/>
      <w:r w:rsidRPr="00525B14">
        <w:rPr>
          <w:color w:val="000000"/>
          <w:lang w:eastAsia="lt-LT"/>
        </w:rPr>
        <w:t>fludarabinu</w:t>
      </w:r>
      <w:proofErr w:type="spellEnd"/>
      <w:r w:rsidRPr="00525B14">
        <w:rPr>
          <w:color w:val="000000"/>
          <w:lang w:eastAsia="lt-LT"/>
        </w:rPr>
        <w:t xml:space="preserve"> netinka ir yra LLL gydymo indikacijos;</w:t>
      </w:r>
    </w:p>
    <w:p w14:paraId="1812E477" w14:textId="7F039678" w:rsidR="00940E18" w:rsidRPr="00525B14" w:rsidRDefault="00940E18" w:rsidP="00940E18">
      <w:pPr>
        <w:pStyle w:val="ListParagraph"/>
        <w:numPr>
          <w:ilvl w:val="0"/>
          <w:numId w:val="13"/>
        </w:numPr>
        <w:spacing w:line="276" w:lineRule="auto"/>
        <w:jc w:val="both"/>
        <w:rPr>
          <w:color w:val="000000"/>
          <w:lang w:eastAsia="lt-LT"/>
        </w:rPr>
      </w:pPr>
      <w:r w:rsidRPr="00525B14">
        <w:rPr>
          <w:color w:val="000000"/>
          <w:lang w:eastAsia="lt-LT"/>
        </w:rPr>
        <w:t xml:space="preserve">nustatyta 17p </w:t>
      </w:r>
      <w:proofErr w:type="spellStart"/>
      <w:r w:rsidRPr="00525B14">
        <w:rPr>
          <w:color w:val="000000"/>
          <w:lang w:eastAsia="lt-LT"/>
        </w:rPr>
        <w:t>delecija</w:t>
      </w:r>
      <w:proofErr w:type="spellEnd"/>
      <w:r w:rsidRPr="00525B14">
        <w:rPr>
          <w:color w:val="000000"/>
          <w:lang w:eastAsia="lt-LT"/>
        </w:rPr>
        <w:t xml:space="preserve"> arba TP53 mutacija ir yra LLL gydymo indikacijos.</w:t>
      </w:r>
    </w:p>
    <w:sectPr w:rsidR="00940E18" w:rsidRPr="00525B14"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95933" w16cex:dateUtc="2022-07-01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923EA7" w16cid:durableId="266959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750C7" w14:textId="77777777" w:rsidR="00B613EB" w:rsidRDefault="00B613EB">
      <w:r>
        <w:separator/>
      </w:r>
    </w:p>
  </w:endnote>
  <w:endnote w:type="continuationSeparator" w:id="0">
    <w:p w14:paraId="373D4DE0" w14:textId="77777777" w:rsidR="00B613EB" w:rsidRDefault="00B6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73445" w14:textId="77777777" w:rsidR="00B613EB" w:rsidRDefault="00B613EB">
      <w:r>
        <w:separator/>
      </w:r>
    </w:p>
  </w:footnote>
  <w:footnote w:type="continuationSeparator" w:id="0">
    <w:p w14:paraId="704A11EF" w14:textId="77777777" w:rsidR="00B613EB" w:rsidRDefault="00B61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6B9C600E"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2365">
      <w:rPr>
        <w:rStyle w:val="PageNumber"/>
        <w:noProof/>
      </w:rPr>
      <w:t>5</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25C06E13"/>
    <w:multiLevelType w:val="hybridMultilevel"/>
    <w:tmpl w:val="36CA3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FC1659"/>
    <w:multiLevelType w:val="hybridMultilevel"/>
    <w:tmpl w:val="F3965F9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EC2B97"/>
    <w:multiLevelType w:val="hybridMultilevel"/>
    <w:tmpl w:val="FE92BB2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1"/>
  </w:num>
  <w:num w:numId="4">
    <w:abstractNumId w:val="9"/>
  </w:num>
  <w:num w:numId="5">
    <w:abstractNumId w:val="7"/>
  </w:num>
  <w:num w:numId="6">
    <w:abstractNumId w:val="6"/>
  </w:num>
  <w:num w:numId="7">
    <w:abstractNumId w:val="3"/>
  </w:num>
  <w:num w:numId="8">
    <w:abstractNumId w:val="14"/>
  </w:num>
  <w:num w:numId="9">
    <w:abstractNumId w:val="0"/>
  </w:num>
  <w:num w:numId="10">
    <w:abstractNumId w:val="12"/>
  </w:num>
  <w:num w:numId="11">
    <w:abstractNumId w:val="13"/>
  </w:num>
  <w:num w:numId="12">
    <w:abstractNumId w:val="2"/>
  </w:num>
  <w:num w:numId="13">
    <w:abstractNumId w:val="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1770"/>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21F3"/>
    <w:rsid w:val="001B3C5B"/>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92392"/>
    <w:rsid w:val="002946C7"/>
    <w:rsid w:val="002B3CC1"/>
    <w:rsid w:val="002C09E0"/>
    <w:rsid w:val="002C1BB1"/>
    <w:rsid w:val="002C2786"/>
    <w:rsid w:val="002C2950"/>
    <w:rsid w:val="002C3A10"/>
    <w:rsid w:val="002C4A90"/>
    <w:rsid w:val="002C4ED5"/>
    <w:rsid w:val="002D02EF"/>
    <w:rsid w:val="002E0702"/>
    <w:rsid w:val="002E57AD"/>
    <w:rsid w:val="002E6F80"/>
    <w:rsid w:val="002F0E4F"/>
    <w:rsid w:val="002F1053"/>
    <w:rsid w:val="00317B0E"/>
    <w:rsid w:val="00347FAA"/>
    <w:rsid w:val="0035172D"/>
    <w:rsid w:val="0036187D"/>
    <w:rsid w:val="00367EDB"/>
    <w:rsid w:val="00374312"/>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D48A6"/>
    <w:rsid w:val="004D7B8F"/>
    <w:rsid w:val="004E6458"/>
    <w:rsid w:val="004E6E7D"/>
    <w:rsid w:val="004F1AAC"/>
    <w:rsid w:val="004F1AE2"/>
    <w:rsid w:val="004F34F0"/>
    <w:rsid w:val="004F3B2B"/>
    <w:rsid w:val="004F6050"/>
    <w:rsid w:val="005005EF"/>
    <w:rsid w:val="00506574"/>
    <w:rsid w:val="00507302"/>
    <w:rsid w:val="005123C2"/>
    <w:rsid w:val="0052144B"/>
    <w:rsid w:val="00524066"/>
    <w:rsid w:val="00525B14"/>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A3FB0"/>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248F"/>
    <w:rsid w:val="00653D11"/>
    <w:rsid w:val="00662983"/>
    <w:rsid w:val="006834D3"/>
    <w:rsid w:val="00692625"/>
    <w:rsid w:val="00695CD3"/>
    <w:rsid w:val="006A38B6"/>
    <w:rsid w:val="006B1987"/>
    <w:rsid w:val="006B3DE5"/>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82F4F"/>
    <w:rsid w:val="00795731"/>
    <w:rsid w:val="00795DC5"/>
    <w:rsid w:val="00797153"/>
    <w:rsid w:val="007A21F7"/>
    <w:rsid w:val="007A2B68"/>
    <w:rsid w:val="007A5ABF"/>
    <w:rsid w:val="007B0DDA"/>
    <w:rsid w:val="007D3347"/>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032BF"/>
    <w:rsid w:val="0092297E"/>
    <w:rsid w:val="00923651"/>
    <w:rsid w:val="00927B56"/>
    <w:rsid w:val="009341BF"/>
    <w:rsid w:val="00937907"/>
    <w:rsid w:val="00940E18"/>
    <w:rsid w:val="00941739"/>
    <w:rsid w:val="00951573"/>
    <w:rsid w:val="00963003"/>
    <w:rsid w:val="00966EEF"/>
    <w:rsid w:val="00971B28"/>
    <w:rsid w:val="00975ED6"/>
    <w:rsid w:val="00981620"/>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0D0A"/>
    <w:rsid w:val="00A31E86"/>
    <w:rsid w:val="00A54D87"/>
    <w:rsid w:val="00A5553C"/>
    <w:rsid w:val="00A701C9"/>
    <w:rsid w:val="00A81785"/>
    <w:rsid w:val="00A84803"/>
    <w:rsid w:val="00A84C51"/>
    <w:rsid w:val="00A86F2B"/>
    <w:rsid w:val="00A91366"/>
    <w:rsid w:val="00A93AA6"/>
    <w:rsid w:val="00A969FB"/>
    <w:rsid w:val="00AA4E48"/>
    <w:rsid w:val="00AA6202"/>
    <w:rsid w:val="00AA7671"/>
    <w:rsid w:val="00AA7B57"/>
    <w:rsid w:val="00AB6AD9"/>
    <w:rsid w:val="00AC26FC"/>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613EB"/>
    <w:rsid w:val="00B71C72"/>
    <w:rsid w:val="00B81E92"/>
    <w:rsid w:val="00B85EA7"/>
    <w:rsid w:val="00B908D7"/>
    <w:rsid w:val="00B915AB"/>
    <w:rsid w:val="00B935E8"/>
    <w:rsid w:val="00B93B30"/>
    <w:rsid w:val="00B94CB5"/>
    <w:rsid w:val="00BA0DD9"/>
    <w:rsid w:val="00BA5DBC"/>
    <w:rsid w:val="00BA61E3"/>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7012C"/>
    <w:rsid w:val="00C712EA"/>
    <w:rsid w:val="00CA217D"/>
    <w:rsid w:val="00CC09D4"/>
    <w:rsid w:val="00CC668D"/>
    <w:rsid w:val="00CC7832"/>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0A44"/>
    <w:rsid w:val="00D76A70"/>
    <w:rsid w:val="00D83182"/>
    <w:rsid w:val="00D8521E"/>
    <w:rsid w:val="00D9291C"/>
    <w:rsid w:val="00D93A97"/>
    <w:rsid w:val="00DB1F64"/>
    <w:rsid w:val="00DC073A"/>
    <w:rsid w:val="00DC2F53"/>
    <w:rsid w:val="00DC5BAC"/>
    <w:rsid w:val="00DC6816"/>
    <w:rsid w:val="00DC76C2"/>
    <w:rsid w:val="00DD1CF2"/>
    <w:rsid w:val="00DD4616"/>
    <w:rsid w:val="00DE4484"/>
    <w:rsid w:val="00DF41B7"/>
    <w:rsid w:val="00DF4A4A"/>
    <w:rsid w:val="00DF583C"/>
    <w:rsid w:val="00E03C3F"/>
    <w:rsid w:val="00E06FD7"/>
    <w:rsid w:val="00E07417"/>
    <w:rsid w:val="00E24019"/>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2760"/>
    <w:rsid w:val="00ED31D2"/>
    <w:rsid w:val="00ED4784"/>
    <w:rsid w:val="00EE0EAC"/>
    <w:rsid w:val="00EE3322"/>
    <w:rsid w:val="00EE33CB"/>
    <w:rsid w:val="00F0026F"/>
    <w:rsid w:val="00F0061A"/>
    <w:rsid w:val="00F02834"/>
    <w:rsid w:val="00F04EEB"/>
    <w:rsid w:val="00F05467"/>
    <w:rsid w:val="00F055D2"/>
    <w:rsid w:val="00F07CD7"/>
    <w:rsid w:val="00F127E9"/>
    <w:rsid w:val="00F14B5D"/>
    <w:rsid w:val="00F259FC"/>
    <w:rsid w:val="00F36972"/>
    <w:rsid w:val="00F40C04"/>
    <w:rsid w:val="00F42426"/>
    <w:rsid w:val="00F456BC"/>
    <w:rsid w:val="00F50666"/>
    <w:rsid w:val="00F62365"/>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FE6E56"/>
  <w15:docId w15:val="{EAE663F4-E9D4-4801-9B3D-DF72203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s Points Char,Table Header Row Char,Bullet Paragraph Char,Bullet Point Char,Dairy Paragraphe Char,Table Legend Char,Bullet List Char"/>
    <w:link w:val="ListParagraph"/>
    <w:uiPriority w:val="34"/>
    <w:locked/>
    <w:rsid w:val="009032B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ceviciute\Documents\VVKT%20rasta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344060ADF74D2F9381853A8C6F791B"/>
        <w:category>
          <w:name w:val="General"/>
          <w:gallery w:val="placeholder"/>
        </w:category>
        <w:types>
          <w:type w:val="bbPlcHdr"/>
        </w:types>
        <w:behaviors>
          <w:behavior w:val="content"/>
        </w:behaviors>
        <w:guid w:val="{8B9B9274-E97B-4AB2-B532-ADC866DEBDC6}"/>
      </w:docPartPr>
      <w:docPartBody>
        <w:p w:rsidR="00285675" w:rsidRDefault="00700B47" w:rsidP="00700B47">
          <w:pPr>
            <w:pStyle w:val="FC344060ADF74D2F9381853A8C6F791B"/>
          </w:pPr>
          <w:r>
            <w:rPr>
              <w:rStyle w:val="PlaceholderText"/>
            </w:rPr>
            <w:t>Click here to enter a date.</w:t>
          </w:r>
        </w:p>
      </w:docPartBody>
    </w:docPart>
    <w:docPart>
      <w:docPartPr>
        <w:name w:val="F4CFB56B215A4347A13BA10D6C1E1251"/>
        <w:category>
          <w:name w:val="General"/>
          <w:gallery w:val="placeholder"/>
        </w:category>
        <w:types>
          <w:type w:val="bbPlcHdr"/>
        </w:types>
        <w:behaviors>
          <w:behavior w:val="content"/>
        </w:behaviors>
        <w:guid w:val="{B5EF3857-59E3-482D-A3C3-DDE1370EE11D}"/>
      </w:docPartPr>
      <w:docPartBody>
        <w:p w:rsidR="00285675" w:rsidRDefault="00700B47" w:rsidP="00700B47">
          <w:pPr>
            <w:pStyle w:val="F4CFB56B215A4347A13BA10D6C1E1251"/>
          </w:pPr>
          <w:r>
            <w:rPr>
              <w:rStyle w:val="PlaceholderText"/>
            </w:rPr>
            <w:t>Click here to enter a date.</w:t>
          </w:r>
        </w:p>
      </w:docPartBody>
    </w:docPart>
    <w:docPart>
      <w:docPartPr>
        <w:name w:val="DF29160A747D40BFBF35B879828FB6D7"/>
        <w:category>
          <w:name w:val="General"/>
          <w:gallery w:val="placeholder"/>
        </w:category>
        <w:types>
          <w:type w:val="bbPlcHdr"/>
        </w:types>
        <w:behaviors>
          <w:behavior w:val="content"/>
        </w:behaviors>
        <w:guid w:val="{CA7411DB-50FB-482F-B633-A6930CC753E8}"/>
      </w:docPartPr>
      <w:docPartBody>
        <w:p w:rsidR="00285675" w:rsidRDefault="00700B47" w:rsidP="00700B47">
          <w:pPr>
            <w:pStyle w:val="DF29160A747D40BFBF35B879828FB6D7"/>
          </w:pPr>
          <w:r>
            <w:rPr>
              <w:rStyle w:val="PlaceholderText"/>
            </w:rPr>
            <w:t>Click here to enter a date.</w:t>
          </w:r>
        </w:p>
      </w:docPartBody>
    </w:docPart>
    <w:docPart>
      <w:docPartPr>
        <w:name w:val="BBD98ECB47C44EBF943E34E8070C97CE"/>
        <w:category>
          <w:name w:val="General"/>
          <w:gallery w:val="placeholder"/>
        </w:category>
        <w:types>
          <w:type w:val="bbPlcHdr"/>
        </w:types>
        <w:behaviors>
          <w:behavior w:val="content"/>
        </w:behaviors>
        <w:guid w:val="{A134689C-BFF2-4AA8-9299-263AECC63CF0}"/>
      </w:docPartPr>
      <w:docPartBody>
        <w:p w:rsidR="00285675" w:rsidRDefault="00700B47" w:rsidP="00700B47">
          <w:pPr>
            <w:pStyle w:val="BBD98ECB47C44EBF943E34E8070C97CE"/>
          </w:pPr>
          <w:r>
            <w:rPr>
              <w:rStyle w:val="PlaceholderText"/>
            </w:rPr>
            <w:t>Click here to enter a date.</w:t>
          </w:r>
        </w:p>
      </w:docPartBody>
    </w:docPart>
    <w:docPart>
      <w:docPartPr>
        <w:name w:val="C88644625D434A5FB009E4E104776C5C"/>
        <w:category>
          <w:name w:val="General"/>
          <w:gallery w:val="placeholder"/>
        </w:category>
        <w:types>
          <w:type w:val="bbPlcHdr"/>
        </w:types>
        <w:behaviors>
          <w:behavior w:val="content"/>
        </w:behaviors>
        <w:guid w:val="{C2A2C5F6-1A1D-4CC6-8115-14A03F0110A9}"/>
      </w:docPartPr>
      <w:docPartBody>
        <w:p w:rsidR="00285675" w:rsidRDefault="00700B47" w:rsidP="00700B47">
          <w:pPr>
            <w:pStyle w:val="C88644625D434A5FB009E4E104776C5C"/>
          </w:pPr>
          <w:r>
            <w:rPr>
              <w:rStyle w:val="PlaceholderText"/>
            </w:rPr>
            <w:t>Click here to enter a date.</w:t>
          </w:r>
        </w:p>
      </w:docPartBody>
    </w:docPart>
    <w:docPart>
      <w:docPartPr>
        <w:name w:val="FCB40CE61861419AAF1F318F7707E5D0"/>
        <w:category>
          <w:name w:val="General"/>
          <w:gallery w:val="placeholder"/>
        </w:category>
        <w:types>
          <w:type w:val="bbPlcHdr"/>
        </w:types>
        <w:behaviors>
          <w:behavior w:val="content"/>
        </w:behaviors>
        <w:guid w:val="{4A0E48F8-65C3-4F72-82AB-F3A943001231}"/>
      </w:docPartPr>
      <w:docPartBody>
        <w:p w:rsidR="00285675" w:rsidRDefault="00700B47" w:rsidP="00700B47">
          <w:pPr>
            <w:pStyle w:val="FCB40CE61861419AAF1F318F7707E5D0"/>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247F"/>
    <w:rsid w:val="00061157"/>
    <w:rsid w:val="000937FE"/>
    <w:rsid w:val="000A559A"/>
    <w:rsid w:val="000D24D4"/>
    <w:rsid w:val="001C35A9"/>
    <w:rsid w:val="00237556"/>
    <w:rsid w:val="00285675"/>
    <w:rsid w:val="00343873"/>
    <w:rsid w:val="0039303B"/>
    <w:rsid w:val="004144A3"/>
    <w:rsid w:val="004160E7"/>
    <w:rsid w:val="004416C6"/>
    <w:rsid w:val="004C10B3"/>
    <w:rsid w:val="004F5AB2"/>
    <w:rsid w:val="005074B9"/>
    <w:rsid w:val="005E40DD"/>
    <w:rsid w:val="00700B47"/>
    <w:rsid w:val="007219C1"/>
    <w:rsid w:val="00753462"/>
    <w:rsid w:val="00772325"/>
    <w:rsid w:val="007A2FE0"/>
    <w:rsid w:val="007C6D1D"/>
    <w:rsid w:val="008D3678"/>
    <w:rsid w:val="0090074D"/>
    <w:rsid w:val="009B3BF0"/>
    <w:rsid w:val="009D5E5E"/>
    <w:rsid w:val="009F1BB4"/>
    <w:rsid w:val="00A23F03"/>
    <w:rsid w:val="00A50224"/>
    <w:rsid w:val="00AB6ED4"/>
    <w:rsid w:val="00B14210"/>
    <w:rsid w:val="00B23DC0"/>
    <w:rsid w:val="00B96656"/>
    <w:rsid w:val="00BE29C1"/>
    <w:rsid w:val="00C2401D"/>
    <w:rsid w:val="00C53A68"/>
    <w:rsid w:val="00CA5BB4"/>
    <w:rsid w:val="00CB4BD1"/>
    <w:rsid w:val="00CE2DA9"/>
    <w:rsid w:val="00CE44BE"/>
    <w:rsid w:val="00CE63D7"/>
    <w:rsid w:val="00D4356B"/>
    <w:rsid w:val="00D7162F"/>
    <w:rsid w:val="00E07412"/>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00B47"/>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1E86322BB2A046D9AA8EEC8813E5F165">
    <w:name w:val="1E86322BB2A046D9AA8EEC8813E5F165"/>
    <w:rsid w:val="004144A3"/>
  </w:style>
  <w:style w:type="paragraph" w:customStyle="1" w:styleId="57B9655BB938420B82BDAD6B82A66F50">
    <w:name w:val="57B9655BB938420B82BDAD6B82A66F50"/>
    <w:rsid w:val="004144A3"/>
  </w:style>
  <w:style w:type="paragraph" w:customStyle="1" w:styleId="5830794711CC4E92887B7A7DBFC23A3F">
    <w:name w:val="5830794711CC4E92887B7A7DBFC23A3F"/>
    <w:rsid w:val="004144A3"/>
  </w:style>
  <w:style w:type="paragraph" w:customStyle="1" w:styleId="9DD01831B4FB44D9ADBDF62239B9B5EF">
    <w:name w:val="9DD01831B4FB44D9ADBDF62239B9B5EF"/>
    <w:rsid w:val="00E60827"/>
  </w:style>
  <w:style w:type="paragraph" w:customStyle="1" w:styleId="FC344060ADF74D2F9381853A8C6F791B">
    <w:name w:val="FC344060ADF74D2F9381853A8C6F791B"/>
    <w:rsid w:val="00700B47"/>
  </w:style>
  <w:style w:type="paragraph" w:customStyle="1" w:styleId="F4CFB56B215A4347A13BA10D6C1E1251">
    <w:name w:val="F4CFB56B215A4347A13BA10D6C1E1251"/>
    <w:rsid w:val="00700B47"/>
  </w:style>
  <w:style w:type="paragraph" w:customStyle="1" w:styleId="DF29160A747D40BFBF35B879828FB6D7">
    <w:name w:val="DF29160A747D40BFBF35B879828FB6D7"/>
    <w:rsid w:val="00700B47"/>
  </w:style>
  <w:style w:type="paragraph" w:customStyle="1" w:styleId="BBD98ECB47C44EBF943E34E8070C97CE">
    <w:name w:val="BBD98ECB47C44EBF943E34E8070C97CE"/>
    <w:rsid w:val="00700B47"/>
  </w:style>
  <w:style w:type="paragraph" w:customStyle="1" w:styleId="C88644625D434A5FB009E4E104776C5C">
    <w:name w:val="C88644625D434A5FB009E4E104776C5C"/>
    <w:rsid w:val="00700B47"/>
  </w:style>
  <w:style w:type="paragraph" w:customStyle="1" w:styleId="FCB40CE61861419AAF1F318F7707E5D0">
    <w:name w:val="FCB40CE61861419AAF1F318F7707E5D0"/>
    <w:rsid w:val="00700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A44BE-7A9B-49C2-A2A5-1D52CCCD2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VVKT rastams</Template>
  <TotalTime>112</TotalTime>
  <Pages>6</Pages>
  <Words>9077</Words>
  <Characters>5175</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S.M.C.A.</Company>
  <LinksUpToDate>false</LinksUpToDate>
  <CharactersWithSpaces>14224</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Kudelienė</dc:creator>
  <cp:keywords/>
  <dc:description/>
  <cp:lastModifiedBy>Brigita Venclovaitė</cp:lastModifiedBy>
  <cp:revision>18</cp:revision>
  <cp:lastPrinted>2015-11-17T07:39:00Z</cp:lastPrinted>
  <dcterms:created xsi:type="dcterms:W3CDTF">2022-12-14T20:00:00Z</dcterms:created>
  <dcterms:modified xsi:type="dcterms:W3CDTF">2022-12-23T07:54:00Z</dcterms:modified>
</cp:coreProperties>
</file>