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Pr="005D5BE7" w:rsidRDefault="005F7602" w:rsidP="002946C7">
      <w:pPr>
        <w:ind w:left="5529"/>
      </w:pPr>
    </w:p>
    <w:p w14:paraId="12FA4B9E" w14:textId="77777777" w:rsidR="001B3C5B" w:rsidRPr="00F832F8" w:rsidRDefault="001B3C5B" w:rsidP="001B3C5B">
      <w:pPr>
        <w:ind w:left="6096"/>
      </w:pPr>
      <w:r w:rsidRPr="00F832F8">
        <w:t>Forma patvirtinta</w:t>
      </w:r>
    </w:p>
    <w:p w14:paraId="7206970B" w14:textId="70E9BD2E" w:rsidR="004C263A" w:rsidRPr="00F832F8" w:rsidRDefault="001B3C5B" w:rsidP="001B3C5B">
      <w:pPr>
        <w:ind w:left="6096"/>
      </w:pPr>
      <w:r w:rsidRPr="00F832F8">
        <w:t>Valstybinės vaistų kontrolės tarnybos prie Lietuvos Respublikos sveikatos apsaugos ministerijos viršininko 2021 m</w:t>
      </w:r>
      <w:r w:rsidR="004C263A" w:rsidRPr="00F832F8">
        <w:t xml:space="preserve">. lapkričio 12 </w:t>
      </w:r>
      <w:r w:rsidRPr="00F832F8">
        <w:t>d. įsakymu Nr.</w:t>
      </w:r>
      <w:r w:rsidR="004C263A" w:rsidRPr="00F832F8">
        <w:t xml:space="preserve"> (1.72E)1A-1418</w:t>
      </w:r>
    </w:p>
    <w:p w14:paraId="5B219AA6" w14:textId="520B9136" w:rsidR="001B3C5B" w:rsidRPr="00F832F8" w:rsidRDefault="004C263A" w:rsidP="001B3C5B">
      <w:pPr>
        <w:ind w:left="6096"/>
      </w:pPr>
      <w:r w:rsidRPr="00F832F8">
        <w:t>(Valstybinės vaistų kontrolės tarnybos prie Lietuvos Respublikos sveikatos apsaugos ministerijos viršininko 2022 m.                         d. įsakymo Nr.                    redakcija)</w:t>
      </w:r>
    </w:p>
    <w:p w14:paraId="3336BD74" w14:textId="77777777" w:rsidR="001B3C5B" w:rsidRPr="00F832F8" w:rsidRDefault="001B3C5B" w:rsidP="00FA4169"/>
    <w:p w14:paraId="77AFB67E" w14:textId="16397257" w:rsidR="00613501" w:rsidRPr="00F832F8" w:rsidRDefault="002F0E4F" w:rsidP="003B211A">
      <w:pPr>
        <w:jc w:val="center"/>
        <w:rPr>
          <w:b/>
          <w:bCs/>
          <w:caps/>
        </w:rPr>
      </w:pPr>
      <w:r w:rsidRPr="00F832F8">
        <w:rPr>
          <w:b/>
        </w:rPr>
        <w:t xml:space="preserve">REKOMENDACIJA DĖL VAISTINIO PREPARATO </w:t>
      </w:r>
      <w:r w:rsidRPr="00F832F8">
        <w:rPr>
          <w:b/>
          <w:bCs/>
          <w:caps/>
        </w:rPr>
        <w:t>Lietuvos Respublikos Sveikatos apsaugos ministerijos vaistinių preparatų ir medicinos pagalbos priemonių kompensavimo komisijai</w:t>
      </w:r>
    </w:p>
    <w:p w14:paraId="34E4395D" w14:textId="15FB10DF" w:rsidR="00B13D65" w:rsidRPr="00F832F8" w:rsidRDefault="00B13D65" w:rsidP="003B211A">
      <w:pPr>
        <w:jc w:val="center"/>
        <w:rPr>
          <w:b/>
        </w:rPr>
      </w:pPr>
    </w:p>
    <w:p w14:paraId="6E311C8D" w14:textId="77777777" w:rsidR="001141D2" w:rsidRPr="00F832F8" w:rsidRDefault="001141D2" w:rsidP="001141D2">
      <w:pPr>
        <w:spacing w:line="276" w:lineRule="auto"/>
        <w:jc w:val="center"/>
        <w:rPr>
          <w:b/>
          <w:sz w:val="26"/>
          <w:szCs w:val="26"/>
        </w:rPr>
      </w:pPr>
      <w:proofErr w:type="spellStart"/>
      <w:r w:rsidRPr="00F832F8">
        <w:rPr>
          <w:b/>
          <w:sz w:val="26"/>
          <w:szCs w:val="26"/>
        </w:rPr>
        <w:t>Lutathera</w:t>
      </w:r>
      <w:proofErr w:type="spellEnd"/>
      <w:r w:rsidRPr="00F832F8">
        <w:rPr>
          <w:b/>
          <w:sz w:val="26"/>
          <w:szCs w:val="26"/>
        </w:rPr>
        <w:t xml:space="preserve"> 370 </w:t>
      </w:r>
      <w:proofErr w:type="spellStart"/>
      <w:r w:rsidRPr="00F832F8">
        <w:rPr>
          <w:b/>
          <w:sz w:val="26"/>
          <w:szCs w:val="26"/>
        </w:rPr>
        <w:t>MBq</w:t>
      </w:r>
      <w:proofErr w:type="spellEnd"/>
      <w:r w:rsidRPr="00F832F8">
        <w:rPr>
          <w:b/>
          <w:sz w:val="26"/>
          <w:szCs w:val="26"/>
        </w:rPr>
        <w:t>/ml 20,5 ml infuzinis tirpalas</w:t>
      </w:r>
    </w:p>
    <w:p w14:paraId="6D214A20" w14:textId="77777777" w:rsidR="001141D2" w:rsidRPr="00F832F8" w:rsidRDefault="001141D2" w:rsidP="001141D2">
      <w:pPr>
        <w:spacing w:line="276" w:lineRule="auto"/>
        <w:jc w:val="center"/>
        <w:rPr>
          <w:sz w:val="26"/>
          <w:szCs w:val="26"/>
        </w:rPr>
      </w:pPr>
    </w:p>
    <w:p w14:paraId="3125A609" w14:textId="77777777" w:rsidR="001141D2" w:rsidRPr="00F832F8" w:rsidRDefault="001141D2" w:rsidP="001141D2">
      <w:pPr>
        <w:spacing w:line="276" w:lineRule="auto"/>
        <w:jc w:val="center"/>
        <w:rPr>
          <w:sz w:val="26"/>
          <w:szCs w:val="26"/>
        </w:rPr>
      </w:pPr>
      <w:proofErr w:type="spellStart"/>
      <w:r w:rsidRPr="00F832F8">
        <w:rPr>
          <w:b/>
          <w:sz w:val="26"/>
          <w:szCs w:val="26"/>
        </w:rPr>
        <w:t>Lutecio</w:t>
      </w:r>
      <w:proofErr w:type="spellEnd"/>
      <w:r w:rsidRPr="00F832F8">
        <w:rPr>
          <w:b/>
          <w:sz w:val="26"/>
          <w:szCs w:val="26"/>
        </w:rPr>
        <w:t xml:space="preserve"> (</w:t>
      </w:r>
      <w:r w:rsidRPr="00F832F8">
        <w:rPr>
          <w:b/>
          <w:sz w:val="26"/>
          <w:szCs w:val="26"/>
          <w:vertAlign w:val="superscript"/>
        </w:rPr>
        <w:t>177</w:t>
      </w:r>
      <w:r w:rsidRPr="00F832F8">
        <w:rPr>
          <w:b/>
          <w:sz w:val="26"/>
          <w:szCs w:val="26"/>
        </w:rPr>
        <w:t xml:space="preserve">Lu) </w:t>
      </w:r>
      <w:proofErr w:type="spellStart"/>
      <w:r w:rsidRPr="00F832F8">
        <w:rPr>
          <w:b/>
          <w:sz w:val="26"/>
          <w:szCs w:val="26"/>
        </w:rPr>
        <w:t>oksodotreotidas</w:t>
      </w:r>
      <w:proofErr w:type="spellEnd"/>
    </w:p>
    <w:p w14:paraId="0C5F7D37" w14:textId="77777777" w:rsidR="001141D2" w:rsidRPr="005D5BE7" w:rsidRDefault="001141D2" w:rsidP="001141D2">
      <w:pPr>
        <w:spacing w:line="276" w:lineRule="auto"/>
        <w:jc w:val="center"/>
        <w:rPr>
          <w:sz w:val="26"/>
          <w:szCs w:val="26"/>
        </w:rPr>
      </w:pPr>
    </w:p>
    <w:p w14:paraId="46536792" w14:textId="77777777" w:rsidR="001141D2" w:rsidRPr="00F832F8" w:rsidRDefault="001141D2" w:rsidP="001141D2">
      <w:pPr>
        <w:spacing w:line="276" w:lineRule="auto"/>
        <w:jc w:val="center"/>
        <w:rPr>
          <w:b/>
        </w:rPr>
      </w:pPr>
      <w:r w:rsidRPr="00F832F8">
        <w:rPr>
          <w:b/>
        </w:rPr>
        <w:t>STV-47</w:t>
      </w:r>
    </w:p>
    <w:p w14:paraId="453197C8" w14:textId="77777777" w:rsidR="00D4708D" w:rsidRPr="00F832F8" w:rsidRDefault="00D4708D" w:rsidP="003B211A">
      <w:pPr>
        <w:jc w:val="center"/>
        <w:rPr>
          <w:b/>
        </w:rPr>
      </w:pPr>
    </w:p>
    <w:p w14:paraId="78C89D1C" w14:textId="095241E9" w:rsidR="00D4485B" w:rsidRPr="00F832F8" w:rsidRDefault="00B13D65" w:rsidP="00937907">
      <w:pPr>
        <w:pStyle w:val="Sraopastraipa"/>
        <w:numPr>
          <w:ilvl w:val="0"/>
          <w:numId w:val="12"/>
        </w:numPr>
        <w:tabs>
          <w:tab w:val="left" w:pos="284"/>
        </w:tabs>
        <w:rPr>
          <w:b/>
          <w:bCs/>
          <w:caps/>
        </w:rPr>
      </w:pPr>
      <w:r w:rsidRPr="00F832F8">
        <w:rPr>
          <w:b/>
          <w:bCs/>
          <w:caps/>
        </w:rPr>
        <w:t>Bendroji dalis</w:t>
      </w:r>
    </w:p>
    <w:p w14:paraId="04A7C7A7" w14:textId="77777777" w:rsidR="00B13D65" w:rsidRPr="00F832F8" w:rsidRDefault="00B13D65" w:rsidP="00E03C3F">
      <w:pPr>
        <w:pStyle w:val="Sraopastraipa"/>
        <w:tabs>
          <w:tab w:val="left" w:pos="284"/>
        </w:tabs>
        <w:ind w:left="0"/>
        <w:rPr>
          <w:b/>
          <w:bCs/>
          <w:caps/>
        </w:rPr>
      </w:pPr>
    </w:p>
    <w:tbl>
      <w:tblPr>
        <w:tblStyle w:val="Lentelstinklelis"/>
        <w:tblW w:w="9039" w:type="dxa"/>
        <w:tblLook w:val="04A0" w:firstRow="1" w:lastRow="0" w:firstColumn="1" w:lastColumn="0" w:noHBand="0" w:noVBand="1"/>
      </w:tblPr>
      <w:tblGrid>
        <w:gridCol w:w="632"/>
        <w:gridCol w:w="3694"/>
        <w:gridCol w:w="4713"/>
      </w:tblGrid>
      <w:tr w:rsidR="001E5EE8" w:rsidRPr="00F832F8" w14:paraId="18A83EC2" w14:textId="77777777" w:rsidTr="006834D3">
        <w:trPr>
          <w:trHeight w:val="538"/>
        </w:trPr>
        <w:tc>
          <w:tcPr>
            <w:tcW w:w="632" w:type="dxa"/>
          </w:tcPr>
          <w:p w14:paraId="0646FBEA" w14:textId="77777777" w:rsidR="001E5EE8" w:rsidRPr="00F832F8" w:rsidRDefault="001E5EE8" w:rsidP="001E5EE8">
            <w:pPr>
              <w:tabs>
                <w:tab w:val="left" w:pos="284"/>
              </w:tabs>
              <w:spacing w:line="280" w:lineRule="atLeast"/>
              <w:rPr>
                <w:rFonts w:eastAsia="Arial"/>
                <w:b/>
              </w:rPr>
            </w:pPr>
            <w:r w:rsidRPr="00F832F8">
              <w:rPr>
                <w:rFonts w:eastAsia="Arial"/>
                <w:b/>
              </w:rPr>
              <w:t>1.1</w:t>
            </w:r>
          </w:p>
        </w:tc>
        <w:tc>
          <w:tcPr>
            <w:tcW w:w="3694" w:type="dxa"/>
          </w:tcPr>
          <w:p w14:paraId="6C3AE864" w14:textId="77777777" w:rsidR="001E5EE8" w:rsidRPr="00F832F8" w:rsidRDefault="001E5EE8" w:rsidP="001E5EE8">
            <w:pPr>
              <w:tabs>
                <w:tab w:val="left" w:pos="284"/>
              </w:tabs>
              <w:spacing w:line="280" w:lineRule="atLeast"/>
              <w:rPr>
                <w:rFonts w:eastAsia="Arial"/>
                <w:b/>
              </w:rPr>
            </w:pPr>
            <w:r w:rsidRPr="00F832F8">
              <w:rPr>
                <w:rFonts w:eastAsia="Arial"/>
                <w:b/>
              </w:rPr>
              <w:t>Pareiškėjas</w:t>
            </w:r>
          </w:p>
          <w:p w14:paraId="2AF240DC" w14:textId="77777777" w:rsidR="001E5EE8" w:rsidRPr="00F832F8" w:rsidRDefault="001E5EE8" w:rsidP="001E5EE8">
            <w:pPr>
              <w:tabs>
                <w:tab w:val="left" w:pos="284"/>
              </w:tabs>
              <w:spacing w:line="280" w:lineRule="atLeast"/>
              <w:rPr>
                <w:rFonts w:eastAsia="Arial"/>
                <w:b/>
              </w:rPr>
            </w:pPr>
          </w:p>
        </w:tc>
        <w:tc>
          <w:tcPr>
            <w:tcW w:w="4713" w:type="dxa"/>
          </w:tcPr>
          <w:p w14:paraId="2AAF0D91" w14:textId="21DC2542" w:rsidR="001E5EE8" w:rsidRPr="00F832F8" w:rsidRDefault="001141D2" w:rsidP="001E5EE8">
            <w:pPr>
              <w:tabs>
                <w:tab w:val="left" w:pos="284"/>
              </w:tabs>
              <w:spacing w:line="280" w:lineRule="atLeast"/>
              <w:rPr>
                <w:rFonts w:eastAsia="Arial"/>
                <w:b/>
              </w:rPr>
            </w:pPr>
            <w:r w:rsidRPr="00F832F8">
              <w:t xml:space="preserve">SAM </w:t>
            </w:r>
            <w:proofErr w:type="spellStart"/>
            <w:r w:rsidRPr="00F832F8">
              <w:t>Nordic</w:t>
            </w:r>
            <w:proofErr w:type="spellEnd"/>
          </w:p>
        </w:tc>
      </w:tr>
      <w:tr w:rsidR="001E5EE8" w:rsidRPr="00F832F8" w14:paraId="31998B0D" w14:textId="77777777" w:rsidTr="006834D3">
        <w:trPr>
          <w:trHeight w:val="538"/>
        </w:trPr>
        <w:tc>
          <w:tcPr>
            <w:tcW w:w="632" w:type="dxa"/>
          </w:tcPr>
          <w:p w14:paraId="2005EC67" w14:textId="662300D0" w:rsidR="001E5EE8" w:rsidRPr="00F832F8" w:rsidRDefault="001E5EE8" w:rsidP="001E5EE8">
            <w:pPr>
              <w:tabs>
                <w:tab w:val="left" w:pos="284"/>
              </w:tabs>
              <w:spacing w:line="280" w:lineRule="atLeast"/>
              <w:rPr>
                <w:rFonts w:eastAsia="Arial"/>
                <w:b/>
              </w:rPr>
            </w:pPr>
            <w:r w:rsidRPr="00F832F8">
              <w:rPr>
                <w:rFonts w:eastAsia="Arial"/>
                <w:b/>
              </w:rPr>
              <w:t>1.2</w:t>
            </w:r>
          </w:p>
        </w:tc>
        <w:tc>
          <w:tcPr>
            <w:tcW w:w="3694" w:type="dxa"/>
          </w:tcPr>
          <w:p w14:paraId="1E4AE3B1" w14:textId="77777777" w:rsidR="001E5EE8" w:rsidRPr="00F832F8" w:rsidRDefault="001E5EE8" w:rsidP="001E5EE8">
            <w:pPr>
              <w:tabs>
                <w:tab w:val="left" w:pos="284"/>
              </w:tabs>
              <w:spacing w:line="280" w:lineRule="atLeast"/>
              <w:rPr>
                <w:b/>
                <w:bCs/>
                <w:color w:val="000000"/>
                <w:lang w:eastAsia="lt-LT"/>
              </w:rPr>
            </w:pPr>
            <w:r w:rsidRPr="00F832F8">
              <w:rPr>
                <w:b/>
                <w:bCs/>
                <w:color w:val="000000"/>
                <w:lang w:eastAsia="lt-LT"/>
              </w:rPr>
              <w:t xml:space="preserve">Registracijos data </w:t>
            </w:r>
          </w:p>
          <w:p w14:paraId="3A0DC096" w14:textId="77777777" w:rsidR="001E5EE8" w:rsidRPr="00F832F8" w:rsidRDefault="001E5EE8" w:rsidP="001E5EE8">
            <w:pPr>
              <w:tabs>
                <w:tab w:val="left" w:pos="284"/>
              </w:tabs>
              <w:spacing w:line="280" w:lineRule="atLeast"/>
              <w:rPr>
                <w:bCs/>
                <w:color w:val="000000"/>
                <w:lang w:eastAsia="lt-LT"/>
              </w:rPr>
            </w:pPr>
          </w:p>
        </w:tc>
        <w:tc>
          <w:tcPr>
            <w:tcW w:w="4713" w:type="dxa"/>
          </w:tcPr>
          <w:p w14:paraId="3CA218AD" w14:textId="1965BF35" w:rsidR="001E5EE8" w:rsidRPr="00F832F8" w:rsidRDefault="003262B0" w:rsidP="001E5EE8">
            <w:pPr>
              <w:pStyle w:val="Sraopastraipa"/>
              <w:spacing w:after="120"/>
              <w:ind w:left="0"/>
              <w:contextualSpacing w:val="0"/>
              <w:jc w:val="both"/>
              <w:rPr>
                <w:rStyle w:val="Style2"/>
              </w:rPr>
            </w:pPr>
            <w:sdt>
              <w:sdtPr>
                <w:rPr>
                  <w:sz w:val="32"/>
                </w:rPr>
                <w:alias w:val="Nurodykite konkrečią dieną"/>
                <w:tag w:val="Nurodykite pradžios datą"/>
                <w:id w:val="423238108"/>
                <w:placeholder>
                  <w:docPart w:val="78702B3CBDAD4CBB9AC6BD8608115F85"/>
                </w:placeholder>
                <w15:color w:val="FFCC99"/>
                <w:date>
                  <w:dateFormat w:val="yyyy 'm.' MMMM d 'd.'"/>
                  <w:lid w:val="lt-LT"/>
                  <w:storeMappedDataAs w:val="dateTime"/>
                  <w:calendar w:val="gregorian"/>
                </w:date>
              </w:sdtPr>
              <w:sdtEndPr>
                <w:rPr>
                  <w:sz w:val="24"/>
                </w:rPr>
              </w:sdtEndPr>
              <w:sdtContent>
                <w:r w:rsidR="001141D2" w:rsidRPr="00F832F8">
                  <w:t>2017 m. rugsėjo 26 d.</w:t>
                </w:r>
              </w:sdtContent>
            </w:sdt>
          </w:p>
        </w:tc>
      </w:tr>
      <w:tr w:rsidR="00B13D65" w:rsidRPr="00F832F8" w14:paraId="15968AE1" w14:textId="77777777" w:rsidTr="006834D3">
        <w:trPr>
          <w:trHeight w:val="1500"/>
        </w:trPr>
        <w:tc>
          <w:tcPr>
            <w:tcW w:w="632" w:type="dxa"/>
          </w:tcPr>
          <w:p w14:paraId="6A784245" w14:textId="1E461489" w:rsidR="00B13D65" w:rsidRPr="00F832F8" w:rsidRDefault="002E0702" w:rsidP="00BD1E5A">
            <w:pPr>
              <w:tabs>
                <w:tab w:val="left" w:pos="284"/>
              </w:tabs>
              <w:spacing w:line="280" w:lineRule="atLeast"/>
              <w:rPr>
                <w:rFonts w:eastAsia="Arial"/>
                <w:b/>
              </w:rPr>
            </w:pPr>
            <w:r w:rsidRPr="00F832F8">
              <w:rPr>
                <w:rFonts w:eastAsia="Arial"/>
                <w:b/>
              </w:rPr>
              <w:t>1.3</w:t>
            </w:r>
          </w:p>
        </w:tc>
        <w:tc>
          <w:tcPr>
            <w:tcW w:w="3694" w:type="dxa"/>
          </w:tcPr>
          <w:p w14:paraId="22933506" w14:textId="77777777" w:rsidR="00B13D65" w:rsidRPr="00F832F8" w:rsidRDefault="00B13D65" w:rsidP="00BD1E5A">
            <w:pPr>
              <w:pStyle w:val="Betarp"/>
              <w:rPr>
                <w:rFonts w:ascii="Times New Roman" w:hAnsi="Times New Roman"/>
                <w:b/>
                <w:sz w:val="24"/>
                <w:szCs w:val="24"/>
              </w:rPr>
            </w:pPr>
            <w:r w:rsidRPr="00F832F8">
              <w:rPr>
                <w:rFonts w:ascii="Times New Roman" w:hAnsi="Times New Roman"/>
                <w:b/>
                <w:sz w:val="24"/>
                <w:szCs w:val="24"/>
              </w:rPr>
              <w:t xml:space="preserve">Paraiškos tipas </w:t>
            </w:r>
          </w:p>
          <w:p w14:paraId="0465E680" w14:textId="7F0A0714" w:rsidR="00B13D65" w:rsidRPr="00F832F8" w:rsidRDefault="00B13D65" w:rsidP="00BD1E5A">
            <w:pPr>
              <w:rPr>
                <w:b/>
              </w:rPr>
            </w:pPr>
            <w:r w:rsidRPr="00F832F8">
              <w:rPr>
                <w:b/>
              </w:rPr>
              <w:t>(</w:t>
            </w:r>
            <w:r w:rsidR="00695CD3" w:rsidRPr="00F832F8">
              <w:rPr>
                <w:b/>
              </w:rPr>
              <w:t xml:space="preserve">pagal </w:t>
            </w:r>
            <w:r w:rsidR="0039696E" w:rsidRPr="00F832F8">
              <w:rPr>
                <w:b/>
                <w:color w:val="333333"/>
                <w:shd w:val="clear" w:color="auto" w:fill="FFFFFF"/>
              </w:rPr>
              <w:t>vaistinio preparato registracijos tipą, įtvirtintą</w:t>
            </w:r>
            <w:r w:rsidR="0039696E" w:rsidRPr="00F832F8">
              <w:rPr>
                <w:b/>
              </w:rPr>
              <w:t xml:space="preserve"> </w:t>
            </w:r>
            <w:r w:rsidRPr="00F832F8">
              <w:rPr>
                <w:b/>
              </w:rPr>
              <w:t>Direktyv</w:t>
            </w:r>
            <w:r w:rsidR="00695CD3" w:rsidRPr="00F832F8">
              <w:rPr>
                <w:b/>
              </w:rPr>
              <w:t>os</w:t>
            </w:r>
            <w:r w:rsidRPr="00F832F8">
              <w:rPr>
                <w:b/>
              </w:rPr>
              <w:t xml:space="preserve"> 2001/83/EB</w:t>
            </w:r>
            <w:r w:rsidR="00695CD3" w:rsidRPr="00F832F8">
              <w:rPr>
                <w:b/>
              </w:rPr>
              <w:t xml:space="preserve"> </w:t>
            </w:r>
            <w:proofErr w:type="spellStart"/>
            <w:r w:rsidR="00695CD3" w:rsidRPr="00F832F8">
              <w:rPr>
                <w:b/>
              </w:rPr>
              <w:t>straips</w:t>
            </w:r>
            <w:r w:rsidR="0039696E" w:rsidRPr="00F832F8">
              <w:rPr>
                <w:b/>
              </w:rPr>
              <w:t>iuose</w:t>
            </w:r>
            <w:proofErr w:type="spellEnd"/>
            <w:r w:rsidRPr="00F832F8">
              <w:rPr>
                <w:b/>
              </w:rPr>
              <w:t>)</w:t>
            </w:r>
          </w:p>
          <w:p w14:paraId="77089D80" w14:textId="6681D72A" w:rsidR="00B13D65" w:rsidRPr="00F832F8" w:rsidRDefault="00B13D65" w:rsidP="0039696E">
            <w:pPr>
              <w:tabs>
                <w:tab w:val="left" w:pos="284"/>
              </w:tabs>
              <w:spacing w:line="280" w:lineRule="atLeast"/>
              <w:rPr>
                <w:b/>
                <w:bCs/>
                <w:color w:val="000000"/>
                <w:lang w:eastAsia="lt-LT"/>
              </w:rPr>
            </w:pPr>
          </w:p>
        </w:tc>
        <w:tc>
          <w:tcPr>
            <w:tcW w:w="4713" w:type="dxa"/>
          </w:tcPr>
          <w:p w14:paraId="208F40EC" w14:textId="2405FE58" w:rsidR="00B13D65" w:rsidRPr="00F832F8" w:rsidRDefault="003262B0" w:rsidP="00937907">
            <w:pPr>
              <w:pStyle w:val="Sraopastraipa"/>
              <w:spacing w:after="120"/>
              <w:ind w:left="0"/>
              <w:contextualSpacing w:val="0"/>
              <w:jc w:val="both"/>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1E5EE8" w:rsidRPr="00F832F8">
                  <w:rPr>
                    <w:rStyle w:val="Style2"/>
                    <w:rFonts w:ascii="MS Gothic" w:eastAsia="MS Gothic" w:hAnsi="MS Gothic"/>
                    <w:sz w:val="22"/>
                    <w:szCs w:val="22"/>
                  </w:rPr>
                  <w:t>☒</w:t>
                </w:r>
              </w:sdtContent>
            </w:sdt>
            <w:r w:rsidR="00B13D65" w:rsidRPr="00F832F8">
              <w:rPr>
                <w:sz w:val="22"/>
                <w:szCs w:val="22"/>
              </w:rPr>
              <w:t xml:space="preserve">8.3 str. (pilna byla, pagrįsta savais tyrimais) </w:t>
            </w:r>
          </w:p>
          <w:p w14:paraId="32BA564E" w14:textId="3FDA3E01" w:rsidR="00B13D65" w:rsidRPr="00F832F8" w:rsidRDefault="003262B0" w:rsidP="00937907">
            <w:pPr>
              <w:pStyle w:val="Sraopastraipa"/>
              <w:spacing w:after="120"/>
              <w:ind w:left="0"/>
              <w:contextualSpacing w:val="0"/>
              <w:jc w:val="both"/>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F832F8">
                  <w:rPr>
                    <w:rStyle w:val="Style2"/>
                    <w:rFonts w:ascii="Segoe UI Symbol" w:eastAsia="MS Gothic" w:hAnsi="Segoe UI Symbol" w:cs="Segoe UI Symbol"/>
                    <w:sz w:val="22"/>
                    <w:szCs w:val="22"/>
                  </w:rPr>
                  <w:t>☐</w:t>
                </w:r>
              </w:sdtContent>
            </w:sdt>
            <w:r w:rsidR="00B13D65" w:rsidRPr="00F832F8">
              <w:rPr>
                <w:sz w:val="22"/>
                <w:szCs w:val="22"/>
              </w:rPr>
              <w:t xml:space="preserve">10 a str. (pripažintas medicininis vartojimas) </w:t>
            </w:r>
          </w:p>
          <w:p w14:paraId="318DCD7F" w14:textId="32333E53" w:rsidR="00B13D65" w:rsidRPr="00F832F8" w:rsidRDefault="003262B0" w:rsidP="00937907">
            <w:pPr>
              <w:pStyle w:val="Sraopastraipa"/>
              <w:spacing w:after="120"/>
              <w:ind w:left="0"/>
              <w:contextualSpacing w:val="0"/>
              <w:jc w:val="both"/>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F832F8">
                  <w:rPr>
                    <w:rStyle w:val="Style2"/>
                    <w:rFonts w:ascii="Segoe UI Symbol" w:eastAsia="MS Gothic" w:hAnsi="Segoe UI Symbol" w:cs="Segoe UI Symbol"/>
                    <w:sz w:val="22"/>
                    <w:szCs w:val="22"/>
                  </w:rPr>
                  <w:t>☐</w:t>
                </w:r>
              </w:sdtContent>
            </w:sdt>
            <w:r w:rsidR="00B13D65" w:rsidRPr="00F832F8">
              <w:rPr>
                <w:sz w:val="22"/>
                <w:szCs w:val="22"/>
              </w:rPr>
              <w:t>10.1 str. (</w:t>
            </w:r>
            <w:proofErr w:type="spellStart"/>
            <w:r w:rsidR="00B13D65" w:rsidRPr="00F832F8">
              <w:rPr>
                <w:sz w:val="22"/>
                <w:szCs w:val="22"/>
              </w:rPr>
              <w:t>generinis</w:t>
            </w:r>
            <w:proofErr w:type="spellEnd"/>
            <w:r w:rsidR="00B13D65" w:rsidRPr="00F832F8">
              <w:rPr>
                <w:sz w:val="22"/>
                <w:szCs w:val="22"/>
              </w:rPr>
              <w:t>)</w:t>
            </w:r>
          </w:p>
          <w:p w14:paraId="3B0A4F72" w14:textId="3F5FB073" w:rsidR="00B13D65" w:rsidRPr="00F832F8" w:rsidRDefault="003262B0" w:rsidP="00937907">
            <w:pPr>
              <w:pStyle w:val="Sraopastraipa"/>
              <w:spacing w:after="120"/>
              <w:ind w:left="0"/>
              <w:contextualSpacing w:val="0"/>
              <w:jc w:val="both"/>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F832F8">
                  <w:rPr>
                    <w:rStyle w:val="Style2"/>
                    <w:rFonts w:ascii="Segoe UI Symbol" w:eastAsia="MS Gothic" w:hAnsi="Segoe UI Symbol" w:cs="Segoe UI Symbol"/>
                    <w:sz w:val="22"/>
                    <w:szCs w:val="22"/>
                  </w:rPr>
                  <w:t>☐</w:t>
                </w:r>
              </w:sdtContent>
            </w:sdt>
            <w:r w:rsidR="00B13D65" w:rsidRPr="00F832F8">
              <w:rPr>
                <w:sz w:val="22"/>
                <w:szCs w:val="22"/>
              </w:rPr>
              <w:t>10.3 str. (hibridinis)</w:t>
            </w:r>
          </w:p>
        </w:tc>
      </w:tr>
      <w:tr w:rsidR="00B13D65" w:rsidRPr="00F832F8" w14:paraId="310E9662" w14:textId="77777777" w:rsidTr="006834D3">
        <w:trPr>
          <w:trHeight w:val="1442"/>
        </w:trPr>
        <w:tc>
          <w:tcPr>
            <w:tcW w:w="632" w:type="dxa"/>
          </w:tcPr>
          <w:p w14:paraId="4B5A91A2" w14:textId="561B5E5F" w:rsidR="00B13D65" w:rsidRPr="00F832F8" w:rsidRDefault="00B13D65" w:rsidP="002E0702">
            <w:pPr>
              <w:tabs>
                <w:tab w:val="left" w:pos="284"/>
              </w:tabs>
              <w:spacing w:line="280" w:lineRule="atLeast"/>
              <w:rPr>
                <w:rFonts w:eastAsia="Arial"/>
                <w:b/>
              </w:rPr>
            </w:pPr>
            <w:r w:rsidRPr="00F832F8">
              <w:rPr>
                <w:rFonts w:eastAsia="Arial"/>
                <w:b/>
              </w:rPr>
              <w:t>1.</w:t>
            </w:r>
            <w:r w:rsidR="002E0702" w:rsidRPr="00F832F8">
              <w:rPr>
                <w:rFonts w:eastAsia="Arial"/>
                <w:b/>
              </w:rPr>
              <w:t>4</w:t>
            </w:r>
          </w:p>
        </w:tc>
        <w:tc>
          <w:tcPr>
            <w:tcW w:w="3694" w:type="dxa"/>
          </w:tcPr>
          <w:p w14:paraId="483071A3" w14:textId="5FC691C1" w:rsidR="00B13D65" w:rsidRPr="00F832F8" w:rsidRDefault="00B13D65" w:rsidP="00A06DBB">
            <w:pPr>
              <w:tabs>
                <w:tab w:val="left" w:pos="284"/>
              </w:tabs>
              <w:spacing w:line="280" w:lineRule="atLeast"/>
              <w:rPr>
                <w:b/>
                <w:bCs/>
                <w:color w:val="000000"/>
                <w:lang w:eastAsia="lt-LT"/>
              </w:rPr>
            </w:pPr>
            <w:r w:rsidRPr="00F832F8">
              <w:rPr>
                <w:b/>
                <w:bCs/>
                <w:color w:val="000000"/>
                <w:lang w:eastAsia="lt-LT"/>
              </w:rPr>
              <w:t xml:space="preserve">Ar vaistinis preparatas įrašytas į Bendrijos retųjų vaistinių preparatų registrą? </w:t>
            </w:r>
          </w:p>
        </w:tc>
        <w:tc>
          <w:tcPr>
            <w:tcW w:w="4713" w:type="dxa"/>
          </w:tcPr>
          <w:p w14:paraId="05845C60" w14:textId="77777777" w:rsidR="00B13D65" w:rsidRPr="00F832F8" w:rsidRDefault="003262B0" w:rsidP="00BD1E5A">
            <w:pPr>
              <w:pStyle w:val="Sraopastraipa"/>
              <w:spacing w:after="120"/>
              <w:ind w:left="0"/>
              <w:contextualSpacing w:val="0"/>
              <w:jc w:val="both"/>
            </w:pPr>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B13D65" w:rsidRPr="00F832F8">
                  <w:rPr>
                    <w:rStyle w:val="Style2"/>
                    <w:rFonts w:ascii="Segoe UI Symbol" w:eastAsia="MS Gothic" w:hAnsi="Segoe UI Symbol" w:cs="Segoe UI Symbol"/>
                  </w:rPr>
                  <w:t>☐</w:t>
                </w:r>
              </w:sdtContent>
            </w:sdt>
            <w:r w:rsidR="00B13D65" w:rsidRPr="00F832F8">
              <w:t xml:space="preserve"> Taip</w:t>
            </w:r>
          </w:p>
          <w:p w14:paraId="41D88067" w14:textId="272AD364" w:rsidR="00B13D65" w:rsidRPr="00F832F8" w:rsidRDefault="003262B0" w:rsidP="00BD1E5A">
            <w:pPr>
              <w:pStyle w:val="Sraopastraipa"/>
              <w:spacing w:after="120"/>
              <w:ind w:left="0"/>
              <w:contextualSpacing w:val="0"/>
              <w:jc w:val="both"/>
            </w:pPr>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1E5EE8" w:rsidRPr="00F832F8">
                  <w:rPr>
                    <w:rStyle w:val="Style2"/>
                    <w:rFonts w:ascii="MS Gothic" w:eastAsia="MS Gothic" w:hAnsi="MS Gothic"/>
                  </w:rPr>
                  <w:t>☒</w:t>
                </w:r>
              </w:sdtContent>
            </w:sdt>
            <w:r w:rsidR="00B13D65" w:rsidRPr="00F832F8">
              <w:t xml:space="preserve"> Ne</w:t>
            </w:r>
          </w:p>
          <w:p w14:paraId="29C2CBBB" w14:textId="19606547" w:rsidR="00B13D65" w:rsidRPr="005D5BE7" w:rsidRDefault="00B13D65" w:rsidP="00BD1E5A">
            <w:pPr>
              <w:pStyle w:val="Sraopastraipa"/>
              <w:spacing w:after="120"/>
              <w:ind w:left="0"/>
              <w:contextualSpacing w:val="0"/>
              <w:jc w:val="both"/>
              <w:rPr>
                <w:rFonts w:eastAsia="Arial"/>
                <w:b/>
              </w:rPr>
            </w:pPr>
          </w:p>
        </w:tc>
      </w:tr>
      <w:tr w:rsidR="00B13D65" w:rsidRPr="00F832F8" w14:paraId="274D1DAF" w14:textId="77777777" w:rsidTr="001141D2">
        <w:trPr>
          <w:trHeight w:val="983"/>
        </w:trPr>
        <w:tc>
          <w:tcPr>
            <w:tcW w:w="632" w:type="dxa"/>
          </w:tcPr>
          <w:p w14:paraId="17ABF217" w14:textId="6D9EE8BB" w:rsidR="00B13D65" w:rsidRPr="00F832F8" w:rsidRDefault="00B13D65" w:rsidP="002E0702">
            <w:pPr>
              <w:tabs>
                <w:tab w:val="left" w:pos="284"/>
              </w:tabs>
              <w:spacing w:line="280" w:lineRule="atLeast"/>
              <w:rPr>
                <w:rFonts w:eastAsia="Arial"/>
                <w:b/>
              </w:rPr>
            </w:pPr>
            <w:r w:rsidRPr="00F832F8">
              <w:rPr>
                <w:rFonts w:eastAsia="Arial"/>
                <w:b/>
              </w:rPr>
              <w:t>1.</w:t>
            </w:r>
            <w:r w:rsidR="002E0702" w:rsidRPr="00F832F8">
              <w:rPr>
                <w:rFonts w:eastAsia="Arial"/>
                <w:b/>
              </w:rPr>
              <w:t>5</w:t>
            </w:r>
          </w:p>
        </w:tc>
        <w:tc>
          <w:tcPr>
            <w:tcW w:w="3694" w:type="dxa"/>
          </w:tcPr>
          <w:p w14:paraId="3A731095" w14:textId="15E6927F" w:rsidR="00B13D65" w:rsidRPr="00F832F8" w:rsidRDefault="00B13D65" w:rsidP="00BD1E5A">
            <w:pPr>
              <w:tabs>
                <w:tab w:val="left" w:pos="284"/>
              </w:tabs>
              <w:spacing w:line="280" w:lineRule="atLeast"/>
              <w:rPr>
                <w:b/>
                <w:bCs/>
                <w:color w:val="000000"/>
                <w:lang w:eastAsia="lt-LT"/>
              </w:rPr>
            </w:pPr>
            <w:r w:rsidRPr="00F832F8">
              <w:rPr>
                <w:b/>
                <w:bCs/>
                <w:color w:val="000000"/>
                <w:lang w:eastAsia="lt-LT"/>
              </w:rPr>
              <w:t>Teikiama (-</w:t>
            </w:r>
            <w:proofErr w:type="spellStart"/>
            <w:r w:rsidRPr="00F832F8">
              <w:rPr>
                <w:b/>
                <w:bCs/>
                <w:color w:val="000000"/>
                <w:lang w:eastAsia="lt-LT"/>
              </w:rPr>
              <w:t>os</w:t>
            </w:r>
            <w:proofErr w:type="spellEnd"/>
            <w:r w:rsidRPr="00F832F8">
              <w:rPr>
                <w:b/>
                <w:bCs/>
                <w:color w:val="000000"/>
                <w:lang w:eastAsia="lt-LT"/>
              </w:rPr>
              <w:t>) kompensuoti registruota (-</w:t>
            </w:r>
            <w:proofErr w:type="spellStart"/>
            <w:r w:rsidRPr="00F832F8">
              <w:rPr>
                <w:b/>
                <w:bCs/>
                <w:color w:val="000000"/>
                <w:lang w:eastAsia="lt-LT"/>
              </w:rPr>
              <w:t>os</w:t>
            </w:r>
            <w:proofErr w:type="spellEnd"/>
            <w:r w:rsidRPr="00F832F8">
              <w:rPr>
                <w:b/>
                <w:bCs/>
                <w:color w:val="000000"/>
                <w:lang w:eastAsia="lt-LT"/>
              </w:rPr>
              <w:t>) vaistinio preparato indikacija (-</w:t>
            </w:r>
            <w:proofErr w:type="spellStart"/>
            <w:r w:rsidRPr="00F832F8">
              <w:rPr>
                <w:b/>
                <w:bCs/>
                <w:color w:val="000000"/>
                <w:lang w:eastAsia="lt-LT"/>
              </w:rPr>
              <w:t>os</w:t>
            </w:r>
            <w:proofErr w:type="spellEnd"/>
            <w:r w:rsidRPr="00F832F8">
              <w:rPr>
                <w:b/>
                <w:bCs/>
                <w:color w:val="000000"/>
                <w:lang w:eastAsia="lt-LT"/>
              </w:rPr>
              <w:t xml:space="preserve">), </w:t>
            </w:r>
          </w:p>
          <w:p w14:paraId="6B4FEEC1" w14:textId="39613EA1" w:rsidR="00B13D65" w:rsidRPr="00F832F8" w:rsidRDefault="00B13D65" w:rsidP="00BD1E5A">
            <w:pPr>
              <w:tabs>
                <w:tab w:val="left" w:pos="284"/>
              </w:tabs>
              <w:spacing w:line="280" w:lineRule="atLeast"/>
              <w:rPr>
                <w:b/>
                <w:bCs/>
                <w:color w:val="000000"/>
                <w:lang w:eastAsia="lt-LT"/>
              </w:rPr>
            </w:pPr>
            <w:r w:rsidRPr="00F832F8">
              <w:rPr>
                <w:b/>
                <w:bCs/>
                <w:color w:val="000000"/>
                <w:lang w:eastAsia="lt-LT"/>
              </w:rPr>
              <w:t>TLK kodas</w:t>
            </w:r>
          </w:p>
        </w:tc>
        <w:tc>
          <w:tcPr>
            <w:tcW w:w="4713" w:type="dxa"/>
          </w:tcPr>
          <w:p w14:paraId="2E490E9A" w14:textId="77777777" w:rsidR="001141D2" w:rsidRPr="00F832F8" w:rsidRDefault="001141D2" w:rsidP="001141D2">
            <w:pPr>
              <w:pStyle w:val="Sraopastraipa"/>
              <w:spacing w:after="120" w:line="276" w:lineRule="auto"/>
              <w:ind w:left="0"/>
              <w:contextualSpacing w:val="0"/>
              <w:jc w:val="both"/>
            </w:pPr>
            <w:proofErr w:type="spellStart"/>
            <w:r w:rsidRPr="00F832F8">
              <w:t>Nerezekuojamų</w:t>
            </w:r>
            <w:proofErr w:type="spellEnd"/>
            <w:r w:rsidRPr="00F832F8">
              <w:t xml:space="preserve"> ar </w:t>
            </w:r>
            <w:proofErr w:type="spellStart"/>
            <w:r w:rsidRPr="00F832F8">
              <w:t>metastazavusių</w:t>
            </w:r>
            <w:proofErr w:type="spellEnd"/>
            <w:r w:rsidRPr="00F832F8">
              <w:t xml:space="preserve">, progresuojančių, gerai diferencijuotų (G1 ir G2), </w:t>
            </w:r>
            <w:proofErr w:type="spellStart"/>
            <w:r w:rsidRPr="00F832F8">
              <w:t>somatostatino</w:t>
            </w:r>
            <w:proofErr w:type="spellEnd"/>
            <w:r w:rsidRPr="00F832F8">
              <w:t xml:space="preserve"> receptoriams teigiamų </w:t>
            </w:r>
            <w:proofErr w:type="spellStart"/>
            <w:r w:rsidRPr="00F832F8">
              <w:t>gastroenteropankreatinių</w:t>
            </w:r>
            <w:proofErr w:type="spellEnd"/>
            <w:r w:rsidRPr="00F832F8">
              <w:t xml:space="preserve"> </w:t>
            </w:r>
            <w:proofErr w:type="spellStart"/>
            <w:r w:rsidRPr="00F832F8">
              <w:t>neuroendokrininių</w:t>
            </w:r>
            <w:proofErr w:type="spellEnd"/>
            <w:r w:rsidRPr="00F832F8">
              <w:t xml:space="preserve"> navikų (GEP-NEN) gydymas.</w:t>
            </w:r>
          </w:p>
          <w:p w14:paraId="13F7DFB0" w14:textId="43C1FD31" w:rsidR="00B13D65" w:rsidRPr="00F832F8" w:rsidRDefault="001141D2" w:rsidP="001141D2">
            <w:pPr>
              <w:pStyle w:val="Sraopastraipa"/>
              <w:spacing w:after="120"/>
              <w:ind w:left="0"/>
              <w:contextualSpacing w:val="0"/>
              <w:jc w:val="both"/>
            </w:pPr>
            <w:r w:rsidRPr="00F832F8">
              <w:t xml:space="preserve">TLK-10 klasifikacijoje nėra atskiro kodo, nurodančio </w:t>
            </w:r>
            <w:proofErr w:type="spellStart"/>
            <w:r w:rsidRPr="00F832F8">
              <w:t>neuroendokrininius</w:t>
            </w:r>
            <w:proofErr w:type="spellEnd"/>
            <w:r w:rsidRPr="00F832F8">
              <w:t xml:space="preserve"> navikus; GEP-NEN sergantys pacientai koduojami atsižvelgiant į naviko lokalizaciją: GI-NEN </w:t>
            </w:r>
            <w:r w:rsidRPr="00F832F8">
              <w:lastRenderedPageBreak/>
              <w:t>atvejams priskiriami C15-C20, P-NEN atvejams – C25 kodai, GEP-NEN gali būti koduojami pagal antrinę ligą – C79.</w:t>
            </w:r>
          </w:p>
        </w:tc>
      </w:tr>
      <w:tr w:rsidR="001141D2" w:rsidRPr="00F832F8" w14:paraId="2F79DC08" w14:textId="77777777" w:rsidTr="006834D3">
        <w:trPr>
          <w:trHeight w:val="378"/>
        </w:trPr>
        <w:tc>
          <w:tcPr>
            <w:tcW w:w="632" w:type="dxa"/>
          </w:tcPr>
          <w:p w14:paraId="547885A2" w14:textId="08AA8055" w:rsidR="001141D2" w:rsidRPr="00F832F8" w:rsidRDefault="001141D2" w:rsidP="001141D2">
            <w:pPr>
              <w:tabs>
                <w:tab w:val="left" w:pos="284"/>
              </w:tabs>
              <w:spacing w:line="280" w:lineRule="atLeast"/>
              <w:rPr>
                <w:rFonts w:eastAsia="Arial"/>
                <w:b/>
              </w:rPr>
            </w:pPr>
            <w:r w:rsidRPr="00F832F8">
              <w:rPr>
                <w:rFonts w:eastAsia="Arial"/>
                <w:b/>
              </w:rPr>
              <w:lastRenderedPageBreak/>
              <w:t>1.6</w:t>
            </w:r>
          </w:p>
        </w:tc>
        <w:tc>
          <w:tcPr>
            <w:tcW w:w="3694" w:type="dxa"/>
          </w:tcPr>
          <w:p w14:paraId="2EAB877F" w14:textId="4D3F62F5" w:rsidR="001141D2" w:rsidRPr="00F832F8" w:rsidRDefault="001141D2" w:rsidP="001141D2">
            <w:pPr>
              <w:tabs>
                <w:tab w:val="left" w:pos="284"/>
              </w:tabs>
              <w:spacing w:line="280" w:lineRule="atLeast"/>
              <w:rPr>
                <w:bCs/>
                <w:color w:val="000000"/>
                <w:u w:val="single"/>
                <w:lang w:eastAsia="lt-LT"/>
              </w:rPr>
            </w:pPr>
            <w:r w:rsidRPr="00F832F8">
              <w:rPr>
                <w:b/>
                <w:bCs/>
                <w:color w:val="000000"/>
                <w:lang w:eastAsia="lt-LT"/>
              </w:rPr>
              <w:t xml:space="preserve">Teikiamos skyrimo sąlygos </w:t>
            </w:r>
          </w:p>
        </w:tc>
        <w:tc>
          <w:tcPr>
            <w:tcW w:w="4713" w:type="dxa"/>
          </w:tcPr>
          <w:p w14:paraId="0579DF58" w14:textId="1BACDD72" w:rsidR="001141D2" w:rsidRPr="00F832F8" w:rsidRDefault="001141D2" w:rsidP="001141D2">
            <w:pPr>
              <w:pStyle w:val="Sraopastraipa"/>
              <w:spacing w:after="120"/>
              <w:ind w:left="0"/>
              <w:contextualSpacing w:val="0"/>
              <w:jc w:val="both"/>
            </w:pPr>
            <w:r w:rsidRPr="00F832F8">
              <w:t>Vaizdiniais tyrimais (</w:t>
            </w:r>
            <w:proofErr w:type="spellStart"/>
            <w:r w:rsidRPr="00F832F8">
              <w:t>scintigrafija</w:t>
            </w:r>
            <w:proofErr w:type="spellEnd"/>
            <w:r w:rsidRPr="00F832F8">
              <w:t xml:space="preserve">, pozitronų emisijos tomografija) patvirtinta didelė </w:t>
            </w:r>
            <w:proofErr w:type="spellStart"/>
            <w:r w:rsidRPr="00F832F8">
              <w:t>somatostatino</w:t>
            </w:r>
            <w:proofErr w:type="spellEnd"/>
            <w:r w:rsidRPr="00F832F8">
              <w:t xml:space="preserve"> receptorių raiška ir kaupimasis GEP-NEN audinyje („mažiausiai toks pat, kaip normalus kaupimasis kepenyse, kaupimosi navike balas ≥2“).</w:t>
            </w:r>
          </w:p>
        </w:tc>
      </w:tr>
      <w:tr w:rsidR="001141D2" w:rsidRPr="00F832F8" w14:paraId="3B125269" w14:textId="77777777" w:rsidTr="006834D3">
        <w:trPr>
          <w:trHeight w:val="378"/>
        </w:trPr>
        <w:tc>
          <w:tcPr>
            <w:tcW w:w="632" w:type="dxa"/>
          </w:tcPr>
          <w:p w14:paraId="0058E11F" w14:textId="77777777" w:rsidR="001141D2" w:rsidRPr="00F832F8" w:rsidRDefault="001141D2" w:rsidP="001141D2">
            <w:pPr>
              <w:tabs>
                <w:tab w:val="left" w:pos="284"/>
              </w:tabs>
              <w:spacing w:line="280" w:lineRule="atLeast"/>
              <w:rPr>
                <w:rFonts w:eastAsia="Arial"/>
                <w:b/>
              </w:rPr>
            </w:pPr>
            <w:r w:rsidRPr="00F832F8">
              <w:rPr>
                <w:rFonts w:eastAsia="Arial"/>
                <w:b/>
              </w:rPr>
              <w:t>1.7</w:t>
            </w:r>
          </w:p>
        </w:tc>
        <w:tc>
          <w:tcPr>
            <w:tcW w:w="3694" w:type="dxa"/>
          </w:tcPr>
          <w:p w14:paraId="6CC1022E" w14:textId="67D8C43B" w:rsidR="001141D2" w:rsidRPr="00F832F8" w:rsidRDefault="001141D2" w:rsidP="001141D2">
            <w:pPr>
              <w:tabs>
                <w:tab w:val="left" w:pos="284"/>
              </w:tabs>
              <w:spacing w:line="280" w:lineRule="atLeast"/>
              <w:rPr>
                <w:b/>
                <w:bCs/>
                <w:color w:val="000000"/>
                <w:lang w:eastAsia="lt-LT"/>
              </w:rPr>
            </w:pPr>
            <w:r w:rsidRPr="00F832F8">
              <w:rPr>
                <w:b/>
                <w:bCs/>
                <w:color w:val="000000"/>
                <w:lang w:eastAsia="lt-LT"/>
              </w:rPr>
              <w:t xml:space="preserve">Palyginamasis gydymas </w:t>
            </w:r>
          </w:p>
        </w:tc>
        <w:tc>
          <w:tcPr>
            <w:tcW w:w="4713" w:type="dxa"/>
          </w:tcPr>
          <w:p w14:paraId="41B44044" w14:textId="4329D65A" w:rsidR="001141D2" w:rsidRPr="00F832F8" w:rsidRDefault="001141D2" w:rsidP="001141D2">
            <w:pPr>
              <w:spacing w:after="120"/>
              <w:jc w:val="both"/>
            </w:pPr>
            <w:proofErr w:type="spellStart"/>
            <w:r w:rsidRPr="00F832F8">
              <w:rPr>
                <w:rFonts w:eastAsia="Arial"/>
              </w:rPr>
              <w:t>Oktreotidas</w:t>
            </w:r>
            <w:proofErr w:type="spellEnd"/>
            <w:r w:rsidRPr="00F832F8">
              <w:rPr>
                <w:rFonts w:eastAsia="Arial"/>
              </w:rPr>
              <w:t>, kasos NEN (P-NEN) papildomai -</w:t>
            </w:r>
            <w:proofErr w:type="spellStart"/>
            <w:r w:rsidRPr="00F832F8">
              <w:rPr>
                <w:rFonts w:eastAsia="Arial"/>
              </w:rPr>
              <w:t>everolimuzas</w:t>
            </w:r>
            <w:proofErr w:type="spellEnd"/>
            <w:r w:rsidRPr="00F832F8">
              <w:rPr>
                <w:rFonts w:eastAsia="Arial"/>
              </w:rPr>
              <w:t xml:space="preserve">, </w:t>
            </w:r>
            <w:proofErr w:type="spellStart"/>
            <w:r w:rsidRPr="00F832F8">
              <w:rPr>
                <w:rFonts w:eastAsia="Arial"/>
              </w:rPr>
              <w:t>sunitinibas</w:t>
            </w:r>
            <w:proofErr w:type="spellEnd"/>
            <w:r w:rsidRPr="00F832F8">
              <w:rPr>
                <w:rFonts w:eastAsia="Arial"/>
              </w:rPr>
              <w:t>.</w:t>
            </w:r>
          </w:p>
        </w:tc>
      </w:tr>
    </w:tbl>
    <w:p w14:paraId="108176F7" w14:textId="640C6F75" w:rsidR="00F70C9E" w:rsidRPr="00F832F8" w:rsidRDefault="00F70C9E" w:rsidP="00E03C3F">
      <w:pPr>
        <w:pStyle w:val="Sraopastraipa"/>
        <w:tabs>
          <w:tab w:val="left" w:pos="426"/>
        </w:tabs>
        <w:ind w:left="0"/>
        <w:rPr>
          <w:b/>
          <w:bCs/>
          <w:caps/>
        </w:rPr>
      </w:pPr>
    </w:p>
    <w:p w14:paraId="2871CA7F" w14:textId="2370BDDB" w:rsidR="00F70C9E" w:rsidRPr="00F832F8" w:rsidRDefault="00F70C9E" w:rsidP="00880A44">
      <w:pPr>
        <w:spacing w:line="276" w:lineRule="auto"/>
        <w:jc w:val="both"/>
        <w:rPr>
          <w:rFonts w:eastAsia="Arial"/>
          <w:b/>
        </w:rPr>
      </w:pPr>
      <w:r w:rsidRPr="00F832F8">
        <w:rPr>
          <w:rFonts w:eastAsia="Arial"/>
          <w:b/>
        </w:rPr>
        <w:t xml:space="preserve">1.8 Kitų </w:t>
      </w:r>
      <w:r w:rsidR="00DF583C" w:rsidRPr="00F832F8">
        <w:rPr>
          <w:rFonts w:eastAsia="Arial"/>
          <w:b/>
        </w:rPr>
        <w:t xml:space="preserve">valstybių </w:t>
      </w:r>
      <w:r w:rsidRPr="00F832F8">
        <w:rPr>
          <w:rFonts w:eastAsia="Arial"/>
          <w:b/>
        </w:rPr>
        <w:t xml:space="preserve">atsakingų institucijų atlikto </w:t>
      </w:r>
      <w:r w:rsidR="00DF583C" w:rsidRPr="00F832F8">
        <w:rPr>
          <w:rFonts w:eastAsia="Arial"/>
          <w:b/>
        </w:rPr>
        <w:t>Sveikatos technologijų vertinimo (toliau – STV)</w:t>
      </w:r>
      <w:r w:rsidRPr="00F832F8">
        <w:rPr>
          <w:rFonts w:eastAsia="Arial"/>
          <w:b/>
        </w:rPr>
        <w:t xml:space="preserve"> išvados</w:t>
      </w:r>
    </w:p>
    <w:p w14:paraId="30721FDD" w14:textId="77777777" w:rsidR="00F70C9E" w:rsidRPr="00F832F8"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289"/>
        <w:gridCol w:w="1392"/>
        <w:gridCol w:w="3900"/>
        <w:gridCol w:w="2048"/>
      </w:tblGrid>
      <w:tr w:rsidR="00AC33D8" w:rsidRPr="00F832F8" w14:paraId="0C416449" w14:textId="77777777" w:rsidTr="00A8286A">
        <w:trPr>
          <w:trHeight w:val="924"/>
        </w:trPr>
        <w:tc>
          <w:tcPr>
            <w:tcW w:w="1980" w:type="dxa"/>
          </w:tcPr>
          <w:p w14:paraId="62890A85" w14:textId="77777777" w:rsidR="00AC33D8" w:rsidRPr="00F832F8" w:rsidRDefault="00AC33D8" w:rsidP="00A8286A">
            <w:pPr>
              <w:spacing w:line="276" w:lineRule="auto"/>
              <w:rPr>
                <w:rFonts w:eastAsia="Arial"/>
              </w:rPr>
            </w:pPr>
            <w:r w:rsidRPr="00F832F8">
              <w:rPr>
                <w:rFonts w:eastAsia="Arial"/>
              </w:rPr>
              <w:t>ST agentūros pavadinimas, šalis</w:t>
            </w:r>
          </w:p>
        </w:tc>
        <w:tc>
          <w:tcPr>
            <w:tcW w:w="1539" w:type="dxa"/>
          </w:tcPr>
          <w:p w14:paraId="3E657240" w14:textId="77777777" w:rsidR="00AC33D8" w:rsidRPr="00F832F8" w:rsidRDefault="00AC33D8" w:rsidP="00A8286A">
            <w:pPr>
              <w:spacing w:line="276" w:lineRule="auto"/>
              <w:rPr>
                <w:rFonts w:eastAsia="Arial"/>
              </w:rPr>
            </w:pPr>
            <w:r w:rsidRPr="00F832F8">
              <w:rPr>
                <w:rFonts w:eastAsia="Arial"/>
              </w:rPr>
              <w:t>STV vertinimas atliktas</w:t>
            </w:r>
          </w:p>
        </w:tc>
        <w:tc>
          <w:tcPr>
            <w:tcW w:w="4840" w:type="dxa"/>
          </w:tcPr>
          <w:p w14:paraId="54DCC43C" w14:textId="77777777" w:rsidR="00AC33D8" w:rsidRPr="00F832F8" w:rsidRDefault="00AC33D8" w:rsidP="00A8286A">
            <w:pPr>
              <w:spacing w:line="276" w:lineRule="auto"/>
              <w:jc w:val="both"/>
              <w:rPr>
                <w:rFonts w:eastAsia="Arial"/>
              </w:rPr>
            </w:pPr>
            <w:r w:rsidRPr="00F832F8">
              <w:rPr>
                <w:rFonts w:eastAsia="Arial"/>
              </w:rPr>
              <w:t>Klinikinio vertinimo išvada</w:t>
            </w:r>
          </w:p>
        </w:tc>
        <w:tc>
          <w:tcPr>
            <w:tcW w:w="2114" w:type="dxa"/>
          </w:tcPr>
          <w:p w14:paraId="34611A79" w14:textId="77777777" w:rsidR="00AC33D8" w:rsidRPr="00F832F8" w:rsidRDefault="00AC33D8" w:rsidP="00A8286A">
            <w:pPr>
              <w:spacing w:line="276" w:lineRule="auto"/>
              <w:rPr>
                <w:rFonts w:eastAsia="Arial"/>
              </w:rPr>
            </w:pPr>
            <w:proofErr w:type="spellStart"/>
            <w:r w:rsidRPr="00F832F8">
              <w:rPr>
                <w:rFonts w:eastAsia="Arial"/>
              </w:rPr>
              <w:t>Farmaekonominio</w:t>
            </w:r>
            <w:proofErr w:type="spellEnd"/>
            <w:r w:rsidRPr="00F832F8">
              <w:rPr>
                <w:rFonts w:eastAsia="Arial"/>
              </w:rPr>
              <w:t xml:space="preserve"> vertinimo išvada</w:t>
            </w:r>
          </w:p>
        </w:tc>
      </w:tr>
      <w:tr w:rsidR="00AC33D8" w:rsidRPr="00F832F8" w14:paraId="284BC8C5" w14:textId="77777777" w:rsidTr="00A8286A">
        <w:trPr>
          <w:trHeight w:val="2267"/>
        </w:trPr>
        <w:tc>
          <w:tcPr>
            <w:tcW w:w="1980" w:type="dxa"/>
          </w:tcPr>
          <w:p w14:paraId="43B0ED35" w14:textId="77777777" w:rsidR="00AC33D8" w:rsidRPr="00F832F8" w:rsidRDefault="00AC33D8" w:rsidP="00A8286A">
            <w:pPr>
              <w:autoSpaceDE w:val="0"/>
              <w:autoSpaceDN w:val="0"/>
              <w:adjustRightInd w:val="0"/>
              <w:spacing w:line="276" w:lineRule="auto"/>
              <w:rPr>
                <w:bCs/>
              </w:rPr>
            </w:pPr>
            <w:r w:rsidRPr="00F832F8">
              <w:rPr>
                <w:bCs/>
              </w:rPr>
              <w:t>Nacionalinis sveikatos ir klinikinės kompetencijos institutas, Didžioji Britanija</w:t>
            </w:r>
          </w:p>
          <w:p w14:paraId="7588D5EE" w14:textId="77777777" w:rsidR="00AC33D8" w:rsidRPr="00F832F8" w:rsidRDefault="00AC33D8" w:rsidP="00A8286A">
            <w:pPr>
              <w:spacing w:line="276" w:lineRule="auto"/>
              <w:rPr>
                <w:rFonts w:eastAsia="Arial"/>
              </w:rPr>
            </w:pPr>
            <w:r w:rsidRPr="00F832F8">
              <w:rPr>
                <w:rFonts w:eastAsia="Arial"/>
              </w:rPr>
              <w:t xml:space="preserve">(angl. </w:t>
            </w:r>
            <w:proofErr w:type="spellStart"/>
            <w:r w:rsidRPr="00F832F8">
              <w:rPr>
                <w:rFonts w:eastAsia="Arial"/>
                <w:i/>
              </w:rPr>
              <w:t>National</w:t>
            </w:r>
            <w:proofErr w:type="spellEnd"/>
            <w:r w:rsidRPr="00F832F8">
              <w:rPr>
                <w:rFonts w:eastAsia="Arial"/>
                <w:i/>
              </w:rPr>
              <w:t xml:space="preserve"> Institute </w:t>
            </w:r>
            <w:proofErr w:type="spellStart"/>
            <w:r w:rsidRPr="00F832F8">
              <w:rPr>
                <w:rFonts w:eastAsia="Arial"/>
                <w:i/>
              </w:rPr>
              <w:t>for</w:t>
            </w:r>
            <w:proofErr w:type="spellEnd"/>
            <w:r w:rsidRPr="00F832F8">
              <w:rPr>
                <w:rFonts w:eastAsia="Arial"/>
                <w:i/>
              </w:rPr>
              <w:t xml:space="preserve"> </w:t>
            </w:r>
            <w:proofErr w:type="spellStart"/>
            <w:r w:rsidRPr="00F832F8">
              <w:rPr>
                <w:rFonts w:eastAsia="Arial"/>
                <w:i/>
              </w:rPr>
              <w:t>Health</w:t>
            </w:r>
            <w:proofErr w:type="spellEnd"/>
            <w:r w:rsidRPr="00F832F8">
              <w:rPr>
                <w:rFonts w:eastAsia="Arial"/>
                <w:i/>
              </w:rPr>
              <w:t xml:space="preserve"> </w:t>
            </w:r>
            <w:proofErr w:type="spellStart"/>
            <w:r w:rsidRPr="00F832F8">
              <w:rPr>
                <w:rFonts w:eastAsia="Arial"/>
                <w:i/>
              </w:rPr>
              <w:t>and</w:t>
            </w:r>
            <w:proofErr w:type="spellEnd"/>
            <w:r w:rsidRPr="00F832F8">
              <w:rPr>
                <w:rFonts w:eastAsia="Arial"/>
                <w:i/>
              </w:rPr>
              <w:t xml:space="preserve"> Care </w:t>
            </w:r>
            <w:proofErr w:type="spellStart"/>
            <w:r w:rsidRPr="00F832F8">
              <w:rPr>
                <w:rFonts w:eastAsia="Arial"/>
                <w:i/>
              </w:rPr>
              <w:t>Excellence</w:t>
            </w:r>
            <w:proofErr w:type="spellEnd"/>
            <w:r w:rsidRPr="00F832F8">
              <w:rPr>
                <w:rFonts w:eastAsia="Arial"/>
                <w:i/>
              </w:rPr>
              <w:t>, NICE</w:t>
            </w:r>
            <w:r w:rsidRPr="00F832F8">
              <w:rPr>
                <w:rFonts w:eastAsia="Arial"/>
              </w:rPr>
              <w:t>)</w:t>
            </w:r>
          </w:p>
        </w:tc>
        <w:tc>
          <w:tcPr>
            <w:tcW w:w="1539" w:type="dxa"/>
          </w:tcPr>
          <w:p w14:paraId="1D83F6D6" w14:textId="77777777" w:rsidR="00AC33D8" w:rsidRPr="00F832F8" w:rsidRDefault="003262B0" w:rsidP="00A8286A">
            <w:pPr>
              <w:pStyle w:val="Sraopastraipa"/>
              <w:spacing w:after="120" w:line="276" w:lineRule="auto"/>
              <w:ind w:left="0"/>
              <w:contextualSpacing w:val="0"/>
              <w:jc w:val="both"/>
            </w:pPr>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AC33D8" w:rsidRPr="00F832F8">
                  <w:rPr>
                    <w:rStyle w:val="Style2"/>
                    <w:rFonts w:ascii="MS Gothic" w:eastAsia="MS Gothic" w:hAnsi="MS Gothic"/>
                  </w:rPr>
                  <w:t>☒</w:t>
                </w:r>
              </w:sdtContent>
            </w:sdt>
            <w:r w:rsidR="00AC33D8" w:rsidRPr="00F832F8">
              <w:t xml:space="preserve"> Taip</w:t>
            </w:r>
          </w:p>
          <w:p w14:paraId="6AA12E74" w14:textId="77777777" w:rsidR="00AC33D8" w:rsidRPr="00F832F8" w:rsidRDefault="003262B0" w:rsidP="00A8286A">
            <w:pPr>
              <w:pStyle w:val="Sraopastraipa"/>
              <w:spacing w:after="120" w:line="276" w:lineRule="auto"/>
              <w:ind w:left="0"/>
              <w:contextualSpacing w:val="0"/>
              <w:jc w:val="both"/>
            </w:pPr>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AC33D8" w:rsidRPr="00F832F8">
                  <w:rPr>
                    <w:rStyle w:val="Style2"/>
                    <w:rFonts w:ascii="Segoe UI Symbol" w:eastAsia="MS Gothic" w:hAnsi="Segoe UI Symbol" w:cs="Segoe UI Symbol"/>
                  </w:rPr>
                  <w:t>☐</w:t>
                </w:r>
              </w:sdtContent>
            </w:sdt>
            <w:r w:rsidR="00AC33D8" w:rsidRPr="00F832F8">
              <w:t xml:space="preserve"> Ne</w:t>
            </w:r>
          </w:p>
          <w:p w14:paraId="4480199E" w14:textId="77777777" w:rsidR="00AC33D8" w:rsidRPr="00F832F8" w:rsidRDefault="003262B0" w:rsidP="00A8286A">
            <w:pPr>
              <w:spacing w:line="276" w:lineRule="auto"/>
              <w:rPr>
                <w:rFonts w:eastAsia="Arial"/>
              </w:rPr>
            </w:pPr>
            <w:sdt>
              <w:sdtPr>
                <w:alias w:val="Nurodykite konkrečią dieną"/>
                <w:tag w:val="Nurodykite pradžios datą"/>
                <w:id w:val="922837954"/>
                <w:placeholder>
                  <w:docPart w:val="9A9AA8D7F22A4AEA9A04F7C0FD75498C"/>
                </w:placeholder>
                <w15:color w:val="FFCC99"/>
                <w:date>
                  <w:dateFormat w:val="yyyy 'm.' MMMM d 'd.'"/>
                  <w:lid w:val="lt-LT"/>
                  <w:storeMappedDataAs w:val="dateTime"/>
                  <w:calendar w:val="gregorian"/>
                </w:date>
              </w:sdtPr>
              <w:sdtEndPr/>
              <w:sdtContent>
                <w:r w:rsidR="00AC33D8" w:rsidRPr="00F832F8">
                  <w:t>2018  m. rugpjūčio 29 d.</w:t>
                </w:r>
              </w:sdtContent>
            </w:sdt>
          </w:p>
        </w:tc>
        <w:tc>
          <w:tcPr>
            <w:tcW w:w="4840" w:type="dxa"/>
          </w:tcPr>
          <w:p w14:paraId="01639772" w14:textId="77777777" w:rsidR="00AC33D8" w:rsidRPr="00F832F8" w:rsidRDefault="00AC33D8" w:rsidP="00A8286A">
            <w:pPr>
              <w:spacing w:line="276" w:lineRule="auto"/>
              <w:rPr>
                <w:rFonts w:eastAsia="Arial"/>
              </w:rPr>
            </w:pPr>
            <w:r w:rsidRPr="00F832F8">
              <w:rPr>
                <w:vertAlign w:val="superscript"/>
              </w:rPr>
              <w:t>177</w:t>
            </w:r>
            <w:r w:rsidRPr="00F832F8">
              <w:t xml:space="preserve">Lu </w:t>
            </w:r>
            <w:proofErr w:type="spellStart"/>
            <w:r w:rsidRPr="00F832F8">
              <w:t>oksodotreotidas</w:t>
            </w:r>
            <w:proofErr w:type="spellEnd"/>
            <w:r w:rsidRPr="00F832F8">
              <w:t xml:space="preserve"> rekomenduojamas progresuojančių </w:t>
            </w:r>
            <w:proofErr w:type="spellStart"/>
            <w:r w:rsidRPr="00F832F8">
              <w:t>pankreatinių</w:t>
            </w:r>
            <w:proofErr w:type="spellEnd"/>
            <w:r w:rsidRPr="00F832F8">
              <w:t xml:space="preserve"> ir </w:t>
            </w:r>
            <w:proofErr w:type="spellStart"/>
            <w:r w:rsidRPr="00F832F8">
              <w:t>gastroentero</w:t>
            </w:r>
            <w:proofErr w:type="spellEnd"/>
            <w:r w:rsidRPr="00F832F8">
              <w:t xml:space="preserve">- </w:t>
            </w:r>
            <w:proofErr w:type="spellStart"/>
            <w:r w:rsidRPr="00F832F8">
              <w:t>neuroendokrininių</w:t>
            </w:r>
            <w:proofErr w:type="spellEnd"/>
            <w:r w:rsidRPr="00F832F8">
              <w:t xml:space="preserve"> navikų (P-NEN ir GE-NEN) gydymui.</w:t>
            </w:r>
          </w:p>
        </w:tc>
        <w:tc>
          <w:tcPr>
            <w:tcW w:w="2114" w:type="dxa"/>
          </w:tcPr>
          <w:p w14:paraId="64B5AA1B" w14:textId="77777777" w:rsidR="00AC33D8" w:rsidRPr="005D5BE7" w:rsidRDefault="00AC33D8" w:rsidP="00A8286A">
            <w:pPr>
              <w:spacing w:line="276" w:lineRule="auto"/>
              <w:rPr>
                <w:rFonts w:eastAsia="Arial"/>
              </w:rPr>
            </w:pPr>
            <w:r w:rsidRPr="005D5BE7">
              <w:rPr>
                <w:rFonts w:eastAsia="Arial"/>
              </w:rPr>
              <w:t>Rekomenduojama kompensuoti su konfidencialiu komerciniu susitarimu.</w:t>
            </w:r>
          </w:p>
        </w:tc>
      </w:tr>
      <w:tr w:rsidR="00AC33D8" w:rsidRPr="00F832F8" w14:paraId="64168E56" w14:textId="77777777" w:rsidTr="00A8286A">
        <w:trPr>
          <w:trHeight w:val="1547"/>
        </w:trPr>
        <w:tc>
          <w:tcPr>
            <w:tcW w:w="1980" w:type="dxa"/>
          </w:tcPr>
          <w:p w14:paraId="7E61EF46" w14:textId="77777777" w:rsidR="00AC33D8" w:rsidRPr="00F832F8" w:rsidRDefault="00AC33D8" w:rsidP="00A8286A">
            <w:pPr>
              <w:spacing w:line="276" w:lineRule="auto"/>
              <w:rPr>
                <w:rFonts w:eastAsia="Arial"/>
              </w:rPr>
            </w:pPr>
            <w:r w:rsidRPr="00F832F8">
              <w:rPr>
                <w:rFonts w:eastAsia="Arial"/>
              </w:rPr>
              <w:t>Kanados sveikatos technologijų agentūra</w:t>
            </w:r>
          </w:p>
          <w:p w14:paraId="0E255C19" w14:textId="77777777" w:rsidR="00AC33D8" w:rsidRPr="00F832F8" w:rsidRDefault="00AC33D8" w:rsidP="00A8286A">
            <w:pPr>
              <w:spacing w:line="276" w:lineRule="auto"/>
              <w:rPr>
                <w:rFonts w:eastAsia="Arial"/>
              </w:rPr>
            </w:pPr>
            <w:r w:rsidRPr="00F832F8">
              <w:rPr>
                <w:rFonts w:eastAsia="Arial"/>
              </w:rPr>
              <w:t xml:space="preserve">(angl. </w:t>
            </w:r>
            <w:proofErr w:type="spellStart"/>
            <w:r w:rsidRPr="00F832F8">
              <w:rPr>
                <w:rFonts w:eastAsia="Arial"/>
                <w:i/>
              </w:rPr>
              <w:t>Canadian</w:t>
            </w:r>
            <w:proofErr w:type="spellEnd"/>
            <w:r w:rsidRPr="00F832F8">
              <w:rPr>
                <w:rFonts w:eastAsia="Arial"/>
                <w:i/>
              </w:rPr>
              <w:t xml:space="preserve"> </w:t>
            </w:r>
            <w:proofErr w:type="spellStart"/>
            <w:r w:rsidRPr="00F832F8">
              <w:rPr>
                <w:rFonts w:eastAsia="Arial"/>
                <w:i/>
              </w:rPr>
              <w:t>health</w:t>
            </w:r>
            <w:proofErr w:type="spellEnd"/>
            <w:r w:rsidRPr="00F832F8">
              <w:rPr>
                <w:rFonts w:eastAsia="Arial"/>
                <w:i/>
              </w:rPr>
              <w:t xml:space="preserve"> </w:t>
            </w:r>
            <w:proofErr w:type="spellStart"/>
            <w:r w:rsidRPr="00F832F8">
              <w:rPr>
                <w:rFonts w:eastAsia="Arial"/>
                <w:i/>
              </w:rPr>
              <w:t>Technology</w:t>
            </w:r>
            <w:proofErr w:type="spellEnd"/>
            <w:r w:rsidRPr="00F832F8">
              <w:rPr>
                <w:rFonts w:eastAsia="Arial"/>
                <w:i/>
              </w:rPr>
              <w:t xml:space="preserve"> </w:t>
            </w:r>
            <w:proofErr w:type="spellStart"/>
            <w:r w:rsidRPr="00F832F8">
              <w:rPr>
                <w:rFonts w:eastAsia="Arial"/>
                <w:i/>
              </w:rPr>
              <w:t>Assessment</w:t>
            </w:r>
            <w:proofErr w:type="spellEnd"/>
            <w:r w:rsidRPr="00F832F8">
              <w:rPr>
                <w:rFonts w:eastAsia="Arial"/>
                <w:i/>
              </w:rPr>
              <w:t xml:space="preserve"> </w:t>
            </w:r>
            <w:proofErr w:type="spellStart"/>
            <w:r w:rsidRPr="00F832F8">
              <w:rPr>
                <w:rFonts w:eastAsia="Arial"/>
                <w:i/>
              </w:rPr>
              <w:t>agency</w:t>
            </w:r>
            <w:proofErr w:type="spellEnd"/>
            <w:r w:rsidRPr="00F832F8">
              <w:rPr>
                <w:rFonts w:eastAsia="Arial"/>
                <w:i/>
              </w:rPr>
              <w:t>, CADTH</w:t>
            </w:r>
            <w:r w:rsidRPr="00F832F8">
              <w:rPr>
                <w:rFonts w:eastAsia="Arial"/>
              </w:rPr>
              <w:t>)</w:t>
            </w:r>
          </w:p>
        </w:tc>
        <w:tc>
          <w:tcPr>
            <w:tcW w:w="1539" w:type="dxa"/>
          </w:tcPr>
          <w:p w14:paraId="4A4AF4BC" w14:textId="77777777" w:rsidR="00AC33D8" w:rsidRPr="00F832F8" w:rsidRDefault="003262B0" w:rsidP="00A8286A">
            <w:pPr>
              <w:pStyle w:val="Sraopastraipa"/>
              <w:spacing w:after="120" w:line="276" w:lineRule="auto"/>
              <w:ind w:left="0"/>
              <w:contextualSpacing w:val="0"/>
              <w:jc w:val="both"/>
            </w:pPr>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AC33D8" w:rsidRPr="00F832F8">
                  <w:rPr>
                    <w:rStyle w:val="Style2"/>
                    <w:rFonts w:ascii="MS Gothic" w:eastAsia="MS Gothic" w:hAnsi="MS Gothic"/>
                  </w:rPr>
                  <w:t>☒</w:t>
                </w:r>
              </w:sdtContent>
            </w:sdt>
            <w:r w:rsidR="00AC33D8" w:rsidRPr="00F832F8">
              <w:t xml:space="preserve"> Taip</w:t>
            </w:r>
          </w:p>
          <w:p w14:paraId="389BBF57" w14:textId="77777777" w:rsidR="00AC33D8" w:rsidRPr="00F832F8" w:rsidRDefault="003262B0" w:rsidP="00A8286A">
            <w:pPr>
              <w:pStyle w:val="Sraopastraipa"/>
              <w:spacing w:after="120" w:line="276" w:lineRule="auto"/>
              <w:ind w:left="0"/>
              <w:contextualSpacing w:val="0"/>
              <w:jc w:val="both"/>
            </w:pPr>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AC33D8" w:rsidRPr="00F832F8">
                  <w:rPr>
                    <w:rStyle w:val="Style2"/>
                    <w:rFonts w:ascii="Segoe UI Symbol" w:eastAsia="MS Gothic" w:hAnsi="Segoe UI Symbol" w:cs="Segoe UI Symbol"/>
                  </w:rPr>
                  <w:t>☐</w:t>
                </w:r>
              </w:sdtContent>
            </w:sdt>
            <w:r w:rsidR="00AC33D8" w:rsidRPr="00F832F8">
              <w:t xml:space="preserve"> Ne</w:t>
            </w:r>
          </w:p>
          <w:p w14:paraId="4A084DCA" w14:textId="77777777" w:rsidR="00AC33D8" w:rsidRPr="00F832F8" w:rsidRDefault="003262B0" w:rsidP="00A8286A">
            <w:pPr>
              <w:spacing w:line="276" w:lineRule="auto"/>
              <w:rPr>
                <w:rFonts w:eastAsia="Arial"/>
              </w:rPr>
            </w:pPr>
            <w:sdt>
              <w:sdtPr>
                <w:alias w:val="Nurodykite konkrečią dieną"/>
                <w:tag w:val="Nurodykite pradžios datą"/>
                <w:id w:val="1072468416"/>
                <w:placeholder>
                  <w:docPart w:val="5545C5CE3B6243C0AF0B2F36D9241189"/>
                </w:placeholder>
                <w15:color w:val="FFCC99"/>
                <w:date>
                  <w:dateFormat w:val="yyyy 'm.' MMMM d 'd.'"/>
                  <w:lid w:val="lt-LT"/>
                  <w:storeMappedDataAs w:val="dateTime"/>
                  <w:calendar w:val="gregorian"/>
                </w:date>
              </w:sdtPr>
              <w:sdtEndPr/>
              <w:sdtContent>
                <w:r w:rsidR="00AC33D8" w:rsidRPr="00F832F8">
                  <w:t>2019 m. rugpjūčio 19 d.; 2022 m. spalio 17 d.</w:t>
                </w:r>
              </w:sdtContent>
            </w:sdt>
          </w:p>
        </w:tc>
        <w:tc>
          <w:tcPr>
            <w:tcW w:w="4840" w:type="dxa"/>
          </w:tcPr>
          <w:p w14:paraId="3B9D086A" w14:textId="77777777" w:rsidR="00AC33D8" w:rsidRPr="00F832F8" w:rsidRDefault="00AC33D8" w:rsidP="00A8286A">
            <w:pPr>
              <w:spacing w:line="276" w:lineRule="auto"/>
              <w:rPr>
                <w:rFonts w:eastAsia="Arial"/>
              </w:rPr>
            </w:pPr>
            <w:r w:rsidRPr="00F832F8">
              <w:rPr>
                <w:vertAlign w:val="superscript"/>
              </w:rPr>
              <w:t>177</w:t>
            </w:r>
            <w:r w:rsidRPr="00F832F8">
              <w:t xml:space="preserve">Lu </w:t>
            </w:r>
            <w:proofErr w:type="spellStart"/>
            <w:r w:rsidRPr="00F832F8">
              <w:t>oksodotreotidas</w:t>
            </w:r>
            <w:proofErr w:type="spellEnd"/>
            <w:r w:rsidRPr="00F832F8">
              <w:t xml:space="preserve"> rekomenduojamas:</w:t>
            </w:r>
          </w:p>
          <w:p w14:paraId="12588FAB" w14:textId="77777777" w:rsidR="00AC33D8" w:rsidRPr="00F832F8" w:rsidRDefault="00AC33D8" w:rsidP="00AC33D8">
            <w:pPr>
              <w:pStyle w:val="Sraopastraipa"/>
              <w:numPr>
                <w:ilvl w:val="0"/>
                <w:numId w:val="14"/>
              </w:numPr>
              <w:spacing w:line="276" w:lineRule="auto"/>
              <w:rPr>
                <w:rFonts w:eastAsia="Arial"/>
              </w:rPr>
            </w:pPr>
            <w:r w:rsidRPr="00F832F8">
              <w:t xml:space="preserve">Progresuojančių, </w:t>
            </w:r>
            <w:proofErr w:type="spellStart"/>
            <w:r w:rsidRPr="00F832F8">
              <w:t>nerezekuojamų</w:t>
            </w:r>
            <w:proofErr w:type="spellEnd"/>
            <w:r w:rsidRPr="00F832F8">
              <w:t xml:space="preserve">, </w:t>
            </w:r>
            <w:proofErr w:type="spellStart"/>
            <w:r w:rsidRPr="00F832F8">
              <w:t>somatostatino</w:t>
            </w:r>
            <w:proofErr w:type="spellEnd"/>
            <w:r w:rsidRPr="00F832F8">
              <w:t xml:space="preserve"> receptoriams teigiamų vidurinės vamzdelio dalies (angl. </w:t>
            </w:r>
            <w:proofErr w:type="spellStart"/>
            <w:r w:rsidRPr="00F832F8">
              <w:rPr>
                <w:i/>
                <w:iCs/>
              </w:rPr>
              <w:t>midgut</w:t>
            </w:r>
            <w:proofErr w:type="spellEnd"/>
            <w:r w:rsidRPr="00F832F8">
              <w:t xml:space="preserve">) </w:t>
            </w:r>
            <w:proofErr w:type="spellStart"/>
            <w:r w:rsidRPr="00F832F8">
              <w:t>gastroentero</w:t>
            </w:r>
            <w:proofErr w:type="spellEnd"/>
            <w:r w:rsidRPr="00F832F8">
              <w:t xml:space="preserve">- </w:t>
            </w:r>
            <w:proofErr w:type="spellStart"/>
            <w:r w:rsidRPr="00F832F8">
              <w:t>neuroendokrininių</w:t>
            </w:r>
            <w:proofErr w:type="spellEnd"/>
            <w:r w:rsidRPr="00F832F8">
              <w:t xml:space="preserve"> navikų (GE-NEN) gydymui</w:t>
            </w:r>
          </w:p>
          <w:p w14:paraId="6A8C5FB2" w14:textId="77777777" w:rsidR="00AC33D8" w:rsidRPr="00F832F8" w:rsidRDefault="00AC33D8" w:rsidP="00AC33D8">
            <w:pPr>
              <w:pStyle w:val="Sraopastraipa"/>
              <w:numPr>
                <w:ilvl w:val="1"/>
                <w:numId w:val="14"/>
              </w:numPr>
              <w:spacing w:line="276" w:lineRule="auto"/>
              <w:rPr>
                <w:rFonts w:eastAsia="Arial"/>
              </w:rPr>
            </w:pPr>
            <w:r w:rsidRPr="00F832F8">
              <w:rPr>
                <w:rFonts w:eastAsia="Arial"/>
              </w:rPr>
              <w:t>Skyrimo sąlygos:</w:t>
            </w:r>
          </w:p>
          <w:p w14:paraId="264021EE" w14:textId="77777777" w:rsidR="00AC33D8" w:rsidRPr="00F832F8" w:rsidRDefault="00AC33D8" w:rsidP="00AC33D8">
            <w:pPr>
              <w:pStyle w:val="Sraopastraipa"/>
              <w:numPr>
                <w:ilvl w:val="2"/>
                <w:numId w:val="14"/>
              </w:numPr>
              <w:spacing w:line="276" w:lineRule="auto"/>
              <w:rPr>
                <w:rFonts w:eastAsia="Arial"/>
              </w:rPr>
            </w:pPr>
            <w:r w:rsidRPr="00F832F8">
              <w:rPr>
                <w:rFonts w:eastAsia="Arial"/>
              </w:rPr>
              <w:t>Gera paciento funkcinė būklė;</w:t>
            </w:r>
          </w:p>
          <w:p w14:paraId="05628161" w14:textId="77777777" w:rsidR="00AC33D8" w:rsidRPr="00F832F8" w:rsidRDefault="00AC33D8" w:rsidP="00AC33D8">
            <w:pPr>
              <w:pStyle w:val="Sraopastraipa"/>
              <w:numPr>
                <w:ilvl w:val="2"/>
                <w:numId w:val="14"/>
              </w:numPr>
              <w:spacing w:line="276" w:lineRule="auto"/>
              <w:rPr>
                <w:rFonts w:eastAsia="Arial"/>
              </w:rPr>
            </w:pPr>
            <w:r w:rsidRPr="00F832F8">
              <w:rPr>
                <w:rFonts w:eastAsia="Arial"/>
              </w:rPr>
              <w:t xml:space="preserve">Ligos progresavimas skiriant </w:t>
            </w:r>
            <w:proofErr w:type="spellStart"/>
            <w:r w:rsidRPr="00F832F8">
              <w:rPr>
                <w:rFonts w:eastAsia="Arial"/>
              </w:rPr>
              <w:t>somatostatino</w:t>
            </w:r>
            <w:proofErr w:type="spellEnd"/>
            <w:r w:rsidRPr="00F832F8">
              <w:rPr>
                <w:rFonts w:eastAsia="Arial"/>
              </w:rPr>
              <w:t xml:space="preserve"> analogus.</w:t>
            </w:r>
          </w:p>
          <w:p w14:paraId="2F0A1884" w14:textId="77777777" w:rsidR="00AC33D8" w:rsidRPr="00F832F8" w:rsidRDefault="00AC33D8" w:rsidP="00AC33D8">
            <w:pPr>
              <w:pStyle w:val="Sraopastraipa"/>
              <w:numPr>
                <w:ilvl w:val="1"/>
                <w:numId w:val="14"/>
              </w:numPr>
              <w:spacing w:line="276" w:lineRule="auto"/>
              <w:rPr>
                <w:rFonts w:eastAsia="Arial"/>
              </w:rPr>
            </w:pPr>
            <w:r w:rsidRPr="00F832F8">
              <w:rPr>
                <w:rFonts w:eastAsia="Arial"/>
              </w:rPr>
              <w:t>Nutraukimo sąlygos:</w:t>
            </w:r>
          </w:p>
          <w:p w14:paraId="315B5539" w14:textId="77777777" w:rsidR="00AC33D8" w:rsidRPr="00F832F8" w:rsidRDefault="00AC33D8" w:rsidP="00AC33D8">
            <w:pPr>
              <w:pStyle w:val="Sraopastraipa"/>
              <w:numPr>
                <w:ilvl w:val="2"/>
                <w:numId w:val="14"/>
              </w:numPr>
              <w:spacing w:line="276" w:lineRule="auto"/>
              <w:rPr>
                <w:rFonts w:eastAsia="Arial"/>
              </w:rPr>
            </w:pPr>
            <w:r w:rsidRPr="00F832F8">
              <w:rPr>
                <w:rFonts w:eastAsia="Arial"/>
              </w:rPr>
              <w:lastRenderedPageBreak/>
              <w:t>Pasireiškė netoleruojamas vaistinio preparato toksinis poveikis;</w:t>
            </w:r>
          </w:p>
          <w:p w14:paraId="17E13A4F" w14:textId="77777777" w:rsidR="00AC33D8" w:rsidRPr="00F832F8" w:rsidRDefault="00AC33D8" w:rsidP="00AC33D8">
            <w:pPr>
              <w:pStyle w:val="Sraopastraipa"/>
              <w:numPr>
                <w:ilvl w:val="2"/>
                <w:numId w:val="14"/>
              </w:numPr>
              <w:spacing w:line="276" w:lineRule="auto"/>
              <w:rPr>
                <w:rFonts w:eastAsia="Arial"/>
              </w:rPr>
            </w:pPr>
            <w:r w:rsidRPr="00F832F8">
              <w:rPr>
                <w:rFonts w:eastAsia="Arial"/>
              </w:rPr>
              <w:t>Skiriant vaistinį preparatą, patvirtintas ligos progresavimas;</w:t>
            </w:r>
          </w:p>
          <w:p w14:paraId="3686B0EE" w14:textId="77777777" w:rsidR="00AC33D8" w:rsidRPr="00F832F8" w:rsidRDefault="00AC33D8" w:rsidP="00AC33D8">
            <w:pPr>
              <w:pStyle w:val="Sraopastraipa"/>
              <w:numPr>
                <w:ilvl w:val="2"/>
                <w:numId w:val="14"/>
              </w:numPr>
              <w:spacing w:line="276" w:lineRule="auto"/>
              <w:rPr>
                <w:rFonts w:eastAsia="Arial"/>
              </w:rPr>
            </w:pPr>
            <w:r w:rsidRPr="00F832F8">
              <w:rPr>
                <w:rFonts w:eastAsia="Arial"/>
              </w:rPr>
              <w:t>Pasiekta maksimali vaistinio preparato dozė.</w:t>
            </w:r>
          </w:p>
          <w:p w14:paraId="683E7832" w14:textId="77777777" w:rsidR="00AC33D8" w:rsidRPr="00F832F8" w:rsidRDefault="00AC33D8" w:rsidP="00AC33D8">
            <w:pPr>
              <w:pStyle w:val="Sraopastraipa"/>
              <w:numPr>
                <w:ilvl w:val="0"/>
                <w:numId w:val="14"/>
              </w:numPr>
              <w:spacing w:line="276" w:lineRule="auto"/>
              <w:rPr>
                <w:rFonts w:eastAsia="Arial"/>
              </w:rPr>
            </w:pPr>
            <w:r w:rsidRPr="00F832F8">
              <w:t xml:space="preserve">Progresuojančių, </w:t>
            </w:r>
            <w:proofErr w:type="spellStart"/>
            <w:r w:rsidRPr="00F832F8">
              <w:t>nerezekuojamų</w:t>
            </w:r>
            <w:proofErr w:type="spellEnd"/>
            <w:r w:rsidRPr="00F832F8">
              <w:t xml:space="preserve">, gerai diferencijuotų </w:t>
            </w:r>
            <w:proofErr w:type="spellStart"/>
            <w:r w:rsidRPr="00F832F8">
              <w:t>somatostatino</w:t>
            </w:r>
            <w:proofErr w:type="spellEnd"/>
            <w:r w:rsidRPr="00F832F8">
              <w:t xml:space="preserve"> receptoriams teigiamų kasos </w:t>
            </w:r>
            <w:proofErr w:type="spellStart"/>
            <w:r w:rsidRPr="00F832F8">
              <w:t>neuroendokrininių</w:t>
            </w:r>
            <w:proofErr w:type="spellEnd"/>
            <w:r w:rsidRPr="00F832F8">
              <w:t xml:space="preserve"> navikų (P-NEN) gydymui</w:t>
            </w:r>
          </w:p>
          <w:p w14:paraId="3F95F8EB" w14:textId="77777777" w:rsidR="00AC33D8" w:rsidRPr="00F832F8" w:rsidRDefault="00AC33D8" w:rsidP="00AC33D8">
            <w:pPr>
              <w:pStyle w:val="Sraopastraipa"/>
              <w:numPr>
                <w:ilvl w:val="1"/>
                <w:numId w:val="14"/>
              </w:numPr>
              <w:spacing w:line="276" w:lineRule="auto"/>
              <w:rPr>
                <w:rFonts w:eastAsia="Arial"/>
              </w:rPr>
            </w:pPr>
            <w:r w:rsidRPr="00F832F8">
              <w:rPr>
                <w:rFonts w:eastAsia="Arial"/>
              </w:rPr>
              <w:t>Skyrimo sąlygos:</w:t>
            </w:r>
          </w:p>
          <w:p w14:paraId="777B38A4" w14:textId="77777777" w:rsidR="00AC33D8" w:rsidRPr="00F832F8" w:rsidRDefault="00AC33D8" w:rsidP="00AC33D8">
            <w:pPr>
              <w:pStyle w:val="Sraopastraipa"/>
              <w:numPr>
                <w:ilvl w:val="2"/>
                <w:numId w:val="14"/>
              </w:numPr>
              <w:spacing w:line="276" w:lineRule="auto"/>
              <w:rPr>
                <w:rFonts w:eastAsia="Arial"/>
              </w:rPr>
            </w:pPr>
            <w:r w:rsidRPr="00F832F8">
              <w:rPr>
                <w:rFonts w:eastAsia="Arial"/>
              </w:rPr>
              <w:t xml:space="preserve">ligos progresavimas skiriant </w:t>
            </w:r>
            <w:proofErr w:type="spellStart"/>
            <w:r w:rsidRPr="00F832F8">
              <w:rPr>
                <w:rFonts w:eastAsia="Arial"/>
              </w:rPr>
              <w:t>somatostatino</w:t>
            </w:r>
            <w:proofErr w:type="spellEnd"/>
            <w:r w:rsidRPr="00F832F8">
              <w:rPr>
                <w:rFonts w:eastAsia="Arial"/>
              </w:rPr>
              <w:t xml:space="preserve"> analogus;</w:t>
            </w:r>
          </w:p>
          <w:p w14:paraId="4D38F3A6" w14:textId="77777777" w:rsidR="00AC33D8" w:rsidRPr="00F832F8" w:rsidRDefault="00AC33D8" w:rsidP="00AC33D8">
            <w:pPr>
              <w:pStyle w:val="Sraopastraipa"/>
              <w:numPr>
                <w:ilvl w:val="2"/>
                <w:numId w:val="14"/>
              </w:numPr>
              <w:spacing w:line="276" w:lineRule="auto"/>
              <w:rPr>
                <w:rFonts w:eastAsia="Arial"/>
              </w:rPr>
            </w:pPr>
            <w:proofErr w:type="spellStart"/>
            <w:r w:rsidRPr="00F832F8">
              <w:rPr>
                <w:rFonts w:eastAsia="Arial"/>
              </w:rPr>
              <w:t>somatostatino</w:t>
            </w:r>
            <w:proofErr w:type="spellEnd"/>
            <w:r w:rsidRPr="00F832F8">
              <w:rPr>
                <w:rFonts w:eastAsia="Arial"/>
              </w:rPr>
              <w:t xml:space="preserve"> analogai netoleruojami / </w:t>
            </w:r>
            <w:proofErr w:type="spellStart"/>
            <w:r w:rsidRPr="00F832F8">
              <w:rPr>
                <w:rFonts w:eastAsia="Arial"/>
              </w:rPr>
              <w:t>kontraindikuotini</w:t>
            </w:r>
            <w:proofErr w:type="spellEnd"/>
            <w:r w:rsidRPr="00F832F8">
              <w:rPr>
                <w:rFonts w:eastAsia="Arial"/>
              </w:rPr>
              <w:t>.</w:t>
            </w:r>
          </w:p>
          <w:p w14:paraId="1CE7FBC0" w14:textId="77777777" w:rsidR="00AC33D8" w:rsidRPr="00F832F8" w:rsidRDefault="00AC33D8" w:rsidP="00AC33D8">
            <w:pPr>
              <w:pStyle w:val="Sraopastraipa"/>
              <w:numPr>
                <w:ilvl w:val="1"/>
                <w:numId w:val="14"/>
              </w:numPr>
              <w:spacing w:line="276" w:lineRule="auto"/>
              <w:rPr>
                <w:rFonts w:eastAsia="Arial"/>
              </w:rPr>
            </w:pPr>
            <w:r w:rsidRPr="00F832F8">
              <w:rPr>
                <w:rFonts w:eastAsia="Arial"/>
              </w:rPr>
              <w:t>Nutraukimo sąlygos:</w:t>
            </w:r>
          </w:p>
          <w:p w14:paraId="0AB1C36E" w14:textId="77777777" w:rsidR="00AC33D8" w:rsidRPr="00F832F8" w:rsidRDefault="00AC33D8" w:rsidP="00AC33D8">
            <w:pPr>
              <w:pStyle w:val="Sraopastraipa"/>
              <w:numPr>
                <w:ilvl w:val="2"/>
                <w:numId w:val="14"/>
              </w:numPr>
              <w:spacing w:line="276" w:lineRule="auto"/>
              <w:rPr>
                <w:rFonts w:eastAsia="Arial"/>
              </w:rPr>
            </w:pPr>
            <w:r w:rsidRPr="00F832F8">
              <w:rPr>
                <w:rFonts w:eastAsia="Arial"/>
              </w:rPr>
              <w:t>Pasireiškė netoleruojamas vaistinio preparato toksinis poveikis;</w:t>
            </w:r>
          </w:p>
          <w:p w14:paraId="60A2FBCC" w14:textId="77777777" w:rsidR="00AC33D8" w:rsidRPr="00F832F8" w:rsidRDefault="00AC33D8" w:rsidP="00AC33D8">
            <w:pPr>
              <w:pStyle w:val="Sraopastraipa"/>
              <w:numPr>
                <w:ilvl w:val="2"/>
                <w:numId w:val="14"/>
              </w:numPr>
              <w:spacing w:line="276" w:lineRule="auto"/>
              <w:rPr>
                <w:rFonts w:eastAsia="Arial"/>
              </w:rPr>
            </w:pPr>
            <w:r w:rsidRPr="00F832F8">
              <w:rPr>
                <w:rFonts w:eastAsia="Arial"/>
              </w:rPr>
              <w:t>Skiriant vaistinį preparatą, patvirtintas ligos progresavimas.</w:t>
            </w:r>
          </w:p>
        </w:tc>
        <w:tc>
          <w:tcPr>
            <w:tcW w:w="2114" w:type="dxa"/>
          </w:tcPr>
          <w:p w14:paraId="67A29AB9" w14:textId="77777777" w:rsidR="00AC33D8" w:rsidRPr="005D5BE7" w:rsidRDefault="00AC33D8" w:rsidP="00A8286A">
            <w:pPr>
              <w:spacing w:line="276" w:lineRule="auto"/>
              <w:rPr>
                <w:rFonts w:eastAsia="Arial"/>
              </w:rPr>
            </w:pPr>
            <w:r w:rsidRPr="00F832F8">
              <w:rPr>
                <w:rFonts w:eastAsia="Arial"/>
              </w:rPr>
              <w:lastRenderedPageBreak/>
              <w:t>Rekomenduojama kompensuoti sumažinus kainą.</w:t>
            </w:r>
          </w:p>
        </w:tc>
      </w:tr>
      <w:tr w:rsidR="00AC33D8" w:rsidRPr="00F832F8" w14:paraId="506F8DDB" w14:textId="77777777" w:rsidTr="00A8286A">
        <w:trPr>
          <w:trHeight w:val="2160"/>
        </w:trPr>
        <w:tc>
          <w:tcPr>
            <w:tcW w:w="1980" w:type="dxa"/>
          </w:tcPr>
          <w:p w14:paraId="505F5EFE" w14:textId="77777777" w:rsidR="00AC33D8" w:rsidRPr="00F832F8" w:rsidRDefault="00AC33D8" w:rsidP="00A8286A">
            <w:pPr>
              <w:spacing w:line="276" w:lineRule="auto"/>
              <w:rPr>
                <w:rFonts w:eastAsia="Arial"/>
              </w:rPr>
            </w:pPr>
            <w:r w:rsidRPr="00F832F8">
              <w:rPr>
                <w:rFonts w:eastAsia="Arial"/>
              </w:rPr>
              <w:t xml:space="preserve">Nacionalinis </w:t>
            </w:r>
            <w:proofErr w:type="spellStart"/>
            <w:r w:rsidRPr="00F832F8">
              <w:rPr>
                <w:rFonts w:eastAsia="Arial"/>
              </w:rPr>
              <w:t>farmakoekonomikos</w:t>
            </w:r>
            <w:proofErr w:type="spellEnd"/>
            <w:r w:rsidRPr="00F832F8">
              <w:rPr>
                <w:rFonts w:eastAsia="Arial"/>
              </w:rPr>
              <w:t xml:space="preserve"> centras, Airija</w:t>
            </w:r>
          </w:p>
          <w:p w14:paraId="75CC29BC" w14:textId="77777777" w:rsidR="00AC33D8" w:rsidRPr="00F832F8" w:rsidRDefault="00AC33D8" w:rsidP="00A8286A">
            <w:pPr>
              <w:spacing w:line="276" w:lineRule="auto"/>
              <w:rPr>
                <w:rFonts w:eastAsia="Arial"/>
              </w:rPr>
            </w:pPr>
            <w:r w:rsidRPr="00F832F8">
              <w:rPr>
                <w:rFonts w:eastAsia="Arial"/>
              </w:rPr>
              <w:t>(angl.</w:t>
            </w:r>
            <w:r w:rsidRPr="00F832F8">
              <w:rPr>
                <w:rFonts w:eastAsia="Arial"/>
                <w:i/>
              </w:rPr>
              <w:t xml:space="preserve"> </w:t>
            </w:r>
            <w:proofErr w:type="spellStart"/>
            <w:r w:rsidRPr="00F832F8">
              <w:rPr>
                <w:rFonts w:eastAsia="Arial"/>
                <w:i/>
              </w:rPr>
              <w:t>National</w:t>
            </w:r>
            <w:proofErr w:type="spellEnd"/>
            <w:r w:rsidRPr="00F832F8">
              <w:rPr>
                <w:rFonts w:eastAsia="Arial"/>
                <w:i/>
              </w:rPr>
              <w:t xml:space="preserve"> Centre </w:t>
            </w:r>
            <w:proofErr w:type="spellStart"/>
            <w:r w:rsidRPr="00F832F8">
              <w:rPr>
                <w:rFonts w:eastAsia="Arial"/>
                <w:i/>
              </w:rPr>
              <w:t>for</w:t>
            </w:r>
            <w:proofErr w:type="spellEnd"/>
            <w:r w:rsidRPr="00F832F8">
              <w:rPr>
                <w:rFonts w:eastAsia="Arial"/>
                <w:i/>
              </w:rPr>
              <w:t xml:space="preserve"> </w:t>
            </w:r>
            <w:proofErr w:type="spellStart"/>
            <w:r w:rsidRPr="00F832F8">
              <w:rPr>
                <w:rFonts w:eastAsia="Arial"/>
                <w:i/>
              </w:rPr>
              <w:t>Pharmacoeconomics</w:t>
            </w:r>
            <w:proofErr w:type="spellEnd"/>
            <w:r w:rsidRPr="00F832F8">
              <w:rPr>
                <w:rFonts w:eastAsia="Arial"/>
                <w:i/>
              </w:rPr>
              <w:t>, NCPE</w:t>
            </w:r>
            <w:r w:rsidRPr="00F832F8">
              <w:rPr>
                <w:rFonts w:eastAsia="Arial"/>
              </w:rPr>
              <w:t>)</w:t>
            </w:r>
          </w:p>
        </w:tc>
        <w:tc>
          <w:tcPr>
            <w:tcW w:w="1539" w:type="dxa"/>
          </w:tcPr>
          <w:p w14:paraId="346A0DFB" w14:textId="77777777" w:rsidR="00AC33D8" w:rsidRPr="00F832F8" w:rsidRDefault="003262B0" w:rsidP="00A8286A">
            <w:pPr>
              <w:pStyle w:val="Sraopastraipa"/>
              <w:spacing w:after="120" w:line="276" w:lineRule="auto"/>
              <w:ind w:left="0"/>
              <w:contextualSpacing w:val="0"/>
              <w:jc w:val="both"/>
            </w:pPr>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AC33D8" w:rsidRPr="00F832F8">
                  <w:rPr>
                    <w:rStyle w:val="Style2"/>
                    <w:rFonts w:ascii="MS Gothic" w:eastAsia="MS Gothic" w:hAnsi="MS Gothic"/>
                  </w:rPr>
                  <w:t>☒</w:t>
                </w:r>
              </w:sdtContent>
            </w:sdt>
            <w:r w:rsidR="00AC33D8" w:rsidRPr="00F832F8">
              <w:t xml:space="preserve"> Taip</w:t>
            </w:r>
          </w:p>
          <w:p w14:paraId="63A71340" w14:textId="77777777" w:rsidR="00AC33D8" w:rsidRPr="00F832F8" w:rsidRDefault="003262B0" w:rsidP="00A8286A">
            <w:pPr>
              <w:pStyle w:val="Sraopastraipa"/>
              <w:spacing w:after="120" w:line="276" w:lineRule="auto"/>
              <w:ind w:left="0"/>
              <w:contextualSpacing w:val="0"/>
              <w:jc w:val="both"/>
            </w:pPr>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AC33D8" w:rsidRPr="00F832F8">
                  <w:rPr>
                    <w:rStyle w:val="Style2"/>
                    <w:rFonts w:ascii="MS Gothic" w:eastAsia="MS Gothic" w:hAnsi="MS Gothic"/>
                  </w:rPr>
                  <w:t>☐</w:t>
                </w:r>
              </w:sdtContent>
            </w:sdt>
            <w:r w:rsidR="00AC33D8" w:rsidRPr="00F832F8">
              <w:t xml:space="preserve"> Ne</w:t>
            </w:r>
          </w:p>
          <w:p w14:paraId="1B9A5984" w14:textId="77777777" w:rsidR="00AC33D8" w:rsidRPr="00F832F8" w:rsidRDefault="003262B0" w:rsidP="00A8286A">
            <w:pPr>
              <w:spacing w:line="276" w:lineRule="auto"/>
              <w:rPr>
                <w:rFonts w:eastAsia="Arial"/>
              </w:rPr>
            </w:pPr>
            <w:sdt>
              <w:sdtPr>
                <w:alias w:val="Nurodykite konkrečią dieną"/>
                <w:tag w:val="Nurodykite pradžios datą"/>
                <w:id w:val="-198323198"/>
                <w:placeholder>
                  <w:docPart w:val="97272CAD7B33488091ACC56C6FFB5D68"/>
                </w:placeholder>
                <w15:color w:val="FFCC99"/>
                <w:date>
                  <w:dateFormat w:val="yyyy 'm.' MMMM d 'd.'"/>
                  <w:lid w:val="lt-LT"/>
                  <w:storeMappedDataAs w:val="dateTime"/>
                  <w:calendar w:val="gregorian"/>
                </w:date>
              </w:sdtPr>
              <w:sdtEndPr/>
              <w:sdtContent>
                <w:r w:rsidR="00AC33D8" w:rsidRPr="00F832F8">
                  <w:t>2020 m. vasario 7 d.</w:t>
                </w:r>
              </w:sdtContent>
            </w:sdt>
          </w:p>
        </w:tc>
        <w:tc>
          <w:tcPr>
            <w:tcW w:w="6954" w:type="dxa"/>
            <w:gridSpan w:val="2"/>
          </w:tcPr>
          <w:p w14:paraId="0B68D993" w14:textId="77777777" w:rsidR="00AC33D8" w:rsidRPr="00F832F8" w:rsidRDefault="00AC33D8" w:rsidP="00A8286A">
            <w:pPr>
              <w:spacing w:line="276" w:lineRule="auto"/>
              <w:jc w:val="both"/>
              <w:rPr>
                <w:rFonts w:eastAsia="Arial"/>
              </w:rPr>
            </w:pPr>
            <w:r w:rsidRPr="00F832F8">
              <w:rPr>
                <w:rFonts w:eastAsia="Arial"/>
              </w:rPr>
              <w:t xml:space="preserve">Netiesioginio palyginimo baigtys yra labai neapibrėžtos ir negalima daryti išvados apie </w:t>
            </w:r>
            <w:proofErr w:type="spellStart"/>
            <w:r w:rsidRPr="00F832F8">
              <w:rPr>
                <w:rFonts w:eastAsia="Arial"/>
              </w:rPr>
              <w:t>lutecio</w:t>
            </w:r>
            <w:proofErr w:type="spellEnd"/>
            <w:r w:rsidRPr="00F832F8">
              <w:rPr>
                <w:rFonts w:eastAsia="Arial"/>
              </w:rPr>
              <w:t xml:space="preserve"> (</w:t>
            </w:r>
            <w:r w:rsidRPr="00F832F8">
              <w:rPr>
                <w:rFonts w:eastAsia="Arial"/>
                <w:vertAlign w:val="superscript"/>
              </w:rPr>
              <w:t>177</w:t>
            </w:r>
            <w:r w:rsidRPr="00F832F8">
              <w:rPr>
                <w:rFonts w:eastAsia="Arial"/>
              </w:rPr>
              <w:t xml:space="preserve">Lu) </w:t>
            </w:r>
            <w:proofErr w:type="spellStart"/>
            <w:r w:rsidRPr="00F832F8">
              <w:rPr>
                <w:rFonts w:eastAsia="Arial"/>
              </w:rPr>
              <w:t>oksodotreotido</w:t>
            </w:r>
            <w:proofErr w:type="spellEnd"/>
            <w:r w:rsidRPr="00F832F8">
              <w:rPr>
                <w:rFonts w:eastAsia="Arial"/>
              </w:rPr>
              <w:t xml:space="preserve"> efektyvumą gerinant bendrą </w:t>
            </w:r>
            <w:proofErr w:type="spellStart"/>
            <w:r w:rsidRPr="00F832F8">
              <w:rPr>
                <w:rFonts w:eastAsia="Arial"/>
              </w:rPr>
              <w:t>išgyvenamumą</w:t>
            </w:r>
            <w:proofErr w:type="spellEnd"/>
            <w:r w:rsidRPr="00F832F8">
              <w:rPr>
                <w:rFonts w:eastAsia="Arial"/>
              </w:rPr>
              <w:t xml:space="preserve"> tarp pacientų, kuriems nustatyti GEP-NEN, lyginant su </w:t>
            </w:r>
            <w:proofErr w:type="spellStart"/>
            <w:r w:rsidRPr="00F832F8">
              <w:rPr>
                <w:rFonts w:eastAsia="Arial"/>
              </w:rPr>
              <w:t>everolimuzu</w:t>
            </w:r>
            <w:proofErr w:type="spellEnd"/>
            <w:r w:rsidRPr="00F832F8">
              <w:rPr>
                <w:rFonts w:eastAsia="Arial"/>
              </w:rPr>
              <w:t xml:space="preserve"> ir </w:t>
            </w:r>
            <w:proofErr w:type="spellStart"/>
            <w:r w:rsidRPr="00F832F8">
              <w:rPr>
                <w:rFonts w:eastAsia="Arial"/>
              </w:rPr>
              <w:t>sunitinibu</w:t>
            </w:r>
            <w:proofErr w:type="spellEnd"/>
            <w:r w:rsidRPr="00F832F8">
              <w:rPr>
                <w:rFonts w:eastAsia="Arial"/>
              </w:rPr>
              <w:t xml:space="preserve">. Dėl šios priežasties NCPE rekomenduoja atmesti </w:t>
            </w:r>
            <w:proofErr w:type="spellStart"/>
            <w:r w:rsidRPr="00F832F8">
              <w:rPr>
                <w:rFonts w:eastAsia="Arial"/>
              </w:rPr>
              <w:t>lutecio</w:t>
            </w:r>
            <w:proofErr w:type="spellEnd"/>
            <w:r w:rsidRPr="00F832F8">
              <w:rPr>
                <w:rFonts w:eastAsia="Arial"/>
              </w:rPr>
              <w:t xml:space="preserve"> (</w:t>
            </w:r>
            <w:r w:rsidRPr="00F832F8">
              <w:rPr>
                <w:rFonts w:eastAsia="Arial"/>
                <w:vertAlign w:val="superscript"/>
              </w:rPr>
              <w:t>177</w:t>
            </w:r>
            <w:r w:rsidRPr="00F832F8">
              <w:rPr>
                <w:rFonts w:eastAsia="Arial"/>
              </w:rPr>
              <w:t xml:space="preserve">Lu) </w:t>
            </w:r>
            <w:proofErr w:type="spellStart"/>
            <w:r w:rsidRPr="00F832F8">
              <w:rPr>
                <w:rFonts w:eastAsia="Arial"/>
              </w:rPr>
              <w:t>oksodotreotido</w:t>
            </w:r>
            <w:proofErr w:type="spellEnd"/>
            <w:r w:rsidRPr="00F832F8">
              <w:rPr>
                <w:rFonts w:eastAsia="Arial"/>
              </w:rPr>
              <w:t xml:space="preserve"> kompensavimo paraišką.</w:t>
            </w:r>
          </w:p>
        </w:tc>
      </w:tr>
    </w:tbl>
    <w:p w14:paraId="2EB7FD31" w14:textId="3ABBCE52" w:rsidR="00F70C9E" w:rsidRPr="00F832F8" w:rsidRDefault="00F70C9E" w:rsidP="00E03C3F">
      <w:pPr>
        <w:pStyle w:val="Sraopastraipa"/>
        <w:tabs>
          <w:tab w:val="left" w:pos="426"/>
        </w:tabs>
        <w:ind w:left="0"/>
        <w:rPr>
          <w:b/>
          <w:bCs/>
          <w:caps/>
        </w:rPr>
      </w:pPr>
    </w:p>
    <w:p w14:paraId="51E6FB5A" w14:textId="77777777" w:rsidR="00AC33D8" w:rsidRPr="00F832F8" w:rsidRDefault="00AC33D8" w:rsidP="00E03C3F">
      <w:pPr>
        <w:pStyle w:val="Sraopastraipa"/>
        <w:tabs>
          <w:tab w:val="left" w:pos="426"/>
        </w:tabs>
        <w:ind w:left="0"/>
        <w:rPr>
          <w:b/>
          <w:bCs/>
          <w:caps/>
        </w:rPr>
      </w:pPr>
    </w:p>
    <w:p w14:paraId="0569C57E" w14:textId="426CC639" w:rsidR="00AC33D8" w:rsidRPr="00F832F8" w:rsidRDefault="00CC7832" w:rsidP="00AC33D8">
      <w:pPr>
        <w:pStyle w:val="Sraopastraipa"/>
        <w:numPr>
          <w:ilvl w:val="0"/>
          <w:numId w:val="12"/>
        </w:numPr>
        <w:tabs>
          <w:tab w:val="left" w:pos="284"/>
        </w:tabs>
        <w:rPr>
          <w:b/>
          <w:bCs/>
          <w:caps/>
        </w:rPr>
      </w:pPr>
      <w:r w:rsidRPr="00F832F8">
        <w:rPr>
          <w:b/>
          <w:bCs/>
          <w:caps/>
        </w:rPr>
        <w:t>Klinikinio vertinimo a</w:t>
      </w:r>
      <w:r w:rsidR="00D4485B" w:rsidRPr="00F832F8">
        <w:rPr>
          <w:b/>
          <w:bCs/>
          <w:caps/>
        </w:rPr>
        <w:t>pibendrinimas</w:t>
      </w:r>
    </w:p>
    <w:p w14:paraId="61FD41C3" w14:textId="21891E8A" w:rsidR="00AC33D8" w:rsidRPr="00F832F8" w:rsidRDefault="00AC33D8" w:rsidP="00AC33D8">
      <w:pPr>
        <w:tabs>
          <w:tab w:val="left" w:pos="284"/>
        </w:tabs>
        <w:rPr>
          <w:b/>
          <w:bCs/>
          <w:caps/>
        </w:rPr>
      </w:pPr>
    </w:p>
    <w:p w14:paraId="2EE0F116" w14:textId="77777777" w:rsidR="00AC33D8" w:rsidRPr="00F832F8" w:rsidRDefault="00AC33D8" w:rsidP="00AC33D8">
      <w:pPr>
        <w:pStyle w:val="Sraopastraipa"/>
        <w:spacing w:after="120" w:line="276" w:lineRule="auto"/>
        <w:ind w:left="0"/>
        <w:contextualSpacing w:val="0"/>
        <w:jc w:val="both"/>
      </w:pPr>
      <w:bookmarkStart w:id="0" w:name="_Hlk129291306"/>
      <w:r w:rsidRPr="00F832F8">
        <w:tab/>
      </w:r>
      <w:proofErr w:type="spellStart"/>
      <w:r w:rsidRPr="00F832F8">
        <w:t>Gastroenteropankreatiniai</w:t>
      </w:r>
      <w:proofErr w:type="spellEnd"/>
      <w:r w:rsidRPr="00F832F8">
        <w:t xml:space="preserve"> </w:t>
      </w:r>
      <w:proofErr w:type="spellStart"/>
      <w:r w:rsidRPr="00F832F8">
        <w:t>neuroendokrininiai</w:t>
      </w:r>
      <w:proofErr w:type="spellEnd"/>
      <w:r w:rsidRPr="00F832F8">
        <w:t xml:space="preserve"> navikai (GEP-NEN) – iš </w:t>
      </w:r>
      <w:proofErr w:type="spellStart"/>
      <w:r w:rsidRPr="00F832F8">
        <w:t>neuroendokrininių</w:t>
      </w:r>
      <w:proofErr w:type="spellEnd"/>
      <w:r w:rsidRPr="00F832F8">
        <w:t xml:space="preserve"> ląstelių susiformavę plaučių arba virškinamojo trakto navikai. Pagal anatominę klasifikaciją šie navikai grupuojami į pradinės (angl. </w:t>
      </w:r>
      <w:proofErr w:type="spellStart"/>
      <w:r w:rsidRPr="00F832F8">
        <w:rPr>
          <w:i/>
          <w:iCs/>
        </w:rPr>
        <w:t>foregut</w:t>
      </w:r>
      <w:proofErr w:type="spellEnd"/>
      <w:r w:rsidRPr="00F832F8">
        <w:t xml:space="preserve">) – apatinės kvėpavimo sistemos dalies, </w:t>
      </w:r>
      <w:proofErr w:type="spellStart"/>
      <w:r w:rsidRPr="00F832F8">
        <w:t>užkrūčio</w:t>
      </w:r>
      <w:proofErr w:type="spellEnd"/>
      <w:r w:rsidRPr="00F832F8">
        <w:t xml:space="preserve"> liaukos, skrandžio, dvylikapirštės žarnos ir kasos, –  vidurinės (angl. </w:t>
      </w:r>
      <w:proofErr w:type="spellStart"/>
      <w:r w:rsidRPr="00F832F8">
        <w:rPr>
          <w:i/>
          <w:iCs/>
        </w:rPr>
        <w:t>midgut</w:t>
      </w:r>
      <w:proofErr w:type="spellEnd"/>
      <w:r w:rsidRPr="00F832F8">
        <w:t xml:space="preserve">) – plonosios žarnos, aklosios žarnos ir dešiniosios storosios žarnos dalies, –  bei galinės (angl. </w:t>
      </w:r>
      <w:proofErr w:type="spellStart"/>
      <w:r w:rsidRPr="00F832F8">
        <w:rPr>
          <w:i/>
          <w:iCs/>
        </w:rPr>
        <w:t>hindgut</w:t>
      </w:r>
      <w:proofErr w:type="spellEnd"/>
      <w:r w:rsidRPr="00F832F8">
        <w:t xml:space="preserve">) – skersinės, riestinės ir tiesiosios žarnos, – vamzdelio dalies navikus. GEP-NEN taip pat grupuojami pagal funkcinį aktyvumą (funkcinius, </w:t>
      </w:r>
      <w:proofErr w:type="spellStart"/>
      <w:r w:rsidRPr="00F832F8">
        <w:t>t.y</w:t>
      </w:r>
      <w:proofErr w:type="spellEnd"/>
      <w:r w:rsidRPr="00F832F8">
        <w:t xml:space="preserve">. gaminančius hormonus ir kitas biologiškai aktyvias medžiagas, kurios sukelia simptomus, bei nefunkcinius, </w:t>
      </w:r>
      <w:proofErr w:type="spellStart"/>
      <w:r w:rsidRPr="00F832F8">
        <w:t>t.y</w:t>
      </w:r>
      <w:proofErr w:type="spellEnd"/>
      <w:r w:rsidRPr="00F832F8">
        <w:t xml:space="preserve">. neatpalaiduojantys pakankamo biologiškai aktyvių medžiagų kiekio, todėl </w:t>
      </w:r>
      <w:proofErr w:type="spellStart"/>
      <w:r w:rsidRPr="00F832F8">
        <w:t>besimptomiai</w:t>
      </w:r>
      <w:proofErr w:type="spellEnd"/>
      <w:r w:rsidRPr="00F832F8">
        <w:t xml:space="preserve">) ir diferenciacijos laipsnį (gerai diferencijuotus – mažo ar </w:t>
      </w:r>
      <w:r w:rsidRPr="00F832F8">
        <w:lastRenderedPageBreak/>
        <w:t xml:space="preserve">vidutinio piktybiškumo, G1 – G2 – ir prastai diferencijuoti – didelio piktybiškumo, G3). Dauguma NEN yra nefunkciniai, gerai diferencijuoti ir lėtai augantys navikai, kuriems būdinga </w:t>
      </w:r>
      <w:proofErr w:type="spellStart"/>
      <w:r w:rsidRPr="00F832F8">
        <w:t>somatostatinų</w:t>
      </w:r>
      <w:proofErr w:type="spellEnd"/>
      <w:r w:rsidRPr="00F832F8">
        <w:t xml:space="preserve"> receptorių raiška. Europos vaistų agentūra GEP-NEN priskiria retoms ligoms. Vidutinė gyvenimo trukmė, nustačius žarnyno (GE-) NEN yra apytiksliai 56 mėnesiai, kasos (P-) NEN – 24 mėnesiai, išplitusių NEN atvejais – 12 mėnesių. Paraiškoje pateikta informacija dėl vaistinio preparato </w:t>
      </w:r>
      <w:proofErr w:type="spellStart"/>
      <w:r w:rsidRPr="00F832F8">
        <w:t>Lutecio</w:t>
      </w:r>
      <w:proofErr w:type="spellEnd"/>
      <w:r w:rsidRPr="00F832F8">
        <w:t xml:space="preserve"> (</w:t>
      </w:r>
      <w:r w:rsidRPr="00F832F8">
        <w:rPr>
          <w:vertAlign w:val="superscript"/>
        </w:rPr>
        <w:t>177</w:t>
      </w:r>
      <w:r w:rsidRPr="00F832F8">
        <w:t xml:space="preserve">Lu) </w:t>
      </w:r>
      <w:proofErr w:type="spellStart"/>
      <w:r w:rsidRPr="00F832F8">
        <w:t>oksodotreotido</w:t>
      </w:r>
      <w:proofErr w:type="spellEnd"/>
      <w:r w:rsidRPr="00F832F8">
        <w:t xml:space="preserve">, skirto </w:t>
      </w:r>
      <w:proofErr w:type="spellStart"/>
      <w:r w:rsidRPr="00F832F8">
        <w:t>nerezekuojamų</w:t>
      </w:r>
      <w:proofErr w:type="spellEnd"/>
      <w:r w:rsidRPr="00F832F8">
        <w:t xml:space="preserve"> ar </w:t>
      </w:r>
      <w:proofErr w:type="spellStart"/>
      <w:r w:rsidRPr="00F832F8">
        <w:t>metastazavusių</w:t>
      </w:r>
      <w:proofErr w:type="spellEnd"/>
      <w:r w:rsidRPr="00F832F8">
        <w:t xml:space="preserve">, progresuojančių, gerai diferencijuotų (G1 ir G2), </w:t>
      </w:r>
      <w:proofErr w:type="spellStart"/>
      <w:r w:rsidRPr="00F832F8">
        <w:t>somatostatino</w:t>
      </w:r>
      <w:proofErr w:type="spellEnd"/>
      <w:r w:rsidRPr="00F832F8">
        <w:t xml:space="preserve"> receptoriams teigiamų </w:t>
      </w:r>
      <w:proofErr w:type="spellStart"/>
      <w:r w:rsidRPr="00F832F8">
        <w:t>gastroenteropankreatinių</w:t>
      </w:r>
      <w:proofErr w:type="spellEnd"/>
      <w:r w:rsidRPr="00F832F8">
        <w:t xml:space="preserve"> </w:t>
      </w:r>
      <w:proofErr w:type="spellStart"/>
      <w:r w:rsidRPr="00F832F8">
        <w:t>neuroendokrininių</w:t>
      </w:r>
      <w:proofErr w:type="spellEnd"/>
      <w:r w:rsidRPr="00F832F8">
        <w:t xml:space="preserve"> navikų (GEP-NEN) gydymui.</w:t>
      </w:r>
    </w:p>
    <w:p w14:paraId="068D941D" w14:textId="77777777" w:rsidR="00AC33D8" w:rsidRPr="00F832F8" w:rsidRDefault="00AC33D8" w:rsidP="00AC33D8">
      <w:pPr>
        <w:tabs>
          <w:tab w:val="left" w:pos="426"/>
        </w:tabs>
        <w:spacing w:line="276" w:lineRule="auto"/>
        <w:jc w:val="both"/>
      </w:pPr>
      <w:r w:rsidRPr="00F832F8">
        <w:tab/>
      </w:r>
      <w:r w:rsidRPr="00F832F8">
        <w:tab/>
        <w:t xml:space="preserve">ESMO (angl. </w:t>
      </w:r>
      <w:proofErr w:type="spellStart"/>
      <w:r w:rsidRPr="00F832F8">
        <w:rPr>
          <w:i/>
          <w:iCs/>
        </w:rPr>
        <w:t>European</w:t>
      </w:r>
      <w:proofErr w:type="spellEnd"/>
      <w:r w:rsidRPr="00F832F8">
        <w:rPr>
          <w:i/>
          <w:iCs/>
        </w:rPr>
        <w:t xml:space="preserve"> </w:t>
      </w:r>
      <w:proofErr w:type="spellStart"/>
      <w:r w:rsidRPr="00F832F8">
        <w:rPr>
          <w:i/>
          <w:iCs/>
        </w:rPr>
        <w:t>Society</w:t>
      </w:r>
      <w:proofErr w:type="spellEnd"/>
      <w:r w:rsidRPr="00F832F8">
        <w:rPr>
          <w:i/>
          <w:iCs/>
        </w:rPr>
        <w:t xml:space="preserve"> </w:t>
      </w:r>
      <w:proofErr w:type="spellStart"/>
      <w:r w:rsidRPr="00F832F8">
        <w:rPr>
          <w:i/>
          <w:iCs/>
        </w:rPr>
        <w:t>for</w:t>
      </w:r>
      <w:proofErr w:type="spellEnd"/>
      <w:r w:rsidRPr="00F832F8">
        <w:rPr>
          <w:i/>
          <w:iCs/>
        </w:rPr>
        <w:t xml:space="preserve"> </w:t>
      </w:r>
      <w:proofErr w:type="spellStart"/>
      <w:r w:rsidRPr="00F832F8">
        <w:rPr>
          <w:i/>
          <w:iCs/>
        </w:rPr>
        <w:t>Medical</w:t>
      </w:r>
      <w:proofErr w:type="spellEnd"/>
      <w:r w:rsidRPr="00F832F8">
        <w:rPr>
          <w:i/>
          <w:iCs/>
        </w:rPr>
        <w:t xml:space="preserve"> </w:t>
      </w:r>
      <w:proofErr w:type="spellStart"/>
      <w:r w:rsidRPr="00F832F8">
        <w:rPr>
          <w:i/>
          <w:iCs/>
        </w:rPr>
        <w:t>Oncology</w:t>
      </w:r>
      <w:proofErr w:type="spellEnd"/>
      <w:r w:rsidRPr="00F832F8">
        <w:t xml:space="preserve">) gairėse NEN, kai yra </w:t>
      </w:r>
      <w:proofErr w:type="spellStart"/>
      <w:r w:rsidRPr="00F832F8">
        <w:t>karcinoido</w:t>
      </w:r>
      <w:proofErr w:type="spellEnd"/>
      <w:r w:rsidRPr="00F832F8">
        <w:t xml:space="preserve"> sindromas, gydomo strategija parenkama nustačius </w:t>
      </w:r>
      <w:proofErr w:type="spellStart"/>
      <w:r w:rsidRPr="00F832F8">
        <w:t>somatostatino</w:t>
      </w:r>
      <w:proofErr w:type="spellEnd"/>
      <w:r w:rsidRPr="00F832F8">
        <w:t xml:space="preserve"> receptorių raišką naviko ląstelėse. Jei </w:t>
      </w:r>
      <w:proofErr w:type="spellStart"/>
      <w:r w:rsidRPr="00F832F8">
        <w:t>somatostatino</w:t>
      </w:r>
      <w:proofErr w:type="spellEnd"/>
      <w:r w:rsidRPr="00F832F8">
        <w:t xml:space="preserve"> receptorių raiška navikui nebūdinga, galima taikyti sisteminį gydymą interferonu ir vietines </w:t>
      </w:r>
      <w:proofErr w:type="spellStart"/>
      <w:r w:rsidRPr="00F832F8">
        <w:t>chemospindulines</w:t>
      </w:r>
      <w:proofErr w:type="spellEnd"/>
      <w:r w:rsidRPr="00F832F8">
        <w:t xml:space="preserve"> ar fizikines gydymo metodikas esant neišplitusiam navikiniam procesui. Nustačius </w:t>
      </w:r>
      <w:proofErr w:type="spellStart"/>
      <w:r w:rsidRPr="00F832F8">
        <w:t>somatostatino</w:t>
      </w:r>
      <w:proofErr w:type="spellEnd"/>
      <w:r w:rsidRPr="00F832F8">
        <w:t xml:space="preserve"> receptorių raišką naviko ląstelėse, gydymas pradedamas </w:t>
      </w:r>
      <w:proofErr w:type="spellStart"/>
      <w:r w:rsidRPr="00F832F8">
        <w:t>somatostatino</w:t>
      </w:r>
      <w:proofErr w:type="spellEnd"/>
      <w:r w:rsidRPr="00F832F8">
        <w:t xml:space="preserve"> analogais (SSA) </w:t>
      </w:r>
      <w:proofErr w:type="spellStart"/>
      <w:r w:rsidRPr="00F832F8">
        <w:t>lanreotidu</w:t>
      </w:r>
      <w:proofErr w:type="spellEnd"/>
      <w:r w:rsidRPr="00F832F8">
        <w:t xml:space="preserve"> ar </w:t>
      </w:r>
      <w:proofErr w:type="spellStart"/>
      <w:r w:rsidRPr="00F832F8">
        <w:t>oktreotidu</w:t>
      </w:r>
      <w:proofErr w:type="spellEnd"/>
      <w:r w:rsidRPr="00F832F8">
        <w:t xml:space="preserve">. Nepasiekus efektyvios simptomų kontrolės ar procesui progresuojant, galima pereiti antros – didinti SSA dozes arba papildomai skirti </w:t>
      </w:r>
      <w:proofErr w:type="spellStart"/>
      <w:r w:rsidRPr="00F832F8">
        <w:t>telotristatą</w:t>
      </w:r>
      <w:proofErr w:type="spellEnd"/>
      <w:r w:rsidRPr="00F832F8">
        <w:t xml:space="preserve"> arba interferoną, – ir trečios pakopos gydymą – peptidų receptorių </w:t>
      </w:r>
      <w:proofErr w:type="spellStart"/>
      <w:r w:rsidRPr="00F832F8">
        <w:t>radionuklidinę</w:t>
      </w:r>
      <w:proofErr w:type="spellEnd"/>
      <w:r w:rsidRPr="00F832F8">
        <w:t xml:space="preserve"> terapiją (</w:t>
      </w:r>
      <w:r w:rsidRPr="00F832F8">
        <w:rPr>
          <w:vertAlign w:val="superscript"/>
        </w:rPr>
        <w:t>177</w:t>
      </w:r>
      <w:r w:rsidRPr="00F832F8">
        <w:t xml:space="preserve">Lu, toliau PRRT) arba vietines </w:t>
      </w:r>
      <w:proofErr w:type="spellStart"/>
      <w:r w:rsidRPr="00F832F8">
        <w:t>chemofizikines</w:t>
      </w:r>
      <w:proofErr w:type="spellEnd"/>
      <w:r w:rsidRPr="00F832F8">
        <w:t xml:space="preserve"> metodikas. Nepasiekus terapinio efekto, gairėse siūloma skirti </w:t>
      </w:r>
      <w:proofErr w:type="spellStart"/>
      <w:r w:rsidRPr="00F832F8">
        <w:t>everolimuzą</w:t>
      </w:r>
      <w:proofErr w:type="spellEnd"/>
      <w:r w:rsidRPr="00F832F8">
        <w:t xml:space="preserve"> arba </w:t>
      </w:r>
      <w:proofErr w:type="spellStart"/>
      <w:r w:rsidRPr="00F832F8">
        <w:t>pasireotidą</w:t>
      </w:r>
      <w:proofErr w:type="spellEnd"/>
      <w:r w:rsidRPr="00F832F8">
        <w:t xml:space="preserve"> pagal neregistruotą indikaciją.</w:t>
      </w:r>
    </w:p>
    <w:p w14:paraId="0077DC14" w14:textId="77777777" w:rsidR="00AC33D8" w:rsidRPr="00F832F8" w:rsidRDefault="00AC33D8" w:rsidP="00AC33D8">
      <w:pPr>
        <w:tabs>
          <w:tab w:val="left" w:pos="426"/>
        </w:tabs>
        <w:spacing w:line="276" w:lineRule="auto"/>
        <w:jc w:val="both"/>
      </w:pPr>
      <w:r w:rsidRPr="00F832F8">
        <w:tab/>
      </w:r>
      <w:r w:rsidRPr="00F832F8">
        <w:tab/>
        <w:t xml:space="preserve">Nesant </w:t>
      </w:r>
      <w:proofErr w:type="spellStart"/>
      <w:r w:rsidRPr="00F832F8">
        <w:t>karcinoido</w:t>
      </w:r>
      <w:proofErr w:type="spellEnd"/>
      <w:r w:rsidRPr="00F832F8">
        <w:t xml:space="preserve"> sindromo, GEP-NEN gydymas priklauso nuo naviko lokalizacijos. Mažo ir vidutinio piktybiškumo (G1 – G2) lėtai augančius plonosios žarnos </w:t>
      </w:r>
      <w:proofErr w:type="spellStart"/>
      <w:r w:rsidRPr="00F832F8">
        <w:t>somatostatino</w:t>
      </w:r>
      <w:proofErr w:type="spellEnd"/>
      <w:r w:rsidRPr="00F832F8">
        <w:t xml:space="preserve"> receptoriams teigiamus navikus rekomenduojama pradėti gydyti SSA, nepasiekus efekto – PPRT arba </w:t>
      </w:r>
      <w:proofErr w:type="spellStart"/>
      <w:r w:rsidRPr="00F832F8">
        <w:t>everolimuzu</w:t>
      </w:r>
      <w:proofErr w:type="spellEnd"/>
      <w:r w:rsidRPr="00F832F8">
        <w:t xml:space="preserve">. Gerai diferencijuotų P-NEN strategija priklauso nuo jų piktybiškumo laipsnio ir naviko augimo greičio. Esant mažo piktybiškumo (G1) navikui arba lėtam jo augimui, pirmos eilės gydymas yra SSA, antros eilės – </w:t>
      </w:r>
      <w:proofErr w:type="spellStart"/>
      <w:r w:rsidRPr="00F832F8">
        <w:t>streptozotocino</w:t>
      </w:r>
      <w:proofErr w:type="spellEnd"/>
      <w:r w:rsidRPr="00F832F8">
        <w:t xml:space="preserve"> ir 5-fluoruracilo ar </w:t>
      </w:r>
      <w:proofErr w:type="spellStart"/>
      <w:r w:rsidRPr="00F832F8">
        <w:t>kapecitabino</w:t>
      </w:r>
      <w:proofErr w:type="spellEnd"/>
      <w:r w:rsidRPr="00F832F8">
        <w:t xml:space="preserve"> ir </w:t>
      </w:r>
      <w:proofErr w:type="spellStart"/>
      <w:r w:rsidRPr="00F832F8">
        <w:t>temozolomido</w:t>
      </w:r>
      <w:proofErr w:type="spellEnd"/>
      <w:r w:rsidRPr="00F832F8">
        <w:t xml:space="preserve"> deriniai, </w:t>
      </w:r>
      <w:proofErr w:type="spellStart"/>
      <w:r w:rsidRPr="00F832F8">
        <w:t>everolimuzas</w:t>
      </w:r>
      <w:proofErr w:type="spellEnd"/>
      <w:r w:rsidRPr="00F832F8">
        <w:t xml:space="preserve"> arba </w:t>
      </w:r>
      <w:proofErr w:type="spellStart"/>
      <w:r w:rsidRPr="00F832F8">
        <w:t>sunitinibas</w:t>
      </w:r>
      <w:proofErr w:type="spellEnd"/>
      <w:r w:rsidRPr="00F832F8">
        <w:t>, trečios eilės – PPRT. Vidutinio piktybiškumo (G2) atveju schema išlieka panaši, tačiau nebeskiriami SSA ir pradedama nuo minėto antros pakopos gydymo.</w:t>
      </w:r>
    </w:p>
    <w:p w14:paraId="11429FF2" w14:textId="4D0F8C7D" w:rsidR="00AC33D8" w:rsidRPr="00F832F8" w:rsidRDefault="00AC33D8" w:rsidP="00AC33D8">
      <w:pPr>
        <w:pStyle w:val="Sraopastraipa"/>
        <w:spacing w:after="120" w:line="276" w:lineRule="auto"/>
        <w:ind w:left="0"/>
        <w:contextualSpacing w:val="0"/>
        <w:jc w:val="both"/>
      </w:pPr>
      <w:r w:rsidRPr="00F832F8">
        <w:tab/>
        <w:t>Šiuo metu Lietuvoje GEP-NEN gydymą reglamentuojančio dokumento nėra, tačiau SSA (</w:t>
      </w:r>
      <w:proofErr w:type="spellStart"/>
      <w:r w:rsidRPr="00F832F8">
        <w:rPr>
          <w:bCs/>
          <w:iCs/>
          <w:lang w:eastAsia="lt-LT"/>
        </w:rPr>
        <w:t>oktreotidas</w:t>
      </w:r>
      <w:proofErr w:type="spellEnd"/>
      <w:r w:rsidRPr="00F832F8">
        <w:rPr>
          <w:bCs/>
          <w:iCs/>
          <w:lang w:eastAsia="lt-LT"/>
        </w:rPr>
        <w:t xml:space="preserve"> ir </w:t>
      </w:r>
      <w:proofErr w:type="spellStart"/>
      <w:r w:rsidRPr="00F832F8">
        <w:rPr>
          <w:bCs/>
          <w:iCs/>
          <w:lang w:eastAsia="lt-LT"/>
        </w:rPr>
        <w:t>lanreotidas</w:t>
      </w:r>
      <w:proofErr w:type="spellEnd"/>
      <w:r w:rsidRPr="00F832F8">
        <w:rPr>
          <w:bCs/>
          <w:iCs/>
          <w:lang w:eastAsia="lt-LT"/>
        </w:rPr>
        <w:t xml:space="preserve">; </w:t>
      </w:r>
      <w:r w:rsidRPr="00F832F8">
        <w:rPr>
          <w:color w:val="000000"/>
          <w:lang w:eastAsia="lt-LT"/>
        </w:rPr>
        <w:t xml:space="preserve">skiriami gydytojų </w:t>
      </w:r>
      <w:proofErr w:type="spellStart"/>
      <w:r w:rsidRPr="00F832F8">
        <w:rPr>
          <w:color w:val="000000"/>
          <w:lang w:eastAsia="lt-LT"/>
        </w:rPr>
        <w:t>chemoterapeutų</w:t>
      </w:r>
      <w:proofErr w:type="spellEnd"/>
      <w:r w:rsidRPr="00F832F8">
        <w:rPr>
          <w:color w:val="000000"/>
          <w:lang w:eastAsia="lt-LT"/>
        </w:rPr>
        <w:t xml:space="preserve"> konsiliumo sprendimu pacientams, kurių ECOG </w:t>
      </w:r>
      <w:r w:rsidRPr="00F832F8">
        <w:rPr>
          <w:noProof/>
          <w:color w:val="000000"/>
          <w:position w:val="-4"/>
          <w:lang w:eastAsia="lt-LT"/>
        </w:rPr>
        <w:drawing>
          <wp:inline distT="0" distB="0" distL="0" distR="0" wp14:anchorId="05180D75" wp14:editId="06C9053E">
            <wp:extent cx="120650" cy="1504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150495"/>
                    </a:xfrm>
                    <a:prstGeom prst="rect">
                      <a:avLst/>
                    </a:prstGeom>
                    <a:noFill/>
                    <a:ln>
                      <a:noFill/>
                    </a:ln>
                  </pic:spPr>
                </pic:pic>
              </a:graphicData>
            </a:graphic>
          </wp:inline>
        </w:drawing>
      </w:r>
      <w:r w:rsidRPr="00F832F8">
        <w:rPr>
          <w:color w:val="000000"/>
          <w:lang w:eastAsia="lt-LT"/>
        </w:rPr>
        <w:t xml:space="preserve"> 2, tik </w:t>
      </w:r>
      <w:proofErr w:type="spellStart"/>
      <w:r w:rsidRPr="00F832F8">
        <w:rPr>
          <w:color w:val="000000"/>
          <w:lang w:eastAsia="lt-LT"/>
        </w:rPr>
        <w:t>histologiškai</w:t>
      </w:r>
      <w:proofErr w:type="spellEnd"/>
      <w:r w:rsidRPr="00F832F8">
        <w:rPr>
          <w:color w:val="000000"/>
          <w:lang w:eastAsia="lt-LT"/>
        </w:rPr>
        <w:t xml:space="preserve"> patvirtinus </w:t>
      </w:r>
      <w:proofErr w:type="spellStart"/>
      <w:r w:rsidRPr="00F832F8">
        <w:rPr>
          <w:color w:val="000000"/>
          <w:lang w:eastAsia="lt-LT"/>
        </w:rPr>
        <w:t>neuroendokrininį</w:t>
      </w:r>
      <w:proofErr w:type="spellEnd"/>
      <w:r w:rsidRPr="00F832F8">
        <w:rPr>
          <w:color w:val="000000"/>
          <w:lang w:eastAsia="lt-LT"/>
        </w:rPr>
        <w:t xml:space="preserve"> naviką</w:t>
      </w:r>
      <w:r w:rsidRPr="00DE1992">
        <w:rPr>
          <w:color w:val="000000"/>
          <w:lang w:eastAsia="lt-LT"/>
        </w:rPr>
        <w:t xml:space="preserve">; TLK10 – AM kodai: C16–C20, C25, C37, C73, C74, C78, C80), </w:t>
      </w:r>
      <w:proofErr w:type="spellStart"/>
      <w:r w:rsidRPr="00DE1992">
        <w:rPr>
          <w:color w:val="000000"/>
          <w:lang w:eastAsia="lt-LT"/>
        </w:rPr>
        <w:t>everolimuzas</w:t>
      </w:r>
      <w:proofErr w:type="spellEnd"/>
      <w:r w:rsidRPr="00F832F8">
        <w:rPr>
          <w:color w:val="000000"/>
          <w:lang w:eastAsia="lt-LT"/>
        </w:rPr>
        <w:t xml:space="preserve"> (TLK10 – AM kodas: C25) ir </w:t>
      </w:r>
      <w:proofErr w:type="spellStart"/>
      <w:r w:rsidRPr="00F832F8">
        <w:rPr>
          <w:color w:val="000000"/>
          <w:lang w:eastAsia="lt-LT"/>
        </w:rPr>
        <w:t>sunitinibas</w:t>
      </w:r>
      <w:proofErr w:type="spellEnd"/>
      <w:r w:rsidRPr="00F832F8">
        <w:rPr>
          <w:color w:val="000000"/>
          <w:lang w:eastAsia="lt-LT"/>
        </w:rPr>
        <w:t xml:space="preserve"> (TLK10 – AM kodai: </w:t>
      </w:r>
      <w:r w:rsidRPr="00F832F8">
        <w:t>C15–C20, C25)</w:t>
      </w:r>
      <w:r w:rsidRPr="00F832F8">
        <w:rPr>
          <w:color w:val="000000"/>
          <w:lang w:eastAsia="lt-LT"/>
        </w:rPr>
        <w:t xml:space="preserve"> yra įtraukti į kompensuojamųjų vaistų sąrašą. Vaistiniai preparatai yra apmokami iš PSDF lėšų ir skiriami numatytam pacientų pogrupiui gydyti, todėl laikytina, kad tai yra Lietuvos klinikinėje praktikoje taikomas gydymo metodas.</w:t>
      </w:r>
    </w:p>
    <w:p w14:paraId="069831A8" w14:textId="77777777" w:rsidR="00F857A3" w:rsidRPr="00F832F8" w:rsidRDefault="00F857A3" w:rsidP="00AC33D8">
      <w:pPr>
        <w:widowControl w:val="0"/>
        <w:spacing w:line="276" w:lineRule="auto"/>
        <w:jc w:val="both"/>
        <w:rPr>
          <w:bCs/>
          <w:i/>
          <w:iCs/>
          <w:color w:val="000000"/>
          <w:lang w:eastAsia="lt-LT"/>
        </w:rPr>
      </w:pPr>
    </w:p>
    <w:p w14:paraId="1C7E1FCF" w14:textId="6B646C36" w:rsidR="00AC33D8" w:rsidRPr="00F832F8" w:rsidRDefault="00AC33D8" w:rsidP="00AC33D8">
      <w:pPr>
        <w:widowControl w:val="0"/>
        <w:spacing w:line="276" w:lineRule="auto"/>
        <w:jc w:val="both"/>
        <w:rPr>
          <w:bCs/>
          <w:color w:val="000000"/>
          <w:lang w:eastAsia="lt-LT"/>
        </w:rPr>
      </w:pPr>
      <w:r w:rsidRPr="00F832F8">
        <w:rPr>
          <w:bCs/>
          <w:i/>
          <w:iCs/>
          <w:color w:val="000000"/>
          <w:lang w:eastAsia="lt-LT"/>
        </w:rPr>
        <w:t>Tiesioginis palyginimas</w:t>
      </w:r>
    </w:p>
    <w:p w14:paraId="159DBDE0" w14:textId="335A7C56" w:rsidR="00AC33D8" w:rsidRPr="00DE1992" w:rsidRDefault="00AC33D8" w:rsidP="00AC33D8">
      <w:pPr>
        <w:widowControl w:val="0"/>
        <w:spacing w:line="276" w:lineRule="auto"/>
        <w:jc w:val="both"/>
      </w:pPr>
      <w:r w:rsidRPr="00F832F8">
        <w:rPr>
          <w:bCs/>
          <w:color w:val="000000"/>
          <w:lang w:eastAsia="lt-LT"/>
        </w:rPr>
        <w:tab/>
        <w:t xml:space="preserve">Klinikinis vertinimas buvo atliktas pagal paraiškoje pateiktą klinikinį tyrimą NETTER-1. NETTER-1 tyrime įrodyta, jog pacientams, kuriems </w:t>
      </w:r>
      <w:r w:rsidRPr="00F832F8">
        <w:rPr>
          <w:rFonts w:eastAsia="Arial"/>
          <w:bCs/>
        </w:rPr>
        <w:t xml:space="preserve">buvo nustatyti progresuojantys, </w:t>
      </w:r>
      <w:proofErr w:type="spellStart"/>
      <w:r w:rsidRPr="00F832F8">
        <w:rPr>
          <w:rFonts w:eastAsia="Arial"/>
          <w:bCs/>
        </w:rPr>
        <w:t>histologiškai</w:t>
      </w:r>
      <w:proofErr w:type="spellEnd"/>
      <w:r w:rsidRPr="00F832F8">
        <w:rPr>
          <w:rFonts w:eastAsia="Arial"/>
          <w:bCs/>
        </w:rPr>
        <w:t xml:space="preserve"> verifikuoti, gerai diferencijuoti, </w:t>
      </w:r>
      <w:proofErr w:type="spellStart"/>
      <w:r w:rsidRPr="00F832F8">
        <w:t>somatostatino</w:t>
      </w:r>
      <w:proofErr w:type="spellEnd"/>
      <w:r w:rsidRPr="00F832F8">
        <w:t xml:space="preserve"> receptoriams teigiami, </w:t>
      </w:r>
      <w:proofErr w:type="spellStart"/>
      <w:r w:rsidRPr="00F832F8">
        <w:rPr>
          <w:rFonts w:eastAsia="Arial"/>
          <w:bCs/>
        </w:rPr>
        <w:t>nerezekuojami</w:t>
      </w:r>
      <w:proofErr w:type="spellEnd"/>
      <w:r w:rsidRPr="00F832F8">
        <w:rPr>
          <w:rFonts w:eastAsia="Arial"/>
          <w:bCs/>
        </w:rPr>
        <w:t xml:space="preserve"> ar </w:t>
      </w:r>
      <w:proofErr w:type="spellStart"/>
      <w:r w:rsidRPr="00F832F8">
        <w:rPr>
          <w:rFonts w:eastAsia="Arial"/>
          <w:bCs/>
        </w:rPr>
        <w:t>metastazavę</w:t>
      </w:r>
      <w:proofErr w:type="spellEnd"/>
      <w:r w:rsidRPr="00F832F8">
        <w:rPr>
          <w:rFonts w:eastAsia="Arial"/>
          <w:bCs/>
        </w:rPr>
        <w:t xml:space="preserve"> vidurinės (angl. </w:t>
      </w:r>
      <w:proofErr w:type="spellStart"/>
      <w:r w:rsidRPr="00F832F8">
        <w:rPr>
          <w:rFonts w:eastAsia="Arial"/>
          <w:bCs/>
          <w:i/>
          <w:iCs/>
        </w:rPr>
        <w:t>midgut</w:t>
      </w:r>
      <w:proofErr w:type="spellEnd"/>
      <w:r w:rsidRPr="00F832F8">
        <w:rPr>
          <w:rFonts w:eastAsia="Arial"/>
          <w:bCs/>
        </w:rPr>
        <w:t xml:space="preserve">) – plonosios žarnos, aklosios žarnos ir dešiniosios storosios žarnos dalies – vamzdelio dalies NEN, gydymą </w:t>
      </w:r>
      <w:proofErr w:type="spellStart"/>
      <w:r w:rsidRPr="00F832F8">
        <w:rPr>
          <w:rFonts w:eastAsia="Arial"/>
          <w:bCs/>
        </w:rPr>
        <w:t>oktreotidu</w:t>
      </w:r>
      <w:proofErr w:type="spellEnd"/>
      <w:r w:rsidRPr="00F832F8">
        <w:rPr>
          <w:rFonts w:eastAsia="Arial"/>
          <w:bCs/>
        </w:rPr>
        <w:t xml:space="preserve"> papildžius, lyginant su padidintomis </w:t>
      </w:r>
      <w:proofErr w:type="spellStart"/>
      <w:r w:rsidRPr="00F832F8">
        <w:rPr>
          <w:rFonts w:eastAsia="Arial"/>
          <w:bCs/>
        </w:rPr>
        <w:t>oktreotido</w:t>
      </w:r>
      <w:proofErr w:type="spellEnd"/>
      <w:r w:rsidRPr="00F832F8">
        <w:rPr>
          <w:rFonts w:eastAsia="Arial"/>
          <w:bCs/>
        </w:rPr>
        <w:t xml:space="preserve"> dozėmis: skiriant </w:t>
      </w:r>
      <w:r w:rsidRPr="00F832F8">
        <w:rPr>
          <w:vertAlign w:val="superscript"/>
        </w:rPr>
        <w:t>177</w:t>
      </w:r>
      <w:r w:rsidRPr="00F832F8">
        <w:t xml:space="preserve">Lu </w:t>
      </w:r>
      <w:proofErr w:type="spellStart"/>
      <w:r w:rsidRPr="00F832F8">
        <w:t>oksodotreotidą</w:t>
      </w:r>
      <w:proofErr w:type="spellEnd"/>
      <w:r w:rsidRPr="00F832F8">
        <w:t xml:space="preserve"> ir mažesnės </w:t>
      </w:r>
      <w:proofErr w:type="spellStart"/>
      <w:r w:rsidRPr="00F832F8">
        <w:t>oktreotido</w:t>
      </w:r>
      <w:proofErr w:type="spellEnd"/>
      <w:r w:rsidRPr="00F832F8">
        <w:t xml:space="preserve"> dozes, pacientų </w:t>
      </w:r>
      <w:proofErr w:type="spellStart"/>
      <w:r w:rsidRPr="00F832F8">
        <w:t>išgyvenamumas</w:t>
      </w:r>
      <w:proofErr w:type="spellEnd"/>
      <w:r w:rsidRPr="00F832F8">
        <w:t xml:space="preserve"> be ligos progresavimo buvo 79% mažesnė nei skiriant padidintas </w:t>
      </w:r>
      <w:proofErr w:type="spellStart"/>
      <w:r w:rsidRPr="00F832F8">
        <w:t>oktreotido</w:t>
      </w:r>
      <w:proofErr w:type="spellEnd"/>
      <w:r w:rsidRPr="00F832F8">
        <w:t xml:space="preserve"> (RS=0,21 [95% PI 0,13 – 0,33], </w:t>
      </w:r>
      <w:r w:rsidR="00F65741" w:rsidRPr="00F832F8">
        <w:t>p&lt;</w:t>
      </w:r>
      <w:r w:rsidRPr="00F832F8">
        <w:t>0,001).</w:t>
      </w:r>
    </w:p>
    <w:p w14:paraId="5F89ED79" w14:textId="2DA22145" w:rsidR="00AC33D8" w:rsidRPr="00F832F8" w:rsidRDefault="00AC33D8" w:rsidP="00AC33D8">
      <w:pPr>
        <w:tabs>
          <w:tab w:val="left" w:pos="426"/>
        </w:tabs>
        <w:spacing w:line="276" w:lineRule="auto"/>
        <w:jc w:val="both"/>
      </w:pPr>
      <w:r w:rsidRPr="00F832F8">
        <w:tab/>
      </w:r>
      <w:r w:rsidRPr="00F832F8">
        <w:tab/>
        <w:t xml:space="preserve">Vertinant svarbiausias NETTER-1 tyrimo antrines vertinamąsias baigtis, pacientų mirties nuo bet kokios priežasties rizika tarpinėje buvo 51% mažesnė (RS=0,49 [95% PI 0,30–0,80], </w:t>
      </w:r>
      <w:r w:rsidR="00F65741" w:rsidRPr="00F832F8">
        <w:t>p=</w:t>
      </w:r>
      <w:r w:rsidRPr="00F832F8">
        <w:t xml:space="preserve">0,0033) </w:t>
      </w:r>
      <w:r w:rsidRPr="00F832F8">
        <w:lastRenderedPageBreak/>
        <w:t xml:space="preserve">skiriant </w:t>
      </w:r>
      <w:r w:rsidRPr="00F832F8">
        <w:rPr>
          <w:vertAlign w:val="superscript"/>
        </w:rPr>
        <w:t>177</w:t>
      </w:r>
      <w:r w:rsidRPr="00F832F8">
        <w:t xml:space="preserve">Lu </w:t>
      </w:r>
      <w:proofErr w:type="spellStart"/>
      <w:r w:rsidRPr="00F832F8">
        <w:t>oksodotreotidą</w:t>
      </w:r>
      <w:proofErr w:type="spellEnd"/>
      <w:r w:rsidRPr="00F832F8">
        <w:t xml:space="preserve">. Pareiškėjas paraiškos vertinimo laikotarpiu pateikė NETTER-1 galutinius bendrojo </w:t>
      </w:r>
      <w:proofErr w:type="spellStart"/>
      <w:r w:rsidRPr="00F832F8">
        <w:t>išgyvenamumo</w:t>
      </w:r>
      <w:proofErr w:type="spellEnd"/>
      <w:r w:rsidRPr="00F832F8">
        <w:t xml:space="preserve"> (BI) duomenis. Pacientų mirties nuo bet kokios priežasties rizika galutinėje analizėje tarp </w:t>
      </w:r>
      <w:r w:rsidRPr="00F832F8">
        <w:rPr>
          <w:vertAlign w:val="superscript"/>
        </w:rPr>
        <w:t>177</w:t>
      </w:r>
      <w:r w:rsidRPr="00F832F8">
        <w:t xml:space="preserve">Lu </w:t>
      </w:r>
      <w:proofErr w:type="spellStart"/>
      <w:r w:rsidRPr="00F832F8">
        <w:t>oksodotreotidą</w:t>
      </w:r>
      <w:proofErr w:type="spellEnd"/>
      <w:r w:rsidRPr="00F832F8">
        <w:t xml:space="preserve"> ir </w:t>
      </w:r>
      <w:proofErr w:type="spellStart"/>
      <w:r w:rsidRPr="00F832F8">
        <w:t>oktreotido</w:t>
      </w:r>
      <w:proofErr w:type="spellEnd"/>
      <w:r w:rsidRPr="00F832F8">
        <w:t xml:space="preserve"> grupių nesiskyrė (RS=0,73 [95% PI 0,40–1,34]). BI mediana </w:t>
      </w:r>
      <w:r w:rsidRPr="00F832F8">
        <w:rPr>
          <w:vertAlign w:val="superscript"/>
        </w:rPr>
        <w:t>177</w:t>
      </w:r>
      <w:r w:rsidRPr="00F832F8">
        <w:t xml:space="preserve">Lu </w:t>
      </w:r>
      <w:proofErr w:type="spellStart"/>
      <w:r w:rsidRPr="00F832F8">
        <w:t>oksodotreotido</w:t>
      </w:r>
      <w:proofErr w:type="spellEnd"/>
      <w:r w:rsidRPr="00F832F8">
        <w:t xml:space="preserve"> grupėje buvo 48,0 mėnesiai (95% PI 37,4 – 55,2), </w:t>
      </w:r>
      <w:proofErr w:type="spellStart"/>
      <w:r w:rsidRPr="00F832F8">
        <w:t>oktreotido</w:t>
      </w:r>
      <w:proofErr w:type="spellEnd"/>
      <w:r w:rsidRPr="00F832F8">
        <w:t xml:space="preserve"> – 36,3 mėnesiai (95% PI 25,9 – 51,7).</w:t>
      </w:r>
      <w:r w:rsidRPr="00F832F8">
        <w:rPr>
          <w:iCs/>
        </w:rPr>
        <w:t xml:space="preserve"> Įvertinus ligos epidemiologinius (GEP-NEN priskiriami retoms ligoms, </w:t>
      </w:r>
      <w:r w:rsidRPr="00F832F8">
        <w:t xml:space="preserve">išplitusių NEN atvejais </w:t>
      </w:r>
      <w:proofErr w:type="spellStart"/>
      <w:r w:rsidRPr="00F832F8">
        <w:t>išgyvenamumas</w:t>
      </w:r>
      <w:proofErr w:type="spellEnd"/>
      <w:r w:rsidRPr="00F832F8">
        <w:t xml:space="preserve"> yra 12 mėnesių) ir klinikinius (nustatytas statistiškai reikšmingas IBLP prailgėjimas, pirminėje ir antrinėje tarpinėse BI analizėse nustatyta statistiškai reikšmingai mažesnė mirties rizika, galutinėje BI analizėje – 11,7 mėnesių ilgesnė BI mediana skiriant </w:t>
      </w:r>
      <w:r w:rsidRPr="00F832F8">
        <w:rPr>
          <w:vertAlign w:val="superscript"/>
        </w:rPr>
        <w:t>177</w:t>
      </w:r>
      <w:r w:rsidRPr="00F832F8">
        <w:t xml:space="preserve">Lu </w:t>
      </w:r>
      <w:proofErr w:type="spellStart"/>
      <w:r w:rsidRPr="00F832F8">
        <w:t>oksodotreotidą</w:t>
      </w:r>
      <w:proofErr w:type="spellEnd"/>
      <w:r w:rsidRPr="00F832F8">
        <w:t xml:space="preserve"> ir palaikomąsias SSA dozes, lyginant su didesnėmis SSA dozėmis) duomenis, šis skirtumas traktuojamas kaip kliniškai reikšmingas, nors statistinis reikšmingumas nebuvo pasiektas.</w:t>
      </w:r>
    </w:p>
    <w:p w14:paraId="49683683" w14:textId="0F0B03FA" w:rsidR="00AC33D8" w:rsidRPr="00F832F8" w:rsidRDefault="00AC33D8" w:rsidP="00AC33D8">
      <w:pPr>
        <w:tabs>
          <w:tab w:val="left" w:pos="426"/>
        </w:tabs>
        <w:spacing w:line="276" w:lineRule="auto"/>
        <w:jc w:val="both"/>
      </w:pPr>
      <w:r w:rsidRPr="00F832F8">
        <w:tab/>
      </w:r>
      <w:r w:rsidRPr="00F832F8">
        <w:tab/>
        <w:t xml:space="preserve">Vertinant naviko objektyvų atsaką į gydymą, skiriant </w:t>
      </w:r>
      <w:r w:rsidRPr="00F832F8">
        <w:rPr>
          <w:vertAlign w:val="superscript"/>
        </w:rPr>
        <w:t>177</w:t>
      </w:r>
      <w:r w:rsidRPr="00F832F8">
        <w:t xml:space="preserve">Lu </w:t>
      </w:r>
      <w:proofErr w:type="spellStart"/>
      <w:r w:rsidRPr="00F832F8">
        <w:t>oksodotreotidą</w:t>
      </w:r>
      <w:proofErr w:type="spellEnd"/>
      <w:r w:rsidRPr="00F832F8">
        <w:t xml:space="preserve"> dalinis ar pilnas atsakas nustatytas šešis kartus dažniau nei vartojant padidintas </w:t>
      </w:r>
      <w:proofErr w:type="spellStart"/>
      <w:r w:rsidRPr="00F832F8">
        <w:t>oktreotido</w:t>
      </w:r>
      <w:proofErr w:type="spellEnd"/>
      <w:r w:rsidRPr="00F832F8">
        <w:t xml:space="preserve"> dozes (</w:t>
      </w:r>
      <w:r w:rsidR="00F65741" w:rsidRPr="00F832F8">
        <w:t>p&lt;</w:t>
      </w:r>
      <w:r w:rsidRPr="00F832F8">
        <w:t xml:space="preserve">0,001). Atsako trukmė taip pat buvo ilgesnė </w:t>
      </w:r>
      <w:r w:rsidRPr="00F832F8">
        <w:rPr>
          <w:vertAlign w:val="superscript"/>
        </w:rPr>
        <w:t>177</w:t>
      </w:r>
      <w:r w:rsidRPr="00F832F8">
        <w:t xml:space="preserve">Lu </w:t>
      </w:r>
      <w:proofErr w:type="spellStart"/>
      <w:r w:rsidRPr="00F832F8">
        <w:t>oksodotreotido</w:t>
      </w:r>
      <w:proofErr w:type="spellEnd"/>
      <w:r w:rsidRPr="00F832F8">
        <w:t xml:space="preserve"> grupėje (atitinkamai 6,38±5,24 ir 1,65±1,16 mėnesiai). Pacientų gyvenimo kokybė tarp </w:t>
      </w:r>
      <w:r w:rsidRPr="00F832F8">
        <w:rPr>
          <w:vertAlign w:val="superscript"/>
        </w:rPr>
        <w:t>177</w:t>
      </w:r>
      <w:r w:rsidRPr="00F832F8">
        <w:t xml:space="preserve">Lu </w:t>
      </w:r>
      <w:proofErr w:type="spellStart"/>
      <w:r w:rsidRPr="00F832F8">
        <w:t>oksodotreotido</w:t>
      </w:r>
      <w:proofErr w:type="spellEnd"/>
      <w:r w:rsidRPr="00F832F8">
        <w:t xml:space="preserve"> ir </w:t>
      </w:r>
      <w:proofErr w:type="spellStart"/>
      <w:r w:rsidRPr="00F832F8">
        <w:t>oktreotido</w:t>
      </w:r>
      <w:proofErr w:type="spellEnd"/>
      <w:r w:rsidRPr="00F832F8">
        <w:t xml:space="preserve"> grupių iš statistiškai reikšmingai nesiskyrė. Analizuojant specifinius rodiklius, skiriant </w:t>
      </w:r>
      <w:r w:rsidRPr="00F832F8">
        <w:rPr>
          <w:vertAlign w:val="superscript"/>
        </w:rPr>
        <w:t>177</w:t>
      </w:r>
      <w:r w:rsidRPr="00F832F8">
        <w:t xml:space="preserve">Lu </w:t>
      </w:r>
      <w:proofErr w:type="spellStart"/>
      <w:r w:rsidRPr="00F832F8">
        <w:t>oksodotreotidą</w:t>
      </w:r>
      <w:proofErr w:type="spellEnd"/>
      <w:r w:rsidRPr="00F832F8">
        <w:t xml:space="preserve"> pacientams lėčiau stiprėjo nuovargis (RS 0,62; </w:t>
      </w:r>
      <w:r w:rsidR="00F65741" w:rsidRPr="00F832F8">
        <w:t>p=</w:t>
      </w:r>
      <w:r w:rsidRPr="00F832F8">
        <w:t xml:space="preserve">0,0297), skausmas (RS 0,57; </w:t>
      </w:r>
      <w:r w:rsidR="00F65741" w:rsidRPr="00F832F8">
        <w:t>p=</w:t>
      </w:r>
      <w:r w:rsidRPr="00F832F8">
        <w:t xml:space="preserve">0,0247), su liga susijęs nerimas (RS 0,57; </w:t>
      </w:r>
      <w:r w:rsidR="005D5BE7">
        <w:t>p</w:t>
      </w:r>
      <w:r w:rsidR="00F65741" w:rsidRPr="00F832F8">
        <w:t>=</w:t>
      </w:r>
      <w:r w:rsidRPr="00F832F8">
        <w:t xml:space="preserve">0,0176), nepasitenkinimas savo išvaizda (RS 0,43; </w:t>
      </w:r>
      <w:r w:rsidR="005D5BE7">
        <w:t>p</w:t>
      </w:r>
      <w:r w:rsidR="00F65741" w:rsidRPr="00F832F8">
        <w:t>=</w:t>
      </w:r>
      <w:r w:rsidRPr="00F832F8">
        <w:t xml:space="preserve">0,0058). Bendros sveikatos būklės blogėjimo mediana </w:t>
      </w:r>
      <w:r w:rsidRPr="00F832F8">
        <w:rPr>
          <w:vertAlign w:val="superscript"/>
        </w:rPr>
        <w:t>177</w:t>
      </w:r>
      <w:r w:rsidRPr="00F832F8">
        <w:t xml:space="preserve">Lu </w:t>
      </w:r>
      <w:proofErr w:type="spellStart"/>
      <w:r w:rsidRPr="00F832F8">
        <w:t>oksodotreotido</w:t>
      </w:r>
      <w:proofErr w:type="spellEnd"/>
      <w:r w:rsidRPr="00F832F8">
        <w:t xml:space="preserve"> ir </w:t>
      </w:r>
      <w:proofErr w:type="spellStart"/>
      <w:r w:rsidRPr="00F832F8">
        <w:t>oktreotido</w:t>
      </w:r>
      <w:proofErr w:type="spellEnd"/>
      <w:r w:rsidRPr="00F832F8">
        <w:t xml:space="preserve"> grupėse buvo atitinkamai 28,8 ir 6,1 mėnesiai, fizinio funkcionalumo – 25,2 ir 11,5 mėnesių.</w:t>
      </w:r>
    </w:p>
    <w:p w14:paraId="3E002D96" w14:textId="7EE124EF" w:rsidR="00AC33D8" w:rsidRPr="00F832F8" w:rsidRDefault="00AC33D8" w:rsidP="00AC33D8">
      <w:pPr>
        <w:tabs>
          <w:tab w:val="left" w:pos="492"/>
        </w:tabs>
        <w:spacing w:line="276" w:lineRule="auto"/>
        <w:jc w:val="both"/>
        <w:outlineLvl w:val="1"/>
      </w:pPr>
      <w:r w:rsidRPr="00F832F8">
        <w:tab/>
      </w:r>
      <w:r w:rsidRPr="00F832F8">
        <w:tab/>
        <w:t>Bendrų (</w:t>
      </w:r>
      <w:r w:rsidR="00F65741" w:rsidRPr="00F832F8">
        <w:t>p=</w:t>
      </w:r>
      <w:r w:rsidRPr="00F832F8">
        <w:t>0,02) ir su gydymu susijusių (</w:t>
      </w:r>
      <w:r w:rsidR="00F65741" w:rsidRPr="00F832F8">
        <w:t>p&lt;</w:t>
      </w:r>
      <w:r w:rsidRPr="00F832F8">
        <w:t xml:space="preserve">0,001) nepageidaujamų reiškinių dažnis buvo didesnis skiriant </w:t>
      </w:r>
      <w:r w:rsidRPr="00F832F8">
        <w:rPr>
          <w:vertAlign w:val="superscript"/>
        </w:rPr>
        <w:t>177</w:t>
      </w:r>
      <w:r w:rsidRPr="00F832F8">
        <w:t xml:space="preserve">Lu </w:t>
      </w:r>
      <w:proofErr w:type="spellStart"/>
      <w:r w:rsidRPr="00F832F8">
        <w:t>oksodotreotidą</w:t>
      </w:r>
      <w:proofErr w:type="spellEnd"/>
      <w:r w:rsidRPr="00F832F8">
        <w:t xml:space="preserve">, lyginant su </w:t>
      </w:r>
      <w:proofErr w:type="spellStart"/>
      <w:r w:rsidRPr="00F832F8">
        <w:t>oktreotidu</w:t>
      </w:r>
      <w:proofErr w:type="spellEnd"/>
      <w:r w:rsidRPr="00F832F8">
        <w:t xml:space="preserve">. Vertinant sunkaus laipsnio nepageidaujamus reiškinius, jų daugiau pasireiškė taip pat </w:t>
      </w:r>
      <w:r w:rsidRPr="00F832F8">
        <w:rPr>
          <w:vertAlign w:val="superscript"/>
        </w:rPr>
        <w:t>177</w:t>
      </w:r>
      <w:r w:rsidRPr="00F832F8">
        <w:t xml:space="preserve">Lu </w:t>
      </w:r>
      <w:proofErr w:type="spellStart"/>
      <w:r w:rsidRPr="00F832F8">
        <w:t>oksodotreotido</w:t>
      </w:r>
      <w:proofErr w:type="spellEnd"/>
      <w:r w:rsidRPr="00F832F8">
        <w:t xml:space="preserve"> grupėje (atitinkamai 9% ir 1% pacientų; </w:t>
      </w:r>
      <w:r w:rsidR="00F65741" w:rsidRPr="00F832F8">
        <w:t>p=</w:t>
      </w:r>
      <w:r w:rsidRPr="00F832F8">
        <w:t xml:space="preserve">0,01). Dėl nepageidaujamų reiškinių tyrimo nutraukimo dažnis tarp grupių nesiskyrė. Dažniausi vaistinio preparato nepageidaujami reiškiniai buvo pykinimas ir vėmimas, tačiau apie du trečdaliai atvejų buvo susieti su skiriamomis aminorūgštimis, nes praėjo iškart užbaigus infuziją. Kiti dažni </w:t>
      </w:r>
      <w:r w:rsidR="005D5BE7">
        <w:t xml:space="preserve">nepageidaujami reiškiniai </w:t>
      </w:r>
      <w:r w:rsidRPr="00F832F8">
        <w:t>buvo nuovargis arba silpnumas, pilvo skausmas, viduriavimas. Tyrimo metu reikšmingų saugumo problemų ar įvykių nenustatyta.</w:t>
      </w:r>
    </w:p>
    <w:p w14:paraId="3F0C5DB7" w14:textId="77777777" w:rsidR="00F857A3" w:rsidRPr="00F832F8" w:rsidRDefault="00F857A3" w:rsidP="00AC33D8">
      <w:pPr>
        <w:tabs>
          <w:tab w:val="left" w:pos="426"/>
        </w:tabs>
        <w:spacing w:line="276" w:lineRule="auto"/>
        <w:jc w:val="both"/>
        <w:rPr>
          <w:i/>
          <w:iCs/>
        </w:rPr>
      </w:pPr>
    </w:p>
    <w:p w14:paraId="15BDFED5" w14:textId="413F938D" w:rsidR="00AC33D8" w:rsidRPr="00F832F8" w:rsidRDefault="00AC33D8" w:rsidP="00AC33D8">
      <w:pPr>
        <w:tabs>
          <w:tab w:val="left" w:pos="426"/>
        </w:tabs>
        <w:spacing w:line="276" w:lineRule="auto"/>
        <w:jc w:val="both"/>
        <w:rPr>
          <w:i/>
          <w:iCs/>
        </w:rPr>
      </w:pPr>
      <w:r w:rsidRPr="00F832F8">
        <w:rPr>
          <w:i/>
          <w:iCs/>
        </w:rPr>
        <w:t>Netiesioginis palyginimas</w:t>
      </w:r>
    </w:p>
    <w:p w14:paraId="7466A1C2" w14:textId="77777777" w:rsidR="00AC33D8" w:rsidRPr="00F832F8" w:rsidRDefault="00AC33D8" w:rsidP="00AC33D8">
      <w:pPr>
        <w:spacing w:line="276" w:lineRule="auto"/>
        <w:jc w:val="both"/>
      </w:pPr>
      <w:r w:rsidRPr="00F832F8">
        <w:rPr>
          <w:i/>
          <w:iCs/>
        </w:rPr>
        <w:tab/>
      </w:r>
      <w:r w:rsidRPr="00F832F8">
        <w:t xml:space="preserve">Pareiškėjas nepateikė tiesioginio efektyvumo palyginimo su </w:t>
      </w:r>
      <w:proofErr w:type="spellStart"/>
      <w:r w:rsidRPr="00F832F8">
        <w:t>everolimuzu</w:t>
      </w:r>
      <w:proofErr w:type="spellEnd"/>
      <w:r w:rsidRPr="00F832F8">
        <w:t xml:space="preserve"> ir </w:t>
      </w:r>
      <w:proofErr w:type="spellStart"/>
      <w:r w:rsidRPr="00F832F8">
        <w:t>sunitinibu</w:t>
      </w:r>
      <w:proofErr w:type="spellEnd"/>
      <w:r w:rsidRPr="00F832F8">
        <w:t xml:space="preserve"> gydant pacientus, kuriems nustatytas P-NEN, tačiau atliko netiesioginę koreguotą palyginamąją (angl. </w:t>
      </w:r>
      <w:proofErr w:type="spellStart"/>
      <w:r w:rsidRPr="00F832F8">
        <w:rPr>
          <w:i/>
          <w:iCs/>
        </w:rPr>
        <w:t>matching</w:t>
      </w:r>
      <w:proofErr w:type="spellEnd"/>
      <w:r w:rsidRPr="00F832F8">
        <w:rPr>
          <w:i/>
          <w:iCs/>
        </w:rPr>
        <w:t xml:space="preserve"> </w:t>
      </w:r>
      <w:proofErr w:type="spellStart"/>
      <w:r w:rsidRPr="00F832F8">
        <w:rPr>
          <w:i/>
          <w:iCs/>
        </w:rPr>
        <w:t>adjusted</w:t>
      </w:r>
      <w:proofErr w:type="spellEnd"/>
      <w:r w:rsidRPr="00F832F8">
        <w:rPr>
          <w:i/>
          <w:iCs/>
        </w:rPr>
        <w:t xml:space="preserve"> </w:t>
      </w:r>
      <w:proofErr w:type="spellStart"/>
      <w:r w:rsidRPr="00F832F8">
        <w:rPr>
          <w:i/>
          <w:iCs/>
        </w:rPr>
        <w:t>indirect</w:t>
      </w:r>
      <w:proofErr w:type="spellEnd"/>
      <w:r w:rsidRPr="00F832F8">
        <w:rPr>
          <w:i/>
          <w:iCs/>
        </w:rPr>
        <w:t xml:space="preserve"> </w:t>
      </w:r>
      <w:proofErr w:type="spellStart"/>
      <w:r w:rsidRPr="00F832F8">
        <w:rPr>
          <w:i/>
          <w:iCs/>
        </w:rPr>
        <w:t>comparison</w:t>
      </w:r>
      <w:proofErr w:type="spellEnd"/>
      <w:r w:rsidRPr="00F832F8">
        <w:t>) analizę su geriausiu palaikomuoju gydymu (</w:t>
      </w:r>
      <w:proofErr w:type="spellStart"/>
      <w:r w:rsidRPr="00F832F8">
        <w:t>somatostatino</w:t>
      </w:r>
      <w:proofErr w:type="spellEnd"/>
      <w:r w:rsidRPr="00F832F8">
        <w:t xml:space="preserve"> analogais) kontroliuojamų klinikinių tyrimų (RADIANT-3, RADIANT-4, NCT</w:t>
      </w:r>
      <w:r w:rsidRPr="00F832F8">
        <w:rPr>
          <w:rFonts w:eastAsia="Arial"/>
          <w:bCs/>
        </w:rPr>
        <w:t xml:space="preserve">00428597) ir ilgalaikės stebėsenos tyrimų (ERASMUS) </w:t>
      </w:r>
      <w:r w:rsidRPr="00F832F8">
        <w:t>rezultatais</w:t>
      </w:r>
      <w:r w:rsidRPr="00F832F8">
        <w:rPr>
          <w:rFonts w:eastAsia="Arial"/>
          <w:bCs/>
        </w:rPr>
        <w:t>.</w:t>
      </w:r>
    </w:p>
    <w:p w14:paraId="205895AD" w14:textId="77777777" w:rsidR="00AC33D8" w:rsidRPr="00F832F8" w:rsidRDefault="00AC33D8" w:rsidP="00AC33D8">
      <w:pPr>
        <w:spacing w:line="276" w:lineRule="auto"/>
        <w:jc w:val="both"/>
      </w:pPr>
      <w:r w:rsidRPr="00F832F8">
        <w:rPr>
          <w:rFonts w:eastAsia="Arial"/>
          <w:bCs/>
        </w:rPr>
        <w:tab/>
        <w:t xml:space="preserve">ERASMUS tyrime </w:t>
      </w:r>
      <w:r w:rsidRPr="00F832F8">
        <w:rPr>
          <w:rFonts w:eastAsia="Arial"/>
          <w:bCs/>
          <w:vertAlign w:val="superscript"/>
        </w:rPr>
        <w:t>177</w:t>
      </w:r>
      <w:r w:rsidRPr="00F832F8">
        <w:rPr>
          <w:rFonts w:eastAsia="Arial"/>
          <w:bCs/>
        </w:rPr>
        <w:t xml:space="preserve">Lu </w:t>
      </w:r>
      <w:proofErr w:type="spellStart"/>
      <w:r w:rsidRPr="00F832F8">
        <w:rPr>
          <w:rFonts w:eastAsia="Arial"/>
          <w:bCs/>
        </w:rPr>
        <w:t>oksodotreotidu</w:t>
      </w:r>
      <w:proofErr w:type="spellEnd"/>
      <w:r w:rsidRPr="00F832F8">
        <w:rPr>
          <w:rFonts w:eastAsia="Arial"/>
          <w:bCs/>
        </w:rPr>
        <w:t xml:space="preserve"> gydomų pacientų IBLP </w:t>
      </w:r>
      <w:r w:rsidRPr="00F832F8">
        <w:t>mediana nesiskyrė tarpusavyje ir nuo visų vamzdelių dalių NEN: visų vamzdelių dalių NEN IBLP mediana buvo 29 mėnesiai (95% PI 26–33), vidurinės vamzdelio dalies – 30 mėnesių, P-NEN – 30 mėnesių. BI mediana vidurinės vamzdelio dalies NEN pogrupyje buvo 60 mėnesių (95% PI 52 – 68), P-NEN – 71 mėnesis (95% PI 56 – 86), visoje analizuotoje populiacijoje – 63 mėnesiai (95% PI 55–72).</w:t>
      </w:r>
    </w:p>
    <w:p w14:paraId="0172CD9E" w14:textId="77777777" w:rsidR="00AC33D8" w:rsidRPr="00F832F8" w:rsidRDefault="00AC33D8" w:rsidP="00AC33D8">
      <w:pPr>
        <w:spacing w:line="276" w:lineRule="auto"/>
        <w:jc w:val="both"/>
      </w:pPr>
      <w:r w:rsidRPr="00F832F8">
        <w:tab/>
        <w:t xml:space="preserve">Netiesioginio palyginimo analizėje, esant P-NEN, ligos progresavimo rizika skiriant </w:t>
      </w:r>
      <w:r w:rsidRPr="00F832F8">
        <w:rPr>
          <w:rFonts w:eastAsia="Arial"/>
          <w:bCs/>
          <w:vertAlign w:val="superscript"/>
        </w:rPr>
        <w:t>177</w:t>
      </w:r>
      <w:r w:rsidRPr="00F832F8">
        <w:rPr>
          <w:rFonts w:eastAsia="Arial"/>
          <w:bCs/>
        </w:rPr>
        <w:t xml:space="preserve">Lu </w:t>
      </w:r>
      <w:proofErr w:type="spellStart"/>
      <w:r w:rsidRPr="00F832F8">
        <w:rPr>
          <w:rFonts w:eastAsia="Arial"/>
          <w:bCs/>
        </w:rPr>
        <w:t>oksodotreotidą</w:t>
      </w:r>
      <w:proofErr w:type="spellEnd"/>
      <w:r w:rsidRPr="00F832F8">
        <w:rPr>
          <w:rFonts w:eastAsia="Arial"/>
          <w:bCs/>
        </w:rPr>
        <w:t xml:space="preserve"> </w:t>
      </w:r>
      <w:r w:rsidRPr="00F832F8">
        <w:t xml:space="preserve">buvo </w:t>
      </w:r>
      <w:r w:rsidRPr="00F832F8">
        <w:rPr>
          <w:rFonts w:eastAsia="Arial"/>
          <w:bCs/>
        </w:rPr>
        <w:t xml:space="preserve">atitinkamai 53% (0,47 [95% PI 0,25 – 0,88]) ir 50% (0,50 [95% PI 0,29 – 0,84]) mažesnė, mirties nuo bet kokios priežasties – atitinkamai 48% (0,52 [95% 0,34 – 0,79]) ir 39% mažesnė, lyginant su </w:t>
      </w:r>
      <w:proofErr w:type="spellStart"/>
      <w:r w:rsidRPr="00F832F8">
        <w:rPr>
          <w:rFonts w:eastAsia="Arial"/>
          <w:bCs/>
        </w:rPr>
        <w:t>sunitinibu</w:t>
      </w:r>
      <w:proofErr w:type="spellEnd"/>
      <w:r w:rsidRPr="00F832F8">
        <w:rPr>
          <w:rFonts w:eastAsia="Arial"/>
          <w:bCs/>
        </w:rPr>
        <w:t xml:space="preserve"> bei </w:t>
      </w:r>
      <w:proofErr w:type="spellStart"/>
      <w:r w:rsidRPr="00F832F8">
        <w:rPr>
          <w:rFonts w:eastAsia="Arial"/>
          <w:bCs/>
        </w:rPr>
        <w:t>everolimuzu</w:t>
      </w:r>
      <w:proofErr w:type="spellEnd"/>
      <w:r w:rsidRPr="00F832F8">
        <w:rPr>
          <w:rFonts w:eastAsia="Arial"/>
          <w:bCs/>
        </w:rPr>
        <w:t>.</w:t>
      </w:r>
    </w:p>
    <w:p w14:paraId="08CBBE83" w14:textId="77777777" w:rsidR="002E0B89" w:rsidRPr="00F832F8" w:rsidRDefault="00AC33D8" w:rsidP="00AC33D8">
      <w:pPr>
        <w:tabs>
          <w:tab w:val="left" w:pos="426"/>
        </w:tabs>
        <w:spacing w:line="276" w:lineRule="auto"/>
        <w:jc w:val="both"/>
      </w:pPr>
      <w:r w:rsidRPr="00F832F8">
        <w:rPr>
          <w:rFonts w:eastAsia="Arial"/>
          <w:bCs/>
        </w:rPr>
        <w:tab/>
      </w:r>
      <w:r w:rsidRPr="00F832F8">
        <w:rPr>
          <w:rFonts w:eastAsia="Arial"/>
          <w:bCs/>
        </w:rPr>
        <w:tab/>
        <w:t xml:space="preserve">Atlikus detalųjį vertinimą, įvertinus tyrimo (ERASMUS) metodikos trūkumus, netiesioginio palyginimo analizėje įtrauktų pacientų populiacijų demografinių ir klinikinių charakteristikų </w:t>
      </w:r>
      <w:r w:rsidRPr="00F832F8">
        <w:rPr>
          <w:rFonts w:eastAsia="Arial"/>
          <w:bCs/>
        </w:rPr>
        <w:lastRenderedPageBreak/>
        <w:t>skirtumus, nuspręsta, kad netie</w:t>
      </w:r>
      <w:r w:rsidRPr="00F832F8">
        <w:t xml:space="preserve">sioginio palyginimo tyrimų duomenys netinkami vertinti. Pareiškėjas pateikė atsakymus į esminius </w:t>
      </w:r>
      <w:proofErr w:type="spellStart"/>
      <w:r w:rsidRPr="00F832F8">
        <w:t>prieštaravimus</w:t>
      </w:r>
      <w:proofErr w:type="spellEnd"/>
      <w:r w:rsidRPr="00F832F8">
        <w:t xml:space="preserve">, tačiau, turėdamas galimybę, papildomų duomenų  nepateikė. Tarnybos naujai atliktoje klinikinių duomenų apžvalgoje nustatyta, kad atsirado papildomų įrodymų dėl ankstesnio gydymo </w:t>
      </w:r>
      <w:r w:rsidRPr="00F832F8">
        <w:rPr>
          <w:vertAlign w:val="superscript"/>
        </w:rPr>
        <w:t>177</w:t>
      </w:r>
      <w:r w:rsidRPr="00F832F8">
        <w:t xml:space="preserve">Lu </w:t>
      </w:r>
      <w:proofErr w:type="spellStart"/>
      <w:r w:rsidRPr="00F832F8">
        <w:t>oksodotreotidu</w:t>
      </w:r>
      <w:proofErr w:type="spellEnd"/>
      <w:r w:rsidRPr="00F832F8">
        <w:t xml:space="preserve"> naudos pacientams, sergantiems P-NEN (NETTER-R). NETTER-R tyrimo rezultatai iš esmės atkartojo ERASMUS tyrimo rezultatus: skiriant </w:t>
      </w:r>
      <w:r w:rsidRPr="00F832F8">
        <w:rPr>
          <w:rFonts w:eastAsia="Arial"/>
          <w:bCs/>
          <w:vertAlign w:val="superscript"/>
        </w:rPr>
        <w:t>177</w:t>
      </w:r>
      <w:r w:rsidRPr="00F832F8">
        <w:rPr>
          <w:rFonts w:eastAsia="Arial"/>
          <w:bCs/>
        </w:rPr>
        <w:t xml:space="preserve">Lu </w:t>
      </w:r>
      <w:proofErr w:type="spellStart"/>
      <w:r w:rsidRPr="00F832F8">
        <w:rPr>
          <w:rFonts w:eastAsia="Arial"/>
          <w:bCs/>
        </w:rPr>
        <w:t>oksodotreotidą</w:t>
      </w:r>
      <w:proofErr w:type="spellEnd"/>
      <w:r w:rsidRPr="00F832F8">
        <w:rPr>
          <w:rFonts w:eastAsia="Arial"/>
          <w:bCs/>
        </w:rPr>
        <w:t xml:space="preserve">, IBLP mediana esant P-NEN (blogesnės prognozės navikai) buvo </w:t>
      </w:r>
      <w:r w:rsidRPr="00F832F8">
        <w:t xml:space="preserve">24,8 mėnesiai (95% PI 17,5 – 34,5), BI mediana – 41,4 mėnesis (95% PI 28,6 – 50,2), </w:t>
      </w:r>
      <w:proofErr w:type="spellStart"/>
      <w:r w:rsidRPr="00F832F8">
        <w:t>t.y</w:t>
      </w:r>
      <w:proofErr w:type="spellEnd"/>
      <w:r w:rsidRPr="00F832F8">
        <w:t xml:space="preserve">. tik 6,6 mėnesiais trumpesnė nei esant vidurinės vamzdelio dalies navikams (geresnės prognozės navikai). </w:t>
      </w:r>
    </w:p>
    <w:p w14:paraId="2C46C99E" w14:textId="70B2F5F9" w:rsidR="00AC33D8" w:rsidRPr="00F832F8" w:rsidRDefault="003E2B81" w:rsidP="00AC33D8">
      <w:pPr>
        <w:tabs>
          <w:tab w:val="left" w:pos="426"/>
        </w:tabs>
        <w:spacing w:line="276" w:lineRule="auto"/>
        <w:jc w:val="both"/>
      </w:pPr>
      <w:r w:rsidRPr="00F832F8">
        <w:rPr>
          <w:iCs/>
        </w:rPr>
        <w:tab/>
      </w:r>
      <w:r w:rsidR="00AC33D8" w:rsidRPr="00F832F8">
        <w:rPr>
          <w:iCs/>
        </w:rPr>
        <w:t xml:space="preserve">Įvertinus ligos epidemiologinius (GEP-NEN priskiriami retoms ligoms, </w:t>
      </w:r>
      <w:r w:rsidR="00AC33D8" w:rsidRPr="00F832F8">
        <w:t xml:space="preserve">išplitusių NEN atvejais </w:t>
      </w:r>
      <w:proofErr w:type="spellStart"/>
      <w:r w:rsidR="00AC33D8" w:rsidRPr="00F832F8">
        <w:t>išgyvenamumas</w:t>
      </w:r>
      <w:proofErr w:type="spellEnd"/>
      <w:r w:rsidR="00AC33D8" w:rsidRPr="00F832F8">
        <w:t xml:space="preserve"> yra 12 mėnesių) ir klinikinius (pacientai, kuriems nustatyti </w:t>
      </w:r>
      <w:proofErr w:type="spellStart"/>
      <w:r w:rsidR="00AC33D8" w:rsidRPr="00F832F8">
        <w:t>nerezekuojami</w:t>
      </w:r>
      <w:proofErr w:type="spellEnd"/>
      <w:r w:rsidR="00AC33D8" w:rsidRPr="00F832F8">
        <w:t xml:space="preserve"> ar </w:t>
      </w:r>
      <w:proofErr w:type="spellStart"/>
      <w:r w:rsidR="00AC33D8" w:rsidRPr="00F832F8">
        <w:t>metastazavę</w:t>
      </w:r>
      <w:proofErr w:type="spellEnd"/>
      <w:r w:rsidR="00AC33D8" w:rsidRPr="00F832F8">
        <w:t xml:space="preserve">, progresuojantys, gerai diferencijuoti, </w:t>
      </w:r>
      <w:proofErr w:type="spellStart"/>
      <w:r w:rsidR="00AC33D8" w:rsidRPr="00F832F8">
        <w:t>somatostatino</w:t>
      </w:r>
      <w:proofErr w:type="spellEnd"/>
      <w:r w:rsidR="00AC33D8" w:rsidRPr="00F832F8">
        <w:t xml:space="preserve"> receptoriams teigiami kasos NEN, skiriant </w:t>
      </w:r>
      <w:r w:rsidR="00AC33D8" w:rsidRPr="00F832F8">
        <w:rPr>
          <w:vertAlign w:val="superscript"/>
        </w:rPr>
        <w:t>177</w:t>
      </w:r>
      <w:r w:rsidR="00AC33D8" w:rsidRPr="00F832F8">
        <w:t xml:space="preserve">Lu </w:t>
      </w:r>
      <w:proofErr w:type="spellStart"/>
      <w:r w:rsidR="00AC33D8" w:rsidRPr="00F832F8">
        <w:t>oksodotreotidą</w:t>
      </w:r>
      <w:proofErr w:type="spellEnd"/>
      <w:r w:rsidR="00AC33D8" w:rsidRPr="00F832F8">
        <w:t xml:space="preserve"> išgyvena ~30 mėnesių ilgiau nei prognozuojama ir tik 6 mėnesiai mažiau nei vidurinės vamzdelio dalies NEN) duomenis bei </w:t>
      </w:r>
      <w:r w:rsidR="00AC33D8" w:rsidRPr="0089753D">
        <w:t>Pareiškėjo atsakymu</w:t>
      </w:r>
      <w:r w:rsidR="002E0B89" w:rsidRPr="0089753D">
        <w:t>ose</w:t>
      </w:r>
      <w:r w:rsidR="00AC33D8" w:rsidRPr="0089753D">
        <w:t xml:space="preserve"> į esminius paraiškos </w:t>
      </w:r>
      <w:proofErr w:type="spellStart"/>
      <w:r w:rsidR="00AC33D8" w:rsidRPr="0089753D">
        <w:t>prieštaravimus</w:t>
      </w:r>
      <w:proofErr w:type="spellEnd"/>
      <w:r w:rsidR="002E0B89" w:rsidRPr="0089753D">
        <w:t xml:space="preserve"> pateiktus argumentus (</w:t>
      </w:r>
      <w:r w:rsidR="00AC33D8" w:rsidRPr="0089753D">
        <w:rPr>
          <w:iCs/>
          <w:color w:val="000000" w:themeColor="text1"/>
        </w:rPr>
        <w:t>ribot</w:t>
      </w:r>
      <w:r w:rsidR="002E0B89" w:rsidRPr="0089753D">
        <w:rPr>
          <w:iCs/>
          <w:color w:val="000000" w:themeColor="text1"/>
        </w:rPr>
        <w:t>o</w:t>
      </w:r>
      <w:r w:rsidR="00AC33D8" w:rsidRPr="0089753D">
        <w:rPr>
          <w:iCs/>
          <w:color w:val="000000" w:themeColor="text1"/>
        </w:rPr>
        <w:t>s gydymo pasirinkimo galimybes, maž</w:t>
      </w:r>
      <w:r w:rsidR="002E0B89" w:rsidRPr="0089753D">
        <w:rPr>
          <w:iCs/>
          <w:color w:val="000000" w:themeColor="text1"/>
        </w:rPr>
        <w:t>as</w:t>
      </w:r>
      <w:r w:rsidR="00AC33D8" w:rsidRPr="0089753D">
        <w:rPr>
          <w:iCs/>
          <w:color w:val="000000" w:themeColor="text1"/>
        </w:rPr>
        <w:t xml:space="preserve"> pacientų skaiči</w:t>
      </w:r>
      <w:r w:rsidR="002E0B89" w:rsidRPr="0089753D">
        <w:rPr>
          <w:iCs/>
          <w:color w:val="000000" w:themeColor="text1"/>
        </w:rPr>
        <w:t>us</w:t>
      </w:r>
      <w:r w:rsidR="00AC33D8" w:rsidRPr="0089753D">
        <w:rPr>
          <w:iCs/>
          <w:color w:val="000000" w:themeColor="text1"/>
        </w:rPr>
        <w:t>, dažnai vėlai nustatom</w:t>
      </w:r>
      <w:r w:rsidR="002E0B89" w:rsidRPr="0089753D">
        <w:rPr>
          <w:iCs/>
          <w:color w:val="000000" w:themeColor="text1"/>
        </w:rPr>
        <w:t>a</w:t>
      </w:r>
      <w:r w:rsidR="00AC33D8" w:rsidRPr="0089753D">
        <w:rPr>
          <w:iCs/>
          <w:color w:val="000000" w:themeColor="text1"/>
        </w:rPr>
        <w:t xml:space="preserve"> diagnoz</w:t>
      </w:r>
      <w:r w:rsidR="002E0B89" w:rsidRPr="0089753D">
        <w:rPr>
          <w:iCs/>
          <w:color w:val="000000" w:themeColor="text1"/>
        </w:rPr>
        <w:t>ė</w:t>
      </w:r>
      <w:r w:rsidR="00AC33D8" w:rsidRPr="0089753D">
        <w:rPr>
          <w:iCs/>
          <w:color w:val="000000" w:themeColor="text1"/>
        </w:rPr>
        <w:t>,</w:t>
      </w:r>
      <w:r w:rsidR="002E0B89" w:rsidRPr="0089753D">
        <w:rPr>
          <w:iCs/>
          <w:color w:val="000000" w:themeColor="text1"/>
        </w:rPr>
        <w:t xml:space="preserve"> dėl ko susiduriama su </w:t>
      </w:r>
      <w:r w:rsidR="00AC33D8" w:rsidRPr="0089753D">
        <w:rPr>
          <w:iCs/>
          <w:color w:val="000000" w:themeColor="text1"/>
        </w:rPr>
        <w:t xml:space="preserve">įtraukimo į </w:t>
      </w:r>
      <w:r w:rsidR="002E0B89" w:rsidRPr="0089753D">
        <w:rPr>
          <w:iCs/>
          <w:color w:val="000000" w:themeColor="text1"/>
        </w:rPr>
        <w:t>retų ligų klinikinius tyrimus</w:t>
      </w:r>
      <w:r w:rsidR="00AC33D8" w:rsidRPr="0089753D">
        <w:rPr>
          <w:iCs/>
          <w:color w:val="000000" w:themeColor="text1"/>
        </w:rPr>
        <w:t xml:space="preserve">, įskaitant atitiktį įtraukimo ir </w:t>
      </w:r>
      <w:proofErr w:type="spellStart"/>
      <w:r w:rsidR="00AC33D8" w:rsidRPr="0089753D">
        <w:rPr>
          <w:iCs/>
          <w:color w:val="000000" w:themeColor="text1"/>
        </w:rPr>
        <w:t>neįtraukimo</w:t>
      </w:r>
      <w:proofErr w:type="spellEnd"/>
      <w:r w:rsidR="00AC33D8" w:rsidRPr="0089753D">
        <w:rPr>
          <w:iCs/>
          <w:color w:val="000000" w:themeColor="text1"/>
        </w:rPr>
        <w:t xml:space="preserve"> kriterijams</w:t>
      </w:r>
      <w:r w:rsidR="002E0B89" w:rsidRPr="0089753D">
        <w:rPr>
          <w:iCs/>
          <w:color w:val="000000" w:themeColor="text1"/>
        </w:rPr>
        <w:t>)</w:t>
      </w:r>
      <w:r w:rsidRPr="0089753D">
        <w:rPr>
          <w:iCs/>
          <w:color w:val="000000" w:themeColor="text1"/>
        </w:rPr>
        <w:t>,</w:t>
      </w:r>
      <w:r w:rsidR="00AC33D8" w:rsidRPr="0089753D">
        <w:rPr>
          <w:iCs/>
          <w:color w:val="000000" w:themeColor="text1"/>
        </w:rPr>
        <w:t xml:space="preserve"> </w:t>
      </w:r>
      <w:r w:rsidRPr="0089753D">
        <w:rPr>
          <w:iCs/>
          <w:color w:val="000000" w:themeColor="text1"/>
        </w:rPr>
        <w:t>nutarta, kad</w:t>
      </w:r>
      <w:r w:rsidRPr="0089753D">
        <w:t xml:space="preserve"> šie duomenys gali būti traktuojami kaip kliniškai reikšmingi. Pažymėtina, kad p</w:t>
      </w:r>
      <w:r w:rsidR="00AC33D8" w:rsidRPr="0089753D">
        <w:rPr>
          <w:iCs/>
          <w:color w:val="000000" w:themeColor="text1"/>
        </w:rPr>
        <w:t>latus, realiomis sąlygomis visame pasaulyje surinktų pacientų duomenų rinkinys tyrime ERASMUS patvirtino gerai kontroliuojamo tyrimo NETTER-1 rezultatus.</w:t>
      </w:r>
      <w:r w:rsidR="00AC33D8" w:rsidRPr="00F832F8">
        <w:rPr>
          <w:iCs/>
          <w:color w:val="000000" w:themeColor="text1"/>
        </w:rPr>
        <w:t xml:space="preserve"> Kasos NEN sergančių pacientų rezultatai tyrimo ERASMUS duomenų rinkinyje buvo panašūs, todėl</w:t>
      </w:r>
      <w:r w:rsidR="00802F25" w:rsidRPr="00F832F8">
        <w:rPr>
          <w:iCs/>
          <w:color w:val="000000" w:themeColor="text1"/>
        </w:rPr>
        <w:t xml:space="preserve"> laikoma, kad jų pakanka </w:t>
      </w:r>
      <w:r w:rsidR="00646CF6">
        <w:rPr>
          <w:iCs/>
          <w:color w:val="000000" w:themeColor="text1"/>
        </w:rPr>
        <w:t xml:space="preserve">kasos </w:t>
      </w:r>
      <w:proofErr w:type="spellStart"/>
      <w:r w:rsidR="00646CF6">
        <w:rPr>
          <w:iCs/>
          <w:color w:val="000000" w:themeColor="text1"/>
        </w:rPr>
        <w:t>neuroendokrininio</w:t>
      </w:r>
      <w:proofErr w:type="spellEnd"/>
      <w:r w:rsidR="00802F25" w:rsidRPr="00F832F8">
        <w:rPr>
          <w:iCs/>
          <w:color w:val="000000" w:themeColor="text1"/>
        </w:rPr>
        <w:t xml:space="preserve"> naviko indikacij</w:t>
      </w:r>
      <w:r w:rsidR="00802F25" w:rsidRPr="00DE1992">
        <w:rPr>
          <w:iCs/>
          <w:color w:val="000000" w:themeColor="text1"/>
        </w:rPr>
        <w:t>os pagrįstumui įrodyti</w:t>
      </w:r>
      <w:r w:rsidR="00AC33D8" w:rsidRPr="00F832F8">
        <w:rPr>
          <w:iCs/>
          <w:color w:val="000000" w:themeColor="text1"/>
        </w:rPr>
        <w:t xml:space="preserve"> </w:t>
      </w:r>
    </w:p>
    <w:p w14:paraId="32B1741D" w14:textId="77777777" w:rsidR="00AC33D8" w:rsidRPr="00F832F8" w:rsidRDefault="00AC33D8" w:rsidP="00AC33D8">
      <w:pPr>
        <w:spacing w:line="276" w:lineRule="auto"/>
        <w:jc w:val="both"/>
      </w:pPr>
    </w:p>
    <w:p w14:paraId="5CC046FA" w14:textId="77777777" w:rsidR="00AC33D8" w:rsidRPr="00F832F8" w:rsidRDefault="00AC33D8" w:rsidP="00AC33D8">
      <w:pPr>
        <w:tabs>
          <w:tab w:val="left" w:pos="426"/>
        </w:tabs>
        <w:spacing w:line="276" w:lineRule="auto"/>
        <w:jc w:val="both"/>
        <w:rPr>
          <w:bCs/>
          <w:i/>
          <w:color w:val="000000"/>
          <w:lang w:eastAsia="lt-LT"/>
        </w:rPr>
      </w:pPr>
      <w:proofErr w:type="spellStart"/>
      <w:r w:rsidRPr="00F832F8">
        <w:rPr>
          <w:bCs/>
          <w:i/>
          <w:color w:val="000000"/>
          <w:lang w:eastAsia="lt-LT"/>
        </w:rPr>
        <w:t>Privalumai</w:t>
      </w:r>
      <w:proofErr w:type="spellEnd"/>
      <w:r w:rsidRPr="00F832F8">
        <w:rPr>
          <w:bCs/>
          <w:i/>
          <w:color w:val="000000"/>
          <w:lang w:eastAsia="lt-LT"/>
        </w:rPr>
        <w:t xml:space="preserve"> ir trūkumai</w:t>
      </w:r>
    </w:p>
    <w:p w14:paraId="576FBD1F" w14:textId="77777777" w:rsidR="00AC33D8" w:rsidRPr="00F832F8" w:rsidRDefault="00AC33D8" w:rsidP="00AC33D8">
      <w:pPr>
        <w:tabs>
          <w:tab w:val="left" w:pos="426"/>
        </w:tabs>
        <w:spacing w:line="276" w:lineRule="auto"/>
        <w:jc w:val="both"/>
        <w:rPr>
          <w:iCs/>
        </w:rPr>
      </w:pPr>
      <w:r w:rsidRPr="00F832F8">
        <w:rPr>
          <w:bCs/>
          <w:color w:val="000000"/>
          <w:lang w:eastAsia="lt-LT"/>
        </w:rPr>
        <w:tab/>
      </w:r>
      <w:r w:rsidRPr="00F832F8">
        <w:rPr>
          <w:bCs/>
          <w:color w:val="000000"/>
          <w:lang w:eastAsia="lt-LT"/>
        </w:rPr>
        <w:tab/>
        <w:t xml:space="preserve">Jei vaistinis preparatas būtų įrašytas į kompensavimo sąrašus, gydymo šiuo vaistiniu preparatu taikymas klinikinėje praktikoje galėtų turėti </w:t>
      </w:r>
      <w:proofErr w:type="spellStart"/>
      <w:r w:rsidRPr="00F832F8">
        <w:rPr>
          <w:bCs/>
          <w:color w:val="000000"/>
          <w:lang w:eastAsia="lt-LT"/>
        </w:rPr>
        <w:t>privalumų</w:t>
      </w:r>
      <w:proofErr w:type="spellEnd"/>
      <w:r w:rsidRPr="00F832F8">
        <w:rPr>
          <w:bCs/>
          <w:color w:val="000000"/>
          <w:lang w:eastAsia="lt-LT"/>
        </w:rPr>
        <w:t xml:space="preserve"> ir trūkumų medicininėms paslaugoms ar pacientams.</w:t>
      </w:r>
    </w:p>
    <w:p w14:paraId="74B73DC1" w14:textId="54D81A7D" w:rsidR="00AC33D8" w:rsidRPr="00F832F8" w:rsidRDefault="00AC33D8" w:rsidP="00AC33D8">
      <w:pPr>
        <w:tabs>
          <w:tab w:val="left" w:pos="426"/>
        </w:tabs>
        <w:spacing w:line="276" w:lineRule="auto"/>
        <w:jc w:val="both"/>
        <w:rPr>
          <w:bCs/>
          <w:color w:val="000000"/>
          <w:lang w:eastAsia="lt-LT"/>
        </w:rPr>
      </w:pPr>
      <w:r w:rsidRPr="00F832F8">
        <w:rPr>
          <w:bCs/>
          <w:color w:val="000000"/>
          <w:lang w:eastAsia="lt-LT"/>
        </w:rPr>
        <w:tab/>
      </w:r>
      <w:r w:rsidRPr="00F832F8">
        <w:rPr>
          <w:bCs/>
          <w:color w:val="000000"/>
          <w:lang w:eastAsia="lt-LT"/>
        </w:rPr>
        <w:tab/>
      </w:r>
      <w:proofErr w:type="spellStart"/>
      <w:r w:rsidRPr="00F832F8">
        <w:rPr>
          <w:bCs/>
          <w:color w:val="000000"/>
          <w:u w:val="single"/>
          <w:lang w:eastAsia="lt-LT"/>
        </w:rPr>
        <w:t>Privalumai</w:t>
      </w:r>
      <w:proofErr w:type="spellEnd"/>
      <w:r w:rsidRPr="00F832F8">
        <w:rPr>
          <w:bCs/>
          <w:color w:val="000000"/>
          <w:lang w:eastAsia="lt-LT"/>
        </w:rPr>
        <w:t xml:space="preserve">. Pacientams ir medicinos paslaugoms – </w:t>
      </w:r>
      <w:r w:rsidR="00802F25" w:rsidRPr="00F832F8">
        <w:rPr>
          <w:bCs/>
          <w:color w:val="000000"/>
          <w:lang w:eastAsia="lt-LT"/>
        </w:rPr>
        <w:t xml:space="preserve">veiksmingas </w:t>
      </w:r>
      <w:r w:rsidRPr="00F832F8">
        <w:rPr>
          <w:bCs/>
          <w:color w:val="000000"/>
          <w:lang w:eastAsia="lt-LT"/>
        </w:rPr>
        <w:t>vaistas siaurai pacientų populiacijai, kuriai gydymo alternatyvos yra ribotos.</w:t>
      </w:r>
    </w:p>
    <w:p w14:paraId="34C8F9BE" w14:textId="56902122" w:rsidR="00AC33D8" w:rsidRPr="00F832F8" w:rsidRDefault="00AC33D8" w:rsidP="00AC33D8">
      <w:pPr>
        <w:tabs>
          <w:tab w:val="left" w:pos="426"/>
        </w:tabs>
        <w:spacing w:line="276" w:lineRule="auto"/>
        <w:jc w:val="both"/>
        <w:rPr>
          <w:bCs/>
          <w:color w:val="000000"/>
          <w:lang w:eastAsia="lt-LT"/>
        </w:rPr>
      </w:pPr>
      <w:r w:rsidRPr="00F832F8">
        <w:rPr>
          <w:bCs/>
          <w:color w:val="000000"/>
          <w:lang w:eastAsia="lt-LT"/>
        </w:rPr>
        <w:tab/>
      </w:r>
      <w:r w:rsidRPr="00F832F8">
        <w:rPr>
          <w:bCs/>
          <w:color w:val="000000"/>
          <w:lang w:eastAsia="lt-LT"/>
        </w:rPr>
        <w:tab/>
      </w:r>
      <w:r w:rsidRPr="00F832F8">
        <w:rPr>
          <w:bCs/>
          <w:color w:val="000000"/>
          <w:u w:val="single"/>
          <w:lang w:eastAsia="lt-LT"/>
        </w:rPr>
        <w:t>Trūkumai</w:t>
      </w:r>
      <w:r w:rsidRPr="00F832F8">
        <w:rPr>
          <w:bCs/>
          <w:color w:val="000000"/>
          <w:lang w:eastAsia="lt-LT"/>
        </w:rPr>
        <w:t xml:space="preserve">. Pacientams – </w:t>
      </w:r>
      <w:r w:rsidR="00802F25" w:rsidRPr="00F832F8">
        <w:rPr>
          <w:bCs/>
          <w:color w:val="000000"/>
          <w:lang w:eastAsia="lt-LT"/>
        </w:rPr>
        <w:t>nepageidaujamo vaisinio preparato poveikio rizika (</w:t>
      </w:r>
      <w:r w:rsidRPr="00F832F8">
        <w:rPr>
          <w:bCs/>
          <w:color w:val="000000"/>
          <w:lang w:eastAsia="lt-LT"/>
        </w:rPr>
        <w:t xml:space="preserve">  toksini</w:t>
      </w:r>
      <w:r w:rsidR="00802F25" w:rsidRPr="00F832F8">
        <w:rPr>
          <w:bCs/>
          <w:color w:val="000000"/>
          <w:lang w:eastAsia="lt-LT"/>
        </w:rPr>
        <w:t>s</w:t>
      </w:r>
      <w:r w:rsidRPr="00F832F8">
        <w:rPr>
          <w:bCs/>
          <w:color w:val="000000"/>
          <w:lang w:eastAsia="lt-LT"/>
        </w:rPr>
        <w:t xml:space="preserve"> inkstų pažeidim</w:t>
      </w:r>
      <w:r w:rsidR="00802F25" w:rsidRPr="00F832F8">
        <w:rPr>
          <w:bCs/>
          <w:color w:val="000000"/>
          <w:lang w:eastAsia="lt-LT"/>
        </w:rPr>
        <w:t>as</w:t>
      </w:r>
      <w:r w:rsidRPr="00F832F8">
        <w:rPr>
          <w:bCs/>
          <w:color w:val="000000"/>
          <w:lang w:eastAsia="lt-LT"/>
        </w:rPr>
        <w:t xml:space="preserve"> ir </w:t>
      </w:r>
      <w:proofErr w:type="spellStart"/>
      <w:r w:rsidRPr="00F832F8">
        <w:rPr>
          <w:bCs/>
          <w:color w:val="000000"/>
          <w:lang w:eastAsia="lt-LT"/>
        </w:rPr>
        <w:t>mieloproliferacin</w:t>
      </w:r>
      <w:r w:rsidR="00802F25" w:rsidRPr="00F832F8">
        <w:rPr>
          <w:bCs/>
          <w:color w:val="000000"/>
          <w:lang w:eastAsia="lt-LT"/>
        </w:rPr>
        <w:t>ės</w:t>
      </w:r>
      <w:proofErr w:type="spellEnd"/>
      <w:r w:rsidRPr="00F832F8">
        <w:rPr>
          <w:bCs/>
          <w:color w:val="000000"/>
          <w:lang w:eastAsia="lt-LT"/>
        </w:rPr>
        <w:t xml:space="preserve"> lig</w:t>
      </w:r>
      <w:r w:rsidR="00802F25" w:rsidRPr="00F832F8">
        <w:rPr>
          <w:bCs/>
          <w:color w:val="000000"/>
          <w:lang w:eastAsia="lt-LT"/>
        </w:rPr>
        <w:t>os)</w:t>
      </w:r>
      <w:r w:rsidRPr="00F832F8">
        <w:rPr>
          <w:bCs/>
          <w:color w:val="000000"/>
          <w:lang w:eastAsia="lt-LT"/>
        </w:rPr>
        <w:t xml:space="preserve">. Medicinos paslaugoms – šį vaistinį preparatą gali skirti tik asmenys įgalioti dirbti su </w:t>
      </w:r>
      <w:proofErr w:type="spellStart"/>
      <w:r w:rsidRPr="00F832F8">
        <w:rPr>
          <w:bCs/>
          <w:color w:val="000000"/>
          <w:lang w:eastAsia="lt-LT"/>
        </w:rPr>
        <w:t>radiofarmaciniais</w:t>
      </w:r>
      <w:proofErr w:type="spellEnd"/>
      <w:r w:rsidRPr="00F832F8">
        <w:rPr>
          <w:bCs/>
          <w:color w:val="000000"/>
          <w:lang w:eastAsia="lt-LT"/>
        </w:rPr>
        <w:t xml:space="preserve"> vaistiniais preparatais tam skirtoje klinikinėje aplinkoje.</w:t>
      </w:r>
    </w:p>
    <w:p w14:paraId="1D21C5C4" w14:textId="77777777" w:rsidR="00AC33D8" w:rsidRPr="00F832F8" w:rsidRDefault="00AC33D8" w:rsidP="00AC33D8">
      <w:pPr>
        <w:widowControl w:val="0"/>
        <w:spacing w:line="276" w:lineRule="auto"/>
        <w:ind w:firstLine="720"/>
        <w:jc w:val="both"/>
        <w:rPr>
          <w:bCs/>
          <w:color w:val="000000"/>
          <w:lang w:eastAsia="lt-LT"/>
        </w:rPr>
      </w:pPr>
      <w:r w:rsidRPr="00F832F8">
        <w:rPr>
          <w:bCs/>
          <w:color w:val="000000"/>
          <w:u w:val="single"/>
          <w:lang w:eastAsia="lt-LT"/>
        </w:rPr>
        <w:t>Praktinės problemos pacientui ar jo globėjui</w:t>
      </w:r>
      <w:r w:rsidRPr="00F832F8">
        <w:rPr>
          <w:bCs/>
          <w:color w:val="000000"/>
          <w:lang w:eastAsia="lt-LT"/>
        </w:rPr>
        <w:t>: specifinės vaistinio preparato skyrimo sąlygos, sukelia papildomą naštą pacientui ir jo globėjams dėl papildomo poreikio vykti į tretinio lygio gydymo įstaigą.</w:t>
      </w:r>
    </w:p>
    <w:bookmarkEnd w:id="0"/>
    <w:p w14:paraId="2465582B" w14:textId="1FF4C048" w:rsidR="00AC33D8" w:rsidRPr="00F832F8" w:rsidRDefault="00AC33D8" w:rsidP="00AC33D8">
      <w:pPr>
        <w:spacing w:line="276" w:lineRule="auto"/>
        <w:jc w:val="both"/>
      </w:pPr>
      <w:r w:rsidRPr="00F832F8">
        <w:rPr>
          <w:b/>
          <w:bCs/>
          <w:caps/>
        </w:rPr>
        <w:tab/>
      </w:r>
      <w:r w:rsidRPr="00F832F8">
        <w:t xml:space="preserve"> </w:t>
      </w:r>
    </w:p>
    <w:p w14:paraId="47FB23C3" w14:textId="77777777" w:rsidR="00AC33D8" w:rsidRPr="00F832F8" w:rsidRDefault="00AC33D8" w:rsidP="00AC33D8">
      <w:pPr>
        <w:tabs>
          <w:tab w:val="left" w:pos="284"/>
        </w:tabs>
        <w:rPr>
          <w:b/>
          <w:bCs/>
          <w:caps/>
        </w:rPr>
      </w:pPr>
    </w:p>
    <w:p w14:paraId="7DE09EB5" w14:textId="04C72FFD" w:rsidR="00E03C3F" w:rsidRPr="00F832F8" w:rsidRDefault="00CC7832" w:rsidP="00937907">
      <w:pPr>
        <w:pStyle w:val="Sraopastraipa"/>
        <w:numPr>
          <w:ilvl w:val="0"/>
          <w:numId w:val="12"/>
        </w:numPr>
        <w:tabs>
          <w:tab w:val="left" w:pos="426"/>
        </w:tabs>
        <w:rPr>
          <w:b/>
          <w:bCs/>
          <w:caps/>
        </w:rPr>
      </w:pPr>
      <w:r w:rsidRPr="00F832F8">
        <w:rPr>
          <w:b/>
          <w:bCs/>
          <w:caps/>
        </w:rPr>
        <w:t xml:space="preserve">Farmakoekonominio vertinimo </w:t>
      </w:r>
      <w:r w:rsidR="002F0E4F" w:rsidRPr="00F832F8">
        <w:rPr>
          <w:b/>
          <w:bCs/>
          <w:caps/>
        </w:rPr>
        <w:t>apibendrinimas</w:t>
      </w:r>
    </w:p>
    <w:p w14:paraId="1A900598" w14:textId="3D8F11F6" w:rsidR="00C62B36" w:rsidRPr="00F832F8" w:rsidRDefault="00C62B36" w:rsidP="00A93AA6">
      <w:pPr>
        <w:tabs>
          <w:tab w:val="left" w:pos="426"/>
        </w:tabs>
        <w:rPr>
          <w:b/>
          <w:bCs/>
          <w:caps/>
        </w:rPr>
      </w:pPr>
    </w:p>
    <w:p w14:paraId="47A57F4B" w14:textId="6C70DAA0" w:rsidR="00BA19F7" w:rsidRPr="00F832F8" w:rsidRDefault="00BA19F7" w:rsidP="00A2292D">
      <w:pPr>
        <w:autoSpaceDE w:val="0"/>
        <w:autoSpaceDN w:val="0"/>
        <w:adjustRightInd w:val="0"/>
        <w:spacing w:line="276" w:lineRule="auto"/>
        <w:ind w:firstLine="720"/>
        <w:jc w:val="both"/>
      </w:pPr>
      <w:r w:rsidRPr="00F832F8">
        <w:rPr>
          <w:bCs/>
        </w:rPr>
        <w:t xml:space="preserve">Pareiškėjas siekia, kad vaistinis preparatas </w:t>
      </w:r>
      <w:proofErr w:type="spellStart"/>
      <w:r w:rsidRPr="00F832F8">
        <w:rPr>
          <w:rFonts w:eastAsia="Arial"/>
        </w:rPr>
        <w:t>lutecio</w:t>
      </w:r>
      <w:proofErr w:type="spellEnd"/>
      <w:r w:rsidRPr="00F832F8">
        <w:rPr>
          <w:rFonts w:eastAsia="Arial"/>
        </w:rPr>
        <w:t xml:space="preserve"> (</w:t>
      </w:r>
      <w:r w:rsidRPr="00F832F8">
        <w:rPr>
          <w:rFonts w:eastAsia="Arial"/>
          <w:vertAlign w:val="superscript"/>
        </w:rPr>
        <w:t>177</w:t>
      </w:r>
      <w:r w:rsidRPr="00F832F8">
        <w:rPr>
          <w:rFonts w:eastAsia="Arial"/>
        </w:rPr>
        <w:t xml:space="preserve">Lu) </w:t>
      </w:r>
      <w:proofErr w:type="spellStart"/>
      <w:r w:rsidRPr="00F832F8">
        <w:rPr>
          <w:rFonts w:eastAsia="Arial"/>
        </w:rPr>
        <w:t>oksodotreotidas</w:t>
      </w:r>
      <w:proofErr w:type="spellEnd"/>
      <w:r w:rsidRPr="00F832F8">
        <w:rPr>
          <w:rFonts w:eastAsia="Arial"/>
        </w:rPr>
        <w:t xml:space="preserve"> (</w:t>
      </w:r>
      <w:proofErr w:type="spellStart"/>
      <w:r w:rsidRPr="00F832F8">
        <w:rPr>
          <w:rFonts w:eastAsia="Arial"/>
        </w:rPr>
        <w:t>Lutathera</w:t>
      </w:r>
      <w:proofErr w:type="spellEnd"/>
      <w:r w:rsidRPr="00F832F8">
        <w:rPr>
          <w:rFonts w:eastAsia="Arial"/>
        </w:rPr>
        <w:t>)</w:t>
      </w:r>
      <w:r w:rsidRPr="00F832F8">
        <w:rPr>
          <w:bCs/>
        </w:rPr>
        <w:t xml:space="preserve"> būtų kompensuojamas  indikacijai „Gydyti</w:t>
      </w:r>
      <w:r w:rsidRPr="00F832F8">
        <w:rPr>
          <w:b/>
          <w:bCs/>
        </w:rPr>
        <w:t xml:space="preserve"> </w:t>
      </w:r>
      <w:proofErr w:type="spellStart"/>
      <w:r w:rsidRPr="00F832F8">
        <w:rPr>
          <w:rFonts w:eastAsia="TimesNewRomanPSMT"/>
        </w:rPr>
        <w:t>nerezekuojamus</w:t>
      </w:r>
      <w:proofErr w:type="spellEnd"/>
      <w:r w:rsidRPr="00F832F8">
        <w:rPr>
          <w:rFonts w:eastAsia="TimesNewRomanPSMT"/>
        </w:rPr>
        <w:t xml:space="preserve"> arba </w:t>
      </w:r>
      <w:proofErr w:type="spellStart"/>
      <w:r w:rsidRPr="00F832F8">
        <w:rPr>
          <w:rFonts w:eastAsia="TimesNewRomanPSMT"/>
        </w:rPr>
        <w:t>metastazavusius</w:t>
      </w:r>
      <w:proofErr w:type="spellEnd"/>
      <w:r w:rsidRPr="00F832F8">
        <w:rPr>
          <w:rFonts w:eastAsia="TimesNewRomanPSMT"/>
        </w:rPr>
        <w:t>, progresuojančius, gerai diferencijuotus</w:t>
      </w:r>
      <w:r w:rsidRPr="00F832F8">
        <w:rPr>
          <w:b/>
          <w:bCs/>
        </w:rPr>
        <w:t xml:space="preserve"> </w:t>
      </w:r>
      <w:r w:rsidRPr="00F832F8">
        <w:rPr>
          <w:rFonts w:eastAsia="TimesNewRomanPSMT"/>
        </w:rPr>
        <w:t xml:space="preserve">(G1 ir G2), </w:t>
      </w:r>
      <w:proofErr w:type="spellStart"/>
      <w:r w:rsidRPr="00F832F8">
        <w:rPr>
          <w:rFonts w:eastAsia="TimesNewRomanPSMT"/>
        </w:rPr>
        <w:t>somatostatino</w:t>
      </w:r>
      <w:proofErr w:type="spellEnd"/>
      <w:r w:rsidRPr="00F832F8">
        <w:rPr>
          <w:rFonts w:eastAsia="TimesNewRomanPSMT"/>
        </w:rPr>
        <w:t xml:space="preserve"> receptoriams teigiamus </w:t>
      </w:r>
      <w:proofErr w:type="spellStart"/>
      <w:r w:rsidRPr="00F832F8">
        <w:rPr>
          <w:rFonts w:eastAsia="TimesNewRomanPSMT"/>
        </w:rPr>
        <w:t>gastroenteropankreatinius</w:t>
      </w:r>
      <w:proofErr w:type="spellEnd"/>
      <w:r w:rsidRPr="00F832F8">
        <w:rPr>
          <w:rFonts w:eastAsia="TimesNewRomanPSMT"/>
        </w:rPr>
        <w:t xml:space="preserve"> </w:t>
      </w:r>
      <w:proofErr w:type="spellStart"/>
      <w:r w:rsidRPr="00F832F8">
        <w:rPr>
          <w:rFonts w:eastAsia="TimesNewRomanPSMT"/>
        </w:rPr>
        <w:t>neuroendokrininius</w:t>
      </w:r>
      <w:proofErr w:type="spellEnd"/>
      <w:r w:rsidRPr="00F832F8">
        <w:rPr>
          <w:rFonts w:eastAsia="TimesNewRomanPSMT"/>
        </w:rPr>
        <w:t xml:space="preserve"> navikus</w:t>
      </w:r>
      <w:r w:rsidRPr="00F832F8">
        <w:rPr>
          <w:b/>
          <w:bCs/>
        </w:rPr>
        <w:t xml:space="preserve"> </w:t>
      </w:r>
      <w:r w:rsidRPr="00F832F8">
        <w:rPr>
          <w:rFonts w:eastAsia="TimesNewRomanPSMT"/>
        </w:rPr>
        <w:t xml:space="preserve">(GEP-NEN) suaugusiesiems“. Ekonominėje analizėje įtraukti ir išskirti trys pogrupiai pacientų, kuriems nustatyti: 1) </w:t>
      </w:r>
      <w:r w:rsidRPr="00F832F8">
        <w:t xml:space="preserve">vidurinės virškinamojo trakto dalies NEN (angl. </w:t>
      </w:r>
      <w:proofErr w:type="spellStart"/>
      <w:r w:rsidRPr="00F832F8">
        <w:rPr>
          <w:b/>
          <w:i/>
        </w:rPr>
        <w:t>midgut</w:t>
      </w:r>
      <w:proofErr w:type="spellEnd"/>
      <w:r w:rsidRPr="00F832F8">
        <w:rPr>
          <w:b/>
        </w:rPr>
        <w:t xml:space="preserve"> GE-NEN</w:t>
      </w:r>
      <w:r w:rsidRPr="00F832F8">
        <w:t>); 2) virškinimo trakto (</w:t>
      </w:r>
      <w:r w:rsidRPr="00F832F8">
        <w:rPr>
          <w:b/>
        </w:rPr>
        <w:t>GE-NEN</w:t>
      </w:r>
      <w:r w:rsidRPr="00F832F8">
        <w:t xml:space="preserve">) ir 3) </w:t>
      </w:r>
      <w:r w:rsidRPr="00F832F8">
        <w:rPr>
          <w:bCs/>
        </w:rPr>
        <w:t>kasos (</w:t>
      </w:r>
      <w:r w:rsidRPr="00F832F8">
        <w:rPr>
          <w:b/>
          <w:bCs/>
        </w:rPr>
        <w:t>P-NEN</w:t>
      </w:r>
      <w:r w:rsidRPr="00F832F8">
        <w:rPr>
          <w:bCs/>
        </w:rPr>
        <w:t xml:space="preserve">) </w:t>
      </w:r>
      <w:proofErr w:type="spellStart"/>
      <w:r w:rsidRPr="00F832F8">
        <w:t>neuroendokrininiai</w:t>
      </w:r>
      <w:proofErr w:type="spellEnd"/>
      <w:r w:rsidRPr="00F832F8">
        <w:t xml:space="preserve"> navikai.</w:t>
      </w:r>
    </w:p>
    <w:p w14:paraId="33112914" w14:textId="55D4F4D6" w:rsidR="00BA19F7" w:rsidRPr="00F832F8" w:rsidRDefault="00BA19F7" w:rsidP="00A2292D">
      <w:pPr>
        <w:autoSpaceDE w:val="0"/>
        <w:autoSpaceDN w:val="0"/>
        <w:adjustRightInd w:val="0"/>
        <w:spacing w:line="276" w:lineRule="auto"/>
        <w:ind w:firstLine="720"/>
        <w:jc w:val="both"/>
        <w:rPr>
          <w:rFonts w:eastAsia="Arial"/>
        </w:rPr>
      </w:pPr>
      <w:r w:rsidRPr="00F832F8">
        <w:rPr>
          <w:rFonts w:eastAsia="Arial"/>
        </w:rPr>
        <w:t xml:space="preserve">Klinikiniuose tyrimuose įtraukta populiacija, Tarnybos vertinimu yra </w:t>
      </w:r>
      <w:proofErr w:type="spellStart"/>
      <w:r w:rsidRPr="00F832F8">
        <w:rPr>
          <w:rFonts w:eastAsia="Arial"/>
        </w:rPr>
        <w:t>heterogeniška</w:t>
      </w:r>
      <w:proofErr w:type="spellEnd"/>
      <w:r w:rsidRPr="00F832F8">
        <w:rPr>
          <w:rFonts w:eastAsia="Arial"/>
        </w:rPr>
        <w:t xml:space="preserve"> ir pilnai neatitinka Pareiškėjo teikiamos indikacijos populiacijos. Tarnyba siūlė siaurinti indikaciją pacientų </w:t>
      </w:r>
      <w:r w:rsidRPr="00F832F8">
        <w:rPr>
          <w:rFonts w:eastAsia="Arial"/>
        </w:rPr>
        <w:lastRenderedPageBreak/>
        <w:t>pogrupiui „</w:t>
      </w:r>
      <w:proofErr w:type="spellStart"/>
      <w:r w:rsidRPr="00F832F8">
        <w:t>n</w:t>
      </w:r>
      <w:r w:rsidRPr="00F832F8">
        <w:rPr>
          <w:color w:val="000000"/>
        </w:rPr>
        <w:t>erezekuojamų</w:t>
      </w:r>
      <w:proofErr w:type="spellEnd"/>
      <w:r w:rsidRPr="00F832F8">
        <w:rPr>
          <w:color w:val="000000"/>
        </w:rPr>
        <w:t xml:space="preserve"> ar </w:t>
      </w:r>
      <w:proofErr w:type="spellStart"/>
      <w:r w:rsidRPr="00F832F8">
        <w:rPr>
          <w:color w:val="000000"/>
        </w:rPr>
        <w:t>metastazavusių</w:t>
      </w:r>
      <w:proofErr w:type="spellEnd"/>
      <w:r w:rsidRPr="00F832F8">
        <w:rPr>
          <w:color w:val="000000"/>
        </w:rPr>
        <w:t>, progresuojančių, gerai diferencijuotų (G1 i</w:t>
      </w:r>
      <w:r w:rsidR="004D377E" w:rsidRPr="00F832F8">
        <w:rPr>
          <w:color w:val="000000"/>
        </w:rPr>
        <w:t>r</w:t>
      </w:r>
      <w:r w:rsidRPr="00F832F8">
        <w:rPr>
          <w:color w:val="000000"/>
        </w:rPr>
        <w:t xml:space="preserve"> G2), </w:t>
      </w:r>
      <w:proofErr w:type="spellStart"/>
      <w:r w:rsidRPr="00F832F8">
        <w:rPr>
          <w:color w:val="000000"/>
        </w:rPr>
        <w:t>somatostatino</w:t>
      </w:r>
      <w:proofErr w:type="spellEnd"/>
      <w:r w:rsidRPr="00F832F8">
        <w:rPr>
          <w:color w:val="000000"/>
        </w:rPr>
        <w:t xml:space="preserve"> receptoriams teigiamų vidurinės – plonosios žarnos, aklosios žarnos ir dešiniosios storosios žarnos – vamzdelio dalies </w:t>
      </w:r>
      <w:proofErr w:type="spellStart"/>
      <w:r w:rsidRPr="00F832F8">
        <w:rPr>
          <w:color w:val="000000"/>
        </w:rPr>
        <w:t>neuroendokrininių</w:t>
      </w:r>
      <w:proofErr w:type="spellEnd"/>
      <w:r w:rsidRPr="00F832F8">
        <w:rPr>
          <w:color w:val="000000"/>
        </w:rPr>
        <w:t xml:space="preserve"> navikų gydymas, kai gydant padidintomis SSA dozėmis nustatomas ligos progresavimas" (TLK-10-AM kodai: C17, C18.0-18.4), remiantis </w:t>
      </w:r>
      <w:r w:rsidRPr="00F832F8">
        <w:rPr>
          <w:bCs/>
        </w:rPr>
        <w:t>NETTER-</w:t>
      </w:r>
      <w:r w:rsidRPr="006A68DE">
        <w:rPr>
          <w:bCs/>
        </w:rPr>
        <w:t>1</w:t>
      </w:r>
      <w:r w:rsidRPr="00F832F8">
        <w:rPr>
          <w:bCs/>
        </w:rPr>
        <w:t xml:space="preserve"> (tiesioginio palyginimo duomenys) klinikinio tyrimo duomenimis, kur buvo įtrauktas šis pacientų pogrupis. </w:t>
      </w:r>
    </w:p>
    <w:p w14:paraId="3461AD06" w14:textId="5991E67D" w:rsidR="00BA19F7" w:rsidRPr="00F832F8" w:rsidRDefault="004D377E" w:rsidP="00A2292D">
      <w:pPr>
        <w:autoSpaceDE w:val="0"/>
        <w:autoSpaceDN w:val="0"/>
        <w:adjustRightInd w:val="0"/>
        <w:spacing w:line="276" w:lineRule="auto"/>
        <w:ind w:firstLine="720"/>
        <w:jc w:val="both"/>
        <w:rPr>
          <w:rFonts w:eastAsia="Arial"/>
        </w:rPr>
      </w:pPr>
      <w:r w:rsidRPr="00F832F8">
        <w:t xml:space="preserve">Pažymėtina, </w:t>
      </w:r>
      <w:r w:rsidR="00BA19F7" w:rsidRPr="00F832F8">
        <w:t xml:space="preserve">kad </w:t>
      </w:r>
      <w:r w:rsidR="00BA19F7" w:rsidRPr="00F832F8">
        <w:rPr>
          <w:lang w:eastAsia="lt-LT"/>
        </w:rPr>
        <w:t xml:space="preserve">GE-NEN ir P-NEN pogrupių analizei pateikti duomenys </w:t>
      </w:r>
      <w:proofErr w:type="spellStart"/>
      <w:r w:rsidR="00BA19F7" w:rsidRPr="00F832F8">
        <w:t>heterogeniški</w:t>
      </w:r>
      <w:proofErr w:type="spellEnd"/>
      <w:r w:rsidR="00BA19F7" w:rsidRPr="00F832F8">
        <w:t xml:space="preserve"> ir pasižymi dideliais </w:t>
      </w:r>
      <w:proofErr w:type="spellStart"/>
      <w:r w:rsidR="00BA19F7" w:rsidRPr="00F832F8">
        <w:t>neapibrėžtumais</w:t>
      </w:r>
      <w:proofErr w:type="spellEnd"/>
      <w:r w:rsidR="00BA19F7" w:rsidRPr="00F832F8">
        <w:t xml:space="preserve">: klinikinių tyrimų duomenys be kontrolinės grupės (nėra aiškus KNA taikomas tikrasis efekto dydis), taikyti netiesioginiai palyginimai, </w:t>
      </w:r>
      <w:proofErr w:type="spellStart"/>
      <w:r w:rsidR="00BA19F7" w:rsidRPr="00F832F8">
        <w:t>heterogeniškos</w:t>
      </w:r>
      <w:proofErr w:type="spellEnd"/>
      <w:r w:rsidR="00BA19F7" w:rsidRPr="00F832F8">
        <w:t xml:space="preserve"> populiacijos ir kt. </w:t>
      </w:r>
      <w:r w:rsidR="00BA19F7" w:rsidRPr="00F832F8">
        <w:rPr>
          <w:color w:val="000000"/>
        </w:rPr>
        <w:t xml:space="preserve">Pareiškėjui pateikus atsakymus susijusius su klinikinių duomenų pagrindimu </w:t>
      </w:r>
      <w:r w:rsidR="00BA19F7" w:rsidRPr="00F832F8">
        <w:rPr>
          <w:bCs/>
        </w:rPr>
        <w:t>P-NEN pacientų pogrupio analizei</w:t>
      </w:r>
      <w:r w:rsidR="00BA19F7" w:rsidRPr="00F832F8">
        <w:rPr>
          <w:color w:val="000000"/>
        </w:rPr>
        <w:t xml:space="preserve"> remiantis </w:t>
      </w:r>
      <w:r w:rsidRPr="00F832F8">
        <w:rPr>
          <w:color w:val="000000"/>
        </w:rPr>
        <w:t>ERASMUS</w:t>
      </w:r>
      <w:r w:rsidR="00BA19F7" w:rsidRPr="00F832F8">
        <w:rPr>
          <w:color w:val="000000"/>
        </w:rPr>
        <w:t xml:space="preserve"> klinikinio tyrimo duomenimis bei atnaujinus </w:t>
      </w:r>
      <w:r w:rsidR="00BA19F7" w:rsidRPr="00F832F8">
        <w:rPr>
          <w:rFonts w:eastAsia="Arial"/>
        </w:rPr>
        <w:t xml:space="preserve">KNA įtraukiant pacientų lygmens </w:t>
      </w:r>
      <w:proofErr w:type="spellStart"/>
      <w:r w:rsidR="00BA19F7" w:rsidRPr="00F832F8">
        <w:rPr>
          <w:bCs/>
        </w:rPr>
        <w:t>L</w:t>
      </w:r>
      <w:r w:rsidR="00BA19F7" w:rsidRPr="00F832F8">
        <w:rPr>
          <w:rFonts w:eastAsia="Arial"/>
        </w:rPr>
        <w:t>utecio</w:t>
      </w:r>
      <w:proofErr w:type="spellEnd"/>
      <w:r w:rsidR="00BA19F7" w:rsidRPr="00F832F8">
        <w:rPr>
          <w:rFonts w:eastAsia="Arial"/>
        </w:rPr>
        <w:t xml:space="preserve"> (</w:t>
      </w:r>
      <w:r w:rsidR="00BA19F7" w:rsidRPr="00F832F8">
        <w:rPr>
          <w:rFonts w:eastAsia="Arial"/>
          <w:vertAlign w:val="superscript"/>
        </w:rPr>
        <w:t>177</w:t>
      </w:r>
      <w:r w:rsidR="00BA19F7" w:rsidRPr="00F832F8">
        <w:rPr>
          <w:rFonts w:eastAsia="Arial"/>
        </w:rPr>
        <w:t xml:space="preserve">Lu) </w:t>
      </w:r>
      <w:proofErr w:type="spellStart"/>
      <w:r w:rsidR="00BA19F7" w:rsidRPr="00F832F8">
        <w:rPr>
          <w:rFonts w:eastAsia="Arial"/>
        </w:rPr>
        <w:t>oksodotreotido</w:t>
      </w:r>
      <w:proofErr w:type="spellEnd"/>
      <w:r w:rsidR="00BA19F7" w:rsidRPr="00F832F8">
        <w:rPr>
          <w:rFonts w:eastAsia="Arial"/>
        </w:rPr>
        <w:t xml:space="preserve"> duomenis iš </w:t>
      </w:r>
      <w:proofErr w:type="spellStart"/>
      <w:r w:rsidR="00BA19F7" w:rsidRPr="00F832F8">
        <w:rPr>
          <w:rFonts w:eastAsia="Arial"/>
        </w:rPr>
        <w:t>Netter</w:t>
      </w:r>
      <w:proofErr w:type="spellEnd"/>
      <w:r w:rsidR="00BA19F7" w:rsidRPr="00F832F8">
        <w:rPr>
          <w:rFonts w:eastAsia="Arial"/>
        </w:rPr>
        <w:t xml:space="preserve">-R klinikinio tyrimo, laikoma, kad P-NEN klinikiniai duomenys pasižymi </w:t>
      </w:r>
      <w:proofErr w:type="spellStart"/>
      <w:r w:rsidR="00BA19F7" w:rsidRPr="00F832F8">
        <w:rPr>
          <w:rFonts w:eastAsia="Arial"/>
        </w:rPr>
        <w:t>neapibrėžtumais</w:t>
      </w:r>
      <w:proofErr w:type="spellEnd"/>
      <w:r w:rsidR="00BA19F7" w:rsidRPr="00F832F8">
        <w:rPr>
          <w:rFonts w:eastAsia="Arial"/>
        </w:rPr>
        <w:t xml:space="preserve">, tačiau </w:t>
      </w:r>
      <w:r w:rsidR="00BA19F7" w:rsidRPr="00F832F8">
        <w:rPr>
          <w:bCs/>
        </w:rPr>
        <w:t xml:space="preserve">yra pakankami P-NEN pacientų pogrupio analizei. Atitinkamai, </w:t>
      </w:r>
      <w:r w:rsidR="00BA19F7" w:rsidRPr="00F832F8">
        <w:rPr>
          <w:rFonts w:eastAsia="Arial"/>
        </w:rPr>
        <w:t xml:space="preserve">KNA atlikta vidurinės vamzdelio dalies GE-NEN ir P-NEN pogrupiams. </w:t>
      </w:r>
      <w:r w:rsidR="00BA19F7" w:rsidRPr="00F832F8">
        <w:rPr>
          <w:color w:val="000000"/>
        </w:rPr>
        <w:t>Klinikinių tyrimų rezultatai plačiau aprašomi protokolo klinikinėje dalyje.</w:t>
      </w:r>
      <w:r w:rsidR="00BA19F7" w:rsidRPr="00F832F8">
        <w:rPr>
          <w:rFonts w:eastAsia="Arial"/>
        </w:rPr>
        <w:t xml:space="preserve"> </w:t>
      </w:r>
    </w:p>
    <w:p w14:paraId="223780F8" w14:textId="77777777" w:rsidR="00BA19F7" w:rsidRPr="006A68DE" w:rsidRDefault="00BA19F7" w:rsidP="00A2292D">
      <w:pPr>
        <w:spacing w:line="276" w:lineRule="auto"/>
        <w:ind w:firstLine="720"/>
        <w:jc w:val="both"/>
      </w:pPr>
      <w:proofErr w:type="spellStart"/>
      <w:r w:rsidRPr="00F832F8">
        <w:t>Farmakoekonominėje</w:t>
      </w:r>
      <w:proofErr w:type="spellEnd"/>
      <w:r w:rsidRPr="00F832F8">
        <w:t xml:space="preserve"> analizėje taikomas padalintos kohortos </w:t>
      </w:r>
      <w:proofErr w:type="spellStart"/>
      <w:r w:rsidRPr="00F832F8">
        <w:t>išgyvenamumo</w:t>
      </w:r>
      <w:proofErr w:type="spellEnd"/>
      <w:r w:rsidRPr="00F832F8">
        <w:t xml:space="preserve"> (angl. </w:t>
      </w:r>
      <w:proofErr w:type="spellStart"/>
      <w:r w:rsidRPr="00F832F8">
        <w:rPr>
          <w:i/>
        </w:rPr>
        <w:t>partitioned</w:t>
      </w:r>
      <w:proofErr w:type="spellEnd"/>
      <w:r w:rsidRPr="00F832F8">
        <w:rPr>
          <w:i/>
        </w:rPr>
        <w:t xml:space="preserve"> </w:t>
      </w:r>
      <w:proofErr w:type="spellStart"/>
      <w:r w:rsidRPr="00F832F8">
        <w:rPr>
          <w:i/>
        </w:rPr>
        <w:t>survival</w:t>
      </w:r>
      <w:proofErr w:type="spellEnd"/>
      <w:r w:rsidRPr="00F832F8">
        <w:rPr>
          <w:i/>
        </w:rPr>
        <w:t xml:space="preserve"> </w:t>
      </w:r>
      <w:proofErr w:type="spellStart"/>
      <w:r w:rsidRPr="00F832F8">
        <w:rPr>
          <w:i/>
        </w:rPr>
        <w:t>model</w:t>
      </w:r>
      <w:proofErr w:type="spellEnd"/>
      <w:r w:rsidRPr="00F832F8">
        <w:t>) trijų sveikatos būklių modeliavimas, išskiriant sveikatos būkles: 1) be ligos progreso; 2) po ligos progreso; 3) mirties. Modeliavimas priimtinas ir tinkamas.</w:t>
      </w:r>
      <w:r w:rsidRPr="006A68DE">
        <w:rPr>
          <w:lang w:eastAsia="lt-LT"/>
        </w:rPr>
        <w:t xml:space="preserve"> Įprastinėje atvejo analizėje taikoma 20 m. laiko perspektyva. Atsižvelgiant į ligos </w:t>
      </w:r>
      <w:proofErr w:type="spellStart"/>
      <w:r w:rsidRPr="006A68DE">
        <w:rPr>
          <w:lang w:eastAsia="lt-LT"/>
        </w:rPr>
        <w:t>išgyvenamumo</w:t>
      </w:r>
      <w:proofErr w:type="spellEnd"/>
      <w:r w:rsidRPr="006A68DE">
        <w:rPr>
          <w:lang w:eastAsia="lt-LT"/>
        </w:rPr>
        <w:t xml:space="preserve"> prognozes, laikoma, kad laikotarpis apims pacientų viso gyvenimo laiko perspektyvą ir yra pakankamas sveikatai sukuriamai naudai ir patiriamiems kaštams užfiksuoti. </w:t>
      </w:r>
      <w:r w:rsidRPr="00F832F8">
        <w:rPr>
          <w:bCs/>
          <w:color w:val="000000"/>
          <w:lang w:eastAsia="lt-LT"/>
        </w:rPr>
        <w:t xml:space="preserve">Pareiškėjas įtraukė </w:t>
      </w:r>
      <w:r w:rsidRPr="00DE1992">
        <w:t>vaistinių preparatų skyrimo ir administravimo, stebėjimo, gyvenimo paba</w:t>
      </w:r>
      <w:r w:rsidRPr="00F832F8">
        <w:t>igos (</w:t>
      </w:r>
      <w:proofErr w:type="spellStart"/>
      <w:r w:rsidRPr="00F832F8">
        <w:t>paliatyvios</w:t>
      </w:r>
      <w:proofErr w:type="spellEnd"/>
      <w:r w:rsidRPr="00F832F8">
        <w:t xml:space="preserve"> pagalbos) ir su nepageidaujamais reiškiniais susijusius gydymo kaštus, apskaičiuotus iš mokėtojo (PSDF biudžeto įtakos) perspektyvos pagal 2023 m. I </w:t>
      </w:r>
      <w:proofErr w:type="spellStart"/>
      <w:r w:rsidRPr="00F832F8">
        <w:t>ketv</w:t>
      </w:r>
      <w:proofErr w:type="spellEnd"/>
      <w:r w:rsidRPr="00F832F8">
        <w:t xml:space="preserve">. kainyno ir sveikatos priežiūros paslaugų įkainius. Taikytas </w:t>
      </w:r>
      <w:r w:rsidRPr="006A68DE">
        <w:t>3,5 proc. metinis diskontavim</w:t>
      </w:r>
      <w:r w:rsidRPr="00F832F8">
        <w:t>as. Tai atitinka teisės aktuose nustatytus paraiškos rengimo taisyklių reikalavimus. Kitos KNA taikomos prielaidos plačiau aprašytos vertinimo protokole.</w:t>
      </w:r>
    </w:p>
    <w:p w14:paraId="465B7000" w14:textId="77777777" w:rsidR="00BA19F7" w:rsidRPr="00F832F8" w:rsidRDefault="00BA19F7" w:rsidP="00A2292D">
      <w:pPr>
        <w:spacing w:line="276" w:lineRule="auto"/>
        <w:ind w:firstLine="720"/>
        <w:jc w:val="both"/>
      </w:pPr>
      <w:r w:rsidRPr="00F832F8">
        <w:rPr>
          <w:iCs/>
          <w:lang w:eastAsia="lt-LT"/>
        </w:rPr>
        <w:t>Siekiant identifikuoti su sveikata susijusios gyvenimo kokybės įverčius Pareiškėjas atliko sisteminę literatūros apžvalgą ir į</w:t>
      </w:r>
      <w:r w:rsidRPr="00F832F8">
        <w:t>prastinėje atvejo analizėje taiko gyvenimo kokybės koeficientus įtrauktus iš literatūros šaltinių (</w:t>
      </w:r>
      <w:proofErr w:type="spellStart"/>
      <w:r w:rsidRPr="00F832F8">
        <w:t>Swinburn</w:t>
      </w:r>
      <w:proofErr w:type="spellEnd"/>
      <w:r w:rsidRPr="00F832F8">
        <w:t xml:space="preserve"> et al, 2012). Atsižvelgiant, kad gyvenimo kokybė vertinta pagrindiniame Netter-1 klinikiniame tyrime, Tarnyba įprastinėje atvejo analizėje vidurinės vamzdelio dalies NEN pacientų pogrupio analizėje taiko Netter-1 klinikinio tyrimo metu nustatytus gyvenimo kokybės koeficientus sveikatos būklėje iki ligos progreso (po ligos progreso – nenustatyta) bei </w:t>
      </w:r>
      <w:proofErr w:type="spellStart"/>
      <w:r w:rsidRPr="00F832F8">
        <w:t>Erasmus</w:t>
      </w:r>
      <w:proofErr w:type="spellEnd"/>
      <w:r w:rsidRPr="00F832F8">
        <w:t xml:space="preserve"> klinikinio tyrimo gyvenimo kokybės koeficientus progresavusios ligos būklėje, kuriame vertinti virškinamojo trakto NEN (GE-NEN) populiacijos gyvenimo kokybės įverčiai. Kasos NEN pogrupiui – </w:t>
      </w:r>
      <w:proofErr w:type="spellStart"/>
      <w:r w:rsidRPr="00F832F8">
        <w:t>Erasmus</w:t>
      </w:r>
      <w:proofErr w:type="spellEnd"/>
      <w:r w:rsidRPr="00F832F8">
        <w:t xml:space="preserve"> klinikinio tyrimo metu nustatytus gyvenimo kokybės įverčius, kadangi </w:t>
      </w:r>
      <w:proofErr w:type="spellStart"/>
      <w:r w:rsidRPr="00F832F8">
        <w:t>Netter</w:t>
      </w:r>
      <w:proofErr w:type="spellEnd"/>
      <w:r w:rsidRPr="00F832F8">
        <w:t>-R klinikinio tyrimo pacientų gyvenimo kokybė nevertinta.</w:t>
      </w:r>
    </w:p>
    <w:p w14:paraId="3CE49BE6" w14:textId="77777777" w:rsidR="00BA19F7" w:rsidRPr="00F832F8" w:rsidRDefault="00BA19F7" w:rsidP="00A2292D">
      <w:pPr>
        <w:spacing w:line="276" w:lineRule="auto"/>
        <w:ind w:firstLine="720"/>
        <w:jc w:val="both"/>
        <w:rPr>
          <w:color w:val="000000"/>
        </w:rPr>
      </w:pPr>
      <w:proofErr w:type="spellStart"/>
      <w:r w:rsidRPr="00F832F8">
        <w:t>Lutathera</w:t>
      </w:r>
      <w:proofErr w:type="spellEnd"/>
      <w:r w:rsidRPr="00F832F8">
        <w:t xml:space="preserve"> skiriant pacientams, </w:t>
      </w:r>
      <w:r w:rsidRPr="00F832F8">
        <w:rPr>
          <w:bCs/>
        </w:rPr>
        <w:t>kuriems nustatyti</w:t>
      </w:r>
      <w:r w:rsidRPr="00F832F8">
        <w:rPr>
          <w:b/>
          <w:bCs/>
        </w:rPr>
        <w:t xml:space="preserve"> </w:t>
      </w:r>
      <w:proofErr w:type="spellStart"/>
      <w:r w:rsidRPr="00F832F8">
        <w:rPr>
          <w:bCs/>
        </w:rPr>
        <w:t>n</w:t>
      </w:r>
      <w:r w:rsidRPr="00F832F8">
        <w:t>erezekuojami</w:t>
      </w:r>
      <w:proofErr w:type="spellEnd"/>
      <w:r w:rsidRPr="00F832F8">
        <w:t xml:space="preserve"> ar </w:t>
      </w:r>
      <w:proofErr w:type="spellStart"/>
      <w:r w:rsidRPr="00F832F8">
        <w:t>metastazavę</w:t>
      </w:r>
      <w:proofErr w:type="spellEnd"/>
      <w:r w:rsidRPr="00F832F8">
        <w:t xml:space="preserve">, progresuojantys, gerai diferencijuoti (G1 ir G2), </w:t>
      </w:r>
      <w:proofErr w:type="spellStart"/>
      <w:r w:rsidRPr="00F832F8">
        <w:t>somatostatino</w:t>
      </w:r>
      <w:proofErr w:type="spellEnd"/>
      <w:r w:rsidRPr="00F832F8">
        <w:t xml:space="preserve"> receptoriams teigiami </w:t>
      </w:r>
      <w:r w:rsidRPr="00F832F8">
        <w:rPr>
          <w:b/>
        </w:rPr>
        <w:t>vidurinės</w:t>
      </w:r>
      <w:r w:rsidRPr="00F832F8">
        <w:t xml:space="preserve"> – plonosios žarnos, aklosios žarnos ir dešiniosios storosios žarnos – </w:t>
      </w:r>
      <w:r w:rsidRPr="00F832F8">
        <w:rPr>
          <w:b/>
        </w:rPr>
        <w:t xml:space="preserve">vamzdelio dalies </w:t>
      </w:r>
      <w:proofErr w:type="spellStart"/>
      <w:r w:rsidRPr="00F832F8">
        <w:rPr>
          <w:b/>
        </w:rPr>
        <w:t>gastroentero</w:t>
      </w:r>
      <w:proofErr w:type="spellEnd"/>
      <w:r w:rsidRPr="00F832F8">
        <w:rPr>
          <w:b/>
        </w:rPr>
        <w:t xml:space="preserve"> ir </w:t>
      </w:r>
      <w:proofErr w:type="spellStart"/>
      <w:r w:rsidRPr="00F832F8">
        <w:rPr>
          <w:b/>
        </w:rPr>
        <w:t>pankretitiniai</w:t>
      </w:r>
      <w:proofErr w:type="spellEnd"/>
      <w:r w:rsidRPr="00F832F8">
        <w:t xml:space="preserve"> </w:t>
      </w:r>
      <w:proofErr w:type="spellStart"/>
      <w:r w:rsidRPr="00F832F8">
        <w:rPr>
          <w:b/>
        </w:rPr>
        <w:t>neuroendokrininiai</w:t>
      </w:r>
      <w:proofErr w:type="spellEnd"/>
      <w:r w:rsidRPr="00F832F8">
        <w:rPr>
          <w:b/>
        </w:rPr>
        <w:t xml:space="preserve"> navikai</w:t>
      </w:r>
      <w:r w:rsidRPr="00F832F8">
        <w:t xml:space="preserve">, kai gydant padidintomis SSA dozėmis nustatomas ligos progresavimas, viso gyvenimo laiko perspektyvoje (20 m.) apskaičiuotas ICER koeficientas nė vienu atveju (lyginant su </w:t>
      </w:r>
      <w:proofErr w:type="spellStart"/>
      <w:r w:rsidRPr="00F832F8">
        <w:t>oktreotidu</w:t>
      </w:r>
      <w:proofErr w:type="spellEnd"/>
      <w:r w:rsidRPr="00F832F8">
        <w:t xml:space="preserve">, </w:t>
      </w:r>
      <w:proofErr w:type="spellStart"/>
      <w:r w:rsidRPr="00F832F8">
        <w:t>everolimuzu</w:t>
      </w:r>
      <w:proofErr w:type="spellEnd"/>
      <w:r w:rsidRPr="00F832F8">
        <w:t xml:space="preserve"> ir </w:t>
      </w:r>
      <w:proofErr w:type="spellStart"/>
      <w:r w:rsidRPr="00F832F8">
        <w:t>sunitinibu</w:t>
      </w:r>
      <w:proofErr w:type="spellEnd"/>
      <w:r w:rsidRPr="00F832F8">
        <w:t>) neatitinka referencinės kaštų naudingumo vertės ir viršija sunkiai ligos naštai taikomą referencinės kaštų naudingumo vertės slenkstį (&gt;</w:t>
      </w:r>
      <w:r w:rsidRPr="00F832F8">
        <w:rPr>
          <w:color w:val="000000"/>
        </w:rPr>
        <w:t xml:space="preserve">100 020 </w:t>
      </w:r>
      <w:proofErr w:type="spellStart"/>
      <w:r w:rsidRPr="00F832F8">
        <w:rPr>
          <w:color w:val="000000"/>
        </w:rPr>
        <w:t>Eur</w:t>
      </w:r>
      <w:proofErr w:type="spellEnd"/>
      <w:r w:rsidRPr="00F832F8">
        <w:rPr>
          <w:color w:val="000000"/>
        </w:rPr>
        <w:t xml:space="preserve">.). Pagal MTC analizės duomenis </w:t>
      </w:r>
      <w:proofErr w:type="spellStart"/>
      <w:r w:rsidRPr="00F832F8">
        <w:rPr>
          <w:color w:val="000000"/>
        </w:rPr>
        <w:t>sunitinibas</w:t>
      </w:r>
      <w:proofErr w:type="spellEnd"/>
      <w:r w:rsidRPr="00F832F8">
        <w:rPr>
          <w:color w:val="000000"/>
        </w:rPr>
        <w:t xml:space="preserve"> sukuria daugiau QALYS ir kaštai mažesni (dominuojantis).</w:t>
      </w:r>
    </w:p>
    <w:p w14:paraId="293D8F9D" w14:textId="70310C06" w:rsidR="00BA19F7" w:rsidRPr="00F832F8" w:rsidRDefault="00BA19F7" w:rsidP="00A2292D">
      <w:pPr>
        <w:spacing w:line="276" w:lineRule="auto"/>
        <w:ind w:firstLine="720"/>
        <w:jc w:val="both"/>
        <w:rPr>
          <w:rFonts w:eastAsia="Arial"/>
        </w:rPr>
      </w:pPr>
      <w:r w:rsidRPr="00F832F8">
        <w:rPr>
          <w:color w:val="000000"/>
        </w:rPr>
        <w:lastRenderedPageBreak/>
        <w:t xml:space="preserve">Apibendrinant, kad P-NEN pacientų pogrupio klinikiniai duomenys pasižymi dideliais </w:t>
      </w:r>
      <w:proofErr w:type="spellStart"/>
      <w:r w:rsidRPr="00F832F8">
        <w:rPr>
          <w:color w:val="000000"/>
        </w:rPr>
        <w:t>neapibrėžtumais</w:t>
      </w:r>
      <w:proofErr w:type="spellEnd"/>
      <w:r w:rsidRPr="00F832F8">
        <w:rPr>
          <w:color w:val="000000"/>
        </w:rPr>
        <w:t>, Tarnyb</w:t>
      </w:r>
      <w:r w:rsidR="00F832F8">
        <w:rPr>
          <w:color w:val="000000"/>
        </w:rPr>
        <w:t>os</w:t>
      </w:r>
      <w:r w:rsidRPr="00F832F8">
        <w:rPr>
          <w:color w:val="000000"/>
        </w:rPr>
        <w:t xml:space="preserve"> vertin</w:t>
      </w:r>
      <w:r w:rsidR="00F832F8">
        <w:rPr>
          <w:color w:val="000000"/>
        </w:rPr>
        <w:t>imu</w:t>
      </w:r>
      <w:r w:rsidRPr="00F832F8">
        <w:t xml:space="preserve"> vidurinės vamzdelio dalies NEN pacientų pogrupio kaštų analizės duomenys yra patikimiausi, tačiau apskaičiuotas ICER neatitinka referencinės kaštų naudingumo vertės ir yra laikoma, kad gydymas </w:t>
      </w:r>
      <w:proofErr w:type="spellStart"/>
      <w:r w:rsidRPr="00F832F8">
        <w:rPr>
          <w:bCs/>
        </w:rPr>
        <w:t>L</w:t>
      </w:r>
      <w:r w:rsidRPr="00F832F8">
        <w:rPr>
          <w:rFonts w:eastAsia="Arial"/>
        </w:rPr>
        <w:t>utecio</w:t>
      </w:r>
      <w:proofErr w:type="spellEnd"/>
      <w:r w:rsidRPr="00F832F8">
        <w:rPr>
          <w:rFonts w:eastAsia="Arial"/>
        </w:rPr>
        <w:t xml:space="preserve"> (</w:t>
      </w:r>
      <w:r w:rsidRPr="00F832F8">
        <w:rPr>
          <w:rFonts w:eastAsia="Arial"/>
          <w:vertAlign w:val="superscript"/>
        </w:rPr>
        <w:t>177</w:t>
      </w:r>
      <w:r w:rsidRPr="00F832F8">
        <w:rPr>
          <w:rFonts w:eastAsia="Arial"/>
        </w:rPr>
        <w:t xml:space="preserve">Lu) </w:t>
      </w:r>
      <w:proofErr w:type="spellStart"/>
      <w:r w:rsidRPr="00F832F8">
        <w:rPr>
          <w:rFonts w:eastAsia="Arial"/>
        </w:rPr>
        <w:t>oksodotreotidu</w:t>
      </w:r>
      <w:proofErr w:type="spellEnd"/>
      <w:r w:rsidRPr="00F832F8">
        <w:rPr>
          <w:rFonts w:eastAsia="Arial"/>
        </w:rPr>
        <w:t xml:space="preserve"> Lietuvoje lyginant su kompensuojamais vaistiniais preparatais kaštų prasme nėra efektyvus.</w:t>
      </w:r>
    </w:p>
    <w:p w14:paraId="5DF651EE" w14:textId="150A4183" w:rsidR="007857B8" w:rsidRPr="00F832F8" w:rsidRDefault="007857B8" w:rsidP="00A2292D">
      <w:pPr>
        <w:tabs>
          <w:tab w:val="left" w:pos="426"/>
        </w:tabs>
        <w:spacing w:line="276" w:lineRule="auto"/>
        <w:jc w:val="both"/>
      </w:pPr>
    </w:p>
    <w:p w14:paraId="1A67F586" w14:textId="24FDA9F1" w:rsidR="00BA19F7" w:rsidRPr="00F832F8" w:rsidRDefault="00BA19F7" w:rsidP="00A2292D">
      <w:pPr>
        <w:spacing w:line="276" w:lineRule="auto"/>
        <w:ind w:firstLine="720"/>
        <w:jc w:val="both"/>
      </w:pPr>
      <w:r w:rsidRPr="00F832F8">
        <w:rPr>
          <w:rFonts w:eastAsia="Arial"/>
        </w:rPr>
        <w:t>Lentelė 3.1. Kaštų analizės rezultatai pagal pogrupius</w:t>
      </w:r>
      <w:bookmarkStart w:id="1" w:name="_GoBack"/>
      <w:bookmarkEnd w:id="1"/>
    </w:p>
    <w:p w14:paraId="4580065F" w14:textId="77777777" w:rsidR="00BA19F7" w:rsidRPr="00F832F8" w:rsidRDefault="00BA19F7" w:rsidP="00BA19F7">
      <w:pPr>
        <w:tabs>
          <w:tab w:val="left" w:pos="426"/>
        </w:tabs>
        <w:jc w:val="both"/>
      </w:pPr>
    </w:p>
    <w:tbl>
      <w:tblPr>
        <w:tblStyle w:val="Lentelstinklelis"/>
        <w:tblW w:w="9794" w:type="dxa"/>
        <w:tblLayout w:type="fixed"/>
        <w:tblLook w:val="04A0" w:firstRow="1" w:lastRow="0" w:firstColumn="1" w:lastColumn="0" w:noHBand="0" w:noVBand="1"/>
      </w:tblPr>
      <w:tblGrid>
        <w:gridCol w:w="2689"/>
        <w:gridCol w:w="1750"/>
        <w:gridCol w:w="1268"/>
        <w:gridCol w:w="1081"/>
        <w:gridCol w:w="904"/>
        <w:gridCol w:w="1092"/>
        <w:gridCol w:w="1010"/>
      </w:tblGrid>
      <w:tr w:rsidR="00BA19F7" w:rsidRPr="00F832F8" w14:paraId="53CA1F7B" w14:textId="77777777" w:rsidTr="008D425E">
        <w:trPr>
          <w:trHeight w:val="358"/>
        </w:trPr>
        <w:tc>
          <w:tcPr>
            <w:tcW w:w="9794" w:type="dxa"/>
            <w:gridSpan w:val="7"/>
            <w:tcBorders>
              <w:top w:val="single" w:sz="12" w:space="0" w:color="auto"/>
              <w:left w:val="single" w:sz="12" w:space="0" w:color="auto"/>
              <w:right w:val="single" w:sz="12" w:space="0" w:color="auto"/>
            </w:tcBorders>
          </w:tcPr>
          <w:p w14:paraId="027EC14C" w14:textId="77777777" w:rsidR="00BA19F7" w:rsidRPr="00F832F8" w:rsidRDefault="00BA19F7" w:rsidP="008D425E">
            <w:pPr>
              <w:spacing w:line="280" w:lineRule="atLeast"/>
              <w:rPr>
                <w:rFonts w:eastAsia="Arial"/>
                <w:b/>
                <w:bCs/>
                <w:sz w:val="22"/>
                <w:szCs w:val="22"/>
              </w:rPr>
            </w:pPr>
            <w:r w:rsidRPr="00F832F8">
              <w:rPr>
                <w:rFonts w:eastAsia="Arial"/>
                <w:b/>
                <w:i/>
                <w:iCs/>
                <w:sz w:val="22"/>
                <w:szCs w:val="22"/>
              </w:rPr>
              <w:t>Vidurinės vamzdelio dalies GE-NEN</w:t>
            </w:r>
            <w:r w:rsidRPr="00F832F8">
              <w:rPr>
                <w:rFonts w:eastAsia="Arial"/>
                <w:b/>
                <w:i/>
                <w:sz w:val="22"/>
                <w:szCs w:val="22"/>
              </w:rPr>
              <w:t xml:space="preserve"> pogrupis</w:t>
            </w:r>
          </w:p>
        </w:tc>
      </w:tr>
      <w:tr w:rsidR="00BA19F7" w:rsidRPr="00F832F8" w14:paraId="20C7509F" w14:textId="77777777" w:rsidTr="008D425E">
        <w:trPr>
          <w:trHeight w:val="661"/>
        </w:trPr>
        <w:tc>
          <w:tcPr>
            <w:tcW w:w="2689" w:type="dxa"/>
            <w:tcBorders>
              <w:left w:val="single" w:sz="12" w:space="0" w:color="auto"/>
            </w:tcBorders>
          </w:tcPr>
          <w:p w14:paraId="0C26853C" w14:textId="77777777" w:rsidR="00BA19F7" w:rsidRPr="00F832F8" w:rsidRDefault="00BA19F7" w:rsidP="008D425E">
            <w:pPr>
              <w:spacing w:line="280" w:lineRule="atLeast"/>
              <w:rPr>
                <w:rFonts w:eastAsia="Arial"/>
                <w:i/>
                <w:iCs/>
                <w:sz w:val="22"/>
                <w:szCs w:val="22"/>
              </w:rPr>
            </w:pPr>
            <w:r w:rsidRPr="00F832F8">
              <w:rPr>
                <w:rFonts w:eastAsia="Arial"/>
                <w:i/>
                <w:sz w:val="22"/>
                <w:szCs w:val="22"/>
              </w:rPr>
              <w:t>Pacientų lygmens duomenų analizė</w:t>
            </w:r>
            <w:r w:rsidRPr="00F832F8">
              <w:rPr>
                <w:rFonts w:eastAsia="Arial"/>
                <w:i/>
                <w:iCs/>
                <w:sz w:val="22"/>
                <w:szCs w:val="22"/>
              </w:rPr>
              <w:t xml:space="preserve"> </w:t>
            </w:r>
          </w:p>
        </w:tc>
        <w:tc>
          <w:tcPr>
            <w:tcW w:w="1750" w:type="dxa"/>
          </w:tcPr>
          <w:p w14:paraId="3CD20738" w14:textId="77777777" w:rsidR="00BA19F7" w:rsidRPr="00F832F8" w:rsidRDefault="00BA19F7" w:rsidP="008D425E">
            <w:pPr>
              <w:spacing w:line="280" w:lineRule="atLeast"/>
              <w:rPr>
                <w:rFonts w:eastAsia="Arial"/>
                <w:b/>
                <w:bCs/>
                <w:i/>
                <w:iCs/>
                <w:sz w:val="22"/>
                <w:szCs w:val="22"/>
              </w:rPr>
            </w:pPr>
            <w:proofErr w:type="spellStart"/>
            <w:r w:rsidRPr="00F832F8">
              <w:rPr>
                <w:rFonts w:eastAsia="Arial"/>
                <w:b/>
                <w:bCs/>
                <w:i/>
                <w:iCs/>
                <w:sz w:val="22"/>
                <w:szCs w:val="22"/>
              </w:rPr>
              <w:t>Lutecio</w:t>
            </w:r>
            <w:proofErr w:type="spellEnd"/>
            <w:r w:rsidRPr="00F832F8">
              <w:rPr>
                <w:rFonts w:eastAsia="Arial"/>
                <w:b/>
                <w:bCs/>
                <w:i/>
                <w:iCs/>
                <w:sz w:val="22"/>
                <w:szCs w:val="22"/>
              </w:rPr>
              <w:t xml:space="preserve"> (</w:t>
            </w:r>
            <w:r w:rsidRPr="00F832F8">
              <w:rPr>
                <w:rFonts w:eastAsia="Arial"/>
                <w:b/>
                <w:bCs/>
                <w:i/>
                <w:iCs/>
                <w:sz w:val="22"/>
                <w:szCs w:val="22"/>
                <w:vertAlign w:val="superscript"/>
              </w:rPr>
              <w:t>177</w:t>
            </w:r>
            <w:r w:rsidRPr="00F832F8">
              <w:rPr>
                <w:rFonts w:eastAsia="Arial"/>
                <w:b/>
                <w:bCs/>
                <w:i/>
                <w:iCs/>
                <w:sz w:val="22"/>
                <w:szCs w:val="22"/>
              </w:rPr>
              <w:t xml:space="preserve">Lu) </w:t>
            </w:r>
            <w:proofErr w:type="spellStart"/>
            <w:r w:rsidRPr="00F832F8">
              <w:rPr>
                <w:rFonts w:eastAsia="Arial"/>
                <w:b/>
                <w:bCs/>
                <w:i/>
                <w:iCs/>
                <w:sz w:val="22"/>
                <w:szCs w:val="22"/>
              </w:rPr>
              <w:t>oksodotreotidas</w:t>
            </w:r>
            <w:proofErr w:type="spellEnd"/>
          </w:p>
        </w:tc>
        <w:tc>
          <w:tcPr>
            <w:tcW w:w="5355" w:type="dxa"/>
            <w:gridSpan w:val="5"/>
            <w:tcBorders>
              <w:right w:val="single" w:sz="12" w:space="0" w:color="auto"/>
            </w:tcBorders>
          </w:tcPr>
          <w:p w14:paraId="606BC090" w14:textId="77777777" w:rsidR="00BA19F7" w:rsidRPr="00F832F8" w:rsidRDefault="00BA19F7" w:rsidP="008D425E">
            <w:pPr>
              <w:spacing w:line="280" w:lineRule="atLeast"/>
              <w:rPr>
                <w:rFonts w:eastAsia="Arial"/>
                <w:b/>
                <w:bCs/>
                <w:i/>
                <w:iCs/>
                <w:sz w:val="22"/>
                <w:szCs w:val="22"/>
              </w:rPr>
            </w:pPr>
            <w:proofErr w:type="spellStart"/>
            <w:r w:rsidRPr="00F832F8">
              <w:rPr>
                <w:rFonts w:eastAsia="Arial"/>
                <w:b/>
                <w:bCs/>
                <w:i/>
                <w:iCs/>
                <w:sz w:val="22"/>
                <w:szCs w:val="22"/>
              </w:rPr>
              <w:t>Oktreotidas</w:t>
            </w:r>
            <w:proofErr w:type="spellEnd"/>
            <w:r w:rsidRPr="00F832F8">
              <w:rPr>
                <w:rFonts w:eastAsia="Arial"/>
                <w:b/>
                <w:bCs/>
                <w:i/>
                <w:iCs/>
                <w:sz w:val="22"/>
                <w:szCs w:val="22"/>
              </w:rPr>
              <w:t xml:space="preserve"> LAR</w:t>
            </w:r>
          </w:p>
        </w:tc>
      </w:tr>
      <w:tr w:rsidR="00BA19F7" w:rsidRPr="00F832F8" w14:paraId="6FE5AB46" w14:textId="77777777" w:rsidTr="008D425E">
        <w:trPr>
          <w:trHeight w:val="375"/>
        </w:trPr>
        <w:tc>
          <w:tcPr>
            <w:tcW w:w="2689" w:type="dxa"/>
            <w:tcBorders>
              <w:left w:val="single" w:sz="12" w:space="0" w:color="auto"/>
            </w:tcBorders>
            <w:hideMark/>
          </w:tcPr>
          <w:p w14:paraId="196CA45A" w14:textId="77777777" w:rsidR="00BA19F7" w:rsidRPr="00F832F8" w:rsidRDefault="00BA19F7" w:rsidP="008D425E">
            <w:pPr>
              <w:spacing w:line="280" w:lineRule="atLeast"/>
              <w:rPr>
                <w:rFonts w:eastAsia="Arial"/>
                <w:sz w:val="22"/>
                <w:szCs w:val="22"/>
              </w:rPr>
            </w:pPr>
            <w:r w:rsidRPr="00F832F8">
              <w:rPr>
                <w:rFonts w:eastAsia="Arial"/>
                <w:iCs/>
                <w:sz w:val="22"/>
                <w:szCs w:val="22"/>
              </w:rPr>
              <w:t>Viso (bendrieji kaštai):</w:t>
            </w:r>
          </w:p>
        </w:tc>
        <w:tc>
          <w:tcPr>
            <w:tcW w:w="1750" w:type="dxa"/>
          </w:tcPr>
          <w:p w14:paraId="77E9DA32" w14:textId="4734D5BE" w:rsidR="00BA19F7" w:rsidRPr="000B3858" w:rsidRDefault="000B3858" w:rsidP="008D425E">
            <w:pPr>
              <w:spacing w:line="280" w:lineRule="atLeast"/>
              <w:rPr>
                <w:rFonts w:eastAsia="Arial"/>
                <w:sz w:val="22"/>
                <w:szCs w:val="22"/>
                <w:lang w:val="en-US"/>
              </w:rPr>
            </w:pPr>
            <w:r>
              <w:rPr>
                <w:color w:val="000000"/>
                <w:sz w:val="22"/>
                <w:szCs w:val="22"/>
                <w:lang w:val="en-US" w:eastAsia="lt-LT"/>
              </w:rPr>
              <w:t>*****</w:t>
            </w:r>
          </w:p>
        </w:tc>
        <w:tc>
          <w:tcPr>
            <w:tcW w:w="5355" w:type="dxa"/>
            <w:gridSpan w:val="5"/>
            <w:tcBorders>
              <w:right w:val="single" w:sz="12" w:space="0" w:color="auto"/>
            </w:tcBorders>
          </w:tcPr>
          <w:p w14:paraId="6164B7A2" w14:textId="50245380" w:rsidR="00BA19F7" w:rsidRPr="00F832F8" w:rsidRDefault="000B3858" w:rsidP="008D425E">
            <w:pPr>
              <w:spacing w:line="280" w:lineRule="atLeast"/>
              <w:rPr>
                <w:rFonts w:eastAsia="Arial"/>
                <w:sz w:val="22"/>
                <w:szCs w:val="22"/>
              </w:rPr>
            </w:pPr>
            <w:r>
              <w:rPr>
                <w:color w:val="000000"/>
                <w:sz w:val="22"/>
                <w:szCs w:val="22"/>
                <w:lang w:eastAsia="lt-LT"/>
              </w:rPr>
              <w:t>*****</w:t>
            </w:r>
          </w:p>
        </w:tc>
      </w:tr>
      <w:tr w:rsidR="00BA19F7" w:rsidRPr="00F832F8" w14:paraId="343577FA" w14:textId="77777777" w:rsidTr="008D425E">
        <w:trPr>
          <w:trHeight w:val="315"/>
        </w:trPr>
        <w:tc>
          <w:tcPr>
            <w:tcW w:w="4439" w:type="dxa"/>
            <w:gridSpan w:val="2"/>
            <w:tcBorders>
              <w:left w:val="single" w:sz="12" w:space="0" w:color="auto"/>
            </w:tcBorders>
            <w:hideMark/>
          </w:tcPr>
          <w:p w14:paraId="58E88C12" w14:textId="77777777" w:rsidR="00BA19F7" w:rsidRPr="00F832F8" w:rsidRDefault="00BA19F7" w:rsidP="008D425E">
            <w:pPr>
              <w:spacing w:line="280" w:lineRule="atLeast"/>
              <w:rPr>
                <w:rFonts w:eastAsia="Arial"/>
                <w:b/>
                <w:bCs/>
                <w:sz w:val="22"/>
                <w:szCs w:val="22"/>
              </w:rPr>
            </w:pPr>
            <w:r w:rsidRPr="00F832F8">
              <w:rPr>
                <w:rFonts w:eastAsia="Arial"/>
                <w:b/>
                <w:bCs/>
                <w:iCs/>
                <w:sz w:val="22"/>
                <w:szCs w:val="22"/>
              </w:rPr>
              <w:t>Kaštų skirtumas:</w:t>
            </w:r>
          </w:p>
        </w:tc>
        <w:tc>
          <w:tcPr>
            <w:tcW w:w="5355" w:type="dxa"/>
            <w:gridSpan w:val="5"/>
            <w:tcBorders>
              <w:right w:val="single" w:sz="12" w:space="0" w:color="auto"/>
            </w:tcBorders>
          </w:tcPr>
          <w:p w14:paraId="6C528140" w14:textId="3943815A" w:rsidR="00BA19F7" w:rsidRPr="00355161" w:rsidRDefault="00355161" w:rsidP="008D425E">
            <w:pPr>
              <w:spacing w:line="280" w:lineRule="atLeast"/>
              <w:rPr>
                <w:rFonts w:eastAsia="Arial"/>
                <w:b/>
                <w:bCs/>
                <w:sz w:val="22"/>
                <w:szCs w:val="22"/>
                <w:lang w:val="en-US"/>
              </w:rPr>
            </w:pPr>
            <w:r>
              <w:rPr>
                <w:color w:val="000000"/>
                <w:sz w:val="22"/>
                <w:szCs w:val="22"/>
                <w:lang w:eastAsia="lt-LT"/>
              </w:rPr>
              <w:t>*****</w:t>
            </w:r>
          </w:p>
        </w:tc>
      </w:tr>
      <w:tr w:rsidR="00BA19F7" w:rsidRPr="00F832F8" w14:paraId="28734F27" w14:textId="77777777" w:rsidTr="008D425E">
        <w:trPr>
          <w:trHeight w:val="545"/>
        </w:trPr>
        <w:tc>
          <w:tcPr>
            <w:tcW w:w="2689" w:type="dxa"/>
            <w:tcBorders>
              <w:left w:val="single" w:sz="12" w:space="0" w:color="auto"/>
            </w:tcBorders>
            <w:hideMark/>
          </w:tcPr>
          <w:p w14:paraId="024871E3" w14:textId="77777777" w:rsidR="00BA19F7" w:rsidRPr="00F832F8" w:rsidRDefault="00BA19F7" w:rsidP="008D425E">
            <w:pPr>
              <w:spacing w:line="280" w:lineRule="atLeast"/>
              <w:rPr>
                <w:rFonts w:eastAsia="Arial"/>
                <w:i/>
                <w:iCs/>
                <w:sz w:val="22"/>
                <w:szCs w:val="22"/>
              </w:rPr>
            </w:pPr>
            <w:r w:rsidRPr="00F832F8">
              <w:rPr>
                <w:rFonts w:eastAsia="Arial"/>
                <w:bCs/>
                <w:i/>
                <w:iCs/>
                <w:sz w:val="22"/>
                <w:szCs w:val="22"/>
              </w:rPr>
              <w:t>Kokybiški gyvenimo metai (QALY)</w:t>
            </w:r>
          </w:p>
        </w:tc>
        <w:tc>
          <w:tcPr>
            <w:tcW w:w="1750" w:type="dxa"/>
          </w:tcPr>
          <w:p w14:paraId="3045D08E" w14:textId="355317B9" w:rsidR="00BA19F7" w:rsidRPr="00F832F8" w:rsidRDefault="00355161" w:rsidP="008D425E">
            <w:pPr>
              <w:spacing w:line="280" w:lineRule="atLeast"/>
              <w:rPr>
                <w:rFonts w:eastAsia="Arial"/>
                <w:sz w:val="22"/>
                <w:szCs w:val="22"/>
              </w:rPr>
            </w:pPr>
            <w:r>
              <w:rPr>
                <w:color w:val="000000"/>
                <w:sz w:val="22"/>
                <w:szCs w:val="22"/>
                <w:lang w:eastAsia="lt-LT"/>
              </w:rPr>
              <w:t>*****</w:t>
            </w:r>
          </w:p>
        </w:tc>
        <w:tc>
          <w:tcPr>
            <w:tcW w:w="5355" w:type="dxa"/>
            <w:gridSpan w:val="5"/>
            <w:tcBorders>
              <w:right w:val="single" w:sz="12" w:space="0" w:color="auto"/>
            </w:tcBorders>
          </w:tcPr>
          <w:p w14:paraId="015EAF2F" w14:textId="68D99F47" w:rsidR="00BA19F7" w:rsidRPr="00F832F8" w:rsidRDefault="00355161" w:rsidP="008D425E">
            <w:pPr>
              <w:spacing w:line="280" w:lineRule="atLeast"/>
              <w:rPr>
                <w:rFonts w:eastAsia="Arial"/>
                <w:sz w:val="22"/>
                <w:szCs w:val="22"/>
              </w:rPr>
            </w:pPr>
            <w:r>
              <w:rPr>
                <w:color w:val="000000"/>
                <w:sz w:val="22"/>
                <w:szCs w:val="22"/>
                <w:lang w:eastAsia="lt-LT"/>
              </w:rPr>
              <w:t>*****</w:t>
            </w:r>
          </w:p>
        </w:tc>
      </w:tr>
      <w:tr w:rsidR="00BA19F7" w:rsidRPr="00F832F8" w14:paraId="238A310E" w14:textId="77777777" w:rsidTr="008D425E">
        <w:trPr>
          <w:trHeight w:val="300"/>
        </w:trPr>
        <w:tc>
          <w:tcPr>
            <w:tcW w:w="4439" w:type="dxa"/>
            <w:gridSpan w:val="2"/>
            <w:tcBorders>
              <w:left w:val="single" w:sz="12" w:space="0" w:color="auto"/>
            </w:tcBorders>
            <w:hideMark/>
          </w:tcPr>
          <w:p w14:paraId="6AB06408" w14:textId="77777777" w:rsidR="00BA19F7" w:rsidRPr="00F832F8" w:rsidRDefault="00BA19F7" w:rsidP="008D425E">
            <w:pPr>
              <w:spacing w:line="280" w:lineRule="atLeast"/>
              <w:rPr>
                <w:rFonts w:eastAsia="Arial"/>
                <w:b/>
                <w:sz w:val="22"/>
                <w:szCs w:val="22"/>
              </w:rPr>
            </w:pPr>
            <w:proofErr w:type="spellStart"/>
            <w:r w:rsidRPr="00F832F8">
              <w:rPr>
                <w:rFonts w:eastAsia="Arial"/>
                <w:b/>
                <w:sz w:val="22"/>
                <w:szCs w:val="22"/>
              </w:rPr>
              <w:t>QALYs</w:t>
            </w:r>
            <w:proofErr w:type="spellEnd"/>
            <w:r w:rsidRPr="00F832F8">
              <w:rPr>
                <w:rFonts w:eastAsia="Arial"/>
                <w:b/>
                <w:sz w:val="22"/>
                <w:szCs w:val="22"/>
              </w:rPr>
              <w:t xml:space="preserve"> skirtumas:</w:t>
            </w:r>
          </w:p>
        </w:tc>
        <w:tc>
          <w:tcPr>
            <w:tcW w:w="5355" w:type="dxa"/>
            <w:gridSpan w:val="5"/>
            <w:tcBorders>
              <w:right w:val="single" w:sz="12" w:space="0" w:color="auto"/>
            </w:tcBorders>
          </w:tcPr>
          <w:p w14:paraId="0BFA7C96" w14:textId="0CC6BFA7" w:rsidR="00BA19F7" w:rsidRPr="00F832F8" w:rsidRDefault="00355161" w:rsidP="008D425E">
            <w:pPr>
              <w:spacing w:line="280" w:lineRule="atLeast"/>
              <w:rPr>
                <w:rFonts w:eastAsia="Arial"/>
                <w:b/>
                <w:sz w:val="22"/>
                <w:szCs w:val="22"/>
              </w:rPr>
            </w:pPr>
            <w:r>
              <w:rPr>
                <w:color w:val="000000"/>
                <w:sz w:val="22"/>
                <w:szCs w:val="22"/>
                <w:lang w:eastAsia="lt-LT"/>
              </w:rPr>
              <w:t>*****</w:t>
            </w:r>
          </w:p>
        </w:tc>
      </w:tr>
      <w:tr w:rsidR="00BA19F7" w:rsidRPr="00F832F8" w14:paraId="1F74EF9B" w14:textId="77777777" w:rsidTr="008D425E">
        <w:trPr>
          <w:trHeight w:val="300"/>
        </w:trPr>
        <w:tc>
          <w:tcPr>
            <w:tcW w:w="9794" w:type="dxa"/>
            <w:gridSpan w:val="7"/>
            <w:tcBorders>
              <w:left w:val="single" w:sz="12" w:space="0" w:color="auto"/>
              <w:right w:val="single" w:sz="12" w:space="0" w:color="auto"/>
            </w:tcBorders>
            <w:hideMark/>
          </w:tcPr>
          <w:p w14:paraId="0788A029" w14:textId="77777777" w:rsidR="00BA19F7" w:rsidRPr="00F832F8" w:rsidRDefault="00BA19F7" w:rsidP="008D425E">
            <w:pPr>
              <w:spacing w:line="280" w:lineRule="atLeast"/>
              <w:rPr>
                <w:rFonts w:eastAsia="Arial"/>
                <w:b/>
                <w:bCs/>
                <w:sz w:val="22"/>
                <w:szCs w:val="22"/>
              </w:rPr>
            </w:pPr>
            <w:r w:rsidRPr="00F832F8">
              <w:rPr>
                <w:rFonts w:eastAsia="Arial"/>
                <w:b/>
                <w:bCs/>
                <w:sz w:val="22"/>
                <w:szCs w:val="22"/>
              </w:rPr>
              <w:t>Rezultatai</w:t>
            </w:r>
          </w:p>
        </w:tc>
      </w:tr>
      <w:tr w:rsidR="00BA19F7" w:rsidRPr="00F832F8" w14:paraId="7DECA5BA" w14:textId="77777777" w:rsidTr="008D425E">
        <w:trPr>
          <w:trHeight w:val="300"/>
        </w:trPr>
        <w:tc>
          <w:tcPr>
            <w:tcW w:w="4439" w:type="dxa"/>
            <w:gridSpan w:val="2"/>
            <w:tcBorders>
              <w:left w:val="single" w:sz="12" w:space="0" w:color="auto"/>
            </w:tcBorders>
          </w:tcPr>
          <w:p w14:paraId="6418D550" w14:textId="77777777" w:rsidR="00BA19F7" w:rsidRPr="00F832F8" w:rsidRDefault="00BA19F7" w:rsidP="008D425E">
            <w:pPr>
              <w:spacing w:line="280" w:lineRule="atLeast"/>
              <w:rPr>
                <w:rFonts w:eastAsia="Arial"/>
                <w:sz w:val="22"/>
                <w:szCs w:val="22"/>
              </w:rPr>
            </w:pPr>
            <w:r w:rsidRPr="00F832F8">
              <w:rPr>
                <w:iCs/>
                <w:sz w:val="22"/>
                <w:szCs w:val="22"/>
                <w:lang w:eastAsia="lt-LT"/>
              </w:rPr>
              <w:t>ICER už LY</w:t>
            </w:r>
          </w:p>
        </w:tc>
        <w:tc>
          <w:tcPr>
            <w:tcW w:w="5355" w:type="dxa"/>
            <w:gridSpan w:val="5"/>
            <w:tcBorders>
              <w:right w:val="single" w:sz="12" w:space="0" w:color="auto"/>
            </w:tcBorders>
          </w:tcPr>
          <w:p w14:paraId="27BC4D42" w14:textId="3D33BC73" w:rsidR="00BA19F7" w:rsidRPr="00F832F8" w:rsidRDefault="00355161" w:rsidP="008D425E">
            <w:pPr>
              <w:spacing w:line="280" w:lineRule="atLeast"/>
              <w:rPr>
                <w:rFonts w:eastAsia="Arial"/>
                <w:sz w:val="22"/>
                <w:szCs w:val="22"/>
              </w:rPr>
            </w:pPr>
            <w:r>
              <w:rPr>
                <w:color w:val="000000"/>
                <w:sz w:val="22"/>
                <w:szCs w:val="22"/>
                <w:lang w:eastAsia="lt-LT"/>
              </w:rPr>
              <w:t>*****</w:t>
            </w:r>
          </w:p>
        </w:tc>
      </w:tr>
      <w:tr w:rsidR="00BA19F7" w:rsidRPr="00F832F8" w14:paraId="44F16745" w14:textId="77777777" w:rsidTr="008D425E">
        <w:trPr>
          <w:trHeight w:val="300"/>
        </w:trPr>
        <w:tc>
          <w:tcPr>
            <w:tcW w:w="4439" w:type="dxa"/>
            <w:gridSpan w:val="2"/>
            <w:tcBorders>
              <w:left w:val="single" w:sz="12" w:space="0" w:color="auto"/>
              <w:bottom w:val="single" w:sz="12" w:space="0" w:color="auto"/>
            </w:tcBorders>
          </w:tcPr>
          <w:p w14:paraId="7A9EDF15" w14:textId="77777777" w:rsidR="00BA19F7" w:rsidRPr="00F832F8" w:rsidRDefault="00BA19F7" w:rsidP="008D425E">
            <w:pPr>
              <w:spacing w:line="280" w:lineRule="atLeast"/>
              <w:rPr>
                <w:rFonts w:eastAsia="Arial"/>
                <w:b/>
                <w:bCs/>
                <w:sz w:val="22"/>
                <w:szCs w:val="22"/>
              </w:rPr>
            </w:pPr>
            <w:r w:rsidRPr="00F832F8">
              <w:rPr>
                <w:b/>
                <w:iCs/>
                <w:sz w:val="22"/>
                <w:szCs w:val="22"/>
                <w:lang w:eastAsia="lt-LT"/>
              </w:rPr>
              <w:t>ICER už QALY</w:t>
            </w:r>
          </w:p>
        </w:tc>
        <w:tc>
          <w:tcPr>
            <w:tcW w:w="5355" w:type="dxa"/>
            <w:gridSpan w:val="5"/>
            <w:tcBorders>
              <w:bottom w:val="single" w:sz="12" w:space="0" w:color="auto"/>
              <w:right w:val="single" w:sz="12" w:space="0" w:color="auto"/>
            </w:tcBorders>
          </w:tcPr>
          <w:p w14:paraId="3BE1150D" w14:textId="09B0E7F1" w:rsidR="00BA19F7" w:rsidRPr="00F832F8" w:rsidRDefault="00355161" w:rsidP="008D425E">
            <w:pPr>
              <w:spacing w:line="280" w:lineRule="atLeast"/>
              <w:rPr>
                <w:rFonts w:eastAsia="Arial"/>
                <w:b/>
                <w:bCs/>
                <w:sz w:val="22"/>
                <w:szCs w:val="22"/>
              </w:rPr>
            </w:pPr>
            <w:r>
              <w:rPr>
                <w:color w:val="000000"/>
                <w:sz w:val="22"/>
                <w:szCs w:val="22"/>
                <w:lang w:eastAsia="lt-LT"/>
              </w:rPr>
              <w:t>*****</w:t>
            </w:r>
          </w:p>
        </w:tc>
      </w:tr>
      <w:tr w:rsidR="00BA19F7" w:rsidRPr="00F832F8" w14:paraId="149C2420" w14:textId="77777777" w:rsidTr="008D425E">
        <w:trPr>
          <w:trHeight w:val="300"/>
        </w:trPr>
        <w:tc>
          <w:tcPr>
            <w:tcW w:w="9794" w:type="dxa"/>
            <w:gridSpan w:val="7"/>
            <w:tcBorders>
              <w:top w:val="single" w:sz="12" w:space="0" w:color="auto"/>
              <w:left w:val="single" w:sz="12" w:space="0" w:color="auto"/>
              <w:right w:val="single" w:sz="12" w:space="0" w:color="auto"/>
            </w:tcBorders>
          </w:tcPr>
          <w:p w14:paraId="7C1389D8" w14:textId="77777777" w:rsidR="00BA19F7" w:rsidRPr="00F832F8" w:rsidRDefault="00BA19F7" w:rsidP="008D425E">
            <w:pPr>
              <w:spacing w:line="280" w:lineRule="atLeast"/>
              <w:rPr>
                <w:b/>
                <w:color w:val="000000"/>
                <w:sz w:val="22"/>
                <w:szCs w:val="22"/>
                <w:lang w:eastAsia="lt-LT"/>
              </w:rPr>
            </w:pPr>
            <w:r w:rsidRPr="00F832F8">
              <w:rPr>
                <w:rFonts w:eastAsia="Arial"/>
                <w:b/>
                <w:i/>
                <w:iCs/>
                <w:sz w:val="22"/>
                <w:szCs w:val="22"/>
              </w:rPr>
              <w:t>Kasos (P-NEN)</w:t>
            </w:r>
            <w:r w:rsidRPr="00F832F8">
              <w:rPr>
                <w:rFonts w:eastAsia="Arial"/>
                <w:b/>
                <w:i/>
                <w:sz w:val="22"/>
                <w:szCs w:val="22"/>
              </w:rPr>
              <w:t xml:space="preserve"> pogrupis</w:t>
            </w:r>
          </w:p>
        </w:tc>
      </w:tr>
      <w:tr w:rsidR="00BA19F7" w:rsidRPr="00F832F8" w14:paraId="4F4D07E0" w14:textId="77777777" w:rsidTr="008D425E">
        <w:trPr>
          <w:trHeight w:val="377"/>
        </w:trPr>
        <w:tc>
          <w:tcPr>
            <w:tcW w:w="2689" w:type="dxa"/>
            <w:vMerge w:val="restart"/>
            <w:tcBorders>
              <w:top w:val="single" w:sz="4" w:space="0" w:color="auto"/>
              <w:left w:val="single" w:sz="12" w:space="0" w:color="auto"/>
            </w:tcBorders>
            <w:hideMark/>
          </w:tcPr>
          <w:p w14:paraId="45228E75" w14:textId="77777777" w:rsidR="00BA19F7" w:rsidRPr="00F832F8" w:rsidRDefault="00BA19F7" w:rsidP="008D425E">
            <w:pPr>
              <w:spacing w:line="280" w:lineRule="atLeast"/>
              <w:rPr>
                <w:rFonts w:eastAsia="Arial"/>
                <w:b/>
                <w:i/>
                <w:iCs/>
                <w:sz w:val="22"/>
                <w:szCs w:val="22"/>
              </w:rPr>
            </w:pPr>
            <w:r w:rsidRPr="00F832F8">
              <w:rPr>
                <w:rFonts w:eastAsia="Arial"/>
                <w:b/>
                <w:i/>
                <w:iCs/>
                <w:sz w:val="22"/>
                <w:szCs w:val="22"/>
              </w:rPr>
              <w:t>Kaštai</w:t>
            </w:r>
          </w:p>
        </w:tc>
        <w:tc>
          <w:tcPr>
            <w:tcW w:w="1750" w:type="dxa"/>
            <w:vMerge w:val="restart"/>
            <w:tcBorders>
              <w:top w:val="single" w:sz="4" w:space="0" w:color="auto"/>
            </w:tcBorders>
            <w:hideMark/>
          </w:tcPr>
          <w:p w14:paraId="59BFE622" w14:textId="77777777" w:rsidR="00BA19F7" w:rsidRPr="00F832F8" w:rsidRDefault="00BA19F7" w:rsidP="008D425E">
            <w:pPr>
              <w:spacing w:line="280" w:lineRule="atLeast"/>
              <w:rPr>
                <w:rFonts w:eastAsia="Arial"/>
                <w:b/>
                <w:bCs/>
                <w:i/>
                <w:iCs/>
                <w:sz w:val="22"/>
                <w:szCs w:val="22"/>
              </w:rPr>
            </w:pPr>
            <w:proofErr w:type="spellStart"/>
            <w:r w:rsidRPr="00F832F8">
              <w:rPr>
                <w:rFonts w:eastAsia="Arial"/>
                <w:b/>
                <w:bCs/>
                <w:i/>
                <w:iCs/>
                <w:sz w:val="22"/>
                <w:szCs w:val="22"/>
              </w:rPr>
              <w:t>Lutecio</w:t>
            </w:r>
            <w:proofErr w:type="spellEnd"/>
            <w:r w:rsidRPr="00F832F8">
              <w:rPr>
                <w:rFonts w:eastAsia="Arial"/>
                <w:b/>
                <w:bCs/>
                <w:i/>
                <w:iCs/>
                <w:sz w:val="22"/>
                <w:szCs w:val="22"/>
              </w:rPr>
              <w:t xml:space="preserve"> (</w:t>
            </w:r>
            <w:r w:rsidRPr="00F832F8">
              <w:rPr>
                <w:rFonts w:eastAsia="Arial"/>
                <w:b/>
                <w:bCs/>
                <w:i/>
                <w:iCs/>
                <w:sz w:val="22"/>
                <w:szCs w:val="22"/>
                <w:vertAlign w:val="superscript"/>
              </w:rPr>
              <w:t>177</w:t>
            </w:r>
            <w:r w:rsidRPr="00F832F8">
              <w:rPr>
                <w:rFonts w:eastAsia="Arial"/>
                <w:b/>
                <w:bCs/>
                <w:i/>
                <w:iCs/>
                <w:sz w:val="22"/>
                <w:szCs w:val="22"/>
              </w:rPr>
              <w:t xml:space="preserve">Lu) </w:t>
            </w:r>
            <w:proofErr w:type="spellStart"/>
            <w:r w:rsidRPr="00F832F8">
              <w:rPr>
                <w:rFonts w:eastAsia="Arial"/>
                <w:b/>
                <w:bCs/>
                <w:i/>
                <w:iCs/>
                <w:sz w:val="22"/>
                <w:szCs w:val="22"/>
              </w:rPr>
              <w:t>oksodotreotidas</w:t>
            </w:r>
            <w:proofErr w:type="spellEnd"/>
          </w:p>
        </w:tc>
        <w:tc>
          <w:tcPr>
            <w:tcW w:w="1268" w:type="dxa"/>
            <w:tcBorders>
              <w:top w:val="single" w:sz="4" w:space="0" w:color="auto"/>
            </w:tcBorders>
            <w:hideMark/>
          </w:tcPr>
          <w:p w14:paraId="31EC9911" w14:textId="77777777" w:rsidR="00BA19F7" w:rsidRPr="00F832F8" w:rsidRDefault="00BA19F7" w:rsidP="008D425E">
            <w:pPr>
              <w:spacing w:line="280" w:lineRule="atLeast"/>
              <w:rPr>
                <w:rFonts w:eastAsia="Arial"/>
                <w:b/>
                <w:bCs/>
                <w:i/>
                <w:iCs/>
                <w:sz w:val="22"/>
                <w:szCs w:val="22"/>
              </w:rPr>
            </w:pPr>
            <w:proofErr w:type="spellStart"/>
            <w:r w:rsidRPr="00F832F8">
              <w:rPr>
                <w:rFonts w:eastAsia="Arial"/>
                <w:b/>
                <w:bCs/>
                <w:i/>
                <w:iCs/>
                <w:sz w:val="22"/>
                <w:szCs w:val="22"/>
              </w:rPr>
              <w:t>Oktreotidas</w:t>
            </w:r>
            <w:proofErr w:type="spellEnd"/>
            <w:r w:rsidRPr="00F832F8">
              <w:rPr>
                <w:rFonts w:eastAsia="Arial"/>
                <w:b/>
                <w:bCs/>
                <w:i/>
                <w:iCs/>
                <w:sz w:val="22"/>
                <w:szCs w:val="22"/>
              </w:rPr>
              <w:t xml:space="preserve"> </w:t>
            </w:r>
          </w:p>
        </w:tc>
        <w:tc>
          <w:tcPr>
            <w:tcW w:w="1985" w:type="dxa"/>
            <w:gridSpan w:val="2"/>
            <w:tcBorders>
              <w:top w:val="single" w:sz="4" w:space="0" w:color="auto"/>
            </w:tcBorders>
            <w:hideMark/>
          </w:tcPr>
          <w:p w14:paraId="5CB8FE89" w14:textId="77777777" w:rsidR="00BA19F7" w:rsidRPr="00F832F8" w:rsidRDefault="00BA19F7" w:rsidP="008D425E">
            <w:pPr>
              <w:spacing w:line="280" w:lineRule="atLeast"/>
              <w:rPr>
                <w:rFonts w:eastAsia="Arial"/>
                <w:b/>
                <w:bCs/>
                <w:i/>
                <w:iCs/>
                <w:sz w:val="22"/>
                <w:szCs w:val="22"/>
              </w:rPr>
            </w:pPr>
            <w:proofErr w:type="spellStart"/>
            <w:r w:rsidRPr="00F832F8">
              <w:rPr>
                <w:rFonts w:eastAsia="Arial"/>
                <w:b/>
                <w:bCs/>
                <w:i/>
                <w:iCs/>
                <w:sz w:val="22"/>
                <w:szCs w:val="22"/>
              </w:rPr>
              <w:t>Everolimuzas</w:t>
            </w:r>
            <w:proofErr w:type="spellEnd"/>
          </w:p>
        </w:tc>
        <w:tc>
          <w:tcPr>
            <w:tcW w:w="2102" w:type="dxa"/>
            <w:gridSpan w:val="2"/>
            <w:tcBorders>
              <w:top w:val="single" w:sz="4" w:space="0" w:color="auto"/>
              <w:right w:val="single" w:sz="12" w:space="0" w:color="auto"/>
            </w:tcBorders>
            <w:hideMark/>
          </w:tcPr>
          <w:p w14:paraId="4009B40C" w14:textId="77777777" w:rsidR="00BA19F7" w:rsidRPr="00F832F8" w:rsidRDefault="00BA19F7" w:rsidP="008D425E">
            <w:pPr>
              <w:spacing w:line="280" w:lineRule="atLeast"/>
              <w:rPr>
                <w:rFonts w:eastAsia="Arial"/>
                <w:b/>
                <w:bCs/>
                <w:i/>
                <w:iCs/>
                <w:sz w:val="22"/>
                <w:szCs w:val="22"/>
              </w:rPr>
            </w:pPr>
            <w:proofErr w:type="spellStart"/>
            <w:r w:rsidRPr="00F832F8">
              <w:rPr>
                <w:rFonts w:eastAsia="Arial"/>
                <w:b/>
                <w:bCs/>
                <w:i/>
                <w:iCs/>
                <w:sz w:val="22"/>
                <w:szCs w:val="22"/>
              </w:rPr>
              <w:t>Sunitinibas</w:t>
            </w:r>
            <w:proofErr w:type="spellEnd"/>
          </w:p>
        </w:tc>
      </w:tr>
      <w:tr w:rsidR="00BA19F7" w:rsidRPr="00F832F8" w14:paraId="139A2283" w14:textId="77777777" w:rsidTr="008D425E">
        <w:trPr>
          <w:trHeight w:val="269"/>
        </w:trPr>
        <w:tc>
          <w:tcPr>
            <w:tcW w:w="2689" w:type="dxa"/>
            <w:vMerge/>
            <w:tcBorders>
              <w:left w:val="single" w:sz="12" w:space="0" w:color="auto"/>
            </w:tcBorders>
            <w:hideMark/>
          </w:tcPr>
          <w:p w14:paraId="5933FC35" w14:textId="77777777" w:rsidR="00BA19F7" w:rsidRPr="00F832F8" w:rsidRDefault="00BA19F7" w:rsidP="008D425E">
            <w:pPr>
              <w:spacing w:line="280" w:lineRule="atLeast"/>
              <w:rPr>
                <w:rFonts w:eastAsia="Arial"/>
                <w:i/>
                <w:iCs/>
                <w:sz w:val="22"/>
                <w:szCs w:val="22"/>
              </w:rPr>
            </w:pPr>
          </w:p>
        </w:tc>
        <w:tc>
          <w:tcPr>
            <w:tcW w:w="1750" w:type="dxa"/>
            <w:vMerge/>
            <w:hideMark/>
          </w:tcPr>
          <w:p w14:paraId="3A5F634F" w14:textId="77777777" w:rsidR="00BA19F7" w:rsidRPr="00F832F8" w:rsidRDefault="00BA19F7" w:rsidP="008D425E">
            <w:pPr>
              <w:spacing w:line="280" w:lineRule="atLeast"/>
              <w:rPr>
                <w:rFonts w:eastAsia="Arial"/>
                <w:i/>
                <w:iCs/>
                <w:sz w:val="22"/>
                <w:szCs w:val="22"/>
              </w:rPr>
            </w:pPr>
          </w:p>
        </w:tc>
        <w:tc>
          <w:tcPr>
            <w:tcW w:w="1268" w:type="dxa"/>
            <w:hideMark/>
          </w:tcPr>
          <w:p w14:paraId="7871904F" w14:textId="77777777" w:rsidR="00BA19F7" w:rsidRPr="00F832F8" w:rsidRDefault="00BA19F7" w:rsidP="008D425E">
            <w:pPr>
              <w:spacing w:line="280" w:lineRule="atLeast"/>
              <w:rPr>
                <w:rFonts w:eastAsia="Arial"/>
                <w:i/>
                <w:iCs/>
                <w:sz w:val="22"/>
                <w:szCs w:val="22"/>
              </w:rPr>
            </w:pPr>
            <w:r w:rsidRPr="00F832F8">
              <w:rPr>
                <w:rFonts w:eastAsia="Arial"/>
                <w:i/>
                <w:iCs/>
                <w:sz w:val="22"/>
                <w:szCs w:val="22"/>
              </w:rPr>
              <w:t>MTC</w:t>
            </w:r>
          </w:p>
        </w:tc>
        <w:tc>
          <w:tcPr>
            <w:tcW w:w="1081" w:type="dxa"/>
            <w:hideMark/>
          </w:tcPr>
          <w:p w14:paraId="37BA12E6" w14:textId="77777777" w:rsidR="00BA19F7" w:rsidRPr="00F832F8" w:rsidRDefault="00BA19F7" w:rsidP="008D425E">
            <w:pPr>
              <w:spacing w:line="280" w:lineRule="atLeast"/>
              <w:rPr>
                <w:rFonts w:eastAsia="Arial"/>
                <w:i/>
                <w:iCs/>
                <w:sz w:val="22"/>
                <w:szCs w:val="22"/>
              </w:rPr>
            </w:pPr>
            <w:r w:rsidRPr="00F832F8">
              <w:rPr>
                <w:rFonts w:eastAsia="Arial"/>
                <w:i/>
                <w:iCs/>
                <w:sz w:val="22"/>
                <w:szCs w:val="22"/>
              </w:rPr>
              <w:t>MTC</w:t>
            </w:r>
          </w:p>
        </w:tc>
        <w:tc>
          <w:tcPr>
            <w:tcW w:w="904" w:type="dxa"/>
            <w:hideMark/>
          </w:tcPr>
          <w:p w14:paraId="7873C01E" w14:textId="77777777" w:rsidR="00BA19F7" w:rsidRPr="00F832F8" w:rsidRDefault="00BA19F7" w:rsidP="008D425E">
            <w:pPr>
              <w:spacing w:line="280" w:lineRule="atLeast"/>
              <w:rPr>
                <w:rFonts w:eastAsia="Arial"/>
                <w:i/>
                <w:iCs/>
                <w:sz w:val="22"/>
                <w:szCs w:val="22"/>
              </w:rPr>
            </w:pPr>
            <w:r w:rsidRPr="00F832F8">
              <w:rPr>
                <w:rFonts w:eastAsia="Arial"/>
                <w:i/>
                <w:iCs/>
                <w:sz w:val="22"/>
                <w:szCs w:val="22"/>
              </w:rPr>
              <w:t>MAIC</w:t>
            </w:r>
          </w:p>
        </w:tc>
        <w:tc>
          <w:tcPr>
            <w:tcW w:w="1092" w:type="dxa"/>
            <w:hideMark/>
          </w:tcPr>
          <w:p w14:paraId="0B9E3271" w14:textId="77777777" w:rsidR="00BA19F7" w:rsidRPr="00F832F8" w:rsidRDefault="00BA19F7" w:rsidP="008D425E">
            <w:pPr>
              <w:spacing w:line="280" w:lineRule="atLeast"/>
              <w:rPr>
                <w:rFonts w:eastAsia="Arial"/>
                <w:i/>
                <w:iCs/>
                <w:sz w:val="22"/>
                <w:szCs w:val="22"/>
              </w:rPr>
            </w:pPr>
            <w:r w:rsidRPr="00F832F8">
              <w:rPr>
                <w:rFonts w:eastAsia="Arial"/>
                <w:i/>
                <w:iCs/>
                <w:sz w:val="22"/>
                <w:szCs w:val="22"/>
              </w:rPr>
              <w:t>MTC</w:t>
            </w:r>
          </w:p>
        </w:tc>
        <w:tc>
          <w:tcPr>
            <w:tcW w:w="1010" w:type="dxa"/>
            <w:tcBorders>
              <w:right w:val="single" w:sz="12" w:space="0" w:color="auto"/>
            </w:tcBorders>
            <w:hideMark/>
          </w:tcPr>
          <w:p w14:paraId="4F01D01F" w14:textId="77777777" w:rsidR="00BA19F7" w:rsidRPr="00F832F8" w:rsidRDefault="00BA19F7" w:rsidP="008D425E">
            <w:pPr>
              <w:spacing w:line="280" w:lineRule="atLeast"/>
              <w:rPr>
                <w:rFonts w:eastAsia="Arial"/>
                <w:i/>
                <w:iCs/>
                <w:sz w:val="22"/>
                <w:szCs w:val="22"/>
              </w:rPr>
            </w:pPr>
            <w:r w:rsidRPr="00F832F8">
              <w:rPr>
                <w:rFonts w:eastAsia="Arial"/>
                <w:i/>
                <w:iCs/>
                <w:sz w:val="22"/>
                <w:szCs w:val="22"/>
              </w:rPr>
              <w:t>MAIC</w:t>
            </w:r>
          </w:p>
        </w:tc>
      </w:tr>
      <w:tr w:rsidR="00BA19F7" w:rsidRPr="00F832F8" w14:paraId="4AB2B16A" w14:textId="77777777" w:rsidTr="008D425E">
        <w:trPr>
          <w:trHeight w:val="335"/>
        </w:trPr>
        <w:tc>
          <w:tcPr>
            <w:tcW w:w="2689" w:type="dxa"/>
            <w:tcBorders>
              <w:left w:val="single" w:sz="12" w:space="0" w:color="auto"/>
            </w:tcBorders>
          </w:tcPr>
          <w:p w14:paraId="1B2AA8A0" w14:textId="77777777" w:rsidR="00BA19F7" w:rsidRPr="00F832F8" w:rsidRDefault="00BA19F7" w:rsidP="008D425E">
            <w:pPr>
              <w:spacing w:line="280" w:lineRule="atLeast"/>
              <w:rPr>
                <w:rFonts w:eastAsia="Arial"/>
                <w:i/>
                <w:sz w:val="22"/>
                <w:szCs w:val="22"/>
              </w:rPr>
            </w:pPr>
            <w:r w:rsidRPr="00F832F8">
              <w:rPr>
                <w:rFonts w:eastAsia="Arial"/>
                <w:iCs/>
                <w:sz w:val="22"/>
                <w:szCs w:val="22"/>
              </w:rPr>
              <w:t>Viso (bendrieji kaštai):</w:t>
            </w:r>
          </w:p>
        </w:tc>
        <w:tc>
          <w:tcPr>
            <w:tcW w:w="1750" w:type="dxa"/>
          </w:tcPr>
          <w:p w14:paraId="4E93BBF8" w14:textId="394189E3" w:rsidR="00BA19F7" w:rsidRPr="00F832F8" w:rsidRDefault="000B3858" w:rsidP="008D425E">
            <w:pPr>
              <w:spacing w:line="280" w:lineRule="atLeast"/>
              <w:rPr>
                <w:rFonts w:eastAsia="Arial"/>
                <w:sz w:val="22"/>
                <w:szCs w:val="22"/>
              </w:rPr>
            </w:pPr>
            <w:r>
              <w:rPr>
                <w:rFonts w:eastAsia="Arial"/>
                <w:sz w:val="22"/>
                <w:szCs w:val="22"/>
              </w:rPr>
              <w:t>*****</w:t>
            </w:r>
          </w:p>
        </w:tc>
        <w:tc>
          <w:tcPr>
            <w:tcW w:w="1268" w:type="dxa"/>
          </w:tcPr>
          <w:p w14:paraId="149EFBA1" w14:textId="033CBB9C" w:rsidR="00BA19F7" w:rsidRPr="00F832F8" w:rsidRDefault="000B3858" w:rsidP="008D425E">
            <w:pPr>
              <w:spacing w:line="280" w:lineRule="atLeast"/>
              <w:rPr>
                <w:rFonts w:eastAsia="Arial"/>
                <w:sz w:val="22"/>
                <w:szCs w:val="22"/>
              </w:rPr>
            </w:pPr>
            <w:r>
              <w:rPr>
                <w:rFonts w:eastAsia="Arial"/>
                <w:sz w:val="22"/>
                <w:szCs w:val="22"/>
              </w:rPr>
              <w:t>*****</w:t>
            </w:r>
          </w:p>
        </w:tc>
        <w:tc>
          <w:tcPr>
            <w:tcW w:w="1081" w:type="dxa"/>
            <w:noWrap/>
          </w:tcPr>
          <w:p w14:paraId="3227FD7F" w14:textId="710FEDE5" w:rsidR="00BA19F7" w:rsidRPr="00F832F8" w:rsidRDefault="000B3858" w:rsidP="008D425E">
            <w:pPr>
              <w:spacing w:line="280" w:lineRule="atLeast"/>
              <w:rPr>
                <w:rFonts w:eastAsia="Arial"/>
                <w:sz w:val="22"/>
                <w:szCs w:val="22"/>
              </w:rPr>
            </w:pPr>
            <w:r>
              <w:rPr>
                <w:rFonts w:eastAsia="Arial"/>
                <w:sz w:val="22"/>
                <w:szCs w:val="22"/>
              </w:rPr>
              <w:t>*****</w:t>
            </w:r>
          </w:p>
        </w:tc>
        <w:tc>
          <w:tcPr>
            <w:tcW w:w="904" w:type="dxa"/>
            <w:noWrap/>
          </w:tcPr>
          <w:p w14:paraId="4334B8D8" w14:textId="61BE3204" w:rsidR="00BA19F7" w:rsidRPr="00F832F8" w:rsidRDefault="000B3858" w:rsidP="008D425E">
            <w:pPr>
              <w:spacing w:line="280" w:lineRule="atLeast"/>
              <w:rPr>
                <w:rFonts w:eastAsia="Arial"/>
                <w:sz w:val="22"/>
                <w:szCs w:val="22"/>
              </w:rPr>
            </w:pPr>
            <w:r>
              <w:rPr>
                <w:rFonts w:eastAsia="Arial"/>
                <w:sz w:val="22"/>
                <w:szCs w:val="22"/>
              </w:rPr>
              <w:t>*****</w:t>
            </w:r>
          </w:p>
        </w:tc>
        <w:tc>
          <w:tcPr>
            <w:tcW w:w="1092" w:type="dxa"/>
            <w:noWrap/>
          </w:tcPr>
          <w:p w14:paraId="58A409CA" w14:textId="2924C4AC" w:rsidR="00BA19F7" w:rsidRPr="00F832F8" w:rsidRDefault="000B3858" w:rsidP="008D425E">
            <w:pPr>
              <w:spacing w:line="280" w:lineRule="atLeast"/>
              <w:rPr>
                <w:rFonts w:eastAsia="Arial"/>
                <w:sz w:val="22"/>
                <w:szCs w:val="22"/>
              </w:rPr>
            </w:pPr>
            <w:r>
              <w:rPr>
                <w:rFonts w:eastAsia="Arial"/>
                <w:sz w:val="22"/>
                <w:szCs w:val="22"/>
              </w:rPr>
              <w:t>*****</w:t>
            </w:r>
          </w:p>
        </w:tc>
        <w:tc>
          <w:tcPr>
            <w:tcW w:w="1010" w:type="dxa"/>
            <w:tcBorders>
              <w:right w:val="single" w:sz="12" w:space="0" w:color="auto"/>
            </w:tcBorders>
            <w:noWrap/>
          </w:tcPr>
          <w:p w14:paraId="281863A0" w14:textId="4CDD3465" w:rsidR="00BA19F7" w:rsidRPr="00F832F8" w:rsidRDefault="000B3858" w:rsidP="008D425E">
            <w:pPr>
              <w:spacing w:line="280" w:lineRule="atLeast"/>
              <w:rPr>
                <w:rFonts w:eastAsia="Arial"/>
                <w:sz w:val="22"/>
                <w:szCs w:val="22"/>
              </w:rPr>
            </w:pPr>
            <w:r>
              <w:rPr>
                <w:rFonts w:eastAsia="Arial"/>
                <w:sz w:val="22"/>
                <w:szCs w:val="22"/>
              </w:rPr>
              <w:t>*****</w:t>
            </w:r>
          </w:p>
        </w:tc>
      </w:tr>
      <w:tr w:rsidR="00BA19F7" w:rsidRPr="00F832F8" w14:paraId="4F76591C" w14:textId="77777777" w:rsidTr="008D425E">
        <w:trPr>
          <w:trHeight w:val="350"/>
        </w:trPr>
        <w:tc>
          <w:tcPr>
            <w:tcW w:w="2689" w:type="dxa"/>
            <w:tcBorders>
              <w:left w:val="single" w:sz="12" w:space="0" w:color="auto"/>
            </w:tcBorders>
          </w:tcPr>
          <w:p w14:paraId="444D0381" w14:textId="77777777" w:rsidR="00BA19F7" w:rsidRPr="00F832F8" w:rsidRDefault="00BA19F7" w:rsidP="008D425E">
            <w:pPr>
              <w:spacing w:line="280" w:lineRule="atLeast"/>
              <w:rPr>
                <w:rFonts w:eastAsia="Arial"/>
                <w:i/>
                <w:sz w:val="22"/>
                <w:szCs w:val="22"/>
              </w:rPr>
            </w:pPr>
            <w:r w:rsidRPr="00F832F8">
              <w:rPr>
                <w:rFonts w:eastAsia="Arial"/>
                <w:b/>
                <w:bCs/>
                <w:iCs/>
                <w:sz w:val="22"/>
                <w:szCs w:val="22"/>
              </w:rPr>
              <w:t>Kaštų skirtumas:</w:t>
            </w:r>
          </w:p>
        </w:tc>
        <w:tc>
          <w:tcPr>
            <w:tcW w:w="1750" w:type="dxa"/>
          </w:tcPr>
          <w:p w14:paraId="598C3717" w14:textId="77777777" w:rsidR="00BA19F7" w:rsidRPr="00F832F8" w:rsidRDefault="00BA19F7" w:rsidP="008D425E">
            <w:pPr>
              <w:spacing w:line="280" w:lineRule="atLeast"/>
              <w:rPr>
                <w:rFonts w:eastAsia="Arial"/>
                <w:sz w:val="22"/>
                <w:szCs w:val="22"/>
              </w:rPr>
            </w:pPr>
          </w:p>
        </w:tc>
        <w:tc>
          <w:tcPr>
            <w:tcW w:w="1268" w:type="dxa"/>
          </w:tcPr>
          <w:p w14:paraId="732A5547" w14:textId="4230F0B3" w:rsidR="00BA19F7" w:rsidRPr="00F832F8" w:rsidRDefault="00355161" w:rsidP="008D425E">
            <w:pPr>
              <w:spacing w:line="280" w:lineRule="atLeast"/>
              <w:rPr>
                <w:rFonts w:eastAsia="Arial"/>
                <w:sz w:val="22"/>
                <w:szCs w:val="22"/>
              </w:rPr>
            </w:pPr>
            <w:r>
              <w:rPr>
                <w:color w:val="000000"/>
                <w:sz w:val="22"/>
                <w:szCs w:val="22"/>
                <w:lang w:eastAsia="lt-LT"/>
              </w:rPr>
              <w:t>*****</w:t>
            </w:r>
          </w:p>
        </w:tc>
        <w:tc>
          <w:tcPr>
            <w:tcW w:w="1081" w:type="dxa"/>
            <w:noWrap/>
          </w:tcPr>
          <w:p w14:paraId="3A168286" w14:textId="2F5EBCD0" w:rsidR="00BA19F7" w:rsidRPr="00F832F8" w:rsidRDefault="00355161" w:rsidP="00355161">
            <w:pPr>
              <w:spacing w:line="280" w:lineRule="atLeast"/>
              <w:rPr>
                <w:rFonts w:eastAsia="Arial"/>
                <w:sz w:val="22"/>
                <w:szCs w:val="22"/>
              </w:rPr>
            </w:pPr>
            <w:r>
              <w:rPr>
                <w:color w:val="000000"/>
                <w:sz w:val="22"/>
                <w:szCs w:val="22"/>
                <w:lang w:eastAsia="lt-LT"/>
              </w:rPr>
              <w:t>*****</w:t>
            </w:r>
          </w:p>
        </w:tc>
        <w:tc>
          <w:tcPr>
            <w:tcW w:w="904" w:type="dxa"/>
            <w:noWrap/>
          </w:tcPr>
          <w:p w14:paraId="0C9A20BB" w14:textId="7038EC8B" w:rsidR="00BA19F7" w:rsidRPr="00F832F8" w:rsidRDefault="00355161" w:rsidP="00355161">
            <w:pPr>
              <w:spacing w:line="280" w:lineRule="atLeast"/>
              <w:rPr>
                <w:rFonts w:eastAsia="Arial"/>
                <w:sz w:val="22"/>
                <w:szCs w:val="22"/>
              </w:rPr>
            </w:pPr>
            <w:r>
              <w:rPr>
                <w:color w:val="000000"/>
                <w:sz w:val="22"/>
                <w:szCs w:val="22"/>
                <w:lang w:eastAsia="lt-LT"/>
              </w:rPr>
              <w:t>*****</w:t>
            </w:r>
          </w:p>
        </w:tc>
        <w:tc>
          <w:tcPr>
            <w:tcW w:w="1092" w:type="dxa"/>
            <w:noWrap/>
          </w:tcPr>
          <w:p w14:paraId="0FE65571" w14:textId="4138AF2B" w:rsidR="00BA19F7" w:rsidRPr="00F832F8" w:rsidRDefault="00355161" w:rsidP="00355161">
            <w:pPr>
              <w:spacing w:line="280" w:lineRule="atLeast"/>
              <w:rPr>
                <w:rFonts w:eastAsia="Arial"/>
                <w:sz w:val="22"/>
                <w:szCs w:val="22"/>
              </w:rPr>
            </w:pPr>
            <w:r>
              <w:rPr>
                <w:color w:val="000000"/>
                <w:sz w:val="22"/>
                <w:szCs w:val="22"/>
                <w:lang w:eastAsia="lt-LT"/>
              </w:rPr>
              <w:t>*****</w:t>
            </w:r>
          </w:p>
        </w:tc>
        <w:tc>
          <w:tcPr>
            <w:tcW w:w="1010" w:type="dxa"/>
            <w:tcBorders>
              <w:right w:val="single" w:sz="12" w:space="0" w:color="auto"/>
            </w:tcBorders>
            <w:noWrap/>
          </w:tcPr>
          <w:p w14:paraId="126889AC" w14:textId="450011DF" w:rsidR="00BA19F7" w:rsidRPr="00F832F8" w:rsidRDefault="00355161" w:rsidP="00355161">
            <w:pPr>
              <w:spacing w:line="280" w:lineRule="atLeast"/>
              <w:rPr>
                <w:rFonts w:eastAsia="Arial"/>
                <w:sz w:val="22"/>
                <w:szCs w:val="22"/>
              </w:rPr>
            </w:pPr>
            <w:r>
              <w:rPr>
                <w:color w:val="000000"/>
                <w:sz w:val="22"/>
                <w:szCs w:val="22"/>
                <w:lang w:eastAsia="lt-LT"/>
              </w:rPr>
              <w:t>*****</w:t>
            </w:r>
          </w:p>
        </w:tc>
      </w:tr>
      <w:tr w:rsidR="00BA19F7" w:rsidRPr="00F832F8" w14:paraId="10B33495" w14:textId="77777777" w:rsidTr="008D425E">
        <w:trPr>
          <w:trHeight w:val="600"/>
        </w:trPr>
        <w:tc>
          <w:tcPr>
            <w:tcW w:w="2689" w:type="dxa"/>
            <w:tcBorders>
              <w:left w:val="single" w:sz="12" w:space="0" w:color="auto"/>
            </w:tcBorders>
          </w:tcPr>
          <w:p w14:paraId="0A4567E8" w14:textId="77777777" w:rsidR="00BA19F7" w:rsidRPr="00F832F8" w:rsidRDefault="00BA19F7" w:rsidP="00355161">
            <w:pPr>
              <w:spacing w:line="280" w:lineRule="atLeast"/>
              <w:rPr>
                <w:rFonts w:eastAsia="Arial"/>
                <w:i/>
                <w:sz w:val="22"/>
                <w:szCs w:val="22"/>
              </w:rPr>
            </w:pPr>
            <w:r w:rsidRPr="00F832F8">
              <w:rPr>
                <w:rFonts w:eastAsia="Arial"/>
                <w:b/>
                <w:bCs/>
                <w:i/>
                <w:iCs/>
                <w:sz w:val="22"/>
                <w:szCs w:val="22"/>
              </w:rPr>
              <w:t>Kokybiški gyvenimo metai (QALY)</w:t>
            </w:r>
          </w:p>
        </w:tc>
        <w:tc>
          <w:tcPr>
            <w:tcW w:w="1750" w:type="dxa"/>
          </w:tcPr>
          <w:p w14:paraId="23AFF5DE" w14:textId="604052E5" w:rsidR="00BA19F7" w:rsidRPr="00F832F8" w:rsidRDefault="00355161" w:rsidP="00355161">
            <w:pPr>
              <w:spacing w:line="280" w:lineRule="atLeast"/>
              <w:rPr>
                <w:rFonts w:eastAsia="Arial"/>
                <w:sz w:val="22"/>
                <w:szCs w:val="22"/>
              </w:rPr>
            </w:pPr>
            <w:r>
              <w:rPr>
                <w:color w:val="000000"/>
                <w:sz w:val="22"/>
                <w:szCs w:val="22"/>
                <w:lang w:eastAsia="lt-LT"/>
              </w:rPr>
              <w:t>*****</w:t>
            </w:r>
          </w:p>
        </w:tc>
        <w:tc>
          <w:tcPr>
            <w:tcW w:w="1268" w:type="dxa"/>
          </w:tcPr>
          <w:p w14:paraId="3077FD2C" w14:textId="7E9D1BD5" w:rsidR="00BA19F7" w:rsidRPr="00F832F8" w:rsidRDefault="00355161" w:rsidP="00355161">
            <w:pPr>
              <w:spacing w:line="280" w:lineRule="atLeast"/>
              <w:rPr>
                <w:rFonts w:eastAsia="Arial"/>
                <w:sz w:val="22"/>
                <w:szCs w:val="22"/>
              </w:rPr>
            </w:pPr>
            <w:r>
              <w:rPr>
                <w:color w:val="000000"/>
                <w:sz w:val="22"/>
                <w:szCs w:val="22"/>
                <w:lang w:eastAsia="lt-LT"/>
              </w:rPr>
              <w:t>*****</w:t>
            </w:r>
          </w:p>
        </w:tc>
        <w:tc>
          <w:tcPr>
            <w:tcW w:w="1081" w:type="dxa"/>
            <w:noWrap/>
          </w:tcPr>
          <w:p w14:paraId="06384B51" w14:textId="5889BB5A" w:rsidR="00BA19F7" w:rsidRPr="00F832F8" w:rsidRDefault="00355161" w:rsidP="00355161">
            <w:pPr>
              <w:spacing w:line="280" w:lineRule="atLeast"/>
              <w:rPr>
                <w:rFonts w:eastAsia="Arial"/>
                <w:sz w:val="22"/>
                <w:szCs w:val="22"/>
              </w:rPr>
            </w:pPr>
            <w:r>
              <w:rPr>
                <w:color w:val="000000"/>
                <w:sz w:val="22"/>
                <w:szCs w:val="22"/>
                <w:lang w:eastAsia="lt-LT"/>
              </w:rPr>
              <w:t>*****</w:t>
            </w:r>
          </w:p>
        </w:tc>
        <w:tc>
          <w:tcPr>
            <w:tcW w:w="904" w:type="dxa"/>
            <w:noWrap/>
          </w:tcPr>
          <w:p w14:paraId="38AE1D18" w14:textId="63AC2E9B" w:rsidR="00BA19F7" w:rsidRPr="00F832F8" w:rsidRDefault="00355161" w:rsidP="00355161">
            <w:pPr>
              <w:spacing w:line="280" w:lineRule="atLeast"/>
              <w:rPr>
                <w:rFonts w:eastAsia="Arial"/>
                <w:sz w:val="22"/>
                <w:szCs w:val="22"/>
              </w:rPr>
            </w:pPr>
            <w:r>
              <w:rPr>
                <w:color w:val="000000"/>
                <w:sz w:val="22"/>
                <w:szCs w:val="22"/>
                <w:lang w:eastAsia="lt-LT"/>
              </w:rPr>
              <w:t>*****</w:t>
            </w:r>
          </w:p>
        </w:tc>
        <w:tc>
          <w:tcPr>
            <w:tcW w:w="1092" w:type="dxa"/>
            <w:noWrap/>
          </w:tcPr>
          <w:p w14:paraId="0A9F042E" w14:textId="4167EF2E" w:rsidR="00BA19F7" w:rsidRPr="00F832F8" w:rsidRDefault="00355161" w:rsidP="00355161">
            <w:pPr>
              <w:spacing w:line="280" w:lineRule="atLeast"/>
              <w:rPr>
                <w:rFonts w:eastAsia="Arial"/>
                <w:sz w:val="22"/>
                <w:szCs w:val="22"/>
              </w:rPr>
            </w:pPr>
            <w:r>
              <w:rPr>
                <w:color w:val="000000"/>
                <w:sz w:val="22"/>
                <w:szCs w:val="22"/>
                <w:lang w:eastAsia="lt-LT"/>
              </w:rPr>
              <w:t>*****</w:t>
            </w:r>
          </w:p>
        </w:tc>
        <w:tc>
          <w:tcPr>
            <w:tcW w:w="1010" w:type="dxa"/>
            <w:tcBorders>
              <w:right w:val="single" w:sz="12" w:space="0" w:color="auto"/>
            </w:tcBorders>
            <w:noWrap/>
          </w:tcPr>
          <w:p w14:paraId="116FFFC0" w14:textId="5B6E3641" w:rsidR="00BA19F7" w:rsidRPr="00F832F8" w:rsidRDefault="00355161" w:rsidP="00355161">
            <w:pPr>
              <w:spacing w:line="280" w:lineRule="atLeast"/>
              <w:rPr>
                <w:rFonts w:eastAsia="Arial"/>
                <w:sz w:val="22"/>
                <w:szCs w:val="22"/>
              </w:rPr>
            </w:pPr>
            <w:r>
              <w:rPr>
                <w:color w:val="000000"/>
                <w:sz w:val="22"/>
                <w:szCs w:val="22"/>
                <w:lang w:eastAsia="lt-LT"/>
              </w:rPr>
              <w:t>*****</w:t>
            </w:r>
          </w:p>
        </w:tc>
      </w:tr>
      <w:tr w:rsidR="00BA19F7" w:rsidRPr="00F832F8" w14:paraId="529A3145" w14:textId="77777777" w:rsidTr="008D425E">
        <w:trPr>
          <w:trHeight w:val="358"/>
        </w:trPr>
        <w:tc>
          <w:tcPr>
            <w:tcW w:w="2689" w:type="dxa"/>
            <w:tcBorders>
              <w:left w:val="single" w:sz="12" w:space="0" w:color="auto"/>
            </w:tcBorders>
          </w:tcPr>
          <w:p w14:paraId="45F4E4B6" w14:textId="77777777" w:rsidR="00BA19F7" w:rsidRPr="00F832F8" w:rsidRDefault="00BA19F7" w:rsidP="008D425E">
            <w:pPr>
              <w:spacing w:line="280" w:lineRule="atLeast"/>
              <w:rPr>
                <w:rFonts w:eastAsia="Arial"/>
                <w:i/>
                <w:sz w:val="22"/>
                <w:szCs w:val="22"/>
              </w:rPr>
            </w:pPr>
            <w:r w:rsidRPr="00F832F8">
              <w:rPr>
                <w:rFonts w:eastAsia="Arial"/>
                <w:i/>
                <w:sz w:val="22"/>
                <w:szCs w:val="22"/>
              </w:rPr>
              <w:t>QALY skirtumas</w:t>
            </w:r>
          </w:p>
        </w:tc>
        <w:tc>
          <w:tcPr>
            <w:tcW w:w="1750" w:type="dxa"/>
          </w:tcPr>
          <w:p w14:paraId="5EF6F6E0" w14:textId="77777777" w:rsidR="00BA19F7" w:rsidRPr="00F832F8" w:rsidRDefault="00BA19F7" w:rsidP="008D425E">
            <w:pPr>
              <w:spacing w:line="280" w:lineRule="atLeast"/>
              <w:rPr>
                <w:rFonts w:eastAsia="Arial"/>
                <w:sz w:val="22"/>
                <w:szCs w:val="22"/>
              </w:rPr>
            </w:pPr>
          </w:p>
        </w:tc>
        <w:tc>
          <w:tcPr>
            <w:tcW w:w="1268" w:type="dxa"/>
          </w:tcPr>
          <w:p w14:paraId="4369EAA2" w14:textId="7300BEEA" w:rsidR="00BA19F7" w:rsidRPr="00F832F8" w:rsidRDefault="00355161" w:rsidP="008D425E">
            <w:pPr>
              <w:spacing w:line="280" w:lineRule="atLeast"/>
              <w:rPr>
                <w:rFonts w:eastAsia="Arial"/>
                <w:sz w:val="22"/>
                <w:szCs w:val="22"/>
              </w:rPr>
            </w:pPr>
            <w:r>
              <w:rPr>
                <w:color w:val="000000"/>
                <w:sz w:val="22"/>
                <w:szCs w:val="22"/>
                <w:lang w:eastAsia="lt-LT"/>
              </w:rPr>
              <w:t>*****</w:t>
            </w:r>
          </w:p>
        </w:tc>
        <w:tc>
          <w:tcPr>
            <w:tcW w:w="1081" w:type="dxa"/>
            <w:noWrap/>
          </w:tcPr>
          <w:p w14:paraId="515B1AF9" w14:textId="5BEFA6B3" w:rsidR="00BA19F7" w:rsidRPr="00F832F8" w:rsidRDefault="00355161" w:rsidP="008D425E">
            <w:pPr>
              <w:spacing w:line="280" w:lineRule="atLeast"/>
              <w:rPr>
                <w:rFonts w:eastAsia="Arial"/>
                <w:sz w:val="22"/>
                <w:szCs w:val="22"/>
              </w:rPr>
            </w:pPr>
            <w:r>
              <w:rPr>
                <w:color w:val="000000"/>
                <w:sz w:val="22"/>
                <w:szCs w:val="22"/>
                <w:lang w:eastAsia="lt-LT"/>
              </w:rPr>
              <w:t>*****</w:t>
            </w:r>
          </w:p>
        </w:tc>
        <w:tc>
          <w:tcPr>
            <w:tcW w:w="904" w:type="dxa"/>
            <w:noWrap/>
          </w:tcPr>
          <w:p w14:paraId="2F269F4B" w14:textId="279F8107" w:rsidR="00BA19F7" w:rsidRPr="00F832F8" w:rsidRDefault="00355161" w:rsidP="008D425E">
            <w:pPr>
              <w:spacing w:line="280" w:lineRule="atLeast"/>
              <w:rPr>
                <w:rFonts w:eastAsia="Arial"/>
                <w:sz w:val="22"/>
                <w:szCs w:val="22"/>
              </w:rPr>
            </w:pPr>
            <w:r>
              <w:rPr>
                <w:color w:val="000000"/>
                <w:sz w:val="22"/>
                <w:szCs w:val="22"/>
                <w:lang w:eastAsia="lt-LT"/>
              </w:rPr>
              <w:t>*****</w:t>
            </w:r>
          </w:p>
        </w:tc>
        <w:tc>
          <w:tcPr>
            <w:tcW w:w="1092" w:type="dxa"/>
            <w:noWrap/>
          </w:tcPr>
          <w:p w14:paraId="77B9DC1B" w14:textId="1E595AE8" w:rsidR="00BA19F7" w:rsidRPr="00F832F8" w:rsidRDefault="00355161" w:rsidP="008D425E">
            <w:pPr>
              <w:spacing w:line="280" w:lineRule="atLeast"/>
              <w:rPr>
                <w:rFonts w:eastAsia="Arial"/>
                <w:sz w:val="22"/>
                <w:szCs w:val="22"/>
              </w:rPr>
            </w:pPr>
            <w:r>
              <w:rPr>
                <w:color w:val="000000"/>
                <w:sz w:val="22"/>
                <w:szCs w:val="22"/>
                <w:lang w:eastAsia="lt-LT"/>
              </w:rPr>
              <w:t>*****</w:t>
            </w:r>
          </w:p>
        </w:tc>
        <w:tc>
          <w:tcPr>
            <w:tcW w:w="1010" w:type="dxa"/>
            <w:tcBorders>
              <w:right w:val="single" w:sz="12" w:space="0" w:color="auto"/>
            </w:tcBorders>
            <w:noWrap/>
          </w:tcPr>
          <w:p w14:paraId="303DEC2C" w14:textId="56F9E191" w:rsidR="00BA19F7" w:rsidRPr="00F832F8" w:rsidRDefault="00355161" w:rsidP="008D425E">
            <w:pPr>
              <w:spacing w:line="280" w:lineRule="atLeast"/>
              <w:rPr>
                <w:rFonts w:eastAsia="Arial"/>
                <w:sz w:val="22"/>
                <w:szCs w:val="22"/>
              </w:rPr>
            </w:pPr>
            <w:r>
              <w:rPr>
                <w:color w:val="000000"/>
                <w:sz w:val="22"/>
                <w:szCs w:val="22"/>
                <w:lang w:eastAsia="lt-LT"/>
              </w:rPr>
              <w:t>*****</w:t>
            </w:r>
          </w:p>
        </w:tc>
      </w:tr>
      <w:tr w:rsidR="00BA19F7" w:rsidRPr="00F832F8" w14:paraId="24CB5584" w14:textId="77777777" w:rsidTr="008D425E">
        <w:trPr>
          <w:trHeight w:val="358"/>
        </w:trPr>
        <w:tc>
          <w:tcPr>
            <w:tcW w:w="9794" w:type="dxa"/>
            <w:gridSpan w:val="7"/>
            <w:tcBorders>
              <w:left w:val="single" w:sz="12" w:space="0" w:color="auto"/>
              <w:right w:val="single" w:sz="12" w:space="0" w:color="auto"/>
            </w:tcBorders>
          </w:tcPr>
          <w:p w14:paraId="00610361" w14:textId="77777777" w:rsidR="00BA19F7" w:rsidRPr="00F832F8" w:rsidRDefault="00BA19F7" w:rsidP="008D425E">
            <w:pPr>
              <w:spacing w:line="280" w:lineRule="atLeast"/>
              <w:rPr>
                <w:rFonts w:eastAsia="Arial"/>
                <w:b/>
                <w:bCs/>
                <w:sz w:val="22"/>
                <w:szCs w:val="22"/>
              </w:rPr>
            </w:pPr>
            <w:r w:rsidRPr="00F832F8">
              <w:rPr>
                <w:rFonts w:eastAsia="Arial"/>
                <w:b/>
                <w:bCs/>
                <w:sz w:val="22"/>
                <w:szCs w:val="22"/>
              </w:rPr>
              <w:t>Rezultatai</w:t>
            </w:r>
          </w:p>
        </w:tc>
      </w:tr>
      <w:tr w:rsidR="00BA19F7" w:rsidRPr="00F832F8" w14:paraId="1E1DE89C" w14:textId="77777777" w:rsidTr="008D425E">
        <w:trPr>
          <w:trHeight w:val="358"/>
        </w:trPr>
        <w:tc>
          <w:tcPr>
            <w:tcW w:w="4439" w:type="dxa"/>
            <w:gridSpan w:val="2"/>
            <w:tcBorders>
              <w:left w:val="single" w:sz="12" w:space="0" w:color="auto"/>
            </w:tcBorders>
          </w:tcPr>
          <w:p w14:paraId="279C620D" w14:textId="77777777" w:rsidR="00BA19F7" w:rsidRPr="00F832F8" w:rsidRDefault="00BA19F7" w:rsidP="00355161">
            <w:pPr>
              <w:spacing w:line="280" w:lineRule="atLeast"/>
              <w:rPr>
                <w:rFonts w:eastAsia="Arial"/>
                <w:sz w:val="22"/>
                <w:szCs w:val="22"/>
              </w:rPr>
            </w:pPr>
            <w:r w:rsidRPr="00F832F8">
              <w:rPr>
                <w:rFonts w:eastAsia="Arial"/>
                <w:iCs/>
                <w:sz w:val="22"/>
                <w:szCs w:val="22"/>
              </w:rPr>
              <w:t>ICER už LY</w:t>
            </w:r>
          </w:p>
        </w:tc>
        <w:tc>
          <w:tcPr>
            <w:tcW w:w="1268" w:type="dxa"/>
          </w:tcPr>
          <w:p w14:paraId="356A5E52" w14:textId="00960BCE" w:rsidR="00BA19F7" w:rsidRPr="00F832F8" w:rsidRDefault="00355161" w:rsidP="00355161">
            <w:pPr>
              <w:spacing w:line="280" w:lineRule="atLeast"/>
              <w:rPr>
                <w:rFonts w:eastAsia="Arial"/>
                <w:b/>
                <w:bCs/>
                <w:sz w:val="22"/>
                <w:szCs w:val="22"/>
              </w:rPr>
            </w:pPr>
            <w:r>
              <w:rPr>
                <w:color w:val="000000"/>
                <w:sz w:val="22"/>
                <w:szCs w:val="22"/>
                <w:lang w:eastAsia="lt-LT"/>
              </w:rPr>
              <w:t>*****</w:t>
            </w:r>
          </w:p>
        </w:tc>
        <w:tc>
          <w:tcPr>
            <w:tcW w:w="1081" w:type="dxa"/>
            <w:noWrap/>
          </w:tcPr>
          <w:p w14:paraId="4CB14236" w14:textId="34DF0F39" w:rsidR="00BA19F7" w:rsidRPr="00F832F8" w:rsidRDefault="00355161" w:rsidP="00355161">
            <w:pPr>
              <w:spacing w:line="280" w:lineRule="atLeast"/>
              <w:rPr>
                <w:rFonts w:eastAsia="Arial"/>
                <w:b/>
                <w:bCs/>
                <w:sz w:val="22"/>
                <w:szCs w:val="22"/>
              </w:rPr>
            </w:pPr>
            <w:r>
              <w:rPr>
                <w:color w:val="000000"/>
                <w:sz w:val="22"/>
                <w:szCs w:val="22"/>
                <w:lang w:eastAsia="lt-LT"/>
              </w:rPr>
              <w:t>*****</w:t>
            </w:r>
          </w:p>
        </w:tc>
        <w:tc>
          <w:tcPr>
            <w:tcW w:w="904" w:type="dxa"/>
            <w:noWrap/>
          </w:tcPr>
          <w:p w14:paraId="4745E3F7" w14:textId="279D126A" w:rsidR="00BA19F7" w:rsidRPr="00F832F8" w:rsidRDefault="00355161" w:rsidP="00355161">
            <w:pPr>
              <w:spacing w:line="280" w:lineRule="atLeast"/>
              <w:rPr>
                <w:rFonts w:eastAsia="Arial"/>
                <w:b/>
                <w:bCs/>
                <w:sz w:val="22"/>
                <w:szCs w:val="22"/>
              </w:rPr>
            </w:pPr>
            <w:r>
              <w:rPr>
                <w:color w:val="000000"/>
                <w:sz w:val="22"/>
                <w:szCs w:val="22"/>
                <w:lang w:eastAsia="lt-LT"/>
              </w:rPr>
              <w:t>*****</w:t>
            </w:r>
          </w:p>
        </w:tc>
        <w:tc>
          <w:tcPr>
            <w:tcW w:w="1092" w:type="dxa"/>
            <w:noWrap/>
          </w:tcPr>
          <w:p w14:paraId="5F47461B" w14:textId="09583BC1" w:rsidR="00BA19F7" w:rsidRPr="00F832F8" w:rsidRDefault="00355161" w:rsidP="00355161">
            <w:pPr>
              <w:spacing w:line="280" w:lineRule="atLeast"/>
              <w:rPr>
                <w:rFonts w:eastAsia="Arial"/>
                <w:b/>
                <w:bCs/>
                <w:sz w:val="22"/>
                <w:szCs w:val="22"/>
              </w:rPr>
            </w:pPr>
            <w:r>
              <w:rPr>
                <w:color w:val="000000"/>
                <w:sz w:val="22"/>
                <w:szCs w:val="22"/>
                <w:lang w:eastAsia="lt-LT"/>
              </w:rPr>
              <w:t>*****</w:t>
            </w:r>
          </w:p>
        </w:tc>
        <w:tc>
          <w:tcPr>
            <w:tcW w:w="1010" w:type="dxa"/>
            <w:tcBorders>
              <w:right w:val="single" w:sz="12" w:space="0" w:color="auto"/>
            </w:tcBorders>
            <w:noWrap/>
          </w:tcPr>
          <w:p w14:paraId="4C596FAC" w14:textId="2FFA4C71" w:rsidR="00BA19F7" w:rsidRPr="00F832F8" w:rsidRDefault="00355161" w:rsidP="00355161">
            <w:pPr>
              <w:spacing w:line="280" w:lineRule="atLeast"/>
              <w:rPr>
                <w:rFonts w:eastAsia="Arial"/>
                <w:b/>
                <w:bCs/>
                <w:sz w:val="22"/>
                <w:szCs w:val="22"/>
              </w:rPr>
            </w:pPr>
            <w:r>
              <w:rPr>
                <w:color w:val="000000"/>
                <w:sz w:val="22"/>
                <w:szCs w:val="22"/>
                <w:lang w:eastAsia="lt-LT"/>
              </w:rPr>
              <w:t>*****</w:t>
            </w:r>
          </w:p>
        </w:tc>
      </w:tr>
      <w:tr w:rsidR="00BA19F7" w:rsidRPr="00F832F8" w14:paraId="010B8A9B" w14:textId="77777777" w:rsidTr="008D425E">
        <w:trPr>
          <w:trHeight w:val="358"/>
        </w:trPr>
        <w:tc>
          <w:tcPr>
            <w:tcW w:w="4439" w:type="dxa"/>
            <w:gridSpan w:val="2"/>
            <w:tcBorders>
              <w:left w:val="single" w:sz="12" w:space="0" w:color="auto"/>
              <w:bottom w:val="single" w:sz="12" w:space="0" w:color="auto"/>
            </w:tcBorders>
          </w:tcPr>
          <w:p w14:paraId="7C717B50" w14:textId="77777777" w:rsidR="00BA19F7" w:rsidRPr="00F832F8" w:rsidRDefault="00BA19F7" w:rsidP="00355161">
            <w:pPr>
              <w:spacing w:line="280" w:lineRule="atLeast"/>
              <w:rPr>
                <w:rFonts w:eastAsia="Arial"/>
                <w:b/>
                <w:bCs/>
                <w:i/>
                <w:iCs/>
                <w:sz w:val="22"/>
                <w:szCs w:val="22"/>
              </w:rPr>
            </w:pPr>
            <w:r w:rsidRPr="00F832F8">
              <w:rPr>
                <w:rFonts w:eastAsia="Arial"/>
                <w:b/>
                <w:bCs/>
                <w:iCs/>
                <w:sz w:val="22"/>
                <w:szCs w:val="22"/>
              </w:rPr>
              <w:t>ICER už QALY</w:t>
            </w:r>
          </w:p>
        </w:tc>
        <w:tc>
          <w:tcPr>
            <w:tcW w:w="1268" w:type="dxa"/>
            <w:tcBorders>
              <w:bottom w:val="single" w:sz="12" w:space="0" w:color="auto"/>
            </w:tcBorders>
          </w:tcPr>
          <w:p w14:paraId="2894B9AE" w14:textId="6B72DA01" w:rsidR="00BA19F7" w:rsidRPr="00F832F8" w:rsidRDefault="00355161" w:rsidP="00355161">
            <w:pPr>
              <w:spacing w:line="280" w:lineRule="atLeast"/>
              <w:rPr>
                <w:rFonts w:eastAsia="Arial"/>
                <w:b/>
                <w:bCs/>
                <w:i/>
                <w:iCs/>
                <w:sz w:val="22"/>
                <w:szCs w:val="22"/>
              </w:rPr>
            </w:pPr>
            <w:r>
              <w:rPr>
                <w:color w:val="000000"/>
                <w:sz w:val="22"/>
                <w:szCs w:val="22"/>
                <w:lang w:eastAsia="lt-LT"/>
              </w:rPr>
              <w:t>*****</w:t>
            </w:r>
          </w:p>
        </w:tc>
        <w:tc>
          <w:tcPr>
            <w:tcW w:w="1081" w:type="dxa"/>
            <w:tcBorders>
              <w:bottom w:val="single" w:sz="12" w:space="0" w:color="auto"/>
            </w:tcBorders>
            <w:noWrap/>
          </w:tcPr>
          <w:p w14:paraId="6CA40760" w14:textId="468C3106" w:rsidR="00BA19F7" w:rsidRPr="00F832F8" w:rsidRDefault="00355161" w:rsidP="00355161">
            <w:pPr>
              <w:spacing w:line="280" w:lineRule="atLeast"/>
              <w:rPr>
                <w:rFonts w:eastAsia="Arial"/>
                <w:b/>
                <w:bCs/>
                <w:sz w:val="22"/>
                <w:szCs w:val="22"/>
              </w:rPr>
            </w:pPr>
            <w:r>
              <w:rPr>
                <w:color w:val="000000"/>
                <w:sz w:val="22"/>
                <w:szCs w:val="22"/>
                <w:lang w:eastAsia="lt-LT"/>
              </w:rPr>
              <w:t>*****</w:t>
            </w:r>
          </w:p>
        </w:tc>
        <w:tc>
          <w:tcPr>
            <w:tcW w:w="904" w:type="dxa"/>
            <w:tcBorders>
              <w:bottom w:val="single" w:sz="12" w:space="0" w:color="auto"/>
            </w:tcBorders>
            <w:noWrap/>
          </w:tcPr>
          <w:p w14:paraId="6BBBCC6F" w14:textId="1D97F521" w:rsidR="00BA19F7" w:rsidRPr="00F832F8" w:rsidRDefault="00355161" w:rsidP="00355161">
            <w:pPr>
              <w:spacing w:line="280" w:lineRule="atLeast"/>
              <w:rPr>
                <w:rFonts w:eastAsia="Arial"/>
                <w:b/>
                <w:bCs/>
                <w:sz w:val="22"/>
                <w:szCs w:val="22"/>
              </w:rPr>
            </w:pPr>
            <w:r>
              <w:rPr>
                <w:color w:val="000000"/>
                <w:sz w:val="22"/>
                <w:szCs w:val="22"/>
                <w:lang w:eastAsia="lt-LT"/>
              </w:rPr>
              <w:t>*****</w:t>
            </w:r>
          </w:p>
        </w:tc>
        <w:tc>
          <w:tcPr>
            <w:tcW w:w="1092" w:type="dxa"/>
            <w:tcBorders>
              <w:bottom w:val="single" w:sz="12" w:space="0" w:color="auto"/>
            </w:tcBorders>
            <w:noWrap/>
          </w:tcPr>
          <w:p w14:paraId="1E9EA128" w14:textId="05E880B3" w:rsidR="00BA19F7" w:rsidRPr="00F832F8" w:rsidRDefault="00355161" w:rsidP="00355161">
            <w:pPr>
              <w:spacing w:line="280" w:lineRule="atLeast"/>
              <w:rPr>
                <w:rFonts w:eastAsia="Arial"/>
                <w:b/>
                <w:bCs/>
                <w:sz w:val="22"/>
                <w:szCs w:val="22"/>
              </w:rPr>
            </w:pPr>
            <w:r>
              <w:rPr>
                <w:color w:val="000000"/>
                <w:sz w:val="22"/>
                <w:szCs w:val="22"/>
                <w:lang w:eastAsia="lt-LT"/>
              </w:rPr>
              <w:t>*****</w:t>
            </w:r>
          </w:p>
        </w:tc>
        <w:tc>
          <w:tcPr>
            <w:tcW w:w="1010" w:type="dxa"/>
            <w:tcBorders>
              <w:bottom w:val="single" w:sz="12" w:space="0" w:color="auto"/>
              <w:right w:val="single" w:sz="12" w:space="0" w:color="auto"/>
            </w:tcBorders>
            <w:noWrap/>
          </w:tcPr>
          <w:p w14:paraId="4699457C" w14:textId="61CF3C74" w:rsidR="00BA19F7" w:rsidRPr="00F832F8" w:rsidRDefault="00355161" w:rsidP="00355161">
            <w:pPr>
              <w:spacing w:line="280" w:lineRule="atLeast"/>
              <w:rPr>
                <w:rFonts w:eastAsia="Arial"/>
                <w:b/>
                <w:bCs/>
                <w:sz w:val="22"/>
                <w:szCs w:val="22"/>
              </w:rPr>
            </w:pPr>
            <w:r>
              <w:rPr>
                <w:color w:val="000000"/>
                <w:sz w:val="22"/>
                <w:szCs w:val="22"/>
                <w:lang w:eastAsia="lt-LT"/>
              </w:rPr>
              <w:t>*****</w:t>
            </w:r>
          </w:p>
        </w:tc>
      </w:tr>
      <w:tr w:rsidR="00BA19F7" w:rsidRPr="00F832F8" w14:paraId="3B09EB88" w14:textId="77777777" w:rsidTr="008D425E">
        <w:trPr>
          <w:trHeight w:val="358"/>
        </w:trPr>
        <w:tc>
          <w:tcPr>
            <w:tcW w:w="4439" w:type="dxa"/>
            <w:gridSpan w:val="2"/>
            <w:tcBorders>
              <w:top w:val="single" w:sz="12" w:space="0" w:color="auto"/>
              <w:left w:val="single" w:sz="12" w:space="0" w:color="auto"/>
              <w:bottom w:val="single" w:sz="12" w:space="0" w:color="auto"/>
            </w:tcBorders>
          </w:tcPr>
          <w:p w14:paraId="32D106A5" w14:textId="77777777" w:rsidR="00BA19F7" w:rsidRPr="00F832F8" w:rsidRDefault="00BA19F7" w:rsidP="008D425E">
            <w:pPr>
              <w:spacing w:line="280" w:lineRule="atLeast"/>
              <w:rPr>
                <w:rFonts w:eastAsia="Arial"/>
                <w:b/>
                <w:bCs/>
                <w:i/>
                <w:iCs/>
                <w:sz w:val="22"/>
                <w:szCs w:val="22"/>
              </w:rPr>
            </w:pPr>
            <w:r w:rsidRPr="00F832F8">
              <w:rPr>
                <w:b/>
                <w:i/>
                <w:iCs/>
                <w:lang w:eastAsia="lt-LT"/>
              </w:rPr>
              <w:t>Referencinė kaštų naudingumo vertė</w:t>
            </w:r>
          </w:p>
        </w:tc>
        <w:tc>
          <w:tcPr>
            <w:tcW w:w="5355" w:type="dxa"/>
            <w:gridSpan w:val="5"/>
            <w:tcBorders>
              <w:top w:val="single" w:sz="12" w:space="0" w:color="auto"/>
              <w:bottom w:val="single" w:sz="12" w:space="0" w:color="auto"/>
              <w:right w:val="single" w:sz="12" w:space="0" w:color="auto"/>
            </w:tcBorders>
          </w:tcPr>
          <w:p w14:paraId="17F8B379" w14:textId="21ACF769" w:rsidR="00BA19F7" w:rsidRPr="00F832F8" w:rsidRDefault="00355161" w:rsidP="008D425E">
            <w:pPr>
              <w:spacing w:line="280" w:lineRule="atLeast"/>
              <w:rPr>
                <w:rFonts w:eastAsia="Arial"/>
                <w:b/>
                <w:bCs/>
                <w:sz w:val="22"/>
                <w:szCs w:val="22"/>
              </w:rPr>
            </w:pPr>
            <w:r>
              <w:rPr>
                <w:color w:val="000000"/>
                <w:sz w:val="22"/>
                <w:szCs w:val="22"/>
                <w:lang w:eastAsia="lt-LT"/>
              </w:rPr>
              <w:t>*****</w:t>
            </w:r>
            <w:r>
              <w:rPr>
                <w:color w:val="000000"/>
                <w:sz w:val="22"/>
                <w:szCs w:val="22"/>
                <w:lang w:eastAsia="lt-LT"/>
              </w:rPr>
              <w:t xml:space="preserve"> </w:t>
            </w:r>
            <w:proofErr w:type="spellStart"/>
            <w:r w:rsidR="00BA19F7" w:rsidRPr="00F832F8">
              <w:rPr>
                <w:b/>
                <w:color w:val="000000"/>
              </w:rPr>
              <w:t>Eur</w:t>
            </w:r>
            <w:proofErr w:type="spellEnd"/>
            <w:r w:rsidR="00BA19F7" w:rsidRPr="00F832F8">
              <w:rPr>
                <w:b/>
                <w:color w:val="000000"/>
              </w:rPr>
              <w:t>.</w:t>
            </w:r>
            <w:r w:rsidR="00BA19F7" w:rsidRPr="00F832F8">
              <w:t xml:space="preserve"> (</w:t>
            </w:r>
            <w:r>
              <w:rPr>
                <w:color w:val="000000"/>
                <w:sz w:val="22"/>
                <w:szCs w:val="22"/>
                <w:lang w:eastAsia="lt-LT"/>
              </w:rPr>
              <w:t>*****</w:t>
            </w:r>
            <w:r w:rsidR="00BA19F7" w:rsidRPr="00F832F8">
              <w:t xml:space="preserve"> </w:t>
            </w:r>
            <w:proofErr w:type="spellStart"/>
            <w:r w:rsidR="00BA19F7" w:rsidRPr="00F832F8">
              <w:t>Eur</w:t>
            </w:r>
            <w:proofErr w:type="spellEnd"/>
            <w:r w:rsidR="00BA19F7" w:rsidRPr="00F832F8">
              <w:t>.</w:t>
            </w:r>
            <w:r w:rsidR="00BA19F7" w:rsidRPr="006A68DE">
              <w:t>*5)</w:t>
            </w:r>
          </w:p>
        </w:tc>
      </w:tr>
    </w:tbl>
    <w:p w14:paraId="33875138" w14:textId="62F4BE27" w:rsidR="0035172D" w:rsidRPr="00F832F8" w:rsidRDefault="0035172D" w:rsidP="00A93AA6">
      <w:pPr>
        <w:tabs>
          <w:tab w:val="left" w:pos="426"/>
        </w:tabs>
        <w:rPr>
          <w:b/>
          <w:bCs/>
          <w:caps/>
        </w:rPr>
      </w:pPr>
    </w:p>
    <w:p w14:paraId="4FC424F9" w14:textId="4E767245" w:rsidR="00C62B36" w:rsidRPr="00F832F8" w:rsidRDefault="00C62B36" w:rsidP="00937907">
      <w:pPr>
        <w:pStyle w:val="Sraopastraipa"/>
        <w:numPr>
          <w:ilvl w:val="0"/>
          <w:numId w:val="12"/>
        </w:numPr>
        <w:tabs>
          <w:tab w:val="left" w:pos="284"/>
        </w:tabs>
        <w:rPr>
          <w:b/>
          <w:bCs/>
          <w:caps/>
        </w:rPr>
      </w:pPr>
      <w:r w:rsidRPr="00F832F8">
        <w:rPr>
          <w:b/>
          <w:bCs/>
          <w:caps/>
        </w:rPr>
        <w:t xml:space="preserve">Pacientų organizacijų pateikti duomenys </w:t>
      </w:r>
    </w:p>
    <w:p w14:paraId="79BCFF40" w14:textId="724F5748" w:rsidR="00937907" w:rsidRPr="00F832F8" w:rsidRDefault="003262B0" w:rsidP="00937907">
      <w:pPr>
        <w:spacing w:after="120"/>
        <w:jc w:val="both"/>
      </w:pPr>
      <w:sdt>
        <w:sdtPr>
          <w:rPr>
            <w:rStyle w:val="Style2"/>
            <w:rFonts w:ascii="MS Gothic" w:eastAsia="MS Gothic" w:hAnsi="MS Gothic"/>
          </w:rPr>
          <w:id w:val="1150014178"/>
          <w15:color w:val="FFCC00"/>
          <w14:checkbox>
            <w14:checked w14:val="1"/>
            <w14:checkedState w14:val="2612" w14:font="MS Gothic"/>
            <w14:uncheckedState w14:val="2610" w14:font="MS Gothic"/>
          </w14:checkbox>
        </w:sdtPr>
        <w:sdtEndPr>
          <w:rPr>
            <w:rStyle w:val="Style2"/>
          </w:rPr>
        </w:sdtEndPr>
        <w:sdtContent>
          <w:r w:rsidR="00A02417" w:rsidRPr="00F832F8">
            <w:rPr>
              <w:rStyle w:val="Style2"/>
              <w:rFonts w:ascii="MS Gothic" w:eastAsia="MS Gothic" w:hAnsi="MS Gothic"/>
            </w:rPr>
            <w:t>☒</w:t>
          </w:r>
        </w:sdtContent>
      </w:sdt>
      <w:r w:rsidR="00937907" w:rsidRPr="00F832F8">
        <w:t xml:space="preserve"> Pacientų organizacijos pozicija pateikta. Žr. priedą.</w:t>
      </w:r>
    </w:p>
    <w:p w14:paraId="62992180" w14:textId="6050783B" w:rsidR="00937907" w:rsidRPr="00F832F8" w:rsidRDefault="003262B0" w:rsidP="00937907">
      <w:pPr>
        <w:spacing w:after="120"/>
        <w:jc w:val="both"/>
      </w:pPr>
      <w:sdt>
        <w:sdtPr>
          <w:rPr>
            <w:rStyle w:val="Style2"/>
            <w:rFonts w:ascii="MS Gothic" w:eastAsia="MS Gothic" w:hAnsi="MS Gothic"/>
          </w:rPr>
          <w:id w:val="-1545513810"/>
          <w15:color w:val="FFCC00"/>
          <w14:checkbox>
            <w14:checked w14:val="0"/>
            <w14:checkedState w14:val="2612" w14:font="MS Gothic"/>
            <w14:uncheckedState w14:val="2610" w14:font="MS Gothic"/>
          </w14:checkbox>
        </w:sdtPr>
        <w:sdtEndPr>
          <w:rPr>
            <w:rStyle w:val="Style2"/>
          </w:rPr>
        </w:sdtEndPr>
        <w:sdtContent>
          <w:r w:rsidR="00A02417" w:rsidRPr="00F832F8">
            <w:rPr>
              <w:rStyle w:val="Style2"/>
              <w:rFonts w:ascii="MS Gothic" w:eastAsia="MS Gothic" w:hAnsi="MS Gothic"/>
            </w:rPr>
            <w:t>☐</w:t>
          </w:r>
        </w:sdtContent>
      </w:sdt>
      <w:r w:rsidR="00937907" w:rsidRPr="00F832F8">
        <w:t xml:space="preserve"> Pacientų organizacijos pozicija </w:t>
      </w:r>
      <w:r w:rsidR="00880A44" w:rsidRPr="00F832F8">
        <w:t>ne</w:t>
      </w:r>
      <w:r w:rsidR="00937907" w:rsidRPr="00F832F8">
        <w:t>pateikta.</w:t>
      </w:r>
    </w:p>
    <w:p w14:paraId="3D3277FA" w14:textId="3CEEB2D2" w:rsidR="00C62B36" w:rsidRPr="00F832F8" w:rsidRDefault="00C62B36" w:rsidP="00937907">
      <w:pPr>
        <w:pStyle w:val="Sraopastraipa"/>
        <w:numPr>
          <w:ilvl w:val="0"/>
          <w:numId w:val="12"/>
        </w:numPr>
        <w:tabs>
          <w:tab w:val="left" w:pos="426"/>
        </w:tabs>
        <w:rPr>
          <w:b/>
          <w:bCs/>
          <w:caps/>
        </w:rPr>
      </w:pPr>
      <w:r w:rsidRPr="00F832F8">
        <w:rPr>
          <w:b/>
          <w:bCs/>
          <w:caps/>
        </w:rPr>
        <w:t>Gydytojų organizacijų pateikti duomenys</w:t>
      </w:r>
    </w:p>
    <w:p w14:paraId="389A346C" w14:textId="54569886" w:rsidR="00937907" w:rsidRPr="00F832F8" w:rsidRDefault="003262B0"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EndPr>
          <w:rPr>
            <w:rStyle w:val="Style2"/>
          </w:rPr>
        </w:sdtEndPr>
        <w:sdtContent>
          <w:r w:rsidR="0067695E" w:rsidRPr="00F832F8">
            <w:rPr>
              <w:rStyle w:val="Style2"/>
              <w:rFonts w:ascii="MS Gothic" w:eastAsia="MS Gothic" w:hAnsi="MS Gothic"/>
            </w:rPr>
            <w:t>☒</w:t>
          </w:r>
        </w:sdtContent>
      </w:sdt>
      <w:r w:rsidR="00662983" w:rsidRPr="00F832F8">
        <w:t xml:space="preserve"> </w:t>
      </w:r>
      <w:r w:rsidR="00937907" w:rsidRPr="00F832F8">
        <w:t xml:space="preserve">Gydytojų specialistų organizacijos pozicija pateikta. </w:t>
      </w:r>
      <w:r w:rsidR="00662983" w:rsidRPr="00F832F8">
        <w:t>Žr. priedą</w:t>
      </w:r>
      <w:r w:rsidR="00937907" w:rsidRPr="00F832F8">
        <w:t>.</w:t>
      </w:r>
    </w:p>
    <w:p w14:paraId="5D8CC48C" w14:textId="2804E133" w:rsidR="00662983" w:rsidRPr="00F832F8" w:rsidRDefault="003262B0"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EndPr>
          <w:rPr>
            <w:rStyle w:val="Style2"/>
          </w:rPr>
        </w:sdtEndPr>
        <w:sdtContent>
          <w:r w:rsidR="00937907" w:rsidRPr="00F832F8">
            <w:rPr>
              <w:rStyle w:val="Style2"/>
              <w:rFonts w:ascii="MS Gothic" w:eastAsia="MS Gothic" w:hAnsi="MS Gothic"/>
            </w:rPr>
            <w:t>☐</w:t>
          </w:r>
        </w:sdtContent>
      </w:sdt>
      <w:r w:rsidR="00662983" w:rsidRPr="00F832F8">
        <w:t xml:space="preserve"> </w:t>
      </w:r>
      <w:r w:rsidR="00937907" w:rsidRPr="00F832F8">
        <w:t xml:space="preserve">Gydytojų specialistų organizacijos pozicija </w:t>
      </w:r>
      <w:r w:rsidR="00880A44" w:rsidRPr="00F832F8">
        <w:t>ne</w:t>
      </w:r>
      <w:r w:rsidR="00937907" w:rsidRPr="00F832F8">
        <w:t>pateikta.</w:t>
      </w:r>
    </w:p>
    <w:p w14:paraId="78F23ECB" w14:textId="23A3A002" w:rsidR="002F0E4F" w:rsidRPr="00F832F8" w:rsidRDefault="002F0E4F" w:rsidP="00937907">
      <w:pPr>
        <w:pStyle w:val="Sraopastraipa"/>
        <w:numPr>
          <w:ilvl w:val="0"/>
          <w:numId w:val="12"/>
        </w:numPr>
        <w:tabs>
          <w:tab w:val="left" w:pos="426"/>
        </w:tabs>
        <w:rPr>
          <w:b/>
          <w:bCs/>
          <w:caps/>
        </w:rPr>
      </w:pPr>
      <w:r w:rsidRPr="00F832F8">
        <w:rPr>
          <w:b/>
          <w:bCs/>
          <w:caps/>
        </w:rPr>
        <w:t xml:space="preserve">Išvada </w:t>
      </w:r>
    </w:p>
    <w:p w14:paraId="573E407F" w14:textId="77777777" w:rsidR="00797153" w:rsidRPr="00F832F8"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F832F8" w14:paraId="25A2473E" w14:textId="77777777" w:rsidTr="00BD1E5A">
        <w:tc>
          <w:tcPr>
            <w:tcW w:w="4981" w:type="dxa"/>
          </w:tcPr>
          <w:p w14:paraId="7EFE6941" w14:textId="23B8BB6D" w:rsidR="00B13D65"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F832F8">
              <w:rPr>
                <w:rStyle w:val="Style2"/>
                <w:rFonts w:eastAsia="MS Gothic"/>
                <w:b/>
                <w:bCs/>
                <w:sz w:val="24"/>
              </w:rPr>
              <w:t>Rekomenduojama kompensuoti</w:t>
            </w:r>
          </w:p>
        </w:tc>
        <w:tc>
          <w:tcPr>
            <w:tcW w:w="4981" w:type="dxa"/>
          </w:tcPr>
          <w:p w14:paraId="330A1A5E" w14:textId="19247DC1" w:rsidR="00B13D65"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F832F8">
              <w:rPr>
                <w:rStyle w:val="Style2"/>
                <w:rFonts w:eastAsia="MS Gothic"/>
                <w:b/>
                <w:bCs/>
                <w:sz w:val="24"/>
              </w:rPr>
              <w:t xml:space="preserve">Rekomenduojama nekompensuoti </w:t>
            </w:r>
          </w:p>
        </w:tc>
      </w:tr>
      <w:tr w:rsidR="00B13D65" w:rsidRPr="00F832F8" w14:paraId="143A7356" w14:textId="77777777" w:rsidTr="00BD1E5A">
        <w:tc>
          <w:tcPr>
            <w:tcW w:w="9962" w:type="dxa"/>
            <w:gridSpan w:val="2"/>
          </w:tcPr>
          <w:p w14:paraId="5D93D240"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F832F8">
              <w:rPr>
                <w:rStyle w:val="Style2"/>
                <w:rFonts w:eastAsia="MS Gothic"/>
                <w:b/>
                <w:bCs/>
                <w:sz w:val="24"/>
              </w:rPr>
              <w:t>Palyginamasis efektyvumas</w:t>
            </w:r>
          </w:p>
          <w:p w14:paraId="0AF5D6B4"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F832F8" w14:paraId="28A0C814" w14:textId="77777777" w:rsidTr="00BD1E5A">
        <w:tc>
          <w:tcPr>
            <w:tcW w:w="4981" w:type="dxa"/>
          </w:tcPr>
          <w:p w14:paraId="216769B5" w14:textId="0FE22E3A" w:rsidR="00B13D65" w:rsidRPr="00F832F8" w:rsidRDefault="003262B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A02417" w:rsidRPr="00F832F8">
                  <w:rPr>
                    <w:rStyle w:val="Style2"/>
                    <w:rFonts w:ascii="MS Gothic" w:eastAsia="MS Gothic" w:hAnsi="MS Gothic"/>
                    <w:sz w:val="24"/>
                  </w:rPr>
                  <w:t>☒</w:t>
                </w:r>
              </w:sdtContent>
            </w:sdt>
            <w:r w:rsidR="00B13D65" w:rsidRPr="00F832F8">
              <w:t xml:space="preserve"> 32.1. yra didesnis</w:t>
            </w:r>
          </w:p>
          <w:p w14:paraId="3B48F372"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280F398" w:rsidR="00B13D65" w:rsidRPr="00F832F8" w:rsidRDefault="003262B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F832F8">
                  <w:rPr>
                    <w:rStyle w:val="Style2"/>
                    <w:rFonts w:ascii="Segoe UI Symbol" w:eastAsia="MS Gothic" w:hAnsi="Segoe UI Symbol" w:cs="Segoe UI Symbol"/>
                    <w:sz w:val="24"/>
                  </w:rPr>
                  <w:t>☐</w:t>
                </w:r>
              </w:sdtContent>
            </w:sdt>
            <w:r w:rsidR="00B13D65" w:rsidRPr="00F832F8">
              <w:t xml:space="preserve"> 32.1. iš esmės nesiskiria</w:t>
            </w:r>
          </w:p>
        </w:tc>
        <w:tc>
          <w:tcPr>
            <w:tcW w:w="4981" w:type="dxa"/>
          </w:tcPr>
          <w:p w14:paraId="507828D9" w14:textId="09AE523F" w:rsidR="00B13D65" w:rsidRPr="00F832F8" w:rsidRDefault="003262B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F832F8">
                  <w:rPr>
                    <w:rStyle w:val="Style2"/>
                    <w:rFonts w:ascii="Segoe UI Symbol" w:eastAsia="MS Gothic" w:hAnsi="Segoe UI Symbol" w:cs="Segoe UI Symbol"/>
                    <w:sz w:val="24"/>
                  </w:rPr>
                  <w:t>☐</w:t>
                </w:r>
              </w:sdtContent>
            </w:sdt>
            <w:r w:rsidR="00B13D65" w:rsidRPr="00F832F8">
              <w:t xml:space="preserve"> 33.1. yra mažesnis</w:t>
            </w:r>
          </w:p>
          <w:p w14:paraId="7F95DEEC"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F832F8" w:rsidRDefault="003262B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F832F8">
                  <w:rPr>
                    <w:rStyle w:val="Style2"/>
                    <w:rFonts w:ascii="Segoe UI Symbol" w:eastAsia="MS Gothic" w:hAnsi="Segoe UI Symbol" w:cs="Segoe UI Symbol"/>
                    <w:sz w:val="24"/>
                  </w:rPr>
                  <w:t>☐</w:t>
                </w:r>
              </w:sdtContent>
            </w:sdt>
            <w:r w:rsidR="00B13D65" w:rsidRPr="00F832F8">
              <w:t xml:space="preserve"> 33.1. yra neįrodytas kaip toks pat</w:t>
            </w:r>
          </w:p>
          <w:p w14:paraId="35205E85"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Pr="00F832F8" w:rsidRDefault="003262B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F832F8">
                  <w:rPr>
                    <w:rStyle w:val="Style2"/>
                    <w:rFonts w:ascii="Segoe UI Symbol" w:eastAsia="MS Gothic" w:hAnsi="Segoe UI Symbol" w:cs="Segoe UI Symbol"/>
                    <w:sz w:val="24"/>
                  </w:rPr>
                  <w:t>☐</w:t>
                </w:r>
              </w:sdtContent>
            </w:sdt>
            <w:r w:rsidR="00662983" w:rsidRPr="00F832F8">
              <w:t xml:space="preserve"> 33.1 </w:t>
            </w:r>
            <w:r w:rsidR="00B13D65" w:rsidRPr="00F832F8">
              <w:t>neįrodytas kaip didesnis</w:t>
            </w:r>
          </w:p>
          <w:p w14:paraId="512E653B"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F832F8" w:rsidRDefault="003262B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F832F8">
                  <w:rPr>
                    <w:rStyle w:val="Style2"/>
                    <w:rFonts w:ascii="Segoe UI Symbol" w:eastAsia="MS Gothic" w:hAnsi="Segoe UI Symbol" w:cs="Segoe UI Symbol"/>
                    <w:sz w:val="24"/>
                  </w:rPr>
                  <w:t>☐</w:t>
                </w:r>
              </w:sdtContent>
            </w:sdt>
            <w:r w:rsidR="00B13D65" w:rsidRPr="00F832F8">
              <w:t xml:space="preserve"> 33.1. pateikti duomenys apie palyginamąjį efektyvumą yra netinkami vertinti</w:t>
            </w:r>
          </w:p>
          <w:p w14:paraId="5DDAA961"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F832F8" w14:paraId="161CC3FE" w14:textId="77777777" w:rsidTr="00BD1E5A">
        <w:tc>
          <w:tcPr>
            <w:tcW w:w="9962" w:type="dxa"/>
            <w:gridSpan w:val="2"/>
          </w:tcPr>
          <w:p w14:paraId="3B2878F0"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F832F8">
              <w:rPr>
                <w:rStyle w:val="Style2"/>
                <w:rFonts w:eastAsia="MS Gothic"/>
                <w:b/>
                <w:bCs/>
                <w:sz w:val="24"/>
              </w:rPr>
              <w:t>Klinikinis veiksmingumas</w:t>
            </w:r>
          </w:p>
          <w:p w14:paraId="1AB46894"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F832F8" w14:paraId="3C60570A" w14:textId="77777777" w:rsidTr="00BD1E5A">
        <w:tc>
          <w:tcPr>
            <w:tcW w:w="4981" w:type="dxa"/>
          </w:tcPr>
          <w:p w14:paraId="6897B306" w14:textId="18535954" w:rsidR="00B13D65" w:rsidRPr="00F832F8" w:rsidRDefault="003262B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A02417" w:rsidRPr="00F832F8">
                  <w:rPr>
                    <w:rStyle w:val="Style2"/>
                    <w:rFonts w:ascii="MS Gothic" w:eastAsia="MS Gothic" w:hAnsi="MS Gothic"/>
                    <w:sz w:val="24"/>
                  </w:rPr>
                  <w:t>☒</w:t>
                </w:r>
              </w:sdtContent>
            </w:sdt>
            <w:r w:rsidR="00B13D65" w:rsidRPr="00F832F8">
              <w:t xml:space="preserve"> 32.2. yra įvertintas kaip pagrindžiantis papildomos naudos pacientų sveikatai sukūrimą, lyginant su įprasta klinikine praktika</w:t>
            </w:r>
          </w:p>
          <w:p w14:paraId="71D57105"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1179D09" w:rsidR="00B13D65" w:rsidRPr="00F832F8" w:rsidRDefault="003262B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F832F8">
                  <w:rPr>
                    <w:rStyle w:val="Style2"/>
                    <w:rFonts w:ascii="Segoe UI Symbol" w:eastAsia="MS Gothic" w:hAnsi="Segoe UI Symbol" w:cs="Segoe UI Symbol"/>
                    <w:sz w:val="24"/>
                  </w:rPr>
                  <w:t>☐</w:t>
                </w:r>
              </w:sdtContent>
            </w:sdt>
            <w:r w:rsidR="00B13D65" w:rsidRPr="00F832F8">
              <w:t xml:space="preserve"> 32.2. įvertintas kaip pagrindžiantis nesiskiriančios naudos pacientų sveikatai sukūrimą, lyginant su įprasta klinikine praktika</w:t>
            </w:r>
          </w:p>
          <w:p w14:paraId="287AD233"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F832F8" w:rsidRDefault="003262B0"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F832F8">
                  <w:rPr>
                    <w:rStyle w:val="Style2"/>
                    <w:rFonts w:ascii="Segoe UI Symbol" w:eastAsia="MS Gothic" w:hAnsi="Segoe UI Symbol" w:cs="Segoe UI Symbol"/>
                    <w:sz w:val="24"/>
                  </w:rPr>
                  <w:t>☐</w:t>
                </w:r>
              </w:sdtContent>
            </w:sdt>
            <w:r w:rsidR="00B13D65" w:rsidRPr="00F832F8">
              <w:t xml:space="preserve"> 33.1. yra įvertintas kaip nepagrindžiantis papildomos </w:t>
            </w:r>
            <w:r w:rsidR="00662983" w:rsidRPr="00F832F8">
              <w:t>naudos pacientų sveikatai sukūrimo, lyginant su  įprasta klinikine praktika.</w:t>
            </w:r>
          </w:p>
          <w:p w14:paraId="6C70BCFC" w14:textId="77777777" w:rsidR="00662983" w:rsidRPr="00F832F8" w:rsidRDefault="00662983" w:rsidP="00BD1E5A">
            <w:pPr>
              <w:jc w:val="both"/>
            </w:pPr>
          </w:p>
          <w:p w14:paraId="0ADEC30D" w14:textId="25150412" w:rsidR="00B13D65" w:rsidRPr="00F832F8" w:rsidRDefault="003262B0"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F832F8">
                  <w:rPr>
                    <w:rStyle w:val="Style2"/>
                    <w:rFonts w:ascii="Segoe UI Symbol" w:eastAsia="MS Gothic" w:hAnsi="Segoe UI Symbol" w:cs="Segoe UI Symbol"/>
                    <w:sz w:val="24"/>
                  </w:rPr>
                  <w:t>☐</w:t>
                </w:r>
              </w:sdtContent>
            </w:sdt>
            <w:r w:rsidR="00B13D65" w:rsidRPr="00F832F8">
              <w:t xml:space="preserve"> </w:t>
            </w:r>
            <w:r w:rsidR="00662983" w:rsidRPr="00F832F8">
              <w:t xml:space="preserve">33.1. </w:t>
            </w:r>
            <w:r w:rsidR="00B13D65" w:rsidRPr="00F832F8">
              <w:t>nesiskiriančios naudos pacientų sveikatai sukūrimo, lyginant su įprasta klinikine praktika.</w:t>
            </w:r>
          </w:p>
          <w:p w14:paraId="1EED7901"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F832F8" w14:paraId="1C75AE76" w14:textId="77777777" w:rsidTr="00BD1E5A">
        <w:tc>
          <w:tcPr>
            <w:tcW w:w="9962" w:type="dxa"/>
            <w:gridSpan w:val="2"/>
          </w:tcPr>
          <w:p w14:paraId="56F7FA3E"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F832F8">
              <w:rPr>
                <w:rStyle w:val="Style2"/>
                <w:rFonts w:eastAsia="MS Gothic"/>
                <w:b/>
                <w:bCs/>
                <w:sz w:val="24"/>
              </w:rPr>
              <w:t>Kaštų naudingumas</w:t>
            </w:r>
          </w:p>
          <w:p w14:paraId="0247EDAD"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F832F8" w14:paraId="7091A05B" w14:textId="77777777" w:rsidTr="00BD1E5A">
        <w:tc>
          <w:tcPr>
            <w:tcW w:w="4981" w:type="dxa"/>
          </w:tcPr>
          <w:p w14:paraId="69B2A994" w14:textId="473E1903" w:rsidR="00B13D65" w:rsidRPr="00F832F8" w:rsidRDefault="003262B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F832F8">
                  <w:rPr>
                    <w:rStyle w:val="Style2"/>
                    <w:rFonts w:ascii="MS Gothic" w:eastAsia="MS Gothic" w:hAnsi="MS Gothic"/>
                    <w:sz w:val="24"/>
                  </w:rPr>
                  <w:t>☐</w:t>
                </w:r>
              </w:sdtContent>
            </w:sdt>
            <w:r w:rsidR="00B13D65" w:rsidRPr="00F832F8">
              <w:t xml:space="preserve"> 32.3. atitinka referencinę naudingumo vertę</w:t>
            </w:r>
            <w:r w:rsidR="00F832F8">
              <w:t xml:space="preserve"> </w:t>
            </w:r>
          </w:p>
          <w:p w14:paraId="3F76F153"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572FF56B" w:rsidR="00B13D65" w:rsidRPr="00F832F8" w:rsidRDefault="00326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F832F8">
                  <w:rPr>
                    <w:rStyle w:val="Style2"/>
                    <w:rFonts w:ascii="Segoe UI Symbol" w:eastAsia="MS Gothic" w:hAnsi="Segoe UI Symbol" w:cs="Segoe UI Symbol"/>
                    <w:sz w:val="24"/>
                  </w:rPr>
                  <w:t>☐</w:t>
                </w:r>
              </w:sdtContent>
            </w:sdt>
            <w:r w:rsidR="00B13D65" w:rsidRPr="00F832F8">
              <w:t xml:space="preserve"> 32.3. gydymo juo kaštai yra mažesni ar tokie patys esant iš esmės nesiskiriančiam palyginamajam efektyvumui</w:t>
            </w:r>
            <w:r w:rsidR="00F832F8">
              <w:t xml:space="preserve"> </w:t>
            </w:r>
          </w:p>
        </w:tc>
        <w:tc>
          <w:tcPr>
            <w:tcW w:w="4981" w:type="dxa"/>
          </w:tcPr>
          <w:p w14:paraId="53380063" w14:textId="5DE7CBFD" w:rsidR="00B13D65" w:rsidRPr="00F832F8" w:rsidRDefault="003262B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A02417" w:rsidRPr="00F832F8">
                  <w:rPr>
                    <w:rStyle w:val="Style2"/>
                    <w:rFonts w:ascii="MS Gothic" w:eastAsia="MS Gothic" w:hAnsi="MS Gothic"/>
                    <w:sz w:val="24"/>
                  </w:rPr>
                  <w:t>☒</w:t>
                </w:r>
              </w:sdtContent>
            </w:sdt>
            <w:r w:rsidR="00B13D65" w:rsidRPr="00F832F8">
              <w:t xml:space="preserve"> 33.3. neatitinka referencinės naudingumo vertės Lietuvos Respublikoje;</w:t>
            </w:r>
          </w:p>
          <w:p w14:paraId="229ED51A"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15443A6E" w:rsidR="00B13D65" w:rsidRPr="00F832F8" w:rsidRDefault="003262B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F832F8">
                  <w:rPr>
                    <w:rStyle w:val="Style2"/>
                    <w:rFonts w:ascii="Segoe UI Symbol" w:eastAsia="MS Gothic" w:hAnsi="Segoe UI Symbol" w:cs="Segoe UI Symbol"/>
                    <w:sz w:val="24"/>
                  </w:rPr>
                  <w:t>☐</w:t>
                </w:r>
              </w:sdtContent>
            </w:sdt>
            <w:r w:rsidR="00B13D65" w:rsidRPr="00F832F8">
              <w:t xml:space="preserve"> 33.3. gydymo juo kaštai yra didesni esant iš esmės nesiskiriančiam palyginamajam efektyvumui</w:t>
            </w:r>
            <w:r w:rsidR="00F832F8">
              <w:t xml:space="preserve"> </w:t>
            </w:r>
          </w:p>
          <w:p w14:paraId="4A9C7D2A"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7BEE5EC" w:rsidR="00B13D65" w:rsidRPr="00F832F8" w:rsidRDefault="003262B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A02417" w:rsidRPr="00F832F8">
                  <w:rPr>
                    <w:rStyle w:val="Style2"/>
                    <w:rFonts w:ascii="MS Gothic" w:eastAsia="MS Gothic" w:hAnsi="MS Gothic"/>
                    <w:sz w:val="24"/>
                  </w:rPr>
                  <w:t>☐</w:t>
                </w:r>
              </w:sdtContent>
            </w:sdt>
            <w:r w:rsidR="00B13D65" w:rsidRPr="00F832F8">
              <w:t xml:space="preserve"> 33.3. pateikti duomenys apie kaštų na</w:t>
            </w:r>
            <w:r w:rsidR="00662983" w:rsidRPr="00F832F8">
              <w:t>udingumą yra netinkami vertinti</w:t>
            </w:r>
          </w:p>
          <w:p w14:paraId="470A48A4"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392787F7" w:rsidR="004A3A61" w:rsidRPr="00F832F8" w:rsidRDefault="004A3A61" w:rsidP="00381024"/>
    <w:p w14:paraId="154D0E30" w14:textId="0AE14ACE" w:rsidR="0067695E" w:rsidRPr="00F832F8" w:rsidRDefault="0067695E" w:rsidP="0067695E">
      <w:pPr>
        <w:ind w:firstLine="360"/>
        <w:rPr>
          <w:b/>
        </w:rPr>
      </w:pPr>
      <w:r w:rsidRPr="006A68DE">
        <w:rPr>
          <w:b/>
        </w:rPr>
        <w:t>7. REKOMENDACIJA</w:t>
      </w:r>
    </w:p>
    <w:p w14:paraId="4825FA77" w14:textId="77777777" w:rsidR="0067695E" w:rsidRPr="00F832F8" w:rsidRDefault="0067695E" w:rsidP="0067695E">
      <w:pPr>
        <w:rPr>
          <w:b/>
        </w:rPr>
      </w:pPr>
    </w:p>
    <w:p w14:paraId="7E4EB58B" w14:textId="77777777" w:rsidR="00A02417" w:rsidRPr="00F832F8" w:rsidRDefault="00A02417" w:rsidP="006A68DE">
      <w:pPr>
        <w:spacing w:line="276" w:lineRule="auto"/>
        <w:ind w:firstLine="360"/>
        <w:jc w:val="both"/>
      </w:pPr>
      <w:r w:rsidRPr="00F832F8">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p>
    <w:p w14:paraId="2C9798B2" w14:textId="77777777" w:rsidR="00A02417" w:rsidRPr="00F832F8" w:rsidRDefault="00A02417" w:rsidP="006A68DE">
      <w:pPr>
        <w:spacing w:line="276" w:lineRule="auto"/>
        <w:ind w:firstLine="360"/>
        <w:jc w:val="both"/>
        <w:rPr>
          <w:color w:val="000000"/>
        </w:rPr>
      </w:pPr>
      <w:r w:rsidRPr="00F832F8">
        <w:t xml:space="preserve">34.4. rekomenduojama </w:t>
      </w:r>
      <w:r w:rsidRPr="00F832F8">
        <w:rPr>
          <w:i/>
        </w:rPr>
        <w:t xml:space="preserve">nekompensuoti </w:t>
      </w:r>
      <w:r w:rsidRPr="00F832F8">
        <w:t>vaistinio preparato pagal paraiškoje nurodytą indikacijos dalį „</w:t>
      </w:r>
      <w:proofErr w:type="spellStart"/>
      <w:r w:rsidRPr="00F832F8">
        <w:rPr>
          <w:bCs/>
        </w:rPr>
        <w:t>n</w:t>
      </w:r>
      <w:r w:rsidRPr="00F832F8">
        <w:t>erezekuojamų</w:t>
      </w:r>
      <w:proofErr w:type="spellEnd"/>
      <w:r w:rsidRPr="00F832F8">
        <w:t xml:space="preserve"> ar </w:t>
      </w:r>
      <w:proofErr w:type="spellStart"/>
      <w:r w:rsidRPr="00F832F8">
        <w:t>metastazavusių</w:t>
      </w:r>
      <w:proofErr w:type="spellEnd"/>
      <w:r w:rsidRPr="00F832F8">
        <w:t xml:space="preserve">, progresuojančių, gerai diferencijuotų (G1 ir G2), </w:t>
      </w:r>
      <w:proofErr w:type="spellStart"/>
      <w:r w:rsidRPr="00F832F8">
        <w:t>somatostatino</w:t>
      </w:r>
      <w:proofErr w:type="spellEnd"/>
      <w:r w:rsidRPr="00F832F8">
        <w:t xml:space="preserve"> receptoriams teigiamų </w:t>
      </w:r>
      <w:r w:rsidRPr="00F832F8">
        <w:rPr>
          <w:b/>
        </w:rPr>
        <w:t>vidurinės</w:t>
      </w:r>
      <w:r w:rsidRPr="00F832F8">
        <w:t xml:space="preserve"> – plonosios žarnos, aklosios žarnos ir dešiniosios storosios žarnos – </w:t>
      </w:r>
      <w:r w:rsidRPr="00F832F8">
        <w:rPr>
          <w:b/>
        </w:rPr>
        <w:t>vamzdelio dalies ir kasos</w:t>
      </w:r>
      <w:r w:rsidRPr="00F832F8">
        <w:t xml:space="preserve"> </w:t>
      </w:r>
      <w:proofErr w:type="spellStart"/>
      <w:r w:rsidRPr="00F832F8">
        <w:rPr>
          <w:b/>
        </w:rPr>
        <w:t>neuroendokrininių</w:t>
      </w:r>
      <w:proofErr w:type="spellEnd"/>
      <w:r w:rsidRPr="00F832F8">
        <w:rPr>
          <w:b/>
        </w:rPr>
        <w:t xml:space="preserve"> navikų</w:t>
      </w:r>
      <w:r w:rsidRPr="00F832F8">
        <w:t>, kai gydant padidintomis SSA dozėmis nustatomas ligos progresavimas (</w:t>
      </w:r>
      <w:r w:rsidRPr="00F832F8">
        <w:rPr>
          <w:color w:val="000000"/>
        </w:rPr>
        <w:t>TLK-10-AM kodai: C17, C18.0-18.4, C25)</w:t>
      </w:r>
      <w:r w:rsidRPr="00F832F8">
        <w:t>“ gydymui su skyrimo sąlygomis, netaikant PGS dėl vertinimo išvadų, nurodytų 33.3 papunktyje „</w:t>
      </w:r>
      <w:r w:rsidRPr="00F832F8">
        <w:rPr>
          <w:color w:val="000000"/>
        </w:rPr>
        <w:t>siūlomo kompensuoti vaistinio preparato kaštų naudingumas neatitinka referencinės naudingumo vertės Lietuvos Respublikoje“.</w:t>
      </w:r>
    </w:p>
    <w:p w14:paraId="549F121B" w14:textId="13D643A8" w:rsidR="002646C7" w:rsidRPr="006A68DE" w:rsidRDefault="002646C7" w:rsidP="006A68DE">
      <w:pPr>
        <w:pStyle w:val="prastasiniatinklio"/>
        <w:spacing w:after="0" w:afterAutospacing="0" w:line="276" w:lineRule="auto"/>
        <w:ind w:firstLine="567"/>
        <w:jc w:val="both"/>
        <w:rPr>
          <w:b/>
        </w:rPr>
      </w:pPr>
      <w:r w:rsidRPr="006A68DE">
        <w:rPr>
          <w:b/>
        </w:rPr>
        <w:lastRenderedPageBreak/>
        <w:t>Papildomas siūlymas</w:t>
      </w:r>
    </w:p>
    <w:p w14:paraId="4EC9C09A" w14:textId="4ADDA411" w:rsidR="00A02417" w:rsidRPr="006A68DE" w:rsidRDefault="00A02417" w:rsidP="006A68DE">
      <w:pPr>
        <w:pStyle w:val="prastasiniatinklio"/>
        <w:spacing w:after="0" w:afterAutospacing="0" w:line="276" w:lineRule="auto"/>
        <w:ind w:firstLine="567"/>
        <w:jc w:val="both"/>
      </w:pPr>
      <w:r w:rsidRPr="006A68DE">
        <w:t xml:space="preserve">Tarnyba, remiantis Vaistinių preparatų ir medicinos pagalbos priemonių įrašymo į kompensavimo sąrašus ir jų keitimo tvarkos aprašo, patvirtinto Lietuvos Respublikos sveikatos apsaugos ministro 2002 m. balandžio 5 d. įsakymu Nr. 159 „Dėl Vaistinių preparatų ir medicinos pagalbos priemonių įrašymo į kompensavimo sąrašus ir jų keitimo tvarkos aprašo patvirtinimo“ 35 punktu,  Komisijai teikia papildomas pastabas ir pasiūlymus, susijusius su Paraiškos vertinimu. Atsižvelgiant, kad pagal klinikinius duomenis </w:t>
      </w:r>
      <w:proofErr w:type="spellStart"/>
      <w:r w:rsidRPr="006A68DE">
        <w:rPr>
          <w:bCs/>
        </w:rPr>
        <w:t>L</w:t>
      </w:r>
      <w:r w:rsidRPr="006A68DE">
        <w:rPr>
          <w:rFonts w:eastAsia="Arial"/>
        </w:rPr>
        <w:t>utecio</w:t>
      </w:r>
      <w:proofErr w:type="spellEnd"/>
      <w:r w:rsidRPr="006A68DE">
        <w:rPr>
          <w:rFonts w:eastAsia="Arial"/>
        </w:rPr>
        <w:t xml:space="preserve"> (</w:t>
      </w:r>
      <w:r w:rsidRPr="006A68DE">
        <w:rPr>
          <w:rFonts w:eastAsia="Arial"/>
          <w:vertAlign w:val="superscript"/>
        </w:rPr>
        <w:t>177</w:t>
      </w:r>
      <w:r w:rsidRPr="006A68DE">
        <w:rPr>
          <w:rFonts w:eastAsia="Arial"/>
        </w:rPr>
        <w:t xml:space="preserve">Lu) </w:t>
      </w:r>
      <w:proofErr w:type="spellStart"/>
      <w:r w:rsidRPr="006A68DE">
        <w:rPr>
          <w:rFonts w:eastAsia="Arial"/>
        </w:rPr>
        <w:t>oksodotreotido</w:t>
      </w:r>
      <w:proofErr w:type="spellEnd"/>
      <w:r w:rsidRPr="006A68DE">
        <w:rPr>
          <w:rFonts w:eastAsia="Arial"/>
        </w:rPr>
        <w:t xml:space="preserve"> nustatytas palyginamasis efektyvumas yra didesnis, klinikinis veiksmingumas yra </w:t>
      </w:r>
      <w:r w:rsidRPr="006A68DE">
        <w:t xml:space="preserve">įvertintas kaip pagrindžiantis papildomos naudos pacientų sveikatai sukūrimą lyginant su įprasta klinikine praktika, rekomenduojama kompensuoti </w:t>
      </w:r>
      <w:r w:rsidRPr="006A68DE">
        <w:rPr>
          <w:rFonts w:eastAsia="Arial"/>
        </w:rPr>
        <w:t xml:space="preserve">vaistinį preparatą pagal dalį indikacijos (pacientams, kuriems nustatyti vidurinės vamzdelio dalies </w:t>
      </w:r>
      <w:r w:rsidRPr="006A68DE">
        <w:t xml:space="preserve">ir </w:t>
      </w:r>
      <w:r w:rsidR="00DE1992">
        <w:t xml:space="preserve">kasos </w:t>
      </w:r>
      <w:proofErr w:type="spellStart"/>
      <w:r w:rsidRPr="006A68DE">
        <w:t>neuroendokrininiai</w:t>
      </w:r>
      <w:proofErr w:type="spellEnd"/>
      <w:r w:rsidRPr="006A68DE">
        <w:t xml:space="preserve"> navikai, gydymui</w:t>
      </w:r>
      <w:r w:rsidRPr="006A68DE">
        <w:rPr>
          <w:b/>
        </w:rPr>
        <w:t>)</w:t>
      </w:r>
      <w:r w:rsidRPr="006A68DE">
        <w:rPr>
          <w:rFonts w:eastAsia="Arial"/>
        </w:rPr>
        <w:t xml:space="preserve"> su sąlyga, kad </w:t>
      </w:r>
      <w:proofErr w:type="spellStart"/>
      <w:r w:rsidRPr="006A68DE">
        <w:rPr>
          <w:bCs/>
        </w:rPr>
        <w:t>L</w:t>
      </w:r>
      <w:r w:rsidRPr="006A68DE">
        <w:rPr>
          <w:rFonts w:eastAsia="Arial"/>
        </w:rPr>
        <w:t>utecio</w:t>
      </w:r>
      <w:proofErr w:type="spellEnd"/>
      <w:r w:rsidRPr="006A68DE">
        <w:rPr>
          <w:rFonts w:eastAsia="Arial"/>
        </w:rPr>
        <w:t xml:space="preserve"> (</w:t>
      </w:r>
      <w:r w:rsidRPr="006A68DE">
        <w:rPr>
          <w:rFonts w:eastAsia="Arial"/>
          <w:vertAlign w:val="superscript"/>
        </w:rPr>
        <w:t>177</w:t>
      </w:r>
      <w:r w:rsidRPr="006A68DE">
        <w:rPr>
          <w:rFonts w:eastAsia="Arial"/>
        </w:rPr>
        <w:t xml:space="preserve">Lu) </w:t>
      </w:r>
      <w:proofErr w:type="spellStart"/>
      <w:r w:rsidRPr="006A68DE">
        <w:rPr>
          <w:rFonts w:eastAsia="Arial"/>
        </w:rPr>
        <w:t>oksodotreotido</w:t>
      </w:r>
      <w:proofErr w:type="spellEnd"/>
      <w:r w:rsidRPr="006A68DE">
        <w:rPr>
          <w:rFonts w:eastAsia="Arial"/>
        </w:rPr>
        <w:t xml:space="preserve"> Lietuvai </w:t>
      </w:r>
      <w:r w:rsidRPr="00E8142F">
        <w:rPr>
          <w:rFonts w:eastAsia="Arial"/>
        </w:rPr>
        <w:t xml:space="preserve">taikoma kaina neviršytų sunkiai ligos naštai taikomo </w:t>
      </w:r>
      <w:r w:rsidRPr="00E8142F">
        <w:t xml:space="preserve">referencinės kaštų naudingumo vertės slenksčio, apskaičiuojant pagal </w:t>
      </w:r>
      <w:r w:rsidRPr="00E8142F">
        <w:rPr>
          <w:rFonts w:eastAsia="Arial"/>
        </w:rPr>
        <w:t xml:space="preserve">vidurinės vamzdelio dalies </w:t>
      </w:r>
      <w:proofErr w:type="spellStart"/>
      <w:r w:rsidRPr="00E8142F">
        <w:t>gastroentero</w:t>
      </w:r>
      <w:proofErr w:type="spellEnd"/>
      <w:r w:rsidRPr="00E8142F">
        <w:t xml:space="preserve"> </w:t>
      </w:r>
      <w:proofErr w:type="spellStart"/>
      <w:r w:rsidRPr="00E8142F">
        <w:t>neuroendokrininių</w:t>
      </w:r>
      <w:proofErr w:type="spellEnd"/>
      <w:r w:rsidRPr="00E8142F">
        <w:t xml:space="preserve"> navikų ICER atitiktį referencinės kaštų naudingumo vertei.</w:t>
      </w:r>
    </w:p>
    <w:p w14:paraId="36D4D542" w14:textId="77777777" w:rsidR="0067695E" w:rsidRPr="002646C7" w:rsidRDefault="0067695E" w:rsidP="006A68DE">
      <w:pPr>
        <w:spacing w:line="276" w:lineRule="auto"/>
        <w:jc w:val="both"/>
        <w:rPr>
          <w:color w:val="000000"/>
        </w:rPr>
      </w:pPr>
    </w:p>
    <w:p w14:paraId="1E061108" w14:textId="282A3274" w:rsidR="0067695E" w:rsidRPr="00F832F8" w:rsidRDefault="0067695E" w:rsidP="006A68DE">
      <w:pPr>
        <w:tabs>
          <w:tab w:val="left" w:pos="426"/>
        </w:tabs>
        <w:spacing w:line="276" w:lineRule="auto"/>
        <w:jc w:val="both"/>
        <w:rPr>
          <w:b/>
          <w:color w:val="000000"/>
          <w:lang w:eastAsia="lt-LT"/>
        </w:rPr>
      </w:pPr>
      <w:r w:rsidRPr="00F832F8">
        <w:rPr>
          <w:b/>
          <w:color w:val="000000"/>
          <w:lang w:eastAsia="lt-LT"/>
        </w:rPr>
        <w:tab/>
        <w:t xml:space="preserve">8. SIŪLOMOS KOMPENSUOTI TERAPINĖS INDIKACIJOS IR SKYRIMO SĄLYGOS </w:t>
      </w:r>
    </w:p>
    <w:p w14:paraId="69C82164" w14:textId="77777777" w:rsidR="0067695E" w:rsidRPr="00F832F8" w:rsidRDefault="0067695E" w:rsidP="006A68DE">
      <w:pPr>
        <w:tabs>
          <w:tab w:val="left" w:pos="426"/>
        </w:tabs>
        <w:spacing w:line="276" w:lineRule="auto"/>
        <w:jc w:val="both"/>
        <w:rPr>
          <w:b/>
          <w:color w:val="000000"/>
          <w:lang w:eastAsia="lt-LT"/>
        </w:rPr>
      </w:pPr>
    </w:p>
    <w:p w14:paraId="640A1108" w14:textId="77777777" w:rsidR="00AC33D8" w:rsidRPr="00F832F8" w:rsidRDefault="00AC33D8" w:rsidP="00A83922">
      <w:pPr>
        <w:tabs>
          <w:tab w:val="left" w:pos="426"/>
        </w:tabs>
        <w:spacing w:line="276" w:lineRule="auto"/>
        <w:jc w:val="both"/>
        <w:rPr>
          <w:b/>
          <w:color w:val="000000"/>
          <w:lang w:eastAsia="lt-LT"/>
        </w:rPr>
      </w:pPr>
      <w:r w:rsidRPr="00F832F8">
        <w:rPr>
          <w:b/>
          <w:color w:val="000000"/>
          <w:lang w:eastAsia="lt-LT"/>
        </w:rPr>
        <w:t>Terapinės indikacijos</w:t>
      </w:r>
    </w:p>
    <w:p w14:paraId="713C51B8" w14:textId="77777777" w:rsidR="00AC33D8" w:rsidRPr="00F832F8" w:rsidRDefault="003262B0" w:rsidP="004D377E">
      <w:pPr>
        <w:pStyle w:val="Sraopastraipa"/>
        <w:spacing w:after="120" w:line="276" w:lineRule="auto"/>
        <w:ind w:left="0"/>
        <w:contextualSpacing w:val="0"/>
        <w:jc w:val="both"/>
      </w:pPr>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AC33D8" w:rsidRPr="00F832F8">
            <w:rPr>
              <w:rStyle w:val="Style2"/>
              <w:rFonts w:ascii="MS Gothic" w:eastAsia="MS Gothic" w:hAnsi="MS Gothic"/>
            </w:rPr>
            <w:t>☒</w:t>
          </w:r>
        </w:sdtContent>
      </w:sdt>
      <w:r w:rsidR="00AC33D8" w:rsidRPr="00F832F8">
        <w:t xml:space="preserve"> Siūloma kompensuoti Pareiškėjo teikiamą indikaciją be pakeitimų.</w:t>
      </w:r>
    </w:p>
    <w:p w14:paraId="3217FCAD" w14:textId="77777777" w:rsidR="00AC33D8" w:rsidRPr="00DE1992" w:rsidRDefault="00AC33D8" w:rsidP="004D377E">
      <w:pPr>
        <w:pStyle w:val="Sraopastraipa"/>
        <w:spacing w:after="120" w:line="276" w:lineRule="auto"/>
        <w:ind w:left="0"/>
        <w:contextualSpacing w:val="0"/>
        <w:jc w:val="both"/>
      </w:pPr>
      <w:proofErr w:type="spellStart"/>
      <w:r w:rsidRPr="00DE1992">
        <w:t>Nerezekuojamų</w:t>
      </w:r>
      <w:proofErr w:type="spellEnd"/>
      <w:r w:rsidRPr="00DE1992">
        <w:t xml:space="preserve"> ar </w:t>
      </w:r>
      <w:proofErr w:type="spellStart"/>
      <w:r w:rsidRPr="00DE1992">
        <w:t>metastazavusių</w:t>
      </w:r>
      <w:proofErr w:type="spellEnd"/>
      <w:r w:rsidRPr="00DE1992">
        <w:t xml:space="preserve">, progresuojančių, gerai diferencijuotų (G1 ir G2), </w:t>
      </w:r>
      <w:proofErr w:type="spellStart"/>
      <w:r w:rsidRPr="00DE1992">
        <w:t>somatostatino</w:t>
      </w:r>
      <w:proofErr w:type="spellEnd"/>
      <w:r w:rsidRPr="00DE1992">
        <w:t xml:space="preserve"> receptoriams teigiamų </w:t>
      </w:r>
      <w:proofErr w:type="spellStart"/>
      <w:r w:rsidRPr="00DE1992">
        <w:t>gastroenteropankreatinių</w:t>
      </w:r>
      <w:proofErr w:type="spellEnd"/>
      <w:r w:rsidRPr="00DE1992">
        <w:t xml:space="preserve"> </w:t>
      </w:r>
      <w:proofErr w:type="spellStart"/>
      <w:r w:rsidRPr="00DE1992">
        <w:t>neuroendokrininių</w:t>
      </w:r>
      <w:proofErr w:type="spellEnd"/>
      <w:r w:rsidRPr="00DE1992">
        <w:t xml:space="preserve"> navikų (GEP-NEN) gydymas.</w:t>
      </w:r>
    </w:p>
    <w:p w14:paraId="5D454400" w14:textId="77777777" w:rsidR="00AC33D8" w:rsidRPr="00F832F8" w:rsidRDefault="003262B0" w:rsidP="004D377E">
      <w:pPr>
        <w:pStyle w:val="Sraopastraipa"/>
        <w:spacing w:after="120" w:line="276" w:lineRule="auto"/>
        <w:ind w:left="0"/>
        <w:contextualSpacing w:val="0"/>
        <w:jc w:val="both"/>
      </w:pPr>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AC33D8" w:rsidRPr="00F832F8">
            <w:rPr>
              <w:rStyle w:val="Style2"/>
              <w:rFonts w:ascii="MS Gothic" w:eastAsia="MS Gothic" w:hAnsi="MS Gothic"/>
            </w:rPr>
            <w:t>☐</w:t>
          </w:r>
        </w:sdtContent>
      </w:sdt>
      <w:r w:rsidR="00AC33D8" w:rsidRPr="00F832F8">
        <w:t xml:space="preserve"> Siūloma kompensuoti Pareiškėjo teikiamą indikaciją su pakeitimais.</w:t>
      </w:r>
    </w:p>
    <w:p w14:paraId="454E94F5" w14:textId="77777777" w:rsidR="00AC33D8" w:rsidRPr="00DE1992" w:rsidRDefault="00AC33D8" w:rsidP="004D377E">
      <w:pPr>
        <w:pStyle w:val="Sraopastraipa"/>
        <w:spacing w:after="120" w:line="276" w:lineRule="auto"/>
        <w:ind w:left="0"/>
        <w:contextualSpacing w:val="0"/>
        <w:jc w:val="both"/>
      </w:pPr>
      <w:r w:rsidRPr="00DE1992">
        <w:rPr>
          <w:b/>
          <w:color w:val="000000"/>
          <w:lang w:eastAsia="lt-LT"/>
        </w:rPr>
        <w:t>Skyrimo sąlygos</w:t>
      </w:r>
    </w:p>
    <w:p w14:paraId="72B5567D" w14:textId="77777777" w:rsidR="00AC33D8" w:rsidRPr="00F832F8" w:rsidRDefault="003262B0" w:rsidP="00F832F8">
      <w:pPr>
        <w:pStyle w:val="Sraopastraipa"/>
        <w:spacing w:after="120" w:line="276" w:lineRule="auto"/>
        <w:ind w:left="0"/>
        <w:contextualSpacing w:val="0"/>
        <w:jc w:val="both"/>
      </w:pPr>
      <w:sdt>
        <w:sdtPr>
          <w:rPr>
            <w:rStyle w:val="Style2"/>
          </w:rPr>
          <w:id w:val="1030915415"/>
          <w15:color w:val="FFCC00"/>
          <w14:checkbox>
            <w14:checked w14:val="0"/>
            <w14:checkedState w14:val="2612" w14:font="MS Gothic"/>
            <w14:uncheckedState w14:val="2610" w14:font="MS Gothic"/>
          </w14:checkbox>
        </w:sdtPr>
        <w:sdtEndPr>
          <w:rPr>
            <w:rStyle w:val="Style2"/>
          </w:rPr>
        </w:sdtEndPr>
        <w:sdtContent>
          <w:r w:rsidR="00AC33D8" w:rsidRPr="00F832F8">
            <w:rPr>
              <w:rStyle w:val="Style2"/>
              <w:rFonts w:ascii="MS Gothic" w:eastAsia="MS Gothic" w:hAnsi="MS Gothic"/>
            </w:rPr>
            <w:t>☐</w:t>
          </w:r>
        </w:sdtContent>
      </w:sdt>
      <w:r w:rsidR="00AC33D8" w:rsidRPr="00F832F8">
        <w:t xml:space="preserve"> Pareiškėjo siūlomos skyrimo sąlygos priimtinos.</w:t>
      </w:r>
    </w:p>
    <w:p w14:paraId="31C3F14C" w14:textId="77777777" w:rsidR="00AC33D8" w:rsidRPr="00F832F8" w:rsidRDefault="003262B0" w:rsidP="00F832F8">
      <w:pPr>
        <w:pStyle w:val="Sraopastraipa"/>
        <w:spacing w:after="120" w:line="276" w:lineRule="auto"/>
        <w:ind w:left="0"/>
        <w:contextualSpacing w:val="0"/>
        <w:jc w:val="both"/>
      </w:pPr>
      <w:sdt>
        <w:sdtPr>
          <w:rPr>
            <w:rStyle w:val="Style2"/>
          </w:rPr>
          <w:id w:val="-947620586"/>
          <w15:color w:val="FFCC00"/>
          <w14:checkbox>
            <w14:checked w14:val="1"/>
            <w14:checkedState w14:val="2612" w14:font="MS Gothic"/>
            <w14:uncheckedState w14:val="2610" w14:font="MS Gothic"/>
          </w14:checkbox>
        </w:sdtPr>
        <w:sdtEndPr>
          <w:rPr>
            <w:rStyle w:val="Style2"/>
          </w:rPr>
        </w:sdtEndPr>
        <w:sdtContent>
          <w:r w:rsidR="00AC33D8" w:rsidRPr="00F832F8">
            <w:rPr>
              <w:rStyle w:val="Style2"/>
              <w:rFonts w:ascii="MS Gothic" w:eastAsia="MS Gothic" w:hAnsi="MS Gothic"/>
            </w:rPr>
            <w:t>☒</w:t>
          </w:r>
        </w:sdtContent>
      </w:sdt>
      <w:r w:rsidR="00AC33D8" w:rsidRPr="00F832F8">
        <w:t xml:space="preserve"> Pareiškėjo siūlomos skyrimo sąlygos nepriimtinos.</w:t>
      </w:r>
    </w:p>
    <w:p w14:paraId="450CBC10" w14:textId="77777777" w:rsidR="00AC33D8" w:rsidRPr="00DE1992" w:rsidRDefault="00AC33D8" w:rsidP="00DE1992">
      <w:pPr>
        <w:pStyle w:val="Sraopastraipa"/>
        <w:spacing w:after="120" w:line="276" w:lineRule="auto"/>
        <w:ind w:left="0"/>
        <w:contextualSpacing w:val="0"/>
        <w:jc w:val="both"/>
      </w:pPr>
      <w:bookmarkStart w:id="2" w:name="_Hlk129291274"/>
      <w:r w:rsidRPr="00DE1992">
        <w:t>Siūlomos skyrimo sąlygos:</w:t>
      </w:r>
    </w:p>
    <w:p w14:paraId="14978848" w14:textId="1E743CC1" w:rsidR="00AC33D8" w:rsidRPr="00F832F8" w:rsidRDefault="00AC33D8" w:rsidP="00DE1992">
      <w:pPr>
        <w:pStyle w:val="Sraopastraipa"/>
        <w:numPr>
          <w:ilvl w:val="0"/>
          <w:numId w:val="15"/>
        </w:numPr>
        <w:spacing w:after="120" w:line="276" w:lineRule="auto"/>
        <w:contextualSpacing w:val="0"/>
        <w:jc w:val="both"/>
        <w:rPr>
          <w:rFonts w:eastAsia="Arial"/>
        </w:rPr>
      </w:pPr>
      <w:proofErr w:type="spellStart"/>
      <w:r w:rsidRPr="00DE1992">
        <w:rPr>
          <w:rFonts w:eastAsia="Arial"/>
        </w:rPr>
        <w:t>Histologiškai</w:t>
      </w:r>
      <w:proofErr w:type="spellEnd"/>
      <w:r w:rsidRPr="00DE1992">
        <w:rPr>
          <w:rFonts w:eastAsia="Arial"/>
        </w:rPr>
        <w:t xml:space="preserve"> patvirtintas vidurinės vamzdelio</w:t>
      </w:r>
      <w:r w:rsidRPr="00F832F8">
        <w:rPr>
          <w:rFonts w:eastAsia="Arial"/>
        </w:rPr>
        <w:t xml:space="preserve"> dalies (</w:t>
      </w:r>
      <w:r w:rsidRPr="00F832F8">
        <w:t>toliau GE-NEN) arba kasos</w:t>
      </w:r>
      <w:r w:rsidRPr="00F832F8">
        <w:rPr>
          <w:rFonts w:eastAsia="Arial"/>
        </w:rPr>
        <w:t xml:space="preserve"> (toliau P-NEN) </w:t>
      </w:r>
      <w:proofErr w:type="spellStart"/>
      <w:r w:rsidRPr="00F832F8">
        <w:rPr>
          <w:rFonts w:eastAsia="Arial"/>
        </w:rPr>
        <w:t>neuroendokrininis</w:t>
      </w:r>
      <w:proofErr w:type="spellEnd"/>
      <w:r w:rsidRPr="00F832F8">
        <w:rPr>
          <w:rFonts w:eastAsia="Arial"/>
        </w:rPr>
        <w:t xml:space="preserve"> navikas;</w:t>
      </w:r>
    </w:p>
    <w:p w14:paraId="1453FD2A" w14:textId="77777777" w:rsidR="00AC33D8" w:rsidRPr="00F832F8" w:rsidRDefault="00AC33D8">
      <w:pPr>
        <w:pStyle w:val="Sraopastraipa"/>
        <w:numPr>
          <w:ilvl w:val="0"/>
          <w:numId w:val="15"/>
        </w:numPr>
        <w:spacing w:after="120" w:line="276" w:lineRule="auto"/>
        <w:contextualSpacing w:val="0"/>
        <w:jc w:val="both"/>
        <w:rPr>
          <w:rFonts w:eastAsia="Arial"/>
        </w:rPr>
      </w:pPr>
      <w:r w:rsidRPr="00F832F8">
        <w:rPr>
          <w:rFonts w:eastAsia="Arial"/>
        </w:rPr>
        <w:t>Gera pacientų funkcinė būklė (ECOG ≤ 2);</w:t>
      </w:r>
    </w:p>
    <w:p w14:paraId="7523E0EA" w14:textId="77777777" w:rsidR="00AC33D8" w:rsidRPr="00F832F8" w:rsidRDefault="00AC33D8">
      <w:pPr>
        <w:pStyle w:val="Sraopastraipa"/>
        <w:numPr>
          <w:ilvl w:val="0"/>
          <w:numId w:val="15"/>
        </w:numPr>
        <w:spacing w:after="120" w:line="276" w:lineRule="auto"/>
        <w:contextualSpacing w:val="0"/>
        <w:jc w:val="both"/>
        <w:rPr>
          <w:rFonts w:eastAsia="Arial"/>
        </w:rPr>
      </w:pPr>
      <w:r w:rsidRPr="00F832F8">
        <w:t>Vaizdiniais tyrimais (</w:t>
      </w:r>
      <w:proofErr w:type="spellStart"/>
      <w:r w:rsidRPr="00F832F8">
        <w:t>scintigrafija</w:t>
      </w:r>
      <w:proofErr w:type="spellEnd"/>
      <w:r w:rsidRPr="00F832F8">
        <w:t xml:space="preserve">, pozitronų emisijos tomografija) patvirtinta didelė </w:t>
      </w:r>
      <w:proofErr w:type="spellStart"/>
      <w:r w:rsidRPr="00F832F8">
        <w:t>somatostatino</w:t>
      </w:r>
      <w:proofErr w:type="spellEnd"/>
      <w:r w:rsidRPr="00F832F8">
        <w:t xml:space="preserve"> receptorių raiška ir kaupimasis GEP-NEN audinyje („mažiausiai toks pat, kaip normalus kaupimasis kepenyse, kaupimosi navike balas ≥2“).</w:t>
      </w:r>
    </w:p>
    <w:p w14:paraId="7C7854BC" w14:textId="77777777" w:rsidR="00AC33D8" w:rsidRPr="00F832F8" w:rsidRDefault="00AC33D8">
      <w:pPr>
        <w:pStyle w:val="Sraopastraipa"/>
        <w:numPr>
          <w:ilvl w:val="0"/>
          <w:numId w:val="15"/>
        </w:numPr>
        <w:spacing w:after="120" w:line="276" w:lineRule="auto"/>
        <w:contextualSpacing w:val="0"/>
        <w:jc w:val="both"/>
        <w:rPr>
          <w:rFonts w:eastAsia="Arial"/>
        </w:rPr>
      </w:pPr>
      <w:r w:rsidRPr="00F832F8">
        <w:t>GE-NEN (turi atitikti abu kriterijus):</w:t>
      </w:r>
    </w:p>
    <w:p w14:paraId="2F57A782" w14:textId="77777777" w:rsidR="00AC33D8" w:rsidRPr="00F832F8" w:rsidRDefault="00AC33D8">
      <w:pPr>
        <w:pStyle w:val="Sraopastraipa"/>
        <w:numPr>
          <w:ilvl w:val="1"/>
          <w:numId w:val="15"/>
        </w:numPr>
        <w:spacing w:after="120" w:line="276" w:lineRule="auto"/>
        <w:contextualSpacing w:val="0"/>
        <w:jc w:val="both"/>
        <w:rPr>
          <w:rFonts w:eastAsia="Arial"/>
        </w:rPr>
      </w:pPr>
      <w:r w:rsidRPr="00F832F8">
        <w:t xml:space="preserve">Gerai (G1) arba vidutiniškai (G2 ir Ki67&lt;10%) diferencijuoti navikai: skiriant pirmos pakopos (didesnės </w:t>
      </w:r>
      <w:proofErr w:type="spellStart"/>
      <w:r w:rsidRPr="00F832F8">
        <w:t>somatostatino</w:t>
      </w:r>
      <w:proofErr w:type="spellEnd"/>
      <w:r w:rsidRPr="00F832F8">
        <w:t xml:space="preserve"> analogų dozės) gydymą, išlieka ligos progresavimas;</w:t>
      </w:r>
    </w:p>
    <w:p w14:paraId="50C1FFC4" w14:textId="77777777" w:rsidR="00AC33D8" w:rsidRPr="00F832F8" w:rsidRDefault="00AC33D8">
      <w:pPr>
        <w:pStyle w:val="Sraopastraipa"/>
        <w:numPr>
          <w:ilvl w:val="1"/>
          <w:numId w:val="15"/>
        </w:numPr>
        <w:spacing w:after="120" w:line="276" w:lineRule="auto"/>
        <w:contextualSpacing w:val="0"/>
        <w:jc w:val="both"/>
        <w:rPr>
          <w:rFonts w:eastAsia="Arial"/>
        </w:rPr>
      </w:pPr>
      <w:r w:rsidRPr="00F832F8">
        <w:t xml:space="preserve">Naviko anatominė lokalizacija atitinka vidurinės vamzdelio dalies navikus, </w:t>
      </w:r>
      <w:proofErr w:type="spellStart"/>
      <w:r w:rsidRPr="00F832F8">
        <w:t>t.y</w:t>
      </w:r>
      <w:proofErr w:type="spellEnd"/>
      <w:r w:rsidRPr="00F832F8">
        <w:t>. plonosios žarnos, aklosios žarnos, dešiniosios storosios žarnos dalies iki blužnies linkio.</w:t>
      </w:r>
    </w:p>
    <w:p w14:paraId="3D7DDE5E" w14:textId="1BB5CB9B" w:rsidR="00AC33D8" w:rsidRPr="00DE1992" w:rsidRDefault="00AC33D8" w:rsidP="00AC33D8">
      <w:pPr>
        <w:pStyle w:val="Sraopastraipa"/>
        <w:numPr>
          <w:ilvl w:val="0"/>
          <w:numId w:val="15"/>
        </w:numPr>
        <w:spacing w:after="120" w:line="276" w:lineRule="auto"/>
        <w:contextualSpacing w:val="0"/>
        <w:jc w:val="both"/>
        <w:rPr>
          <w:rFonts w:eastAsia="Arial"/>
        </w:rPr>
      </w:pPr>
      <w:r w:rsidRPr="00F832F8">
        <w:lastRenderedPageBreak/>
        <w:t xml:space="preserve">P-NEN (turi atitikti </w:t>
      </w:r>
      <w:r w:rsidR="00DE1992">
        <w:t xml:space="preserve">bent </w:t>
      </w:r>
      <w:r w:rsidRPr="00DE1992">
        <w:rPr>
          <w:b/>
          <w:bCs/>
        </w:rPr>
        <w:t>vieną</w:t>
      </w:r>
      <w:r w:rsidRPr="00DE1992">
        <w:t xml:space="preserve"> kriterijų):</w:t>
      </w:r>
    </w:p>
    <w:p w14:paraId="20C87FA9" w14:textId="77777777" w:rsidR="00AC33D8" w:rsidRPr="00F832F8" w:rsidRDefault="00AC33D8" w:rsidP="00AC33D8">
      <w:pPr>
        <w:pStyle w:val="Sraopastraipa"/>
        <w:numPr>
          <w:ilvl w:val="1"/>
          <w:numId w:val="15"/>
        </w:numPr>
        <w:spacing w:after="120" w:line="276" w:lineRule="auto"/>
        <w:contextualSpacing w:val="0"/>
        <w:jc w:val="both"/>
        <w:rPr>
          <w:rFonts w:eastAsia="Arial"/>
        </w:rPr>
      </w:pPr>
      <w:r w:rsidRPr="00F832F8">
        <w:t>Gerai (G1) diferencijuoti navikai: skiriant pirmos (</w:t>
      </w:r>
      <w:proofErr w:type="spellStart"/>
      <w:r w:rsidRPr="00F832F8">
        <w:t>somatostatino</w:t>
      </w:r>
      <w:proofErr w:type="spellEnd"/>
      <w:r w:rsidRPr="00F832F8">
        <w:t xml:space="preserve"> analogus) ir antros pakopos (</w:t>
      </w:r>
      <w:proofErr w:type="spellStart"/>
      <w:r w:rsidRPr="00F832F8">
        <w:t>everolimuzą</w:t>
      </w:r>
      <w:proofErr w:type="spellEnd"/>
      <w:r w:rsidRPr="00F832F8">
        <w:t xml:space="preserve">, </w:t>
      </w:r>
      <w:proofErr w:type="spellStart"/>
      <w:r w:rsidRPr="00F832F8">
        <w:t>sunitinibą</w:t>
      </w:r>
      <w:proofErr w:type="spellEnd"/>
      <w:r w:rsidRPr="00F832F8">
        <w:t>) gydymą, išlieka ligos progresavimas;</w:t>
      </w:r>
    </w:p>
    <w:p w14:paraId="46D6431F" w14:textId="20811E90" w:rsidR="00AC33D8" w:rsidRPr="00C52397" w:rsidRDefault="00AC33D8" w:rsidP="00AC33D8">
      <w:pPr>
        <w:pStyle w:val="Sraopastraipa"/>
        <w:numPr>
          <w:ilvl w:val="1"/>
          <w:numId w:val="15"/>
        </w:numPr>
        <w:spacing w:after="120" w:line="276" w:lineRule="auto"/>
        <w:contextualSpacing w:val="0"/>
        <w:jc w:val="both"/>
        <w:rPr>
          <w:rFonts w:eastAsia="Arial"/>
        </w:rPr>
      </w:pPr>
      <w:r w:rsidRPr="00F832F8">
        <w:t>Vidutiniškai (G2) diferencijuoti navikai: skiriant pirmos eilės gydymą (</w:t>
      </w:r>
      <w:proofErr w:type="spellStart"/>
      <w:r w:rsidRPr="00F832F8">
        <w:t>everolimuzą</w:t>
      </w:r>
      <w:proofErr w:type="spellEnd"/>
      <w:r w:rsidRPr="00F832F8">
        <w:t xml:space="preserve">, </w:t>
      </w:r>
      <w:proofErr w:type="spellStart"/>
      <w:r w:rsidRPr="00F832F8">
        <w:t>sunitinibą</w:t>
      </w:r>
      <w:proofErr w:type="spellEnd"/>
      <w:r w:rsidRPr="00F832F8">
        <w:t>), išlieka ligos progresavimas.</w:t>
      </w:r>
    </w:p>
    <w:p w14:paraId="6394C5B7" w14:textId="77777777" w:rsidR="000E23F8" w:rsidRPr="00672F2C" w:rsidRDefault="000E23F8" w:rsidP="000E23F8">
      <w:pPr>
        <w:pStyle w:val="Sraopastraipa"/>
        <w:numPr>
          <w:ilvl w:val="0"/>
          <w:numId w:val="15"/>
        </w:numPr>
        <w:spacing w:after="120" w:line="276" w:lineRule="auto"/>
        <w:contextualSpacing w:val="0"/>
        <w:jc w:val="both"/>
        <w:rPr>
          <w:rFonts w:eastAsia="Arial"/>
        </w:rPr>
      </w:pPr>
      <w:r w:rsidRPr="00672F2C">
        <w:rPr>
          <w:bCs/>
          <w:color w:val="000000"/>
        </w:rPr>
        <w:t xml:space="preserve">Gydymą skiria specializuotą onkologinę pagalbą teikiančioje asmens sveikatos priežiūros įstaigoje dirbantis gydytojas onkologas </w:t>
      </w:r>
      <w:proofErr w:type="spellStart"/>
      <w:r w:rsidRPr="00672F2C">
        <w:rPr>
          <w:bCs/>
          <w:color w:val="000000"/>
        </w:rPr>
        <w:t>chemoterapeutas</w:t>
      </w:r>
      <w:proofErr w:type="spellEnd"/>
      <w:r w:rsidRPr="00672F2C">
        <w:rPr>
          <w:bCs/>
          <w:color w:val="000000"/>
        </w:rPr>
        <w:t xml:space="preserve"> ar gydytojas onkologas </w:t>
      </w:r>
      <w:proofErr w:type="spellStart"/>
      <w:r w:rsidRPr="00672F2C">
        <w:rPr>
          <w:bCs/>
          <w:color w:val="000000"/>
        </w:rPr>
        <w:t>radioterapeutas</w:t>
      </w:r>
      <w:proofErr w:type="spellEnd"/>
      <w:r w:rsidRPr="00672F2C">
        <w:rPr>
          <w:bCs/>
          <w:color w:val="000000"/>
        </w:rPr>
        <w:t>.</w:t>
      </w:r>
    </w:p>
    <w:bookmarkEnd w:id="2"/>
    <w:p w14:paraId="147E477E" w14:textId="77777777" w:rsidR="00C52397" w:rsidRPr="000E23F8" w:rsidRDefault="00C52397" w:rsidP="000E23F8">
      <w:pPr>
        <w:spacing w:after="120" w:line="276" w:lineRule="auto"/>
        <w:ind w:left="360"/>
        <w:jc w:val="both"/>
        <w:rPr>
          <w:rFonts w:eastAsia="Arial"/>
        </w:rPr>
      </w:pPr>
    </w:p>
    <w:sectPr w:rsidR="00C52397" w:rsidRPr="000E23F8" w:rsidSect="005D30E1">
      <w:headerReference w:type="even" r:id="rId9"/>
      <w:headerReference w:type="default" r:id="rId10"/>
      <w:headerReference w:type="first" r:id="rId11"/>
      <w:footerReference w:type="first" r:id="rId12"/>
      <w:pgSz w:w="11907" w:h="16840" w:code="9"/>
      <w:pgMar w:top="1134" w:right="567" w:bottom="1134" w:left="1701" w:header="646" w:footer="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D284" w16cex:dateUtc="2023-03-09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2BA914" w16cid:durableId="27B4CD85"/>
  <w16cid:commentId w16cid:paraId="1B908FED" w16cid:durableId="27B4CD86"/>
  <w16cid:commentId w16cid:paraId="4EA6D8A5" w16cid:durableId="27B4D2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DACD" w14:textId="77777777" w:rsidR="003262B0" w:rsidRDefault="003262B0">
      <w:r>
        <w:separator/>
      </w:r>
    </w:p>
  </w:endnote>
  <w:endnote w:type="continuationSeparator" w:id="0">
    <w:p w14:paraId="4535E3B2" w14:textId="77777777" w:rsidR="003262B0" w:rsidRDefault="0032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ABE68" w14:textId="77777777" w:rsidR="003262B0" w:rsidRDefault="003262B0">
      <w:r>
        <w:separator/>
      </w:r>
    </w:p>
  </w:footnote>
  <w:footnote w:type="continuationSeparator" w:id="0">
    <w:p w14:paraId="03629675" w14:textId="77777777" w:rsidR="003262B0" w:rsidRDefault="0032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1BBC899F"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5161">
      <w:rPr>
        <w:rStyle w:val="Puslapionumeris"/>
        <w:noProof/>
      </w:rPr>
      <w:t>8</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C5274E3"/>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C25357"/>
    <w:multiLevelType w:val="hybridMultilevel"/>
    <w:tmpl w:val="ECFE5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78D1ECE"/>
    <w:multiLevelType w:val="hybridMultilevel"/>
    <w:tmpl w:val="6DDE6854"/>
    <w:lvl w:ilvl="0" w:tplc="0809000F">
      <w:start w:val="1"/>
      <w:numFmt w:val="decimal"/>
      <w:lvlText w:val="%1."/>
      <w:lvlJc w:val="left"/>
      <w:pPr>
        <w:ind w:left="360" w:hanging="360"/>
      </w:pPr>
    </w:lvl>
    <w:lvl w:ilvl="1" w:tplc="0809000B">
      <w:start w:val="1"/>
      <w:numFmt w:val="bullet"/>
      <w:lvlText w:val=""/>
      <w:lvlJc w:val="left"/>
      <w:pPr>
        <w:ind w:left="644" w:hanging="360"/>
      </w:pPr>
      <w:rPr>
        <w:rFonts w:ascii="Wingdings" w:hAnsi="Wingdings" w:hint="default"/>
      </w:rPr>
    </w:lvl>
    <w:lvl w:ilvl="2" w:tplc="0809000F">
      <w:start w:val="1"/>
      <w:numFmt w:val="decimal"/>
      <w:lvlText w:val="%3."/>
      <w:lvlJc w:val="left"/>
      <w:pPr>
        <w:ind w:left="927"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3D1C9B"/>
    <w:multiLevelType w:val="hybridMultilevel"/>
    <w:tmpl w:val="1A908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8"/>
  </w:num>
  <w:num w:numId="5">
    <w:abstractNumId w:val="6"/>
  </w:num>
  <w:num w:numId="6">
    <w:abstractNumId w:val="5"/>
  </w:num>
  <w:num w:numId="7">
    <w:abstractNumId w:val="3"/>
  </w:num>
  <w:num w:numId="8">
    <w:abstractNumId w:val="13"/>
  </w:num>
  <w:num w:numId="9">
    <w:abstractNumId w:val="0"/>
  </w:num>
  <w:num w:numId="10">
    <w:abstractNumId w:val="10"/>
  </w:num>
  <w:num w:numId="11">
    <w:abstractNumId w:val="11"/>
  </w:num>
  <w:num w:numId="12">
    <w:abstractNumId w:val="2"/>
  </w:num>
  <w:num w:numId="13">
    <w:abstractNumId w:val="4"/>
  </w:num>
  <w:num w:numId="14">
    <w:abstractNumId w:val="1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3F5B"/>
    <w:rsid w:val="000114DD"/>
    <w:rsid w:val="000136F7"/>
    <w:rsid w:val="0002686C"/>
    <w:rsid w:val="00031D0E"/>
    <w:rsid w:val="000337E6"/>
    <w:rsid w:val="0003402E"/>
    <w:rsid w:val="00034EAE"/>
    <w:rsid w:val="000606BE"/>
    <w:rsid w:val="000736B8"/>
    <w:rsid w:val="0008190F"/>
    <w:rsid w:val="00081D9C"/>
    <w:rsid w:val="00082907"/>
    <w:rsid w:val="0008378D"/>
    <w:rsid w:val="000908A5"/>
    <w:rsid w:val="00092805"/>
    <w:rsid w:val="000A3817"/>
    <w:rsid w:val="000B3858"/>
    <w:rsid w:val="000C454C"/>
    <w:rsid w:val="000D5038"/>
    <w:rsid w:val="000E23F8"/>
    <w:rsid w:val="000E29D4"/>
    <w:rsid w:val="000F3540"/>
    <w:rsid w:val="000F7BB1"/>
    <w:rsid w:val="00100491"/>
    <w:rsid w:val="00104E2E"/>
    <w:rsid w:val="00107287"/>
    <w:rsid w:val="001141D2"/>
    <w:rsid w:val="00117406"/>
    <w:rsid w:val="00121EF0"/>
    <w:rsid w:val="00124A9E"/>
    <w:rsid w:val="00130703"/>
    <w:rsid w:val="0013153F"/>
    <w:rsid w:val="001335A2"/>
    <w:rsid w:val="001408B8"/>
    <w:rsid w:val="00151EF1"/>
    <w:rsid w:val="001521D9"/>
    <w:rsid w:val="001554E2"/>
    <w:rsid w:val="00164146"/>
    <w:rsid w:val="0017369C"/>
    <w:rsid w:val="00180C39"/>
    <w:rsid w:val="00180D96"/>
    <w:rsid w:val="001921F3"/>
    <w:rsid w:val="001B3C5B"/>
    <w:rsid w:val="001E4BBB"/>
    <w:rsid w:val="001E5EE8"/>
    <w:rsid w:val="001E6304"/>
    <w:rsid w:val="0020381E"/>
    <w:rsid w:val="00212BA2"/>
    <w:rsid w:val="00213471"/>
    <w:rsid w:val="00215906"/>
    <w:rsid w:val="00221996"/>
    <w:rsid w:val="0025697F"/>
    <w:rsid w:val="00260258"/>
    <w:rsid w:val="002646C7"/>
    <w:rsid w:val="00272428"/>
    <w:rsid w:val="00272948"/>
    <w:rsid w:val="002946C7"/>
    <w:rsid w:val="002B3CC1"/>
    <w:rsid w:val="002C09E0"/>
    <w:rsid w:val="002C3A10"/>
    <w:rsid w:val="002C4A90"/>
    <w:rsid w:val="002D02EF"/>
    <w:rsid w:val="002E0702"/>
    <w:rsid w:val="002E0B89"/>
    <w:rsid w:val="002E6F80"/>
    <w:rsid w:val="002F0E4F"/>
    <w:rsid w:val="002F1053"/>
    <w:rsid w:val="00317B0E"/>
    <w:rsid w:val="003262B0"/>
    <w:rsid w:val="00347965"/>
    <w:rsid w:val="00347FAA"/>
    <w:rsid w:val="0035172D"/>
    <w:rsid w:val="00355161"/>
    <w:rsid w:val="0036187D"/>
    <w:rsid w:val="00381024"/>
    <w:rsid w:val="00386307"/>
    <w:rsid w:val="003874DE"/>
    <w:rsid w:val="00393E9F"/>
    <w:rsid w:val="0039696E"/>
    <w:rsid w:val="00397B77"/>
    <w:rsid w:val="003B211A"/>
    <w:rsid w:val="003C141F"/>
    <w:rsid w:val="003C6B0E"/>
    <w:rsid w:val="003C7257"/>
    <w:rsid w:val="003C7E35"/>
    <w:rsid w:val="003E2B81"/>
    <w:rsid w:val="003F3FBD"/>
    <w:rsid w:val="00404E8A"/>
    <w:rsid w:val="0040622F"/>
    <w:rsid w:val="00423160"/>
    <w:rsid w:val="00453862"/>
    <w:rsid w:val="00461338"/>
    <w:rsid w:val="004677DB"/>
    <w:rsid w:val="00467E9F"/>
    <w:rsid w:val="0048630F"/>
    <w:rsid w:val="004947A1"/>
    <w:rsid w:val="0049482A"/>
    <w:rsid w:val="004979D3"/>
    <w:rsid w:val="004A00E7"/>
    <w:rsid w:val="004A3A61"/>
    <w:rsid w:val="004B59BA"/>
    <w:rsid w:val="004C263A"/>
    <w:rsid w:val="004D377E"/>
    <w:rsid w:val="004D7B8F"/>
    <w:rsid w:val="004E6458"/>
    <w:rsid w:val="004E6E7D"/>
    <w:rsid w:val="004F1AAC"/>
    <w:rsid w:val="004F1AE2"/>
    <w:rsid w:val="004F34F0"/>
    <w:rsid w:val="005005EF"/>
    <w:rsid w:val="00534E11"/>
    <w:rsid w:val="005400D9"/>
    <w:rsid w:val="005476A4"/>
    <w:rsid w:val="0055019B"/>
    <w:rsid w:val="00556E63"/>
    <w:rsid w:val="005601A4"/>
    <w:rsid w:val="00566DBB"/>
    <w:rsid w:val="00577760"/>
    <w:rsid w:val="005976CE"/>
    <w:rsid w:val="005A23D4"/>
    <w:rsid w:val="005A2D1E"/>
    <w:rsid w:val="005C493F"/>
    <w:rsid w:val="005C6BF7"/>
    <w:rsid w:val="005C6EC1"/>
    <w:rsid w:val="005C71BF"/>
    <w:rsid w:val="005D002C"/>
    <w:rsid w:val="005D30E1"/>
    <w:rsid w:val="005D5BE7"/>
    <w:rsid w:val="005D6555"/>
    <w:rsid w:val="005D7BDF"/>
    <w:rsid w:val="005F71D9"/>
    <w:rsid w:val="005F7602"/>
    <w:rsid w:val="0060039E"/>
    <w:rsid w:val="00613501"/>
    <w:rsid w:val="006166A8"/>
    <w:rsid w:val="006174A1"/>
    <w:rsid w:val="00633B49"/>
    <w:rsid w:val="0064297F"/>
    <w:rsid w:val="00646CF3"/>
    <w:rsid w:val="00646CF6"/>
    <w:rsid w:val="00662983"/>
    <w:rsid w:val="0067695E"/>
    <w:rsid w:val="006834D3"/>
    <w:rsid w:val="00692625"/>
    <w:rsid w:val="00695CD3"/>
    <w:rsid w:val="006A38B6"/>
    <w:rsid w:val="006A68DE"/>
    <w:rsid w:val="006B1987"/>
    <w:rsid w:val="006B5B71"/>
    <w:rsid w:val="006B6CB0"/>
    <w:rsid w:val="006C2B64"/>
    <w:rsid w:val="006D4C85"/>
    <w:rsid w:val="006E33F6"/>
    <w:rsid w:val="006F1251"/>
    <w:rsid w:val="006F1C23"/>
    <w:rsid w:val="00703166"/>
    <w:rsid w:val="007127F3"/>
    <w:rsid w:val="007301CF"/>
    <w:rsid w:val="007316FB"/>
    <w:rsid w:val="00737E2D"/>
    <w:rsid w:val="007424D5"/>
    <w:rsid w:val="007523DD"/>
    <w:rsid w:val="00757B7E"/>
    <w:rsid w:val="007857B8"/>
    <w:rsid w:val="007935A9"/>
    <w:rsid w:val="00795DC5"/>
    <w:rsid w:val="00797153"/>
    <w:rsid w:val="007B0DDA"/>
    <w:rsid w:val="007E5466"/>
    <w:rsid w:val="007F1949"/>
    <w:rsid w:val="00802F25"/>
    <w:rsid w:val="00817A84"/>
    <w:rsid w:val="008225A4"/>
    <w:rsid w:val="00826D5E"/>
    <w:rsid w:val="00832013"/>
    <w:rsid w:val="00834732"/>
    <w:rsid w:val="0085200C"/>
    <w:rsid w:val="00857C52"/>
    <w:rsid w:val="00880A44"/>
    <w:rsid w:val="0088345E"/>
    <w:rsid w:val="0088656F"/>
    <w:rsid w:val="0089753D"/>
    <w:rsid w:val="008A0303"/>
    <w:rsid w:val="008A5FDD"/>
    <w:rsid w:val="008C3947"/>
    <w:rsid w:val="008E7329"/>
    <w:rsid w:val="008F2ED5"/>
    <w:rsid w:val="009061EA"/>
    <w:rsid w:val="0092297E"/>
    <w:rsid w:val="009306C7"/>
    <w:rsid w:val="009341BF"/>
    <w:rsid w:val="00937907"/>
    <w:rsid w:val="00941739"/>
    <w:rsid w:val="00951573"/>
    <w:rsid w:val="00963003"/>
    <w:rsid w:val="00983471"/>
    <w:rsid w:val="009909AB"/>
    <w:rsid w:val="009B37DB"/>
    <w:rsid w:val="009C14DD"/>
    <w:rsid w:val="009C7A8C"/>
    <w:rsid w:val="009D23F9"/>
    <w:rsid w:val="009D4FA8"/>
    <w:rsid w:val="009E6CD6"/>
    <w:rsid w:val="00A00C3C"/>
    <w:rsid w:val="00A01091"/>
    <w:rsid w:val="00A02417"/>
    <w:rsid w:val="00A06DBB"/>
    <w:rsid w:val="00A2292D"/>
    <w:rsid w:val="00A31E86"/>
    <w:rsid w:val="00A54D87"/>
    <w:rsid w:val="00A5553C"/>
    <w:rsid w:val="00A81785"/>
    <w:rsid w:val="00A83922"/>
    <w:rsid w:val="00A84803"/>
    <w:rsid w:val="00A84C51"/>
    <w:rsid w:val="00A86F2B"/>
    <w:rsid w:val="00A91366"/>
    <w:rsid w:val="00A93AA6"/>
    <w:rsid w:val="00AA4E48"/>
    <w:rsid w:val="00AA6202"/>
    <w:rsid w:val="00AC33D8"/>
    <w:rsid w:val="00AC4A99"/>
    <w:rsid w:val="00AC64D2"/>
    <w:rsid w:val="00AE0FE8"/>
    <w:rsid w:val="00AF60D5"/>
    <w:rsid w:val="00B04415"/>
    <w:rsid w:val="00B11D60"/>
    <w:rsid w:val="00B13D65"/>
    <w:rsid w:val="00B37245"/>
    <w:rsid w:val="00B4017A"/>
    <w:rsid w:val="00B4468D"/>
    <w:rsid w:val="00B71C72"/>
    <w:rsid w:val="00B81E92"/>
    <w:rsid w:val="00B90276"/>
    <w:rsid w:val="00B93B30"/>
    <w:rsid w:val="00B94CB5"/>
    <w:rsid w:val="00BA0DD9"/>
    <w:rsid w:val="00BA19F7"/>
    <w:rsid w:val="00BB6312"/>
    <w:rsid w:val="00BC4D06"/>
    <w:rsid w:val="00BD585E"/>
    <w:rsid w:val="00BF206B"/>
    <w:rsid w:val="00BF2E0D"/>
    <w:rsid w:val="00BF3F8B"/>
    <w:rsid w:val="00BF76DA"/>
    <w:rsid w:val="00C07C7B"/>
    <w:rsid w:val="00C24479"/>
    <w:rsid w:val="00C37B53"/>
    <w:rsid w:val="00C46309"/>
    <w:rsid w:val="00C517D2"/>
    <w:rsid w:val="00C52397"/>
    <w:rsid w:val="00C62B36"/>
    <w:rsid w:val="00C7012C"/>
    <w:rsid w:val="00CC668D"/>
    <w:rsid w:val="00CC7832"/>
    <w:rsid w:val="00CD429B"/>
    <w:rsid w:val="00CF0C1C"/>
    <w:rsid w:val="00D23808"/>
    <w:rsid w:val="00D3016A"/>
    <w:rsid w:val="00D42960"/>
    <w:rsid w:val="00D43BD7"/>
    <w:rsid w:val="00D4485B"/>
    <w:rsid w:val="00D4708D"/>
    <w:rsid w:val="00D4744C"/>
    <w:rsid w:val="00D63068"/>
    <w:rsid w:val="00D6498C"/>
    <w:rsid w:val="00D8521E"/>
    <w:rsid w:val="00D9291C"/>
    <w:rsid w:val="00D93A97"/>
    <w:rsid w:val="00DB1F64"/>
    <w:rsid w:val="00DC2F53"/>
    <w:rsid w:val="00DC6816"/>
    <w:rsid w:val="00DC76C2"/>
    <w:rsid w:val="00DD1CF2"/>
    <w:rsid w:val="00DE1992"/>
    <w:rsid w:val="00DF41B7"/>
    <w:rsid w:val="00DF4A4A"/>
    <w:rsid w:val="00DF583C"/>
    <w:rsid w:val="00E03C3F"/>
    <w:rsid w:val="00E24D45"/>
    <w:rsid w:val="00E33DB8"/>
    <w:rsid w:val="00E34387"/>
    <w:rsid w:val="00E369FE"/>
    <w:rsid w:val="00E37C6F"/>
    <w:rsid w:val="00E475F8"/>
    <w:rsid w:val="00E5102E"/>
    <w:rsid w:val="00E5721C"/>
    <w:rsid w:val="00E619C6"/>
    <w:rsid w:val="00E66270"/>
    <w:rsid w:val="00E745A1"/>
    <w:rsid w:val="00E8142F"/>
    <w:rsid w:val="00E81529"/>
    <w:rsid w:val="00E83A13"/>
    <w:rsid w:val="00EC2356"/>
    <w:rsid w:val="00EC2582"/>
    <w:rsid w:val="00EC337C"/>
    <w:rsid w:val="00ED0CFF"/>
    <w:rsid w:val="00ED31D2"/>
    <w:rsid w:val="00EE0EAC"/>
    <w:rsid w:val="00EE33CB"/>
    <w:rsid w:val="00F0061A"/>
    <w:rsid w:val="00F02834"/>
    <w:rsid w:val="00F07CD7"/>
    <w:rsid w:val="00F127E9"/>
    <w:rsid w:val="00F30D4D"/>
    <w:rsid w:val="00F36972"/>
    <w:rsid w:val="00F42426"/>
    <w:rsid w:val="00F456BC"/>
    <w:rsid w:val="00F50666"/>
    <w:rsid w:val="00F65741"/>
    <w:rsid w:val="00F70C9E"/>
    <w:rsid w:val="00F74A74"/>
    <w:rsid w:val="00F832F8"/>
    <w:rsid w:val="00F8382C"/>
    <w:rsid w:val="00F855D7"/>
    <w:rsid w:val="00F857A3"/>
    <w:rsid w:val="00F92035"/>
    <w:rsid w:val="00F92748"/>
    <w:rsid w:val="00FA4169"/>
    <w:rsid w:val="00FB0D41"/>
    <w:rsid w:val="00FB203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Header Row,Bullet Paragraph,Bullet Point,Table Legend,List Paragraph CCT minutes,Section 5,FooterText,List Paragraph1,numbered,列出段落"/>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1 Diagrama,Bullet 1 Diagrama,Bullet List Diagrama,1. Bullet Blank Diagrama,Bulleted - 2 Diagrama,Dairy Paragraphe Diagrama,Bullets Points Diagrama,Table Header Row Diagrama,Bullet Paragraph Diagrama,Bullet Point Diagrama"/>
    <w:link w:val="Sraopastraipa"/>
    <w:uiPriority w:val="34"/>
    <w:rsid w:val="001E5EE8"/>
    <w:rPr>
      <w:sz w:val="24"/>
      <w:szCs w:val="24"/>
      <w:lang w:eastAsia="en-US"/>
    </w:rPr>
  </w:style>
  <w:style w:type="paragraph" w:styleId="prastasiniatinklio">
    <w:name w:val="Normal (Web)"/>
    <w:basedOn w:val="prastasis"/>
    <w:uiPriority w:val="99"/>
    <w:semiHidden/>
    <w:unhideWhenUsed/>
    <w:rsid w:val="0067695E"/>
    <w:pPr>
      <w:spacing w:before="100" w:beforeAutospacing="1" w:after="100" w:afterAutospacing="1"/>
    </w:pPr>
    <w:rPr>
      <w:lang w:eastAsia="lt-LT"/>
    </w:rPr>
  </w:style>
  <w:style w:type="paragraph" w:styleId="Pataisymai">
    <w:name w:val="Revision"/>
    <w:hidden/>
    <w:uiPriority w:val="99"/>
    <w:semiHidden/>
    <w:rsid w:val="005D5BE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702B3CBDAD4CBB9AC6BD8608115F85"/>
        <w:category>
          <w:name w:val="General"/>
          <w:gallery w:val="placeholder"/>
        </w:category>
        <w:types>
          <w:type w:val="bbPlcHdr"/>
        </w:types>
        <w:behaviors>
          <w:behavior w:val="content"/>
        </w:behaviors>
        <w:guid w:val="{606D4791-4D85-458A-9343-49D603A1FBDC}"/>
      </w:docPartPr>
      <w:docPartBody>
        <w:p w:rsidR="00631703" w:rsidRDefault="007A31E1" w:rsidP="007A31E1">
          <w:pPr>
            <w:pStyle w:val="78702B3CBDAD4CBB9AC6BD8608115F85"/>
          </w:pPr>
          <w:r>
            <w:rPr>
              <w:rStyle w:val="Vietosrezervavimoenklotekstas"/>
            </w:rPr>
            <w:t>Click here to enter a date.</w:t>
          </w:r>
        </w:p>
      </w:docPartBody>
    </w:docPart>
    <w:docPart>
      <w:docPartPr>
        <w:name w:val="9A9AA8D7F22A4AEA9A04F7C0FD75498C"/>
        <w:category>
          <w:name w:val="General"/>
          <w:gallery w:val="placeholder"/>
        </w:category>
        <w:types>
          <w:type w:val="bbPlcHdr"/>
        </w:types>
        <w:behaviors>
          <w:behavior w:val="content"/>
        </w:behaviors>
        <w:guid w:val="{A70D21DF-1007-4BD5-8C9F-205BFB7922EE}"/>
      </w:docPartPr>
      <w:docPartBody>
        <w:p w:rsidR="009F08E3" w:rsidRDefault="00550F3C" w:rsidP="00550F3C">
          <w:pPr>
            <w:pStyle w:val="9A9AA8D7F22A4AEA9A04F7C0FD75498C"/>
          </w:pPr>
          <w:r>
            <w:rPr>
              <w:rStyle w:val="Vietosrezervavimoenklotekstas"/>
            </w:rPr>
            <w:t>Click here to enter a date.</w:t>
          </w:r>
        </w:p>
      </w:docPartBody>
    </w:docPart>
    <w:docPart>
      <w:docPartPr>
        <w:name w:val="5545C5CE3B6243C0AF0B2F36D9241189"/>
        <w:category>
          <w:name w:val="General"/>
          <w:gallery w:val="placeholder"/>
        </w:category>
        <w:types>
          <w:type w:val="bbPlcHdr"/>
        </w:types>
        <w:behaviors>
          <w:behavior w:val="content"/>
        </w:behaviors>
        <w:guid w:val="{DCBEF1E5-BDEF-4F58-A313-09414EDA0A99}"/>
      </w:docPartPr>
      <w:docPartBody>
        <w:p w:rsidR="009F08E3" w:rsidRDefault="00550F3C" w:rsidP="00550F3C">
          <w:pPr>
            <w:pStyle w:val="5545C5CE3B6243C0AF0B2F36D9241189"/>
          </w:pPr>
          <w:r>
            <w:rPr>
              <w:rStyle w:val="Vietosrezervavimoenklotekstas"/>
            </w:rPr>
            <w:t>Click here to enter a date.</w:t>
          </w:r>
        </w:p>
      </w:docPartBody>
    </w:docPart>
    <w:docPart>
      <w:docPartPr>
        <w:name w:val="97272CAD7B33488091ACC56C6FFB5D68"/>
        <w:category>
          <w:name w:val="General"/>
          <w:gallery w:val="placeholder"/>
        </w:category>
        <w:types>
          <w:type w:val="bbPlcHdr"/>
        </w:types>
        <w:behaviors>
          <w:behavior w:val="content"/>
        </w:behaviors>
        <w:guid w:val="{A99F4A0F-F9E8-4263-B6A8-CAC7992F3ACB}"/>
      </w:docPartPr>
      <w:docPartBody>
        <w:p w:rsidR="009F08E3" w:rsidRDefault="00550F3C" w:rsidP="00550F3C">
          <w:pPr>
            <w:pStyle w:val="97272CAD7B33488091ACC56C6FFB5D68"/>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937FE"/>
    <w:rsid w:val="000A559A"/>
    <w:rsid w:val="00265CF8"/>
    <w:rsid w:val="004144A3"/>
    <w:rsid w:val="004160E7"/>
    <w:rsid w:val="005074B9"/>
    <w:rsid w:val="00550F3C"/>
    <w:rsid w:val="005A4147"/>
    <w:rsid w:val="005E40DD"/>
    <w:rsid w:val="00631703"/>
    <w:rsid w:val="006C547B"/>
    <w:rsid w:val="007A31E1"/>
    <w:rsid w:val="007B7612"/>
    <w:rsid w:val="007C6D1D"/>
    <w:rsid w:val="00871A0B"/>
    <w:rsid w:val="009B3BF0"/>
    <w:rsid w:val="009D5E5E"/>
    <w:rsid w:val="009F08E3"/>
    <w:rsid w:val="00B23DC0"/>
    <w:rsid w:val="00CB4BD1"/>
    <w:rsid w:val="00CE2DA9"/>
    <w:rsid w:val="00CE44BE"/>
    <w:rsid w:val="00E17BF9"/>
    <w:rsid w:val="00E23093"/>
    <w:rsid w:val="00E44A86"/>
    <w:rsid w:val="00EA5866"/>
    <w:rsid w:val="00EF6E0C"/>
    <w:rsid w:val="00F46FEE"/>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550F3C"/>
    <w:rPr>
      <w:color w:val="808080"/>
    </w:rPr>
  </w:style>
  <w:style w:type="paragraph" w:customStyle="1" w:styleId="78702B3CBDAD4CBB9AC6BD8608115F85">
    <w:name w:val="78702B3CBDAD4CBB9AC6BD8608115F85"/>
    <w:rsid w:val="007A31E1"/>
  </w:style>
  <w:style w:type="paragraph" w:customStyle="1" w:styleId="9A9AA8D7F22A4AEA9A04F7C0FD75498C">
    <w:name w:val="9A9AA8D7F22A4AEA9A04F7C0FD75498C"/>
    <w:rsid w:val="00550F3C"/>
  </w:style>
  <w:style w:type="paragraph" w:customStyle="1" w:styleId="5545C5CE3B6243C0AF0B2F36D9241189">
    <w:name w:val="5545C5CE3B6243C0AF0B2F36D9241189"/>
    <w:rsid w:val="00550F3C"/>
  </w:style>
  <w:style w:type="paragraph" w:customStyle="1" w:styleId="97272CAD7B33488091ACC56C6FFB5D68">
    <w:name w:val="97272CAD7B33488091ACC56C6FFB5D68"/>
    <w:rsid w:val="00550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3A452-FEDD-4C69-83F2-AD8880F3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17679</Words>
  <Characters>10078</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27702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2023-03-20T08:50:00Z</dcterms:created>
  <dcterms:modified xsi:type="dcterms:W3CDTF">2023-03-29T05:58:00Z</dcterms:modified>
</cp:coreProperties>
</file>