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F710" w14:textId="77777777" w:rsidR="00310CD1" w:rsidRDefault="00310CD1" w:rsidP="00310CD1">
      <w:pPr>
        <w:ind w:left="5529"/>
      </w:pPr>
    </w:p>
    <w:p w14:paraId="0B35DD22" w14:textId="77777777" w:rsidR="00310CD1" w:rsidRDefault="00310CD1" w:rsidP="00310CD1">
      <w:pPr>
        <w:ind w:left="6096"/>
      </w:pPr>
      <w:r>
        <w:t>Forma patvirtinta</w:t>
      </w:r>
    </w:p>
    <w:p w14:paraId="2C711D4C" w14:textId="77777777" w:rsidR="00310CD1" w:rsidRDefault="00310CD1" w:rsidP="00310CD1">
      <w:pPr>
        <w:ind w:left="6096"/>
      </w:pPr>
      <w:r>
        <w:t>Valstybinės vaistų kontrolės tarnybos prie Lietuvos Respublikos sveikatos apsaugos ministerijos viršininko 2021 m. lapkričio 12 d. įsakymu Nr. (1.72E)1A-1418</w:t>
      </w:r>
    </w:p>
    <w:p w14:paraId="0A7DAC14" w14:textId="77777777" w:rsidR="00310CD1" w:rsidRPr="00F329EA" w:rsidRDefault="00310CD1" w:rsidP="00310CD1">
      <w:pPr>
        <w:ind w:left="6096"/>
      </w:pPr>
      <w:r>
        <w:t xml:space="preserve">(Valstybinės vaistų kontrolės tarnybos prie Lietuvos Respublikos sveikatos apsaugos ministerijos viršininko 2022 m.                         d. </w:t>
      </w:r>
      <w:r w:rsidRPr="00F329EA">
        <w:t>įsakymo Nr.                    redakcija)</w:t>
      </w:r>
    </w:p>
    <w:p w14:paraId="123F28FA" w14:textId="77777777" w:rsidR="00310CD1" w:rsidRPr="00F329EA" w:rsidRDefault="00310CD1" w:rsidP="00310CD1"/>
    <w:p w14:paraId="1C13AAA8" w14:textId="77777777" w:rsidR="00310CD1" w:rsidRPr="00F329EA" w:rsidRDefault="00310CD1" w:rsidP="00310CD1">
      <w:pPr>
        <w:jc w:val="center"/>
        <w:rPr>
          <w:b/>
          <w:bCs/>
          <w:caps/>
        </w:rPr>
      </w:pPr>
      <w:r w:rsidRPr="00F329EA">
        <w:rPr>
          <w:b/>
        </w:rPr>
        <w:t xml:space="preserve">REKOMENDACIJA DĖL VAISTINIO PREPARATO </w:t>
      </w:r>
      <w:r w:rsidRPr="00F329EA">
        <w:rPr>
          <w:b/>
          <w:bCs/>
          <w:caps/>
        </w:rPr>
        <w:t>Lietuvos Respublikos Sveikatos apsaugos ministerijos vaistinių preparatų ir medicinos pagalbos priemonių kompensavimo komisijai</w:t>
      </w:r>
    </w:p>
    <w:p w14:paraId="3986AC79" w14:textId="77777777" w:rsidR="00310CD1" w:rsidRPr="00F329EA" w:rsidRDefault="00310CD1" w:rsidP="00310CD1">
      <w:pPr>
        <w:jc w:val="center"/>
        <w:rPr>
          <w:b/>
        </w:rPr>
      </w:pPr>
    </w:p>
    <w:p w14:paraId="7E9375B2" w14:textId="77777777" w:rsidR="0020350A" w:rsidRPr="00D05364" w:rsidRDefault="0020350A" w:rsidP="0020350A">
      <w:pPr>
        <w:jc w:val="center"/>
        <w:rPr>
          <w:b/>
        </w:rPr>
      </w:pPr>
      <w:r>
        <w:rPr>
          <w:b/>
        </w:rPr>
        <w:t>Bavencio, 20 mg/ml, koncentratas infuziniam tirpalui</w:t>
      </w:r>
    </w:p>
    <w:p w14:paraId="7A172266" w14:textId="77777777" w:rsidR="0020350A" w:rsidRPr="00D05364" w:rsidRDefault="0020350A" w:rsidP="0020350A">
      <w:pPr>
        <w:jc w:val="center"/>
      </w:pPr>
    </w:p>
    <w:p w14:paraId="648FA341" w14:textId="77777777" w:rsidR="0020350A" w:rsidRPr="00D05364" w:rsidRDefault="0020350A" w:rsidP="0020350A">
      <w:pPr>
        <w:jc w:val="center"/>
      </w:pPr>
      <w:r w:rsidRPr="00D05364">
        <w:t>(</w:t>
      </w:r>
      <w:proofErr w:type="spellStart"/>
      <w:r>
        <w:rPr>
          <w:rFonts w:eastAsiaTheme="minorHAnsi"/>
          <w:b/>
          <w:bCs/>
          <w:i/>
          <w:iCs/>
          <w:color w:val="000000"/>
          <w:lang w:val="en-US"/>
        </w:rPr>
        <w:t>Avelumabas</w:t>
      </w:r>
      <w:proofErr w:type="spellEnd"/>
      <w:r w:rsidRPr="00D05364">
        <w:t>)</w:t>
      </w:r>
      <w:r w:rsidRPr="00873FA5">
        <w:rPr>
          <w:noProof/>
        </w:rPr>
        <w:t xml:space="preserve"> </w:t>
      </w:r>
    </w:p>
    <w:p w14:paraId="7576ECB8" w14:textId="77777777" w:rsidR="0020350A" w:rsidRPr="00D05364" w:rsidRDefault="0020350A" w:rsidP="0020350A">
      <w:pPr>
        <w:jc w:val="center"/>
      </w:pPr>
    </w:p>
    <w:p w14:paraId="6E645590" w14:textId="77777777" w:rsidR="0020350A" w:rsidRPr="00D05364" w:rsidRDefault="0020350A" w:rsidP="0020350A">
      <w:pPr>
        <w:jc w:val="center"/>
        <w:rPr>
          <w:b/>
        </w:rPr>
      </w:pPr>
      <w:r>
        <w:rPr>
          <w:b/>
        </w:rPr>
        <w:t>STV-83</w:t>
      </w:r>
    </w:p>
    <w:p w14:paraId="1A3365EF" w14:textId="77777777" w:rsidR="00310CD1" w:rsidRPr="00F329EA" w:rsidRDefault="00310CD1" w:rsidP="00310CD1">
      <w:pPr>
        <w:rPr>
          <w:b/>
        </w:rPr>
      </w:pPr>
    </w:p>
    <w:p w14:paraId="40DA359A" w14:textId="77777777" w:rsidR="00310CD1" w:rsidRPr="00F329EA" w:rsidRDefault="00310CD1" w:rsidP="00310CD1">
      <w:pPr>
        <w:jc w:val="center"/>
        <w:rPr>
          <w:b/>
        </w:rPr>
      </w:pPr>
    </w:p>
    <w:p w14:paraId="0E471C21" w14:textId="77777777" w:rsidR="00310CD1" w:rsidRPr="00F329EA" w:rsidRDefault="00310CD1" w:rsidP="00310CD1">
      <w:pPr>
        <w:pStyle w:val="ListParagraph"/>
        <w:numPr>
          <w:ilvl w:val="0"/>
          <w:numId w:val="1"/>
        </w:numPr>
        <w:tabs>
          <w:tab w:val="left" w:pos="284"/>
        </w:tabs>
        <w:rPr>
          <w:b/>
          <w:bCs/>
          <w:caps/>
        </w:rPr>
      </w:pPr>
      <w:r w:rsidRPr="00F329EA">
        <w:rPr>
          <w:b/>
          <w:bCs/>
          <w:caps/>
        </w:rPr>
        <w:t>Bendroji dalis</w:t>
      </w:r>
    </w:p>
    <w:p w14:paraId="590EE6E4" w14:textId="77777777" w:rsidR="00310CD1" w:rsidRPr="00F329EA" w:rsidRDefault="00310CD1" w:rsidP="00310CD1">
      <w:pPr>
        <w:pStyle w:val="ListParagraph"/>
        <w:tabs>
          <w:tab w:val="left" w:pos="284"/>
        </w:tabs>
        <w:ind w:left="0"/>
        <w:rPr>
          <w:b/>
          <w:bCs/>
          <w:caps/>
        </w:rPr>
      </w:pPr>
    </w:p>
    <w:tbl>
      <w:tblPr>
        <w:tblStyle w:val="TableGrid"/>
        <w:tblW w:w="9918" w:type="dxa"/>
        <w:jc w:val="center"/>
        <w:tblLook w:val="04A0" w:firstRow="1" w:lastRow="0" w:firstColumn="1" w:lastColumn="0" w:noHBand="0" w:noVBand="1"/>
      </w:tblPr>
      <w:tblGrid>
        <w:gridCol w:w="705"/>
        <w:gridCol w:w="4117"/>
        <w:gridCol w:w="5096"/>
      </w:tblGrid>
      <w:tr w:rsidR="00310CD1" w:rsidRPr="003E6CBC" w14:paraId="45C4CD62" w14:textId="77777777" w:rsidTr="00FD2DDF">
        <w:trPr>
          <w:trHeight w:val="342"/>
          <w:jc w:val="center"/>
        </w:trPr>
        <w:tc>
          <w:tcPr>
            <w:tcW w:w="705" w:type="dxa"/>
          </w:tcPr>
          <w:p w14:paraId="2BBCAEEB"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1.1</w:t>
            </w:r>
          </w:p>
        </w:tc>
        <w:tc>
          <w:tcPr>
            <w:tcW w:w="4117" w:type="dxa"/>
          </w:tcPr>
          <w:p w14:paraId="008F2B0B" w14:textId="77777777" w:rsidR="00310CD1" w:rsidRPr="003E6CBC" w:rsidRDefault="00310CD1" w:rsidP="00FD2DDF">
            <w:pPr>
              <w:tabs>
                <w:tab w:val="left" w:pos="284"/>
              </w:tabs>
              <w:spacing w:line="280" w:lineRule="atLeast"/>
              <w:rPr>
                <w:b/>
                <w:bCs/>
                <w:color w:val="000000"/>
                <w:sz w:val="22"/>
                <w:szCs w:val="22"/>
              </w:rPr>
            </w:pPr>
            <w:r w:rsidRPr="003E6CBC">
              <w:rPr>
                <w:b/>
                <w:bCs/>
                <w:color w:val="000000"/>
                <w:sz w:val="22"/>
                <w:szCs w:val="22"/>
              </w:rPr>
              <w:t>Pareiškėjas</w:t>
            </w:r>
          </w:p>
        </w:tc>
        <w:tc>
          <w:tcPr>
            <w:tcW w:w="5096" w:type="dxa"/>
          </w:tcPr>
          <w:p w14:paraId="0F72E4EB" w14:textId="77777777" w:rsidR="00310CD1" w:rsidRPr="003E6CBC" w:rsidRDefault="0020350A" w:rsidP="00FD2DDF">
            <w:pPr>
              <w:pStyle w:val="ListParagraph"/>
              <w:spacing w:after="120"/>
              <w:ind w:left="0"/>
              <w:contextualSpacing w:val="0"/>
              <w:jc w:val="both"/>
              <w:rPr>
                <w:sz w:val="22"/>
                <w:szCs w:val="22"/>
              </w:rPr>
            </w:pPr>
            <w:r w:rsidRPr="003E6CBC">
              <w:rPr>
                <w:rFonts w:eastAsiaTheme="minorHAnsi"/>
                <w:color w:val="000000"/>
                <w:sz w:val="22"/>
                <w:szCs w:val="22"/>
                <w:lang w:val="en-US"/>
              </w:rPr>
              <w:t>UAB „Merck Serono”</w:t>
            </w:r>
          </w:p>
        </w:tc>
      </w:tr>
      <w:tr w:rsidR="00310CD1" w:rsidRPr="003E6CBC" w14:paraId="566FAECA" w14:textId="77777777" w:rsidTr="00FD2DDF">
        <w:trPr>
          <w:trHeight w:val="479"/>
          <w:jc w:val="center"/>
        </w:trPr>
        <w:tc>
          <w:tcPr>
            <w:tcW w:w="705" w:type="dxa"/>
          </w:tcPr>
          <w:p w14:paraId="2A080EEB"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1.2</w:t>
            </w:r>
          </w:p>
        </w:tc>
        <w:tc>
          <w:tcPr>
            <w:tcW w:w="4117" w:type="dxa"/>
          </w:tcPr>
          <w:p w14:paraId="12311528" w14:textId="77777777" w:rsidR="00310CD1" w:rsidRPr="003E6CBC" w:rsidRDefault="00310CD1" w:rsidP="00FD2DDF">
            <w:pPr>
              <w:tabs>
                <w:tab w:val="left" w:pos="284"/>
              </w:tabs>
              <w:spacing w:line="280" w:lineRule="atLeast"/>
              <w:rPr>
                <w:b/>
                <w:bCs/>
                <w:color w:val="000000"/>
                <w:sz w:val="22"/>
                <w:szCs w:val="22"/>
              </w:rPr>
            </w:pPr>
            <w:r w:rsidRPr="003E6CBC">
              <w:rPr>
                <w:b/>
                <w:bCs/>
                <w:color w:val="000000"/>
                <w:sz w:val="22"/>
                <w:szCs w:val="22"/>
              </w:rPr>
              <w:t>Registracijos data (EVA)</w:t>
            </w:r>
          </w:p>
          <w:p w14:paraId="00055376" w14:textId="77777777" w:rsidR="00310CD1" w:rsidRPr="003E6CBC" w:rsidRDefault="00310CD1" w:rsidP="00FD2DDF">
            <w:pPr>
              <w:tabs>
                <w:tab w:val="left" w:pos="284"/>
              </w:tabs>
              <w:spacing w:line="280" w:lineRule="atLeast"/>
              <w:rPr>
                <w:bCs/>
                <w:color w:val="000000"/>
                <w:sz w:val="22"/>
                <w:szCs w:val="22"/>
              </w:rPr>
            </w:pPr>
          </w:p>
        </w:tc>
        <w:tc>
          <w:tcPr>
            <w:tcW w:w="5096" w:type="dxa"/>
          </w:tcPr>
          <w:p w14:paraId="675F849F" w14:textId="77777777" w:rsidR="00310CD1" w:rsidRPr="003E6CBC" w:rsidRDefault="00000000" w:rsidP="00FD2DDF">
            <w:pPr>
              <w:pStyle w:val="ListParagraph"/>
              <w:spacing w:after="120"/>
              <w:ind w:left="0"/>
              <w:contextualSpacing w:val="0"/>
              <w:jc w:val="both"/>
              <w:rPr>
                <w:rStyle w:val="Style2"/>
                <w:sz w:val="22"/>
                <w:szCs w:val="22"/>
              </w:rPr>
            </w:pPr>
            <w:sdt>
              <w:sdtPr>
                <w:rPr>
                  <w:color w:val="333333"/>
                  <w:sz w:val="22"/>
                  <w:szCs w:val="22"/>
                  <w:shd w:val="clear" w:color="auto" w:fill="FFFFFF"/>
                  <w:lang w:val="en-US"/>
                </w:rPr>
                <w:alias w:val="Nurodykite konkrečią dieną"/>
                <w:tag w:val="Nurodykite pradžios datą"/>
                <w:id w:val="423238108"/>
                <w:placeholder>
                  <w:docPart w:val="C6A36E04A7AA814096E12A3CDC99DBA7"/>
                </w:placeholder>
                <w15:color w:val="FFCC99"/>
                <w:date>
                  <w:dateFormat w:val="yyyy 'm.' MMMM d 'd.'"/>
                  <w:lid w:val="lt-LT"/>
                  <w:storeMappedDataAs w:val="dateTime"/>
                  <w:calendar w:val="gregorian"/>
                </w:date>
              </w:sdtPr>
              <w:sdtContent>
                <w:r w:rsidR="0020350A" w:rsidRPr="003E6CBC">
                  <w:rPr>
                    <w:color w:val="333333"/>
                    <w:sz w:val="22"/>
                    <w:szCs w:val="22"/>
                    <w:shd w:val="clear" w:color="auto" w:fill="FFFFFF"/>
                    <w:lang w:val="en-US"/>
                  </w:rPr>
                  <w:t xml:space="preserve">2017 m. </w:t>
                </w:r>
                <w:proofErr w:type="spellStart"/>
                <w:r w:rsidR="0020350A" w:rsidRPr="003E6CBC">
                  <w:rPr>
                    <w:color w:val="333333"/>
                    <w:sz w:val="22"/>
                    <w:szCs w:val="22"/>
                    <w:shd w:val="clear" w:color="auto" w:fill="FFFFFF"/>
                    <w:lang w:val="en-US"/>
                  </w:rPr>
                  <w:t>rugsėjo</w:t>
                </w:r>
                <w:proofErr w:type="spellEnd"/>
                <w:r w:rsidR="0020350A" w:rsidRPr="003E6CBC">
                  <w:rPr>
                    <w:color w:val="333333"/>
                    <w:sz w:val="22"/>
                    <w:szCs w:val="22"/>
                    <w:shd w:val="clear" w:color="auto" w:fill="FFFFFF"/>
                    <w:lang w:val="en-US"/>
                  </w:rPr>
                  <w:t xml:space="preserve"> 18 d.</w:t>
                </w:r>
              </w:sdtContent>
            </w:sdt>
          </w:p>
        </w:tc>
      </w:tr>
      <w:tr w:rsidR="00310CD1" w:rsidRPr="003E6CBC" w14:paraId="5F426116" w14:textId="77777777" w:rsidTr="00FD2DDF">
        <w:trPr>
          <w:trHeight w:val="1328"/>
          <w:jc w:val="center"/>
        </w:trPr>
        <w:tc>
          <w:tcPr>
            <w:tcW w:w="705" w:type="dxa"/>
          </w:tcPr>
          <w:p w14:paraId="159159B8"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1.3</w:t>
            </w:r>
          </w:p>
        </w:tc>
        <w:tc>
          <w:tcPr>
            <w:tcW w:w="4117" w:type="dxa"/>
          </w:tcPr>
          <w:p w14:paraId="042BB5A0" w14:textId="77777777" w:rsidR="00310CD1" w:rsidRPr="003E6CBC" w:rsidRDefault="00310CD1" w:rsidP="00FD2DDF">
            <w:pPr>
              <w:pStyle w:val="NoSpacing"/>
              <w:rPr>
                <w:rFonts w:ascii="Times New Roman" w:hAnsi="Times New Roman"/>
                <w:b/>
              </w:rPr>
            </w:pPr>
            <w:r w:rsidRPr="003E6CBC">
              <w:rPr>
                <w:rFonts w:ascii="Times New Roman" w:hAnsi="Times New Roman"/>
                <w:b/>
              </w:rPr>
              <w:t xml:space="preserve">Paraiškos tipas </w:t>
            </w:r>
          </w:p>
          <w:p w14:paraId="1BE35D12" w14:textId="77777777" w:rsidR="00310CD1" w:rsidRPr="003E6CBC" w:rsidRDefault="00310CD1" w:rsidP="00FD2DDF">
            <w:pPr>
              <w:rPr>
                <w:b/>
                <w:sz w:val="22"/>
                <w:szCs w:val="22"/>
              </w:rPr>
            </w:pPr>
            <w:r w:rsidRPr="003E6CBC">
              <w:rPr>
                <w:b/>
                <w:sz w:val="22"/>
                <w:szCs w:val="22"/>
              </w:rPr>
              <w:t xml:space="preserve">(pagal </w:t>
            </w:r>
            <w:r w:rsidRPr="003E6CBC">
              <w:rPr>
                <w:b/>
                <w:sz w:val="22"/>
                <w:szCs w:val="22"/>
                <w:shd w:val="clear" w:color="auto" w:fill="FFFFFF"/>
              </w:rPr>
              <w:t>vaistinio preparato registracijos tipą, įtvirtintą</w:t>
            </w:r>
            <w:r w:rsidRPr="003E6CBC">
              <w:rPr>
                <w:b/>
                <w:sz w:val="22"/>
                <w:szCs w:val="22"/>
              </w:rPr>
              <w:t xml:space="preserve"> Direktyvos 2001/83/EB straipsniuose)</w:t>
            </w:r>
          </w:p>
          <w:p w14:paraId="7C7639E0" w14:textId="77777777" w:rsidR="00310CD1" w:rsidRPr="003E6CBC" w:rsidRDefault="00310CD1" w:rsidP="00FD2DDF">
            <w:pPr>
              <w:tabs>
                <w:tab w:val="left" w:pos="284"/>
              </w:tabs>
              <w:spacing w:line="280" w:lineRule="atLeast"/>
              <w:rPr>
                <w:b/>
                <w:bCs/>
                <w:color w:val="000000"/>
                <w:sz w:val="22"/>
                <w:szCs w:val="22"/>
              </w:rPr>
            </w:pPr>
          </w:p>
        </w:tc>
        <w:tc>
          <w:tcPr>
            <w:tcW w:w="5096" w:type="dxa"/>
          </w:tcPr>
          <w:p w14:paraId="5E974B5F" w14:textId="77777777" w:rsidR="00310CD1" w:rsidRPr="003E6CBC" w:rsidRDefault="00000000" w:rsidP="00FD2DDF">
            <w:pPr>
              <w:rPr>
                <w:sz w:val="22"/>
                <w:szCs w:val="22"/>
              </w:rPr>
            </w:pPr>
            <w:sdt>
              <w:sdtPr>
                <w:rPr>
                  <w:rStyle w:val="Style2"/>
                  <w:sz w:val="22"/>
                  <w:szCs w:val="22"/>
                </w:rPr>
                <w:id w:val="-366596377"/>
                <w15:color w:val="FFCC00"/>
                <w14:checkbox>
                  <w14:checked w14:val="1"/>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8.3 str. (pilna byla, pagrįsta savais tyrimais) </w:t>
            </w:r>
          </w:p>
          <w:p w14:paraId="6D33653C" w14:textId="77777777" w:rsidR="00310CD1" w:rsidRPr="003E6CBC" w:rsidRDefault="00000000" w:rsidP="00FD2DDF">
            <w:pPr>
              <w:rPr>
                <w:sz w:val="22"/>
                <w:szCs w:val="22"/>
              </w:rPr>
            </w:pPr>
            <w:sdt>
              <w:sdtPr>
                <w:rPr>
                  <w:rStyle w:val="Style2"/>
                  <w:sz w:val="22"/>
                  <w:szCs w:val="22"/>
                </w:rPr>
                <w:id w:val="675462298"/>
                <w15:color w:val="FFCC00"/>
                <w14:checkbox>
                  <w14:checked w14:val="0"/>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10 a str. (pripažintas medicininis vartojimas) </w:t>
            </w:r>
          </w:p>
          <w:p w14:paraId="67BF93F3" w14:textId="77777777" w:rsidR="00310CD1" w:rsidRPr="003E6CBC" w:rsidRDefault="00000000" w:rsidP="00FD2DDF">
            <w:pPr>
              <w:rPr>
                <w:sz w:val="22"/>
                <w:szCs w:val="22"/>
              </w:rPr>
            </w:pPr>
            <w:sdt>
              <w:sdtPr>
                <w:rPr>
                  <w:rStyle w:val="Style2"/>
                  <w:sz w:val="22"/>
                  <w:szCs w:val="22"/>
                </w:rPr>
                <w:id w:val="-1290435890"/>
                <w15:color w:val="FFCC00"/>
                <w14:checkbox>
                  <w14:checked w14:val="0"/>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10.1 str. (generinis)</w:t>
            </w:r>
          </w:p>
          <w:p w14:paraId="3B9BB382" w14:textId="77777777" w:rsidR="00310CD1" w:rsidRPr="003E6CBC" w:rsidRDefault="00000000" w:rsidP="00FD2DDF">
            <w:pPr>
              <w:rPr>
                <w:rStyle w:val="Style2"/>
                <w:sz w:val="22"/>
                <w:szCs w:val="22"/>
              </w:rPr>
            </w:pPr>
            <w:sdt>
              <w:sdtPr>
                <w:rPr>
                  <w:rStyle w:val="Style2"/>
                  <w:sz w:val="22"/>
                  <w:szCs w:val="22"/>
                </w:rPr>
                <w:id w:val="-124545030"/>
                <w15:color w:val="FFCC00"/>
                <w14:checkbox>
                  <w14:checked w14:val="0"/>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10.3 str. (hibridinis)</w:t>
            </w:r>
          </w:p>
        </w:tc>
      </w:tr>
      <w:tr w:rsidR="00310CD1" w:rsidRPr="003E6CBC" w14:paraId="2559DD88" w14:textId="77777777" w:rsidTr="00FD2DDF">
        <w:trPr>
          <w:trHeight w:val="1109"/>
          <w:jc w:val="center"/>
        </w:trPr>
        <w:tc>
          <w:tcPr>
            <w:tcW w:w="705" w:type="dxa"/>
          </w:tcPr>
          <w:p w14:paraId="10936130"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1.4</w:t>
            </w:r>
          </w:p>
        </w:tc>
        <w:tc>
          <w:tcPr>
            <w:tcW w:w="4117" w:type="dxa"/>
          </w:tcPr>
          <w:p w14:paraId="010419E6" w14:textId="77777777" w:rsidR="00310CD1" w:rsidRPr="003E6CBC" w:rsidRDefault="00310CD1" w:rsidP="00FD2DDF">
            <w:pPr>
              <w:tabs>
                <w:tab w:val="left" w:pos="284"/>
              </w:tabs>
              <w:spacing w:line="280" w:lineRule="atLeast"/>
              <w:rPr>
                <w:b/>
                <w:bCs/>
                <w:color w:val="000000"/>
                <w:sz w:val="22"/>
                <w:szCs w:val="22"/>
              </w:rPr>
            </w:pPr>
            <w:r w:rsidRPr="003E6CBC">
              <w:rPr>
                <w:b/>
                <w:bCs/>
                <w:color w:val="000000"/>
                <w:sz w:val="22"/>
                <w:szCs w:val="22"/>
              </w:rPr>
              <w:t>Ar vaistinis preparatas įrašytas į Bendrijos retųjų vaistinių preparatų registrą?</w:t>
            </w:r>
          </w:p>
          <w:p w14:paraId="15624D85" w14:textId="77777777" w:rsidR="00310CD1" w:rsidRPr="003E6CBC" w:rsidRDefault="00310CD1" w:rsidP="00FD2DDF">
            <w:pPr>
              <w:tabs>
                <w:tab w:val="left" w:pos="284"/>
              </w:tabs>
              <w:spacing w:line="280" w:lineRule="atLeast"/>
              <w:rPr>
                <w:bCs/>
                <w:i/>
                <w:color w:val="000000"/>
                <w:sz w:val="22"/>
                <w:szCs w:val="22"/>
              </w:rPr>
            </w:pPr>
          </w:p>
          <w:p w14:paraId="7744AD4C" w14:textId="77777777" w:rsidR="00310CD1" w:rsidRPr="003E6CBC" w:rsidRDefault="00310CD1" w:rsidP="00FD2DDF">
            <w:pPr>
              <w:tabs>
                <w:tab w:val="left" w:pos="284"/>
              </w:tabs>
              <w:spacing w:line="280" w:lineRule="atLeast"/>
              <w:jc w:val="both"/>
              <w:rPr>
                <w:b/>
                <w:bCs/>
                <w:color w:val="000000"/>
                <w:sz w:val="22"/>
                <w:szCs w:val="22"/>
              </w:rPr>
            </w:pPr>
          </w:p>
        </w:tc>
        <w:tc>
          <w:tcPr>
            <w:tcW w:w="5096" w:type="dxa"/>
          </w:tcPr>
          <w:p w14:paraId="20B93AFA" w14:textId="77777777" w:rsidR="00310CD1" w:rsidRPr="003E6CBC" w:rsidRDefault="00000000" w:rsidP="00FD2DDF">
            <w:pPr>
              <w:rPr>
                <w:sz w:val="22"/>
                <w:szCs w:val="22"/>
              </w:rPr>
            </w:pPr>
            <w:sdt>
              <w:sdtPr>
                <w:rPr>
                  <w:rStyle w:val="Style2"/>
                  <w:sz w:val="22"/>
                  <w:szCs w:val="22"/>
                </w:rPr>
                <w:id w:val="2024432173"/>
                <w15:color w:val="FFCC00"/>
                <w14:checkbox>
                  <w14:checked w14:val="0"/>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Taip</w:t>
            </w:r>
          </w:p>
          <w:p w14:paraId="7D185C83" w14:textId="77777777" w:rsidR="00310CD1" w:rsidRPr="003E6CBC" w:rsidRDefault="00000000" w:rsidP="00FD2DDF">
            <w:pPr>
              <w:rPr>
                <w:sz w:val="22"/>
                <w:szCs w:val="22"/>
              </w:rPr>
            </w:pPr>
            <w:sdt>
              <w:sdtPr>
                <w:rPr>
                  <w:rStyle w:val="Style2"/>
                  <w:sz w:val="22"/>
                  <w:szCs w:val="22"/>
                </w:rPr>
                <w:id w:val="-970507926"/>
                <w15:color w:val="FFCC00"/>
                <w14:checkbox>
                  <w14:checked w14:val="1"/>
                  <w14:checkedState w14:val="2612" w14:font="MS Gothic"/>
                  <w14:uncheckedState w14:val="2610" w14:font="MS Gothic"/>
                </w14:checkbox>
              </w:sdtPr>
              <w:sdtContent>
                <w:r w:rsidR="00310CD1" w:rsidRPr="003E6CBC">
                  <w:rPr>
                    <w:rStyle w:val="Style2"/>
                    <w:rFonts w:ascii="Segoe UI Symbol" w:eastAsia="MS Gothic" w:hAnsi="Segoe UI Symbol" w:cs="Segoe UI Symbol"/>
                    <w:sz w:val="22"/>
                    <w:szCs w:val="22"/>
                  </w:rPr>
                  <w:t>☒</w:t>
                </w:r>
              </w:sdtContent>
            </w:sdt>
            <w:r w:rsidR="00310CD1" w:rsidRPr="003E6CBC">
              <w:rPr>
                <w:sz w:val="22"/>
                <w:szCs w:val="22"/>
              </w:rPr>
              <w:t xml:space="preserve"> Ne</w:t>
            </w:r>
          </w:p>
          <w:p w14:paraId="2AA209AC" w14:textId="77777777" w:rsidR="00310CD1" w:rsidRPr="003E6CBC" w:rsidRDefault="00000000" w:rsidP="00FD2DDF">
            <w:pPr>
              <w:rPr>
                <w:rFonts w:eastAsia="Arial"/>
                <w:b/>
                <w:sz w:val="22"/>
                <w:szCs w:val="22"/>
              </w:rPr>
            </w:pPr>
            <w:sdt>
              <w:sdtPr>
                <w:rPr>
                  <w:sz w:val="22"/>
                  <w:szCs w:val="22"/>
                </w:rPr>
                <w:alias w:val="Nurodykite konkrečią dieną"/>
                <w:tag w:val="Nurodykite pradžios datą"/>
                <w:id w:val="693498901"/>
                <w:placeholder>
                  <w:docPart w:val="C08C78DBD1C1CE47A7FAD26971253AB8"/>
                </w:placeholder>
                <w:showingPlcHdr/>
                <w15:color w:val="FFCC99"/>
                <w:date w:fullDate="2022-05-18T00:00:00Z">
                  <w:dateFormat w:val="yyyy 'm.' MMMM d 'd.'"/>
                  <w:lid w:val="lt-LT"/>
                  <w:storeMappedDataAs w:val="dateTime"/>
                  <w:calendar w:val="gregorian"/>
                </w:date>
              </w:sdtPr>
              <w:sdtContent>
                <w:r w:rsidR="00310CD1" w:rsidRPr="003E6CBC">
                  <w:rPr>
                    <w:rStyle w:val="PlaceholderText"/>
                    <w:sz w:val="22"/>
                    <w:szCs w:val="22"/>
                  </w:rPr>
                  <w:t>Click here to enter a date.</w:t>
                </w:r>
              </w:sdtContent>
            </w:sdt>
          </w:p>
        </w:tc>
      </w:tr>
      <w:tr w:rsidR="00310CD1" w:rsidRPr="003E6CBC" w14:paraId="239ECD4A" w14:textId="77777777" w:rsidTr="00FD2DDF">
        <w:trPr>
          <w:trHeight w:val="958"/>
          <w:jc w:val="center"/>
        </w:trPr>
        <w:tc>
          <w:tcPr>
            <w:tcW w:w="705" w:type="dxa"/>
            <w:tcBorders>
              <w:bottom w:val="single" w:sz="4" w:space="0" w:color="auto"/>
            </w:tcBorders>
          </w:tcPr>
          <w:p w14:paraId="03948047"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1.5</w:t>
            </w:r>
          </w:p>
        </w:tc>
        <w:tc>
          <w:tcPr>
            <w:tcW w:w="4117" w:type="dxa"/>
            <w:tcBorders>
              <w:bottom w:val="single" w:sz="4" w:space="0" w:color="auto"/>
            </w:tcBorders>
          </w:tcPr>
          <w:p w14:paraId="7309DD69" w14:textId="77777777" w:rsidR="00310CD1" w:rsidRPr="003E6CBC" w:rsidRDefault="00310CD1" w:rsidP="00FD2DDF">
            <w:pPr>
              <w:tabs>
                <w:tab w:val="left" w:pos="284"/>
              </w:tabs>
              <w:spacing w:line="280" w:lineRule="atLeast"/>
              <w:rPr>
                <w:b/>
                <w:bCs/>
                <w:color w:val="000000"/>
                <w:sz w:val="22"/>
                <w:szCs w:val="22"/>
              </w:rPr>
            </w:pPr>
            <w:r w:rsidRPr="003E6CBC">
              <w:rPr>
                <w:b/>
                <w:bCs/>
                <w:color w:val="000000"/>
                <w:sz w:val="22"/>
                <w:szCs w:val="22"/>
              </w:rPr>
              <w:t>Pareiškėjo teikiama (-os) kompensuoti preparato indikacija (-os)</w:t>
            </w:r>
          </w:p>
          <w:p w14:paraId="5C7FF922" w14:textId="77777777" w:rsidR="00310CD1" w:rsidRPr="003E6CBC" w:rsidRDefault="00310CD1" w:rsidP="00FD2DDF">
            <w:pPr>
              <w:tabs>
                <w:tab w:val="left" w:pos="284"/>
              </w:tabs>
              <w:spacing w:line="280" w:lineRule="atLeast"/>
              <w:rPr>
                <w:b/>
                <w:bCs/>
                <w:color w:val="000000"/>
                <w:sz w:val="22"/>
                <w:szCs w:val="22"/>
              </w:rPr>
            </w:pPr>
            <w:r w:rsidRPr="003E6CBC">
              <w:rPr>
                <w:b/>
                <w:bCs/>
                <w:color w:val="000000"/>
                <w:sz w:val="22"/>
                <w:szCs w:val="22"/>
              </w:rPr>
              <w:t xml:space="preserve">Kodas pagal TLK-10 AM  </w:t>
            </w:r>
          </w:p>
        </w:tc>
        <w:tc>
          <w:tcPr>
            <w:tcW w:w="5096" w:type="dxa"/>
            <w:tcBorders>
              <w:bottom w:val="single" w:sz="4" w:space="0" w:color="auto"/>
            </w:tcBorders>
          </w:tcPr>
          <w:p w14:paraId="34856E16" w14:textId="77777777" w:rsidR="0020350A" w:rsidRPr="003E6CBC" w:rsidRDefault="0020350A" w:rsidP="0020350A">
            <w:pPr>
              <w:pStyle w:val="ListParagraph"/>
              <w:spacing w:after="120"/>
              <w:ind w:left="0"/>
              <w:contextualSpacing w:val="0"/>
              <w:jc w:val="both"/>
              <w:rPr>
                <w:sz w:val="22"/>
                <w:szCs w:val="22"/>
              </w:rPr>
            </w:pPr>
            <w:r w:rsidRPr="003E6CBC">
              <w:rPr>
                <w:sz w:val="22"/>
                <w:szCs w:val="22"/>
              </w:rPr>
              <w:t>Urotelio karcinoma</w:t>
            </w:r>
          </w:p>
          <w:p w14:paraId="7DDD0892" w14:textId="77777777" w:rsidR="00310CD1" w:rsidRPr="003E6CBC" w:rsidRDefault="0020350A" w:rsidP="00FD2DDF">
            <w:pPr>
              <w:pStyle w:val="ListParagraph"/>
              <w:spacing w:after="120"/>
              <w:ind w:left="0"/>
              <w:contextualSpacing w:val="0"/>
              <w:jc w:val="both"/>
              <w:rPr>
                <w:sz w:val="22"/>
                <w:szCs w:val="22"/>
              </w:rPr>
            </w:pPr>
            <w:r w:rsidRPr="003E6CBC">
              <w:rPr>
                <w:sz w:val="22"/>
                <w:szCs w:val="22"/>
              </w:rPr>
              <w:t>C65-68</w:t>
            </w:r>
          </w:p>
        </w:tc>
      </w:tr>
      <w:tr w:rsidR="00310CD1" w:rsidRPr="003E6CBC" w14:paraId="17E84A72" w14:textId="77777777" w:rsidTr="00FD2DDF">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1E365A4A"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1.6</w:t>
            </w:r>
          </w:p>
        </w:tc>
        <w:tc>
          <w:tcPr>
            <w:tcW w:w="4117" w:type="dxa"/>
            <w:tcBorders>
              <w:top w:val="single" w:sz="4" w:space="0" w:color="auto"/>
              <w:left w:val="single" w:sz="4" w:space="0" w:color="auto"/>
              <w:bottom w:val="single" w:sz="4" w:space="0" w:color="auto"/>
              <w:right w:val="single" w:sz="4" w:space="0" w:color="auto"/>
            </w:tcBorders>
          </w:tcPr>
          <w:p w14:paraId="26328A86" w14:textId="77777777" w:rsidR="00310CD1" w:rsidRPr="003E6CBC" w:rsidRDefault="00310CD1" w:rsidP="00FD2DDF">
            <w:pPr>
              <w:tabs>
                <w:tab w:val="left" w:pos="284"/>
              </w:tabs>
              <w:spacing w:line="280" w:lineRule="atLeast"/>
              <w:rPr>
                <w:bCs/>
                <w:color w:val="000000"/>
                <w:sz w:val="22"/>
                <w:szCs w:val="22"/>
                <w:u w:val="single"/>
              </w:rPr>
            </w:pPr>
            <w:r w:rsidRPr="003E6CBC">
              <w:rPr>
                <w:b/>
                <w:bCs/>
                <w:color w:val="000000"/>
                <w:sz w:val="22"/>
                <w:szCs w:val="22"/>
              </w:rPr>
              <w:t xml:space="preserve">Teikiamos skyrimo sąlygos </w:t>
            </w:r>
          </w:p>
        </w:tc>
        <w:tc>
          <w:tcPr>
            <w:tcW w:w="5096" w:type="dxa"/>
            <w:tcBorders>
              <w:top w:val="single" w:sz="4" w:space="0" w:color="auto"/>
              <w:left w:val="single" w:sz="4" w:space="0" w:color="auto"/>
              <w:bottom w:val="single" w:sz="4" w:space="0" w:color="auto"/>
              <w:right w:val="single" w:sz="4" w:space="0" w:color="auto"/>
            </w:tcBorders>
          </w:tcPr>
          <w:p w14:paraId="7BF8EEA6" w14:textId="77777777" w:rsidR="00310CD1" w:rsidRPr="003E6CBC" w:rsidRDefault="0020350A" w:rsidP="00FD2DDF">
            <w:pPr>
              <w:spacing w:line="276" w:lineRule="auto"/>
              <w:jc w:val="both"/>
              <w:rPr>
                <w:sz w:val="22"/>
                <w:szCs w:val="22"/>
              </w:rPr>
            </w:pPr>
            <w:r w:rsidRPr="003E6CBC">
              <w:rPr>
                <w:color w:val="000000"/>
                <w:sz w:val="22"/>
                <w:szCs w:val="22"/>
              </w:rPr>
              <w:t>Bavencio monoterapija skirta lokaliai progresavusia arba metastazavusia urotelio karcinoma (UK) sergantiems suaugusiems pacientams, kuriems nenustatyta progresavimo po chemoterapijos, kurios pagrindas platina, pirmaeiliam palaikomajam gydymui.</w:t>
            </w:r>
          </w:p>
        </w:tc>
      </w:tr>
      <w:tr w:rsidR="00310CD1" w:rsidRPr="003E6CBC" w14:paraId="3C826AD4" w14:textId="77777777" w:rsidTr="00FD2DDF">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457CBFDF" w14:textId="77777777" w:rsidR="00310CD1" w:rsidRPr="003E6CBC" w:rsidRDefault="00310CD1" w:rsidP="00FD2DDF">
            <w:pPr>
              <w:tabs>
                <w:tab w:val="left" w:pos="284"/>
              </w:tabs>
              <w:spacing w:line="280" w:lineRule="atLeast"/>
              <w:rPr>
                <w:rFonts w:eastAsia="Arial"/>
                <w:b/>
                <w:sz w:val="22"/>
                <w:szCs w:val="22"/>
              </w:rPr>
            </w:pPr>
            <w:r w:rsidRPr="003E6CBC">
              <w:rPr>
                <w:rFonts w:eastAsia="Arial"/>
                <w:b/>
                <w:sz w:val="22"/>
                <w:szCs w:val="22"/>
              </w:rPr>
              <w:t>1.7</w:t>
            </w:r>
          </w:p>
        </w:tc>
        <w:tc>
          <w:tcPr>
            <w:tcW w:w="4117" w:type="dxa"/>
            <w:tcBorders>
              <w:top w:val="single" w:sz="4" w:space="0" w:color="auto"/>
              <w:left w:val="single" w:sz="4" w:space="0" w:color="auto"/>
              <w:bottom w:val="single" w:sz="4" w:space="0" w:color="auto"/>
              <w:right w:val="single" w:sz="4" w:space="0" w:color="auto"/>
            </w:tcBorders>
          </w:tcPr>
          <w:p w14:paraId="5DD99A4A" w14:textId="77777777" w:rsidR="00310CD1" w:rsidRPr="003E6CBC" w:rsidRDefault="00310CD1" w:rsidP="00FD2DDF">
            <w:pPr>
              <w:tabs>
                <w:tab w:val="left" w:pos="284"/>
              </w:tabs>
              <w:spacing w:line="280" w:lineRule="atLeast"/>
              <w:rPr>
                <w:b/>
                <w:bCs/>
                <w:color w:val="000000"/>
                <w:sz w:val="22"/>
                <w:szCs w:val="22"/>
              </w:rPr>
            </w:pPr>
            <w:r w:rsidRPr="003E6CBC">
              <w:rPr>
                <w:b/>
                <w:sz w:val="22"/>
                <w:szCs w:val="22"/>
              </w:rPr>
              <w:t>Palyginamasis gydymas</w:t>
            </w:r>
          </w:p>
        </w:tc>
        <w:tc>
          <w:tcPr>
            <w:tcW w:w="5096" w:type="dxa"/>
            <w:tcBorders>
              <w:top w:val="single" w:sz="4" w:space="0" w:color="auto"/>
              <w:left w:val="single" w:sz="4" w:space="0" w:color="auto"/>
              <w:bottom w:val="single" w:sz="4" w:space="0" w:color="auto"/>
              <w:right w:val="single" w:sz="4" w:space="0" w:color="auto"/>
            </w:tcBorders>
          </w:tcPr>
          <w:p w14:paraId="0000DF48" w14:textId="77777777" w:rsidR="00310CD1" w:rsidRPr="003E6CBC" w:rsidRDefault="0020350A" w:rsidP="00FD2DDF">
            <w:pPr>
              <w:rPr>
                <w:rStyle w:val="Style2"/>
                <w:sz w:val="22"/>
                <w:szCs w:val="22"/>
              </w:rPr>
            </w:pPr>
            <w:r w:rsidRPr="003E6CBC">
              <w:rPr>
                <w:color w:val="000000"/>
                <w:sz w:val="22"/>
                <w:szCs w:val="22"/>
              </w:rPr>
              <w:t>Geriausia palaikomoji priežiūra</w:t>
            </w:r>
          </w:p>
        </w:tc>
      </w:tr>
    </w:tbl>
    <w:p w14:paraId="72491E28" w14:textId="77777777" w:rsidR="00310CD1" w:rsidRDefault="00310CD1" w:rsidP="00310CD1">
      <w:pPr>
        <w:pStyle w:val="ListParagraph"/>
        <w:tabs>
          <w:tab w:val="left" w:pos="426"/>
        </w:tabs>
        <w:ind w:left="0"/>
        <w:rPr>
          <w:b/>
          <w:bCs/>
          <w:caps/>
        </w:rPr>
      </w:pPr>
    </w:p>
    <w:p w14:paraId="7A16D5AB" w14:textId="77777777" w:rsidR="00310CD1" w:rsidRPr="00177C8C" w:rsidRDefault="00310CD1" w:rsidP="00310CD1">
      <w:pPr>
        <w:spacing w:line="276" w:lineRule="auto"/>
        <w:jc w:val="both"/>
        <w:rPr>
          <w:rFonts w:eastAsia="Arial"/>
          <w:b/>
        </w:rPr>
      </w:pPr>
      <w:r w:rsidRPr="00240D62">
        <w:rPr>
          <w:rFonts w:eastAsia="Arial"/>
          <w:b/>
        </w:rPr>
        <w:t>1.8 Kitų valstybių atsakingų institucijų atlikto Sveikatos technologijų vertinimo (toliau – STV) išvados</w:t>
      </w:r>
    </w:p>
    <w:p w14:paraId="59100C1D" w14:textId="77777777" w:rsidR="00310CD1" w:rsidRDefault="00310CD1" w:rsidP="00310CD1">
      <w:pPr>
        <w:spacing w:line="276" w:lineRule="auto"/>
        <w:rPr>
          <w:rFonts w:eastAsia="Arial"/>
        </w:rPr>
      </w:pPr>
    </w:p>
    <w:tbl>
      <w:tblPr>
        <w:tblStyle w:val="TableGrid"/>
        <w:tblW w:w="10124" w:type="dxa"/>
        <w:tblInd w:w="-431" w:type="dxa"/>
        <w:tblLook w:val="04A0" w:firstRow="1" w:lastRow="0" w:firstColumn="1" w:lastColumn="0" w:noHBand="0" w:noVBand="1"/>
      </w:tblPr>
      <w:tblGrid>
        <w:gridCol w:w="2872"/>
        <w:gridCol w:w="1857"/>
        <w:gridCol w:w="3179"/>
        <w:gridCol w:w="2216"/>
      </w:tblGrid>
      <w:tr w:rsidR="00310CD1" w:rsidRPr="00D05364" w14:paraId="4BB69CBE" w14:textId="77777777" w:rsidTr="00FD2DDF">
        <w:trPr>
          <w:trHeight w:val="924"/>
        </w:trPr>
        <w:tc>
          <w:tcPr>
            <w:tcW w:w="2872" w:type="dxa"/>
          </w:tcPr>
          <w:p w14:paraId="57AD8C46" w14:textId="77777777" w:rsidR="00310CD1" w:rsidRPr="00D05364" w:rsidRDefault="00310CD1" w:rsidP="00FD2DDF">
            <w:pPr>
              <w:spacing w:line="276" w:lineRule="auto"/>
              <w:rPr>
                <w:rFonts w:eastAsia="Arial"/>
              </w:rPr>
            </w:pPr>
            <w:r w:rsidRPr="00D05364">
              <w:rPr>
                <w:rFonts w:eastAsia="Arial"/>
              </w:rPr>
              <w:t>STV agentūros pavadinimas, šalis</w:t>
            </w:r>
          </w:p>
        </w:tc>
        <w:tc>
          <w:tcPr>
            <w:tcW w:w="1857" w:type="dxa"/>
          </w:tcPr>
          <w:p w14:paraId="37EB4E2B" w14:textId="77777777" w:rsidR="00310CD1" w:rsidRPr="00D05364" w:rsidRDefault="00310CD1" w:rsidP="00FD2DDF">
            <w:pPr>
              <w:spacing w:line="276" w:lineRule="auto"/>
              <w:rPr>
                <w:rFonts w:eastAsia="Arial"/>
              </w:rPr>
            </w:pPr>
            <w:r w:rsidRPr="00D05364">
              <w:rPr>
                <w:rFonts w:eastAsia="Arial"/>
              </w:rPr>
              <w:t>STV vertinimas atliktas</w:t>
            </w:r>
          </w:p>
        </w:tc>
        <w:tc>
          <w:tcPr>
            <w:tcW w:w="3179" w:type="dxa"/>
          </w:tcPr>
          <w:p w14:paraId="5922A14F" w14:textId="77777777" w:rsidR="00310CD1" w:rsidRPr="00D05364" w:rsidRDefault="00310CD1" w:rsidP="00FD2DDF">
            <w:pPr>
              <w:spacing w:line="276" w:lineRule="auto"/>
              <w:rPr>
                <w:rFonts w:eastAsia="Arial"/>
              </w:rPr>
            </w:pPr>
            <w:r w:rsidRPr="00D05364">
              <w:rPr>
                <w:rFonts w:eastAsia="Arial"/>
              </w:rPr>
              <w:t>Klinikinio vertinimo išvada</w:t>
            </w:r>
          </w:p>
        </w:tc>
        <w:tc>
          <w:tcPr>
            <w:tcW w:w="2216" w:type="dxa"/>
          </w:tcPr>
          <w:p w14:paraId="20933DCD" w14:textId="77777777" w:rsidR="00310CD1" w:rsidRPr="00D05364" w:rsidRDefault="00310CD1" w:rsidP="00FD2DDF">
            <w:pPr>
              <w:spacing w:line="276" w:lineRule="auto"/>
              <w:rPr>
                <w:rFonts w:eastAsia="Arial"/>
              </w:rPr>
            </w:pPr>
            <w:r w:rsidRPr="004C2C4B">
              <w:rPr>
                <w:rFonts w:eastAsia="Arial"/>
              </w:rPr>
              <w:t>Farmakoekonominio vertinimo išvada</w:t>
            </w:r>
          </w:p>
        </w:tc>
      </w:tr>
      <w:tr w:rsidR="0020350A" w:rsidRPr="00D05364" w14:paraId="77A12232" w14:textId="77777777" w:rsidTr="00FD2DDF">
        <w:trPr>
          <w:trHeight w:val="1765"/>
        </w:trPr>
        <w:tc>
          <w:tcPr>
            <w:tcW w:w="2872" w:type="dxa"/>
          </w:tcPr>
          <w:p w14:paraId="37A7F280" w14:textId="77777777" w:rsidR="0020350A" w:rsidRPr="00A65D5A" w:rsidRDefault="0020350A" w:rsidP="0020350A">
            <w:pPr>
              <w:autoSpaceDE w:val="0"/>
              <w:autoSpaceDN w:val="0"/>
              <w:adjustRightInd w:val="0"/>
              <w:rPr>
                <w:bCs/>
                <w:szCs w:val="24"/>
              </w:rPr>
            </w:pPr>
            <w:r w:rsidRPr="00A65D5A">
              <w:rPr>
                <w:bCs/>
                <w:szCs w:val="24"/>
              </w:rPr>
              <w:t>Nacionalinis sveikatos ir klinikinės kompetencijos institutas, Didžioji Britanija</w:t>
            </w:r>
          </w:p>
          <w:p w14:paraId="410EEB4C" w14:textId="77777777" w:rsidR="0020350A" w:rsidRPr="00A65D5A" w:rsidRDefault="0020350A" w:rsidP="0020350A">
            <w:pPr>
              <w:spacing w:line="276" w:lineRule="auto"/>
              <w:rPr>
                <w:rFonts w:eastAsia="Arial"/>
                <w:szCs w:val="24"/>
              </w:rPr>
            </w:pPr>
            <w:r w:rsidRPr="00A65D5A">
              <w:rPr>
                <w:rFonts w:eastAsia="Arial"/>
                <w:szCs w:val="24"/>
              </w:rPr>
              <w:t xml:space="preserve">(angl. </w:t>
            </w:r>
            <w:r w:rsidRPr="00A65D5A">
              <w:rPr>
                <w:rFonts w:eastAsia="Arial"/>
                <w:i/>
                <w:szCs w:val="24"/>
              </w:rPr>
              <w:t>National Institute for Health and Care Excellence, NICE</w:t>
            </w:r>
            <w:r w:rsidRPr="00A65D5A">
              <w:rPr>
                <w:rFonts w:eastAsia="Arial"/>
                <w:szCs w:val="24"/>
              </w:rPr>
              <w:t>)</w:t>
            </w:r>
          </w:p>
        </w:tc>
        <w:tc>
          <w:tcPr>
            <w:tcW w:w="1857" w:type="dxa"/>
          </w:tcPr>
          <w:p w14:paraId="7465916E" w14:textId="77777777" w:rsidR="0020350A" w:rsidRPr="00A65D5A" w:rsidRDefault="00000000" w:rsidP="0020350A">
            <w:sdt>
              <w:sdtPr>
                <w:rPr>
                  <w:rStyle w:val="Style2"/>
                </w:rPr>
                <w:id w:val="1558205022"/>
                <w15:color w:val="FFCC00"/>
                <w14:checkbox>
                  <w14:checked w14:val="1"/>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Taip</w:t>
            </w:r>
          </w:p>
          <w:p w14:paraId="77892C75" w14:textId="77777777" w:rsidR="0020350A" w:rsidRPr="00A65D5A" w:rsidRDefault="00000000" w:rsidP="0020350A">
            <w:sdt>
              <w:sdtPr>
                <w:rPr>
                  <w:rStyle w:val="Style2"/>
                </w:rPr>
                <w:id w:val="866029625"/>
                <w15:color w:val="FFCC00"/>
                <w14:checkbox>
                  <w14:checked w14:val="0"/>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Ne</w:t>
            </w:r>
          </w:p>
          <w:p w14:paraId="647B7C50" w14:textId="77777777" w:rsidR="0020350A" w:rsidRPr="00A65D5A" w:rsidRDefault="00000000" w:rsidP="0020350A">
            <w:pPr>
              <w:rPr>
                <w:rFonts w:eastAsia="Arial"/>
              </w:rPr>
            </w:pPr>
            <w:sdt>
              <w:sdtPr>
                <w:alias w:val="Nurodykite konkrečią dieną"/>
                <w:tag w:val="Nurodykite pradžios datą"/>
                <w:id w:val="922837954"/>
                <w:placeholder>
                  <w:docPart w:val="41A3AE8B14E9EE40A4F48FE8C4B00DE9"/>
                </w:placeholder>
                <w15:color w:val="FFCC99"/>
                <w:date w:fullDate="2022-05-11T00:00:00Z">
                  <w:dateFormat w:val="yyyy 'm.' MMMM d 'd.'"/>
                  <w:lid w:val="lt-LT"/>
                  <w:storeMappedDataAs w:val="dateTime"/>
                  <w:calendar w:val="gregorian"/>
                </w:date>
              </w:sdtPr>
              <w:sdtContent>
                <w:r w:rsidR="0020350A">
                  <w:t>2022 m. gegužės 11 d.</w:t>
                </w:r>
              </w:sdtContent>
            </w:sdt>
          </w:p>
        </w:tc>
        <w:tc>
          <w:tcPr>
            <w:tcW w:w="3179" w:type="dxa"/>
          </w:tcPr>
          <w:p w14:paraId="705CF3FC" w14:textId="77777777" w:rsidR="0020350A" w:rsidRDefault="0020350A" w:rsidP="0020350A">
            <w:pPr>
              <w:spacing w:line="276" w:lineRule="auto"/>
              <w:rPr>
                <w:rFonts w:eastAsia="Arial"/>
                <w:szCs w:val="24"/>
              </w:rPr>
            </w:pPr>
            <w:r w:rsidRPr="005D6FA9">
              <w:rPr>
                <w:rFonts w:eastAsia="Arial"/>
                <w:szCs w:val="24"/>
              </w:rPr>
              <w:t>Avelumabas rekomenduojamas kaip palaikomasis lokaliai išplitusio arba metastazavusio urotelio vėžio, kuris neprogresavo po chemoterapijos platinos preparatais, palaikomajam gydymui suaugusiesiems, tik jei:</w:t>
            </w:r>
          </w:p>
          <w:p w14:paraId="3908EC1B" w14:textId="77777777" w:rsidR="0020350A" w:rsidRDefault="0020350A" w:rsidP="0020350A">
            <w:pPr>
              <w:pStyle w:val="ListParagraph"/>
              <w:numPr>
                <w:ilvl w:val="0"/>
                <w:numId w:val="2"/>
              </w:numPr>
              <w:spacing w:line="276" w:lineRule="auto"/>
              <w:ind w:left="293"/>
              <w:rPr>
                <w:rFonts w:eastAsia="Arial"/>
                <w:szCs w:val="24"/>
              </w:rPr>
            </w:pPr>
            <w:r w:rsidRPr="005D6FA9">
              <w:rPr>
                <w:rFonts w:eastAsia="Arial"/>
                <w:szCs w:val="24"/>
              </w:rPr>
              <w:t>avelumabo vartojimas nutraukiamas po 5 metų nepertraukiamo gydymo arba anksčiau, jei liga progresuoja ir</w:t>
            </w:r>
          </w:p>
          <w:p w14:paraId="26568E78" w14:textId="77777777" w:rsidR="0020350A" w:rsidRPr="005D6FA9" w:rsidRDefault="0020350A" w:rsidP="0020350A">
            <w:pPr>
              <w:pStyle w:val="ListParagraph"/>
              <w:numPr>
                <w:ilvl w:val="0"/>
                <w:numId w:val="2"/>
              </w:numPr>
              <w:spacing w:line="276" w:lineRule="auto"/>
              <w:ind w:left="293"/>
              <w:rPr>
                <w:rFonts w:eastAsia="Arial"/>
                <w:szCs w:val="24"/>
              </w:rPr>
            </w:pPr>
            <w:r w:rsidRPr="005D6FA9">
              <w:rPr>
                <w:rFonts w:eastAsia="Arial"/>
                <w:szCs w:val="24"/>
              </w:rPr>
              <w:t>įmonė teikia avelumabą pagal komercinį susitarimą.</w:t>
            </w:r>
          </w:p>
        </w:tc>
        <w:tc>
          <w:tcPr>
            <w:tcW w:w="2216" w:type="dxa"/>
          </w:tcPr>
          <w:p w14:paraId="61A45015" w14:textId="77777777" w:rsidR="0020350A" w:rsidRPr="00A65D5A" w:rsidRDefault="0020350A" w:rsidP="0020350A">
            <w:pPr>
              <w:spacing w:line="276" w:lineRule="auto"/>
              <w:rPr>
                <w:rFonts w:eastAsia="Arial"/>
                <w:szCs w:val="24"/>
              </w:rPr>
            </w:pPr>
          </w:p>
        </w:tc>
      </w:tr>
      <w:tr w:rsidR="0020350A" w:rsidRPr="00D05364" w14:paraId="797FEC26" w14:textId="77777777" w:rsidTr="00FD2DDF">
        <w:trPr>
          <w:trHeight w:val="1547"/>
        </w:trPr>
        <w:tc>
          <w:tcPr>
            <w:tcW w:w="2872" w:type="dxa"/>
          </w:tcPr>
          <w:p w14:paraId="7BA9DFEE" w14:textId="77777777" w:rsidR="0020350A" w:rsidRPr="00A65D5A" w:rsidRDefault="0020350A" w:rsidP="0020350A">
            <w:pPr>
              <w:spacing w:line="276" w:lineRule="auto"/>
              <w:rPr>
                <w:rFonts w:eastAsia="Arial"/>
                <w:szCs w:val="24"/>
              </w:rPr>
            </w:pPr>
            <w:r w:rsidRPr="00A65D5A">
              <w:rPr>
                <w:rFonts w:eastAsia="Arial"/>
                <w:szCs w:val="24"/>
              </w:rPr>
              <w:t>Nacionalinis farmakoekonomikos centras, Airija</w:t>
            </w:r>
          </w:p>
          <w:p w14:paraId="3F00B2C2" w14:textId="77777777" w:rsidR="0020350A" w:rsidRPr="00A65D5A" w:rsidRDefault="0020350A" w:rsidP="0020350A">
            <w:pPr>
              <w:spacing w:line="276" w:lineRule="auto"/>
              <w:rPr>
                <w:rFonts w:eastAsia="Arial"/>
                <w:szCs w:val="24"/>
              </w:rPr>
            </w:pPr>
            <w:r w:rsidRPr="00A65D5A">
              <w:rPr>
                <w:rFonts w:eastAsia="Arial"/>
                <w:szCs w:val="24"/>
              </w:rPr>
              <w:t>(angl.</w:t>
            </w:r>
            <w:r w:rsidRPr="00A65D5A">
              <w:rPr>
                <w:rFonts w:eastAsia="Arial"/>
                <w:i/>
                <w:szCs w:val="24"/>
              </w:rPr>
              <w:t xml:space="preserve"> National Centre for Pharmacoeconomics, NCPE</w:t>
            </w:r>
            <w:r w:rsidRPr="00A65D5A">
              <w:rPr>
                <w:rFonts w:eastAsia="Arial"/>
                <w:szCs w:val="24"/>
              </w:rPr>
              <w:t>)</w:t>
            </w:r>
          </w:p>
        </w:tc>
        <w:tc>
          <w:tcPr>
            <w:tcW w:w="1857" w:type="dxa"/>
          </w:tcPr>
          <w:p w14:paraId="18D69BB7" w14:textId="77777777" w:rsidR="0020350A" w:rsidRPr="00A65D5A" w:rsidRDefault="00000000" w:rsidP="0020350A">
            <w:sdt>
              <w:sdtPr>
                <w:rPr>
                  <w:rStyle w:val="Style2"/>
                </w:rPr>
                <w:id w:val="-1888403732"/>
                <w15:color w:val="FFCC00"/>
                <w14:checkbox>
                  <w14:checked w14:val="1"/>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Taip</w:t>
            </w:r>
          </w:p>
          <w:p w14:paraId="7C2069C8" w14:textId="77777777" w:rsidR="0020350A" w:rsidRPr="00A65D5A" w:rsidRDefault="00000000" w:rsidP="0020350A">
            <w:sdt>
              <w:sdtPr>
                <w:rPr>
                  <w:rStyle w:val="Style2"/>
                </w:rPr>
                <w:id w:val="1092201793"/>
                <w15:color w:val="FFCC00"/>
                <w14:checkbox>
                  <w14:checked w14:val="0"/>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Ne</w:t>
            </w:r>
          </w:p>
          <w:p w14:paraId="0287279A" w14:textId="77777777" w:rsidR="0020350A" w:rsidRPr="00A65D5A" w:rsidRDefault="00000000" w:rsidP="0020350A">
            <w:pPr>
              <w:spacing w:line="276" w:lineRule="auto"/>
              <w:rPr>
                <w:rFonts w:eastAsia="Arial"/>
                <w:szCs w:val="24"/>
              </w:rPr>
            </w:pPr>
            <w:sdt>
              <w:sdtPr>
                <w:alias w:val="Nurodykite konkrečią dieną"/>
                <w:tag w:val="Nurodykite pradžios datą"/>
                <w:id w:val="-198323198"/>
                <w:placeholder>
                  <w:docPart w:val="024BABBA604D8E4BB613E668FBF5EEB1"/>
                </w:placeholder>
                <w15:color w:val="FFCC99"/>
                <w:date>
                  <w:dateFormat w:val="yyyy 'm.' MMMM d 'd.'"/>
                  <w:lid w:val="lt-LT"/>
                  <w:storeMappedDataAs w:val="dateTime"/>
                  <w:calendar w:val="gregorian"/>
                </w:date>
              </w:sdtPr>
              <w:sdtContent>
                <w:r w:rsidR="0020350A" w:rsidRPr="00A65D5A">
                  <w:rPr>
                    <w:szCs w:val="24"/>
                  </w:rPr>
                  <w:t xml:space="preserve">2022 m. </w:t>
                </w:r>
                <w:r w:rsidR="0020350A">
                  <w:rPr>
                    <w:szCs w:val="24"/>
                  </w:rPr>
                  <w:t>rugsėjo m.</w:t>
                </w:r>
              </w:sdtContent>
            </w:sdt>
          </w:p>
        </w:tc>
        <w:tc>
          <w:tcPr>
            <w:tcW w:w="3179" w:type="dxa"/>
          </w:tcPr>
          <w:p w14:paraId="160701DC" w14:textId="77777777" w:rsidR="0020350A" w:rsidRPr="00A65D5A" w:rsidRDefault="0020350A" w:rsidP="0020350A">
            <w:pPr>
              <w:spacing w:line="276" w:lineRule="auto"/>
              <w:rPr>
                <w:rFonts w:eastAsia="Arial"/>
                <w:szCs w:val="24"/>
              </w:rPr>
            </w:pPr>
            <w:r w:rsidRPr="005D6FA9">
              <w:rPr>
                <w:rFonts w:eastAsia="Arial"/>
                <w:szCs w:val="24"/>
              </w:rPr>
              <w:t>Avelumabas rekomenduojamas kaip palaikomasis lokaliai išplitusio arba metastazavusio urotelio vėžio, kuris neprogresavo po chemoterapijos platinos preparatais, palaikomajam gydymui suaugusiesiems</w:t>
            </w:r>
            <w:r>
              <w:rPr>
                <w:rFonts w:eastAsia="Arial"/>
                <w:szCs w:val="24"/>
              </w:rPr>
              <w:t>. (Sprendimas priimtas po kainos suderinimo).</w:t>
            </w:r>
          </w:p>
        </w:tc>
        <w:tc>
          <w:tcPr>
            <w:tcW w:w="2216" w:type="dxa"/>
          </w:tcPr>
          <w:p w14:paraId="25DF1045" w14:textId="77777777" w:rsidR="0020350A" w:rsidRPr="00A65D5A" w:rsidRDefault="0020350A" w:rsidP="0020350A">
            <w:pPr>
              <w:spacing w:line="276" w:lineRule="auto"/>
              <w:rPr>
                <w:rFonts w:eastAsia="Arial"/>
                <w:szCs w:val="24"/>
              </w:rPr>
            </w:pPr>
          </w:p>
        </w:tc>
      </w:tr>
      <w:tr w:rsidR="0020350A" w:rsidRPr="00D05364" w14:paraId="429058F6" w14:textId="77777777" w:rsidTr="00FD2DDF">
        <w:trPr>
          <w:trHeight w:val="1927"/>
        </w:trPr>
        <w:tc>
          <w:tcPr>
            <w:tcW w:w="2872" w:type="dxa"/>
          </w:tcPr>
          <w:p w14:paraId="3B9359C7" w14:textId="77777777" w:rsidR="0020350A" w:rsidRPr="00A65D5A" w:rsidRDefault="0020350A" w:rsidP="0020350A">
            <w:pPr>
              <w:spacing w:line="276" w:lineRule="auto"/>
              <w:rPr>
                <w:rFonts w:eastAsia="Arial"/>
                <w:szCs w:val="24"/>
              </w:rPr>
            </w:pPr>
            <w:r w:rsidRPr="00A65D5A">
              <w:rPr>
                <w:rFonts w:eastAsia="Arial"/>
                <w:szCs w:val="24"/>
              </w:rPr>
              <w:t>Kanados sveikatos technologijų agentūra</w:t>
            </w:r>
          </w:p>
          <w:p w14:paraId="1EE7F765" w14:textId="77777777" w:rsidR="0020350A" w:rsidRPr="00A65D5A" w:rsidRDefault="0020350A" w:rsidP="0020350A">
            <w:pPr>
              <w:spacing w:line="276" w:lineRule="auto"/>
              <w:rPr>
                <w:rFonts w:eastAsia="Arial"/>
                <w:szCs w:val="24"/>
              </w:rPr>
            </w:pPr>
            <w:r w:rsidRPr="00A65D5A">
              <w:rPr>
                <w:rFonts w:eastAsia="Arial"/>
                <w:szCs w:val="24"/>
              </w:rPr>
              <w:t xml:space="preserve">(angl. </w:t>
            </w:r>
            <w:r w:rsidRPr="00A65D5A">
              <w:rPr>
                <w:rFonts w:eastAsia="Arial"/>
                <w:i/>
                <w:szCs w:val="24"/>
              </w:rPr>
              <w:t>Canadian health Technology Assessment agency, CADTH</w:t>
            </w:r>
            <w:r w:rsidRPr="00A65D5A">
              <w:rPr>
                <w:rFonts w:eastAsia="Arial"/>
                <w:szCs w:val="24"/>
              </w:rPr>
              <w:t>)</w:t>
            </w:r>
          </w:p>
        </w:tc>
        <w:tc>
          <w:tcPr>
            <w:tcW w:w="1857" w:type="dxa"/>
          </w:tcPr>
          <w:p w14:paraId="440A97D6" w14:textId="77777777" w:rsidR="0020350A" w:rsidRPr="00A65D5A" w:rsidRDefault="00000000" w:rsidP="0020350A">
            <w:sdt>
              <w:sdtPr>
                <w:rPr>
                  <w:rStyle w:val="Style2"/>
                </w:rPr>
                <w:id w:val="1634437882"/>
                <w15:color w:val="FFCC00"/>
                <w14:checkbox>
                  <w14:checked w14:val="1"/>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Taip</w:t>
            </w:r>
          </w:p>
          <w:p w14:paraId="656FC4C8" w14:textId="77777777" w:rsidR="0020350A" w:rsidRPr="00A65D5A" w:rsidRDefault="00000000" w:rsidP="0020350A">
            <w:sdt>
              <w:sdtPr>
                <w:rPr>
                  <w:rStyle w:val="Style2"/>
                </w:rPr>
                <w:id w:val="85655384"/>
                <w15:color w:val="FFCC00"/>
                <w14:checkbox>
                  <w14:checked w14:val="0"/>
                  <w14:checkedState w14:val="2612" w14:font="MS Gothic"/>
                  <w14:uncheckedState w14:val="2610" w14:font="MS Gothic"/>
                </w14:checkbox>
              </w:sdtPr>
              <w:sdtContent>
                <w:r w:rsidR="0020350A" w:rsidRPr="00A65D5A">
                  <w:rPr>
                    <w:rStyle w:val="Style2"/>
                    <w:rFonts w:ascii="MS Gothic" w:eastAsia="MS Gothic" w:hAnsi="MS Gothic"/>
                    <w:szCs w:val="24"/>
                  </w:rPr>
                  <w:t>☐</w:t>
                </w:r>
              </w:sdtContent>
            </w:sdt>
            <w:r w:rsidR="0020350A" w:rsidRPr="00A65D5A">
              <w:t xml:space="preserve"> Ne</w:t>
            </w:r>
          </w:p>
          <w:p w14:paraId="0BDD16E8" w14:textId="77777777" w:rsidR="0020350A" w:rsidRPr="00A65D5A" w:rsidRDefault="00000000" w:rsidP="0020350A">
            <w:pPr>
              <w:pStyle w:val="ListParagraph"/>
              <w:spacing w:after="120"/>
              <w:ind w:left="0"/>
              <w:contextualSpacing w:val="0"/>
              <w:jc w:val="both"/>
              <w:rPr>
                <w:rStyle w:val="Style2"/>
                <w:szCs w:val="24"/>
              </w:rPr>
            </w:pPr>
            <w:sdt>
              <w:sdtPr>
                <w:rPr>
                  <w:sz w:val="32"/>
                </w:rPr>
                <w:alias w:val="Nurodykite konkrečią dieną"/>
                <w:tag w:val="Nurodykite pradžios datą"/>
                <w:id w:val="1004862963"/>
                <w:placeholder>
                  <w:docPart w:val="1727E35538FAD8499EF7513581033E2B"/>
                </w:placeholder>
                <w15:color w:val="FFCC99"/>
                <w:date>
                  <w:dateFormat w:val="yyyy 'm.' MMMM d 'd.'"/>
                  <w:lid w:val="lt-LT"/>
                  <w:storeMappedDataAs w:val="dateTime"/>
                  <w:calendar w:val="gregorian"/>
                </w:date>
              </w:sdtPr>
              <w:sdtContent>
                <w:r w:rsidR="0020350A" w:rsidRPr="00A65D5A">
                  <w:rPr>
                    <w:szCs w:val="24"/>
                  </w:rPr>
                  <w:t>202</w:t>
                </w:r>
                <w:r w:rsidR="0020350A">
                  <w:rPr>
                    <w:szCs w:val="24"/>
                    <w:lang w:val="en-US"/>
                  </w:rPr>
                  <w:t>1</w:t>
                </w:r>
                <w:r w:rsidR="0020350A" w:rsidRPr="00A65D5A">
                  <w:rPr>
                    <w:szCs w:val="24"/>
                  </w:rPr>
                  <w:t xml:space="preserve"> m. </w:t>
                </w:r>
                <w:r w:rsidR="0020350A">
                  <w:rPr>
                    <w:szCs w:val="24"/>
                  </w:rPr>
                  <w:t>kovo</w:t>
                </w:r>
                <w:r w:rsidR="0020350A" w:rsidRPr="00A65D5A">
                  <w:rPr>
                    <w:szCs w:val="24"/>
                  </w:rPr>
                  <w:t xml:space="preserve"> </w:t>
                </w:r>
                <w:r w:rsidR="0020350A">
                  <w:rPr>
                    <w:szCs w:val="24"/>
                  </w:rPr>
                  <w:t>23</w:t>
                </w:r>
                <w:r w:rsidR="0020350A" w:rsidRPr="00A65D5A">
                  <w:rPr>
                    <w:szCs w:val="24"/>
                  </w:rPr>
                  <w:t xml:space="preserve"> d.</w:t>
                </w:r>
              </w:sdtContent>
            </w:sdt>
          </w:p>
        </w:tc>
        <w:tc>
          <w:tcPr>
            <w:tcW w:w="3179" w:type="dxa"/>
          </w:tcPr>
          <w:p w14:paraId="3BC48B7D" w14:textId="77777777" w:rsidR="0020350A" w:rsidRPr="0092285C" w:rsidRDefault="0020350A" w:rsidP="0020350A">
            <w:pPr>
              <w:spacing w:line="276" w:lineRule="auto"/>
              <w:rPr>
                <w:rFonts w:eastAsia="Arial"/>
                <w:szCs w:val="24"/>
              </w:rPr>
            </w:pPr>
            <w:r w:rsidRPr="00A65D5A">
              <w:rPr>
                <w:rFonts w:eastAsia="Arial"/>
                <w:szCs w:val="24"/>
              </w:rPr>
              <w:t xml:space="preserve">CADTH </w:t>
            </w:r>
            <w:r w:rsidRPr="0092285C">
              <w:rPr>
                <w:rFonts w:eastAsia="Arial"/>
                <w:szCs w:val="24"/>
              </w:rPr>
              <w:t>sąlyginai rekomenduoja kompensuoti avelumabo (Bavencio) ir geriausios palaikomojo gydymo (BSC) išlaidas pacientams, kuriems yra histologiškai patvirtinta, neoperuojama, lokaliai išplitusi arba metastazavusi urotelio karcinoma, kurių liga neprogresavo taikant pirmosios eilės indukcinę chemoterapiją platinos pagrindu. jei tenkinamos šios sąlygos:</w:t>
            </w:r>
          </w:p>
          <w:p w14:paraId="7E27FFA4" w14:textId="77777777" w:rsidR="0020350A" w:rsidRPr="0092285C" w:rsidRDefault="0020350A" w:rsidP="0020350A">
            <w:pPr>
              <w:spacing w:line="276" w:lineRule="auto"/>
              <w:rPr>
                <w:rFonts w:eastAsia="Arial"/>
                <w:szCs w:val="24"/>
              </w:rPr>
            </w:pPr>
            <w:r w:rsidRPr="0092285C">
              <w:rPr>
                <w:rFonts w:eastAsia="Arial"/>
                <w:szCs w:val="24"/>
              </w:rPr>
              <w:t>• ekonomiškumas pagerintas iki priimtino lygio</w:t>
            </w:r>
          </w:p>
          <w:p w14:paraId="5F87307C" w14:textId="77777777" w:rsidR="0020350A" w:rsidRPr="00A65D5A" w:rsidRDefault="0020350A" w:rsidP="0020350A">
            <w:pPr>
              <w:spacing w:line="276" w:lineRule="auto"/>
              <w:rPr>
                <w:rFonts w:eastAsia="Arial"/>
                <w:szCs w:val="24"/>
              </w:rPr>
            </w:pPr>
            <w:r w:rsidRPr="0092285C">
              <w:rPr>
                <w:rFonts w:eastAsia="Arial"/>
                <w:szCs w:val="24"/>
              </w:rPr>
              <w:t>• sprendžiamas priėmimo pagrįstumas (poveikis biudžetui)</w:t>
            </w:r>
            <w:r w:rsidRPr="00A65D5A">
              <w:rPr>
                <w:rFonts w:eastAsia="Arial"/>
                <w:szCs w:val="24"/>
              </w:rPr>
              <w:t>.</w:t>
            </w:r>
          </w:p>
        </w:tc>
        <w:tc>
          <w:tcPr>
            <w:tcW w:w="2216" w:type="dxa"/>
          </w:tcPr>
          <w:p w14:paraId="605BF344" w14:textId="77777777" w:rsidR="0020350A" w:rsidRPr="00A65D5A" w:rsidRDefault="0020350A" w:rsidP="0020350A">
            <w:pPr>
              <w:spacing w:line="276" w:lineRule="auto"/>
              <w:rPr>
                <w:rFonts w:eastAsia="Arial"/>
                <w:szCs w:val="24"/>
              </w:rPr>
            </w:pPr>
          </w:p>
        </w:tc>
      </w:tr>
    </w:tbl>
    <w:p w14:paraId="36B1A65E" w14:textId="77777777" w:rsidR="00310CD1" w:rsidRDefault="00310CD1" w:rsidP="00310CD1">
      <w:pPr>
        <w:pStyle w:val="ListParagraph"/>
        <w:tabs>
          <w:tab w:val="left" w:pos="426"/>
        </w:tabs>
        <w:ind w:left="0"/>
        <w:rPr>
          <w:b/>
          <w:bCs/>
          <w:caps/>
        </w:rPr>
      </w:pPr>
    </w:p>
    <w:p w14:paraId="5848252F" w14:textId="77777777" w:rsidR="00310CD1" w:rsidRDefault="00310CD1" w:rsidP="00310CD1">
      <w:pPr>
        <w:pStyle w:val="ListParagraph"/>
        <w:tabs>
          <w:tab w:val="left" w:pos="426"/>
        </w:tabs>
        <w:ind w:left="0"/>
        <w:rPr>
          <w:b/>
          <w:bCs/>
          <w:caps/>
        </w:rPr>
      </w:pPr>
    </w:p>
    <w:p w14:paraId="62C76F63" w14:textId="77777777" w:rsidR="00310CD1" w:rsidRDefault="00310CD1" w:rsidP="00310CD1">
      <w:pPr>
        <w:pStyle w:val="ListParagraph"/>
        <w:numPr>
          <w:ilvl w:val="0"/>
          <w:numId w:val="1"/>
        </w:numPr>
        <w:tabs>
          <w:tab w:val="left" w:pos="284"/>
        </w:tabs>
        <w:rPr>
          <w:b/>
          <w:bCs/>
          <w:caps/>
        </w:rPr>
      </w:pPr>
      <w:r w:rsidRPr="00240D62">
        <w:rPr>
          <w:b/>
          <w:bCs/>
          <w:caps/>
        </w:rPr>
        <w:t>Klinikinio vertinimo apibendrinimas</w:t>
      </w:r>
    </w:p>
    <w:p w14:paraId="180917B6" w14:textId="77777777" w:rsidR="00310CD1" w:rsidRDefault="00310CD1" w:rsidP="00310CD1">
      <w:pPr>
        <w:tabs>
          <w:tab w:val="left" w:pos="284"/>
        </w:tabs>
        <w:rPr>
          <w:b/>
          <w:bCs/>
          <w:caps/>
        </w:rPr>
      </w:pPr>
    </w:p>
    <w:p w14:paraId="2FDF666D" w14:textId="77777777" w:rsidR="0020350A" w:rsidRDefault="0020350A" w:rsidP="003E6CBC">
      <w:pPr>
        <w:autoSpaceDE w:val="0"/>
        <w:autoSpaceDN w:val="0"/>
        <w:adjustRightInd w:val="0"/>
        <w:spacing w:line="276" w:lineRule="auto"/>
        <w:ind w:firstLine="645"/>
        <w:jc w:val="both"/>
        <w:rPr>
          <w:color w:val="000000"/>
        </w:rPr>
      </w:pPr>
      <w:r w:rsidRPr="00BE5679">
        <w:rPr>
          <w:color w:val="000000"/>
        </w:rPr>
        <w:t>Urotelio karcinoma (UK) sudaro apie 90</w:t>
      </w:r>
      <w:r>
        <w:rPr>
          <w:color w:val="000000"/>
        </w:rPr>
        <w:t xml:space="preserve"> proc. visų šlapimo pūslės vėžio (TLK 10 AM kodas C67) atvejų</w:t>
      </w:r>
      <w:r w:rsidRPr="00BE5679">
        <w:rPr>
          <w:color w:val="000000"/>
        </w:rPr>
        <w:t xml:space="preserve">. Liga prasideda urotelio ląstelėse, dengiančiose šlapimo pūslę iš vidaus ir tai yra dažniausias šio vėžio tipas. </w:t>
      </w:r>
      <w:r>
        <w:rPr>
          <w:color w:val="000000"/>
        </w:rPr>
        <w:t>Urotelio karcinoma (</w:t>
      </w:r>
      <w:r w:rsidRPr="00BE5679">
        <w:rPr>
          <w:color w:val="000000"/>
        </w:rPr>
        <w:t>UK</w:t>
      </w:r>
      <w:r>
        <w:rPr>
          <w:color w:val="000000"/>
        </w:rPr>
        <w:t>)</w:t>
      </w:r>
      <w:r w:rsidRPr="00BE5679">
        <w:rPr>
          <w:color w:val="000000"/>
        </w:rPr>
        <w:t xml:space="preserve"> </w:t>
      </w:r>
      <w:r>
        <w:rPr>
          <w:color w:val="000000"/>
        </w:rPr>
        <w:t>yra bendrai priimtas šio</w:t>
      </w:r>
      <w:r w:rsidRPr="00BE5679">
        <w:rPr>
          <w:color w:val="000000"/>
        </w:rPr>
        <w:t xml:space="preserve"> </w:t>
      </w:r>
      <w:r>
        <w:rPr>
          <w:color w:val="000000"/>
        </w:rPr>
        <w:t>tipo</w:t>
      </w:r>
      <w:r w:rsidRPr="00BE5679">
        <w:rPr>
          <w:color w:val="000000"/>
        </w:rPr>
        <w:t xml:space="preserve"> šlapimo pūslės vėžio pavadinimas.</w:t>
      </w:r>
      <w:r w:rsidRPr="00BE5679">
        <w:rPr>
          <w:noProof/>
          <w:color w:val="000000"/>
        </w:rPr>
        <w:t xml:space="preserve"> </w:t>
      </w:r>
      <w:r w:rsidRPr="00BE5679">
        <w:rPr>
          <w:color w:val="000000"/>
        </w:rPr>
        <w:t xml:space="preserve">Dažniausia UK lokalizacija yra šlapimo pūslė, bet pirminis navikas gali būti diagnozuotas </w:t>
      </w:r>
      <w:r w:rsidRPr="00D33DE2">
        <w:rPr>
          <w:color w:val="000000"/>
        </w:rPr>
        <w:t>ir inkstų geldelėse, šlapimtakiuose</w:t>
      </w:r>
      <w:r w:rsidRPr="00BE5679">
        <w:rPr>
          <w:color w:val="000000"/>
        </w:rPr>
        <w:t xml:space="preserve"> bei šlaplėje</w:t>
      </w:r>
      <w:r>
        <w:rPr>
          <w:color w:val="000000"/>
        </w:rPr>
        <w:t xml:space="preserve"> (TLK 10 AM kodai: </w:t>
      </w:r>
      <w:r w:rsidRPr="00764461">
        <w:rPr>
          <w:color w:val="000000"/>
        </w:rPr>
        <w:t>Inksto geldelės piktybinis navikas</w:t>
      </w:r>
      <w:r>
        <w:rPr>
          <w:color w:val="000000"/>
        </w:rPr>
        <w:t xml:space="preserve"> C65; </w:t>
      </w:r>
      <w:r w:rsidRPr="00764461">
        <w:rPr>
          <w:color w:val="000000"/>
        </w:rPr>
        <w:t>Šlapimtakio piktybinis navikas</w:t>
      </w:r>
      <w:r>
        <w:rPr>
          <w:color w:val="000000"/>
        </w:rPr>
        <w:t xml:space="preserve"> C66; </w:t>
      </w:r>
      <w:r w:rsidRPr="00764461">
        <w:rPr>
          <w:color w:val="000000"/>
        </w:rPr>
        <w:t xml:space="preserve">Kitų ir nepatikslintų šlapimo </w:t>
      </w:r>
      <w:r w:rsidRPr="00764461">
        <w:rPr>
          <w:color w:val="000000"/>
        </w:rPr>
        <w:lastRenderedPageBreak/>
        <w:t>organų piktybinis navikas</w:t>
      </w:r>
      <w:r>
        <w:rPr>
          <w:color w:val="000000"/>
        </w:rPr>
        <w:t xml:space="preserve"> C68)</w:t>
      </w:r>
      <w:r w:rsidRPr="00BE5679">
        <w:rPr>
          <w:color w:val="000000"/>
        </w:rPr>
        <w:t>.</w:t>
      </w:r>
      <w:r>
        <w:rPr>
          <w:color w:val="000000"/>
        </w:rPr>
        <w:t xml:space="preserve"> </w:t>
      </w:r>
      <w:r w:rsidRPr="00BE5679">
        <w:rPr>
          <w:color w:val="000000"/>
        </w:rPr>
        <w:t>UK išsivystymo riziką didina keletas gerai žinomų veiksnių: vyresnis amžius, rūkymas, kai kurios pramoninės chem</w:t>
      </w:r>
      <w:r>
        <w:rPr>
          <w:color w:val="000000"/>
        </w:rPr>
        <w:t>i</w:t>
      </w:r>
      <w:r w:rsidRPr="00BE5679">
        <w:rPr>
          <w:color w:val="000000"/>
        </w:rPr>
        <w:t>nės medžiagos.</w:t>
      </w:r>
      <w:r>
        <w:rPr>
          <w:color w:val="000000"/>
        </w:rPr>
        <w:t xml:space="preserve"> </w:t>
      </w:r>
    </w:p>
    <w:p w14:paraId="28693E1D" w14:textId="77777777" w:rsidR="0020350A" w:rsidRDefault="0020350A" w:rsidP="003E6CBC">
      <w:pPr>
        <w:spacing w:line="276" w:lineRule="auto"/>
        <w:ind w:firstLine="645"/>
        <w:jc w:val="both"/>
        <w:rPr>
          <w:color w:val="000000"/>
        </w:rPr>
      </w:pPr>
      <w:r>
        <w:t>Kliniškai šlapimo pūslės vėžys skirstomas į paviršinį, invazinį (kai navikas yra infiltravęs šlapimo pūslės sienos raumeninį sluoksnį) ir metastazinį.</w:t>
      </w:r>
    </w:p>
    <w:p w14:paraId="6880A231" w14:textId="77777777" w:rsidR="0020350A" w:rsidRDefault="0020350A" w:rsidP="003E6CBC">
      <w:pPr>
        <w:spacing w:line="276" w:lineRule="auto"/>
        <w:ind w:firstLine="645"/>
        <w:jc w:val="both"/>
        <w:rPr>
          <w:color w:val="000000"/>
        </w:rPr>
      </w:pPr>
      <w:r>
        <w:t>Paviršinis šlapimo pūslės vėžys retai metastazuoja ir dažniausiai gydomas endoskopiškai transuretrinės rezekcijos būdu. Invazinis šlapimo pūslės vėžys neišvengiamai metastazuoja, todėl šio vėžio standartiniu gydymu laikoma radikali cistektomija ir sritinių limfmazgių pašalinimas.</w:t>
      </w:r>
    </w:p>
    <w:p w14:paraId="29DB32D4" w14:textId="77777777" w:rsidR="0020350A" w:rsidRDefault="0020350A" w:rsidP="003E6CBC">
      <w:pPr>
        <w:spacing w:line="276" w:lineRule="auto"/>
        <w:ind w:firstLine="645"/>
        <w:jc w:val="both"/>
        <w:rPr>
          <w:color w:val="000000"/>
        </w:rPr>
      </w:pPr>
      <w:r>
        <w:rPr>
          <w:color w:val="000000"/>
        </w:rPr>
        <w:t xml:space="preserve">Apie 5% atvejų UK diagnozuojama esant atokioms metastazėms. Po radikalios cistektomijos ar </w:t>
      </w:r>
      <w:r w:rsidRPr="004E1023">
        <w:rPr>
          <w:color w:val="000000"/>
        </w:rPr>
        <w:t>nefroureterektomij</w:t>
      </w:r>
      <w:r>
        <w:rPr>
          <w:color w:val="000000"/>
        </w:rPr>
        <w:t>os atkrytis įvyksta apie 30-50% pacientų, daugiausiai pasireiškiantis atokiomis metastazėmis. Pacientų, kuriems išsivysto atokiosios metastazės, 5-ių metų išgyvenamumas yra &lt;6%.</w:t>
      </w:r>
    </w:p>
    <w:p w14:paraId="5939C09C" w14:textId="77777777" w:rsidR="0020350A" w:rsidRDefault="0020350A" w:rsidP="003E6CBC">
      <w:pPr>
        <w:autoSpaceDE w:val="0"/>
        <w:autoSpaceDN w:val="0"/>
        <w:adjustRightInd w:val="0"/>
        <w:spacing w:line="276" w:lineRule="auto"/>
        <w:ind w:firstLine="645"/>
        <w:jc w:val="both"/>
        <w:rPr>
          <w:color w:val="000000"/>
        </w:rPr>
      </w:pPr>
      <w:r w:rsidRPr="00DF656C">
        <w:t>Higienos instituto sveikatos statistinių duomenų portalo duomen</w:t>
      </w:r>
      <w:r>
        <w:t>imis, Lietuvoje 2020 m. sergančių šlapimo pūslės naviku asmenų skaičius buvo 4.199, stacionare buvo gydyti 1.973 ligoniai, vidutinis gulėjimo laikas buvo 6,84 lovadienio, staciona</w:t>
      </w:r>
      <w:r w:rsidR="00520CCB">
        <w:t>r</w:t>
      </w:r>
      <w:r>
        <w:t xml:space="preserve">e mirė 102 pacientai. 2020 metais iš viso dėl šlapimo pūslės vėžio mirė 256 pacientai. </w:t>
      </w:r>
      <w:r w:rsidRPr="00A65D5A">
        <w:rPr>
          <w:color w:val="000000"/>
        </w:rPr>
        <w:t xml:space="preserve"> </w:t>
      </w:r>
    </w:p>
    <w:p w14:paraId="179F1976" w14:textId="77777777" w:rsidR="0020350A" w:rsidRDefault="0020350A" w:rsidP="003E6CBC">
      <w:pPr>
        <w:spacing w:line="276" w:lineRule="auto"/>
        <w:ind w:firstLine="645"/>
        <w:jc w:val="both"/>
        <w:rPr>
          <w:color w:val="000000"/>
        </w:rPr>
      </w:pPr>
      <w:r w:rsidRPr="001D5E79">
        <w:rPr>
          <w:color w:val="000000"/>
        </w:rPr>
        <w:t>Chemoterapija</w:t>
      </w:r>
      <w:r>
        <w:rPr>
          <w:color w:val="000000"/>
        </w:rPr>
        <w:t xml:space="preserve"> c</w:t>
      </w:r>
      <w:r w:rsidRPr="001D5E79">
        <w:rPr>
          <w:color w:val="000000"/>
        </w:rPr>
        <w:t>isplatinos ir gemcitabino (GC) kombinacija yra neoperabilaus arba metastazavusio šlapimo pūslės vėžio gydymo standartas</w:t>
      </w:r>
      <w:r>
        <w:rPr>
          <w:color w:val="000000"/>
        </w:rPr>
        <w:t>, bendrojo išgyvenamumo mediana yra 9-14 mėnesių</w:t>
      </w:r>
      <w:r w:rsidRPr="001D5E79">
        <w:rPr>
          <w:color w:val="000000"/>
        </w:rPr>
        <w:t>.</w:t>
      </w:r>
      <w:r>
        <w:rPr>
          <w:color w:val="000000"/>
        </w:rPr>
        <w:t xml:space="preserve"> Taip pat gali būti skiriama </w:t>
      </w:r>
      <w:r w:rsidRPr="001D5E79">
        <w:rPr>
          <w:color w:val="000000"/>
        </w:rPr>
        <w:t>MVAC (metotreksato, vinblastino, adriamicino</w:t>
      </w:r>
      <w:r>
        <w:rPr>
          <w:color w:val="000000"/>
        </w:rPr>
        <w:t xml:space="preserve"> </w:t>
      </w:r>
      <w:r w:rsidRPr="001D5E79">
        <w:rPr>
          <w:color w:val="000000"/>
        </w:rPr>
        <w:t>ir cisplatinos) chemoterapija</w:t>
      </w:r>
      <w:r>
        <w:rPr>
          <w:color w:val="000000"/>
        </w:rPr>
        <w:t>. A</w:t>
      </w:r>
      <w:r w:rsidRPr="001D5E79">
        <w:rPr>
          <w:color w:val="000000"/>
        </w:rPr>
        <w:t>pie 15% pacientų pasiekiama ilgalaikė remisija; 20.9% - kai metastazių nustatoma tik limfmazgiuose ir tik</w:t>
      </w:r>
      <w:r>
        <w:rPr>
          <w:color w:val="000000"/>
        </w:rPr>
        <w:t xml:space="preserve"> </w:t>
      </w:r>
      <w:r w:rsidRPr="001D5E79">
        <w:rPr>
          <w:color w:val="000000"/>
        </w:rPr>
        <w:t>6</w:t>
      </w:r>
      <w:r>
        <w:rPr>
          <w:color w:val="000000"/>
        </w:rPr>
        <w:t>,</w:t>
      </w:r>
      <w:r w:rsidRPr="001D5E79">
        <w:rPr>
          <w:color w:val="000000"/>
        </w:rPr>
        <w:t>8% su visceralinėmis metastazėmis.</w:t>
      </w:r>
      <w:r>
        <w:rPr>
          <w:color w:val="000000"/>
        </w:rPr>
        <w:t xml:space="preserve"> </w:t>
      </w:r>
      <w:r w:rsidRPr="001D5E79">
        <w:rPr>
          <w:color w:val="000000"/>
        </w:rPr>
        <w:t xml:space="preserve">Apie 50% pacientų nėra </w:t>
      </w:r>
      <w:r>
        <w:rPr>
          <w:color w:val="000000"/>
        </w:rPr>
        <w:t xml:space="preserve">tinkami </w:t>
      </w:r>
      <w:r w:rsidRPr="001D5E79">
        <w:rPr>
          <w:color w:val="000000"/>
        </w:rPr>
        <w:t>cisplatinos chemoterapijai dėl sutrikusios inkstų funkcijos arba gretutinių ligų</w:t>
      </w:r>
      <w:r>
        <w:rPr>
          <w:color w:val="000000"/>
        </w:rPr>
        <w:t xml:space="preserve">. Jie </w:t>
      </w:r>
      <w:r w:rsidRPr="001D5E79">
        <w:rPr>
          <w:color w:val="000000"/>
        </w:rPr>
        <w:t xml:space="preserve"> gali būti gydomi chemoterapija su karboplatina arba monoterapija taksanais arba gemcitabinu. Metotre</w:t>
      </w:r>
      <w:r w:rsidR="00520CCB">
        <w:rPr>
          <w:color w:val="000000"/>
        </w:rPr>
        <w:t>ks</w:t>
      </w:r>
      <w:r w:rsidRPr="001D5E79">
        <w:rPr>
          <w:color w:val="000000"/>
        </w:rPr>
        <w:t>ato/karboplatinos/vinblastino (M-CAVI) ir karboplatinos/gemcitabino (CarboGem) schemos tinka pacientams, kurie nėra kandidatai cisplatinos chemoterapijai</w:t>
      </w:r>
      <w:r>
        <w:rPr>
          <w:color w:val="000000"/>
        </w:rPr>
        <w:t xml:space="preserve">. Skiriant chemoterapiją platinos preparatų pagrindu objektyvus atsakas ar stabili liga pasiekiami 65-76% pacientų, tačiau terapijos nauda yra trumpalaikė, </w:t>
      </w:r>
      <w:r w:rsidRPr="00647455">
        <w:rPr>
          <w:color w:val="000000"/>
        </w:rPr>
        <w:t>išgyvenamum</w:t>
      </w:r>
      <w:r>
        <w:rPr>
          <w:color w:val="000000"/>
        </w:rPr>
        <w:t>o</w:t>
      </w:r>
      <w:r w:rsidRPr="00647455">
        <w:rPr>
          <w:color w:val="000000"/>
        </w:rPr>
        <w:t xml:space="preserve"> ligai neprogresuojant</w:t>
      </w:r>
      <w:r>
        <w:rPr>
          <w:color w:val="000000"/>
        </w:rPr>
        <w:t xml:space="preserve"> (</w:t>
      </w:r>
      <w:r w:rsidRPr="00647455">
        <w:rPr>
          <w:color w:val="000000"/>
        </w:rPr>
        <w:t>progression-free survival</w:t>
      </w:r>
      <w:r>
        <w:rPr>
          <w:color w:val="000000"/>
        </w:rPr>
        <w:t>,</w:t>
      </w:r>
      <w:r w:rsidRPr="00647455">
        <w:rPr>
          <w:color w:val="000000"/>
        </w:rPr>
        <w:t xml:space="preserve"> PFS</w:t>
      </w:r>
      <w:r>
        <w:rPr>
          <w:color w:val="000000"/>
        </w:rPr>
        <w:t xml:space="preserve">) mediana yra apie 6-9 mėn., bendrojo išgyvenamumo mediana 9-14 mėn. </w:t>
      </w:r>
    </w:p>
    <w:p w14:paraId="4DA06FD9" w14:textId="77777777" w:rsidR="0020350A" w:rsidRDefault="0020350A" w:rsidP="0020350A">
      <w:pPr>
        <w:spacing w:line="276" w:lineRule="auto"/>
        <w:ind w:firstLine="645"/>
        <w:jc w:val="both"/>
        <w:rPr>
          <w:rFonts w:eastAsiaTheme="minorHAnsi"/>
          <w:bCs/>
          <w:color w:val="000000"/>
        </w:rPr>
      </w:pPr>
      <w:r w:rsidRPr="00A65D5A">
        <w:rPr>
          <w:rFonts w:eastAsiaTheme="minorHAnsi"/>
          <w:bCs/>
          <w:color w:val="000000"/>
        </w:rPr>
        <w:t xml:space="preserve">Remiantis </w:t>
      </w:r>
      <w:r>
        <w:rPr>
          <w:rFonts w:eastAsiaTheme="minorHAnsi"/>
          <w:bCs/>
          <w:color w:val="000000"/>
        </w:rPr>
        <w:t xml:space="preserve">2014 m. </w:t>
      </w:r>
      <w:r w:rsidRPr="00A65D5A">
        <w:rPr>
          <w:rFonts w:eastAsiaTheme="minorHAnsi"/>
          <w:bCs/>
          <w:color w:val="000000"/>
        </w:rPr>
        <w:t xml:space="preserve">SAM </w:t>
      </w:r>
      <w:r>
        <w:rPr>
          <w:rFonts w:eastAsiaTheme="minorHAnsi"/>
          <w:bCs/>
          <w:color w:val="000000"/>
        </w:rPr>
        <w:t xml:space="preserve">patvirtintu „Šlapimo pūslės vėžio diagnostikos ir gydymo protokolu“, </w:t>
      </w:r>
      <w:r>
        <w:t>po pirmos eilės chemoterapijos platinos preparatų pagrindu,</w:t>
      </w:r>
      <w:r w:rsidRPr="00C47D9A">
        <w:t xml:space="preserve"> </w:t>
      </w:r>
      <w:r>
        <w:t xml:space="preserve">jei </w:t>
      </w:r>
      <w:r w:rsidRPr="000F3A67">
        <w:t>nenustatyta progresavimo po chemoterapijos</w:t>
      </w:r>
      <w:r>
        <w:t>, naudojama stebėjimo ir laukimo taktika iki ligos progresavimo ir skiriant geriausią palaikomąją priežiūrą (GPP).</w:t>
      </w:r>
    </w:p>
    <w:p w14:paraId="1EEFC993" w14:textId="77777777" w:rsidR="0020350A" w:rsidRDefault="003E6CBC" w:rsidP="0020350A">
      <w:pPr>
        <w:spacing w:line="276" w:lineRule="auto"/>
        <w:ind w:firstLine="645"/>
        <w:jc w:val="both"/>
        <w:rPr>
          <w:rFonts w:eastAsiaTheme="minorHAnsi"/>
          <w:bCs/>
          <w:color w:val="000000"/>
        </w:rPr>
      </w:pPr>
      <w:r w:rsidRPr="00AE6CA5">
        <w:t xml:space="preserve">Europos medicininės onkologijos draugijos (angl. </w:t>
      </w:r>
      <w:r w:rsidRPr="00AE6CA5">
        <w:rPr>
          <w:i/>
        </w:rPr>
        <w:t xml:space="preserve">European Society of Medical Oncology, </w:t>
      </w:r>
      <w:r w:rsidR="0020350A" w:rsidRPr="00A65D5A">
        <w:rPr>
          <w:rFonts w:eastAsiaTheme="minorHAnsi"/>
          <w:color w:val="000000"/>
        </w:rPr>
        <w:t>ESMO</w:t>
      </w:r>
      <w:r>
        <w:rPr>
          <w:rFonts w:eastAsiaTheme="minorHAnsi"/>
          <w:color w:val="000000"/>
        </w:rPr>
        <w:t xml:space="preserve">), Nacionalinio išsamaus vėžio tinklo, angl. National comprehensive cancer network, </w:t>
      </w:r>
      <w:r w:rsidR="0020350A" w:rsidRPr="00A65D5A">
        <w:rPr>
          <w:rFonts w:eastAsiaTheme="minorHAnsi"/>
          <w:color w:val="000000"/>
        </w:rPr>
        <w:t xml:space="preserve">NCCN) </w:t>
      </w:r>
      <w:r w:rsidR="0020350A">
        <w:rPr>
          <w:rFonts w:eastAsiaTheme="minorHAnsi"/>
          <w:color w:val="000000"/>
        </w:rPr>
        <w:t xml:space="preserve">Bavencio </w:t>
      </w:r>
      <w:r w:rsidR="0020350A" w:rsidRPr="00F75420">
        <w:rPr>
          <w:color w:val="000000"/>
        </w:rPr>
        <w:t xml:space="preserve">monoterapija </w:t>
      </w:r>
      <w:r w:rsidR="0020350A">
        <w:rPr>
          <w:color w:val="000000"/>
        </w:rPr>
        <w:t xml:space="preserve">yra rekomenduojama </w:t>
      </w:r>
      <w:r w:rsidR="0020350A" w:rsidRPr="00F75420">
        <w:rPr>
          <w:color w:val="000000"/>
        </w:rPr>
        <w:t>lokaliai progresavusia arba metastazavusia urotelio karcinoma (UK) sergantiems suaugusiems pacientams, kuriems nenustatyta progresavimo po chemoterapijos, kurios pagrindas platina, pirmaeiliam palaikomajam gydymui</w:t>
      </w:r>
      <w:r w:rsidR="0020350A" w:rsidRPr="00A65D5A">
        <w:rPr>
          <w:rFonts w:eastAsiaTheme="minorHAnsi"/>
          <w:color w:val="000000"/>
        </w:rPr>
        <w:t xml:space="preserve"> </w:t>
      </w:r>
    </w:p>
    <w:p w14:paraId="7014DBE6" w14:textId="77777777" w:rsidR="0020350A" w:rsidRPr="00792E06" w:rsidRDefault="0020350A" w:rsidP="0020350A">
      <w:pPr>
        <w:spacing w:line="276" w:lineRule="auto"/>
        <w:ind w:firstLine="645"/>
        <w:jc w:val="both"/>
        <w:rPr>
          <w:rFonts w:eastAsiaTheme="minorHAnsi"/>
          <w:bCs/>
          <w:color w:val="000000"/>
        </w:rPr>
      </w:pPr>
      <w:r w:rsidRPr="00792E06">
        <w:rPr>
          <w:rFonts w:eastAsia="Arial"/>
        </w:rPr>
        <w:t xml:space="preserve">Pateiktame klinikiniame tyrime </w:t>
      </w:r>
      <w:r w:rsidRPr="00792E06">
        <w:rPr>
          <w:color w:val="000000"/>
          <w:lang w:eastAsia="lt-LT"/>
        </w:rPr>
        <w:t xml:space="preserve">JAVELIN Bladder 100 </w:t>
      </w:r>
      <w:r w:rsidRPr="00792E06">
        <w:rPr>
          <w:rFonts w:eastAsia="Arial"/>
        </w:rPr>
        <w:t>(daugiacentris, 3 fazės, atsitiktinių imčių, atviras, lygiagretus dviejų grupių tyrimas, kurio metu buvo lyginamas avelumabo + BSC (ang</w:t>
      </w:r>
      <w:r w:rsidR="003E6CBC">
        <w:rPr>
          <w:rFonts w:eastAsia="Arial"/>
        </w:rPr>
        <w:t>l</w:t>
      </w:r>
      <w:r w:rsidRPr="00792E06">
        <w:rPr>
          <w:rFonts w:eastAsia="Arial"/>
        </w:rPr>
        <w:t xml:space="preserve">. </w:t>
      </w:r>
      <w:r w:rsidRPr="003E6CBC">
        <w:rPr>
          <w:rFonts w:eastAsia="Arial"/>
          <w:i/>
        </w:rPr>
        <w:t>best supportive care</w:t>
      </w:r>
      <w:r w:rsidRPr="00792E06">
        <w:rPr>
          <w:rFonts w:eastAsia="Arial"/>
        </w:rPr>
        <w:t xml:space="preserve">) ir vien BSC veiksmingumas ir saugumas, skiriant juos kaip palaikomąjį gydymą pacientams, sergantiems lokaliai išplitusia arba metastazavusia UK, kurių liga neprogresavo po pirmos eilės chemoterapijos platinos pagrindu (gemcitabinas + cisplatina ir (arba) gemcitabinas + karboplatina)) buvo įrodytas </w:t>
      </w:r>
      <w:r>
        <w:t>k</w:t>
      </w:r>
      <w:r w:rsidRPr="00823EAB">
        <w:t xml:space="preserve">liniškai ir statistiškai reikšmingas </w:t>
      </w:r>
      <w:r>
        <w:t>bendro išgyvenamumo</w:t>
      </w:r>
      <w:r w:rsidRPr="00823EAB">
        <w:t xml:space="preserve"> pagerėjimas visiems pacientams, kuriems buvo</w:t>
      </w:r>
      <w:r>
        <w:t xml:space="preserve"> </w:t>
      </w:r>
      <w:r w:rsidRPr="00823EAB">
        <w:t xml:space="preserve">skirtas avelumabas + BSC, o mirties rizika sumažėjo 31 %, palyginti su pacientais, kuriems buvo paskirtas tik BSC (HR: 0,69; 95% PI: 0,556, 0,863; dvipusis p=0,001). Gydant avelumabu </w:t>
      </w:r>
      <w:r>
        <w:t>bendras išgyvenamumas</w:t>
      </w:r>
      <w:r w:rsidRPr="00823EAB">
        <w:t xml:space="preserve"> pagerėjo </w:t>
      </w:r>
      <w:r w:rsidRPr="00823EAB">
        <w:lastRenderedPageBreak/>
        <w:t>vidutiniškai 7,1 mėnesio – vidutin</w:t>
      </w:r>
      <w:r>
        <w:t>is</w:t>
      </w:r>
      <w:r w:rsidRPr="00823EAB">
        <w:t xml:space="preserve"> OS buvo 21,4 mėnesio (95 % PI: 18,9, 26,1) avelumabo + BSC grupėje ir 14,3 mėnesio (95 % PI: 12,9, 17,9) </w:t>
      </w:r>
      <w:r>
        <w:t>v</w:t>
      </w:r>
      <w:r w:rsidRPr="00823EAB">
        <w:t>ien tik BSC grupė</w:t>
      </w:r>
      <w:r>
        <w:t>je. Taip pat tyrime stebėti teigiami IBLP ir KA rezultatai.</w:t>
      </w:r>
    </w:p>
    <w:p w14:paraId="6B44FC0A" w14:textId="77777777" w:rsidR="0020350A" w:rsidRPr="001D4ED0" w:rsidRDefault="0020350A" w:rsidP="0020350A">
      <w:pPr>
        <w:autoSpaceDE w:val="0"/>
        <w:autoSpaceDN w:val="0"/>
        <w:adjustRightInd w:val="0"/>
        <w:spacing w:line="276" w:lineRule="auto"/>
        <w:ind w:firstLine="567"/>
        <w:jc w:val="both"/>
      </w:pPr>
      <w:r w:rsidRPr="00A65D5A">
        <w:t>Įvertinus visą pateiktą informaciją</w:t>
      </w:r>
      <w:r>
        <w:t xml:space="preserve"> bei klinikinę situaciją Lietuvoje (šiuo metu po taikytos pirmaeilės chemoterapijos platinos pagrindu, nėra taikomas joks priešvėžinis gydymas, tik skiriama geriausia palaikomoji priežiūra), </w:t>
      </w:r>
      <w:r w:rsidRPr="00A65D5A">
        <w:t>dar</w:t>
      </w:r>
      <w:r w:rsidR="003E6CBC">
        <w:t>oma</w:t>
      </w:r>
      <w:r w:rsidRPr="00A65D5A">
        <w:t xml:space="preserve"> išvad</w:t>
      </w:r>
      <w:r w:rsidR="003E6CBC">
        <w:t>a</w:t>
      </w:r>
      <w:r w:rsidRPr="00A65D5A">
        <w:t xml:space="preserve">, kad </w:t>
      </w:r>
      <w:r>
        <w:t>Bavencio</w:t>
      </w:r>
      <w:r w:rsidRPr="00A65D5A">
        <w:t xml:space="preserve"> </w:t>
      </w:r>
      <w:r w:rsidRPr="00A65D5A">
        <w:rPr>
          <w:u w:val="single"/>
        </w:rPr>
        <w:t>sukurią papildomą naudą</w:t>
      </w:r>
      <w:r w:rsidR="003E6CBC">
        <w:rPr>
          <w:u w:val="single"/>
        </w:rPr>
        <w:t xml:space="preserve"> </w:t>
      </w:r>
      <w:r w:rsidR="003E6CBC" w:rsidRPr="003E6CBC">
        <w:t>pacientų sveikatai</w:t>
      </w:r>
      <w:r w:rsidRPr="00A65D5A">
        <w:t xml:space="preserve"> skiriant jį </w:t>
      </w:r>
      <w:r w:rsidRPr="00F75420">
        <w:rPr>
          <w:color w:val="000000"/>
        </w:rPr>
        <w:t>lokaliai progresavusia arba metastazavusia urotelio karcinoma (UK) sergantiems suaugusiems pacientams, kuriems nenustatyta progresavimo po chemoterapijos, kurios pagrindas platina, pirmaeiliam palaikomajam gydymui</w:t>
      </w:r>
      <w:r>
        <w:rPr>
          <w:color w:val="000000"/>
        </w:rPr>
        <w:t>.</w:t>
      </w:r>
    </w:p>
    <w:p w14:paraId="508604A4" w14:textId="77777777" w:rsidR="00310CD1" w:rsidRPr="006D4C85" w:rsidRDefault="00310CD1" w:rsidP="00310CD1">
      <w:pPr>
        <w:pStyle w:val="ListParagraph"/>
        <w:tabs>
          <w:tab w:val="left" w:pos="426"/>
        </w:tabs>
        <w:ind w:left="0"/>
        <w:rPr>
          <w:b/>
          <w:bCs/>
          <w:caps/>
        </w:rPr>
      </w:pPr>
    </w:p>
    <w:p w14:paraId="406CEEE8" w14:textId="77777777" w:rsidR="00310CD1" w:rsidRDefault="00310CD1" w:rsidP="00310CD1">
      <w:pPr>
        <w:pStyle w:val="ListParagraph"/>
        <w:numPr>
          <w:ilvl w:val="0"/>
          <w:numId w:val="1"/>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Pr="00A93AA6">
        <w:rPr>
          <w:b/>
          <w:bCs/>
          <w:caps/>
        </w:rPr>
        <w:t>apibendrinimas</w:t>
      </w:r>
    </w:p>
    <w:p w14:paraId="2E160044" w14:textId="77777777" w:rsidR="00310CD1" w:rsidRDefault="00310CD1" w:rsidP="00310CD1">
      <w:pPr>
        <w:tabs>
          <w:tab w:val="left" w:pos="426"/>
        </w:tabs>
        <w:rPr>
          <w:b/>
          <w:bCs/>
          <w:caps/>
        </w:rPr>
      </w:pPr>
    </w:p>
    <w:p w14:paraId="1D14FD35" w14:textId="77777777" w:rsidR="00DA3AF7" w:rsidRDefault="00DA3AF7" w:rsidP="00DA3AF7">
      <w:pPr>
        <w:shd w:val="clear" w:color="auto" w:fill="FFFFFF"/>
        <w:spacing w:line="276" w:lineRule="auto"/>
        <w:ind w:firstLine="360"/>
        <w:jc w:val="both"/>
        <w:rPr>
          <w:color w:val="000000"/>
        </w:rPr>
      </w:pPr>
      <w:r w:rsidRPr="00EE0549">
        <w:rPr>
          <w:rFonts w:eastAsia="Arial"/>
        </w:rPr>
        <w:t>Ekon</w:t>
      </w:r>
      <w:r>
        <w:rPr>
          <w:rFonts w:eastAsia="Arial"/>
        </w:rPr>
        <w:t xml:space="preserve">ominė analizė atlikta avelumabą </w:t>
      </w:r>
      <w:r w:rsidRPr="00EE0549">
        <w:t>(</w:t>
      </w:r>
      <w:r w:rsidRPr="00EE0549">
        <w:rPr>
          <w:color w:val="000000"/>
        </w:rPr>
        <w:t xml:space="preserve">Bavencio) </w:t>
      </w:r>
      <w:r>
        <w:rPr>
          <w:color w:val="000000"/>
        </w:rPr>
        <w:t>monoterapija skiriamą</w:t>
      </w:r>
      <w:r w:rsidRPr="00EE0549">
        <w:rPr>
          <w:color w:val="000000"/>
        </w:rPr>
        <w:t xml:space="preserve"> lokaliai progresavusia arba metastazavusia urotelio karcinoma UK (mUK) sergantiems suaugusiems pacientams, kuriems nenustatyta progresavimo po chemoterapijos, kurios pagrindas platina, pirmaeiliam palaikomajam gydymui</w:t>
      </w:r>
      <w:r w:rsidRPr="00EE0549">
        <w:rPr>
          <w:rFonts w:eastAsia="Arial"/>
        </w:rPr>
        <w:t xml:space="preserve"> lyginant su geriausiu palaikomuoju gydymu (laukimo taktika), </w:t>
      </w:r>
      <w:r w:rsidRPr="00EE0549">
        <w:rPr>
          <w:color w:val="000000"/>
        </w:rPr>
        <w:t xml:space="preserve">kadangi Lietuvoje po pirmos eilės </w:t>
      </w:r>
      <w:r w:rsidRPr="00EE0549">
        <w:t>chemoterapijos platinos preparatų pagrindu, jei nenustatyta progresavimo po chemoterapijos, naudojama stebėjimo ir laukimo taktika ir skiriama GPP (t.y. nėra kito galimo gydymo vaistiniais preparatais).</w:t>
      </w:r>
    </w:p>
    <w:p w14:paraId="49429F30" w14:textId="77777777" w:rsidR="00DA3AF7" w:rsidRPr="00AB0509" w:rsidRDefault="00DA3AF7" w:rsidP="00DA3AF7">
      <w:pPr>
        <w:shd w:val="clear" w:color="auto" w:fill="FFFFFF"/>
        <w:spacing w:line="276" w:lineRule="auto"/>
        <w:ind w:firstLine="360"/>
        <w:jc w:val="both"/>
        <w:rPr>
          <w:color w:val="000000"/>
        </w:rPr>
      </w:pPr>
      <w:proofErr w:type="spellStart"/>
      <w:r w:rsidRPr="00EE0549">
        <w:rPr>
          <w:rFonts w:eastAsia="Arial"/>
          <w:lang w:val="en-US"/>
        </w:rPr>
        <w:t>Klinikiniai</w:t>
      </w:r>
      <w:proofErr w:type="spellEnd"/>
      <w:r w:rsidRPr="00EE0549">
        <w:t xml:space="preserve"> </w:t>
      </w:r>
      <w:r w:rsidRPr="00EE0549">
        <w:rPr>
          <w:color w:val="000000"/>
        </w:rPr>
        <w:t>duomenys (pacientų charakteristikos, saugumo ir efektyvumo duomenys (bendrojo išgyvenamumo, išgyvenamumo be ligos progreso ir gydymo trukmės) avelumabą lyginant su geriausiu palaikomuoju gydymu (</w:t>
      </w:r>
      <w:r w:rsidRPr="00AB0509">
        <w:rPr>
          <w:i/>
          <w:color w:val="000000"/>
        </w:rPr>
        <w:t>BSC, angl. best supportive care</w:t>
      </w:r>
      <w:r w:rsidRPr="00EE0549">
        <w:rPr>
          <w:color w:val="000000"/>
        </w:rPr>
        <w:t>) e</w:t>
      </w:r>
      <w:proofErr w:type="spellStart"/>
      <w:r w:rsidRPr="00EE0549">
        <w:rPr>
          <w:rFonts w:eastAsia="Arial"/>
          <w:lang w:val="en-US"/>
        </w:rPr>
        <w:t>konominėje</w:t>
      </w:r>
      <w:proofErr w:type="spellEnd"/>
      <w:r w:rsidRPr="00EE0549">
        <w:rPr>
          <w:rFonts w:eastAsia="Arial"/>
          <w:lang w:val="en-US"/>
        </w:rPr>
        <w:t xml:space="preserve"> </w:t>
      </w:r>
      <w:proofErr w:type="spellStart"/>
      <w:r w:rsidRPr="00EE0549">
        <w:rPr>
          <w:rFonts w:eastAsia="Arial"/>
          <w:lang w:val="en-US"/>
        </w:rPr>
        <w:t>analizėje</w:t>
      </w:r>
      <w:proofErr w:type="spellEnd"/>
      <w:r w:rsidRPr="00EE0549">
        <w:rPr>
          <w:rFonts w:eastAsia="Arial"/>
          <w:lang w:val="en-US"/>
        </w:rPr>
        <w:t xml:space="preserve"> </w:t>
      </w:r>
      <w:r w:rsidRPr="00EE0549">
        <w:rPr>
          <w:color w:val="000000"/>
        </w:rPr>
        <w:t>įtraukti iš 3 fazės klinikinio tyrimo JAVELIN Bladder 100 (</w:t>
      </w:r>
      <w:r w:rsidRPr="00AB0509">
        <w:rPr>
          <w:i/>
          <w:color w:val="000000"/>
        </w:rPr>
        <w:t>ClinicalTrials.gov number, NCT02603432</w:t>
      </w:r>
      <w:r w:rsidRPr="00EE0549">
        <w:rPr>
          <w:color w:val="000000"/>
        </w:rPr>
        <w:t>). Tarnyba vertina, kad šaltinis tinkamas, duomenys patikimi, t.y. tiesioginio palyginimo duomenys, kuriuose stebėtas avelumabo sveikatai sukuriamos naudos pranašumas (</w:t>
      </w:r>
      <w:r w:rsidRPr="00EE0549">
        <w:rPr>
          <w:rFonts w:eastAsia="Arial"/>
        </w:rPr>
        <w:t xml:space="preserve">įrodytas </w:t>
      </w:r>
      <w:r w:rsidRPr="00EE0549">
        <w:t>kliniškai ir statistiškai reikšmingas bendro išgyvenamumo pagerėjimas visiems pacientams, kuriems buvo skirtas avelumabas + BSC, o mirties rizika sumažėjo 31 %, palyginti su pacientais, kuriems buvo paskirtas tik BSC (HR: 0,69; 95% PI: 0,556, 0,863; dvipusis p=0,001). Gydant avelumabu bendras išgyvenamumas pagerėjo vidutiniškai 7,1 mėnesio – vidutinis OS buvo 21,4 mėnesio (95 % PI: 18,9, 26,1) avelumabo + BSC grupėje ir 14,3 mėnesio (95 % PI: 12,9, 17,9) vien tik BSC grupėje. Taip pat tyrime stebėti teigiami IBLP ir KA rezultatai.</w:t>
      </w:r>
    </w:p>
    <w:p w14:paraId="1BE1D27A" w14:textId="77777777" w:rsidR="00DA3AF7" w:rsidRDefault="00DA3AF7" w:rsidP="00DA3AF7">
      <w:pPr>
        <w:shd w:val="clear" w:color="auto" w:fill="FFFFFF"/>
        <w:spacing w:line="276" w:lineRule="auto"/>
        <w:ind w:firstLine="270"/>
        <w:jc w:val="both"/>
      </w:pPr>
      <w:r w:rsidRPr="00EE0549">
        <w:t xml:space="preserve">Pareiškėjas duomenis ekstrapoliuoja viso gyvenimo laiko </w:t>
      </w:r>
      <w:r w:rsidRPr="001120B7">
        <w:t xml:space="preserve">perspektyvoje (25m., </w:t>
      </w:r>
      <w:r w:rsidRPr="001120B7">
        <w:rPr>
          <w:color w:val="000000"/>
        </w:rPr>
        <w:t>vidutinis</w:t>
      </w:r>
      <w:r w:rsidRPr="00F64CCE">
        <w:rPr>
          <w:color w:val="000000"/>
        </w:rPr>
        <w:t xml:space="preserve"> urotelio karcinomos pacientų amžius – </w:t>
      </w:r>
      <w:r w:rsidRPr="00F64CCE">
        <w:rPr>
          <w:lang w:eastAsia="en-GB"/>
        </w:rPr>
        <w:t>67.5 m</w:t>
      </w:r>
      <w:r w:rsidRPr="00F64CCE">
        <w:rPr>
          <w:color w:val="000000"/>
        </w:rPr>
        <w:t>.).</w:t>
      </w:r>
      <w:r>
        <w:rPr>
          <w:color w:val="000000"/>
        </w:rPr>
        <w:t xml:space="preserve"> </w:t>
      </w:r>
      <w:r w:rsidRPr="00EE0549">
        <w:t xml:space="preserve">Tarnyba kreipėsi pakartotinai į Pareiškėją dėl prielaidų taikomų duomenų ekstrapoliacijai po klinikinio tyrimo pabaigos (BI, gydymo trukmės). </w:t>
      </w:r>
      <w:r>
        <w:t xml:space="preserve">Pažymėtina, kad gen gamma parametrinių funkcijų taikymas duomenų ekstrapoliacijai lemia optimistiškiausius BI rezultatus lyginant su kitomis parametrinėmis funkcijomis, tačiau atsižvelgiant į Pareiškėjo pateiktus atsakymų argumentus (dėl log-normal atmetimo, klinikinių ekspertų ir SEER šaltinius), bei atnaujintos </w:t>
      </w:r>
      <w:r w:rsidRPr="00E32F73">
        <w:t>JAVELIN Bladder 100</w:t>
      </w:r>
      <w:r>
        <w:t xml:space="preserve"> klinikinio tyrimo bendrojo išgyvenamumo rezultatus, Tarnyba sutinka, kad gen gamma parametrinis modeliavimas geriausiai atspindi tikėtinus rezultatus. Tarnyba vertina, kad atnaujinti (2021 m.) tiesioginio palyginimo </w:t>
      </w:r>
      <w:r w:rsidRPr="00E32F73">
        <w:t>JAVELIN Bladder 100</w:t>
      </w:r>
      <w:r>
        <w:t xml:space="preserve"> klinikinio tyrimo duomenys koreliuojantys su prognozuojamais (gen gemma parametriniu modeliavimu) duomenimis yra pakankamas šaltinis modeliavimo pagrįstumui.</w:t>
      </w:r>
    </w:p>
    <w:p w14:paraId="41544439" w14:textId="09E5F4D0" w:rsidR="00DA3AF7" w:rsidRPr="00933237" w:rsidRDefault="00DA3AF7" w:rsidP="00DA3AF7">
      <w:pPr>
        <w:shd w:val="clear" w:color="auto" w:fill="FFFFFF"/>
        <w:spacing w:line="276" w:lineRule="auto"/>
        <w:ind w:firstLine="270"/>
        <w:jc w:val="both"/>
      </w:pPr>
      <w:r>
        <w:rPr>
          <w:color w:val="000000"/>
        </w:rPr>
        <w:t xml:space="preserve">Atitinkamai Tarnyba avelumabo gydymo trukmės </w:t>
      </w:r>
      <w:r>
        <w:rPr>
          <w:iCs/>
        </w:rPr>
        <w:t>duomenis modeliuoja</w:t>
      </w:r>
      <w:r w:rsidRPr="00EE0549">
        <w:rPr>
          <w:iCs/>
        </w:rPr>
        <w:t xml:space="preserve"> taikant Gen. Gamma parametrinį modeliavimą</w:t>
      </w:r>
      <w:r>
        <w:rPr>
          <w:iCs/>
        </w:rPr>
        <w:t xml:space="preserve">. </w:t>
      </w:r>
      <w:r w:rsidRPr="00A50EB1">
        <w:t xml:space="preserve">Tarnyba vertina, kad avelumabo optimali gydymo trukmė nėra aiški, kadangi pagal JAVELIN Bladder 100 klinikinio tyrimo duomenis (apie 20 proc.) pacientų </w:t>
      </w:r>
      <w:r w:rsidRPr="00A50EB1">
        <w:lastRenderedPageBreak/>
        <w:t>antraisiais metais tęsia gydymą ir nėra tikėtina, kad atsaką į gydymą gavę pacientai realioje klinikinėje praktikoje nutrauktų gydymą antraisiais metais. Atsižvelgiant į tai, įprastinėje atvejo analizėje taikoma prielaida, kad pacientai gydymą tęsia iki penkerių metų (sutinkant, kad gydymas nėra tikėtinas klinikinėje praktikoje ilgiau nei 5 m. ir neįtr</w:t>
      </w:r>
      <w:r>
        <w:t>aukiant 2 m. gydymo nutraukimo)</w:t>
      </w:r>
      <w:r w:rsidRPr="00A50EB1">
        <w:t xml:space="preserve"> </w:t>
      </w:r>
      <w:r w:rsidRPr="00EE0549">
        <w:rPr>
          <w:iCs/>
        </w:rPr>
        <w:t>(plačiau aprašyta prielaidų dalyje)</w:t>
      </w:r>
      <w:r>
        <w:t xml:space="preserve">. </w:t>
      </w:r>
      <w:r w:rsidRPr="001120B7">
        <w:rPr>
          <w:iCs/>
        </w:rPr>
        <w:t xml:space="preserve">Tarnyba atkreipia dėmesį, kad reikšmingos įtakos galutiniam analizės rezultatui (ICER) turi </w:t>
      </w:r>
      <w:r w:rsidR="00382DBF">
        <w:rPr>
          <w:iCs/>
        </w:rPr>
        <w:t xml:space="preserve">tam tikros </w:t>
      </w:r>
      <w:r w:rsidRPr="001120B7">
        <w:rPr>
          <w:iCs/>
        </w:rPr>
        <w:t>prielaidos</w:t>
      </w:r>
      <w:r w:rsidR="00382DBF">
        <w:rPr>
          <w:iCs/>
        </w:rPr>
        <w:t>, kurias</w:t>
      </w:r>
      <w:r w:rsidRPr="001120B7">
        <w:rPr>
          <w:iCs/>
        </w:rPr>
        <w:t xml:space="preserve"> taik</w:t>
      </w:r>
      <w:r w:rsidR="00382DBF">
        <w:rPr>
          <w:iCs/>
        </w:rPr>
        <w:t xml:space="preserve">ant, </w:t>
      </w:r>
      <w:r>
        <w:rPr>
          <w:color w:val="000000"/>
        </w:rPr>
        <w:t>skir</w:t>
      </w:r>
      <w:r w:rsidR="00382DBF">
        <w:rPr>
          <w:color w:val="000000"/>
        </w:rPr>
        <w:t>iasi</w:t>
      </w:r>
      <w:r>
        <w:rPr>
          <w:iCs/>
        </w:rPr>
        <w:t xml:space="preserve"> </w:t>
      </w:r>
      <w:r w:rsidRPr="00EE0549">
        <w:rPr>
          <w:color w:val="000000"/>
        </w:rPr>
        <w:t>Pareiškėjo bei Tarnybos apskaičiuot</w:t>
      </w:r>
      <w:r w:rsidR="00382DBF">
        <w:rPr>
          <w:color w:val="000000"/>
        </w:rPr>
        <w:t>i</w:t>
      </w:r>
      <w:r w:rsidRPr="00EE0549">
        <w:rPr>
          <w:color w:val="000000"/>
        </w:rPr>
        <w:t xml:space="preserve"> įprastinės kaštų analizės rezultat</w:t>
      </w:r>
      <w:r w:rsidR="00382DBF">
        <w:rPr>
          <w:color w:val="000000"/>
        </w:rPr>
        <w:t>ai</w:t>
      </w:r>
      <w:r>
        <w:rPr>
          <w:color w:val="000000"/>
        </w:rPr>
        <w:t>.</w:t>
      </w:r>
      <w:r w:rsidRPr="00EE0549">
        <w:rPr>
          <w:color w:val="000000"/>
        </w:rPr>
        <w:t xml:space="preserve"> </w:t>
      </w:r>
      <w:r w:rsidRPr="00EE0549">
        <w:t>Tarnybos apskaičiuotais įprastinės atvejo analizės duomenimis, avelumabą (</w:t>
      </w:r>
      <w:r w:rsidRPr="00EE0549">
        <w:rPr>
          <w:color w:val="000000"/>
        </w:rPr>
        <w:t xml:space="preserve">Bavencio) monoterapija skiriant lokaliai progresavusia arba metastazavusia urotelio karcinoma UK (mUK) sergantiems suaugusiems pacientams, kuriems nenustatyta progresavimo po chemoterapijos, kurios pagrindas platina, pirmaeiliam palaikomajam gydymui </w:t>
      </w:r>
      <w:r w:rsidRPr="00EE0549">
        <w:t xml:space="preserve">viso gyvenimo laiko perspektyvoje (25 m.) yra papildomai laimima </w:t>
      </w:r>
      <w:r w:rsidR="00382DBF" w:rsidRPr="00382DBF">
        <w:rPr>
          <w:highlight w:val="red"/>
        </w:rPr>
        <w:t>***</w:t>
      </w:r>
      <w:r w:rsidRPr="00EE0549">
        <w:t xml:space="preserve"> QALY lyginant su geriausiu palaikomuoju gydymu (laukimo taktika), o gydymo Bavencio kaštai yra </w:t>
      </w:r>
      <w:r w:rsidR="00CF144D" w:rsidRPr="00CF144D">
        <w:rPr>
          <w:color w:val="000000"/>
          <w:highlight w:val="red"/>
        </w:rPr>
        <w:t>***</w:t>
      </w:r>
      <w:r w:rsidRPr="00EE0549">
        <w:rPr>
          <w:color w:val="000000"/>
        </w:rPr>
        <w:t xml:space="preserve"> Eur. didesni </w:t>
      </w:r>
      <w:r w:rsidRPr="00EE0549">
        <w:t xml:space="preserve">nei standartinio šiuo metu Lietuvoje taikomo gydymo (laukimo taktika). Apskaičiuotas ICER koeficientas -  </w:t>
      </w:r>
      <w:r w:rsidR="00CF144D" w:rsidRPr="00CF144D">
        <w:rPr>
          <w:color w:val="000000"/>
          <w:highlight w:val="red"/>
        </w:rPr>
        <w:t>***</w:t>
      </w:r>
      <w:r w:rsidRPr="00EE0549">
        <w:rPr>
          <w:color w:val="000000"/>
        </w:rPr>
        <w:t xml:space="preserve"> Eur./QALY ir neatitinka sunkiai ligos naštai taikomos referencinės kaštų naudingumo vertės (100 020 Eur./QALY).</w:t>
      </w:r>
    </w:p>
    <w:p w14:paraId="58CA177F" w14:textId="77777777" w:rsidR="00DA3AF7" w:rsidRDefault="00DA3AF7" w:rsidP="00DA3AF7">
      <w:pPr>
        <w:shd w:val="clear" w:color="auto" w:fill="FFFFFF"/>
        <w:spacing w:line="276" w:lineRule="auto"/>
        <w:rPr>
          <w:rFonts w:eastAsia="Arial"/>
          <w:b/>
        </w:rPr>
      </w:pPr>
    </w:p>
    <w:p w14:paraId="5BF44657" w14:textId="77777777" w:rsidR="00DA3AF7" w:rsidRDefault="00DA3AF7" w:rsidP="00DA3AF7">
      <w:pPr>
        <w:tabs>
          <w:tab w:val="left" w:pos="567"/>
        </w:tabs>
        <w:jc w:val="both"/>
        <w:rPr>
          <w:b/>
          <w:i/>
          <w:iCs/>
          <w:color w:val="00B050"/>
          <w:lang w:eastAsia="lt-LT"/>
        </w:rPr>
      </w:pPr>
      <w:r w:rsidRPr="00783917">
        <w:rPr>
          <w:b/>
          <w:lang w:eastAsia="lt-LT"/>
        </w:rPr>
        <w:t>Pagrindinis ekonominės analizės rezultatas</w:t>
      </w:r>
    </w:p>
    <w:p w14:paraId="453B6454" w14:textId="77777777" w:rsidR="00DA3AF7" w:rsidRDefault="00DA3AF7" w:rsidP="00DA3AF7">
      <w:pPr>
        <w:shd w:val="clear" w:color="auto" w:fill="FFFFFF"/>
        <w:spacing w:line="276" w:lineRule="auto"/>
        <w:rPr>
          <w:rFonts w:eastAsia="Arial"/>
          <w:b/>
        </w:rPr>
      </w:pPr>
    </w:p>
    <w:p w14:paraId="1284B380" w14:textId="77777777" w:rsidR="00DA3AF7" w:rsidRPr="001F2D7B" w:rsidRDefault="00DA3AF7" w:rsidP="00DA3AF7">
      <w:pPr>
        <w:pStyle w:val="ListParagraph"/>
        <w:spacing w:line="276" w:lineRule="auto"/>
        <w:ind w:left="0"/>
        <w:contextualSpacing w:val="0"/>
        <w:rPr>
          <w:lang w:eastAsia="lt-LT"/>
        </w:rPr>
      </w:pPr>
      <w:r w:rsidRPr="00B35A46">
        <w:rPr>
          <w:iCs/>
          <w:lang w:eastAsia="lt-LT"/>
        </w:rPr>
        <w:t>Pagrindinis</w:t>
      </w:r>
      <w:r w:rsidRPr="007E5663">
        <w:rPr>
          <w:lang w:eastAsia="lt-LT"/>
        </w:rPr>
        <w:t xml:space="preserve"> ekonominės analizės rezultatas </w:t>
      </w:r>
      <w:r>
        <w:rPr>
          <w:lang w:eastAsia="lt-LT"/>
        </w:rPr>
        <w:t xml:space="preserve">avelumabą lyginant </w:t>
      </w:r>
      <w:r w:rsidRPr="00EE0549">
        <w:rPr>
          <w:rFonts w:eastAsia="Arial"/>
        </w:rPr>
        <w:t>geriausiu palaikomuoju gydymu (laukimo taktika)</w:t>
      </w:r>
      <w:r>
        <w:rPr>
          <w:lang w:eastAsia="lt-LT"/>
        </w:rPr>
        <w:t xml:space="preserve"> </w:t>
      </w:r>
    </w:p>
    <w:p w14:paraId="07E6E5D5" w14:textId="77777777" w:rsidR="00DA3AF7" w:rsidRPr="007E5663" w:rsidRDefault="00DA3AF7" w:rsidP="00DA3AF7">
      <w:pPr>
        <w:tabs>
          <w:tab w:val="left" w:pos="426"/>
        </w:tabs>
        <w:rPr>
          <w:lang w:eastAsia="lt-LT"/>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80"/>
        <w:gridCol w:w="5346"/>
      </w:tblGrid>
      <w:tr w:rsidR="00DA3AF7" w:rsidRPr="00DA3AF7" w14:paraId="211AABC2" w14:textId="77777777" w:rsidTr="00DA3AF7">
        <w:tc>
          <w:tcPr>
            <w:tcW w:w="9326" w:type="dxa"/>
            <w:gridSpan w:val="2"/>
            <w:tcBorders>
              <w:top w:val="single" w:sz="12" w:space="0" w:color="auto"/>
            </w:tcBorders>
          </w:tcPr>
          <w:p w14:paraId="400BD5ED" w14:textId="77777777" w:rsidR="00DA3AF7" w:rsidRPr="00DA3AF7" w:rsidRDefault="00DA3AF7" w:rsidP="00F2284A">
            <w:pPr>
              <w:tabs>
                <w:tab w:val="left" w:pos="567"/>
              </w:tabs>
              <w:jc w:val="center"/>
              <w:rPr>
                <w:b/>
                <w:bCs/>
                <w:sz w:val="24"/>
                <w:szCs w:val="24"/>
              </w:rPr>
            </w:pPr>
            <w:r w:rsidRPr="00DA3AF7">
              <w:rPr>
                <w:b/>
                <w:bCs/>
                <w:sz w:val="24"/>
                <w:szCs w:val="24"/>
              </w:rPr>
              <w:t>Rezultatai</w:t>
            </w:r>
          </w:p>
        </w:tc>
      </w:tr>
      <w:tr w:rsidR="00DA3AF7" w:rsidRPr="00DA3AF7" w14:paraId="345E4261" w14:textId="77777777" w:rsidTr="00DA3AF7">
        <w:tc>
          <w:tcPr>
            <w:tcW w:w="3980" w:type="dxa"/>
          </w:tcPr>
          <w:p w14:paraId="173BEFF8" w14:textId="77777777" w:rsidR="00DA3AF7" w:rsidRPr="00DA3AF7" w:rsidRDefault="00DA3AF7" w:rsidP="00DA3AF7">
            <w:pPr>
              <w:tabs>
                <w:tab w:val="left" w:pos="567"/>
              </w:tabs>
              <w:jc w:val="right"/>
              <w:rPr>
                <w:iCs/>
                <w:sz w:val="24"/>
                <w:szCs w:val="24"/>
              </w:rPr>
            </w:pPr>
            <w:r w:rsidRPr="00DA3AF7">
              <w:rPr>
                <w:iCs/>
                <w:sz w:val="24"/>
                <w:szCs w:val="24"/>
              </w:rPr>
              <w:t>ICER už LY</w:t>
            </w:r>
          </w:p>
        </w:tc>
        <w:tc>
          <w:tcPr>
            <w:tcW w:w="5346" w:type="dxa"/>
          </w:tcPr>
          <w:p w14:paraId="7171C34D" w14:textId="77777777" w:rsidR="00DA3AF7" w:rsidRPr="00DA3AF7" w:rsidRDefault="00CF144D" w:rsidP="00DA3AF7">
            <w:pPr>
              <w:jc w:val="both"/>
              <w:rPr>
                <w:color w:val="000000"/>
                <w:sz w:val="24"/>
                <w:szCs w:val="24"/>
              </w:rPr>
            </w:pPr>
            <w:r w:rsidRPr="00CF144D">
              <w:rPr>
                <w:color w:val="000000"/>
                <w:sz w:val="24"/>
                <w:szCs w:val="24"/>
                <w:highlight w:val="red"/>
                <w:lang w:val="en-US"/>
              </w:rPr>
              <w:t>***</w:t>
            </w:r>
            <w:r w:rsidR="00DA3AF7" w:rsidRPr="00DA3AF7">
              <w:rPr>
                <w:color w:val="000000"/>
                <w:sz w:val="24"/>
                <w:szCs w:val="24"/>
              </w:rPr>
              <w:t xml:space="preserve"> Eur.</w:t>
            </w:r>
          </w:p>
        </w:tc>
      </w:tr>
      <w:tr w:rsidR="00DA3AF7" w:rsidRPr="00DA3AF7" w14:paraId="00828625" w14:textId="77777777" w:rsidTr="00DA3AF7">
        <w:tc>
          <w:tcPr>
            <w:tcW w:w="3980" w:type="dxa"/>
          </w:tcPr>
          <w:p w14:paraId="1F25622D" w14:textId="77777777" w:rsidR="00DA3AF7" w:rsidRPr="00DA3AF7" w:rsidRDefault="00DA3AF7" w:rsidP="00DA3AF7">
            <w:pPr>
              <w:tabs>
                <w:tab w:val="left" w:pos="567"/>
              </w:tabs>
              <w:jc w:val="right"/>
              <w:rPr>
                <w:b/>
                <w:iCs/>
                <w:sz w:val="24"/>
                <w:szCs w:val="24"/>
              </w:rPr>
            </w:pPr>
            <w:r w:rsidRPr="00DA3AF7">
              <w:rPr>
                <w:b/>
                <w:iCs/>
                <w:sz w:val="24"/>
                <w:szCs w:val="24"/>
              </w:rPr>
              <w:t>ICER už QALY</w:t>
            </w:r>
          </w:p>
        </w:tc>
        <w:tc>
          <w:tcPr>
            <w:tcW w:w="5346" w:type="dxa"/>
          </w:tcPr>
          <w:p w14:paraId="78341124" w14:textId="77777777" w:rsidR="00DA3AF7" w:rsidRPr="00DA3AF7" w:rsidRDefault="00CF144D" w:rsidP="00DA3AF7">
            <w:pPr>
              <w:tabs>
                <w:tab w:val="left" w:pos="567"/>
              </w:tabs>
              <w:jc w:val="both"/>
              <w:rPr>
                <w:b/>
                <w:i/>
                <w:iCs/>
                <w:sz w:val="24"/>
                <w:szCs w:val="24"/>
              </w:rPr>
            </w:pPr>
            <w:r w:rsidRPr="00CF144D">
              <w:rPr>
                <w:b/>
                <w:color w:val="000000"/>
                <w:sz w:val="24"/>
                <w:szCs w:val="24"/>
                <w:highlight w:val="red"/>
              </w:rPr>
              <w:t>***</w:t>
            </w:r>
            <w:r w:rsidR="00DA3AF7" w:rsidRPr="00DA3AF7">
              <w:rPr>
                <w:b/>
                <w:color w:val="000000"/>
                <w:sz w:val="24"/>
                <w:szCs w:val="24"/>
              </w:rPr>
              <w:t xml:space="preserve"> Eur.</w:t>
            </w:r>
          </w:p>
        </w:tc>
      </w:tr>
      <w:tr w:rsidR="00DA3AF7" w:rsidRPr="00DA3AF7" w14:paraId="24560B8D" w14:textId="77777777" w:rsidTr="00DA3AF7">
        <w:tc>
          <w:tcPr>
            <w:tcW w:w="3980" w:type="dxa"/>
          </w:tcPr>
          <w:p w14:paraId="2A60FADB" w14:textId="77777777" w:rsidR="00DA3AF7" w:rsidRPr="00DA3AF7" w:rsidRDefault="00DA3AF7" w:rsidP="00DA3AF7">
            <w:pPr>
              <w:tabs>
                <w:tab w:val="left" w:pos="567"/>
              </w:tabs>
              <w:jc w:val="right"/>
              <w:rPr>
                <w:iCs/>
                <w:sz w:val="24"/>
                <w:szCs w:val="24"/>
              </w:rPr>
            </w:pPr>
            <w:r w:rsidRPr="00DA3AF7">
              <w:rPr>
                <w:iCs/>
                <w:sz w:val="24"/>
                <w:szCs w:val="24"/>
              </w:rPr>
              <w:t>Referentinė kaštų naudingumo vertė</w:t>
            </w:r>
          </w:p>
        </w:tc>
        <w:tc>
          <w:tcPr>
            <w:tcW w:w="5346" w:type="dxa"/>
          </w:tcPr>
          <w:p w14:paraId="65846CFD" w14:textId="77777777" w:rsidR="00DA3AF7" w:rsidRPr="00DA3AF7" w:rsidRDefault="00DA3AF7" w:rsidP="00DA3AF7">
            <w:pPr>
              <w:tabs>
                <w:tab w:val="left" w:pos="567"/>
              </w:tabs>
              <w:jc w:val="both"/>
              <w:rPr>
                <w:i/>
                <w:iCs/>
                <w:sz w:val="24"/>
                <w:szCs w:val="24"/>
                <w:u w:val="single"/>
                <w:lang w:val="en-US"/>
              </w:rPr>
            </w:pPr>
            <w:r w:rsidRPr="00DA3AF7">
              <w:rPr>
                <w:i/>
                <w:iCs/>
                <w:sz w:val="24"/>
                <w:szCs w:val="24"/>
                <w:u w:val="single"/>
                <w:lang w:val="en-US"/>
              </w:rPr>
              <w:t>100 020 Eur.</w:t>
            </w:r>
          </w:p>
        </w:tc>
      </w:tr>
    </w:tbl>
    <w:p w14:paraId="1405F618" w14:textId="77777777" w:rsidR="00DA3AF7" w:rsidRDefault="00DA3AF7" w:rsidP="00DA3AF7">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43BEB057" w14:textId="77777777" w:rsidR="00310CD1" w:rsidRPr="00DA3AF7" w:rsidRDefault="00DA3AF7" w:rsidP="00DA3AF7">
      <w:pPr>
        <w:tabs>
          <w:tab w:val="left" w:pos="567"/>
        </w:tabs>
        <w:jc w:val="both"/>
        <w:rPr>
          <w:sz w:val="20"/>
        </w:rPr>
      </w:pPr>
      <w:r w:rsidRPr="000D2079">
        <w:rPr>
          <w:sz w:val="20"/>
        </w:rPr>
        <w:t>*Referencinės kaštų n</w:t>
      </w:r>
      <w:r>
        <w:rPr>
          <w:sz w:val="20"/>
        </w:rPr>
        <w:t>audingumo vertės slenkstis: lengva</w:t>
      </w:r>
      <w:r w:rsidRPr="000D2079">
        <w:rPr>
          <w:sz w:val="20"/>
        </w:rPr>
        <w:t xml:space="preserve"> ligos našta, </w:t>
      </w:r>
      <w:r>
        <w:rPr>
          <w:sz w:val="20"/>
          <w:lang w:val="en-US"/>
        </w:rPr>
        <w:t>5</w:t>
      </w:r>
      <w:r w:rsidRPr="000D2079">
        <w:rPr>
          <w:sz w:val="20"/>
          <w:lang w:val="en-US"/>
        </w:rPr>
        <w:t xml:space="preserve"> </w:t>
      </w:r>
      <w:r w:rsidRPr="007E5663">
        <w:rPr>
          <w:sz w:val="20"/>
          <w:lang w:val="en-US"/>
        </w:rPr>
        <w:t>BVP (</w:t>
      </w:r>
      <w:r>
        <w:rPr>
          <w:sz w:val="20"/>
        </w:rPr>
        <w:t>100020 Eur. pagal 2021 m. statistikos duomenis).</w:t>
      </w:r>
    </w:p>
    <w:p w14:paraId="057FC73C" w14:textId="77777777" w:rsidR="00310CD1" w:rsidRDefault="00310CD1" w:rsidP="00310CD1">
      <w:pPr>
        <w:tabs>
          <w:tab w:val="left" w:pos="426"/>
        </w:tabs>
        <w:rPr>
          <w:b/>
          <w:bCs/>
          <w:caps/>
        </w:rPr>
      </w:pPr>
    </w:p>
    <w:p w14:paraId="120B032B" w14:textId="77777777" w:rsidR="00DA3AF7" w:rsidRPr="001120B7" w:rsidRDefault="00DA3AF7" w:rsidP="00DA3AF7">
      <w:pPr>
        <w:spacing w:line="276" w:lineRule="auto"/>
        <w:ind w:firstLine="270"/>
        <w:jc w:val="both"/>
        <w:rPr>
          <w:iCs/>
          <w:lang w:val="en-US"/>
        </w:rPr>
      </w:pPr>
      <w:r w:rsidRPr="00DA3AF7">
        <w:rPr>
          <w:rFonts w:eastAsia="Arial"/>
        </w:rPr>
        <w:t xml:space="preserve">Apibendrinant, Tarnyba vertina, kad ekonominės analizės modelis tvarus, klinikiai duomenys patikimi, tačiau avelumabas nėra efektyvus kaštų prasme, todėl Tarnyba vadovaujantis Tvarkos aprašo </w:t>
      </w:r>
      <w:r w:rsidRPr="00DA3AF7">
        <w:t xml:space="preserve">35 punktu, rekomenduoja kompensuoti avelumabą (Bavencio) </w:t>
      </w:r>
      <w:r w:rsidRPr="00DA3AF7">
        <w:rPr>
          <w:color w:val="000000"/>
        </w:rPr>
        <w:t>monoterapija skiria</w:t>
      </w:r>
      <w:r w:rsidR="008D68AB">
        <w:rPr>
          <w:color w:val="000000"/>
        </w:rPr>
        <w:t xml:space="preserve">nt lokaliai progresavusia arba </w:t>
      </w:r>
      <w:r w:rsidRPr="00DA3AF7">
        <w:rPr>
          <w:color w:val="000000"/>
        </w:rPr>
        <w:t xml:space="preserve">metastazavusia urotelio karcinoma UK (mUK) sergantiems suaugusiems pacientams, kuriems nenustatyta progresavimo po chemoterapijos, kurios pagrindas platina, pirmaeiliam palaikomajam gydymui, </w:t>
      </w:r>
      <w:r w:rsidRPr="00DA3AF7">
        <w:t xml:space="preserve"> su sąlyga, jog avelumabo faktinė bazinė kaina bus tokia, kurią pritaikius modelyje apskaičiuotas ICER atitiks sunkiai ligos naštai taikomą referencinę kaštų naudingumo vertę (</w:t>
      </w:r>
      <w:r w:rsidRPr="00DA3AF7">
        <w:rPr>
          <w:iCs/>
          <w:lang w:val="en-US"/>
        </w:rPr>
        <w:t>100 020 Eur.).</w:t>
      </w:r>
    </w:p>
    <w:p w14:paraId="4B854F34" w14:textId="77777777" w:rsidR="00DA3AF7" w:rsidRDefault="00DA3AF7" w:rsidP="00310CD1">
      <w:pPr>
        <w:tabs>
          <w:tab w:val="left" w:pos="426"/>
        </w:tabs>
        <w:rPr>
          <w:b/>
          <w:bCs/>
          <w:caps/>
        </w:rPr>
      </w:pPr>
    </w:p>
    <w:p w14:paraId="543C5BC6" w14:textId="77777777" w:rsidR="00310CD1" w:rsidRPr="00797153" w:rsidRDefault="00310CD1" w:rsidP="00310CD1">
      <w:pPr>
        <w:pStyle w:val="ListParagraph"/>
        <w:numPr>
          <w:ilvl w:val="0"/>
          <w:numId w:val="1"/>
        </w:numPr>
        <w:tabs>
          <w:tab w:val="left" w:pos="284"/>
        </w:tabs>
        <w:rPr>
          <w:b/>
          <w:bCs/>
          <w:caps/>
        </w:rPr>
      </w:pPr>
      <w:r w:rsidRPr="00797153">
        <w:rPr>
          <w:b/>
          <w:bCs/>
          <w:caps/>
        </w:rPr>
        <w:t xml:space="preserve">Pacientų organizacijų pateikti duomenys </w:t>
      </w:r>
    </w:p>
    <w:p w14:paraId="2A99ABA0" w14:textId="77777777" w:rsidR="00310CD1" w:rsidRPr="00797153" w:rsidRDefault="00000000" w:rsidP="00310CD1">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310CD1" w:rsidRPr="00797153">
            <w:rPr>
              <w:rStyle w:val="Style2"/>
              <w:rFonts w:ascii="MS Gothic" w:eastAsia="MS Gothic" w:hAnsi="MS Gothic" w:hint="eastAsia"/>
            </w:rPr>
            <w:t>☐</w:t>
          </w:r>
        </w:sdtContent>
      </w:sdt>
      <w:r w:rsidR="00310CD1" w:rsidRPr="00797153">
        <w:t xml:space="preserve"> Pacientų organizacijos pozicija pateikta. Žr. priedą.</w:t>
      </w:r>
    </w:p>
    <w:p w14:paraId="6459D3CB" w14:textId="77777777" w:rsidR="00310CD1" w:rsidRPr="00797153" w:rsidRDefault="00000000" w:rsidP="00310CD1">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310CD1">
            <w:rPr>
              <w:rStyle w:val="Style2"/>
              <w:rFonts w:ascii="MS Gothic" w:eastAsia="MS Gothic" w:hAnsi="MS Gothic" w:hint="eastAsia"/>
            </w:rPr>
            <w:t>☒</w:t>
          </w:r>
        </w:sdtContent>
      </w:sdt>
      <w:r w:rsidR="00310CD1" w:rsidRPr="00797153">
        <w:t xml:space="preserve"> Pacientų organizacijos pozicija </w:t>
      </w:r>
      <w:r w:rsidR="00310CD1">
        <w:t>ne</w:t>
      </w:r>
      <w:r w:rsidR="00310CD1" w:rsidRPr="00797153">
        <w:t>pateikta.</w:t>
      </w:r>
    </w:p>
    <w:p w14:paraId="651EF533" w14:textId="77777777" w:rsidR="00310CD1" w:rsidRPr="00797153" w:rsidRDefault="00310CD1" w:rsidP="00310CD1">
      <w:pPr>
        <w:pStyle w:val="ListParagraph"/>
        <w:numPr>
          <w:ilvl w:val="0"/>
          <w:numId w:val="1"/>
        </w:numPr>
        <w:tabs>
          <w:tab w:val="left" w:pos="426"/>
        </w:tabs>
        <w:rPr>
          <w:b/>
          <w:bCs/>
          <w:caps/>
        </w:rPr>
      </w:pPr>
      <w:r w:rsidRPr="00797153">
        <w:rPr>
          <w:b/>
          <w:bCs/>
          <w:caps/>
        </w:rPr>
        <w:t>Gydytojų organizacijų pateikti duomenys</w:t>
      </w:r>
    </w:p>
    <w:p w14:paraId="6FB1994A" w14:textId="77777777" w:rsidR="00310CD1" w:rsidRPr="00797153" w:rsidRDefault="00000000" w:rsidP="00310CD1">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FB100C">
            <w:rPr>
              <w:rStyle w:val="Style2"/>
              <w:rFonts w:ascii="MS Gothic" w:eastAsia="MS Gothic" w:hAnsi="MS Gothic" w:hint="eastAsia"/>
            </w:rPr>
            <w:t>☒</w:t>
          </w:r>
        </w:sdtContent>
      </w:sdt>
      <w:r w:rsidR="00310CD1" w:rsidRPr="00797153">
        <w:t xml:space="preserve"> Gydytojų specialistų o</w:t>
      </w:r>
      <w:r w:rsidR="00310CD1">
        <w:t>rganizacijos pozicija pateikta.</w:t>
      </w:r>
    </w:p>
    <w:p w14:paraId="0B529E14" w14:textId="77777777" w:rsidR="00310CD1" w:rsidRPr="006E501F" w:rsidRDefault="00000000" w:rsidP="00310CD1">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FB100C">
            <w:rPr>
              <w:rStyle w:val="Style2"/>
              <w:rFonts w:ascii="MS Gothic" w:eastAsia="MS Gothic" w:hAnsi="MS Gothic" w:hint="eastAsia"/>
            </w:rPr>
            <w:t>☐</w:t>
          </w:r>
        </w:sdtContent>
      </w:sdt>
      <w:r w:rsidR="00310CD1" w:rsidRPr="00797153">
        <w:t xml:space="preserve"> Gydytojų specialistų organizacijos pozicija </w:t>
      </w:r>
      <w:r w:rsidR="00310CD1">
        <w:t>ne</w:t>
      </w:r>
      <w:r w:rsidR="00310CD1" w:rsidRPr="00797153">
        <w:t>pateikta.</w:t>
      </w:r>
    </w:p>
    <w:p w14:paraId="7B8711D8" w14:textId="77777777" w:rsidR="00310CD1" w:rsidRDefault="00310CD1" w:rsidP="00310CD1">
      <w:pPr>
        <w:pStyle w:val="ListParagraph"/>
        <w:numPr>
          <w:ilvl w:val="0"/>
          <w:numId w:val="1"/>
        </w:numPr>
        <w:tabs>
          <w:tab w:val="left" w:pos="426"/>
        </w:tabs>
        <w:rPr>
          <w:b/>
          <w:bCs/>
          <w:caps/>
        </w:rPr>
      </w:pPr>
      <w:r w:rsidRPr="00B4017A">
        <w:rPr>
          <w:b/>
          <w:bCs/>
          <w:caps/>
        </w:rPr>
        <w:lastRenderedPageBreak/>
        <w:t xml:space="preserve">Išvada </w:t>
      </w:r>
    </w:p>
    <w:p w14:paraId="07C48E99" w14:textId="77777777" w:rsidR="00310CD1" w:rsidRPr="00797153" w:rsidRDefault="00310CD1" w:rsidP="00310CD1">
      <w:pPr>
        <w:tabs>
          <w:tab w:val="left" w:pos="426"/>
        </w:tabs>
        <w:rPr>
          <w:b/>
          <w:bCs/>
          <w:caps/>
        </w:rPr>
      </w:pPr>
    </w:p>
    <w:tbl>
      <w:tblPr>
        <w:tblStyle w:val="TableGrid"/>
        <w:tblW w:w="0" w:type="auto"/>
        <w:tblLook w:val="04A0" w:firstRow="1" w:lastRow="0" w:firstColumn="1" w:lastColumn="0" w:noHBand="0" w:noVBand="1"/>
      </w:tblPr>
      <w:tblGrid>
        <w:gridCol w:w="4673"/>
        <w:gridCol w:w="4673"/>
      </w:tblGrid>
      <w:tr w:rsidR="00310CD1" w:rsidRPr="00FB100C" w14:paraId="161361A7" w14:textId="77777777" w:rsidTr="00FD2DDF">
        <w:tc>
          <w:tcPr>
            <w:tcW w:w="4981" w:type="dxa"/>
          </w:tcPr>
          <w:p w14:paraId="1A9F3244"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szCs w:val="24"/>
              </w:rPr>
            </w:pPr>
            <w:r w:rsidRPr="00FB100C">
              <w:rPr>
                <w:rStyle w:val="Style2"/>
                <w:rFonts w:eastAsia="MS Gothic"/>
                <w:b/>
                <w:bCs/>
                <w:sz w:val="24"/>
                <w:szCs w:val="24"/>
              </w:rPr>
              <w:t>Rekomenduojama kompensuoti</w:t>
            </w:r>
          </w:p>
        </w:tc>
        <w:tc>
          <w:tcPr>
            <w:tcW w:w="4981" w:type="dxa"/>
          </w:tcPr>
          <w:p w14:paraId="68581465"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szCs w:val="24"/>
              </w:rPr>
            </w:pPr>
            <w:r w:rsidRPr="00FB100C">
              <w:rPr>
                <w:rStyle w:val="Style2"/>
                <w:rFonts w:eastAsia="MS Gothic"/>
                <w:b/>
                <w:bCs/>
                <w:sz w:val="24"/>
                <w:szCs w:val="24"/>
              </w:rPr>
              <w:t xml:space="preserve">Rekomenduojama nekompensuoti </w:t>
            </w:r>
          </w:p>
        </w:tc>
      </w:tr>
      <w:tr w:rsidR="00310CD1" w:rsidRPr="00FB100C" w14:paraId="10D237E2" w14:textId="77777777" w:rsidTr="00FD2DDF">
        <w:tc>
          <w:tcPr>
            <w:tcW w:w="9962" w:type="dxa"/>
            <w:gridSpan w:val="2"/>
          </w:tcPr>
          <w:p w14:paraId="0095F9EC"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B100C">
              <w:rPr>
                <w:rStyle w:val="Style2"/>
                <w:rFonts w:eastAsia="MS Gothic"/>
                <w:b/>
                <w:bCs/>
                <w:sz w:val="24"/>
                <w:szCs w:val="24"/>
              </w:rPr>
              <w:t>Palyginamasis efektyvumas</w:t>
            </w:r>
          </w:p>
          <w:p w14:paraId="14A17355"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310CD1" w:rsidRPr="00FB100C" w14:paraId="1680DF98" w14:textId="77777777" w:rsidTr="00FD2DDF">
        <w:tc>
          <w:tcPr>
            <w:tcW w:w="4981" w:type="dxa"/>
          </w:tcPr>
          <w:p w14:paraId="6BB69A53"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1"/>
                  <w14:checkedState w14:val="2612" w14:font="MS Gothic"/>
                  <w14:uncheckedState w14:val="2610" w14:font="MS Gothic"/>
                </w14:checkbox>
              </w:sdtPr>
              <w:sdtContent>
                <w:r w:rsidR="0020350A" w:rsidRPr="00FB100C">
                  <w:rPr>
                    <w:rStyle w:val="Style2"/>
                    <w:rFonts w:ascii="Segoe UI Symbol" w:eastAsia="MS Gothic" w:hAnsi="Segoe UI Symbol" w:cs="Segoe UI Symbol"/>
                    <w:sz w:val="24"/>
                    <w:szCs w:val="24"/>
                  </w:rPr>
                  <w:t>☒</w:t>
                </w:r>
              </w:sdtContent>
            </w:sdt>
            <w:r w:rsidR="00310CD1" w:rsidRPr="00FB100C">
              <w:rPr>
                <w:sz w:val="24"/>
                <w:szCs w:val="24"/>
              </w:rPr>
              <w:t xml:space="preserve"> 32.1. yra didesnis</w:t>
            </w:r>
          </w:p>
          <w:p w14:paraId="574B53B4"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FD7180C"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0"/>
                  <w14:checkedState w14:val="2612" w14:font="MS Gothic"/>
                  <w14:uncheckedState w14:val="2610" w14:font="MS Gothic"/>
                </w14:checkbox>
              </w:sdtPr>
              <w:sdtContent>
                <w:r w:rsidR="0020350A" w:rsidRPr="00FB100C">
                  <w:rPr>
                    <w:rStyle w:val="Style2"/>
                    <w:rFonts w:ascii="Segoe UI Symbol" w:eastAsia="MS Gothic" w:hAnsi="Segoe UI Symbol" w:cs="Segoe UI Symbol"/>
                    <w:sz w:val="24"/>
                    <w:szCs w:val="24"/>
                  </w:rPr>
                  <w:t>☐</w:t>
                </w:r>
              </w:sdtContent>
            </w:sdt>
            <w:r w:rsidR="00310CD1" w:rsidRPr="00FB100C">
              <w:rPr>
                <w:sz w:val="24"/>
                <w:szCs w:val="24"/>
              </w:rPr>
              <w:t xml:space="preserve"> 32.1. iš esmės nesiskiria</w:t>
            </w:r>
          </w:p>
        </w:tc>
        <w:tc>
          <w:tcPr>
            <w:tcW w:w="4981" w:type="dxa"/>
          </w:tcPr>
          <w:p w14:paraId="79C287A1"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yra mažesnis</w:t>
            </w:r>
          </w:p>
          <w:p w14:paraId="36DA34AF"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C23E787"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yra neįrodytas kaip toks pat</w:t>
            </w:r>
          </w:p>
          <w:p w14:paraId="38760A99"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381606F"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neįrodytas kaip didesnis</w:t>
            </w:r>
          </w:p>
          <w:p w14:paraId="355D356D"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3D76BCA"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69842114"/>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pateikti duomenys apie palyginamąjį efektyvumą yra netinkami vertinti</w:t>
            </w:r>
          </w:p>
          <w:p w14:paraId="0A4F1262"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10CD1" w:rsidRPr="00FB100C" w14:paraId="05BD187F" w14:textId="77777777" w:rsidTr="00FD2DDF">
        <w:tc>
          <w:tcPr>
            <w:tcW w:w="9962" w:type="dxa"/>
            <w:gridSpan w:val="2"/>
          </w:tcPr>
          <w:p w14:paraId="690E8137"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B100C">
              <w:rPr>
                <w:rStyle w:val="Style2"/>
                <w:rFonts w:eastAsia="MS Gothic"/>
                <w:b/>
                <w:bCs/>
                <w:sz w:val="24"/>
                <w:szCs w:val="24"/>
              </w:rPr>
              <w:t>Klinikinis veiksmingumas</w:t>
            </w:r>
          </w:p>
          <w:p w14:paraId="6C800141"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310CD1" w:rsidRPr="00FB100C" w14:paraId="2EB87164" w14:textId="77777777" w:rsidTr="00FD2DDF">
        <w:tc>
          <w:tcPr>
            <w:tcW w:w="4981" w:type="dxa"/>
          </w:tcPr>
          <w:p w14:paraId="4261799B"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481080007"/>
                <w15:color w:val="FFCC00"/>
                <w14:checkbox>
                  <w14:checked w14:val="1"/>
                  <w14:checkedState w14:val="2612" w14:font="MS Gothic"/>
                  <w14:uncheckedState w14:val="2610" w14:font="MS Gothic"/>
                </w14:checkbox>
              </w:sdtPr>
              <w:sdtContent>
                <w:r w:rsidR="0020350A" w:rsidRPr="00FB100C">
                  <w:rPr>
                    <w:rStyle w:val="Style2"/>
                    <w:rFonts w:ascii="Segoe UI Symbol" w:eastAsia="MS Gothic" w:hAnsi="Segoe UI Symbol" w:cs="Segoe UI Symbol"/>
                    <w:sz w:val="24"/>
                    <w:szCs w:val="24"/>
                  </w:rPr>
                  <w:t>☒</w:t>
                </w:r>
              </w:sdtContent>
            </w:sdt>
            <w:r w:rsidR="00310CD1" w:rsidRPr="00FB100C">
              <w:rPr>
                <w:sz w:val="24"/>
                <w:szCs w:val="24"/>
              </w:rPr>
              <w:t xml:space="preserve"> 32.2. yra įvertintas kaip pagrindžiantis papildomos naudos pacientų sveikatai sukūrimą, lyginant su įprasta klinikine praktika</w:t>
            </w:r>
          </w:p>
          <w:p w14:paraId="3083155D"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FD75366"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862061586"/>
                <w15:color w:val="FFCC00"/>
                <w14:checkbox>
                  <w14:checked w14:val="0"/>
                  <w14:checkedState w14:val="2612" w14:font="MS Gothic"/>
                  <w14:uncheckedState w14:val="2610" w14:font="MS Gothic"/>
                </w14:checkbox>
              </w:sdtPr>
              <w:sdtContent>
                <w:r w:rsidR="0020350A" w:rsidRPr="00FB100C">
                  <w:rPr>
                    <w:rStyle w:val="Style2"/>
                    <w:rFonts w:ascii="Segoe UI Symbol" w:eastAsia="MS Gothic" w:hAnsi="Segoe UI Symbol" w:cs="Segoe UI Symbol"/>
                    <w:sz w:val="24"/>
                    <w:szCs w:val="24"/>
                  </w:rPr>
                  <w:t>☐</w:t>
                </w:r>
              </w:sdtContent>
            </w:sdt>
            <w:r w:rsidR="00310CD1" w:rsidRPr="00FB100C">
              <w:rPr>
                <w:sz w:val="24"/>
                <w:szCs w:val="24"/>
              </w:rPr>
              <w:t xml:space="preserve"> 32.2. įvertintas kaip pagrindžiantis nesiskiriančios naudos pacientų sveikatai sukūrimą, lyginant su įprasta klinikine praktika</w:t>
            </w:r>
          </w:p>
          <w:p w14:paraId="72A735E3"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4981" w:type="dxa"/>
          </w:tcPr>
          <w:p w14:paraId="13CB2A65" w14:textId="77777777" w:rsidR="00310CD1" w:rsidRPr="00FB100C" w:rsidRDefault="00000000" w:rsidP="00FD2DDF">
            <w:pPr>
              <w:jc w:val="both"/>
              <w:rPr>
                <w:sz w:val="24"/>
                <w:szCs w:val="24"/>
              </w:rPr>
            </w:pPr>
            <w:sdt>
              <w:sdtPr>
                <w:rPr>
                  <w:rStyle w:val="Style2"/>
                  <w:sz w:val="24"/>
                </w:rPr>
                <w:id w:val="-1034573056"/>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yra įvertintas kaip nepagrindžiantis papildomos naudos pacientų sveikatai sukūrimo, lyginant su  įprasta klinikine praktika.</w:t>
            </w:r>
          </w:p>
          <w:p w14:paraId="742631F1" w14:textId="77777777" w:rsidR="00310CD1" w:rsidRPr="00FB100C" w:rsidRDefault="00310CD1" w:rsidP="00FD2DDF">
            <w:pPr>
              <w:jc w:val="both"/>
              <w:rPr>
                <w:sz w:val="24"/>
                <w:szCs w:val="24"/>
              </w:rPr>
            </w:pPr>
          </w:p>
          <w:p w14:paraId="7856CECD" w14:textId="77777777" w:rsidR="00310CD1" w:rsidRPr="00FB100C" w:rsidRDefault="00000000" w:rsidP="00FD2DDF">
            <w:pPr>
              <w:jc w:val="both"/>
              <w:rPr>
                <w:sz w:val="24"/>
                <w:szCs w:val="24"/>
              </w:rPr>
            </w:pPr>
            <w:sdt>
              <w:sdtPr>
                <w:rPr>
                  <w:rStyle w:val="Style2"/>
                  <w:sz w:val="24"/>
                </w:rPr>
                <w:id w:val="1289549109"/>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33.1. nesiskiriančios naudos pacientų sveikatai sukūrimo, lyginant su įprasta klinikine praktika.</w:t>
            </w:r>
          </w:p>
          <w:p w14:paraId="3548902D"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BCFD202"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10CD1" w:rsidRPr="00FB100C" w14:paraId="0F8328AA" w14:textId="77777777" w:rsidTr="00FD2DDF">
        <w:tc>
          <w:tcPr>
            <w:tcW w:w="9962" w:type="dxa"/>
            <w:gridSpan w:val="2"/>
          </w:tcPr>
          <w:p w14:paraId="74E2DAEC"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B100C">
              <w:rPr>
                <w:rStyle w:val="Style2"/>
                <w:rFonts w:eastAsia="MS Gothic"/>
                <w:b/>
                <w:bCs/>
                <w:sz w:val="24"/>
                <w:szCs w:val="24"/>
              </w:rPr>
              <w:t>Kaštų naudingumas</w:t>
            </w:r>
          </w:p>
          <w:p w14:paraId="3DF58885"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310CD1" w:rsidRPr="00FB100C" w14:paraId="64F73B50" w14:textId="77777777" w:rsidTr="00FD2DDF">
        <w:tc>
          <w:tcPr>
            <w:tcW w:w="4981" w:type="dxa"/>
          </w:tcPr>
          <w:p w14:paraId="35BBCD23"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32.3. atitinka referencinę naudingumo vertę;</w:t>
            </w:r>
          </w:p>
          <w:p w14:paraId="00B98738"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885181A"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sdt>
              <w:sdtPr>
                <w:rPr>
                  <w:rStyle w:val="Style2"/>
                  <w:sz w:val="24"/>
                </w:rPr>
                <w:id w:val="-1308081728"/>
                <w15:color w:val="FFCC00"/>
                <w14:checkbox>
                  <w14:checked w14:val="0"/>
                  <w14:checkedState w14:val="2612" w14:font="MS Gothic"/>
                  <w14:uncheckedState w14:val="2610" w14:font="MS Gothic"/>
                </w14:checkbox>
              </w:sdtPr>
              <w:sdtContent>
                <w:r w:rsidR="0020350A" w:rsidRPr="00FB100C">
                  <w:rPr>
                    <w:rStyle w:val="Style2"/>
                    <w:rFonts w:ascii="Segoe UI Symbol" w:eastAsia="MS Gothic" w:hAnsi="Segoe UI Symbol" w:cs="Segoe UI Symbol"/>
                    <w:sz w:val="24"/>
                    <w:szCs w:val="24"/>
                  </w:rPr>
                  <w:t>☐</w:t>
                </w:r>
              </w:sdtContent>
            </w:sdt>
            <w:r w:rsidR="00310CD1" w:rsidRPr="00FB100C">
              <w:rPr>
                <w:sz w:val="24"/>
                <w:szCs w:val="24"/>
              </w:rPr>
              <w:t xml:space="preserve"> 32.3. gydymo juo kaštai yra mažesni ar tokie patys esant iš esmės nesiskiriančiam palyginamajam efektyvumui, taikant PGS.</w:t>
            </w:r>
          </w:p>
        </w:tc>
        <w:tc>
          <w:tcPr>
            <w:tcW w:w="4981" w:type="dxa"/>
          </w:tcPr>
          <w:p w14:paraId="54FA9674"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1"/>
                  <w14:checkedState w14:val="2612" w14:font="MS Gothic"/>
                  <w14:uncheckedState w14:val="2610" w14:font="MS Gothic"/>
                </w14:checkbox>
              </w:sdtPr>
              <w:sdtContent>
                <w:r w:rsidR="00DA3AF7" w:rsidRPr="00FB100C">
                  <w:rPr>
                    <w:rStyle w:val="Style2"/>
                    <w:rFonts w:ascii="Segoe UI Symbol" w:eastAsia="MS Gothic" w:hAnsi="Segoe UI Symbol" w:cs="Segoe UI Symbol"/>
                    <w:sz w:val="24"/>
                    <w:szCs w:val="24"/>
                  </w:rPr>
                  <w:t>☒</w:t>
                </w:r>
              </w:sdtContent>
            </w:sdt>
            <w:r w:rsidR="00310CD1" w:rsidRPr="00FB100C">
              <w:rPr>
                <w:sz w:val="24"/>
                <w:szCs w:val="24"/>
              </w:rPr>
              <w:t xml:space="preserve"> 33.3. neatitinka referencinės naudingumo vertės Lietuvos Respublikoje;</w:t>
            </w:r>
          </w:p>
          <w:p w14:paraId="2C6AD2DB"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927F8EC"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135473618"/>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33.3. gydymo juo kaštai yra didesni esant iš esmės nesiskiriančiam palyginamajam efektyvumui;</w:t>
            </w:r>
          </w:p>
          <w:p w14:paraId="2D8535A6"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A67F8D2" w14:textId="77777777" w:rsidR="00310CD1" w:rsidRPr="00FB100C" w:rsidRDefault="00000000"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310CD1" w:rsidRPr="00FB100C">
                  <w:rPr>
                    <w:rStyle w:val="Style2"/>
                    <w:rFonts w:ascii="Segoe UI Symbol" w:eastAsia="MS Gothic" w:hAnsi="Segoe UI Symbol" w:cs="Segoe UI Symbol"/>
                    <w:sz w:val="24"/>
                    <w:szCs w:val="24"/>
                  </w:rPr>
                  <w:t>☐</w:t>
                </w:r>
              </w:sdtContent>
            </w:sdt>
            <w:r w:rsidR="00310CD1" w:rsidRPr="00FB100C">
              <w:rPr>
                <w:sz w:val="24"/>
                <w:szCs w:val="24"/>
              </w:rPr>
              <w:t xml:space="preserve"> 33.3. pateikti duomenys apie kaštų naudingumą yra netinkami vertinti</w:t>
            </w:r>
          </w:p>
          <w:p w14:paraId="31C17020" w14:textId="77777777" w:rsidR="00310CD1" w:rsidRPr="00FB100C" w:rsidRDefault="00310CD1" w:rsidP="00FD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bl>
    <w:p w14:paraId="7BAB5509" w14:textId="77777777" w:rsidR="00310CD1" w:rsidRPr="0055060B" w:rsidRDefault="00310CD1" w:rsidP="00310CD1">
      <w:pPr>
        <w:rPr>
          <w:b/>
        </w:rPr>
      </w:pPr>
    </w:p>
    <w:p w14:paraId="76EA2677" w14:textId="77777777" w:rsidR="00310CD1" w:rsidRPr="0055060B" w:rsidRDefault="00310CD1" w:rsidP="00310CD1">
      <w:pPr>
        <w:pStyle w:val="ListParagraph"/>
        <w:numPr>
          <w:ilvl w:val="0"/>
          <w:numId w:val="1"/>
        </w:numPr>
        <w:ind w:left="567" w:hanging="567"/>
        <w:rPr>
          <w:b/>
        </w:rPr>
      </w:pPr>
      <w:r w:rsidRPr="0055060B">
        <w:rPr>
          <w:b/>
        </w:rPr>
        <w:t>REKOMENDACIJA</w:t>
      </w:r>
    </w:p>
    <w:p w14:paraId="0FD2882A" w14:textId="77777777" w:rsidR="00310CD1" w:rsidRDefault="00310CD1" w:rsidP="00310CD1">
      <w:pPr>
        <w:rPr>
          <w:iCs/>
          <w:color w:val="00B050"/>
        </w:rPr>
      </w:pPr>
    </w:p>
    <w:p w14:paraId="1ABE5A26" w14:textId="77777777" w:rsidR="00DA3AF7" w:rsidRDefault="00DA3AF7" w:rsidP="00DA3AF7">
      <w:pPr>
        <w:spacing w:line="276" w:lineRule="auto"/>
        <w:jc w:val="both"/>
      </w:pPr>
      <w: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139521B3" w14:textId="77777777" w:rsidR="00DA3AF7" w:rsidRDefault="00DA3AF7" w:rsidP="00DA3AF7">
      <w:pPr>
        <w:spacing w:line="276" w:lineRule="auto"/>
        <w:jc w:val="both"/>
      </w:pPr>
      <w:r w:rsidRPr="00554D3E">
        <w:t xml:space="preserve">34.4. rekomenduojama </w:t>
      </w:r>
      <w:r w:rsidRPr="00554D3E">
        <w:rPr>
          <w:i/>
          <w:iCs/>
        </w:rPr>
        <w:t xml:space="preserve">nekompensuoti </w:t>
      </w:r>
      <w:r w:rsidRPr="00554D3E">
        <w:t>vaistinio</w:t>
      </w:r>
      <w:r>
        <w:t xml:space="preserve"> preparato pagal paraiškoje nurodytą indikaciją su skyrimo sąlygomis, taikant PGS, dėl vertinimo išvadų, nurodytų 33.3 papunktyje, neatitikties 34.1 papunktyje išdėstytoms sąlygoms.</w:t>
      </w:r>
    </w:p>
    <w:p w14:paraId="5B3A84DA" w14:textId="77777777" w:rsidR="00DA3AF7" w:rsidRDefault="00DA3AF7" w:rsidP="00DA3AF7">
      <w:pPr>
        <w:spacing w:line="276" w:lineRule="auto"/>
        <w:jc w:val="both"/>
      </w:pPr>
    </w:p>
    <w:p w14:paraId="6F077B34" w14:textId="77777777" w:rsidR="00DA3AF7" w:rsidRDefault="00DA3AF7" w:rsidP="00DA3AF7">
      <w:pPr>
        <w:shd w:val="clear" w:color="auto" w:fill="FFFFFF"/>
        <w:spacing w:line="276" w:lineRule="auto"/>
        <w:jc w:val="both"/>
        <w:rPr>
          <w:i/>
          <w:iCs/>
        </w:rPr>
      </w:pPr>
      <w:r>
        <w:rPr>
          <w:i/>
          <w:iCs/>
          <w:color w:val="000000"/>
        </w:rPr>
        <w:lastRenderedPageBreak/>
        <w:t>Papildomos pastabos ir pasiūlymai</w:t>
      </w:r>
    </w:p>
    <w:p w14:paraId="0D0E7C32" w14:textId="77777777" w:rsidR="00DA3AF7" w:rsidRDefault="001B3373" w:rsidP="00225AD5">
      <w:pPr>
        <w:spacing w:line="276" w:lineRule="auto"/>
        <w:ind w:firstLine="270"/>
        <w:jc w:val="both"/>
        <w:rPr>
          <w:iCs/>
          <w:lang w:val="en-US"/>
        </w:rPr>
      </w:pPr>
      <w:r>
        <w:rPr>
          <w:bCs/>
        </w:rPr>
        <w:t>A</w:t>
      </w:r>
      <w:r w:rsidRPr="004817CE">
        <w:rPr>
          <w:bCs/>
        </w:rPr>
        <w:t xml:space="preserve">tsižvelgiant į </w:t>
      </w:r>
      <w:r>
        <w:rPr>
          <w:bCs/>
        </w:rPr>
        <w:t>nepatenkintą lokaliai progresavusios arba metastazavusios urotelio karcinomos gydymo poreikį (šiuo metu, jei pacientui, po chemoterapijos platinos pagrindu, nenustatoma progresavimo, taikoma tik geriausia palaikomoji priežiūra</w:t>
      </w:r>
      <w:r w:rsidR="004F6AA1">
        <w:rPr>
          <w:bCs/>
        </w:rPr>
        <w:t xml:space="preserve"> ir laukimas bei</w:t>
      </w:r>
      <w:r>
        <w:rPr>
          <w:bCs/>
        </w:rPr>
        <w:t xml:space="preserve"> neskiriamas jo</w:t>
      </w:r>
      <w:r w:rsidR="004F6AA1">
        <w:rPr>
          <w:bCs/>
        </w:rPr>
        <w:t>k</w:t>
      </w:r>
      <w:r>
        <w:rPr>
          <w:bCs/>
        </w:rPr>
        <w:t>s priešvėžinis gydymas)</w:t>
      </w:r>
      <w:r w:rsidR="00DA3AF7" w:rsidRPr="00FE045F">
        <w:t xml:space="preserve"> </w:t>
      </w:r>
      <w:r>
        <w:t xml:space="preserve">bei </w:t>
      </w:r>
      <w:r w:rsidR="00DA3AF7" w:rsidRPr="00FE045F">
        <w:t>sukuriamą papildomą naudą sveikatai,</w:t>
      </w:r>
      <w:r w:rsidR="00DA3AF7" w:rsidRPr="00554D3E">
        <w:t xml:space="preserve"> Tarnyba vadovaudamasi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rekomenduoja kompensuoti</w:t>
      </w:r>
      <w:r w:rsidR="00DA3AF7">
        <w:t xml:space="preserve"> avelumabą (Bavencio) </w:t>
      </w:r>
      <w:r w:rsidR="00DA3AF7">
        <w:rPr>
          <w:color w:val="000000"/>
        </w:rPr>
        <w:t>monoterapija</w:t>
      </w:r>
      <w:r w:rsidR="003E6CBC">
        <w:rPr>
          <w:color w:val="000000"/>
        </w:rPr>
        <w:t>i</w:t>
      </w:r>
      <w:r w:rsidR="00DA3AF7">
        <w:rPr>
          <w:color w:val="000000"/>
        </w:rPr>
        <w:t xml:space="preserve"> skiriant</w:t>
      </w:r>
      <w:r w:rsidR="00DA3AF7" w:rsidRPr="00F75420">
        <w:rPr>
          <w:color w:val="000000"/>
        </w:rPr>
        <w:t xml:space="preserve"> lokaliai progresavusia arba </w:t>
      </w:r>
      <w:r w:rsidR="00DA3AF7">
        <w:rPr>
          <w:color w:val="000000"/>
        </w:rPr>
        <w:t>s</w:t>
      </w:r>
      <w:r w:rsidR="00DA3AF7" w:rsidRPr="00F75420">
        <w:rPr>
          <w:color w:val="000000"/>
        </w:rPr>
        <w:t xml:space="preserve">metastazavusia </w:t>
      </w:r>
      <w:r w:rsidR="00DA3AF7">
        <w:rPr>
          <w:color w:val="000000"/>
        </w:rPr>
        <w:t xml:space="preserve">urotelio karcinoma </w:t>
      </w:r>
      <w:r w:rsidR="00DA3AF7" w:rsidRPr="00F75420">
        <w:rPr>
          <w:color w:val="000000"/>
        </w:rPr>
        <w:t xml:space="preserve">UK </w:t>
      </w:r>
      <w:r w:rsidR="00DA3AF7">
        <w:rPr>
          <w:color w:val="000000"/>
        </w:rPr>
        <w:t xml:space="preserve">(mUK) </w:t>
      </w:r>
      <w:r w:rsidR="00DA3AF7" w:rsidRPr="00F75420">
        <w:rPr>
          <w:color w:val="000000"/>
        </w:rPr>
        <w:t>sergantiems suaugusiems pacientams, kuriems nenustatyta progresavimo po chemoterapijos, kurios pagrindas platina, pirmaeiliam palaikomajam gydymui</w:t>
      </w:r>
      <w:r w:rsidR="00DA3AF7">
        <w:rPr>
          <w:color w:val="000000"/>
        </w:rPr>
        <w:t xml:space="preserve">, </w:t>
      </w:r>
      <w:r w:rsidR="00DA3AF7" w:rsidRPr="00D578BB">
        <w:t xml:space="preserve">su sąlyga, jog </w:t>
      </w:r>
      <w:r w:rsidR="00DA3AF7">
        <w:t>avelumabo</w:t>
      </w:r>
      <w:r w:rsidR="00DA3AF7" w:rsidRPr="00D578BB">
        <w:t xml:space="preserve"> faktinė bazinė kaina bus tokia, kurią pritaikius modelyje apskaičiuotas ICER atitiks </w:t>
      </w:r>
      <w:r w:rsidR="00DA3AF7">
        <w:t>sunkiai</w:t>
      </w:r>
      <w:r w:rsidR="00DA3AF7" w:rsidRPr="00D578BB">
        <w:t xml:space="preserve"> ligos naštai taikomą referencinę kaštų naudingumo </w:t>
      </w:r>
      <w:r w:rsidR="00DA3AF7" w:rsidRPr="00FE045F">
        <w:t>vertę (</w:t>
      </w:r>
      <w:r w:rsidR="00DA3AF7" w:rsidRPr="00FE045F">
        <w:rPr>
          <w:iCs/>
          <w:lang w:val="en-US"/>
        </w:rPr>
        <w:t>100 020 Eur.).</w:t>
      </w:r>
    </w:p>
    <w:p w14:paraId="7FBF38D7" w14:textId="77777777" w:rsidR="00F15FD9" w:rsidRDefault="00F15FD9" w:rsidP="00225AD5">
      <w:pPr>
        <w:spacing w:line="276" w:lineRule="auto"/>
        <w:ind w:firstLine="270"/>
        <w:jc w:val="both"/>
        <w:rPr>
          <w:iCs/>
          <w:lang w:val="en-US"/>
        </w:rPr>
      </w:pPr>
    </w:p>
    <w:p w14:paraId="65F49686" w14:textId="75236D97" w:rsidR="00F15FD9" w:rsidRPr="00505408" w:rsidRDefault="00F15FD9" w:rsidP="00F15FD9">
      <w:pPr>
        <w:spacing w:line="276" w:lineRule="auto"/>
        <w:jc w:val="both"/>
        <w:rPr>
          <w:i/>
        </w:rPr>
      </w:pPr>
      <w:r w:rsidRPr="00505408">
        <w:rPr>
          <w:i/>
          <w:iCs/>
          <w:lang w:val="en-US"/>
        </w:rPr>
        <w:t xml:space="preserve">* </w:t>
      </w:r>
      <w:proofErr w:type="spellStart"/>
      <w:r w:rsidRPr="00505408">
        <w:rPr>
          <w:i/>
          <w:iCs/>
          <w:lang w:val="en-US"/>
        </w:rPr>
        <w:t>Siekiant</w:t>
      </w:r>
      <w:proofErr w:type="spellEnd"/>
      <w:r w:rsidRPr="00505408">
        <w:rPr>
          <w:i/>
          <w:iCs/>
          <w:lang w:val="en-US"/>
        </w:rPr>
        <w:t xml:space="preserve">, </w:t>
      </w:r>
      <w:proofErr w:type="spellStart"/>
      <w:r w:rsidRPr="00505408">
        <w:rPr>
          <w:i/>
          <w:iCs/>
          <w:lang w:val="en-US"/>
        </w:rPr>
        <w:t>kad</w:t>
      </w:r>
      <w:proofErr w:type="spellEnd"/>
      <w:r w:rsidRPr="00505408">
        <w:rPr>
          <w:i/>
          <w:iCs/>
          <w:lang w:val="en-US"/>
        </w:rPr>
        <w:t xml:space="preserve"> </w:t>
      </w:r>
      <w:proofErr w:type="spellStart"/>
      <w:r w:rsidRPr="00505408">
        <w:rPr>
          <w:i/>
          <w:iCs/>
          <w:lang w:val="en-US"/>
        </w:rPr>
        <w:t>apskai</w:t>
      </w:r>
      <w:proofErr w:type="spellEnd"/>
      <w:r w:rsidRPr="00505408">
        <w:rPr>
          <w:i/>
          <w:iCs/>
        </w:rPr>
        <w:t xml:space="preserve">čiuotas </w:t>
      </w:r>
      <w:r w:rsidRPr="00505408">
        <w:rPr>
          <w:i/>
          <w:iCs/>
          <w:lang w:val="en-US"/>
        </w:rPr>
        <w:t xml:space="preserve">ICER </w:t>
      </w:r>
      <w:proofErr w:type="spellStart"/>
      <w:r w:rsidRPr="00505408">
        <w:rPr>
          <w:i/>
          <w:iCs/>
          <w:lang w:val="en-US"/>
        </w:rPr>
        <w:t>atitiktų</w:t>
      </w:r>
      <w:proofErr w:type="spellEnd"/>
      <w:r w:rsidRPr="00505408">
        <w:rPr>
          <w:i/>
          <w:iCs/>
          <w:lang w:val="en-US"/>
        </w:rPr>
        <w:t xml:space="preserve"> </w:t>
      </w:r>
      <w:proofErr w:type="spellStart"/>
      <w:r w:rsidRPr="00505408">
        <w:rPr>
          <w:i/>
          <w:iCs/>
          <w:lang w:val="en-US"/>
        </w:rPr>
        <w:t>sunkiai</w:t>
      </w:r>
      <w:proofErr w:type="spellEnd"/>
      <w:r w:rsidRPr="00505408">
        <w:rPr>
          <w:i/>
          <w:iCs/>
          <w:lang w:val="en-US"/>
        </w:rPr>
        <w:t xml:space="preserve"> </w:t>
      </w:r>
      <w:proofErr w:type="spellStart"/>
      <w:r w:rsidRPr="00505408">
        <w:rPr>
          <w:i/>
          <w:iCs/>
          <w:lang w:val="en-US"/>
        </w:rPr>
        <w:t>ligos</w:t>
      </w:r>
      <w:proofErr w:type="spellEnd"/>
      <w:r w:rsidRPr="00505408">
        <w:rPr>
          <w:i/>
          <w:iCs/>
          <w:lang w:val="en-US"/>
        </w:rPr>
        <w:t xml:space="preserve"> </w:t>
      </w:r>
      <w:proofErr w:type="spellStart"/>
      <w:r w:rsidRPr="00505408">
        <w:rPr>
          <w:i/>
          <w:iCs/>
          <w:lang w:val="en-US"/>
        </w:rPr>
        <w:t>naštai</w:t>
      </w:r>
      <w:proofErr w:type="spellEnd"/>
      <w:r w:rsidRPr="00505408">
        <w:rPr>
          <w:i/>
          <w:iCs/>
          <w:lang w:val="en-US"/>
        </w:rPr>
        <w:t xml:space="preserve"> </w:t>
      </w:r>
      <w:proofErr w:type="spellStart"/>
      <w:r w:rsidRPr="00505408">
        <w:rPr>
          <w:i/>
          <w:iCs/>
          <w:lang w:val="en-US"/>
        </w:rPr>
        <w:t>taikomą</w:t>
      </w:r>
      <w:proofErr w:type="spellEnd"/>
      <w:r w:rsidRPr="00505408">
        <w:rPr>
          <w:i/>
          <w:iCs/>
          <w:lang w:val="en-US"/>
        </w:rPr>
        <w:t xml:space="preserve"> </w:t>
      </w:r>
      <w:proofErr w:type="spellStart"/>
      <w:r w:rsidRPr="00505408">
        <w:rPr>
          <w:i/>
          <w:iCs/>
          <w:lang w:val="en-US"/>
        </w:rPr>
        <w:t>referencinę</w:t>
      </w:r>
      <w:proofErr w:type="spellEnd"/>
      <w:r w:rsidRPr="00505408">
        <w:rPr>
          <w:i/>
          <w:iCs/>
          <w:lang w:val="en-US"/>
        </w:rPr>
        <w:t xml:space="preserve"> </w:t>
      </w:r>
      <w:proofErr w:type="spellStart"/>
      <w:r w:rsidRPr="00505408">
        <w:rPr>
          <w:i/>
          <w:iCs/>
          <w:lang w:val="en-US"/>
        </w:rPr>
        <w:t>kaštų</w:t>
      </w:r>
      <w:proofErr w:type="spellEnd"/>
      <w:r w:rsidRPr="00505408">
        <w:rPr>
          <w:i/>
          <w:iCs/>
          <w:lang w:val="en-US"/>
        </w:rPr>
        <w:t xml:space="preserve"> </w:t>
      </w:r>
      <w:proofErr w:type="spellStart"/>
      <w:r w:rsidRPr="00505408">
        <w:rPr>
          <w:i/>
          <w:iCs/>
          <w:lang w:val="en-US"/>
        </w:rPr>
        <w:t>naudingumo</w:t>
      </w:r>
      <w:proofErr w:type="spellEnd"/>
      <w:r w:rsidRPr="00505408">
        <w:rPr>
          <w:i/>
          <w:iCs/>
          <w:lang w:val="en-US"/>
        </w:rPr>
        <w:t xml:space="preserve"> </w:t>
      </w:r>
      <w:proofErr w:type="spellStart"/>
      <w:r w:rsidRPr="00505408">
        <w:rPr>
          <w:i/>
          <w:iCs/>
          <w:lang w:val="en-US"/>
        </w:rPr>
        <w:t>vertę</w:t>
      </w:r>
      <w:proofErr w:type="spellEnd"/>
      <w:r w:rsidRPr="00505408">
        <w:rPr>
          <w:i/>
          <w:iCs/>
          <w:lang w:val="en-US"/>
        </w:rPr>
        <w:t xml:space="preserve">, </w:t>
      </w:r>
      <w:proofErr w:type="spellStart"/>
      <w:r w:rsidRPr="00505408">
        <w:rPr>
          <w:i/>
          <w:iCs/>
          <w:lang w:val="en-US"/>
        </w:rPr>
        <w:t>avelumabo</w:t>
      </w:r>
      <w:proofErr w:type="spellEnd"/>
      <w:r w:rsidRPr="00505408">
        <w:rPr>
          <w:i/>
          <w:iCs/>
          <w:lang w:val="en-US"/>
        </w:rPr>
        <w:t xml:space="preserve"> </w:t>
      </w:r>
      <w:proofErr w:type="spellStart"/>
      <w:r w:rsidRPr="00505408">
        <w:rPr>
          <w:i/>
          <w:iCs/>
          <w:lang w:val="en-US"/>
        </w:rPr>
        <w:t>ekonominėje</w:t>
      </w:r>
      <w:proofErr w:type="spellEnd"/>
      <w:r w:rsidRPr="00505408">
        <w:rPr>
          <w:i/>
          <w:iCs/>
          <w:lang w:val="en-US"/>
        </w:rPr>
        <w:t xml:space="preserve"> </w:t>
      </w:r>
      <w:proofErr w:type="spellStart"/>
      <w:r w:rsidRPr="00505408">
        <w:rPr>
          <w:i/>
          <w:iCs/>
          <w:lang w:val="en-US"/>
        </w:rPr>
        <w:t>analizėje</w:t>
      </w:r>
      <w:proofErr w:type="spellEnd"/>
      <w:r w:rsidRPr="00505408">
        <w:rPr>
          <w:i/>
          <w:iCs/>
          <w:lang w:val="en-US"/>
        </w:rPr>
        <w:t xml:space="preserve"> </w:t>
      </w:r>
      <w:proofErr w:type="spellStart"/>
      <w:r w:rsidRPr="00505408">
        <w:rPr>
          <w:i/>
          <w:iCs/>
          <w:lang w:val="en-US"/>
        </w:rPr>
        <w:t>taikomą</w:t>
      </w:r>
      <w:proofErr w:type="spellEnd"/>
      <w:r w:rsidRPr="00505408">
        <w:rPr>
          <w:i/>
          <w:iCs/>
          <w:lang w:val="en-US"/>
        </w:rPr>
        <w:t xml:space="preserve"> </w:t>
      </w:r>
      <w:proofErr w:type="spellStart"/>
      <w:r w:rsidRPr="00505408">
        <w:rPr>
          <w:i/>
          <w:iCs/>
          <w:lang w:val="en-US"/>
        </w:rPr>
        <w:t>bazinę</w:t>
      </w:r>
      <w:proofErr w:type="spellEnd"/>
      <w:r w:rsidRPr="00505408">
        <w:rPr>
          <w:i/>
          <w:iCs/>
          <w:lang w:val="en-US"/>
        </w:rPr>
        <w:t xml:space="preserve"> </w:t>
      </w:r>
      <w:proofErr w:type="spellStart"/>
      <w:r w:rsidRPr="00505408">
        <w:rPr>
          <w:i/>
          <w:iCs/>
          <w:lang w:val="en-US"/>
        </w:rPr>
        <w:t>kainą</w:t>
      </w:r>
      <w:proofErr w:type="spellEnd"/>
      <w:r w:rsidRPr="00505408">
        <w:rPr>
          <w:i/>
          <w:iCs/>
          <w:lang w:val="en-US"/>
        </w:rPr>
        <w:t xml:space="preserve"> (</w:t>
      </w:r>
      <w:proofErr w:type="spellStart"/>
      <w:r w:rsidRPr="00505408">
        <w:rPr>
          <w:i/>
          <w:iCs/>
          <w:lang w:val="en-US"/>
        </w:rPr>
        <w:t>su</w:t>
      </w:r>
      <w:proofErr w:type="spellEnd"/>
      <w:r w:rsidRPr="00505408">
        <w:rPr>
          <w:i/>
          <w:iCs/>
          <w:lang w:val="en-US"/>
        </w:rPr>
        <w:t xml:space="preserve"> PGS) </w:t>
      </w:r>
      <w:proofErr w:type="spellStart"/>
      <w:r w:rsidRPr="00505408">
        <w:rPr>
          <w:i/>
          <w:iCs/>
          <w:lang w:val="en-US"/>
        </w:rPr>
        <w:t>reikia</w:t>
      </w:r>
      <w:proofErr w:type="spellEnd"/>
      <w:r w:rsidRPr="00505408">
        <w:rPr>
          <w:i/>
          <w:iCs/>
          <w:lang w:val="en-US"/>
        </w:rPr>
        <w:t xml:space="preserve"> </w:t>
      </w:r>
      <w:proofErr w:type="spellStart"/>
      <w:r w:rsidRPr="00505408">
        <w:rPr>
          <w:i/>
          <w:iCs/>
          <w:lang w:val="en-US"/>
        </w:rPr>
        <w:t>sumažinti</w:t>
      </w:r>
      <w:proofErr w:type="spellEnd"/>
      <w:r w:rsidRPr="00505408">
        <w:rPr>
          <w:i/>
          <w:iCs/>
          <w:lang w:val="en-US"/>
        </w:rPr>
        <w:t xml:space="preserve"> </w:t>
      </w:r>
      <w:r w:rsidR="00382DBF" w:rsidRPr="00382DBF">
        <w:rPr>
          <w:i/>
          <w:iCs/>
          <w:highlight w:val="red"/>
          <w:lang w:val="en-US"/>
        </w:rPr>
        <w:t>***</w:t>
      </w:r>
      <w:r w:rsidR="00382DBF">
        <w:rPr>
          <w:i/>
          <w:iCs/>
          <w:lang w:val="en-US"/>
        </w:rPr>
        <w:t xml:space="preserve"> </w:t>
      </w:r>
      <w:r w:rsidRPr="00505408">
        <w:rPr>
          <w:i/>
          <w:iCs/>
          <w:lang w:val="en-US"/>
        </w:rPr>
        <w:t>proc. (Kaina</w:t>
      </w:r>
      <w:r w:rsidRPr="00505408">
        <w:rPr>
          <w:i/>
          <w:iCs/>
        </w:rPr>
        <w:t xml:space="preserve"> skaičiuojama nuo modelyje taikomos avelumabo pakuotės kainos – </w:t>
      </w:r>
      <w:r w:rsidR="00382DBF" w:rsidRPr="00382DBF">
        <w:rPr>
          <w:i/>
          <w:highlight w:val="red"/>
          <w:u w:val="single"/>
        </w:rPr>
        <w:t>**</w:t>
      </w:r>
      <w:proofErr w:type="gramStart"/>
      <w:r w:rsidR="00382DBF" w:rsidRPr="00382DBF">
        <w:rPr>
          <w:i/>
          <w:highlight w:val="red"/>
          <w:u w:val="single"/>
        </w:rPr>
        <w:t>*</w:t>
      </w:r>
      <w:r w:rsidR="00382DBF">
        <w:rPr>
          <w:i/>
          <w:u w:val="single"/>
        </w:rPr>
        <w:t xml:space="preserve"> </w:t>
      </w:r>
      <w:r w:rsidRPr="00505408">
        <w:rPr>
          <w:i/>
          <w:u w:val="single"/>
        </w:rPr>
        <w:t xml:space="preserve"> Eur.</w:t>
      </w:r>
      <w:proofErr w:type="gramEnd"/>
      <w:r w:rsidRPr="00505408">
        <w:rPr>
          <w:i/>
          <w:u w:val="single"/>
        </w:rPr>
        <w:t>).</w:t>
      </w:r>
    </w:p>
    <w:p w14:paraId="733F8DC9" w14:textId="77777777" w:rsidR="00F15FD9" w:rsidRPr="00225AD5" w:rsidRDefault="00F15FD9" w:rsidP="00225AD5">
      <w:pPr>
        <w:spacing w:line="276" w:lineRule="auto"/>
        <w:ind w:firstLine="270"/>
        <w:jc w:val="both"/>
        <w:rPr>
          <w:iCs/>
          <w:lang w:val="en-US"/>
        </w:rPr>
      </w:pPr>
    </w:p>
    <w:p w14:paraId="682F4291" w14:textId="77777777" w:rsidR="00310CD1" w:rsidRPr="008B63AB" w:rsidRDefault="00310CD1" w:rsidP="00310CD1"/>
    <w:p w14:paraId="781999E7" w14:textId="77777777" w:rsidR="00310CD1" w:rsidRPr="008B63AB" w:rsidRDefault="00310CD1" w:rsidP="00310CD1">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09321BF9" w14:textId="77777777" w:rsidR="00310CD1" w:rsidRPr="008B63AB" w:rsidRDefault="00310CD1" w:rsidP="00310CD1">
      <w:pPr>
        <w:tabs>
          <w:tab w:val="left" w:pos="426"/>
        </w:tabs>
        <w:jc w:val="both"/>
        <w:rPr>
          <w:b/>
          <w:color w:val="000000"/>
          <w:lang w:eastAsia="lt-LT"/>
        </w:rPr>
      </w:pPr>
    </w:p>
    <w:p w14:paraId="6267C60B" w14:textId="77777777" w:rsidR="00310CD1" w:rsidRPr="00FB100C" w:rsidRDefault="00310CD1" w:rsidP="00310CD1">
      <w:pPr>
        <w:outlineLvl w:val="0"/>
        <w:rPr>
          <w:b/>
          <w:color w:val="000000" w:themeColor="text1"/>
          <w:lang w:eastAsia="lt-LT"/>
        </w:rPr>
      </w:pPr>
      <w:r w:rsidRPr="00FB100C">
        <w:rPr>
          <w:b/>
          <w:color w:val="000000" w:themeColor="text1"/>
          <w:lang w:eastAsia="lt-LT"/>
        </w:rPr>
        <w:t>Terapinės indikacijos</w:t>
      </w:r>
    </w:p>
    <w:p w14:paraId="422582BE" w14:textId="77777777" w:rsidR="00FB100C" w:rsidRDefault="00000000" w:rsidP="00FB100C">
      <w:pPr>
        <w:rPr>
          <w:color w:val="000000" w:themeColor="text1"/>
        </w:rPr>
      </w:pPr>
      <w:sdt>
        <w:sdtPr>
          <w:rPr>
            <w:rStyle w:val="Style2"/>
            <w:color w:val="000000" w:themeColor="text1"/>
          </w:rPr>
          <w:id w:val="1146316688"/>
          <w15:color w:val="FFCC00"/>
          <w14:checkbox>
            <w14:checked w14:val="1"/>
            <w14:checkedState w14:val="2612" w14:font="MS Gothic"/>
            <w14:uncheckedState w14:val="2610" w14:font="MS Gothic"/>
          </w14:checkbox>
        </w:sdtPr>
        <w:sdtContent>
          <w:r w:rsidR="00310CD1" w:rsidRPr="00FB100C">
            <w:rPr>
              <w:rStyle w:val="Style2"/>
              <w:rFonts w:ascii="MS Gothic" w:eastAsia="MS Gothic" w:hAnsi="MS Gothic"/>
              <w:color w:val="000000" w:themeColor="text1"/>
            </w:rPr>
            <w:t>☒</w:t>
          </w:r>
        </w:sdtContent>
      </w:sdt>
      <w:r w:rsidR="00310CD1" w:rsidRPr="00FB100C">
        <w:rPr>
          <w:color w:val="000000" w:themeColor="text1"/>
        </w:rPr>
        <w:t xml:space="preserve"> Siūloma kompensuoti Pareiškėjo teikiamą indikaciją be pakeitimų.</w:t>
      </w:r>
      <w:bookmarkStart w:id="0" w:name="_Hlk90844925"/>
    </w:p>
    <w:p w14:paraId="34157855" w14:textId="77777777" w:rsidR="00FB100C" w:rsidRPr="008D68AB" w:rsidRDefault="00FB100C" w:rsidP="00FB100C">
      <w:pPr>
        <w:spacing w:line="276" w:lineRule="auto"/>
        <w:jc w:val="both"/>
      </w:pPr>
      <w:r w:rsidRPr="00FB100C">
        <w:rPr>
          <w:color w:val="000000" w:themeColor="text1"/>
        </w:rPr>
        <w:t xml:space="preserve">Bavencio monoterapija skirta lokaliai progresavusia arba metastazavusia urotelio karcinoma (UK) sergantiems suaugusiems pacientams, kuriems nenustatyta progresavimo po chemoterapijos, </w:t>
      </w:r>
      <w:r w:rsidRPr="008D68AB">
        <w:t>kurios pagrindas platina, pirmaeiliam palaikomajam gydymui.</w:t>
      </w:r>
    </w:p>
    <w:bookmarkEnd w:id="0"/>
    <w:p w14:paraId="36B62F65" w14:textId="77777777" w:rsidR="00310CD1" w:rsidRPr="008D68AB" w:rsidRDefault="00310CD1" w:rsidP="00310CD1">
      <w:pPr>
        <w:rPr>
          <w:b/>
          <w:highlight w:val="yellow"/>
        </w:rPr>
      </w:pPr>
    </w:p>
    <w:p w14:paraId="0644F95B" w14:textId="77777777" w:rsidR="00310CD1" w:rsidRPr="008D68AB" w:rsidRDefault="00310CD1" w:rsidP="00310CD1">
      <w:pPr>
        <w:outlineLvl w:val="0"/>
        <w:rPr>
          <w:b/>
        </w:rPr>
      </w:pPr>
      <w:r w:rsidRPr="008D68AB">
        <w:rPr>
          <w:b/>
        </w:rPr>
        <w:t>Skyrimo sąlygos</w:t>
      </w:r>
    </w:p>
    <w:p w14:paraId="1F1ECC5C" w14:textId="77777777" w:rsidR="00310CD1" w:rsidRPr="008D68AB" w:rsidRDefault="00000000" w:rsidP="00310CD1">
      <w:sdt>
        <w:sdtPr>
          <w:rPr>
            <w:rStyle w:val="Style2"/>
          </w:rPr>
          <w:id w:val="169305347"/>
          <w15:color w:val="FFCC00"/>
          <w14:checkbox>
            <w14:checked w14:val="1"/>
            <w14:checkedState w14:val="2612" w14:font="MS Gothic"/>
            <w14:uncheckedState w14:val="2610" w14:font="MS Gothic"/>
          </w14:checkbox>
        </w:sdtPr>
        <w:sdtContent>
          <w:r w:rsidR="00310CD1" w:rsidRPr="008D68AB">
            <w:rPr>
              <w:rStyle w:val="Style2"/>
              <w:rFonts w:ascii="MS Gothic" w:eastAsia="MS Gothic" w:hAnsi="MS Gothic"/>
            </w:rPr>
            <w:t>☒</w:t>
          </w:r>
        </w:sdtContent>
      </w:sdt>
      <w:r w:rsidR="00310CD1" w:rsidRPr="008D68AB">
        <w:t xml:space="preserve"> Pareiškėjo siūlomos skyrimo sąlygos priimtinos. </w:t>
      </w:r>
    </w:p>
    <w:p w14:paraId="7B92B704" w14:textId="77777777" w:rsidR="00310CD1" w:rsidRPr="008D68AB" w:rsidRDefault="00066884" w:rsidP="00310CD1">
      <w:pPr>
        <w:spacing w:line="276" w:lineRule="auto"/>
        <w:jc w:val="both"/>
        <w:rPr>
          <w:iCs/>
        </w:rPr>
      </w:pPr>
      <w:r>
        <w:t>P</w:t>
      </w:r>
      <w:r w:rsidR="00FB100C" w:rsidRPr="008D68AB">
        <w:t xml:space="preserve">agal </w:t>
      </w:r>
      <w:r>
        <w:t>patvirtintą</w:t>
      </w:r>
      <w:r w:rsidR="00FB100C" w:rsidRPr="008D68AB">
        <w:t xml:space="preserve"> indikacij</w:t>
      </w:r>
      <w:r>
        <w:t>ą</w:t>
      </w:r>
      <w:r w:rsidR="00FB100C" w:rsidRPr="008D68AB">
        <w:t>.</w:t>
      </w:r>
    </w:p>
    <w:p w14:paraId="46840D3D" w14:textId="77777777" w:rsidR="00310CD1" w:rsidRPr="008D68AB" w:rsidRDefault="00310CD1" w:rsidP="00310CD1">
      <w:pPr>
        <w:spacing w:line="276" w:lineRule="auto"/>
        <w:jc w:val="both"/>
        <w:rPr>
          <w:iCs/>
        </w:rPr>
      </w:pPr>
    </w:p>
    <w:p w14:paraId="52FCAF81" w14:textId="77777777" w:rsidR="002B5372" w:rsidRDefault="002B5372"/>
    <w:sectPr w:rsidR="002B5372" w:rsidSect="00240D62">
      <w:headerReference w:type="even" r:id="rId7"/>
      <w:headerReference w:type="default" r:id="rId8"/>
      <w:headerReference w:type="first" r:id="rId9"/>
      <w:footerReference w:type="first" r:id="rId10"/>
      <w:pgSz w:w="11907" w:h="16840" w:code="9"/>
      <w:pgMar w:top="1134" w:right="850"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A341" w14:textId="77777777" w:rsidR="0045316A" w:rsidRDefault="0045316A">
      <w:r>
        <w:separator/>
      </w:r>
    </w:p>
  </w:endnote>
  <w:endnote w:type="continuationSeparator" w:id="0">
    <w:p w14:paraId="3C14588E" w14:textId="77777777" w:rsidR="0045316A" w:rsidRDefault="0045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9AAB" w14:textId="77777777" w:rsidR="002B5372" w:rsidRDefault="002B5372">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9147" w14:textId="77777777" w:rsidR="0045316A" w:rsidRDefault="0045316A">
      <w:r>
        <w:separator/>
      </w:r>
    </w:p>
  </w:footnote>
  <w:footnote w:type="continuationSeparator" w:id="0">
    <w:p w14:paraId="38281A52" w14:textId="77777777" w:rsidR="0045316A" w:rsidRDefault="0045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D834" w14:textId="77777777" w:rsidR="002B5372" w:rsidRDefault="00520C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B122A6" w14:textId="77777777" w:rsidR="002B5372" w:rsidRDefault="002B5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D80F" w14:textId="77777777" w:rsidR="002B5372" w:rsidRDefault="00520C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BB6">
      <w:rPr>
        <w:rStyle w:val="PageNumber"/>
        <w:noProof/>
      </w:rPr>
      <w:t>7</w:t>
    </w:r>
    <w:r>
      <w:rPr>
        <w:rStyle w:val="PageNumber"/>
      </w:rPr>
      <w:fldChar w:fldCharType="end"/>
    </w:r>
  </w:p>
  <w:p w14:paraId="2CC2A346" w14:textId="77777777" w:rsidR="002B5372" w:rsidRDefault="002B5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87BC" w14:textId="77777777" w:rsidR="002B5372" w:rsidRDefault="002B5372"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8D2B3E"/>
    <w:multiLevelType w:val="hybridMultilevel"/>
    <w:tmpl w:val="4134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438D6"/>
    <w:multiLevelType w:val="hybridMultilevel"/>
    <w:tmpl w:val="588E9EE6"/>
    <w:lvl w:ilvl="0" w:tplc="CC30010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8851570">
    <w:abstractNumId w:val="0"/>
  </w:num>
  <w:num w:numId="2" w16cid:durableId="1368680196">
    <w:abstractNumId w:val="1"/>
  </w:num>
  <w:num w:numId="3" w16cid:durableId="509490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D1"/>
    <w:rsid w:val="00025E44"/>
    <w:rsid w:val="00066884"/>
    <w:rsid w:val="00080DB9"/>
    <w:rsid w:val="000D345D"/>
    <w:rsid w:val="001137F1"/>
    <w:rsid w:val="00155921"/>
    <w:rsid w:val="0017373F"/>
    <w:rsid w:val="00197042"/>
    <w:rsid w:val="001A465F"/>
    <w:rsid w:val="001B3373"/>
    <w:rsid w:val="001D516F"/>
    <w:rsid w:val="0020350A"/>
    <w:rsid w:val="00211D69"/>
    <w:rsid w:val="00225AD5"/>
    <w:rsid w:val="002A0C91"/>
    <w:rsid w:val="002A4216"/>
    <w:rsid w:val="002B5372"/>
    <w:rsid w:val="002C0709"/>
    <w:rsid w:val="0030743D"/>
    <w:rsid w:val="00310CD1"/>
    <w:rsid w:val="00312BC5"/>
    <w:rsid w:val="003607DF"/>
    <w:rsid w:val="00382DBF"/>
    <w:rsid w:val="0038441A"/>
    <w:rsid w:val="003E6CBC"/>
    <w:rsid w:val="004039B0"/>
    <w:rsid w:val="00425BB6"/>
    <w:rsid w:val="0045316A"/>
    <w:rsid w:val="004A479F"/>
    <w:rsid w:val="004C47BC"/>
    <w:rsid w:val="004D1F5A"/>
    <w:rsid w:val="004E2B3F"/>
    <w:rsid w:val="004F6AA1"/>
    <w:rsid w:val="00520CCB"/>
    <w:rsid w:val="00563FAC"/>
    <w:rsid w:val="00595C48"/>
    <w:rsid w:val="00613362"/>
    <w:rsid w:val="00622897"/>
    <w:rsid w:val="006C6423"/>
    <w:rsid w:val="006F64F1"/>
    <w:rsid w:val="006F7769"/>
    <w:rsid w:val="006F7D17"/>
    <w:rsid w:val="007D62AA"/>
    <w:rsid w:val="007F376F"/>
    <w:rsid w:val="00892F58"/>
    <w:rsid w:val="008D68AB"/>
    <w:rsid w:val="0091634E"/>
    <w:rsid w:val="00954853"/>
    <w:rsid w:val="009942A3"/>
    <w:rsid w:val="009F06B7"/>
    <w:rsid w:val="00A72C58"/>
    <w:rsid w:val="00AF15D3"/>
    <w:rsid w:val="00B34D53"/>
    <w:rsid w:val="00C93DAF"/>
    <w:rsid w:val="00CF144D"/>
    <w:rsid w:val="00CF7088"/>
    <w:rsid w:val="00D030A5"/>
    <w:rsid w:val="00D46E0B"/>
    <w:rsid w:val="00DA3AF7"/>
    <w:rsid w:val="00DF2DB6"/>
    <w:rsid w:val="00E75EED"/>
    <w:rsid w:val="00EC0FC7"/>
    <w:rsid w:val="00EF5063"/>
    <w:rsid w:val="00F15FD9"/>
    <w:rsid w:val="00FB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037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D1"/>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0CD1"/>
    <w:pPr>
      <w:tabs>
        <w:tab w:val="center" w:pos="4986"/>
        <w:tab w:val="right" w:pos="9972"/>
      </w:tabs>
    </w:pPr>
  </w:style>
  <w:style w:type="character" w:customStyle="1" w:styleId="HeaderChar">
    <w:name w:val="Header Char"/>
    <w:basedOn w:val="DefaultParagraphFont"/>
    <w:link w:val="Header"/>
    <w:rsid w:val="00310CD1"/>
    <w:rPr>
      <w:rFonts w:ascii="Times New Roman" w:eastAsia="Times New Roman" w:hAnsi="Times New Roman" w:cs="Times New Roman"/>
      <w:lang w:val="lt-LT"/>
    </w:rPr>
  </w:style>
  <w:style w:type="paragraph" w:styleId="Footer">
    <w:name w:val="footer"/>
    <w:basedOn w:val="Normal"/>
    <w:link w:val="FooterChar"/>
    <w:rsid w:val="00310CD1"/>
    <w:pPr>
      <w:tabs>
        <w:tab w:val="center" w:pos="4986"/>
        <w:tab w:val="right" w:pos="9972"/>
      </w:tabs>
    </w:pPr>
  </w:style>
  <w:style w:type="character" w:customStyle="1" w:styleId="FooterChar">
    <w:name w:val="Footer Char"/>
    <w:basedOn w:val="DefaultParagraphFont"/>
    <w:link w:val="Footer"/>
    <w:rsid w:val="00310CD1"/>
    <w:rPr>
      <w:rFonts w:ascii="Times New Roman" w:eastAsia="Times New Roman" w:hAnsi="Times New Roman" w:cs="Times New Roman"/>
      <w:lang w:val="lt-LT"/>
    </w:rPr>
  </w:style>
  <w:style w:type="character" w:styleId="PageNumber">
    <w:name w:val="page number"/>
    <w:basedOn w:val="DefaultParagraphFont"/>
    <w:rsid w:val="00310CD1"/>
  </w:style>
  <w:style w:type="table" w:styleId="TableGrid">
    <w:name w:val="Table Grid"/>
    <w:aliases w:val="Summary box,Dossier Table"/>
    <w:basedOn w:val="TableNormal"/>
    <w:rsid w:val="00310CD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310CD1"/>
    <w:pPr>
      <w:ind w:left="720"/>
      <w:contextualSpacing/>
    </w:pPr>
  </w:style>
  <w:style w:type="character" w:customStyle="1" w:styleId="Style2">
    <w:name w:val="Style2"/>
    <w:basedOn w:val="DefaultParagraphFont"/>
    <w:uiPriority w:val="1"/>
    <w:rsid w:val="00310CD1"/>
    <w:rPr>
      <w:sz w:val="32"/>
    </w:rPr>
  </w:style>
  <w:style w:type="character" w:styleId="PlaceholderText">
    <w:name w:val="Placeholder Text"/>
    <w:basedOn w:val="DefaultParagraphFont"/>
    <w:uiPriority w:val="99"/>
    <w:rsid w:val="00310CD1"/>
    <w:rPr>
      <w:color w:val="808080"/>
    </w:rPr>
  </w:style>
  <w:style w:type="paragraph" w:styleId="NoSpacing">
    <w:name w:val="No Spacing"/>
    <w:uiPriority w:val="1"/>
    <w:qFormat/>
    <w:rsid w:val="00310CD1"/>
    <w:rPr>
      <w:rFonts w:ascii="Calibri" w:eastAsia="Calibri" w:hAnsi="Calibri" w:cs="Times New Roman"/>
      <w:sz w:val="22"/>
      <w:szCs w:val="22"/>
      <w:lang w:val="lt-LT"/>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qFormat/>
    <w:locked/>
    <w:rsid w:val="00310CD1"/>
    <w:rPr>
      <w:rFonts w:ascii="Times New Roman" w:eastAsia="Times New Roman" w:hAnsi="Times New Roman" w:cs="Times New Roman"/>
      <w:lang w:val="lt-LT"/>
    </w:rPr>
  </w:style>
  <w:style w:type="character" w:customStyle="1" w:styleId="y2iqfc">
    <w:name w:val="y2iqfc"/>
    <w:basedOn w:val="DefaultParagraphFont"/>
    <w:rsid w:val="0031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36E04A7AA814096E12A3CDC99DBA7"/>
        <w:category>
          <w:name w:val="General"/>
          <w:gallery w:val="placeholder"/>
        </w:category>
        <w:types>
          <w:type w:val="bbPlcHdr"/>
        </w:types>
        <w:behaviors>
          <w:behavior w:val="content"/>
        </w:behaviors>
        <w:guid w:val="{E22E3A8B-434B-2343-AAB5-4427CFB4442E}"/>
      </w:docPartPr>
      <w:docPartBody>
        <w:p w:rsidR="00041F5C" w:rsidRDefault="00392B24" w:rsidP="00392B24">
          <w:pPr>
            <w:pStyle w:val="C6A36E04A7AA814096E12A3CDC99DBA7"/>
          </w:pPr>
          <w:r>
            <w:rPr>
              <w:rStyle w:val="PlaceholderText"/>
            </w:rPr>
            <w:t>Click here to enter a date.</w:t>
          </w:r>
        </w:p>
      </w:docPartBody>
    </w:docPart>
    <w:docPart>
      <w:docPartPr>
        <w:name w:val="C08C78DBD1C1CE47A7FAD26971253AB8"/>
        <w:category>
          <w:name w:val="General"/>
          <w:gallery w:val="placeholder"/>
        </w:category>
        <w:types>
          <w:type w:val="bbPlcHdr"/>
        </w:types>
        <w:behaviors>
          <w:behavior w:val="content"/>
        </w:behaviors>
        <w:guid w:val="{97AB3DD5-E5AA-6F4D-A9B8-6F7AAA4AECCF}"/>
      </w:docPartPr>
      <w:docPartBody>
        <w:p w:rsidR="00041F5C" w:rsidRDefault="00392B24" w:rsidP="00392B24">
          <w:pPr>
            <w:pStyle w:val="C08C78DBD1C1CE47A7FAD26971253AB8"/>
          </w:pPr>
          <w:r>
            <w:rPr>
              <w:rStyle w:val="PlaceholderText"/>
            </w:rPr>
            <w:t>Click here to enter a date.</w:t>
          </w:r>
        </w:p>
      </w:docPartBody>
    </w:docPart>
    <w:docPart>
      <w:docPartPr>
        <w:name w:val="41A3AE8B14E9EE40A4F48FE8C4B00DE9"/>
        <w:category>
          <w:name w:val="General"/>
          <w:gallery w:val="placeholder"/>
        </w:category>
        <w:types>
          <w:type w:val="bbPlcHdr"/>
        </w:types>
        <w:behaviors>
          <w:behavior w:val="content"/>
        </w:behaviors>
        <w:guid w:val="{06D6C8FE-A2BA-6740-81F3-A9006647381B}"/>
      </w:docPartPr>
      <w:docPartBody>
        <w:p w:rsidR="00041F5C" w:rsidRDefault="00392B24" w:rsidP="00392B24">
          <w:pPr>
            <w:pStyle w:val="41A3AE8B14E9EE40A4F48FE8C4B00DE9"/>
          </w:pPr>
          <w:r>
            <w:rPr>
              <w:rStyle w:val="PlaceholderText"/>
            </w:rPr>
            <w:t>Click here to enter a date.</w:t>
          </w:r>
        </w:p>
      </w:docPartBody>
    </w:docPart>
    <w:docPart>
      <w:docPartPr>
        <w:name w:val="024BABBA604D8E4BB613E668FBF5EEB1"/>
        <w:category>
          <w:name w:val="General"/>
          <w:gallery w:val="placeholder"/>
        </w:category>
        <w:types>
          <w:type w:val="bbPlcHdr"/>
        </w:types>
        <w:behaviors>
          <w:behavior w:val="content"/>
        </w:behaviors>
        <w:guid w:val="{FC5E236C-7B46-7F44-83F1-6163FA5B19FA}"/>
      </w:docPartPr>
      <w:docPartBody>
        <w:p w:rsidR="00041F5C" w:rsidRDefault="00392B24" w:rsidP="00392B24">
          <w:pPr>
            <w:pStyle w:val="024BABBA604D8E4BB613E668FBF5EEB1"/>
          </w:pPr>
          <w:r>
            <w:rPr>
              <w:rStyle w:val="PlaceholderText"/>
            </w:rPr>
            <w:t>Click here to enter a date.</w:t>
          </w:r>
        </w:p>
      </w:docPartBody>
    </w:docPart>
    <w:docPart>
      <w:docPartPr>
        <w:name w:val="1727E35538FAD8499EF7513581033E2B"/>
        <w:category>
          <w:name w:val="General"/>
          <w:gallery w:val="placeholder"/>
        </w:category>
        <w:types>
          <w:type w:val="bbPlcHdr"/>
        </w:types>
        <w:behaviors>
          <w:behavior w:val="content"/>
        </w:behaviors>
        <w:guid w:val="{A909CB7D-48C7-F84E-9639-2858F280738A}"/>
      </w:docPartPr>
      <w:docPartBody>
        <w:p w:rsidR="00041F5C" w:rsidRDefault="00392B24" w:rsidP="00392B24">
          <w:pPr>
            <w:pStyle w:val="1727E35538FAD8499EF7513581033E2B"/>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24"/>
    <w:rsid w:val="00041F5C"/>
    <w:rsid w:val="00392B24"/>
    <w:rsid w:val="009561B2"/>
    <w:rsid w:val="00D96872"/>
    <w:rsid w:val="00E63489"/>
    <w:rsid w:val="00F350FD"/>
    <w:rsid w:val="00FA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2B24"/>
    <w:rPr>
      <w:color w:val="808080"/>
    </w:rPr>
  </w:style>
  <w:style w:type="paragraph" w:customStyle="1" w:styleId="C6A36E04A7AA814096E12A3CDC99DBA7">
    <w:name w:val="C6A36E04A7AA814096E12A3CDC99DBA7"/>
    <w:rsid w:val="00392B24"/>
  </w:style>
  <w:style w:type="paragraph" w:customStyle="1" w:styleId="C08C78DBD1C1CE47A7FAD26971253AB8">
    <w:name w:val="C08C78DBD1C1CE47A7FAD26971253AB8"/>
    <w:rsid w:val="00392B24"/>
  </w:style>
  <w:style w:type="paragraph" w:customStyle="1" w:styleId="41A3AE8B14E9EE40A4F48FE8C4B00DE9">
    <w:name w:val="41A3AE8B14E9EE40A4F48FE8C4B00DE9"/>
    <w:rsid w:val="00392B24"/>
  </w:style>
  <w:style w:type="paragraph" w:customStyle="1" w:styleId="024BABBA604D8E4BB613E668FBF5EEB1">
    <w:name w:val="024BABBA604D8E4BB613E668FBF5EEB1"/>
    <w:rsid w:val="00392B24"/>
  </w:style>
  <w:style w:type="paragraph" w:customStyle="1" w:styleId="1727E35538FAD8499EF7513581033E2B">
    <w:name w:val="1727E35538FAD8499EF7513581033E2B"/>
    <w:rsid w:val="00392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2024-01-05T07:35:00Z</dcterms:created>
  <dcterms:modified xsi:type="dcterms:W3CDTF">2024-01-05T07:52:00Z</dcterms:modified>
</cp:coreProperties>
</file>