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4B25813A" w:rsidR="004C263A" w:rsidRPr="008B63AB" w:rsidRDefault="001B3C5B" w:rsidP="001B3C5B">
      <w:pPr>
        <w:ind w:left="6096"/>
      </w:pPr>
      <w:r w:rsidRPr="00E33EFF">
        <w:t>Valstybinės vaistų ko</w:t>
      </w:r>
      <w:r w:rsidR="00122E01">
        <w:t xml:space="preserve"> </w:t>
      </w:r>
      <w:proofErr w:type="spellStart"/>
      <w:r w:rsidRPr="00E33EFF">
        <w:t>trolės</w:t>
      </w:r>
      <w:proofErr w:type="spellEnd"/>
      <w:r w:rsidRPr="00E33EFF">
        <w:t xml:space="preserve"> tarnybos prie Lietuvos Respublikos sveikatos apsaugos ministerijos viršininko 2021 m</w:t>
      </w:r>
      <w:r w:rsidR="004C263A" w:rsidRPr="00E33EFF">
        <w:t xml:space="preserve">. lapkričio 12 </w:t>
      </w:r>
      <w:r w:rsidRPr="00E33EFF">
        <w:t xml:space="preserve">d. </w:t>
      </w:r>
      <w:r w:rsidRPr="008B63AB">
        <w:t>įsakymu Nr.</w:t>
      </w:r>
      <w:r w:rsidR="004C263A" w:rsidRPr="008B63AB">
        <w:t xml:space="preserve"> (1.72E)1A-1418</w:t>
      </w:r>
    </w:p>
    <w:p w14:paraId="5B219AA6" w14:textId="4FE0F7BA" w:rsidR="001B3C5B" w:rsidRPr="008B63AB" w:rsidRDefault="004C263A" w:rsidP="001B3C5B">
      <w:pPr>
        <w:ind w:left="6096"/>
      </w:pPr>
      <w:r w:rsidRPr="008B63AB">
        <w:t>(Valstybinės vaistų kontrolės tarnybos prie Lietuvos Respublikos sveikatos apsaugos ministerijos viršininko 2022 m.</w:t>
      </w:r>
      <w:r w:rsidR="00122E01">
        <w:t xml:space="preserve">            </w:t>
      </w:r>
      <w:r w:rsidRPr="008B63AB">
        <w:t xml:space="preserve"> d. įsakymo Nr.</w:t>
      </w:r>
      <w:r w:rsidR="00122E01">
        <w:t xml:space="preserve">          </w:t>
      </w:r>
      <w:r w:rsidRPr="008B63AB">
        <w:t>redakcija)</w:t>
      </w:r>
    </w:p>
    <w:p w14:paraId="3336BD74" w14:textId="77777777" w:rsidR="001B3C5B" w:rsidRPr="008B63AB" w:rsidRDefault="001B3C5B" w:rsidP="00FA4169"/>
    <w:p w14:paraId="77AFB67E" w14:textId="16397257" w:rsidR="00613501" w:rsidRPr="008B63AB" w:rsidRDefault="002F0E4F" w:rsidP="003B211A">
      <w:pPr>
        <w:jc w:val="center"/>
        <w:rPr>
          <w:b/>
          <w:bCs/>
          <w:caps/>
        </w:rPr>
      </w:pPr>
      <w:r w:rsidRPr="008B63AB">
        <w:rPr>
          <w:b/>
        </w:rPr>
        <w:t xml:space="preserve">REKOMENDACIJA DĖL VAISTINIO PREPARATO </w:t>
      </w:r>
      <w:r w:rsidRPr="008B63AB">
        <w:rPr>
          <w:b/>
          <w:bCs/>
          <w:caps/>
        </w:rPr>
        <w:t>Lietuvos Respublikos Sveikatos apsaugos ministerijos vaistinių preparatų ir medicinos pagalbos priemonių kompensavimo komisijai</w:t>
      </w:r>
    </w:p>
    <w:p w14:paraId="34E4395D" w14:textId="15FB10DF" w:rsidR="00B13D65" w:rsidRPr="008B63AB" w:rsidRDefault="00B13D65" w:rsidP="003B211A">
      <w:pPr>
        <w:jc w:val="center"/>
        <w:rPr>
          <w:b/>
        </w:rPr>
      </w:pPr>
    </w:p>
    <w:p w14:paraId="33197362" w14:textId="77777777" w:rsidR="008358C8" w:rsidRPr="008358C8" w:rsidRDefault="008358C8" w:rsidP="008358C8">
      <w:pPr>
        <w:spacing w:line="360" w:lineRule="auto"/>
        <w:jc w:val="center"/>
        <w:rPr>
          <w:b/>
        </w:rPr>
      </w:pPr>
      <w:proofErr w:type="spellStart"/>
      <w:r w:rsidRPr="008358C8">
        <w:rPr>
          <w:b/>
        </w:rPr>
        <w:t>Epclusa</w:t>
      </w:r>
      <w:proofErr w:type="spellEnd"/>
      <w:r w:rsidRPr="008358C8">
        <w:rPr>
          <w:b/>
        </w:rPr>
        <w:t xml:space="preserve"> 400 mg/100 mg plėvele dengtos tabletės</w:t>
      </w:r>
    </w:p>
    <w:p w14:paraId="726C51F0" w14:textId="77777777" w:rsidR="008358C8" w:rsidRPr="008358C8" w:rsidRDefault="008358C8" w:rsidP="008358C8">
      <w:pPr>
        <w:spacing w:line="360" w:lineRule="auto"/>
        <w:jc w:val="center"/>
        <w:rPr>
          <w:b/>
        </w:rPr>
      </w:pPr>
      <w:proofErr w:type="spellStart"/>
      <w:r w:rsidRPr="008358C8">
        <w:rPr>
          <w:b/>
        </w:rPr>
        <w:t>Sofosbuviras</w:t>
      </w:r>
      <w:proofErr w:type="spellEnd"/>
      <w:r w:rsidRPr="008358C8">
        <w:rPr>
          <w:b/>
        </w:rPr>
        <w:t>/</w:t>
      </w:r>
      <w:proofErr w:type="spellStart"/>
      <w:r w:rsidRPr="008358C8">
        <w:rPr>
          <w:b/>
        </w:rPr>
        <w:t>Velpatasviras</w:t>
      </w:r>
      <w:proofErr w:type="spellEnd"/>
      <w:r w:rsidRPr="008358C8">
        <w:rPr>
          <w:b/>
        </w:rPr>
        <w:t xml:space="preserve"> </w:t>
      </w:r>
    </w:p>
    <w:p w14:paraId="453197C8" w14:textId="631F03E4" w:rsidR="00D4708D" w:rsidRDefault="008358C8" w:rsidP="008358C8">
      <w:pPr>
        <w:spacing w:line="360" w:lineRule="auto"/>
        <w:jc w:val="center"/>
        <w:rPr>
          <w:b/>
        </w:rPr>
      </w:pPr>
      <w:r w:rsidRPr="008358C8">
        <w:rPr>
          <w:b/>
        </w:rPr>
        <w:t>STV–65</w:t>
      </w:r>
    </w:p>
    <w:p w14:paraId="37E538E4" w14:textId="77777777" w:rsidR="008358C8" w:rsidRPr="006C4813" w:rsidRDefault="008358C8" w:rsidP="008358C8">
      <w:pPr>
        <w:jc w:val="center"/>
        <w:rPr>
          <w:b/>
        </w:rPr>
      </w:pPr>
    </w:p>
    <w:p w14:paraId="78C89D1C" w14:textId="0DEFFAA5" w:rsidR="00D4485B" w:rsidRPr="006C4813" w:rsidRDefault="00B13D65" w:rsidP="00CC09D4">
      <w:pPr>
        <w:pStyle w:val="Sraopastraipa"/>
        <w:numPr>
          <w:ilvl w:val="0"/>
          <w:numId w:val="12"/>
        </w:numPr>
        <w:tabs>
          <w:tab w:val="left" w:pos="567"/>
        </w:tabs>
        <w:ind w:left="567" w:hanging="567"/>
        <w:rPr>
          <w:b/>
          <w:bCs/>
          <w:caps/>
        </w:rPr>
      </w:pPr>
      <w:r w:rsidRPr="006C4813">
        <w:rPr>
          <w:b/>
          <w:bCs/>
          <w:caps/>
        </w:rPr>
        <w:t>Bendroji dalis</w:t>
      </w:r>
    </w:p>
    <w:p w14:paraId="04A7C7A7" w14:textId="77777777" w:rsidR="00B13D65" w:rsidRPr="006C4813"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8358C8" w:rsidRPr="000A189D" w14:paraId="18A83EC2" w14:textId="77777777" w:rsidTr="006C4813">
        <w:trPr>
          <w:trHeight w:val="99"/>
        </w:trPr>
        <w:tc>
          <w:tcPr>
            <w:tcW w:w="632" w:type="dxa"/>
          </w:tcPr>
          <w:p w14:paraId="0646FBEA" w14:textId="77777777" w:rsidR="008358C8" w:rsidRPr="000A189D" w:rsidRDefault="008358C8" w:rsidP="008358C8">
            <w:pPr>
              <w:rPr>
                <w:rFonts w:eastAsia="Arial"/>
              </w:rPr>
            </w:pPr>
            <w:r w:rsidRPr="000A189D">
              <w:rPr>
                <w:rFonts w:eastAsia="Arial"/>
              </w:rPr>
              <w:t>1.1</w:t>
            </w:r>
          </w:p>
        </w:tc>
        <w:tc>
          <w:tcPr>
            <w:tcW w:w="3694" w:type="dxa"/>
          </w:tcPr>
          <w:p w14:paraId="2AF240DC" w14:textId="35B76415" w:rsidR="008358C8" w:rsidRPr="000A189D" w:rsidRDefault="008358C8" w:rsidP="008358C8">
            <w:pPr>
              <w:rPr>
                <w:rFonts w:eastAsia="Arial"/>
              </w:rPr>
            </w:pPr>
            <w:r w:rsidRPr="000A189D">
              <w:rPr>
                <w:rFonts w:eastAsia="Arial"/>
              </w:rPr>
              <w:t>Pareiškėjas</w:t>
            </w:r>
          </w:p>
        </w:tc>
        <w:sdt>
          <w:sdtPr>
            <w:rPr>
              <w:rFonts w:eastAsiaTheme="minorHAnsi"/>
            </w:rPr>
            <w:id w:val="886223320"/>
            <w:placeholder>
              <w:docPart w:val="28558B219B174D889C09F8183FB06D90"/>
            </w:placeholder>
            <w:text/>
          </w:sdtPr>
          <w:sdtEndPr/>
          <w:sdtContent>
            <w:tc>
              <w:tcPr>
                <w:tcW w:w="5167" w:type="dxa"/>
              </w:tcPr>
              <w:p w14:paraId="2AAF0D91" w14:textId="78C93567" w:rsidR="008358C8" w:rsidRPr="000A189D" w:rsidRDefault="008358C8" w:rsidP="008358C8">
                <w:pPr>
                  <w:tabs>
                    <w:tab w:val="left" w:pos="3331"/>
                  </w:tabs>
                  <w:rPr>
                    <w:rFonts w:eastAsia="Arial"/>
                  </w:rPr>
                </w:pPr>
                <w:proofErr w:type="spellStart"/>
                <w:r w:rsidRPr="000A189D">
                  <w:rPr>
                    <w:color w:val="000000"/>
                  </w:rPr>
                  <w:t>Gilead</w:t>
                </w:r>
                <w:proofErr w:type="spellEnd"/>
                <w:r w:rsidRPr="000A189D">
                  <w:rPr>
                    <w:color w:val="000000"/>
                  </w:rPr>
                  <w:t xml:space="preserve"> </w:t>
                </w:r>
                <w:proofErr w:type="spellStart"/>
                <w:r w:rsidRPr="000A189D">
                  <w:rPr>
                    <w:color w:val="000000"/>
                  </w:rPr>
                  <w:t>Sciences</w:t>
                </w:r>
                <w:proofErr w:type="spellEnd"/>
                <w:r w:rsidRPr="000A189D">
                  <w:rPr>
                    <w:color w:val="000000"/>
                  </w:rPr>
                  <w:t xml:space="preserve"> </w:t>
                </w:r>
                <w:proofErr w:type="spellStart"/>
                <w:r w:rsidRPr="000A189D">
                  <w:rPr>
                    <w:color w:val="000000"/>
                  </w:rPr>
                  <w:t>Ireland</w:t>
                </w:r>
                <w:proofErr w:type="spellEnd"/>
                <w:r w:rsidRPr="000A189D">
                  <w:rPr>
                    <w:color w:val="000000"/>
                  </w:rPr>
                  <w:t xml:space="preserve"> UC</w:t>
                </w:r>
              </w:p>
            </w:tc>
          </w:sdtContent>
        </w:sdt>
      </w:tr>
      <w:tr w:rsidR="008358C8" w:rsidRPr="000A189D" w14:paraId="31998B0D" w14:textId="77777777" w:rsidTr="006C4813">
        <w:trPr>
          <w:trHeight w:val="99"/>
        </w:trPr>
        <w:tc>
          <w:tcPr>
            <w:tcW w:w="632" w:type="dxa"/>
          </w:tcPr>
          <w:p w14:paraId="2005EC67" w14:textId="662300D0" w:rsidR="008358C8" w:rsidRPr="000A189D" w:rsidRDefault="008358C8" w:rsidP="008358C8">
            <w:pPr>
              <w:rPr>
                <w:rFonts w:eastAsia="Arial"/>
              </w:rPr>
            </w:pPr>
            <w:r w:rsidRPr="000A189D">
              <w:rPr>
                <w:rFonts w:eastAsia="Arial"/>
              </w:rPr>
              <w:t>1.2</w:t>
            </w:r>
          </w:p>
        </w:tc>
        <w:tc>
          <w:tcPr>
            <w:tcW w:w="3694" w:type="dxa"/>
          </w:tcPr>
          <w:p w14:paraId="3A0DC096" w14:textId="638FBB91" w:rsidR="008358C8" w:rsidRPr="000A189D" w:rsidRDefault="008358C8" w:rsidP="008358C8">
            <w:pPr>
              <w:rPr>
                <w:bCs/>
                <w:color w:val="000000"/>
                <w:lang w:eastAsia="lt-LT"/>
              </w:rPr>
            </w:pPr>
            <w:r w:rsidRPr="000A189D">
              <w:rPr>
                <w:bCs/>
                <w:color w:val="000000"/>
                <w:lang w:eastAsia="lt-LT"/>
              </w:rPr>
              <w:t xml:space="preserve">Registracijos data </w:t>
            </w:r>
          </w:p>
        </w:tc>
        <w:tc>
          <w:tcPr>
            <w:tcW w:w="5167" w:type="dxa"/>
          </w:tcPr>
          <w:p w14:paraId="3CA218AD" w14:textId="707C139F" w:rsidR="008358C8" w:rsidRPr="000A189D" w:rsidRDefault="00F14FE1" w:rsidP="008358C8">
            <w:pPr>
              <w:rPr>
                <w:rStyle w:val="Style2"/>
                <w:sz w:val="24"/>
              </w:rPr>
            </w:pPr>
            <w:sdt>
              <w:sdtPr>
                <w:rPr>
                  <w:sz w:val="32"/>
                </w:rPr>
                <w:alias w:val="Nurodykite konkrečią dieną"/>
                <w:tag w:val="Nurodykite pradžios datą"/>
                <w:id w:val="423238108"/>
                <w:placeholder>
                  <w:docPart w:val="B78E18AB7C33451C9A62D41AC05DB1B4"/>
                </w:placeholder>
                <w:date>
                  <w:dateFormat w:val="yyyy 'm.' MMMM d 'd.'"/>
                  <w:lid w:val="lt-LT"/>
                  <w:storeMappedDataAs w:val="dateTime"/>
                  <w:calendar w:val="gregorian"/>
                </w:date>
              </w:sdtPr>
              <w:sdtEndPr>
                <w:rPr>
                  <w:sz w:val="24"/>
                </w:rPr>
              </w:sdtEndPr>
              <w:sdtContent>
                <w:r w:rsidR="008358C8" w:rsidRPr="000A189D">
                  <w:t>2016 m. liepos 6 d.</w:t>
                </w:r>
              </w:sdtContent>
            </w:sdt>
          </w:p>
        </w:tc>
      </w:tr>
      <w:tr w:rsidR="008358C8" w:rsidRPr="000A189D" w14:paraId="15968AE1" w14:textId="77777777" w:rsidTr="006C4813">
        <w:trPr>
          <w:trHeight w:val="665"/>
        </w:trPr>
        <w:tc>
          <w:tcPr>
            <w:tcW w:w="632" w:type="dxa"/>
          </w:tcPr>
          <w:p w14:paraId="6A784245" w14:textId="1E461489" w:rsidR="008358C8" w:rsidRPr="000A189D" w:rsidRDefault="008358C8" w:rsidP="008358C8">
            <w:pPr>
              <w:rPr>
                <w:rFonts w:eastAsia="Arial"/>
              </w:rPr>
            </w:pPr>
            <w:r w:rsidRPr="000A189D">
              <w:rPr>
                <w:rFonts w:eastAsia="Arial"/>
              </w:rPr>
              <w:t>1.3</w:t>
            </w:r>
          </w:p>
        </w:tc>
        <w:tc>
          <w:tcPr>
            <w:tcW w:w="3694" w:type="dxa"/>
          </w:tcPr>
          <w:p w14:paraId="22933506" w14:textId="77777777" w:rsidR="008358C8" w:rsidRPr="000A189D" w:rsidRDefault="008358C8" w:rsidP="008358C8">
            <w:r w:rsidRPr="000A189D">
              <w:t xml:space="preserve">Paraiškos tipas </w:t>
            </w:r>
          </w:p>
          <w:p w14:paraId="77089D80" w14:textId="64992E3D" w:rsidR="008358C8" w:rsidRPr="000A189D" w:rsidRDefault="008358C8" w:rsidP="008358C8">
            <w:r w:rsidRPr="000A189D">
              <w:t xml:space="preserve">(pagal </w:t>
            </w:r>
            <w:r w:rsidRPr="000A189D">
              <w:rPr>
                <w:color w:val="333333"/>
                <w:shd w:val="clear" w:color="auto" w:fill="FFFFFF"/>
              </w:rPr>
              <w:t>vaistinio preparato registracijos tipą, įtvirtintą</w:t>
            </w:r>
            <w:r w:rsidRPr="000A189D">
              <w:t xml:space="preserve"> Direktyvos 2001/83/EB </w:t>
            </w:r>
            <w:proofErr w:type="spellStart"/>
            <w:r w:rsidRPr="000A189D">
              <w:t>straipsiuose</w:t>
            </w:r>
            <w:proofErr w:type="spellEnd"/>
            <w:r w:rsidRPr="000A189D">
              <w:t>)</w:t>
            </w:r>
          </w:p>
        </w:tc>
        <w:tc>
          <w:tcPr>
            <w:tcW w:w="5167" w:type="dxa"/>
          </w:tcPr>
          <w:p w14:paraId="2AC363FB" w14:textId="47BF704C" w:rsidR="008358C8" w:rsidRPr="000A189D" w:rsidRDefault="00F14FE1" w:rsidP="008358C8">
            <w:sdt>
              <w:sdtPr>
                <w:rPr>
                  <w:rStyle w:val="Style2"/>
                  <w:sz w:val="24"/>
                </w:rPr>
                <w:id w:val="-366596377"/>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8.3 str. (pilna byla, pagrįsta savais tyrimais) </w:t>
            </w:r>
          </w:p>
          <w:p w14:paraId="24DF5526" w14:textId="1D011111" w:rsidR="008358C8" w:rsidRPr="000A189D" w:rsidRDefault="00F14FE1" w:rsidP="008358C8">
            <w:sdt>
              <w:sdtPr>
                <w:rPr>
                  <w:rStyle w:val="Style2"/>
                  <w:sz w:val="24"/>
                </w:rPr>
                <w:id w:val="675462298"/>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10 a str. (pripažintas medicininis vartojimas) </w:t>
            </w:r>
          </w:p>
          <w:p w14:paraId="26D258CA" w14:textId="19143CAD" w:rsidR="008358C8" w:rsidRPr="000A189D" w:rsidRDefault="00F14FE1" w:rsidP="008358C8">
            <w:sdt>
              <w:sdtPr>
                <w:rPr>
                  <w:rStyle w:val="Style2"/>
                  <w:sz w:val="24"/>
                </w:rPr>
                <w:id w:val="-1290435890"/>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10.1 str. (</w:t>
            </w:r>
            <w:proofErr w:type="spellStart"/>
            <w:r w:rsidR="008358C8" w:rsidRPr="000A189D">
              <w:t>generinis</w:t>
            </w:r>
            <w:proofErr w:type="spellEnd"/>
            <w:r w:rsidR="008358C8" w:rsidRPr="000A189D">
              <w:t>)</w:t>
            </w:r>
          </w:p>
          <w:p w14:paraId="3B0A4F72" w14:textId="2DBA7E66" w:rsidR="008358C8" w:rsidRPr="000A189D" w:rsidRDefault="00F14FE1" w:rsidP="008358C8">
            <w:pPr>
              <w:rPr>
                <w:rStyle w:val="Style2"/>
                <w:sz w:val="24"/>
              </w:rPr>
            </w:pPr>
            <w:sdt>
              <w:sdtPr>
                <w:rPr>
                  <w:rStyle w:val="Style2"/>
                  <w:sz w:val="24"/>
                </w:rPr>
                <w:id w:val="-124545030"/>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10.3 str. (hibridinis)</w:t>
            </w:r>
          </w:p>
        </w:tc>
      </w:tr>
      <w:tr w:rsidR="008358C8" w:rsidRPr="000A189D" w14:paraId="310E9662" w14:textId="77777777" w:rsidTr="006C4813">
        <w:trPr>
          <w:trHeight w:val="395"/>
        </w:trPr>
        <w:tc>
          <w:tcPr>
            <w:tcW w:w="632" w:type="dxa"/>
          </w:tcPr>
          <w:p w14:paraId="4B5A91A2" w14:textId="561B5E5F" w:rsidR="008358C8" w:rsidRPr="000A189D" w:rsidRDefault="008358C8" w:rsidP="008358C8">
            <w:pPr>
              <w:rPr>
                <w:rFonts w:eastAsia="Arial"/>
              </w:rPr>
            </w:pPr>
            <w:r w:rsidRPr="000A189D">
              <w:rPr>
                <w:rFonts w:eastAsia="Arial"/>
              </w:rPr>
              <w:t>1.4</w:t>
            </w:r>
          </w:p>
        </w:tc>
        <w:tc>
          <w:tcPr>
            <w:tcW w:w="3694" w:type="dxa"/>
          </w:tcPr>
          <w:p w14:paraId="483071A3" w14:textId="57873AF7" w:rsidR="008358C8" w:rsidRPr="000A189D" w:rsidRDefault="008358C8" w:rsidP="008358C8">
            <w:pPr>
              <w:rPr>
                <w:bCs/>
                <w:color w:val="000000"/>
                <w:lang w:eastAsia="lt-LT"/>
              </w:rPr>
            </w:pPr>
            <w:r w:rsidRPr="000A189D">
              <w:rPr>
                <w:bCs/>
                <w:color w:val="000000"/>
                <w:lang w:eastAsia="lt-LT"/>
              </w:rPr>
              <w:t xml:space="preserve">Ar vaistinis preparatas įrašytas į Bendrijos retųjų vaistinių preparatų registrą? </w:t>
            </w:r>
          </w:p>
        </w:tc>
        <w:tc>
          <w:tcPr>
            <w:tcW w:w="5167" w:type="dxa"/>
          </w:tcPr>
          <w:p w14:paraId="5B2A3D17" w14:textId="35D396AA" w:rsidR="008358C8" w:rsidRPr="000A189D" w:rsidRDefault="00F14FE1" w:rsidP="008358C8">
            <w:sdt>
              <w:sdtPr>
                <w:rPr>
                  <w:rStyle w:val="Style2"/>
                  <w:sz w:val="24"/>
                </w:rPr>
                <w:id w:val="2024432173"/>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Taip</w:t>
            </w:r>
          </w:p>
          <w:p w14:paraId="7E76739E" w14:textId="6968A677" w:rsidR="008358C8" w:rsidRPr="000A189D" w:rsidRDefault="00F14FE1" w:rsidP="008358C8">
            <w:sdt>
              <w:sdtPr>
                <w:rPr>
                  <w:rStyle w:val="Style2"/>
                  <w:sz w:val="24"/>
                </w:rPr>
                <w:id w:val="-970507926"/>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Ne</w:t>
            </w:r>
          </w:p>
          <w:p w14:paraId="29C2CBBB" w14:textId="0C6A7484" w:rsidR="008358C8" w:rsidRPr="000A189D" w:rsidRDefault="00F14FE1" w:rsidP="008358C8">
            <w:pPr>
              <w:rPr>
                <w:rFonts w:eastAsia="Arial"/>
              </w:rPr>
            </w:pPr>
            <w:sdt>
              <w:sdtPr>
                <w:alias w:val="Nurodykite konkrečią dieną"/>
                <w:tag w:val="Nurodykite pradžios datą"/>
                <w:id w:val="693498901"/>
                <w:showingPlcHdr/>
                <w:date w:fullDate="2022-05-18T00:00:00Z">
                  <w:dateFormat w:val="yyyy 'm.' MMMM d 'd.'"/>
                  <w:lid w:val="lt-LT"/>
                  <w:storeMappedDataAs w:val="dateTime"/>
                  <w:calendar w:val="gregorian"/>
                </w:date>
              </w:sdtPr>
              <w:sdtEndPr/>
              <w:sdtContent>
                <w:r w:rsidR="008358C8" w:rsidRPr="000A189D">
                  <w:rPr>
                    <w:rStyle w:val="Vietosrezervavimoenklotekstas"/>
                  </w:rPr>
                  <w:t>Click here to enter a date.</w:t>
                </w:r>
              </w:sdtContent>
            </w:sdt>
          </w:p>
        </w:tc>
      </w:tr>
      <w:tr w:rsidR="008358C8" w:rsidRPr="000A189D" w14:paraId="7841E5F8" w14:textId="77777777" w:rsidTr="006C4813">
        <w:trPr>
          <w:trHeight w:val="99"/>
        </w:trPr>
        <w:tc>
          <w:tcPr>
            <w:tcW w:w="632" w:type="dxa"/>
          </w:tcPr>
          <w:p w14:paraId="109D2861" w14:textId="73BF27DF" w:rsidR="008358C8" w:rsidRPr="000A189D" w:rsidRDefault="008358C8" w:rsidP="008358C8">
            <w:pPr>
              <w:rPr>
                <w:rFonts w:eastAsia="Arial"/>
              </w:rPr>
            </w:pPr>
            <w:r w:rsidRPr="000A189D">
              <w:rPr>
                <w:rFonts w:eastAsia="Arial"/>
              </w:rPr>
              <w:t>1.5</w:t>
            </w:r>
          </w:p>
        </w:tc>
        <w:tc>
          <w:tcPr>
            <w:tcW w:w="3694" w:type="dxa"/>
          </w:tcPr>
          <w:p w14:paraId="7822D63E" w14:textId="68C38334" w:rsidR="008358C8" w:rsidRPr="000A189D" w:rsidRDefault="008358C8" w:rsidP="008358C8">
            <w:pPr>
              <w:rPr>
                <w:bCs/>
                <w:color w:val="000000"/>
                <w:lang w:eastAsia="lt-LT"/>
              </w:rPr>
            </w:pPr>
            <w:r w:rsidRPr="000A189D">
              <w:t>STV paraiškos pobūdis</w:t>
            </w:r>
          </w:p>
        </w:tc>
        <w:tc>
          <w:tcPr>
            <w:tcW w:w="5167" w:type="dxa"/>
          </w:tcPr>
          <w:p w14:paraId="403461B9" w14:textId="4AEBD86F" w:rsidR="008358C8" w:rsidRPr="000A189D" w:rsidRDefault="00F14FE1" w:rsidP="008358C8">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Pilna paraiška</w:t>
            </w:r>
          </w:p>
          <w:p w14:paraId="6B8213E3" w14:textId="5C41ACD1" w:rsidR="008358C8" w:rsidRPr="000A189D" w:rsidRDefault="00F14FE1" w:rsidP="008358C8">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8358C8" w:rsidRPr="000A189D">
                  <w:rPr>
                    <w:rStyle w:val="Style2"/>
                    <w:rFonts w:ascii="MS Mincho" w:eastAsia="MS Mincho" w:hAnsi="MS Mincho" w:cs="MS Mincho"/>
                    <w:sz w:val="24"/>
                  </w:rPr>
                  <w:t>☐</w:t>
                </w:r>
              </w:sdtContent>
            </w:sdt>
            <w:r w:rsidR="008358C8" w:rsidRPr="000A189D">
              <w:t xml:space="preserve"> Supaprastinta paraiška</w:t>
            </w:r>
          </w:p>
        </w:tc>
      </w:tr>
      <w:tr w:rsidR="008358C8" w:rsidRPr="000A189D" w14:paraId="274D1DAF" w14:textId="77777777" w:rsidTr="008358C8">
        <w:trPr>
          <w:trHeight w:val="1006"/>
        </w:trPr>
        <w:tc>
          <w:tcPr>
            <w:tcW w:w="632" w:type="dxa"/>
          </w:tcPr>
          <w:p w14:paraId="17ABF217" w14:textId="14AC00D7" w:rsidR="008358C8" w:rsidRPr="000A189D" w:rsidRDefault="008358C8" w:rsidP="008358C8">
            <w:pPr>
              <w:rPr>
                <w:rFonts w:eastAsia="Arial"/>
              </w:rPr>
            </w:pPr>
            <w:r w:rsidRPr="000A189D">
              <w:rPr>
                <w:rFonts w:eastAsia="Arial"/>
              </w:rPr>
              <w:t>1.6</w:t>
            </w:r>
          </w:p>
        </w:tc>
        <w:tc>
          <w:tcPr>
            <w:tcW w:w="3694" w:type="dxa"/>
          </w:tcPr>
          <w:p w14:paraId="4D49DBF5" w14:textId="77777777" w:rsidR="008358C8" w:rsidRPr="000A189D" w:rsidRDefault="008358C8" w:rsidP="008358C8">
            <w:pPr>
              <w:spacing w:line="276" w:lineRule="auto"/>
              <w:rPr>
                <w:bCs/>
                <w:color w:val="000000"/>
                <w:lang w:eastAsia="lt-LT"/>
              </w:rPr>
            </w:pPr>
            <w:r w:rsidRPr="000A189D">
              <w:rPr>
                <w:bCs/>
                <w:color w:val="000000"/>
                <w:lang w:eastAsia="lt-LT"/>
              </w:rPr>
              <w:t>Pareiškėjo teikiama (-</w:t>
            </w:r>
            <w:proofErr w:type="spellStart"/>
            <w:r w:rsidRPr="000A189D">
              <w:rPr>
                <w:bCs/>
                <w:color w:val="000000"/>
                <w:lang w:eastAsia="lt-LT"/>
              </w:rPr>
              <w:t>os</w:t>
            </w:r>
            <w:proofErr w:type="spellEnd"/>
            <w:r w:rsidRPr="000A189D">
              <w:rPr>
                <w:bCs/>
                <w:color w:val="000000"/>
                <w:lang w:eastAsia="lt-LT"/>
              </w:rPr>
              <w:t>) kompensuoti vaistinio preparato indikacija (-</w:t>
            </w:r>
            <w:proofErr w:type="spellStart"/>
            <w:r w:rsidRPr="000A189D">
              <w:rPr>
                <w:bCs/>
                <w:color w:val="000000"/>
                <w:lang w:eastAsia="lt-LT"/>
              </w:rPr>
              <w:t>os</w:t>
            </w:r>
            <w:proofErr w:type="spellEnd"/>
            <w:r w:rsidRPr="000A189D">
              <w:rPr>
                <w:bCs/>
                <w:color w:val="000000"/>
                <w:lang w:eastAsia="lt-LT"/>
              </w:rPr>
              <w:t>)</w:t>
            </w:r>
          </w:p>
          <w:p w14:paraId="771062AC" w14:textId="77777777" w:rsidR="008358C8" w:rsidRPr="000A189D" w:rsidRDefault="008358C8" w:rsidP="008358C8">
            <w:pPr>
              <w:spacing w:line="276" w:lineRule="auto"/>
              <w:rPr>
                <w:bCs/>
                <w:color w:val="000000"/>
                <w:lang w:eastAsia="lt-LT"/>
              </w:rPr>
            </w:pPr>
          </w:p>
          <w:p w14:paraId="6B4FEEC1" w14:textId="5BFF9552" w:rsidR="008358C8" w:rsidRPr="000A189D" w:rsidRDefault="008358C8" w:rsidP="008358C8">
            <w:pPr>
              <w:spacing w:line="276" w:lineRule="auto"/>
              <w:rPr>
                <w:bCs/>
                <w:color w:val="000000"/>
                <w:lang w:eastAsia="lt-LT"/>
              </w:rPr>
            </w:pPr>
            <w:r w:rsidRPr="000A189D">
              <w:rPr>
                <w:bCs/>
                <w:color w:val="000000"/>
                <w:lang w:eastAsia="lt-LT"/>
              </w:rPr>
              <w:t>Kodas pagal TLK-10 AM</w:t>
            </w:r>
          </w:p>
        </w:tc>
        <w:tc>
          <w:tcPr>
            <w:tcW w:w="5167" w:type="dxa"/>
          </w:tcPr>
          <w:p w14:paraId="14B04296" w14:textId="77777777" w:rsidR="008358C8" w:rsidRPr="000A189D" w:rsidRDefault="008358C8" w:rsidP="008358C8">
            <w:pPr>
              <w:pStyle w:val="Sraopastraipa"/>
              <w:spacing w:line="276" w:lineRule="auto"/>
              <w:ind w:left="0"/>
              <w:contextualSpacing w:val="0"/>
              <w:jc w:val="both"/>
            </w:pPr>
            <w:proofErr w:type="spellStart"/>
            <w:r w:rsidRPr="000A189D">
              <w:t>Epclusa</w:t>
            </w:r>
            <w:proofErr w:type="spellEnd"/>
            <w:r w:rsidRPr="000A189D">
              <w:t xml:space="preserve"> skirtas 6 metų ir vyresniems bei sveriantiems mažiausiai 17 kg pacientams lėtinio hepatito C viruso (HCV) infekcijai gydyti.</w:t>
            </w:r>
          </w:p>
          <w:p w14:paraId="7556910F" w14:textId="77777777" w:rsidR="008358C8" w:rsidRPr="000A189D" w:rsidRDefault="008358C8" w:rsidP="008358C8">
            <w:pPr>
              <w:spacing w:line="276" w:lineRule="auto"/>
            </w:pPr>
          </w:p>
          <w:p w14:paraId="13F7DFB0" w14:textId="57AF2620" w:rsidR="008358C8" w:rsidRPr="000A189D" w:rsidRDefault="008358C8" w:rsidP="008358C8">
            <w:pPr>
              <w:spacing w:line="276" w:lineRule="auto"/>
            </w:pPr>
            <w:r w:rsidRPr="000A189D">
              <w:t>TLK-10-AM: B18.2</w:t>
            </w:r>
          </w:p>
        </w:tc>
      </w:tr>
      <w:tr w:rsidR="008358C8" w:rsidRPr="000A189D" w14:paraId="2F79DC08" w14:textId="77777777" w:rsidTr="00BE7489">
        <w:trPr>
          <w:trHeight w:val="378"/>
        </w:trPr>
        <w:tc>
          <w:tcPr>
            <w:tcW w:w="632" w:type="dxa"/>
          </w:tcPr>
          <w:p w14:paraId="547885A2" w14:textId="08AA8055" w:rsidR="008358C8" w:rsidRPr="000A189D" w:rsidRDefault="008358C8" w:rsidP="008358C8">
            <w:pPr>
              <w:rPr>
                <w:rFonts w:eastAsia="Arial"/>
              </w:rPr>
            </w:pPr>
            <w:r w:rsidRPr="000A189D">
              <w:rPr>
                <w:rFonts w:eastAsia="Arial"/>
              </w:rPr>
              <w:t>1.6</w:t>
            </w:r>
          </w:p>
        </w:tc>
        <w:tc>
          <w:tcPr>
            <w:tcW w:w="3694" w:type="dxa"/>
          </w:tcPr>
          <w:p w14:paraId="2EAB877F" w14:textId="39A36941" w:rsidR="008358C8" w:rsidRPr="000A189D" w:rsidRDefault="008358C8" w:rsidP="008358C8">
            <w:pPr>
              <w:rPr>
                <w:bCs/>
                <w:color w:val="000000"/>
                <w:u w:val="single"/>
                <w:lang w:eastAsia="lt-LT"/>
              </w:rPr>
            </w:pPr>
            <w:r w:rsidRPr="000A189D">
              <w:rPr>
                <w:bCs/>
                <w:color w:val="000000"/>
                <w:lang w:eastAsia="lt-LT"/>
              </w:rPr>
              <w:t xml:space="preserve">Pareiškėjo teikiamos skyrimo sąlygos </w:t>
            </w:r>
          </w:p>
        </w:tc>
        <w:tc>
          <w:tcPr>
            <w:tcW w:w="5167" w:type="dxa"/>
          </w:tcPr>
          <w:p w14:paraId="0579DF58" w14:textId="08409870" w:rsidR="008358C8" w:rsidRPr="000A189D" w:rsidRDefault="008358C8" w:rsidP="008358C8">
            <w:pPr>
              <w:pStyle w:val="Betarp"/>
              <w:spacing w:line="276" w:lineRule="auto"/>
              <w:rPr>
                <w:rFonts w:ascii="Times New Roman" w:hAnsi="Times New Roman"/>
                <w:sz w:val="24"/>
                <w:szCs w:val="24"/>
              </w:rPr>
            </w:pPr>
            <w:r w:rsidRPr="000A189D">
              <w:rPr>
                <w:rFonts w:ascii="Times New Roman" w:eastAsia="Times New Roman" w:hAnsi="Times New Roman"/>
                <w:sz w:val="24"/>
                <w:szCs w:val="24"/>
              </w:rPr>
              <w:t>Netaikoma.</w:t>
            </w:r>
          </w:p>
        </w:tc>
      </w:tr>
      <w:tr w:rsidR="008358C8" w:rsidRPr="000A189D" w14:paraId="3B125269" w14:textId="77777777" w:rsidTr="00BE7489">
        <w:trPr>
          <w:trHeight w:val="378"/>
        </w:trPr>
        <w:tc>
          <w:tcPr>
            <w:tcW w:w="632" w:type="dxa"/>
          </w:tcPr>
          <w:p w14:paraId="0058E11F" w14:textId="77777777" w:rsidR="008358C8" w:rsidRPr="000A189D" w:rsidRDefault="008358C8" w:rsidP="008358C8">
            <w:pPr>
              <w:rPr>
                <w:rFonts w:eastAsia="Arial"/>
              </w:rPr>
            </w:pPr>
            <w:r w:rsidRPr="000A189D">
              <w:rPr>
                <w:rFonts w:eastAsia="Arial"/>
              </w:rPr>
              <w:t>1.7</w:t>
            </w:r>
          </w:p>
        </w:tc>
        <w:tc>
          <w:tcPr>
            <w:tcW w:w="3694" w:type="dxa"/>
          </w:tcPr>
          <w:p w14:paraId="1BAAD642" w14:textId="5C6DB89F" w:rsidR="008358C8" w:rsidRPr="000A189D" w:rsidRDefault="008358C8" w:rsidP="008358C8">
            <w:pPr>
              <w:rPr>
                <w:bCs/>
                <w:color w:val="000000"/>
                <w:lang w:eastAsia="lt-LT"/>
              </w:rPr>
            </w:pPr>
            <w:r w:rsidRPr="000A189D">
              <w:rPr>
                <w:bCs/>
                <w:color w:val="000000"/>
                <w:lang w:eastAsia="lt-LT"/>
              </w:rPr>
              <w:t xml:space="preserve">Pareiškėjo teikiamas palyginamasis gydymas: </w:t>
            </w:r>
          </w:p>
          <w:p w14:paraId="20C5407E" w14:textId="3EA5E034" w:rsidR="008358C8" w:rsidRPr="000A189D" w:rsidRDefault="008358C8" w:rsidP="008358C8">
            <w:pPr>
              <w:pStyle w:val="Sraopastraipa"/>
              <w:numPr>
                <w:ilvl w:val="0"/>
                <w:numId w:val="15"/>
              </w:numPr>
              <w:rPr>
                <w:bCs/>
                <w:color w:val="000000"/>
                <w:lang w:eastAsia="lt-LT"/>
              </w:rPr>
            </w:pPr>
            <w:r w:rsidRPr="000A189D">
              <w:rPr>
                <w:bCs/>
                <w:color w:val="000000"/>
                <w:lang w:eastAsia="lt-LT"/>
              </w:rPr>
              <w:t xml:space="preserve">tiesioginiame palyginime – </w:t>
            </w:r>
            <w:proofErr w:type="spellStart"/>
            <w:r w:rsidRPr="000A189D">
              <w:rPr>
                <w:bCs/>
                <w:color w:val="000000"/>
                <w:lang w:eastAsia="lt-LT"/>
              </w:rPr>
              <w:t>placeb</w:t>
            </w:r>
            <w:r w:rsidR="00A1438F" w:rsidRPr="000A189D">
              <w:rPr>
                <w:bCs/>
                <w:color w:val="000000"/>
                <w:lang w:eastAsia="lt-LT"/>
              </w:rPr>
              <w:t>as</w:t>
            </w:r>
            <w:proofErr w:type="spellEnd"/>
            <w:r w:rsidRPr="000A189D">
              <w:rPr>
                <w:bCs/>
                <w:color w:val="000000"/>
                <w:lang w:eastAsia="lt-LT"/>
              </w:rPr>
              <w:t>;</w:t>
            </w:r>
          </w:p>
          <w:p w14:paraId="6CC1022E" w14:textId="6A7E1C72" w:rsidR="008358C8" w:rsidRPr="000A189D" w:rsidRDefault="008358C8" w:rsidP="00A1438F">
            <w:pPr>
              <w:pStyle w:val="Sraopastraipa"/>
              <w:numPr>
                <w:ilvl w:val="0"/>
                <w:numId w:val="15"/>
              </w:numPr>
              <w:rPr>
                <w:bCs/>
                <w:color w:val="000000"/>
                <w:lang w:eastAsia="lt-LT"/>
              </w:rPr>
            </w:pPr>
            <w:r w:rsidRPr="000A189D">
              <w:rPr>
                <w:bCs/>
                <w:color w:val="000000"/>
                <w:lang w:eastAsia="lt-LT"/>
              </w:rPr>
              <w:lastRenderedPageBreak/>
              <w:t>netiesioginiame palyginime –</w:t>
            </w:r>
            <w:r w:rsidR="00A1438F" w:rsidRPr="000A189D">
              <w:rPr>
                <w:bCs/>
                <w:i/>
                <w:color w:val="000000"/>
                <w:lang w:eastAsia="lt-LT"/>
              </w:rPr>
              <w:t xml:space="preserve"> </w:t>
            </w:r>
            <w:proofErr w:type="spellStart"/>
            <w:r w:rsidR="00D36DB8" w:rsidRPr="000A189D">
              <w:rPr>
                <w:bCs/>
                <w:i/>
                <w:color w:val="000000"/>
                <w:lang w:eastAsia="lt-LT"/>
              </w:rPr>
              <w:t>Maviret</w:t>
            </w:r>
            <w:proofErr w:type="spellEnd"/>
            <w:r w:rsidR="00D36DB8" w:rsidRPr="000A189D">
              <w:rPr>
                <w:bCs/>
                <w:color w:val="000000"/>
                <w:lang w:eastAsia="lt-LT"/>
              </w:rPr>
              <w:t xml:space="preserve"> (</w:t>
            </w:r>
            <w:proofErr w:type="spellStart"/>
            <w:r w:rsidRPr="000A189D">
              <w:rPr>
                <w:bCs/>
                <w:color w:val="000000"/>
                <w:lang w:eastAsia="lt-LT"/>
              </w:rPr>
              <w:t>glecapreviras</w:t>
            </w:r>
            <w:proofErr w:type="spellEnd"/>
            <w:r w:rsidRPr="000A189D">
              <w:rPr>
                <w:bCs/>
                <w:color w:val="000000"/>
                <w:lang w:eastAsia="lt-LT"/>
              </w:rPr>
              <w:t xml:space="preserve"> / </w:t>
            </w:r>
            <w:proofErr w:type="spellStart"/>
            <w:r w:rsidRPr="000A189D">
              <w:rPr>
                <w:bCs/>
                <w:color w:val="000000"/>
                <w:lang w:eastAsia="lt-LT"/>
              </w:rPr>
              <w:t>pibrentasviras</w:t>
            </w:r>
            <w:proofErr w:type="spellEnd"/>
            <w:r w:rsidR="00D36DB8" w:rsidRPr="000A189D">
              <w:rPr>
                <w:bCs/>
                <w:color w:val="000000"/>
                <w:lang w:eastAsia="lt-LT"/>
              </w:rPr>
              <w:t>)</w:t>
            </w:r>
            <w:r w:rsidRPr="000A189D">
              <w:rPr>
                <w:bCs/>
                <w:color w:val="000000"/>
                <w:lang w:eastAsia="lt-LT"/>
              </w:rPr>
              <w:t>.</w:t>
            </w:r>
          </w:p>
        </w:tc>
        <w:tc>
          <w:tcPr>
            <w:tcW w:w="5167" w:type="dxa"/>
          </w:tcPr>
          <w:p w14:paraId="0DF29E7C" w14:textId="77777777" w:rsidR="008358C8" w:rsidRPr="000A189D" w:rsidRDefault="008358C8" w:rsidP="008358C8">
            <w:pPr>
              <w:rPr>
                <w:rStyle w:val="Style2"/>
                <w:sz w:val="24"/>
              </w:rPr>
            </w:pPr>
          </w:p>
          <w:p w14:paraId="1F113AC0" w14:textId="37E3C9E8" w:rsidR="008358C8" w:rsidRPr="000A189D" w:rsidRDefault="00F14FE1" w:rsidP="008358C8">
            <w:sdt>
              <w:sdtPr>
                <w:rPr>
                  <w:rStyle w:val="Style2"/>
                  <w:sz w:val="24"/>
                </w:rPr>
                <w:id w:val="1480955706"/>
                <w15:color w:val="FFCC00"/>
                <w14:checkbox>
                  <w14:checked w14:val="0"/>
                  <w14:checkedState w14:val="2612" w14:font="MS Gothic"/>
                  <w14:uncheckedState w14:val="2610" w14:font="MS Gothic"/>
                </w14:checkbox>
              </w:sdtPr>
              <w:sdtEndPr>
                <w:rPr>
                  <w:rStyle w:val="Style2"/>
                </w:rPr>
              </w:sdtEndPr>
              <w:sdtContent>
                <w:r w:rsidR="008358C8" w:rsidRPr="000A189D">
                  <w:rPr>
                    <w:rStyle w:val="Style2"/>
                    <w:rFonts w:ascii="MS Gothic" w:eastAsia="MS Gothic" w:hAnsi="MS Gothic" w:hint="eastAsia"/>
                    <w:sz w:val="24"/>
                  </w:rPr>
                  <w:t>☐</w:t>
                </w:r>
              </w:sdtContent>
            </w:sdt>
            <w:r w:rsidR="008358C8" w:rsidRPr="000A189D">
              <w:t xml:space="preserve"> Tinkamas</w:t>
            </w:r>
          </w:p>
          <w:p w14:paraId="00F53F5B" w14:textId="4F9DDF06" w:rsidR="008358C8" w:rsidRPr="000A189D" w:rsidRDefault="00F14FE1" w:rsidP="008358C8">
            <w:sdt>
              <w:sdtPr>
                <w:rPr>
                  <w:rStyle w:val="Style2"/>
                  <w:sz w:val="24"/>
                </w:rPr>
                <w:id w:val="-352420698"/>
                <w15:color w:val="FFCC00"/>
                <w14:checkbox>
                  <w14:checked w14:val="1"/>
                  <w14:checkedState w14:val="2612" w14:font="MS Gothic"/>
                  <w14:uncheckedState w14:val="2610" w14:font="MS Gothic"/>
                </w14:checkbox>
              </w:sdtPr>
              <w:sdtEndPr>
                <w:rPr>
                  <w:rStyle w:val="Style2"/>
                </w:rPr>
              </w:sdtEndPr>
              <w:sdtContent>
                <w:r w:rsidR="008358C8" w:rsidRPr="000A189D">
                  <w:rPr>
                    <w:rStyle w:val="Style2"/>
                    <w:rFonts w:ascii="MS Gothic" w:eastAsia="MS Gothic" w:hAnsi="MS Gothic" w:hint="eastAsia"/>
                    <w:sz w:val="24"/>
                  </w:rPr>
                  <w:t>☒</w:t>
                </w:r>
              </w:sdtContent>
            </w:sdt>
            <w:r w:rsidR="008358C8" w:rsidRPr="000A189D">
              <w:t xml:space="preserve"> Netinkamas</w:t>
            </w:r>
          </w:p>
          <w:p w14:paraId="2AF8ABEE" w14:textId="77777777" w:rsidR="008358C8" w:rsidRPr="000A189D" w:rsidRDefault="008358C8" w:rsidP="008358C8"/>
          <w:p w14:paraId="1688C143" w14:textId="77777777" w:rsidR="008358C8" w:rsidRPr="000A189D" w:rsidRDefault="008358C8" w:rsidP="008358C8"/>
          <w:p w14:paraId="46177921" w14:textId="201EC579" w:rsidR="008358C8" w:rsidRPr="000A189D" w:rsidRDefault="00F14FE1" w:rsidP="008358C8">
            <w:sdt>
              <w:sdtPr>
                <w:rPr>
                  <w:rStyle w:val="Style2"/>
                  <w:sz w:val="24"/>
                </w:rPr>
                <w:id w:val="785773607"/>
                <w15:color w:val="FFCC00"/>
                <w14:checkbox>
                  <w14:checked w14:val="1"/>
                  <w14:checkedState w14:val="2612" w14:font="MS Gothic"/>
                  <w14:uncheckedState w14:val="2610" w14:font="MS Gothic"/>
                </w14:checkbox>
              </w:sdtPr>
              <w:sdtEndPr>
                <w:rPr>
                  <w:rStyle w:val="Style2"/>
                </w:rPr>
              </w:sdtEndPr>
              <w:sdtContent>
                <w:r w:rsidR="008358C8" w:rsidRPr="000A189D">
                  <w:rPr>
                    <w:rStyle w:val="Style2"/>
                    <w:rFonts w:ascii="MS Gothic" w:eastAsia="MS Gothic" w:hAnsi="MS Gothic" w:hint="eastAsia"/>
                    <w:sz w:val="24"/>
                  </w:rPr>
                  <w:t>☒</w:t>
                </w:r>
              </w:sdtContent>
            </w:sdt>
            <w:r w:rsidR="008358C8" w:rsidRPr="000A189D">
              <w:t xml:space="preserve"> Tinkamas</w:t>
            </w:r>
          </w:p>
          <w:p w14:paraId="41B44044" w14:textId="7FE86011" w:rsidR="008358C8" w:rsidRPr="000A189D" w:rsidRDefault="00F14FE1" w:rsidP="008358C8">
            <w:sdt>
              <w:sdtPr>
                <w:rPr>
                  <w:rStyle w:val="Style2"/>
                  <w:sz w:val="24"/>
                </w:rPr>
                <w:id w:val="-433289805"/>
                <w15:color w:val="FFCC00"/>
                <w14:checkbox>
                  <w14:checked w14:val="0"/>
                  <w14:checkedState w14:val="2612" w14:font="MS Gothic"/>
                  <w14:uncheckedState w14:val="2610" w14:font="MS Gothic"/>
                </w14:checkbox>
              </w:sdtPr>
              <w:sdtEndPr>
                <w:rPr>
                  <w:rStyle w:val="Style2"/>
                </w:rPr>
              </w:sdtEndPr>
              <w:sdtContent>
                <w:r w:rsidR="008358C8" w:rsidRPr="000A189D">
                  <w:rPr>
                    <w:rStyle w:val="Style2"/>
                    <w:rFonts w:ascii="MS Gothic" w:eastAsia="MS Gothic" w:hAnsi="MS Gothic" w:hint="eastAsia"/>
                    <w:sz w:val="24"/>
                  </w:rPr>
                  <w:t>☐</w:t>
                </w:r>
              </w:sdtContent>
            </w:sdt>
            <w:r w:rsidR="008358C8" w:rsidRPr="000A189D">
              <w:t xml:space="preserve"> Netinkamas</w:t>
            </w:r>
          </w:p>
        </w:tc>
      </w:tr>
    </w:tbl>
    <w:p w14:paraId="108176F7" w14:textId="640C6F75" w:rsidR="00F70C9E" w:rsidRPr="006C4813" w:rsidRDefault="00F70C9E" w:rsidP="00E03C3F">
      <w:pPr>
        <w:pStyle w:val="Sraopastraipa"/>
        <w:tabs>
          <w:tab w:val="left" w:pos="426"/>
        </w:tabs>
        <w:ind w:left="0"/>
        <w:rPr>
          <w:b/>
          <w:bCs/>
          <w:caps/>
        </w:rPr>
      </w:pPr>
    </w:p>
    <w:p w14:paraId="2871CA7F" w14:textId="2370BDDB" w:rsidR="00F70C9E" w:rsidRPr="006C4813" w:rsidRDefault="00F70C9E" w:rsidP="00880A44">
      <w:pPr>
        <w:spacing w:line="276" w:lineRule="auto"/>
        <w:jc w:val="both"/>
        <w:rPr>
          <w:rFonts w:eastAsia="Arial"/>
          <w:b/>
        </w:rPr>
      </w:pPr>
      <w:r w:rsidRPr="006C4813">
        <w:rPr>
          <w:rFonts w:eastAsia="Arial"/>
          <w:b/>
        </w:rPr>
        <w:t xml:space="preserve">1.8 Kitų </w:t>
      </w:r>
      <w:r w:rsidR="00DF583C" w:rsidRPr="006C4813">
        <w:rPr>
          <w:rFonts w:eastAsia="Arial"/>
          <w:b/>
        </w:rPr>
        <w:t xml:space="preserve">valstybių </w:t>
      </w:r>
      <w:r w:rsidRPr="006C4813">
        <w:rPr>
          <w:rFonts w:eastAsia="Arial"/>
          <w:b/>
        </w:rPr>
        <w:t xml:space="preserve">atsakingų institucijų atlikto </w:t>
      </w:r>
      <w:r w:rsidR="00DF583C" w:rsidRPr="006C4813">
        <w:rPr>
          <w:rFonts w:eastAsia="Arial"/>
          <w:b/>
        </w:rPr>
        <w:t>Sveikatos technologijų vertinimo (toliau – STV)</w:t>
      </w:r>
      <w:r w:rsidRPr="006C4813">
        <w:rPr>
          <w:rFonts w:eastAsia="Arial"/>
          <w:b/>
        </w:rPr>
        <w:t xml:space="preserve"> išvados</w:t>
      </w:r>
    </w:p>
    <w:p w14:paraId="30721FDD" w14:textId="77777777" w:rsidR="00F70C9E" w:rsidRPr="006C4813" w:rsidRDefault="00F70C9E" w:rsidP="00F70C9E">
      <w:pPr>
        <w:spacing w:line="276" w:lineRule="auto"/>
        <w:rPr>
          <w:rFonts w:eastAsia="Arial"/>
          <w:highlight w:val="yellow"/>
        </w:rPr>
      </w:pPr>
    </w:p>
    <w:tbl>
      <w:tblPr>
        <w:tblStyle w:val="Lentelstinklelis"/>
        <w:tblpPr w:leftFromText="180" w:rightFromText="180" w:vertAnchor="text" w:horzAnchor="page" w:tblpX="1810" w:tblpY="157"/>
        <w:tblW w:w="9486" w:type="dxa"/>
        <w:tblLook w:val="04A0" w:firstRow="1" w:lastRow="0" w:firstColumn="1" w:lastColumn="0" w:noHBand="0" w:noVBand="1"/>
      </w:tblPr>
      <w:tblGrid>
        <w:gridCol w:w="2673"/>
        <w:gridCol w:w="1681"/>
        <w:gridCol w:w="2208"/>
        <w:gridCol w:w="2924"/>
      </w:tblGrid>
      <w:tr w:rsidR="008358C8" w:rsidRPr="00F870CF" w14:paraId="2B50C004" w14:textId="77777777" w:rsidTr="00A1438F">
        <w:trPr>
          <w:trHeight w:val="932"/>
        </w:trPr>
        <w:tc>
          <w:tcPr>
            <w:tcW w:w="2800" w:type="dxa"/>
          </w:tcPr>
          <w:p w14:paraId="3E8A8D80" w14:textId="77777777" w:rsidR="008358C8" w:rsidRPr="00F870CF" w:rsidRDefault="008358C8" w:rsidP="008358C8">
            <w:pPr>
              <w:spacing w:line="276" w:lineRule="auto"/>
              <w:rPr>
                <w:rFonts w:eastAsia="Arial"/>
              </w:rPr>
            </w:pPr>
            <w:r w:rsidRPr="00F870CF">
              <w:rPr>
                <w:rFonts w:eastAsia="Arial"/>
              </w:rPr>
              <w:t>STV agentūros pavadinimas, šalis</w:t>
            </w:r>
          </w:p>
        </w:tc>
        <w:tc>
          <w:tcPr>
            <w:tcW w:w="1831" w:type="dxa"/>
          </w:tcPr>
          <w:p w14:paraId="64634F46" w14:textId="77777777" w:rsidR="008358C8" w:rsidRPr="00F870CF" w:rsidRDefault="008358C8" w:rsidP="008358C8">
            <w:pPr>
              <w:spacing w:line="276" w:lineRule="auto"/>
              <w:rPr>
                <w:rFonts w:eastAsia="Arial"/>
              </w:rPr>
            </w:pPr>
            <w:r w:rsidRPr="00F870CF">
              <w:rPr>
                <w:rFonts w:eastAsia="Arial"/>
              </w:rPr>
              <w:t>STV vertinimas atliktas</w:t>
            </w:r>
          </w:p>
        </w:tc>
        <w:tc>
          <w:tcPr>
            <w:tcW w:w="2247" w:type="dxa"/>
          </w:tcPr>
          <w:p w14:paraId="50E52039" w14:textId="77777777" w:rsidR="008358C8" w:rsidRPr="00F870CF" w:rsidRDefault="008358C8" w:rsidP="008358C8">
            <w:pPr>
              <w:spacing w:line="276" w:lineRule="auto"/>
              <w:rPr>
                <w:rFonts w:eastAsia="Arial"/>
              </w:rPr>
            </w:pPr>
            <w:r w:rsidRPr="00F870CF">
              <w:rPr>
                <w:rFonts w:eastAsia="Arial"/>
              </w:rPr>
              <w:t>Klinikinio vertinimo išvada</w:t>
            </w:r>
          </w:p>
        </w:tc>
        <w:tc>
          <w:tcPr>
            <w:tcW w:w="2608" w:type="dxa"/>
          </w:tcPr>
          <w:p w14:paraId="011204DA" w14:textId="77777777" w:rsidR="008358C8" w:rsidRPr="00F870CF" w:rsidRDefault="008358C8" w:rsidP="008358C8">
            <w:pPr>
              <w:spacing w:line="276" w:lineRule="auto"/>
              <w:rPr>
                <w:rFonts w:eastAsia="Arial"/>
              </w:rPr>
            </w:pPr>
            <w:proofErr w:type="spellStart"/>
            <w:r w:rsidRPr="00F870CF">
              <w:rPr>
                <w:rFonts w:eastAsia="Arial"/>
              </w:rPr>
              <w:t>Farmakoekonominio</w:t>
            </w:r>
            <w:proofErr w:type="spellEnd"/>
            <w:r w:rsidRPr="00F870CF">
              <w:rPr>
                <w:rFonts w:eastAsia="Arial"/>
              </w:rPr>
              <w:t xml:space="preserve"> vertinimo išvada</w:t>
            </w:r>
          </w:p>
        </w:tc>
      </w:tr>
      <w:tr w:rsidR="008358C8" w:rsidRPr="00F870CF" w14:paraId="65CEF531" w14:textId="77777777" w:rsidTr="00A1438F">
        <w:trPr>
          <w:trHeight w:val="1780"/>
        </w:trPr>
        <w:tc>
          <w:tcPr>
            <w:tcW w:w="2800" w:type="dxa"/>
            <w:vAlign w:val="center"/>
          </w:tcPr>
          <w:p w14:paraId="53E3225C" w14:textId="77777777" w:rsidR="008358C8" w:rsidRPr="00F870CF" w:rsidRDefault="008358C8" w:rsidP="008358C8">
            <w:pPr>
              <w:autoSpaceDE w:val="0"/>
              <w:autoSpaceDN w:val="0"/>
              <w:adjustRightInd w:val="0"/>
              <w:rPr>
                <w:bCs/>
              </w:rPr>
            </w:pPr>
            <w:r w:rsidRPr="00F870CF">
              <w:rPr>
                <w:bCs/>
              </w:rPr>
              <w:t>Nacionalinis sveikatos ir klinikinės kompetencijos institutas, Didžioji Britanija</w:t>
            </w:r>
          </w:p>
          <w:p w14:paraId="4BA9FEA6" w14:textId="77777777" w:rsidR="008358C8" w:rsidRPr="00F870CF" w:rsidRDefault="008358C8" w:rsidP="008358C8">
            <w:pPr>
              <w:spacing w:line="276" w:lineRule="auto"/>
              <w:rPr>
                <w:rFonts w:eastAsia="Arial"/>
              </w:rPr>
            </w:pPr>
            <w:r w:rsidRPr="00F870CF">
              <w:rPr>
                <w:rFonts w:eastAsia="Arial"/>
              </w:rPr>
              <w:t xml:space="preserve">(angl. </w:t>
            </w:r>
            <w:proofErr w:type="spellStart"/>
            <w:r w:rsidRPr="00F870CF">
              <w:rPr>
                <w:rFonts w:eastAsia="Arial"/>
                <w:i/>
              </w:rPr>
              <w:t>National</w:t>
            </w:r>
            <w:proofErr w:type="spellEnd"/>
            <w:r w:rsidRPr="00F870CF">
              <w:rPr>
                <w:rFonts w:eastAsia="Arial"/>
                <w:i/>
              </w:rPr>
              <w:t xml:space="preserve"> Institute </w:t>
            </w:r>
            <w:proofErr w:type="spellStart"/>
            <w:r w:rsidRPr="00F870CF">
              <w:rPr>
                <w:rFonts w:eastAsia="Arial"/>
                <w:i/>
              </w:rPr>
              <w:t>for</w:t>
            </w:r>
            <w:proofErr w:type="spellEnd"/>
            <w:r w:rsidRPr="00F870CF">
              <w:rPr>
                <w:rFonts w:eastAsia="Arial"/>
                <w:i/>
              </w:rPr>
              <w:t xml:space="preserve"> </w:t>
            </w:r>
            <w:proofErr w:type="spellStart"/>
            <w:r w:rsidRPr="00F870CF">
              <w:rPr>
                <w:rFonts w:eastAsia="Arial"/>
                <w:i/>
              </w:rPr>
              <w:t>Health</w:t>
            </w:r>
            <w:proofErr w:type="spellEnd"/>
            <w:r w:rsidRPr="00F870CF">
              <w:rPr>
                <w:rFonts w:eastAsia="Arial"/>
                <w:i/>
              </w:rPr>
              <w:t xml:space="preserve"> </w:t>
            </w:r>
            <w:proofErr w:type="spellStart"/>
            <w:r w:rsidRPr="00F870CF">
              <w:rPr>
                <w:rFonts w:eastAsia="Arial"/>
                <w:i/>
              </w:rPr>
              <w:t>and</w:t>
            </w:r>
            <w:proofErr w:type="spellEnd"/>
            <w:r w:rsidRPr="00F870CF">
              <w:rPr>
                <w:rFonts w:eastAsia="Arial"/>
                <w:i/>
              </w:rPr>
              <w:t xml:space="preserve"> Care </w:t>
            </w:r>
            <w:proofErr w:type="spellStart"/>
            <w:r w:rsidRPr="00F870CF">
              <w:rPr>
                <w:rFonts w:eastAsia="Arial"/>
                <w:i/>
              </w:rPr>
              <w:t>Excellence</w:t>
            </w:r>
            <w:proofErr w:type="spellEnd"/>
            <w:r w:rsidRPr="00F870CF">
              <w:rPr>
                <w:rFonts w:eastAsia="Arial"/>
                <w:i/>
              </w:rPr>
              <w:t>, NICE</w:t>
            </w:r>
            <w:r w:rsidRPr="00F870CF">
              <w:rPr>
                <w:rFonts w:eastAsia="Arial"/>
              </w:rPr>
              <w:t>)</w:t>
            </w:r>
          </w:p>
        </w:tc>
        <w:tc>
          <w:tcPr>
            <w:tcW w:w="1831" w:type="dxa"/>
            <w:vAlign w:val="center"/>
          </w:tcPr>
          <w:p w14:paraId="539AF295" w14:textId="577D1CE4" w:rsidR="008358C8" w:rsidRPr="00F870CF" w:rsidRDefault="00F14FE1" w:rsidP="008358C8">
            <w:sdt>
              <w:sdtPr>
                <w:rPr>
                  <w:rStyle w:val="Style2"/>
                  <w:sz w:val="24"/>
                </w:rPr>
                <w:id w:val="1558205022"/>
              </w:sdtPr>
              <w:sdtEndPr>
                <w:rPr>
                  <w:rStyle w:val="Style2"/>
                </w:rPr>
              </w:sdtEndPr>
              <w:sdtContent>
                <w:sdt>
                  <w:sdtPr>
                    <w:rPr>
                      <w:rStyle w:val="Style2"/>
                      <w:sz w:val="24"/>
                    </w:rPr>
                    <w:id w:val="1778524246"/>
                  </w:sdtPr>
                  <w:sdtEndPr>
                    <w:rPr>
                      <w:rStyle w:val="Style2"/>
                    </w:rPr>
                  </w:sdtEndPr>
                  <w:sdtContent>
                    <w:r w:rsidR="008358C8" w:rsidRPr="00F870CF">
                      <w:rPr>
                        <w:rStyle w:val="Style2"/>
                        <w:rFonts w:ascii="MS Mincho" w:eastAsia="MS Mincho" w:hAnsi="MS Mincho" w:cs="MS Mincho"/>
                        <w:sz w:val="24"/>
                      </w:rPr>
                      <w:t>☒</w:t>
                    </w:r>
                  </w:sdtContent>
                </w:sdt>
              </w:sdtContent>
            </w:sdt>
            <w:r w:rsidR="008358C8" w:rsidRPr="00F870CF">
              <w:t xml:space="preserve"> Taip</w:t>
            </w:r>
          </w:p>
          <w:p w14:paraId="7A591485" w14:textId="307D24AE" w:rsidR="008358C8" w:rsidRPr="00F870CF" w:rsidRDefault="00F14FE1" w:rsidP="008358C8">
            <w:sdt>
              <w:sdtPr>
                <w:rPr>
                  <w:rStyle w:val="Style2"/>
                  <w:sz w:val="24"/>
                </w:rPr>
                <w:id w:val="866029625"/>
              </w:sdtPr>
              <w:sdtEndPr>
                <w:rPr>
                  <w:rStyle w:val="Style2"/>
                </w:rPr>
              </w:sdtEndPr>
              <w:sdtContent>
                <w:r w:rsidR="008358C8" w:rsidRPr="00F870CF">
                  <w:rPr>
                    <w:rStyle w:val="Style2"/>
                    <w:rFonts w:ascii="MS Mincho" w:eastAsia="MS Mincho" w:hAnsi="MS Mincho" w:cs="MS Mincho"/>
                    <w:sz w:val="24"/>
                  </w:rPr>
                  <w:t>☐</w:t>
                </w:r>
              </w:sdtContent>
            </w:sdt>
            <w:r w:rsidR="008358C8" w:rsidRPr="00F870CF">
              <w:t xml:space="preserve"> Ne</w:t>
            </w:r>
          </w:p>
          <w:p w14:paraId="46751CB7" w14:textId="28C52615" w:rsidR="008358C8" w:rsidRPr="00F870CF" w:rsidRDefault="00F14FE1" w:rsidP="008358C8">
            <w:pPr>
              <w:rPr>
                <w:rFonts w:eastAsia="Arial"/>
              </w:rPr>
            </w:pPr>
            <w:sdt>
              <w:sdtPr>
                <w:alias w:val="Nurodykite konkrečią dieną"/>
                <w:tag w:val="Nurodykite pradžios datą"/>
                <w:id w:val="1726637702"/>
                <w:date>
                  <w:dateFormat w:val="yyyy 'm.' MMMM d 'd.'"/>
                  <w:lid w:val="lt-LT"/>
                  <w:storeMappedDataAs w:val="dateTime"/>
                  <w:calendar w:val="gregorian"/>
                </w:date>
              </w:sdtPr>
              <w:sdtEndPr/>
              <w:sdtContent>
                <w:r w:rsidR="008358C8" w:rsidRPr="00F870CF">
                  <w:t>2017 m. sausio 25 d.</w:t>
                </w:r>
              </w:sdtContent>
            </w:sdt>
          </w:p>
        </w:tc>
        <w:tc>
          <w:tcPr>
            <w:tcW w:w="4855" w:type="dxa"/>
            <w:gridSpan w:val="2"/>
          </w:tcPr>
          <w:p w14:paraId="15DB6FA0" w14:textId="77777777" w:rsidR="008358C8" w:rsidRPr="00F870CF" w:rsidRDefault="008358C8" w:rsidP="008358C8">
            <w:pPr>
              <w:pStyle w:val="prastasiniatinklio"/>
              <w:jc w:val="both"/>
              <w:rPr>
                <w:color w:val="0E0E0E"/>
              </w:rPr>
            </w:pPr>
            <w:proofErr w:type="spellStart"/>
            <w:r w:rsidRPr="00F870CF">
              <w:rPr>
                <w:color w:val="0E0E0E"/>
              </w:rPr>
              <w:t>Epclusa</w:t>
            </w:r>
            <w:proofErr w:type="spellEnd"/>
            <w:r w:rsidRPr="00F870CF">
              <w:rPr>
                <w:color w:val="0E0E0E"/>
              </w:rPr>
              <w:t xml:space="preserve"> rekomenduojamas kaip vienas iš vaistų skirtų gydyti lėtinį hepatitą C suaugusiems pacientams pagal žemiau pateiktą schemą:</w:t>
            </w:r>
          </w:p>
          <w:p w14:paraId="1E560A1E" w14:textId="77777777" w:rsidR="008358C8" w:rsidRPr="00F870CF" w:rsidRDefault="008358C8" w:rsidP="008358C8">
            <w:pPr>
              <w:pStyle w:val="prastasiniatinklio"/>
              <w:jc w:val="both"/>
              <w:rPr>
                <w:color w:val="0E0E0E"/>
              </w:rPr>
            </w:pPr>
            <w:r w:rsidRPr="00F870CF">
              <w:rPr>
                <w:noProof/>
              </w:rPr>
              <w:drawing>
                <wp:inline distT="0" distB="0" distL="0" distR="0" wp14:anchorId="2C860273" wp14:editId="2C18B5D8">
                  <wp:extent cx="3039926" cy="280358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40" t="21164" r="38633" b="34851"/>
                          <a:stretch/>
                        </pic:blipFill>
                        <pic:spPr bwMode="auto">
                          <a:xfrm>
                            <a:off x="0" y="0"/>
                            <a:ext cx="3059733" cy="2821852"/>
                          </a:xfrm>
                          <a:prstGeom prst="rect">
                            <a:avLst/>
                          </a:prstGeom>
                          <a:ln>
                            <a:noFill/>
                          </a:ln>
                          <a:extLst>
                            <a:ext uri="{53640926-AAD7-44D8-BBD7-CCE9431645EC}">
                              <a14:shadowObscured xmlns:a14="http://schemas.microsoft.com/office/drawing/2010/main"/>
                            </a:ext>
                          </a:extLst>
                        </pic:spPr>
                      </pic:pic>
                    </a:graphicData>
                  </a:graphic>
                </wp:inline>
              </w:drawing>
            </w:r>
            <w:r w:rsidRPr="00F870CF">
              <w:rPr>
                <w:noProof/>
              </w:rPr>
              <w:drawing>
                <wp:inline distT="0" distB="0" distL="0" distR="0" wp14:anchorId="4B04DE8F" wp14:editId="14DAEB8B">
                  <wp:extent cx="3027871" cy="1497820"/>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03" t="16783" r="38577" b="59629"/>
                          <a:stretch/>
                        </pic:blipFill>
                        <pic:spPr bwMode="auto">
                          <a:xfrm>
                            <a:off x="0" y="0"/>
                            <a:ext cx="3051229" cy="1509375"/>
                          </a:xfrm>
                          <a:prstGeom prst="rect">
                            <a:avLst/>
                          </a:prstGeom>
                          <a:ln>
                            <a:noFill/>
                          </a:ln>
                          <a:extLst>
                            <a:ext uri="{53640926-AAD7-44D8-BBD7-CCE9431645EC}">
                              <a14:shadowObscured xmlns:a14="http://schemas.microsoft.com/office/drawing/2010/main"/>
                            </a:ext>
                          </a:extLst>
                        </pic:spPr>
                      </pic:pic>
                    </a:graphicData>
                  </a:graphic>
                </wp:inline>
              </w:drawing>
            </w:r>
          </w:p>
        </w:tc>
      </w:tr>
      <w:tr w:rsidR="008358C8" w:rsidRPr="00F870CF" w14:paraId="0ADBB602" w14:textId="77777777" w:rsidTr="00A1438F">
        <w:trPr>
          <w:trHeight w:val="1560"/>
        </w:trPr>
        <w:tc>
          <w:tcPr>
            <w:tcW w:w="2800" w:type="dxa"/>
          </w:tcPr>
          <w:p w14:paraId="4FA13FE7" w14:textId="77777777" w:rsidR="008358C8" w:rsidRPr="00F870CF" w:rsidRDefault="008358C8" w:rsidP="008358C8">
            <w:pPr>
              <w:spacing w:line="276" w:lineRule="auto"/>
              <w:rPr>
                <w:rFonts w:eastAsia="Arial"/>
              </w:rPr>
            </w:pPr>
            <w:r w:rsidRPr="00F870CF">
              <w:rPr>
                <w:rFonts w:eastAsia="Arial"/>
              </w:rPr>
              <w:t>Kanados sveikatos technologijų agentūra</w:t>
            </w:r>
          </w:p>
          <w:p w14:paraId="781D585B" w14:textId="77777777" w:rsidR="008358C8" w:rsidRPr="00F870CF" w:rsidRDefault="008358C8" w:rsidP="008358C8">
            <w:pPr>
              <w:spacing w:line="276" w:lineRule="auto"/>
              <w:rPr>
                <w:rFonts w:eastAsia="Arial"/>
              </w:rPr>
            </w:pPr>
            <w:r w:rsidRPr="00F870CF">
              <w:rPr>
                <w:rFonts w:eastAsia="Arial"/>
              </w:rPr>
              <w:t xml:space="preserve">(angl. </w:t>
            </w:r>
            <w:proofErr w:type="spellStart"/>
            <w:r w:rsidRPr="00F870CF">
              <w:rPr>
                <w:rFonts w:eastAsia="Arial"/>
                <w:i/>
              </w:rPr>
              <w:t>Canadian</w:t>
            </w:r>
            <w:proofErr w:type="spellEnd"/>
            <w:r w:rsidRPr="00F870CF">
              <w:rPr>
                <w:rFonts w:eastAsia="Arial"/>
                <w:i/>
              </w:rPr>
              <w:t xml:space="preserve"> </w:t>
            </w:r>
            <w:proofErr w:type="spellStart"/>
            <w:r w:rsidRPr="00F870CF">
              <w:rPr>
                <w:rFonts w:eastAsia="Arial"/>
                <w:i/>
              </w:rPr>
              <w:t>health</w:t>
            </w:r>
            <w:proofErr w:type="spellEnd"/>
            <w:r w:rsidRPr="00F870CF">
              <w:rPr>
                <w:rFonts w:eastAsia="Arial"/>
                <w:i/>
              </w:rPr>
              <w:t xml:space="preserve"> </w:t>
            </w:r>
            <w:proofErr w:type="spellStart"/>
            <w:r w:rsidRPr="00F870CF">
              <w:rPr>
                <w:rFonts w:eastAsia="Arial"/>
                <w:i/>
              </w:rPr>
              <w:t>Technology</w:t>
            </w:r>
            <w:proofErr w:type="spellEnd"/>
            <w:r w:rsidRPr="00F870CF">
              <w:rPr>
                <w:rFonts w:eastAsia="Arial"/>
                <w:i/>
              </w:rPr>
              <w:t xml:space="preserve"> </w:t>
            </w:r>
            <w:proofErr w:type="spellStart"/>
            <w:r w:rsidRPr="00F870CF">
              <w:rPr>
                <w:rFonts w:eastAsia="Arial"/>
                <w:i/>
              </w:rPr>
              <w:t>Assessment</w:t>
            </w:r>
            <w:proofErr w:type="spellEnd"/>
            <w:r w:rsidRPr="00F870CF">
              <w:rPr>
                <w:rFonts w:eastAsia="Arial"/>
                <w:i/>
              </w:rPr>
              <w:t xml:space="preserve"> </w:t>
            </w:r>
            <w:proofErr w:type="spellStart"/>
            <w:r w:rsidRPr="00F870CF">
              <w:rPr>
                <w:rFonts w:eastAsia="Arial"/>
                <w:i/>
              </w:rPr>
              <w:t>agency</w:t>
            </w:r>
            <w:proofErr w:type="spellEnd"/>
            <w:r w:rsidRPr="00F870CF">
              <w:rPr>
                <w:rFonts w:eastAsia="Arial"/>
                <w:i/>
              </w:rPr>
              <w:t>, CADTH</w:t>
            </w:r>
            <w:r w:rsidRPr="00F870CF">
              <w:rPr>
                <w:rFonts w:eastAsia="Arial"/>
              </w:rPr>
              <w:t>)</w:t>
            </w:r>
          </w:p>
        </w:tc>
        <w:tc>
          <w:tcPr>
            <w:tcW w:w="1831" w:type="dxa"/>
          </w:tcPr>
          <w:p w14:paraId="18D39A4A" w14:textId="728B9040" w:rsidR="008358C8" w:rsidRPr="00F870CF" w:rsidRDefault="00F14FE1" w:rsidP="008358C8">
            <w:sdt>
              <w:sdtPr>
                <w:rPr>
                  <w:rStyle w:val="Style2"/>
                  <w:sz w:val="24"/>
                </w:rPr>
                <w:id w:val="-372539057"/>
              </w:sdtPr>
              <w:sdtEndPr>
                <w:rPr>
                  <w:rStyle w:val="Style2"/>
                </w:rPr>
              </w:sdtEndPr>
              <w:sdtContent>
                <w:sdt>
                  <w:sdtPr>
                    <w:rPr>
                      <w:rStyle w:val="Style2"/>
                      <w:sz w:val="24"/>
                    </w:rPr>
                    <w:id w:val="-811788529"/>
                  </w:sdtPr>
                  <w:sdtEndPr>
                    <w:rPr>
                      <w:rStyle w:val="Style2"/>
                    </w:rPr>
                  </w:sdtEndPr>
                  <w:sdtContent>
                    <w:r w:rsidR="008358C8" w:rsidRPr="00F870CF">
                      <w:rPr>
                        <w:rStyle w:val="Style2"/>
                        <w:rFonts w:ascii="MS Mincho" w:eastAsia="MS Mincho" w:hAnsi="MS Mincho" w:cs="MS Mincho"/>
                        <w:sz w:val="24"/>
                      </w:rPr>
                      <w:t>☒</w:t>
                    </w:r>
                  </w:sdtContent>
                </w:sdt>
              </w:sdtContent>
            </w:sdt>
            <w:r w:rsidR="008358C8" w:rsidRPr="00F870CF">
              <w:t xml:space="preserve"> Taip</w:t>
            </w:r>
          </w:p>
          <w:p w14:paraId="08D2CCD9" w14:textId="5F01AE45" w:rsidR="008358C8" w:rsidRPr="00F870CF" w:rsidRDefault="00F14FE1" w:rsidP="008358C8">
            <w:sdt>
              <w:sdtPr>
                <w:rPr>
                  <w:rStyle w:val="Style2"/>
                  <w:sz w:val="24"/>
                </w:rPr>
                <w:id w:val="594442222"/>
              </w:sdtPr>
              <w:sdtEndPr>
                <w:rPr>
                  <w:rStyle w:val="Style2"/>
                </w:rPr>
              </w:sdtEndPr>
              <w:sdtContent>
                <w:r w:rsidR="008358C8" w:rsidRPr="00F870CF">
                  <w:rPr>
                    <w:rStyle w:val="Style2"/>
                    <w:rFonts w:ascii="MS Mincho" w:eastAsia="MS Mincho" w:hAnsi="MS Mincho" w:cs="MS Mincho"/>
                    <w:sz w:val="24"/>
                  </w:rPr>
                  <w:t>☐</w:t>
                </w:r>
              </w:sdtContent>
            </w:sdt>
            <w:r w:rsidR="008358C8" w:rsidRPr="00F870CF">
              <w:t xml:space="preserve"> Ne</w:t>
            </w:r>
          </w:p>
          <w:p w14:paraId="1A094AA5" w14:textId="5590F85E" w:rsidR="008358C8" w:rsidRPr="00F870CF" w:rsidRDefault="00F14FE1" w:rsidP="008358C8">
            <w:pPr>
              <w:spacing w:line="276" w:lineRule="auto"/>
              <w:rPr>
                <w:rFonts w:eastAsia="Arial"/>
              </w:rPr>
            </w:pPr>
            <w:sdt>
              <w:sdtPr>
                <w:alias w:val="Nurodykite konkrečią dieną"/>
                <w:tag w:val="Nurodykite pradžios datą"/>
                <w:id w:val="1072468416"/>
                <w:date>
                  <w:dateFormat w:val="yyyy 'm.' MMMM d 'd.'"/>
                  <w:lid w:val="lt-LT"/>
                  <w:storeMappedDataAs w:val="dateTime"/>
                  <w:calendar w:val="gregorian"/>
                </w:date>
              </w:sdtPr>
              <w:sdtEndPr/>
              <w:sdtContent>
                <w:r w:rsidR="008358C8" w:rsidRPr="00F870CF">
                  <w:t>2016 m. spalio 26 d.</w:t>
                </w:r>
              </w:sdtContent>
            </w:sdt>
          </w:p>
        </w:tc>
        <w:tc>
          <w:tcPr>
            <w:tcW w:w="4855" w:type="dxa"/>
            <w:gridSpan w:val="2"/>
          </w:tcPr>
          <w:p w14:paraId="71815D0D" w14:textId="77777777" w:rsidR="008358C8" w:rsidRPr="00F870CF" w:rsidRDefault="008358C8" w:rsidP="008358C8">
            <w:pPr>
              <w:spacing w:line="276" w:lineRule="auto"/>
            </w:pPr>
            <w:proofErr w:type="spellStart"/>
            <w:r w:rsidRPr="00F870CF">
              <w:rPr>
                <w:color w:val="0E0E0E"/>
              </w:rPr>
              <w:t>Epclusa</w:t>
            </w:r>
            <w:proofErr w:type="spellEnd"/>
            <w:r w:rsidRPr="00F870CF">
              <w:rPr>
                <w:color w:val="0E0E0E"/>
              </w:rPr>
              <w:t xml:space="preserve"> rekomenduojamas gydyti lėtinį hepatitą C pacientams, jei atitinka kriterijų – gydymas turėtų būti pradėtas gydytojų su lėtiniu hepatitu C sergančiųjų gydymo patirtimi.</w:t>
            </w:r>
          </w:p>
        </w:tc>
      </w:tr>
      <w:tr w:rsidR="008358C8" w:rsidRPr="00F870CF" w14:paraId="4E9E5DEC" w14:textId="77777777" w:rsidTr="00A1438F">
        <w:trPr>
          <w:trHeight w:val="1943"/>
        </w:trPr>
        <w:tc>
          <w:tcPr>
            <w:tcW w:w="2800" w:type="dxa"/>
          </w:tcPr>
          <w:p w14:paraId="29E22EFD" w14:textId="77777777" w:rsidR="008358C8" w:rsidRPr="00F870CF" w:rsidRDefault="008358C8" w:rsidP="008358C8">
            <w:pPr>
              <w:spacing w:line="276" w:lineRule="auto"/>
              <w:rPr>
                <w:rFonts w:eastAsia="Arial"/>
              </w:rPr>
            </w:pPr>
            <w:r w:rsidRPr="00F870CF">
              <w:rPr>
                <w:rFonts w:eastAsia="Arial"/>
              </w:rPr>
              <w:lastRenderedPageBreak/>
              <w:t xml:space="preserve">Nacionalinis </w:t>
            </w:r>
            <w:proofErr w:type="spellStart"/>
            <w:r w:rsidRPr="00F870CF">
              <w:rPr>
                <w:rFonts w:eastAsia="Arial"/>
              </w:rPr>
              <w:t>farmakoekonomikos</w:t>
            </w:r>
            <w:proofErr w:type="spellEnd"/>
            <w:r w:rsidRPr="00F870CF">
              <w:rPr>
                <w:rFonts w:eastAsia="Arial"/>
              </w:rPr>
              <w:t xml:space="preserve"> centras, Airija</w:t>
            </w:r>
          </w:p>
          <w:p w14:paraId="65316597" w14:textId="77777777" w:rsidR="008358C8" w:rsidRPr="00F870CF" w:rsidRDefault="008358C8" w:rsidP="008358C8">
            <w:pPr>
              <w:spacing w:line="276" w:lineRule="auto"/>
              <w:rPr>
                <w:rFonts w:eastAsia="Arial"/>
              </w:rPr>
            </w:pPr>
            <w:r w:rsidRPr="00F870CF">
              <w:rPr>
                <w:rFonts w:eastAsia="Arial"/>
              </w:rPr>
              <w:t>(angl.</w:t>
            </w:r>
            <w:r w:rsidRPr="00F870CF">
              <w:rPr>
                <w:rFonts w:eastAsia="Arial"/>
                <w:i/>
              </w:rPr>
              <w:t xml:space="preserve"> </w:t>
            </w:r>
            <w:proofErr w:type="spellStart"/>
            <w:r w:rsidRPr="00F870CF">
              <w:rPr>
                <w:rFonts w:eastAsia="Arial"/>
                <w:i/>
              </w:rPr>
              <w:t>National</w:t>
            </w:r>
            <w:proofErr w:type="spellEnd"/>
            <w:r w:rsidRPr="00F870CF">
              <w:rPr>
                <w:rFonts w:eastAsia="Arial"/>
                <w:i/>
              </w:rPr>
              <w:t xml:space="preserve"> Centre </w:t>
            </w:r>
            <w:proofErr w:type="spellStart"/>
            <w:r w:rsidRPr="00F870CF">
              <w:rPr>
                <w:rFonts w:eastAsia="Arial"/>
                <w:i/>
              </w:rPr>
              <w:t>for</w:t>
            </w:r>
            <w:proofErr w:type="spellEnd"/>
            <w:r w:rsidRPr="00F870CF">
              <w:rPr>
                <w:rFonts w:eastAsia="Arial"/>
                <w:i/>
              </w:rPr>
              <w:t xml:space="preserve"> </w:t>
            </w:r>
            <w:proofErr w:type="spellStart"/>
            <w:r w:rsidRPr="00F870CF">
              <w:rPr>
                <w:rFonts w:eastAsia="Arial"/>
                <w:i/>
              </w:rPr>
              <w:t>Pharmacoeconomics</w:t>
            </w:r>
            <w:proofErr w:type="spellEnd"/>
            <w:r w:rsidRPr="00F870CF">
              <w:rPr>
                <w:rFonts w:eastAsia="Arial"/>
                <w:i/>
              </w:rPr>
              <w:t>, NCPE</w:t>
            </w:r>
            <w:r w:rsidRPr="00F870CF">
              <w:rPr>
                <w:rFonts w:eastAsia="Arial"/>
              </w:rPr>
              <w:t>)</w:t>
            </w:r>
          </w:p>
        </w:tc>
        <w:tc>
          <w:tcPr>
            <w:tcW w:w="1831" w:type="dxa"/>
          </w:tcPr>
          <w:p w14:paraId="33134F36" w14:textId="60C9EC2D" w:rsidR="008358C8" w:rsidRPr="00F870CF" w:rsidRDefault="00F14FE1" w:rsidP="008358C8">
            <w:sdt>
              <w:sdtPr>
                <w:rPr>
                  <w:rStyle w:val="Style2"/>
                  <w:sz w:val="24"/>
                </w:rPr>
                <w:id w:val="-1888403732"/>
              </w:sdtPr>
              <w:sdtEndPr>
                <w:rPr>
                  <w:rStyle w:val="Style2"/>
                </w:rPr>
              </w:sdtEndPr>
              <w:sdtContent>
                <w:sdt>
                  <w:sdtPr>
                    <w:rPr>
                      <w:rStyle w:val="Style2"/>
                      <w:sz w:val="24"/>
                    </w:rPr>
                    <w:id w:val="812368574"/>
                  </w:sdtPr>
                  <w:sdtEndPr>
                    <w:rPr>
                      <w:rStyle w:val="Style2"/>
                    </w:rPr>
                  </w:sdtEndPr>
                  <w:sdtContent>
                    <w:r w:rsidR="008358C8" w:rsidRPr="00F870CF">
                      <w:rPr>
                        <w:rStyle w:val="Style2"/>
                        <w:rFonts w:ascii="MS Mincho" w:eastAsia="MS Mincho" w:hAnsi="MS Mincho" w:cs="MS Mincho"/>
                        <w:sz w:val="24"/>
                      </w:rPr>
                      <w:t>☒</w:t>
                    </w:r>
                  </w:sdtContent>
                </w:sdt>
              </w:sdtContent>
            </w:sdt>
            <w:r w:rsidR="008358C8" w:rsidRPr="00F870CF">
              <w:t xml:space="preserve"> Taip</w:t>
            </w:r>
          </w:p>
          <w:p w14:paraId="06D2A00A" w14:textId="3337E264" w:rsidR="008358C8" w:rsidRPr="00F870CF" w:rsidRDefault="00F14FE1" w:rsidP="008358C8">
            <w:sdt>
              <w:sdtPr>
                <w:rPr>
                  <w:rStyle w:val="Style2"/>
                  <w:sz w:val="24"/>
                </w:rPr>
                <w:id w:val="1092201793"/>
              </w:sdtPr>
              <w:sdtEndPr>
                <w:rPr>
                  <w:rStyle w:val="Style2"/>
                </w:rPr>
              </w:sdtEndPr>
              <w:sdtContent>
                <w:r w:rsidR="008358C8" w:rsidRPr="00F870CF">
                  <w:rPr>
                    <w:rStyle w:val="Style2"/>
                    <w:rFonts w:ascii="MS Mincho" w:eastAsia="MS Mincho" w:hAnsi="MS Mincho" w:cs="MS Mincho"/>
                    <w:sz w:val="24"/>
                  </w:rPr>
                  <w:t>☐</w:t>
                </w:r>
              </w:sdtContent>
            </w:sdt>
            <w:r w:rsidR="008358C8" w:rsidRPr="00F870CF">
              <w:t xml:space="preserve"> Ne</w:t>
            </w:r>
          </w:p>
          <w:p w14:paraId="595255CE" w14:textId="192DFC9A" w:rsidR="008358C8" w:rsidRPr="00F870CF" w:rsidRDefault="00F14FE1" w:rsidP="008358C8">
            <w:pPr>
              <w:spacing w:line="276" w:lineRule="auto"/>
              <w:rPr>
                <w:rFonts w:eastAsia="Arial"/>
              </w:rPr>
            </w:pPr>
            <w:sdt>
              <w:sdtPr>
                <w:alias w:val="Nurodykite konkrečią dieną"/>
                <w:tag w:val="Nurodykite pradžios datą"/>
                <w:id w:val="-198323198"/>
                <w:date>
                  <w:dateFormat w:val="yyyy 'm.' MMMM d 'd.'"/>
                  <w:lid w:val="lt-LT"/>
                  <w:storeMappedDataAs w:val="dateTime"/>
                  <w:calendar w:val="gregorian"/>
                </w:date>
              </w:sdtPr>
              <w:sdtEndPr/>
              <w:sdtContent>
                <w:r w:rsidR="008358C8" w:rsidRPr="00F870CF">
                  <w:t xml:space="preserve">2017 m. spalio 19 d. </w:t>
                </w:r>
              </w:sdtContent>
            </w:sdt>
          </w:p>
        </w:tc>
        <w:tc>
          <w:tcPr>
            <w:tcW w:w="4855" w:type="dxa"/>
            <w:gridSpan w:val="2"/>
          </w:tcPr>
          <w:p w14:paraId="46B2A630" w14:textId="77777777" w:rsidR="008358C8" w:rsidRPr="00F870CF" w:rsidRDefault="008358C8" w:rsidP="008358C8">
            <w:pPr>
              <w:spacing w:line="276" w:lineRule="auto"/>
              <w:rPr>
                <w:rFonts w:eastAsia="Arial"/>
                <w:highlight w:val="yellow"/>
              </w:rPr>
            </w:pPr>
            <w:proofErr w:type="spellStart"/>
            <w:r w:rsidRPr="00F870CF">
              <w:rPr>
                <w:color w:val="0E0E0E"/>
              </w:rPr>
              <w:t>Epclusa</w:t>
            </w:r>
            <w:proofErr w:type="spellEnd"/>
            <w:r w:rsidRPr="00F870CF">
              <w:rPr>
                <w:color w:val="0E0E0E"/>
              </w:rPr>
              <w:t xml:space="preserve"> rekomenduojamas gydyti lėtinį hepatitą C suaugusiems pacientams. Rekomendacija apima visus genotipus </w:t>
            </w:r>
            <w:r w:rsidRPr="00F870CF">
              <w:rPr>
                <w:color w:val="0E0E0E"/>
              </w:rPr>
              <w:br/>
              <w:t>(</w:t>
            </w:r>
            <w:r w:rsidRPr="00F870CF">
              <w:rPr>
                <w:rFonts w:eastAsia="Arial"/>
              </w:rPr>
              <w:t>1, 2, 3, 4, 5 ir 6</w:t>
            </w:r>
            <w:r w:rsidRPr="00F870CF">
              <w:rPr>
                <w:color w:val="0E0E0E"/>
              </w:rPr>
              <w:t>).</w:t>
            </w:r>
          </w:p>
        </w:tc>
      </w:tr>
    </w:tbl>
    <w:p w14:paraId="4FF85587" w14:textId="77777777" w:rsidR="00B62292" w:rsidRDefault="00B62292">
      <w:pPr>
        <w:rPr>
          <w:b/>
          <w:bCs/>
          <w:caps/>
          <w:highlight w:val="yellow"/>
        </w:rPr>
      </w:pPr>
    </w:p>
    <w:p w14:paraId="626FE67D" w14:textId="77777777" w:rsidR="00080362" w:rsidRPr="006C4813" w:rsidRDefault="00080362">
      <w:pPr>
        <w:rPr>
          <w:b/>
          <w:bCs/>
          <w:caps/>
          <w:highlight w:val="yellow"/>
        </w:rPr>
      </w:pPr>
    </w:p>
    <w:p w14:paraId="5055E8A8" w14:textId="09A31708" w:rsidR="002E6F80" w:rsidRPr="00FF602D" w:rsidRDefault="00CC7832" w:rsidP="00CC09D4">
      <w:pPr>
        <w:pStyle w:val="Sraopastraipa"/>
        <w:numPr>
          <w:ilvl w:val="0"/>
          <w:numId w:val="12"/>
        </w:numPr>
        <w:tabs>
          <w:tab w:val="left" w:pos="567"/>
        </w:tabs>
        <w:ind w:hanging="720"/>
        <w:rPr>
          <w:b/>
          <w:bCs/>
          <w:caps/>
        </w:rPr>
      </w:pPr>
      <w:r w:rsidRPr="00FF602D">
        <w:rPr>
          <w:b/>
          <w:bCs/>
          <w:caps/>
        </w:rPr>
        <w:t>Klinikinio vertinimo a</w:t>
      </w:r>
      <w:r w:rsidR="00D4485B" w:rsidRPr="00FF602D">
        <w:rPr>
          <w:b/>
          <w:bCs/>
          <w:caps/>
        </w:rPr>
        <w:t>pibendrinimas</w:t>
      </w:r>
    </w:p>
    <w:p w14:paraId="5423F716" w14:textId="77777777" w:rsidR="002A3179" w:rsidRPr="006C4813" w:rsidRDefault="002A3179" w:rsidP="002A3179">
      <w:pPr>
        <w:tabs>
          <w:tab w:val="left" w:pos="284"/>
        </w:tabs>
        <w:rPr>
          <w:b/>
          <w:bCs/>
          <w:caps/>
          <w:highlight w:val="yellow"/>
        </w:rPr>
      </w:pPr>
    </w:p>
    <w:p w14:paraId="4FE4EBCB" w14:textId="1DE21E6F" w:rsidR="008358C8" w:rsidRPr="008358C8" w:rsidRDefault="007731C7" w:rsidP="008358C8">
      <w:pPr>
        <w:tabs>
          <w:tab w:val="left" w:pos="426"/>
        </w:tabs>
        <w:spacing w:line="276" w:lineRule="auto"/>
        <w:jc w:val="both"/>
        <w:rPr>
          <w:color w:val="000000"/>
          <w:lang w:eastAsia="lt-LT"/>
        </w:rPr>
      </w:pPr>
      <w:r>
        <w:rPr>
          <w:rFonts w:eastAsia="Arial"/>
        </w:rPr>
        <w:tab/>
      </w:r>
      <w:r>
        <w:rPr>
          <w:rFonts w:eastAsia="Arial"/>
        </w:rPr>
        <w:tab/>
      </w:r>
      <w:r w:rsidR="008358C8" w:rsidRPr="008358C8">
        <w:rPr>
          <w:color w:val="000000"/>
          <w:lang w:eastAsia="lt-LT"/>
        </w:rPr>
        <w:t xml:space="preserve">Hepatitas C yra kepenų liga, kurią sukelia hepatito C viruso (HCV) infekcija. HCV gali sukelti ūminę ir lėtinę hepatito infekciją. Virusu dažniausiai užsikrečiama užkrėstam kraujui patekus ant pažeistos odos. Pagrindinis HCV perdavimo būdas yra švirkščiamųjų narkotikų vartojimas dalijantis užterštomis adatomis. Dauguma pacientų nežino apie savo infekciją; liga diagnozuota tik apie 20 proc. pacientų, sergančių HCV. Naujausiame leidinyje apskaičiuota, kad Lietuvoje su HCV infekcija gyvena 25 500 žmonių (0,9 proc. gyventojų). Žmonės, kuriems išsivysto lėtinė HCV infekcija, dažnai nejaučia simptomų iki dešimtmečių po užsikrėtimo, kai simptomai atsiranda dėl rimtų kepenų pažeidimų. Nuo 15 iki 30 proc. žmonių, sergančių lėtiniu hepatitu C, per 20 metų išsivysto kepenų pažeidimas (cirozė), o nedaugeliui žmonių – </w:t>
      </w:r>
      <w:proofErr w:type="spellStart"/>
      <w:r w:rsidR="008358C8" w:rsidRPr="008358C8">
        <w:rPr>
          <w:color w:val="000000"/>
          <w:lang w:eastAsia="lt-LT"/>
        </w:rPr>
        <w:t>hepatoceliulinė</w:t>
      </w:r>
      <w:proofErr w:type="spellEnd"/>
      <w:r w:rsidR="008358C8" w:rsidRPr="008358C8">
        <w:rPr>
          <w:color w:val="000000"/>
          <w:lang w:eastAsia="lt-LT"/>
        </w:rPr>
        <w:t xml:space="preserve"> </w:t>
      </w:r>
      <w:proofErr w:type="spellStart"/>
      <w:r w:rsidR="008358C8" w:rsidRPr="008358C8">
        <w:rPr>
          <w:color w:val="000000"/>
          <w:lang w:eastAsia="lt-LT"/>
        </w:rPr>
        <w:t>karcinoma</w:t>
      </w:r>
      <w:proofErr w:type="spellEnd"/>
      <w:r w:rsidR="008358C8" w:rsidRPr="008358C8">
        <w:rPr>
          <w:color w:val="000000"/>
          <w:lang w:eastAsia="lt-LT"/>
        </w:rPr>
        <w:t>. Hepatitas C yra viena iš pagrindinių cirozės, kepenų vėžio ir kepenų transplantacijos priežasčių Europoje. HCV yra klasifikuojamas į 6 pagrindinius genotipus (sunumeruoti nuo 1 iki 6) ir virš 80 potipių. Lietuvoje labiausiai paplitę 1b (52 proc.), 3 (22 proc.), 1a (11 proc.) ir 2 (5 proc.) genotipai.</w:t>
      </w:r>
    </w:p>
    <w:p w14:paraId="1C369ED1" w14:textId="5D72AD63"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 xml:space="preserve">HCV terapijos tikslas yra ilgalaikis </w:t>
      </w:r>
      <w:proofErr w:type="spellStart"/>
      <w:r w:rsidR="008358C8" w:rsidRPr="008358C8">
        <w:rPr>
          <w:color w:val="000000"/>
          <w:lang w:eastAsia="lt-LT"/>
        </w:rPr>
        <w:t>virusologinis</w:t>
      </w:r>
      <w:proofErr w:type="spellEnd"/>
      <w:r w:rsidR="008358C8" w:rsidRPr="008358C8">
        <w:rPr>
          <w:color w:val="000000"/>
          <w:lang w:eastAsia="lt-LT"/>
        </w:rPr>
        <w:t xml:space="preserve"> atsakas (angl. </w:t>
      </w:r>
      <w:proofErr w:type="spellStart"/>
      <w:r w:rsidR="008358C8" w:rsidRPr="008358C8">
        <w:rPr>
          <w:color w:val="000000"/>
          <w:lang w:eastAsia="lt-LT"/>
        </w:rPr>
        <w:t>sustained</w:t>
      </w:r>
      <w:proofErr w:type="spellEnd"/>
      <w:r w:rsidR="008358C8" w:rsidRPr="008358C8">
        <w:rPr>
          <w:color w:val="000000"/>
          <w:lang w:eastAsia="lt-LT"/>
        </w:rPr>
        <w:t xml:space="preserve"> </w:t>
      </w:r>
      <w:proofErr w:type="spellStart"/>
      <w:r w:rsidR="008358C8" w:rsidRPr="008358C8">
        <w:rPr>
          <w:color w:val="000000"/>
          <w:lang w:eastAsia="lt-LT"/>
        </w:rPr>
        <w:t>virologic</w:t>
      </w:r>
      <w:proofErr w:type="spellEnd"/>
      <w:r w:rsidR="008358C8" w:rsidRPr="008358C8">
        <w:rPr>
          <w:color w:val="000000"/>
          <w:lang w:eastAsia="lt-LT"/>
        </w:rPr>
        <w:t xml:space="preserve"> </w:t>
      </w:r>
      <w:proofErr w:type="spellStart"/>
      <w:r w:rsidR="008358C8" w:rsidRPr="008358C8">
        <w:rPr>
          <w:color w:val="000000"/>
          <w:lang w:eastAsia="lt-LT"/>
        </w:rPr>
        <w:t>response</w:t>
      </w:r>
      <w:proofErr w:type="spellEnd"/>
      <w:r w:rsidR="008358C8" w:rsidRPr="008358C8">
        <w:rPr>
          <w:color w:val="000000"/>
          <w:lang w:eastAsia="lt-LT"/>
        </w:rPr>
        <w:t xml:space="preserve">, SVA), kuris apibrėžiamas kaip HCV RNR neaptikimas serume ar plazmoje praėjus 12 savaičių (SVA12) arba 24 savaitėms (SVA24) po gydymo pabaigos. Tiek SVA12, tiek SVA24 Europos ir JAV reguliavimo institucijos priėmė kaip galutinius rodiklius, atsižvelgiant į tai, kad jų suderinamumas yra &gt;99 proc.. Ilgalaikiai vėlesni tyrimai parodė, kad SVA daugeliu atvejų atitinka galutinį HCV infekcijos išgydymą. </w:t>
      </w:r>
    </w:p>
    <w:p w14:paraId="76778A1E" w14:textId="37BA89EA"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Europos kepenų tyrimo asociacijos (angl. „</w:t>
      </w:r>
      <w:proofErr w:type="spellStart"/>
      <w:r w:rsidR="008358C8" w:rsidRPr="008358C8">
        <w:rPr>
          <w:color w:val="000000"/>
          <w:lang w:eastAsia="lt-LT"/>
        </w:rPr>
        <w:t>European</w:t>
      </w:r>
      <w:proofErr w:type="spellEnd"/>
      <w:r w:rsidR="008358C8" w:rsidRPr="008358C8">
        <w:rPr>
          <w:color w:val="000000"/>
          <w:lang w:eastAsia="lt-LT"/>
        </w:rPr>
        <w:t xml:space="preserve"> </w:t>
      </w:r>
      <w:proofErr w:type="spellStart"/>
      <w:r w:rsidR="008358C8" w:rsidRPr="008358C8">
        <w:rPr>
          <w:color w:val="000000"/>
          <w:lang w:eastAsia="lt-LT"/>
        </w:rPr>
        <w:t>Association</w:t>
      </w:r>
      <w:proofErr w:type="spellEnd"/>
      <w:r w:rsidR="008358C8" w:rsidRPr="008358C8">
        <w:rPr>
          <w:color w:val="000000"/>
          <w:lang w:eastAsia="lt-LT"/>
        </w:rPr>
        <w:t xml:space="preserve"> </w:t>
      </w:r>
      <w:proofErr w:type="spellStart"/>
      <w:r w:rsidR="008358C8" w:rsidRPr="008358C8">
        <w:rPr>
          <w:color w:val="000000"/>
          <w:lang w:eastAsia="lt-LT"/>
        </w:rPr>
        <w:t>for</w:t>
      </w:r>
      <w:proofErr w:type="spellEnd"/>
      <w:r w:rsidR="008358C8" w:rsidRPr="008358C8">
        <w:rPr>
          <w:color w:val="000000"/>
          <w:lang w:eastAsia="lt-LT"/>
        </w:rPr>
        <w:t xml:space="preserve"> </w:t>
      </w:r>
      <w:proofErr w:type="spellStart"/>
      <w:r w:rsidR="008358C8" w:rsidRPr="008358C8">
        <w:rPr>
          <w:color w:val="000000"/>
          <w:lang w:eastAsia="lt-LT"/>
        </w:rPr>
        <w:t>the</w:t>
      </w:r>
      <w:proofErr w:type="spellEnd"/>
      <w:r w:rsidR="008358C8" w:rsidRPr="008358C8">
        <w:rPr>
          <w:color w:val="000000"/>
          <w:lang w:eastAsia="lt-LT"/>
        </w:rPr>
        <w:t xml:space="preserve"> </w:t>
      </w:r>
      <w:proofErr w:type="spellStart"/>
      <w:r w:rsidR="008358C8" w:rsidRPr="008358C8">
        <w:rPr>
          <w:color w:val="000000"/>
          <w:lang w:eastAsia="lt-LT"/>
        </w:rPr>
        <w:t>Study</w:t>
      </w:r>
      <w:proofErr w:type="spellEnd"/>
      <w:r w:rsidR="008358C8" w:rsidRPr="008358C8">
        <w:rPr>
          <w:color w:val="000000"/>
          <w:lang w:eastAsia="lt-LT"/>
        </w:rPr>
        <w:t xml:space="preserve"> </w:t>
      </w:r>
      <w:proofErr w:type="spellStart"/>
      <w:r w:rsidR="008358C8" w:rsidRPr="008358C8">
        <w:rPr>
          <w:color w:val="000000"/>
          <w:lang w:eastAsia="lt-LT"/>
        </w:rPr>
        <w:t>of</w:t>
      </w:r>
      <w:proofErr w:type="spellEnd"/>
      <w:r w:rsidR="008358C8" w:rsidRPr="008358C8">
        <w:rPr>
          <w:color w:val="000000"/>
          <w:lang w:eastAsia="lt-LT"/>
        </w:rPr>
        <w:t xml:space="preserve"> </w:t>
      </w:r>
      <w:proofErr w:type="spellStart"/>
      <w:r w:rsidR="008358C8" w:rsidRPr="008358C8">
        <w:rPr>
          <w:color w:val="000000"/>
          <w:lang w:eastAsia="lt-LT"/>
        </w:rPr>
        <w:t>the</w:t>
      </w:r>
      <w:proofErr w:type="spellEnd"/>
      <w:r w:rsidR="008358C8" w:rsidRPr="008358C8">
        <w:rPr>
          <w:color w:val="000000"/>
          <w:lang w:eastAsia="lt-LT"/>
        </w:rPr>
        <w:t xml:space="preserve"> </w:t>
      </w:r>
      <w:proofErr w:type="spellStart"/>
      <w:r w:rsidR="008358C8" w:rsidRPr="008358C8">
        <w:rPr>
          <w:color w:val="000000"/>
          <w:lang w:eastAsia="lt-LT"/>
        </w:rPr>
        <w:t>Liver</w:t>
      </w:r>
      <w:proofErr w:type="spellEnd"/>
      <w:r w:rsidR="008358C8" w:rsidRPr="008358C8">
        <w:rPr>
          <w:color w:val="000000"/>
          <w:lang w:eastAsia="lt-LT"/>
        </w:rPr>
        <w:t>“, EASL) gairėse rekomenduojama gydyti tiesioginio veikimo antivirusiniais vaistais (angl. „</w:t>
      </w:r>
      <w:proofErr w:type="spellStart"/>
      <w:r w:rsidR="008358C8" w:rsidRPr="008358C8">
        <w:rPr>
          <w:color w:val="000000"/>
          <w:lang w:eastAsia="lt-LT"/>
        </w:rPr>
        <w:t>direct-acting</w:t>
      </w:r>
      <w:proofErr w:type="spellEnd"/>
      <w:r w:rsidR="008358C8" w:rsidRPr="008358C8">
        <w:rPr>
          <w:color w:val="000000"/>
          <w:lang w:eastAsia="lt-LT"/>
        </w:rPr>
        <w:t xml:space="preserve"> </w:t>
      </w:r>
      <w:proofErr w:type="spellStart"/>
      <w:r w:rsidR="008358C8" w:rsidRPr="008358C8">
        <w:rPr>
          <w:color w:val="000000"/>
          <w:lang w:eastAsia="lt-LT"/>
        </w:rPr>
        <w:t>antiviral</w:t>
      </w:r>
      <w:proofErr w:type="spellEnd"/>
      <w:r w:rsidR="008358C8" w:rsidRPr="008358C8">
        <w:rPr>
          <w:color w:val="000000"/>
          <w:lang w:eastAsia="lt-LT"/>
        </w:rPr>
        <w:t xml:space="preserve">“, DAA). Gydymo trukmė paprastai svyruoja nuo 8 iki 24 savaičių, priklausomai nuo genotipo, cirozės būklės ir ankstesnio gydymo poveikio. Rekomenduojami </w:t>
      </w:r>
      <w:proofErr w:type="spellStart"/>
      <w:r w:rsidR="008358C8" w:rsidRPr="008358C8">
        <w:rPr>
          <w:color w:val="000000"/>
          <w:lang w:eastAsia="lt-LT"/>
        </w:rPr>
        <w:t>pangenotipiniai</w:t>
      </w:r>
      <w:proofErr w:type="spellEnd"/>
      <w:r w:rsidR="008358C8" w:rsidRPr="008358C8">
        <w:rPr>
          <w:color w:val="000000"/>
          <w:lang w:eastAsia="lt-LT"/>
        </w:rPr>
        <w:t xml:space="preserve"> DAA yra </w:t>
      </w:r>
      <w:proofErr w:type="spellStart"/>
      <w:r w:rsidR="008358C8" w:rsidRPr="008358C8">
        <w:rPr>
          <w:color w:val="000000"/>
          <w:lang w:eastAsia="lt-LT"/>
        </w:rPr>
        <w:t>sofosbuviras</w:t>
      </w:r>
      <w:proofErr w:type="spellEnd"/>
      <w:r w:rsidR="008358C8" w:rsidRPr="008358C8">
        <w:rPr>
          <w:color w:val="000000"/>
          <w:lang w:eastAsia="lt-LT"/>
        </w:rPr>
        <w:t>/</w:t>
      </w:r>
      <w:proofErr w:type="spellStart"/>
      <w:r w:rsidR="008358C8" w:rsidRPr="008358C8">
        <w:rPr>
          <w:color w:val="000000"/>
          <w:lang w:eastAsia="lt-LT"/>
        </w:rPr>
        <w:t>velpatasviras</w:t>
      </w:r>
      <w:proofErr w:type="spellEnd"/>
      <w:r w:rsidR="008358C8" w:rsidRPr="008358C8">
        <w:rPr>
          <w:color w:val="000000"/>
          <w:lang w:eastAsia="lt-LT"/>
        </w:rPr>
        <w:t xml:space="preserve"> (</w:t>
      </w:r>
      <w:proofErr w:type="spellStart"/>
      <w:r w:rsidR="008358C8" w:rsidRPr="00752CF2">
        <w:rPr>
          <w:i/>
          <w:color w:val="000000"/>
          <w:lang w:eastAsia="lt-LT"/>
        </w:rPr>
        <w:t>Epclusa</w:t>
      </w:r>
      <w:proofErr w:type="spellEnd"/>
      <w:r w:rsidR="008358C8" w:rsidRPr="008358C8">
        <w:rPr>
          <w:color w:val="000000"/>
          <w:lang w:eastAsia="lt-LT"/>
        </w:rPr>
        <w:t xml:space="preserve">), </w:t>
      </w:r>
      <w:proofErr w:type="spellStart"/>
      <w:r w:rsidR="008358C8" w:rsidRPr="008358C8">
        <w:rPr>
          <w:color w:val="000000"/>
          <w:lang w:eastAsia="lt-LT"/>
        </w:rPr>
        <w:t>glecapreviras</w:t>
      </w:r>
      <w:proofErr w:type="spellEnd"/>
      <w:r w:rsidR="008358C8" w:rsidRPr="008358C8">
        <w:rPr>
          <w:color w:val="000000"/>
          <w:lang w:eastAsia="lt-LT"/>
        </w:rPr>
        <w:t>/</w:t>
      </w:r>
      <w:proofErr w:type="spellStart"/>
      <w:r w:rsidR="008358C8" w:rsidRPr="008358C8">
        <w:rPr>
          <w:color w:val="000000"/>
          <w:lang w:eastAsia="lt-LT"/>
        </w:rPr>
        <w:t>pibrentasviras</w:t>
      </w:r>
      <w:proofErr w:type="spellEnd"/>
      <w:r w:rsidR="008358C8" w:rsidRPr="008358C8">
        <w:rPr>
          <w:color w:val="000000"/>
          <w:lang w:eastAsia="lt-LT"/>
        </w:rPr>
        <w:t xml:space="preserve"> (</w:t>
      </w:r>
      <w:proofErr w:type="spellStart"/>
      <w:r w:rsidR="008358C8" w:rsidRPr="000A189D">
        <w:rPr>
          <w:i/>
          <w:color w:val="000000"/>
          <w:lang w:eastAsia="lt-LT"/>
        </w:rPr>
        <w:t>Maviret</w:t>
      </w:r>
      <w:proofErr w:type="spellEnd"/>
      <w:r w:rsidR="008358C8" w:rsidRPr="008358C8">
        <w:rPr>
          <w:color w:val="000000"/>
          <w:lang w:eastAsia="lt-LT"/>
        </w:rPr>
        <w:t xml:space="preserve">) arba </w:t>
      </w:r>
      <w:proofErr w:type="spellStart"/>
      <w:r w:rsidR="008358C8" w:rsidRPr="008358C8">
        <w:rPr>
          <w:color w:val="000000"/>
          <w:lang w:eastAsia="lt-LT"/>
        </w:rPr>
        <w:t>sofosbuviras</w:t>
      </w:r>
      <w:proofErr w:type="spellEnd"/>
      <w:r w:rsidR="008358C8" w:rsidRPr="008358C8">
        <w:rPr>
          <w:color w:val="000000"/>
          <w:lang w:eastAsia="lt-LT"/>
        </w:rPr>
        <w:t>/</w:t>
      </w:r>
      <w:proofErr w:type="spellStart"/>
      <w:r w:rsidR="008358C8" w:rsidRPr="008358C8">
        <w:rPr>
          <w:color w:val="000000"/>
          <w:lang w:eastAsia="lt-LT"/>
        </w:rPr>
        <w:t>velpatasviras</w:t>
      </w:r>
      <w:proofErr w:type="spellEnd"/>
      <w:r w:rsidR="008358C8" w:rsidRPr="008358C8">
        <w:rPr>
          <w:color w:val="000000"/>
          <w:lang w:eastAsia="lt-LT"/>
        </w:rPr>
        <w:t>/</w:t>
      </w:r>
      <w:proofErr w:type="spellStart"/>
      <w:r w:rsidR="008358C8" w:rsidRPr="008358C8">
        <w:rPr>
          <w:color w:val="000000"/>
          <w:lang w:eastAsia="lt-LT"/>
        </w:rPr>
        <w:t>voksilapreviras</w:t>
      </w:r>
      <w:proofErr w:type="spellEnd"/>
      <w:r w:rsidR="008358C8" w:rsidRPr="008358C8">
        <w:rPr>
          <w:color w:val="000000"/>
          <w:lang w:eastAsia="lt-LT"/>
        </w:rPr>
        <w:t xml:space="preserve"> (</w:t>
      </w:r>
      <w:proofErr w:type="spellStart"/>
      <w:r w:rsidR="008358C8" w:rsidRPr="000A189D">
        <w:rPr>
          <w:i/>
          <w:color w:val="000000"/>
          <w:lang w:eastAsia="lt-LT"/>
        </w:rPr>
        <w:t>Vosevi</w:t>
      </w:r>
      <w:proofErr w:type="spellEnd"/>
      <w:r w:rsidR="008358C8" w:rsidRPr="008358C8">
        <w:rPr>
          <w:color w:val="000000"/>
          <w:lang w:eastAsia="lt-LT"/>
        </w:rPr>
        <w:t xml:space="preserve">). </w:t>
      </w:r>
      <w:proofErr w:type="spellStart"/>
      <w:r w:rsidR="008358C8" w:rsidRPr="008358C8">
        <w:rPr>
          <w:color w:val="000000"/>
          <w:lang w:eastAsia="lt-LT"/>
        </w:rPr>
        <w:t>Grazoprevirą</w:t>
      </w:r>
      <w:proofErr w:type="spellEnd"/>
      <w:r w:rsidR="008358C8" w:rsidRPr="008358C8">
        <w:rPr>
          <w:color w:val="000000"/>
          <w:lang w:eastAsia="lt-LT"/>
        </w:rPr>
        <w:t>/</w:t>
      </w:r>
      <w:proofErr w:type="spellStart"/>
      <w:r w:rsidR="008358C8" w:rsidRPr="008358C8">
        <w:rPr>
          <w:color w:val="000000"/>
          <w:lang w:eastAsia="lt-LT"/>
        </w:rPr>
        <w:t>elbasvirą</w:t>
      </w:r>
      <w:proofErr w:type="spellEnd"/>
      <w:r w:rsidR="008358C8" w:rsidRPr="008358C8">
        <w:rPr>
          <w:color w:val="000000"/>
          <w:lang w:eastAsia="lt-LT"/>
        </w:rPr>
        <w:t xml:space="preserve"> (</w:t>
      </w:r>
      <w:proofErr w:type="spellStart"/>
      <w:r w:rsidR="008358C8" w:rsidRPr="000A189D">
        <w:rPr>
          <w:i/>
          <w:color w:val="000000"/>
          <w:lang w:eastAsia="lt-LT"/>
        </w:rPr>
        <w:t>Zepatier</w:t>
      </w:r>
      <w:proofErr w:type="spellEnd"/>
      <w:r w:rsidR="008358C8" w:rsidRPr="008358C8">
        <w:rPr>
          <w:color w:val="000000"/>
          <w:lang w:eastAsia="lt-LT"/>
        </w:rPr>
        <w:t xml:space="preserve">) rekomenduojama vartoti tik pacientams, turintiems 1b genotipą. Gairėse </w:t>
      </w:r>
      <w:proofErr w:type="spellStart"/>
      <w:r w:rsidR="008358C8" w:rsidRPr="008358C8">
        <w:rPr>
          <w:color w:val="000000"/>
          <w:lang w:eastAsia="lt-LT"/>
        </w:rPr>
        <w:t>sofosbuviro</w:t>
      </w:r>
      <w:proofErr w:type="spellEnd"/>
      <w:r w:rsidR="008358C8" w:rsidRPr="008358C8">
        <w:rPr>
          <w:color w:val="000000"/>
          <w:lang w:eastAsia="lt-LT"/>
        </w:rPr>
        <w:t>/</w:t>
      </w:r>
      <w:proofErr w:type="spellStart"/>
      <w:r w:rsidR="008358C8" w:rsidRPr="008358C8">
        <w:rPr>
          <w:color w:val="000000"/>
          <w:lang w:eastAsia="lt-LT"/>
        </w:rPr>
        <w:t>velpatasviro</w:t>
      </w:r>
      <w:proofErr w:type="spellEnd"/>
      <w:r w:rsidR="008358C8" w:rsidRPr="008358C8">
        <w:rPr>
          <w:color w:val="000000"/>
          <w:lang w:eastAsia="lt-LT"/>
        </w:rPr>
        <w:t xml:space="preserve"> derinio bei </w:t>
      </w:r>
      <w:proofErr w:type="spellStart"/>
      <w:r w:rsidR="008358C8" w:rsidRPr="008358C8">
        <w:rPr>
          <w:color w:val="000000"/>
          <w:lang w:eastAsia="lt-LT"/>
        </w:rPr>
        <w:t>glecapreviro</w:t>
      </w:r>
      <w:proofErr w:type="spellEnd"/>
      <w:r w:rsidR="008358C8" w:rsidRPr="008358C8">
        <w:rPr>
          <w:color w:val="000000"/>
          <w:lang w:eastAsia="lt-LT"/>
        </w:rPr>
        <w:t>/</w:t>
      </w:r>
      <w:proofErr w:type="spellStart"/>
      <w:r w:rsidR="008358C8" w:rsidRPr="008358C8">
        <w:rPr>
          <w:color w:val="000000"/>
          <w:lang w:eastAsia="lt-LT"/>
        </w:rPr>
        <w:t>pibrentasviro</w:t>
      </w:r>
      <w:proofErr w:type="spellEnd"/>
      <w:r w:rsidR="008358C8" w:rsidRPr="008358C8">
        <w:rPr>
          <w:color w:val="000000"/>
          <w:lang w:eastAsia="lt-LT"/>
        </w:rPr>
        <w:t xml:space="preserve"> derinio vieta gydymo algoritme yra ta pati. Paraiškoje pateikto vertinti preparato - </w:t>
      </w:r>
      <w:proofErr w:type="spellStart"/>
      <w:r w:rsidR="008358C8" w:rsidRPr="000A189D">
        <w:rPr>
          <w:i/>
          <w:color w:val="000000"/>
          <w:lang w:eastAsia="lt-LT"/>
        </w:rPr>
        <w:t>Epclusa</w:t>
      </w:r>
      <w:proofErr w:type="spellEnd"/>
      <w:r w:rsidR="008358C8" w:rsidRPr="008358C8">
        <w:rPr>
          <w:color w:val="000000"/>
          <w:lang w:eastAsia="lt-LT"/>
        </w:rPr>
        <w:t xml:space="preserve"> - tikslinė populiacija yra ta pati kaip ir </w:t>
      </w:r>
      <w:proofErr w:type="spellStart"/>
      <w:r w:rsidR="008358C8" w:rsidRPr="000A189D">
        <w:rPr>
          <w:i/>
          <w:color w:val="000000"/>
          <w:lang w:eastAsia="lt-LT"/>
        </w:rPr>
        <w:t>Maviret</w:t>
      </w:r>
      <w:proofErr w:type="spellEnd"/>
      <w:r w:rsidR="008358C8" w:rsidRPr="008358C8">
        <w:rPr>
          <w:color w:val="000000"/>
          <w:lang w:eastAsia="lt-LT"/>
        </w:rPr>
        <w:t xml:space="preserve">. 2020 m. </w:t>
      </w:r>
      <w:proofErr w:type="spellStart"/>
      <w:r w:rsidR="008358C8" w:rsidRPr="000A189D">
        <w:rPr>
          <w:i/>
          <w:color w:val="000000"/>
          <w:lang w:eastAsia="lt-LT"/>
        </w:rPr>
        <w:t>Maviret</w:t>
      </w:r>
      <w:proofErr w:type="spellEnd"/>
      <w:r w:rsidR="008358C8" w:rsidRPr="008358C8">
        <w:rPr>
          <w:color w:val="000000"/>
          <w:lang w:eastAsia="lt-LT"/>
        </w:rPr>
        <w:t xml:space="preserve"> buvo naudojamas 784 pacientams. Apskaičiuota, kad bendras pacientų, gydomų </w:t>
      </w:r>
      <w:proofErr w:type="spellStart"/>
      <w:r w:rsidR="008358C8" w:rsidRPr="000A189D">
        <w:rPr>
          <w:i/>
          <w:color w:val="000000"/>
          <w:lang w:eastAsia="lt-LT"/>
        </w:rPr>
        <w:t>Maviret</w:t>
      </w:r>
      <w:proofErr w:type="spellEnd"/>
      <w:r w:rsidR="008358C8" w:rsidRPr="008358C8">
        <w:rPr>
          <w:color w:val="000000"/>
          <w:lang w:eastAsia="lt-LT"/>
        </w:rPr>
        <w:t xml:space="preserve"> ar </w:t>
      </w:r>
      <w:proofErr w:type="spellStart"/>
      <w:r w:rsidR="008358C8" w:rsidRPr="000A189D">
        <w:rPr>
          <w:i/>
          <w:color w:val="000000"/>
          <w:lang w:eastAsia="lt-LT"/>
        </w:rPr>
        <w:t>Epclusa</w:t>
      </w:r>
      <w:proofErr w:type="spellEnd"/>
      <w:r w:rsidR="008358C8" w:rsidRPr="008358C8">
        <w:rPr>
          <w:color w:val="000000"/>
          <w:lang w:eastAsia="lt-LT"/>
        </w:rPr>
        <w:t>, skaičius per ateinančius trejus metus išliks toks pats (780–790 pacientų per metus).</w:t>
      </w:r>
    </w:p>
    <w:p w14:paraId="62FAAB10" w14:textId="6F9F95F0"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 xml:space="preserve">Gairėse yra išskiriamas gydymas pacientams, kuriems yra nustatyta </w:t>
      </w:r>
      <w:proofErr w:type="spellStart"/>
      <w:r w:rsidR="008358C8" w:rsidRPr="008358C8">
        <w:rPr>
          <w:color w:val="000000"/>
          <w:lang w:eastAsia="lt-LT"/>
        </w:rPr>
        <w:t>dekompensuota</w:t>
      </w:r>
      <w:proofErr w:type="spellEnd"/>
      <w:r w:rsidR="008358C8" w:rsidRPr="008358C8">
        <w:rPr>
          <w:color w:val="000000"/>
          <w:lang w:eastAsia="lt-LT"/>
        </w:rPr>
        <w:t xml:space="preserve"> kepenų cirozė (</w:t>
      </w:r>
      <w:proofErr w:type="spellStart"/>
      <w:r w:rsidR="008358C8" w:rsidRPr="008358C8">
        <w:rPr>
          <w:color w:val="000000"/>
          <w:lang w:eastAsia="lt-LT"/>
        </w:rPr>
        <w:t>Child-Pugh</w:t>
      </w:r>
      <w:proofErr w:type="spellEnd"/>
      <w:r w:rsidR="008358C8" w:rsidRPr="008358C8">
        <w:rPr>
          <w:color w:val="000000"/>
          <w:lang w:eastAsia="lt-LT"/>
        </w:rPr>
        <w:t xml:space="preserve"> B arba C). Tiek 2020 m. EASL, tiek ir 2022 m. AASLD gairės nurodo, kad ši pacientų populiacija turėtų būti </w:t>
      </w:r>
      <w:proofErr w:type="spellStart"/>
      <w:r w:rsidR="008358C8" w:rsidRPr="008358C8">
        <w:rPr>
          <w:color w:val="000000"/>
          <w:lang w:eastAsia="lt-LT"/>
        </w:rPr>
        <w:t>gydyma</w:t>
      </w:r>
      <w:proofErr w:type="spellEnd"/>
      <w:r w:rsidR="008358C8" w:rsidRPr="008358C8">
        <w:rPr>
          <w:color w:val="000000"/>
          <w:lang w:eastAsia="lt-LT"/>
        </w:rPr>
        <w:t xml:space="preserve"> </w:t>
      </w:r>
      <w:proofErr w:type="spellStart"/>
      <w:r w:rsidR="008358C8" w:rsidRPr="008358C8">
        <w:rPr>
          <w:color w:val="000000"/>
          <w:lang w:eastAsia="lt-LT"/>
        </w:rPr>
        <w:t>Sofosbuviro</w:t>
      </w:r>
      <w:proofErr w:type="spellEnd"/>
      <w:r w:rsidR="008358C8" w:rsidRPr="008358C8">
        <w:rPr>
          <w:color w:val="000000"/>
          <w:lang w:eastAsia="lt-LT"/>
        </w:rPr>
        <w:t>/</w:t>
      </w:r>
      <w:proofErr w:type="spellStart"/>
      <w:r w:rsidR="008358C8" w:rsidRPr="008358C8">
        <w:rPr>
          <w:color w:val="000000"/>
          <w:lang w:eastAsia="lt-LT"/>
        </w:rPr>
        <w:t>Velpatasviro</w:t>
      </w:r>
      <w:proofErr w:type="spellEnd"/>
      <w:r w:rsidR="008358C8" w:rsidRPr="008358C8">
        <w:rPr>
          <w:color w:val="000000"/>
          <w:lang w:eastAsia="lt-LT"/>
        </w:rPr>
        <w:t xml:space="preserve"> deriniu kartu su </w:t>
      </w:r>
      <w:proofErr w:type="spellStart"/>
      <w:r w:rsidR="008358C8" w:rsidRPr="008358C8">
        <w:rPr>
          <w:color w:val="000000"/>
          <w:lang w:eastAsia="lt-LT"/>
        </w:rPr>
        <w:t>Ribavirinu</w:t>
      </w:r>
      <w:proofErr w:type="spellEnd"/>
      <w:r w:rsidR="008358C8" w:rsidRPr="008358C8">
        <w:rPr>
          <w:color w:val="000000"/>
          <w:lang w:eastAsia="lt-LT"/>
        </w:rPr>
        <w:t xml:space="preserve">. Kitas gydymas yra nerekomenduojamas. </w:t>
      </w:r>
    </w:p>
    <w:p w14:paraId="458182EB" w14:textId="02FCB815"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t xml:space="preserve">Lėtinis hepatitas C Lietuvoje gydomas remiantis 2012 m. spalio 24 d. įsakymu Nr. V-960 „Lėtinio virusinio hepatito C diagnostikos ir ambulatorinio gydymo kompensuojamaisiais vaistais tvarkos aprašu”. Nepaisant šiuo metu galiojančio tvarkos aprašo, kompensuojamų vaistų sąraše yra </w:t>
      </w:r>
      <w:r w:rsidRPr="008358C8">
        <w:rPr>
          <w:color w:val="000000"/>
          <w:lang w:eastAsia="lt-LT"/>
        </w:rPr>
        <w:lastRenderedPageBreak/>
        <w:t xml:space="preserve">daugiau vaistų, kurie tvarkos apraše nėra minėti: </w:t>
      </w:r>
      <w:proofErr w:type="spellStart"/>
      <w:r w:rsidRPr="008358C8">
        <w:rPr>
          <w:color w:val="000000"/>
          <w:lang w:eastAsia="lt-LT"/>
        </w:rPr>
        <w:t>Elbasviras</w:t>
      </w:r>
      <w:proofErr w:type="spellEnd"/>
      <w:r w:rsidRPr="008358C8">
        <w:rPr>
          <w:color w:val="000000"/>
          <w:lang w:eastAsia="lt-LT"/>
        </w:rPr>
        <w:t>/</w:t>
      </w:r>
      <w:proofErr w:type="spellStart"/>
      <w:r w:rsidRPr="008358C8">
        <w:rPr>
          <w:color w:val="000000"/>
          <w:lang w:eastAsia="lt-LT"/>
        </w:rPr>
        <w:t>Grazopreviras</w:t>
      </w:r>
      <w:proofErr w:type="spellEnd"/>
      <w:r w:rsidRPr="008358C8">
        <w:rPr>
          <w:color w:val="000000"/>
          <w:lang w:eastAsia="lt-LT"/>
        </w:rPr>
        <w:t xml:space="preserve">, </w:t>
      </w:r>
      <w:proofErr w:type="spellStart"/>
      <w:r w:rsidRPr="008358C8">
        <w:rPr>
          <w:color w:val="000000"/>
          <w:lang w:eastAsia="lt-LT"/>
        </w:rPr>
        <w:t>Glecapreviras</w:t>
      </w:r>
      <w:proofErr w:type="spellEnd"/>
      <w:r w:rsidRPr="008358C8">
        <w:rPr>
          <w:color w:val="000000"/>
          <w:lang w:eastAsia="lt-LT"/>
        </w:rPr>
        <w:t xml:space="preserve">/ </w:t>
      </w:r>
      <w:proofErr w:type="spellStart"/>
      <w:r w:rsidRPr="008358C8">
        <w:rPr>
          <w:color w:val="000000"/>
          <w:lang w:eastAsia="lt-LT"/>
        </w:rPr>
        <w:t>Pibrentasviras</w:t>
      </w:r>
      <w:proofErr w:type="spellEnd"/>
      <w:r w:rsidRPr="008358C8">
        <w:rPr>
          <w:color w:val="000000"/>
          <w:lang w:eastAsia="lt-LT"/>
        </w:rPr>
        <w:t xml:space="preserve">. Remiantis VLK statistika, 2020 m. buvo naudojami tik du iš šių gydymo būdų: </w:t>
      </w:r>
      <w:proofErr w:type="spellStart"/>
      <w:r w:rsidRPr="000A189D">
        <w:rPr>
          <w:i/>
          <w:color w:val="000000"/>
          <w:lang w:eastAsia="lt-LT"/>
        </w:rPr>
        <w:t>Maviret</w:t>
      </w:r>
      <w:proofErr w:type="spellEnd"/>
      <w:r w:rsidRPr="008358C8">
        <w:rPr>
          <w:color w:val="000000"/>
          <w:lang w:eastAsia="lt-LT"/>
        </w:rPr>
        <w:t xml:space="preserve"> (</w:t>
      </w:r>
      <w:proofErr w:type="spellStart"/>
      <w:r w:rsidRPr="008358C8">
        <w:rPr>
          <w:color w:val="000000"/>
          <w:lang w:eastAsia="lt-LT"/>
        </w:rPr>
        <w:t>glecapreviras</w:t>
      </w:r>
      <w:proofErr w:type="spellEnd"/>
      <w:r w:rsidRPr="008358C8">
        <w:rPr>
          <w:color w:val="000000"/>
          <w:lang w:eastAsia="lt-LT"/>
        </w:rPr>
        <w:t xml:space="preserve"> / </w:t>
      </w:r>
      <w:proofErr w:type="spellStart"/>
      <w:r w:rsidRPr="008358C8">
        <w:rPr>
          <w:color w:val="000000"/>
          <w:lang w:eastAsia="lt-LT"/>
        </w:rPr>
        <w:t>pibrentasviras</w:t>
      </w:r>
      <w:proofErr w:type="spellEnd"/>
      <w:r w:rsidRPr="008358C8">
        <w:rPr>
          <w:color w:val="000000"/>
          <w:lang w:eastAsia="lt-LT"/>
        </w:rPr>
        <w:t xml:space="preserve">) ir </w:t>
      </w:r>
      <w:proofErr w:type="spellStart"/>
      <w:r w:rsidRPr="000A189D">
        <w:rPr>
          <w:i/>
          <w:color w:val="000000"/>
          <w:lang w:eastAsia="lt-LT"/>
        </w:rPr>
        <w:t>Zepatier</w:t>
      </w:r>
      <w:proofErr w:type="spellEnd"/>
      <w:r w:rsidRPr="008358C8">
        <w:rPr>
          <w:color w:val="000000"/>
          <w:lang w:eastAsia="lt-LT"/>
        </w:rPr>
        <w:t xml:space="preserve"> (</w:t>
      </w:r>
      <w:proofErr w:type="spellStart"/>
      <w:r w:rsidRPr="008358C8">
        <w:rPr>
          <w:color w:val="000000"/>
          <w:lang w:eastAsia="lt-LT"/>
        </w:rPr>
        <w:t>elbasviras</w:t>
      </w:r>
      <w:proofErr w:type="spellEnd"/>
      <w:r w:rsidRPr="008358C8">
        <w:rPr>
          <w:color w:val="000000"/>
          <w:lang w:eastAsia="lt-LT"/>
        </w:rPr>
        <w:t xml:space="preserve"> / </w:t>
      </w:r>
      <w:proofErr w:type="spellStart"/>
      <w:r w:rsidRPr="008358C8">
        <w:rPr>
          <w:color w:val="000000"/>
          <w:lang w:eastAsia="lt-LT"/>
        </w:rPr>
        <w:t>grazopreviras</w:t>
      </w:r>
      <w:proofErr w:type="spellEnd"/>
      <w:r w:rsidRPr="008358C8">
        <w:rPr>
          <w:color w:val="000000"/>
          <w:lang w:eastAsia="lt-LT"/>
        </w:rPr>
        <w:t>).</w:t>
      </w:r>
    </w:p>
    <w:p w14:paraId="14883FC0"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 xml:space="preserve"> </w:t>
      </w:r>
      <w:r w:rsidRPr="008358C8">
        <w:rPr>
          <w:color w:val="000000"/>
          <w:lang w:eastAsia="lt-LT"/>
        </w:rPr>
        <w:tab/>
        <w:t xml:space="preserve">Palyginamasis gydymas atitinka Lietuvos Respublikos sveikatos apsaugos ministro 2002 m. balandžio 5 d. įsakymu Nr. V-159 „Dėl vaistinių preparatų ir medicinos pagalbos priemonių įrašymo į kompensavimo sąrašus ir jų keitimo tvarkos aprašo patvirtinimo“ 116.1 punktą, nes </w:t>
      </w:r>
      <w:proofErr w:type="spellStart"/>
      <w:r w:rsidRPr="008358C8">
        <w:rPr>
          <w:color w:val="000000"/>
          <w:lang w:eastAsia="lt-LT"/>
        </w:rPr>
        <w:t>glecapreviras</w:t>
      </w:r>
      <w:proofErr w:type="spellEnd"/>
      <w:r w:rsidRPr="008358C8">
        <w:rPr>
          <w:color w:val="000000"/>
          <w:lang w:eastAsia="lt-LT"/>
        </w:rPr>
        <w:t>/</w:t>
      </w:r>
      <w:proofErr w:type="spellStart"/>
      <w:r w:rsidRPr="008358C8">
        <w:rPr>
          <w:color w:val="000000"/>
          <w:lang w:eastAsia="lt-LT"/>
        </w:rPr>
        <w:t>pibrentasviras</w:t>
      </w:r>
      <w:proofErr w:type="spellEnd"/>
      <w:r w:rsidRPr="008358C8">
        <w:rPr>
          <w:color w:val="000000"/>
          <w:lang w:eastAsia="lt-LT"/>
        </w:rPr>
        <w:t xml:space="preserve"> „paraiškos vertinimo metu atitinkantis įprastą klinikinę praktiką ir pagrįstai laikomas atitinkančiu pripažintas konkrečios ligos gydymo gaires“. Vertinant, kad derinys </w:t>
      </w:r>
      <w:proofErr w:type="spellStart"/>
      <w:r w:rsidRPr="008358C8">
        <w:rPr>
          <w:color w:val="000000"/>
          <w:lang w:eastAsia="lt-LT"/>
        </w:rPr>
        <w:t>Glecapreviru</w:t>
      </w:r>
      <w:proofErr w:type="spellEnd"/>
      <w:r w:rsidRPr="008358C8">
        <w:rPr>
          <w:color w:val="000000"/>
          <w:lang w:eastAsia="lt-LT"/>
        </w:rPr>
        <w:t>/</w:t>
      </w:r>
      <w:proofErr w:type="spellStart"/>
      <w:r w:rsidRPr="008358C8">
        <w:rPr>
          <w:color w:val="000000"/>
          <w:lang w:eastAsia="lt-LT"/>
        </w:rPr>
        <w:t>Pibrentasviru</w:t>
      </w:r>
      <w:proofErr w:type="spellEnd"/>
      <w:r w:rsidRPr="008358C8">
        <w:rPr>
          <w:color w:val="000000"/>
          <w:lang w:eastAsia="lt-LT"/>
        </w:rPr>
        <w:t xml:space="preserve"> gali būti skiriamas ir tai pačiai populiacijai, kuriai yra skiriamas </w:t>
      </w:r>
      <w:proofErr w:type="spellStart"/>
      <w:r w:rsidRPr="008358C8">
        <w:rPr>
          <w:color w:val="000000"/>
          <w:lang w:eastAsia="lt-LT"/>
        </w:rPr>
        <w:t>Elbasviras</w:t>
      </w:r>
      <w:proofErr w:type="spellEnd"/>
      <w:r w:rsidRPr="008358C8">
        <w:rPr>
          <w:color w:val="000000"/>
          <w:lang w:eastAsia="lt-LT"/>
        </w:rPr>
        <w:t>/</w:t>
      </w:r>
      <w:proofErr w:type="spellStart"/>
      <w:r w:rsidRPr="008358C8">
        <w:rPr>
          <w:color w:val="000000"/>
          <w:lang w:eastAsia="lt-LT"/>
        </w:rPr>
        <w:t>Grazopreviras</w:t>
      </w:r>
      <w:proofErr w:type="spellEnd"/>
      <w:r w:rsidRPr="008358C8">
        <w:rPr>
          <w:color w:val="000000"/>
          <w:lang w:eastAsia="lt-LT"/>
        </w:rPr>
        <w:t xml:space="preserve">, pasirinktinas palyginamasis vaistas – </w:t>
      </w:r>
      <w:proofErr w:type="spellStart"/>
      <w:r w:rsidRPr="008358C8">
        <w:rPr>
          <w:color w:val="000000"/>
          <w:lang w:eastAsia="lt-LT"/>
        </w:rPr>
        <w:t>Glecapreviras</w:t>
      </w:r>
      <w:proofErr w:type="spellEnd"/>
      <w:r w:rsidRPr="008358C8">
        <w:rPr>
          <w:color w:val="000000"/>
          <w:lang w:eastAsia="lt-LT"/>
        </w:rPr>
        <w:t>/</w:t>
      </w:r>
      <w:proofErr w:type="spellStart"/>
      <w:r w:rsidRPr="008358C8">
        <w:rPr>
          <w:color w:val="000000"/>
          <w:lang w:eastAsia="lt-LT"/>
        </w:rPr>
        <w:t>Pibrentasviras</w:t>
      </w:r>
      <w:proofErr w:type="spellEnd"/>
      <w:r w:rsidRPr="008358C8">
        <w:rPr>
          <w:color w:val="000000"/>
          <w:lang w:eastAsia="lt-LT"/>
        </w:rPr>
        <w:t xml:space="preserve"> – apimtų abiejų vaistų populiacijas.</w:t>
      </w:r>
    </w:p>
    <w:p w14:paraId="4A025C13" w14:textId="77777777" w:rsidR="008358C8" w:rsidRPr="008358C8" w:rsidRDefault="008358C8" w:rsidP="008358C8">
      <w:pPr>
        <w:tabs>
          <w:tab w:val="left" w:pos="426"/>
        </w:tabs>
        <w:spacing w:line="276" w:lineRule="auto"/>
        <w:jc w:val="both"/>
        <w:rPr>
          <w:color w:val="000000"/>
          <w:lang w:eastAsia="lt-LT"/>
        </w:rPr>
      </w:pPr>
    </w:p>
    <w:p w14:paraId="57932F00" w14:textId="77777777" w:rsidR="008358C8" w:rsidRPr="00A1438F" w:rsidRDefault="008358C8" w:rsidP="008358C8">
      <w:pPr>
        <w:tabs>
          <w:tab w:val="left" w:pos="426"/>
        </w:tabs>
        <w:spacing w:line="276" w:lineRule="auto"/>
        <w:jc w:val="both"/>
        <w:rPr>
          <w:i/>
          <w:color w:val="000000"/>
          <w:lang w:eastAsia="lt-LT"/>
        </w:rPr>
      </w:pPr>
      <w:r w:rsidRPr="00A1438F">
        <w:rPr>
          <w:i/>
          <w:color w:val="000000"/>
          <w:lang w:eastAsia="lt-LT"/>
        </w:rPr>
        <w:t>Tiesioginis palyginimas</w:t>
      </w:r>
    </w:p>
    <w:p w14:paraId="3B3D5B08" w14:textId="77777777" w:rsidR="00F870CF" w:rsidRDefault="00F870CF" w:rsidP="008358C8">
      <w:pPr>
        <w:tabs>
          <w:tab w:val="left" w:pos="426"/>
        </w:tabs>
        <w:spacing w:line="276" w:lineRule="auto"/>
        <w:jc w:val="both"/>
        <w:rPr>
          <w:color w:val="000000"/>
          <w:lang w:eastAsia="lt-LT"/>
        </w:rPr>
      </w:pPr>
    </w:p>
    <w:p w14:paraId="447EF4A2" w14:textId="39925E1F"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 xml:space="preserve">ASTRAL-1 – atsitiktinių imčių, dvigubai koduotas, </w:t>
      </w:r>
      <w:proofErr w:type="spellStart"/>
      <w:r w:rsidR="008358C8" w:rsidRPr="008358C8">
        <w:rPr>
          <w:color w:val="000000"/>
          <w:lang w:eastAsia="lt-LT"/>
        </w:rPr>
        <w:t>daugiacentris</w:t>
      </w:r>
      <w:proofErr w:type="spellEnd"/>
      <w:r w:rsidR="008358C8" w:rsidRPr="008358C8">
        <w:rPr>
          <w:color w:val="000000"/>
          <w:lang w:eastAsia="lt-LT"/>
        </w:rPr>
        <w:t xml:space="preserve">, </w:t>
      </w:r>
      <w:proofErr w:type="spellStart"/>
      <w:r w:rsidR="008358C8" w:rsidRPr="008358C8">
        <w:rPr>
          <w:color w:val="000000"/>
          <w:lang w:eastAsia="lt-LT"/>
        </w:rPr>
        <w:t>placebu</w:t>
      </w:r>
      <w:proofErr w:type="spellEnd"/>
      <w:r w:rsidR="008358C8" w:rsidRPr="008358C8">
        <w:rPr>
          <w:color w:val="000000"/>
          <w:lang w:eastAsia="lt-LT"/>
        </w:rPr>
        <w:t xml:space="preserve"> kontroliuojamas III fazės klinikinis tyrimas, kuriame dalyvavo negydyti ir anksčiau gydyti pacientai, sergantys lėtine 1, 2, 4, 5 arba 6 genotipo HCV infekcija, įskaitant tuos, kurie serga kompensuota ciroze.</w:t>
      </w:r>
    </w:p>
    <w:p w14:paraId="557BB854" w14:textId="6B02B15F"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 xml:space="preserve">ASTRAL-1 tyrimo pagrindinė (pirminė) veiksmingumo vertinamoji baigtis buvo ilgalaikio </w:t>
      </w:r>
      <w:proofErr w:type="spellStart"/>
      <w:r w:rsidR="008358C8" w:rsidRPr="008358C8">
        <w:rPr>
          <w:color w:val="000000"/>
          <w:lang w:eastAsia="lt-LT"/>
        </w:rPr>
        <w:t>virusologinio</w:t>
      </w:r>
      <w:proofErr w:type="spellEnd"/>
      <w:r w:rsidR="008358C8" w:rsidRPr="008358C8">
        <w:rPr>
          <w:color w:val="000000"/>
          <w:lang w:eastAsia="lt-LT"/>
        </w:rPr>
        <w:t xml:space="preserve"> atsako dažnis 12 sav. po baigto gydymo. Ilgalaikis </w:t>
      </w:r>
      <w:proofErr w:type="spellStart"/>
      <w:r w:rsidR="008358C8" w:rsidRPr="008358C8">
        <w:rPr>
          <w:color w:val="000000"/>
          <w:lang w:eastAsia="lt-LT"/>
        </w:rPr>
        <w:t>virusologinis</w:t>
      </w:r>
      <w:proofErr w:type="spellEnd"/>
      <w:r w:rsidR="008358C8" w:rsidRPr="008358C8">
        <w:rPr>
          <w:color w:val="000000"/>
          <w:lang w:eastAsia="lt-LT"/>
        </w:rPr>
        <w:t xml:space="preserve"> atsakas buvo apibrėžiamas kaip HCV RNR lygis, mažesnis nei 15 TV mililitre 12 savaičių po gydymo pabaigos visiems pacientams, vartojusiems bent vieną </w:t>
      </w:r>
      <w:proofErr w:type="spellStart"/>
      <w:r w:rsidR="008358C8" w:rsidRPr="008358C8">
        <w:rPr>
          <w:color w:val="000000"/>
          <w:lang w:eastAsia="lt-LT"/>
        </w:rPr>
        <w:t>sofosbuviro</w:t>
      </w:r>
      <w:proofErr w:type="spellEnd"/>
      <w:r w:rsidR="008358C8" w:rsidRPr="008358C8">
        <w:rPr>
          <w:color w:val="000000"/>
          <w:lang w:eastAsia="lt-LT"/>
        </w:rPr>
        <w:t>/</w:t>
      </w:r>
      <w:proofErr w:type="spellStart"/>
      <w:r w:rsidR="008358C8" w:rsidRPr="008358C8">
        <w:rPr>
          <w:color w:val="000000"/>
          <w:lang w:eastAsia="lt-LT"/>
        </w:rPr>
        <w:t>velpatasviro</w:t>
      </w:r>
      <w:proofErr w:type="spellEnd"/>
      <w:r w:rsidR="008358C8" w:rsidRPr="008358C8">
        <w:rPr>
          <w:color w:val="000000"/>
          <w:lang w:eastAsia="lt-LT"/>
        </w:rPr>
        <w:t xml:space="preserve"> dozę arba </w:t>
      </w:r>
      <w:proofErr w:type="spellStart"/>
      <w:r w:rsidR="008358C8" w:rsidRPr="008358C8">
        <w:rPr>
          <w:color w:val="000000"/>
          <w:lang w:eastAsia="lt-LT"/>
        </w:rPr>
        <w:t>placebą</w:t>
      </w:r>
      <w:proofErr w:type="spellEnd"/>
      <w:r w:rsidR="008358C8" w:rsidRPr="008358C8">
        <w:rPr>
          <w:color w:val="000000"/>
          <w:lang w:eastAsia="lt-LT"/>
        </w:rPr>
        <w:t xml:space="preserve">. Ilgalaikio </w:t>
      </w:r>
      <w:proofErr w:type="spellStart"/>
      <w:r w:rsidR="008358C8" w:rsidRPr="008358C8">
        <w:rPr>
          <w:color w:val="000000"/>
          <w:lang w:eastAsia="lt-LT"/>
        </w:rPr>
        <w:t>virusologinio</w:t>
      </w:r>
      <w:proofErr w:type="spellEnd"/>
      <w:r w:rsidR="008358C8" w:rsidRPr="008358C8">
        <w:rPr>
          <w:color w:val="000000"/>
          <w:lang w:eastAsia="lt-LT"/>
        </w:rPr>
        <w:t xml:space="preserve"> atsako dažnis tarp pacientų, vartojusių 12 savaičių </w:t>
      </w:r>
      <w:proofErr w:type="spellStart"/>
      <w:r w:rsidR="008358C8" w:rsidRPr="008358C8">
        <w:rPr>
          <w:color w:val="000000"/>
          <w:lang w:eastAsia="lt-LT"/>
        </w:rPr>
        <w:t>sofosbuviro</w:t>
      </w:r>
      <w:proofErr w:type="spellEnd"/>
      <w:r w:rsidR="008358C8" w:rsidRPr="008358C8">
        <w:rPr>
          <w:color w:val="000000"/>
          <w:lang w:eastAsia="lt-LT"/>
        </w:rPr>
        <w:t xml:space="preserve"> ir </w:t>
      </w:r>
      <w:proofErr w:type="spellStart"/>
      <w:r w:rsidR="008358C8" w:rsidRPr="008358C8">
        <w:rPr>
          <w:color w:val="000000"/>
          <w:lang w:eastAsia="lt-LT"/>
        </w:rPr>
        <w:t>velpatasviro</w:t>
      </w:r>
      <w:proofErr w:type="spellEnd"/>
      <w:r w:rsidR="008358C8" w:rsidRPr="008358C8">
        <w:rPr>
          <w:color w:val="000000"/>
          <w:lang w:eastAsia="lt-LT"/>
        </w:rPr>
        <w:t xml:space="preserve">, buvo 99 proc. (95 proc. </w:t>
      </w:r>
      <w:proofErr w:type="spellStart"/>
      <w:r w:rsidR="008358C8" w:rsidRPr="008358C8">
        <w:rPr>
          <w:color w:val="000000"/>
          <w:lang w:eastAsia="lt-LT"/>
        </w:rPr>
        <w:t>pasikliautinasis</w:t>
      </w:r>
      <w:proofErr w:type="spellEnd"/>
      <w:r w:rsidR="008358C8" w:rsidRPr="008358C8">
        <w:rPr>
          <w:color w:val="000000"/>
          <w:lang w:eastAsia="lt-LT"/>
        </w:rPr>
        <w:t xml:space="preserve"> intervalas [PI], nuo 98 iki &gt; 99), o tai žymiai viršijo iš anksto nustatytą 85 proc. efektyvumo tikslą (P &lt;0,001). Nė vienam iš 116 pacientų </w:t>
      </w:r>
      <w:proofErr w:type="spellStart"/>
      <w:r w:rsidR="008358C8" w:rsidRPr="008358C8">
        <w:rPr>
          <w:color w:val="000000"/>
          <w:lang w:eastAsia="lt-LT"/>
        </w:rPr>
        <w:t>placebo</w:t>
      </w:r>
      <w:proofErr w:type="spellEnd"/>
      <w:r w:rsidR="008358C8" w:rsidRPr="008358C8">
        <w:rPr>
          <w:color w:val="000000"/>
          <w:lang w:eastAsia="lt-LT"/>
        </w:rPr>
        <w:t xml:space="preserve"> grupėje nebuvo ilgalaikio </w:t>
      </w:r>
      <w:proofErr w:type="spellStart"/>
      <w:r w:rsidR="008358C8" w:rsidRPr="008358C8">
        <w:rPr>
          <w:color w:val="000000"/>
          <w:lang w:eastAsia="lt-LT"/>
        </w:rPr>
        <w:t>virusologinio</w:t>
      </w:r>
      <w:proofErr w:type="spellEnd"/>
      <w:r w:rsidR="008358C8" w:rsidRPr="008358C8">
        <w:rPr>
          <w:color w:val="000000"/>
          <w:lang w:eastAsia="lt-LT"/>
        </w:rPr>
        <w:t xml:space="preserve"> atsako. Ilgalaikio </w:t>
      </w:r>
      <w:proofErr w:type="spellStart"/>
      <w:r w:rsidR="008358C8" w:rsidRPr="008358C8">
        <w:rPr>
          <w:color w:val="000000"/>
          <w:lang w:eastAsia="lt-LT"/>
        </w:rPr>
        <w:t>virusologinio</w:t>
      </w:r>
      <w:proofErr w:type="spellEnd"/>
      <w:r w:rsidR="008358C8" w:rsidRPr="008358C8">
        <w:rPr>
          <w:color w:val="000000"/>
          <w:lang w:eastAsia="lt-LT"/>
        </w:rPr>
        <w:t xml:space="preserve"> atsako dažnis buvo panašus, nepaisant HCV genotipo: 98 proc. (95 proc. PI, 95–&gt;99) pacientų, sergančių 1a genotipo infekcija, 99 proc. (95 proc. PI, 95–100) su 1b genotipu, 100 proc. ( 95proc. PI, 97-100) su 2 genotipu, 100proc. (95proc. PI, 97-100) su 4 genotipu, 97proc. (95proc. PI, 85-&gt;99) su 5 genotipu ir 100proc. (95proc. PI) , 91–100) su 6 genotipu. Iš 121 bet kurio genotipo paciento, sirgusio ciroze, 120 (99 proc. [95 proc. PI, 95–&gt;99]) </w:t>
      </w:r>
      <w:proofErr w:type="spellStart"/>
      <w:r w:rsidR="008358C8" w:rsidRPr="008358C8">
        <w:rPr>
          <w:color w:val="000000"/>
          <w:lang w:eastAsia="lt-LT"/>
        </w:rPr>
        <w:t>virusologinis</w:t>
      </w:r>
      <w:proofErr w:type="spellEnd"/>
      <w:r w:rsidR="008358C8" w:rsidRPr="008358C8">
        <w:rPr>
          <w:color w:val="000000"/>
          <w:lang w:eastAsia="lt-LT"/>
        </w:rPr>
        <w:t xml:space="preserve"> atsakas buvo ilgalaikis.</w:t>
      </w:r>
    </w:p>
    <w:p w14:paraId="065B4151" w14:textId="50A5B615" w:rsidR="008358C8" w:rsidRPr="008358C8" w:rsidRDefault="00F870CF" w:rsidP="008358C8">
      <w:pPr>
        <w:tabs>
          <w:tab w:val="left" w:pos="426"/>
        </w:tabs>
        <w:spacing w:line="276" w:lineRule="auto"/>
        <w:jc w:val="both"/>
        <w:rPr>
          <w:color w:val="000000"/>
          <w:lang w:eastAsia="lt-LT"/>
        </w:rPr>
      </w:pPr>
      <w:r>
        <w:rPr>
          <w:color w:val="000000"/>
          <w:lang w:eastAsia="lt-LT"/>
        </w:rPr>
        <w:tab/>
      </w:r>
      <w:r>
        <w:rPr>
          <w:color w:val="000000"/>
          <w:lang w:eastAsia="lt-LT"/>
        </w:rPr>
        <w:tab/>
      </w:r>
      <w:r w:rsidR="008358C8" w:rsidRPr="008358C8">
        <w:rPr>
          <w:color w:val="000000"/>
          <w:lang w:eastAsia="lt-LT"/>
        </w:rPr>
        <w:t xml:space="preserve">Ilgalaikio </w:t>
      </w:r>
      <w:proofErr w:type="spellStart"/>
      <w:r w:rsidR="008358C8" w:rsidRPr="008358C8">
        <w:rPr>
          <w:color w:val="000000"/>
          <w:lang w:eastAsia="lt-LT"/>
        </w:rPr>
        <w:t>virusologinio</w:t>
      </w:r>
      <w:proofErr w:type="spellEnd"/>
      <w:r w:rsidR="008358C8" w:rsidRPr="008358C8">
        <w:rPr>
          <w:color w:val="000000"/>
          <w:lang w:eastAsia="lt-LT"/>
        </w:rPr>
        <w:t xml:space="preserve"> atsako dažnis visuose pacientų pogrupiuose, įskaitant sergančius ciroze (99 proc.) ir turinčius ankstesnio gydymo patirtį (&gt;99 proc.), buvo didelis (Lentelė X).</w:t>
      </w:r>
    </w:p>
    <w:p w14:paraId="75E568E2"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ASTRAL-4 buvo atsitiktinių </w:t>
      </w:r>
      <w:proofErr w:type="spellStart"/>
      <w:r w:rsidRPr="008358C8">
        <w:rPr>
          <w:color w:val="000000"/>
          <w:lang w:eastAsia="lt-LT"/>
        </w:rPr>
        <w:t>imčiu</w:t>
      </w:r>
      <w:proofErr w:type="spellEnd"/>
      <w:r w:rsidRPr="008358C8">
        <w:rPr>
          <w:color w:val="000000"/>
          <w:lang w:eastAsia="lt-LT"/>
        </w:rPr>
        <w:t xml:space="preserve">̨, atviras tyrimas, kuriame dalyvavo 1, 2, 3, 4, 5 ar 6 genotipo HCV infekcija infekuoti ir B </w:t>
      </w:r>
      <w:proofErr w:type="spellStart"/>
      <w:r w:rsidRPr="008358C8">
        <w:rPr>
          <w:color w:val="000000"/>
          <w:lang w:eastAsia="lt-LT"/>
        </w:rPr>
        <w:t>klasės</w:t>
      </w:r>
      <w:proofErr w:type="spellEnd"/>
      <w:r w:rsidRPr="008358C8">
        <w:rPr>
          <w:color w:val="000000"/>
          <w:lang w:eastAsia="lt-LT"/>
        </w:rPr>
        <w:t xml:space="preserve"> (pagal </w:t>
      </w:r>
      <w:proofErr w:type="spellStart"/>
      <w:r w:rsidRPr="008358C8">
        <w:rPr>
          <w:color w:val="000000"/>
          <w:lang w:eastAsia="lt-LT"/>
        </w:rPr>
        <w:t>Child</w:t>
      </w:r>
      <w:proofErr w:type="spellEnd"/>
      <w:r w:rsidRPr="008358C8">
        <w:rPr>
          <w:color w:val="000000"/>
          <w:lang w:eastAsia="lt-LT"/>
        </w:rPr>
        <w:t>–</w:t>
      </w:r>
      <w:proofErr w:type="spellStart"/>
      <w:r w:rsidRPr="008358C8">
        <w:rPr>
          <w:color w:val="000000"/>
          <w:lang w:eastAsia="lt-LT"/>
        </w:rPr>
        <w:t>Pugh</w:t>
      </w:r>
      <w:proofErr w:type="spellEnd"/>
      <w:r w:rsidRPr="008358C8">
        <w:rPr>
          <w:color w:val="000000"/>
          <w:lang w:eastAsia="lt-LT"/>
        </w:rPr>
        <w:t xml:space="preserve"> skalę) </w:t>
      </w:r>
      <w:proofErr w:type="spellStart"/>
      <w:r w:rsidRPr="008358C8">
        <w:rPr>
          <w:color w:val="000000"/>
          <w:lang w:eastAsia="lt-LT"/>
        </w:rPr>
        <w:t>kepenu</w:t>
      </w:r>
      <w:proofErr w:type="spellEnd"/>
      <w:r w:rsidRPr="008358C8">
        <w:rPr>
          <w:color w:val="000000"/>
          <w:lang w:eastAsia="lt-LT"/>
        </w:rPr>
        <w:t xml:space="preserve">̨ ciroze sergantys pacientai. Tyrimo pagrindinė (pirminė) veiksmingumo vertinamoji baigtis buvo ilgalaikio </w:t>
      </w:r>
      <w:proofErr w:type="spellStart"/>
      <w:r w:rsidRPr="008358C8">
        <w:rPr>
          <w:color w:val="000000"/>
          <w:lang w:eastAsia="lt-LT"/>
        </w:rPr>
        <w:t>virusologinio</w:t>
      </w:r>
      <w:proofErr w:type="spellEnd"/>
      <w:r w:rsidRPr="008358C8">
        <w:rPr>
          <w:color w:val="000000"/>
          <w:lang w:eastAsia="lt-LT"/>
        </w:rPr>
        <w:t xml:space="preserve"> atsako dažnis 12 sav. po baigto gydymo. Antrinės baigtys buvo </w:t>
      </w:r>
      <w:proofErr w:type="spellStart"/>
      <w:r w:rsidRPr="008358C8">
        <w:rPr>
          <w:color w:val="000000"/>
          <w:lang w:eastAsia="lt-LT"/>
        </w:rPr>
        <w:t>Child-Pugh</w:t>
      </w:r>
      <w:proofErr w:type="spellEnd"/>
      <w:r w:rsidRPr="008358C8">
        <w:rPr>
          <w:color w:val="000000"/>
          <w:lang w:eastAsia="lt-LT"/>
        </w:rPr>
        <w:t xml:space="preserve"> balo pokytis bei balo pokytis pagal paskutinės stadijos kepenų ligos modelį (angl. </w:t>
      </w:r>
      <w:proofErr w:type="spellStart"/>
      <w:r w:rsidRPr="008358C8">
        <w:rPr>
          <w:color w:val="000000"/>
          <w:lang w:eastAsia="lt-LT"/>
        </w:rPr>
        <w:t>Model</w:t>
      </w:r>
      <w:proofErr w:type="spellEnd"/>
      <w:r w:rsidRPr="008358C8">
        <w:rPr>
          <w:color w:val="000000"/>
          <w:lang w:eastAsia="lt-LT"/>
        </w:rPr>
        <w:t xml:space="preserve"> </w:t>
      </w:r>
      <w:proofErr w:type="spellStart"/>
      <w:r w:rsidRPr="008358C8">
        <w:rPr>
          <w:color w:val="000000"/>
          <w:lang w:eastAsia="lt-LT"/>
        </w:rPr>
        <w:t>for</w:t>
      </w:r>
      <w:proofErr w:type="spellEnd"/>
      <w:r w:rsidRPr="008358C8">
        <w:rPr>
          <w:color w:val="000000"/>
          <w:lang w:eastAsia="lt-LT"/>
        </w:rPr>
        <w:t xml:space="preserve"> </w:t>
      </w:r>
      <w:proofErr w:type="spellStart"/>
      <w:r w:rsidRPr="008358C8">
        <w:rPr>
          <w:color w:val="000000"/>
          <w:lang w:eastAsia="lt-LT"/>
        </w:rPr>
        <w:t>End</w:t>
      </w:r>
      <w:proofErr w:type="spellEnd"/>
      <w:r w:rsidRPr="008358C8">
        <w:rPr>
          <w:color w:val="000000"/>
          <w:lang w:eastAsia="lt-LT"/>
        </w:rPr>
        <w:t xml:space="preserve"> </w:t>
      </w:r>
      <w:proofErr w:type="spellStart"/>
      <w:r w:rsidRPr="008358C8">
        <w:rPr>
          <w:color w:val="000000"/>
          <w:lang w:eastAsia="lt-LT"/>
        </w:rPr>
        <w:t>Stage</w:t>
      </w:r>
      <w:proofErr w:type="spellEnd"/>
      <w:r w:rsidRPr="008358C8">
        <w:rPr>
          <w:color w:val="000000"/>
          <w:lang w:eastAsia="lt-LT"/>
        </w:rPr>
        <w:t xml:space="preserve"> </w:t>
      </w:r>
      <w:proofErr w:type="spellStart"/>
      <w:r w:rsidRPr="008358C8">
        <w:rPr>
          <w:color w:val="000000"/>
          <w:lang w:eastAsia="lt-LT"/>
        </w:rPr>
        <w:t>Liver</w:t>
      </w:r>
      <w:proofErr w:type="spellEnd"/>
      <w:r w:rsidRPr="008358C8">
        <w:rPr>
          <w:color w:val="000000"/>
          <w:lang w:eastAsia="lt-LT"/>
        </w:rPr>
        <w:t xml:space="preserve"> </w:t>
      </w:r>
      <w:proofErr w:type="spellStart"/>
      <w:r w:rsidRPr="008358C8">
        <w:rPr>
          <w:color w:val="000000"/>
          <w:lang w:eastAsia="lt-LT"/>
        </w:rPr>
        <w:t>Disease</w:t>
      </w:r>
      <w:proofErr w:type="spellEnd"/>
      <w:r w:rsidRPr="008358C8">
        <w:rPr>
          <w:color w:val="000000"/>
          <w:lang w:eastAsia="lt-LT"/>
        </w:rPr>
        <w:t xml:space="preserve">; MELD). </w:t>
      </w:r>
    </w:p>
    <w:p w14:paraId="7CF5A999"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Ilgalaikio </w:t>
      </w:r>
      <w:proofErr w:type="spellStart"/>
      <w:r w:rsidRPr="008358C8">
        <w:rPr>
          <w:color w:val="000000"/>
          <w:lang w:eastAsia="lt-LT"/>
        </w:rPr>
        <w:t>virusologinio</w:t>
      </w:r>
      <w:proofErr w:type="spellEnd"/>
      <w:r w:rsidRPr="008358C8">
        <w:rPr>
          <w:color w:val="000000"/>
          <w:lang w:eastAsia="lt-LT"/>
        </w:rPr>
        <w:t xml:space="preserve"> atsako dažnis buvo 83 proc. (95 proc. PI, 74–90) tarp pacientų, vartojusių 12 savaičių </w:t>
      </w:r>
      <w:proofErr w:type="spellStart"/>
      <w:r w:rsidRPr="008358C8">
        <w:rPr>
          <w:color w:val="000000"/>
          <w:lang w:eastAsia="lt-LT"/>
        </w:rPr>
        <w:t>sofosbuviro</w:t>
      </w:r>
      <w:proofErr w:type="spellEnd"/>
      <w:r w:rsidRPr="008358C8">
        <w:rPr>
          <w:color w:val="000000"/>
          <w:lang w:eastAsia="lt-LT"/>
        </w:rPr>
        <w:t>/</w:t>
      </w:r>
      <w:proofErr w:type="spellStart"/>
      <w:r w:rsidRPr="008358C8">
        <w:rPr>
          <w:color w:val="000000"/>
          <w:lang w:eastAsia="lt-LT"/>
        </w:rPr>
        <w:t>velpatasviro</w:t>
      </w:r>
      <w:proofErr w:type="spellEnd"/>
      <w:r w:rsidRPr="008358C8">
        <w:rPr>
          <w:color w:val="000000"/>
          <w:lang w:eastAsia="lt-LT"/>
        </w:rPr>
        <w:t xml:space="preserve"> derinį, 94 proc. (95 proc. PI, 87–98) tarp tų, kurie vartojo 12 savaičių </w:t>
      </w:r>
      <w:proofErr w:type="spellStart"/>
      <w:r w:rsidRPr="008358C8">
        <w:rPr>
          <w:color w:val="000000"/>
          <w:lang w:eastAsia="lt-LT"/>
        </w:rPr>
        <w:t>sofosbuvirą</w:t>
      </w:r>
      <w:proofErr w:type="spellEnd"/>
      <w:r w:rsidRPr="008358C8">
        <w:rPr>
          <w:color w:val="000000"/>
          <w:lang w:eastAsia="lt-LT"/>
        </w:rPr>
        <w:t>/</w:t>
      </w:r>
      <w:proofErr w:type="spellStart"/>
      <w:r w:rsidRPr="008358C8">
        <w:rPr>
          <w:color w:val="000000"/>
          <w:lang w:eastAsia="lt-LT"/>
        </w:rPr>
        <w:t>velpatasvirą</w:t>
      </w:r>
      <w:proofErr w:type="spellEnd"/>
      <w:r w:rsidRPr="008358C8">
        <w:rPr>
          <w:color w:val="000000"/>
          <w:lang w:eastAsia="lt-LT"/>
        </w:rPr>
        <w:t xml:space="preserve"> ir </w:t>
      </w:r>
      <w:proofErr w:type="spellStart"/>
      <w:r w:rsidRPr="008358C8">
        <w:rPr>
          <w:color w:val="000000"/>
          <w:lang w:eastAsia="lt-LT"/>
        </w:rPr>
        <w:t>ribaviriną</w:t>
      </w:r>
      <w:proofErr w:type="spellEnd"/>
      <w:r w:rsidRPr="008358C8">
        <w:rPr>
          <w:color w:val="000000"/>
          <w:lang w:eastAsia="lt-LT"/>
        </w:rPr>
        <w:t xml:space="preserve">, ir 86 proc. (95 proc. PI, 77–92) tarp tų, kurie 24 savaites vartojo </w:t>
      </w:r>
      <w:proofErr w:type="spellStart"/>
      <w:r w:rsidRPr="008358C8">
        <w:rPr>
          <w:color w:val="000000"/>
          <w:lang w:eastAsia="lt-LT"/>
        </w:rPr>
        <w:t>sofosbuvirą</w:t>
      </w:r>
      <w:proofErr w:type="spellEnd"/>
      <w:r w:rsidRPr="008358C8">
        <w:rPr>
          <w:color w:val="000000"/>
          <w:lang w:eastAsia="lt-LT"/>
        </w:rPr>
        <w:t>/</w:t>
      </w:r>
      <w:proofErr w:type="spellStart"/>
      <w:r w:rsidRPr="008358C8">
        <w:rPr>
          <w:color w:val="000000"/>
          <w:lang w:eastAsia="lt-LT"/>
        </w:rPr>
        <w:t>velpatasvirą</w:t>
      </w:r>
      <w:proofErr w:type="spellEnd"/>
      <w:r w:rsidRPr="008358C8">
        <w:rPr>
          <w:color w:val="000000"/>
          <w:lang w:eastAsia="lt-LT"/>
        </w:rPr>
        <w:t xml:space="preserve">. </w:t>
      </w:r>
      <w:proofErr w:type="spellStart"/>
      <w:r w:rsidRPr="008358C8">
        <w:rPr>
          <w:color w:val="000000"/>
          <w:lang w:eastAsia="lt-LT"/>
        </w:rPr>
        <w:t>Child-Pugh</w:t>
      </w:r>
      <w:proofErr w:type="spellEnd"/>
      <w:r w:rsidRPr="008358C8">
        <w:rPr>
          <w:color w:val="000000"/>
          <w:lang w:eastAsia="lt-LT"/>
        </w:rPr>
        <w:t xml:space="preserve"> balo pokytis: 47 proc. pacientų </w:t>
      </w:r>
      <w:proofErr w:type="spellStart"/>
      <w:r w:rsidRPr="008358C8">
        <w:rPr>
          <w:color w:val="000000"/>
          <w:lang w:eastAsia="lt-LT"/>
        </w:rPr>
        <w:t>Child-Pugh</w:t>
      </w:r>
      <w:proofErr w:type="spellEnd"/>
      <w:r w:rsidRPr="008358C8">
        <w:rPr>
          <w:color w:val="000000"/>
          <w:lang w:eastAsia="lt-LT"/>
        </w:rPr>
        <w:t xml:space="preserve"> balas pagerėjo, palyginti su pradiniu, 42 proc. </w:t>
      </w:r>
      <w:proofErr w:type="spellStart"/>
      <w:r w:rsidRPr="008358C8">
        <w:rPr>
          <w:color w:val="000000"/>
          <w:lang w:eastAsia="lt-LT"/>
        </w:rPr>
        <w:t>Child-Pugh</w:t>
      </w:r>
      <w:proofErr w:type="spellEnd"/>
      <w:r w:rsidRPr="008358C8">
        <w:rPr>
          <w:color w:val="000000"/>
          <w:lang w:eastAsia="lt-LT"/>
        </w:rPr>
        <w:t xml:space="preserve"> balas nepakito, o 11 proc. </w:t>
      </w:r>
      <w:proofErr w:type="spellStart"/>
      <w:r w:rsidRPr="008358C8">
        <w:rPr>
          <w:color w:val="000000"/>
          <w:lang w:eastAsia="lt-LT"/>
        </w:rPr>
        <w:t>Child-Pugh</w:t>
      </w:r>
      <w:proofErr w:type="spellEnd"/>
      <w:r w:rsidRPr="008358C8">
        <w:rPr>
          <w:color w:val="000000"/>
          <w:lang w:eastAsia="lt-LT"/>
        </w:rPr>
        <w:t xml:space="preserve"> balas pablogėjo. Iš 223 pacientų, kurių pradinis MELD balas buvo mažesnis nei 15 ir kurių MELD duomenys buvo gauti 12 gydymo savaitę, iš viso 51 proc. MELD balas pagerėjo, 22 proc. MELD balas nepasikeitė, o 27 proc.. pablogėjo MELD balas. Iš 27 pacientų, kurių pradinis MELD </w:t>
      </w:r>
      <w:r w:rsidRPr="008358C8">
        <w:rPr>
          <w:color w:val="000000"/>
          <w:lang w:eastAsia="lt-LT"/>
        </w:rPr>
        <w:lastRenderedPageBreak/>
        <w:t>balas buvo 15 ar daugiau, 81 proc. MELD balas pagerėjo, 11 proc. MELD balas nepasikeitė, o 7 proc. MELD balas pablogėjo.</w:t>
      </w:r>
    </w:p>
    <w:p w14:paraId="77784A64" w14:textId="77777777" w:rsidR="008358C8" w:rsidRPr="008358C8" w:rsidRDefault="008358C8" w:rsidP="008358C8">
      <w:pPr>
        <w:tabs>
          <w:tab w:val="left" w:pos="426"/>
        </w:tabs>
        <w:spacing w:line="276" w:lineRule="auto"/>
        <w:jc w:val="both"/>
        <w:rPr>
          <w:color w:val="000000"/>
          <w:lang w:eastAsia="lt-LT"/>
        </w:rPr>
      </w:pPr>
    </w:p>
    <w:p w14:paraId="5CCAC940" w14:textId="00471707" w:rsidR="008358C8" w:rsidRDefault="008358C8" w:rsidP="008358C8">
      <w:pPr>
        <w:tabs>
          <w:tab w:val="left" w:pos="426"/>
        </w:tabs>
        <w:spacing w:line="276" w:lineRule="auto"/>
        <w:jc w:val="both"/>
        <w:rPr>
          <w:i/>
          <w:color w:val="000000"/>
          <w:lang w:eastAsia="lt-LT"/>
        </w:rPr>
      </w:pPr>
      <w:r w:rsidRPr="00A1438F">
        <w:rPr>
          <w:i/>
          <w:color w:val="000000"/>
          <w:lang w:eastAsia="lt-LT"/>
        </w:rPr>
        <w:t>Netiesioginis palyginimas</w:t>
      </w:r>
    </w:p>
    <w:p w14:paraId="424B2163" w14:textId="77777777" w:rsidR="00F870CF" w:rsidRPr="00A1438F" w:rsidRDefault="00F870CF" w:rsidP="008358C8">
      <w:pPr>
        <w:tabs>
          <w:tab w:val="left" w:pos="426"/>
        </w:tabs>
        <w:spacing w:line="276" w:lineRule="auto"/>
        <w:jc w:val="both"/>
        <w:rPr>
          <w:i/>
          <w:color w:val="000000"/>
          <w:lang w:eastAsia="lt-LT"/>
        </w:rPr>
      </w:pPr>
    </w:p>
    <w:p w14:paraId="6A977DE1"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Nesant tiesioginio </w:t>
      </w:r>
      <w:proofErr w:type="spellStart"/>
      <w:r w:rsidRPr="008358C8">
        <w:rPr>
          <w:color w:val="000000"/>
          <w:lang w:eastAsia="lt-LT"/>
        </w:rPr>
        <w:t>sofosbuviro</w:t>
      </w:r>
      <w:proofErr w:type="spellEnd"/>
      <w:r w:rsidRPr="008358C8">
        <w:rPr>
          <w:color w:val="000000"/>
          <w:lang w:eastAsia="lt-LT"/>
        </w:rPr>
        <w:t>/</w:t>
      </w:r>
      <w:proofErr w:type="spellStart"/>
      <w:r w:rsidRPr="008358C8">
        <w:rPr>
          <w:color w:val="000000"/>
          <w:lang w:eastAsia="lt-LT"/>
        </w:rPr>
        <w:t>velpatasviro</w:t>
      </w:r>
      <w:proofErr w:type="spellEnd"/>
      <w:r w:rsidRPr="008358C8">
        <w:rPr>
          <w:color w:val="000000"/>
          <w:lang w:eastAsia="lt-LT"/>
        </w:rPr>
        <w:t xml:space="preserve"> ir </w:t>
      </w:r>
      <w:proofErr w:type="spellStart"/>
      <w:r w:rsidRPr="008358C8">
        <w:rPr>
          <w:color w:val="000000"/>
          <w:lang w:eastAsia="lt-LT"/>
        </w:rPr>
        <w:t>glecapreviro</w:t>
      </w:r>
      <w:proofErr w:type="spellEnd"/>
      <w:r w:rsidRPr="008358C8">
        <w:rPr>
          <w:color w:val="000000"/>
          <w:lang w:eastAsia="lt-LT"/>
        </w:rPr>
        <w:t>/</w:t>
      </w:r>
      <w:proofErr w:type="spellStart"/>
      <w:r w:rsidRPr="008358C8">
        <w:rPr>
          <w:color w:val="000000"/>
          <w:lang w:eastAsia="lt-LT"/>
        </w:rPr>
        <w:t>pibrentasviro</w:t>
      </w:r>
      <w:proofErr w:type="spellEnd"/>
      <w:r w:rsidRPr="008358C8">
        <w:rPr>
          <w:color w:val="000000"/>
          <w:lang w:eastAsia="lt-LT"/>
        </w:rPr>
        <w:t xml:space="preserve"> (šiuo metu įprasto I pasirinkimo preparato šiai indikacijai) palyginimo lėtinio hepatito C sergančių pacientų populiacijoje, šie gydymai buvo palyginti netiesiogiai. </w:t>
      </w:r>
      <w:proofErr w:type="spellStart"/>
      <w:r w:rsidRPr="008358C8">
        <w:rPr>
          <w:color w:val="000000"/>
          <w:lang w:eastAsia="lt-LT"/>
        </w:rPr>
        <w:t>Grazopreviro</w:t>
      </w:r>
      <w:proofErr w:type="spellEnd"/>
      <w:r w:rsidRPr="008358C8">
        <w:rPr>
          <w:color w:val="000000"/>
          <w:lang w:eastAsia="lt-LT"/>
        </w:rPr>
        <w:t>/</w:t>
      </w:r>
      <w:proofErr w:type="spellStart"/>
      <w:r w:rsidRPr="008358C8">
        <w:rPr>
          <w:color w:val="000000"/>
          <w:lang w:eastAsia="lt-LT"/>
        </w:rPr>
        <w:t>elbasviro</w:t>
      </w:r>
      <w:proofErr w:type="spellEnd"/>
      <w:r w:rsidRPr="008358C8">
        <w:rPr>
          <w:color w:val="000000"/>
          <w:lang w:eastAsia="lt-LT"/>
        </w:rPr>
        <w:t xml:space="preserve"> (pagal gaires gali būti skiriamas tik pacientams turintiems 1b genotipą) palyginimo su </w:t>
      </w:r>
      <w:proofErr w:type="spellStart"/>
      <w:r w:rsidRPr="008358C8">
        <w:rPr>
          <w:color w:val="000000"/>
          <w:lang w:eastAsia="lt-LT"/>
        </w:rPr>
        <w:t>sofosbuviro</w:t>
      </w:r>
      <w:proofErr w:type="spellEnd"/>
      <w:r w:rsidRPr="008358C8">
        <w:rPr>
          <w:color w:val="000000"/>
          <w:lang w:eastAsia="lt-LT"/>
        </w:rPr>
        <w:t>/</w:t>
      </w:r>
      <w:proofErr w:type="spellStart"/>
      <w:r w:rsidRPr="008358C8">
        <w:rPr>
          <w:color w:val="000000"/>
          <w:lang w:eastAsia="lt-LT"/>
        </w:rPr>
        <w:t>velpatasviro</w:t>
      </w:r>
      <w:proofErr w:type="spellEnd"/>
      <w:r w:rsidRPr="008358C8">
        <w:rPr>
          <w:color w:val="000000"/>
          <w:lang w:eastAsia="lt-LT"/>
        </w:rPr>
        <w:t xml:space="preserve"> nebuvo pateikta.</w:t>
      </w:r>
    </w:p>
    <w:p w14:paraId="50C51494"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Netiesioginio gydymų palyginimo pagrindas – </w:t>
      </w:r>
      <w:proofErr w:type="spellStart"/>
      <w:r w:rsidRPr="008358C8">
        <w:rPr>
          <w:color w:val="000000"/>
          <w:lang w:eastAsia="lt-LT"/>
        </w:rPr>
        <w:t>Zoratti</w:t>
      </w:r>
      <w:proofErr w:type="spellEnd"/>
      <w:r w:rsidRPr="008358C8">
        <w:rPr>
          <w:color w:val="000000"/>
          <w:lang w:eastAsia="lt-LT"/>
        </w:rPr>
        <w:t xml:space="preserve"> ir kt. atlikta sisteminė literatūros apžvalga ir meta-analizė. Tyrimas įtraukė 238 publikacijas, kuriose buvo pateikti rezultatai iš 142 tyrimų. Šios peržiūros metodas atitiko PSO gairių metodus ir paskelbtus standartus. Tinklinėje meta-analizėje vertinamos baigtys: asmenų, pasiekusių SVA12, dalis. Analizės buvo suskirstytos pagal HCV genotipą ir antivirusinį gydymą, pogrupių analizės pagrįstos cirozės ir ŽIV-HCV </w:t>
      </w:r>
      <w:proofErr w:type="spellStart"/>
      <w:r w:rsidRPr="008358C8">
        <w:rPr>
          <w:color w:val="000000"/>
          <w:lang w:eastAsia="lt-LT"/>
        </w:rPr>
        <w:t>koinfekcijos</w:t>
      </w:r>
      <w:proofErr w:type="spellEnd"/>
      <w:r w:rsidRPr="008358C8">
        <w:rPr>
          <w:color w:val="000000"/>
          <w:lang w:eastAsia="lt-LT"/>
        </w:rPr>
        <w:t xml:space="preserve"> buvimu.</w:t>
      </w:r>
    </w:p>
    <w:p w14:paraId="33B34490"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 SVA12 visų tyrimo dalyvių tarpe</w:t>
      </w:r>
    </w:p>
    <w:p w14:paraId="7F5A1722"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Atliekant visų dalyvių analizę, kurioje dalyvavo asmenys, neatsižvelgiant į cirozės būklę ar gretutines ligas, buvo pastebėti aukšti SVA12 rodikliai tiek gydant, tiek genotipuose, paprastai su siaurais PI. Bendros SVA12 proporcijos rodikliai viršijo 0,94, gydant asmenis, sergančius 1, 2 arba 4 genotipų infekcija. Asmenims, sergantiems 3 genotipo HCV infekcija, paprastai būdingi platesni </w:t>
      </w:r>
      <w:proofErr w:type="spellStart"/>
      <w:r w:rsidRPr="008358C8">
        <w:rPr>
          <w:color w:val="000000"/>
          <w:lang w:eastAsia="lt-LT"/>
        </w:rPr>
        <w:t>pasikliautinieji</w:t>
      </w:r>
      <w:proofErr w:type="spellEnd"/>
      <w:r w:rsidRPr="008358C8">
        <w:rPr>
          <w:color w:val="000000"/>
          <w:lang w:eastAsia="lt-LT"/>
        </w:rPr>
        <w:t xml:space="preserve"> intervalai, viršijantys 0,05 </w:t>
      </w:r>
      <w:proofErr w:type="spellStart"/>
      <w:r w:rsidRPr="008358C8">
        <w:rPr>
          <w:color w:val="000000"/>
          <w:lang w:eastAsia="lt-LT"/>
        </w:rPr>
        <w:t>sofosbuviro</w:t>
      </w:r>
      <w:proofErr w:type="spellEnd"/>
      <w:r w:rsidRPr="008358C8">
        <w:rPr>
          <w:color w:val="000000"/>
          <w:lang w:eastAsia="lt-LT"/>
        </w:rPr>
        <w:t>/</w:t>
      </w:r>
      <w:proofErr w:type="spellStart"/>
      <w:r w:rsidRPr="008358C8">
        <w:rPr>
          <w:color w:val="000000"/>
          <w:lang w:eastAsia="lt-LT"/>
        </w:rPr>
        <w:t>velpatasviro</w:t>
      </w:r>
      <w:proofErr w:type="spellEnd"/>
      <w:r w:rsidRPr="008358C8">
        <w:rPr>
          <w:color w:val="000000"/>
          <w:lang w:eastAsia="lt-LT"/>
        </w:rPr>
        <w:t xml:space="preserve"> sujungtoms SVA12 proporcijoms (0,89; 95 proc. PI: 0,85, 0,93; N = 776).</w:t>
      </w:r>
    </w:p>
    <w:p w14:paraId="3E3676DA"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B. SVA12 asmenims, sergantiems kepenų ciroze</w:t>
      </w:r>
    </w:p>
    <w:p w14:paraId="4A7A5AA4"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Daugiausia įrodymų apie ciroze sergančius asmenis buvo gauta iš 1 genotipo infekcijos tyrimų. Šioje pogrupyje visi SVA12 vertinimai viršijo 90 proc. visų gydymo būdų, nors pasikliautinumo intervalų plotis skyrėsi. Asmenims, sergantiems 2 arba 4 genotipo infekcija, buvo prieinami nedideli imčių dydžiai, nors SVA12 pasiekusių asmenų dalis išliko didelė.</w:t>
      </w:r>
    </w:p>
    <w:p w14:paraId="52F4306D" w14:textId="77777777" w:rsidR="008358C8" w:rsidRPr="008358C8" w:rsidRDefault="008358C8" w:rsidP="008358C8">
      <w:pPr>
        <w:tabs>
          <w:tab w:val="left" w:pos="426"/>
        </w:tabs>
        <w:spacing w:line="276" w:lineRule="auto"/>
        <w:jc w:val="both"/>
        <w:rPr>
          <w:color w:val="000000"/>
          <w:lang w:eastAsia="lt-LT"/>
        </w:rPr>
      </w:pPr>
    </w:p>
    <w:p w14:paraId="7CF2A02F" w14:textId="62CDE6A8"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Atliekant bendrą gyventojų analizę, tiek </w:t>
      </w:r>
      <w:proofErr w:type="spellStart"/>
      <w:r w:rsidRPr="000A189D">
        <w:rPr>
          <w:i/>
          <w:color w:val="000000"/>
          <w:lang w:eastAsia="lt-LT"/>
        </w:rPr>
        <w:t>Epclusa</w:t>
      </w:r>
      <w:proofErr w:type="spellEnd"/>
      <w:r w:rsidRPr="008358C8">
        <w:rPr>
          <w:color w:val="000000"/>
          <w:lang w:eastAsia="lt-LT"/>
        </w:rPr>
        <w:t xml:space="preserve"> (</w:t>
      </w:r>
      <w:proofErr w:type="spellStart"/>
      <w:r w:rsidRPr="008358C8">
        <w:rPr>
          <w:color w:val="000000"/>
          <w:lang w:eastAsia="lt-LT"/>
        </w:rPr>
        <w:t>sofosbuviras</w:t>
      </w:r>
      <w:proofErr w:type="spellEnd"/>
      <w:r w:rsidRPr="008358C8">
        <w:rPr>
          <w:color w:val="000000"/>
          <w:lang w:eastAsia="lt-LT"/>
        </w:rPr>
        <w:t>/</w:t>
      </w:r>
      <w:proofErr w:type="spellStart"/>
      <w:r w:rsidRPr="008358C8">
        <w:rPr>
          <w:color w:val="000000"/>
          <w:lang w:eastAsia="lt-LT"/>
        </w:rPr>
        <w:t>velpatasviras</w:t>
      </w:r>
      <w:proofErr w:type="spellEnd"/>
      <w:r w:rsidRPr="008358C8">
        <w:rPr>
          <w:color w:val="000000"/>
          <w:lang w:eastAsia="lt-LT"/>
        </w:rPr>
        <w:t xml:space="preserve">), tiek </w:t>
      </w:r>
      <w:proofErr w:type="spellStart"/>
      <w:r w:rsidRPr="000A189D">
        <w:rPr>
          <w:i/>
          <w:color w:val="000000"/>
          <w:lang w:eastAsia="lt-LT"/>
        </w:rPr>
        <w:t>Maviret</w:t>
      </w:r>
      <w:proofErr w:type="spellEnd"/>
      <w:r w:rsidR="00752CF2" w:rsidRPr="000A189D">
        <w:rPr>
          <w:i/>
          <w:color w:val="000000"/>
          <w:lang w:eastAsia="lt-LT"/>
        </w:rPr>
        <w:t xml:space="preserve"> </w:t>
      </w:r>
      <w:r w:rsidRPr="008358C8">
        <w:rPr>
          <w:color w:val="000000"/>
          <w:lang w:eastAsia="lt-LT"/>
        </w:rPr>
        <w:t>(</w:t>
      </w:r>
      <w:proofErr w:type="spellStart"/>
      <w:r w:rsidRPr="008358C8">
        <w:rPr>
          <w:color w:val="000000"/>
          <w:lang w:eastAsia="lt-LT"/>
        </w:rPr>
        <w:t>glecapreviras</w:t>
      </w:r>
      <w:proofErr w:type="spellEnd"/>
      <w:r w:rsidRPr="008358C8">
        <w:rPr>
          <w:color w:val="000000"/>
          <w:lang w:eastAsia="lt-LT"/>
        </w:rPr>
        <w:t>/</w:t>
      </w:r>
      <w:proofErr w:type="spellStart"/>
      <w:r w:rsidRPr="008358C8">
        <w:rPr>
          <w:color w:val="000000"/>
          <w:lang w:eastAsia="lt-LT"/>
        </w:rPr>
        <w:t>pibrentasviras</w:t>
      </w:r>
      <w:proofErr w:type="spellEnd"/>
      <w:r w:rsidRPr="008358C8">
        <w:rPr>
          <w:color w:val="000000"/>
          <w:lang w:eastAsia="lt-LT"/>
        </w:rPr>
        <w:t>) buvo susiję su aukštu SVA12 rodikliu 1–4 genotipuose.</w:t>
      </w:r>
    </w:p>
    <w:p w14:paraId="02F81C12" w14:textId="77777777" w:rsidR="008358C8" w:rsidRPr="008358C8"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Pareiškėjas pateikė papildomus </w:t>
      </w:r>
      <w:proofErr w:type="spellStart"/>
      <w:r w:rsidRPr="008358C8">
        <w:rPr>
          <w:color w:val="000000"/>
          <w:lang w:eastAsia="lt-LT"/>
        </w:rPr>
        <w:t>įrodymus</w:t>
      </w:r>
      <w:proofErr w:type="spellEnd"/>
      <w:r w:rsidRPr="008358C8">
        <w:rPr>
          <w:color w:val="000000"/>
          <w:lang w:eastAsia="lt-LT"/>
        </w:rPr>
        <w:t xml:space="preserve">, kuriuose pagrindė, kad gydymas </w:t>
      </w:r>
      <w:proofErr w:type="spellStart"/>
      <w:r w:rsidRPr="000A189D">
        <w:rPr>
          <w:i/>
          <w:color w:val="000000"/>
          <w:lang w:eastAsia="lt-LT"/>
        </w:rPr>
        <w:t>Epclusa</w:t>
      </w:r>
      <w:proofErr w:type="spellEnd"/>
      <w:r w:rsidRPr="008358C8">
        <w:rPr>
          <w:color w:val="000000"/>
          <w:lang w:eastAsia="lt-LT"/>
        </w:rPr>
        <w:t xml:space="preserve"> yra panašaus veiksmingumo kaip šiuo metu Lietuvos įprastinėje praktikoje taikomų </w:t>
      </w:r>
      <w:proofErr w:type="spellStart"/>
      <w:r w:rsidRPr="000A189D">
        <w:rPr>
          <w:i/>
          <w:color w:val="000000"/>
          <w:lang w:eastAsia="lt-LT"/>
        </w:rPr>
        <w:t>Maviret</w:t>
      </w:r>
      <w:proofErr w:type="spellEnd"/>
      <w:r w:rsidRPr="008358C8">
        <w:rPr>
          <w:color w:val="000000"/>
          <w:lang w:eastAsia="lt-LT"/>
        </w:rPr>
        <w:t xml:space="preserve"> ir </w:t>
      </w:r>
      <w:proofErr w:type="spellStart"/>
      <w:r w:rsidRPr="000A189D">
        <w:rPr>
          <w:i/>
          <w:color w:val="000000"/>
          <w:lang w:eastAsia="lt-LT"/>
        </w:rPr>
        <w:t>Zepatier</w:t>
      </w:r>
      <w:proofErr w:type="spellEnd"/>
      <w:r w:rsidRPr="008358C8">
        <w:rPr>
          <w:color w:val="000000"/>
          <w:lang w:eastAsia="lt-LT"/>
        </w:rPr>
        <w:t xml:space="preserve">. </w:t>
      </w:r>
      <w:proofErr w:type="spellStart"/>
      <w:r w:rsidRPr="000A189D">
        <w:rPr>
          <w:i/>
          <w:color w:val="000000"/>
          <w:lang w:eastAsia="lt-LT"/>
        </w:rPr>
        <w:t>Epclusa</w:t>
      </w:r>
      <w:proofErr w:type="spellEnd"/>
      <w:r w:rsidRPr="008358C8">
        <w:rPr>
          <w:color w:val="000000"/>
          <w:lang w:eastAsia="lt-LT"/>
        </w:rPr>
        <w:t xml:space="preserve">, </w:t>
      </w:r>
      <w:proofErr w:type="spellStart"/>
      <w:r w:rsidRPr="000A189D">
        <w:rPr>
          <w:i/>
          <w:color w:val="000000"/>
          <w:lang w:eastAsia="lt-LT"/>
        </w:rPr>
        <w:t>Maviret</w:t>
      </w:r>
      <w:proofErr w:type="spellEnd"/>
      <w:r w:rsidRPr="008358C8">
        <w:rPr>
          <w:color w:val="000000"/>
          <w:lang w:eastAsia="lt-LT"/>
        </w:rPr>
        <w:t xml:space="preserve"> ir </w:t>
      </w:r>
      <w:proofErr w:type="spellStart"/>
      <w:r w:rsidRPr="000A189D">
        <w:rPr>
          <w:i/>
          <w:color w:val="000000"/>
          <w:lang w:eastAsia="lt-LT"/>
        </w:rPr>
        <w:t>Zepatier</w:t>
      </w:r>
      <w:proofErr w:type="spellEnd"/>
      <w:r w:rsidRPr="008358C8">
        <w:rPr>
          <w:color w:val="000000"/>
          <w:lang w:eastAsia="lt-LT"/>
        </w:rPr>
        <w:t xml:space="preserve"> </w:t>
      </w:r>
      <w:proofErr w:type="spellStart"/>
      <w:r w:rsidRPr="008358C8">
        <w:rPr>
          <w:color w:val="000000"/>
          <w:lang w:eastAsia="lt-LT"/>
        </w:rPr>
        <w:t>pasikliautinieji</w:t>
      </w:r>
      <w:proofErr w:type="spellEnd"/>
      <w:r w:rsidRPr="008358C8">
        <w:rPr>
          <w:color w:val="000000"/>
          <w:lang w:eastAsia="lt-LT"/>
        </w:rPr>
        <w:t xml:space="preserve"> intervalai visuose pacientų pogrupiuose persidengia, o tai rodo, kad veiksmingumo skirtumas yra nereikšmingas.</w:t>
      </w:r>
    </w:p>
    <w:p w14:paraId="2EBA1E82" w14:textId="1DC4FAD2" w:rsidR="006C4813" w:rsidRDefault="008358C8" w:rsidP="008358C8">
      <w:pPr>
        <w:tabs>
          <w:tab w:val="left" w:pos="426"/>
        </w:tabs>
        <w:spacing w:line="276" w:lineRule="auto"/>
        <w:jc w:val="both"/>
        <w:rPr>
          <w:color w:val="000000"/>
          <w:lang w:eastAsia="lt-LT"/>
        </w:rPr>
      </w:pPr>
      <w:r w:rsidRPr="008358C8">
        <w:rPr>
          <w:color w:val="000000"/>
          <w:lang w:eastAsia="lt-LT"/>
        </w:rPr>
        <w:tab/>
      </w:r>
      <w:r w:rsidRPr="008358C8">
        <w:rPr>
          <w:color w:val="000000"/>
          <w:lang w:eastAsia="lt-LT"/>
        </w:rPr>
        <w:tab/>
        <w:t xml:space="preserve">Nepaisant to, kad tiesioginio šių vaistinių preparatų palyginimo tyrimų neatlikta ir nėra plataus masto palyginamosios NMA, Tarnyba pripažįsta išskirtinai didelį pasveikimo dažnį, įrodytą vartojant </w:t>
      </w:r>
      <w:proofErr w:type="spellStart"/>
      <w:r w:rsidRPr="00F870CF">
        <w:rPr>
          <w:i/>
          <w:color w:val="000000"/>
          <w:lang w:eastAsia="lt-LT"/>
        </w:rPr>
        <w:t>Epclusa</w:t>
      </w:r>
      <w:proofErr w:type="spellEnd"/>
      <w:r w:rsidRPr="008358C8">
        <w:rPr>
          <w:color w:val="000000"/>
          <w:lang w:eastAsia="lt-LT"/>
        </w:rPr>
        <w:t xml:space="preserve"> (didesnis kaip 98,8 % SVA), kaip pakankamą palyginamąjį įrodymą.</w:t>
      </w:r>
    </w:p>
    <w:p w14:paraId="28D709D2" w14:textId="77777777" w:rsidR="008358C8" w:rsidRPr="006C4813" w:rsidRDefault="008358C8" w:rsidP="008358C8">
      <w:pPr>
        <w:tabs>
          <w:tab w:val="left" w:pos="426"/>
        </w:tabs>
        <w:spacing w:line="276" w:lineRule="auto"/>
        <w:jc w:val="both"/>
        <w:rPr>
          <w:b/>
          <w:bCs/>
          <w:caps/>
          <w:highlight w:val="yellow"/>
        </w:rPr>
      </w:pPr>
    </w:p>
    <w:p w14:paraId="2C6C2166" w14:textId="0BAFDFA5" w:rsidR="00C378B5" w:rsidRPr="007C48B8" w:rsidRDefault="0092396E" w:rsidP="008358C8">
      <w:pPr>
        <w:tabs>
          <w:tab w:val="left" w:pos="567"/>
        </w:tabs>
        <w:rPr>
          <w:b/>
          <w:bCs/>
          <w:caps/>
          <w:lang w:val="en-GB"/>
        </w:rPr>
      </w:pPr>
      <w:r w:rsidRPr="007C48B8">
        <w:rPr>
          <w:b/>
          <w:bCs/>
          <w:caps/>
        </w:rPr>
        <w:t xml:space="preserve">3.      </w:t>
      </w:r>
      <w:r w:rsidR="00CC7832" w:rsidRPr="007C48B8">
        <w:rPr>
          <w:b/>
          <w:bCs/>
          <w:caps/>
        </w:rPr>
        <w:t xml:space="preserve">ekonominio vertinimo </w:t>
      </w:r>
      <w:r w:rsidR="002F0E4F" w:rsidRPr="007C48B8">
        <w:rPr>
          <w:b/>
          <w:bCs/>
          <w:caps/>
        </w:rPr>
        <w:t>apibendrinimas</w:t>
      </w:r>
    </w:p>
    <w:p w14:paraId="733B947F" w14:textId="4FBCC8AB" w:rsidR="00052634" w:rsidRDefault="00052634" w:rsidP="00A93AA6">
      <w:pPr>
        <w:tabs>
          <w:tab w:val="left" w:pos="426"/>
        </w:tabs>
        <w:rPr>
          <w:b/>
          <w:bCs/>
          <w:caps/>
          <w:highlight w:val="yellow"/>
          <w:lang w:val="en-GB"/>
        </w:rPr>
      </w:pPr>
    </w:p>
    <w:p w14:paraId="1E78872C" w14:textId="34DBABE5" w:rsidR="002015BA" w:rsidRDefault="00F870CF" w:rsidP="007C48B8">
      <w:pPr>
        <w:tabs>
          <w:tab w:val="left" w:pos="567"/>
        </w:tabs>
        <w:spacing w:line="276" w:lineRule="auto"/>
        <w:ind w:firstLine="562"/>
        <w:jc w:val="both"/>
        <w:rPr>
          <w:lang w:eastAsia="lt-LT"/>
        </w:rPr>
      </w:pPr>
      <w:bookmarkStart w:id="0" w:name="_Hlk136250740"/>
      <w:r>
        <w:rPr>
          <w:lang w:eastAsia="lt-LT"/>
        </w:rPr>
        <w:tab/>
      </w:r>
      <w:r>
        <w:rPr>
          <w:lang w:eastAsia="lt-LT"/>
        </w:rPr>
        <w:tab/>
      </w:r>
      <w:r w:rsidR="002015BA" w:rsidRPr="00D05364">
        <w:rPr>
          <w:lang w:eastAsia="lt-LT"/>
        </w:rPr>
        <w:t>Į ekonominę analizę įtraukti pacientai atitinka kompensacijai teikiamas terapines indikacijas.</w:t>
      </w:r>
    </w:p>
    <w:p w14:paraId="10E67170" w14:textId="3ADB4E27" w:rsidR="002015BA" w:rsidRDefault="00F870CF" w:rsidP="007C48B8">
      <w:pPr>
        <w:tabs>
          <w:tab w:val="left" w:pos="567"/>
        </w:tabs>
        <w:spacing w:line="276" w:lineRule="auto"/>
        <w:ind w:firstLine="562"/>
        <w:jc w:val="both"/>
        <w:rPr>
          <w:lang w:eastAsia="lt-LT"/>
        </w:rPr>
      </w:pPr>
      <w:r>
        <w:rPr>
          <w:lang w:eastAsia="lt-LT"/>
        </w:rPr>
        <w:tab/>
      </w:r>
      <w:r>
        <w:rPr>
          <w:lang w:eastAsia="lt-LT"/>
        </w:rPr>
        <w:tab/>
      </w:r>
      <w:r w:rsidR="002015BA">
        <w:rPr>
          <w:lang w:eastAsia="lt-LT"/>
        </w:rPr>
        <w:t xml:space="preserve">Vertinimui pateikta kaštų mažinimo analizė. Į analizę įtraukti pacientai, sergantys lėtinio hepatito C viruso infekcija, kurios genotipas 1, 2, 3 arba 4. Įtraukiami tiek prieš tai gydyti, tiek negydyti pacientai. Baziniame scenarijuje nėra įtraukiami pacientai, kuriems pasireiškia </w:t>
      </w:r>
      <w:proofErr w:type="spellStart"/>
      <w:r w:rsidR="002015BA">
        <w:rPr>
          <w:lang w:eastAsia="lt-LT"/>
        </w:rPr>
        <w:t>dekompensuota</w:t>
      </w:r>
      <w:proofErr w:type="spellEnd"/>
      <w:r w:rsidR="002015BA">
        <w:rPr>
          <w:lang w:eastAsia="lt-LT"/>
        </w:rPr>
        <w:t xml:space="preserve"> cirozė, tačiau scenarijų analizėje šios pacientų grupės įtraukimas yra vertinamas. </w:t>
      </w:r>
    </w:p>
    <w:p w14:paraId="738CC8C0" w14:textId="5360BD0F" w:rsidR="002015BA" w:rsidRPr="00EC018B" w:rsidRDefault="002015BA" w:rsidP="00F870CF">
      <w:pPr>
        <w:spacing w:line="276" w:lineRule="auto"/>
        <w:ind w:firstLine="720"/>
        <w:jc w:val="both"/>
        <w:rPr>
          <w:rFonts w:eastAsia="Arial"/>
          <w:bCs/>
          <w:szCs w:val="22"/>
        </w:rPr>
      </w:pPr>
      <w:r w:rsidRPr="00887D53">
        <w:rPr>
          <w:rFonts w:eastAsia="Arial"/>
          <w:bCs/>
          <w:szCs w:val="22"/>
        </w:rPr>
        <w:lastRenderedPageBreak/>
        <w:t>Pasiri</w:t>
      </w:r>
      <w:r w:rsidR="00EC018B">
        <w:rPr>
          <w:rFonts w:eastAsia="Arial"/>
          <w:bCs/>
          <w:szCs w:val="22"/>
        </w:rPr>
        <w:t>n</w:t>
      </w:r>
      <w:r w:rsidRPr="00887D53">
        <w:rPr>
          <w:rFonts w:eastAsia="Arial"/>
          <w:bCs/>
          <w:szCs w:val="22"/>
        </w:rPr>
        <w:t xml:space="preserve">ktas palyginamasis gydymas yra gydymas </w:t>
      </w:r>
      <w:proofErr w:type="spellStart"/>
      <w:r w:rsidRPr="000A189D">
        <w:rPr>
          <w:rFonts w:eastAsia="Arial"/>
          <w:bCs/>
          <w:i/>
          <w:szCs w:val="22"/>
        </w:rPr>
        <w:t>Maviret</w:t>
      </w:r>
      <w:proofErr w:type="spellEnd"/>
      <w:r w:rsidRPr="00887D53">
        <w:rPr>
          <w:rFonts w:eastAsia="Arial"/>
          <w:bCs/>
          <w:szCs w:val="22"/>
        </w:rPr>
        <w:t xml:space="preserve"> (</w:t>
      </w:r>
      <w:proofErr w:type="spellStart"/>
      <w:r w:rsidRPr="00887D53">
        <w:rPr>
          <w:rFonts w:eastAsia="Arial"/>
          <w:bCs/>
          <w:szCs w:val="22"/>
        </w:rPr>
        <w:t>glekapreviras</w:t>
      </w:r>
      <w:proofErr w:type="spellEnd"/>
      <w:r w:rsidRPr="00887D53">
        <w:rPr>
          <w:rFonts w:eastAsia="Arial"/>
          <w:bCs/>
          <w:szCs w:val="22"/>
        </w:rPr>
        <w:t>/</w:t>
      </w:r>
      <w:proofErr w:type="spellStart"/>
      <w:r w:rsidRPr="00887D53">
        <w:rPr>
          <w:rFonts w:eastAsia="Arial"/>
          <w:bCs/>
          <w:szCs w:val="22"/>
        </w:rPr>
        <w:t>pibrentasviras</w:t>
      </w:r>
      <w:proofErr w:type="spellEnd"/>
      <w:r w:rsidRPr="00887D53">
        <w:rPr>
          <w:rFonts w:eastAsia="Arial"/>
          <w:bCs/>
          <w:szCs w:val="22"/>
        </w:rPr>
        <w:t xml:space="preserve">) </w:t>
      </w:r>
      <w:proofErr w:type="spellStart"/>
      <w:r w:rsidRPr="00887D53">
        <w:rPr>
          <w:rFonts w:eastAsia="Arial"/>
          <w:bCs/>
          <w:szCs w:val="22"/>
        </w:rPr>
        <w:t>monoterapija</w:t>
      </w:r>
      <w:proofErr w:type="spellEnd"/>
      <w:r w:rsidRPr="00887D53">
        <w:rPr>
          <w:rFonts w:eastAsia="Arial"/>
          <w:bCs/>
          <w:szCs w:val="22"/>
        </w:rPr>
        <w:t>.</w:t>
      </w:r>
      <w:r w:rsidR="00EC018B">
        <w:rPr>
          <w:rFonts w:eastAsia="Arial"/>
          <w:bCs/>
          <w:szCs w:val="22"/>
        </w:rPr>
        <w:t xml:space="preserve"> Atsakant į trūkumų raštą pateiktas papildomas kaštų palyginimas su </w:t>
      </w:r>
      <w:proofErr w:type="spellStart"/>
      <w:r w:rsidR="00EC018B" w:rsidRPr="000A189D">
        <w:rPr>
          <w:rFonts w:eastAsia="Arial"/>
          <w:bCs/>
          <w:i/>
          <w:szCs w:val="22"/>
        </w:rPr>
        <w:t>Zepatier</w:t>
      </w:r>
      <w:proofErr w:type="spellEnd"/>
      <w:r w:rsidR="00EC018B">
        <w:rPr>
          <w:rFonts w:eastAsia="Arial"/>
          <w:bCs/>
          <w:szCs w:val="22"/>
        </w:rPr>
        <w:t xml:space="preserve"> (</w:t>
      </w:r>
      <w:proofErr w:type="spellStart"/>
      <w:r w:rsidR="00EC018B">
        <w:rPr>
          <w:rFonts w:eastAsia="Arial"/>
          <w:bCs/>
          <w:szCs w:val="22"/>
        </w:rPr>
        <w:t>e</w:t>
      </w:r>
      <w:r w:rsidR="00EC018B" w:rsidRPr="00EC018B">
        <w:rPr>
          <w:rFonts w:eastAsia="Arial"/>
          <w:bCs/>
          <w:szCs w:val="22"/>
        </w:rPr>
        <w:t>lbasviras</w:t>
      </w:r>
      <w:proofErr w:type="spellEnd"/>
      <w:r w:rsidR="00EC018B" w:rsidRPr="00EC018B">
        <w:rPr>
          <w:rFonts w:eastAsia="Arial"/>
          <w:bCs/>
          <w:szCs w:val="22"/>
        </w:rPr>
        <w:t>/</w:t>
      </w:r>
      <w:proofErr w:type="spellStart"/>
      <w:r w:rsidR="00EC018B" w:rsidRPr="00EC018B">
        <w:rPr>
          <w:rFonts w:eastAsia="Arial"/>
          <w:bCs/>
          <w:szCs w:val="22"/>
        </w:rPr>
        <w:t>Grazopreviras</w:t>
      </w:r>
      <w:proofErr w:type="spellEnd"/>
      <w:r w:rsidR="00EC018B">
        <w:rPr>
          <w:rFonts w:eastAsia="Arial"/>
          <w:bCs/>
          <w:szCs w:val="22"/>
        </w:rPr>
        <w:t xml:space="preserve">). </w:t>
      </w:r>
      <w:r w:rsidRPr="00887D53">
        <w:rPr>
          <w:rFonts w:eastAsia="Arial"/>
          <w:bCs/>
          <w:szCs w:val="22"/>
        </w:rPr>
        <w:t>Ekonominėje analizėje pateiktas palyginamasis gydymas atitinka įprastą Lietuvos Respublikos klinikinę praktiką.</w:t>
      </w:r>
      <w:r>
        <w:rPr>
          <w:rFonts w:eastAsia="Arial"/>
          <w:bCs/>
          <w:szCs w:val="22"/>
        </w:rPr>
        <w:t xml:space="preserve"> </w:t>
      </w:r>
      <w:r w:rsidRPr="00D05364">
        <w:rPr>
          <w:rFonts w:eastAsia="Arial"/>
          <w:bCs/>
          <w:i/>
          <w:iCs/>
          <w:color w:val="00B050"/>
        </w:rPr>
        <w:t xml:space="preserve"> </w:t>
      </w:r>
    </w:p>
    <w:p w14:paraId="755ABB1B" w14:textId="073B0FB7" w:rsidR="002015BA" w:rsidRPr="00D7358E" w:rsidRDefault="00F870CF" w:rsidP="007C48B8">
      <w:pPr>
        <w:tabs>
          <w:tab w:val="left" w:pos="567"/>
        </w:tabs>
        <w:spacing w:line="276" w:lineRule="auto"/>
        <w:ind w:firstLine="562"/>
        <w:jc w:val="both"/>
        <w:rPr>
          <w:bCs/>
          <w:iCs/>
          <w:color w:val="00B050"/>
          <w:lang w:eastAsia="lt-LT"/>
        </w:rPr>
      </w:pPr>
      <w:r>
        <w:rPr>
          <w:bCs/>
          <w:iCs/>
          <w:lang w:eastAsia="lt-LT"/>
        </w:rPr>
        <w:tab/>
      </w:r>
      <w:r>
        <w:rPr>
          <w:bCs/>
          <w:iCs/>
          <w:lang w:eastAsia="lt-LT"/>
        </w:rPr>
        <w:tab/>
      </w:r>
      <w:r w:rsidR="002015BA" w:rsidRPr="00D7358E">
        <w:rPr>
          <w:bCs/>
          <w:iCs/>
          <w:lang w:eastAsia="lt-LT"/>
        </w:rPr>
        <w:t xml:space="preserve">Taikomas supaprastintas modeliavimas lyginant gydymo alternatyvų kaštus. </w:t>
      </w:r>
      <w:r w:rsidR="002015BA" w:rsidRPr="002015BA">
        <w:rPr>
          <w:bCs/>
          <w:iCs/>
          <w:lang w:eastAsia="lt-LT"/>
        </w:rPr>
        <w:t>Analizės struktūra yra tinkama kaštų palyginimo analizei atlikti.</w:t>
      </w:r>
    </w:p>
    <w:p w14:paraId="75AD6EC5" w14:textId="77777777" w:rsidR="002015BA" w:rsidRPr="00D05364" w:rsidRDefault="002015BA" w:rsidP="00F870CF">
      <w:pPr>
        <w:pStyle w:val="Sraopastraipa"/>
        <w:spacing w:line="276" w:lineRule="auto"/>
        <w:ind w:left="0" w:firstLine="720"/>
        <w:jc w:val="both"/>
      </w:pPr>
      <w:r w:rsidRPr="00D05364">
        <w:t>Analizė atlikta iš PSDF biudžeto perspektyvos, įtraukti tiesiogiai su sveikatos sistema susiję kaštai. Tai atitinka teisės aktuose nustatytus paraiškos rengimo taisyklių reikalavimus.</w:t>
      </w:r>
    </w:p>
    <w:p w14:paraId="1E33B70A" w14:textId="1DFD0BD7" w:rsidR="00EC018B" w:rsidRDefault="00EC018B" w:rsidP="00F870CF">
      <w:pPr>
        <w:spacing w:line="276" w:lineRule="auto"/>
        <w:ind w:firstLine="720"/>
        <w:jc w:val="both"/>
      </w:pPr>
      <w:r w:rsidRPr="00A20351">
        <w:t xml:space="preserve">Ekonominėje analizėje yra vertinami siūlomo kompensuoti vaisto </w:t>
      </w:r>
      <w:proofErr w:type="spellStart"/>
      <w:r w:rsidRPr="000A189D">
        <w:rPr>
          <w:i/>
        </w:rPr>
        <w:t>Epclusa</w:t>
      </w:r>
      <w:proofErr w:type="spellEnd"/>
      <w:r w:rsidRPr="00A20351">
        <w:t xml:space="preserve"> ir palyginamojo gydymo </w:t>
      </w:r>
      <w:proofErr w:type="spellStart"/>
      <w:r w:rsidRPr="00A20351">
        <w:t>Maviret</w:t>
      </w:r>
      <w:proofErr w:type="spellEnd"/>
      <w:r w:rsidRPr="00A20351">
        <w:t xml:space="preserve"> kaštai, atsižvelgiama į vaistų dozavimą ir gydymo trukmę skirtingoms populiacijos pogrupiams.</w:t>
      </w:r>
      <w:r>
        <w:t xml:space="preserve"> </w:t>
      </w:r>
      <w:r w:rsidRPr="00A20351">
        <w:t>Nepageidaujamų reiškinių valdymo kaštai nėra vertinami.</w:t>
      </w:r>
    </w:p>
    <w:p w14:paraId="1ACA9FD5" w14:textId="2396CD78" w:rsidR="007C48B8" w:rsidRDefault="007C48B8" w:rsidP="00F870CF">
      <w:pPr>
        <w:spacing w:line="276" w:lineRule="auto"/>
        <w:ind w:firstLine="720"/>
        <w:jc w:val="both"/>
      </w:pPr>
      <w:r>
        <w:t xml:space="preserve">Atlikta kaštų mažinimo ekonominė analizė rodo, kad gydymas </w:t>
      </w:r>
      <w:proofErr w:type="spellStart"/>
      <w:r w:rsidRPr="00F870CF">
        <w:rPr>
          <w:i/>
        </w:rPr>
        <w:t>Epclusa</w:t>
      </w:r>
      <w:proofErr w:type="spellEnd"/>
      <w:r>
        <w:t xml:space="preserve"> yra pigesnis už gydymą palyginamaisiais vaistiniais preparatais </w:t>
      </w:r>
      <w:proofErr w:type="spellStart"/>
      <w:r w:rsidRPr="000A189D">
        <w:rPr>
          <w:i/>
        </w:rPr>
        <w:t>Maviret</w:t>
      </w:r>
      <w:proofErr w:type="spellEnd"/>
      <w:r>
        <w:t xml:space="preserve"> ir </w:t>
      </w:r>
      <w:proofErr w:type="spellStart"/>
      <w:r w:rsidRPr="000A189D">
        <w:rPr>
          <w:i/>
        </w:rPr>
        <w:t>Zepatier</w:t>
      </w:r>
      <w:proofErr w:type="spellEnd"/>
      <w:r>
        <w:t xml:space="preserve">. </w:t>
      </w:r>
    </w:p>
    <w:p w14:paraId="30912702" w14:textId="6E0C3088" w:rsidR="007C48B8" w:rsidRDefault="007C48B8" w:rsidP="00F870CF">
      <w:pPr>
        <w:spacing w:line="276" w:lineRule="auto"/>
        <w:ind w:firstLine="720"/>
        <w:jc w:val="both"/>
      </w:pPr>
      <w:r w:rsidRPr="007C48B8">
        <w:t xml:space="preserve">Pareiškėjas atlikdamas jautrumo analizę vertina scenarijų, kai vaistas </w:t>
      </w:r>
      <w:proofErr w:type="spellStart"/>
      <w:r w:rsidRPr="000A189D">
        <w:rPr>
          <w:i/>
        </w:rPr>
        <w:t>Epclusa</w:t>
      </w:r>
      <w:proofErr w:type="spellEnd"/>
      <w:r w:rsidRPr="007C48B8">
        <w:t xml:space="preserve"> yra skiriamas pacientams, sergantiems </w:t>
      </w:r>
      <w:proofErr w:type="spellStart"/>
      <w:r w:rsidRPr="007C48B8">
        <w:t>dekompensuota</w:t>
      </w:r>
      <w:proofErr w:type="spellEnd"/>
      <w:r w:rsidRPr="007C48B8">
        <w:t xml:space="preserve"> kepenų ciroze. Taikoma prielaida, kad 2,6 proc. visos pacientų populiacijos serga </w:t>
      </w:r>
      <w:proofErr w:type="spellStart"/>
      <w:r w:rsidRPr="007C48B8">
        <w:t>dekompensuota</w:t>
      </w:r>
      <w:proofErr w:type="spellEnd"/>
      <w:r w:rsidRPr="007C48B8">
        <w:t xml:space="preserve"> kepenų ciroze. Palyginamasis gydymas šiam pacientų pogrupiui nėra skiriamas.</w:t>
      </w:r>
      <w:r>
        <w:t xml:space="preserve"> </w:t>
      </w:r>
      <w:r w:rsidRPr="007C48B8">
        <w:t xml:space="preserve">Atlikta scenarijaus analizė rodo, kad į ekonominę analizę įtraukus pacientų pogrupį su </w:t>
      </w:r>
      <w:proofErr w:type="spellStart"/>
      <w:r w:rsidRPr="007C48B8">
        <w:t>dekompensuota</w:t>
      </w:r>
      <w:proofErr w:type="spellEnd"/>
      <w:r w:rsidRPr="007C48B8">
        <w:t xml:space="preserve"> kepenų ciroze gydymo </w:t>
      </w:r>
      <w:proofErr w:type="spellStart"/>
      <w:r w:rsidRPr="000A189D">
        <w:rPr>
          <w:i/>
        </w:rPr>
        <w:t>Epclusa</w:t>
      </w:r>
      <w:proofErr w:type="spellEnd"/>
      <w:r w:rsidRPr="007C48B8">
        <w:t xml:space="preserve"> vaistiniu preparatu kaštai yra mažesni už palyginamųjų gydymų kaštus.</w:t>
      </w:r>
    </w:p>
    <w:bookmarkEnd w:id="0"/>
    <w:p w14:paraId="223BD8F4" w14:textId="77777777" w:rsidR="007C48B8" w:rsidRDefault="007C48B8" w:rsidP="00EC018B">
      <w:pPr>
        <w:spacing w:line="276" w:lineRule="auto"/>
        <w:ind w:firstLine="562"/>
      </w:pPr>
    </w:p>
    <w:p w14:paraId="081B47AE" w14:textId="227B96A3" w:rsidR="007C48B8" w:rsidRPr="007C48B8" w:rsidRDefault="007C48B8" w:rsidP="00EC018B">
      <w:pPr>
        <w:spacing w:line="276" w:lineRule="auto"/>
        <w:ind w:firstLine="562"/>
        <w:rPr>
          <w:b/>
          <w:bCs/>
        </w:rPr>
      </w:pPr>
      <w:r w:rsidRPr="007C48B8">
        <w:rPr>
          <w:b/>
          <w:bCs/>
        </w:rPr>
        <w:t>Ekonominės analizė rezultatas</w:t>
      </w:r>
    </w:p>
    <w:p w14:paraId="59727F86" w14:textId="0F3C7B1B" w:rsidR="007C48B8" w:rsidRPr="00D05364" w:rsidRDefault="007C48B8" w:rsidP="007C48B8">
      <w:pPr>
        <w:tabs>
          <w:tab w:val="left" w:pos="567"/>
        </w:tabs>
        <w:jc w:val="both"/>
        <w:rPr>
          <w:i/>
          <w:iCs/>
          <w:color w:val="00B050"/>
          <w:lang w:eastAsia="lt-LT"/>
        </w:rPr>
      </w:pPr>
    </w:p>
    <w:tbl>
      <w:tblPr>
        <w:tblStyle w:val="Lentelstinklelis"/>
        <w:tblW w:w="884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6"/>
        <w:gridCol w:w="1439"/>
        <w:gridCol w:w="1801"/>
        <w:gridCol w:w="3195"/>
      </w:tblGrid>
      <w:tr w:rsidR="007C48B8" w:rsidRPr="00D05364" w14:paraId="5CC93059" w14:textId="77777777" w:rsidTr="007C48B8">
        <w:trPr>
          <w:trHeight w:val="289"/>
          <w:jc w:val="center"/>
        </w:trPr>
        <w:tc>
          <w:tcPr>
            <w:tcW w:w="8841" w:type="dxa"/>
            <w:gridSpan w:val="4"/>
            <w:tcBorders>
              <w:top w:val="single" w:sz="12" w:space="0" w:color="auto"/>
              <w:bottom w:val="single" w:sz="4" w:space="0" w:color="auto"/>
            </w:tcBorders>
            <w:vAlign w:val="center"/>
          </w:tcPr>
          <w:p w14:paraId="18930F93" w14:textId="77777777" w:rsidR="007C48B8" w:rsidRPr="00D05364" w:rsidRDefault="007C48B8" w:rsidP="000579FD">
            <w:pPr>
              <w:tabs>
                <w:tab w:val="left" w:pos="567"/>
              </w:tabs>
              <w:jc w:val="center"/>
              <w:rPr>
                <w:b/>
                <w:i/>
                <w:iCs/>
                <w:color w:val="00B050"/>
                <w:sz w:val="22"/>
                <w:szCs w:val="22"/>
                <w:lang w:eastAsia="lt-LT"/>
              </w:rPr>
            </w:pPr>
            <w:r w:rsidRPr="00D05364">
              <w:rPr>
                <w:b/>
                <w:lang w:eastAsia="lt-LT"/>
              </w:rPr>
              <w:t>Kaštai</w:t>
            </w:r>
          </w:p>
        </w:tc>
      </w:tr>
      <w:tr w:rsidR="007C48B8" w:rsidRPr="00D05364" w14:paraId="26694A38" w14:textId="77777777" w:rsidTr="007C48B8">
        <w:trPr>
          <w:trHeight w:val="219"/>
          <w:jc w:val="center"/>
        </w:trPr>
        <w:tc>
          <w:tcPr>
            <w:tcW w:w="2406" w:type="dxa"/>
            <w:tcBorders>
              <w:top w:val="single" w:sz="4" w:space="0" w:color="auto"/>
              <w:bottom w:val="single" w:sz="4" w:space="0" w:color="auto"/>
            </w:tcBorders>
          </w:tcPr>
          <w:p w14:paraId="2D50BE25" w14:textId="77777777" w:rsidR="007C48B8" w:rsidRPr="00D05364" w:rsidRDefault="007C48B8" w:rsidP="000579FD">
            <w:pPr>
              <w:tabs>
                <w:tab w:val="left" w:pos="567"/>
              </w:tabs>
              <w:jc w:val="both"/>
              <w:rPr>
                <w:color w:val="00B050"/>
                <w:lang w:eastAsia="lt-LT"/>
              </w:rPr>
            </w:pPr>
          </w:p>
        </w:tc>
        <w:tc>
          <w:tcPr>
            <w:tcW w:w="1439" w:type="dxa"/>
            <w:tcBorders>
              <w:top w:val="single" w:sz="4" w:space="0" w:color="auto"/>
              <w:bottom w:val="single" w:sz="4" w:space="0" w:color="auto"/>
            </w:tcBorders>
            <w:vAlign w:val="center"/>
          </w:tcPr>
          <w:p w14:paraId="0D9B55EE" w14:textId="77777777" w:rsidR="007C48B8" w:rsidRPr="00D05364" w:rsidRDefault="007C48B8" w:rsidP="000579FD">
            <w:pPr>
              <w:tabs>
                <w:tab w:val="left" w:pos="567"/>
              </w:tabs>
              <w:jc w:val="center"/>
              <w:rPr>
                <w:i/>
                <w:iCs/>
                <w:lang w:eastAsia="lt-LT"/>
              </w:rPr>
            </w:pPr>
            <w:proofErr w:type="spellStart"/>
            <w:r>
              <w:rPr>
                <w:i/>
                <w:iCs/>
                <w:lang w:eastAsia="lt-LT"/>
              </w:rPr>
              <w:t>Epclusa</w:t>
            </w:r>
            <w:proofErr w:type="spellEnd"/>
          </w:p>
        </w:tc>
        <w:tc>
          <w:tcPr>
            <w:tcW w:w="1801" w:type="dxa"/>
            <w:tcBorders>
              <w:top w:val="single" w:sz="4" w:space="0" w:color="auto"/>
              <w:bottom w:val="single" w:sz="4" w:space="0" w:color="auto"/>
            </w:tcBorders>
            <w:vAlign w:val="center"/>
          </w:tcPr>
          <w:p w14:paraId="1B3C3FB0" w14:textId="77777777" w:rsidR="007C48B8" w:rsidRPr="00D05364" w:rsidRDefault="007C48B8" w:rsidP="000579FD">
            <w:pPr>
              <w:tabs>
                <w:tab w:val="left" w:pos="567"/>
              </w:tabs>
              <w:jc w:val="center"/>
              <w:rPr>
                <w:i/>
                <w:iCs/>
                <w:lang w:eastAsia="lt-LT"/>
              </w:rPr>
            </w:pPr>
            <w:proofErr w:type="spellStart"/>
            <w:r>
              <w:rPr>
                <w:i/>
                <w:iCs/>
                <w:lang w:eastAsia="lt-LT"/>
              </w:rPr>
              <w:t>Maviret</w:t>
            </w:r>
            <w:proofErr w:type="spellEnd"/>
          </w:p>
        </w:tc>
        <w:tc>
          <w:tcPr>
            <w:tcW w:w="3193" w:type="dxa"/>
            <w:tcBorders>
              <w:top w:val="single" w:sz="4" w:space="0" w:color="auto"/>
              <w:bottom w:val="single" w:sz="4" w:space="0" w:color="auto"/>
            </w:tcBorders>
            <w:vAlign w:val="center"/>
          </w:tcPr>
          <w:p w14:paraId="71640D90" w14:textId="77777777" w:rsidR="007C48B8" w:rsidRPr="00D05364" w:rsidRDefault="007C48B8" w:rsidP="000579FD">
            <w:pPr>
              <w:tabs>
                <w:tab w:val="left" w:pos="567"/>
              </w:tabs>
              <w:jc w:val="center"/>
              <w:rPr>
                <w:i/>
                <w:lang w:eastAsia="lt-LT"/>
              </w:rPr>
            </w:pPr>
            <w:r w:rsidRPr="00D05364">
              <w:rPr>
                <w:i/>
                <w:lang w:eastAsia="lt-LT"/>
              </w:rPr>
              <w:t>Skirtumas</w:t>
            </w:r>
          </w:p>
        </w:tc>
      </w:tr>
      <w:tr w:rsidR="007C48B8" w:rsidRPr="00D05364" w14:paraId="0A8AFFB2" w14:textId="77777777" w:rsidTr="007C48B8">
        <w:trPr>
          <w:trHeight w:val="429"/>
          <w:jc w:val="center"/>
        </w:trPr>
        <w:tc>
          <w:tcPr>
            <w:tcW w:w="2406" w:type="dxa"/>
            <w:tcBorders>
              <w:top w:val="single" w:sz="4" w:space="0" w:color="auto"/>
              <w:bottom w:val="single" w:sz="4" w:space="0" w:color="auto"/>
            </w:tcBorders>
            <w:vAlign w:val="center"/>
          </w:tcPr>
          <w:p w14:paraId="30511864" w14:textId="77777777" w:rsidR="007C48B8" w:rsidRPr="00D05364" w:rsidRDefault="007C48B8" w:rsidP="000579FD">
            <w:pPr>
              <w:tabs>
                <w:tab w:val="left" w:pos="567"/>
              </w:tabs>
              <w:rPr>
                <w:iCs/>
                <w:color w:val="000000"/>
                <w:lang w:eastAsia="lt-LT"/>
              </w:rPr>
            </w:pPr>
            <w:r w:rsidRPr="00D05364">
              <w:rPr>
                <w:iCs/>
                <w:color w:val="000000"/>
                <w:lang w:eastAsia="lt-LT"/>
              </w:rPr>
              <w:t>Vaistinių preparatų įsigijimo kaštai</w:t>
            </w:r>
          </w:p>
        </w:tc>
        <w:tc>
          <w:tcPr>
            <w:tcW w:w="1439" w:type="dxa"/>
            <w:tcBorders>
              <w:top w:val="single" w:sz="4" w:space="0" w:color="auto"/>
              <w:bottom w:val="single" w:sz="4" w:space="0" w:color="auto"/>
            </w:tcBorders>
            <w:vAlign w:val="center"/>
          </w:tcPr>
          <w:p w14:paraId="32218A32" w14:textId="180C7FB6" w:rsidR="007C48B8" w:rsidRPr="00A20351" w:rsidRDefault="00BF1E6E" w:rsidP="000579FD">
            <w:pPr>
              <w:tabs>
                <w:tab w:val="left" w:pos="567"/>
              </w:tabs>
              <w:jc w:val="center"/>
              <w:rPr>
                <w:lang w:eastAsia="lt-LT"/>
              </w:rPr>
            </w:pPr>
            <w:r>
              <w:rPr>
                <w:lang w:eastAsia="lt-LT"/>
              </w:rPr>
              <w:t>******</w:t>
            </w:r>
          </w:p>
        </w:tc>
        <w:tc>
          <w:tcPr>
            <w:tcW w:w="1801" w:type="dxa"/>
            <w:tcBorders>
              <w:top w:val="single" w:sz="4" w:space="0" w:color="auto"/>
              <w:bottom w:val="single" w:sz="4" w:space="0" w:color="auto"/>
            </w:tcBorders>
            <w:vAlign w:val="center"/>
          </w:tcPr>
          <w:p w14:paraId="4BBF8026" w14:textId="336D5674" w:rsidR="007C48B8" w:rsidRPr="00A20351" w:rsidRDefault="00BF1E6E" w:rsidP="000579FD">
            <w:pPr>
              <w:tabs>
                <w:tab w:val="left" w:pos="567"/>
              </w:tabs>
              <w:jc w:val="center"/>
              <w:rPr>
                <w:lang w:eastAsia="lt-LT"/>
              </w:rPr>
            </w:pPr>
            <w:r>
              <w:rPr>
                <w:lang w:eastAsia="lt-LT"/>
              </w:rPr>
              <w:t>******</w:t>
            </w:r>
          </w:p>
        </w:tc>
        <w:tc>
          <w:tcPr>
            <w:tcW w:w="3193" w:type="dxa"/>
            <w:tcBorders>
              <w:top w:val="single" w:sz="4" w:space="0" w:color="auto"/>
              <w:bottom w:val="single" w:sz="4" w:space="0" w:color="auto"/>
            </w:tcBorders>
            <w:vAlign w:val="center"/>
          </w:tcPr>
          <w:p w14:paraId="0CA3FF6F" w14:textId="312D3310" w:rsidR="007C48B8" w:rsidRPr="00A20351" w:rsidRDefault="00BF1E6E" w:rsidP="000579FD">
            <w:pPr>
              <w:tabs>
                <w:tab w:val="left" w:pos="567"/>
              </w:tabs>
              <w:jc w:val="center"/>
              <w:rPr>
                <w:lang w:eastAsia="lt-LT"/>
              </w:rPr>
            </w:pPr>
            <w:r>
              <w:rPr>
                <w:lang w:eastAsia="lt-LT"/>
              </w:rPr>
              <w:t>******</w:t>
            </w:r>
          </w:p>
        </w:tc>
      </w:tr>
    </w:tbl>
    <w:p w14:paraId="11801640" w14:textId="77777777" w:rsidR="007C48B8" w:rsidRDefault="007C48B8" w:rsidP="007C48B8">
      <w:pPr>
        <w:spacing w:line="280" w:lineRule="atLeast"/>
        <w:rPr>
          <w:rFonts w:eastAsia="Arial"/>
          <w:b/>
        </w:rPr>
      </w:pPr>
    </w:p>
    <w:p w14:paraId="79E24CC5" w14:textId="2F23A3AF" w:rsidR="007C48B8" w:rsidRPr="00D05364" w:rsidRDefault="007C48B8" w:rsidP="007C48B8">
      <w:pPr>
        <w:tabs>
          <w:tab w:val="left" w:pos="567"/>
        </w:tabs>
        <w:jc w:val="both"/>
        <w:rPr>
          <w:i/>
          <w:iCs/>
          <w:color w:val="00B050"/>
          <w:lang w:eastAsia="lt-LT"/>
        </w:rPr>
      </w:pPr>
    </w:p>
    <w:tbl>
      <w:tblPr>
        <w:tblStyle w:val="Lentelstinklelis"/>
        <w:tblW w:w="888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8"/>
        <w:gridCol w:w="1446"/>
        <w:gridCol w:w="1810"/>
        <w:gridCol w:w="3215"/>
      </w:tblGrid>
      <w:tr w:rsidR="007C48B8" w:rsidRPr="00D05364" w14:paraId="3FD14F02" w14:textId="77777777" w:rsidTr="007C48B8">
        <w:trPr>
          <w:trHeight w:val="274"/>
          <w:jc w:val="center"/>
        </w:trPr>
        <w:tc>
          <w:tcPr>
            <w:tcW w:w="8889" w:type="dxa"/>
            <w:gridSpan w:val="4"/>
            <w:tcBorders>
              <w:top w:val="single" w:sz="12" w:space="0" w:color="auto"/>
              <w:bottom w:val="single" w:sz="4" w:space="0" w:color="auto"/>
            </w:tcBorders>
            <w:vAlign w:val="center"/>
          </w:tcPr>
          <w:p w14:paraId="79A81241" w14:textId="77777777" w:rsidR="007C48B8" w:rsidRPr="00D05364" w:rsidRDefault="007C48B8" w:rsidP="000579FD">
            <w:pPr>
              <w:tabs>
                <w:tab w:val="left" w:pos="567"/>
              </w:tabs>
              <w:jc w:val="center"/>
              <w:rPr>
                <w:b/>
                <w:i/>
                <w:iCs/>
                <w:color w:val="00B050"/>
                <w:sz w:val="22"/>
                <w:szCs w:val="22"/>
                <w:lang w:eastAsia="lt-LT"/>
              </w:rPr>
            </w:pPr>
            <w:r w:rsidRPr="00D05364">
              <w:rPr>
                <w:b/>
                <w:lang w:eastAsia="lt-LT"/>
              </w:rPr>
              <w:t>Kaštai</w:t>
            </w:r>
          </w:p>
        </w:tc>
      </w:tr>
      <w:tr w:rsidR="007C48B8" w:rsidRPr="00D05364" w14:paraId="30E3BBC1" w14:textId="77777777" w:rsidTr="007C48B8">
        <w:trPr>
          <w:trHeight w:val="207"/>
          <w:jc w:val="center"/>
        </w:trPr>
        <w:tc>
          <w:tcPr>
            <w:tcW w:w="2418" w:type="dxa"/>
            <w:tcBorders>
              <w:top w:val="single" w:sz="4" w:space="0" w:color="auto"/>
              <w:bottom w:val="single" w:sz="4" w:space="0" w:color="auto"/>
            </w:tcBorders>
          </w:tcPr>
          <w:p w14:paraId="5BD0E242" w14:textId="77777777" w:rsidR="007C48B8" w:rsidRPr="00D05364" w:rsidRDefault="007C48B8" w:rsidP="000579FD">
            <w:pPr>
              <w:tabs>
                <w:tab w:val="left" w:pos="567"/>
              </w:tabs>
              <w:jc w:val="both"/>
              <w:rPr>
                <w:color w:val="00B050"/>
                <w:lang w:eastAsia="lt-LT"/>
              </w:rPr>
            </w:pPr>
          </w:p>
        </w:tc>
        <w:tc>
          <w:tcPr>
            <w:tcW w:w="1446" w:type="dxa"/>
            <w:tcBorders>
              <w:top w:val="single" w:sz="4" w:space="0" w:color="auto"/>
              <w:bottom w:val="single" w:sz="4" w:space="0" w:color="auto"/>
            </w:tcBorders>
            <w:vAlign w:val="center"/>
          </w:tcPr>
          <w:p w14:paraId="7784D258" w14:textId="77777777" w:rsidR="007C48B8" w:rsidRPr="00D05364" w:rsidRDefault="007C48B8" w:rsidP="000579FD">
            <w:pPr>
              <w:tabs>
                <w:tab w:val="left" w:pos="567"/>
              </w:tabs>
              <w:jc w:val="center"/>
              <w:rPr>
                <w:i/>
                <w:iCs/>
                <w:lang w:eastAsia="lt-LT"/>
              </w:rPr>
            </w:pPr>
            <w:proofErr w:type="spellStart"/>
            <w:r>
              <w:rPr>
                <w:i/>
                <w:iCs/>
                <w:lang w:eastAsia="lt-LT"/>
              </w:rPr>
              <w:t>Epclusa</w:t>
            </w:r>
            <w:proofErr w:type="spellEnd"/>
          </w:p>
        </w:tc>
        <w:tc>
          <w:tcPr>
            <w:tcW w:w="1810" w:type="dxa"/>
            <w:tcBorders>
              <w:top w:val="single" w:sz="4" w:space="0" w:color="auto"/>
              <w:bottom w:val="single" w:sz="4" w:space="0" w:color="auto"/>
            </w:tcBorders>
            <w:vAlign w:val="center"/>
          </w:tcPr>
          <w:p w14:paraId="3D86680A" w14:textId="77777777" w:rsidR="007C48B8" w:rsidRPr="00D05364" w:rsidRDefault="007C48B8" w:rsidP="000579FD">
            <w:pPr>
              <w:tabs>
                <w:tab w:val="left" w:pos="567"/>
              </w:tabs>
              <w:jc w:val="center"/>
              <w:rPr>
                <w:i/>
                <w:iCs/>
                <w:lang w:eastAsia="lt-LT"/>
              </w:rPr>
            </w:pPr>
            <w:proofErr w:type="spellStart"/>
            <w:r>
              <w:rPr>
                <w:i/>
                <w:iCs/>
                <w:lang w:eastAsia="lt-LT"/>
              </w:rPr>
              <w:t>Zepatier</w:t>
            </w:r>
            <w:proofErr w:type="spellEnd"/>
          </w:p>
        </w:tc>
        <w:tc>
          <w:tcPr>
            <w:tcW w:w="3213" w:type="dxa"/>
            <w:tcBorders>
              <w:top w:val="single" w:sz="4" w:space="0" w:color="auto"/>
              <w:bottom w:val="single" w:sz="4" w:space="0" w:color="auto"/>
            </w:tcBorders>
            <w:vAlign w:val="center"/>
          </w:tcPr>
          <w:p w14:paraId="68521B07" w14:textId="77777777" w:rsidR="007C48B8" w:rsidRPr="00D05364" w:rsidRDefault="007C48B8" w:rsidP="000579FD">
            <w:pPr>
              <w:tabs>
                <w:tab w:val="left" w:pos="567"/>
              </w:tabs>
              <w:jc w:val="center"/>
              <w:rPr>
                <w:i/>
                <w:lang w:eastAsia="lt-LT"/>
              </w:rPr>
            </w:pPr>
            <w:r w:rsidRPr="00D05364">
              <w:rPr>
                <w:i/>
                <w:lang w:eastAsia="lt-LT"/>
              </w:rPr>
              <w:t>Skirtumas</w:t>
            </w:r>
          </w:p>
        </w:tc>
      </w:tr>
      <w:tr w:rsidR="007C48B8" w:rsidRPr="00D05364" w14:paraId="0DEF0FC8" w14:textId="77777777" w:rsidTr="007C48B8">
        <w:trPr>
          <w:trHeight w:val="406"/>
          <w:jc w:val="center"/>
        </w:trPr>
        <w:tc>
          <w:tcPr>
            <w:tcW w:w="2418" w:type="dxa"/>
            <w:tcBorders>
              <w:top w:val="single" w:sz="4" w:space="0" w:color="auto"/>
              <w:bottom w:val="single" w:sz="4" w:space="0" w:color="auto"/>
            </w:tcBorders>
            <w:vAlign w:val="center"/>
          </w:tcPr>
          <w:p w14:paraId="2BA69748" w14:textId="77777777" w:rsidR="007C48B8" w:rsidRPr="00D05364" w:rsidRDefault="007C48B8" w:rsidP="000579FD">
            <w:pPr>
              <w:tabs>
                <w:tab w:val="left" w:pos="567"/>
              </w:tabs>
              <w:rPr>
                <w:iCs/>
                <w:color w:val="000000"/>
                <w:lang w:eastAsia="lt-LT"/>
              </w:rPr>
            </w:pPr>
            <w:r w:rsidRPr="00D05364">
              <w:rPr>
                <w:iCs/>
                <w:color w:val="000000"/>
                <w:lang w:eastAsia="lt-LT"/>
              </w:rPr>
              <w:t>Vaistinių preparatų įsigijimo kaštai</w:t>
            </w:r>
          </w:p>
        </w:tc>
        <w:tc>
          <w:tcPr>
            <w:tcW w:w="1446" w:type="dxa"/>
            <w:tcBorders>
              <w:top w:val="single" w:sz="4" w:space="0" w:color="auto"/>
              <w:bottom w:val="single" w:sz="4" w:space="0" w:color="auto"/>
            </w:tcBorders>
            <w:vAlign w:val="center"/>
          </w:tcPr>
          <w:p w14:paraId="31067987" w14:textId="260637AD" w:rsidR="007C48B8" w:rsidRPr="00A20351" w:rsidRDefault="00BF1E6E" w:rsidP="000579FD">
            <w:pPr>
              <w:tabs>
                <w:tab w:val="left" w:pos="567"/>
              </w:tabs>
              <w:jc w:val="center"/>
              <w:rPr>
                <w:lang w:eastAsia="lt-LT"/>
              </w:rPr>
            </w:pPr>
            <w:r>
              <w:rPr>
                <w:lang w:eastAsia="lt-LT"/>
              </w:rPr>
              <w:t>******</w:t>
            </w:r>
          </w:p>
        </w:tc>
        <w:tc>
          <w:tcPr>
            <w:tcW w:w="1810" w:type="dxa"/>
            <w:tcBorders>
              <w:top w:val="single" w:sz="4" w:space="0" w:color="auto"/>
              <w:bottom w:val="single" w:sz="4" w:space="0" w:color="auto"/>
            </w:tcBorders>
            <w:vAlign w:val="center"/>
          </w:tcPr>
          <w:p w14:paraId="6070F7BF" w14:textId="7D3C8522" w:rsidR="007C48B8" w:rsidRPr="00A20351" w:rsidRDefault="00BF1E6E" w:rsidP="000579FD">
            <w:pPr>
              <w:tabs>
                <w:tab w:val="left" w:pos="567"/>
              </w:tabs>
              <w:jc w:val="center"/>
              <w:rPr>
                <w:lang w:eastAsia="lt-LT"/>
              </w:rPr>
            </w:pPr>
            <w:r>
              <w:rPr>
                <w:lang w:eastAsia="lt-LT"/>
              </w:rPr>
              <w:t>******</w:t>
            </w:r>
          </w:p>
        </w:tc>
        <w:tc>
          <w:tcPr>
            <w:tcW w:w="3213" w:type="dxa"/>
            <w:tcBorders>
              <w:top w:val="single" w:sz="4" w:space="0" w:color="auto"/>
              <w:bottom w:val="single" w:sz="4" w:space="0" w:color="auto"/>
            </w:tcBorders>
            <w:vAlign w:val="center"/>
          </w:tcPr>
          <w:p w14:paraId="68DD5411" w14:textId="6BCCF149" w:rsidR="007C48B8" w:rsidRPr="00A20351" w:rsidRDefault="00BF1E6E" w:rsidP="000579FD">
            <w:pPr>
              <w:tabs>
                <w:tab w:val="left" w:pos="567"/>
              </w:tabs>
              <w:jc w:val="center"/>
              <w:rPr>
                <w:lang w:eastAsia="lt-LT"/>
              </w:rPr>
            </w:pPr>
            <w:r>
              <w:rPr>
                <w:lang w:eastAsia="lt-LT"/>
              </w:rPr>
              <w:t>******</w:t>
            </w:r>
          </w:p>
        </w:tc>
      </w:tr>
    </w:tbl>
    <w:p w14:paraId="273D2BF2" w14:textId="77777777" w:rsidR="007C48B8" w:rsidRDefault="007C48B8" w:rsidP="007C48B8">
      <w:pPr>
        <w:spacing w:line="280" w:lineRule="atLeast"/>
        <w:rPr>
          <w:rFonts w:eastAsia="Arial"/>
          <w:b/>
        </w:rPr>
      </w:pPr>
    </w:p>
    <w:p w14:paraId="185AEB63" w14:textId="77777777" w:rsidR="002015BA" w:rsidRPr="006C4813" w:rsidRDefault="002015BA" w:rsidP="00A93AA6">
      <w:pPr>
        <w:tabs>
          <w:tab w:val="left" w:pos="426"/>
        </w:tabs>
        <w:rPr>
          <w:b/>
          <w:bCs/>
          <w:caps/>
          <w:highlight w:val="yellow"/>
          <w:lang w:val="en-GB"/>
        </w:rPr>
      </w:pPr>
    </w:p>
    <w:p w14:paraId="4FC424F9" w14:textId="4E767245" w:rsidR="00C62B36" w:rsidRPr="006C4813" w:rsidRDefault="00C62B36" w:rsidP="00CC09D4">
      <w:pPr>
        <w:pStyle w:val="Sraopastraipa"/>
        <w:numPr>
          <w:ilvl w:val="0"/>
          <w:numId w:val="12"/>
        </w:numPr>
        <w:tabs>
          <w:tab w:val="left" w:pos="567"/>
        </w:tabs>
        <w:ind w:hanging="720"/>
        <w:rPr>
          <w:b/>
          <w:bCs/>
          <w:caps/>
        </w:rPr>
      </w:pPr>
      <w:r w:rsidRPr="006C4813">
        <w:rPr>
          <w:b/>
          <w:bCs/>
          <w:caps/>
        </w:rPr>
        <w:t xml:space="preserve">Pacientų organizacijų pateikti duomenys </w:t>
      </w:r>
    </w:p>
    <w:p w14:paraId="79BCFF40" w14:textId="0208E484" w:rsidR="00937907" w:rsidRPr="006C4813" w:rsidRDefault="00F14FE1"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48396B">
            <w:rPr>
              <w:rStyle w:val="Style2"/>
              <w:rFonts w:ascii="MS Gothic" w:eastAsia="MS Gothic" w:hAnsi="MS Gothic" w:hint="eastAsia"/>
              <w:sz w:val="24"/>
            </w:rPr>
            <w:t>☐</w:t>
          </w:r>
        </w:sdtContent>
      </w:sdt>
      <w:r w:rsidR="00937907" w:rsidRPr="006C4813">
        <w:t xml:space="preserve"> Pacientų organizacijos pozicija pateikta. Žr. priedą.</w:t>
      </w:r>
    </w:p>
    <w:p w14:paraId="62992180" w14:textId="0AEB9E20" w:rsidR="00937907" w:rsidRPr="006C4813" w:rsidRDefault="00F14FE1"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48396B">
            <w:rPr>
              <w:rStyle w:val="Style2"/>
              <w:rFonts w:ascii="MS Gothic" w:eastAsia="MS Gothic" w:hAnsi="MS Gothic" w:hint="eastAsia"/>
              <w:sz w:val="24"/>
            </w:rPr>
            <w:t>☒</w:t>
          </w:r>
        </w:sdtContent>
      </w:sdt>
      <w:r w:rsidR="00937907" w:rsidRPr="006C4813">
        <w:t xml:space="preserve"> Pacientų organizacijos pozicija </w:t>
      </w:r>
      <w:r w:rsidR="00880A44" w:rsidRPr="006C4813">
        <w:t>ne</w:t>
      </w:r>
      <w:r w:rsidR="00937907" w:rsidRPr="006C4813">
        <w:t>pateikta.</w:t>
      </w:r>
      <w:bookmarkStart w:id="1" w:name="_GoBack"/>
      <w:bookmarkEnd w:id="1"/>
    </w:p>
    <w:p w14:paraId="03E73D82" w14:textId="77777777" w:rsidR="00D417D2" w:rsidRPr="006C4813" w:rsidRDefault="00D417D2" w:rsidP="00937907">
      <w:pPr>
        <w:spacing w:after="120"/>
        <w:jc w:val="both"/>
      </w:pPr>
    </w:p>
    <w:p w14:paraId="3D3277FA" w14:textId="3CEEB2D2" w:rsidR="00C62B36" w:rsidRPr="006C4813" w:rsidRDefault="00C62B36" w:rsidP="00CC09D4">
      <w:pPr>
        <w:pStyle w:val="Sraopastraipa"/>
        <w:numPr>
          <w:ilvl w:val="0"/>
          <w:numId w:val="12"/>
        </w:numPr>
        <w:tabs>
          <w:tab w:val="left" w:pos="567"/>
        </w:tabs>
        <w:ind w:hanging="720"/>
        <w:rPr>
          <w:b/>
          <w:bCs/>
          <w:caps/>
        </w:rPr>
      </w:pPr>
      <w:r w:rsidRPr="006C4813">
        <w:rPr>
          <w:b/>
          <w:bCs/>
          <w:caps/>
        </w:rPr>
        <w:t>Gydytojų organizacijų pateikti duomenys</w:t>
      </w:r>
    </w:p>
    <w:p w14:paraId="389A346C" w14:textId="2011ECFC" w:rsidR="00937907" w:rsidRPr="006C4813" w:rsidRDefault="00F14FE1"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6C4813" w:rsidRPr="006C4813">
            <w:rPr>
              <w:rStyle w:val="Style2"/>
              <w:rFonts w:ascii="MS Gothic" w:eastAsia="MS Gothic" w:hAnsi="MS Gothic" w:hint="eastAsia"/>
              <w:sz w:val="24"/>
            </w:rPr>
            <w:t>☒</w:t>
          </w:r>
        </w:sdtContent>
      </w:sdt>
      <w:r w:rsidR="00662983" w:rsidRPr="006C4813">
        <w:t xml:space="preserve"> </w:t>
      </w:r>
      <w:r w:rsidR="00937907" w:rsidRPr="006C4813">
        <w:t xml:space="preserve">Gydytojų specialistų organizacijos pozicija pateikta. </w:t>
      </w:r>
      <w:r w:rsidR="00662983" w:rsidRPr="006C4813">
        <w:t>Žr. priedą</w:t>
      </w:r>
      <w:r w:rsidR="00937907" w:rsidRPr="006C4813">
        <w:t>.</w:t>
      </w:r>
    </w:p>
    <w:p w14:paraId="7EAD48C7" w14:textId="4EDC96E3" w:rsidR="00731BE9" w:rsidRPr="006C4813" w:rsidRDefault="00F14FE1" w:rsidP="00731BE9">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6C4813">
            <w:rPr>
              <w:rStyle w:val="Style2"/>
              <w:rFonts w:ascii="MS Gothic" w:eastAsia="MS Gothic" w:hAnsi="MS Gothic"/>
              <w:sz w:val="24"/>
            </w:rPr>
            <w:t>☐</w:t>
          </w:r>
        </w:sdtContent>
      </w:sdt>
      <w:r w:rsidR="00662983" w:rsidRPr="006C4813">
        <w:t xml:space="preserve"> </w:t>
      </w:r>
      <w:r w:rsidR="00937907" w:rsidRPr="006C4813">
        <w:t xml:space="preserve">Gydytojų specialistų organizacijos pozicija </w:t>
      </w:r>
      <w:r w:rsidR="00880A44" w:rsidRPr="006C4813">
        <w:t>ne</w:t>
      </w:r>
      <w:r w:rsidR="00937907" w:rsidRPr="006C4813">
        <w:t>pateikta.</w:t>
      </w:r>
    </w:p>
    <w:p w14:paraId="2A1FD457" w14:textId="77777777" w:rsidR="00080362" w:rsidRPr="006C4813" w:rsidRDefault="00080362" w:rsidP="00731BE9">
      <w:pPr>
        <w:spacing w:after="120"/>
        <w:jc w:val="both"/>
        <w:rPr>
          <w:highlight w:val="yellow"/>
        </w:rPr>
      </w:pPr>
    </w:p>
    <w:p w14:paraId="08D5B3B6" w14:textId="3BE0B3C0" w:rsidR="0061611B" w:rsidRPr="006C4813" w:rsidRDefault="002F0E4F" w:rsidP="0061611B">
      <w:pPr>
        <w:pStyle w:val="Sraopastraipa"/>
        <w:numPr>
          <w:ilvl w:val="0"/>
          <w:numId w:val="12"/>
        </w:numPr>
        <w:spacing w:after="120"/>
        <w:ind w:hanging="720"/>
        <w:jc w:val="both"/>
      </w:pPr>
      <w:r w:rsidRPr="006C4813">
        <w:rPr>
          <w:b/>
          <w:bCs/>
          <w:caps/>
        </w:rPr>
        <w:t xml:space="preserve">Išvada </w:t>
      </w:r>
    </w:p>
    <w:tbl>
      <w:tblPr>
        <w:tblStyle w:val="Lentelstinklelis"/>
        <w:tblW w:w="9629" w:type="dxa"/>
        <w:tblLook w:val="04A0" w:firstRow="1" w:lastRow="0" w:firstColumn="1" w:lastColumn="0" w:noHBand="0" w:noVBand="1"/>
      </w:tblPr>
      <w:tblGrid>
        <w:gridCol w:w="4405"/>
        <w:gridCol w:w="5224"/>
      </w:tblGrid>
      <w:tr w:rsidR="00B13D65" w:rsidRPr="006C4813" w14:paraId="25A2473E" w14:textId="77777777" w:rsidTr="007C48B8">
        <w:trPr>
          <w:trHeight w:val="449"/>
        </w:trPr>
        <w:tc>
          <w:tcPr>
            <w:tcW w:w="4405" w:type="dxa"/>
            <w:vAlign w:val="center"/>
          </w:tcPr>
          <w:p w14:paraId="7EFE6941" w14:textId="23B8BB6D" w:rsidR="00B13D65" w:rsidRPr="006C4813" w:rsidRDefault="00662983" w:rsidP="007C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Rekomenduojama kompensuoti</w:t>
            </w:r>
          </w:p>
        </w:tc>
        <w:tc>
          <w:tcPr>
            <w:tcW w:w="5224" w:type="dxa"/>
            <w:vAlign w:val="center"/>
          </w:tcPr>
          <w:p w14:paraId="330A1A5E" w14:textId="18D6C602" w:rsidR="00B13D65" w:rsidRPr="006C4813" w:rsidRDefault="00662983" w:rsidP="007C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Rekomenduojama nekompensuoti</w:t>
            </w:r>
          </w:p>
        </w:tc>
      </w:tr>
      <w:tr w:rsidR="00B13D65" w:rsidRPr="006C4813" w14:paraId="143A7356" w14:textId="77777777" w:rsidTr="007C48B8">
        <w:trPr>
          <w:trHeight w:val="510"/>
        </w:trPr>
        <w:tc>
          <w:tcPr>
            <w:tcW w:w="9629" w:type="dxa"/>
            <w:gridSpan w:val="2"/>
            <w:vAlign w:val="center"/>
          </w:tcPr>
          <w:p w14:paraId="0AF5D6B4" w14:textId="6D8B6C59"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lastRenderedPageBreak/>
              <w:t>Palyginamasis efektyvumas</w:t>
            </w:r>
          </w:p>
        </w:tc>
      </w:tr>
      <w:tr w:rsidR="00B13D65" w:rsidRPr="006C4813" w14:paraId="28A0C814" w14:textId="77777777" w:rsidTr="007C48B8">
        <w:tc>
          <w:tcPr>
            <w:tcW w:w="4405" w:type="dxa"/>
          </w:tcPr>
          <w:p w14:paraId="216769B5" w14:textId="1623F3FE"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32.1. yra didesnis</w:t>
            </w:r>
          </w:p>
          <w:p w14:paraId="3B48F372"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DAC5EB6" w:rsidR="00B13D65" w:rsidRPr="006C4813" w:rsidRDefault="00F14FE1" w:rsidP="00F8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32.1. iš esmės nesiskiria</w:t>
            </w:r>
          </w:p>
        </w:tc>
        <w:tc>
          <w:tcPr>
            <w:tcW w:w="5224" w:type="dxa"/>
          </w:tcPr>
          <w:p w14:paraId="507828D9" w14:textId="3B859D35"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yra mažesnis</w:t>
            </w:r>
          </w:p>
          <w:p w14:paraId="7F95DEEC"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0650304A" w:rsidR="00662983"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yra neįrodytas kaip toks pat</w:t>
            </w:r>
          </w:p>
          <w:p w14:paraId="35205E8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7250683"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6C4813">
                  <w:rPr>
                    <w:rStyle w:val="Style2"/>
                    <w:rFonts w:ascii="Segoe UI Symbol" w:eastAsia="MS Gothic" w:hAnsi="Segoe UI Symbol" w:cs="Segoe UI Symbol"/>
                    <w:sz w:val="24"/>
                  </w:rPr>
                  <w:t>☐</w:t>
                </w:r>
              </w:sdtContent>
            </w:sdt>
            <w:r w:rsidR="00662983" w:rsidRPr="006C4813">
              <w:t xml:space="preserve"> 33.1 </w:t>
            </w:r>
            <w:r w:rsidR="00B00959" w:rsidRPr="006C4813">
              <w:t xml:space="preserve">yra </w:t>
            </w:r>
            <w:r w:rsidR="00B13D65" w:rsidRPr="006C4813">
              <w:t>neįrodytas kaip didesnis</w:t>
            </w:r>
          </w:p>
          <w:p w14:paraId="512E653B"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21CFCD79"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pateikti duomenys apie palyginamąjį efektyvumą yra netinkami vertinti</w:t>
            </w:r>
          </w:p>
          <w:p w14:paraId="5DDAA96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6C4813" w14:paraId="161CC3FE" w14:textId="77777777" w:rsidTr="007C48B8">
        <w:trPr>
          <w:trHeight w:val="510"/>
        </w:trPr>
        <w:tc>
          <w:tcPr>
            <w:tcW w:w="9629" w:type="dxa"/>
            <w:gridSpan w:val="2"/>
            <w:vAlign w:val="center"/>
          </w:tcPr>
          <w:p w14:paraId="1AB46894" w14:textId="3E765638" w:rsidR="00B13D65" w:rsidRPr="006C481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C4813">
              <w:rPr>
                <w:rStyle w:val="Style2"/>
                <w:rFonts w:eastAsia="MS Gothic"/>
                <w:b/>
                <w:bCs/>
                <w:sz w:val="24"/>
              </w:rPr>
              <w:t>Klinikinis veiksmingumas</w:t>
            </w:r>
          </w:p>
        </w:tc>
      </w:tr>
      <w:tr w:rsidR="00B13D65" w:rsidRPr="006C4813" w14:paraId="3C60570A" w14:textId="77777777" w:rsidTr="007C48B8">
        <w:tc>
          <w:tcPr>
            <w:tcW w:w="4405" w:type="dxa"/>
          </w:tcPr>
          <w:p w14:paraId="6897B306" w14:textId="15A5C7E4"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32.2. yra įvertintas kaip pagrindžiantis papildomos naudos pacientų sveikatai sukūrimą, lyginant su įprasta klinikine praktika</w:t>
            </w:r>
          </w:p>
          <w:p w14:paraId="71D57105" w14:textId="77777777" w:rsidR="00662983" w:rsidRPr="006C481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77DEB829" w:rsidR="00B13D65" w:rsidRPr="006C4813" w:rsidRDefault="00F14FE1"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8358C8">
                  <w:rPr>
                    <w:rStyle w:val="Style2"/>
                    <w:rFonts w:ascii="MS Gothic" w:eastAsia="MS Gothic" w:hAnsi="MS Gothic" w:hint="eastAsia"/>
                    <w:sz w:val="24"/>
                  </w:rPr>
                  <w:t>☒</w:t>
                </w:r>
              </w:sdtContent>
            </w:sdt>
            <w:r w:rsidR="00B13D65" w:rsidRPr="006C4813">
              <w:t xml:space="preserve"> 32.2. </w:t>
            </w:r>
            <w:r w:rsidR="00B00959" w:rsidRPr="006C4813">
              <w:t xml:space="preserve">yra </w:t>
            </w:r>
            <w:r w:rsidR="00B13D65" w:rsidRPr="006C4813">
              <w:t>įvertintas kaip pagrindžiantis nesiskiriančios naudos pacientų sveikatai sukūrimą, lyginant su įprasta klinikine praktika</w:t>
            </w:r>
          </w:p>
          <w:p w14:paraId="287AD233"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5224" w:type="dxa"/>
          </w:tcPr>
          <w:p w14:paraId="74A2DECF" w14:textId="6CE78A9A" w:rsidR="00662983" w:rsidRPr="006C4813" w:rsidRDefault="00F14FE1"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6C4813">
                  <w:rPr>
                    <w:rStyle w:val="Style2"/>
                    <w:rFonts w:ascii="Segoe UI Symbol" w:eastAsia="MS Gothic" w:hAnsi="Segoe UI Symbol" w:cs="Segoe UI Symbol"/>
                    <w:sz w:val="24"/>
                  </w:rPr>
                  <w:t>☐</w:t>
                </w:r>
              </w:sdtContent>
            </w:sdt>
            <w:r w:rsidR="00B13D65" w:rsidRPr="006C4813">
              <w:t xml:space="preserve"> 33.1. yra įvertintas kaip nepagrindžiantis papildomos </w:t>
            </w:r>
            <w:r w:rsidR="00662983" w:rsidRPr="006C4813">
              <w:t>naudos pacientų sveikatai sukūrimo, lyginant su</w:t>
            </w:r>
            <w:r w:rsidR="00122E01" w:rsidRPr="006C4813">
              <w:t xml:space="preserve"> </w:t>
            </w:r>
            <w:r w:rsidR="00662983" w:rsidRPr="006C4813">
              <w:t>įprasta klinikine praktika</w:t>
            </w:r>
          </w:p>
          <w:p w14:paraId="6C70BCFC" w14:textId="77777777" w:rsidR="00662983" w:rsidRPr="006C4813" w:rsidRDefault="00662983" w:rsidP="00BD1E5A">
            <w:pPr>
              <w:jc w:val="both"/>
            </w:pPr>
          </w:p>
          <w:p w14:paraId="0ADEC30D" w14:textId="7970ABA3" w:rsidR="00B13D65" w:rsidRPr="006C4813" w:rsidRDefault="00F14FE1"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6C4813">
                  <w:rPr>
                    <w:rStyle w:val="Style2"/>
                    <w:rFonts w:ascii="Segoe UI Symbol" w:eastAsia="MS Gothic" w:hAnsi="Segoe UI Symbol" w:cs="Segoe UI Symbol"/>
                    <w:sz w:val="24"/>
                  </w:rPr>
                  <w:t>☐</w:t>
                </w:r>
              </w:sdtContent>
            </w:sdt>
            <w:r w:rsidR="00B13D65" w:rsidRPr="006C4813">
              <w:t xml:space="preserve"> </w:t>
            </w:r>
            <w:r w:rsidR="00662983" w:rsidRPr="006C4813">
              <w:t xml:space="preserve">33.1. </w:t>
            </w:r>
            <w:r w:rsidR="00B00959" w:rsidRPr="006C4813">
              <w:t xml:space="preserve">yra įvertintas kaip nepagrindžiantis </w:t>
            </w:r>
            <w:r w:rsidR="00B13D65" w:rsidRPr="006C4813">
              <w:t>nesiskiriančios naudos pacientų sveikatai sukūrimo, lyginant su įprasta klinikine praktika</w:t>
            </w:r>
          </w:p>
          <w:p w14:paraId="1EED7901"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6C481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7C48B8" w:rsidRPr="006C4813" w14:paraId="6FAC286A" w14:textId="77777777" w:rsidTr="007C48B8">
        <w:trPr>
          <w:trHeight w:val="359"/>
        </w:trPr>
        <w:tc>
          <w:tcPr>
            <w:tcW w:w="9629" w:type="dxa"/>
            <w:gridSpan w:val="2"/>
            <w:vAlign w:val="center"/>
          </w:tcPr>
          <w:p w14:paraId="0CC1537A" w14:textId="072B753C" w:rsidR="007C48B8" w:rsidRPr="007C48B8" w:rsidRDefault="007C48B8" w:rsidP="007C48B8">
            <w:pPr>
              <w:jc w:val="center"/>
              <w:rPr>
                <w:rStyle w:val="Style2"/>
                <w:b/>
                <w:bCs/>
                <w:sz w:val="24"/>
              </w:rPr>
            </w:pPr>
            <w:r w:rsidRPr="007C48B8">
              <w:rPr>
                <w:rStyle w:val="Style2"/>
                <w:b/>
                <w:bCs/>
                <w:sz w:val="24"/>
              </w:rPr>
              <w:t>Kaštų naudingumas</w:t>
            </w:r>
          </w:p>
        </w:tc>
      </w:tr>
      <w:tr w:rsidR="007C48B8" w:rsidRPr="00D05364" w14:paraId="2DAC597C" w14:textId="77777777" w:rsidTr="007C48B8">
        <w:tc>
          <w:tcPr>
            <w:tcW w:w="4405" w:type="dxa"/>
          </w:tcPr>
          <w:p w14:paraId="3B5BEAD5" w14:textId="62E7417A" w:rsidR="007C48B8" w:rsidRPr="00D05364" w:rsidRDefault="00F14FE1"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EndPr>
                <w:rPr>
                  <w:rStyle w:val="Style2"/>
                </w:rPr>
              </w:sdtEndPr>
              <w:sdtContent>
                <w:r w:rsidR="007C48B8" w:rsidRPr="00D05364">
                  <w:rPr>
                    <w:rStyle w:val="Style2"/>
                    <w:rFonts w:ascii="MS Gothic" w:eastAsia="MS Gothic" w:hAnsi="MS Gothic"/>
                  </w:rPr>
                  <w:t>☐</w:t>
                </w:r>
              </w:sdtContent>
            </w:sdt>
            <w:r w:rsidR="007C48B8" w:rsidRPr="00D05364">
              <w:t xml:space="preserve"> 32.3. atitinka referencinę naudingumo vertę</w:t>
            </w:r>
          </w:p>
          <w:p w14:paraId="504CBEA3" w14:textId="77777777" w:rsidR="007C48B8" w:rsidRPr="00D05364" w:rsidRDefault="007C48B8"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3A5FDD" w14:textId="5E03D703" w:rsidR="007C48B8" w:rsidRPr="00D05364" w:rsidRDefault="00F14FE1"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1"/>
                  <w14:checkedState w14:val="2612" w14:font="MS Gothic"/>
                  <w14:uncheckedState w14:val="2610" w14:font="MS Gothic"/>
                </w14:checkbox>
              </w:sdtPr>
              <w:sdtEndPr>
                <w:rPr>
                  <w:rStyle w:val="Style2"/>
                </w:rPr>
              </w:sdtEndPr>
              <w:sdtContent>
                <w:r w:rsidR="007C48B8">
                  <w:rPr>
                    <w:rStyle w:val="Style2"/>
                    <w:rFonts w:ascii="MS Gothic" w:eastAsia="MS Gothic" w:hAnsi="MS Gothic" w:hint="eastAsia"/>
                  </w:rPr>
                  <w:t>☒</w:t>
                </w:r>
              </w:sdtContent>
            </w:sdt>
            <w:r w:rsidR="007C48B8" w:rsidRPr="00D05364">
              <w:t xml:space="preserve"> 32.3. gydymo juo kaštai yra mažesni ar tokie patys esant iš esmės nesiskiriančiam palyginamajam efektyvumui, taikant PGS, lyginant su įprasta klinikine praktika</w:t>
            </w:r>
          </w:p>
          <w:p w14:paraId="797C634B" w14:textId="77777777" w:rsidR="007C48B8" w:rsidRPr="00D05364" w:rsidRDefault="007C48B8"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5220" w:type="dxa"/>
          </w:tcPr>
          <w:p w14:paraId="33FA356C" w14:textId="1D0FC4A2" w:rsidR="007C48B8" w:rsidRPr="00D05364" w:rsidRDefault="00F14FE1"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EndPr>
                <w:rPr>
                  <w:rStyle w:val="Style2"/>
                </w:rPr>
              </w:sdtEndPr>
              <w:sdtContent>
                <w:r w:rsidR="007C48B8" w:rsidRPr="00D05364">
                  <w:rPr>
                    <w:rStyle w:val="Style2"/>
                    <w:rFonts w:ascii="Segoe UI Symbol" w:eastAsia="MS Gothic" w:hAnsi="Segoe UI Symbol" w:cs="Segoe UI Symbol"/>
                  </w:rPr>
                  <w:t>☐</w:t>
                </w:r>
              </w:sdtContent>
            </w:sdt>
            <w:r w:rsidR="007C48B8" w:rsidRPr="00D05364">
              <w:t xml:space="preserve"> 33.3. neatitinka referencinės naudingumo vertės Lietuvos Respublikoje</w:t>
            </w:r>
          </w:p>
          <w:p w14:paraId="20E04FC5" w14:textId="77777777" w:rsidR="007C48B8" w:rsidRPr="00D05364" w:rsidRDefault="007C48B8"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86102BF" w14:textId="54EE4168" w:rsidR="007C48B8" w:rsidRPr="00D05364" w:rsidRDefault="00F14FE1"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EndPr>
                <w:rPr>
                  <w:rStyle w:val="Style2"/>
                </w:rPr>
              </w:sdtEndPr>
              <w:sdtContent>
                <w:r w:rsidR="007C48B8">
                  <w:rPr>
                    <w:rStyle w:val="Style2"/>
                    <w:rFonts w:ascii="MS Gothic" w:eastAsia="MS Gothic" w:hAnsi="MS Gothic" w:hint="eastAsia"/>
                  </w:rPr>
                  <w:t>☐</w:t>
                </w:r>
              </w:sdtContent>
            </w:sdt>
            <w:r w:rsidR="007C48B8" w:rsidRPr="00D05364">
              <w:t xml:space="preserve"> 33.3. gydymo juo kaštai yra didesni esant iš esmės nesiskiriančiam palyginamajam efektyvumui</w:t>
            </w:r>
            <w:r w:rsidR="007C48B8">
              <w:t xml:space="preserve"> </w:t>
            </w:r>
            <w:r w:rsidR="007C48B8" w:rsidRPr="00D05364">
              <w:t>lyginant su įprasta klinikine praktika</w:t>
            </w:r>
          </w:p>
          <w:p w14:paraId="1CB32C7C" w14:textId="77777777" w:rsidR="007C48B8" w:rsidRPr="00D05364" w:rsidRDefault="007C48B8"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20BE5562" w14:textId="23A2F304" w:rsidR="007C48B8" w:rsidRPr="00D05364" w:rsidRDefault="00F14FE1"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0"/>
                  <w14:checkedState w14:val="2612" w14:font="MS Gothic"/>
                  <w14:uncheckedState w14:val="2610" w14:font="MS Gothic"/>
                </w14:checkbox>
              </w:sdtPr>
              <w:sdtEndPr>
                <w:rPr>
                  <w:rStyle w:val="Style2"/>
                </w:rPr>
              </w:sdtEndPr>
              <w:sdtContent>
                <w:r w:rsidR="007C48B8" w:rsidRPr="00D05364">
                  <w:rPr>
                    <w:rStyle w:val="Style2"/>
                    <w:rFonts w:ascii="Segoe UI Symbol" w:eastAsia="MS Gothic" w:hAnsi="Segoe UI Symbol" w:cs="Segoe UI Symbol"/>
                  </w:rPr>
                  <w:t>☐</w:t>
                </w:r>
              </w:sdtContent>
            </w:sdt>
            <w:r w:rsidR="007C48B8" w:rsidRPr="00D05364">
              <w:t xml:space="preserve"> 33.3. pateikti duomenys apie kaštų naudingumą yra netinkami vertinti</w:t>
            </w:r>
          </w:p>
          <w:p w14:paraId="40DE5D41" w14:textId="77777777" w:rsidR="007C48B8" w:rsidRPr="00D05364" w:rsidRDefault="007C48B8" w:rsidP="0005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0E0954DB" w14:textId="11F994AD" w:rsidR="004C7EAD" w:rsidRDefault="004C7EAD" w:rsidP="00381024"/>
    <w:p w14:paraId="2EC96AC5" w14:textId="77777777" w:rsidR="00052634" w:rsidRPr="006C7458" w:rsidRDefault="00052634" w:rsidP="00381024"/>
    <w:p w14:paraId="3B2D1F25" w14:textId="3A80E19F" w:rsidR="000001B0" w:rsidRPr="006C7458" w:rsidRDefault="000001B0" w:rsidP="00CC09D4">
      <w:pPr>
        <w:pStyle w:val="Sraopastraipa"/>
        <w:numPr>
          <w:ilvl w:val="0"/>
          <w:numId w:val="12"/>
        </w:numPr>
        <w:ind w:left="567" w:hanging="567"/>
      </w:pPr>
      <w:r w:rsidRPr="006C7458">
        <w:rPr>
          <w:b/>
        </w:rPr>
        <w:t>REKOME</w:t>
      </w:r>
      <w:r w:rsidR="00D83182" w:rsidRPr="006C7458">
        <w:rPr>
          <w:b/>
        </w:rPr>
        <w:t>N</w:t>
      </w:r>
      <w:r w:rsidRPr="006C7458">
        <w:rPr>
          <w:b/>
        </w:rPr>
        <w:t>DACIJA</w:t>
      </w:r>
    </w:p>
    <w:p w14:paraId="54A39A0C" w14:textId="1AC238A3" w:rsidR="004F3B2B" w:rsidRPr="00B62292" w:rsidRDefault="004F3B2B" w:rsidP="004F3B2B">
      <w:pPr>
        <w:rPr>
          <w:i/>
          <w:highlight w:val="yellow"/>
        </w:rPr>
      </w:pPr>
    </w:p>
    <w:p w14:paraId="4E7454EF" w14:textId="39A29DE8" w:rsidR="00DF1781" w:rsidRDefault="009504A9" w:rsidP="009504A9">
      <w:pPr>
        <w:spacing w:line="360" w:lineRule="auto"/>
        <w:ind w:firstLine="567"/>
        <w:jc w:val="both"/>
      </w:pPr>
      <w:r w:rsidRPr="009504A9">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34.3, rekomenduojama </w:t>
      </w:r>
      <w:r w:rsidRPr="00A1438F">
        <w:rPr>
          <w:i/>
        </w:rPr>
        <w:t>kompensuoti</w:t>
      </w:r>
      <w:r w:rsidRPr="009504A9">
        <w:t xml:space="preserve"> vaistinį preparatą pagal paraiškoje nurodytą indikaciją be skyrimo sąlygų, taikant PGS, dėl iš esmės nesiskiriančio gydymo efektyvumo ir sukuriamos naudos pacientų sveikatai, lyginant su įprasta klinikine praktika, ir dėl mažesnių gydymo kaštų dydžio (kaštų minimizavimas).</w:t>
      </w:r>
    </w:p>
    <w:p w14:paraId="71B6F002" w14:textId="77777777" w:rsidR="007C48B8" w:rsidRDefault="007C48B8" w:rsidP="006C1089">
      <w:pPr>
        <w:spacing w:line="360" w:lineRule="auto"/>
        <w:jc w:val="both"/>
      </w:pPr>
    </w:p>
    <w:p w14:paraId="021753DA" w14:textId="77777777" w:rsidR="009504A9" w:rsidRPr="006C1089" w:rsidRDefault="009504A9" w:rsidP="006C1089">
      <w:pPr>
        <w:spacing w:line="360" w:lineRule="auto"/>
        <w:jc w:val="both"/>
      </w:pPr>
    </w:p>
    <w:p w14:paraId="691340BB" w14:textId="02746EE9" w:rsidR="000723FF" w:rsidRPr="00CF1F44" w:rsidRDefault="009504A9" w:rsidP="007C48B8">
      <w:pPr>
        <w:tabs>
          <w:tab w:val="left" w:pos="567"/>
        </w:tabs>
        <w:spacing w:line="360" w:lineRule="auto"/>
        <w:ind w:left="567" w:hanging="567"/>
        <w:jc w:val="both"/>
        <w:rPr>
          <w:b/>
          <w:color w:val="000000"/>
          <w:lang w:eastAsia="lt-LT"/>
        </w:rPr>
      </w:pPr>
      <w:r>
        <w:rPr>
          <w:b/>
          <w:color w:val="000000"/>
          <w:lang w:eastAsia="lt-LT"/>
        </w:rPr>
        <w:t>7</w:t>
      </w:r>
      <w:r w:rsidR="00CC09D4" w:rsidRPr="00CF1F44">
        <w:rPr>
          <w:b/>
          <w:color w:val="000000"/>
          <w:lang w:eastAsia="lt-LT"/>
        </w:rPr>
        <w:t>.</w:t>
      </w:r>
      <w:r w:rsidR="00CC09D4" w:rsidRPr="00CF1F44">
        <w:rPr>
          <w:b/>
          <w:color w:val="000000"/>
          <w:lang w:eastAsia="lt-LT"/>
        </w:rPr>
        <w:tab/>
      </w:r>
      <w:r w:rsidR="000723FF" w:rsidRPr="00CF1F44">
        <w:rPr>
          <w:b/>
          <w:color w:val="000000"/>
          <w:lang w:eastAsia="lt-LT"/>
        </w:rPr>
        <w:t xml:space="preserve">SIŪLOMOS KOMPENSUOTI TERAPINĖS INDIKACIJOS IR SKYRIMO SĄLYGOS </w:t>
      </w:r>
    </w:p>
    <w:p w14:paraId="529C92C4" w14:textId="152E5FB4" w:rsidR="000723FF" w:rsidRPr="00CF1F44" w:rsidRDefault="000723FF" w:rsidP="00BC33C5">
      <w:pPr>
        <w:spacing w:line="360" w:lineRule="auto"/>
        <w:outlineLvl w:val="0"/>
        <w:rPr>
          <w:b/>
          <w:lang w:eastAsia="lt-LT"/>
        </w:rPr>
      </w:pPr>
      <w:r w:rsidRPr="00CF1F44">
        <w:rPr>
          <w:b/>
          <w:lang w:eastAsia="lt-LT"/>
        </w:rPr>
        <w:t>Terapinės indikacijos</w:t>
      </w:r>
    </w:p>
    <w:p w14:paraId="2A7FC621" w14:textId="20F8C6D4" w:rsidR="008358C8" w:rsidRPr="008A47A5" w:rsidRDefault="00F14FE1" w:rsidP="008358C8">
      <w:pPr>
        <w:pStyle w:val="Betarp"/>
        <w:spacing w:line="360" w:lineRule="auto"/>
        <w:rPr>
          <w:rFonts w:ascii="Times New Roman" w:hAnsi="Times New Roman"/>
          <w:sz w:val="24"/>
          <w:szCs w:val="24"/>
        </w:rPr>
      </w:pPr>
      <w:sdt>
        <w:sdtPr>
          <w:rPr>
            <w:rStyle w:val="Style2"/>
            <w:rFonts w:ascii="Times New Roman" w:hAnsi="Times New Roman"/>
            <w:sz w:val="24"/>
            <w:szCs w:val="24"/>
          </w:rPr>
          <w:id w:val="1146316688"/>
        </w:sdtPr>
        <w:sdtEndPr>
          <w:rPr>
            <w:rStyle w:val="Style2"/>
          </w:rPr>
        </w:sdtEndPr>
        <w:sdtContent>
          <w:r w:rsidR="008358C8" w:rsidRPr="008A47A5">
            <w:rPr>
              <w:rStyle w:val="Style2"/>
              <w:rFonts w:ascii="MS Mincho" w:eastAsia="MS Mincho" w:hAnsi="MS Mincho" w:cs="MS Mincho"/>
              <w:sz w:val="24"/>
              <w:szCs w:val="24"/>
            </w:rPr>
            <w:t>☒</w:t>
          </w:r>
        </w:sdtContent>
      </w:sdt>
      <w:r w:rsidR="008358C8" w:rsidRPr="008A47A5">
        <w:rPr>
          <w:rFonts w:ascii="Times New Roman" w:hAnsi="Times New Roman"/>
          <w:sz w:val="24"/>
          <w:szCs w:val="24"/>
        </w:rPr>
        <w:t xml:space="preserve"> Siūloma kompensuoti Pareiškėjo teikiamą indikaciją be pakeitimų.</w:t>
      </w:r>
    </w:p>
    <w:p w14:paraId="02E0AD18" w14:textId="0082EF01" w:rsidR="008358C8" w:rsidRDefault="008358C8" w:rsidP="008358C8">
      <w:pPr>
        <w:pStyle w:val="Betarp"/>
        <w:spacing w:line="360" w:lineRule="auto"/>
        <w:rPr>
          <w:rStyle w:val="Style2"/>
          <w:rFonts w:ascii="Times New Roman" w:hAnsi="Times New Roman"/>
          <w:sz w:val="24"/>
          <w:szCs w:val="24"/>
        </w:rPr>
      </w:pPr>
      <w:proofErr w:type="spellStart"/>
      <w:r w:rsidRPr="008A47A5">
        <w:rPr>
          <w:rStyle w:val="Style2"/>
          <w:rFonts w:ascii="Times New Roman" w:hAnsi="Times New Roman"/>
          <w:sz w:val="24"/>
          <w:szCs w:val="24"/>
        </w:rPr>
        <w:t>Epclusa</w:t>
      </w:r>
      <w:proofErr w:type="spellEnd"/>
      <w:r w:rsidRPr="008A47A5">
        <w:rPr>
          <w:rStyle w:val="Style2"/>
          <w:rFonts w:ascii="Times New Roman" w:hAnsi="Times New Roman"/>
          <w:sz w:val="24"/>
          <w:szCs w:val="24"/>
        </w:rPr>
        <w:t xml:space="preserve"> skirtas 6 metų ir vyresniems bei sveriantiems mažiausiai 17 kg pacientams lėtinio hepatito C viruso (HCV) infekcijai gydyti.</w:t>
      </w:r>
    </w:p>
    <w:p w14:paraId="005D21AD" w14:textId="14487DBD" w:rsidR="008358C8" w:rsidRPr="008A47A5" w:rsidRDefault="00F14FE1" w:rsidP="008358C8">
      <w:pPr>
        <w:pStyle w:val="Betarp"/>
        <w:spacing w:line="360" w:lineRule="auto"/>
        <w:rPr>
          <w:rFonts w:ascii="Times New Roman" w:hAnsi="Times New Roman"/>
          <w:sz w:val="24"/>
          <w:szCs w:val="24"/>
        </w:rPr>
      </w:pPr>
      <w:sdt>
        <w:sdtPr>
          <w:rPr>
            <w:rStyle w:val="Style2"/>
            <w:rFonts w:ascii="Times New Roman" w:hAnsi="Times New Roman"/>
            <w:sz w:val="24"/>
            <w:szCs w:val="24"/>
          </w:rPr>
          <w:id w:val="1467245146"/>
        </w:sdtPr>
        <w:sdtEndPr>
          <w:rPr>
            <w:rStyle w:val="Style2"/>
          </w:rPr>
        </w:sdtEndPr>
        <w:sdtContent>
          <w:r w:rsidR="008358C8" w:rsidRPr="008A47A5">
            <w:rPr>
              <w:rStyle w:val="Style2"/>
              <w:rFonts w:ascii="MS Mincho" w:eastAsia="MS Mincho" w:hAnsi="MS Mincho" w:cs="MS Mincho"/>
              <w:sz w:val="24"/>
              <w:szCs w:val="24"/>
            </w:rPr>
            <w:t>☐</w:t>
          </w:r>
        </w:sdtContent>
      </w:sdt>
      <w:r w:rsidR="008358C8" w:rsidRPr="008A47A5">
        <w:rPr>
          <w:rFonts w:ascii="Times New Roman" w:hAnsi="Times New Roman"/>
          <w:sz w:val="24"/>
          <w:szCs w:val="24"/>
        </w:rPr>
        <w:t xml:space="preserve"> Siūloma kompensuoti Pareiškėjo teikiamą indikaciją su pakeitimais.</w:t>
      </w:r>
    </w:p>
    <w:p w14:paraId="0FE1A6EB" w14:textId="77777777" w:rsidR="008358C8" w:rsidRPr="008E4F16" w:rsidRDefault="008358C8" w:rsidP="008358C8">
      <w:pPr>
        <w:pStyle w:val="Betarp"/>
        <w:spacing w:line="360" w:lineRule="auto"/>
        <w:rPr>
          <w:rFonts w:ascii="Times New Roman" w:hAnsi="Times New Roman"/>
          <w:sz w:val="24"/>
          <w:szCs w:val="24"/>
          <w:highlight w:val="yellow"/>
        </w:rPr>
      </w:pPr>
    </w:p>
    <w:p w14:paraId="5ECD5144" w14:textId="16B6A995" w:rsidR="008358C8" w:rsidRDefault="008358C8" w:rsidP="008358C8">
      <w:pPr>
        <w:pStyle w:val="Betarp"/>
        <w:spacing w:line="360" w:lineRule="auto"/>
        <w:rPr>
          <w:rFonts w:ascii="Times New Roman" w:hAnsi="Times New Roman"/>
          <w:b/>
          <w:sz w:val="24"/>
          <w:szCs w:val="24"/>
        </w:rPr>
      </w:pPr>
      <w:r w:rsidRPr="008E4F16">
        <w:rPr>
          <w:rFonts w:ascii="Times New Roman" w:hAnsi="Times New Roman"/>
          <w:b/>
          <w:sz w:val="24"/>
          <w:szCs w:val="24"/>
        </w:rPr>
        <w:t>Skyrimo sąlygos</w:t>
      </w:r>
    </w:p>
    <w:p w14:paraId="78947957" w14:textId="337C9C5C" w:rsidR="00A1438F" w:rsidRPr="00A1438F" w:rsidRDefault="00A1438F" w:rsidP="008358C8">
      <w:pPr>
        <w:pStyle w:val="Betarp"/>
        <w:spacing w:line="360" w:lineRule="auto"/>
        <w:rPr>
          <w:rFonts w:ascii="Times New Roman" w:hAnsi="Times New Roman"/>
          <w:sz w:val="24"/>
          <w:szCs w:val="24"/>
        </w:rPr>
      </w:pPr>
      <w:r w:rsidRPr="00A1438F">
        <w:rPr>
          <w:rFonts w:ascii="Times New Roman" w:hAnsi="Times New Roman"/>
          <w:sz w:val="24"/>
          <w:szCs w:val="24"/>
        </w:rPr>
        <w:t>Neteikiama.</w:t>
      </w:r>
    </w:p>
    <w:sectPr w:rsidR="00A1438F" w:rsidRPr="00A1438F" w:rsidSect="005D30E1">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74335" w14:textId="77777777" w:rsidR="00F14FE1" w:rsidRDefault="00F14FE1">
      <w:r>
        <w:separator/>
      </w:r>
    </w:p>
  </w:endnote>
  <w:endnote w:type="continuationSeparator" w:id="0">
    <w:p w14:paraId="2BE36A28" w14:textId="77777777" w:rsidR="00F14FE1" w:rsidRDefault="00F1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8856" w14:textId="77777777" w:rsidR="00B26AF6" w:rsidRDefault="00B26A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359C" w14:textId="77777777" w:rsidR="00B80666" w:rsidRDefault="00B806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309F66E" w:rsidR="00347FAA" w:rsidRDefault="00122E01">
    <w:pPr>
      <w:pStyle w:val="Porat"/>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0F9FD" w14:textId="77777777" w:rsidR="00F14FE1" w:rsidRDefault="00F14FE1">
      <w:r>
        <w:separator/>
      </w:r>
    </w:p>
  </w:footnote>
  <w:footnote w:type="continuationSeparator" w:id="0">
    <w:p w14:paraId="71F26692" w14:textId="77777777" w:rsidR="00F14FE1" w:rsidRDefault="00F1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DB01" w14:textId="78DB7DDC" w:rsidR="00347FAA" w:rsidRDefault="00122E01">
    <w:pPr>
      <w:pStyle w:val="Antrats"/>
    </w:pPr>
    <w:r>
      <w:rPr>
        <w:rStyle w:val="Puslapionumeri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872E" w14:textId="1778616D" w:rsidR="00347FAA" w:rsidRDefault="00122E01">
    <w:pPr>
      <w:pStyle w:val="Antrats"/>
    </w:pPr>
    <w:r>
      <w:rPr>
        <w:rStyle w:val="Puslapionumeri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003E59DC" w:rsidR="00347FAA" w:rsidRDefault="00122E01" w:rsidP="00FD793C">
    <w:pPr>
      <w:pStyle w:val="Antrats"/>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D21F9"/>
    <w:multiLevelType w:val="hybridMultilevel"/>
    <w:tmpl w:val="252678CC"/>
    <w:lvl w:ilvl="0" w:tplc="5FFCE39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A380FD3"/>
    <w:multiLevelType w:val="hybridMultilevel"/>
    <w:tmpl w:val="A1DC2302"/>
    <w:lvl w:ilvl="0" w:tplc="B2ECA4B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5"/>
  </w:num>
  <w:num w:numId="7">
    <w:abstractNumId w:val="3"/>
  </w:num>
  <w:num w:numId="8">
    <w:abstractNumId w:val="15"/>
  </w:num>
  <w:num w:numId="9">
    <w:abstractNumId w:val="0"/>
  </w:num>
  <w:num w:numId="10">
    <w:abstractNumId w:val="12"/>
  </w:num>
  <w:num w:numId="11">
    <w:abstractNumId w:val="14"/>
  </w:num>
  <w:num w:numId="12">
    <w:abstractNumId w:val="2"/>
  </w:num>
  <w:num w:numId="13">
    <w:abstractNumId w:val="16"/>
  </w:num>
  <w:num w:numId="14">
    <w:abstractNumId w:val="18"/>
  </w:num>
  <w:num w:numId="15">
    <w:abstractNumId w:val="4"/>
  </w:num>
  <w:num w:numId="16">
    <w:abstractNumId w:val="8"/>
  </w:num>
  <w:num w:numId="17">
    <w:abstractNumId w:val="10"/>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06FB"/>
    <w:rsid w:val="00003F5B"/>
    <w:rsid w:val="000114DD"/>
    <w:rsid w:val="000136F7"/>
    <w:rsid w:val="0002686C"/>
    <w:rsid w:val="00031D0E"/>
    <w:rsid w:val="000337E6"/>
    <w:rsid w:val="00033E81"/>
    <w:rsid w:val="0003402E"/>
    <w:rsid w:val="00034EAE"/>
    <w:rsid w:val="00042924"/>
    <w:rsid w:val="00052634"/>
    <w:rsid w:val="00053975"/>
    <w:rsid w:val="00057A2B"/>
    <w:rsid w:val="000606BE"/>
    <w:rsid w:val="000723FF"/>
    <w:rsid w:val="000729E0"/>
    <w:rsid w:val="000736B8"/>
    <w:rsid w:val="00080362"/>
    <w:rsid w:val="00080DF4"/>
    <w:rsid w:val="0008190F"/>
    <w:rsid w:val="00081D77"/>
    <w:rsid w:val="00081D9C"/>
    <w:rsid w:val="00082907"/>
    <w:rsid w:val="0008378D"/>
    <w:rsid w:val="00084EC2"/>
    <w:rsid w:val="000904CE"/>
    <w:rsid w:val="000908A5"/>
    <w:rsid w:val="00092805"/>
    <w:rsid w:val="000A00FE"/>
    <w:rsid w:val="000A189D"/>
    <w:rsid w:val="000B4042"/>
    <w:rsid w:val="000C454C"/>
    <w:rsid w:val="000C5F5C"/>
    <w:rsid w:val="000D2FBE"/>
    <w:rsid w:val="000D5038"/>
    <w:rsid w:val="000D5171"/>
    <w:rsid w:val="000E143B"/>
    <w:rsid w:val="000E29D4"/>
    <w:rsid w:val="000E43C6"/>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369C"/>
    <w:rsid w:val="00175D57"/>
    <w:rsid w:val="00180C39"/>
    <w:rsid w:val="00180D51"/>
    <w:rsid w:val="00180D96"/>
    <w:rsid w:val="0018388A"/>
    <w:rsid w:val="00184BD3"/>
    <w:rsid w:val="001921F3"/>
    <w:rsid w:val="001B2535"/>
    <w:rsid w:val="001B3C5B"/>
    <w:rsid w:val="001B45CD"/>
    <w:rsid w:val="001C70A0"/>
    <w:rsid w:val="001D746F"/>
    <w:rsid w:val="001E0533"/>
    <w:rsid w:val="001E4BBB"/>
    <w:rsid w:val="001E6304"/>
    <w:rsid w:val="001F7919"/>
    <w:rsid w:val="002015BA"/>
    <w:rsid w:val="0020381E"/>
    <w:rsid w:val="00213471"/>
    <w:rsid w:val="00215906"/>
    <w:rsid w:val="0023073E"/>
    <w:rsid w:val="00230A64"/>
    <w:rsid w:val="00233D56"/>
    <w:rsid w:val="00241CD8"/>
    <w:rsid w:val="00244B09"/>
    <w:rsid w:val="002503D0"/>
    <w:rsid w:val="002519CB"/>
    <w:rsid w:val="0025697F"/>
    <w:rsid w:val="00260258"/>
    <w:rsid w:val="0026588E"/>
    <w:rsid w:val="00272428"/>
    <w:rsid w:val="00272948"/>
    <w:rsid w:val="002801C3"/>
    <w:rsid w:val="00281671"/>
    <w:rsid w:val="0028297D"/>
    <w:rsid w:val="00283F59"/>
    <w:rsid w:val="002908C1"/>
    <w:rsid w:val="00292392"/>
    <w:rsid w:val="002946C7"/>
    <w:rsid w:val="00294F05"/>
    <w:rsid w:val="00295C14"/>
    <w:rsid w:val="002A3179"/>
    <w:rsid w:val="002B3CC1"/>
    <w:rsid w:val="002C09E0"/>
    <w:rsid w:val="002C1BB1"/>
    <w:rsid w:val="002C1C4B"/>
    <w:rsid w:val="002C2786"/>
    <w:rsid w:val="002C3A10"/>
    <w:rsid w:val="002C4A90"/>
    <w:rsid w:val="002C4ED5"/>
    <w:rsid w:val="002C7E40"/>
    <w:rsid w:val="002D02EF"/>
    <w:rsid w:val="002D35E2"/>
    <w:rsid w:val="002D3CDB"/>
    <w:rsid w:val="002E0702"/>
    <w:rsid w:val="002E11BC"/>
    <w:rsid w:val="002E57AD"/>
    <w:rsid w:val="002E6F80"/>
    <w:rsid w:val="002F0E4F"/>
    <w:rsid w:val="002F1053"/>
    <w:rsid w:val="002F4171"/>
    <w:rsid w:val="0030593C"/>
    <w:rsid w:val="00316FA8"/>
    <w:rsid w:val="00317B0E"/>
    <w:rsid w:val="0032209C"/>
    <w:rsid w:val="00345069"/>
    <w:rsid w:val="00347FAA"/>
    <w:rsid w:val="0035172D"/>
    <w:rsid w:val="0036187D"/>
    <w:rsid w:val="00364CF9"/>
    <w:rsid w:val="003668C8"/>
    <w:rsid w:val="00367EDB"/>
    <w:rsid w:val="003738DB"/>
    <w:rsid w:val="00381024"/>
    <w:rsid w:val="00385909"/>
    <w:rsid w:val="00386307"/>
    <w:rsid w:val="003874DE"/>
    <w:rsid w:val="00393E9F"/>
    <w:rsid w:val="00394001"/>
    <w:rsid w:val="0039696E"/>
    <w:rsid w:val="003A3C5C"/>
    <w:rsid w:val="003A54A6"/>
    <w:rsid w:val="003B211A"/>
    <w:rsid w:val="003B6ADA"/>
    <w:rsid w:val="003C141F"/>
    <w:rsid w:val="003C6B0E"/>
    <w:rsid w:val="003C7257"/>
    <w:rsid w:val="003C7E35"/>
    <w:rsid w:val="003D1E99"/>
    <w:rsid w:val="003D6208"/>
    <w:rsid w:val="003D75AC"/>
    <w:rsid w:val="003F1CE4"/>
    <w:rsid w:val="003F2CE7"/>
    <w:rsid w:val="0040276D"/>
    <w:rsid w:val="00404E8A"/>
    <w:rsid w:val="0040622F"/>
    <w:rsid w:val="0040738D"/>
    <w:rsid w:val="00413D17"/>
    <w:rsid w:val="00413F24"/>
    <w:rsid w:val="00422853"/>
    <w:rsid w:val="00423160"/>
    <w:rsid w:val="00426F08"/>
    <w:rsid w:val="00427EFA"/>
    <w:rsid w:val="004341D8"/>
    <w:rsid w:val="004349BC"/>
    <w:rsid w:val="004429E2"/>
    <w:rsid w:val="004468B4"/>
    <w:rsid w:val="004532C0"/>
    <w:rsid w:val="00453862"/>
    <w:rsid w:val="0045469B"/>
    <w:rsid w:val="00456E4C"/>
    <w:rsid w:val="00461338"/>
    <w:rsid w:val="004677DB"/>
    <w:rsid w:val="00467F02"/>
    <w:rsid w:val="00476256"/>
    <w:rsid w:val="00481245"/>
    <w:rsid w:val="0048396B"/>
    <w:rsid w:val="0048630F"/>
    <w:rsid w:val="004947A1"/>
    <w:rsid w:val="0049482A"/>
    <w:rsid w:val="004979D3"/>
    <w:rsid w:val="004A00E7"/>
    <w:rsid w:val="004A3A61"/>
    <w:rsid w:val="004B3210"/>
    <w:rsid w:val="004B59BA"/>
    <w:rsid w:val="004B5A03"/>
    <w:rsid w:val="004C263A"/>
    <w:rsid w:val="004C7EAD"/>
    <w:rsid w:val="004D19E9"/>
    <w:rsid w:val="004D48A6"/>
    <w:rsid w:val="004D7B8F"/>
    <w:rsid w:val="004E05F8"/>
    <w:rsid w:val="004E59B7"/>
    <w:rsid w:val="004E6458"/>
    <w:rsid w:val="004E6E7D"/>
    <w:rsid w:val="004F1AAC"/>
    <w:rsid w:val="004F1AE2"/>
    <w:rsid w:val="004F34F0"/>
    <w:rsid w:val="004F3B2B"/>
    <w:rsid w:val="004F6050"/>
    <w:rsid w:val="005005EF"/>
    <w:rsid w:val="005015FA"/>
    <w:rsid w:val="00502124"/>
    <w:rsid w:val="005123C2"/>
    <w:rsid w:val="0052144B"/>
    <w:rsid w:val="00524066"/>
    <w:rsid w:val="00534E11"/>
    <w:rsid w:val="005378D8"/>
    <w:rsid w:val="005400D9"/>
    <w:rsid w:val="00540F5C"/>
    <w:rsid w:val="005476A4"/>
    <w:rsid w:val="0055019B"/>
    <w:rsid w:val="00552448"/>
    <w:rsid w:val="00556E63"/>
    <w:rsid w:val="005601A4"/>
    <w:rsid w:val="00563D64"/>
    <w:rsid w:val="00566DBB"/>
    <w:rsid w:val="005767DB"/>
    <w:rsid w:val="005815E6"/>
    <w:rsid w:val="0058712F"/>
    <w:rsid w:val="005968FC"/>
    <w:rsid w:val="005976CE"/>
    <w:rsid w:val="005A23D4"/>
    <w:rsid w:val="005A2D1E"/>
    <w:rsid w:val="005A4ACE"/>
    <w:rsid w:val="005B3756"/>
    <w:rsid w:val="005C2910"/>
    <w:rsid w:val="005C493F"/>
    <w:rsid w:val="005C6BF7"/>
    <w:rsid w:val="005C71BF"/>
    <w:rsid w:val="005D002C"/>
    <w:rsid w:val="005D30E1"/>
    <w:rsid w:val="005D6555"/>
    <w:rsid w:val="005D78E8"/>
    <w:rsid w:val="005D7BDF"/>
    <w:rsid w:val="005E4870"/>
    <w:rsid w:val="005F0C52"/>
    <w:rsid w:val="005F71D9"/>
    <w:rsid w:val="005F7602"/>
    <w:rsid w:val="00605EF6"/>
    <w:rsid w:val="006062BE"/>
    <w:rsid w:val="00613143"/>
    <w:rsid w:val="00613501"/>
    <w:rsid w:val="00613E60"/>
    <w:rsid w:val="0061611B"/>
    <w:rsid w:val="006166A8"/>
    <w:rsid w:val="006174A1"/>
    <w:rsid w:val="00621D6C"/>
    <w:rsid w:val="00623D7D"/>
    <w:rsid w:val="00633B49"/>
    <w:rsid w:val="0064265E"/>
    <w:rsid w:val="0064297F"/>
    <w:rsid w:val="00645102"/>
    <w:rsid w:val="00646CF3"/>
    <w:rsid w:val="00653D11"/>
    <w:rsid w:val="00662983"/>
    <w:rsid w:val="00662CBF"/>
    <w:rsid w:val="0066510D"/>
    <w:rsid w:val="006669FF"/>
    <w:rsid w:val="006834D3"/>
    <w:rsid w:val="00692625"/>
    <w:rsid w:val="00695CD3"/>
    <w:rsid w:val="006A38B6"/>
    <w:rsid w:val="006A4EA3"/>
    <w:rsid w:val="006A7B74"/>
    <w:rsid w:val="006B1987"/>
    <w:rsid w:val="006B2B86"/>
    <w:rsid w:val="006B5B71"/>
    <w:rsid w:val="006B6CB0"/>
    <w:rsid w:val="006C0296"/>
    <w:rsid w:val="006C1089"/>
    <w:rsid w:val="006C2B64"/>
    <w:rsid w:val="006C4813"/>
    <w:rsid w:val="006C7458"/>
    <w:rsid w:val="006D2BC9"/>
    <w:rsid w:val="006D4C85"/>
    <w:rsid w:val="006D66AC"/>
    <w:rsid w:val="006E33F6"/>
    <w:rsid w:val="006F1251"/>
    <w:rsid w:val="006F1C23"/>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2CF2"/>
    <w:rsid w:val="00757B7E"/>
    <w:rsid w:val="007656B2"/>
    <w:rsid w:val="0077016F"/>
    <w:rsid w:val="007713AD"/>
    <w:rsid w:val="007731C7"/>
    <w:rsid w:val="00787925"/>
    <w:rsid w:val="007910E2"/>
    <w:rsid w:val="0079424A"/>
    <w:rsid w:val="00795DC5"/>
    <w:rsid w:val="00797153"/>
    <w:rsid w:val="007A21F7"/>
    <w:rsid w:val="007A2B68"/>
    <w:rsid w:val="007B09CB"/>
    <w:rsid w:val="007B0DDA"/>
    <w:rsid w:val="007B4CAA"/>
    <w:rsid w:val="007C48B8"/>
    <w:rsid w:val="007D3347"/>
    <w:rsid w:val="007E31D4"/>
    <w:rsid w:val="007E3EF8"/>
    <w:rsid w:val="007E5466"/>
    <w:rsid w:val="007F1949"/>
    <w:rsid w:val="007F2592"/>
    <w:rsid w:val="007F44FB"/>
    <w:rsid w:val="007F79BE"/>
    <w:rsid w:val="00800A08"/>
    <w:rsid w:val="00804625"/>
    <w:rsid w:val="00813885"/>
    <w:rsid w:val="00815145"/>
    <w:rsid w:val="00817A84"/>
    <w:rsid w:val="008225A4"/>
    <w:rsid w:val="00824B92"/>
    <w:rsid w:val="00826C5A"/>
    <w:rsid w:val="00826D5E"/>
    <w:rsid w:val="00832013"/>
    <w:rsid w:val="00832DB7"/>
    <w:rsid w:val="00834732"/>
    <w:rsid w:val="008358C8"/>
    <w:rsid w:val="00841AC4"/>
    <w:rsid w:val="0085200C"/>
    <w:rsid w:val="00852DFB"/>
    <w:rsid w:val="0085670A"/>
    <w:rsid w:val="00857C52"/>
    <w:rsid w:val="00857F9B"/>
    <w:rsid w:val="00860D5F"/>
    <w:rsid w:val="00863FBB"/>
    <w:rsid w:val="008732D4"/>
    <w:rsid w:val="00880A44"/>
    <w:rsid w:val="0088345E"/>
    <w:rsid w:val="0088656F"/>
    <w:rsid w:val="0088667D"/>
    <w:rsid w:val="00890934"/>
    <w:rsid w:val="00891EF6"/>
    <w:rsid w:val="008A0303"/>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0F32"/>
    <w:rsid w:val="008F2ED5"/>
    <w:rsid w:val="00900626"/>
    <w:rsid w:val="0092297E"/>
    <w:rsid w:val="00923651"/>
    <w:rsid w:val="0092396E"/>
    <w:rsid w:val="00927B56"/>
    <w:rsid w:val="009341BF"/>
    <w:rsid w:val="009341F7"/>
    <w:rsid w:val="009352B3"/>
    <w:rsid w:val="00937907"/>
    <w:rsid w:val="00941739"/>
    <w:rsid w:val="0094602D"/>
    <w:rsid w:val="009504A9"/>
    <w:rsid w:val="00951573"/>
    <w:rsid w:val="00951853"/>
    <w:rsid w:val="00951DA6"/>
    <w:rsid w:val="00953044"/>
    <w:rsid w:val="00963003"/>
    <w:rsid w:val="00966EEF"/>
    <w:rsid w:val="00971B28"/>
    <w:rsid w:val="00983471"/>
    <w:rsid w:val="009909AB"/>
    <w:rsid w:val="009956F9"/>
    <w:rsid w:val="009B37DB"/>
    <w:rsid w:val="009C7A8C"/>
    <w:rsid w:val="009D23F9"/>
    <w:rsid w:val="009D4FA8"/>
    <w:rsid w:val="009E15E7"/>
    <w:rsid w:val="009E44AE"/>
    <w:rsid w:val="009E6CD6"/>
    <w:rsid w:val="009F4D66"/>
    <w:rsid w:val="00A00C3C"/>
    <w:rsid w:val="00A01091"/>
    <w:rsid w:val="00A042B9"/>
    <w:rsid w:val="00A06DBB"/>
    <w:rsid w:val="00A13E4E"/>
    <w:rsid w:val="00A1438F"/>
    <w:rsid w:val="00A22ADF"/>
    <w:rsid w:val="00A23219"/>
    <w:rsid w:val="00A31E86"/>
    <w:rsid w:val="00A32861"/>
    <w:rsid w:val="00A354FB"/>
    <w:rsid w:val="00A54054"/>
    <w:rsid w:val="00A54D87"/>
    <w:rsid w:val="00A5553C"/>
    <w:rsid w:val="00A600CE"/>
    <w:rsid w:val="00A701C9"/>
    <w:rsid w:val="00A7706B"/>
    <w:rsid w:val="00A776A1"/>
    <w:rsid w:val="00A81785"/>
    <w:rsid w:val="00A84803"/>
    <w:rsid w:val="00A84C51"/>
    <w:rsid w:val="00A86F2B"/>
    <w:rsid w:val="00A91366"/>
    <w:rsid w:val="00A92D3A"/>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1667C"/>
    <w:rsid w:val="00B21805"/>
    <w:rsid w:val="00B22CF3"/>
    <w:rsid w:val="00B2555C"/>
    <w:rsid w:val="00B26AF6"/>
    <w:rsid w:val="00B3072E"/>
    <w:rsid w:val="00B36E15"/>
    <w:rsid w:val="00B37245"/>
    <w:rsid w:val="00B4017A"/>
    <w:rsid w:val="00B4468D"/>
    <w:rsid w:val="00B4474D"/>
    <w:rsid w:val="00B62292"/>
    <w:rsid w:val="00B64ECE"/>
    <w:rsid w:val="00B65FB4"/>
    <w:rsid w:val="00B67617"/>
    <w:rsid w:val="00B71C72"/>
    <w:rsid w:val="00B80666"/>
    <w:rsid w:val="00B81E92"/>
    <w:rsid w:val="00B87E4F"/>
    <w:rsid w:val="00B908D7"/>
    <w:rsid w:val="00B91017"/>
    <w:rsid w:val="00B915AB"/>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1E6E"/>
    <w:rsid w:val="00BF2E0D"/>
    <w:rsid w:val="00BF3927"/>
    <w:rsid w:val="00BF3F8B"/>
    <w:rsid w:val="00BF4796"/>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7012C"/>
    <w:rsid w:val="00C712EA"/>
    <w:rsid w:val="00C72C7C"/>
    <w:rsid w:val="00C74CA8"/>
    <w:rsid w:val="00C82B21"/>
    <w:rsid w:val="00C86102"/>
    <w:rsid w:val="00CA217D"/>
    <w:rsid w:val="00CC09D4"/>
    <w:rsid w:val="00CC668D"/>
    <w:rsid w:val="00CC7832"/>
    <w:rsid w:val="00CD04D7"/>
    <w:rsid w:val="00CD17BE"/>
    <w:rsid w:val="00CD79B3"/>
    <w:rsid w:val="00CE0B78"/>
    <w:rsid w:val="00CE48C2"/>
    <w:rsid w:val="00CF0C1C"/>
    <w:rsid w:val="00CF1F44"/>
    <w:rsid w:val="00CF27FD"/>
    <w:rsid w:val="00CF5F12"/>
    <w:rsid w:val="00D001A6"/>
    <w:rsid w:val="00D00D8F"/>
    <w:rsid w:val="00D04B0B"/>
    <w:rsid w:val="00D04DB8"/>
    <w:rsid w:val="00D150D6"/>
    <w:rsid w:val="00D21F3A"/>
    <w:rsid w:val="00D23808"/>
    <w:rsid w:val="00D279C5"/>
    <w:rsid w:val="00D3016A"/>
    <w:rsid w:val="00D36DB8"/>
    <w:rsid w:val="00D417D2"/>
    <w:rsid w:val="00D42960"/>
    <w:rsid w:val="00D43BD7"/>
    <w:rsid w:val="00D4485B"/>
    <w:rsid w:val="00D46880"/>
    <w:rsid w:val="00D4708D"/>
    <w:rsid w:val="00D4744C"/>
    <w:rsid w:val="00D479FD"/>
    <w:rsid w:val="00D521DE"/>
    <w:rsid w:val="00D5470B"/>
    <w:rsid w:val="00D56378"/>
    <w:rsid w:val="00D63068"/>
    <w:rsid w:val="00D6498C"/>
    <w:rsid w:val="00D76A70"/>
    <w:rsid w:val="00D83182"/>
    <w:rsid w:val="00D8521E"/>
    <w:rsid w:val="00D853DC"/>
    <w:rsid w:val="00D9291C"/>
    <w:rsid w:val="00D93A97"/>
    <w:rsid w:val="00D93AEE"/>
    <w:rsid w:val="00DB1F64"/>
    <w:rsid w:val="00DC1CC4"/>
    <w:rsid w:val="00DC2F53"/>
    <w:rsid w:val="00DC5BAC"/>
    <w:rsid w:val="00DC6816"/>
    <w:rsid w:val="00DC76C2"/>
    <w:rsid w:val="00DD1CF2"/>
    <w:rsid w:val="00DD6246"/>
    <w:rsid w:val="00DE4484"/>
    <w:rsid w:val="00DE5072"/>
    <w:rsid w:val="00DF1781"/>
    <w:rsid w:val="00DF41B7"/>
    <w:rsid w:val="00DF4A4A"/>
    <w:rsid w:val="00DF583C"/>
    <w:rsid w:val="00E03C3F"/>
    <w:rsid w:val="00E06FD7"/>
    <w:rsid w:val="00E07417"/>
    <w:rsid w:val="00E116E2"/>
    <w:rsid w:val="00E24D45"/>
    <w:rsid w:val="00E33DB8"/>
    <w:rsid w:val="00E33EFF"/>
    <w:rsid w:val="00E34387"/>
    <w:rsid w:val="00E348BA"/>
    <w:rsid w:val="00E369FE"/>
    <w:rsid w:val="00E3762A"/>
    <w:rsid w:val="00E37C6F"/>
    <w:rsid w:val="00E449B7"/>
    <w:rsid w:val="00E473F2"/>
    <w:rsid w:val="00E475F8"/>
    <w:rsid w:val="00E50A15"/>
    <w:rsid w:val="00E5102E"/>
    <w:rsid w:val="00E519E5"/>
    <w:rsid w:val="00E54504"/>
    <w:rsid w:val="00E5721C"/>
    <w:rsid w:val="00E619C6"/>
    <w:rsid w:val="00E745A1"/>
    <w:rsid w:val="00E749B6"/>
    <w:rsid w:val="00E81529"/>
    <w:rsid w:val="00E83A13"/>
    <w:rsid w:val="00E908DE"/>
    <w:rsid w:val="00E90F6F"/>
    <w:rsid w:val="00E91A39"/>
    <w:rsid w:val="00E93E19"/>
    <w:rsid w:val="00EB0F54"/>
    <w:rsid w:val="00EB6FC5"/>
    <w:rsid w:val="00EC018B"/>
    <w:rsid w:val="00EC2356"/>
    <w:rsid w:val="00EC2582"/>
    <w:rsid w:val="00EC337C"/>
    <w:rsid w:val="00EC54CA"/>
    <w:rsid w:val="00ED0CFF"/>
    <w:rsid w:val="00ED31D2"/>
    <w:rsid w:val="00EE0549"/>
    <w:rsid w:val="00EE0EAC"/>
    <w:rsid w:val="00EE3322"/>
    <w:rsid w:val="00EE33CB"/>
    <w:rsid w:val="00EE449A"/>
    <w:rsid w:val="00EF2CFE"/>
    <w:rsid w:val="00EF52BE"/>
    <w:rsid w:val="00F0061A"/>
    <w:rsid w:val="00F02834"/>
    <w:rsid w:val="00F04EEB"/>
    <w:rsid w:val="00F05467"/>
    <w:rsid w:val="00F055D2"/>
    <w:rsid w:val="00F07CD7"/>
    <w:rsid w:val="00F127E9"/>
    <w:rsid w:val="00F12952"/>
    <w:rsid w:val="00F12D8B"/>
    <w:rsid w:val="00F14B5D"/>
    <w:rsid w:val="00F14FE1"/>
    <w:rsid w:val="00F259FC"/>
    <w:rsid w:val="00F36972"/>
    <w:rsid w:val="00F36CF1"/>
    <w:rsid w:val="00F42426"/>
    <w:rsid w:val="00F456BC"/>
    <w:rsid w:val="00F50666"/>
    <w:rsid w:val="00F5096F"/>
    <w:rsid w:val="00F70C9E"/>
    <w:rsid w:val="00F74A74"/>
    <w:rsid w:val="00F7572C"/>
    <w:rsid w:val="00F7785B"/>
    <w:rsid w:val="00F83515"/>
    <w:rsid w:val="00F8382C"/>
    <w:rsid w:val="00F855D7"/>
    <w:rsid w:val="00F862B7"/>
    <w:rsid w:val="00F870CF"/>
    <w:rsid w:val="00F92035"/>
    <w:rsid w:val="00F92748"/>
    <w:rsid w:val="00FA2257"/>
    <w:rsid w:val="00FA4169"/>
    <w:rsid w:val="00FA7915"/>
    <w:rsid w:val="00FB0D41"/>
    <w:rsid w:val="00FB2030"/>
    <w:rsid w:val="00FB6015"/>
    <w:rsid w:val="00FD0E46"/>
    <w:rsid w:val="00FD1CF2"/>
    <w:rsid w:val="00FD3EDF"/>
    <w:rsid w:val="00FD4F5A"/>
    <w:rsid w:val="00FD793C"/>
    <w:rsid w:val="00FE0DA2"/>
    <w:rsid w:val="00FE0FD5"/>
    <w:rsid w:val="00FE20E6"/>
    <w:rsid w:val="00FE3E3B"/>
    <w:rsid w:val="00FF3A06"/>
    <w:rsid w:val="00FF4032"/>
    <w:rsid w:val="00FF602D"/>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paragraph" w:styleId="Antrat3">
    <w:name w:val="heading 3"/>
    <w:basedOn w:val="prastasis"/>
    <w:next w:val="prastasis"/>
    <w:link w:val="Antrat3Diagrama"/>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uiPriority w:val="99"/>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uiPriority w:val="99"/>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Use Case List Paragraph Diagrama"/>
    <w:link w:val="Sraopastraipa"/>
    <w:uiPriority w:val="34"/>
    <w:locked/>
    <w:rsid w:val="00D56378"/>
    <w:rPr>
      <w:sz w:val="24"/>
      <w:szCs w:val="24"/>
      <w:lang w:eastAsia="en-US"/>
    </w:rPr>
  </w:style>
  <w:style w:type="character" w:customStyle="1" w:styleId="Antrat3Diagrama">
    <w:name w:val="Antraštė 3 Diagrama"/>
    <w:basedOn w:val="Numatytasispastraiposriftas"/>
    <w:link w:val="Antrat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Numatytasispastraiposriftas"/>
    <w:rsid w:val="00B64ECE"/>
  </w:style>
  <w:style w:type="character" w:customStyle="1" w:styleId="label">
    <w:name w:val="label"/>
    <w:basedOn w:val="Numatytasispastraiposriftas"/>
    <w:rsid w:val="00B64ECE"/>
  </w:style>
  <w:style w:type="paragraph" w:styleId="Dokumentoinaostekstas">
    <w:name w:val="endnote text"/>
    <w:basedOn w:val="prastasis"/>
    <w:link w:val="DokumentoinaostekstasDiagrama"/>
    <w:semiHidden/>
    <w:unhideWhenUsed/>
    <w:rsid w:val="00A32861"/>
    <w:rPr>
      <w:sz w:val="20"/>
      <w:szCs w:val="20"/>
    </w:rPr>
  </w:style>
  <w:style w:type="character" w:customStyle="1" w:styleId="DokumentoinaostekstasDiagrama">
    <w:name w:val="Dokumento išnašos tekstas Diagrama"/>
    <w:basedOn w:val="Numatytasispastraiposriftas"/>
    <w:link w:val="Dokumentoinaostekstas"/>
    <w:semiHidden/>
    <w:rsid w:val="00A32861"/>
    <w:rPr>
      <w:lang w:eastAsia="en-US"/>
    </w:rPr>
  </w:style>
  <w:style w:type="character" w:styleId="Dokumentoinaosnumeris">
    <w:name w:val="endnote reference"/>
    <w:basedOn w:val="Numatytasispastraiposriftas"/>
    <w:semiHidden/>
    <w:unhideWhenUsed/>
    <w:rsid w:val="00A32861"/>
    <w:rPr>
      <w:vertAlign w:val="superscript"/>
    </w:rPr>
  </w:style>
  <w:style w:type="paragraph" w:styleId="Puslapioinaostekstas">
    <w:name w:val="footnote text"/>
    <w:basedOn w:val="prastasis"/>
    <w:link w:val="PuslapioinaostekstasDiagrama"/>
    <w:semiHidden/>
    <w:unhideWhenUsed/>
    <w:rsid w:val="00DD6246"/>
    <w:rPr>
      <w:sz w:val="20"/>
      <w:szCs w:val="20"/>
    </w:rPr>
  </w:style>
  <w:style w:type="character" w:customStyle="1" w:styleId="PuslapioinaostekstasDiagrama">
    <w:name w:val="Puslapio išnašos tekstas Diagrama"/>
    <w:basedOn w:val="Numatytasispastraiposriftas"/>
    <w:link w:val="Puslapioinaostekstas"/>
    <w:semiHidden/>
    <w:rsid w:val="00DD6246"/>
    <w:rPr>
      <w:lang w:eastAsia="en-US"/>
    </w:rPr>
  </w:style>
  <w:style w:type="character" w:styleId="Puslapioinaosnuoroda">
    <w:name w:val="footnote reference"/>
    <w:basedOn w:val="Numatytasispastraiposriftas"/>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 w:type="paragraph" w:styleId="prastasiniatinklio">
    <w:name w:val="Normal (Web)"/>
    <w:basedOn w:val="prastasis"/>
    <w:uiPriority w:val="99"/>
    <w:unhideWhenUsed/>
    <w:rsid w:val="008358C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064719310">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58B219B174D889C09F8183FB06D90"/>
        <w:category>
          <w:name w:val="General"/>
          <w:gallery w:val="placeholder"/>
        </w:category>
        <w:types>
          <w:type w:val="bbPlcHdr"/>
        </w:types>
        <w:behaviors>
          <w:behavior w:val="content"/>
        </w:behaviors>
        <w:guid w:val="{CE3951B8-00B8-4857-8C1C-FA0BAA8D8956}"/>
      </w:docPartPr>
      <w:docPartBody>
        <w:p w:rsidR="00291CB8" w:rsidRDefault="00EF3144" w:rsidP="00EF3144">
          <w:pPr>
            <w:pStyle w:val="28558B219B174D889C09F8183FB06D90"/>
          </w:pPr>
          <w:r>
            <w:rPr>
              <w:rStyle w:val="Vietosrezervavimoenklotekstas"/>
            </w:rPr>
            <w:t>Įveskite reikiamus duomenis</w:t>
          </w:r>
          <w:r w:rsidRPr="003841AF">
            <w:rPr>
              <w:rStyle w:val="Vietosrezervavimoenklotekstas"/>
            </w:rPr>
            <w:t>.</w:t>
          </w:r>
        </w:p>
      </w:docPartBody>
    </w:docPart>
    <w:docPart>
      <w:docPartPr>
        <w:name w:val="B78E18AB7C33451C9A62D41AC05DB1B4"/>
        <w:category>
          <w:name w:val="General"/>
          <w:gallery w:val="placeholder"/>
        </w:category>
        <w:types>
          <w:type w:val="bbPlcHdr"/>
        </w:types>
        <w:behaviors>
          <w:behavior w:val="content"/>
        </w:behaviors>
        <w:guid w:val="{9D3CCDC1-1437-476C-93FC-674B6448E659}"/>
      </w:docPartPr>
      <w:docPartBody>
        <w:p w:rsidR="00291CB8" w:rsidRDefault="00EF3144" w:rsidP="00EF3144">
          <w:pPr>
            <w:pStyle w:val="B78E18AB7C33451C9A62D41AC05DB1B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56C60"/>
    <w:rsid w:val="00061157"/>
    <w:rsid w:val="000937FE"/>
    <w:rsid w:val="000A110E"/>
    <w:rsid w:val="000A559A"/>
    <w:rsid w:val="000C572B"/>
    <w:rsid w:val="000D24D4"/>
    <w:rsid w:val="001C1F11"/>
    <w:rsid w:val="001C35A9"/>
    <w:rsid w:val="001D5D71"/>
    <w:rsid w:val="001E1224"/>
    <w:rsid w:val="002005FD"/>
    <w:rsid w:val="00237556"/>
    <w:rsid w:val="002627A7"/>
    <w:rsid w:val="00282D5B"/>
    <w:rsid w:val="00291CB8"/>
    <w:rsid w:val="002A669B"/>
    <w:rsid w:val="00314A67"/>
    <w:rsid w:val="00330219"/>
    <w:rsid w:val="0034029B"/>
    <w:rsid w:val="0034696C"/>
    <w:rsid w:val="0039303B"/>
    <w:rsid w:val="003A2477"/>
    <w:rsid w:val="003A5FE7"/>
    <w:rsid w:val="004144A3"/>
    <w:rsid w:val="004160E7"/>
    <w:rsid w:val="004416C6"/>
    <w:rsid w:val="004B00C0"/>
    <w:rsid w:val="004F5AB2"/>
    <w:rsid w:val="005074B9"/>
    <w:rsid w:val="005E40DD"/>
    <w:rsid w:val="006B2A1E"/>
    <w:rsid w:val="00701D33"/>
    <w:rsid w:val="0070315A"/>
    <w:rsid w:val="0071258A"/>
    <w:rsid w:val="007219C1"/>
    <w:rsid w:val="00751921"/>
    <w:rsid w:val="00753462"/>
    <w:rsid w:val="007537A8"/>
    <w:rsid w:val="00772325"/>
    <w:rsid w:val="00781450"/>
    <w:rsid w:val="007962A7"/>
    <w:rsid w:val="007A2FE0"/>
    <w:rsid w:val="007B6AFC"/>
    <w:rsid w:val="007C6D1D"/>
    <w:rsid w:val="008146D7"/>
    <w:rsid w:val="00850925"/>
    <w:rsid w:val="00866B4E"/>
    <w:rsid w:val="0090074D"/>
    <w:rsid w:val="0094513F"/>
    <w:rsid w:val="009B3BF0"/>
    <w:rsid w:val="009D5E5E"/>
    <w:rsid w:val="009D7AE2"/>
    <w:rsid w:val="009F1BB4"/>
    <w:rsid w:val="00A32DC8"/>
    <w:rsid w:val="00A647A3"/>
    <w:rsid w:val="00A8727A"/>
    <w:rsid w:val="00AB6ED4"/>
    <w:rsid w:val="00B037F5"/>
    <w:rsid w:val="00B14210"/>
    <w:rsid w:val="00B23DC0"/>
    <w:rsid w:val="00B44CAA"/>
    <w:rsid w:val="00B57317"/>
    <w:rsid w:val="00B96656"/>
    <w:rsid w:val="00BC2CA0"/>
    <w:rsid w:val="00BE29C1"/>
    <w:rsid w:val="00C04D02"/>
    <w:rsid w:val="00C1221D"/>
    <w:rsid w:val="00C2401D"/>
    <w:rsid w:val="00C41CDF"/>
    <w:rsid w:val="00C53A68"/>
    <w:rsid w:val="00CA5BB4"/>
    <w:rsid w:val="00CB4BD1"/>
    <w:rsid w:val="00CE2DA9"/>
    <w:rsid w:val="00CE44BE"/>
    <w:rsid w:val="00D04F28"/>
    <w:rsid w:val="00D4356B"/>
    <w:rsid w:val="00D56C10"/>
    <w:rsid w:val="00D7162F"/>
    <w:rsid w:val="00E44A86"/>
    <w:rsid w:val="00E522EB"/>
    <w:rsid w:val="00E60827"/>
    <w:rsid w:val="00E73FF6"/>
    <w:rsid w:val="00EE79F5"/>
    <w:rsid w:val="00EF1933"/>
    <w:rsid w:val="00EF3144"/>
    <w:rsid w:val="00EF6E0C"/>
    <w:rsid w:val="00F55028"/>
    <w:rsid w:val="00F77BEF"/>
    <w:rsid w:val="00FB2018"/>
    <w:rsid w:val="00FB2D62"/>
    <w:rsid w:val="00FC755C"/>
    <w:rsid w:val="00FC78F4"/>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F3144"/>
    <w:rPr>
      <w:color w:val="808080"/>
    </w:rPr>
  </w:style>
  <w:style w:type="paragraph" w:customStyle="1" w:styleId="28558B219B174D889C09F8183FB06D90">
    <w:name w:val="28558B219B174D889C09F8183FB06D90"/>
    <w:rsid w:val="00EF3144"/>
  </w:style>
  <w:style w:type="paragraph" w:customStyle="1" w:styleId="B78E18AB7C33451C9A62D41AC05DB1B4">
    <w:name w:val="B78E18AB7C33451C9A62D41AC05DB1B4"/>
    <w:rsid w:val="00EF3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3D10-DDC7-4755-9030-1BD022EC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11484</Words>
  <Characters>6546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2023-07-05T06:55:00Z</dcterms:created>
  <dcterms:modified xsi:type="dcterms:W3CDTF">2023-08-01T13:01:00Z</dcterms:modified>
</cp:coreProperties>
</file>