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6784444E" w:rsidR="005F7602" w:rsidRPr="000203E1" w:rsidRDefault="00767323" w:rsidP="002946C7">
      <w:pPr>
        <w:ind w:left="5529"/>
      </w:pPr>
      <w:r>
        <w:tab/>
      </w: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7B54A475" w14:textId="77777777" w:rsidR="00767323" w:rsidRPr="002F33D5" w:rsidRDefault="00767323" w:rsidP="00767323">
      <w:pPr>
        <w:jc w:val="center"/>
        <w:rPr>
          <w:b/>
          <w:sz w:val="26"/>
          <w:szCs w:val="26"/>
        </w:rPr>
      </w:pPr>
      <w:r>
        <w:rPr>
          <w:b/>
          <w:sz w:val="26"/>
          <w:szCs w:val="26"/>
        </w:rPr>
        <w:t>Jardiance 10 mg plėvele dengtos tabletės</w:t>
      </w:r>
    </w:p>
    <w:p w14:paraId="79360F11" w14:textId="77777777" w:rsidR="00767323" w:rsidRPr="001F216C" w:rsidRDefault="00767323" w:rsidP="00767323">
      <w:pPr>
        <w:jc w:val="center"/>
        <w:rPr>
          <w:sz w:val="26"/>
          <w:szCs w:val="26"/>
        </w:rPr>
      </w:pPr>
    </w:p>
    <w:p w14:paraId="29ECF50A" w14:textId="77777777" w:rsidR="00767323" w:rsidRPr="00697EE1" w:rsidRDefault="00767323" w:rsidP="00767323">
      <w:pPr>
        <w:jc w:val="center"/>
        <w:rPr>
          <w:sz w:val="26"/>
          <w:szCs w:val="26"/>
        </w:rPr>
      </w:pPr>
      <w:r>
        <w:rPr>
          <w:b/>
          <w:sz w:val="26"/>
          <w:szCs w:val="26"/>
        </w:rPr>
        <w:t>Empagliflozinas</w:t>
      </w:r>
    </w:p>
    <w:p w14:paraId="02814FD6" w14:textId="77777777" w:rsidR="00767323" w:rsidRPr="008F21EF" w:rsidRDefault="00767323" w:rsidP="00767323">
      <w:pPr>
        <w:rPr>
          <w:sz w:val="26"/>
          <w:szCs w:val="26"/>
        </w:rPr>
      </w:pPr>
    </w:p>
    <w:p w14:paraId="35E077FE" w14:textId="77777777" w:rsidR="00767323" w:rsidRPr="001F216C" w:rsidRDefault="00767323" w:rsidP="00767323">
      <w:pPr>
        <w:jc w:val="center"/>
        <w:rPr>
          <w:b/>
        </w:rPr>
      </w:pPr>
      <w:r>
        <w:rPr>
          <w:b/>
        </w:rPr>
        <w:t>STV-74</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ListParagraph"/>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0203E1" w:rsidRPr="000203E1" w14:paraId="18A83EC2" w14:textId="77777777" w:rsidTr="00BE7489">
        <w:trPr>
          <w:trHeight w:val="538"/>
        </w:trPr>
        <w:tc>
          <w:tcPr>
            <w:tcW w:w="632" w:type="dxa"/>
          </w:tcPr>
          <w:p w14:paraId="0646FBEA" w14:textId="77777777" w:rsidR="00B13D65" w:rsidRPr="000203E1" w:rsidRDefault="00B13D65" w:rsidP="00824B92">
            <w:pPr>
              <w:rPr>
                <w:rFonts w:eastAsia="Arial"/>
              </w:rPr>
            </w:pPr>
            <w:r w:rsidRPr="000203E1">
              <w:rPr>
                <w:rFonts w:eastAsia="Arial"/>
              </w:rPr>
              <w:t>1.1</w:t>
            </w:r>
          </w:p>
        </w:tc>
        <w:tc>
          <w:tcPr>
            <w:tcW w:w="3694" w:type="dxa"/>
          </w:tcPr>
          <w:p w14:paraId="6C3AE864" w14:textId="77777777" w:rsidR="00B13D65" w:rsidRPr="000203E1" w:rsidRDefault="00B13D65" w:rsidP="00824B92">
            <w:pPr>
              <w:rPr>
                <w:rFonts w:eastAsia="Arial"/>
              </w:rPr>
            </w:pPr>
            <w:r w:rsidRPr="000203E1">
              <w:rPr>
                <w:rFonts w:eastAsia="Arial"/>
              </w:rPr>
              <w:t>Pareiškėjas</w:t>
            </w:r>
          </w:p>
          <w:p w14:paraId="2AF240DC" w14:textId="77777777" w:rsidR="00B13D65" w:rsidRPr="000203E1" w:rsidRDefault="00B13D65" w:rsidP="00824B92">
            <w:pPr>
              <w:rPr>
                <w:rFonts w:eastAsia="Arial"/>
              </w:rPr>
            </w:pPr>
          </w:p>
        </w:tc>
        <w:tc>
          <w:tcPr>
            <w:tcW w:w="5167" w:type="dxa"/>
          </w:tcPr>
          <w:p w14:paraId="2AAF0D91" w14:textId="6F21088C" w:rsidR="00B13D65" w:rsidRPr="000203E1" w:rsidRDefault="00767323" w:rsidP="00824B92">
            <w:pPr>
              <w:rPr>
                <w:rFonts w:eastAsia="Arial"/>
              </w:rPr>
            </w:pPr>
            <w:r>
              <w:t>Boehringer Ingelheim RCV GmbH &amp; Co KG Lietuvos filialas</w:t>
            </w:r>
          </w:p>
        </w:tc>
      </w:tr>
      <w:tr w:rsidR="000203E1" w:rsidRPr="000203E1" w14:paraId="31998B0D" w14:textId="77777777" w:rsidTr="00BE7489">
        <w:trPr>
          <w:trHeight w:val="538"/>
        </w:trPr>
        <w:tc>
          <w:tcPr>
            <w:tcW w:w="632" w:type="dxa"/>
          </w:tcPr>
          <w:p w14:paraId="2005EC67" w14:textId="662300D0" w:rsidR="00B13D65" w:rsidRPr="000203E1" w:rsidRDefault="002E0702" w:rsidP="00824B92">
            <w:pPr>
              <w:rPr>
                <w:rFonts w:eastAsia="Arial"/>
              </w:rPr>
            </w:pPr>
            <w:r w:rsidRPr="000203E1">
              <w:rPr>
                <w:rFonts w:eastAsia="Arial"/>
              </w:rPr>
              <w:t>1.2</w:t>
            </w:r>
          </w:p>
        </w:tc>
        <w:tc>
          <w:tcPr>
            <w:tcW w:w="3694" w:type="dxa"/>
          </w:tcPr>
          <w:p w14:paraId="1E4AE3B1" w14:textId="77777777" w:rsidR="00B13D65" w:rsidRPr="000203E1" w:rsidRDefault="00B13D65" w:rsidP="00824B92">
            <w:pPr>
              <w:rPr>
                <w:bCs/>
                <w:lang w:eastAsia="lt-LT"/>
              </w:rPr>
            </w:pPr>
            <w:r w:rsidRPr="000203E1">
              <w:rPr>
                <w:bCs/>
                <w:lang w:eastAsia="lt-LT"/>
              </w:rPr>
              <w:t xml:space="preserve">Registracijos data </w:t>
            </w:r>
          </w:p>
          <w:p w14:paraId="3A0DC096" w14:textId="77777777" w:rsidR="00B13D65" w:rsidRPr="000203E1" w:rsidRDefault="00B13D65" w:rsidP="00824B92">
            <w:pPr>
              <w:rPr>
                <w:bCs/>
                <w:lang w:eastAsia="lt-LT"/>
              </w:rPr>
            </w:pPr>
          </w:p>
        </w:tc>
        <w:tc>
          <w:tcPr>
            <w:tcW w:w="5167" w:type="dxa"/>
          </w:tcPr>
          <w:p w14:paraId="3CA218AD" w14:textId="77777777" w:rsidR="00B13D65" w:rsidRPr="000203E1" w:rsidRDefault="007E1737" w:rsidP="00824B92">
            <w:pPr>
              <w:rPr>
                <w:rStyle w:val="Style2"/>
              </w:rPr>
            </w:pPr>
            <w:sdt>
              <w:sdtPr>
                <w:rPr>
                  <w:sz w:val="32"/>
                </w:rPr>
                <w:alias w:val="Nurodykite konkrečią dieną"/>
                <w:tag w:val="Nurodykite pradžios datą"/>
                <w:id w:val="423238108"/>
                <w:placeholder>
                  <w:docPart w:val="0A1DCC42A2974C359888226B925C8FF8"/>
                </w:placeholder>
                <w:showingPlcHdr/>
                <w15:color w:val="FFCC99"/>
                <w:date w:fullDate="2022-05-18T00:00:00Z">
                  <w:dateFormat w:val="yyyy 'm.' MMMM d 'd.'"/>
                  <w:lid w:val="lt-LT"/>
                  <w:storeMappedDataAs w:val="dateTime"/>
                  <w:calendar w:val="gregorian"/>
                </w:date>
              </w:sdtPr>
              <w:sdtEndPr/>
              <w:sdtContent>
                <w:r w:rsidR="00B13D65" w:rsidRPr="000203E1">
                  <w:rPr>
                    <w:rStyle w:val="PlaceholderText"/>
                    <w:color w:val="auto"/>
                  </w:rPr>
                  <w:t>Click here to enter a date.</w:t>
                </w:r>
              </w:sdtContent>
            </w:sdt>
          </w:p>
        </w:tc>
      </w:tr>
      <w:tr w:rsidR="000203E1" w:rsidRPr="000203E1" w14:paraId="15968AE1" w14:textId="77777777" w:rsidTr="00BE7489">
        <w:trPr>
          <w:trHeight w:val="1500"/>
        </w:trPr>
        <w:tc>
          <w:tcPr>
            <w:tcW w:w="632" w:type="dxa"/>
          </w:tcPr>
          <w:p w14:paraId="6A784245" w14:textId="1E461489" w:rsidR="00B13D65" w:rsidRPr="000203E1" w:rsidRDefault="002E0702" w:rsidP="00824B92">
            <w:pPr>
              <w:rPr>
                <w:rFonts w:eastAsia="Arial"/>
              </w:rPr>
            </w:pPr>
            <w:r w:rsidRPr="000203E1">
              <w:rPr>
                <w:rFonts w:eastAsia="Arial"/>
              </w:rPr>
              <w:t>1.3</w:t>
            </w:r>
          </w:p>
        </w:tc>
        <w:tc>
          <w:tcPr>
            <w:tcW w:w="3694" w:type="dxa"/>
          </w:tcPr>
          <w:p w14:paraId="22933506" w14:textId="77777777" w:rsidR="00B13D65" w:rsidRPr="000203E1" w:rsidRDefault="00B13D65" w:rsidP="00824B92">
            <w:r w:rsidRPr="000203E1">
              <w:t xml:space="preserve">Paraiškos tipas </w:t>
            </w:r>
          </w:p>
          <w:p w14:paraId="0465E680" w14:textId="7F0A0714" w:rsidR="00B13D65" w:rsidRPr="000203E1" w:rsidRDefault="00B13D65" w:rsidP="00824B92">
            <w:r w:rsidRPr="000203E1">
              <w:t>(</w:t>
            </w:r>
            <w:r w:rsidR="00695CD3" w:rsidRPr="000203E1">
              <w:t xml:space="preserve">pagal </w:t>
            </w:r>
            <w:r w:rsidR="0039696E" w:rsidRPr="000203E1">
              <w:rPr>
                <w:shd w:val="clear" w:color="auto" w:fill="FFFFFF"/>
              </w:rPr>
              <w:t>vaistinio preparato registracijos tipą, įtvirtintą</w:t>
            </w:r>
            <w:r w:rsidR="0039696E" w:rsidRPr="000203E1">
              <w:t xml:space="preserve"> </w:t>
            </w:r>
            <w:r w:rsidRPr="000203E1">
              <w:t>Direktyv</w:t>
            </w:r>
            <w:r w:rsidR="00695CD3" w:rsidRPr="000203E1">
              <w:t>os</w:t>
            </w:r>
            <w:r w:rsidRPr="000203E1">
              <w:t xml:space="preserve"> 2001/83/EB</w:t>
            </w:r>
            <w:r w:rsidR="00695CD3" w:rsidRPr="000203E1">
              <w:t xml:space="preserve"> straips</w:t>
            </w:r>
            <w:r w:rsidR="0039696E" w:rsidRPr="000203E1">
              <w:t>iuose</w:t>
            </w:r>
            <w:r w:rsidRPr="000203E1">
              <w:t>)</w:t>
            </w:r>
          </w:p>
          <w:p w14:paraId="77089D80" w14:textId="6681D72A" w:rsidR="00B13D65" w:rsidRPr="000203E1" w:rsidRDefault="00B13D65" w:rsidP="00824B92">
            <w:pPr>
              <w:rPr>
                <w:bCs/>
                <w:lang w:eastAsia="lt-LT"/>
              </w:rPr>
            </w:pPr>
          </w:p>
        </w:tc>
        <w:tc>
          <w:tcPr>
            <w:tcW w:w="5167" w:type="dxa"/>
          </w:tcPr>
          <w:p w14:paraId="208F40EC" w14:textId="056CD334" w:rsidR="00B13D65" w:rsidRPr="000203E1" w:rsidRDefault="007E1737"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767323">
                  <w:rPr>
                    <w:rStyle w:val="Style2"/>
                    <w:rFonts w:ascii="MS Gothic" w:eastAsia="MS Gothic" w:hAnsi="MS Gothic" w:hint="eastAsia"/>
                    <w:sz w:val="22"/>
                    <w:szCs w:val="22"/>
                  </w:rPr>
                  <w:t>☒</w:t>
                </w:r>
              </w:sdtContent>
            </w:sdt>
            <w:r w:rsidR="00B13D65" w:rsidRPr="000203E1">
              <w:rPr>
                <w:sz w:val="22"/>
                <w:szCs w:val="22"/>
              </w:rPr>
              <w:t xml:space="preserve">8.3 str. (pilna byla, pagrįsta savais tyrimais) </w:t>
            </w:r>
          </w:p>
          <w:p w14:paraId="32BA564E" w14:textId="3FDA3E01" w:rsidR="00B13D65" w:rsidRPr="000203E1" w:rsidRDefault="007E1737"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 xml:space="preserve">10 a str. (pripažintas medicininis vartojimas) </w:t>
            </w:r>
          </w:p>
          <w:p w14:paraId="318DCD7F" w14:textId="32333E53" w:rsidR="00B13D65" w:rsidRPr="000203E1" w:rsidRDefault="007E1737"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10.1 str. (generinis)</w:t>
            </w:r>
          </w:p>
          <w:p w14:paraId="3B0A4F72" w14:textId="3F5FB073" w:rsidR="00B13D65" w:rsidRPr="000203E1" w:rsidRDefault="007E1737"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0203E1">
                  <w:rPr>
                    <w:rStyle w:val="Style2"/>
                    <w:rFonts w:ascii="Segoe UI Symbol" w:eastAsia="MS Gothic" w:hAnsi="Segoe UI Symbol" w:cs="Segoe UI Symbol"/>
                    <w:sz w:val="22"/>
                    <w:szCs w:val="22"/>
                  </w:rPr>
                  <w:t>☐</w:t>
                </w:r>
              </w:sdtContent>
            </w:sdt>
            <w:r w:rsidR="00B13D65" w:rsidRPr="000203E1">
              <w:rPr>
                <w:sz w:val="22"/>
                <w:szCs w:val="22"/>
              </w:rPr>
              <w:t>10.3 str. (hibridinis)</w:t>
            </w:r>
          </w:p>
        </w:tc>
      </w:tr>
      <w:tr w:rsidR="000203E1" w:rsidRPr="000203E1" w14:paraId="310E9662" w14:textId="77777777" w:rsidTr="00BE7489">
        <w:trPr>
          <w:trHeight w:val="1442"/>
        </w:trPr>
        <w:tc>
          <w:tcPr>
            <w:tcW w:w="632" w:type="dxa"/>
          </w:tcPr>
          <w:p w14:paraId="4B5A91A2" w14:textId="561B5E5F" w:rsidR="00B13D65" w:rsidRPr="000203E1" w:rsidRDefault="00B13D65" w:rsidP="00824B92">
            <w:pPr>
              <w:rPr>
                <w:rFonts w:eastAsia="Arial"/>
              </w:rPr>
            </w:pPr>
            <w:r w:rsidRPr="000203E1">
              <w:rPr>
                <w:rFonts w:eastAsia="Arial"/>
              </w:rPr>
              <w:t>1.</w:t>
            </w:r>
            <w:r w:rsidR="002E0702" w:rsidRPr="000203E1">
              <w:rPr>
                <w:rFonts w:eastAsia="Arial"/>
              </w:rPr>
              <w:t>4</w:t>
            </w:r>
          </w:p>
        </w:tc>
        <w:tc>
          <w:tcPr>
            <w:tcW w:w="3694" w:type="dxa"/>
          </w:tcPr>
          <w:p w14:paraId="6C91E105" w14:textId="77777777" w:rsidR="00B13D65" w:rsidRPr="000203E1" w:rsidRDefault="00B13D65" w:rsidP="00824B92">
            <w:pPr>
              <w:rPr>
                <w:bCs/>
                <w:lang w:eastAsia="lt-LT"/>
              </w:rPr>
            </w:pPr>
            <w:r w:rsidRPr="000203E1">
              <w:rPr>
                <w:bCs/>
                <w:lang w:eastAsia="lt-LT"/>
              </w:rPr>
              <w:t xml:space="preserve">Ar vaistinis preparatas įrašytas į Bendrijos retųjų vaistinių preparatų registrą? </w:t>
            </w:r>
          </w:p>
          <w:p w14:paraId="33726F9C" w14:textId="77777777" w:rsidR="00B13D65" w:rsidRPr="000203E1" w:rsidRDefault="00B13D65" w:rsidP="00824B92">
            <w:pPr>
              <w:rPr>
                <w:bCs/>
                <w:i/>
                <w:lang w:eastAsia="lt-LT"/>
              </w:rPr>
            </w:pPr>
          </w:p>
          <w:p w14:paraId="483071A3" w14:textId="0F633FFC" w:rsidR="00B13D65" w:rsidRPr="000203E1" w:rsidRDefault="00DF583C" w:rsidP="00824B92">
            <w:pPr>
              <w:rPr>
                <w:bCs/>
                <w:lang w:eastAsia="lt-LT"/>
              </w:rPr>
            </w:pPr>
            <w:r w:rsidRPr="000203E1">
              <w:rPr>
                <w:bCs/>
                <w:i/>
                <w:sz w:val="20"/>
                <w:lang w:eastAsia="lt-LT"/>
              </w:rPr>
              <w:t>Jei taip, n</w:t>
            </w:r>
            <w:r w:rsidR="00B13D65" w:rsidRPr="000203E1">
              <w:rPr>
                <w:bCs/>
                <w:i/>
                <w:sz w:val="20"/>
                <w:lang w:eastAsia="lt-LT"/>
              </w:rPr>
              <w:t xml:space="preserve">urodykite </w:t>
            </w:r>
            <w:r w:rsidR="007656B2" w:rsidRPr="000203E1">
              <w:rPr>
                <w:bCs/>
                <w:i/>
                <w:sz w:val="20"/>
                <w:lang w:eastAsia="lt-LT"/>
              </w:rPr>
              <w:t>įrašymo</w:t>
            </w:r>
            <w:r w:rsidR="00B13D65" w:rsidRPr="000203E1">
              <w:rPr>
                <w:bCs/>
                <w:i/>
                <w:sz w:val="20"/>
                <w:lang w:eastAsia="lt-LT"/>
              </w:rPr>
              <w:t xml:space="preserve"> datą ir numerį</w:t>
            </w:r>
          </w:p>
        </w:tc>
        <w:tc>
          <w:tcPr>
            <w:tcW w:w="5167" w:type="dxa"/>
          </w:tcPr>
          <w:p w14:paraId="05845C60" w14:textId="10CF4033" w:rsidR="00B13D65" w:rsidRPr="000203E1" w:rsidRDefault="007E1737"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0203E1">
                  <w:rPr>
                    <w:rStyle w:val="Style2"/>
                    <w:rFonts w:ascii="MS Gothic" w:eastAsia="MS Gothic" w:hAnsi="MS Gothic" w:hint="eastAsia"/>
                    <w:sz w:val="24"/>
                  </w:rPr>
                  <w:t>☐</w:t>
                </w:r>
              </w:sdtContent>
            </w:sdt>
            <w:r w:rsidR="00B13D65" w:rsidRPr="000203E1">
              <w:t xml:space="preserve"> Taip</w:t>
            </w:r>
          </w:p>
          <w:p w14:paraId="41D88067" w14:textId="00D9BE66" w:rsidR="00B13D65" w:rsidRPr="000203E1" w:rsidRDefault="007E1737"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767323">
                  <w:rPr>
                    <w:rStyle w:val="Style2"/>
                    <w:rFonts w:ascii="MS Gothic" w:eastAsia="MS Gothic" w:hAnsi="MS Gothic" w:hint="eastAsia"/>
                    <w:sz w:val="24"/>
                  </w:rPr>
                  <w:t>☒</w:t>
                </w:r>
              </w:sdtContent>
            </w:sdt>
            <w:r w:rsidR="00B13D65" w:rsidRPr="000203E1">
              <w:t xml:space="preserve"> Ne</w:t>
            </w:r>
          </w:p>
          <w:p w14:paraId="29C2CBBB" w14:textId="77777777" w:rsidR="00B13D65" w:rsidRPr="000203E1" w:rsidRDefault="007E1737"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0203E1">
                  <w:rPr>
                    <w:rStyle w:val="PlaceholderText"/>
                    <w:color w:val="auto"/>
                  </w:rPr>
                  <w:t>Click here to enter a date.</w:t>
                </w:r>
              </w:sdtContent>
            </w:sdt>
          </w:p>
        </w:tc>
      </w:tr>
      <w:tr w:rsidR="000203E1" w:rsidRPr="000203E1" w14:paraId="7841E5F8" w14:textId="77777777" w:rsidTr="00BE7489">
        <w:trPr>
          <w:trHeight w:val="476"/>
        </w:trPr>
        <w:tc>
          <w:tcPr>
            <w:tcW w:w="632" w:type="dxa"/>
          </w:tcPr>
          <w:p w14:paraId="109D2861" w14:textId="73BF27DF" w:rsidR="00D417D2" w:rsidRPr="000203E1" w:rsidRDefault="00D417D2" w:rsidP="00824B92">
            <w:pPr>
              <w:rPr>
                <w:rFonts w:eastAsia="Arial"/>
              </w:rPr>
            </w:pPr>
            <w:r w:rsidRPr="000203E1">
              <w:rPr>
                <w:rFonts w:eastAsia="Arial"/>
              </w:rPr>
              <w:t>1.5</w:t>
            </w:r>
          </w:p>
        </w:tc>
        <w:tc>
          <w:tcPr>
            <w:tcW w:w="3694" w:type="dxa"/>
          </w:tcPr>
          <w:p w14:paraId="7822D63E" w14:textId="68C38334" w:rsidR="00D417D2" w:rsidRPr="000203E1" w:rsidRDefault="00D417D2" w:rsidP="00824B92">
            <w:pPr>
              <w:rPr>
                <w:bCs/>
                <w:lang w:eastAsia="lt-LT"/>
              </w:rPr>
            </w:pPr>
            <w:r w:rsidRPr="000203E1">
              <w:t>STV paraiškos pobūdis</w:t>
            </w:r>
          </w:p>
        </w:tc>
        <w:tc>
          <w:tcPr>
            <w:tcW w:w="5167" w:type="dxa"/>
          </w:tcPr>
          <w:p w14:paraId="403461B9" w14:textId="7667642C" w:rsidR="00D417D2" w:rsidRPr="000203E1" w:rsidRDefault="007E1737"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767323">
                  <w:rPr>
                    <w:rStyle w:val="Style2"/>
                    <w:rFonts w:ascii="MS Gothic" w:eastAsia="MS Gothic" w:hAnsi="MS Gothic" w:hint="eastAsia"/>
                    <w:sz w:val="24"/>
                  </w:rPr>
                  <w:t>☒</w:t>
                </w:r>
              </w:sdtContent>
            </w:sdt>
            <w:r w:rsidR="00D417D2" w:rsidRPr="000203E1">
              <w:t xml:space="preserve"> Pilna paraiška</w:t>
            </w:r>
          </w:p>
          <w:p w14:paraId="6B8213E3" w14:textId="3495CDF4" w:rsidR="00D417D2" w:rsidRPr="000203E1" w:rsidRDefault="007E1737"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0203E1">
                  <w:rPr>
                    <w:rStyle w:val="Style2"/>
                    <w:rFonts w:ascii="MS Gothic" w:eastAsia="MS Gothic" w:hAnsi="MS Gothic" w:hint="eastAsia"/>
                    <w:sz w:val="24"/>
                  </w:rPr>
                  <w:t>☐</w:t>
                </w:r>
              </w:sdtContent>
            </w:sdt>
            <w:r w:rsidR="00D417D2" w:rsidRPr="000203E1">
              <w:t xml:space="preserve"> Supaprastinta paraiška</w:t>
            </w:r>
          </w:p>
        </w:tc>
      </w:tr>
      <w:tr w:rsidR="00767323" w:rsidRPr="000203E1" w14:paraId="274D1DAF" w14:textId="77777777" w:rsidTr="00BE7489">
        <w:trPr>
          <w:trHeight w:val="1922"/>
        </w:trPr>
        <w:tc>
          <w:tcPr>
            <w:tcW w:w="632" w:type="dxa"/>
          </w:tcPr>
          <w:p w14:paraId="17ABF217" w14:textId="14AC00D7" w:rsidR="00767323" w:rsidRPr="000203E1" w:rsidRDefault="00767323" w:rsidP="00767323">
            <w:pPr>
              <w:rPr>
                <w:rFonts w:eastAsia="Arial"/>
              </w:rPr>
            </w:pPr>
            <w:r w:rsidRPr="000203E1">
              <w:rPr>
                <w:rFonts w:eastAsia="Arial"/>
              </w:rPr>
              <w:t>1.6</w:t>
            </w:r>
          </w:p>
        </w:tc>
        <w:tc>
          <w:tcPr>
            <w:tcW w:w="3694" w:type="dxa"/>
          </w:tcPr>
          <w:p w14:paraId="4D49DBF5" w14:textId="77777777" w:rsidR="00767323" w:rsidRPr="000203E1" w:rsidRDefault="00767323" w:rsidP="00767323">
            <w:pPr>
              <w:rPr>
                <w:bCs/>
                <w:lang w:eastAsia="lt-LT"/>
              </w:rPr>
            </w:pPr>
            <w:r w:rsidRPr="000203E1">
              <w:rPr>
                <w:bCs/>
                <w:lang w:eastAsia="lt-LT"/>
              </w:rPr>
              <w:t>Pareiškėjo teikiama (-os) kompensuoti vaistinio preparato indikacija (-os)</w:t>
            </w:r>
          </w:p>
          <w:p w14:paraId="6B4FEEC1" w14:textId="6A619694" w:rsidR="00767323" w:rsidRPr="000203E1" w:rsidRDefault="00767323" w:rsidP="00767323">
            <w:pPr>
              <w:rPr>
                <w:bCs/>
                <w:lang w:eastAsia="lt-LT"/>
              </w:rPr>
            </w:pPr>
            <w:r w:rsidRPr="000203E1">
              <w:rPr>
                <w:bCs/>
                <w:lang w:eastAsia="lt-LT"/>
              </w:rPr>
              <w:t>Kodas pagal TLK-10 AM</w:t>
            </w:r>
          </w:p>
        </w:tc>
        <w:tc>
          <w:tcPr>
            <w:tcW w:w="5167" w:type="dxa"/>
          </w:tcPr>
          <w:p w14:paraId="40B13160" w14:textId="77777777" w:rsidR="00767323" w:rsidRDefault="00767323" w:rsidP="00767323">
            <w:pPr>
              <w:pStyle w:val="ListParagraph"/>
              <w:ind w:left="0"/>
              <w:contextualSpacing w:val="0"/>
              <w:jc w:val="both"/>
            </w:pPr>
            <w:r>
              <w:t xml:space="preserve">Jardiance skirtas gydyti suaugusiems, sergantiems simptominiu lėtiniu širdies nepakankamumu, esant sumažėjusiai išstūmimo frakcijai. </w:t>
            </w:r>
          </w:p>
          <w:p w14:paraId="13F7DFB0" w14:textId="68BFFBDA" w:rsidR="00767323" w:rsidRPr="000203E1" w:rsidRDefault="00767323" w:rsidP="00767323">
            <w:pPr>
              <w:jc w:val="both"/>
            </w:pPr>
            <w:r>
              <w:t>TLK kodas – I50.</w:t>
            </w:r>
          </w:p>
        </w:tc>
      </w:tr>
      <w:tr w:rsidR="00767323" w:rsidRPr="000203E1" w14:paraId="2F79DC08" w14:textId="77777777" w:rsidTr="00BE7489">
        <w:trPr>
          <w:trHeight w:val="378"/>
        </w:trPr>
        <w:tc>
          <w:tcPr>
            <w:tcW w:w="632" w:type="dxa"/>
          </w:tcPr>
          <w:p w14:paraId="547885A2" w14:textId="2EE70237" w:rsidR="00767323" w:rsidRPr="000203E1" w:rsidRDefault="00767323" w:rsidP="00767323">
            <w:pPr>
              <w:rPr>
                <w:rFonts w:eastAsia="Arial"/>
              </w:rPr>
            </w:pPr>
            <w:r w:rsidRPr="000203E1">
              <w:rPr>
                <w:rFonts w:eastAsia="Arial"/>
              </w:rPr>
              <w:t>1.</w:t>
            </w:r>
            <w:r>
              <w:rPr>
                <w:rFonts w:eastAsia="Arial"/>
              </w:rPr>
              <w:t>7</w:t>
            </w:r>
          </w:p>
        </w:tc>
        <w:tc>
          <w:tcPr>
            <w:tcW w:w="3694" w:type="dxa"/>
          </w:tcPr>
          <w:p w14:paraId="2EAB877F" w14:textId="39A36941" w:rsidR="00767323" w:rsidRPr="000203E1" w:rsidRDefault="00767323" w:rsidP="00767323">
            <w:pPr>
              <w:rPr>
                <w:bCs/>
                <w:u w:val="single"/>
                <w:lang w:eastAsia="lt-LT"/>
              </w:rPr>
            </w:pPr>
            <w:r w:rsidRPr="000203E1">
              <w:rPr>
                <w:bCs/>
                <w:lang w:eastAsia="lt-LT"/>
              </w:rPr>
              <w:t xml:space="preserve">Pareiškėjo teikiamos skyrimo sąlygos </w:t>
            </w:r>
          </w:p>
        </w:tc>
        <w:tc>
          <w:tcPr>
            <w:tcW w:w="5167" w:type="dxa"/>
          </w:tcPr>
          <w:p w14:paraId="76EE5F5F" w14:textId="77777777" w:rsidR="00767323" w:rsidRDefault="00767323" w:rsidP="00767323">
            <w:pPr>
              <w:pStyle w:val="ListParagraph"/>
              <w:numPr>
                <w:ilvl w:val="0"/>
                <w:numId w:val="14"/>
              </w:numPr>
              <w:jc w:val="both"/>
            </w:pPr>
            <w:r>
              <w:t>II-IV funkcinė klasė pagal NYHA;</w:t>
            </w:r>
          </w:p>
          <w:p w14:paraId="0579DF58" w14:textId="7B39E40A" w:rsidR="00767323" w:rsidRPr="000203E1" w:rsidRDefault="00767323" w:rsidP="00767323">
            <w:pPr>
              <w:pStyle w:val="ListParagraph"/>
              <w:numPr>
                <w:ilvl w:val="0"/>
                <w:numId w:val="14"/>
              </w:numPr>
              <w:jc w:val="both"/>
            </w:pPr>
            <w:r>
              <w:t>Kairiojo skilvelio išstūmimo frakcija ≤ 40%.</w:t>
            </w:r>
          </w:p>
        </w:tc>
      </w:tr>
      <w:tr w:rsidR="00767323" w:rsidRPr="000203E1" w14:paraId="3B125269" w14:textId="77777777" w:rsidTr="00BE7489">
        <w:trPr>
          <w:trHeight w:val="378"/>
        </w:trPr>
        <w:tc>
          <w:tcPr>
            <w:tcW w:w="632" w:type="dxa"/>
          </w:tcPr>
          <w:p w14:paraId="0058E11F" w14:textId="3C0D7626" w:rsidR="00767323" w:rsidRPr="000203E1" w:rsidRDefault="00767323" w:rsidP="00767323">
            <w:pPr>
              <w:rPr>
                <w:rFonts w:eastAsia="Arial"/>
              </w:rPr>
            </w:pPr>
            <w:r w:rsidRPr="000203E1">
              <w:rPr>
                <w:rFonts w:eastAsia="Arial"/>
              </w:rPr>
              <w:lastRenderedPageBreak/>
              <w:t>1.</w:t>
            </w:r>
            <w:r>
              <w:rPr>
                <w:rFonts w:eastAsia="Arial"/>
              </w:rPr>
              <w:t>8</w:t>
            </w:r>
          </w:p>
        </w:tc>
        <w:tc>
          <w:tcPr>
            <w:tcW w:w="3694" w:type="dxa"/>
          </w:tcPr>
          <w:p w14:paraId="738E1926" w14:textId="77777777" w:rsidR="00767323" w:rsidRPr="000203E1" w:rsidRDefault="00767323" w:rsidP="00767323">
            <w:pPr>
              <w:rPr>
                <w:bCs/>
                <w:lang w:eastAsia="lt-LT"/>
              </w:rPr>
            </w:pPr>
            <w:r w:rsidRPr="000203E1">
              <w:rPr>
                <w:bCs/>
                <w:lang w:eastAsia="lt-LT"/>
              </w:rPr>
              <w:t xml:space="preserve">Pareiškėjo teikiamas palyginamasis gydymas </w:t>
            </w:r>
          </w:p>
          <w:p w14:paraId="61EC5BBD" w14:textId="7A8BD8B4" w:rsidR="00767323" w:rsidRPr="000203E1" w:rsidRDefault="00767323" w:rsidP="00767323">
            <w:pPr>
              <w:rPr>
                <w:bCs/>
                <w:lang w:eastAsia="lt-LT"/>
              </w:rPr>
            </w:pPr>
          </w:p>
          <w:p w14:paraId="62057D94" w14:textId="77777777" w:rsidR="00767323" w:rsidRPr="000203E1" w:rsidRDefault="00767323" w:rsidP="00767323">
            <w:pPr>
              <w:rPr>
                <w:bCs/>
                <w:lang w:eastAsia="lt-LT"/>
              </w:rPr>
            </w:pPr>
          </w:p>
          <w:p w14:paraId="6CC1022E" w14:textId="2B6BCEE1" w:rsidR="00767323" w:rsidRPr="000203E1" w:rsidRDefault="00767323" w:rsidP="00767323">
            <w:pPr>
              <w:rPr>
                <w:bCs/>
                <w:lang w:eastAsia="lt-LT"/>
              </w:rPr>
            </w:pPr>
          </w:p>
        </w:tc>
        <w:tc>
          <w:tcPr>
            <w:tcW w:w="5167" w:type="dxa"/>
          </w:tcPr>
          <w:p w14:paraId="1F113AC0" w14:textId="75848148" w:rsidR="00767323" w:rsidRPr="000203E1" w:rsidRDefault="007E1737" w:rsidP="00767323">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F656CA">
                  <w:rPr>
                    <w:rStyle w:val="Style2"/>
                    <w:rFonts w:ascii="MS Gothic" w:eastAsia="MS Gothic" w:hAnsi="MS Gothic" w:hint="eastAsia"/>
                    <w:sz w:val="24"/>
                  </w:rPr>
                  <w:t>☒</w:t>
                </w:r>
              </w:sdtContent>
            </w:sdt>
            <w:r w:rsidR="00767323" w:rsidRPr="000203E1">
              <w:t xml:space="preserve"> Tinkamas</w:t>
            </w:r>
            <w:r w:rsidR="00F656CA">
              <w:t xml:space="preserve"> (placebo kartu su standartiniu širdies nepakankamumo gydymu)</w:t>
            </w:r>
          </w:p>
          <w:p w14:paraId="41B44044" w14:textId="199BD9DF" w:rsidR="00767323" w:rsidRPr="000203E1" w:rsidRDefault="007E1737" w:rsidP="00767323">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767323" w:rsidRPr="000203E1">
                  <w:rPr>
                    <w:rStyle w:val="Style2"/>
                    <w:rFonts w:ascii="MS Gothic" w:eastAsia="MS Gothic" w:hAnsi="MS Gothic" w:hint="eastAsia"/>
                    <w:sz w:val="24"/>
                  </w:rPr>
                  <w:t>☐</w:t>
                </w:r>
              </w:sdtContent>
            </w:sdt>
            <w:r w:rsidR="00767323" w:rsidRPr="000203E1">
              <w:t xml:space="preserve"> Netinkama</w:t>
            </w:r>
          </w:p>
        </w:tc>
      </w:tr>
    </w:tbl>
    <w:p w14:paraId="108176F7" w14:textId="640C6F75" w:rsidR="00F70C9E" w:rsidRPr="000203E1" w:rsidRDefault="00F70C9E" w:rsidP="00E03C3F">
      <w:pPr>
        <w:pStyle w:val="ListParagraph"/>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855"/>
        <w:gridCol w:w="1851"/>
        <w:gridCol w:w="2244"/>
        <w:gridCol w:w="2543"/>
      </w:tblGrid>
      <w:tr w:rsidR="000203E1" w:rsidRPr="000203E1" w14:paraId="7E72828B" w14:textId="77777777" w:rsidTr="00BE7489">
        <w:trPr>
          <w:trHeight w:val="924"/>
        </w:trPr>
        <w:tc>
          <w:tcPr>
            <w:tcW w:w="2855" w:type="dxa"/>
          </w:tcPr>
          <w:p w14:paraId="253D1DD4" w14:textId="5B2616C0" w:rsidR="00F70C9E" w:rsidRPr="000203E1" w:rsidRDefault="00F70C9E" w:rsidP="00824B92">
            <w:pPr>
              <w:rPr>
                <w:rFonts w:eastAsia="Arial"/>
              </w:rPr>
            </w:pPr>
            <w:r w:rsidRPr="000203E1">
              <w:rPr>
                <w:rFonts w:eastAsia="Arial"/>
              </w:rPr>
              <w:t>ST</w:t>
            </w:r>
            <w:r w:rsidR="00DF583C" w:rsidRPr="000203E1">
              <w:rPr>
                <w:rFonts w:eastAsia="Arial"/>
              </w:rPr>
              <w:t>V</w:t>
            </w:r>
            <w:r w:rsidRPr="000203E1">
              <w:rPr>
                <w:rFonts w:eastAsia="Arial"/>
              </w:rPr>
              <w:t xml:space="preserve"> agentūros pavadinimas, šalis</w:t>
            </w:r>
          </w:p>
        </w:tc>
        <w:tc>
          <w:tcPr>
            <w:tcW w:w="1851" w:type="dxa"/>
          </w:tcPr>
          <w:p w14:paraId="34AE1EDD" w14:textId="77777777" w:rsidR="00F70C9E" w:rsidRPr="000203E1" w:rsidRDefault="00F70C9E" w:rsidP="00824B92">
            <w:pPr>
              <w:rPr>
                <w:rFonts w:eastAsia="Arial"/>
              </w:rPr>
            </w:pPr>
            <w:r w:rsidRPr="000203E1">
              <w:rPr>
                <w:rFonts w:eastAsia="Arial"/>
              </w:rPr>
              <w:t>STV vertinimas atliktas</w:t>
            </w:r>
          </w:p>
        </w:tc>
        <w:tc>
          <w:tcPr>
            <w:tcW w:w="2244" w:type="dxa"/>
          </w:tcPr>
          <w:p w14:paraId="16E2DDC1" w14:textId="77777777" w:rsidR="00F70C9E" w:rsidRPr="000203E1" w:rsidRDefault="00F70C9E" w:rsidP="00824B92">
            <w:pPr>
              <w:rPr>
                <w:rFonts w:eastAsia="Arial"/>
              </w:rPr>
            </w:pPr>
            <w:r w:rsidRPr="000203E1">
              <w:rPr>
                <w:rFonts w:eastAsia="Arial"/>
              </w:rPr>
              <w:t>Klinikinio vertinimo išvada</w:t>
            </w:r>
          </w:p>
        </w:tc>
        <w:tc>
          <w:tcPr>
            <w:tcW w:w="2543" w:type="dxa"/>
          </w:tcPr>
          <w:p w14:paraId="1861E3F2" w14:textId="74803B5B" w:rsidR="00F70C9E" w:rsidRPr="000203E1" w:rsidRDefault="00F70C9E" w:rsidP="00824B92">
            <w:pPr>
              <w:rPr>
                <w:rFonts w:eastAsia="Arial"/>
              </w:rPr>
            </w:pPr>
            <w:r w:rsidRPr="000203E1">
              <w:rPr>
                <w:rFonts w:eastAsia="Arial"/>
              </w:rPr>
              <w:t>Farmako</w:t>
            </w:r>
            <w:r w:rsidR="00CA217D" w:rsidRPr="000203E1">
              <w:rPr>
                <w:rFonts w:eastAsia="Arial"/>
              </w:rPr>
              <w:t>e</w:t>
            </w:r>
            <w:r w:rsidR="00476256" w:rsidRPr="000203E1">
              <w:rPr>
                <w:rFonts w:eastAsia="Arial"/>
              </w:rPr>
              <w:t>ko</w:t>
            </w:r>
            <w:r w:rsidRPr="000203E1">
              <w:rPr>
                <w:rFonts w:eastAsia="Arial"/>
              </w:rPr>
              <w:t>nominio vertinimo išvada</w:t>
            </w:r>
          </w:p>
        </w:tc>
      </w:tr>
      <w:tr w:rsidR="00F656CA" w:rsidRPr="000203E1" w14:paraId="129FA8F6" w14:textId="77777777" w:rsidTr="00A035BB">
        <w:trPr>
          <w:trHeight w:val="2267"/>
        </w:trPr>
        <w:tc>
          <w:tcPr>
            <w:tcW w:w="2855" w:type="dxa"/>
          </w:tcPr>
          <w:p w14:paraId="0A070137" w14:textId="77777777" w:rsidR="00F656CA" w:rsidRPr="000203E1" w:rsidRDefault="00F656CA" w:rsidP="00F656CA">
            <w:pPr>
              <w:rPr>
                <w:bCs/>
              </w:rPr>
            </w:pPr>
            <w:r w:rsidRPr="000203E1">
              <w:rPr>
                <w:bCs/>
              </w:rPr>
              <w:t>Nacionalinis sveikatos ir klinikinės kompetencijos institutas, Didžioji Britanija</w:t>
            </w:r>
          </w:p>
          <w:p w14:paraId="49C6520D" w14:textId="77777777" w:rsidR="00F656CA" w:rsidRPr="000203E1" w:rsidRDefault="00F656CA" w:rsidP="00F656CA">
            <w:pPr>
              <w:rPr>
                <w:rFonts w:eastAsia="Arial"/>
                <w:lang w:val="en-GB"/>
              </w:rPr>
            </w:pPr>
            <w:r w:rsidRPr="000203E1">
              <w:rPr>
                <w:rFonts w:eastAsia="Arial"/>
                <w:lang w:val="en-GB"/>
              </w:rPr>
              <w:t>(</w:t>
            </w:r>
            <w:proofErr w:type="spellStart"/>
            <w:proofErr w:type="gramStart"/>
            <w:r w:rsidRPr="000203E1">
              <w:rPr>
                <w:rFonts w:eastAsia="Arial"/>
                <w:lang w:val="en-GB"/>
              </w:rPr>
              <w:t>angl</w:t>
            </w:r>
            <w:proofErr w:type="gramEnd"/>
            <w:r w:rsidRPr="000203E1">
              <w:rPr>
                <w:rFonts w:eastAsia="Arial"/>
                <w:lang w:val="en-GB"/>
              </w:rPr>
              <w:t>.</w:t>
            </w:r>
            <w:proofErr w:type="spellEnd"/>
            <w:r w:rsidRPr="000203E1">
              <w:rPr>
                <w:rFonts w:eastAsia="Arial"/>
                <w:lang w:val="en-GB"/>
              </w:rPr>
              <w:t xml:space="preserve"> </w:t>
            </w:r>
            <w:r w:rsidRPr="000203E1">
              <w:rPr>
                <w:rFonts w:eastAsia="Arial"/>
                <w:i/>
                <w:lang w:val="en-GB"/>
              </w:rPr>
              <w:t xml:space="preserve">National Institute for Health and </w:t>
            </w:r>
            <w:proofErr w:type="gramStart"/>
            <w:r w:rsidRPr="000203E1">
              <w:rPr>
                <w:rFonts w:eastAsia="Arial"/>
                <w:i/>
                <w:lang w:val="en-GB"/>
              </w:rPr>
              <w:t>Care  Excellence</w:t>
            </w:r>
            <w:proofErr w:type="gramEnd"/>
            <w:r w:rsidRPr="000203E1">
              <w:rPr>
                <w:rFonts w:eastAsia="Arial"/>
                <w:i/>
                <w:lang w:val="en-GB"/>
              </w:rPr>
              <w:t>, NICE</w:t>
            </w:r>
            <w:r w:rsidRPr="000203E1">
              <w:rPr>
                <w:rFonts w:eastAsia="Arial"/>
                <w:lang w:val="en-GB"/>
              </w:rPr>
              <w:t>)</w:t>
            </w:r>
          </w:p>
        </w:tc>
        <w:tc>
          <w:tcPr>
            <w:tcW w:w="1851" w:type="dxa"/>
          </w:tcPr>
          <w:p w14:paraId="5846A9F8" w14:textId="77777777" w:rsidR="00F656CA" w:rsidRPr="000203E1" w:rsidRDefault="007E1737" w:rsidP="00F656CA">
            <w:sdt>
              <w:sdtPr>
                <w:rPr>
                  <w:rStyle w:val="Style2"/>
                  <w:sz w:val="24"/>
                </w:rPr>
                <w:id w:val="1558205022"/>
                <w15:color w:val="FFCC00"/>
                <w14:checkbox>
                  <w14:checked w14:val="0"/>
                  <w14:checkedState w14:val="2612" w14:font="MS Gothic"/>
                  <w14:uncheckedState w14:val="2610" w14:font="MS Gothic"/>
                </w14:checkbox>
              </w:sdtPr>
              <w:sdtEndPr>
                <w:rPr>
                  <w:rStyle w:val="Style2"/>
                </w:rPr>
              </w:sdtEndPr>
              <w:sdtContent>
                <w:r w:rsidR="00F656CA" w:rsidRPr="000203E1">
                  <w:rPr>
                    <w:rStyle w:val="Style2"/>
                    <w:rFonts w:ascii="Segoe UI Symbol" w:eastAsia="MS Gothic" w:hAnsi="Segoe UI Symbol" w:cs="Segoe UI Symbol"/>
                    <w:sz w:val="24"/>
                  </w:rPr>
                  <w:t>☐</w:t>
                </w:r>
              </w:sdtContent>
            </w:sdt>
            <w:r w:rsidR="00F656CA" w:rsidRPr="000203E1">
              <w:t xml:space="preserve"> Taip</w:t>
            </w:r>
          </w:p>
          <w:p w14:paraId="29F3627E" w14:textId="77777777" w:rsidR="00F656CA" w:rsidRPr="000203E1" w:rsidRDefault="007E1737" w:rsidP="00F656CA">
            <w:sdt>
              <w:sdtPr>
                <w:rPr>
                  <w:rStyle w:val="Style2"/>
                  <w:sz w:val="24"/>
                </w:rPr>
                <w:id w:val="866029625"/>
                <w15:color w:val="FFCC00"/>
                <w14:checkbox>
                  <w14:checked w14:val="0"/>
                  <w14:checkedState w14:val="2612" w14:font="MS Gothic"/>
                  <w14:uncheckedState w14:val="2610" w14:font="MS Gothic"/>
                </w14:checkbox>
              </w:sdtPr>
              <w:sdtEndPr>
                <w:rPr>
                  <w:rStyle w:val="Style2"/>
                </w:rPr>
              </w:sdtEndPr>
              <w:sdtContent>
                <w:r w:rsidR="00F656CA" w:rsidRPr="000203E1">
                  <w:rPr>
                    <w:rStyle w:val="Style2"/>
                    <w:rFonts w:ascii="Segoe UI Symbol" w:eastAsia="MS Gothic" w:hAnsi="Segoe UI Symbol" w:cs="Segoe UI Symbol"/>
                    <w:sz w:val="24"/>
                  </w:rPr>
                  <w:t>☐</w:t>
                </w:r>
              </w:sdtContent>
            </w:sdt>
            <w:r w:rsidR="00F656CA" w:rsidRPr="000203E1">
              <w:t xml:space="preserve"> Ne</w:t>
            </w:r>
          </w:p>
          <w:p w14:paraId="7916359D" w14:textId="77777777" w:rsidR="00F656CA" w:rsidRPr="000203E1" w:rsidRDefault="007E1737" w:rsidP="00F656CA">
            <w:pPr>
              <w:rPr>
                <w:rFonts w:eastAsia="Arial"/>
              </w:rPr>
            </w:pPr>
            <w:sdt>
              <w:sdtPr>
                <w:alias w:val="Nurodykite konkrečią dieną"/>
                <w:tag w:val="Nurodykite pradžios datą"/>
                <w:id w:val="922837954"/>
                <w:placeholder>
                  <w:docPart w:val="24A68D17ED5A488C8426F96DCF9E0923"/>
                </w:placeholder>
                <w:showingPlcHdr/>
                <w15:color w:val="FFCC99"/>
                <w:date w:fullDate="2022-05-18T00:00:00Z">
                  <w:dateFormat w:val="yyyy 'm.' MMMM d 'd.'"/>
                  <w:lid w:val="lt-LT"/>
                  <w:storeMappedDataAs w:val="dateTime"/>
                  <w:calendar w:val="gregorian"/>
                </w:date>
              </w:sdtPr>
              <w:sdtEndPr/>
              <w:sdtContent>
                <w:r w:rsidR="00F656CA" w:rsidRPr="000203E1">
                  <w:rPr>
                    <w:rStyle w:val="PlaceholderText"/>
                    <w:color w:val="auto"/>
                  </w:rPr>
                  <w:t>Click here to enter a date.</w:t>
                </w:r>
              </w:sdtContent>
            </w:sdt>
          </w:p>
        </w:tc>
        <w:tc>
          <w:tcPr>
            <w:tcW w:w="4787" w:type="dxa"/>
            <w:gridSpan w:val="2"/>
          </w:tcPr>
          <w:p w14:paraId="67430EE7" w14:textId="228B4D20" w:rsidR="00F656CA" w:rsidRPr="000203E1" w:rsidRDefault="00F656CA" w:rsidP="000B102B">
            <w:pPr>
              <w:jc w:val="both"/>
              <w:rPr>
                <w:rFonts w:eastAsia="Arial"/>
              </w:rPr>
            </w:pPr>
            <w:r>
              <w:rPr>
                <w:rFonts w:eastAsia="Arial"/>
              </w:rPr>
              <w:t>Rekomenduojama kompensuoti</w:t>
            </w:r>
            <w:r w:rsidRPr="00A14968">
              <w:t xml:space="preserve"> suaugusi</w:t>
            </w:r>
            <w:r>
              <w:t>ųjų</w:t>
            </w:r>
            <w:r w:rsidRPr="00A14968">
              <w:t>, sergan</w:t>
            </w:r>
            <w:r>
              <w:t>čių</w:t>
            </w:r>
            <w:r w:rsidRPr="00A14968">
              <w:t xml:space="preserve"> simptominiu lėtiniu širdies nepakankamumu, esant sumažėjusiai išstūmimo frakcijai</w:t>
            </w:r>
            <w:r>
              <w:t xml:space="preserve">, gydymui kartu su standartiniu gydymui (angiotenziną konvertuojančio fermento inhibitoriais / angiotenzino receptorių blokatoriais / sakubitrilu – valsartanu, beta adrenoblokatoriumi ir, jei pacientas toleruoja, mineralkortikoidų receptorių antagonistu) </w:t>
            </w:r>
            <w:r>
              <w:rPr>
                <w:rFonts w:eastAsia="Arial"/>
              </w:rPr>
              <w:t xml:space="preserve"> nemažinant kainos.</w:t>
            </w:r>
          </w:p>
        </w:tc>
      </w:tr>
      <w:tr w:rsidR="00F656CA" w:rsidRPr="000203E1" w14:paraId="1CC31474" w14:textId="77777777" w:rsidTr="009D7A4B">
        <w:trPr>
          <w:trHeight w:val="1547"/>
        </w:trPr>
        <w:tc>
          <w:tcPr>
            <w:tcW w:w="2855" w:type="dxa"/>
          </w:tcPr>
          <w:p w14:paraId="12218E35" w14:textId="77777777" w:rsidR="00F656CA" w:rsidRPr="00767323" w:rsidRDefault="00F656CA" w:rsidP="00F656CA">
            <w:pPr>
              <w:rPr>
                <w:rFonts w:eastAsia="Arial"/>
                <w:lang w:val="de-DE"/>
              </w:rPr>
            </w:pPr>
            <w:r w:rsidRPr="00767323">
              <w:rPr>
                <w:rFonts w:eastAsia="Arial"/>
                <w:lang w:val="de-DE"/>
              </w:rPr>
              <w:t>Kanados sveikatos technologijų agentūra</w:t>
            </w:r>
          </w:p>
          <w:p w14:paraId="2C593A82" w14:textId="77777777" w:rsidR="00F656CA" w:rsidRPr="000203E1" w:rsidRDefault="00F656CA" w:rsidP="00F656CA">
            <w:pPr>
              <w:rPr>
                <w:rFonts w:eastAsia="Arial"/>
                <w:lang w:val="en-GB"/>
              </w:rPr>
            </w:pPr>
            <w:r w:rsidRPr="00767323">
              <w:rPr>
                <w:rFonts w:eastAsia="Arial"/>
                <w:lang w:val="de-DE"/>
              </w:rPr>
              <w:t xml:space="preserve">(angl. </w:t>
            </w:r>
            <w:r w:rsidRPr="000203E1">
              <w:rPr>
                <w:rFonts w:eastAsia="Arial"/>
                <w:i/>
                <w:lang w:val="en-GB"/>
              </w:rPr>
              <w:t>Canadian health Technology Assessment agency, CADTH</w:t>
            </w:r>
            <w:r w:rsidRPr="000203E1">
              <w:rPr>
                <w:rFonts w:eastAsia="Arial"/>
                <w:lang w:val="en-GB"/>
              </w:rPr>
              <w:t>)</w:t>
            </w:r>
          </w:p>
        </w:tc>
        <w:tc>
          <w:tcPr>
            <w:tcW w:w="1851" w:type="dxa"/>
          </w:tcPr>
          <w:p w14:paraId="762649FE" w14:textId="77777777" w:rsidR="00F656CA" w:rsidRPr="000203E1" w:rsidRDefault="007E1737" w:rsidP="00F656CA">
            <w:sdt>
              <w:sdtPr>
                <w:rPr>
                  <w:rStyle w:val="Style2"/>
                  <w:sz w:val="24"/>
                </w:rPr>
                <w:id w:val="-372539057"/>
                <w15:color w:val="FFCC00"/>
                <w14:checkbox>
                  <w14:checked w14:val="0"/>
                  <w14:checkedState w14:val="2612" w14:font="MS Gothic"/>
                  <w14:uncheckedState w14:val="2610" w14:font="MS Gothic"/>
                </w14:checkbox>
              </w:sdtPr>
              <w:sdtEndPr>
                <w:rPr>
                  <w:rStyle w:val="Style2"/>
                </w:rPr>
              </w:sdtEndPr>
              <w:sdtContent>
                <w:r w:rsidR="00F656CA" w:rsidRPr="000203E1">
                  <w:rPr>
                    <w:rStyle w:val="Style2"/>
                    <w:rFonts w:ascii="Segoe UI Symbol" w:eastAsia="MS Gothic" w:hAnsi="Segoe UI Symbol" w:cs="Segoe UI Symbol"/>
                    <w:sz w:val="24"/>
                  </w:rPr>
                  <w:t>☐</w:t>
                </w:r>
              </w:sdtContent>
            </w:sdt>
            <w:r w:rsidR="00F656CA" w:rsidRPr="000203E1">
              <w:t xml:space="preserve"> Taip</w:t>
            </w:r>
          </w:p>
          <w:p w14:paraId="35F17B07" w14:textId="77777777" w:rsidR="00F656CA" w:rsidRPr="000203E1" w:rsidRDefault="007E1737" w:rsidP="00F656CA">
            <w:sdt>
              <w:sdtPr>
                <w:rPr>
                  <w:rStyle w:val="Style2"/>
                  <w:sz w:val="24"/>
                </w:rPr>
                <w:id w:val="594442222"/>
                <w15:color w:val="FFCC00"/>
                <w14:checkbox>
                  <w14:checked w14:val="0"/>
                  <w14:checkedState w14:val="2612" w14:font="MS Gothic"/>
                  <w14:uncheckedState w14:val="2610" w14:font="MS Gothic"/>
                </w14:checkbox>
              </w:sdtPr>
              <w:sdtEndPr>
                <w:rPr>
                  <w:rStyle w:val="Style2"/>
                </w:rPr>
              </w:sdtEndPr>
              <w:sdtContent>
                <w:r w:rsidR="00F656CA" w:rsidRPr="000203E1">
                  <w:rPr>
                    <w:rStyle w:val="Style2"/>
                    <w:rFonts w:ascii="Segoe UI Symbol" w:eastAsia="MS Gothic" w:hAnsi="Segoe UI Symbol" w:cs="Segoe UI Symbol"/>
                    <w:sz w:val="24"/>
                  </w:rPr>
                  <w:t>☐</w:t>
                </w:r>
              </w:sdtContent>
            </w:sdt>
            <w:r w:rsidR="00F656CA" w:rsidRPr="000203E1">
              <w:t xml:space="preserve"> Ne</w:t>
            </w:r>
          </w:p>
          <w:p w14:paraId="0C0988CC" w14:textId="77777777" w:rsidR="00F656CA" w:rsidRPr="000203E1" w:rsidRDefault="007E1737" w:rsidP="00F656CA">
            <w:pPr>
              <w:rPr>
                <w:rFonts w:eastAsia="Arial"/>
              </w:rPr>
            </w:pPr>
            <w:sdt>
              <w:sdtPr>
                <w:alias w:val="Nurodykite konkrečią dieną"/>
                <w:tag w:val="Nurodykite pradžios datą"/>
                <w:id w:val="1072468416"/>
                <w:placeholder>
                  <w:docPart w:val="C3235DE2028A48558F2CDB8F147B01A4"/>
                </w:placeholder>
                <w:showingPlcHdr/>
                <w15:color w:val="FFCC99"/>
                <w:date w:fullDate="2022-05-18T00:00:00Z">
                  <w:dateFormat w:val="yyyy 'm.' MMMM d 'd.'"/>
                  <w:lid w:val="lt-LT"/>
                  <w:storeMappedDataAs w:val="dateTime"/>
                  <w:calendar w:val="gregorian"/>
                </w:date>
              </w:sdtPr>
              <w:sdtEndPr/>
              <w:sdtContent>
                <w:r w:rsidR="00F656CA" w:rsidRPr="000203E1">
                  <w:rPr>
                    <w:rStyle w:val="PlaceholderText"/>
                    <w:color w:val="auto"/>
                  </w:rPr>
                  <w:t>Click here to enter a date.</w:t>
                </w:r>
              </w:sdtContent>
            </w:sdt>
          </w:p>
        </w:tc>
        <w:tc>
          <w:tcPr>
            <w:tcW w:w="4787" w:type="dxa"/>
            <w:gridSpan w:val="2"/>
          </w:tcPr>
          <w:p w14:paraId="5C8CB330" w14:textId="1BABDCC6" w:rsidR="00F656CA" w:rsidRPr="000203E1" w:rsidRDefault="00F656CA" w:rsidP="00F656CA">
            <w:pPr>
              <w:jc w:val="both"/>
              <w:rPr>
                <w:rFonts w:eastAsia="Arial"/>
              </w:rPr>
            </w:pPr>
            <w:r>
              <w:rPr>
                <w:rFonts w:eastAsia="Arial"/>
              </w:rPr>
              <w:t>Rekomenduojama kompensuoti</w:t>
            </w:r>
            <w:r w:rsidRPr="00A14968">
              <w:t xml:space="preserve"> suaugusi</w:t>
            </w:r>
            <w:r>
              <w:t>ųjų</w:t>
            </w:r>
            <w:r w:rsidRPr="00A14968">
              <w:t>, sergan</w:t>
            </w:r>
            <w:r>
              <w:t>čių</w:t>
            </w:r>
            <w:r w:rsidRPr="00A14968">
              <w:t xml:space="preserve"> simptominiu</w:t>
            </w:r>
            <w:r>
              <w:t xml:space="preserve"> (II – III funkcinės klasės)</w:t>
            </w:r>
            <w:r w:rsidRPr="00A14968">
              <w:t xml:space="preserve"> lėtiniu širdies nepakankamumu, esant sumažėjusiai išstūmimo frakcijai</w:t>
            </w:r>
            <w:r>
              <w:t xml:space="preserve">, gydymui kartu su standartiniu gydymui </w:t>
            </w:r>
            <w:r>
              <w:rPr>
                <w:rFonts w:eastAsia="Arial"/>
              </w:rPr>
              <w:t>mažinant kainą tiek, jog kaštai neviršytų su dapagliflozino skyrimu analogiškai indikacijai susijusių kaštų.</w:t>
            </w:r>
          </w:p>
        </w:tc>
      </w:tr>
      <w:tr w:rsidR="00F656CA" w:rsidRPr="000203E1" w14:paraId="21C94D47" w14:textId="77777777" w:rsidTr="00940E0D">
        <w:trPr>
          <w:trHeight w:val="2160"/>
        </w:trPr>
        <w:tc>
          <w:tcPr>
            <w:tcW w:w="2855" w:type="dxa"/>
          </w:tcPr>
          <w:p w14:paraId="02F45BB8" w14:textId="77777777" w:rsidR="00F656CA" w:rsidRPr="000203E1" w:rsidRDefault="00F656CA" w:rsidP="00F656CA">
            <w:pPr>
              <w:rPr>
                <w:rFonts w:eastAsia="Arial"/>
              </w:rPr>
            </w:pPr>
            <w:r w:rsidRPr="000203E1">
              <w:rPr>
                <w:rFonts w:eastAsia="Arial"/>
              </w:rPr>
              <w:t>Nacionalinis farmakoekonomikos centras, Airija</w:t>
            </w:r>
          </w:p>
          <w:p w14:paraId="736F5072" w14:textId="77777777" w:rsidR="00F656CA" w:rsidRPr="000203E1" w:rsidRDefault="00F656CA" w:rsidP="00F656CA">
            <w:pPr>
              <w:rPr>
                <w:rFonts w:eastAsia="Arial"/>
              </w:rPr>
            </w:pPr>
            <w:r w:rsidRPr="000203E1">
              <w:rPr>
                <w:rFonts w:eastAsia="Arial"/>
              </w:rPr>
              <w:t>(angl.</w:t>
            </w:r>
            <w:r w:rsidRPr="000203E1">
              <w:rPr>
                <w:rFonts w:eastAsia="Arial"/>
                <w:i/>
              </w:rPr>
              <w:t xml:space="preserve"> National Centre for Pharmacoeconomics, NCPE</w:t>
            </w:r>
            <w:r w:rsidRPr="000203E1">
              <w:rPr>
                <w:rFonts w:eastAsia="Arial"/>
              </w:rPr>
              <w:t>)</w:t>
            </w:r>
          </w:p>
        </w:tc>
        <w:tc>
          <w:tcPr>
            <w:tcW w:w="1851" w:type="dxa"/>
          </w:tcPr>
          <w:p w14:paraId="106E24DF" w14:textId="77777777" w:rsidR="00F656CA" w:rsidRPr="000203E1" w:rsidRDefault="007E1737" w:rsidP="00F656CA">
            <w:sdt>
              <w:sdtPr>
                <w:rPr>
                  <w:rStyle w:val="Style2"/>
                  <w:sz w:val="24"/>
                </w:rPr>
                <w:id w:val="-1888403732"/>
                <w15:color w:val="FFCC00"/>
                <w14:checkbox>
                  <w14:checked w14:val="0"/>
                  <w14:checkedState w14:val="2612" w14:font="MS Gothic"/>
                  <w14:uncheckedState w14:val="2610" w14:font="MS Gothic"/>
                </w14:checkbox>
              </w:sdtPr>
              <w:sdtEndPr>
                <w:rPr>
                  <w:rStyle w:val="Style2"/>
                </w:rPr>
              </w:sdtEndPr>
              <w:sdtContent>
                <w:r w:rsidR="00F656CA" w:rsidRPr="000203E1">
                  <w:rPr>
                    <w:rStyle w:val="Style2"/>
                    <w:rFonts w:ascii="Segoe UI Symbol" w:eastAsia="MS Gothic" w:hAnsi="Segoe UI Symbol" w:cs="Segoe UI Symbol"/>
                    <w:sz w:val="24"/>
                  </w:rPr>
                  <w:t>☐</w:t>
                </w:r>
              </w:sdtContent>
            </w:sdt>
            <w:r w:rsidR="00F656CA" w:rsidRPr="000203E1">
              <w:t xml:space="preserve"> Taip</w:t>
            </w:r>
          </w:p>
          <w:p w14:paraId="6C89485D" w14:textId="77777777" w:rsidR="00F656CA" w:rsidRPr="000203E1" w:rsidRDefault="007E1737" w:rsidP="00F656CA">
            <w:sdt>
              <w:sdtPr>
                <w:rPr>
                  <w:rStyle w:val="Style2"/>
                  <w:sz w:val="24"/>
                </w:rPr>
                <w:id w:val="1092201793"/>
                <w15:color w:val="FFCC00"/>
                <w14:checkbox>
                  <w14:checked w14:val="0"/>
                  <w14:checkedState w14:val="2612" w14:font="MS Gothic"/>
                  <w14:uncheckedState w14:val="2610" w14:font="MS Gothic"/>
                </w14:checkbox>
              </w:sdtPr>
              <w:sdtEndPr>
                <w:rPr>
                  <w:rStyle w:val="Style2"/>
                </w:rPr>
              </w:sdtEndPr>
              <w:sdtContent>
                <w:r w:rsidR="00F656CA" w:rsidRPr="000203E1">
                  <w:rPr>
                    <w:rStyle w:val="Style2"/>
                    <w:rFonts w:ascii="Segoe UI Symbol" w:eastAsia="MS Gothic" w:hAnsi="Segoe UI Symbol" w:cs="Segoe UI Symbol"/>
                    <w:sz w:val="24"/>
                  </w:rPr>
                  <w:t>☐</w:t>
                </w:r>
              </w:sdtContent>
            </w:sdt>
            <w:r w:rsidR="00F656CA" w:rsidRPr="000203E1">
              <w:t xml:space="preserve"> Ne</w:t>
            </w:r>
          </w:p>
          <w:p w14:paraId="69AA1151" w14:textId="77777777" w:rsidR="00F656CA" w:rsidRPr="000203E1" w:rsidRDefault="007E1737" w:rsidP="00F656CA">
            <w:pPr>
              <w:rPr>
                <w:rFonts w:eastAsia="Arial"/>
              </w:rPr>
            </w:pPr>
            <w:sdt>
              <w:sdtPr>
                <w:alias w:val="Nurodykite konkrečią dieną"/>
                <w:tag w:val="Nurodykite pradžios datą"/>
                <w:id w:val="-198323198"/>
                <w:placeholder>
                  <w:docPart w:val="939D2E71B1294594A4EF96D21D49CAB4"/>
                </w:placeholder>
                <w:showingPlcHdr/>
                <w15:color w:val="FFCC99"/>
                <w:date w:fullDate="2022-05-18T00:00:00Z">
                  <w:dateFormat w:val="yyyy 'm.' MMMM d 'd.'"/>
                  <w:lid w:val="lt-LT"/>
                  <w:storeMappedDataAs w:val="dateTime"/>
                  <w:calendar w:val="gregorian"/>
                </w:date>
              </w:sdtPr>
              <w:sdtEndPr/>
              <w:sdtContent>
                <w:r w:rsidR="00F656CA" w:rsidRPr="000203E1">
                  <w:rPr>
                    <w:rStyle w:val="PlaceholderText"/>
                    <w:color w:val="auto"/>
                  </w:rPr>
                  <w:t>Click here to enter a date.</w:t>
                </w:r>
              </w:sdtContent>
            </w:sdt>
          </w:p>
        </w:tc>
        <w:tc>
          <w:tcPr>
            <w:tcW w:w="4787" w:type="dxa"/>
            <w:gridSpan w:val="2"/>
          </w:tcPr>
          <w:p w14:paraId="60651AFD" w14:textId="2B415ED0" w:rsidR="00F656CA" w:rsidRPr="000203E1" w:rsidRDefault="00F656CA" w:rsidP="00F656CA">
            <w:pPr>
              <w:jc w:val="both"/>
              <w:rPr>
                <w:rFonts w:eastAsia="Arial"/>
              </w:rPr>
            </w:pPr>
            <w:r>
              <w:rPr>
                <w:rFonts w:eastAsia="Arial"/>
              </w:rPr>
              <w:t>Rekomenduojama kompensuoti</w:t>
            </w:r>
            <w:r w:rsidRPr="00A14968">
              <w:t xml:space="preserve"> suaugusi</w:t>
            </w:r>
            <w:r>
              <w:t>ųjų</w:t>
            </w:r>
            <w:r w:rsidRPr="00A14968">
              <w:t>, sergan</w:t>
            </w:r>
            <w:r>
              <w:t>čių</w:t>
            </w:r>
            <w:r w:rsidRPr="00A14968">
              <w:t xml:space="preserve"> simptominiu lėtiniu širdies nepakankamumu, esant sumažėjusiai išstūmimo frakcijai</w:t>
            </w:r>
            <w:r>
              <w:t>, gydymui</w:t>
            </w:r>
            <w:r>
              <w:rPr>
                <w:rFonts w:eastAsia="Arial"/>
              </w:rPr>
              <w:t xml:space="preserve"> nemažinant kainos.</w:t>
            </w:r>
          </w:p>
        </w:tc>
      </w:tr>
    </w:tbl>
    <w:p w14:paraId="2EB7FD31" w14:textId="4D2A8479" w:rsidR="007A2B68" w:rsidRPr="000203E1" w:rsidRDefault="007A2B68" w:rsidP="00E03C3F">
      <w:pPr>
        <w:pStyle w:val="ListParagraph"/>
        <w:tabs>
          <w:tab w:val="left" w:pos="426"/>
        </w:tabs>
        <w:ind w:left="0"/>
        <w:rPr>
          <w:b/>
          <w:bCs/>
          <w:caps/>
        </w:rPr>
      </w:pPr>
    </w:p>
    <w:p w14:paraId="73290081" w14:textId="77777777" w:rsidR="007A2B68" w:rsidRPr="000203E1" w:rsidRDefault="007A2B68">
      <w:pPr>
        <w:rPr>
          <w:b/>
          <w:bCs/>
          <w:caps/>
        </w:rPr>
      </w:pPr>
      <w:r w:rsidRPr="000203E1">
        <w:rPr>
          <w:b/>
          <w:bCs/>
          <w:caps/>
        </w:rPr>
        <w:br w:type="page"/>
      </w:r>
    </w:p>
    <w:p w14:paraId="5055E8A8" w14:textId="471A9757" w:rsidR="002E6F80" w:rsidRPr="000203E1" w:rsidRDefault="00CC7832" w:rsidP="00CC09D4">
      <w:pPr>
        <w:pStyle w:val="ListParagraph"/>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3087ED8A" w14:textId="77777777" w:rsidR="00F656CA" w:rsidRDefault="00F656CA" w:rsidP="00A93AA6">
      <w:pPr>
        <w:tabs>
          <w:tab w:val="left" w:pos="284"/>
        </w:tabs>
        <w:rPr>
          <w:bCs/>
          <w:i/>
          <w:caps/>
        </w:rPr>
      </w:pPr>
    </w:p>
    <w:p w14:paraId="6C093511" w14:textId="77777777" w:rsidR="00F656CA" w:rsidRDefault="00F656CA" w:rsidP="00F656CA">
      <w:pPr>
        <w:widowControl w:val="0"/>
        <w:ind w:firstLine="720"/>
        <w:jc w:val="both"/>
        <w:rPr>
          <w:rFonts w:eastAsia="Arial"/>
          <w:iCs/>
        </w:rPr>
      </w:pPr>
      <w:r w:rsidRPr="004B38B7">
        <w:rPr>
          <w:bCs/>
          <w:color w:val="000000"/>
          <w:lang w:eastAsia="lt-LT"/>
        </w:rPr>
        <w:t>Širdies nepakankamumas (ŠN) yra dėl patologinių širdies struktūrinių ar funkcinių pokyčių besivystantis klinikinis sindromas, kuriam būdingi specifiniai simptomai (dusulys, kojų tinimas, greitas nuovargis) ir klinikiniai požymiai (padidėjęs jungo venos spaudimas, staziniai karkalai plaučiuose ir periferinės edemos), atsirandantys dėl nepakankamo širdies minutinio tūrio fizinio krūvio metu ir/ar ramybėje. Ligotumas didėja vyresniame amžiuje: ŠN nustatomas &lt;1% pacientų, kurie jaunesnis nei 55 metai ir &gt;10% pacientų, kurie vyresni nei 70 metų</w:t>
      </w:r>
      <w:r>
        <w:rPr>
          <w:bCs/>
          <w:color w:val="000000"/>
          <w:lang w:eastAsia="lt-LT"/>
        </w:rPr>
        <w:t xml:space="preserve">. </w:t>
      </w:r>
      <w:r>
        <w:rPr>
          <w:rFonts w:eastAsia="Arial"/>
          <w:iCs/>
        </w:rPr>
        <w:t xml:space="preserve">ŠN pagal </w:t>
      </w:r>
      <w:r w:rsidRPr="004B38B7">
        <w:rPr>
          <w:rFonts w:eastAsia="Arial"/>
          <w:b/>
          <w:bCs/>
          <w:iCs/>
        </w:rPr>
        <w:t>kairiojo skilvelio išstūmimo frakciją</w:t>
      </w:r>
      <w:r>
        <w:rPr>
          <w:rFonts w:eastAsia="Arial"/>
          <w:iCs/>
        </w:rPr>
        <w:t xml:space="preserve"> (KSIF) grupuojamas į 3 grupes (</w:t>
      </w:r>
      <w:r w:rsidRPr="000141CE">
        <w:rPr>
          <w:rFonts w:eastAsia="Arial"/>
          <w:b/>
          <w:bCs/>
          <w:iCs/>
        </w:rPr>
        <w:t>sumažėjusi</w:t>
      </w:r>
      <w:r>
        <w:rPr>
          <w:rFonts w:eastAsia="Arial"/>
          <w:iCs/>
        </w:rPr>
        <w:t xml:space="preserve">, kai KSIF ≤ 40%, toliau </w:t>
      </w:r>
      <w:r w:rsidRPr="000141CE">
        <w:rPr>
          <w:rFonts w:eastAsia="Arial"/>
          <w:b/>
          <w:bCs/>
          <w:iCs/>
        </w:rPr>
        <w:t>ŠNsIF</w:t>
      </w:r>
      <w:r>
        <w:rPr>
          <w:rFonts w:eastAsia="Arial"/>
          <w:iCs/>
        </w:rPr>
        <w:t xml:space="preserve">; vidutiniškai sumažėjusi, kai KSIF 41 – 49%; išlikusi, kai KSIF ≥ 50%), pagal Niujorko širdies asociacijos (angl. </w:t>
      </w:r>
      <w:r w:rsidRPr="00527F3E">
        <w:rPr>
          <w:rFonts w:eastAsia="Arial"/>
          <w:i/>
        </w:rPr>
        <w:t>New York Heart Association</w:t>
      </w:r>
      <w:r>
        <w:rPr>
          <w:rFonts w:eastAsia="Arial"/>
          <w:iCs/>
        </w:rPr>
        <w:t xml:space="preserve">, toliau NYHA) </w:t>
      </w:r>
      <w:r w:rsidRPr="004B38B7">
        <w:rPr>
          <w:rFonts w:eastAsia="Arial"/>
          <w:b/>
          <w:bCs/>
          <w:iCs/>
        </w:rPr>
        <w:t>pacientų funkcinės būklės</w:t>
      </w:r>
      <w:r>
        <w:rPr>
          <w:rFonts w:eastAsia="Arial"/>
          <w:iCs/>
        </w:rPr>
        <w:t xml:space="preserve"> klasifikaciją – į 4 grupes (I klasė – įprastas fizinis krūvis nesukelia simptomų, IV klasė – simptomai ramybėje).</w:t>
      </w:r>
    </w:p>
    <w:p w14:paraId="3845B7E0" w14:textId="77777777" w:rsidR="00F656CA" w:rsidRDefault="00F656CA" w:rsidP="00F656CA">
      <w:pPr>
        <w:tabs>
          <w:tab w:val="left" w:pos="426"/>
        </w:tabs>
        <w:jc w:val="both"/>
        <w:rPr>
          <w:rFonts w:eastAsia="Arial"/>
          <w:iCs/>
        </w:rPr>
      </w:pPr>
      <w:r>
        <w:rPr>
          <w:rFonts w:eastAsia="Arial"/>
          <w:iCs/>
        </w:rPr>
        <w:tab/>
      </w:r>
      <w:r>
        <w:rPr>
          <w:rFonts w:eastAsia="Arial"/>
          <w:iCs/>
        </w:rPr>
        <w:tab/>
        <w:t xml:space="preserve">Europos kardiologų draugijos (EKD) ŠN diagnostikos ir gydymo gairėse, nustačius </w:t>
      </w:r>
      <w:r w:rsidRPr="000141CE">
        <w:rPr>
          <w:rFonts w:eastAsia="Arial"/>
          <w:b/>
          <w:bCs/>
          <w:iCs/>
        </w:rPr>
        <w:t>ŠNsIF</w:t>
      </w:r>
      <w:r>
        <w:rPr>
          <w:rFonts w:eastAsia="Arial"/>
          <w:iCs/>
        </w:rPr>
        <w:t>, pacientui turėtų būti skiriami keturių grupių vaistiniai preparatai, kurie mažina hospitalizacijos ir mirties dėl ŠN riziką: 1) angiotenziną konvertuojančio fermento inhibitoriai (</w:t>
      </w:r>
      <w:r w:rsidRPr="00E01B4A">
        <w:rPr>
          <w:rFonts w:eastAsia="Arial"/>
          <w:b/>
          <w:bCs/>
          <w:iCs/>
        </w:rPr>
        <w:t>AKFi</w:t>
      </w:r>
      <w:r>
        <w:rPr>
          <w:rFonts w:eastAsia="Arial"/>
          <w:iCs/>
        </w:rPr>
        <w:t>; IA rekomendacija) arba angiotenzino receptorių – neprilizino inhibitoriai (</w:t>
      </w:r>
      <w:r w:rsidRPr="00E01B4A">
        <w:rPr>
          <w:rFonts w:eastAsia="Arial"/>
          <w:b/>
          <w:bCs/>
          <w:iCs/>
        </w:rPr>
        <w:t>ARNI</w:t>
      </w:r>
      <w:r>
        <w:rPr>
          <w:rFonts w:eastAsia="Arial"/>
          <w:iCs/>
        </w:rPr>
        <w:t>; IB rekomendacija); 2) beta – adrenoblokatoriai (</w:t>
      </w:r>
      <w:r w:rsidRPr="00E01B4A">
        <w:rPr>
          <w:rFonts w:eastAsia="Arial"/>
          <w:b/>
          <w:bCs/>
          <w:iCs/>
        </w:rPr>
        <w:t>BAB</w:t>
      </w:r>
      <w:r>
        <w:rPr>
          <w:rFonts w:eastAsia="Arial"/>
          <w:iCs/>
        </w:rPr>
        <w:t>; IA rekomendacija); 3) mineralkortikoidų receptorių antagonistai (</w:t>
      </w:r>
      <w:r w:rsidRPr="00E01B4A">
        <w:rPr>
          <w:rFonts w:eastAsia="Arial"/>
          <w:b/>
          <w:bCs/>
          <w:iCs/>
        </w:rPr>
        <w:t>MRA</w:t>
      </w:r>
      <w:r>
        <w:rPr>
          <w:rFonts w:eastAsia="Arial"/>
          <w:iCs/>
        </w:rPr>
        <w:t xml:space="preserve">; IA rekomendacija); 4) </w:t>
      </w:r>
      <w:r>
        <w:t xml:space="preserve">natrio gliukozės 2 nešiklio inhibitoriai (angl. </w:t>
      </w:r>
      <w:r w:rsidRPr="003A6A1B">
        <w:rPr>
          <w:i/>
          <w:iCs/>
        </w:rPr>
        <w:t>Sodium-glucose co-transporter 2</w:t>
      </w:r>
      <w:r>
        <w:rPr>
          <w:i/>
          <w:iCs/>
        </w:rPr>
        <w:t xml:space="preserve"> inhibitor</w:t>
      </w:r>
      <w:r>
        <w:t xml:space="preserve">, </w:t>
      </w:r>
      <w:r w:rsidRPr="00E01B4A">
        <w:rPr>
          <w:b/>
          <w:bCs/>
        </w:rPr>
        <w:t>SGLT2i</w:t>
      </w:r>
      <w:r>
        <w:t xml:space="preserve">) – </w:t>
      </w:r>
      <w:r>
        <w:rPr>
          <w:rFonts w:eastAsia="Arial"/>
          <w:iCs/>
        </w:rPr>
        <w:t xml:space="preserve"> dapagliflozinas arba </w:t>
      </w:r>
      <w:r w:rsidRPr="003A6A1B">
        <w:rPr>
          <w:rFonts w:eastAsia="Arial"/>
          <w:b/>
          <w:bCs/>
          <w:iCs/>
        </w:rPr>
        <w:t>empagliflozinas</w:t>
      </w:r>
      <w:r>
        <w:rPr>
          <w:rFonts w:eastAsia="Arial"/>
          <w:b/>
          <w:bCs/>
          <w:iCs/>
        </w:rPr>
        <w:t xml:space="preserve"> </w:t>
      </w:r>
      <w:r>
        <w:rPr>
          <w:rFonts w:eastAsia="Arial"/>
          <w:iCs/>
        </w:rPr>
        <w:t>(IA rekomendacija). Netoleruojant AKFi ir/ar ARNI, vietoj vieno iš šių preparatų turėtų būti skiriami angiotenzino receptorių blokatoriai (</w:t>
      </w:r>
      <w:r w:rsidRPr="00E01B4A">
        <w:rPr>
          <w:rFonts w:eastAsia="Arial"/>
          <w:b/>
          <w:bCs/>
          <w:iCs/>
        </w:rPr>
        <w:t>ARB</w:t>
      </w:r>
      <w:r>
        <w:rPr>
          <w:rFonts w:eastAsia="Arial"/>
          <w:iCs/>
        </w:rPr>
        <w:t>).</w:t>
      </w:r>
    </w:p>
    <w:p w14:paraId="65ABD906" w14:textId="77777777" w:rsidR="00F656CA" w:rsidRDefault="00F656CA" w:rsidP="00F656CA">
      <w:pPr>
        <w:tabs>
          <w:tab w:val="left" w:pos="426"/>
        </w:tabs>
        <w:jc w:val="both"/>
        <w:rPr>
          <w:rFonts w:eastAsia="Arial"/>
          <w:iCs/>
        </w:rPr>
      </w:pPr>
      <w:r>
        <w:rPr>
          <w:rFonts w:eastAsia="Arial"/>
          <w:iCs/>
        </w:rPr>
        <w:tab/>
      </w:r>
      <w:r>
        <w:rPr>
          <w:rFonts w:eastAsia="Arial"/>
          <w:iCs/>
        </w:rPr>
        <w:tab/>
      </w:r>
      <w:r w:rsidRPr="000141CE">
        <w:t xml:space="preserve">Pareiškėjas siūlo, jog empagliflozinas šiuo metu Lietuvoje taikomoje gydymo schemoje turėtų </w:t>
      </w:r>
      <w:r w:rsidRPr="000141CE">
        <w:rPr>
          <w:b/>
          <w:bCs/>
        </w:rPr>
        <w:t xml:space="preserve">papildyti standartinį pacientams skiriamą medikamentinį </w:t>
      </w:r>
      <w:r w:rsidRPr="000141CE">
        <w:rPr>
          <w:rFonts w:eastAsia="Arial"/>
          <w:b/>
          <w:bCs/>
          <w:iCs/>
        </w:rPr>
        <w:t>ŠNsIF</w:t>
      </w:r>
      <w:r w:rsidRPr="000141CE">
        <w:rPr>
          <w:b/>
          <w:bCs/>
        </w:rPr>
        <w:t xml:space="preserve"> gydymą</w:t>
      </w:r>
      <w:r w:rsidRPr="000141CE">
        <w:t xml:space="preserve">, t.y. skiriamas kartu su </w:t>
      </w:r>
      <w:r w:rsidRPr="000141CE">
        <w:rPr>
          <w:b/>
          <w:bCs/>
        </w:rPr>
        <w:t>AKFi/ARNI, BAB ir MRA</w:t>
      </w:r>
      <w:r w:rsidRPr="000141CE">
        <w:t>.</w:t>
      </w:r>
      <w:r>
        <w:rPr>
          <w:b/>
          <w:bCs/>
        </w:rPr>
        <w:t xml:space="preserve"> </w:t>
      </w:r>
      <w:r>
        <w:rPr>
          <w:rFonts w:eastAsia="Arial"/>
          <w:iCs/>
        </w:rPr>
        <w:t>Nors netoleruojant AKFi ir/ar ARNI, EKD gairėse siūloma vietoj šių preparatų skirti ARB, šios grupės vaistai yra nekompensuojami esant ŠNsIF (TLK – 10 kodas I50; išimtis – valsartanas, kuris kompensuojamas kaip sudėtinis sakubitrilo/valsartano derinys), tačiau kompensuojami esant hipertenzinėms ligoms (TLK – 10 kodai I10, I11, I12, I15), kurios yra dažnos gretutinės ligos esant ŠN.</w:t>
      </w:r>
    </w:p>
    <w:p w14:paraId="0CB1B46B" w14:textId="77777777" w:rsidR="00F656CA" w:rsidRPr="004B38B7" w:rsidRDefault="00F656CA" w:rsidP="00F656CA">
      <w:pPr>
        <w:widowControl w:val="0"/>
        <w:jc w:val="both"/>
        <w:rPr>
          <w:bCs/>
          <w:color w:val="000000"/>
          <w:lang w:eastAsia="lt-LT"/>
        </w:rPr>
      </w:pPr>
    </w:p>
    <w:p w14:paraId="18631C4E" w14:textId="77777777" w:rsidR="00F656CA" w:rsidRDefault="00F656CA" w:rsidP="00F656CA">
      <w:pPr>
        <w:widowControl w:val="0"/>
        <w:jc w:val="both"/>
        <w:rPr>
          <w:bCs/>
          <w:i/>
          <w:iCs/>
          <w:color w:val="000000"/>
          <w:lang w:eastAsia="lt-LT"/>
        </w:rPr>
      </w:pPr>
      <w:r w:rsidRPr="003B3450">
        <w:rPr>
          <w:bCs/>
          <w:i/>
          <w:iCs/>
          <w:color w:val="000000"/>
          <w:lang w:eastAsia="lt-LT"/>
        </w:rPr>
        <w:t>Tiesioginis palyginimas</w:t>
      </w:r>
    </w:p>
    <w:p w14:paraId="2D418EFD" w14:textId="77777777" w:rsidR="00F656CA" w:rsidRDefault="00F656CA" w:rsidP="00F656CA">
      <w:pPr>
        <w:widowControl w:val="0"/>
        <w:ind w:firstLine="720"/>
        <w:jc w:val="both"/>
        <w:rPr>
          <w:rFonts w:eastAsia="Arial"/>
          <w:bCs/>
        </w:rPr>
      </w:pPr>
      <w:r w:rsidRPr="004B38B7">
        <w:rPr>
          <w:bCs/>
          <w:color w:val="000000"/>
          <w:lang w:eastAsia="lt-LT"/>
        </w:rPr>
        <w:t>Klinikinis vertinimas buvo atliktas pagal paraiškoje pateikt</w:t>
      </w:r>
      <w:r>
        <w:rPr>
          <w:bCs/>
          <w:color w:val="000000"/>
          <w:lang w:eastAsia="lt-LT"/>
        </w:rPr>
        <w:t>ą</w:t>
      </w:r>
      <w:r w:rsidRPr="004B38B7">
        <w:rPr>
          <w:bCs/>
          <w:color w:val="000000"/>
          <w:lang w:eastAsia="lt-LT"/>
        </w:rPr>
        <w:t xml:space="preserve"> klinikin</w:t>
      </w:r>
      <w:r>
        <w:rPr>
          <w:bCs/>
          <w:color w:val="000000"/>
          <w:lang w:eastAsia="lt-LT"/>
        </w:rPr>
        <w:t xml:space="preserve">į </w:t>
      </w:r>
      <w:r w:rsidRPr="004B38B7">
        <w:rPr>
          <w:bCs/>
          <w:color w:val="000000"/>
          <w:lang w:eastAsia="lt-LT"/>
        </w:rPr>
        <w:t>tyrim</w:t>
      </w:r>
      <w:r>
        <w:rPr>
          <w:bCs/>
          <w:color w:val="000000"/>
          <w:lang w:eastAsia="lt-LT"/>
        </w:rPr>
        <w:t>ą</w:t>
      </w:r>
      <w:r w:rsidRPr="004B38B7">
        <w:rPr>
          <w:bCs/>
          <w:color w:val="000000"/>
          <w:lang w:eastAsia="lt-LT"/>
        </w:rPr>
        <w:t xml:space="preserve"> </w:t>
      </w:r>
      <w:r>
        <w:rPr>
          <w:bCs/>
          <w:color w:val="000000"/>
          <w:lang w:eastAsia="lt-LT"/>
        </w:rPr>
        <w:t>EMPOWER-Reduced</w:t>
      </w:r>
      <w:r w:rsidRPr="004B38B7">
        <w:rPr>
          <w:bCs/>
          <w:color w:val="000000"/>
          <w:lang w:eastAsia="lt-LT"/>
        </w:rPr>
        <w:t xml:space="preserve">. </w:t>
      </w:r>
      <w:r>
        <w:rPr>
          <w:bCs/>
          <w:color w:val="000000"/>
          <w:lang w:eastAsia="lt-LT"/>
        </w:rPr>
        <w:t>Jame</w:t>
      </w:r>
      <w:r w:rsidRPr="004B38B7">
        <w:rPr>
          <w:bCs/>
          <w:color w:val="000000"/>
          <w:lang w:eastAsia="lt-LT"/>
        </w:rPr>
        <w:t xml:space="preserve"> įrodyta, jog </w:t>
      </w:r>
      <w:r>
        <w:rPr>
          <w:bCs/>
          <w:color w:val="000000"/>
          <w:lang w:eastAsia="lt-LT"/>
        </w:rPr>
        <w:t xml:space="preserve">18 metų ir vyresniems </w:t>
      </w:r>
      <w:r w:rsidRPr="004B38B7">
        <w:rPr>
          <w:bCs/>
          <w:color w:val="000000"/>
          <w:lang w:eastAsia="lt-LT"/>
        </w:rPr>
        <w:t>pacient</w:t>
      </w:r>
      <w:r>
        <w:rPr>
          <w:bCs/>
          <w:color w:val="000000"/>
          <w:lang w:eastAsia="lt-LT"/>
        </w:rPr>
        <w:t xml:space="preserve">ams, kuriems </w:t>
      </w:r>
      <w:r w:rsidRPr="000141CE">
        <w:rPr>
          <w:rFonts w:eastAsia="Arial"/>
          <w:bCs/>
        </w:rPr>
        <w:t>prieš ≥3 mėnesius nustatytas lėtinis ŠNsIF</w:t>
      </w:r>
      <w:r>
        <w:rPr>
          <w:bCs/>
          <w:color w:val="000000"/>
          <w:lang w:eastAsia="lt-LT"/>
        </w:rPr>
        <w:t xml:space="preserve"> ir, nepaisant </w:t>
      </w:r>
      <w:r>
        <w:rPr>
          <w:rFonts w:eastAsia="Arial"/>
          <w:bCs/>
        </w:rPr>
        <w:t xml:space="preserve">taikomo optimalaus tarptautines ir vietines gaires atitinkančio ŠNsIF </w:t>
      </w:r>
      <w:r w:rsidRPr="000141CE">
        <w:rPr>
          <w:rFonts w:eastAsia="Arial"/>
          <w:bCs/>
        </w:rPr>
        <w:t>medikamentinio</w:t>
      </w:r>
      <w:r>
        <w:rPr>
          <w:rFonts w:eastAsia="Arial"/>
          <w:bCs/>
        </w:rPr>
        <w:t xml:space="preserve"> ir </w:t>
      </w:r>
      <w:r w:rsidRPr="000141CE">
        <w:rPr>
          <w:rFonts w:eastAsia="Arial"/>
          <w:bCs/>
        </w:rPr>
        <w:t>intervencinio</w:t>
      </w:r>
      <w:r w:rsidRPr="004B38B7">
        <w:rPr>
          <w:bCs/>
          <w:color w:val="000000"/>
          <w:lang w:eastAsia="lt-LT"/>
        </w:rPr>
        <w:t xml:space="preserve"> </w:t>
      </w:r>
      <w:r>
        <w:rPr>
          <w:bCs/>
          <w:color w:val="000000"/>
          <w:lang w:eastAsia="lt-LT"/>
        </w:rPr>
        <w:t xml:space="preserve">gydymo, dėl būklės išlieka funkcinis apribojimas, empagliflozinas 25% sumažina </w:t>
      </w:r>
      <w:r w:rsidRPr="000C6AB5">
        <w:rPr>
          <w:b/>
          <w:color w:val="000000"/>
          <w:lang w:eastAsia="lt-LT"/>
        </w:rPr>
        <w:t>mirties nuo širdies ir kraujagyslių ligų (ŠKL) ir hospitalizacijos dėl ŠN (pirminė išplėstinė sudedamoji vertinamoji baigtis)</w:t>
      </w:r>
      <w:r>
        <w:rPr>
          <w:bCs/>
          <w:color w:val="000000"/>
          <w:lang w:eastAsia="lt-LT"/>
        </w:rPr>
        <w:t xml:space="preserve"> riziką, lyginant su placebo (</w:t>
      </w:r>
      <w:r>
        <w:rPr>
          <w:rFonts w:eastAsia="Arial"/>
          <w:bCs/>
        </w:rPr>
        <w:t>RS 0,75; 95% PI 0,65 – 0,86; P&lt;0,001). Ši baigtis buvo statistiškai reikšmingai mažesnė beveik visuose iš anksto numatytuose pacientų pogrupiuose. Vertinant šias baigtis atskirai, mirties nuo ŠKL rizika tarp grupių nesiskyrė (RS 0,92; 95% PI 0,75 – 1,12), o hospitalizacijos dėl ŠN rizika empagliflozino grupėje buvo 31% mažesnė, lyginant su placebo (RS 0,69; 95% PI 0,59 – 0,81).</w:t>
      </w:r>
    </w:p>
    <w:p w14:paraId="471751A8" w14:textId="77777777" w:rsidR="00F656CA" w:rsidRDefault="00F656CA" w:rsidP="00F656CA">
      <w:pPr>
        <w:widowControl w:val="0"/>
        <w:ind w:firstLine="720"/>
        <w:jc w:val="both"/>
        <w:rPr>
          <w:rFonts w:eastAsia="Arial"/>
          <w:bCs/>
        </w:rPr>
      </w:pPr>
      <w:r>
        <w:rPr>
          <w:rFonts w:eastAsia="Arial"/>
          <w:bCs/>
        </w:rPr>
        <w:t>Vertinant pagal hierarchinę statistinę analizę numatytas antrines vertinamąsias baigtis, pirmosios baigties (</w:t>
      </w:r>
      <w:r w:rsidRPr="000C6AB5">
        <w:rPr>
          <w:rFonts w:eastAsia="Arial"/>
          <w:b/>
        </w:rPr>
        <w:t>pirmos ir pakartotinių hospitalizacijų dėl ŠN</w:t>
      </w:r>
      <w:r>
        <w:rPr>
          <w:rFonts w:eastAsia="Arial"/>
          <w:bCs/>
        </w:rPr>
        <w:t xml:space="preserve">) rizika empagliflozino grupėje buvo 30% mažesnė, lyginant su placebo (RS 0,70; 95% PI 0,58 – 0,85; P&lt;0,001). Vertinant antrąją baigtį, </w:t>
      </w:r>
      <w:r w:rsidRPr="000C6AB5">
        <w:rPr>
          <w:rFonts w:eastAsia="Arial"/>
          <w:b/>
        </w:rPr>
        <w:t>inkstų funkcija</w:t>
      </w:r>
      <w:r>
        <w:rPr>
          <w:rFonts w:eastAsia="Arial"/>
          <w:bCs/>
        </w:rPr>
        <w:t xml:space="preserve"> empagliflozino grupėje kasmet mažėjo 1,73 ml/min/1,73 m</w:t>
      </w:r>
      <w:r>
        <w:rPr>
          <w:rFonts w:eastAsia="Arial"/>
          <w:bCs/>
          <w:vertAlign w:val="superscript"/>
        </w:rPr>
        <w:t>2</w:t>
      </w:r>
      <w:r>
        <w:rPr>
          <w:rFonts w:eastAsia="Arial"/>
          <w:bCs/>
        </w:rPr>
        <w:t xml:space="preserve"> (-0,55 ml/min/1,73 m</w:t>
      </w:r>
      <w:r>
        <w:rPr>
          <w:rFonts w:eastAsia="Arial"/>
          <w:bCs/>
          <w:vertAlign w:val="superscript"/>
        </w:rPr>
        <w:t>2</w:t>
      </w:r>
      <w:r>
        <w:rPr>
          <w:rFonts w:eastAsia="Arial"/>
          <w:bCs/>
        </w:rPr>
        <w:t xml:space="preserve"> empagliflozino ir -2,28 ml/min/1,73 m</w:t>
      </w:r>
      <w:r>
        <w:rPr>
          <w:rFonts w:eastAsia="Arial"/>
          <w:bCs/>
          <w:vertAlign w:val="superscript"/>
        </w:rPr>
        <w:t>2</w:t>
      </w:r>
      <w:r>
        <w:rPr>
          <w:rFonts w:eastAsia="Arial"/>
          <w:bCs/>
        </w:rPr>
        <w:t xml:space="preserve"> placebo grupėse; 95% PI 1,10 – 2,37) lėčiau, lyginant su placebo (P&lt;0,001). Mažesnė pirmos ir pakartotinių hospitalizacijų dėl ŠN rizika ir lėtesnis inkstų funkcijos blogėjimas empagliflozino grupėje išliko iš esmės visuose iš anksto numatytuose pogrupiuose. Kitos, į hierarchinę statistinę analizę neįtrauktos baigtys laikytos žvalgomiosiomis, tačiau ilgalaikis inkstų funkcijos sutrikimas, dializė ar inkstų transplantacija (RS 0,50; 95% PI 0,32 – 0,77) ir hospitalizacijos dėl bet kokios priežasties (RS 0,85; 95% PI 0,75 – 0,95) empagliflozino grupėje įvyko rečiau. Mirties nuo bet kokios priežasties (RS 0,92; 95% PI 0,77 – 1,10) ir gliukozės </w:t>
      </w:r>
      <w:r>
        <w:rPr>
          <w:rFonts w:eastAsia="Arial"/>
          <w:bCs/>
        </w:rPr>
        <w:lastRenderedPageBreak/>
        <w:t>apykaitos sutrikimo ar cukrinio diabeto nustatymo (RS 0,86; 95% PI 0,62 – 1,19) atvejų dažnis tarp empagliflozino ir placebo grupių nesiskyrė.</w:t>
      </w:r>
    </w:p>
    <w:p w14:paraId="64A47A63" w14:textId="2B4E5C35" w:rsidR="00F656CA" w:rsidRDefault="00F656CA" w:rsidP="00F656CA">
      <w:pPr>
        <w:widowControl w:val="0"/>
        <w:ind w:firstLine="720"/>
        <w:jc w:val="both"/>
        <w:rPr>
          <w:bCs/>
          <w:color w:val="000000"/>
          <w:lang w:eastAsia="lt-LT"/>
        </w:rPr>
      </w:pPr>
      <w:r>
        <w:rPr>
          <w:rFonts w:eastAsia="Arial"/>
          <w:bCs/>
        </w:rPr>
        <w:t xml:space="preserve">Vertinant pacientų praneštas baigtis, pacientų jaučiami simptomai, funkcinė būklė ir gyvenimo kokybė empagliflozino grupėje pagerėjo daugiau nei placebo grupėje. Tikimybė, jog simptomai ir/ar funkcinė būklė pablogės buvo mažesnė, bei tikimybė, jog simptomai ir/ar funkcinė būklė pagerės buvo atitinkamai mažesnė ir didesnė empagliflozino grupėje. </w:t>
      </w:r>
      <w:r w:rsidRPr="004B38B7">
        <w:rPr>
          <w:bCs/>
          <w:color w:val="000000"/>
          <w:lang w:eastAsia="lt-LT"/>
        </w:rPr>
        <w:t>Tyrimo metu reikšmingų saugumo problemų ar įvykių nenustatyta.</w:t>
      </w:r>
    </w:p>
    <w:p w14:paraId="14F8186F" w14:textId="77777777" w:rsidR="00F656CA" w:rsidRPr="004F7676" w:rsidRDefault="00F656CA" w:rsidP="00F656CA">
      <w:pPr>
        <w:widowControl w:val="0"/>
        <w:jc w:val="both"/>
        <w:rPr>
          <w:bCs/>
          <w:color w:val="000000"/>
          <w:lang w:eastAsia="lt-LT"/>
        </w:rPr>
      </w:pPr>
    </w:p>
    <w:p w14:paraId="0CCE2674" w14:textId="77777777" w:rsidR="00F656CA" w:rsidRPr="003B3450" w:rsidRDefault="00F656CA" w:rsidP="00F656CA">
      <w:pPr>
        <w:tabs>
          <w:tab w:val="left" w:pos="426"/>
        </w:tabs>
        <w:jc w:val="both"/>
        <w:rPr>
          <w:bCs/>
          <w:i/>
          <w:color w:val="000000"/>
          <w:lang w:eastAsia="lt-LT"/>
        </w:rPr>
      </w:pPr>
      <w:r w:rsidRPr="003B3450">
        <w:rPr>
          <w:bCs/>
          <w:i/>
          <w:color w:val="000000"/>
          <w:lang w:eastAsia="lt-LT"/>
        </w:rPr>
        <w:t>Privalumai ir trūkumai</w:t>
      </w:r>
    </w:p>
    <w:p w14:paraId="5BA5F898" w14:textId="2371CEF3" w:rsidR="00F656CA" w:rsidRPr="003B3450" w:rsidRDefault="00F656CA" w:rsidP="00F656CA">
      <w:pPr>
        <w:tabs>
          <w:tab w:val="left" w:pos="426"/>
        </w:tabs>
        <w:jc w:val="both"/>
        <w:rPr>
          <w:iCs/>
        </w:rPr>
      </w:pPr>
      <w:r>
        <w:rPr>
          <w:bCs/>
          <w:color w:val="000000"/>
          <w:lang w:eastAsia="lt-LT"/>
        </w:rPr>
        <w:tab/>
      </w:r>
      <w:r w:rsidRPr="003B3450">
        <w:rPr>
          <w:bCs/>
          <w:color w:val="000000"/>
          <w:lang w:eastAsia="lt-LT"/>
        </w:rPr>
        <w:tab/>
        <w:t>Jei vaistinis preparatas būtų įrašytas į kompensavimo sąrašus, gydymo šiuo vaistiniu preparatu taikymas klinikinėje praktikoje galėtų turėti privalumų medicininėms paslaugoms ar pacientams.</w:t>
      </w:r>
    </w:p>
    <w:p w14:paraId="093ED1DD" w14:textId="77777777" w:rsidR="00F656CA" w:rsidRDefault="00F656CA" w:rsidP="00F656CA">
      <w:pPr>
        <w:tabs>
          <w:tab w:val="left" w:pos="426"/>
        </w:tabs>
        <w:jc w:val="both"/>
        <w:rPr>
          <w:bCs/>
          <w:color w:val="000000"/>
          <w:lang w:eastAsia="lt-LT"/>
        </w:rPr>
      </w:pPr>
      <w:r w:rsidRPr="003B3450">
        <w:rPr>
          <w:bCs/>
          <w:color w:val="000000"/>
          <w:lang w:eastAsia="lt-LT"/>
        </w:rPr>
        <w:tab/>
      </w:r>
      <w:r w:rsidRPr="003B3450">
        <w:rPr>
          <w:bCs/>
          <w:color w:val="000000"/>
          <w:lang w:eastAsia="lt-LT"/>
        </w:rPr>
        <w:tab/>
      </w:r>
      <w:r w:rsidRPr="003B3450">
        <w:rPr>
          <w:bCs/>
          <w:color w:val="000000"/>
          <w:u w:val="single"/>
          <w:lang w:eastAsia="lt-LT"/>
        </w:rPr>
        <w:t>Privalumai</w:t>
      </w:r>
      <w:r>
        <w:rPr>
          <w:bCs/>
          <w:color w:val="000000"/>
          <w:lang w:eastAsia="lt-LT"/>
        </w:rPr>
        <w:t xml:space="preserve">. </w:t>
      </w:r>
      <w:r w:rsidRPr="00BD5B61">
        <w:rPr>
          <w:bCs/>
          <w:color w:val="000000"/>
          <w:lang w:eastAsia="lt-LT"/>
        </w:rPr>
        <w:t xml:space="preserve">Pacientams ir medicinos paslaugoms – </w:t>
      </w:r>
      <w:r>
        <w:rPr>
          <w:bCs/>
          <w:color w:val="000000"/>
          <w:lang w:eastAsia="lt-LT"/>
        </w:rPr>
        <w:t>geresnė pacientų savijauta ir gyvenimo kokybė, mažesnis gydymo asmens sveikatos priežiūros įstaigose poreikis</w:t>
      </w:r>
      <w:r w:rsidRPr="00BD5B61">
        <w:rPr>
          <w:bCs/>
          <w:color w:val="000000"/>
          <w:lang w:eastAsia="lt-LT"/>
        </w:rPr>
        <w:t>.</w:t>
      </w:r>
    </w:p>
    <w:p w14:paraId="38F6B84D" w14:textId="28B77FCB" w:rsidR="00F656CA" w:rsidRPr="00F656CA" w:rsidRDefault="00F656CA" w:rsidP="00F656CA">
      <w:pPr>
        <w:tabs>
          <w:tab w:val="left" w:pos="426"/>
        </w:tabs>
        <w:jc w:val="both"/>
        <w:rPr>
          <w:bCs/>
          <w:color w:val="000000"/>
          <w:lang w:eastAsia="lt-LT"/>
        </w:rPr>
      </w:pPr>
      <w:r>
        <w:rPr>
          <w:bCs/>
          <w:color w:val="000000"/>
          <w:lang w:eastAsia="lt-LT"/>
        </w:rPr>
        <w:tab/>
      </w:r>
      <w:r>
        <w:rPr>
          <w:bCs/>
          <w:color w:val="000000"/>
          <w:lang w:eastAsia="lt-LT"/>
        </w:rPr>
        <w:tab/>
      </w:r>
      <w:r w:rsidRPr="003B3450">
        <w:rPr>
          <w:bCs/>
          <w:color w:val="000000"/>
          <w:u w:val="single"/>
          <w:lang w:eastAsia="lt-LT"/>
        </w:rPr>
        <w:t>Trūkumai</w:t>
      </w:r>
      <w:r w:rsidRPr="003B3450">
        <w:rPr>
          <w:bCs/>
          <w:color w:val="000000"/>
          <w:lang w:eastAsia="lt-LT"/>
        </w:rPr>
        <w:t>.</w:t>
      </w:r>
      <w:r>
        <w:rPr>
          <w:bCs/>
          <w:color w:val="000000"/>
          <w:lang w:eastAsia="lt-LT"/>
        </w:rPr>
        <w:t xml:space="preserve"> Nenustatyta. </w:t>
      </w:r>
    </w:p>
    <w:p w14:paraId="25F89291" w14:textId="5C45C8FC" w:rsidR="00D4485B" w:rsidRPr="000203E1" w:rsidRDefault="00D4485B" w:rsidP="00A93AA6">
      <w:pPr>
        <w:pStyle w:val="ListParagraph"/>
        <w:tabs>
          <w:tab w:val="left" w:pos="426"/>
        </w:tabs>
        <w:ind w:left="0"/>
        <w:rPr>
          <w:b/>
          <w:bCs/>
          <w:caps/>
        </w:rPr>
      </w:pPr>
    </w:p>
    <w:p w14:paraId="7DE09EB5" w14:textId="69E9DD74" w:rsidR="00E03C3F" w:rsidRPr="000203E1" w:rsidRDefault="00CC7832" w:rsidP="00CC09D4">
      <w:pPr>
        <w:pStyle w:val="ListParagraph"/>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1A900598" w14:textId="0FCDB7DA" w:rsidR="00C62B36" w:rsidRDefault="00C62B36" w:rsidP="00A93AA6">
      <w:pPr>
        <w:tabs>
          <w:tab w:val="left" w:pos="426"/>
        </w:tabs>
        <w:rPr>
          <w:i/>
        </w:rPr>
      </w:pPr>
    </w:p>
    <w:p w14:paraId="65FE14CA" w14:textId="77777777" w:rsidR="00111066" w:rsidRDefault="00111066" w:rsidP="00111066">
      <w:pPr>
        <w:tabs>
          <w:tab w:val="left" w:pos="567"/>
        </w:tabs>
        <w:jc w:val="both"/>
        <w:rPr>
          <w:iCs/>
          <w:lang w:eastAsia="lt-LT"/>
        </w:rPr>
      </w:pPr>
      <w:r>
        <w:rPr>
          <w:iCs/>
          <w:lang w:eastAsia="lt-LT"/>
        </w:rPr>
        <w:t>Vertinimui pateikta kaštų naudingumo analizė,  nagrinėjant empagliflozino  kaštų naudingumą, pacientams, sergantiems širdies nepakankamumu su sumažėjusia išstūmimo frakcija, palyginus su standartine praktika (esamu gydymu). Tarnyba atliko analizės rezultato perskaičiavimą, atnaujinus kaštus pagal naujausią prieinamą informaciją.</w:t>
      </w:r>
    </w:p>
    <w:p w14:paraId="5F706F05" w14:textId="77777777" w:rsidR="00111066" w:rsidRPr="007B210D" w:rsidRDefault="00111066" w:rsidP="00111066">
      <w:pPr>
        <w:tabs>
          <w:tab w:val="left" w:pos="567"/>
        </w:tabs>
        <w:jc w:val="both"/>
        <w:rPr>
          <w:iCs/>
          <w:lang w:eastAsia="lt-LT"/>
        </w:rPr>
      </w:pPr>
      <w:r>
        <w:rPr>
          <w:bCs/>
          <w:color w:val="000000"/>
          <w:lang w:eastAsia="lt-LT"/>
        </w:rPr>
        <w:t>Gautas analizės rezultatas yra gana pastovus keičiant prielaidas analizėje, taip pat, analizės rezultato pokyčiai nedideli ir vertinant jautrumo analizę. Laikoma, jog empagliflozinas yra kaštams efektyvus.</w:t>
      </w:r>
    </w:p>
    <w:p w14:paraId="62546B75" w14:textId="77777777" w:rsidR="00111066" w:rsidRPr="00164D64" w:rsidRDefault="00111066" w:rsidP="00A93AA6">
      <w:pPr>
        <w:tabs>
          <w:tab w:val="left" w:pos="426"/>
        </w:tabs>
        <w:rPr>
          <w:b/>
          <w:bCs/>
          <w:caps/>
        </w:rPr>
      </w:pPr>
    </w:p>
    <w:p w14:paraId="174D84D7" w14:textId="09C7BC2B" w:rsidR="0035172D" w:rsidRPr="000203E1" w:rsidRDefault="00164D64" w:rsidP="00A93AA6">
      <w:pPr>
        <w:tabs>
          <w:tab w:val="left" w:pos="426"/>
        </w:tabs>
        <w:rPr>
          <w:b/>
          <w:lang w:eastAsia="lt-LT"/>
        </w:rPr>
      </w:pPr>
      <w:r>
        <w:rPr>
          <w:b/>
          <w:lang w:eastAsia="lt-LT"/>
        </w:rPr>
        <w:t xml:space="preserve">3.1 </w:t>
      </w:r>
      <w:r w:rsidR="0035172D" w:rsidRPr="000203E1">
        <w:rPr>
          <w:b/>
          <w:lang w:eastAsia="lt-LT"/>
        </w:rPr>
        <w:t>Ekonominės analizės rezultatas</w:t>
      </w:r>
    </w:p>
    <w:p w14:paraId="4801D227" w14:textId="036D1CA7" w:rsidR="009E44AE" w:rsidRDefault="009E44AE" w:rsidP="00A93AA6">
      <w:pPr>
        <w:tabs>
          <w:tab w:val="left" w:pos="426"/>
        </w:tabs>
        <w:rPr>
          <w:b/>
          <w:lang w:eastAsia="lt-LT"/>
        </w:rPr>
      </w:pPr>
    </w:p>
    <w:p w14:paraId="2C4683AB" w14:textId="71727294" w:rsidR="00111066" w:rsidRPr="00D84BDC" w:rsidRDefault="00111066" w:rsidP="00111066">
      <w:pPr>
        <w:tabs>
          <w:tab w:val="left" w:pos="567"/>
        </w:tabs>
        <w:jc w:val="both"/>
        <w:rPr>
          <w:bCs/>
          <w:color w:val="000000"/>
          <w:u w:val="single"/>
          <w:lang w:eastAsia="lt-LT"/>
        </w:rPr>
      </w:pPr>
      <w:r w:rsidRPr="00D84BDC">
        <w:rPr>
          <w:bCs/>
          <w:color w:val="000000"/>
          <w:lang w:eastAsia="lt-LT"/>
        </w:rPr>
        <w:t>Santykinis kokybiškos gyvenimo trukmės praradimas:</w:t>
      </w:r>
      <w:r w:rsidRPr="00D84BDC">
        <w:rPr>
          <w:bCs/>
          <w:color w:val="000000"/>
          <w:u w:val="single"/>
          <w:lang w:eastAsia="lt-LT"/>
        </w:rPr>
        <w:t xml:space="preserve"> </w:t>
      </w:r>
      <w:r w:rsidR="00AD7ED3">
        <w:rPr>
          <w:bCs/>
          <w:color w:val="000000"/>
          <w:u w:val="single"/>
          <w:lang w:eastAsia="lt-LT"/>
        </w:rPr>
        <w:t>****</w:t>
      </w:r>
    </w:p>
    <w:p w14:paraId="283605B9" w14:textId="6EF70CE4" w:rsidR="00111066" w:rsidRPr="00D84BDC" w:rsidRDefault="00111066" w:rsidP="00111066">
      <w:pPr>
        <w:tabs>
          <w:tab w:val="left" w:pos="567"/>
        </w:tabs>
        <w:jc w:val="both"/>
        <w:rPr>
          <w:bCs/>
          <w:color w:val="000000"/>
          <w:u w:val="single"/>
          <w:lang w:val="en-US" w:eastAsia="lt-LT"/>
        </w:rPr>
      </w:pPr>
      <w:r w:rsidRPr="00D84BDC">
        <w:rPr>
          <w:bCs/>
          <w:color w:val="000000"/>
          <w:lang w:eastAsia="lt-LT"/>
        </w:rPr>
        <w:t>Referencinė kaštų naudingumo vertė:</w:t>
      </w:r>
      <w:r w:rsidRPr="00D84BDC">
        <w:rPr>
          <w:bCs/>
          <w:color w:val="000000"/>
          <w:u w:val="single"/>
          <w:lang w:eastAsia="lt-LT"/>
        </w:rPr>
        <w:t xml:space="preserve"> </w:t>
      </w:r>
      <w:r w:rsidR="00AD7ED3">
        <w:rPr>
          <w:bCs/>
          <w:color w:val="000000"/>
          <w:u w:val="single"/>
          <w:lang w:eastAsia="lt-LT"/>
        </w:rPr>
        <w:t>*****</w:t>
      </w:r>
      <w:r w:rsidRPr="00D84BDC">
        <w:rPr>
          <w:bCs/>
          <w:color w:val="000000"/>
          <w:u w:val="single"/>
          <w:lang w:eastAsia="lt-LT"/>
        </w:rPr>
        <w:t xml:space="preserve"> eur (</w:t>
      </w:r>
      <w:r w:rsidR="00AD7ED3">
        <w:rPr>
          <w:bCs/>
          <w:color w:val="000000"/>
          <w:u w:val="single"/>
          <w:lang w:eastAsia="lt-LT"/>
        </w:rPr>
        <w:t>*</w:t>
      </w:r>
      <w:r w:rsidRPr="00D84BDC">
        <w:rPr>
          <w:bCs/>
          <w:color w:val="000000"/>
          <w:u w:val="single"/>
          <w:lang w:eastAsia="lt-LT"/>
        </w:rPr>
        <w:t xml:space="preserve"> BVP per capita).</w:t>
      </w:r>
    </w:p>
    <w:p w14:paraId="5A05A038" w14:textId="77777777" w:rsidR="00111066" w:rsidRPr="000203E1" w:rsidRDefault="00111066"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203E1" w:rsidRPr="000203E1"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0203E1" w:rsidRDefault="009E44AE" w:rsidP="009E44AE">
            <w:pPr>
              <w:tabs>
                <w:tab w:val="left" w:pos="567"/>
              </w:tabs>
              <w:jc w:val="center"/>
              <w:rPr>
                <w:b/>
                <w:bCs/>
                <w:sz w:val="26"/>
                <w:szCs w:val="26"/>
                <w:lang w:eastAsia="lt-LT"/>
              </w:rPr>
            </w:pPr>
            <w:r w:rsidRPr="000203E1">
              <w:rPr>
                <w:b/>
                <w:bCs/>
                <w:sz w:val="26"/>
                <w:szCs w:val="26"/>
                <w:lang w:eastAsia="lt-LT"/>
              </w:rPr>
              <w:t>Rezultatai</w:t>
            </w:r>
          </w:p>
        </w:tc>
      </w:tr>
      <w:tr w:rsidR="000203E1" w:rsidRPr="000203E1" w14:paraId="319AF392" w14:textId="77777777" w:rsidTr="00BE7489">
        <w:trPr>
          <w:trHeight w:val="267"/>
          <w:jc w:val="center"/>
        </w:trPr>
        <w:tc>
          <w:tcPr>
            <w:tcW w:w="6200" w:type="dxa"/>
            <w:tcBorders>
              <w:left w:val="single" w:sz="4" w:space="0" w:color="auto"/>
            </w:tcBorders>
          </w:tcPr>
          <w:p w14:paraId="44CD8D27" w14:textId="27245A0B" w:rsidR="00BA5DBC" w:rsidRPr="000203E1" w:rsidRDefault="00BA5DBC" w:rsidP="00BA5DBC">
            <w:pPr>
              <w:tabs>
                <w:tab w:val="left" w:pos="567"/>
              </w:tabs>
              <w:jc w:val="right"/>
              <w:rPr>
                <w:iCs/>
                <w:lang w:eastAsia="lt-LT"/>
              </w:rPr>
            </w:pPr>
            <w:r w:rsidRPr="000203E1">
              <w:rPr>
                <w:iCs/>
                <w:lang w:eastAsia="lt-LT"/>
              </w:rPr>
              <w:t>Kaštų skirtumas</w:t>
            </w:r>
          </w:p>
        </w:tc>
        <w:tc>
          <w:tcPr>
            <w:tcW w:w="3238" w:type="dxa"/>
            <w:tcBorders>
              <w:right w:val="single" w:sz="4" w:space="0" w:color="auto"/>
            </w:tcBorders>
          </w:tcPr>
          <w:p w14:paraId="1CACF0B4" w14:textId="5D7FBF98" w:rsidR="00BA5DBC" w:rsidRPr="00D84BDC" w:rsidRDefault="00AD7ED3" w:rsidP="00BA5DBC">
            <w:pPr>
              <w:tabs>
                <w:tab w:val="left" w:pos="567"/>
              </w:tabs>
              <w:jc w:val="both"/>
              <w:rPr>
                <w:i/>
                <w:iCs/>
                <w:u w:val="single"/>
                <w:lang w:eastAsia="lt-LT"/>
              </w:rPr>
            </w:pPr>
            <w:r>
              <w:rPr>
                <w:i/>
                <w:iCs/>
                <w:u w:val="single"/>
                <w:lang w:eastAsia="lt-LT"/>
              </w:rPr>
              <w:t>*****</w:t>
            </w:r>
            <w:r w:rsidR="00111066" w:rsidRPr="00D84BDC">
              <w:rPr>
                <w:i/>
                <w:iCs/>
                <w:u w:val="single"/>
                <w:lang w:eastAsia="lt-LT"/>
              </w:rPr>
              <w:t xml:space="preserve"> EUR</w:t>
            </w:r>
          </w:p>
        </w:tc>
      </w:tr>
      <w:tr w:rsidR="000203E1" w:rsidRPr="000203E1" w14:paraId="49F818A3" w14:textId="77777777" w:rsidTr="00BE7489">
        <w:trPr>
          <w:trHeight w:val="267"/>
          <w:jc w:val="center"/>
        </w:trPr>
        <w:tc>
          <w:tcPr>
            <w:tcW w:w="6200" w:type="dxa"/>
            <w:tcBorders>
              <w:left w:val="single" w:sz="4" w:space="0" w:color="auto"/>
            </w:tcBorders>
          </w:tcPr>
          <w:p w14:paraId="021DB925" w14:textId="389F1BF5" w:rsidR="00BA5DBC" w:rsidRPr="000203E1" w:rsidRDefault="00BA5DBC" w:rsidP="00BA5DBC">
            <w:pPr>
              <w:tabs>
                <w:tab w:val="left" w:pos="567"/>
              </w:tabs>
              <w:jc w:val="right"/>
              <w:rPr>
                <w:iCs/>
                <w:lang w:eastAsia="lt-LT"/>
              </w:rPr>
            </w:pPr>
            <w:r w:rsidRPr="000203E1">
              <w:rPr>
                <w:iCs/>
                <w:lang w:eastAsia="lt-LT"/>
              </w:rPr>
              <w:t>Papildomi gyvenimo metai (LY)</w:t>
            </w:r>
          </w:p>
        </w:tc>
        <w:tc>
          <w:tcPr>
            <w:tcW w:w="3238" w:type="dxa"/>
            <w:tcBorders>
              <w:right w:val="single" w:sz="4" w:space="0" w:color="auto"/>
            </w:tcBorders>
          </w:tcPr>
          <w:p w14:paraId="4954817B" w14:textId="5D0B88E9" w:rsidR="00BA5DBC" w:rsidRPr="00D84BDC" w:rsidRDefault="00AD7ED3" w:rsidP="00BA5DBC">
            <w:pPr>
              <w:tabs>
                <w:tab w:val="left" w:pos="567"/>
              </w:tabs>
              <w:jc w:val="both"/>
              <w:rPr>
                <w:i/>
                <w:iCs/>
                <w:u w:val="single"/>
                <w:lang w:eastAsia="lt-LT"/>
              </w:rPr>
            </w:pPr>
            <w:r>
              <w:rPr>
                <w:u w:val="single"/>
                <w:lang w:eastAsia="lt-LT"/>
              </w:rPr>
              <w:t>***</w:t>
            </w:r>
            <w:r w:rsidR="00111066" w:rsidRPr="00D84BDC">
              <w:rPr>
                <w:u w:val="single"/>
                <w:lang w:eastAsia="lt-LT"/>
              </w:rPr>
              <w:t xml:space="preserve"> </w:t>
            </w:r>
          </w:p>
        </w:tc>
      </w:tr>
      <w:tr w:rsidR="000203E1" w:rsidRPr="000203E1" w14:paraId="20ADA742" w14:textId="77777777" w:rsidTr="00BE7489">
        <w:trPr>
          <w:trHeight w:val="267"/>
          <w:jc w:val="center"/>
        </w:trPr>
        <w:tc>
          <w:tcPr>
            <w:tcW w:w="6200" w:type="dxa"/>
            <w:tcBorders>
              <w:left w:val="single" w:sz="4" w:space="0" w:color="auto"/>
            </w:tcBorders>
          </w:tcPr>
          <w:p w14:paraId="0F567576" w14:textId="2606A2E9" w:rsidR="00BA5DBC" w:rsidRPr="000203E1" w:rsidRDefault="0058712F" w:rsidP="00BA5DBC">
            <w:pPr>
              <w:tabs>
                <w:tab w:val="left" w:pos="567"/>
              </w:tabs>
              <w:jc w:val="right"/>
              <w:rPr>
                <w:iCs/>
                <w:lang w:eastAsia="lt-LT"/>
              </w:rPr>
            </w:pPr>
            <w:r w:rsidRPr="000203E1">
              <w:rPr>
                <w:iCs/>
                <w:lang w:eastAsia="lt-LT"/>
              </w:rPr>
              <w:t>Papildomi k</w:t>
            </w:r>
            <w:r w:rsidR="00BA5DBC" w:rsidRPr="000203E1">
              <w:rPr>
                <w:iCs/>
                <w:lang w:eastAsia="lt-LT"/>
              </w:rPr>
              <w:t>okybiški gyvenimo metai (QALY)</w:t>
            </w:r>
          </w:p>
        </w:tc>
        <w:tc>
          <w:tcPr>
            <w:tcW w:w="3238" w:type="dxa"/>
            <w:tcBorders>
              <w:right w:val="single" w:sz="4" w:space="0" w:color="auto"/>
            </w:tcBorders>
          </w:tcPr>
          <w:p w14:paraId="02E4DAE1" w14:textId="35929CD8" w:rsidR="00BA5DBC" w:rsidRPr="00D84BDC" w:rsidRDefault="00AD7ED3" w:rsidP="00BA5DBC">
            <w:pPr>
              <w:tabs>
                <w:tab w:val="left" w:pos="567"/>
              </w:tabs>
              <w:jc w:val="both"/>
              <w:rPr>
                <w:i/>
                <w:iCs/>
                <w:u w:val="single"/>
                <w:lang w:eastAsia="lt-LT"/>
              </w:rPr>
            </w:pPr>
            <w:r>
              <w:rPr>
                <w:u w:val="single"/>
                <w:lang w:eastAsia="lt-LT"/>
              </w:rPr>
              <w:t>***</w:t>
            </w:r>
          </w:p>
        </w:tc>
      </w:tr>
      <w:tr w:rsidR="000203E1" w:rsidRPr="000203E1" w14:paraId="1FADA2B3" w14:textId="77777777" w:rsidTr="00BE7489">
        <w:trPr>
          <w:trHeight w:val="267"/>
          <w:jc w:val="center"/>
        </w:trPr>
        <w:tc>
          <w:tcPr>
            <w:tcW w:w="6200" w:type="dxa"/>
            <w:tcBorders>
              <w:left w:val="single" w:sz="4" w:space="0" w:color="auto"/>
            </w:tcBorders>
          </w:tcPr>
          <w:p w14:paraId="13E089E8" w14:textId="0BCEB339" w:rsidR="00BA5DBC" w:rsidRPr="000203E1" w:rsidRDefault="00BA5DBC" w:rsidP="009E44AE">
            <w:pPr>
              <w:tabs>
                <w:tab w:val="left" w:pos="567"/>
              </w:tabs>
              <w:jc w:val="right"/>
              <w:rPr>
                <w:iCs/>
                <w:lang w:eastAsia="lt-LT"/>
              </w:rPr>
            </w:pPr>
            <w:r w:rsidRPr="000203E1">
              <w:rPr>
                <w:iCs/>
                <w:lang w:eastAsia="lt-LT"/>
              </w:rPr>
              <w:t>ICER už LY</w:t>
            </w:r>
          </w:p>
        </w:tc>
        <w:tc>
          <w:tcPr>
            <w:tcW w:w="3238" w:type="dxa"/>
            <w:tcBorders>
              <w:right w:val="single" w:sz="4" w:space="0" w:color="auto"/>
            </w:tcBorders>
          </w:tcPr>
          <w:p w14:paraId="2817448D" w14:textId="7C75A230" w:rsidR="00BA5DBC" w:rsidRPr="00D84BDC" w:rsidRDefault="00AD7ED3" w:rsidP="009E44AE">
            <w:pPr>
              <w:tabs>
                <w:tab w:val="left" w:pos="567"/>
              </w:tabs>
              <w:jc w:val="both"/>
              <w:rPr>
                <w:i/>
                <w:iCs/>
                <w:u w:val="single"/>
                <w:lang w:eastAsia="lt-LT"/>
              </w:rPr>
            </w:pPr>
            <w:r>
              <w:rPr>
                <w:i/>
                <w:iCs/>
                <w:u w:val="single"/>
                <w:lang w:eastAsia="lt-LT"/>
              </w:rPr>
              <w:t>*****</w:t>
            </w:r>
            <w:r w:rsidR="00111066" w:rsidRPr="00D84BDC">
              <w:rPr>
                <w:i/>
                <w:iCs/>
                <w:u w:val="single"/>
                <w:lang w:eastAsia="lt-LT"/>
              </w:rPr>
              <w:t xml:space="preserve"> eur/LY</w:t>
            </w:r>
          </w:p>
        </w:tc>
      </w:tr>
      <w:tr w:rsidR="000203E1" w:rsidRPr="000203E1" w14:paraId="250DE960" w14:textId="77777777" w:rsidTr="00BE7489">
        <w:trPr>
          <w:trHeight w:val="267"/>
          <w:jc w:val="center"/>
        </w:trPr>
        <w:tc>
          <w:tcPr>
            <w:tcW w:w="6200" w:type="dxa"/>
            <w:tcBorders>
              <w:left w:val="single" w:sz="4" w:space="0" w:color="auto"/>
            </w:tcBorders>
          </w:tcPr>
          <w:p w14:paraId="207EFB23" w14:textId="77777777" w:rsidR="009E44AE" w:rsidRPr="000203E1" w:rsidRDefault="009E44AE" w:rsidP="009E44AE">
            <w:pPr>
              <w:tabs>
                <w:tab w:val="left" w:pos="567"/>
              </w:tabs>
              <w:jc w:val="right"/>
              <w:rPr>
                <w:iCs/>
                <w:lang w:eastAsia="lt-LT"/>
              </w:rPr>
            </w:pPr>
            <w:r w:rsidRPr="000203E1">
              <w:rPr>
                <w:iCs/>
                <w:lang w:eastAsia="lt-LT"/>
              </w:rPr>
              <w:t>ICER už QALY</w:t>
            </w:r>
          </w:p>
        </w:tc>
        <w:tc>
          <w:tcPr>
            <w:tcW w:w="3238" w:type="dxa"/>
            <w:tcBorders>
              <w:right w:val="single" w:sz="4" w:space="0" w:color="auto"/>
            </w:tcBorders>
          </w:tcPr>
          <w:p w14:paraId="4275320D" w14:textId="2E4CE606" w:rsidR="009E44AE" w:rsidRPr="00D84BDC" w:rsidRDefault="00AD7ED3" w:rsidP="009E44AE">
            <w:pPr>
              <w:tabs>
                <w:tab w:val="left" w:pos="567"/>
              </w:tabs>
              <w:jc w:val="both"/>
              <w:rPr>
                <w:i/>
                <w:iCs/>
                <w:u w:val="single"/>
                <w:lang w:eastAsia="lt-LT"/>
              </w:rPr>
            </w:pPr>
            <w:r>
              <w:rPr>
                <w:i/>
                <w:iCs/>
                <w:u w:val="single"/>
                <w:lang w:eastAsia="lt-LT"/>
              </w:rPr>
              <w:t>*****</w:t>
            </w:r>
            <w:r w:rsidR="00111066" w:rsidRPr="00D84BDC">
              <w:rPr>
                <w:i/>
                <w:iCs/>
                <w:u w:val="single"/>
                <w:lang w:eastAsia="lt-LT"/>
              </w:rPr>
              <w:t xml:space="preserve"> eur/QALY</w:t>
            </w:r>
          </w:p>
        </w:tc>
      </w:tr>
      <w:tr w:rsidR="000203E1" w:rsidRPr="000203E1"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0203E1" w:rsidRDefault="009E44AE" w:rsidP="009E44AE">
            <w:pPr>
              <w:tabs>
                <w:tab w:val="left" w:pos="567"/>
              </w:tabs>
              <w:jc w:val="right"/>
              <w:rPr>
                <w:iCs/>
                <w:lang w:eastAsia="lt-LT"/>
              </w:rPr>
            </w:pPr>
            <w:r w:rsidRPr="000203E1">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7F82531C" w:rsidR="009E44AE" w:rsidRPr="00D84BDC" w:rsidRDefault="00AD7ED3" w:rsidP="009E44AE">
            <w:pPr>
              <w:tabs>
                <w:tab w:val="left" w:pos="567"/>
              </w:tabs>
              <w:jc w:val="both"/>
              <w:rPr>
                <w:i/>
                <w:iCs/>
                <w:u w:val="single"/>
                <w:lang w:eastAsia="lt-LT"/>
              </w:rPr>
            </w:pPr>
            <w:r>
              <w:rPr>
                <w:i/>
                <w:iCs/>
                <w:u w:val="single"/>
                <w:lang w:eastAsia="lt-LT"/>
              </w:rPr>
              <w:t>*******</w:t>
            </w:r>
            <w:r w:rsidR="00111066" w:rsidRPr="00D84BDC">
              <w:rPr>
                <w:i/>
                <w:iCs/>
                <w:u w:val="single"/>
                <w:lang w:eastAsia="lt-LT"/>
              </w:rPr>
              <w:t xml:space="preserve"> eur/QALY</w:t>
            </w:r>
          </w:p>
        </w:tc>
      </w:tr>
    </w:tbl>
    <w:p w14:paraId="5FC8C737" w14:textId="4136B7F4" w:rsidR="0035172D" w:rsidRPr="000203E1" w:rsidRDefault="00E5102E" w:rsidP="0035172D">
      <w:pPr>
        <w:tabs>
          <w:tab w:val="left" w:pos="567"/>
        </w:tabs>
        <w:jc w:val="both"/>
        <w:rPr>
          <w:iCs/>
          <w:sz w:val="20"/>
          <w:lang w:eastAsia="lt-LT"/>
        </w:rPr>
      </w:pPr>
      <w:r w:rsidRPr="000203E1">
        <w:rPr>
          <w:iCs/>
          <w:sz w:val="20"/>
          <w:lang w:eastAsia="lt-LT"/>
        </w:rPr>
        <w:t xml:space="preserve">ICER </w:t>
      </w:r>
      <w:r w:rsidR="00453862" w:rsidRPr="000203E1">
        <w:rPr>
          <w:iCs/>
          <w:sz w:val="20"/>
          <w:lang w:eastAsia="lt-LT"/>
        </w:rPr>
        <w:t>– (</w:t>
      </w:r>
      <w:r w:rsidR="00453862" w:rsidRPr="000203E1">
        <w:rPr>
          <w:i/>
          <w:sz w:val="20"/>
          <w:lang w:eastAsia="lt-LT"/>
        </w:rPr>
        <w:t>angl. incremental cost-effectiveness ratio</w:t>
      </w:r>
      <w:r w:rsidR="00453862" w:rsidRPr="000203E1">
        <w:rPr>
          <w:iCs/>
          <w:sz w:val="20"/>
          <w:lang w:eastAsia="lt-LT"/>
        </w:rPr>
        <w:t>) inkrementinis kaštų naudingumo koeficientas</w:t>
      </w:r>
      <w:r w:rsidRPr="000203E1">
        <w:rPr>
          <w:iCs/>
          <w:sz w:val="20"/>
          <w:lang w:eastAsia="lt-LT"/>
        </w:rPr>
        <w:t>; LY –</w:t>
      </w:r>
      <w:r w:rsidR="00453862" w:rsidRPr="000203E1">
        <w:rPr>
          <w:iCs/>
          <w:sz w:val="20"/>
          <w:lang w:eastAsia="lt-LT"/>
        </w:rPr>
        <w:t xml:space="preserve"> (</w:t>
      </w:r>
      <w:r w:rsidR="00453862" w:rsidRPr="000203E1">
        <w:rPr>
          <w:i/>
          <w:sz w:val="20"/>
          <w:lang w:eastAsia="lt-LT"/>
        </w:rPr>
        <w:t>angl. life years</w:t>
      </w:r>
      <w:r w:rsidR="00453862" w:rsidRPr="000203E1">
        <w:rPr>
          <w:iCs/>
          <w:sz w:val="20"/>
          <w:lang w:eastAsia="lt-LT"/>
        </w:rPr>
        <w:t>) gyvenimo metai</w:t>
      </w:r>
      <w:r w:rsidRPr="000203E1">
        <w:rPr>
          <w:iCs/>
          <w:sz w:val="20"/>
          <w:lang w:eastAsia="lt-LT"/>
        </w:rPr>
        <w:t xml:space="preserve">; QALY- </w:t>
      </w:r>
      <w:r w:rsidR="00453862" w:rsidRPr="000203E1">
        <w:rPr>
          <w:iCs/>
          <w:sz w:val="20"/>
          <w:lang w:eastAsia="lt-LT"/>
        </w:rPr>
        <w:t>(</w:t>
      </w:r>
      <w:r w:rsidR="00453862" w:rsidRPr="000203E1">
        <w:rPr>
          <w:i/>
          <w:sz w:val="20"/>
          <w:lang w:eastAsia="lt-LT"/>
        </w:rPr>
        <w:t xml:space="preserve">angl. quality adjusted life years) </w:t>
      </w:r>
      <w:r w:rsidR="00453862" w:rsidRPr="000203E1">
        <w:rPr>
          <w:iCs/>
          <w:sz w:val="20"/>
          <w:lang w:eastAsia="lt-LT"/>
        </w:rPr>
        <w:t>kokybiški gyvenimo metai.</w:t>
      </w:r>
    </w:p>
    <w:p w14:paraId="33875138" w14:textId="77777777" w:rsidR="0035172D" w:rsidRPr="000203E1" w:rsidRDefault="0035172D" w:rsidP="00A93AA6">
      <w:pPr>
        <w:tabs>
          <w:tab w:val="left" w:pos="426"/>
        </w:tabs>
        <w:rPr>
          <w:b/>
          <w:bCs/>
          <w:caps/>
        </w:rPr>
      </w:pPr>
    </w:p>
    <w:p w14:paraId="4FC424F9" w14:textId="4E767245" w:rsidR="00C62B36" w:rsidRPr="000203E1" w:rsidRDefault="00C62B36" w:rsidP="00CC09D4">
      <w:pPr>
        <w:pStyle w:val="ListParagraph"/>
        <w:numPr>
          <w:ilvl w:val="0"/>
          <w:numId w:val="12"/>
        </w:numPr>
        <w:tabs>
          <w:tab w:val="left" w:pos="567"/>
        </w:tabs>
        <w:ind w:hanging="720"/>
        <w:rPr>
          <w:b/>
          <w:bCs/>
          <w:caps/>
        </w:rPr>
      </w:pPr>
      <w:r w:rsidRPr="000203E1">
        <w:rPr>
          <w:b/>
          <w:bCs/>
          <w:caps/>
        </w:rPr>
        <w:t xml:space="preserve">Pacientų organizacijų pateikti duomenys </w:t>
      </w:r>
    </w:p>
    <w:p w14:paraId="79BCFF40" w14:textId="4EF1FA36" w:rsidR="00937907" w:rsidRPr="000203E1" w:rsidRDefault="007E1737"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EndPr>
          <w:rPr>
            <w:rStyle w:val="Style2"/>
          </w:rPr>
        </w:sdtEndPr>
        <w:sdtContent>
          <w:r w:rsidR="00F656CA">
            <w:rPr>
              <w:rStyle w:val="Style2"/>
              <w:rFonts w:ascii="MS Gothic" w:eastAsia="MS Gothic" w:hAnsi="MS Gothic" w:hint="eastAsia"/>
              <w:sz w:val="24"/>
            </w:rPr>
            <w:t>☒</w:t>
          </w:r>
        </w:sdtContent>
      </w:sdt>
      <w:r w:rsidR="00937907" w:rsidRPr="000203E1">
        <w:t xml:space="preserve"> Pacientų organizacijos pozicija pateikta. Žr. priedą.</w:t>
      </w:r>
    </w:p>
    <w:p w14:paraId="62992180" w14:textId="2531D5E3" w:rsidR="00937907" w:rsidRPr="000203E1" w:rsidRDefault="007E1737"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EndPr>
          <w:rPr>
            <w:rStyle w:val="Style2"/>
          </w:rPr>
        </w:sdtEndPr>
        <w:sdtContent>
          <w:r w:rsidR="00937907" w:rsidRPr="000203E1">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937907">
      <w:pPr>
        <w:spacing w:after="120"/>
        <w:jc w:val="both"/>
      </w:pPr>
    </w:p>
    <w:p w14:paraId="3D3277FA" w14:textId="3CEEB2D2" w:rsidR="00C62B36" w:rsidRPr="000203E1" w:rsidRDefault="00C62B36" w:rsidP="00CC09D4">
      <w:pPr>
        <w:pStyle w:val="ListParagraph"/>
        <w:numPr>
          <w:ilvl w:val="0"/>
          <w:numId w:val="12"/>
        </w:numPr>
        <w:tabs>
          <w:tab w:val="left" w:pos="567"/>
        </w:tabs>
        <w:ind w:hanging="720"/>
        <w:rPr>
          <w:b/>
          <w:bCs/>
          <w:caps/>
        </w:rPr>
      </w:pPr>
      <w:r w:rsidRPr="000203E1">
        <w:rPr>
          <w:b/>
          <w:bCs/>
          <w:caps/>
        </w:rPr>
        <w:t>Gydytojų organizacijų pateikti duomenys</w:t>
      </w:r>
    </w:p>
    <w:p w14:paraId="389A346C" w14:textId="338859C5" w:rsidR="00937907" w:rsidRPr="000203E1" w:rsidRDefault="007E1737"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F656CA">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pateikta. </w:t>
      </w:r>
      <w:r w:rsidR="00662983" w:rsidRPr="000203E1">
        <w:t>Žr. priedą</w:t>
      </w:r>
      <w:r w:rsidR="00937907" w:rsidRPr="000203E1">
        <w:t>.</w:t>
      </w:r>
    </w:p>
    <w:p w14:paraId="5D8CC48C" w14:textId="7AA56ADF" w:rsidR="00662983" w:rsidRPr="000203E1" w:rsidRDefault="007E1737"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23A3A002" w:rsidR="002F0E4F" w:rsidRPr="000203E1" w:rsidRDefault="002F0E4F" w:rsidP="00CC09D4">
      <w:pPr>
        <w:pStyle w:val="ListParagraph"/>
        <w:numPr>
          <w:ilvl w:val="0"/>
          <w:numId w:val="12"/>
        </w:numPr>
        <w:tabs>
          <w:tab w:val="left" w:pos="567"/>
        </w:tabs>
        <w:ind w:hanging="720"/>
        <w:rPr>
          <w:b/>
          <w:bCs/>
          <w:caps/>
        </w:rPr>
      </w:pPr>
      <w:r w:rsidRPr="000203E1">
        <w:rPr>
          <w:b/>
          <w:bCs/>
          <w:caps/>
        </w:rPr>
        <w:t xml:space="preserve">Išvada </w:t>
      </w:r>
    </w:p>
    <w:p w14:paraId="08D5B3B6" w14:textId="2F61B849" w:rsidR="0061611B" w:rsidRPr="000203E1" w:rsidRDefault="0061611B" w:rsidP="0061611B">
      <w:pPr>
        <w:rPr>
          <w:i/>
          <w:szCs w:val="22"/>
        </w:rPr>
      </w:pPr>
    </w:p>
    <w:tbl>
      <w:tblPr>
        <w:tblStyle w:val="TableGrid"/>
        <w:tblW w:w="0" w:type="auto"/>
        <w:tblLook w:val="04A0" w:firstRow="1" w:lastRow="0" w:firstColumn="1" w:lastColumn="0" w:noHBand="0" w:noVBand="1"/>
      </w:tblPr>
      <w:tblGrid>
        <w:gridCol w:w="4815"/>
        <w:gridCol w:w="4814"/>
      </w:tblGrid>
      <w:tr w:rsidR="000203E1" w:rsidRPr="000203E1" w14:paraId="25A2473E" w14:textId="77777777" w:rsidTr="00C16245">
        <w:trPr>
          <w:trHeight w:val="510"/>
        </w:trPr>
        <w:tc>
          <w:tcPr>
            <w:tcW w:w="4815" w:type="dxa"/>
            <w:vAlign w:val="center"/>
          </w:tcPr>
          <w:p w14:paraId="7EFE6941" w14:textId="23B8BB6D"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lastRenderedPageBreak/>
              <w:t>Rekomenduojama kompensuoti</w:t>
            </w:r>
          </w:p>
        </w:tc>
        <w:tc>
          <w:tcPr>
            <w:tcW w:w="4814" w:type="dxa"/>
            <w:vAlign w:val="center"/>
          </w:tcPr>
          <w:p w14:paraId="330A1A5E" w14:textId="19247DC1" w:rsidR="00B13D65"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0203E1">
              <w:rPr>
                <w:rStyle w:val="Style2"/>
                <w:rFonts w:eastAsia="MS Gothic"/>
                <w:b/>
                <w:bCs/>
                <w:sz w:val="24"/>
              </w:rPr>
              <w:t xml:space="preserve">Rekomenduojama nekompensuoti </w:t>
            </w:r>
          </w:p>
        </w:tc>
      </w:tr>
      <w:tr w:rsidR="000203E1" w:rsidRPr="000203E1" w14:paraId="143A7356" w14:textId="77777777" w:rsidTr="00C16245">
        <w:trPr>
          <w:trHeight w:val="510"/>
        </w:trPr>
        <w:tc>
          <w:tcPr>
            <w:tcW w:w="9629" w:type="dxa"/>
            <w:gridSpan w:val="2"/>
            <w:vAlign w:val="center"/>
          </w:tcPr>
          <w:p w14:paraId="0AF5D6B4" w14:textId="6D8B6C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Palyginamasis efektyvumas</w:t>
            </w:r>
          </w:p>
        </w:tc>
      </w:tr>
      <w:tr w:rsidR="000203E1" w:rsidRPr="000203E1" w14:paraId="28A0C814" w14:textId="77777777" w:rsidTr="0061611B">
        <w:tc>
          <w:tcPr>
            <w:tcW w:w="4815" w:type="dxa"/>
          </w:tcPr>
          <w:p w14:paraId="216769B5" w14:textId="46B1D5BE" w:rsidR="00B13D65" w:rsidRPr="000203E1" w:rsidRDefault="007E173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F656CA">
                  <w:rPr>
                    <w:rStyle w:val="Style2"/>
                    <w:rFonts w:ascii="MS Gothic" w:eastAsia="MS Gothic" w:hAnsi="MS Gothic" w:hint="eastAsia"/>
                    <w:sz w:val="24"/>
                  </w:rPr>
                  <w:t>☒</w:t>
                </w:r>
              </w:sdtContent>
            </w:sdt>
            <w:r w:rsidR="00B13D65" w:rsidRPr="000203E1">
              <w:t xml:space="preserve"> 32.1. yra didesnis</w:t>
            </w:r>
            <w:r w:rsidR="00B00959" w:rsidRPr="000203E1">
              <w:t>, lyginant su įprasta klinikine praktika</w:t>
            </w:r>
          </w:p>
          <w:p w14:paraId="3B48F372"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0203E1" w:rsidRDefault="007E1737"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32.1. iš esmės nesiskiria</w:t>
            </w:r>
            <w:r w:rsidR="00B00959" w:rsidRPr="000203E1">
              <w:t>, lyginant su įprasta klinikine praktika</w:t>
            </w:r>
          </w:p>
        </w:tc>
        <w:tc>
          <w:tcPr>
            <w:tcW w:w="4814" w:type="dxa"/>
          </w:tcPr>
          <w:p w14:paraId="507828D9" w14:textId="10556E28" w:rsidR="00B13D65" w:rsidRPr="000203E1" w:rsidRDefault="007E173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33.1. yra mažesnis</w:t>
            </w:r>
            <w:r w:rsidR="00B00959" w:rsidRPr="000203E1">
              <w:t>, lyginant su įprasta klinikine praktika</w:t>
            </w:r>
          </w:p>
          <w:p w14:paraId="7F95DEEC"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0203E1" w:rsidRDefault="007E173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33.1. yra neįrodytas kaip toks pat</w:t>
            </w:r>
            <w:r w:rsidR="00B00959" w:rsidRPr="000203E1">
              <w:t>, lyginant su įprasta klinikine praktika</w:t>
            </w:r>
          </w:p>
          <w:p w14:paraId="35205E8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0203E1" w:rsidRDefault="007E173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0203E1">
                  <w:rPr>
                    <w:rStyle w:val="Style2"/>
                    <w:rFonts w:ascii="Segoe UI Symbol" w:eastAsia="MS Gothic" w:hAnsi="Segoe UI Symbol" w:cs="Segoe UI Symbol"/>
                    <w:sz w:val="24"/>
                  </w:rPr>
                  <w:t>☐</w:t>
                </w:r>
              </w:sdtContent>
            </w:sdt>
            <w:r w:rsidR="00662983" w:rsidRPr="000203E1">
              <w:t xml:space="preserve"> 33.1 </w:t>
            </w:r>
            <w:r w:rsidR="00B00959" w:rsidRPr="000203E1">
              <w:t xml:space="preserve">yra </w:t>
            </w:r>
            <w:r w:rsidR="00B13D65" w:rsidRPr="000203E1">
              <w:t>neįrodytas kaip didesnis</w:t>
            </w:r>
            <w:r w:rsidR="00B00959" w:rsidRPr="000203E1">
              <w:t>, lyginant su įprasta klinikine praktika</w:t>
            </w:r>
          </w:p>
          <w:p w14:paraId="512E653B"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0203E1" w:rsidRDefault="007E173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33.1. pateikti duomenys apie palyginamąjį efektyvumą yra netinkami vertinti</w:t>
            </w:r>
          </w:p>
          <w:p w14:paraId="5DDAA96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61CC3FE" w14:textId="77777777" w:rsidTr="00C16245">
        <w:trPr>
          <w:trHeight w:val="510"/>
        </w:trPr>
        <w:tc>
          <w:tcPr>
            <w:tcW w:w="9629" w:type="dxa"/>
            <w:gridSpan w:val="2"/>
            <w:vAlign w:val="center"/>
          </w:tcPr>
          <w:p w14:paraId="1AB46894" w14:textId="3E765638"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Klinikinis veiksmingumas</w:t>
            </w:r>
          </w:p>
        </w:tc>
      </w:tr>
      <w:tr w:rsidR="000203E1" w:rsidRPr="000203E1" w14:paraId="3C60570A" w14:textId="77777777" w:rsidTr="0061611B">
        <w:tc>
          <w:tcPr>
            <w:tcW w:w="4815" w:type="dxa"/>
          </w:tcPr>
          <w:p w14:paraId="6897B306" w14:textId="70A58AEA" w:rsidR="00B13D65" w:rsidRPr="000203E1" w:rsidRDefault="007E173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F656CA">
                  <w:rPr>
                    <w:rStyle w:val="Style2"/>
                    <w:rFonts w:ascii="MS Gothic" w:eastAsia="MS Gothic" w:hAnsi="MS Gothic" w:hint="eastAsia"/>
                    <w:sz w:val="24"/>
                  </w:rPr>
                  <w:t>☒</w:t>
                </w:r>
              </w:sdtContent>
            </w:sdt>
            <w:r w:rsidR="00B13D65" w:rsidRPr="000203E1">
              <w:t xml:space="preserve"> 32.2. yra įvertintas kaip pagrindžiantis papildomos naudos pacientų sveikatai sukūrimą, lyginant su įprasta klinikine praktika</w:t>
            </w:r>
          </w:p>
          <w:p w14:paraId="71D57105"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0203E1" w:rsidRDefault="007E173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32.2. </w:t>
            </w:r>
            <w:r w:rsidR="00B00959" w:rsidRPr="000203E1">
              <w:t xml:space="preserve">yra </w:t>
            </w:r>
            <w:r w:rsidR="00B13D65" w:rsidRPr="000203E1">
              <w:t>įvertintas kaip pagrindžiantis nesiskiriančios naudos pacientų sveikatai sukūrimą, lyginant su įprasta klinikine praktika</w:t>
            </w:r>
          </w:p>
          <w:p w14:paraId="287AD233"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0203E1" w:rsidRDefault="007E1737"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33.1. yra įvertintas kaip nepagrindžiantis papildomos </w:t>
            </w:r>
            <w:r w:rsidR="00662983" w:rsidRPr="000203E1">
              <w:t>naudos pacientų sveikatai sukūrimo, lyginant su  įprasta klinikine praktika</w:t>
            </w:r>
          </w:p>
          <w:p w14:paraId="6C70BCFC" w14:textId="77777777" w:rsidR="00662983" w:rsidRPr="000203E1" w:rsidRDefault="00662983" w:rsidP="00BD1E5A">
            <w:pPr>
              <w:jc w:val="both"/>
            </w:pPr>
          </w:p>
          <w:p w14:paraId="0ADEC30D" w14:textId="1353964F" w:rsidR="00B13D65" w:rsidRPr="000203E1" w:rsidRDefault="007E1737"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0203E1">
                  <w:rPr>
                    <w:rStyle w:val="Style2"/>
                    <w:rFonts w:ascii="Segoe UI Symbol" w:eastAsia="MS Gothic" w:hAnsi="Segoe UI Symbol" w:cs="Segoe UI Symbol"/>
                    <w:sz w:val="24"/>
                  </w:rPr>
                  <w:t>☐</w:t>
                </w:r>
              </w:sdtContent>
            </w:sdt>
            <w:r w:rsidR="00B13D65" w:rsidRPr="000203E1">
              <w:t xml:space="preserve"> </w:t>
            </w:r>
            <w:r w:rsidR="00662983" w:rsidRPr="000203E1">
              <w:t xml:space="preserve">33.1. </w:t>
            </w:r>
            <w:r w:rsidR="00B00959" w:rsidRPr="000203E1">
              <w:t xml:space="preserve">yra įvertintas kaip nepagrindžiantis </w:t>
            </w:r>
            <w:r w:rsidR="00B13D65" w:rsidRPr="000203E1">
              <w:t>nesiskiriančios naudos pacientų sveikatai sukūrimo, lyginant su įprasta klinikine praktika</w:t>
            </w:r>
          </w:p>
          <w:p w14:paraId="1EED7901"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203E1">
              <w:rPr>
                <w:rStyle w:val="Style2"/>
                <w:rFonts w:eastAsia="MS Gothic"/>
                <w:b/>
                <w:bCs/>
                <w:sz w:val="24"/>
              </w:rPr>
              <w:t>Kaštų naudingumas</w:t>
            </w:r>
          </w:p>
        </w:tc>
      </w:tr>
      <w:tr w:rsidR="00B13D65" w:rsidRPr="000203E1" w14:paraId="7091A05B" w14:textId="77777777" w:rsidTr="0061611B">
        <w:tc>
          <w:tcPr>
            <w:tcW w:w="4815" w:type="dxa"/>
          </w:tcPr>
          <w:p w14:paraId="69B2A994" w14:textId="236A4BC0" w:rsidR="00B13D65" w:rsidRPr="000203E1" w:rsidRDefault="007E173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111066">
                  <w:rPr>
                    <w:rStyle w:val="Style2"/>
                    <w:rFonts w:ascii="MS Gothic" w:eastAsia="MS Gothic" w:hAnsi="MS Gothic" w:hint="eastAsia"/>
                    <w:sz w:val="24"/>
                  </w:rPr>
                  <w:t>☒</w:t>
                </w:r>
              </w:sdtContent>
            </w:sdt>
            <w:r w:rsidR="00B13D65" w:rsidRPr="000203E1">
              <w:t xml:space="preserve"> 32.3. atitink</w:t>
            </w:r>
            <w:r w:rsidR="00111066">
              <w:t xml:space="preserve">a referencinę naudingumo vertę, </w:t>
            </w:r>
            <w:r w:rsidR="00B13D65" w:rsidRPr="000203E1">
              <w:t>netaikant PGS</w:t>
            </w:r>
          </w:p>
          <w:p w14:paraId="3F76F153"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2575FD4F" w:rsidR="00B13D65" w:rsidRPr="000203E1" w:rsidRDefault="007E173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32.3. gydymo juo kaštai yra mažesni ar tokie patys esant iš esmės nesiskiriančiam palyginamajam efektyvumui, netaikant PGS</w:t>
            </w:r>
            <w:r w:rsidR="00B00959" w:rsidRPr="000203E1">
              <w:t>, lyginant su įprasta klinikine praktika</w:t>
            </w:r>
          </w:p>
          <w:p w14:paraId="25E4BD1E"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0203E1" w:rsidRDefault="007E173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33.3. neatitinka referencinės naudingumo vertės Lietuvos Respublikoje</w:t>
            </w:r>
          </w:p>
          <w:p w14:paraId="229ED51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19701D42" w:rsidR="00B13D65" w:rsidRPr="000203E1" w:rsidRDefault="007E173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33.3. gydymo juo kaštai yra didesni esant iš esmės nesiskiriančiam palyginamajam efektyvumui, netaikant PGS</w:t>
            </w:r>
            <w:r w:rsidR="00B00959" w:rsidRPr="000203E1">
              <w:t>, lyginant su įprasta klinikine praktika</w:t>
            </w:r>
          </w:p>
          <w:p w14:paraId="4A9C7D2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0203E1" w:rsidRDefault="007E1737"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0203E1">
                  <w:rPr>
                    <w:rStyle w:val="Style2"/>
                    <w:rFonts w:ascii="Segoe UI Symbol" w:eastAsia="MS Gothic" w:hAnsi="Segoe UI Symbol" w:cs="Segoe UI Symbol"/>
                    <w:sz w:val="24"/>
                  </w:rPr>
                  <w:t>☐</w:t>
                </w:r>
              </w:sdtContent>
            </w:sdt>
            <w:r w:rsidR="00B13D65" w:rsidRPr="000203E1">
              <w:t xml:space="preserve"> 33.3. pateikti duomenys apie kaštų na</w:t>
            </w:r>
            <w:r w:rsidR="00662983" w:rsidRPr="000203E1">
              <w:t>udingumą yra netinkami vertinti</w:t>
            </w:r>
          </w:p>
          <w:p w14:paraId="470A48A4"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9A90384" w14:textId="4772D5ED" w:rsidR="004A3A61" w:rsidRPr="000203E1" w:rsidRDefault="004A3A61" w:rsidP="00381024"/>
    <w:p w14:paraId="3B2D1F25" w14:textId="3A80E19F" w:rsidR="000001B0" w:rsidRPr="000203E1" w:rsidRDefault="000001B0" w:rsidP="00CC09D4">
      <w:pPr>
        <w:pStyle w:val="ListParagraph"/>
        <w:numPr>
          <w:ilvl w:val="0"/>
          <w:numId w:val="12"/>
        </w:numPr>
        <w:ind w:left="567" w:hanging="567"/>
      </w:pPr>
      <w:r w:rsidRPr="000203E1">
        <w:rPr>
          <w:b/>
        </w:rPr>
        <w:t>REKOME</w:t>
      </w:r>
      <w:r w:rsidR="00D83182" w:rsidRPr="000203E1">
        <w:rPr>
          <w:b/>
        </w:rPr>
        <w:t>N</w:t>
      </w:r>
      <w:r w:rsidRPr="000203E1">
        <w:rPr>
          <w:b/>
        </w:rPr>
        <w:t>DACIJA</w:t>
      </w:r>
    </w:p>
    <w:p w14:paraId="7D5C6700" w14:textId="77777777" w:rsidR="00D5470B" w:rsidRPr="000203E1" w:rsidRDefault="00D5470B" w:rsidP="00C712EA">
      <w:pPr>
        <w:pStyle w:val="ListParagraph"/>
        <w:ind w:left="426"/>
      </w:pPr>
    </w:p>
    <w:p w14:paraId="452E5A41" w14:textId="3D58BC31" w:rsidR="004F3B2B" w:rsidRPr="00111066" w:rsidRDefault="004F3B2B" w:rsidP="00111066">
      <w:pPr>
        <w:jc w:val="both"/>
      </w:pPr>
      <w:r w:rsidRPr="000203E1">
        <w:t xml:space="preserve">Vadovaujantis </w:t>
      </w:r>
      <w:r w:rsidR="00F259FC" w:rsidRPr="000203E1">
        <w:t xml:space="preserve">Vaistinių preparatų ir medicinos pagalbos priemonių įrašymo į kompensavimo sąrašus ir jų keitimo tvarkos aprašo, patvirtinto </w:t>
      </w:r>
      <w:r w:rsidRPr="000203E1">
        <w:t>Lietuvos Respublikos sveikatos apsaugos ministro 2002 m. balandžio 5 d. įsakymu Nr. V-159 „Dėl vaistinių preparatų ir medicinos pagalbos priemonių įrašymo į kompensavimo sąrašus ir jų keitimo tvarkos aprašo patvirtinimo“</w:t>
      </w:r>
      <w:r w:rsidR="00F259FC" w:rsidRPr="000203E1">
        <w:t>,</w:t>
      </w:r>
      <w:r w:rsidRPr="000203E1">
        <w:t xml:space="preserve"> punktu</w:t>
      </w:r>
      <w:r w:rsidR="00111066">
        <w:t xml:space="preserve"> </w:t>
      </w:r>
      <w:r w:rsidRPr="000203E1">
        <w:t>34.1</w:t>
      </w:r>
      <w:r w:rsidRPr="007E1737">
        <w:t xml:space="preserve">. rekomenduojama </w:t>
      </w:r>
      <w:r w:rsidRPr="007E1737">
        <w:rPr>
          <w:i/>
        </w:rPr>
        <w:t xml:space="preserve">kompensuoti </w:t>
      </w:r>
      <w:r w:rsidRPr="007E1737">
        <w:t>vaistinį preparatą p</w:t>
      </w:r>
      <w:r w:rsidR="000F03F0" w:rsidRPr="007E1737">
        <w:t xml:space="preserve">agal paraiškoje nurodytą </w:t>
      </w:r>
      <w:r w:rsidRPr="007E1737">
        <w:t>indikaciją</w:t>
      </w:r>
      <w:r w:rsidR="000F03F0" w:rsidRPr="007E1737">
        <w:t xml:space="preserve"> </w:t>
      </w:r>
      <w:r w:rsidRPr="007E1737">
        <w:t>su skyrimo sąlygomis</w:t>
      </w:r>
      <w:r w:rsidR="00111066" w:rsidRPr="007E1737">
        <w:t>, netaikant PGS</w:t>
      </w:r>
      <w:r w:rsidRPr="007E1737">
        <w:t>, dėl didesnio palyginamojo efektyvumo ir gydymo sukuriamos papildomos naudos pacientų sveikatai, lyginant su įprasta klinikine praktika, ir atitikties r</w:t>
      </w:r>
      <w:r w:rsidR="000F03F0" w:rsidRPr="007E1737">
        <w:t>eferencinei naudingumo vertei.</w:t>
      </w:r>
    </w:p>
    <w:p w14:paraId="1E494FE6" w14:textId="77777777" w:rsidR="004F3B2B" w:rsidRPr="000203E1" w:rsidRDefault="004F3B2B" w:rsidP="004F3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BC01EE" w14:textId="44333E0B" w:rsidR="000723FF" w:rsidRPr="000203E1" w:rsidRDefault="000723FF" w:rsidP="00381024"/>
    <w:p w14:paraId="18B4292E" w14:textId="079A2351" w:rsidR="000723FF" w:rsidRPr="000203E1" w:rsidRDefault="00CC09D4" w:rsidP="00CC09D4">
      <w:pPr>
        <w:tabs>
          <w:tab w:val="left" w:pos="567"/>
        </w:tabs>
        <w:ind w:left="567" w:hanging="567"/>
        <w:jc w:val="both"/>
        <w:rPr>
          <w:b/>
          <w:lang w:eastAsia="lt-LT"/>
        </w:rPr>
      </w:pPr>
      <w:r w:rsidRPr="000203E1">
        <w:rPr>
          <w:b/>
          <w:lang w:eastAsia="lt-LT"/>
        </w:rPr>
        <w:t>8.</w:t>
      </w:r>
      <w:r w:rsidRPr="000203E1">
        <w:rPr>
          <w:b/>
          <w:lang w:eastAsia="lt-LT"/>
        </w:rPr>
        <w:tab/>
      </w:r>
      <w:r w:rsidR="000723FF" w:rsidRPr="000203E1">
        <w:rPr>
          <w:b/>
          <w:lang w:eastAsia="lt-LT"/>
        </w:rPr>
        <w:t>SIŪLOMOS KOMPENSUOTI TERAPINĖS INDIKACIJOS IR SKYRIMO SĄLYGOS</w:t>
      </w:r>
    </w:p>
    <w:p w14:paraId="691340BB" w14:textId="77777777" w:rsidR="000723FF" w:rsidRPr="000203E1" w:rsidRDefault="000723FF" w:rsidP="000723FF">
      <w:pPr>
        <w:tabs>
          <w:tab w:val="left" w:pos="426"/>
        </w:tabs>
        <w:jc w:val="both"/>
        <w:rPr>
          <w:b/>
          <w:lang w:eastAsia="lt-LT"/>
        </w:rPr>
      </w:pPr>
    </w:p>
    <w:p w14:paraId="529C92C4" w14:textId="152E5FB4" w:rsidR="000723FF" w:rsidRPr="000203E1" w:rsidRDefault="000723FF" w:rsidP="00824B92">
      <w:pPr>
        <w:rPr>
          <w:b/>
          <w:lang w:eastAsia="lt-LT"/>
        </w:rPr>
      </w:pPr>
      <w:r w:rsidRPr="000203E1">
        <w:rPr>
          <w:b/>
          <w:lang w:eastAsia="lt-LT"/>
        </w:rPr>
        <w:t>Terapinės indikacijos</w:t>
      </w:r>
    </w:p>
    <w:p w14:paraId="5BB746DD" w14:textId="44703675" w:rsidR="000723FF" w:rsidRPr="000203E1" w:rsidRDefault="007E1737" w:rsidP="00824B9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61795A">
            <w:rPr>
              <w:rStyle w:val="Style2"/>
              <w:rFonts w:ascii="MS Gothic" w:eastAsia="MS Gothic" w:hAnsi="MS Gothic" w:hint="eastAsia"/>
            </w:rPr>
            <w:t>☒</w:t>
          </w:r>
        </w:sdtContent>
      </w:sdt>
      <w:r w:rsidR="000723FF" w:rsidRPr="000203E1">
        <w:t xml:space="preserve"> Siūloma kompensuoti Pareiškėjo teikiamą indikaciją be pakeitimų.</w:t>
      </w:r>
    </w:p>
    <w:p w14:paraId="448ADECE" w14:textId="77777777" w:rsidR="0061795A" w:rsidRPr="00A14968" w:rsidRDefault="0061795A" w:rsidP="0061795A">
      <w:pPr>
        <w:pStyle w:val="NoSpacing"/>
        <w:rPr>
          <w:rFonts w:ascii="Times New Roman" w:eastAsia="Times New Roman" w:hAnsi="Times New Roman"/>
          <w:sz w:val="24"/>
          <w:szCs w:val="24"/>
        </w:rPr>
      </w:pPr>
      <w:r w:rsidRPr="00A14968">
        <w:rPr>
          <w:rFonts w:ascii="Times New Roman" w:eastAsia="Times New Roman" w:hAnsi="Times New Roman"/>
          <w:sz w:val="24"/>
          <w:szCs w:val="24"/>
        </w:rPr>
        <w:t xml:space="preserve">Jardiance skirtas gydyti suaugusiems, sergantiems simptominiu lėtiniu širdies nepakankamumu, esant sumažėjusiai išstūmimo frakcijai. </w:t>
      </w:r>
    </w:p>
    <w:p w14:paraId="1E9261F9" w14:textId="77777777" w:rsidR="0061795A" w:rsidRDefault="0061795A" w:rsidP="0061795A">
      <w:pPr>
        <w:pStyle w:val="NoSpacing"/>
        <w:rPr>
          <w:rFonts w:ascii="Times New Roman" w:eastAsia="Times New Roman" w:hAnsi="Times New Roman"/>
          <w:sz w:val="24"/>
          <w:szCs w:val="24"/>
        </w:rPr>
      </w:pPr>
      <w:r w:rsidRPr="00A14968">
        <w:rPr>
          <w:rFonts w:ascii="Times New Roman" w:eastAsia="Times New Roman" w:hAnsi="Times New Roman"/>
          <w:sz w:val="24"/>
          <w:szCs w:val="24"/>
        </w:rPr>
        <w:t>TLK kodas – I50.</w:t>
      </w:r>
    </w:p>
    <w:p w14:paraId="597367EF" w14:textId="77777777" w:rsidR="000723FF" w:rsidRPr="000203E1" w:rsidRDefault="007E1737" w:rsidP="00824B92">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0723FF" w:rsidRPr="000203E1">
            <w:rPr>
              <w:rStyle w:val="Style2"/>
              <w:rFonts w:ascii="MS Gothic" w:eastAsia="MS Gothic" w:hAnsi="MS Gothic"/>
            </w:rPr>
            <w:t>☐</w:t>
          </w:r>
        </w:sdtContent>
      </w:sdt>
      <w:r w:rsidR="000723FF" w:rsidRPr="000203E1">
        <w:t xml:space="preserve"> Siūloma kompensuoti Pareiškėjo teikiamą indikaciją su pakeitimais.</w:t>
      </w:r>
    </w:p>
    <w:p w14:paraId="7DD65F7E" w14:textId="77777777" w:rsidR="000723FF" w:rsidRPr="000203E1" w:rsidRDefault="000723FF" w:rsidP="00824B92"/>
    <w:p w14:paraId="24A72ECF" w14:textId="77777777" w:rsidR="004B3A2D" w:rsidRPr="0002553B" w:rsidRDefault="004B3A2D" w:rsidP="004B3A2D">
      <w:pPr>
        <w:pStyle w:val="NoSpacing"/>
        <w:rPr>
          <w:rFonts w:ascii="Times New Roman" w:hAnsi="Times New Roman"/>
          <w:b/>
          <w:sz w:val="24"/>
          <w:szCs w:val="24"/>
        </w:rPr>
      </w:pPr>
      <w:r w:rsidRPr="0002553B">
        <w:rPr>
          <w:rFonts w:ascii="Times New Roman" w:hAnsi="Times New Roman"/>
          <w:b/>
          <w:sz w:val="24"/>
          <w:szCs w:val="24"/>
        </w:rPr>
        <w:t>Skyrimo sąlygos</w:t>
      </w:r>
    </w:p>
    <w:p w14:paraId="3CBB83E1" w14:textId="77777777" w:rsidR="004B3A2D" w:rsidRDefault="007E1737" w:rsidP="004B3A2D">
      <w:pPr>
        <w:pStyle w:val="NoSpacing"/>
        <w:rPr>
          <w:rFonts w:ascii="Times New Roman" w:hAnsi="Times New Roman"/>
          <w:sz w:val="24"/>
          <w:szCs w:val="24"/>
        </w:rPr>
      </w:pPr>
      <w:sdt>
        <w:sdtPr>
          <w:rPr>
            <w:rStyle w:val="Style2"/>
            <w:rFonts w:ascii="Times New Roman" w:hAnsi="Times New Roman"/>
            <w:sz w:val="24"/>
            <w:szCs w:val="24"/>
          </w:rPr>
          <w:id w:val="169305347"/>
          <w15:color w:val="FFCC00"/>
          <w14:checkbox>
            <w14:checked w14:val="0"/>
            <w14:checkedState w14:val="2612" w14:font="MS Gothic"/>
            <w14:uncheckedState w14:val="2610" w14:font="MS Gothic"/>
          </w14:checkbox>
        </w:sdtPr>
        <w:sdtEndPr>
          <w:rPr>
            <w:rStyle w:val="Style2"/>
          </w:rPr>
        </w:sdtEndPr>
        <w:sdtContent>
          <w:r w:rsidR="004B3A2D">
            <w:rPr>
              <w:rStyle w:val="Style2"/>
              <w:rFonts w:ascii="MS Gothic" w:eastAsia="MS Gothic" w:hAnsi="MS Gothic" w:hint="eastAsia"/>
              <w:sz w:val="24"/>
              <w:szCs w:val="24"/>
            </w:rPr>
            <w:t>☐</w:t>
          </w:r>
        </w:sdtContent>
      </w:sdt>
      <w:r w:rsidR="004B3A2D" w:rsidRPr="0002553B">
        <w:rPr>
          <w:rFonts w:ascii="Times New Roman" w:hAnsi="Times New Roman"/>
          <w:sz w:val="24"/>
          <w:szCs w:val="24"/>
        </w:rPr>
        <w:t xml:space="preserve"> Pareiškėjo siūlo</w:t>
      </w:r>
      <w:r w:rsidR="004B3A2D">
        <w:rPr>
          <w:rFonts w:ascii="Times New Roman" w:hAnsi="Times New Roman"/>
          <w:sz w:val="24"/>
          <w:szCs w:val="24"/>
        </w:rPr>
        <w:t>mos skyrimo sąlygos priimtinos.</w:t>
      </w:r>
    </w:p>
    <w:p w14:paraId="00BF2FED" w14:textId="77777777" w:rsidR="004B3A2D" w:rsidRDefault="007E1737" w:rsidP="004B3A2D">
      <w:pPr>
        <w:pStyle w:val="NoSpacing"/>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EndPr>
          <w:rPr>
            <w:rStyle w:val="Style2"/>
          </w:rPr>
        </w:sdtEndPr>
        <w:sdtContent>
          <w:r w:rsidR="004B3A2D">
            <w:rPr>
              <w:rStyle w:val="Style2"/>
              <w:rFonts w:ascii="MS Gothic" w:eastAsia="MS Gothic" w:hAnsi="MS Gothic" w:hint="eastAsia"/>
              <w:sz w:val="24"/>
              <w:szCs w:val="24"/>
            </w:rPr>
            <w:t>☒</w:t>
          </w:r>
        </w:sdtContent>
      </w:sdt>
      <w:r w:rsidR="004B3A2D" w:rsidRPr="0002553B">
        <w:rPr>
          <w:rFonts w:ascii="Times New Roman" w:hAnsi="Times New Roman"/>
          <w:sz w:val="24"/>
          <w:szCs w:val="24"/>
        </w:rPr>
        <w:t xml:space="preserve"> Pareiškėjo siūlomos skyrimo sąlygos nepriimtinos.</w:t>
      </w:r>
    </w:p>
    <w:p w14:paraId="465566A5" w14:textId="77777777" w:rsidR="004E7CBE" w:rsidRDefault="004E7CBE" w:rsidP="004B3A2D">
      <w:pPr>
        <w:rPr>
          <w:rFonts w:eastAsia="Calibri"/>
          <w:i/>
          <w:lang w:eastAsia="lt-LT"/>
        </w:rPr>
      </w:pPr>
    </w:p>
    <w:p w14:paraId="56CF898D" w14:textId="798744D5" w:rsidR="004E7CBE" w:rsidRPr="004E7CBE" w:rsidRDefault="004E7CBE" w:rsidP="004B3A2D">
      <w:pPr>
        <w:rPr>
          <w:rFonts w:eastAsia="Calibri"/>
          <w:i/>
          <w:lang w:eastAsia="lt-LT"/>
        </w:rPr>
      </w:pPr>
      <w:r>
        <w:rPr>
          <w:rFonts w:eastAsia="Calibri"/>
          <w:i/>
          <w:lang w:eastAsia="lt-LT"/>
        </w:rPr>
        <w:t xml:space="preserve">Teikiamos </w:t>
      </w:r>
      <w:r w:rsidRPr="004E7CBE">
        <w:rPr>
          <w:rFonts w:eastAsia="Calibri"/>
          <w:i/>
          <w:lang w:eastAsia="lt-LT"/>
        </w:rPr>
        <w:t xml:space="preserve"> skyrimo sąlygos</w:t>
      </w:r>
      <w:r>
        <w:rPr>
          <w:rFonts w:eastAsia="Calibri"/>
          <w:i/>
          <w:lang w:eastAsia="lt-LT"/>
        </w:rPr>
        <w:t xml:space="preserve"> </w:t>
      </w:r>
    </w:p>
    <w:p w14:paraId="419E3AC4" w14:textId="41B4F95F" w:rsidR="004B3A2D" w:rsidRDefault="004B3A2D" w:rsidP="004B3A2D">
      <w:pPr>
        <w:rPr>
          <w:rFonts w:eastAsia="Calibri"/>
          <w:lang w:eastAsia="lt-LT"/>
        </w:rPr>
      </w:pPr>
      <w:r w:rsidRPr="00DE0036">
        <w:rPr>
          <w:rFonts w:eastAsia="Calibri"/>
          <w:lang w:eastAsia="lt-LT"/>
        </w:rPr>
        <w:t>Skiriamas gydyti suaugusiesiems, sergantiems simptominiu</w:t>
      </w:r>
      <w:r>
        <w:rPr>
          <w:rFonts w:eastAsia="Calibri"/>
          <w:lang w:eastAsia="lt-LT"/>
        </w:rPr>
        <w:t xml:space="preserve"> </w:t>
      </w:r>
      <w:r w:rsidRPr="00DE0036">
        <w:rPr>
          <w:rFonts w:eastAsia="Calibri"/>
          <w:lang w:eastAsia="lt-LT"/>
        </w:rPr>
        <w:t>lėtiniu širdies nepakankamumu su sumažėjusia išstūmimo frakcija (≤ 40</w:t>
      </w:r>
      <w:r>
        <w:rPr>
          <w:rFonts w:eastAsia="Calibri"/>
          <w:lang w:eastAsia="lt-LT"/>
        </w:rPr>
        <w:t xml:space="preserve"> </w:t>
      </w:r>
      <w:r w:rsidRPr="00DE0036">
        <w:rPr>
          <w:rFonts w:eastAsia="Calibri"/>
          <w:lang w:eastAsia="lt-LT"/>
        </w:rPr>
        <w:t>proc.), esant II-IV NYHA</w:t>
      </w:r>
      <w:r>
        <w:rPr>
          <w:rFonts w:eastAsia="Calibri"/>
          <w:lang w:eastAsia="lt-LT"/>
        </w:rPr>
        <w:t xml:space="preserve"> </w:t>
      </w:r>
      <w:r w:rsidRPr="00DE0036">
        <w:rPr>
          <w:rFonts w:eastAsia="Calibri"/>
          <w:lang w:eastAsia="lt-LT"/>
        </w:rPr>
        <w:t>funkcinei klasei.</w:t>
      </w:r>
    </w:p>
    <w:p w14:paraId="33B8DE04" w14:textId="77777777" w:rsidR="00283E59" w:rsidRDefault="00283E59" w:rsidP="00283E59">
      <w:pPr>
        <w:widowControl w:val="0"/>
        <w:tabs>
          <w:tab w:val="left" w:pos="1418"/>
        </w:tabs>
        <w:suppressAutoHyphens/>
        <w:spacing w:line="360" w:lineRule="atLeast"/>
        <w:jc w:val="center"/>
        <w:textAlignment w:val="center"/>
      </w:pPr>
      <w:r>
        <w:rPr>
          <w:color w:val="000000"/>
          <w:lang w:eastAsia="lt-LT"/>
        </w:rPr>
        <w:t>____________________________</w:t>
      </w:r>
    </w:p>
    <w:p w14:paraId="562A1372" w14:textId="77777777" w:rsidR="00283E59" w:rsidRDefault="00283E59" w:rsidP="00283E59">
      <w:pPr>
        <w:jc w:val="both"/>
        <w:rPr>
          <w:b/>
          <w:sz w:val="20"/>
        </w:rPr>
      </w:pPr>
    </w:p>
    <w:p w14:paraId="7CDFF220" w14:textId="58191D98" w:rsidR="000723FF" w:rsidRPr="000203E1" w:rsidRDefault="000723FF" w:rsidP="00824B92">
      <w:pPr>
        <w:rPr>
          <w:b/>
        </w:rPr>
      </w:pPr>
    </w:p>
    <w:sectPr w:rsidR="000723FF" w:rsidRPr="000203E1"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65FD" w14:textId="77777777" w:rsidR="00DB24DD" w:rsidRDefault="00DB24DD">
      <w:r>
        <w:separator/>
      </w:r>
    </w:p>
  </w:endnote>
  <w:endnote w:type="continuationSeparator" w:id="0">
    <w:p w14:paraId="78F753BB" w14:textId="77777777" w:rsidR="00DB24DD" w:rsidRDefault="00DB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8CD1" w14:textId="77777777" w:rsidR="002F23A0" w:rsidRDefault="002F2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D287" w14:textId="77777777" w:rsidR="002F23A0" w:rsidRDefault="002F2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EF9BF" w14:textId="77777777" w:rsidR="00DB24DD" w:rsidRDefault="00DB24DD">
      <w:r>
        <w:separator/>
      </w:r>
    </w:p>
  </w:footnote>
  <w:footnote w:type="continuationSeparator" w:id="0">
    <w:p w14:paraId="38A82FE1" w14:textId="77777777" w:rsidR="00DB24DD" w:rsidRDefault="00DB2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238EBC5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23A0">
      <w:rPr>
        <w:rStyle w:val="PageNumber"/>
        <w:noProof/>
      </w:rPr>
      <w:t>3</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BF6014"/>
    <w:multiLevelType w:val="hybridMultilevel"/>
    <w:tmpl w:val="3236B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2408A0"/>
    <w:multiLevelType w:val="hybridMultilevel"/>
    <w:tmpl w:val="3236B3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1696066">
    <w:abstractNumId w:val="6"/>
  </w:num>
  <w:num w:numId="2" w16cid:durableId="987974945">
    <w:abstractNumId w:val="1"/>
  </w:num>
  <w:num w:numId="3" w16cid:durableId="357513341">
    <w:abstractNumId w:val="10"/>
  </w:num>
  <w:num w:numId="4" w16cid:durableId="1872187416">
    <w:abstractNumId w:val="8"/>
  </w:num>
  <w:num w:numId="5" w16cid:durableId="491332788">
    <w:abstractNumId w:val="5"/>
  </w:num>
  <w:num w:numId="6" w16cid:durableId="2127657548">
    <w:abstractNumId w:val="4"/>
  </w:num>
  <w:num w:numId="7" w16cid:durableId="991644429">
    <w:abstractNumId w:val="3"/>
  </w:num>
  <w:num w:numId="8" w16cid:durableId="1671985068">
    <w:abstractNumId w:val="13"/>
  </w:num>
  <w:num w:numId="9" w16cid:durableId="40131270">
    <w:abstractNumId w:val="0"/>
  </w:num>
  <w:num w:numId="10" w16cid:durableId="849102331">
    <w:abstractNumId w:val="11"/>
  </w:num>
  <w:num w:numId="11" w16cid:durableId="1998416123">
    <w:abstractNumId w:val="12"/>
  </w:num>
  <w:num w:numId="12" w16cid:durableId="1379936313">
    <w:abstractNumId w:val="2"/>
  </w:num>
  <w:num w:numId="13" w16cid:durableId="483936773">
    <w:abstractNumId w:val="7"/>
  </w:num>
  <w:num w:numId="14" w16cid:durableId="420221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05777"/>
    <w:rsid w:val="000114DD"/>
    <w:rsid w:val="000136F7"/>
    <w:rsid w:val="000203E1"/>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B102B"/>
    <w:rsid w:val="000C454C"/>
    <w:rsid w:val="000D5038"/>
    <w:rsid w:val="000E29D4"/>
    <w:rsid w:val="000F03F0"/>
    <w:rsid w:val="000F3540"/>
    <w:rsid w:val="00100491"/>
    <w:rsid w:val="00104E2E"/>
    <w:rsid w:val="00107287"/>
    <w:rsid w:val="00111066"/>
    <w:rsid w:val="00117406"/>
    <w:rsid w:val="00121EF0"/>
    <w:rsid w:val="00124A9E"/>
    <w:rsid w:val="00130703"/>
    <w:rsid w:val="0013153F"/>
    <w:rsid w:val="001408B8"/>
    <w:rsid w:val="001517E2"/>
    <w:rsid w:val="001521D9"/>
    <w:rsid w:val="001554E2"/>
    <w:rsid w:val="00164146"/>
    <w:rsid w:val="00164D64"/>
    <w:rsid w:val="0017369C"/>
    <w:rsid w:val="00175D57"/>
    <w:rsid w:val="00180C39"/>
    <w:rsid w:val="00180D96"/>
    <w:rsid w:val="00184BD3"/>
    <w:rsid w:val="001921F3"/>
    <w:rsid w:val="001B3C5B"/>
    <w:rsid w:val="001D5B91"/>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83E59"/>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2F23A0"/>
    <w:rsid w:val="00314816"/>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53862"/>
    <w:rsid w:val="0045469B"/>
    <w:rsid w:val="00461338"/>
    <w:rsid w:val="004677DB"/>
    <w:rsid w:val="00476256"/>
    <w:rsid w:val="0048630F"/>
    <w:rsid w:val="004947A1"/>
    <w:rsid w:val="0049482A"/>
    <w:rsid w:val="004979D3"/>
    <w:rsid w:val="004A00E7"/>
    <w:rsid w:val="004A3A61"/>
    <w:rsid w:val="004B3A2D"/>
    <w:rsid w:val="004B53A1"/>
    <w:rsid w:val="004B59BA"/>
    <w:rsid w:val="004B5A03"/>
    <w:rsid w:val="004C0359"/>
    <w:rsid w:val="004C263A"/>
    <w:rsid w:val="004D48A6"/>
    <w:rsid w:val="004D7B8F"/>
    <w:rsid w:val="004E241F"/>
    <w:rsid w:val="004E6458"/>
    <w:rsid w:val="004E6E7D"/>
    <w:rsid w:val="004E7CBE"/>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1795A"/>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27F3"/>
    <w:rsid w:val="007301CF"/>
    <w:rsid w:val="007316FB"/>
    <w:rsid w:val="00737E2D"/>
    <w:rsid w:val="007424D5"/>
    <w:rsid w:val="0074423D"/>
    <w:rsid w:val="00750A88"/>
    <w:rsid w:val="007523DD"/>
    <w:rsid w:val="00757B7E"/>
    <w:rsid w:val="007656B2"/>
    <w:rsid w:val="00767323"/>
    <w:rsid w:val="0077016F"/>
    <w:rsid w:val="007713AD"/>
    <w:rsid w:val="00795DC5"/>
    <w:rsid w:val="00797153"/>
    <w:rsid w:val="007A21F7"/>
    <w:rsid w:val="007A2B68"/>
    <w:rsid w:val="007B0DDA"/>
    <w:rsid w:val="007D3347"/>
    <w:rsid w:val="007E1737"/>
    <w:rsid w:val="007E5466"/>
    <w:rsid w:val="007F1949"/>
    <w:rsid w:val="007F2592"/>
    <w:rsid w:val="00800A08"/>
    <w:rsid w:val="00817A84"/>
    <w:rsid w:val="008225A4"/>
    <w:rsid w:val="00824B92"/>
    <w:rsid w:val="00826D5E"/>
    <w:rsid w:val="00832013"/>
    <w:rsid w:val="00832DB7"/>
    <w:rsid w:val="00834732"/>
    <w:rsid w:val="00835C22"/>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07713"/>
    <w:rsid w:val="0092297E"/>
    <w:rsid w:val="00923651"/>
    <w:rsid w:val="00927B56"/>
    <w:rsid w:val="009341BF"/>
    <w:rsid w:val="00937907"/>
    <w:rsid w:val="00941739"/>
    <w:rsid w:val="00951573"/>
    <w:rsid w:val="00963003"/>
    <w:rsid w:val="00966EEF"/>
    <w:rsid w:val="00971B28"/>
    <w:rsid w:val="00983471"/>
    <w:rsid w:val="009909AB"/>
    <w:rsid w:val="009B2795"/>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C26FC"/>
    <w:rsid w:val="00AC4A99"/>
    <w:rsid w:val="00AC64D2"/>
    <w:rsid w:val="00AD02E7"/>
    <w:rsid w:val="00AD7ED3"/>
    <w:rsid w:val="00AE0FE8"/>
    <w:rsid w:val="00AF60D5"/>
    <w:rsid w:val="00B00959"/>
    <w:rsid w:val="00B04415"/>
    <w:rsid w:val="00B06509"/>
    <w:rsid w:val="00B11D60"/>
    <w:rsid w:val="00B13D65"/>
    <w:rsid w:val="00B21805"/>
    <w:rsid w:val="00B3072E"/>
    <w:rsid w:val="00B36E15"/>
    <w:rsid w:val="00B37245"/>
    <w:rsid w:val="00B4017A"/>
    <w:rsid w:val="00B40802"/>
    <w:rsid w:val="00B4468D"/>
    <w:rsid w:val="00B71C72"/>
    <w:rsid w:val="00B81E92"/>
    <w:rsid w:val="00B908D7"/>
    <w:rsid w:val="00B935E8"/>
    <w:rsid w:val="00B93B30"/>
    <w:rsid w:val="00B94CB5"/>
    <w:rsid w:val="00BA0DD9"/>
    <w:rsid w:val="00BA5DBC"/>
    <w:rsid w:val="00BA6584"/>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434EB"/>
    <w:rsid w:val="00C517D2"/>
    <w:rsid w:val="00C5772E"/>
    <w:rsid w:val="00C62B36"/>
    <w:rsid w:val="00C7012C"/>
    <w:rsid w:val="00C712EA"/>
    <w:rsid w:val="00CA217D"/>
    <w:rsid w:val="00CC09D4"/>
    <w:rsid w:val="00CC668D"/>
    <w:rsid w:val="00CC7832"/>
    <w:rsid w:val="00CD488E"/>
    <w:rsid w:val="00CF0C1C"/>
    <w:rsid w:val="00CF27FD"/>
    <w:rsid w:val="00CF5F12"/>
    <w:rsid w:val="00D00D8F"/>
    <w:rsid w:val="00D047BF"/>
    <w:rsid w:val="00D21F3A"/>
    <w:rsid w:val="00D23808"/>
    <w:rsid w:val="00D3016A"/>
    <w:rsid w:val="00D33441"/>
    <w:rsid w:val="00D417D2"/>
    <w:rsid w:val="00D42960"/>
    <w:rsid w:val="00D43BD7"/>
    <w:rsid w:val="00D4485B"/>
    <w:rsid w:val="00D46CCD"/>
    <w:rsid w:val="00D4708D"/>
    <w:rsid w:val="00D4744C"/>
    <w:rsid w:val="00D521DE"/>
    <w:rsid w:val="00D5470B"/>
    <w:rsid w:val="00D63068"/>
    <w:rsid w:val="00D6498C"/>
    <w:rsid w:val="00D76A70"/>
    <w:rsid w:val="00D83182"/>
    <w:rsid w:val="00D84BDC"/>
    <w:rsid w:val="00D8521E"/>
    <w:rsid w:val="00D9291C"/>
    <w:rsid w:val="00D93A97"/>
    <w:rsid w:val="00DA03BF"/>
    <w:rsid w:val="00DB1F64"/>
    <w:rsid w:val="00DB24DD"/>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2CAB"/>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656CA"/>
    <w:rsid w:val="00F70731"/>
    <w:rsid w:val="00F70C9E"/>
    <w:rsid w:val="00F71876"/>
    <w:rsid w:val="00F74A74"/>
    <w:rsid w:val="00F7572C"/>
    <w:rsid w:val="00F8382C"/>
    <w:rsid w:val="00F855D7"/>
    <w:rsid w:val="00F92035"/>
    <w:rsid w:val="00F92748"/>
    <w:rsid w:val="00FA4169"/>
    <w:rsid w:val="00FB0D41"/>
    <w:rsid w:val="00FB2030"/>
    <w:rsid w:val="00FC4B28"/>
    <w:rsid w:val="00FD0E46"/>
    <w:rsid w:val="00FD1CF2"/>
    <w:rsid w:val="00FD3EDF"/>
    <w:rsid w:val="00FD793C"/>
    <w:rsid w:val="00FE0FD5"/>
    <w:rsid w:val="00FE20E6"/>
    <w:rsid w:val="00FE3E3B"/>
    <w:rsid w:val="00FF4032"/>
    <w:rsid w:val="00FF5A01"/>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1,Bullet 1,Bullet List,1. Bullet Blank,Bulleted - 2,Dairy Paragraphe,Bullets Points,Table Header Row,Bullet Paragraph,Bullet Point,Table Legend,List Paragraph CCT minutes,Section 5,FooterText,List Paragraph1,numbered,列出段落"/>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1 Char,Bullet 1 Char,Bullet List Char,1. Bullet Blank Char,Bulleted - 2 Char,Dairy Paragraphe Char,Bullets Points Char,Table Header Row Char,Bullet Paragraph Char,Bullet Point Char,Table Legend Char,Section 5 Char,numbered Char"/>
    <w:link w:val="ListParagraph"/>
    <w:uiPriority w:val="34"/>
    <w:locked/>
    <w:rsid w:val="0076732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24A68D17ED5A488C8426F96DCF9E0923"/>
        <w:category>
          <w:name w:val="General"/>
          <w:gallery w:val="placeholder"/>
        </w:category>
        <w:types>
          <w:type w:val="bbPlcHdr"/>
        </w:types>
        <w:behaviors>
          <w:behavior w:val="content"/>
        </w:behaviors>
        <w:guid w:val="{188E13CF-598F-4D33-8FF3-1D3190BFB393}"/>
      </w:docPartPr>
      <w:docPartBody>
        <w:p w:rsidR="00FC6A58" w:rsidRDefault="001F6E88" w:rsidP="001F6E88">
          <w:pPr>
            <w:pStyle w:val="24A68D17ED5A488C8426F96DCF9E0923"/>
          </w:pPr>
          <w:r>
            <w:rPr>
              <w:rStyle w:val="PlaceholderText"/>
            </w:rPr>
            <w:t>Click here to enter a date.</w:t>
          </w:r>
        </w:p>
      </w:docPartBody>
    </w:docPart>
    <w:docPart>
      <w:docPartPr>
        <w:name w:val="C3235DE2028A48558F2CDB8F147B01A4"/>
        <w:category>
          <w:name w:val="General"/>
          <w:gallery w:val="placeholder"/>
        </w:category>
        <w:types>
          <w:type w:val="bbPlcHdr"/>
        </w:types>
        <w:behaviors>
          <w:behavior w:val="content"/>
        </w:behaviors>
        <w:guid w:val="{F26E7696-6B9F-463F-9864-622E6F0E5858}"/>
      </w:docPartPr>
      <w:docPartBody>
        <w:p w:rsidR="00FC6A58" w:rsidRDefault="001F6E88" w:rsidP="001F6E88">
          <w:pPr>
            <w:pStyle w:val="C3235DE2028A48558F2CDB8F147B01A4"/>
          </w:pPr>
          <w:r>
            <w:rPr>
              <w:rStyle w:val="PlaceholderText"/>
            </w:rPr>
            <w:t>Click here to enter a date.</w:t>
          </w:r>
        </w:p>
      </w:docPartBody>
    </w:docPart>
    <w:docPart>
      <w:docPartPr>
        <w:name w:val="939D2E71B1294594A4EF96D21D49CAB4"/>
        <w:category>
          <w:name w:val="General"/>
          <w:gallery w:val="placeholder"/>
        </w:category>
        <w:types>
          <w:type w:val="bbPlcHdr"/>
        </w:types>
        <w:behaviors>
          <w:behavior w:val="content"/>
        </w:behaviors>
        <w:guid w:val="{85DCB52E-7C70-453D-8783-31DC119BE841}"/>
      </w:docPartPr>
      <w:docPartBody>
        <w:p w:rsidR="00FC6A58" w:rsidRDefault="001F6E88" w:rsidP="001F6E88">
          <w:pPr>
            <w:pStyle w:val="939D2E71B1294594A4EF96D21D49CAB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061BD"/>
    <w:rsid w:val="001245F3"/>
    <w:rsid w:val="001C18C5"/>
    <w:rsid w:val="001C35A9"/>
    <w:rsid w:val="001F6E88"/>
    <w:rsid w:val="00214AC2"/>
    <w:rsid w:val="00237556"/>
    <w:rsid w:val="0039303B"/>
    <w:rsid w:val="004144A3"/>
    <w:rsid w:val="004160E7"/>
    <w:rsid w:val="004416C6"/>
    <w:rsid w:val="00456E96"/>
    <w:rsid w:val="004E383C"/>
    <w:rsid w:val="004F5AB2"/>
    <w:rsid w:val="005074B9"/>
    <w:rsid w:val="00531062"/>
    <w:rsid w:val="005C62E5"/>
    <w:rsid w:val="005E40DD"/>
    <w:rsid w:val="007219C1"/>
    <w:rsid w:val="00753462"/>
    <w:rsid w:val="00772325"/>
    <w:rsid w:val="007A2FE0"/>
    <w:rsid w:val="007C6D1D"/>
    <w:rsid w:val="0090074D"/>
    <w:rsid w:val="009B3BF0"/>
    <w:rsid w:val="009D5E5E"/>
    <w:rsid w:val="009F1BB4"/>
    <w:rsid w:val="00AB6ED4"/>
    <w:rsid w:val="00B01ED8"/>
    <w:rsid w:val="00B14210"/>
    <w:rsid w:val="00B22ED6"/>
    <w:rsid w:val="00B23DC0"/>
    <w:rsid w:val="00B266AC"/>
    <w:rsid w:val="00B96656"/>
    <w:rsid w:val="00C2401D"/>
    <w:rsid w:val="00C250D7"/>
    <w:rsid w:val="00C53A68"/>
    <w:rsid w:val="00CA5BB4"/>
    <w:rsid w:val="00CB4BD1"/>
    <w:rsid w:val="00CD139C"/>
    <w:rsid w:val="00CE2DA9"/>
    <w:rsid w:val="00CE44BE"/>
    <w:rsid w:val="00D0142D"/>
    <w:rsid w:val="00D4356B"/>
    <w:rsid w:val="00D7162F"/>
    <w:rsid w:val="00DB4DB5"/>
    <w:rsid w:val="00DE4D10"/>
    <w:rsid w:val="00E44A86"/>
    <w:rsid w:val="00E522EB"/>
    <w:rsid w:val="00E60827"/>
    <w:rsid w:val="00EF6E0C"/>
    <w:rsid w:val="00F55028"/>
    <w:rsid w:val="00F77BEF"/>
    <w:rsid w:val="00FC6A58"/>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6E88"/>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24A68D17ED5A488C8426F96DCF9E0923">
    <w:name w:val="24A68D17ED5A488C8426F96DCF9E0923"/>
    <w:rsid w:val="001F6E88"/>
    <w:rPr>
      <w:kern w:val="2"/>
      <w:lang w:val="en-GB" w:eastAsia="en-GB"/>
      <w14:ligatures w14:val="standardContextual"/>
    </w:rPr>
  </w:style>
  <w:style w:type="paragraph" w:customStyle="1" w:styleId="C3235DE2028A48558F2CDB8F147B01A4">
    <w:name w:val="C3235DE2028A48558F2CDB8F147B01A4"/>
    <w:rsid w:val="001F6E88"/>
    <w:rPr>
      <w:kern w:val="2"/>
      <w:lang w:val="en-GB" w:eastAsia="en-GB"/>
      <w14:ligatures w14:val="standardContextual"/>
    </w:rPr>
  </w:style>
  <w:style w:type="paragraph" w:customStyle="1" w:styleId="939D2E71B1294594A4EF96D21D49CAB4">
    <w:name w:val="939D2E71B1294594A4EF96D21D49CAB4"/>
    <w:rsid w:val="001F6E88"/>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9BD4F-11A4-4EE1-B194-F792FDA7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1623</Words>
  <Characters>11686</Characters>
  <Application>Microsoft Office Word</Application>
  <DocSecurity>0</DocSecurity>
  <Lines>97</Lines>
  <Paragraphs>26</Paragraphs>
  <ScaleCrop>false</ScaleCrop>
  <Company/>
  <LinksUpToDate>false</LinksUpToDate>
  <CharactersWithSpaces>13283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2023-10-23T15:59:00Z</dcterms:created>
  <dcterms:modified xsi:type="dcterms:W3CDTF">2023-10-24T05:33:00Z</dcterms:modified>
</cp:coreProperties>
</file>