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15D1" w14:textId="77777777" w:rsidR="005F7602" w:rsidRDefault="005F7602" w:rsidP="002946C7">
      <w:pPr>
        <w:ind w:left="5529"/>
      </w:pPr>
    </w:p>
    <w:p w14:paraId="3B009D90" w14:textId="77777777" w:rsidR="001B3C5B" w:rsidRPr="00E33EFF" w:rsidRDefault="001B3C5B" w:rsidP="001B3C5B">
      <w:pPr>
        <w:ind w:left="6096"/>
      </w:pPr>
      <w:r w:rsidRPr="00E33EFF">
        <w:t>Forma patvirtinta</w:t>
      </w:r>
    </w:p>
    <w:p w14:paraId="21A95E5A" w14:textId="77777777"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79956FA5" w14:textId="77777777" w:rsidR="001B3C5B" w:rsidRPr="00E33EFF" w:rsidRDefault="004C263A" w:rsidP="001B3C5B">
      <w:pPr>
        <w:ind w:left="6096"/>
      </w:pPr>
      <w:r w:rsidRPr="00E33EFF">
        <w:t>(Valstybinės vaistų kontrolės tarnybos prie Lietuvos Respublikos sveikatos apsaugos ministerijos viršininko 2022 m.                         d. įsakymo Nr.                    redakcija)</w:t>
      </w:r>
    </w:p>
    <w:p w14:paraId="74E8FBAF" w14:textId="77777777" w:rsidR="001B3C5B" w:rsidRPr="00E33EFF" w:rsidRDefault="001B3C5B" w:rsidP="00FA4169"/>
    <w:p w14:paraId="290C5466" w14:textId="7777777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590E8F37" w14:textId="77777777" w:rsidR="00B13D65" w:rsidRPr="00E33EFF" w:rsidRDefault="00B13D65" w:rsidP="003B211A">
      <w:pPr>
        <w:jc w:val="center"/>
        <w:rPr>
          <w:b/>
        </w:rPr>
      </w:pPr>
    </w:p>
    <w:p w14:paraId="183374E3" w14:textId="77777777" w:rsidR="00EF2325" w:rsidRPr="00EF2325" w:rsidRDefault="00EF2325" w:rsidP="00EF2325">
      <w:pPr>
        <w:jc w:val="center"/>
        <w:rPr>
          <w:rStyle w:val="meta"/>
        </w:rPr>
      </w:pPr>
      <w:r w:rsidRPr="00EF2325">
        <w:t xml:space="preserve">Xtandi, </w:t>
      </w:r>
      <w:r w:rsidRPr="00EF2325">
        <w:rPr>
          <w:rStyle w:val="meta"/>
        </w:rPr>
        <w:t>80 mg, 40 mg</w:t>
      </w:r>
      <w:r w:rsidRPr="00EF2325">
        <w:t xml:space="preserve"> </w:t>
      </w:r>
      <w:r w:rsidRPr="00EF2325">
        <w:rPr>
          <w:rStyle w:val="meta"/>
        </w:rPr>
        <w:t>plėvele dengtos tabletės</w:t>
      </w:r>
    </w:p>
    <w:p w14:paraId="0917F0A0" w14:textId="77777777" w:rsidR="00EF2325" w:rsidRPr="00EF2325" w:rsidRDefault="00EF2325" w:rsidP="00EF2325">
      <w:pPr>
        <w:jc w:val="center"/>
      </w:pPr>
      <w:r w:rsidRPr="00EF2325">
        <w:rPr>
          <w:rStyle w:val="meta"/>
        </w:rPr>
        <w:t>40 mg, minkštosios kapsulės</w:t>
      </w:r>
    </w:p>
    <w:p w14:paraId="33326D4C" w14:textId="77777777" w:rsidR="00E73791" w:rsidRPr="00D05364" w:rsidRDefault="00E73791" w:rsidP="00E73791">
      <w:pPr>
        <w:jc w:val="center"/>
      </w:pPr>
    </w:p>
    <w:p w14:paraId="3097BA47" w14:textId="11C1AA9A" w:rsidR="00E73791" w:rsidRPr="00980146" w:rsidRDefault="00EF2325" w:rsidP="00E73791">
      <w:pPr>
        <w:jc w:val="center"/>
        <w:rPr>
          <w:b/>
          <w:bCs/>
        </w:rPr>
      </w:pPr>
      <w:r>
        <w:rPr>
          <w:b/>
          <w:bCs/>
        </w:rPr>
        <w:t>Enzalutamidas</w:t>
      </w:r>
    </w:p>
    <w:p w14:paraId="47D1FC13" w14:textId="77777777" w:rsidR="00E73791" w:rsidRPr="00D05364" w:rsidRDefault="00E73791" w:rsidP="00E73791">
      <w:pPr>
        <w:jc w:val="center"/>
      </w:pPr>
    </w:p>
    <w:p w14:paraId="5DC04D47" w14:textId="5A28EB9E" w:rsidR="00E73791" w:rsidRPr="00EF2325" w:rsidRDefault="00E73791" w:rsidP="00E73791">
      <w:pPr>
        <w:jc w:val="center"/>
        <w:rPr>
          <w:b/>
          <w:lang w:val="en-US"/>
        </w:rPr>
      </w:pPr>
      <w:r>
        <w:rPr>
          <w:b/>
        </w:rPr>
        <w:t>STV-</w:t>
      </w:r>
      <w:r w:rsidR="00EF2325">
        <w:rPr>
          <w:b/>
          <w:lang w:val="en-US"/>
        </w:rPr>
        <w:t>103</w:t>
      </w:r>
    </w:p>
    <w:p w14:paraId="093733CE" w14:textId="77777777" w:rsidR="00D4708D" w:rsidRPr="00E33EFF" w:rsidRDefault="00D4708D" w:rsidP="003B211A">
      <w:pPr>
        <w:jc w:val="center"/>
        <w:rPr>
          <w:b/>
        </w:rPr>
      </w:pPr>
    </w:p>
    <w:p w14:paraId="25CB157E" w14:textId="77777777"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7B044A54"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34D77CE8" w14:textId="77777777" w:rsidTr="00EF2325">
        <w:trPr>
          <w:trHeight w:val="331"/>
        </w:trPr>
        <w:tc>
          <w:tcPr>
            <w:tcW w:w="632" w:type="dxa"/>
          </w:tcPr>
          <w:p w14:paraId="6EA46443" w14:textId="77777777" w:rsidR="00B13D65" w:rsidRPr="00E33EFF" w:rsidRDefault="00B13D65" w:rsidP="00824B92">
            <w:pPr>
              <w:rPr>
                <w:rFonts w:eastAsia="Arial"/>
              </w:rPr>
            </w:pPr>
            <w:r w:rsidRPr="00E33EFF">
              <w:rPr>
                <w:rFonts w:eastAsia="Arial"/>
              </w:rPr>
              <w:t>1.1</w:t>
            </w:r>
          </w:p>
        </w:tc>
        <w:tc>
          <w:tcPr>
            <w:tcW w:w="3694" w:type="dxa"/>
          </w:tcPr>
          <w:p w14:paraId="33A73FF9" w14:textId="77777777" w:rsidR="00B13D65" w:rsidRPr="00E33EFF" w:rsidRDefault="00B13D65" w:rsidP="00824B92">
            <w:pPr>
              <w:rPr>
                <w:rFonts w:eastAsia="Arial"/>
              </w:rPr>
            </w:pPr>
            <w:r w:rsidRPr="00E33EFF">
              <w:rPr>
                <w:rFonts w:eastAsia="Arial"/>
              </w:rPr>
              <w:t>Pareiškėjas</w:t>
            </w:r>
          </w:p>
          <w:p w14:paraId="324E0102" w14:textId="77777777" w:rsidR="00B13D65" w:rsidRPr="00E33EFF" w:rsidRDefault="00B13D65" w:rsidP="00824B92">
            <w:pPr>
              <w:rPr>
                <w:rFonts w:eastAsia="Arial"/>
              </w:rPr>
            </w:pPr>
          </w:p>
        </w:tc>
        <w:tc>
          <w:tcPr>
            <w:tcW w:w="5167" w:type="dxa"/>
          </w:tcPr>
          <w:p w14:paraId="3786437A" w14:textId="2C27B259" w:rsidR="00B13D65" w:rsidRPr="00E33EFF" w:rsidRDefault="00EF2325" w:rsidP="00824B92">
            <w:pPr>
              <w:rPr>
                <w:rFonts w:eastAsia="Arial"/>
              </w:rPr>
            </w:pPr>
            <w:r w:rsidRPr="002A3658">
              <w:t>Astellas Pharma d.o.o. Lietuvos filialas</w:t>
            </w:r>
          </w:p>
        </w:tc>
      </w:tr>
      <w:tr w:rsidR="00B13D65" w:rsidRPr="00E33EFF" w14:paraId="6CA84D48" w14:textId="77777777" w:rsidTr="00BE7489">
        <w:trPr>
          <w:trHeight w:val="538"/>
        </w:trPr>
        <w:tc>
          <w:tcPr>
            <w:tcW w:w="632" w:type="dxa"/>
          </w:tcPr>
          <w:p w14:paraId="49DFA51A" w14:textId="77777777" w:rsidR="00B13D65" w:rsidRPr="00E33EFF" w:rsidRDefault="002E0702" w:rsidP="00824B92">
            <w:pPr>
              <w:rPr>
                <w:rFonts w:eastAsia="Arial"/>
              </w:rPr>
            </w:pPr>
            <w:r w:rsidRPr="00E33EFF">
              <w:rPr>
                <w:rFonts w:eastAsia="Arial"/>
              </w:rPr>
              <w:t>1.2</w:t>
            </w:r>
          </w:p>
        </w:tc>
        <w:tc>
          <w:tcPr>
            <w:tcW w:w="3694" w:type="dxa"/>
          </w:tcPr>
          <w:p w14:paraId="23CDA19A"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22BD4B8B" w14:textId="77777777" w:rsidR="00B13D65" w:rsidRPr="00E33EFF" w:rsidRDefault="00B13D65" w:rsidP="00824B92">
            <w:pPr>
              <w:rPr>
                <w:bCs/>
                <w:color w:val="000000"/>
                <w:lang w:eastAsia="lt-LT"/>
              </w:rPr>
            </w:pPr>
          </w:p>
        </w:tc>
        <w:tc>
          <w:tcPr>
            <w:tcW w:w="5167" w:type="dxa"/>
          </w:tcPr>
          <w:p w14:paraId="5307C89F" w14:textId="57ED4F3B" w:rsidR="00B13D65" w:rsidRPr="00025148" w:rsidRDefault="00EF2325" w:rsidP="00824B92">
            <w:pPr>
              <w:rPr>
                <w:rStyle w:val="Style2"/>
                <w:sz w:val="24"/>
              </w:rPr>
            </w:pPr>
            <w:r>
              <w:t>2013 m. birželio 21 d.</w:t>
            </w:r>
          </w:p>
        </w:tc>
      </w:tr>
      <w:tr w:rsidR="00B13D65" w:rsidRPr="00E33EFF" w14:paraId="181684BB" w14:textId="77777777" w:rsidTr="00BE7489">
        <w:trPr>
          <w:trHeight w:val="1500"/>
        </w:trPr>
        <w:tc>
          <w:tcPr>
            <w:tcW w:w="632" w:type="dxa"/>
          </w:tcPr>
          <w:p w14:paraId="0FA9B4FA" w14:textId="77777777" w:rsidR="00B13D65" w:rsidRPr="00E33EFF" w:rsidRDefault="002E0702" w:rsidP="00824B92">
            <w:pPr>
              <w:rPr>
                <w:rFonts w:eastAsia="Arial"/>
              </w:rPr>
            </w:pPr>
            <w:r w:rsidRPr="00E33EFF">
              <w:rPr>
                <w:rFonts w:eastAsia="Arial"/>
              </w:rPr>
              <w:t>1.3</w:t>
            </w:r>
          </w:p>
        </w:tc>
        <w:tc>
          <w:tcPr>
            <w:tcW w:w="3694" w:type="dxa"/>
          </w:tcPr>
          <w:p w14:paraId="7C908AFF" w14:textId="77777777" w:rsidR="00B13D65" w:rsidRPr="00E33EFF" w:rsidRDefault="00B13D65" w:rsidP="00824B92">
            <w:r w:rsidRPr="00E33EFF">
              <w:t xml:space="preserve">Paraiškos tipas </w:t>
            </w:r>
          </w:p>
          <w:p w14:paraId="503150F9" w14:textId="77777777"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0EFC2F82" w14:textId="77777777" w:rsidR="00B13D65" w:rsidRPr="00E33EFF" w:rsidRDefault="00B13D65" w:rsidP="00824B92">
            <w:pPr>
              <w:rPr>
                <w:bCs/>
                <w:color w:val="000000"/>
                <w:lang w:eastAsia="lt-LT"/>
              </w:rPr>
            </w:pPr>
          </w:p>
        </w:tc>
        <w:tc>
          <w:tcPr>
            <w:tcW w:w="5167" w:type="dxa"/>
          </w:tcPr>
          <w:p w14:paraId="7BB759E7" w14:textId="324746A1"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D667ED">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4400DE4A" w14:textId="77777777"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705CA1F5" w14:textId="77777777"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2CBE357B" w14:textId="77777777"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0A9CDEA4" w14:textId="77777777" w:rsidTr="00D667ED">
        <w:trPr>
          <w:trHeight w:val="1076"/>
        </w:trPr>
        <w:tc>
          <w:tcPr>
            <w:tcW w:w="632" w:type="dxa"/>
          </w:tcPr>
          <w:p w14:paraId="32EEB3A1" w14:textId="77777777"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3799A77B" w14:textId="5F9E0042"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1CBAF40D" w14:textId="77777777"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B314C72" w14:textId="46C9B5E1"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D667ED">
                  <w:rPr>
                    <w:rStyle w:val="Style2"/>
                    <w:rFonts w:ascii="MS Gothic" w:eastAsia="MS Gothic" w:hAnsi="MS Gothic" w:hint="eastAsia"/>
                    <w:sz w:val="24"/>
                  </w:rPr>
                  <w:t>☒</w:t>
                </w:r>
              </w:sdtContent>
            </w:sdt>
            <w:r w:rsidR="00B13D65" w:rsidRPr="00E33EFF">
              <w:t xml:space="preserve"> Ne</w:t>
            </w:r>
          </w:p>
          <w:p w14:paraId="3D4E9452" w14:textId="2F0816D3" w:rsidR="00B13D65" w:rsidRPr="00E33EFF" w:rsidRDefault="00B13D65" w:rsidP="00824B92">
            <w:pPr>
              <w:rPr>
                <w:rFonts w:eastAsia="Arial"/>
              </w:rPr>
            </w:pPr>
          </w:p>
        </w:tc>
      </w:tr>
      <w:tr w:rsidR="00D417D2" w:rsidRPr="00E33EFF" w14:paraId="4B374448" w14:textId="77777777" w:rsidTr="00BE7489">
        <w:trPr>
          <w:trHeight w:val="476"/>
        </w:trPr>
        <w:tc>
          <w:tcPr>
            <w:tcW w:w="632" w:type="dxa"/>
          </w:tcPr>
          <w:p w14:paraId="3F15ECAE" w14:textId="77777777" w:rsidR="00D417D2" w:rsidRPr="00E33EFF" w:rsidRDefault="00D417D2" w:rsidP="00824B92">
            <w:pPr>
              <w:rPr>
                <w:rFonts w:eastAsia="Arial"/>
              </w:rPr>
            </w:pPr>
            <w:r w:rsidRPr="00E33EFF">
              <w:rPr>
                <w:rFonts w:eastAsia="Arial"/>
              </w:rPr>
              <w:t>1.5</w:t>
            </w:r>
          </w:p>
        </w:tc>
        <w:tc>
          <w:tcPr>
            <w:tcW w:w="3694" w:type="dxa"/>
          </w:tcPr>
          <w:p w14:paraId="4725A467" w14:textId="77777777" w:rsidR="00D417D2" w:rsidRPr="00E33EFF" w:rsidRDefault="00D417D2" w:rsidP="00824B92">
            <w:pPr>
              <w:rPr>
                <w:bCs/>
                <w:color w:val="000000"/>
                <w:lang w:eastAsia="lt-LT"/>
              </w:rPr>
            </w:pPr>
            <w:r w:rsidRPr="00E33EFF">
              <w:t>STV paraiškos pobūdis</w:t>
            </w:r>
          </w:p>
        </w:tc>
        <w:tc>
          <w:tcPr>
            <w:tcW w:w="5167" w:type="dxa"/>
          </w:tcPr>
          <w:p w14:paraId="0A20F16B" w14:textId="67F45C5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D667ED">
                  <w:rPr>
                    <w:rStyle w:val="Style2"/>
                    <w:rFonts w:ascii="MS Gothic" w:eastAsia="MS Gothic" w:hAnsi="MS Gothic" w:hint="eastAsia"/>
                    <w:sz w:val="24"/>
                  </w:rPr>
                  <w:t>☒</w:t>
                </w:r>
              </w:sdtContent>
            </w:sdt>
            <w:r w:rsidR="00D417D2" w:rsidRPr="00E33EFF">
              <w:t xml:space="preserve"> Pilna paraiška</w:t>
            </w:r>
          </w:p>
          <w:p w14:paraId="2CDA3BDC" w14:textId="77777777"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34010AEC" w14:textId="77777777" w:rsidTr="00BE7489">
        <w:trPr>
          <w:trHeight w:val="1922"/>
        </w:trPr>
        <w:tc>
          <w:tcPr>
            <w:tcW w:w="632" w:type="dxa"/>
          </w:tcPr>
          <w:p w14:paraId="2243646F" w14:textId="7777777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0E70CDD8"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189590F1" w14:textId="77777777" w:rsidR="00AE1322" w:rsidRDefault="00AE1322" w:rsidP="00824B92">
            <w:pPr>
              <w:rPr>
                <w:bCs/>
                <w:color w:val="000000"/>
                <w:lang w:eastAsia="lt-LT"/>
              </w:rPr>
            </w:pPr>
          </w:p>
          <w:p w14:paraId="3CE62D3E" w14:textId="77777777" w:rsidR="00AE1322" w:rsidRDefault="00AE1322" w:rsidP="00824B92">
            <w:pPr>
              <w:rPr>
                <w:bCs/>
                <w:color w:val="000000"/>
                <w:lang w:eastAsia="lt-LT"/>
              </w:rPr>
            </w:pPr>
          </w:p>
          <w:p w14:paraId="65626622" w14:textId="77777777"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3E7DD5BC" w14:textId="40FA1633" w:rsidR="00D667ED" w:rsidRDefault="00EF2325" w:rsidP="00D22A02">
            <w:pPr>
              <w:pStyle w:val="Sraopastraipa"/>
              <w:spacing w:after="120"/>
              <w:ind w:left="0"/>
              <w:contextualSpacing w:val="0"/>
              <w:jc w:val="both"/>
            </w:pPr>
            <w:r w:rsidRPr="002A3658">
              <w:t>Metastaziniu hormonams jautriu prostatos vėžiu (mHJPV) sergantiems suaugusiems vyrams gydyti kartu su androgenų deprivacijos terapija</w:t>
            </w:r>
            <w:r>
              <w:t>.</w:t>
            </w:r>
          </w:p>
          <w:p w14:paraId="09A3D8D0" w14:textId="77777777" w:rsidR="00D22A02" w:rsidRDefault="00D22A02" w:rsidP="00D667ED"/>
          <w:p w14:paraId="0AF5128D" w14:textId="6DC14BF2" w:rsidR="00B13D65" w:rsidRPr="00E33EFF" w:rsidRDefault="00D667ED" w:rsidP="00D667ED">
            <w:r>
              <w:t>TLK-10 AM kodas: C61</w:t>
            </w:r>
          </w:p>
          <w:p w14:paraId="11884663" w14:textId="5A4CED6A" w:rsidR="00B13D65" w:rsidRPr="00E33EFF" w:rsidRDefault="00B13D65" w:rsidP="00824B92"/>
        </w:tc>
      </w:tr>
      <w:tr w:rsidR="00B13D65" w:rsidRPr="00E33EFF" w14:paraId="72A784E3" w14:textId="77777777" w:rsidTr="00BE7489">
        <w:trPr>
          <w:trHeight w:val="378"/>
        </w:trPr>
        <w:tc>
          <w:tcPr>
            <w:tcW w:w="632" w:type="dxa"/>
          </w:tcPr>
          <w:p w14:paraId="270CDA1A" w14:textId="77777777"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3317CD2C" w14:textId="77777777"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3326CD87" w14:textId="6301B508" w:rsidR="00B13D65" w:rsidRPr="00E33EFF" w:rsidRDefault="00D22A02" w:rsidP="00D667ED">
            <w:pPr>
              <w:jc w:val="both"/>
            </w:pPr>
            <w:r>
              <w:t>Pagal registruotą indikaciją.</w:t>
            </w:r>
          </w:p>
        </w:tc>
      </w:tr>
      <w:tr w:rsidR="00B13D65" w:rsidRPr="00E33EFF" w14:paraId="289DC855" w14:textId="77777777" w:rsidTr="00D667ED">
        <w:trPr>
          <w:trHeight w:val="710"/>
        </w:trPr>
        <w:tc>
          <w:tcPr>
            <w:tcW w:w="632" w:type="dxa"/>
          </w:tcPr>
          <w:p w14:paraId="1FA1F84B" w14:textId="77777777" w:rsidR="00B13D65" w:rsidRPr="00E33EFF" w:rsidRDefault="00B13D65" w:rsidP="00824B92">
            <w:pPr>
              <w:rPr>
                <w:rFonts w:eastAsia="Arial"/>
              </w:rPr>
            </w:pPr>
            <w:r w:rsidRPr="00E33EFF">
              <w:rPr>
                <w:rFonts w:eastAsia="Arial"/>
              </w:rPr>
              <w:lastRenderedPageBreak/>
              <w:t>1.7</w:t>
            </w:r>
          </w:p>
        </w:tc>
        <w:tc>
          <w:tcPr>
            <w:tcW w:w="3694" w:type="dxa"/>
          </w:tcPr>
          <w:p w14:paraId="439CF1B5" w14:textId="7F187204" w:rsidR="00413F24"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7DAFAD0" w14:textId="56D4E50A" w:rsidR="00D22A02" w:rsidRDefault="00D22A02" w:rsidP="00824B92">
            <w:pPr>
              <w:rPr>
                <w:bCs/>
                <w:color w:val="000000"/>
                <w:lang w:eastAsia="lt-LT"/>
              </w:rPr>
            </w:pPr>
          </w:p>
          <w:p w14:paraId="4063848E" w14:textId="7D8238F3" w:rsidR="00D22A02" w:rsidRDefault="00D22A02" w:rsidP="00824B92">
            <w:pPr>
              <w:rPr>
                <w:bCs/>
                <w:color w:val="000000"/>
                <w:lang w:eastAsia="lt-LT"/>
              </w:rPr>
            </w:pPr>
            <w:r>
              <w:rPr>
                <w:bCs/>
                <w:color w:val="000000"/>
                <w:lang w:eastAsia="lt-LT"/>
              </w:rPr>
              <w:t>Tiesioginis – androgenų deprivacijos terapija (ADT) lyginta su enzalutamido ir ADT deriniu (mažos rizikos prostatos vėžiu sergantiems pacientams);</w:t>
            </w:r>
          </w:p>
          <w:p w14:paraId="5CD6E4EB" w14:textId="46C313D0" w:rsidR="00D22A02" w:rsidRPr="00E33EFF" w:rsidRDefault="00D22A02" w:rsidP="00824B92">
            <w:pPr>
              <w:rPr>
                <w:bCs/>
                <w:color w:val="000000"/>
                <w:lang w:eastAsia="lt-LT"/>
              </w:rPr>
            </w:pPr>
            <w:r>
              <w:rPr>
                <w:bCs/>
                <w:color w:val="000000"/>
                <w:lang w:eastAsia="lt-LT"/>
              </w:rPr>
              <w:t>Netiesioginis – ADT ir docetakselio derinys lygintas su ADT ir enzalutamido deriniu.</w:t>
            </w:r>
          </w:p>
          <w:p w14:paraId="76F18AF0" w14:textId="77777777" w:rsidR="009F4D66" w:rsidRPr="00E33EFF" w:rsidRDefault="009F4D66" w:rsidP="00824B92">
            <w:pPr>
              <w:rPr>
                <w:bCs/>
                <w:color w:val="000000"/>
                <w:lang w:eastAsia="lt-LT"/>
              </w:rPr>
            </w:pPr>
          </w:p>
        </w:tc>
        <w:tc>
          <w:tcPr>
            <w:tcW w:w="5167" w:type="dxa"/>
          </w:tcPr>
          <w:p w14:paraId="2B6BFF64" w14:textId="5D12941B" w:rsidR="009F4D66" w:rsidRPr="00E33EFF"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D667ED">
                  <w:rPr>
                    <w:rStyle w:val="Style2"/>
                    <w:rFonts w:ascii="MS Gothic" w:eastAsia="MS Gothic" w:hAnsi="MS Gothic" w:hint="eastAsia"/>
                    <w:sz w:val="24"/>
                  </w:rPr>
                  <w:t>☒</w:t>
                </w:r>
              </w:sdtContent>
            </w:sdt>
            <w:r w:rsidR="009F4D66" w:rsidRPr="00E33EFF">
              <w:t xml:space="preserve"> Tinkamas</w:t>
            </w:r>
          </w:p>
          <w:p w14:paraId="69316FE0" w14:textId="77BFB8B3" w:rsidR="00B13D65" w:rsidRPr="00E33EFF"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E33EFF">
                  <w:rPr>
                    <w:rStyle w:val="Style2"/>
                    <w:rFonts w:ascii="MS Gothic" w:eastAsia="MS Gothic" w:hAnsi="MS Gothic" w:hint="eastAsia"/>
                    <w:sz w:val="24"/>
                  </w:rPr>
                  <w:t>☐</w:t>
                </w:r>
              </w:sdtContent>
            </w:sdt>
            <w:r w:rsidR="009F4D66" w:rsidRPr="00E33EFF">
              <w:t xml:space="preserve"> Netinkama</w:t>
            </w:r>
            <w:r w:rsidR="00D667ED">
              <w:t>s</w:t>
            </w:r>
          </w:p>
        </w:tc>
      </w:tr>
    </w:tbl>
    <w:p w14:paraId="481B2431" w14:textId="77777777" w:rsidR="00F70C9E" w:rsidRPr="00E33EFF" w:rsidRDefault="00F70C9E" w:rsidP="00E03C3F">
      <w:pPr>
        <w:pStyle w:val="Sraopastraipa"/>
        <w:tabs>
          <w:tab w:val="left" w:pos="426"/>
        </w:tabs>
        <w:ind w:left="0"/>
        <w:rPr>
          <w:b/>
          <w:bCs/>
          <w:caps/>
        </w:rPr>
      </w:pPr>
    </w:p>
    <w:p w14:paraId="5448584C" w14:textId="77777777"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7670360B" w14:textId="60F169C5" w:rsidR="00F70C9E"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463"/>
        <w:gridCol w:w="3118"/>
        <w:gridCol w:w="2410"/>
      </w:tblGrid>
      <w:tr w:rsidR="00D22A02" w:rsidRPr="00D05364" w14:paraId="63D9E182" w14:textId="77777777" w:rsidTr="00DE0574">
        <w:trPr>
          <w:trHeight w:val="924"/>
        </w:trPr>
        <w:tc>
          <w:tcPr>
            <w:tcW w:w="2927" w:type="dxa"/>
          </w:tcPr>
          <w:p w14:paraId="47CFF0BC" w14:textId="77777777" w:rsidR="00D22A02" w:rsidRPr="00D05364" w:rsidRDefault="00D22A02" w:rsidP="00DE0574">
            <w:pPr>
              <w:spacing w:line="276" w:lineRule="auto"/>
              <w:rPr>
                <w:rFonts w:eastAsia="Arial"/>
              </w:rPr>
            </w:pPr>
            <w:r w:rsidRPr="00D05364">
              <w:rPr>
                <w:rFonts w:eastAsia="Arial"/>
              </w:rPr>
              <w:t>STV agentūros pavadinimas, šalis</w:t>
            </w:r>
          </w:p>
        </w:tc>
        <w:tc>
          <w:tcPr>
            <w:tcW w:w="1463" w:type="dxa"/>
          </w:tcPr>
          <w:p w14:paraId="0F5341AE" w14:textId="77777777" w:rsidR="00D22A02" w:rsidRPr="00D05364" w:rsidRDefault="00D22A02" w:rsidP="00DE0574">
            <w:pPr>
              <w:spacing w:line="276" w:lineRule="auto"/>
              <w:rPr>
                <w:rFonts w:eastAsia="Arial"/>
              </w:rPr>
            </w:pPr>
            <w:r w:rsidRPr="00D05364">
              <w:rPr>
                <w:rFonts w:eastAsia="Arial"/>
              </w:rPr>
              <w:t>STV vertinimas atliktas</w:t>
            </w:r>
          </w:p>
        </w:tc>
        <w:tc>
          <w:tcPr>
            <w:tcW w:w="3118" w:type="dxa"/>
          </w:tcPr>
          <w:p w14:paraId="080B5A79" w14:textId="77777777" w:rsidR="00D22A02" w:rsidRPr="00D05364" w:rsidRDefault="00D22A02" w:rsidP="00DE0574">
            <w:pPr>
              <w:spacing w:line="276" w:lineRule="auto"/>
              <w:rPr>
                <w:rFonts w:eastAsia="Arial"/>
              </w:rPr>
            </w:pPr>
            <w:r w:rsidRPr="00D05364">
              <w:rPr>
                <w:rFonts w:eastAsia="Arial"/>
              </w:rPr>
              <w:t>Klinikinio vertinimo išvada</w:t>
            </w:r>
          </w:p>
        </w:tc>
        <w:tc>
          <w:tcPr>
            <w:tcW w:w="2410" w:type="dxa"/>
          </w:tcPr>
          <w:p w14:paraId="369A9884" w14:textId="77777777" w:rsidR="00D22A02" w:rsidRPr="00D05364" w:rsidRDefault="00D22A02" w:rsidP="00DE0574">
            <w:pPr>
              <w:spacing w:line="276" w:lineRule="auto"/>
              <w:rPr>
                <w:rFonts w:eastAsia="Arial"/>
              </w:rPr>
            </w:pPr>
            <w:r w:rsidRPr="00D05364">
              <w:rPr>
                <w:rFonts w:eastAsia="Arial"/>
              </w:rPr>
              <w:t>Farmakoekonominio vertinimo išvada</w:t>
            </w:r>
          </w:p>
        </w:tc>
      </w:tr>
      <w:tr w:rsidR="00D22A02" w:rsidRPr="00D05364" w14:paraId="23C37A45" w14:textId="77777777" w:rsidTr="00DE0574">
        <w:trPr>
          <w:trHeight w:val="1765"/>
        </w:trPr>
        <w:tc>
          <w:tcPr>
            <w:tcW w:w="2927" w:type="dxa"/>
          </w:tcPr>
          <w:p w14:paraId="38AD2519" w14:textId="77777777" w:rsidR="00D22A02" w:rsidRPr="00D05364" w:rsidRDefault="00D22A02" w:rsidP="00DE0574">
            <w:pPr>
              <w:autoSpaceDE w:val="0"/>
              <w:autoSpaceDN w:val="0"/>
              <w:adjustRightInd w:val="0"/>
              <w:rPr>
                <w:bCs/>
              </w:rPr>
            </w:pPr>
            <w:r w:rsidRPr="00D05364">
              <w:rPr>
                <w:bCs/>
              </w:rPr>
              <w:t>Nacionalinis sveikatos ir klinikinės kompetencijos institutas, Didžioji Britanija</w:t>
            </w:r>
          </w:p>
          <w:p w14:paraId="657506FF" w14:textId="77777777" w:rsidR="00D22A02" w:rsidRPr="00D05364" w:rsidRDefault="00D22A02" w:rsidP="00DE0574">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463" w:type="dxa"/>
          </w:tcPr>
          <w:p w14:paraId="559A5973" w14:textId="77777777" w:rsidR="00D22A02" w:rsidRPr="00D05364" w:rsidRDefault="00000000" w:rsidP="00DE0574">
            <w:sdt>
              <w:sdtPr>
                <w:rPr>
                  <w:rStyle w:val="Style2"/>
                </w:rPr>
                <w:id w:val="1558205022"/>
                <w15:color w:val="FFCC00"/>
                <w14:checkbox>
                  <w14:checked w14:val="1"/>
                  <w14:checkedState w14:val="2612" w14:font="MS Gothic"/>
                  <w14:uncheckedState w14:val="2610" w14:font="MS Gothic"/>
                </w14:checkbox>
              </w:sdtPr>
              <w:sdtContent>
                <w:r w:rsidR="00D22A02">
                  <w:rPr>
                    <w:rStyle w:val="Style2"/>
                    <w:rFonts w:ascii="MS Gothic" w:eastAsia="MS Gothic" w:hAnsi="MS Gothic" w:hint="eastAsia"/>
                  </w:rPr>
                  <w:t>☒</w:t>
                </w:r>
              </w:sdtContent>
            </w:sdt>
            <w:r w:rsidR="00D22A02" w:rsidRPr="00D05364">
              <w:t xml:space="preserve"> Taip</w:t>
            </w:r>
          </w:p>
          <w:p w14:paraId="1D667170" w14:textId="77777777" w:rsidR="00D22A02" w:rsidRPr="00D05364" w:rsidRDefault="00000000" w:rsidP="00DE0574">
            <w:sdt>
              <w:sdtPr>
                <w:rPr>
                  <w:rStyle w:val="Style2"/>
                </w:rPr>
                <w:id w:val="866029625"/>
                <w15:color w:val="FFCC00"/>
                <w14:checkbox>
                  <w14:checked w14:val="0"/>
                  <w14:checkedState w14:val="2612" w14:font="MS Gothic"/>
                  <w14:uncheckedState w14:val="2610" w14:font="MS Gothic"/>
                </w14:checkbox>
              </w:sdtPr>
              <w:sdtContent>
                <w:r w:rsidR="00D22A02" w:rsidRPr="00D05364">
                  <w:rPr>
                    <w:rStyle w:val="Style2"/>
                    <w:rFonts w:ascii="MS Gothic" w:eastAsia="MS Gothic" w:hAnsi="MS Gothic" w:hint="eastAsia"/>
                  </w:rPr>
                  <w:t>☐</w:t>
                </w:r>
              </w:sdtContent>
            </w:sdt>
            <w:r w:rsidR="00D22A02" w:rsidRPr="00D05364">
              <w:t xml:space="preserve"> Ne</w:t>
            </w:r>
          </w:p>
          <w:p w14:paraId="7E1A954C" w14:textId="77777777" w:rsidR="00D22A02" w:rsidRPr="00D05364" w:rsidRDefault="00000000" w:rsidP="00DE0574">
            <w:pPr>
              <w:rPr>
                <w:rFonts w:eastAsia="Arial"/>
              </w:rPr>
            </w:pPr>
            <w:sdt>
              <w:sdtPr>
                <w:alias w:val="Nurodykite konkrečią dieną"/>
                <w:tag w:val="Nurodykite pradžios datą"/>
                <w:id w:val="1197671663"/>
                <w:placeholder>
                  <w:docPart w:val="5698D7E11029F24A8F17118E095BB3B3"/>
                </w:placeholder>
                <w15:color w:val="FFCC99"/>
                <w:date w:fullDate="2021-07-07T00:00:00Z">
                  <w:dateFormat w:val="yyyy 'm.' MMMM d 'd.'"/>
                  <w:lid w:val="lt-LT"/>
                  <w:storeMappedDataAs w:val="dateTime"/>
                  <w:calendar w:val="gregorian"/>
                </w:date>
              </w:sdtPr>
              <w:sdtContent>
                <w:r w:rsidR="00D22A02">
                  <w:t>2021 m. liepos 7 d.</w:t>
                </w:r>
              </w:sdtContent>
            </w:sdt>
          </w:p>
        </w:tc>
        <w:tc>
          <w:tcPr>
            <w:tcW w:w="3118" w:type="dxa"/>
          </w:tcPr>
          <w:p w14:paraId="5CDE8CFA" w14:textId="77777777" w:rsidR="00D22A02" w:rsidRPr="00D05364" w:rsidRDefault="00D22A02" w:rsidP="00DE0574">
            <w:pPr>
              <w:spacing w:line="276" w:lineRule="auto"/>
              <w:jc w:val="both"/>
              <w:rPr>
                <w:rFonts w:eastAsia="Arial"/>
              </w:rPr>
            </w:pPr>
            <w:r>
              <w:rPr>
                <w:rFonts w:eastAsia="Arial"/>
              </w:rPr>
              <w:t xml:space="preserve">Lyginant su ADT monoterapija, enzalutamido ir ADT derinys prailgino laiką iki ligos progresavimo ir gyvenimo trukmę. Netiesioginiame docetakselio ir ADT derinio palyginime su enzalutamidu ir ADT, enzalutamido ir ADT derinys prailgino laiką iki naviko progresavimo, tačiau nepakanka duomenų įvertinti gyvenimo trukmės skirtumo. Išvada: </w:t>
            </w:r>
            <w:r w:rsidRPr="000A6515">
              <w:rPr>
                <w:rFonts w:eastAsia="Arial"/>
              </w:rPr>
              <w:t xml:space="preserve">enzalutamido ir ADT derinys </w:t>
            </w:r>
            <w:r>
              <w:rPr>
                <w:rFonts w:eastAsia="Arial"/>
              </w:rPr>
              <w:t>rekomenduotas h</w:t>
            </w:r>
            <w:r w:rsidRPr="000A6515">
              <w:rPr>
                <w:rFonts w:eastAsia="Arial"/>
              </w:rPr>
              <w:t>ormonams jautriu metastaziniu prostatos vėžiu sergantiems pacientams gydyti</w:t>
            </w:r>
            <w:r>
              <w:rPr>
                <w:rFonts w:eastAsia="Arial"/>
              </w:rPr>
              <w:t>.</w:t>
            </w:r>
          </w:p>
        </w:tc>
        <w:tc>
          <w:tcPr>
            <w:tcW w:w="2410" w:type="dxa"/>
          </w:tcPr>
          <w:p w14:paraId="60D34323" w14:textId="42AA5CDE" w:rsidR="00D22A02" w:rsidRPr="00D05364" w:rsidRDefault="009865DB" w:rsidP="00DE0574">
            <w:pPr>
              <w:spacing w:line="276" w:lineRule="auto"/>
              <w:rPr>
                <w:rFonts w:eastAsia="Arial"/>
              </w:rPr>
            </w:pPr>
            <w:r>
              <w:rPr>
                <w:rFonts w:eastAsia="Arial"/>
              </w:rPr>
              <w:t>Kaštų naudingumas įvertintas kaip priimtinas.</w:t>
            </w:r>
          </w:p>
        </w:tc>
      </w:tr>
      <w:tr w:rsidR="00D22A02" w:rsidRPr="00D05364" w14:paraId="685619D1" w14:textId="77777777" w:rsidTr="00DE0574">
        <w:trPr>
          <w:trHeight w:val="1547"/>
        </w:trPr>
        <w:tc>
          <w:tcPr>
            <w:tcW w:w="2927" w:type="dxa"/>
          </w:tcPr>
          <w:p w14:paraId="1D3679C4" w14:textId="77777777" w:rsidR="00D22A02" w:rsidRPr="00D05364" w:rsidRDefault="00D22A02" w:rsidP="00DE0574">
            <w:pPr>
              <w:spacing w:line="276" w:lineRule="auto"/>
              <w:rPr>
                <w:rFonts w:eastAsia="Arial"/>
              </w:rPr>
            </w:pPr>
            <w:r w:rsidRPr="00D05364">
              <w:rPr>
                <w:rFonts w:eastAsia="Arial"/>
              </w:rPr>
              <w:t>Kanados sveikatos technologijų agentūra</w:t>
            </w:r>
          </w:p>
          <w:p w14:paraId="4DEA1FBB" w14:textId="77777777" w:rsidR="00D22A02" w:rsidRPr="00D05364" w:rsidRDefault="00D22A02" w:rsidP="00DE0574">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463" w:type="dxa"/>
          </w:tcPr>
          <w:p w14:paraId="29D0265F" w14:textId="77777777" w:rsidR="00D22A02" w:rsidRPr="00D05364" w:rsidRDefault="00000000" w:rsidP="00DE0574">
            <w:sdt>
              <w:sdtPr>
                <w:rPr>
                  <w:rStyle w:val="Style2"/>
                </w:rPr>
                <w:id w:val="-372539057"/>
                <w15:color w:val="FFCC00"/>
                <w14:checkbox>
                  <w14:checked w14:val="1"/>
                  <w14:checkedState w14:val="2612" w14:font="MS Gothic"/>
                  <w14:uncheckedState w14:val="2610" w14:font="MS Gothic"/>
                </w14:checkbox>
              </w:sdtPr>
              <w:sdtContent>
                <w:r w:rsidR="00D22A02">
                  <w:rPr>
                    <w:rStyle w:val="Style2"/>
                    <w:rFonts w:ascii="MS Gothic" w:eastAsia="MS Gothic" w:hAnsi="MS Gothic" w:hint="eastAsia"/>
                  </w:rPr>
                  <w:t>☒</w:t>
                </w:r>
              </w:sdtContent>
            </w:sdt>
            <w:r w:rsidR="00D22A02" w:rsidRPr="00D05364">
              <w:t xml:space="preserve"> Taip</w:t>
            </w:r>
          </w:p>
          <w:p w14:paraId="315CD165" w14:textId="77777777" w:rsidR="00D22A02" w:rsidRPr="00D05364" w:rsidRDefault="00000000" w:rsidP="00DE0574">
            <w:sdt>
              <w:sdtPr>
                <w:rPr>
                  <w:rStyle w:val="Style2"/>
                </w:rPr>
                <w:id w:val="594442222"/>
                <w15:color w:val="FFCC00"/>
                <w14:checkbox>
                  <w14:checked w14:val="0"/>
                  <w14:checkedState w14:val="2612" w14:font="MS Gothic"/>
                  <w14:uncheckedState w14:val="2610" w14:font="MS Gothic"/>
                </w14:checkbox>
              </w:sdtPr>
              <w:sdtContent>
                <w:r w:rsidR="00D22A02" w:rsidRPr="00D05364">
                  <w:rPr>
                    <w:rStyle w:val="Style2"/>
                    <w:rFonts w:ascii="Segoe UI Symbol" w:eastAsia="MS Gothic" w:hAnsi="Segoe UI Symbol" w:cs="Segoe UI Symbol"/>
                  </w:rPr>
                  <w:t>☐</w:t>
                </w:r>
              </w:sdtContent>
            </w:sdt>
            <w:r w:rsidR="00D22A02" w:rsidRPr="00D05364">
              <w:t xml:space="preserve"> Ne</w:t>
            </w:r>
          </w:p>
          <w:p w14:paraId="50D9E316" w14:textId="77777777" w:rsidR="00D22A02" w:rsidRPr="00D05364" w:rsidRDefault="00000000" w:rsidP="00DE0574">
            <w:pPr>
              <w:spacing w:line="276" w:lineRule="auto"/>
              <w:rPr>
                <w:rFonts w:eastAsia="Arial"/>
              </w:rPr>
            </w:pPr>
            <w:sdt>
              <w:sdtPr>
                <w:alias w:val="Nurodykite konkrečią dieną"/>
                <w:tag w:val="Nurodykite pradžios datą"/>
                <w:id w:val="1072468416"/>
                <w:placeholder>
                  <w:docPart w:val="47638C00164EB449948549FE8AB03620"/>
                </w:placeholder>
                <w15:color w:val="FFCC99"/>
                <w:date w:fullDate="2020-09-23T00:00:00Z">
                  <w:dateFormat w:val="yyyy 'm.' MMMM d 'd.'"/>
                  <w:lid w:val="lt-LT"/>
                  <w:storeMappedDataAs w:val="dateTime"/>
                  <w:calendar w:val="gregorian"/>
                </w:date>
              </w:sdtPr>
              <w:sdtContent>
                <w:r w:rsidR="00D22A02">
                  <w:t>2020 m. rugsėjo 23 d.</w:t>
                </w:r>
              </w:sdtContent>
            </w:sdt>
          </w:p>
        </w:tc>
        <w:tc>
          <w:tcPr>
            <w:tcW w:w="3118" w:type="dxa"/>
          </w:tcPr>
          <w:p w14:paraId="51E9A333" w14:textId="77777777" w:rsidR="00D22A02" w:rsidRPr="00D05364" w:rsidRDefault="00D22A02" w:rsidP="00DE0574">
            <w:pPr>
              <w:spacing w:line="276" w:lineRule="auto"/>
              <w:jc w:val="both"/>
              <w:rPr>
                <w:rFonts w:eastAsia="Arial"/>
              </w:rPr>
            </w:pPr>
            <w:r w:rsidRPr="000A6515">
              <w:rPr>
                <w:rFonts w:eastAsia="Arial"/>
              </w:rPr>
              <w:t xml:space="preserve">Atsižvelgiant į </w:t>
            </w:r>
            <w:r>
              <w:rPr>
                <w:rFonts w:eastAsia="Arial"/>
              </w:rPr>
              <w:t>statistiškai</w:t>
            </w:r>
            <w:r w:rsidRPr="000A6515">
              <w:rPr>
                <w:rFonts w:eastAsia="Arial"/>
              </w:rPr>
              <w:t xml:space="preserve"> </w:t>
            </w:r>
            <w:r>
              <w:rPr>
                <w:rFonts w:eastAsia="Arial"/>
              </w:rPr>
              <w:t xml:space="preserve">ir kliniškai </w:t>
            </w:r>
            <w:r w:rsidRPr="000A6515">
              <w:rPr>
                <w:rFonts w:eastAsia="Arial"/>
              </w:rPr>
              <w:t xml:space="preserve">reikšmingą laiko iki radiologinio ligos progresavimo ir bendros gyvenimo trukmės pailgėjimą, kontroliuojamą toksinį poveikį ir neblogėjančią gyvenimo kokybę (QoL), enzalutamido ir ADT derinys </w:t>
            </w:r>
            <w:r w:rsidRPr="000A6515">
              <w:rPr>
                <w:rFonts w:eastAsia="Arial"/>
              </w:rPr>
              <w:lastRenderedPageBreak/>
              <w:t>yra bendrai pranašesnis už gydymą vien ADT ar ADT ir nesteroidinių antiandrogenų (NSAA) deriniu.</w:t>
            </w:r>
          </w:p>
        </w:tc>
        <w:tc>
          <w:tcPr>
            <w:tcW w:w="2410" w:type="dxa"/>
          </w:tcPr>
          <w:p w14:paraId="101BC73F" w14:textId="52FB6140" w:rsidR="00D22A02" w:rsidRDefault="009865DB" w:rsidP="00DE0574">
            <w:pPr>
              <w:spacing w:line="276" w:lineRule="auto"/>
              <w:rPr>
                <w:rFonts w:eastAsia="Arial"/>
              </w:rPr>
            </w:pPr>
            <w:r>
              <w:rPr>
                <w:rFonts w:eastAsia="Arial"/>
              </w:rPr>
              <w:lastRenderedPageBreak/>
              <w:t>Rekomenduojamas kompensuoti, jei vaisto kaina bus sumažinta iki priimtino lygio.</w:t>
            </w:r>
          </w:p>
          <w:p w14:paraId="5BAB3ACB" w14:textId="77777777" w:rsidR="009865DB" w:rsidRDefault="009865DB" w:rsidP="009865DB">
            <w:pPr>
              <w:rPr>
                <w:rFonts w:eastAsia="Arial"/>
              </w:rPr>
            </w:pPr>
          </w:p>
          <w:p w14:paraId="0B26BE10" w14:textId="77777777" w:rsidR="009865DB" w:rsidRPr="009865DB" w:rsidRDefault="009865DB" w:rsidP="009865DB">
            <w:pPr>
              <w:jc w:val="center"/>
              <w:rPr>
                <w:rFonts w:eastAsia="Arial"/>
              </w:rPr>
            </w:pPr>
          </w:p>
        </w:tc>
      </w:tr>
      <w:tr w:rsidR="009865DB" w:rsidRPr="00D05364" w14:paraId="216FFB34" w14:textId="77777777" w:rsidTr="00F948D3">
        <w:trPr>
          <w:trHeight w:val="1927"/>
        </w:trPr>
        <w:tc>
          <w:tcPr>
            <w:tcW w:w="2927" w:type="dxa"/>
          </w:tcPr>
          <w:p w14:paraId="4A2954FF" w14:textId="77777777" w:rsidR="009865DB" w:rsidRPr="00D05364" w:rsidRDefault="009865DB" w:rsidP="00DE0574">
            <w:pPr>
              <w:spacing w:line="276" w:lineRule="auto"/>
              <w:rPr>
                <w:rFonts w:eastAsia="Arial"/>
              </w:rPr>
            </w:pPr>
            <w:r w:rsidRPr="00D05364">
              <w:rPr>
                <w:rFonts w:eastAsia="Arial"/>
              </w:rPr>
              <w:t>Nacionalinis farmakoekonomikos centras, Airija</w:t>
            </w:r>
          </w:p>
          <w:p w14:paraId="2EAE8DF5" w14:textId="77777777" w:rsidR="009865DB" w:rsidRPr="00D05364" w:rsidRDefault="009865DB" w:rsidP="00DE0574">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463" w:type="dxa"/>
          </w:tcPr>
          <w:p w14:paraId="7988C93E" w14:textId="77777777" w:rsidR="009865DB" w:rsidRPr="00D05364" w:rsidRDefault="00000000" w:rsidP="00DE0574">
            <w:sdt>
              <w:sdtPr>
                <w:rPr>
                  <w:rStyle w:val="Style2"/>
                </w:rPr>
                <w:id w:val="-1888403732"/>
                <w15:color w:val="FFCC00"/>
                <w14:checkbox>
                  <w14:checked w14:val="1"/>
                  <w14:checkedState w14:val="2612" w14:font="MS Gothic"/>
                  <w14:uncheckedState w14:val="2610" w14:font="MS Gothic"/>
                </w14:checkbox>
              </w:sdtPr>
              <w:sdtContent>
                <w:r w:rsidR="009865DB">
                  <w:rPr>
                    <w:rStyle w:val="Style2"/>
                    <w:rFonts w:ascii="MS Gothic" w:eastAsia="MS Gothic" w:hAnsi="MS Gothic" w:hint="eastAsia"/>
                  </w:rPr>
                  <w:t>☒</w:t>
                </w:r>
              </w:sdtContent>
            </w:sdt>
            <w:r w:rsidR="009865DB" w:rsidRPr="00D05364">
              <w:t xml:space="preserve"> Taip</w:t>
            </w:r>
          </w:p>
          <w:p w14:paraId="0F9D362E" w14:textId="77777777" w:rsidR="009865DB" w:rsidRPr="00D05364" w:rsidRDefault="00000000" w:rsidP="00DE0574">
            <w:sdt>
              <w:sdtPr>
                <w:rPr>
                  <w:rStyle w:val="Style2"/>
                </w:rPr>
                <w:id w:val="1092201793"/>
                <w15:color w:val="FFCC00"/>
                <w14:checkbox>
                  <w14:checked w14:val="0"/>
                  <w14:checkedState w14:val="2612" w14:font="MS Gothic"/>
                  <w14:uncheckedState w14:val="2610" w14:font="MS Gothic"/>
                </w14:checkbox>
              </w:sdtPr>
              <w:sdtContent>
                <w:r w:rsidR="009865DB" w:rsidRPr="00D05364">
                  <w:rPr>
                    <w:rStyle w:val="Style2"/>
                    <w:rFonts w:ascii="Segoe UI Symbol" w:eastAsia="MS Gothic" w:hAnsi="Segoe UI Symbol" w:cs="Segoe UI Symbol"/>
                  </w:rPr>
                  <w:t>☐</w:t>
                </w:r>
              </w:sdtContent>
            </w:sdt>
            <w:r w:rsidR="009865DB" w:rsidRPr="00D05364">
              <w:t xml:space="preserve"> Ne</w:t>
            </w:r>
          </w:p>
          <w:p w14:paraId="1D34307F" w14:textId="77777777" w:rsidR="009865DB" w:rsidRPr="00D05364" w:rsidRDefault="00000000" w:rsidP="00DE0574">
            <w:pPr>
              <w:spacing w:line="276" w:lineRule="auto"/>
              <w:rPr>
                <w:rFonts w:eastAsia="Arial"/>
              </w:rPr>
            </w:pPr>
            <w:sdt>
              <w:sdtPr>
                <w:alias w:val="Nurodykite konkrečią dieną"/>
                <w:tag w:val="Nurodykite pradžios datą"/>
                <w:id w:val="-198323198"/>
                <w:placeholder>
                  <w:docPart w:val="CD50165F507541788FEE8BE4376BEB58"/>
                </w:placeholder>
                <w15:color w:val="FFCC99"/>
                <w:date w:fullDate="2021-07-07T00:00:00Z">
                  <w:dateFormat w:val="yyyy 'm.' MMMM d 'd.'"/>
                  <w:lid w:val="lt-LT"/>
                  <w:storeMappedDataAs w:val="dateTime"/>
                  <w:calendar w:val="gregorian"/>
                </w:date>
              </w:sdtPr>
              <w:sdtContent>
                <w:r w:rsidR="009865DB">
                  <w:t>2021 m. liepos 7 d.</w:t>
                </w:r>
              </w:sdtContent>
            </w:sdt>
          </w:p>
        </w:tc>
        <w:tc>
          <w:tcPr>
            <w:tcW w:w="5528" w:type="dxa"/>
            <w:gridSpan w:val="2"/>
          </w:tcPr>
          <w:p w14:paraId="70BD18DE" w14:textId="292DC25C" w:rsidR="009865DB" w:rsidRPr="00D05364" w:rsidRDefault="009865DB" w:rsidP="00DE0574">
            <w:pPr>
              <w:spacing w:line="276" w:lineRule="auto"/>
              <w:rPr>
                <w:rFonts w:eastAsia="Arial"/>
              </w:rPr>
            </w:pPr>
            <w:r>
              <w:rPr>
                <w:rFonts w:eastAsia="Arial"/>
              </w:rPr>
              <w:t xml:space="preserve">Atliktas sutrumpintas vertinimas (angl. </w:t>
            </w:r>
            <w:r w:rsidRPr="004D6DE8">
              <w:rPr>
                <w:rFonts w:eastAsia="Arial"/>
                <w:i/>
                <w:iCs/>
              </w:rPr>
              <w:t>rapid review</w:t>
            </w:r>
            <w:r>
              <w:rPr>
                <w:rFonts w:eastAsia="Arial"/>
              </w:rPr>
              <w:t>). Rekomenduota atlikti pilną klinikinį ir ekonominį vertinimą.</w:t>
            </w:r>
          </w:p>
        </w:tc>
      </w:tr>
    </w:tbl>
    <w:p w14:paraId="2873830F" w14:textId="72779DC7" w:rsidR="00124563" w:rsidRDefault="00124563" w:rsidP="00F70C9E">
      <w:pPr>
        <w:spacing w:line="276" w:lineRule="auto"/>
        <w:rPr>
          <w:rFonts w:eastAsia="Arial"/>
        </w:rPr>
      </w:pPr>
    </w:p>
    <w:p w14:paraId="03EC6A30" w14:textId="454A8698" w:rsidR="00F9215F" w:rsidRPr="00D22A02" w:rsidRDefault="00CC7832" w:rsidP="00D22A02">
      <w:pPr>
        <w:pStyle w:val="Sraopastraipa"/>
        <w:numPr>
          <w:ilvl w:val="0"/>
          <w:numId w:val="12"/>
        </w:numPr>
        <w:rPr>
          <w:b/>
          <w:bCs/>
          <w:caps/>
        </w:rPr>
      </w:pPr>
      <w:r w:rsidRPr="00D22A02">
        <w:rPr>
          <w:b/>
          <w:bCs/>
          <w:caps/>
        </w:rPr>
        <w:t>Klinikinio vertinimo a</w:t>
      </w:r>
      <w:r w:rsidR="00D4485B" w:rsidRPr="00D22A02">
        <w:rPr>
          <w:b/>
          <w:bCs/>
          <w:caps/>
        </w:rPr>
        <w:t>pibendrinimas</w:t>
      </w:r>
    </w:p>
    <w:p w14:paraId="4C6B71BA" w14:textId="01041FD7" w:rsidR="00F9215F" w:rsidRDefault="00F9215F" w:rsidP="00F9215F">
      <w:pPr>
        <w:tabs>
          <w:tab w:val="left" w:pos="567"/>
        </w:tabs>
        <w:rPr>
          <w:b/>
          <w:bCs/>
          <w:caps/>
        </w:rPr>
      </w:pPr>
    </w:p>
    <w:p w14:paraId="2551D348" w14:textId="2EC70C71" w:rsidR="00F9215F" w:rsidRPr="00CF55F8" w:rsidRDefault="00CE7761" w:rsidP="00F9215F">
      <w:pPr>
        <w:tabs>
          <w:tab w:val="left" w:pos="426"/>
        </w:tabs>
        <w:spacing w:line="276" w:lineRule="auto"/>
        <w:jc w:val="both"/>
        <w:rPr>
          <w:rFonts w:eastAsia="Arial"/>
          <w:iCs/>
        </w:rPr>
      </w:pPr>
      <w:r>
        <w:rPr>
          <w:rFonts w:eastAsia="Arial"/>
          <w:iCs/>
        </w:rPr>
        <w:tab/>
      </w:r>
      <w:r>
        <w:rPr>
          <w:rFonts w:eastAsia="Arial"/>
          <w:iCs/>
        </w:rPr>
        <w:tab/>
      </w:r>
      <w:r w:rsidR="00F9215F" w:rsidRPr="00CF55F8">
        <w:rPr>
          <w:rFonts w:eastAsia="Arial"/>
          <w:iCs/>
        </w:rPr>
        <w:t>Prostatos vėžys (PV) – dažniausias vyrų onkologinis susirgimas ES-27 ir Lietuvoje. 2018 m. Europoje prostatos vėžys buvo trečias pagal dažnį vėžys, jo užregistruota 450 000 atvejų.</w:t>
      </w:r>
      <w:r>
        <w:rPr>
          <w:rFonts w:eastAsia="Arial"/>
          <w:iCs/>
        </w:rPr>
        <w:t xml:space="preserve"> </w:t>
      </w:r>
      <w:r w:rsidR="00F9215F" w:rsidRPr="00CF55F8">
        <w:rPr>
          <w:rFonts w:eastAsia="Arial"/>
          <w:iCs/>
        </w:rPr>
        <w:t>Prostatos vėžys daugiausia yra vyresnio amžiaus (65–79 metų) vyrų liga, tačiau maždaug 25 % visų atvejų diagnozuojami jaunesniems kaip 65 metų vyrams. Vidutinis diagnozės nustatymo amžius yra 66 metai, kai vyrai yra socialiai aktyvūs ir atlieka svarbią funkciją šeimoje.</w:t>
      </w:r>
      <w:r>
        <w:rPr>
          <w:rFonts w:eastAsia="Arial"/>
          <w:iCs/>
        </w:rPr>
        <w:t xml:space="preserve"> </w:t>
      </w:r>
      <w:r w:rsidR="00F9215F" w:rsidRPr="00CF55F8">
        <w:rPr>
          <w:rFonts w:eastAsia="Arial"/>
          <w:iCs/>
        </w:rPr>
        <w:t xml:space="preserve">Naujai diagnozuoto </w:t>
      </w:r>
      <w:r w:rsidR="00F9215F" w:rsidRPr="00CF55F8">
        <w:rPr>
          <w:iCs/>
          <w:lang w:eastAsia="lt-LT"/>
        </w:rPr>
        <w:t>metastazavusio hormonams jautraus prostatos vėžio (</w:t>
      </w:r>
      <w:r w:rsidR="00F9215F" w:rsidRPr="00CF55F8">
        <w:rPr>
          <w:rFonts w:eastAsia="Arial"/>
          <w:iCs/>
        </w:rPr>
        <w:t>NDx m-HJPV) dažnis įvairiuose pasaulio regionuose svyruoja nuo 3 % iki 8 %. Europos randomizuotos PV ankstyvosios diagnostikos programos duomenimis šalyse, kuriose vykdoma prostatos specifiniu antigenu (PSA) pagrįsta programa, NDx m-HJPV dažnis buvo 4%. Šalyse, kuriose PSA pagrįsta programa nevykdoma, NDx m-HJPV dažnis buvo 8 %.</w:t>
      </w:r>
      <w:r w:rsidR="00322A69">
        <w:rPr>
          <w:rFonts w:eastAsia="Arial"/>
          <w:iCs/>
        </w:rPr>
        <w:t xml:space="preserve"> </w:t>
      </w:r>
      <w:r w:rsidR="00F9215F" w:rsidRPr="00CF55F8">
        <w:rPr>
          <w:rFonts w:eastAsia="Arial"/>
          <w:iCs/>
        </w:rPr>
        <w:t>Lokaliai neišplitusiu ar lokaliai išplitusiu prostatos vėžiu sergantis pacientas laikomas sergančiu nemetastaziniu hormonams jautriu prostatos vėžiu (nmHJPV). Jeigu vėžys diagnozuojamas metastazinėje stadijoje, laikoma, kad pacientui naujai diagnozuotas mHJPV. nmHJPV sergančiam pacientui (t. y. pacientui, kuriam diagnozuotas lokaliai neišplitęs ar lokaliai išplitęs prostatos vėžys) liga gali progresuoti į mHJPV, kai išplinta į kitas kūno sritis, ypač dažnai – į kaulus. Šioje stadijoje prostatos vėžys dažnai yra jautrus ADT. Šios stadijos mHJPV dažnai vadinamas recidyvuojančiu ar jau gydytu mHJPV, nes pacientams galėjo būti skiriamas vietiškai veikiantis gydymas. Šioje paraiškoje konkrečiai aptariamos tokių pacientų (mHJPV) ypatybės.</w:t>
      </w:r>
    </w:p>
    <w:p w14:paraId="15AB0536" w14:textId="6F8E5396" w:rsidR="00F9215F" w:rsidRPr="00CF55F8" w:rsidRDefault="00F9215F" w:rsidP="00F9215F">
      <w:pPr>
        <w:tabs>
          <w:tab w:val="left" w:pos="426"/>
        </w:tabs>
        <w:spacing w:line="276" w:lineRule="auto"/>
        <w:jc w:val="both"/>
        <w:rPr>
          <w:rFonts w:eastAsia="Arial"/>
          <w:iCs/>
        </w:rPr>
      </w:pPr>
      <w:r w:rsidRPr="00CF55F8">
        <w:rPr>
          <w:rFonts w:eastAsia="Arial"/>
          <w:iCs/>
        </w:rPr>
        <w:tab/>
        <w:t>Atsižvelgiant į metastazių skaičių ir jų išplitimo mastą, mHJPV gali būti klasifikuojamas kaip didelio arba mažo naviko tūrio liga (HVD ar LVD) metastazes vertinant taip: metastazės vidaus organuose (minkštuosiuose audiniuose, išskyrus limfmazgius) ir (arba) keturios ar daugiau metastazių kauluose, kai mažiausiai viena metastazė yra ne stuburo srities dubens dalyje.</w:t>
      </w:r>
      <w:r>
        <w:rPr>
          <w:rFonts w:eastAsia="Arial"/>
          <w:iCs/>
        </w:rPr>
        <w:t xml:space="preserve"> </w:t>
      </w:r>
      <w:r w:rsidRPr="00CF55F8">
        <w:rPr>
          <w:rFonts w:eastAsia="Arial"/>
          <w:iCs/>
        </w:rPr>
        <w:t>mHSPC pacientams, kurių liga yra LVD, prognozė yra geresnė nei mHJPV pacientams, kurių liga yra HVD.  Nesutariama, ar ligos klasifikavimas pagal naviko tūrį tinkamai apibūdina riziką.</w:t>
      </w:r>
      <w:r w:rsidR="00322A69">
        <w:rPr>
          <w:rFonts w:eastAsia="Arial"/>
          <w:iCs/>
        </w:rPr>
        <w:t xml:space="preserve"> </w:t>
      </w:r>
      <w:r w:rsidRPr="00CF55F8">
        <w:rPr>
          <w:rFonts w:eastAsia="Arial"/>
          <w:iCs/>
        </w:rPr>
        <w:t>Metastazinis hormonams jautrus prostatos vėžys (mHJPV), įskaitant metastazinį hormonams neutralų prostatos vėžį (mHNPV), gali būti klasifikuojamas kaip didelės ar mažos rizikos liga. Su prasta prognoze siejami didelės rizikos veiksniai yra mažiausiai du iš toliau nurodytų trijų veiksnių: ≥ 8 Gleason balas (pagal 2–10 balų skalę, kurioje didesnis balas rodo agresyvesnę ligą), mažiausiai trys pažaidos kauluose ir išmatuojamos metastazės vidaus organuose.</w:t>
      </w:r>
    </w:p>
    <w:p w14:paraId="0AA0C069" w14:textId="61C25978" w:rsidR="00F9215F" w:rsidRPr="00CF55F8" w:rsidRDefault="00F9215F" w:rsidP="00F9215F">
      <w:pPr>
        <w:tabs>
          <w:tab w:val="left" w:pos="426"/>
        </w:tabs>
        <w:spacing w:line="276" w:lineRule="auto"/>
        <w:jc w:val="both"/>
        <w:rPr>
          <w:rFonts w:eastAsia="Arial"/>
          <w:iCs/>
        </w:rPr>
      </w:pPr>
      <w:r w:rsidRPr="00CF55F8">
        <w:rPr>
          <w:rFonts w:eastAsia="Arial"/>
          <w:iCs/>
        </w:rPr>
        <w:t>Vystantis mHJPV, vidutiniškai per 12 mėnesių liga progresuoja link kastracijai atsparaus prostatos vėžio (KAPV). Metastaziniu mKAPV sergančių pacientų su sveikata susijusi gyvenimo kokybė (HRQoL) yra prastesnė nei mHJPV sergančių pacientų.</w:t>
      </w:r>
      <w:r>
        <w:rPr>
          <w:rFonts w:eastAsia="Arial"/>
          <w:iCs/>
        </w:rPr>
        <w:t xml:space="preserve"> </w:t>
      </w:r>
      <w:r w:rsidRPr="00CF55F8">
        <w:rPr>
          <w:rFonts w:eastAsia="Arial"/>
          <w:iCs/>
        </w:rPr>
        <w:t xml:space="preserve">Ligai progresuojant pacientus gali varginti kaulų skausmas, su skeletu susiję įvykiai (SRE) ir simptomus sukeliantys skeleto įvykiai (SSE), tarp </w:t>
      </w:r>
      <w:r w:rsidRPr="00CF55F8">
        <w:rPr>
          <w:rFonts w:eastAsia="Arial"/>
          <w:iCs/>
        </w:rPr>
        <w:lastRenderedPageBreak/>
        <w:t>kurių paminėtini slankstelių kolapsas ar deformacija, patologiniai lūžiai ir nugaros smegenų suspaudimas. Remiantis Lietuvos higienos instituto duomenimis, 2021 m. nuo išplitusio prostatos vėžio buvo gydomi 16 853 vyrai. Nuo prostatos vėžio 2020 m. mirė 537 vyrai, o mirštamumo rodiklis 100 000 gyventojų siekė 19,21 (Higienos institutas, 2022). LARC vėžio duomenų bazėje apskaičiuota, kad Europoje prostatos vėžio dažnis yra 62,1 atvejo 100 000 vyrų, o Lietuvoje – 70,2 atvejo 100 000 vyrų.</w:t>
      </w:r>
    </w:p>
    <w:p w14:paraId="54022521" w14:textId="51F93DBD" w:rsidR="00F9215F" w:rsidRDefault="00F9215F" w:rsidP="00F9215F">
      <w:pPr>
        <w:tabs>
          <w:tab w:val="left" w:pos="426"/>
        </w:tabs>
        <w:spacing w:line="276" w:lineRule="auto"/>
        <w:jc w:val="both"/>
        <w:rPr>
          <w:rFonts w:eastAsia="Arial"/>
          <w:iCs/>
        </w:rPr>
      </w:pPr>
      <w:r w:rsidRPr="00CF55F8">
        <w:rPr>
          <w:rFonts w:eastAsia="Arial"/>
          <w:iCs/>
        </w:rPr>
        <w:t>Remdamasi Lietuvos vėžio registru (pacientų, kuriems diagnozuotas prostatos vėžys, skaičius) bendrovės patariamoji taryba daro prielaidą, kad mHJPV stadija diagnozuota 0,007328 % statistinės populiacijos. Tai leidžia teigti, kad apskaičiuotasis mHJPV atvejų skaičius per metus yra 95 pacientai. Daroma prielaida, kad per 5 metų laikotarpį gydomų pacientų skaičius nesikeis (95 pacientai).</w:t>
      </w:r>
    </w:p>
    <w:p w14:paraId="2BC8921D" w14:textId="77777777" w:rsidR="00F9215F" w:rsidRPr="003E181A" w:rsidRDefault="00F9215F" w:rsidP="00F9215F">
      <w:pPr>
        <w:tabs>
          <w:tab w:val="left" w:pos="426"/>
        </w:tabs>
        <w:spacing w:line="276" w:lineRule="auto"/>
        <w:jc w:val="both"/>
        <w:rPr>
          <w:rFonts w:eastAsia="Arial"/>
          <w:iCs/>
        </w:rPr>
      </w:pPr>
      <w:r w:rsidRPr="003E181A">
        <w:rPr>
          <w:rFonts w:eastAsia="Arial"/>
          <w:iCs/>
        </w:rPr>
        <w:t>Lietuvoje prostatos vėžys diagnozuojamas ir gydomas vadovaujantis Lietuvos Respublikos sveikatos apsaugos ministro patvirtintu 2011 m. lapkričio 2 d. įsakymu Nr. V-941 „Dėl priešinės liaukos (prostatos) piktybinio naviko ambulatorinio gydymo kompensuojamaisiais vaistais tvarkos aprašo patvirtinimo“ (toliau – Aprašas):</w:t>
      </w:r>
    </w:p>
    <w:p w14:paraId="489A2E23" w14:textId="7E29CE5E" w:rsidR="00F9215F" w:rsidRPr="003E181A" w:rsidRDefault="00F9215F" w:rsidP="00F9215F">
      <w:pPr>
        <w:pStyle w:val="Sraopastraipa"/>
        <w:numPr>
          <w:ilvl w:val="0"/>
          <w:numId w:val="13"/>
        </w:numPr>
        <w:tabs>
          <w:tab w:val="left" w:pos="426"/>
        </w:tabs>
        <w:spacing w:line="276" w:lineRule="auto"/>
        <w:jc w:val="both"/>
        <w:rPr>
          <w:rFonts w:eastAsia="Arial"/>
          <w:iCs/>
        </w:rPr>
      </w:pPr>
      <w:r w:rsidRPr="003E181A">
        <w:rPr>
          <w:rFonts w:eastAsia="Arial"/>
          <w:iCs/>
        </w:rPr>
        <w:t xml:space="preserve">Esant m-HJPV, gydymui skiriama chirurginė kastracija, o pacientui jos atsisakius, skiriama kastracija </w:t>
      </w:r>
      <w:r>
        <w:rPr>
          <w:rFonts w:eastAsia="Arial"/>
          <w:iCs/>
        </w:rPr>
        <w:t>andro</w:t>
      </w:r>
      <w:r w:rsidR="002A11D0">
        <w:rPr>
          <w:rFonts w:eastAsia="Arial"/>
          <w:iCs/>
        </w:rPr>
        <w:t>g</w:t>
      </w:r>
      <w:r>
        <w:rPr>
          <w:rFonts w:eastAsia="Arial"/>
          <w:iCs/>
        </w:rPr>
        <w:t>enų deprivacijos terapija (</w:t>
      </w:r>
      <w:r w:rsidRPr="003E181A">
        <w:rPr>
          <w:rFonts w:eastAsia="Arial"/>
          <w:iCs/>
        </w:rPr>
        <w:t>ADT</w:t>
      </w:r>
      <w:r>
        <w:rPr>
          <w:rFonts w:eastAsia="Arial"/>
          <w:iCs/>
        </w:rPr>
        <w:t>)</w:t>
      </w:r>
      <w:r w:rsidRPr="003E181A">
        <w:rPr>
          <w:rFonts w:eastAsia="Arial"/>
          <w:iCs/>
        </w:rPr>
        <w:t xml:space="preserve"> (gonadotropino išskyrimą skatinančio hormono (GISH) analogu, kurio veikimo trukmė ne ilgesnė kaip 6 mėnesiai, ir papildomai gydymo pradžioje ne ilgiau kaip 1 mėnesį kartu skiriamas gydymas antiandrogenu). </w:t>
      </w:r>
    </w:p>
    <w:p w14:paraId="22F94F5F" w14:textId="4E2D02A6" w:rsidR="00322A69" w:rsidRDefault="00F9215F" w:rsidP="00C62CA0">
      <w:pPr>
        <w:pStyle w:val="Sraopastraipa"/>
        <w:numPr>
          <w:ilvl w:val="0"/>
          <w:numId w:val="13"/>
        </w:numPr>
        <w:tabs>
          <w:tab w:val="left" w:pos="426"/>
        </w:tabs>
        <w:spacing w:line="276" w:lineRule="auto"/>
        <w:jc w:val="both"/>
        <w:rPr>
          <w:rFonts w:eastAsia="Arial"/>
          <w:iCs/>
        </w:rPr>
      </w:pPr>
      <w:r w:rsidRPr="003E181A">
        <w:rPr>
          <w:rFonts w:eastAsia="Arial"/>
          <w:iCs/>
          <w:u w:val="single"/>
        </w:rPr>
        <w:t>Didelės rizikos pacientams</w:t>
      </w:r>
      <w:r w:rsidRPr="003E181A">
        <w:rPr>
          <w:rFonts w:eastAsia="Arial"/>
          <w:iCs/>
        </w:rPr>
        <w:t xml:space="preserve"> (t.</w:t>
      </w:r>
      <w:r>
        <w:rPr>
          <w:rFonts w:eastAsia="Arial"/>
          <w:iCs/>
        </w:rPr>
        <w:t xml:space="preserve"> </w:t>
      </w:r>
      <w:r w:rsidRPr="003E181A">
        <w:rPr>
          <w:rFonts w:eastAsia="Arial"/>
          <w:iCs/>
        </w:rPr>
        <w:t xml:space="preserve">y. pacientams, kuriems diagnozuotos daugybinės kaulinės ir (ar) visceralinės metastazės), </w:t>
      </w:r>
      <w:r w:rsidRPr="003E181A">
        <w:rPr>
          <w:rFonts w:eastAsia="Arial"/>
          <w:iCs/>
          <w:u w:val="single"/>
        </w:rPr>
        <w:t>kurie gali būti gydomi chemoterapiniais vaistais, kartu su chirurgine kastracija, o pacientui jos atsisakius, su kastracija ADT</w:t>
      </w:r>
      <w:r w:rsidRPr="003E181A">
        <w:rPr>
          <w:rFonts w:eastAsia="Arial"/>
          <w:iCs/>
        </w:rPr>
        <w:t xml:space="preserve"> (GISH analogu, kurio veikimo trukmė ne ilgesnė kaip 6 mėnesiai, ir papildomai gydymo pradžioje ne ilgiau kaip 1 mėnesį kartu skiriamas gydymas antiandrogenu) </w:t>
      </w:r>
      <w:r w:rsidRPr="003E181A">
        <w:rPr>
          <w:rFonts w:eastAsia="Arial"/>
          <w:iCs/>
          <w:u w:val="single"/>
        </w:rPr>
        <w:t xml:space="preserve">skiriamas docetakselis </w:t>
      </w:r>
      <w:r w:rsidRPr="003E181A">
        <w:rPr>
          <w:rFonts w:eastAsia="Arial"/>
          <w:iCs/>
        </w:rPr>
        <w:t xml:space="preserve">– po 75 mg/m2 į veną kas 3 savaites, ne daugiau kaip 10 kursų. </w:t>
      </w:r>
    </w:p>
    <w:p w14:paraId="2FCB8860" w14:textId="77777777" w:rsidR="00C62CA0" w:rsidRPr="00C62CA0" w:rsidRDefault="00C62CA0" w:rsidP="00C62CA0">
      <w:pPr>
        <w:pStyle w:val="Sraopastraipa"/>
        <w:tabs>
          <w:tab w:val="left" w:pos="426"/>
        </w:tabs>
        <w:spacing w:line="276" w:lineRule="auto"/>
        <w:ind w:left="360"/>
        <w:jc w:val="both"/>
        <w:rPr>
          <w:rFonts w:eastAsia="Arial"/>
          <w:iCs/>
        </w:rPr>
      </w:pPr>
    </w:p>
    <w:p w14:paraId="42565723" w14:textId="0559BD26" w:rsidR="00322A69" w:rsidRPr="00C62CA0" w:rsidRDefault="00322A69" w:rsidP="00322A69">
      <w:pPr>
        <w:tabs>
          <w:tab w:val="left" w:pos="426"/>
        </w:tabs>
        <w:spacing w:line="276" w:lineRule="auto"/>
        <w:jc w:val="both"/>
        <w:rPr>
          <w:rFonts w:eastAsia="Arial"/>
          <w:i/>
        </w:rPr>
      </w:pPr>
      <w:r w:rsidRPr="00C62CA0">
        <w:rPr>
          <w:rFonts w:eastAsia="Arial"/>
          <w:i/>
        </w:rPr>
        <w:t>Tiesioginis palyginimas:</w:t>
      </w:r>
    </w:p>
    <w:p w14:paraId="1DD24C28" w14:textId="76CB58F1" w:rsidR="00156C15" w:rsidRDefault="00322A69" w:rsidP="00156C15">
      <w:pPr>
        <w:tabs>
          <w:tab w:val="left" w:pos="426"/>
        </w:tabs>
        <w:spacing w:line="276" w:lineRule="auto"/>
        <w:jc w:val="both"/>
        <w:rPr>
          <w:rFonts w:eastAsia="Arial"/>
          <w:iCs/>
        </w:rPr>
      </w:pPr>
      <w:r>
        <w:rPr>
          <w:rFonts w:eastAsia="Arial"/>
          <w:iCs/>
        </w:rPr>
        <w:tab/>
        <w:t xml:space="preserve">Enzalutamido veiksmingumui vertinti </w:t>
      </w:r>
      <w:r w:rsidR="00F9215F" w:rsidRPr="002A11D0">
        <w:rPr>
          <w:rFonts w:eastAsia="Arial"/>
          <w:iCs/>
        </w:rPr>
        <w:t xml:space="preserve">pateiktas </w:t>
      </w:r>
      <w:r w:rsidR="00AD0C24" w:rsidRPr="002A11D0">
        <w:rPr>
          <w:rFonts w:eastAsia="Arial"/>
          <w:iCs/>
        </w:rPr>
        <w:t xml:space="preserve">tiesioginis </w:t>
      </w:r>
      <w:r w:rsidR="00F9215F" w:rsidRPr="002A11D0">
        <w:rPr>
          <w:rFonts w:eastAsia="Arial"/>
          <w:iCs/>
        </w:rPr>
        <w:t xml:space="preserve">klinikinis tyrimas ARCHES, kuriame buvo vertinamas enzalutamido ir </w:t>
      </w:r>
      <w:r>
        <w:rPr>
          <w:rFonts w:eastAsia="Arial"/>
          <w:iCs/>
        </w:rPr>
        <w:t>androgenų deprivacijos terapijos (</w:t>
      </w:r>
      <w:r w:rsidR="00F9215F" w:rsidRPr="002A11D0">
        <w:rPr>
          <w:rFonts w:eastAsia="Arial"/>
          <w:iCs/>
        </w:rPr>
        <w:t>ADT</w:t>
      </w:r>
      <w:r>
        <w:rPr>
          <w:rFonts w:eastAsia="Arial"/>
          <w:iCs/>
        </w:rPr>
        <w:t>)</w:t>
      </w:r>
      <w:r w:rsidR="00F9215F" w:rsidRPr="002A11D0">
        <w:rPr>
          <w:rFonts w:eastAsia="Arial"/>
          <w:iCs/>
        </w:rPr>
        <w:t xml:space="preserve"> derinio veiksmingumas, lyginant su ADT monoterapija. </w:t>
      </w:r>
      <w:r w:rsidR="00AD0C24" w:rsidRPr="002A11D0">
        <w:rPr>
          <w:rFonts w:eastAsia="Arial"/>
          <w:iCs/>
        </w:rPr>
        <w:t>vertinta, jog š</w:t>
      </w:r>
      <w:r w:rsidR="00F9215F" w:rsidRPr="002A11D0">
        <w:rPr>
          <w:rFonts w:eastAsia="Arial"/>
          <w:iCs/>
        </w:rPr>
        <w:t xml:space="preserve">is palyginamasis gydymas atitinka Lietuvos pacientams taikomą praktiką, </w:t>
      </w:r>
      <w:r w:rsidR="00F9215F" w:rsidRPr="002A11D0">
        <w:rPr>
          <w:rFonts w:eastAsia="Arial"/>
          <w:iCs/>
          <w:u w:val="single"/>
        </w:rPr>
        <w:t>išskyrus</w:t>
      </w:r>
      <w:r w:rsidR="00F9215F" w:rsidRPr="002A11D0">
        <w:rPr>
          <w:rFonts w:eastAsia="Arial"/>
          <w:iCs/>
        </w:rPr>
        <w:t xml:space="preserve"> didelės rizikos </w:t>
      </w:r>
      <w:r>
        <w:rPr>
          <w:rFonts w:eastAsia="Arial"/>
          <w:iCs/>
        </w:rPr>
        <w:t xml:space="preserve">prostatos vėžiu sergančius </w:t>
      </w:r>
      <w:r w:rsidR="00F9215F" w:rsidRPr="002A11D0">
        <w:rPr>
          <w:rFonts w:eastAsia="Arial"/>
          <w:iCs/>
        </w:rPr>
        <w:t>pacientus, k</w:t>
      </w:r>
      <w:r>
        <w:rPr>
          <w:rFonts w:eastAsia="Arial"/>
          <w:iCs/>
        </w:rPr>
        <w:t>uomet</w:t>
      </w:r>
      <w:r w:rsidR="00F9215F" w:rsidRPr="002A11D0">
        <w:rPr>
          <w:rFonts w:eastAsia="Arial"/>
          <w:iCs/>
        </w:rPr>
        <w:t xml:space="preserve"> yra skiriama chemoterapija docetakseliu</w:t>
      </w:r>
      <w:r>
        <w:rPr>
          <w:rFonts w:eastAsia="Arial"/>
          <w:iCs/>
        </w:rPr>
        <w:t xml:space="preserve"> kartu su ADT</w:t>
      </w:r>
      <w:r w:rsidR="00F9215F" w:rsidRPr="002A11D0">
        <w:rPr>
          <w:rFonts w:eastAsia="Arial"/>
          <w:iCs/>
        </w:rPr>
        <w:t xml:space="preserve">. </w:t>
      </w:r>
      <w:r w:rsidR="00AD0C24" w:rsidRPr="002A11D0">
        <w:rPr>
          <w:rFonts w:eastAsia="Arial"/>
          <w:iCs/>
        </w:rPr>
        <w:t xml:space="preserve">Todėl ARCHES tyrime bus vertintas mažos rizikos </w:t>
      </w:r>
      <w:r w:rsidR="00AD0C24">
        <w:t>m</w:t>
      </w:r>
      <w:r w:rsidR="00AD0C24" w:rsidRPr="002A3658">
        <w:t xml:space="preserve">etastaziniu hormonams jautriu prostatos vėžiu (mHJPV) </w:t>
      </w:r>
      <w:r w:rsidR="00AD0C24">
        <w:t xml:space="preserve">sergančių </w:t>
      </w:r>
      <w:r w:rsidR="00AD0C24" w:rsidRPr="002A11D0">
        <w:rPr>
          <w:rFonts w:eastAsia="Arial"/>
          <w:iCs/>
        </w:rPr>
        <w:t xml:space="preserve">pacientų pogrupio rezultatai. ARCHES – tai </w:t>
      </w:r>
      <w:r w:rsidR="00AD0C24" w:rsidRPr="00322A69">
        <w:rPr>
          <w:rFonts w:eastAsia="Arial"/>
          <w:bCs/>
        </w:rPr>
        <w:t>3 fazės, atsitiktinių imčių, dvigubo maskavimo, placebu kontroliuojamas</w:t>
      </w:r>
      <w:r>
        <w:rPr>
          <w:rFonts w:eastAsia="Arial"/>
          <w:bCs/>
        </w:rPr>
        <w:t xml:space="preserve"> klinikinis tyrimas</w:t>
      </w:r>
      <w:r w:rsidR="00AD0C24" w:rsidRPr="00322A69">
        <w:rPr>
          <w:rFonts w:eastAsia="Arial"/>
          <w:bCs/>
        </w:rPr>
        <w:t>.</w:t>
      </w:r>
      <w:r w:rsidR="00AD0C24" w:rsidRPr="002A11D0">
        <w:rPr>
          <w:rFonts w:eastAsia="Arial"/>
          <w:b/>
        </w:rPr>
        <w:t xml:space="preserve"> </w:t>
      </w:r>
      <w:r w:rsidR="00AD0C24" w:rsidRPr="00322A69">
        <w:rPr>
          <w:rFonts w:eastAsia="Arial"/>
          <w:bCs/>
        </w:rPr>
        <w:t>Šiame tyrime</w:t>
      </w:r>
      <w:r w:rsidR="00AD0C24" w:rsidRPr="002A11D0">
        <w:rPr>
          <w:rFonts w:eastAsia="Arial"/>
          <w:b/>
        </w:rPr>
        <w:t xml:space="preserve"> </w:t>
      </w:r>
      <w:r w:rsidR="00AD0C24" w:rsidRPr="002A11D0">
        <w:rPr>
          <w:rFonts w:eastAsia="Arial"/>
          <w:iCs/>
        </w:rPr>
        <w:t xml:space="preserve">buvo vertinamas </w:t>
      </w:r>
      <w:r w:rsidR="00AD0C24" w:rsidRPr="002A11D0">
        <w:rPr>
          <w:rFonts w:eastAsia="Arial"/>
        </w:rPr>
        <w:t xml:space="preserve">enzalutamido ir ADT derinio veiksmingumas lyginant su ADT monoterapija </w:t>
      </w:r>
      <w:r w:rsidR="00AD0C24" w:rsidRPr="002A3658">
        <w:t>mHJPV</w:t>
      </w:r>
      <w:r w:rsidR="00AD0C24">
        <w:t xml:space="preserve"> sergantiems pacientams. </w:t>
      </w:r>
      <w:r w:rsidR="002A11D0" w:rsidRPr="00E44365">
        <w:t>574</w:t>
      </w:r>
      <w:r w:rsidR="002A11D0" w:rsidRPr="002A11D0">
        <w:rPr>
          <w:rFonts w:eastAsia="Arial"/>
          <w:iCs/>
        </w:rPr>
        <w:t xml:space="preserve"> pacientų buvo skirta enzalutamido 160 mg/p (4 kapsulės) ir ADT, </w:t>
      </w:r>
      <w:r w:rsidR="002A11D0" w:rsidRPr="00E44365">
        <w:t xml:space="preserve">576 pacientų </w:t>
      </w:r>
      <w:r w:rsidR="002A11D0" w:rsidRPr="002A11D0">
        <w:rPr>
          <w:rFonts w:eastAsia="Arial"/>
          <w:iCs/>
        </w:rPr>
        <w:t>skirta placebas ir ADT. Gydymas skirtas iki nepriimtino toksiškumo, radiografiškai nustatyto ligos progresavimo</w:t>
      </w:r>
      <w:r>
        <w:rPr>
          <w:rFonts w:eastAsia="Arial"/>
          <w:iCs/>
        </w:rPr>
        <w:t xml:space="preserve"> </w:t>
      </w:r>
      <w:r w:rsidR="002A11D0" w:rsidRPr="002A11D0">
        <w:rPr>
          <w:rFonts w:eastAsia="Arial"/>
          <w:iCs/>
        </w:rPr>
        <w:t>arba iki naujo</w:t>
      </w:r>
      <w:r>
        <w:rPr>
          <w:rFonts w:eastAsia="Arial"/>
          <w:iCs/>
        </w:rPr>
        <w:t xml:space="preserve"> prostatos vėžio</w:t>
      </w:r>
      <w:r w:rsidR="002A11D0" w:rsidRPr="002A11D0">
        <w:rPr>
          <w:rFonts w:eastAsia="Arial"/>
          <w:iCs/>
        </w:rPr>
        <w:t xml:space="preserve"> gydymo paskyrimo. Pagrindinė tarpinės analizės vertinamoji baigtis – radio</w:t>
      </w:r>
      <w:r>
        <w:rPr>
          <w:rFonts w:eastAsia="Arial"/>
          <w:iCs/>
        </w:rPr>
        <w:t xml:space="preserve">logiškai </w:t>
      </w:r>
      <w:r w:rsidR="002A11D0" w:rsidRPr="002A11D0">
        <w:rPr>
          <w:rFonts w:eastAsia="Arial"/>
          <w:iCs/>
        </w:rPr>
        <w:t xml:space="preserve">patvirtintas išgyvenamumas be ligos progresavimo (rIBLP, angl. </w:t>
      </w:r>
      <w:r w:rsidR="002A11D0" w:rsidRPr="002A11D0">
        <w:rPr>
          <w:rFonts w:eastAsia="Arial"/>
          <w:i/>
        </w:rPr>
        <w:t>radiographic progression-free survival</w:t>
      </w:r>
      <w:r w:rsidR="002A11D0" w:rsidRPr="002A11D0">
        <w:rPr>
          <w:rFonts w:eastAsia="Arial"/>
          <w:iCs/>
        </w:rPr>
        <w:t>), ligos progresavimas apibrėžtas kaip progresavimas į minkštuosius audinius pagal RECIST kriterijus arba ≥ 2 kaulinės metastazės. Buvo atlikta nepriklausoma centrinė rad</w:t>
      </w:r>
      <w:r>
        <w:rPr>
          <w:rFonts w:eastAsia="Arial"/>
          <w:iCs/>
        </w:rPr>
        <w:t>iologinių</w:t>
      </w:r>
      <w:r w:rsidR="002A11D0" w:rsidRPr="002A11D0">
        <w:rPr>
          <w:rFonts w:eastAsia="Arial"/>
          <w:iCs/>
        </w:rPr>
        <w:t xml:space="preserve"> vaizdų peržiūra. Pagrindinė galutinės analizės vertinamoji baigtis – bendras išgyvenamumas (BI).</w:t>
      </w:r>
      <w:r w:rsidR="002F659E">
        <w:rPr>
          <w:rFonts w:eastAsia="Arial"/>
          <w:iCs/>
        </w:rPr>
        <w:t xml:space="preserve"> </w:t>
      </w:r>
      <w:r w:rsidR="00AD4E61" w:rsidRPr="00E44365">
        <w:rPr>
          <w:rFonts w:eastAsia="Arial"/>
          <w:iCs/>
        </w:rPr>
        <w:t xml:space="preserve">Atlikta tarpinė ir galutinė analizė. Duomenys tarpinei analizei rinkti iki </w:t>
      </w:r>
      <w:r w:rsidR="00AD4E61" w:rsidRPr="00E44365">
        <w:t xml:space="preserve">2018 m. spalio 14 d., duomenys galutinei analizei rinkti iki </w:t>
      </w:r>
      <w:r w:rsidR="00AD4E61">
        <w:rPr>
          <w:color w:val="000000"/>
        </w:rPr>
        <w:t>2021 m. gegužės 28 d</w:t>
      </w:r>
      <w:r w:rsidR="00AD4E61">
        <w:rPr>
          <w:rFonts w:eastAsia="Arial"/>
          <w:iCs/>
        </w:rPr>
        <w:t xml:space="preserve">. </w:t>
      </w:r>
      <w:r w:rsidR="00AD4E61" w:rsidRPr="00F33C72">
        <w:rPr>
          <w:rFonts w:eastAsia="Arial"/>
          <w:iCs/>
        </w:rPr>
        <w:t xml:space="preserve">rIBLP mediana </w:t>
      </w:r>
      <w:r w:rsidR="00AD4E61">
        <w:rPr>
          <w:rFonts w:eastAsia="Arial"/>
          <w:iCs/>
        </w:rPr>
        <w:t xml:space="preserve">bendroje pacientų populiacijoje </w:t>
      </w:r>
      <w:r w:rsidR="00AD4E61" w:rsidRPr="00F33C72">
        <w:rPr>
          <w:rFonts w:eastAsia="Arial"/>
          <w:iCs/>
        </w:rPr>
        <w:t xml:space="preserve">nebuvo pasiekta enzalutamido ir ADT grupėje (95 % PI, nepasiekta – nepasiekta). rIBLP mediana </w:t>
      </w:r>
      <w:r w:rsidR="00AD4E61" w:rsidRPr="00F33C72">
        <w:rPr>
          <w:rFonts w:eastAsia="Arial"/>
          <w:iCs/>
        </w:rPr>
        <w:lastRenderedPageBreak/>
        <w:t>kontrolinėje grupėje buvo 19,0 mėn. (95% PI, 16,6 – 22,2 mėn.).</w:t>
      </w:r>
      <w:r w:rsidR="00AD4E61">
        <w:rPr>
          <w:rFonts w:eastAsia="Arial"/>
          <w:iCs/>
        </w:rPr>
        <w:t xml:space="preserve"> Vertinant mažos rizikos pacientų pogrupį, buvo nustatyta mažesnė rizika ligos progresavimui enzalutamido ir ADT derinio grupėje lyginant su ADT monoterapijos grupe RS </w:t>
      </w:r>
      <w:r w:rsidR="00AD4E61" w:rsidRPr="00AD4E61">
        <w:rPr>
          <w:rFonts w:eastAsia="Arial"/>
          <w:iCs/>
        </w:rPr>
        <w:t>0</w:t>
      </w:r>
      <w:r w:rsidR="00AD4E61">
        <w:rPr>
          <w:rFonts w:eastAsia="Arial"/>
          <w:iCs/>
        </w:rPr>
        <w:t>,25 (</w:t>
      </w:r>
      <w:r w:rsidR="00AD4E61" w:rsidRPr="00F33C72">
        <w:rPr>
          <w:rFonts w:eastAsia="Arial"/>
          <w:iCs/>
        </w:rPr>
        <w:t>95% PI</w:t>
      </w:r>
      <w:r w:rsidR="00AD4E61">
        <w:rPr>
          <w:rFonts w:eastAsia="Arial"/>
          <w:iCs/>
        </w:rPr>
        <w:t xml:space="preserve"> 0,14</w:t>
      </w:r>
      <w:r w:rsidR="00AD4E61" w:rsidRPr="00F33C72">
        <w:rPr>
          <w:rFonts w:eastAsia="Arial"/>
          <w:iCs/>
        </w:rPr>
        <w:t xml:space="preserve"> – </w:t>
      </w:r>
      <w:r w:rsidR="00AD4E61">
        <w:rPr>
          <w:rFonts w:eastAsia="Arial"/>
          <w:iCs/>
        </w:rPr>
        <w:t>0,46). BI rezultatai galutinėje duomenų analizėje statistiškai reikšmingai nesiskyrė mažos rizikos pacientų pogrupyje tiek enazlutamido ir ADT derinio grupėje, tiek ADT monoterapijos grupėje</w:t>
      </w:r>
      <w:r w:rsidR="00705507">
        <w:rPr>
          <w:rFonts w:eastAsia="Arial"/>
          <w:iCs/>
        </w:rPr>
        <w:t xml:space="preserve"> RS </w:t>
      </w:r>
      <w:r w:rsidR="00705507" w:rsidRPr="00AD4E61">
        <w:rPr>
          <w:rFonts w:eastAsia="Arial"/>
          <w:iCs/>
        </w:rPr>
        <w:t>0</w:t>
      </w:r>
      <w:r w:rsidR="00705507">
        <w:rPr>
          <w:rFonts w:eastAsia="Arial"/>
          <w:iCs/>
        </w:rPr>
        <w:t>,66 (</w:t>
      </w:r>
      <w:r w:rsidR="00705507" w:rsidRPr="00F33C72">
        <w:rPr>
          <w:rFonts w:eastAsia="Arial"/>
          <w:iCs/>
        </w:rPr>
        <w:t>95% PI</w:t>
      </w:r>
      <w:r w:rsidR="00705507">
        <w:rPr>
          <w:rFonts w:eastAsia="Arial"/>
          <w:iCs/>
        </w:rPr>
        <w:t xml:space="preserve"> 0,43</w:t>
      </w:r>
      <w:r w:rsidR="00705507" w:rsidRPr="00F33C72">
        <w:rPr>
          <w:rFonts w:eastAsia="Arial"/>
          <w:iCs/>
        </w:rPr>
        <w:t xml:space="preserve"> – </w:t>
      </w:r>
      <w:r w:rsidR="00705507">
        <w:rPr>
          <w:rFonts w:eastAsia="Arial"/>
          <w:iCs/>
        </w:rPr>
        <w:t xml:space="preserve">1,03). Vertinant enzalutamido ir ADT derinio saugumą, </w:t>
      </w:r>
      <w:r w:rsidR="00156C15" w:rsidRPr="00EA3391">
        <w:rPr>
          <w:rFonts w:eastAsia="Arial"/>
          <w:iCs/>
        </w:rPr>
        <w:t>487</w:t>
      </w:r>
      <w:r w:rsidR="00156C15">
        <w:rPr>
          <w:rFonts w:eastAsia="Arial"/>
          <w:iCs/>
        </w:rPr>
        <w:t xml:space="preserve"> </w:t>
      </w:r>
      <w:r w:rsidR="00156C15" w:rsidRPr="00EA3391">
        <w:rPr>
          <w:rFonts w:eastAsia="Arial"/>
          <w:iCs/>
        </w:rPr>
        <w:t xml:space="preserve">(85,1 %) </w:t>
      </w:r>
      <w:r w:rsidR="00156C15">
        <w:rPr>
          <w:rFonts w:eastAsia="Arial"/>
          <w:iCs/>
        </w:rPr>
        <w:t xml:space="preserve">pacientų enzalutamido ir ADT derinio grupėje ir 493 (85,9 %) pacientų ADT monoterapijos grupėje nustatyti nepageidaujami reiškiniai. Dažniausi nepageidaujami reiškiniai enzalutamido ir ADT derinio grupėje buvo </w:t>
      </w:r>
      <w:r w:rsidR="00156C15" w:rsidRPr="00812A29">
        <w:rPr>
          <w:rFonts w:eastAsia="Arial"/>
          <w:iCs/>
        </w:rPr>
        <w:t>karščio pojūt</w:t>
      </w:r>
      <w:r w:rsidR="00156C15">
        <w:rPr>
          <w:rFonts w:eastAsia="Arial"/>
          <w:iCs/>
        </w:rPr>
        <w:t xml:space="preserve">is (angl. </w:t>
      </w:r>
      <w:r w:rsidR="00156C15" w:rsidRPr="00DE53BB">
        <w:rPr>
          <w:rFonts w:eastAsia="Arial"/>
          <w:i/>
        </w:rPr>
        <w:t>hot flush</w:t>
      </w:r>
      <w:r w:rsidR="00156C15">
        <w:rPr>
          <w:rFonts w:eastAsia="Arial"/>
          <w:iCs/>
        </w:rPr>
        <w:t xml:space="preserve">), nuovargis, hipertenzija ir raumenų–skeleto skausmas. Nugaros skausmas buvo vienintelis nepageidaujamas reiškinys, dažnesnis ADT monoterapijos grupėje, lyginant su enzalutamido ir ADT derinio grupe. 3–4 laipsnio nepageidaujami reiškiniai, nustatyti bent 1 % pacientų, buvo 23,6 % enzalutamido ir ADT derinio grupėje ir 24,7 % ADT monoterapijos grupėje. </w:t>
      </w:r>
    </w:p>
    <w:p w14:paraId="6EFFDE97" w14:textId="2E3B9E32" w:rsidR="00AD4E61" w:rsidRDefault="00AD4E61" w:rsidP="00AD4E61">
      <w:pPr>
        <w:tabs>
          <w:tab w:val="left" w:pos="426"/>
        </w:tabs>
        <w:jc w:val="both"/>
        <w:rPr>
          <w:rFonts w:eastAsia="Arial"/>
          <w:iCs/>
        </w:rPr>
      </w:pPr>
    </w:p>
    <w:p w14:paraId="4030BD67" w14:textId="34D5651C" w:rsidR="00C62CA0" w:rsidRPr="00C62CA0" w:rsidRDefault="00C62CA0" w:rsidP="00C62CA0">
      <w:pPr>
        <w:tabs>
          <w:tab w:val="left" w:pos="426"/>
        </w:tabs>
        <w:spacing w:line="276" w:lineRule="auto"/>
        <w:jc w:val="both"/>
        <w:rPr>
          <w:rFonts w:eastAsia="Arial"/>
          <w:i/>
        </w:rPr>
      </w:pPr>
      <w:r>
        <w:rPr>
          <w:rFonts w:eastAsia="Arial"/>
          <w:i/>
        </w:rPr>
        <w:t>Net</w:t>
      </w:r>
      <w:r w:rsidRPr="00C62CA0">
        <w:rPr>
          <w:rFonts w:eastAsia="Arial"/>
          <w:i/>
        </w:rPr>
        <w:t>iesioginis palyginimas:</w:t>
      </w:r>
    </w:p>
    <w:p w14:paraId="6D187CEB" w14:textId="7A779FE3" w:rsidR="009B0913" w:rsidRPr="00322A69" w:rsidRDefault="00156C15" w:rsidP="00322A69">
      <w:pPr>
        <w:spacing w:line="276" w:lineRule="auto"/>
        <w:ind w:right="10" w:firstLine="720"/>
        <w:jc w:val="both"/>
        <w:outlineLvl w:val="0"/>
        <w:rPr>
          <w:iCs/>
        </w:rPr>
      </w:pPr>
      <w:r w:rsidRPr="00322A69">
        <w:rPr>
          <w:rFonts w:eastAsia="Arial"/>
          <w:iCs/>
        </w:rPr>
        <w:t>Atsižvelgiant į tai, jog Lietuvos klinikinėje praktikoje didėles rizikos prostatos vėžiu sergantiems pacientams derinyje su ADT yra skiriamas docetakselis, Pareiškėjo buvo paprašyta pateikti ADT ir docetakselio derinio palyginimą su enzalutamido ir ADT deriniu didelės rizikos prostatos vėžiu srgančių pacientų pogrupiui.</w:t>
      </w:r>
      <w:r w:rsidR="00E14A71" w:rsidRPr="00322A69">
        <w:rPr>
          <w:rFonts w:eastAsia="Arial"/>
          <w:iCs/>
        </w:rPr>
        <w:t xml:space="preserve"> </w:t>
      </w:r>
      <w:r w:rsidR="00E14A71" w:rsidRPr="00322A69">
        <w:rPr>
          <w:iCs/>
        </w:rPr>
        <w:t>Pareiškėjas pateikė</w:t>
      </w:r>
      <w:r w:rsidR="00560DB0" w:rsidRPr="00322A69">
        <w:rPr>
          <w:iCs/>
        </w:rPr>
        <w:t xml:space="preserve"> </w:t>
      </w:r>
      <w:r w:rsidR="00E14A71" w:rsidRPr="00322A69">
        <w:rPr>
          <w:iCs/>
        </w:rPr>
        <w:t>netiesioginius šių derinių palyginimus.</w:t>
      </w:r>
      <w:r w:rsidR="009B0913" w:rsidRPr="00322A69">
        <w:rPr>
          <w:iCs/>
        </w:rPr>
        <w:t xml:space="preserve"> </w:t>
      </w:r>
      <w:r w:rsidR="00560DB0" w:rsidRPr="00322A69">
        <w:rPr>
          <w:iCs/>
        </w:rPr>
        <w:t xml:space="preserve">Pateiktoje 2020 m. Chen ir bendraautorių Bajeso tinklinėje metaanalizę, </w:t>
      </w:r>
      <w:r w:rsidR="009B0913" w:rsidRPr="00322A69">
        <w:rPr>
          <w:iCs/>
        </w:rPr>
        <w:t>esant didelio tūrio ligai (arba dar kitaip didelės rizikos), nenustatytas statistiškai reikšmingo docetakselio + ADT arba enzalutamido + ADT pranašumo, lyginant šiuos vaistų derinius tarpusavyje pagal bendrąjį išgyvenamumą, RS 1,</w:t>
      </w:r>
      <w:r w:rsidR="00010E75" w:rsidRPr="00322A69">
        <w:rPr>
          <w:iCs/>
        </w:rPr>
        <w:t>1</w:t>
      </w:r>
      <w:r w:rsidR="009B0913" w:rsidRPr="00322A69">
        <w:rPr>
          <w:iCs/>
        </w:rPr>
        <w:t xml:space="preserve"> (</w:t>
      </w:r>
      <w:r w:rsidR="009B0913" w:rsidRPr="00322A69">
        <w:rPr>
          <w:rFonts w:eastAsia="Arial"/>
          <w:iCs/>
        </w:rPr>
        <w:t>95% PI 0,7</w:t>
      </w:r>
      <w:r w:rsidR="00010E75" w:rsidRPr="00322A69">
        <w:rPr>
          <w:rFonts w:eastAsia="Arial"/>
          <w:iCs/>
        </w:rPr>
        <w:t>8</w:t>
      </w:r>
      <w:r w:rsidR="009B0913" w:rsidRPr="00322A69">
        <w:rPr>
          <w:rFonts w:eastAsia="Arial"/>
          <w:iCs/>
        </w:rPr>
        <w:t xml:space="preserve"> – 1,</w:t>
      </w:r>
      <w:r w:rsidR="00010E75" w:rsidRPr="00322A69">
        <w:rPr>
          <w:rFonts w:eastAsia="Arial"/>
          <w:iCs/>
        </w:rPr>
        <w:t>6</w:t>
      </w:r>
      <w:r w:rsidR="009B0913" w:rsidRPr="00322A69">
        <w:rPr>
          <w:rFonts w:eastAsia="Arial"/>
          <w:iCs/>
        </w:rPr>
        <w:t>).</w:t>
      </w:r>
      <w:r w:rsidR="00580520" w:rsidRPr="00322A69">
        <w:rPr>
          <w:rFonts w:eastAsia="Arial"/>
          <w:iCs/>
        </w:rPr>
        <w:t xml:space="preserve"> </w:t>
      </w:r>
      <w:r w:rsidR="00580520" w:rsidRPr="00322A69">
        <w:rPr>
          <w:iCs/>
        </w:rPr>
        <w:t xml:space="preserve"> 2022 m. Mori ir bendraautorių tinklinėje metaanalizėje buvo vertinamas enzalutamido + ADT, abiraterono + ADT, apalutamido + ADT ir docetakselio + ADT veiksmingumas, lyginant su ADT monoterapija, taip pat analizuotas šių vaistinių preparatų derinių veiksmingumas tarpusavyje. Metaanalizės duomenimis, vertinant IBLP, abirateronas + ADT (RS 0,85, 95% PI, 0,78–0,93), apalutamidas + ADT (RS 0,87, 95% PI, 0,77–0,98) ir enzalutamidas + ADT (RS 0,80, 95% PI, 0,73–0,88) buvo veiksmingesni už docetakselį + ADT pagal IBLP</w:t>
      </w:r>
      <w:r w:rsidR="00773007" w:rsidRPr="00322A69">
        <w:rPr>
          <w:iCs/>
        </w:rPr>
        <w:t xml:space="preserve">. Vertinant BI ir IBLP, reitingavimo analizėje (angl. </w:t>
      </w:r>
      <w:r w:rsidR="00773007" w:rsidRPr="00322A69">
        <w:rPr>
          <w:i/>
        </w:rPr>
        <w:t>ranking analysis</w:t>
      </w:r>
      <w:r w:rsidR="00773007" w:rsidRPr="00322A69">
        <w:rPr>
          <w:iCs/>
        </w:rPr>
        <w:t>) abirateronas + ADT buvo pranašiausias veiksmingumu, toliau sekė apalutamidas + ADT ir enzalutamidas + ADT, toliau – docetakselis + ADT.</w:t>
      </w:r>
    </w:p>
    <w:p w14:paraId="651B722B" w14:textId="42FC4412" w:rsidR="00D4485B" w:rsidRPr="00C62CA0" w:rsidRDefault="00D4485B" w:rsidP="00C62CA0">
      <w:pPr>
        <w:tabs>
          <w:tab w:val="left" w:pos="426"/>
        </w:tabs>
        <w:jc w:val="both"/>
        <w:rPr>
          <w:rFonts w:eastAsia="Arial"/>
          <w:iCs/>
        </w:rPr>
      </w:pPr>
    </w:p>
    <w:p w14:paraId="6349EFE2" w14:textId="77777777" w:rsidR="00F16D32" w:rsidRPr="00E33EFF" w:rsidRDefault="00F16D32" w:rsidP="00D37368">
      <w:pPr>
        <w:pStyle w:val="Sraopastraipa"/>
        <w:tabs>
          <w:tab w:val="left" w:pos="426"/>
        </w:tabs>
        <w:ind w:left="0" w:firstLine="576"/>
        <w:jc w:val="both"/>
        <w:rPr>
          <w:b/>
          <w:bCs/>
          <w:caps/>
        </w:rPr>
      </w:pPr>
    </w:p>
    <w:p w14:paraId="68F7D53A" w14:textId="77777777" w:rsidR="00E03C3F" w:rsidRPr="00E33EFF" w:rsidRDefault="00CC7832" w:rsidP="00D55C4D">
      <w:pPr>
        <w:pStyle w:val="Sraopastraipa"/>
        <w:numPr>
          <w:ilvl w:val="0"/>
          <w:numId w:val="12"/>
        </w:numPr>
        <w:tabs>
          <w:tab w:val="left" w:pos="567"/>
        </w:tabs>
        <w:ind w:hanging="720"/>
        <w:jc w:val="both"/>
        <w:rPr>
          <w:b/>
          <w:bCs/>
          <w:caps/>
        </w:rPr>
      </w:pPr>
      <w:r w:rsidRPr="00E33EFF">
        <w:rPr>
          <w:b/>
          <w:bCs/>
          <w:caps/>
        </w:rPr>
        <w:t xml:space="preserve">ekonominio vertinimo </w:t>
      </w:r>
      <w:r w:rsidR="002F0E4F" w:rsidRPr="00E33EFF">
        <w:rPr>
          <w:b/>
          <w:bCs/>
          <w:caps/>
        </w:rPr>
        <w:t>apibendrinimas</w:t>
      </w:r>
    </w:p>
    <w:p w14:paraId="06BC0AB5" w14:textId="2DB61BD3" w:rsidR="002E6F80" w:rsidRDefault="002E6F80" w:rsidP="00D37368">
      <w:pPr>
        <w:tabs>
          <w:tab w:val="left" w:pos="284"/>
        </w:tabs>
        <w:ind w:firstLine="576"/>
        <w:jc w:val="both"/>
        <w:rPr>
          <w:i/>
          <w:color w:val="00B050"/>
          <w:sz w:val="22"/>
          <w:szCs w:val="22"/>
        </w:rPr>
      </w:pPr>
    </w:p>
    <w:p w14:paraId="44B9B933" w14:textId="77777777" w:rsidR="00D55C4D" w:rsidRDefault="00D55C4D" w:rsidP="00D55C4D">
      <w:pPr>
        <w:tabs>
          <w:tab w:val="left" w:pos="284"/>
        </w:tabs>
        <w:spacing w:line="276" w:lineRule="auto"/>
        <w:ind w:firstLine="576"/>
        <w:jc w:val="both"/>
        <w:rPr>
          <w:iCs/>
        </w:rPr>
      </w:pPr>
      <w:bookmarkStart w:id="0" w:name="_Hlk144297543"/>
      <w:r>
        <w:rPr>
          <w:iCs/>
        </w:rPr>
        <w:t xml:space="preserve">Pareiškėjas vertinimui pateikė kaštų naudingumo analizę, kurioje enzalutamido kaštų naudingumas vertinamas lyginant su palyginamojo gydymo kaštų naudingumu. </w:t>
      </w:r>
    </w:p>
    <w:p w14:paraId="01370B2A" w14:textId="4463D39B" w:rsidR="00D55C4D" w:rsidRPr="00D55C4D" w:rsidRDefault="00D55C4D" w:rsidP="00D55C4D">
      <w:pPr>
        <w:tabs>
          <w:tab w:val="left" w:pos="284"/>
        </w:tabs>
        <w:spacing w:line="276" w:lineRule="auto"/>
        <w:ind w:firstLine="576"/>
        <w:jc w:val="both"/>
        <w:rPr>
          <w:iCs/>
        </w:rPr>
      </w:pPr>
      <w:r w:rsidRPr="00650E36">
        <w:t>Į ekonominę analizę įtraukti pacientai atitinka kompensacijai teikiamas terapines indikacijas.</w:t>
      </w:r>
    </w:p>
    <w:p w14:paraId="1A7FB191" w14:textId="37B3F32B" w:rsidR="00D55C4D" w:rsidRDefault="00D55C4D" w:rsidP="00D55C4D">
      <w:pPr>
        <w:tabs>
          <w:tab w:val="left" w:pos="284"/>
        </w:tabs>
        <w:spacing w:line="276" w:lineRule="auto"/>
        <w:ind w:firstLine="576"/>
        <w:jc w:val="both"/>
      </w:pPr>
      <w:r w:rsidRPr="00650E36">
        <w:t>Į ekonominę analizę įtraukti pacientai atitinka klinikinio tyrimo ARCHES populiaciją – į klinikinį tyrimą buvo įtraukiami pacientai, sergantys metastaziniu prostatos vėžiu, patvirtintu teigiama kaulų scintigrafija (dėl kaulų ligos), arba KT ar MRT nustatytais metastaziniais pažeidimais (metastazių minkštuosiuose audiniuose atvejais).</w:t>
      </w:r>
    </w:p>
    <w:p w14:paraId="0859871C" w14:textId="5D5AFFB5" w:rsidR="00D55C4D" w:rsidRDefault="00D55C4D" w:rsidP="00D55C4D">
      <w:pPr>
        <w:tabs>
          <w:tab w:val="left" w:pos="284"/>
        </w:tabs>
        <w:spacing w:line="276" w:lineRule="auto"/>
        <w:ind w:firstLine="576"/>
        <w:jc w:val="both"/>
        <w:rPr>
          <w:iCs/>
        </w:rPr>
      </w:pPr>
      <w:r w:rsidRPr="00D55C4D">
        <w:rPr>
          <w:iCs/>
        </w:rPr>
        <w:t>Ekonominėje analizėje pateiktas palyginamasis gydymas atitinka klinikinio paraiškos vertinimo dalyje pateiktą palyginamąjį gydymą</w:t>
      </w:r>
      <w:r>
        <w:rPr>
          <w:iCs/>
        </w:rPr>
        <w:t xml:space="preserve">. </w:t>
      </w:r>
      <w:r w:rsidRPr="00D55C4D">
        <w:rPr>
          <w:iCs/>
        </w:rPr>
        <w:t>Ekonominėje analizėje pateikti keli palyginamojo gydymo būdai – gydymas antiandrogenų terapija (ADT), bei gydymas antiandrogenų terapija derinyje su docetakseliu. Ekonominėje analizėje pateiktas palyginamasis gydymas atitinka įprastą Lietuvos Respublikos klinikinę praktiką.</w:t>
      </w:r>
    </w:p>
    <w:p w14:paraId="548DDC19" w14:textId="09564AE3" w:rsidR="00D55C4D" w:rsidRDefault="00D55C4D" w:rsidP="00D55C4D">
      <w:pPr>
        <w:tabs>
          <w:tab w:val="left" w:pos="284"/>
        </w:tabs>
        <w:spacing w:line="276" w:lineRule="auto"/>
        <w:ind w:firstLine="576"/>
        <w:jc w:val="both"/>
        <w:rPr>
          <w:iCs/>
        </w:rPr>
      </w:pPr>
      <w:r w:rsidRPr="00D55C4D">
        <w:rPr>
          <w:iCs/>
        </w:rPr>
        <w:lastRenderedPageBreak/>
        <w:t>Analizė atlikta iš PSDF biudžeto perspektyvos, įtraukti tiesiogiai su sveikatos sistema susiję kaštai. Tai atitinka teisės aktuose nustatytus paraiškos rengimo taisyklių reikalavimus.</w:t>
      </w:r>
      <w:r>
        <w:rPr>
          <w:iCs/>
        </w:rPr>
        <w:t xml:space="preserve"> </w:t>
      </w:r>
      <w:r w:rsidRPr="00D55C4D">
        <w:rPr>
          <w:iCs/>
        </w:rPr>
        <w:t>Analizėje taikoma 20 metų laiko perspektyva. Pasirinkta laiko perspektyva yra tinkama, kadangi leidžia iš esmės apimti visus kaštus ir sukuriamą naudą sveikatai.</w:t>
      </w:r>
    </w:p>
    <w:p w14:paraId="26D7FC6A" w14:textId="4A93783F" w:rsidR="00D55C4D" w:rsidRDefault="00D55C4D" w:rsidP="00D55C4D">
      <w:pPr>
        <w:tabs>
          <w:tab w:val="left" w:pos="284"/>
        </w:tabs>
        <w:spacing w:line="276" w:lineRule="auto"/>
        <w:ind w:firstLine="576"/>
        <w:jc w:val="both"/>
        <w:rPr>
          <w:iCs/>
        </w:rPr>
      </w:pPr>
      <w:r w:rsidRPr="00D55C4D">
        <w:rPr>
          <w:iCs/>
        </w:rPr>
        <w:t xml:space="preserve">Analizėje taikomas modeliavimo tipas gali būti pasirenkamas – pagrindinio atvejo analizėje taikomas dalinis Markovo modelis, tačiau gali būti pasirenkamas ir  išskaidyto išgyvenamumo (angl. </w:t>
      </w:r>
      <w:r w:rsidRPr="00D55C4D">
        <w:rPr>
          <w:i/>
        </w:rPr>
        <w:t>partitioned survival analysis</w:t>
      </w:r>
      <w:r w:rsidRPr="00D55C4D">
        <w:rPr>
          <w:iCs/>
        </w:rPr>
        <w:t>) modelis.</w:t>
      </w:r>
      <w:r>
        <w:rPr>
          <w:iCs/>
        </w:rPr>
        <w:t xml:space="preserve"> </w:t>
      </w:r>
      <w:r w:rsidRPr="00D55C4D">
        <w:rPr>
          <w:iCs/>
        </w:rPr>
        <w:t>Šališkumas modelyje nėra jaučiamas. Analizės struktūra yra tinkama enzalutamido kaštų naudingumo palyginimui atlikti.</w:t>
      </w:r>
    </w:p>
    <w:p w14:paraId="41B34BEC" w14:textId="29DAE28B" w:rsidR="00D55C4D" w:rsidRDefault="00D55C4D" w:rsidP="00D55C4D">
      <w:pPr>
        <w:tabs>
          <w:tab w:val="left" w:pos="284"/>
        </w:tabs>
        <w:spacing w:line="276" w:lineRule="auto"/>
        <w:ind w:firstLine="576"/>
        <w:jc w:val="both"/>
        <w:rPr>
          <w:iCs/>
        </w:rPr>
      </w:pPr>
      <w:r w:rsidRPr="00D55C4D">
        <w:rPr>
          <w:iCs/>
        </w:rPr>
        <w:t>Pagrindinis klinikinių įrodymų (vertinant bendrąjį išgyvenamumą, išgyvenamumą be radiologiškai patvirtinto ligos progresavimo, gyvenimo kokybės įverčių, nepageidaujamų reiškinių dažnio) šaltinis  yra klinikinis tyrimas ARCHES.</w:t>
      </w:r>
      <w:r>
        <w:rPr>
          <w:iCs/>
        </w:rPr>
        <w:t xml:space="preserve"> </w:t>
      </w:r>
      <w:r w:rsidRPr="00D55C4D">
        <w:rPr>
          <w:iCs/>
        </w:rPr>
        <w:t>Lyginant enzalutamidą su docetakselio ir ADT deriniu naudojami netiesioginio palyginimo metu gauti rizikos santykiai. Aprašymo, kaip buvo gauti rizikos santykiai pareiškėjas ekonominės analizės aprašyme nepateikia.</w:t>
      </w:r>
    </w:p>
    <w:p w14:paraId="7BB7329E" w14:textId="77777777" w:rsidR="00082727" w:rsidRDefault="00D55C4D" w:rsidP="00D55C4D">
      <w:pPr>
        <w:tabs>
          <w:tab w:val="left" w:pos="284"/>
        </w:tabs>
        <w:spacing w:line="276" w:lineRule="auto"/>
        <w:ind w:firstLine="576"/>
        <w:jc w:val="both"/>
        <w:rPr>
          <w:lang w:eastAsia="lt-LT"/>
        </w:rPr>
      </w:pPr>
      <w:r>
        <w:rPr>
          <w:lang w:eastAsia="lt-LT"/>
        </w:rPr>
        <w:t xml:space="preserve">Pateiktoje analizėje </w:t>
      </w:r>
      <w:r w:rsidRPr="00CE74F0">
        <w:rPr>
          <w:lang w:eastAsia="lt-LT"/>
        </w:rPr>
        <w:t xml:space="preserve">taikoma ilgesnė laiko perspektyva, besitęsianti po klinikinio tyrimo stebėsenos pabaigos, </w:t>
      </w:r>
      <w:r>
        <w:rPr>
          <w:lang w:eastAsia="lt-LT"/>
        </w:rPr>
        <w:t xml:space="preserve">todėl taikomi duomenų ekstrapoliacijos metodai. </w:t>
      </w:r>
    </w:p>
    <w:p w14:paraId="00B56625" w14:textId="74A4158E" w:rsidR="00082727" w:rsidRDefault="00082727" w:rsidP="00D55C4D">
      <w:pPr>
        <w:tabs>
          <w:tab w:val="left" w:pos="284"/>
        </w:tabs>
        <w:spacing w:line="276" w:lineRule="auto"/>
        <w:ind w:firstLine="576"/>
        <w:jc w:val="both"/>
        <w:rPr>
          <w:lang w:eastAsia="lt-LT"/>
        </w:rPr>
      </w:pPr>
      <w:r>
        <w:rPr>
          <w:lang w:eastAsia="lt-LT"/>
        </w:rPr>
        <w:t>Pagrindiniai (esminiai) ekonominės analizės trūkumai:</w:t>
      </w:r>
    </w:p>
    <w:p w14:paraId="36CBCA63" w14:textId="77777777" w:rsidR="00082727" w:rsidRPr="00082727" w:rsidRDefault="00D55C4D" w:rsidP="00082727">
      <w:pPr>
        <w:pStyle w:val="Sraopastraipa"/>
        <w:numPr>
          <w:ilvl w:val="0"/>
          <w:numId w:val="15"/>
        </w:numPr>
        <w:tabs>
          <w:tab w:val="left" w:pos="284"/>
        </w:tabs>
        <w:spacing w:line="276" w:lineRule="auto"/>
        <w:jc w:val="both"/>
        <w:rPr>
          <w:iCs/>
        </w:rPr>
      </w:pPr>
      <w:r w:rsidRPr="00D55C4D">
        <w:rPr>
          <w:lang w:eastAsia="lt-LT"/>
        </w:rPr>
        <w:t xml:space="preserve">Tarnybos nuomone, modeliuojamas BI, rIBLP pasižymi dideliu neapibrėžtumu, o pareiškėjo taikomos prielaidos, vertinant efektyvumo skirtumus tarp siūlomo ir palyginamojo gydymo ilgajame laikotarpyje yra netinkamai pagrįstos. </w:t>
      </w:r>
    </w:p>
    <w:p w14:paraId="68089F94" w14:textId="77777777" w:rsidR="00082727" w:rsidRPr="00082727" w:rsidRDefault="00082727" w:rsidP="00082727">
      <w:pPr>
        <w:pStyle w:val="Sraopastraipa"/>
        <w:numPr>
          <w:ilvl w:val="0"/>
          <w:numId w:val="15"/>
        </w:numPr>
        <w:tabs>
          <w:tab w:val="left" w:pos="284"/>
        </w:tabs>
        <w:spacing w:line="276" w:lineRule="auto"/>
        <w:jc w:val="both"/>
        <w:rPr>
          <w:iCs/>
        </w:rPr>
      </w:pPr>
      <w:r>
        <w:rPr>
          <w:lang w:eastAsia="lt-LT"/>
        </w:rPr>
        <w:t>Ekonominėje</w:t>
      </w:r>
      <w:r w:rsidR="00D55C4D" w:rsidRPr="00D55C4D">
        <w:rPr>
          <w:lang w:eastAsia="lt-LT"/>
        </w:rPr>
        <w:t xml:space="preserve"> analizėje trūksta pasirinktų prielaidų ir ekonominio modelio parametrų pasirinkimų pagrįstumo, šaltinių, dėl to neįmanoma įvertinti apskaičiuoto inkrementinės kaštų naudingumo vertės pagrįstumo ir galimos neapibrėžtumo įtakos.</w:t>
      </w:r>
      <w:r>
        <w:rPr>
          <w:lang w:eastAsia="lt-LT"/>
        </w:rPr>
        <w:t xml:space="preserve"> Į pateiktus trūkumus pareiškėjas sureagavo iš dalies ir esminiai prieštaravimai dėl klinikinių ilgalaikių prielaidų nėra išspręsti. </w:t>
      </w:r>
    </w:p>
    <w:p w14:paraId="78E7B9D5" w14:textId="77777777" w:rsidR="00082727" w:rsidRDefault="00082727" w:rsidP="00082727">
      <w:pPr>
        <w:tabs>
          <w:tab w:val="left" w:pos="284"/>
        </w:tabs>
        <w:spacing w:line="276" w:lineRule="auto"/>
        <w:ind w:firstLine="576"/>
        <w:jc w:val="both"/>
        <w:rPr>
          <w:iCs/>
        </w:rPr>
      </w:pPr>
      <w:r w:rsidRPr="00082727">
        <w:rPr>
          <w:rFonts w:eastAsia="Arial"/>
        </w:rPr>
        <w:t>Šio</w:t>
      </w:r>
      <w:r>
        <w:rPr>
          <w:rFonts w:eastAsia="Arial"/>
        </w:rPr>
        <w:t>s rekomendacijos</w:t>
      </w:r>
      <w:r w:rsidRPr="00082727">
        <w:rPr>
          <w:rFonts w:eastAsia="Arial"/>
        </w:rPr>
        <w:t xml:space="preserve"> klinikinės dalies vertinime pažymima, kad pateikti klinikiniai įrodymai nepragrindžia </w:t>
      </w:r>
      <w:r>
        <w:t>Xtandi</w:t>
      </w:r>
      <w:r w:rsidRPr="00082727">
        <w:rPr>
          <w:rFonts w:eastAsia="Arial"/>
        </w:rPr>
        <w:t xml:space="preserve"> pranašumo prieš įprastą klinikinę praktiką – palyginamasis efektyvumas neįrodytas kaip didesnis, o klinikinis veiksmingumas yra įvertintas kaip nepagrindžiantis papildomos naudos pacientų sveikatai sukūrimo, lyginant su įprasta klinikine praktika. Dėl šios priežasties kaštų naudingumo  analizės rezultatai neperskaičiuojami ir nepateikiami.</w:t>
      </w:r>
    </w:p>
    <w:p w14:paraId="5A5555C6" w14:textId="66292347" w:rsidR="00082727" w:rsidRPr="00082727" w:rsidRDefault="00082727" w:rsidP="00082727">
      <w:pPr>
        <w:tabs>
          <w:tab w:val="left" w:pos="284"/>
        </w:tabs>
        <w:spacing w:line="276" w:lineRule="auto"/>
        <w:ind w:firstLine="576"/>
        <w:jc w:val="both"/>
        <w:rPr>
          <w:iCs/>
        </w:rPr>
      </w:pPr>
      <w:r w:rsidRPr="00C105C2">
        <w:rPr>
          <w:rFonts w:eastAsia="Arial"/>
        </w:rPr>
        <w:t xml:space="preserve">Vertinant gydymo kaštus, </w:t>
      </w:r>
      <w:r>
        <w:rPr>
          <w:rFonts w:eastAsia="Arial"/>
        </w:rPr>
        <w:t>Xtandi</w:t>
      </w:r>
      <w:r w:rsidRPr="00C105C2">
        <w:rPr>
          <w:rFonts w:eastAsia="Arial"/>
        </w:rPr>
        <w:t xml:space="preserve"> gydymo kaštai yra didesni už </w:t>
      </w:r>
      <w:r>
        <w:rPr>
          <w:rFonts w:eastAsia="Arial"/>
        </w:rPr>
        <w:t>palyginamojo gydymo</w:t>
      </w:r>
      <w:r w:rsidRPr="00C105C2">
        <w:rPr>
          <w:rFonts w:eastAsia="Arial"/>
        </w:rPr>
        <w:t xml:space="preserve"> kaštus</w:t>
      </w:r>
      <w:r>
        <w:rPr>
          <w:rFonts w:eastAsia="Arial"/>
        </w:rPr>
        <w:t xml:space="preserve">. </w:t>
      </w:r>
    </w:p>
    <w:bookmarkEnd w:id="0"/>
    <w:p w14:paraId="21F01BAC" w14:textId="77777777" w:rsidR="00082727" w:rsidRPr="00200255" w:rsidRDefault="00082727" w:rsidP="00082727">
      <w:pPr>
        <w:tabs>
          <w:tab w:val="left" w:pos="567"/>
        </w:tabs>
        <w:jc w:val="both"/>
        <w:rPr>
          <w:lang w:eastAsia="lt-LT"/>
        </w:rPr>
      </w:pPr>
    </w:p>
    <w:tbl>
      <w:tblPr>
        <w:tblStyle w:val="Lentelstinklelis"/>
        <w:tblW w:w="9565" w:type="dxa"/>
        <w:jc w:val="center"/>
        <w:tblLook w:val="04A0" w:firstRow="1" w:lastRow="0" w:firstColumn="1" w:lastColumn="0" w:noHBand="0" w:noVBand="1"/>
      </w:tblPr>
      <w:tblGrid>
        <w:gridCol w:w="2574"/>
        <w:gridCol w:w="1643"/>
        <w:gridCol w:w="1348"/>
        <w:gridCol w:w="1260"/>
        <w:gridCol w:w="1440"/>
        <w:gridCol w:w="1300"/>
      </w:tblGrid>
      <w:tr w:rsidR="00082727" w:rsidRPr="00D05364" w14:paraId="60BF5B24" w14:textId="77777777" w:rsidTr="00560A73">
        <w:trPr>
          <w:trHeight w:val="269"/>
          <w:jc w:val="center"/>
        </w:trPr>
        <w:tc>
          <w:tcPr>
            <w:tcW w:w="9565" w:type="dxa"/>
            <w:gridSpan w:val="6"/>
            <w:tcBorders>
              <w:top w:val="single" w:sz="12" w:space="0" w:color="auto"/>
              <w:left w:val="single" w:sz="12" w:space="0" w:color="auto"/>
              <w:bottom w:val="single" w:sz="12" w:space="0" w:color="auto"/>
              <w:right w:val="single" w:sz="12" w:space="0" w:color="auto"/>
            </w:tcBorders>
            <w:vAlign w:val="center"/>
          </w:tcPr>
          <w:p w14:paraId="45B2359B" w14:textId="3A391ACD" w:rsidR="00082727" w:rsidRPr="00D05364" w:rsidRDefault="00082727" w:rsidP="00560A73">
            <w:pPr>
              <w:tabs>
                <w:tab w:val="left" w:pos="567"/>
              </w:tabs>
              <w:jc w:val="center"/>
              <w:rPr>
                <w:b/>
                <w:lang w:eastAsia="lt-LT"/>
              </w:rPr>
            </w:pPr>
            <w:r w:rsidRPr="00D05364">
              <w:rPr>
                <w:b/>
                <w:lang w:eastAsia="lt-LT"/>
              </w:rPr>
              <w:t>Kaštai</w:t>
            </w:r>
            <w:r>
              <w:rPr>
                <w:b/>
                <w:lang w:eastAsia="lt-LT"/>
              </w:rPr>
              <w:t>, Eur</w:t>
            </w:r>
          </w:p>
        </w:tc>
      </w:tr>
      <w:tr w:rsidR="00082727" w:rsidRPr="00D05364" w14:paraId="72D4AD1C" w14:textId="77777777" w:rsidTr="00082727">
        <w:trPr>
          <w:trHeight w:val="600"/>
          <w:jc w:val="center"/>
        </w:trPr>
        <w:tc>
          <w:tcPr>
            <w:tcW w:w="2574" w:type="dxa"/>
            <w:tcBorders>
              <w:top w:val="single" w:sz="12" w:space="0" w:color="auto"/>
              <w:left w:val="single" w:sz="12" w:space="0" w:color="auto"/>
              <w:bottom w:val="single" w:sz="12" w:space="0" w:color="auto"/>
              <w:right w:val="single" w:sz="12" w:space="0" w:color="auto"/>
            </w:tcBorders>
          </w:tcPr>
          <w:p w14:paraId="28185A22" w14:textId="77777777" w:rsidR="00082727" w:rsidRPr="00D05364" w:rsidRDefault="00082727" w:rsidP="00560A73">
            <w:pPr>
              <w:tabs>
                <w:tab w:val="left" w:pos="567"/>
              </w:tabs>
              <w:jc w:val="both"/>
              <w:rPr>
                <w:color w:val="00B050"/>
                <w:lang w:eastAsia="lt-LT"/>
              </w:rPr>
            </w:pPr>
          </w:p>
        </w:tc>
        <w:tc>
          <w:tcPr>
            <w:tcW w:w="16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468CF6" w14:textId="77777777" w:rsidR="00082727" w:rsidRPr="00082727" w:rsidRDefault="00082727" w:rsidP="00560A73">
            <w:pPr>
              <w:tabs>
                <w:tab w:val="left" w:pos="567"/>
              </w:tabs>
              <w:jc w:val="center"/>
              <w:rPr>
                <w:i/>
                <w:iCs/>
                <w:lang w:eastAsia="lt-LT"/>
              </w:rPr>
            </w:pPr>
            <w:r w:rsidRPr="00082727">
              <w:rPr>
                <w:i/>
                <w:iCs/>
                <w:lang w:eastAsia="lt-LT"/>
              </w:rPr>
              <w:t>Enzalutamidas</w:t>
            </w:r>
          </w:p>
        </w:tc>
        <w:tc>
          <w:tcPr>
            <w:tcW w:w="1348" w:type="dxa"/>
            <w:tcBorders>
              <w:top w:val="single" w:sz="12" w:space="0" w:color="auto"/>
              <w:left w:val="single" w:sz="12" w:space="0" w:color="auto"/>
              <w:bottom w:val="single" w:sz="12" w:space="0" w:color="auto"/>
            </w:tcBorders>
            <w:shd w:val="clear" w:color="auto" w:fill="D9D9D9" w:themeFill="background1" w:themeFillShade="D9"/>
            <w:vAlign w:val="center"/>
          </w:tcPr>
          <w:p w14:paraId="329AA591" w14:textId="77777777" w:rsidR="00082727" w:rsidRPr="00082727" w:rsidRDefault="00082727" w:rsidP="00560A73">
            <w:pPr>
              <w:tabs>
                <w:tab w:val="left" w:pos="567"/>
              </w:tabs>
              <w:jc w:val="center"/>
              <w:rPr>
                <w:i/>
                <w:iCs/>
                <w:lang w:eastAsia="lt-LT"/>
              </w:rPr>
            </w:pPr>
            <w:r w:rsidRPr="00082727">
              <w:rPr>
                <w:i/>
                <w:iCs/>
                <w:lang w:eastAsia="lt-LT"/>
              </w:rPr>
              <w:t>ADT</w:t>
            </w:r>
          </w:p>
        </w:tc>
        <w:tc>
          <w:tcPr>
            <w:tcW w:w="1260" w:type="dxa"/>
            <w:tcBorders>
              <w:top w:val="single" w:sz="12" w:space="0" w:color="auto"/>
              <w:bottom w:val="single" w:sz="12" w:space="0" w:color="auto"/>
              <w:right w:val="single" w:sz="12" w:space="0" w:color="auto"/>
            </w:tcBorders>
            <w:shd w:val="clear" w:color="auto" w:fill="D9D9D9" w:themeFill="background1" w:themeFillShade="D9"/>
            <w:vAlign w:val="center"/>
          </w:tcPr>
          <w:p w14:paraId="71CE6A3D" w14:textId="77777777" w:rsidR="00082727" w:rsidRPr="00082727" w:rsidRDefault="00082727" w:rsidP="00560A73">
            <w:pPr>
              <w:tabs>
                <w:tab w:val="left" w:pos="567"/>
              </w:tabs>
              <w:jc w:val="center"/>
              <w:rPr>
                <w:i/>
                <w:lang w:eastAsia="lt-LT"/>
              </w:rPr>
            </w:pPr>
            <w:r w:rsidRPr="00082727">
              <w:rPr>
                <w:i/>
                <w:lang w:eastAsia="lt-LT"/>
              </w:rPr>
              <w:t>Skirtumas</w:t>
            </w:r>
          </w:p>
        </w:tc>
        <w:tc>
          <w:tcPr>
            <w:tcW w:w="1440" w:type="dxa"/>
            <w:tcBorders>
              <w:top w:val="single" w:sz="12" w:space="0" w:color="auto"/>
              <w:left w:val="single" w:sz="12" w:space="0" w:color="auto"/>
              <w:bottom w:val="single" w:sz="12" w:space="0" w:color="auto"/>
            </w:tcBorders>
            <w:shd w:val="clear" w:color="auto" w:fill="BFBFBF" w:themeFill="background1" w:themeFillShade="BF"/>
            <w:vAlign w:val="center"/>
          </w:tcPr>
          <w:p w14:paraId="16CE99B4" w14:textId="77777777" w:rsidR="00082727" w:rsidRPr="00082727" w:rsidRDefault="00082727" w:rsidP="00560A73">
            <w:pPr>
              <w:tabs>
                <w:tab w:val="left" w:pos="567"/>
              </w:tabs>
              <w:jc w:val="center"/>
              <w:rPr>
                <w:i/>
                <w:lang w:eastAsia="lt-LT"/>
              </w:rPr>
            </w:pPr>
            <w:r w:rsidRPr="00082727">
              <w:rPr>
                <w:i/>
                <w:lang w:eastAsia="lt-LT"/>
              </w:rPr>
              <w:t>ADT + docetakselis</w:t>
            </w:r>
          </w:p>
        </w:tc>
        <w:tc>
          <w:tcPr>
            <w:tcW w:w="1300" w:type="dxa"/>
            <w:tcBorders>
              <w:top w:val="single" w:sz="12" w:space="0" w:color="auto"/>
              <w:bottom w:val="single" w:sz="12" w:space="0" w:color="auto"/>
              <w:right w:val="single" w:sz="12" w:space="0" w:color="auto"/>
            </w:tcBorders>
            <w:shd w:val="clear" w:color="auto" w:fill="BFBFBF" w:themeFill="background1" w:themeFillShade="BF"/>
            <w:vAlign w:val="center"/>
          </w:tcPr>
          <w:p w14:paraId="0EEB4577" w14:textId="77777777" w:rsidR="00082727" w:rsidRPr="00082727" w:rsidRDefault="00082727" w:rsidP="00560A73">
            <w:pPr>
              <w:tabs>
                <w:tab w:val="left" w:pos="567"/>
              </w:tabs>
              <w:jc w:val="center"/>
              <w:rPr>
                <w:i/>
                <w:lang w:eastAsia="lt-LT"/>
              </w:rPr>
            </w:pPr>
            <w:r w:rsidRPr="00082727">
              <w:rPr>
                <w:i/>
                <w:lang w:eastAsia="lt-LT"/>
              </w:rPr>
              <w:t>Skirtumas</w:t>
            </w:r>
          </w:p>
        </w:tc>
      </w:tr>
      <w:tr w:rsidR="00082727" w:rsidRPr="00D05364" w14:paraId="0EBF2A60" w14:textId="77777777" w:rsidTr="00082727">
        <w:trPr>
          <w:trHeight w:val="326"/>
          <w:jc w:val="center"/>
        </w:trPr>
        <w:tc>
          <w:tcPr>
            <w:tcW w:w="2574" w:type="dxa"/>
            <w:tcBorders>
              <w:left w:val="single" w:sz="12" w:space="0" w:color="auto"/>
              <w:bottom w:val="single" w:sz="12" w:space="0" w:color="auto"/>
              <w:right w:val="single" w:sz="12" w:space="0" w:color="auto"/>
            </w:tcBorders>
            <w:vAlign w:val="center"/>
          </w:tcPr>
          <w:p w14:paraId="4F3728EF" w14:textId="18C1946F" w:rsidR="00082727" w:rsidRPr="00082727" w:rsidRDefault="00082727" w:rsidP="00082727">
            <w:pPr>
              <w:tabs>
                <w:tab w:val="left" w:pos="567"/>
              </w:tabs>
              <w:jc w:val="center"/>
              <w:rPr>
                <w:b/>
                <w:bCs/>
                <w:iCs/>
                <w:lang w:eastAsia="lt-LT"/>
              </w:rPr>
            </w:pPr>
            <w:r w:rsidRPr="00082727">
              <w:rPr>
                <w:b/>
                <w:bCs/>
                <w:iCs/>
                <w:lang w:eastAsia="lt-LT"/>
              </w:rPr>
              <w:t>Viso</w:t>
            </w:r>
          </w:p>
        </w:tc>
        <w:tc>
          <w:tcPr>
            <w:tcW w:w="1643" w:type="dxa"/>
            <w:tcBorders>
              <w:left w:val="single" w:sz="12" w:space="0" w:color="auto"/>
              <w:bottom w:val="single" w:sz="12" w:space="0" w:color="auto"/>
              <w:right w:val="single" w:sz="12" w:space="0" w:color="auto"/>
            </w:tcBorders>
            <w:vAlign w:val="center"/>
          </w:tcPr>
          <w:p w14:paraId="122A25C7" w14:textId="17653EA6" w:rsidR="00082727" w:rsidRPr="00C66E8A" w:rsidRDefault="00C66E8A" w:rsidP="00560A73">
            <w:pPr>
              <w:tabs>
                <w:tab w:val="left" w:pos="567"/>
              </w:tabs>
              <w:jc w:val="center"/>
              <w:rPr>
                <w:lang w:val="en-US" w:eastAsia="lt-LT"/>
              </w:rPr>
            </w:pPr>
            <w:r>
              <w:rPr>
                <w:lang w:val="en-US" w:eastAsia="lt-LT"/>
              </w:rPr>
              <w:t>****</w:t>
            </w:r>
          </w:p>
        </w:tc>
        <w:tc>
          <w:tcPr>
            <w:tcW w:w="1348" w:type="dxa"/>
            <w:tcBorders>
              <w:left w:val="single" w:sz="12" w:space="0" w:color="auto"/>
              <w:bottom w:val="single" w:sz="12" w:space="0" w:color="auto"/>
            </w:tcBorders>
            <w:vAlign w:val="center"/>
          </w:tcPr>
          <w:p w14:paraId="75F80BAC" w14:textId="77777777" w:rsidR="00082727" w:rsidRPr="00810CC5" w:rsidRDefault="00082727" w:rsidP="00560A73">
            <w:pPr>
              <w:tabs>
                <w:tab w:val="left" w:pos="567"/>
              </w:tabs>
              <w:jc w:val="center"/>
              <w:rPr>
                <w:lang w:eastAsia="lt-LT"/>
              </w:rPr>
            </w:pPr>
            <w:r w:rsidRPr="00200255">
              <w:rPr>
                <w:color w:val="000000"/>
                <w:lang w:val="en-GB" w:eastAsia="en-GB"/>
              </w:rPr>
              <w:t>58</w:t>
            </w:r>
            <w:r>
              <w:rPr>
                <w:color w:val="000000"/>
                <w:lang w:val="en-GB" w:eastAsia="en-GB"/>
              </w:rPr>
              <w:t xml:space="preserve"> </w:t>
            </w:r>
            <w:r w:rsidRPr="00200255">
              <w:rPr>
                <w:color w:val="000000"/>
                <w:lang w:val="en-GB" w:eastAsia="en-GB"/>
              </w:rPr>
              <w:t>834</w:t>
            </w:r>
          </w:p>
        </w:tc>
        <w:tc>
          <w:tcPr>
            <w:tcW w:w="1260" w:type="dxa"/>
            <w:tcBorders>
              <w:bottom w:val="single" w:sz="12" w:space="0" w:color="auto"/>
              <w:right w:val="single" w:sz="12" w:space="0" w:color="auto"/>
            </w:tcBorders>
            <w:vAlign w:val="center"/>
          </w:tcPr>
          <w:p w14:paraId="47E4B128" w14:textId="33F9E2F0" w:rsidR="00082727" w:rsidRPr="00810CC5" w:rsidRDefault="00C66E8A" w:rsidP="00560A73">
            <w:pPr>
              <w:tabs>
                <w:tab w:val="left" w:pos="567"/>
              </w:tabs>
              <w:jc w:val="center"/>
              <w:rPr>
                <w:lang w:eastAsia="lt-LT"/>
              </w:rPr>
            </w:pPr>
            <w:r>
              <w:rPr>
                <w:color w:val="000000"/>
                <w:lang w:val="en-GB" w:eastAsia="en-GB"/>
              </w:rPr>
              <w:t>****</w:t>
            </w:r>
          </w:p>
        </w:tc>
        <w:tc>
          <w:tcPr>
            <w:tcW w:w="1440" w:type="dxa"/>
            <w:tcBorders>
              <w:left w:val="single" w:sz="12" w:space="0" w:color="auto"/>
              <w:bottom w:val="single" w:sz="12" w:space="0" w:color="auto"/>
            </w:tcBorders>
            <w:vAlign w:val="center"/>
          </w:tcPr>
          <w:p w14:paraId="2B6D261F" w14:textId="77777777" w:rsidR="00082727" w:rsidRPr="00810CC5" w:rsidRDefault="00082727" w:rsidP="00560A73">
            <w:pPr>
              <w:tabs>
                <w:tab w:val="left" w:pos="567"/>
              </w:tabs>
              <w:jc w:val="center"/>
              <w:rPr>
                <w:lang w:eastAsia="lt-LT"/>
              </w:rPr>
            </w:pPr>
            <w:r w:rsidRPr="00200255">
              <w:rPr>
                <w:color w:val="000000"/>
                <w:lang w:val="en-GB" w:eastAsia="en-GB"/>
              </w:rPr>
              <w:t>66</w:t>
            </w:r>
            <w:r>
              <w:rPr>
                <w:color w:val="000000"/>
                <w:lang w:val="en-GB" w:eastAsia="en-GB"/>
              </w:rPr>
              <w:t xml:space="preserve"> </w:t>
            </w:r>
            <w:r w:rsidRPr="00200255">
              <w:rPr>
                <w:color w:val="000000"/>
                <w:lang w:val="en-GB" w:eastAsia="en-GB"/>
              </w:rPr>
              <w:t>066</w:t>
            </w:r>
          </w:p>
        </w:tc>
        <w:tc>
          <w:tcPr>
            <w:tcW w:w="1300" w:type="dxa"/>
            <w:tcBorders>
              <w:bottom w:val="single" w:sz="12" w:space="0" w:color="auto"/>
              <w:right w:val="single" w:sz="12" w:space="0" w:color="auto"/>
            </w:tcBorders>
            <w:vAlign w:val="center"/>
          </w:tcPr>
          <w:p w14:paraId="155C3DE5" w14:textId="48722573" w:rsidR="00082727" w:rsidRPr="00810CC5" w:rsidRDefault="00C66E8A" w:rsidP="00560A73">
            <w:pPr>
              <w:tabs>
                <w:tab w:val="left" w:pos="567"/>
              </w:tabs>
              <w:jc w:val="center"/>
              <w:rPr>
                <w:lang w:eastAsia="lt-LT"/>
              </w:rPr>
            </w:pPr>
            <w:r>
              <w:rPr>
                <w:color w:val="000000"/>
                <w:lang w:val="en-GB" w:eastAsia="en-GB"/>
              </w:rPr>
              <w:t>****</w:t>
            </w:r>
          </w:p>
        </w:tc>
      </w:tr>
    </w:tbl>
    <w:p w14:paraId="3D4DBA92" w14:textId="77777777" w:rsidR="00D55C4D" w:rsidRDefault="00D55C4D" w:rsidP="00082727">
      <w:pPr>
        <w:tabs>
          <w:tab w:val="left" w:pos="284"/>
        </w:tabs>
        <w:jc w:val="both"/>
        <w:rPr>
          <w:i/>
          <w:color w:val="00B050"/>
          <w:sz w:val="22"/>
          <w:szCs w:val="22"/>
        </w:rPr>
      </w:pPr>
    </w:p>
    <w:p w14:paraId="35507B4C" w14:textId="77777777" w:rsidR="0035172D" w:rsidRPr="00782ECA" w:rsidRDefault="0035172D" w:rsidP="00A93AA6">
      <w:pPr>
        <w:tabs>
          <w:tab w:val="left" w:pos="426"/>
        </w:tabs>
        <w:rPr>
          <w:b/>
          <w:bCs/>
          <w:caps/>
          <w:lang w:val="en-US"/>
        </w:rPr>
      </w:pPr>
    </w:p>
    <w:p w14:paraId="6B96D19F" w14:textId="77777777"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13F4B7C0" w14:textId="7444D8F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B67249">
            <w:rPr>
              <w:rStyle w:val="Style2"/>
              <w:rFonts w:ascii="MS Gothic" w:eastAsia="MS Gothic" w:hAnsi="MS Gothic" w:hint="eastAsia"/>
              <w:sz w:val="24"/>
            </w:rPr>
            <w:t>☐</w:t>
          </w:r>
        </w:sdtContent>
      </w:sdt>
      <w:r w:rsidR="00937907" w:rsidRPr="00E33EFF">
        <w:t xml:space="preserve"> Pacientų organizacijos pozicija pateikta. Žr. priedą.</w:t>
      </w:r>
    </w:p>
    <w:p w14:paraId="2E3A0550" w14:textId="3E2F8ADC"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B67249">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2EA8943" w14:textId="77777777" w:rsidR="00D417D2" w:rsidRPr="00E33EFF" w:rsidRDefault="00D417D2" w:rsidP="00937907">
      <w:pPr>
        <w:spacing w:after="120"/>
        <w:jc w:val="both"/>
      </w:pPr>
    </w:p>
    <w:p w14:paraId="7AA06F7B" w14:textId="77777777"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77E1BEF7" w14:textId="77777777"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395C870F" w14:textId="629B3812" w:rsidR="00D37368"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B16205">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0BEE0156" w14:textId="77777777" w:rsidR="00B16205" w:rsidRPr="00E33EFF" w:rsidRDefault="00B16205" w:rsidP="00662983">
      <w:pPr>
        <w:spacing w:after="120"/>
        <w:jc w:val="both"/>
      </w:pPr>
    </w:p>
    <w:p w14:paraId="2B426B53" w14:textId="77777777"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2E1C0720" w14:textId="77777777" w:rsidR="0061611B" w:rsidRPr="00BF3927" w:rsidRDefault="0061611B" w:rsidP="0061611B">
      <w:pPr>
        <w:ind w:left="360"/>
        <w:rPr>
          <w:i/>
          <w:color w:val="000000" w:themeColor="text1"/>
          <w:szCs w:val="22"/>
        </w:rPr>
      </w:pPr>
    </w:p>
    <w:p w14:paraId="044A2468" w14:textId="5D385014"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5493B547" w14:textId="77777777" w:rsidTr="00C16245">
        <w:trPr>
          <w:trHeight w:val="510"/>
        </w:trPr>
        <w:tc>
          <w:tcPr>
            <w:tcW w:w="4815" w:type="dxa"/>
            <w:vAlign w:val="center"/>
          </w:tcPr>
          <w:p w14:paraId="2B634BBA" w14:textId="77777777"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1B5CDCEA" w14:textId="77777777"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7134233C" w14:textId="77777777" w:rsidTr="00C16245">
        <w:trPr>
          <w:trHeight w:val="510"/>
        </w:trPr>
        <w:tc>
          <w:tcPr>
            <w:tcW w:w="9629" w:type="dxa"/>
            <w:gridSpan w:val="2"/>
            <w:vAlign w:val="center"/>
          </w:tcPr>
          <w:p w14:paraId="419E4E71" w14:textId="77777777"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753CFBC" w14:textId="77777777" w:rsidTr="0061611B">
        <w:tc>
          <w:tcPr>
            <w:tcW w:w="4815" w:type="dxa"/>
          </w:tcPr>
          <w:p w14:paraId="78389AFF" w14:textId="1B193E3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786CBA">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2E9F1F8D"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98A21E4" w14:textId="15EE868B"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786CBA">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3342EE1D"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29B5908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7725AC" w14:textId="77777777"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6ED17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98E4FF"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4495DDB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46839A2"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6D77C880"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40E84C1D" w14:textId="77777777" w:rsidTr="00C16245">
        <w:trPr>
          <w:trHeight w:val="510"/>
        </w:trPr>
        <w:tc>
          <w:tcPr>
            <w:tcW w:w="9629" w:type="dxa"/>
            <w:gridSpan w:val="2"/>
            <w:vAlign w:val="center"/>
          </w:tcPr>
          <w:p w14:paraId="5555353D" w14:textId="77777777"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2A6CD148" w14:textId="77777777" w:rsidTr="0061611B">
        <w:tc>
          <w:tcPr>
            <w:tcW w:w="4815" w:type="dxa"/>
          </w:tcPr>
          <w:p w14:paraId="2ABCBE0B" w14:textId="039D3A4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786CBA">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25D366BE"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194A16" w14:textId="3D00F33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786CBA">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773BF745"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28A04A2" w14:textId="77777777"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13E08A5A" w14:textId="77777777" w:rsidR="00662983" w:rsidRPr="00E33EFF" w:rsidRDefault="00662983" w:rsidP="00BD1E5A">
            <w:pPr>
              <w:jc w:val="both"/>
            </w:pPr>
          </w:p>
          <w:p w14:paraId="28286DD2" w14:textId="77777777"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3209E3F0"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7A2F1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0856C838" w14:textId="77777777" w:rsidTr="00C16245">
        <w:trPr>
          <w:trHeight w:val="510"/>
        </w:trPr>
        <w:tc>
          <w:tcPr>
            <w:tcW w:w="9629" w:type="dxa"/>
            <w:gridSpan w:val="2"/>
            <w:vAlign w:val="center"/>
          </w:tcPr>
          <w:p w14:paraId="2BA587C8" w14:textId="77777777"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4F221DAD" w14:textId="77777777" w:rsidTr="0061611B">
        <w:tc>
          <w:tcPr>
            <w:tcW w:w="4815" w:type="dxa"/>
          </w:tcPr>
          <w:p w14:paraId="044BC78B" w14:textId="7F395A4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6A32BFA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7EECD7F" w14:textId="32FF3B40"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B00959" w:rsidRPr="00E33EFF">
              <w:t>lyginant su įprasta klinikine praktika</w:t>
            </w:r>
          </w:p>
          <w:p w14:paraId="5F4E4F96"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A500E26" w14:textId="4526CA4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786CBA">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4C3BADC8"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886B3AA" w14:textId="42A1F016"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Content>
                <w:r w:rsidR="00B67249">
                  <w:rPr>
                    <w:rStyle w:val="Style2"/>
                    <w:rFonts w:ascii="MS Gothic" w:eastAsia="MS Gothic" w:hAnsi="MS Gothic" w:hint="eastAsia"/>
                    <w:sz w:val="24"/>
                  </w:rPr>
                  <w:t>☒</w:t>
                </w:r>
              </w:sdtContent>
            </w:sdt>
            <w:r w:rsidR="00B13D65" w:rsidRPr="00E33EFF">
              <w:t xml:space="preserve"> 33.3. </w:t>
            </w:r>
            <w:r w:rsidR="00B67249" w:rsidRPr="00D05364">
              <w:t>gydymo juo kaštai yra didesni esant iš esmės nesiskiriančiam palyginamajam efektyvumui, taikant PGS,</w:t>
            </w:r>
            <w:r w:rsidR="00B67249">
              <w:t xml:space="preserve"> </w:t>
            </w:r>
            <w:r w:rsidR="00B67249" w:rsidRPr="00D05364">
              <w:t>lyginant su įprasta klinikine praktika</w:t>
            </w:r>
          </w:p>
          <w:p w14:paraId="52A74AB6"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6EA0CAB"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0BF4F330"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344E4E58" w14:textId="77777777" w:rsidR="009E44AE" w:rsidRPr="00E33EFF" w:rsidRDefault="009E44AE" w:rsidP="00381024"/>
    <w:p w14:paraId="3B204728" w14:textId="77777777"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6056A46B" w14:textId="77777777" w:rsidR="00D5470B" w:rsidRPr="00E33EFF" w:rsidRDefault="00D5470B" w:rsidP="00C712EA">
      <w:pPr>
        <w:pStyle w:val="Sraopastraipa"/>
        <w:ind w:left="426"/>
      </w:pPr>
    </w:p>
    <w:p w14:paraId="1C56FAE3" w14:textId="69542A75" w:rsidR="00F9226D" w:rsidRDefault="00F9226D" w:rsidP="00B67249">
      <w:pPr>
        <w:pStyle w:val="VVKT"/>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w:t>
      </w:r>
      <w:r w:rsidRPr="00E33EFF">
        <w:lastRenderedPageBreak/>
        <w:t>įrašymo į kompensavimo sąrašus ir jų keitimo tvarkos aprašo patvirtinimo“</w:t>
      </w:r>
      <w:r>
        <w:t>,</w:t>
      </w:r>
      <w:r w:rsidRPr="00E33EFF">
        <w:t xml:space="preserve"> punktu </w:t>
      </w:r>
      <w:r w:rsidR="00B67249" w:rsidRPr="00B67249">
        <w:t xml:space="preserve">34.4. rekomenduojama </w:t>
      </w:r>
      <w:r w:rsidR="00B67249" w:rsidRPr="0097336C">
        <w:rPr>
          <w:i/>
        </w:rPr>
        <w:t xml:space="preserve">nekompensuoti </w:t>
      </w:r>
      <w:r w:rsidR="00B67249" w:rsidRPr="00B67249">
        <w:t>vaistinio preparato pagal paraiškoje nurodytą indikaciją indikacijos dalį</w:t>
      </w:r>
      <w:r w:rsidR="00236446">
        <w:t xml:space="preserve"> be skyrimo sąlygų, taikant PGS</w:t>
      </w:r>
      <w:r w:rsidR="00B67249" w:rsidRPr="00B67249">
        <w:t xml:space="preserve"> dėl vertinimo išvadų, nurodytų 33.3 papunktyje (žr. </w:t>
      </w:r>
      <w:r w:rsidR="00B67249">
        <w:t>6</w:t>
      </w:r>
      <w:r w:rsidR="00B67249" w:rsidRPr="00B67249">
        <w:t xml:space="preserve"> skyri</w:t>
      </w:r>
      <w:r w:rsidR="00B67249">
        <w:t>ų</w:t>
      </w:r>
      <w:r w:rsidR="00B67249" w:rsidRPr="00B67249">
        <w:t>),  neatitikties 34.3 papunktyje išdėstytoms sąlygoms.</w:t>
      </w:r>
    </w:p>
    <w:sectPr w:rsidR="00F9226D" w:rsidSect="00C40EEA">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D67D" w14:textId="77777777" w:rsidR="00C40EEA" w:rsidRDefault="00C40EEA">
      <w:r>
        <w:separator/>
      </w:r>
    </w:p>
  </w:endnote>
  <w:endnote w:type="continuationSeparator" w:id="0">
    <w:p w14:paraId="530E3BF3" w14:textId="77777777" w:rsidR="00C40EEA" w:rsidRDefault="00C4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91A8" w14:textId="77777777" w:rsidR="007A72BB" w:rsidRDefault="007A72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B3A7" w14:textId="77777777" w:rsidR="007A72BB" w:rsidRDefault="007A72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690B"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8040" w14:textId="77777777" w:rsidR="00C40EEA" w:rsidRDefault="00C40EEA">
      <w:r>
        <w:separator/>
      </w:r>
    </w:p>
  </w:footnote>
  <w:footnote w:type="continuationSeparator" w:id="0">
    <w:p w14:paraId="50BFC9D7" w14:textId="77777777" w:rsidR="00C40EEA" w:rsidRDefault="00C40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ACE4"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237A3A"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3F89" w14:textId="2E9D99F6"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72BB">
      <w:rPr>
        <w:rStyle w:val="Puslapionumeris"/>
        <w:noProof/>
      </w:rPr>
      <w:t>8</w:t>
    </w:r>
    <w:r>
      <w:rPr>
        <w:rStyle w:val="Puslapionumeris"/>
      </w:rPr>
      <w:fldChar w:fldCharType="end"/>
    </w:r>
  </w:p>
  <w:p w14:paraId="67B26580"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2D5C"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11497D"/>
    <w:multiLevelType w:val="hybridMultilevel"/>
    <w:tmpl w:val="4DBEC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697FF3"/>
    <w:multiLevelType w:val="hybridMultilevel"/>
    <w:tmpl w:val="2C12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F7261"/>
    <w:multiLevelType w:val="hybridMultilevel"/>
    <w:tmpl w:val="18EA1EE4"/>
    <w:lvl w:ilvl="0" w:tplc="1B9EBD1A">
      <w:start w:val="66"/>
      <w:numFmt w:val="bullet"/>
      <w:lvlText w:val="-"/>
      <w:lvlJc w:val="left"/>
      <w:pPr>
        <w:ind w:left="936" w:hanging="360"/>
      </w:pPr>
      <w:rPr>
        <w:rFonts w:ascii="Times New Roman" w:eastAsia="Times New Roman" w:hAnsi="Times New Roman" w:cs="Times New Roman"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1119020">
    <w:abstractNumId w:val="6"/>
  </w:num>
  <w:num w:numId="2" w16cid:durableId="1003046400">
    <w:abstractNumId w:val="1"/>
  </w:num>
  <w:num w:numId="3" w16cid:durableId="1718241637">
    <w:abstractNumId w:val="8"/>
  </w:num>
  <w:num w:numId="4" w16cid:durableId="1581328510">
    <w:abstractNumId w:val="7"/>
  </w:num>
  <w:num w:numId="5" w16cid:durableId="1724910200">
    <w:abstractNumId w:val="5"/>
  </w:num>
  <w:num w:numId="6" w16cid:durableId="1752460419">
    <w:abstractNumId w:val="4"/>
  </w:num>
  <w:num w:numId="7" w16cid:durableId="279380311">
    <w:abstractNumId w:val="3"/>
  </w:num>
  <w:num w:numId="8" w16cid:durableId="1791976355">
    <w:abstractNumId w:val="14"/>
  </w:num>
  <w:num w:numId="9" w16cid:durableId="1343045999">
    <w:abstractNumId w:val="0"/>
  </w:num>
  <w:num w:numId="10" w16cid:durableId="1501000034">
    <w:abstractNumId w:val="9"/>
  </w:num>
  <w:num w:numId="11" w16cid:durableId="1624457288">
    <w:abstractNumId w:val="13"/>
  </w:num>
  <w:num w:numId="12" w16cid:durableId="835265110">
    <w:abstractNumId w:val="2"/>
  </w:num>
  <w:num w:numId="13" w16cid:durableId="649290865">
    <w:abstractNumId w:val="10"/>
  </w:num>
  <w:num w:numId="14" w16cid:durableId="2046251262">
    <w:abstractNumId w:val="11"/>
  </w:num>
  <w:num w:numId="15" w16cid:durableId="171722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91"/>
    <w:rsid w:val="000001B0"/>
    <w:rsid w:val="00003F5B"/>
    <w:rsid w:val="00010E75"/>
    <w:rsid w:val="000114DD"/>
    <w:rsid w:val="000136F7"/>
    <w:rsid w:val="00025148"/>
    <w:rsid w:val="0002686C"/>
    <w:rsid w:val="00031D0E"/>
    <w:rsid w:val="000337E6"/>
    <w:rsid w:val="0003402E"/>
    <w:rsid w:val="00034EAE"/>
    <w:rsid w:val="00042924"/>
    <w:rsid w:val="00053975"/>
    <w:rsid w:val="00057A2B"/>
    <w:rsid w:val="000606BE"/>
    <w:rsid w:val="000723FF"/>
    <w:rsid w:val="000736B8"/>
    <w:rsid w:val="0008190F"/>
    <w:rsid w:val="00081D9C"/>
    <w:rsid w:val="00082727"/>
    <w:rsid w:val="00082907"/>
    <w:rsid w:val="0008378D"/>
    <w:rsid w:val="000908A5"/>
    <w:rsid w:val="00092805"/>
    <w:rsid w:val="000C454C"/>
    <w:rsid w:val="000D5038"/>
    <w:rsid w:val="000E29D4"/>
    <w:rsid w:val="000F3540"/>
    <w:rsid w:val="00100491"/>
    <w:rsid w:val="00104E2E"/>
    <w:rsid w:val="00107287"/>
    <w:rsid w:val="00117406"/>
    <w:rsid w:val="00121EF0"/>
    <w:rsid w:val="00124563"/>
    <w:rsid w:val="00124A9E"/>
    <w:rsid w:val="00130703"/>
    <w:rsid w:val="0013153F"/>
    <w:rsid w:val="001408B8"/>
    <w:rsid w:val="001517E2"/>
    <w:rsid w:val="001521D9"/>
    <w:rsid w:val="001554E2"/>
    <w:rsid w:val="00156C15"/>
    <w:rsid w:val="00164146"/>
    <w:rsid w:val="00165DF0"/>
    <w:rsid w:val="0017369C"/>
    <w:rsid w:val="00175D57"/>
    <w:rsid w:val="00180C39"/>
    <w:rsid w:val="00180D96"/>
    <w:rsid w:val="00184BD3"/>
    <w:rsid w:val="001921F3"/>
    <w:rsid w:val="001B3C5B"/>
    <w:rsid w:val="001C32F2"/>
    <w:rsid w:val="001D746F"/>
    <w:rsid w:val="001E4BBB"/>
    <w:rsid w:val="001E6304"/>
    <w:rsid w:val="0020381E"/>
    <w:rsid w:val="00213471"/>
    <w:rsid w:val="00215906"/>
    <w:rsid w:val="00236446"/>
    <w:rsid w:val="00241CD8"/>
    <w:rsid w:val="00244B09"/>
    <w:rsid w:val="002519CB"/>
    <w:rsid w:val="0025697F"/>
    <w:rsid w:val="00260258"/>
    <w:rsid w:val="0026588E"/>
    <w:rsid w:val="00272428"/>
    <w:rsid w:val="00272948"/>
    <w:rsid w:val="00292392"/>
    <w:rsid w:val="002946C7"/>
    <w:rsid w:val="002A11D0"/>
    <w:rsid w:val="002B3CC1"/>
    <w:rsid w:val="002C09E0"/>
    <w:rsid w:val="002C1BB1"/>
    <w:rsid w:val="002C2786"/>
    <w:rsid w:val="002C3A10"/>
    <w:rsid w:val="002C4A90"/>
    <w:rsid w:val="002C4ED5"/>
    <w:rsid w:val="002D02EF"/>
    <w:rsid w:val="002E0702"/>
    <w:rsid w:val="002E57AD"/>
    <w:rsid w:val="002E6F80"/>
    <w:rsid w:val="002F0E4F"/>
    <w:rsid w:val="002F1053"/>
    <w:rsid w:val="002F659E"/>
    <w:rsid w:val="00317B0E"/>
    <w:rsid w:val="00322A69"/>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20F1"/>
    <w:rsid w:val="00476256"/>
    <w:rsid w:val="0048630F"/>
    <w:rsid w:val="00490F84"/>
    <w:rsid w:val="0049191A"/>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431B"/>
    <w:rsid w:val="005476A4"/>
    <w:rsid w:val="0055019B"/>
    <w:rsid w:val="00556E63"/>
    <w:rsid w:val="005601A4"/>
    <w:rsid w:val="00560DB0"/>
    <w:rsid w:val="00566DBB"/>
    <w:rsid w:val="005767DB"/>
    <w:rsid w:val="00580520"/>
    <w:rsid w:val="005815E6"/>
    <w:rsid w:val="0058712F"/>
    <w:rsid w:val="005976CE"/>
    <w:rsid w:val="005A23D4"/>
    <w:rsid w:val="005A2D1E"/>
    <w:rsid w:val="005A4472"/>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1A5B"/>
    <w:rsid w:val="006D4C85"/>
    <w:rsid w:val="006D66AC"/>
    <w:rsid w:val="006E33F6"/>
    <w:rsid w:val="006F1251"/>
    <w:rsid w:val="006F1C23"/>
    <w:rsid w:val="00702C18"/>
    <w:rsid w:val="00703166"/>
    <w:rsid w:val="00705507"/>
    <w:rsid w:val="007127F3"/>
    <w:rsid w:val="00721F29"/>
    <w:rsid w:val="007301CF"/>
    <w:rsid w:val="007316FB"/>
    <w:rsid w:val="007374D0"/>
    <w:rsid w:val="00737E2D"/>
    <w:rsid w:val="007424D5"/>
    <w:rsid w:val="00750A88"/>
    <w:rsid w:val="007523DD"/>
    <w:rsid w:val="00757B7E"/>
    <w:rsid w:val="007656B2"/>
    <w:rsid w:val="0077016F"/>
    <w:rsid w:val="007713AD"/>
    <w:rsid w:val="00773007"/>
    <w:rsid w:val="00782ECA"/>
    <w:rsid w:val="00786CBA"/>
    <w:rsid w:val="00795DC5"/>
    <w:rsid w:val="00797153"/>
    <w:rsid w:val="007A21F7"/>
    <w:rsid w:val="007A2B68"/>
    <w:rsid w:val="007A72BB"/>
    <w:rsid w:val="007B0DDA"/>
    <w:rsid w:val="007D3347"/>
    <w:rsid w:val="007E5466"/>
    <w:rsid w:val="007F1949"/>
    <w:rsid w:val="007F2592"/>
    <w:rsid w:val="00800A08"/>
    <w:rsid w:val="00817A84"/>
    <w:rsid w:val="008225A4"/>
    <w:rsid w:val="0082442A"/>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7336C"/>
    <w:rsid w:val="00983471"/>
    <w:rsid w:val="009865DB"/>
    <w:rsid w:val="009909AB"/>
    <w:rsid w:val="009B0913"/>
    <w:rsid w:val="009B37DB"/>
    <w:rsid w:val="009C7A8C"/>
    <w:rsid w:val="009D23F9"/>
    <w:rsid w:val="009D4FA8"/>
    <w:rsid w:val="009E44AE"/>
    <w:rsid w:val="009E6CD6"/>
    <w:rsid w:val="009F4D66"/>
    <w:rsid w:val="00A00C3C"/>
    <w:rsid w:val="00A01091"/>
    <w:rsid w:val="00A02704"/>
    <w:rsid w:val="00A042B9"/>
    <w:rsid w:val="00A06DBB"/>
    <w:rsid w:val="00A22ADF"/>
    <w:rsid w:val="00A30E2D"/>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D0C24"/>
    <w:rsid w:val="00AD4E61"/>
    <w:rsid w:val="00AE0FE8"/>
    <w:rsid w:val="00AE1322"/>
    <w:rsid w:val="00AF60D5"/>
    <w:rsid w:val="00B00959"/>
    <w:rsid w:val="00B04415"/>
    <w:rsid w:val="00B06509"/>
    <w:rsid w:val="00B11D60"/>
    <w:rsid w:val="00B13D65"/>
    <w:rsid w:val="00B16205"/>
    <w:rsid w:val="00B21805"/>
    <w:rsid w:val="00B3072E"/>
    <w:rsid w:val="00B36E15"/>
    <w:rsid w:val="00B37245"/>
    <w:rsid w:val="00B4017A"/>
    <w:rsid w:val="00B4468D"/>
    <w:rsid w:val="00B67249"/>
    <w:rsid w:val="00B71C72"/>
    <w:rsid w:val="00B81E92"/>
    <w:rsid w:val="00B908D7"/>
    <w:rsid w:val="00B915AB"/>
    <w:rsid w:val="00B935E8"/>
    <w:rsid w:val="00B93B30"/>
    <w:rsid w:val="00B94CB5"/>
    <w:rsid w:val="00BA0DD9"/>
    <w:rsid w:val="00BA5DBC"/>
    <w:rsid w:val="00BA71E3"/>
    <w:rsid w:val="00BB2737"/>
    <w:rsid w:val="00BB2E61"/>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0EEA"/>
    <w:rsid w:val="00C517D2"/>
    <w:rsid w:val="00C5772E"/>
    <w:rsid w:val="00C62B36"/>
    <w:rsid w:val="00C62CA0"/>
    <w:rsid w:val="00C66E8A"/>
    <w:rsid w:val="00C7012C"/>
    <w:rsid w:val="00C712EA"/>
    <w:rsid w:val="00C760A4"/>
    <w:rsid w:val="00CA217D"/>
    <w:rsid w:val="00CC09D4"/>
    <w:rsid w:val="00CC668D"/>
    <w:rsid w:val="00CC7832"/>
    <w:rsid w:val="00CE7761"/>
    <w:rsid w:val="00CF0C1C"/>
    <w:rsid w:val="00CF27FD"/>
    <w:rsid w:val="00CF5F12"/>
    <w:rsid w:val="00D00D8F"/>
    <w:rsid w:val="00D06695"/>
    <w:rsid w:val="00D21F3A"/>
    <w:rsid w:val="00D22A02"/>
    <w:rsid w:val="00D23808"/>
    <w:rsid w:val="00D3016A"/>
    <w:rsid w:val="00D37368"/>
    <w:rsid w:val="00D417D2"/>
    <w:rsid w:val="00D42960"/>
    <w:rsid w:val="00D43BD7"/>
    <w:rsid w:val="00D4485B"/>
    <w:rsid w:val="00D4708D"/>
    <w:rsid w:val="00D4744C"/>
    <w:rsid w:val="00D521DE"/>
    <w:rsid w:val="00D5470B"/>
    <w:rsid w:val="00D55C4D"/>
    <w:rsid w:val="00D63068"/>
    <w:rsid w:val="00D6498C"/>
    <w:rsid w:val="00D667ED"/>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14A71"/>
    <w:rsid w:val="00E24D45"/>
    <w:rsid w:val="00E33DB8"/>
    <w:rsid w:val="00E33EFF"/>
    <w:rsid w:val="00E34387"/>
    <w:rsid w:val="00E348BA"/>
    <w:rsid w:val="00E369FE"/>
    <w:rsid w:val="00E37C6F"/>
    <w:rsid w:val="00E475F8"/>
    <w:rsid w:val="00E5102E"/>
    <w:rsid w:val="00E5721C"/>
    <w:rsid w:val="00E619C6"/>
    <w:rsid w:val="00E63399"/>
    <w:rsid w:val="00E73791"/>
    <w:rsid w:val="00E745A1"/>
    <w:rsid w:val="00E81529"/>
    <w:rsid w:val="00E83A13"/>
    <w:rsid w:val="00E9778F"/>
    <w:rsid w:val="00EB6FC5"/>
    <w:rsid w:val="00EC2356"/>
    <w:rsid w:val="00EC2582"/>
    <w:rsid w:val="00EC337C"/>
    <w:rsid w:val="00ED0CFF"/>
    <w:rsid w:val="00ED31D2"/>
    <w:rsid w:val="00EE0EAC"/>
    <w:rsid w:val="00EE3322"/>
    <w:rsid w:val="00EE33CB"/>
    <w:rsid w:val="00EF2325"/>
    <w:rsid w:val="00F0061A"/>
    <w:rsid w:val="00F02834"/>
    <w:rsid w:val="00F04EEB"/>
    <w:rsid w:val="00F05467"/>
    <w:rsid w:val="00F055D2"/>
    <w:rsid w:val="00F07CD7"/>
    <w:rsid w:val="00F127E9"/>
    <w:rsid w:val="00F14B5D"/>
    <w:rsid w:val="00F16D32"/>
    <w:rsid w:val="00F259FC"/>
    <w:rsid w:val="00F36972"/>
    <w:rsid w:val="00F42426"/>
    <w:rsid w:val="00F456BC"/>
    <w:rsid w:val="00F50666"/>
    <w:rsid w:val="00F70C9E"/>
    <w:rsid w:val="00F74A74"/>
    <w:rsid w:val="00F7572C"/>
    <w:rsid w:val="00F8382C"/>
    <w:rsid w:val="00F855D7"/>
    <w:rsid w:val="00F92035"/>
    <w:rsid w:val="00F9215F"/>
    <w:rsid w:val="00F9226D"/>
    <w:rsid w:val="00F92748"/>
    <w:rsid w:val="00FA4169"/>
    <w:rsid w:val="00FB0D41"/>
    <w:rsid w:val="00FB2030"/>
    <w:rsid w:val="00FD0E46"/>
    <w:rsid w:val="00FD1CF2"/>
    <w:rsid w:val="00FD3EDF"/>
    <w:rsid w:val="00FD793C"/>
    <w:rsid w:val="00FE0FD5"/>
    <w:rsid w:val="00FE11E8"/>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95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PROTOCOL"/>
    <w:basedOn w:val="prastasis"/>
    <w:uiPriority w:val="1"/>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paragraph" w:customStyle="1" w:styleId="VVKT">
    <w:name w:val="VVKT"/>
    <w:basedOn w:val="prastasis"/>
    <w:qFormat/>
    <w:rsid w:val="00F9226D"/>
    <w:pPr>
      <w:tabs>
        <w:tab w:val="left" w:pos="567"/>
      </w:tabs>
      <w:spacing w:line="276" w:lineRule="auto"/>
      <w:ind w:firstLine="562"/>
      <w:jc w:val="both"/>
    </w:pPr>
    <w:rPr>
      <w:bCs/>
      <w:color w:val="000000"/>
      <w:lang w:eastAsia="lt-LT"/>
    </w:rPr>
  </w:style>
  <w:style w:type="paragraph" w:customStyle="1" w:styleId="paragraph">
    <w:name w:val="paragraph"/>
    <w:basedOn w:val="prastasis"/>
    <w:rsid w:val="00490F84"/>
    <w:pPr>
      <w:spacing w:before="100" w:beforeAutospacing="1" w:after="100" w:afterAutospacing="1"/>
    </w:pPr>
    <w:rPr>
      <w:lang w:eastAsia="en-GB"/>
    </w:rPr>
  </w:style>
  <w:style w:type="character" w:customStyle="1" w:styleId="normaltextrun">
    <w:name w:val="normaltextrun"/>
    <w:basedOn w:val="Numatytasispastraiposriftas"/>
    <w:rsid w:val="00490F84"/>
  </w:style>
  <w:style w:type="character" w:customStyle="1" w:styleId="meta">
    <w:name w:val="meta"/>
    <w:basedOn w:val="Numatytasispastraiposriftas"/>
    <w:rsid w:val="00EF2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8D7E11029F24A8F17118E095BB3B3"/>
        <w:category>
          <w:name w:val="General"/>
          <w:gallery w:val="placeholder"/>
        </w:category>
        <w:types>
          <w:type w:val="bbPlcHdr"/>
        </w:types>
        <w:behaviors>
          <w:behavior w:val="content"/>
        </w:behaviors>
        <w:guid w:val="{E2244CB0-3C42-E84F-8520-3C3F06F1439D}"/>
      </w:docPartPr>
      <w:docPartBody>
        <w:p w:rsidR="00A90028" w:rsidRDefault="001305E3" w:rsidP="001305E3">
          <w:pPr>
            <w:pStyle w:val="5698D7E11029F24A8F17118E095BB3B3"/>
          </w:pPr>
          <w:r>
            <w:rPr>
              <w:rStyle w:val="Vietosrezervavimoenklotekstas"/>
            </w:rPr>
            <w:t>Click here to enter a date.</w:t>
          </w:r>
        </w:p>
      </w:docPartBody>
    </w:docPart>
    <w:docPart>
      <w:docPartPr>
        <w:name w:val="47638C00164EB449948549FE8AB03620"/>
        <w:category>
          <w:name w:val="General"/>
          <w:gallery w:val="placeholder"/>
        </w:category>
        <w:types>
          <w:type w:val="bbPlcHdr"/>
        </w:types>
        <w:behaviors>
          <w:behavior w:val="content"/>
        </w:behaviors>
        <w:guid w:val="{DBC5F302-97D3-7A48-AA73-AAC734A974FE}"/>
      </w:docPartPr>
      <w:docPartBody>
        <w:p w:rsidR="00A90028" w:rsidRDefault="001305E3" w:rsidP="001305E3">
          <w:pPr>
            <w:pStyle w:val="47638C00164EB449948549FE8AB03620"/>
          </w:pPr>
          <w:r>
            <w:rPr>
              <w:rStyle w:val="Vietosrezervavimoenklotekstas"/>
            </w:rPr>
            <w:t>Click here to enter a date.</w:t>
          </w:r>
        </w:p>
      </w:docPartBody>
    </w:docPart>
    <w:docPart>
      <w:docPartPr>
        <w:name w:val="CD50165F507541788FEE8BE4376BEB58"/>
        <w:category>
          <w:name w:val="General"/>
          <w:gallery w:val="placeholder"/>
        </w:category>
        <w:types>
          <w:type w:val="bbPlcHdr"/>
        </w:types>
        <w:behaviors>
          <w:behavior w:val="content"/>
        </w:behaviors>
        <w:guid w:val="{BC649DD4-9B75-4301-876D-17C609E22FA0}"/>
      </w:docPartPr>
      <w:docPartBody>
        <w:p w:rsidR="00A90028" w:rsidRDefault="00A90028" w:rsidP="00A90028">
          <w:pPr>
            <w:pStyle w:val="CD50165F507541788FEE8BE4376BEB58"/>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E4"/>
    <w:rsid w:val="001305E3"/>
    <w:rsid w:val="005B170D"/>
    <w:rsid w:val="006475AE"/>
    <w:rsid w:val="008E63FD"/>
    <w:rsid w:val="00A80EA2"/>
    <w:rsid w:val="00A90028"/>
    <w:rsid w:val="00AA1887"/>
    <w:rsid w:val="00BA6057"/>
    <w:rsid w:val="00D47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A90028"/>
    <w:rPr>
      <w:color w:val="808080"/>
    </w:rPr>
  </w:style>
  <w:style w:type="paragraph" w:customStyle="1" w:styleId="CD50165F507541788FEE8BE4376BEB58">
    <w:name w:val="CD50165F507541788FEE8BE4376BEB58"/>
    <w:rsid w:val="00A90028"/>
    <w:pPr>
      <w:spacing w:after="160" w:line="259" w:lineRule="auto"/>
    </w:pPr>
    <w:rPr>
      <w:kern w:val="2"/>
      <w:sz w:val="22"/>
      <w:szCs w:val="22"/>
      <w:lang w:val="en-GB"/>
      <w14:ligatures w14:val="standardContextual"/>
    </w:rPr>
  </w:style>
  <w:style w:type="paragraph" w:customStyle="1" w:styleId="5698D7E11029F24A8F17118E095BB3B3">
    <w:name w:val="5698D7E11029F24A8F17118E095BB3B3"/>
    <w:rsid w:val="001305E3"/>
  </w:style>
  <w:style w:type="paragraph" w:customStyle="1" w:styleId="47638C00164EB449948549FE8AB03620">
    <w:name w:val="47638C00164EB449948549FE8AB03620"/>
    <w:rsid w:val="00130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9B945-9D0F-4D9E-85E3-6EB29321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12273</Words>
  <Characters>6997</Characters>
  <Application>Microsoft Office Word</Application>
  <DocSecurity>0</DocSecurity>
  <Lines>58</Lines>
  <Paragraphs>38</Paragraphs>
  <ScaleCrop>false</ScaleCrop>
  <Company/>
  <LinksUpToDate>false</LinksUpToDate>
  <CharactersWithSpaces>19232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2023-09-07T07:23:00Z</dcterms:created>
  <dcterms:modified xsi:type="dcterms:W3CDTF">2024-01-19T10:49:00Z</dcterms:modified>
</cp:coreProperties>
</file>