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4B9E" w14:textId="77777777" w:rsidR="001B3C5B" w:rsidRPr="0087691B" w:rsidRDefault="001B3C5B" w:rsidP="001B3C5B">
      <w:pPr>
        <w:ind w:left="6096"/>
      </w:pPr>
      <w:r w:rsidRPr="0087691B">
        <w:t>Forma patvirtinta</w:t>
      </w:r>
    </w:p>
    <w:p w14:paraId="7206970B" w14:textId="3C67F040" w:rsidR="004C263A" w:rsidRPr="0087691B" w:rsidRDefault="001B3C5B" w:rsidP="001B3C5B">
      <w:pPr>
        <w:ind w:left="6096"/>
      </w:pPr>
      <w:r w:rsidRPr="0087691B">
        <w:t>Valstybinės vaistų ko</w:t>
      </w:r>
      <w:r w:rsidR="00E25ABC">
        <w:t>n</w:t>
      </w:r>
      <w:r w:rsidRPr="0087691B">
        <w:t>trolės tarnybos prie Lietuvos Respublikos sveikatos apsaugos ministerijos viršininko 2021 m</w:t>
      </w:r>
      <w:r w:rsidR="004C263A" w:rsidRPr="0087691B">
        <w:t xml:space="preserve">. lapkričio 12 </w:t>
      </w:r>
      <w:r w:rsidRPr="0087691B">
        <w:t>d. įsakymu Nr.</w:t>
      </w:r>
      <w:r w:rsidR="004C263A" w:rsidRPr="0087691B">
        <w:t xml:space="preserve"> (1.72E)1A-1418</w:t>
      </w:r>
    </w:p>
    <w:p w14:paraId="5B219AA6" w14:textId="4FE0F7BA" w:rsidR="001B3C5B" w:rsidRPr="0087691B" w:rsidRDefault="004C263A" w:rsidP="001B3C5B">
      <w:pPr>
        <w:ind w:left="6096"/>
      </w:pPr>
      <w:r w:rsidRPr="0087691B">
        <w:t>(Valstybinės vaistų kontrolės tarnybos prie Lietuvos Respublikos sveikatos apsaugos ministerijos viršininko 2022 m.</w:t>
      </w:r>
      <w:r w:rsidR="00122E01" w:rsidRPr="0087691B">
        <w:t xml:space="preserve">            </w:t>
      </w:r>
      <w:r w:rsidRPr="0087691B">
        <w:t xml:space="preserve"> d. įsakymo Nr.</w:t>
      </w:r>
      <w:r w:rsidR="00122E01" w:rsidRPr="0087691B">
        <w:t xml:space="preserve">          </w:t>
      </w:r>
      <w:r w:rsidRPr="0087691B">
        <w:t>redakcija)</w:t>
      </w:r>
    </w:p>
    <w:p w14:paraId="3336BD74" w14:textId="77777777" w:rsidR="001B3C5B" w:rsidRPr="0087691B" w:rsidRDefault="001B3C5B" w:rsidP="00FA4169"/>
    <w:p w14:paraId="77AFB67E" w14:textId="16397257" w:rsidR="00613501" w:rsidRPr="0087691B" w:rsidRDefault="002F0E4F" w:rsidP="003B211A">
      <w:pPr>
        <w:jc w:val="center"/>
        <w:rPr>
          <w:b/>
          <w:bCs/>
          <w:caps/>
        </w:rPr>
      </w:pPr>
      <w:r w:rsidRPr="0087691B">
        <w:rPr>
          <w:b/>
        </w:rPr>
        <w:t xml:space="preserve">REKOMENDACIJA DĖL VAISTINIO PREPARATO </w:t>
      </w:r>
      <w:r w:rsidRPr="0087691B">
        <w:rPr>
          <w:b/>
          <w:bCs/>
          <w:caps/>
        </w:rPr>
        <w:t>Lietuvos Respublikos Sveikatos apsaugos ministerijos vaistinių preparatų ir medicinos pagalbos priemonių kompensavimo komisijai</w:t>
      </w:r>
    </w:p>
    <w:p w14:paraId="34E4395D" w14:textId="15FB10DF" w:rsidR="00B13D65" w:rsidRPr="0087691B" w:rsidRDefault="00B13D65" w:rsidP="003B211A">
      <w:pPr>
        <w:jc w:val="center"/>
        <w:rPr>
          <w:b/>
        </w:rPr>
      </w:pPr>
    </w:p>
    <w:p w14:paraId="26D18EE8" w14:textId="77777777" w:rsidR="00781221" w:rsidRPr="0087691B" w:rsidRDefault="00781221" w:rsidP="00781221">
      <w:pPr>
        <w:jc w:val="center"/>
        <w:rPr>
          <w:b/>
        </w:rPr>
      </w:pPr>
      <w:r w:rsidRPr="0087691B">
        <w:rPr>
          <w:b/>
        </w:rPr>
        <w:t>Forxiga 5/10 mg plėvele dengtos tabletės</w:t>
      </w:r>
    </w:p>
    <w:p w14:paraId="506433D2" w14:textId="77777777" w:rsidR="00781221" w:rsidRPr="0087691B" w:rsidRDefault="00781221" w:rsidP="00781221">
      <w:pPr>
        <w:jc w:val="center"/>
        <w:rPr>
          <w:b/>
        </w:rPr>
      </w:pPr>
    </w:p>
    <w:p w14:paraId="2F24DB74" w14:textId="77777777" w:rsidR="00781221" w:rsidRPr="0087691B" w:rsidRDefault="00781221" w:rsidP="00781221">
      <w:pPr>
        <w:jc w:val="center"/>
        <w:rPr>
          <w:b/>
        </w:rPr>
      </w:pPr>
      <w:r w:rsidRPr="0087691B">
        <w:rPr>
          <w:b/>
        </w:rPr>
        <w:t>Dapagliflozinas</w:t>
      </w:r>
    </w:p>
    <w:p w14:paraId="3403B4A7" w14:textId="77777777" w:rsidR="00781221" w:rsidRPr="0087691B" w:rsidRDefault="00781221" w:rsidP="00781221">
      <w:pPr>
        <w:jc w:val="center"/>
        <w:rPr>
          <w:b/>
        </w:rPr>
      </w:pPr>
    </w:p>
    <w:p w14:paraId="37E538E4" w14:textId="0D363766" w:rsidR="008358C8" w:rsidRPr="0087691B" w:rsidRDefault="00781221" w:rsidP="00781221">
      <w:pPr>
        <w:jc w:val="center"/>
        <w:rPr>
          <w:b/>
        </w:rPr>
      </w:pPr>
      <w:r w:rsidRPr="0087691B">
        <w:rPr>
          <w:b/>
        </w:rPr>
        <w:t>STV-66</w:t>
      </w:r>
    </w:p>
    <w:p w14:paraId="1D7931CE" w14:textId="77777777" w:rsidR="00781221" w:rsidRPr="0087691B" w:rsidRDefault="00781221" w:rsidP="00781221">
      <w:pPr>
        <w:jc w:val="center"/>
        <w:rPr>
          <w:b/>
        </w:rPr>
      </w:pPr>
    </w:p>
    <w:p w14:paraId="78C89D1C" w14:textId="0DEFFAA5" w:rsidR="00D4485B" w:rsidRPr="0087691B" w:rsidRDefault="00B13D65" w:rsidP="00CC09D4">
      <w:pPr>
        <w:pStyle w:val="ListParagraph"/>
        <w:numPr>
          <w:ilvl w:val="0"/>
          <w:numId w:val="12"/>
        </w:numPr>
        <w:tabs>
          <w:tab w:val="left" w:pos="567"/>
        </w:tabs>
        <w:ind w:left="567" w:hanging="567"/>
        <w:rPr>
          <w:b/>
          <w:bCs/>
          <w:caps/>
        </w:rPr>
      </w:pPr>
      <w:r w:rsidRPr="0087691B">
        <w:rPr>
          <w:b/>
          <w:bCs/>
          <w:caps/>
        </w:rPr>
        <w:t>Bendroji dalis</w:t>
      </w:r>
    </w:p>
    <w:p w14:paraId="04A7C7A7" w14:textId="77777777" w:rsidR="00B13D65" w:rsidRPr="0087691B"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781221" w:rsidRPr="0087691B" w14:paraId="28A93E3C" w14:textId="77777777" w:rsidTr="003017C6">
        <w:trPr>
          <w:trHeight w:val="99"/>
        </w:trPr>
        <w:tc>
          <w:tcPr>
            <w:tcW w:w="632" w:type="dxa"/>
          </w:tcPr>
          <w:p w14:paraId="0343B1C3" w14:textId="77777777" w:rsidR="00781221" w:rsidRPr="0087691B" w:rsidRDefault="00781221" w:rsidP="00781221">
            <w:pPr>
              <w:rPr>
                <w:rFonts w:eastAsia="Arial"/>
              </w:rPr>
            </w:pPr>
            <w:r w:rsidRPr="0087691B">
              <w:rPr>
                <w:rFonts w:eastAsia="Arial"/>
              </w:rPr>
              <w:t>1.1</w:t>
            </w:r>
          </w:p>
        </w:tc>
        <w:tc>
          <w:tcPr>
            <w:tcW w:w="3694" w:type="dxa"/>
          </w:tcPr>
          <w:p w14:paraId="57074680" w14:textId="77777777" w:rsidR="00781221" w:rsidRPr="0087691B" w:rsidRDefault="00781221" w:rsidP="00781221">
            <w:pPr>
              <w:rPr>
                <w:rFonts w:eastAsia="Arial"/>
              </w:rPr>
            </w:pPr>
            <w:r w:rsidRPr="0087691B">
              <w:rPr>
                <w:rFonts w:eastAsia="Arial"/>
              </w:rPr>
              <w:t>Pareiškėjas</w:t>
            </w:r>
          </w:p>
        </w:tc>
        <w:tc>
          <w:tcPr>
            <w:tcW w:w="5167" w:type="dxa"/>
          </w:tcPr>
          <w:p w14:paraId="4D289357" w14:textId="66C8F695" w:rsidR="00781221" w:rsidRPr="0087691B" w:rsidRDefault="00781221" w:rsidP="00781221">
            <w:pPr>
              <w:tabs>
                <w:tab w:val="left" w:pos="3331"/>
              </w:tabs>
              <w:rPr>
                <w:rFonts w:eastAsia="Arial"/>
              </w:rPr>
            </w:pPr>
            <w:r w:rsidRPr="0087691B">
              <w:t>AstraZeneca AB</w:t>
            </w:r>
          </w:p>
        </w:tc>
      </w:tr>
      <w:tr w:rsidR="00781221" w:rsidRPr="0087691B" w14:paraId="6E5A925C" w14:textId="77777777" w:rsidTr="003017C6">
        <w:trPr>
          <w:trHeight w:val="99"/>
        </w:trPr>
        <w:tc>
          <w:tcPr>
            <w:tcW w:w="632" w:type="dxa"/>
          </w:tcPr>
          <w:p w14:paraId="7FC53E2A" w14:textId="77777777" w:rsidR="00781221" w:rsidRPr="0087691B" w:rsidRDefault="00781221" w:rsidP="00781221">
            <w:pPr>
              <w:rPr>
                <w:rFonts w:eastAsia="Arial"/>
              </w:rPr>
            </w:pPr>
            <w:r w:rsidRPr="0087691B">
              <w:rPr>
                <w:rFonts w:eastAsia="Arial"/>
              </w:rPr>
              <w:t>1.2</w:t>
            </w:r>
          </w:p>
        </w:tc>
        <w:tc>
          <w:tcPr>
            <w:tcW w:w="3694" w:type="dxa"/>
          </w:tcPr>
          <w:p w14:paraId="4CEEBE34" w14:textId="77777777" w:rsidR="00781221" w:rsidRPr="0087691B" w:rsidRDefault="00781221" w:rsidP="00781221">
            <w:pPr>
              <w:rPr>
                <w:bCs/>
                <w:color w:val="000000"/>
                <w:lang w:eastAsia="lt-LT"/>
              </w:rPr>
            </w:pPr>
            <w:r w:rsidRPr="0087691B">
              <w:rPr>
                <w:bCs/>
                <w:color w:val="000000"/>
                <w:lang w:eastAsia="lt-LT"/>
              </w:rPr>
              <w:t xml:space="preserve">Registracijos data </w:t>
            </w:r>
          </w:p>
        </w:tc>
        <w:tc>
          <w:tcPr>
            <w:tcW w:w="5167" w:type="dxa"/>
          </w:tcPr>
          <w:p w14:paraId="7E03AEEC" w14:textId="4B8FD4F2" w:rsidR="00781221" w:rsidRPr="0087691B" w:rsidRDefault="00000000" w:rsidP="00781221">
            <w:pPr>
              <w:rPr>
                <w:rStyle w:val="Style2"/>
                <w:sz w:val="24"/>
              </w:rPr>
            </w:pPr>
            <w:sdt>
              <w:sdtPr>
                <w:rPr>
                  <w:sz w:val="32"/>
                </w:rPr>
                <w:alias w:val="Nurodykite konkrečią dieną"/>
                <w:tag w:val="Nurodykite pradžios datą"/>
                <w:id w:val="423238108"/>
                <w:placeholder>
                  <w:docPart w:val="E5EA1FF9E4FC4F44B52C97DDF79ACA3E"/>
                </w:placeholder>
                <w:date>
                  <w:dateFormat w:val="yyyy 'm.' MMMM d 'd.'"/>
                  <w:lid w:val="lt-LT"/>
                  <w:storeMappedDataAs w:val="dateTime"/>
                  <w:calendar w:val="gregorian"/>
                </w:date>
              </w:sdtPr>
              <w:sdtEndPr>
                <w:rPr>
                  <w:sz w:val="24"/>
                </w:rPr>
              </w:sdtEndPr>
              <w:sdtContent>
                <w:r w:rsidR="00781221" w:rsidRPr="0087691B">
                  <w:t>2012 m. lapkričio 11 d.</w:t>
                </w:r>
              </w:sdtContent>
            </w:sdt>
          </w:p>
        </w:tc>
      </w:tr>
      <w:tr w:rsidR="00781221" w:rsidRPr="0087691B" w14:paraId="51D98E9B" w14:textId="77777777" w:rsidTr="003017C6">
        <w:trPr>
          <w:trHeight w:val="665"/>
        </w:trPr>
        <w:tc>
          <w:tcPr>
            <w:tcW w:w="632" w:type="dxa"/>
          </w:tcPr>
          <w:p w14:paraId="23ADD2BA" w14:textId="77777777" w:rsidR="00781221" w:rsidRPr="0087691B" w:rsidRDefault="00781221" w:rsidP="00781221">
            <w:pPr>
              <w:rPr>
                <w:rFonts w:eastAsia="Arial"/>
              </w:rPr>
            </w:pPr>
            <w:r w:rsidRPr="0087691B">
              <w:rPr>
                <w:rFonts w:eastAsia="Arial"/>
              </w:rPr>
              <w:t>1.3</w:t>
            </w:r>
          </w:p>
        </w:tc>
        <w:tc>
          <w:tcPr>
            <w:tcW w:w="3694" w:type="dxa"/>
          </w:tcPr>
          <w:p w14:paraId="5E79F46C" w14:textId="77777777" w:rsidR="00781221" w:rsidRPr="0087691B" w:rsidRDefault="00781221" w:rsidP="00781221">
            <w:r w:rsidRPr="0087691B">
              <w:t xml:space="preserve">Paraiškos tipas </w:t>
            </w:r>
          </w:p>
          <w:p w14:paraId="07A2BEAF" w14:textId="2ED701C3" w:rsidR="00781221" w:rsidRPr="0087691B" w:rsidRDefault="00781221" w:rsidP="00781221">
            <w:r w:rsidRPr="0087691B">
              <w:t xml:space="preserve">(pagal </w:t>
            </w:r>
            <w:r w:rsidRPr="0087691B">
              <w:rPr>
                <w:color w:val="333333"/>
                <w:shd w:val="clear" w:color="auto" w:fill="FFFFFF"/>
              </w:rPr>
              <w:t>vaistinio preparato registracijos tipą, įtvirtintą</w:t>
            </w:r>
            <w:r w:rsidRPr="0087691B">
              <w:t xml:space="preserve"> Direktyvos 2001/83/EB </w:t>
            </w:r>
            <w:r w:rsidR="0087691B" w:rsidRPr="0087691B">
              <w:t>straipsniuose</w:t>
            </w:r>
            <w:r w:rsidRPr="0087691B">
              <w:t>)</w:t>
            </w:r>
          </w:p>
        </w:tc>
        <w:tc>
          <w:tcPr>
            <w:tcW w:w="5167" w:type="dxa"/>
          </w:tcPr>
          <w:p w14:paraId="0DB07060" w14:textId="77777777" w:rsidR="00781221" w:rsidRPr="0087691B" w:rsidRDefault="00781221" w:rsidP="00781221">
            <w:r w:rsidRPr="0087691B">
              <w:rPr>
                <w:rStyle w:val="Style2"/>
                <w:rFonts w:ascii="MS Mincho" w:eastAsia="MS Mincho" w:hAnsi="MS Mincho" w:cs="MS Mincho"/>
                <w:sz w:val="24"/>
              </w:rPr>
              <w:t>☒</w:t>
            </w:r>
            <w:r w:rsidRPr="0087691B">
              <w:t xml:space="preserve"> 8.3 str. (pilna byla, pagrįsta savais tyrimais) </w:t>
            </w:r>
          </w:p>
          <w:p w14:paraId="44D3BE09" w14:textId="77777777" w:rsidR="00781221" w:rsidRPr="0087691B" w:rsidRDefault="00781221" w:rsidP="00781221">
            <w:r w:rsidRPr="0087691B">
              <w:rPr>
                <w:rStyle w:val="Style2"/>
                <w:rFonts w:ascii="MS Mincho" w:eastAsia="MS Mincho" w:hAnsi="MS Mincho" w:cs="MS Mincho"/>
                <w:sz w:val="24"/>
              </w:rPr>
              <w:t>☐</w:t>
            </w:r>
            <w:r w:rsidRPr="0087691B">
              <w:t xml:space="preserve"> 10 a str. (pripažintas medicininis vartojimas) </w:t>
            </w:r>
          </w:p>
          <w:p w14:paraId="0A2E2ABA" w14:textId="77777777" w:rsidR="00781221" w:rsidRPr="0087691B" w:rsidRDefault="00781221" w:rsidP="00781221">
            <w:r w:rsidRPr="0087691B">
              <w:rPr>
                <w:rStyle w:val="Style2"/>
                <w:rFonts w:ascii="MS Mincho" w:eastAsia="MS Mincho" w:hAnsi="MS Mincho" w:cs="MS Mincho"/>
                <w:sz w:val="24"/>
              </w:rPr>
              <w:t>☐</w:t>
            </w:r>
            <w:r w:rsidRPr="0087691B">
              <w:t xml:space="preserve"> 10.1 str. (generinis)</w:t>
            </w:r>
          </w:p>
          <w:p w14:paraId="594BF3EC" w14:textId="2829D1AD" w:rsidR="00781221" w:rsidRPr="0087691B" w:rsidRDefault="00781221" w:rsidP="00781221">
            <w:pPr>
              <w:rPr>
                <w:rStyle w:val="Style2"/>
                <w:sz w:val="24"/>
              </w:rPr>
            </w:pPr>
            <w:r w:rsidRPr="0087691B">
              <w:rPr>
                <w:rStyle w:val="Style2"/>
                <w:rFonts w:ascii="MS Mincho" w:eastAsia="MS Mincho" w:hAnsi="MS Mincho" w:cs="MS Mincho"/>
                <w:sz w:val="24"/>
              </w:rPr>
              <w:t>☐</w:t>
            </w:r>
            <w:r w:rsidRPr="0087691B">
              <w:t xml:space="preserve"> 10.3 str. (hibridinis)</w:t>
            </w:r>
          </w:p>
        </w:tc>
      </w:tr>
      <w:tr w:rsidR="00781221" w:rsidRPr="0087691B" w14:paraId="2A9F75A8" w14:textId="77777777" w:rsidTr="003017C6">
        <w:trPr>
          <w:trHeight w:val="395"/>
        </w:trPr>
        <w:tc>
          <w:tcPr>
            <w:tcW w:w="632" w:type="dxa"/>
          </w:tcPr>
          <w:p w14:paraId="2240C367" w14:textId="77777777" w:rsidR="00781221" w:rsidRPr="0087691B" w:rsidRDefault="00781221" w:rsidP="00781221">
            <w:pPr>
              <w:rPr>
                <w:rFonts w:eastAsia="Arial"/>
              </w:rPr>
            </w:pPr>
            <w:r w:rsidRPr="0087691B">
              <w:rPr>
                <w:rFonts w:eastAsia="Arial"/>
              </w:rPr>
              <w:t>1.4</w:t>
            </w:r>
          </w:p>
        </w:tc>
        <w:tc>
          <w:tcPr>
            <w:tcW w:w="3694" w:type="dxa"/>
          </w:tcPr>
          <w:p w14:paraId="2994F9E5" w14:textId="77777777" w:rsidR="00781221" w:rsidRPr="0087691B" w:rsidRDefault="00781221" w:rsidP="00781221">
            <w:pPr>
              <w:rPr>
                <w:bCs/>
                <w:color w:val="000000"/>
                <w:lang w:eastAsia="lt-LT"/>
              </w:rPr>
            </w:pPr>
            <w:r w:rsidRPr="0087691B">
              <w:rPr>
                <w:bCs/>
                <w:color w:val="000000"/>
                <w:lang w:eastAsia="lt-LT"/>
              </w:rPr>
              <w:t xml:space="preserve">Ar vaistinis preparatas įrašytas į Bendrijos retųjų vaistinių preparatų registrą? </w:t>
            </w:r>
          </w:p>
        </w:tc>
        <w:tc>
          <w:tcPr>
            <w:tcW w:w="5167" w:type="dxa"/>
          </w:tcPr>
          <w:p w14:paraId="0E8A1238" w14:textId="77777777" w:rsidR="00781221" w:rsidRPr="0087691B" w:rsidRDefault="00781221" w:rsidP="00781221">
            <w:r w:rsidRPr="0087691B">
              <w:rPr>
                <w:rStyle w:val="Style2"/>
                <w:rFonts w:ascii="MS Mincho" w:eastAsia="MS Mincho" w:hAnsi="MS Mincho" w:cs="MS Mincho"/>
                <w:sz w:val="24"/>
              </w:rPr>
              <w:t>☐</w:t>
            </w:r>
            <w:r w:rsidRPr="0087691B">
              <w:t xml:space="preserve"> Taip</w:t>
            </w:r>
          </w:p>
          <w:p w14:paraId="61E9ABB5" w14:textId="77777777" w:rsidR="00781221" w:rsidRPr="0087691B" w:rsidRDefault="00781221" w:rsidP="00781221">
            <w:r w:rsidRPr="0087691B">
              <w:rPr>
                <w:rStyle w:val="Style2"/>
                <w:rFonts w:ascii="MS Mincho" w:eastAsia="MS Mincho" w:hAnsi="MS Mincho" w:cs="MS Mincho"/>
                <w:sz w:val="24"/>
              </w:rPr>
              <w:t>☒</w:t>
            </w:r>
            <w:r w:rsidRPr="0087691B">
              <w:t xml:space="preserve"> Ne</w:t>
            </w:r>
          </w:p>
          <w:p w14:paraId="3D100513" w14:textId="5C6D35E3" w:rsidR="00781221" w:rsidRPr="0087691B" w:rsidRDefault="00000000" w:rsidP="00781221">
            <w:pPr>
              <w:rPr>
                <w:rFonts w:eastAsia="Arial"/>
              </w:rPr>
            </w:pPr>
            <w:sdt>
              <w:sdtPr>
                <w:alias w:val="Nurodykite konkrečią dieną"/>
                <w:tag w:val="Nurodykite pradžios datą"/>
                <w:id w:val="693498901"/>
                <w:showingPlcHdr/>
                <w15:color w:val="FFCC99"/>
                <w:date w:fullDate="2022-05-18T00:00:00Z">
                  <w:dateFormat w:val="yyyy 'm.' MMMM d 'd.'"/>
                  <w:lid w:val="lt-LT"/>
                  <w:storeMappedDataAs w:val="dateTime"/>
                  <w:calendar w:val="gregorian"/>
                </w:date>
              </w:sdtPr>
              <w:sdtContent>
                <w:r w:rsidR="00781221" w:rsidRPr="0087691B">
                  <w:rPr>
                    <w:rStyle w:val="PlaceholderText"/>
                  </w:rPr>
                  <w:t>Click here to enter a date.</w:t>
                </w:r>
              </w:sdtContent>
            </w:sdt>
          </w:p>
        </w:tc>
      </w:tr>
      <w:tr w:rsidR="00781221" w:rsidRPr="0087691B" w14:paraId="15D3517F" w14:textId="77777777" w:rsidTr="003017C6">
        <w:trPr>
          <w:trHeight w:val="99"/>
        </w:trPr>
        <w:tc>
          <w:tcPr>
            <w:tcW w:w="632" w:type="dxa"/>
          </w:tcPr>
          <w:p w14:paraId="42717A02" w14:textId="77777777" w:rsidR="00781221" w:rsidRPr="0087691B" w:rsidRDefault="00781221" w:rsidP="003017C6">
            <w:pPr>
              <w:rPr>
                <w:rFonts w:eastAsia="Arial"/>
              </w:rPr>
            </w:pPr>
            <w:r w:rsidRPr="0087691B">
              <w:rPr>
                <w:rFonts w:eastAsia="Arial"/>
              </w:rPr>
              <w:t>1.5</w:t>
            </w:r>
          </w:p>
        </w:tc>
        <w:tc>
          <w:tcPr>
            <w:tcW w:w="3694" w:type="dxa"/>
          </w:tcPr>
          <w:p w14:paraId="16627F9D" w14:textId="77777777" w:rsidR="00781221" w:rsidRPr="0087691B" w:rsidRDefault="00781221" w:rsidP="003017C6">
            <w:pPr>
              <w:rPr>
                <w:bCs/>
                <w:color w:val="000000"/>
                <w:lang w:eastAsia="lt-LT"/>
              </w:rPr>
            </w:pPr>
            <w:r w:rsidRPr="0087691B">
              <w:t>STV paraiškos pobūdis</w:t>
            </w:r>
          </w:p>
        </w:tc>
        <w:tc>
          <w:tcPr>
            <w:tcW w:w="5167" w:type="dxa"/>
          </w:tcPr>
          <w:p w14:paraId="5BC65831" w14:textId="77777777" w:rsidR="00781221" w:rsidRPr="0087691B" w:rsidRDefault="00000000" w:rsidP="003017C6">
            <w:sdt>
              <w:sdtPr>
                <w:rPr>
                  <w:rStyle w:val="Style2"/>
                  <w:sz w:val="24"/>
                </w:rPr>
                <w:id w:val="-468433535"/>
                <w15:color w:val="FFCC00"/>
                <w14:checkbox>
                  <w14:checked w14:val="1"/>
                  <w14:checkedState w14:val="2612" w14:font="MS Gothic"/>
                  <w14:uncheckedState w14:val="2610" w14:font="MS Gothic"/>
                </w14:checkbox>
              </w:sdtPr>
              <w:sdtContent>
                <w:r w:rsidR="00781221" w:rsidRPr="0087691B">
                  <w:rPr>
                    <w:rStyle w:val="Style2"/>
                    <w:rFonts w:ascii="MS Mincho" w:eastAsia="MS Mincho" w:hAnsi="MS Mincho" w:cs="MS Mincho"/>
                    <w:sz w:val="24"/>
                  </w:rPr>
                  <w:t>☒</w:t>
                </w:r>
              </w:sdtContent>
            </w:sdt>
            <w:r w:rsidR="00781221" w:rsidRPr="0087691B">
              <w:t xml:space="preserve"> Pilna paraiška</w:t>
            </w:r>
          </w:p>
          <w:p w14:paraId="63322571" w14:textId="77777777" w:rsidR="00781221" w:rsidRPr="0087691B" w:rsidRDefault="00000000" w:rsidP="003017C6">
            <w:sdt>
              <w:sdtPr>
                <w:rPr>
                  <w:rStyle w:val="Style2"/>
                  <w:sz w:val="24"/>
                </w:rPr>
                <w:id w:val="-1489014904"/>
                <w15:color w:val="FFCC00"/>
                <w14:checkbox>
                  <w14:checked w14:val="0"/>
                  <w14:checkedState w14:val="2612" w14:font="MS Gothic"/>
                  <w14:uncheckedState w14:val="2610" w14:font="MS Gothic"/>
                </w14:checkbox>
              </w:sdtPr>
              <w:sdtContent>
                <w:r w:rsidR="00781221" w:rsidRPr="0087691B">
                  <w:rPr>
                    <w:rStyle w:val="Style2"/>
                    <w:rFonts w:ascii="MS Mincho" w:eastAsia="MS Mincho" w:hAnsi="MS Mincho" w:cs="MS Mincho"/>
                    <w:sz w:val="24"/>
                  </w:rPr>
                  <w:t>☐</w:t>
                </w:r>
              </w:sdtContent>
            </w:sdt>
            <w:r w:rsidR="00781221" w:rsidRPr="0087691B">
              <w:t xml:space="preserve"> Supaprastinta paraiška</w:t>
            </w:r>
          </w:p>
        </w:tc>
      </w:tr>
      <w:tr w:rsidR="00781221" w:rsidRPr="0087691B" w14:paraId="174D6623" w14:textId="77777777" w:rsidTr="003017C6">
        <w:trPr>
          <w:trHeight w:val="1006"/>
        </w:trPr>
        <w:tc>
          <w:tcPr>
            <w:tcW w:w="632" w:type="dxa"/>
          </w:tcPr>
          <w:p w14:paraId="66EA28C3" w14:textId="77777777" w:rsidR="00781221" w:rsidRPr="0087691B" w:rsidRDefault="00781221" w:rsidP="00781221">
            <w:pPr>
              <w:rPr>
                <w:rFonts w:eastAsia="Arial"/>
              </w:rPr>
            </w:pPr>
            <w:r w:rsidRPr="0087691B">
              <w:rPr>
                <w:rFonts w:eastAsia="Arial"/>
              </w:rPr>
              <w:t>1.6</w:t>
            </w:r>
          </w:p>
        </w:tc>
        <w:tc>
          <w:tcPr>
            <w:tcW w:w="3694" w:type="dxa"/>
          </w:tcPr>
          <w:p w14:paraId="402AA073" w14:textId="77777777" w:rsidR="00781221" w:rsidRPr="0087691B" w:rsidRDefault="00781221" w:rsidP="00781221">
            <w:pPr>
              <w:rPr>
                <w:bCs/>
                <w:color w:val="000000"/>
                <w:lang w:eastAsia="lt-LT"/>
              </w:rPr>
            </w:pPr>
            <w:r w:rsidRPr="0087691B">
              <w:rPr>
                <w:bCs/>
                <w:color w:val="000000"/>
                <w:lang w:eastAsia="lt-LT"/>
              </w:rPr>
              <w:t>Pareiškėjo teikiama (-</w:t>
            </w:r>
            <w:proofErr w:type="spellStart"/>
            <w:r w:rsidRPr="0087691B">
              <w:rPr>
                <w:bCs/>
                <w:color w:val="000000"/>
                <w:lang w:eastAsia="lt-LT"/>
              </w:rPr>
              <w:t>os</w:t>
            </w:r>
            <w:proofErr w:type="spellEnd"/>
            <w:r w:rsidRPr="0087691B">
              <w:rPr>
                <w:bCs/>
                <w:color w:val="000000"/>
                <w:lang w:eastAsia="lt-LT"/>
              </w:rPr>
              <w:t>) kompensuoti vaistinio preparato indikacija (-</w:t>
            </w:r>
            <w:proofErr w:type="spellStart"/>
            <w:r w:rsidRPr="0087691B">
              <w:rPr>
                <w:bCs/>
                <w:color w:val="000000"/>
                <w:lang w:eastAsia="lt-LT"/>
              </w:rPr>
              <w:t>os</w:t>
            </w:r>
            <w:proofErr w:type="spellEnd"/>
            <w:r w:rsidRPr="0087691B">
              <w:rPr>
                <w:bCs/>
                <w:color w:val="000000"/>
                <w:lang w:eastAsia="lt-LT"/>
              </w:rPr>
              <w:t>)</w:t>
            </w:r>
          </w:p>
          <w:p w14:paraId="3E5A2CED" w14:textId="77777777" w:rsidR="00781221" w:rsidRPr="0087691B" w:rsidRDefault="00781221" w:rsidP="00781221">
            <w:pPr>
              <w:rPr>
                <w:bCs/>
                <w:color w:val="000000"/>
                <w:lang w:eastAsia="lt-LT"/>
              </w:rPr>
            </w:pPr>
          </w:p>
          <w:p w14:paraId="247A4F13" w14:textId="77777777" w:rsidR="00781221" w:rsidRPr="0087691B" w:rsidRDefault="00781221" w:rsidP="00781221">
            <w:pPr>
              <w:rPr>
                <w:bCs/>
                <w:color w:val="000000"/>
                <w:lang w:eastAsia="lt-LT"/>
              </w:rPr>
            </w:pPr>
            <w:r w:rsidRPr="0087691B">
              <w:rPr>
                <w:bCs/>
                <w:color w:val="000000"/>
                <w:lang w:eastAsia="lt-LT"/>
              </w:rPr>
              <w:t>Kodas pagal TLK-10 AM</w:t>
            </w:r>
          </w:p>
        </w:tc>
        <w:tc>
          <w:tcPr>
            <w:tcW w:w="5167" w:type="dxa"/>
          </w:tcPr>
          <w:p w14:paraId="0C72FCA6" w14:textId="77777777" w:rsidR="00781221" w:rsidRPr="0087691B" w:rsidRDefault="00781221" w:rsidP="00781221">
            <w:pPr>
              <w:pStyle w:val="Default"/>
              <w:jc w:val="both"/>
              <w:rPr>
                <w:rFonts w:ascii="Times New Roman" w:hAnsi="Times New Roman" w:cs="Times New Roman"/>
              </w:rPr>
            </w:pPr>
            <w:r w:rsidRPr="0087691B">
              <w:rPr>
                <w:rFonts w:ascii="Times New Roman" w:hAnsi="Times New Roman" w:cs="Times New Roman"/>
              </w:rPr>
              <w:t>Forxiga skiriama gydyti suaugusiesiems, sergantiems simptominiu lėtiniu širdies nepakankamumu su sumažėjusia išstūmimo frakcija.</w:t>
            </w:r>
          </w:p>
          <w:p w14:paraId="256B0FE4" w14:textId="325316F1" w:rsidR="00781221" w:rsidRPr="0087691B" w:rsidRDefault="00781221" w:rsidP="00781221">
            <w:r w:rsidRPr="0087691B">
              <w:t>TLK kodas – I50.</w:t>
            </w:r>
          </w:p>
        </w:tc>
      </w:tr>
      <w:tr w:rsidR="00781221" w:rsidRPr="0087691B" w14:paraId="1593F1F6" w14:textId="77777777" w:rsidTr="003017C6">
        <w:trPr>
          <w:trHeight w:val="378"/>
        </w:trPr>
        <w:tc>
          <w:tcPr>
            <w:tcW w:w="632" w:type="dxa"/>
          </w:tcPr>
          <w:p w14:paraId="0F540B0F" w14:textId="77777777" w:rsidR="00781221" w:rsidRPr="0087691B" w:rsidRDefault="00781221" w:rsidP="00781221">
            <w:pPr>
              <w:rPr>
                <w:rFonts w:eastAsia="Arial"/>
              </w:rPr>
            </w:pPr>
            <w:r w:rsidRPr="0087691B">
              <w:rPr>
                <w:rFonts w:eastAsia="Arial"/>
              </w:rPr>
              <w:t>1.6</w:t>
            </w:r>
          </w:p>
        </w:tc>
        <w:tc>
          <w:tcPr>
            <w:tcW w:w="3694" w:type="dxa"/>
          </w:tcPr>
          <w:p w14:paraId="2638F6B9" w14:textId="77777777" w:rsidR="00781221" w:rsidRPr="0087691B" w:rsidRDefault="00781221" w:rsidP="00781221">
            <w:pPr>
              <w:rPr>
                <w:bCs/>
                <w:color w:val="000000"/>
                <w:u w:val="single"/>
                <w:lang w:eastAsia="lt-LT"/>
              </w:rPr>
            </w:pPr>
            <w:r w:rsidRPr="0087691B">
              <w:rPr>
                <w:bCs/>
                <w:color w:val="000000"/>
                <w:lang w:eastAsia="lt-LT"/>
              </w:rPr>
              <w:t xml:space="preserve">Pareiškėjo teikiamos skyrimo sąlygos </w:t>
            </w:r>
          </w:p>
        </w:tc>
        <w:tc>
          <w:tcPr>
            <w:tcW w:w="5167" w:type="dxa"/>
          </w:tcPr>
          <w:p w14:paraId="725DDA7D" w14:textId="015259D0" w:rsidR="00781221" w:rsidRPr="0087691B" w:rsidRDefault="00781221" w:rsidP="00781221">
            <w:pPr>
              <w:pStyle w:val="NoSpacing"/>
              <w:rPr>
                <w:rFonts w:ascii="Times New Roman" w:hAnsi="Times New Roman"/>
                <w:sz w:val="24"/>
                <w:szCs w:val="24"/>
              </w:rPr>
            </w:pPr>
            <w:r w:rsidRPr="0087691B">
              <w:rPr>
                <w:rFonts w:ascii="Times New Roman" w:hAnsi="Times New Roman"/>
                <w:sz w:val="24"/>
                <w:szCs w:val="24"/>
              </w:rPr>
              <w:t>Širdies nepakankamumas su sumažėjusia išstūmimo frakcija (≤40 proc.).</w:t>
            </w:r>
          </w:p>
        </w:tc>
      </w:tr>
      <w:tr w:rsidR="00781221" w:rsidRPr="0087691B" w14:paraId="6C20E2EB" w14:textId="77777777" w:rsidTr="003017C6">
        <w:trPr>
          <w:trHeight w:val="378"/>
        </w:trPr>
        <w:tc>
          <w:tcPr>
            <w:tcW w:w="632" w:type="dxa"/>
          </w:tcPr>
          <w:p w14:paraId="67B62A47" w14:textId="77777777" w:rsidR="00781221" w:rsidRPr="0087691B" w:rsidRDefault="00781221" w:rsidP="00781221">
            <w:pPr>
              <w:rPr>
                <w:rFonts w:eastAsia="Arial"/>
              </w:rPr>
            </w:pPr>
            <w:r w:rsidRPr="0087691B">
              <w:rPr>
                <w:rFonts w:eastAsia="Arial"/>
              </w:rPr>
              <w:t>1.7</w:t>
            </w:r>
          </w:p>
        </w:tc>
        <w:tc>
          <w:tcPr>
            <w:tcW w:w="3694" w:type="dxa"/>
          </w:tcPr>
          <w:p w14:paraId="5280E3AC" w14:textId="77777777" w:rsidR="00781221" w:rsidRPr="0087691B" w:rsidRDefault="00781221" w:rsidP="00781221">
            <w:pPr>
              <w:rPr>
                <w:bCs/>
                <w:color w:val="000000"/>
                <w:lang w:eastAsia="lt-LT"/>
              </w:rPr>
            </w:pPr>
            <w:r w:rsidRPr="0087691B">
              <w:rPr>
                <w:bCs/>
                <w:color w:val="000000"/>
                <w:lang w:eastAsia="lt-LT"/>
              </w:rPr>
              <w:t xml:space="preserve">Pareiškėjo teikiamas palyginamasis gydymas: </w:t>
            </w:r>
          </w:p>
          <w:p w14:paraId="0090927B" w14:textId="4D353225" w:rsidR="00781221" w:rsidRPr="0087691B" w:rsidRDefault="00781221" w:rsidP="00781221">
            <w:pPr>
              <w:pStyle w:val="ListParagraph"/>
              <w:numPr>
                <w:ilvl w:val="0"/>
                <w:numId w:val="15"/>
              </w:numPr>
              <w:rPr>
                <w:bCs/>
                <w:color w:val="000000"/>
                <w:lang w:eastAsia="lt-LT"/>
              </w:rPr>
            </w:pPr>
            <w:r w:rsidRPr="0087691B">
              <w:rPr>
                <w:bCs/>
                <w:color w:val="000000"/>
                <w:lang w:eastAsia="lt-LT"/>
              </w:rPr>
              <w:t>tiesioginiame palyginime – placebo;</w:t>
            </w:r>
          </w:p>
        </w:tc>
        <w:tc>
          <w:tcPr>
            <w:tcW w:w="5167" w:type="dxa"/>
          </w:tcPr>
          <w:p w14:paraId="4283D259" w14:textId="77777777" w:rsidR="00781221" w:rsidRPr="0087691B" w:rsidRDefault="00781221" w:rsidP="00781221">
            <w:pPr>
              <w:rPr>
                <w:rStyle w:val="Style2"/>
                <w:sz w:val="24"/>
              </w:rPr>
            </w:pPr>
          </w:p>
          <w:p w14:paraId="31FF9872" w14:textId="31F9B47C" w:rsidR="00781221" w:rsidRPr="0087691B" w:rsidRDefault="00000000" w:rsidP="00781221">
            <w:sdt>
              <w:sdtPr>
                <w:rPr>
                  <w:rStyle w:val="Style2"/>
                  <w:sz w:val="24"/>
                </w:rPr>
                <w:id w:val="1480955706"/>
                <w15:color w:val="FFCC00"/>
                <w14:checkbox>
                  <w14:checked w14:val="1"/>
                  <w14:checkedState w14:val="2612" w14:font="MS Gothic"/>
                  <w14:uncheckedState w14:val="2610" w14:font="MS Gothic"/>
                </w14:checkbox>
              </w:sdtPr>
              <w:sdtContent>
                <w:r w:rsidR="00781221" w:rsidRPr="0087691B">
                  <w:rPr>
                    <w:rStyle w:val="Style2"/>
                    <w:rFonts w:ascii="MS Gothic" w:eastAsia="MS Gothic" w:hAnsi="MS Gothic"/>
                    <w:sz w:val="24"/>
                  </w:rPr>
                  <w:t>☒</w:t>
                </w:r>
              </w:sdtContent>
            </w:sdt>
            <w:r w:rsidR="00781221" w:rsidRPr="0087691B">
              <w:t xml:space="preserve"> Tinkamas</w:t>
            </w:r>
          </w:p>
          <w:p w14:paraId="4655FEE8" w14:textId="1C747646" w:rsidR="00781221" w:rsidRPr="0087691B" w:rsidRDefault="00000000" w:rsidP="00781221">
            <w:sdt>
              <w:sdtPr>
                <w:rPr>
                  <w:rStyle w:val="Style2"/>
                  <w:sz w:val="24"/>
                </w:rPr>
                <w:id w:val="-352420698"/>
                <w15:color w:val="FFCC00"/>
                <w14:checkbox>
                  <w14:checked w14:val="0"/>
                  <w14:checkedState w14:val="2612" w14:font="MS Gothic"/>
                  <w14:uncheckedState w14:val="2610" w14:font="MS Gothic"/>
                </w14:checkbox>
              </w:sdtPr>
              <w:sdtContent>
                <w:r w:rsidR="00781221" w:rsidRPr="0087691B">
                  <w:rPr>
                    <w:rStyle w:val="Style2"/>
                    <w:rFonts w:ascii="MS Gothic" w:eastAsia="MS Gothic" w:hAnsi="MS Gothic"/>
                    <w:sz w:val="24"/>
                  </w:rPr>
                  <w:t>☐</w:t>
                </w:r>
              </w:sdtContent>
            </w:sdt>
            <w:r w:rsidR="00781221" w:rsidRPr="0087691B">
              <w:t xml:space="preserve"> Netinkamas</w:t>
            </w:r>
          </w:p>
        </w:tc>
      </w:tr>
    </w:tbl>
    <w:p w14:paraId="108176F7" w14:textId="640C6F75" w:rsidR="00F70C9E" w:rsidRPr="0087691B" w:rsidRDefault="00F70C9E" w:rsidP="00E03C3F">
      <w:pPr>
        <w:pStyle w:val="ListParagraph"/>
        <w:tabs>
          <w:tab w:val="left" w:pos="426"/>
        </w:tabs>
        <w:ind w:left="0"/>
        <w:rPr>
          <w:b/>
          <w:bCs/>
          <w:caps/>
        </w:rPr>
      </w:pPr>
    </w:p>
    <w:p w14:paraId="2871CA7F" w14:textId="2370BDDB" w:rsidR="00F70C9E" w:rsidRPr="0087691B" w:rsidRDefault="00F70C9E" w:rsidP="00880A44">
      <w:pPr>
        <w:spacing w:line="276" w:lineRule="auto"/>
        <w:jc w:val="both"/>
        <w:rPr>
          <w:rFonts w:eastAsia="Arial"/>
          <w:b/>
        </w:rPr>
      </w:pPr>
      <w:r w:rsidRPr="0087691B">
        <w:rPr>
          <w:rFonts w:eastAsia="Arial"/>
          <w:b/>
        </w:rPr>
        <w:t xml:space="preserve">1.8 Kitų </w:t>
      </w:r>
      <w:r w:rsidR="00DF583C" w:rsidRPr="0087691B">
        <w:rPr>
          <w:rFonts w:eastAsia="Arial"/>
          <w:b/>
        </w:rPr>
        <w:t xml:space="preserve">valstybių </w:t>
      </w:r>
      <w:r w:rsidRPr="0087691B">
        <w:rPr>
          <w:rFonts w:eastAsia="Arial"/>
          <w:b/>
        </w:rPr>
        <w:t xml:space="preserve">atsakingų institucijų atlikto </w:t>
      </w:r>
      <w:r w:rsidR="00DF583C" w:rsidRPr="0087691B">
        <w:rPr>
          <w:rFonts w:eastAsia="Arial"/>
          <w:b/>
        </w:rPr>
        <w:t>Sveikatos technologijų vertinimo (toliau – STV)</w:t>
      </w:r>
      <w:r w:rsidRPr="0087691B">
        <w:rPr>
          <w:rFonts w:eastAsia="Arial"/>
          <w:b/>
        </w:rPr>
        <w:t xml:space="preserve"> išvados</w:t>
      </w:r>
    </w:p>
    <w:p w14:paraId="30721FDD" w14:textId="77777777" w:rsidR="00F70C9E" w:rsidRPr="0087691B" w:rsidRDefault="00F70C9E" w:rsidP="00F70C9E">
      <w:pPr>
        <w:spacing w:line="276" w:lineRule="auto"/>
        <w:rPr>
          <w:rFonts w:eastAsia="Arial"/>
          <w:highlight w:val="yellow"/>
        </w:rPr>
      </w:pPr>
    </w:p>
    <w:tbl>
      <w:tblPr>
        <w:tblStyle w:val="TableGrid"/>
        <w:tblW w:w="9918" w:type="dxa"/>
        <w:tblLook w:val="04A0" w:firstRow="1" w:lastRow="0" w:firstColumn="1" w:lastColumn="0" w:noHBand="0" w:noVBand="1"/>
      </w:tblPr>
      <w:tblGrid>
        <w:gridCol w:w="2632"/>
        <w:gridCol w:w="2133"/>
        <w:gridCol w:w="2694"/>
        <w:gridCol w:w="2459"/>
      </w:tblGrid>
      <w:tr w:rsidR="00781221" w:rsidRPr="0087691B" w14:paraId="65A9457B" w14:textId="77777777" w:rsidTr="00781221">
        <w:trPr>
          <w:trHeight w:val="924"/>
        </w:trPr>
        <w:tc>
          <w:tcPr>
            <w:tcW w:w="2632" w:type="dxa"/>
          </w:tcPr>
          <w:p w14:paraId="5AA9B44D" w14:textId="77777777" w:rsidR="00781221" w:rsidRPr="0087691B" w:rsidRDefault="00781221" w:rsidP="003017C6">
            <w:pPr>
              <w:spacing w:line="276" w:lineRule="auto"/>
              <w:rPr>
                <w:rFonts w:eastAsia="Arial"/>
              </w:rPr>
            </w:pPr>
            <w:r w:rsidRPr="0087691B">
              <w:rPr>
                <w:rFonts w:eastAsia="Arial"/>
              </w:rPr>
              <w:lastRenderedPageBreak/>
              <w:t>STV agentūros pavadinimas, šalis</w:t>
            </w:r>
          </w:p>
        </w:tc>
        <w:tc>
          <w:tcPr>
            <w:tcW w:w="2133" w:type="dxa"/>
          </w:tcPr>
          <w:p w14:paraId="3B76C2F1" w14:textId="77777777" w:rsidR="00781221" w:rsidRPr="0087691B" w:rsidRDefault="00781221" w:rsidP="003017C6">
            <w:pPr>
              <w:spacing w:line="276" w:lineRule="auto"/>
              <w:rPr>
                <w:rFonts w:eastAsia="Arial"/>
              </w:rPr>
            </w:pPr>
            <w:r w:rsidRPr="0087691B">
              <w:rPr>
                <w:rFonts w:eastAsia="Arial"/>
              </w:rPr>
              <w:t>STV vertinimas atliktas</w:t>
            </w:r>
          </w:p>
        </w:tc>
        <w:tc>
          <w:tcPr>
            <w:tcW w:w="2694" w:type="dxa"/>
          </w:tcPr>
          <w:p w14:paraId="562170A4" w14:textId="77777777" w:rsidR="00781221" w:rsidRPr="0087691B" w:rsidRDefault="00781221" w:rsidP="003017C6">
            <w:pPr>
              <w:spacing w:line="276" w:lineRule="auto"/>
              <w:rPr>
                <w:rFonts w:eastAsia="Arial"/>
              </w:rPr>
            </w:pPr>
            <w:r w:rsidRPr="0087691B">
              <w:rPr>
                <w:rFonts w:eastAsia="Arial"/>
              </w:rPr>
              <w:t>Klinikinio vertinimo išvada</w:t>
            </w:r>
          </w:p>
        </w:tc>
        <w:tc>
          <w:tcPr>
            <w:tcW w:w="2459" w:type="dxa"/>
          </w:tcPr>
          <w:p w14:paraId="5BEB1C4B" w14:textId="77777777" w:rsidR="00781221" w:rsidRPr="0087691B" w:rsidRDefault="00781221" w:rsidP="003017C6">
            <w:pPr>
              <w:spacing w:line="276" w:lineRule="auto"/>
              <w:rPr>
                <w:rFonts w:eastAsia="Arial"/>
              </w:rPr>
            </w:pPr>
            <w:r w:rsidRPr="0087691B">
              <w:rPr>
                <w:rFonts w:eastAsia="Arial"/>
              </w:rPr>
              <w:t>Ekonominio vertinimo išvada</w:t>
            </w:r>
          </w:p>
        </w:tc>
      </w:tr>
      <w:tr w:rsidR="00876569" w:rsidRPr="0087691B" w14:paraId="365B3ECB" w14:textId="77777777" w:rsidTr="00781221">
        <w:trPr>
          <w:trHeight w:val="97"/>
        </w:trPr>
        <w:tc>
          <w:tcPr>
            <w:tcW w:w="2632" w:type="dxa"/>
          </w:tcPr>
          <w:p w14:paraId="29DB7087" w14:textId="77777777" w:rsidR="00876569" w:rsidRPr="0087691B" w:rsidRDefault="00876569" w:rsidP="00876569">
            <w:pPr>
              <w:autoSpaceDE w:val="0"/>
              <w:autoSpaceDN w:val="0"/>
              <w:adjustRightInd w:val="0"/>
              <w:rPr>
                <w:bCs/>
              </w:rPr>
            </w:pPr>
            <w:r w:rsidRPr="0087691B">
              <w:rPr>
                <w:bCs/>
              </w:rPr>
              <w:t>Nacionalinis sveikatos ir klinikinės kompetencijos institutas, Didžioji Britanija</w:t>
            </w:r>
          </w:p>
          <w:p w14:paraId="6278B3A6" w14:textId="77777777" w:rsidR="00876569" w:rsidRPr="0087691B" w:rsidRDefault="00876569" w:rsidP="00876569">
            <w:pPr>
              <w:spacing w:line="276" w:lineRule="auto"/>
              <w:rPr>
                <w:rFonts w:eastAsia="Arial"/>
              </w:rPr>
            </w:pPr>
            <w:r w:rsidRPr="0087691B">
              <w:rPr>
                <w:rFonts w:eastAsia="Arial"/>
              </w:rPr>
              <w:t xml:space="preserve">(angl. </w:t>
            </w:r>
            <w:proofErr w:type="spellStart"/>
            <w:r w:rsidRPr="0087691B">
              <w:rPr>
                <w:rFonts w:eastAsia="Arial"/>
                <w:i/>
              </w:rPr>
              <w:t>National</w:t>
            </w:r>
            <w:proofErr w:type="spellEnd"/>
            <w:r w:rsidRPr="0087691B">
              <w:rPr>
                <w:rFonts w:eastAsia="Arial"/>
                <w:i/>
              </w:rPr>
              <w:t xml:space="preserve"> Institute </w:t>
            </w:r>
            <w:proofErr w:type="spellStart"/>
            <w:r w:rsidRPr="0087691B">
              <w:rPr>
                <w:rFonts w:eastAsia="Arial"/>
                <w:i/>
              </w:rPr>
              <w:t>for</w:t>
            </w:r>
            <w:proofErr w:type="spellEnd"/>
            <w:r w:rsidRPr="0087691B">
              <w:rPr>
                <w:rFonts w:eastAsia="Arial"/>
                <w:i/>
              </w:rPr>
              <w:t xml:space="preserve"> </w:t>
            </w:r>
            <w:proofErr w:type="spellStart"/>
            <w:r w:rsidRPr="0087691B">
              <w:rPr>
                <w:rFonts w:eastAsia="Arial"/>
                <w:i/>
              </w:rPr>
              <w:t>Health</w:t>
            </w:r>
            <w:proofErr w:type="spellEnd"/>
            <w:r w:rsidRPr="0087691B">
              <w:rPr>
                <w:rFonts w:eastAsia="Arial"/>
                <w:i/>
              </w:rPr>
              <w:t xml:space="preserve"> and Care </w:t>
            </w:r>
            <w:proofErr w:type="spellStart"/>
            <w:r w:rsidRPr="0087691B">
              <w:rPr>
                <w:rFonts w:eastAsia="Arial"/>
                <w:i/>
              </w:rPr>
              <w:t>Excellence</w:t>
            </w:r>
            <w:proofErr w:type="spellEnd"/>
            <w:r w:rsidRPr="0087691B">
              <w:rPr>
                <w:rFonts w:eastAsia="Arial"/>
                <w:i/>
              </w:rPr>
              <w:t>, NICE</w:t>
            </w:r>
            <w:r w:rsidRPr="0087691B">
              <w:rPr>
                <w:rFonts w:eastAsia="Arial"/>
              </w:rPr>
              <w:t>)</w:t>
            </w:r>
          </w:p>
        </w:tc>
        <w:tc>
          <w:tcPr>
            <w:tcW w:w="2133" w:type="dxa"/>
          </w:tcPr>
          <w:p w14:paraId="4B90C185" w14:textId="77777777" w:rsidR="00876569" w:rsidRPr="0087691B" w:rsidRDefault="00876569" w:rsidP="00876569">
            <w:r w:rsidRPr="0087691B">
              <w:rPr>
                <w:rStyle w:val="Style2"/>
                <w:rFonts w:ascii="MS Gothic" w:eastAsia="MS Gothic" w:hAnsi="MS Gothic"/>
              </w:rPr>
              <w:t>☒</w:t>
            </w:r>
            <w:r w:rsidRPr="0087691B">
              <w:t xml:space="preserve"> Taip</w:t>
            </w:r>
          </w:p>
          <w:p w14:paraId="0B5CD978" w14:textId="77777777" w:rsidR="00876569" w:rsidRPr="0087691B" w:rsidRDefault="00876569" w:rsidP="00876569">
            <w:r w:rsidRPr="0087691B">
              <w:rPr>
                <w:rStyle w:val="Style2"/>
                <w:rFonts w:ascii="MS Gothic" w:eastAsia="MS Gothic" w:hAnsi="MS Gothic"/>
              </w:rPr>
              <w:t>☐</w:t>
            </w:r>
            <w:r w:rsidRPr="0087691B">
              <w:t xml:space="preserve"> Ne</w:t>
            </w:r>
          </w:p>
          <w:p w14:paraId="040F9562" w14:textId="77777777" w:rsidR="00876569" w:rsidRPr="0087691B" w:rsidRDefault="00000000" w:rsidP="00876569">
            <w:pPr>
              <w:rPr>
                <w:rFonts w:eastAsia="Arial"/>
              </w:rPr>
            </w:pPr>
            <w:sdt>
              <w:sdtPr>
                <w:alias w:val="Nurodykite konkrečią dieną"/>
                <w:tag w:val="Nurodykite pradžios datą"/>
                <w:id w:val="922837954"/>
                <w15:color w:val="FFCC99"/>
                <w:date>
                  <w:dateFormat w:val="yyyy 'm.' MMMM d 'd.'"/>
                  <w:lid w:val="lt-LT"/>
                  <w:storeMappedDataAs w:val="dateTime"/>
                  <w:calendar w:val="gregorian"/>
                </w:date>
              </w:sdtPr>
              <w:sdtContent>
                <w:r w:rsidR="00876569" w:rsidRPr="0087691B">
                  <w:t>2021 m. vasario 21 d.</w:t>
                </w:r>
              </w:sdtContent>
            </w:sdt>
          </w:p>
        </w:tc>
        <w:tc>
          <w:tcPr>
            <w:tcW w:w="2694" w:type="dxa"/>
          </w:tcPr>
          <w:p w14:paraId="64E27A56" w14:textId="533F8555" w:rsidR="00876569" w:rsidRPr="0087691B" w:rsidRDefault="00876569" w:rsidP="00876569">
            <w:pPr>
              <w:pStyle w:val="Default"/>
              <w:jc w:val="both"/>
              <w:rPr>
                <w:rFonts w:ascii="Times New Roman" w:hAnsi="Times New Roman" w:cs="Times New Roman"/>
                <w:szCs w:val="20"/>
              </w:rPr>
            </w:pPr>
            <w:r>
              <w:rPr>
                <w:rFonts w:ascii="Times New Roman" w:hAnsi="Times New Roman" w:cs="Times New Roman"/>
                <w:szCs w:val="20"/>
              </w:rPr>
              <w:t>R</w:t>
            </w:r>
            <w:r w:rsidRPr="0087691B">
              <w:rPr>
                <w:rFonts w:ascii="Times New Roman" w:hAnsi="Times New Roman" w:cs="Times New Roman"/>
                <w:szCs w:val="20"/>
              </w:rPr>
              <w:t xml:space="preserve">ekomenduoja dapaglifloziną įprastiniam gydymui simptominiam lėtiniam </w:t>
            </w:r>
            <w:r w:rsidRPr="0087691B">
              <w:rPr>
                <w:rFonts w:ascii="Times New Roman" w:hAnsi="Times New Roman" w:cs="Times New Roman"/>
              </w:rPr>
              <w:t>širdies nepakankamumui su sumažėjusia išstūmimo frakcija (≤40 proc.)</w:t>
            </w:r>
            <w:r w:rsidRPr="0087691B">
              <w:rPr>
                <w:rFonts w:ascii="Times New Roman" w:hAnsi="Times New Roman" w:cs="Times New Roman"/>
                <w:szCs w:val="20"/>
              </w:rPr>
              <w:t xml:space="preserve"> gydyti kaip papildomą vaistą žmonėms, kurie jau taiko standartinį gydymą (AKFi/ARB/ARNI).</w:t>
            </w:r>
          </w:p>
        </w:tc>
        <w:tc>
          <w:tcPr>
            <w:tcW w:w="2459" w:type="dxa"/>
          </w:tcPr>
          <w:p w14:paraId="5F7C15C0" w14:textId="05D4CEC8" w:rsidR="00876569" w:rsidRPr="0087691B" w:rsidRDefault="00876569" w:rsidP="00876569">
            <w:pPr>
              <w:spacing w:line="276" w:lineRule="auto"/>
              <w:rPr>
                <w:rFonts w:eastAsia="Arial"/>
                <w:highlight w:val="yellow"/>
              </w:rPr>
            </w:pPr>
            <w:r w:rsidRPr="00284BB0">
              <w:rPr>
                <w:rFonts w:eastAsia="Arial"/>
              </w:rPr>
              <w:t>Kaštų naudingumas yra laikomas priimtinu</w:t>
            </w:r>
          </w:p>
        </w:tc>
      </w:tr>
      <w:tr w:rsidR="00876569" w:rsidRPr="0087691B" w14:paraId="61285AFF" w14:textId="77777777" w:rsidTr="00781221">
        <w:trPr>
          <w:trHeight w:val="97"/>
        </w:trPr>
        <w:tc>
          <w:tcPr>
            <w:tcW w:w="2632" w:type="dxa"/>
          </w:tcPr>
          <w:p w14:paraId="6584B5A1" w14:textId="77777777" w:rsidR="00876569" w:rsidRPr="0087691B" w:rsidRDefault="00876569" w:rsidP="00876569">
            <w:pPr>
              <w:spacing w:line="276" w:lineRule="auto"/>
              <w:rPr>
                <w:rFonts w:eastAsia="Arial"/>
              </w:rPr>
            </w:pPr>
            <w:r w:rsidRPr="0087691B">
              <w:rPr>
                <w:rFonts w:eastAsia="Arial"/>
              </w:rPr>
              <w:t>Kanados sveikatos technologijų agentūra</w:t>
            </w:r>
          </w:p>
          <w:p w14:paraId="2F38D10F" w14:textId="77777777" w:rsidR="00876569" w:rsidRPr="0087691B" w:rsidRDefault="00876569" w:rsidP="00876569">
            <w:pPr>
              <w:autoSpaceDE w:val="0"/>
              <w:autoSpaceDN w:val="0"/>
              <w:adjustRightInd w:val="0"/>
              <w:rPr>
                <w:bCs/>
              </w:rPr>
            </w:pPr>
            <w:r w:rsidRPr="0087691B">
              <w:rPr>
                <w:rFonts w:eastAsia="Arial"/>
              </w:rPr>
              <w:t xml:space="preserve">(angl. </w:t>
            </w:r>
            <w:proofErr w:type="spellStart"/>
            <w:r w:rsidRPr="0087691B">
              <w:rPr>
                <w:rFonts w:eastAsia="Arial"/>
                <w:i/>
              </w:rPr>
              <w:t>Canadian</w:t>
            </w:r>
            <w:proofErr w:type="spellEnd"/>
            <w:r w:rsidRPr="0087691B">
              <w:rPr>
                <w:rFonts w:eastAsia="Arial"/>
                <w:i/>
              </w:rPr>
              <w:t xml:space="preserve"> </w:t>
            </w:r>
            <w:proofErr w:type="spellStart"/>
            <w:r w:rsidRPr="0087691B">
              <w:rPr>
                <w:rFonts w:eastAsia="Arial"/>
                <w:i/>
              </w:rPr>
              <w:t>health</w:t>
            </w:r>
            <w:proofErr w:type="spellEnd"/>
            <w:r w:rsidRPr="0087691B">
              <w:rPr>
                <w:rFonts w:eastAsia="Arial"/>
                <w:i/>
              </w:rPr>
              <w:t xml:space="preserve"> </w:t>
            </w:r>
            <w:proofErr w:type="spellStart"/>
            <w:r w:rsidRPr="0087691B">
              <w:rPr>
                <w:rFonts w:eastAsia="Arial"/>
                <w:i/>
              </w:rPr>
              <w:t>Technology</w:t>
            </w:r>
            <w:proofErr w:type="spellEnd"/>
            <w:r w:rsidRPr="0087691B">
              <w:rPr>
                <w:rFonts w:eastAsia="Arial"/>
                <w:i/>
              </w:rPr>
              <w:t xml:space="preserve"> </w:t>
            </w:r>
            <w:proofErr w:type="spellStart"/>
            <w:r w:rsidRPr="0087691B">
              <w:rPr>
                <w:rFonts w:eastAsia="Arial"/>
                <w:i/>
              </w:rPr>
              <w:t>Assessment</w:t>
            </w:r>
            <w:proofErr w:type="spellEnd"/>
            <w:r w:rsidRPr="0087691B">
              <w:rPr>
                <w:rFonts w:eastAsia="Arial"/>
                <w:i/>
              </w:rPr>
              <w:t xml:space="preserve"> </w:t>
            </w:r>
            <w:proofErr w:type="spellStart"/>
            <w:r w:rsidRPr="0087691B">
              <w:rPr>
                <w:rFonts w:eastAsia="Arial"/>
                <w:i/>
              </w:rPr>
              <w:t>agency</w:t>
            </w:r>
            <w:proofErr w:type="spellEnd"/>
            <w:r w:rsidRPr="0087691B">
              <w:rPr>
                <w:rFonts w:eastAsia="Arial"/>
                <w:i/>
              </w:rPr>
              <w:t>, CADTH</w:t>
            </w:r>
            <w:r w:rsidRPr="0087691B">
              <w:rPr>
                <w:rFonts w:eastAsia="Arial"/>
              </w:rPr>
              <w:t>)</w:t>
            </w:r>
          </w:p>
        </w:tc>
        <w:tc>
          <w:tcPr>
            <w:tcW w:w="2133" w:type="dxa"/>
          </w:tcPr>
          <w:p w14:paraId="31B8F1AF" w14:textId="77777777" w:rsidR="00876569" w:rsidRPr="0087691B" w:rsidRDefault="00876569" w:rsidP="00876569">
            <w:r w:rsidRPr="0087691B">
              <w:rPr>
                <w:rStyle w:val="Style2"/>
                <w:rFonts w:ascii="MS Gothic" w:eastAsia="MS Gothic" w:hAnsi="MS Gothic"/>
              </w:rPr>
              <w:t>☒</w:t>
            </w:r>
            <w:r w:rsidRPr="0087691B">
              <w:t xml:space="preserve"> Taip</w:t>
            </w:r>
          </w:p>
          <w:p w14:paraId="1F1C9A1F" w14:textId="77777777" w:rsidR="00876569" w:rsidRPr="0087691B" w:rsidRDefault="00876569" w:rsidP="00876569">
            <w:r w:rsidRPr="0087691B">
              <w:rPr>
                <w:rFonts w:ascii="Segoe UI Symbol" w:hAnsi="Segoe UI Symbol" w:cs="Segoe UI Symbol"/>
              </w:rPr>
              <w:t>☐</w:t>
            </w:r>
            <w:r w:rsidRPr="0087691B">
              <w:t xml:space="preserve"> Ne</w:t>
            </w:r>
          </w:p>
          <w:p w14:paraId="27515F0B" w14:textId="77777777" w:rsidR="00876569" w:rsidRPr="0087691B" w:rsidRDefault="00000000" w:rsidP="00876569">
            <w:pPr>
              <w:rPr>
                <w:rStyle w:val="Style2"/>
                <w:rFonts w:ascii="MS Gothic" w:eastAsia="MS Gothic" w:hAnsi="MS Gothic"/>
              </w:rPr>
            </w:pPr>
            <w:sdt>
              <w:sdtPr>
                <w:rPr>
                  <w:sz w:val="32"/>
                </w:rPr>
                <w:alias w:val="Nurodykite konkrečią dieną"/>
                <w:tag w:val="Nurodykite pradžios datą"/>
                <w:id w:val="1991669253"/>
                <w15:color w:val="FFCC99"/>
                <w:date>
                  <w:dateFormat w:val="yyyy 'm.' MMMM d 'd.'"/>
                  <w:lid w:val="lt-LT"/>
                  <w:storeMappedDataAs w:val="dateTime"/>
                  <w:calendar w:val="gregorian"/>
                </w:date>
              </w:sdtPr>
              <w:sdtContent>
                <w:r w:rsidR="00876569" w:rsidRPr="0087691B">
                  <w:t>2021 m. sausio 6 d.</w:t>
                </w:r>
              </w:sdtContent>
            </w:sdt>
          </w:p>
        </w:tc>
        <w:tc>
          <w:tcPr>
            <w:tcW w:w="2694" w:type="dxa"/>
          </w:tcPr>
          <w:p w14:paraId="77B80348" w14:textId="334B4050" w:rsidR="00876569" w:rsidRPr="0087691B" w:rsidRDefault="00876569" w:rsidP="00876569">
            <w:pPr>
              <w:pStyle w:val="Default"/>
              <w:jc w:val="both"/>
              <w:rPr>
                <w:rFonts w:ascii="Times New Roman" w:hAnsi="Times New Roman" w:cs="Times New Roman"/>
              </w:rPr>
            </w:pPr>
            <w:r w:rsidRPr="0087691B">
              <w:rPr>
                <w:rFonts w:ascii="Times New Roman" w:hAnsi="Times New Roman" w:cs="Times New Roman"/>
                <w:szCs w:val="20"/>
              </w:rPr>
              <w:t xml:space="preserve">Rekomenduoja dapaglifloziną kompensuoti kaip priedą prie standartinio gydymo, gydant </w:t>
            </w:r>
            <w:r w:rsidRPr="0087691B">
              <w:rPr>
                <w:rFonts w:ascii="Times New Roman" w:hAnsi="Times New Roman" w:cs="Times New Roman"/>
              </w:rPr>
              <w:t xml:space="preserve">širdies nepakankamumą su sumažėjusia išstūmimo frakcija (≤40 proc.) </w:t>
            </w:r>
          </w:p>
          <w:p w14:paraId="6962DCA3" w14:textId="77777777" w:rsidR="00876569" w:rsidRPr="0087691B" w:rsidRDefault="00876569" w:rsidP="00876569">
            <w:pPr>
              <w:pStyle w:val="Default"/>
              <w:jc w:val="both"/>
              <w:rPr>
                <w:rFonts w:ascii="Times New Roman" w:hAnsi="Times New Roman" w:cs="Times New Roman"/>
                <w:szCs w:val="20"/>
              </w:rPr>
            </w:pPr>
            <w:r w:rsidRPr="0087691B">
              <w:rPr>
                <w:rFonts w:ascii="Times New Roman" w:hAnsi="Times New Roman" w:cs="Times New Roman"/>
                <w:szCs w:val="20"/>
              </w:rPr>
              <w:t>tik tuo atveju, jei tenkinama toliau nurodyta sąlyga – tik suaugusiesiems, sergantiems Niujorko širdies asociacijos (NYHA) II ir III klasės širdies nepakankamumu, kai taikomas standartinis gydymas – BAB+AKFi/ARB+MRA.</w:t>
            </w:r>
          </w:p>
        </w:tc>
        <w:tc>
          <w:tcPr>
            <w:tcW w:w="2459" w:type="dxa"/>
          </w:tcPr>
          <w:p w14:paraId="10B7403F" w14:textId="500D7B2A" w:rsidR="00876569" w:rsidRPr="0087691B" w:rsidRDefault="00876569" w:rsidP="00876569">
            <w:pPr>
              <w:spacing w:line="276" w:lineRule="auto"/>
              <w:rPr>
                <w:rFonts w:eastAsia="Arial"/>
                <w:highlight w:val="yellow"/>
              </w:rPr>
            </w:pPr>
            <w:r>
              <w:rPr>
                <w:rFonts w:eastAsia="Arial"/>
              </w:rPr>
              <w:t xml:space="preserve">Rekomenduojama kompensuoti, nes tikėtina, jog </w:t>
            </w:r>
            <w:proofErr w:type="spellStart"/>
            <w:r>
              <w:rPr>
                <w:rFonts w:eastAsia="Arial"/>
              </w:rPr>
              <w:t>dapagliflozinas</w:t>
            </w:r>
            <w:proofErr w:type="spellEnd"/>
            <w:r>
              <w:rPr>
                <w:rFonts w:eastAsia="Arial"/>
              </w:rPr>
              <w:t xml:space="preserve"> yra kaštams naudingas NYHA II klasėje, bet kaštams ne </w:t>
            </w:r>
            <w:proofErr w:type="spellStart"/>
            <w:r>
              <w:rPr>
                <w:rFonts w:eastAsia="Arial"/>
              </w:rPr>
              <w:t>anudingas</w:t>
            </w:r>
            <w:proofErr w:type="spellEnd"/>
            <w:r>
              <w:rPr>
                <w:rFonts w:eastAsia="Arial"/>
              </w:rPr>
              <w:t xml:space="preserve"> NYHA III ir IV klasėse.</w:t>
            </w:r>
          </w:p>
        </w:tc>
      </w:tr>
      <w:tr w:rsidR="00876569" w:rsidRPr="0087691B" w14:paraId="62DAB6A8" w14:textId="77777777" w:rsidTr="00781221">
        <w:trPr>
          <w:trHeight w:val="1556"/>
        </w:trPr>
        <w:tc>
          <w:tcPr>
            <w:tcW w:w="2632" w:type="dxa"/>
          </w:tcPr>
          <w:p w14:paraId="6437C59F" w14:textId="77777777" w:rsidR="00876569" w:rsidRPr="0087691B" w:rsidRDefault="00876569" w:rsidP="00876569">
            <w:pPr>
              <w:spacing w:line="276" w:lineRule="auto"/>
              <w:rPr>
                <w:rFonts w:eastAsia="Arial"/>
              </w:rPr>
            </w:pPr>
            <w:r w:rsidRPr="0087691B">
              <w:rPr>
                <w:rFonts w:eastAsia="Arial"/>
              </w:rPr>
              <w:t xml:space="preserve">Nacionalinis </w:t>
            </w:r>
            <w:proofErr w:type="spellStart"/>
            <w:r w:rsidRPr="0087691B">
              <w:rPr>
                <w:rFonts w:eastAsia="Arial"/>
              </w:rPr>
              <w:t>farmakoekonomikos</w:t>
            </w:r>
            <w:proofErr w:type="spellEnd"/>
            <w:r w:rsidRPr="0087691B">
              <w:rPr>
                <w:rFonts w:eastAsia="Arial"/>
              </w:rPr>
              <w:t xml:space="preserve"> centras, Airija</w:t>
            </w:r>
          </w:p>
          <w:p w14:paraId="4AA54E8F" w14:textId="77777777" w:rsidR="00876569" w:rsidRPr="0087691B" w:rsidRDefault="00876569" w:rsidP="00876569">
            <w:pPr>
              <w:spacing w:line="276" w:lineRule="auto"/>
              <w:rPr>
                <w:rFonts w:eastAsia="Arial"/>
              </w:rPr>
            </w:pPr>
            <w:r w:rsidRPr="0087691B">
              <w:rPr>
                <w:rFonts w:eastAsia="Arial"/>
              </w:rPr>
              <w:t>(angl.</w:t>
            </w:r>
            <w:r w:rsidRPr="0087691B">
              <w:rPr>
                <w:rFonts w:eastAsia="Arial"/>
                <w:i/>
              </w:rPr>
              <w:t xml:space="preserve"> </w:t>
            </w:r>
            <w:proofErr w:type="spellStart"/>
            <w:r w:rsidRPr="0087691B">
              <w:rPr>
                <w:rFonts w:eastAsia="Arial"/>
                <w:i/>
              </w:rPr>
              <w:t>National</w:t>
            </w:r>
            <w:proofErr w:type="spellEnd"/>
            <w:r w:rsidRPr="0087691B">
              <w:rPr>
                <w:rFonts w:eastAsia="Arial"/>
                <w:i/>
              </w:rPr>
              <w:t xml:space="preserve"> Centre </w:t>
            </w:r>
            <w:proofErr w:type="spellStart"/>
            <w:r w:rsidRPr="0087691B">
              <w:rPr>
                <w:rFonts w:eastAsia="Arial"/>
                <w:i/>
              </w:rPr>
              <w:t>for</w:t>
            </w:r>
            <w:proofErr w:type="spellEnd"/>
            <w:r w:rsidRPr="0087691B">
              <w:rPr>
                <w:rFonts w:eastAsia="Arial"/>
                <w:i/>
              </w:rPr>
              <w:t xml:space="preserve"> </w:t>
            </w:r>
            <w:proofErr w:type="spellStart"/>
            <w:r w:rsidRPr="0087691B">
              <w:rPr>
                <w:rFonts w:eastAsia="Arial"/>
                <w:i/>
              </w:rPr>
              <w:t>Pharmacoeconomics</w:t>
            </w:r>
            <w:proofErr w:type="spellEnd"/>
            <w:r w:rsidRPr="0087691B">
              <w:rPr>
                <w:rFonts w:eastAsia="Arial"/>
                <w:i/>
              </w:rPr>
              <w:t>, NCPE</w:t>
            </w:r>
            <w:r w:rsidRPr="0087691B">
              <w:rPr>
                <w:rFonts w:eastAsia="Arial"/>
              </w:rPr>
              <w:t>)</w:t>
            </w:r>
          </w:p>
        </w:tc>
        <w:tc>
          <w:tcPr>
            <w:tcW w:w="2133" w:type="dxa"/>
          </w:tcPr>
          <w:p w14:paraId="42C3B012" w14:textId="77777777" w:rsidR="00876569" w:rsidRPr="0087691B" w:rsidRDefault="00876569" w:rsidP="00876569">
            <w:r w:rsidRPr="0087691B">
              <w:rPr>
                <w:rStyle w:val="Style2"/>
                <w:rFonts w:ascii="MS Gothic" w:eastAsia="MS Gothic" w:hAnsi="MS Gothic"/>
              </w:rPr>
              <w:t>☒</w:t>
            </w:r>
            <w:r w:rsidRPr="0087691B">
              <w:t xml:space="preserve"> Taip</w:t>
            </w:r>
          </w:p>
          <w:p w14:paraId="6846807F" w14:textId="77777777" w:rsidR="00876569" w:rsidRPr="0087691B" w:rsidRDefault="00876569" w:rsidP="00876569">
            <w:r w:rsidRPr="0087691B">
              <w:rPr>
                <w:rStyle w:val="Style2"/>
                <w:rFonts w:ascii="MS Gothic" w:eastAsia="MS Gothic" w:hAnsi="MS Gothic"/>
              </w:rPr>
              <w:t>☐</w:t>
            </w:r>
            <w:r w:rsidRPr="0087691B">
              <w:t xml:space="preserve"> Ne</w:t>
            </w:r>
          </w:p>
          <w:p w14:paraId="73BC7FCB" w14:textId="77777777" w:rsidR="00876569" w:rsidRPr="0087691B" w:rsidRDefault="00000000" w:rsidP="00876569">
            <w:pPr>
              <w:rPr>
                <w:rStyle w:val="Style2"/>
              </w:rPr>
            </w:pPr>
            <w:sdt>
              <w:sdtPr>
                <w:rPr>
                  <w:sz w:val="32"/>
                </w:rPr>
                <w:alias w:val="Nurodykite konkrečią dieną"/>
                <w:tag w:val="Nurodykite pradžios datą"/>
                <w:id w:val="2029437950"/>
                <w15:color w:val="FFCC99"/>
                <w:date>
                  <w:dateFormat w:val="yyyy 'm.' MMMM d 'd.'"/>
                  <w:lid w:val="lt-LT"/>
                  <w:storeMappedDataAs w:val="dateTime"/>
                  <w:calendar w:val="gregorian"/>
                </w:date>
              </w:sdtPr>
              <w:sdtContent>
                <w:r w:rsidR="00876569" w:rsidRPr="0087691B">
                  <w:t>2022 m. kovo 6 d.</w:t>
                </w:r>
              </w:sdtContent>
            </w:sdt>
          </w:p>
          <w:p w14:paraId="217F9206" w14:textId="77777777" w:rsidR="00876569" w:rsidRPr="0087691B" w:rsidRDefault="00876569" w:rsidP="00876569">
            <w:pPr>
              <w:spacing w:line="276" w:lineRule="auto"/>
            </w:pPr>
          </w:p>
        </w:tc>
        <w:tc>
          <w:tcPr>
            <w:tcW w:w="2694" w:type="dxa"/>
          </w:tcPr>
          <w:p w14:paraId="3611ACA6" w14:textId="77777777" w:rsidR="00876569" w:rsidRPr="0087691B" w:rsidRDefault="00876569" w:rsidP="00876569">
            <w:pPr>
              <w:spacing w:line="276" w:lineRule="auto"/>
              <w:jc w:val="both"/>
              <w:rPr>
                <w:rFonts w:eastAsia="Arial"/>
              </w:rPr>
            </w:pPr>
            <w:r w:rsidRPr="0087691B">
              <w:rPr>
                <w:rFonts w:eastAsia="Arial"/>
              </w:rPr>
              <w:t>Skirtas suaugusiems simptominiam lėtiniam širdies nepakankamumui su sumažėjusia išstūmimo frakcija gydyti.</w:t>
            </w:r>
          </w:p>
        </w:tc>
        <w:tc>
          <w:tcPr>
            <w:tcW w:w="2459" w:type="dxa"/>
          </w:tcPr>
          <w:p w14:paraId="5F19262F" w14:textId="303AD00D" w:rsidR="00876569" w:rsidRPr="0087691B" w:rsidRDefault="00876569" w:rsidP="00876569">
            <w:pPr>
              <w:spacing w:line="276" w:lineRule="auto"/>
              <w:jc w:val="both"/>
              <w:rPr>
                <w:rFonts w:eastAsia="Arial"/>
                <w:highlight w:val="yellow"/>
              </w:rPr>
            </w:pPr>
            <w:r w:rsidRPr="00284BB0">
              <w:rPr>
                <w:rFonts w:eastAsia="Arial"/>
              </w:rPr>
              <w:t xml:space="preserve">Pilnas STV neatliekamas, </w:t>
            </w:r>
            <w:proofErr w:type="spellStart"/>
            <w:r w:rsidRPr="00284BB0">
              <w:rPr>
                <w:rFonts w:eastAsia="Arial"/>
              </w:rPr>
              <w:t>da</w:t>
            </w:r>
            <w:r>
              <w:rPr>
                <w:rFonts w:eastAsia="Arial"/>
              </w:rPr>
              <w:t>pagliflozinas</w:t>
            </w:r>
            <w:proofErr w:type="spellEnd"/>
            <w:r>
              <w:rPr>
                <w:rFonts w:eastAsia="Arial"/>
              </w:rPr>
              <w:t xml:space="preserve"> rekomenduojamas kom</w:t>
            </w:r>
            <w:r w:rsidRPr="00284BB0">
              <w:rPr>
                <w:rFonts w:eastAsia="Arial"/>
              </w:rPr>
              <w:t>pensuoti</w:t>
            </w:r>
          </w:p>
        </w:tc>
      </w:tr>
    </w:tbl>
    <w:p w14:paraId="4FF85587" w14:textId="77777777" w:rsidR="00B62292" w:rsidRPr="0087691B" w:rsidRDefault="00B62292">
      <w:pPr>
        <w:rPr>
          <w:b/>
          <w:bCs/>
          <w:caps/>
          <w:highlight w:val="yellow"/>
        </w:rPr>
      </w:pPr>
    </w:p>
    <w:p w14:paraId="626FE67D" w14:textId="77777777" w:rsidR="00080362" w:rsidRPr="0087691B" w:rsidRDefault="00080362">
      <w:pPr>
        <w:rPr>
          <w:b/>
          <w:bCs/>
          <w:caps/>
          <w:highlight w:val="yellow"/>
        </w:rPr>
      </w:pPr>
    </w:p>
    <w:p w14:paraId="5055E8A8" w14:textId="09A31708" w:rsidR="002E6F80" w:rsidRPr="0087691B" w:rsidRDefault="00CC7832" w:rsidP="00CC09D4">
      <w:pPr>
        <w:pStyle w:val="ListParagraph"/>
        <w:numPr>
          <w:ilvl w:val="0"/>
          <w:numId w:val="12"/>
        </w:numPr>
        <w:tabs>
          <w:tab w:val="left" w:pos="567"/>
        </w:tabs>
        <w:ind w:hanging="720"/>
        <w:rPr>
          <w:b/>
          <w:bCs/>
          <w:caps/>
        </w:rPr>
      </w:pPr>
      <w:r w:rsidRPr="0087691B">
        <w:rPr>
          <w:b/>
          <w:bCs/>
          <w:caps/>
        </w:rPr>
        <w:t>Klinikinio vertinimo a</w:t>
      </w:r>
      <w:r w:rsidR="00D4485B" w:rsidRPr="0087691B">
        <w:rPr>
          <w:b/>
          <w:bCs/>
          <w:caps/>
        </w:rPr>
        <w:t>pibendrinimas</w:t>
      </w:r>
    </w:p>
    <w:p w14:paraId="5423F716" w14:textId="77777777" w:rsidR="002A3179" w:rsidRPr="0087691B" w:rsidRDefault="002A3179" w:rsidP="002A3179">
      <w:pPr>
        <w:tabs>
          <w:tab w:val="left" w:pos="284"/>
        </w:tabs>
        <w:rPr>
          <w:b/>
          <w:bCs/>
          <w:caps/>
          <w:highlight w:val="yellow"/>
        </w:rPr>
      </w:pPr>
    </w:p>
    <w:p w14:paraId="6B852D9D" w14:textId="77777777" w:rsidR="00781221" w:rsidRPr="0087691B" w:rsidRDefault="008F0F32" w:rsidP="00781221">
      <w:pPr>
        <w:tabs>
          <w:tab w:val="left" w:pos="426"/>
        </w:tabs>
        <w:spacing w:line="276" w:lineRule="auto"/>
        <w:jc w:val="both"/>
        <w:rPr>
          <w:color w:val="000000"/>
          <w:lang w:eastAsia="lt-LT"/>
        </w:rPr>
      </w:pPr>
      <w:r w:rsidRPr="0087691B">
        <w:rPr>
          <w:rFonts w:eastAsia="Arial"/>
        </w:rPr>
        <w:tab/>
      </w:r>
      <w:r w:rsidRPr="0087691B">
        <w:rPr>
          <w:rFonts w:eastAsia="Arial"/>
        </w:rPr>
        <w:tab/>
      </w:r>
      <w:r w:rsidR="00781221" w:rsidRPr="0087691B">
        <w:rPr>
          <w:color w:val="000000"/>
          <w:lang w:eastAsia="lt-LT"/>
        </w:rPr>
        <w:t xml:space="preserve">Širdies nepakankamumas (ŠN) (TLK-10-AM kodas I50) yra klinikinis sindromas, kuriam būdingi tipiniai simptomai (pvz., dusulys, kulkšnių edema, nuovargis) ir požymiai (pvz., padidėjęs jungo venų spaudimas, karkalai plaučiuose ir periferinės edemos). Juos sukelia širdies struktūros ir/ar funkcijos sutrikimas, lemiantis sistolinio tūrio sumažėjimą ir spaudimo širdies ertmėse padidėjimą ramybėje ar krūvio metu. </w:t>
      </w:r>
    </w:p>
    <w:p w14:paraId="6F33C1E4" w14:textId="513B89C4" w:rsidR="00781221" w:rsidRPr="0087691B" w:rsidRDefault="0087691B" w:rsidP="00781221">
      <w:pPr>
        <w:tabs>
          <w:tab w:val="left" w:pos="426"/>
        </w:tabs>
        <w:spacing w:line="276" w:lineRule="auto"/>
        <w:jc w:val="both"/>
        <w:rPr>
          <w:color w:val="000000"/>
          <w:lang w:eastAsia="lt-LT"/>
        </w:rPr>
      </w:pPr>
      <w:r>
        <w:rPr>
          <w:color w:val="000000"/>
          <w:lang w:eastAsia="lt-LT"/>
        </w:rPr>
        <w:tab/>
      </w:r>
      <w:r>
        <w:rPr>
          <w:color w:val="000000"/>
          <w:lang w:eastAsia="lt-LT"/>
        </w:rPr>
        <w:tab/>
      </w:r>
      <w:r w:rsidR="00781221" w:rsidRPr="0087691B">
        <w:rPr>
          <w:color w:val="000000"/>
          <w:lang w:eastAsia="lt-LT"/>
        </w:rPr>
        <w:t xml:space="preserve">ŠN skirstomas į tipus pagal kairio </w:t>
      </w:r>
      <w:r w:rsidRPr="0087691B">
        <w:rPr>
          <w:color w:val="000000"/>
          <w:lang w:eastAsia="lt-LT"/>
        </w:rPr>
        <w:t>skilvelio</w:t>
      </w:r>
      <w:r w:rsidR="00781221" w:rsidRPr="0087691B">
        <w:rPr>
          <w:color w:val="000000"/>
          <w:lang w:eastAsia="lt-LT"/>
        </w:rPr>
        <w:t xml:space="preserve"> išstūmimo frakcijos (KSIF) sumažėjimą: ŠN su sumažėjusia KSIF (angl. </w:t>
      </w:r>
      <w:r w:rsidRPr="0087691B">
        <w:rPr>
          <w:color w:val="000000"/>
          <w:lang w:val="en-GB" w:eastAsia="lt-LT"/>
        </w:rPr>
        <w:t xml:space="preserve">heart failure </w:t>
      </w:r>
      <w:r w:rsidR="00781221" w:rsidRPr="0087691B">
        <w:rPr>
          <w:color w:val="000000"/>
          <w:lang w:val="en-GB" w:eastAsia="lt-LT"/>
        </w:rPr>
        <w:t>reduced ejection fraction</w:t>
      </w:r>
      <w:r w:rsidR="00781221" w:rsidRPr="0087691B">
        <w:rPr>
          <w:color w:val="000000"/>
          <w:lang w:eastAsia="lt-LT"/>
        </w:rPr>
        <w:t xml:space="preserve">, HFrEF) kai KSIF yra &lt;40 proc.; ŠN </w:t>
      </w:r>
      <w:r w:rsidR="00781221" w:rsidRPr="0087691B">
        <w:rPr>
          <w:color w:val="000000"/>
          <w:lang w:eastAsia="lt-LT"/>
        </w:rPr>
        <w:lastRenderedPageBreak/>
        <w:t xml:space="preserve">su vidutiniškai sumažėjusia KSIF (angl. </w:t>
      </w:r>
      <w:r w:rsidRPr="0087691B">
        <w:rPr>
          <w:color w:val="000000"/>
          <w:lang w:val="en-GB" w:eastAsia="lt-LT"/>
        </w:rPr>
        <w:t xml:space="preserve">heart failure </w:t>
      </w:r>
      <w:r w:rsidR="00781221" w:rsidRPr="0087691B">
        <w:rPr>
          <w:color w:val="000000"/>
          <w:lang w:val="en-GB" w:eastAsia="lt-LT"/>
        </w:rPr>
        <w:t xml:space="preserve">mildly reduced ejection fraction, </w:t>
      </w:r>
      <w:proofErr w:type="spellStart"/>
      <w:r w:rsidR="00781221" w:rsidRPr="0087691B">
        <w:rPr>
          <w:color w:val="000000"/>
          <w:lang w:val="en-GB" w:eastAsia="lt-LT"/>
        </w:rPr>
        <w:t>HFmrEF</w:t>
      </w:r>
      <w:proofErr w:type="spellEnd"/>
      <w:r w:rsidR="00781221" w:rsidRPr="0087691B">
        <w:rPr>
          <w:color w:val="000000"/>
          <w:lang w:eastAsia="lt-LT"/>
        </w:rPr>
        <w:t xml:space="preserve">) kai KSIF yra tarp 40 proc. ir 49 proc.; ŠN su išlikusia KSIF (angl. </w:t>
      </w:r>
      <w:r w:rsidRPr="0087691B">
        <w:rPr>
          <w:color w:val="000000"/>
          <w:lang w:val="en-GB" w:eastAsia="lt-LT"/>
        </w:rPr>
        <w:t xml:space="preserve">heart failure </w:t>
      </w:r>
      <w:r w:rsidR="00781221" w:rsidRPr="0087691B">
        <w:rPr>
          <w:color w:val="000000"/>
          <w:lang w:val="en-GB" w:eastAsia="lt-LT"/>
        </w:rPr>
        <w:t xml:space="preserve">preserved ejection fraction, </w:t>
      </w:r>
      <w:proofErr w:type="spellStart"/>
      <w:r w:rsidR="00781221" w:rsidRPr="0087691B">
        <w:rPr>
          <w:color w:val="000000"/>
          <w:lang w:val="en-GB" w:eastAsia="lt-LT"/>
        </w:rPr>
        <w:t>HFpEF</w:t>
      </w:r>
      <w:proofErr w:type="spellEnd"/>
      <w:r w:rsidR="00781221" w:rsidRPr="0087691B">
        <w:rPr>
          <w:color w:val="000000"/>
          <w:lang w:eastAsia="lt-LT"/>
        </w:rPr>
        <w:t>), kai KSIF ≥50 proc.</w:t>
      </w:r>
    </w:p>
    <w:p w14:paraId="2FA22A5C" w14:textId="6F394325" w:rsidR="00781221" w:rsidRPr="0087691B" w:rsidRDefault="00781221" w:rsidP="00781221">
      <w:pPr>
        <w:tabs>
          <w:tab w:val="left" w:pos="426"/>
        </w:tabs>
        <w:spacing w:line="276" w:lineRule="auto"/>
        <w:jc w:val="both"/>
        <w:rPr>
          <w:color w:val="000000"/>
          <w:lang w:eastAsia="lt-LT"/>
        </w:rPr>
      </w:pPr>
      <w:r w:rsidRPr="0087691B">
        <w:rPr>
          <w:color w:val="000000"/>
          <w:lang w:eastAsia="lt-LT"/>
        </w:rPr>
        <w:tab/>
      </w:r>
      <w:r w:rsidRPr="0087691B">
        <w:rPr>
          <w:color w:val="000000"/>
          <w:lang w:eastAsia="lt-LT"/>
        </w:rPr>
        <w:tab/>
        <w:t>ŠN paplitimas yra apie 1-2 proc. tarp suaugusių žmonių išsivysčiusiose šalyse, o tarp &gt;70 metų</w:t>
      </w:r>
      <w:r w:rsidR="0087691B">
        <w:rPr>
          <w:color w:val="000000"/>
          <w:lang w:eastAsia="lt-LT"/>
        </w:rPr>
        <w:t xml:space="preserve"> amžiaus padidėja iki ≥10 proc.</w:t>
      </w:r>
      <w:r w:rsidRPr="0087691B">
        <w:rPr>
          <w:color w:val="000000"/>
          <w:lang w:eastAsia="lt-LT"/>
        </w:rPr>
        <w:t xml:space="preserve"> Prospektyvinis stebėjimo tyrimas, atliktas daugelyje Europos šalių (tame tarpe ir Lietuvoje) parodė, kad 1 metų mirtingumas tarp pacientų su HFrEF yra 8,8 proc. Lietuvoje ŠN paplitimas populiacijoje – 2 proc., virš 65 m. &gt; 10 proc., o 2019 m. ŠN sirgo beveik 120 tūkst. gyventojų.</w:t>
      </w:r>
    </w:p>
    <w:p w14:paraId="7B3FDFDD" w14:textId="0CB940CF" w:rsidR="00781221" w:rsidRPr="0087691B" w:rsidRDefault="00781221" w:rsidP="00781221">
      <w:pPr>
        <w:tabs>
          <w:tab w:val="left" w:pos="426"/>
        </w:tabs>
        <w:spacing w:line="276" w:lineRule="auto"/>
        <w:jc w:val="both"/>
        <w:rPr>
          <w:color w:val="000000"/>
          <w:lang w:eastAsia="lt-LT"/>
        </w:rPr>
      </w:pPr>
      <w:r w:rsidRPr="0087691B">
        <w:rPr>
          <w:color w:val="000000"/>
          <w:lang w:eastAsia="lt-LT"/>
        </w:rPr>
        <w:tab/>
      </w:r>
      <w:r w:rsidRPr="0087691B">
        <w:rPr>
          <w:color w:val="000000"/>
          <w:lang w:eastAsia="lt-LT"/>
        </w:rPr>
        <w:tab/>
        <w:t>ŠN gydymo tikslai yra pagerinti pacientų klinikinę būklę, funkcinį pajėgumą ir gyvenimo kokybę, išvengti hospitalizavimo ir sumažinti mirštamumą. Hospitalizacijos dėl ŠN išvengimas ir funkcinio pajėgumo gerinimas teikia didžiausią naudą po padidėjusio mirtingumo suvaldymo.</w:t>
      </w:r>
    </w:p>
    <w:p w14:paraId="5C7C1652" w14:textId="7AE06170" w:rsidR="00781221" w:rsidRPr="0087691B" w:rsidRDefault="00781221" w:rsidP="00781221">
      <w:pPr>
        <w:tabs>
          <w:tab w:val="left" w:pos="426"/>
        </w:tabs>
        <w:spacing w:line="276" w:lineRule="auto"/>
        <w:jc w:val="both"/>
        <w:rPr>
          <w:color w:val="000000"/>
          <w:lang w:eastAsia="lt-LT"/>
        </w:rPr>
      </w:pPr>
      <w:r w:rsidRPr="0087691B">
        <w:rPr>
          <w:color w:val="000000"/>
          <w:lang w:eastAsia="lt-LT"/>
        </w:rPr>
        <w:tab/>
      </w:r>
      <w:r w:rsidRPr="0087691B">
        <w:rPr>
          <w:color w:val="000000"/>
          <w:lang w:eastAsia="lt-LT"/>
        </w:rPr>
        <w:tab/>
        <w:t>Angiotenziną konvertuojančio fermento inhibitoriai (AKFi), mineralkortikoidų receptorių antagonistai (MRA) ir beta-adrenoblokatoriai (BAB) pagerina HFrEF sergančių pacientų išgyvenamumą, todėl jų rekomenduojama skirti kiekvienam pacientui, jei nėra kontraindikacijų ir ligonis vaistus toleruoja. Angiotenzino receptorių neprilizino inhibitorius (ARNI), yra pranašesnis už AKFI mažinant mirties ir hospitalizavimo dėl ŠN riziką. Iki šiol nėra vienareikšmiškai įrodyta, kad angiotenzino II receptorių blokatoriai (ARB) sumažina pacientų, sergančių HFrEF, mirštamumą. Diuretikai papildomai su jau minėtais vaistais turėtų būti skiriami esant stazės požymiams. Diuretikų skyrimas turėtų būti koreguojamas atsižvelgiant į paciento klinikinę būklę. Lietuvoje ARB ŠN gydyti nėra kompensuojami, tačiau AKFI skiriami kiekvienam pacientui nustačius ŠN nepriklausomai nuo NYHA funkcinės klasės. ARNI grupės vaistai skiriami, kai yra II-IV NYHA funkcinės klasės ŠN, kairiojo skilvelio IF yra ≤35 proc., ir pacientams, kuriems skiriamomis maksimaliomis toleruojamomis AKFi arba BAB dozėmis nepavyksta sukontroliuoti ŠN simptomų. ARNI skiriamas kartu su kitais vaistiniais preparatais nuo ŠN, tačiau jo negalima skirti kartu su AKFI ar ARB grupių vaistais.</w:t>
      </w:r>
    </w:p>
    <w:p w14:paraId="1F713D81" w14:textId="5E7A5007" w:rsidR="00781221" w:rsidRPr="0087691B" w:rsidRDefault="00781221" w:rsidP="00781221">
      <w:pPr>
        <w:tabs>
          <w:tab w:val="left" w:pos="426"/>
        </w:tabs>
        <w:spacing w:line="276" w:lineRule="auto"/>
        <w:jc w:val="both"/>
        <w:rPr>
          <w:color w:val="000000"/>
          <w:lang w:eastAsia="lt-LT"/>
        </w:rPr>
      </w:pPr>
      <w:r w:rsidRPr="0087691B">
        <w:rPr>
          <w:color w:val="000000"/>
          <w:lang w:eastAsia="lt-LT"/>
        </w:rPr>
        <w:tab/>
      </w:r>
      <w:r w:rsidRPr="0087691B">
        <w:rPr>
          <w:color w:val="000000"/>
          <w:lang w:eastAsia="lt-LT"/>
        </w:rPr>
        <w:tab/>
        <w:t>Dapagliflozinas yra labai stipraus (</w:t>
      </w:r>
      <w:proofErr w:type="spellStart"/>
      <w:r w:rsidRPr="0087691B">
        <w:rPr>
          <w:color w:val="000000"/>
          <w:lang w:eastAsia="lt-LT"/>
        </w:rPr>
        <w:t>Ki</w:t>
      </w:r>
      <w:proofErr w:type="spellEnd"/>
      <w:r w:rsidRPr="0087691B">
        <w:rPr>
          <w:color w:val="000000"/>
          <w:lang w:eastAsia="lt-LT"/>
        </w:rPr>
        <w:t xml:space="preserve"> – 0,55 </w:t>
      </w:r>
      <w:proofErr w:type="spellStart"/>
      <w:r w:rsidRPr="0087691B">
        <w:rPr>
          <w:color w:val="000000"/>
          <w:lang w:eastAsia="lt-LT"/>
        </w:rPr>
        <w:t>nM</w:t>
      </w:r>
      <w:proofErr w:type="spellEnd"/>
      <w:r w:rsidRPr="0087691B">
        <w:rPr>
          <w:color w:val="000000"/>
          <w:lang w:eastAsia="lt-LT"/>
        </w:rPr>
        <w:t>), selektyvaus ir laikino veikimo natrio ir gliukozės vienakrypčio nešiklio Nr. 2 (SGLT2) inhibitorius. Dapagliflozinui slopinant SGLT2, proksimaliniuose inkstų kanalėliuose iš glomerulų filtrato reabsorbuojama mažiau gliukozės ir kartu mažiau natrio, todėl gliukozė šalinama su šlapimu, pasireiškia osmosinė diurezė. Dėl to veikiant dapagliflozinui daugiau natrio pasiekia distalinius kanalėlius; manoma, kad tai nulemia grįžtamojo ryšio tarp kanalėlių ir glomerulų veiklos sustiprėjimą bei spaudimo glomeruluose sumažėjimą. Dėl šių pokyčių ir osmosinės diurezės sumažėja skysčių perteklius, kraujospūdis, prieškrūvis ir pokrūvis, o tai gali palankiai veikti širdies remodeliavimo procesą.</w:t>
      </w:r>
    </w:p>
    <w:p w14:paraId="56513F0D" w14:textId="2E3ED2EB" w:rsidR="00781221" w:rsidRPr="0087691B" w:rsidRDefault="00781221" w:rsidP="00781221">
      <w:pPr>
        <w:tabs>
          <w:tab w:val="left" w:pos="426"/>
        </w:tabs>
        <w:spacing w:line="276" w:lineRule="auto"/>
        <w:jc w:val="both"/>
        <w:rPr>
          <w:color w:val="000000"/>
          <w:lang w:eastAsia="lt-LT"/>
        </w:rPr>
      </w:pPr>
      <w:r w:rsidRPr="0087691B">
        <w:rPr>
          <w:color w:val="000000"/>
          <w:lang w:eastAsia="lt-LT"/>
        </w:rPr>
        <w:tab/>
      </w:r>
      <w:r w:rsidRPr="0087691B">
        <w:rPr>
          <w:color w:val="000000"/>
          <w:lang w:eastAsia="lt-LT"/>
        </w:rPr>
        <w:tab/>
        <w:t xml:space="preserve">Paraiškoje teikiama indikacija „Forxiga skiriama gydyti suaugusiesiems, sergantiems simptominiu lėtiniu širdies nepakankamumu su sumažėjusia išstūmimo frakcija“. Dapagliflozinas būtų skiriamas ŠN sergantiems pacientams su sumažėjusia KSIF (≤40 proc.) (angl. HFrEF), kurie gauna standartinį gydymą AKFI arba ARNI kartu su BAB ir MRA (jei toleruoja). Toks SGLT2 inhibitorių skyrimas yra nurodytas tarptautinėse Europos Kardiologų draugijos (angl. </w:t>
      </w:r>
      <w:r w:rsidRPr="0087691B">
        <w:rPr>
          <w:color w:val="000000"/>
          <w:lang w:val="en-GB" w:eastAsia="lt-LT"/>
        </w:rPr>
        <w:t>European Society of Cardiology</w:t>
      </w:r>
      <w:r w:rsidRPr="0087691B">
        <w:rPr>
          <w:color w:val="000000"/>
          <w:lang w:eastAsia="lt-LT"/>
        </w:rPr>
        <w:t xml:space="preserve">, ESC) 2021 m. ŠN gydymo gairėse, kurios rekomenduoja šios klasės vaistus skirti visiems pacientams, kurie gauna gydymą AKFI/ARNI, BAB ir MRA, nepriklausomai nuo to ar pacientas serga CD </w:t>
      </w:r>
    </w:p>
    <w:p w14:paraId="05ECB09D" w14:textId="77777777" w:rsidR="00781221" w:rsidRPr="0087691B" w:rsidRDefault="00781221" w:rsidP="00781221">
      <w:pPr>
        <w:tabs>
          <w:tab w:val="left" w:pos="426"/>
        </w:tabs>
        <w:spacing w:line="276" w:lineRule="auto"/>
        <w:jc w:val="both"/>
        <w:rPr>
          <w:color w:val="000000"/>
          <w:lang w:eastAsia="lt-LT"/>
        </w:rPr>
      </w:pPr>
      <w:r w:rsidRPr="0087691B">
        <w:rPr>
          <w:color w:val="000000"/>
          <w:lang w:eastAsia="lt-LT"/>
        </w:rPr>
        <w:tab/>
      </w:r>
      <w:r w:rsidRPr="0087691B">
        <w:rPr>
          <w:color w:val="000000"/>
          <w:lang w:eastAsia="lt-LT"/>
        </w:rPr>
        <w:tab/>
        <w:t xml:space="preserve">Šiuo metu Lietuvoje nėra galiojančio ŠN gydymo tvarkos aprašo, tačiau visuotiškai susiformavusi praktika gydymo rekomendacijomis ir įrodymais grįsta praktika laikyti ESC gaires, todėl HFrEF gydymas remiasi jomis. Įvertinus paraiškoje pateiktus duomenys, siūlomo kompensuoti vaistinio preparato dapagliflozino vieta dabartinime gydymo algoritme atitiktų ESC siūlomą gydymo schemą. </w:t>
      </w:r>
    </w:p>
    <w:p w14:paraId="6440372C" w14:textId="77777777" w:rsidR="00781221" w:rsidRPr="0087691B" w:rsidRDefault="00781221" w:rsidP="00781221">
      <w:pPr>
        <w:tabs>
          <w:tab w:val="left" w:pos="426"/>
        </w:tabs>
        <w:spacing w:line="276" w:lineRule="auto"/>
        <w:jc w:val="both"/>
        <w:rPr>
          <w:color w:val="000000"/>
          <w:lang w:eastAsia="lt-LT"/>
        </w:rPr>
      </w:pPr>
    </w:p>
    <w:p w14:paraId="0E917F69" w14:textId="77777777" w:rsidR="00781221" w:rsidRPr="0087691B" w:rsidRDefault="00781221" w:rsidP="00781221">
      <w:pPr>
        <w:tabs>
          <w:tab w:val="left" w:pos="426"/>
        </w:tabs>
        <w:spacing w:line="276" w:lineRule="auto"/>
        <w:jc w:val="both"/>
        <w:rPr>
          <w:i/>
          <w:iCs/>
          <w:color w:val="000000"/>
          <w:lang w:eastAsia="lt-LT"/>
        </w:rPr>
      </w:pPr>
      <w:r w:rsidRPr="0087691B">
        <w:rPr>
          <w:i/>
          <w:iCs/>
          <w:color w:val="000000"/>
          <w:lang w:eastAsia="lt-LT"/>
        </w:rPr>
        <w:t>Tiesioginis palyginimas</w:t>
      </w:r>
    </w:p>
    <w:p w14:paraId="7ED18C3F" w14:textId="77777777" w:rsidR="00781221" w:rsidRPr="0087691B" w:rsidRDefault="00781221" w:rsidP="00781221">
      <w:pPr>
        <w:tabs>
          <w:tab w:val="left" w:pos="426"/>
        </w:tabs>
        <w:spacing w:line="276" w:lineRule="auto"/>
        <w:jc w:val="both"/>
        <w:rPr>
          <w:color w:val="000000"/>
          <w:lang w:eastAsia="lt-LT"/>
        </w:rPr>
      </w:pPr>
    </w:p>
    <w:p w14:paraId="47FE5A6D" w14:textId="2775C216" w:rsidR="00781221" w:rsidRPr="0087691B" w:rsidRDefault="00781221" w:rsidP="00781221">
      <w:pPr>
        <w:tabs>
          <w:tab w:val="left" w:pos="426"/>
        </w:tabs>
        <w:spacing w:line="276" w:lineRule="auto"/>
        <w:jc w:val="both"/>
        <w:rPr>
          <w:color w:val="000000"/>
          <w:lang w:eastAsia="lt-LT"/>
        </w:rPr>
      </w:pPr>
      <w:r w:rsidRPr="0087691B">
        <w:rPr>
          <w:color w:val="000000"/>
          <w:lang w:eastAsia="lt-LT"/>
        </w:rPr>
        <w:tab/>
      </w:r>
      <w:r w:rsidRPr="0087691B">
        <w:rPr>
          <w:color w:val="000000"/>
          <w:lang w:eastAsia="lt-LT"/>
        </w:rPr>
        <w:tab/>
        <w:t xml:space="preserve">DAPA-HF – </w:t>
      </w:r>
      <w:proofErr w:type="spellStart"/>
      <w:r w:rsidRPr="0087691B">
        <w:rPr>
          <w:color w:val="000000"/>
          <w:lang w:eastAsia="lt-LT"/>
        </w:rPr>
        <w:t>randomizuotas</w:t>
      </w:r>
      <w:proofErr w:type="spellEnd"/>
      <w:r w:rsidRPr="0087691B">
        <w:rPr>
          <w:color w:val="000000"/>
          <w:lang w:eastAsia="lt-LT"/>
        </w:rPr>
        <w:t xml:space="preserve">, dvigubai </w:t>
      </w:r>
      <w:r w:rsidR="00A20A96">
        <w:rPr>
          <w:color w:val="000000"/>
          <w:lang w:eastAsia="lt-LT"/>
        </w:rPr>
        <w:t>koduotas</w:t>
      </w:r>
      <w:r w:rsidRPr="0087691B">
        <w:rPr>
          <w:color w:val="000000"/>
          <w:lang w:eastAsia="lt-LT"/>
        </w:rPr>
        <w:t xml:space="preserve">, kontroliuotas </w:t>
      </w:r>
      <w:proofErr w:type="spellStart"/>
      <w:r w:rsidRPr="0087691B">
        <w:rPr>
          <w:color w:val="000000"/>
          <w:lang w:eastAsia="lt-LT"/>
        </w:rPr>
        <w:t>placebu</w:t>
      </w:r>
      <w:proofErr w:type="spellEnd"/>
      <w:r w:rsidRPr="0087691B">
        <w:rPr>
          <w:color w:val="000000"/>
          <w:lang w:eastAsia="lt-LT"/>
        </w:rPr>
        <w:t xml:space="preserve"> III fazės klinikinis tyrimas, kuriame dalyvavo II-IV funkcinių klasių pagal NYHA pacientai sergantys HFrEF. Iš viso 4744 pacientai atsitiktine tvarka santykiu 1:1 buvo suskirstyti į grupes, kuriai buvo paskirtas dapagliflozinas (N=2373) arba placebo (N=2371). Buvo skiriama fiksuota 10 mg dapagliflozino dozė, kuri buvo skiriama vartoti per burną. Tyrimo pagrindinė (pirminė) veiksmingumo vertinamoji baigtis buvo rizika vienos iš sudėtinių vertinamųjų baigčių įvykimui: 1. Mirties nuo širdies ir kraujagyslių ligų; 2. Hospitalizavimo dėl ŠN; 3. Skubaus vizito dėl ŠN. </w:t>
      </w:r>
    </w:p>
    <w:p w14:paraId="03DFE616" w14:textId="7780110F" w:rsidR="00781221" w:rsidRPr="0087691B" w:rsidRDefault="00781221" w:rsidP="00781221">
      <w:pPr>
        <w:tabs>
          <w:tab w:val="left" w:pos="426"/>
        </w:tabs>
        <w:spacing w:line="276" w:lineRule="auto"/>
        <w:jc w:val="both"/>
        <w:rPr>
          <w:color w:val="000000"/>
          <w:lang w:eastAsia="lt-LT"/>
        </w:rPr>
      </w:pPr>
      <w:r w:rsidRPr="0087691B">
        <w:rPr>
          <w:color w:val="000000"/>
          <w:lang w:eastAsia="lt-LT"/>
        </w:rPr>
        <w:tab/>
      </w:r>
      <w:r w:rsidRPr="0087691B">
        <w:rPr>
          <w:color w:val="000000"/>
          <w:lang w:eastAsia="lt-LT"/>
        </w:rPr>
        <w:tab/>
        <w:t>Pacientams taikytas įprastinis HFrEF gydymas. Bendrai tyrime 93,6 proc. vartojo AKFI, ARB arba ARNI grupės vaistus, 96 proc. – BAB, 71 proc. MRA, 93 proc. – diuretiką. Vertinama, kad tyrime dalyvavę pacientai atitinka įprastą klinikinę praktiką Lietuvoje. Nepaisant to, kad AKFi/ARB/ARNI + BAB + MRA derinį vartojo 65,2 proc. tyrimo dalyvių, vertinama, kad MRA vaistas, kuris sąlyginai dažnai gali sukelti nepageidaujamas reakcijas dėl kurios gydymas šiuo preparatu negali būti tęsiamas. Taip pat reikia paminėti, kad AKFi/ARB/ARNI + BAB derinį vartojo 90,1 proc. tyrime dalyvavusių pacientų.</w:t>
      </w:r>
    </w:p>
    <w:p w14:paraId="3F8A8F57" w14:textId="42FBAACA" w:rsidR="00781221" w:rsidRPr="0087691B" w:rsidRDefault="00781221" w:rsidP="00781221">
      <w:pPr>
        <w:tabs>
          <w:tab w:val="left" w:pos="426"/>
        </w:tabs>
        <w:spacing w:line="276" w:lineRule="auto"/>
        <w:jc w:val="both"/>
        <w:rPr>
          <w:color w:val="000000"/>
          <w:lang w:eastAsia="lt-LT"/>
        </w:rPr>
      </w:pPr>
      <w:r w:rsidRPr="0087691B">
        <w:rPr>
          <w:color w:val="000000"/>
          <w:lang w:eastAsia="lt-LT"/>
        </w:rPr>
        <w:tab/>
      </w:r>
      <w:r w:rsidRPr="0087691B">
        <w:rPr>
          <w:color w:val="000000"/>
          <w:lang w:eastAsia="lt-LT"/>
        </w:rPr>
        <w:tab/>
        <w:t xml:space="preserve">Pirminės baigties analizė rodo, kad dapagliflozinas geriau už placebą apsaugojo nuo pagrindinės sudėtinės vertinamosios baigties, kurią sudarė mirtys nuo širdies ir kraujagyslių ligų bei hospitalizacijos ir skubūs vizitai dėl ŠN (rizikos santykis [RS] = 0,74, 95 proc. pasikliautinis intervalas [PI] 0,65; 0,85, p&lt;0,001). Šis poveikis pasireiškė anksti ir išliko viso tyrimo metu. Įtakos gydomajam poveikiui turėjo visi 3 pagrindinės vertinamosios baigties komponentai. </w:t>
      </w:r>
    </w:p>
    <w:p w14:paraId="41A9E308" w14:textId="4BD3EC89" w:rsidR="00781221" w:rsidRPr="0087691B" w:rsidRDefault="00781221" w:rsidP="00781221">
      <w:pPr>
        <w:tabs>
          <w:tab w:val="left" w:pos="426"/>
        </w:tabs>
        <w:spacing w:line="276" w:lineRule="auto"/>
        <w:jc w:val="both"/>
        <w:rPr>
          <w:color w:val="000000"/>
          <w:lang w:eastAsia="lt-LT"/>
        </w:rPr>
      </w:pPr>
      <w:r w:rsidRPr="0087691B">
        <w:rPr>
          <w:color w:val="000000"/>
          <w:lang w:eastAsia="lt-LT"/>
        </w:rPr>
        <w:tab/>
      </w:r>
      <w:r w:rsidRPr="0087691B">
        <w:rPr>
          <w:color w:val="000000"/>
          <w:lang w:eastAsia="lt-LT"/>
        </w:rPr>
        <w:tab/>
        <w:t>Kitos svarbios baigtys buvo: sudėtinė baigtis iš mirties nuo širdies ir kraujagyslių ligų bei hospitalizacijos dėl ŠN – dapagliflozinas sumažino bendrą hospitalizacijų dėl ŠN atvejų bei mirčių nuo širdies ir kraujagyslių ligų skaičių. Užfiksuota, kad šią sudėtinę baigtį patyrė 16,2 proc. dapagliflozino ir 20,9 proc. placebo grupės pacientų (RS = 0,75, 95 proc. PI 0,65; 0,85, p&lt;0,001); bei bendras (pirmųjų ir pasikartojančių) hospitalizacijų dėl ŠN ir kardiovaskulinės mirties atvejų skaičius – gydymas dapagliflozinu buvo pranašesnis už placebą, nes sumažino bendrą pirmų ir pakartotinių hospitalizacijų dėl ŠN atvejų bei mirčių nuo širdies ir kraujagyslių ligų skaičių. Dapagliflozino ir placebo grupėse buvo atitinkamai 567 ir 742 kardiovaskulinės mirties arba hospitalizavimo atvejai dėl ŠN, atitinkamai 16,3 proc. ir 21,6 proc. (dažnio santykis 0,75 [95 proc. PI 0,65; 0,88] p=0,0002).</w:t>
      </w:r>
    </w:p>
    <w:p w14:paraId="28D709D2" w14:textId="2D778F5C" w:rsidR="008358C8" w:rsidRPr="0087691B" w:rsidRDefault="00781221" w:rsidP="00781221">
      <w:pPr>
        <w:tabs>
          <w:tab w:val="left" w:pos="426"/>
        </w:tabs>
        <w:spacing w:line="276" w:lineRule="auto"/>
        <w:jc w:val="both"/>
        <w:rPr>
          <w:color w:val="000000"/>
          <w:lang w:eastAsia="lt-LT"/>
        </w:rPr>
      </w:pPr>
      <w:r w:rsidRPr="0087691B">
        <w:rPr>
          <w:color w:val="000000"/>
          <w:lang w:eastAsia="lt-LT"/>
        </w:rPr>
        <w:tab/>
      </w:r>
      <w:r w:rsidRPr="0087691B">
        <w:rPr>
          <w:color w:val="000000"/>
          <w:lang w:eastAsia="lt-LT"/>
        </w:rPr>
        <w:tab/>
        <w:t xml:space="preserve">Pacientų pranešta baigtis – ŠN simptomai. Dapaglifloziną vartojusiems pacientams (palyginus su vartojusiais placebą) nustatytas statistiškai reikšmingas ir kliniškai svarbus palankus poveikis ŠN simptomų Kanzaso kardiomiopatijos klausimyno bendrojo simptomų rodiklio (angl. </w:t>
      </w:r>
      <w:r w:rsidRPr="0087691B">
        <w:rPr>
          <w:color w:val="000000"/>
          <w:lang w:val="en-GB" w:eastAsia="lt-LT"/>
        </w:rPr>
        <w:t>Questionnaire Total Symptom Score of the Kansas City Cardiomyopathy Questionnaire</w:t>
      </w:r>
      <w:r w:rsidRPr="0087691B">
        <w:rPr>
          <w:color w:val="000000"/>
          <w:lang w:eastAsia="lt-LT"/>
        </w:rPr>
        <w:t>, KCCQ-TSS) pokyčiui juos įvertinus iš pradžių ir po 8 mėn. dapagliflozino grupėje ši reikšmė buvo 6,1±18,6, o placebo – 3,3±19,2 (naudos tikimybių santykis – 1,18, 95 proc. PI – nuo 1,11 iki 1,26, p&lt;0,001). Įtakos gautiems rezultatams turėjo retesnis simptomų pasireiškimas ir mažesnė jų našta. Nustatytas palankus poveikis pagal ŠN simptomų palengvėjimą ir jų pasunkėjimo išvengimą.</w:t>
      </w:r>
    </w:p>
    <w:p w14:paraId="2548218A" w14:textId="77777777" w:rsidR="00781221" w:rsidRPr="0087691B" w:rsidRDefault="00781221" w:rsidP="00781221">
      <w:pPr>
        <w:tabs>
          <w:tab w:val="left" w:pos="426"/>
        </w:tabs>
        <w:spacing w:line="276" w:lineRule="auto"/>
        <w:jc w:val="both"/>
        <w:rPr>
          <w:color w:val="000000"/>
          <w:lang w:eastAsia="lt-LT"/>
        </w:rPr>
      </w:pPr>
    </w:p>
    <w:p w14:paraId="2C6C2166" w14:textId="1D97D586" w:rsidR="00C378B5" w:rsidRPr="00876569" w:rsidRDefault="0092396E" w:rsidP="008358C8">
      <w:pPr>
        <w:tabs>
          <w:tab w:val="left" w:pos="567"/>
        </w:tabs>
        <w:rPr>
          <w:b/>
          <w:bCs/>
          <w:caps/>
        </w:rPr>
      </w:pPr>
      <w:r w:rsidRPr="00876569">
        <w:rPr>
          <w:b/>
          <w:bCs/>
          <w:caps/>
        </w:rPr>
        <w:t xml:space="preserve">3.      </w:t>
      </w:r>
      <w:r w:rsidR="00CC7832" w:rsidRPr="00876569">
        <w:rPr>
          <w:b/>
          <w:bCs/>
          <w:caps/>
        </w:rPr>
        <w:t xml:space="preserve">ekonominio vertinimo </w:t>
      </w:r>
      <w:r w:rsidR="002F0E4F" w:rsidRPr="00876569">
        <w:rPr>
          <w:b/>
          <w:bCs/>
          <w:caps/>
        </w:rPr>
        <w:t>apibendrinimas</w:t>
      </w:r>
    </w:p>
    <w:p w14:paraId="6CE37ED0" w14:textId="77777777" w:rsidR="002B19BD" w:rsidRDefault="002B19BD" w:rsidP="002B19BD">
      <w:pPr>
        <w:tabs>
          <w:tab w:val="left" w:pos="567"/>
        </w:tabs>
        <w:jc w:val="both"/>
        <w:rPr>
          <w:iCs/>
          <w:lang w:eastAsia="lt-LT"/>
        </w:rPr>
      </w:pPr>
      <w:r>
        <w:rPr>
          <w:iCs/>
          <w:lang w:eastAsia="lt-LT"/>
        </w:rPr>
        <w:t xml:space="preserve">Vertinimui pateikta kaštų naudingumo analizė, nagrinėjant </w:t>
      </w:r>
      <w:proofErr w:type="spellStart"/>
      <w:r>
        <w:rPr>
          <w:iCs/>
          <w:lang w:eastAsia="lt-LT"/>
        </w:rPr>
        <w:t>dapagliflozino</w:t>
      </w:r>
      <w:proofErr w:type="spellEnd"/>
      <w:r>
        <w:rPr>
          <w:iCs/>
          <w:lang w:eastAsia="lt-LT"/>
        </w:rPr>
        <w:t xml:space="preserve"> kaštų naudingumą, pacientams, sergantiems širdies nepakankamumu su sumažėjusia išstūmimo frakcija, palyginus su standartine praktika (esamu gydymu). </w:t>
      </w:r>
    </w:p>
    <w:p w14:paraId="6E84F13D" w14:textId="77777777" w:rsidR="002B19BD" w:rsidRDefault="002B19BD" w:rsidP="002B19BD">
      <w:pPr>
        <w:tabs>
          <w:tab w:val="left" w:pos="567"/>
        </w:tabs>
        <w:jc w:val="both"/>
        <w:rPr>
          <w:bCs/>
          <w:color w:val="000000"/>
          <w:lang w:eastAsia="lt-LT"/>
        </w:rPr>
      </w:pPr>
      <w:r>
        <w:rPr>
          <w:iCs/>
          <w:lang w:eastAsia="lt-LT"/>
        </w:rPr>
        <w:t>Tarnyba atliko analizės rezultato perskaičiavimą. Papildomai Tarnyba atliko scenarijų analizę, kuri įrodė, jog net taikant blogiausio atvejo prielaidas, referencinė kaštų naudingumo vertė nėra viršijama.</w:t>
      </w:r>
    </w:p>
    <w:p w14:paraId="7D279EC7" w14:textId="77777777" w:rsidR="002B19BD" w:rsidRPr="007B210D" w:rsidRDefault="002B19BD" w:rsidP="002B19BD">
      <w:pPr>
        <w:tabs>
          <w:tab w:val="left" w:pos="567"/>
        </w:tabs>
        <w:jc w:val="both"/>
        <w:rPr>
          <w:iCs/>
          <w:lang w:eastAsia="lt-LT"/>
        </w:rPr>
      </w:pPr>
      <w:r>
        <w:rPr>
          <w:bCs/>
          <w:color w:val="000000"/>
          <w:lang w:eastAsia="lt-LT"/>
        </w:rPr>
        <w:lastRenderedPageBreak/>
        <w:t xml:space="preserve">Gautas analizės rezultatas yra gana pastovus keičiant prielaidas analizėje, taip pat, analizės rezultato pokyčiai nedideli ir vertinant jautrumo analizę. Laikoma, jog </w:t>
      </w:r>
      <w:proofErr w:type="spellStart"/>
      <w:r>
        <w:rPr>
          <w:bCs/>
          <w:color w:val="000000"/>
          <w:lang w:eastAsia="lt-LT"/>
        </w:rPr>
        <w:t>dapagliflozinas</w:t>
      </w:r>
      <w:proofErr w:type="spellEnd"/>
      <w:r>
        <w:rPr>
          <w:bCs/>
          <w:color w:val="000000"/>
          <w:lang w:eastAsia="lt-LT"/>
        </w:rPr>
        <w:t xml:space="preserve"> yra kaštams efektyvus.</w:t>
      </w:r>
    </w:p>
    <w:p w14:paraId="1051A18B" w14:textId="77777777" w:rsidR="00876569" w:rsidRDefault="00876569" w:rsidP="00876569">
      <w:pPr>
        <w:tabs>
          <w:tab w:val="left" w:pos="426"/>
        </w:tabs>
        <w:rPr>
          <w:i/>
          <w:color w:val="00B050"/>
          <w:sz w:val="22"/>
          <w:szCs w:val="22"/>
        </w:rPr>
      </w:pPr>
    </w:p>
    <w:p w14:paraId="26AF0F9D" w14:textId="77777777" w:rsidR="00876569" w:rsidRPr="00E33EFF" w:rsidRDefault="00876569" w:rsidP="00876569">
      <w:pPr>
        <w:tabs>
          <w:tab w:val="left" w:pos="426"/>
        </w:tabs>
        <w:rPr>
          <w:b/>
          <w:bCs/>
          <w:caps/>
        </w:rPr>
      </w:pPr>
    </w:p>
    <w:p w14:paraId="24F6C3C4" w14:textId="77777777" w:rsidR="00876569" w:rsidRPr="00E33EFF" w:rsidRDefault="00876569" w:rsidP="00876569">
      <w:pPr>
        <w:tabs>
          <w:tab w:val="left" w:pos="426"/>
        </w:tabs>
        <w:rPr>
          <w:b/>
          <w:lang w:eastAsia="lt-LT"/>
        </w:rPr>
      </w:pPr>
      <w:r w:rsidRPr="00E33EFF">
        <w:rPr>
          <w:b/>
          <w:lang w:eastAsia="lt-LT"/>
        </w:rPr>
        <w:t>Ekonominės analizės rezultatas</w:t>
      </w:r>
    </w:p>
    <w:p w14:paraId="29C105DB" w14:textId="77777777" w:rsidR="00876569" w:rsidRPr="00E33EFF" w:rsidRDefault="00876569" w:rsidP="00876569">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876569" w:rsidRPr="00E33EFF" w14:paraId="410F0361" w14:textId="77777777" w:rsidTr="00921806">
        <w:trPr>
          <w:trHeight w:val="344"/>
          <w:jc w:val="center"/>
        </w:trPr>
        <w:tc>
          <w:tcPr>
            <w:tcW w:w="9439" w:type="dxa"/>
            <w:gridSpan w:val="2"/>
            <w:tcBorders>
              <w:top w:val="single" w:sz="12" w:space="0" w:color="auto"/>
              <w:left w:val="single" w:sz="4" w:space="0" w:color="auto"/>
              <w:right w:val="single" w:sz="4" w:space="0" w:color="auto"/>
            </w:tcBorders>
            <w:vAlign w:val="center"/>
          </w:tcPr>
          <w:p w14:paraId="6D0A5941" w14:textId="77777777" w:rsidR="00876569" w:rsidRPr="00E33EFF" w:rsidRDefault="00876569" w:rsidP="00921806">
            <w:pPr>
              <w:tabs>
                <w:tab w:val="left" w:pos="567"/>
              </w:tabs>
              <w:jc w:val="center"/>
              <w:rPr>
                <w:b/>
                <w:bCs/>
                <w:sz w:val="26"/>
                <w:szCs w:val="26"/>
                <w:lang w:eastAsia="lt-LT"/>
              </w:rPr>
            </w:pPr>
            <w:r w:rsidRPr="00E33EFF">
              <w:rPr>
                <w:b/>
                <w:bCs/>
                <w:sz w:val="26"/>
                <w:szCs w:val="26"/>
                <w:lang w:eastAsia="lt-LT"/>
              </w:rPr>
              <w:t>Rezultatai</w:t>
            </w:r>
          </w:p>
        </w:tc>
      </w:tr>
      <w:tr w:rsidR="00876569" w:rsidRPr="00E33EFF" w14:paraId="774CC1CD" w14:textId="77777777" w:rsidTr="00921806">
        <w:trPr>
          <w:trHeight w:val="267"/>
          <w:jc w:val="center"/>
        </w:trPr>
        <w:tc>
          <w:tcPr>
            <w:tcW w:w="6200" w:type="dxa"/>
            <w:tcBorders>
              <w:left w:val="single" w:sz="4" w:space="0" w:color="auto"/>
            </w:tcBorders>
          </w:tcPr>
          <w:p w14:paraId="78018850" w14:textId="77777777" w:rsidR="00876569" w:rsidRPr="00E33EFF" w:rsidRDefault="00876569" w:rsidP="00921806">
            <w:pPr>
              <w:tabs>
                <w:tab w:val="left" w:pos="567"/>
              </w:tabs>
              <w:jc w:val="right"/>
              <w:rPr>
                <w:iCs/>
                <w:lang w:eastAsia="lt-LT"/>
              </w:rPr>
            </w:pPr>
            <w:r w:rsidRPr="00E33EFF">
              <w:rPr>
                <w:iCs/>
                <w:lang w:eastAsia="lt-LT"/>
              </w:rPr>
              <w:t>Kaštų skirtumas</w:t>
            </w:r>
          </w:p>
        </w:tc>
        <w:tc>
          <w:tcPr>
            <w:tcW w:w="3238" w:type="dxa"/>
            <w:tcBorders>
              <w:right w:val="single" w:sz="4" w:space="0" w:color="auto"/>
            </w:tcBorders>
          </w:tcPr>
          <w:p w14:paraId="6DD74A5D" w14:textId="2DA0C09B" w:rsidR="00876569" w:rsidRPr="009509E2" w:rsidRDefault="009509E2" w:rsidP="00921806">
            <w:pPr>
              <w:tabs>
                <w:tab w:val="left" w:pos="567"/>
              </w:tabs>
              <w:jc w:val="both"/>
              <w:rPr>
                <w:i/>
                <w:iCs/>
                <w:lang w:eastAsia="lt-LT"/>
              </w:rPr>
            </w:pPr>
            <w:r>
              <w:rPr>
                <w:i/>
                <w:iCs/>
                <w:lang w:eastAsia="lt-LT"/>
              </w:rPr>
              <w:t>****</w:t>
            </w:r>
            <w:r w:rsidR="002B19BD" w:rsidRPr="009509E2">
              <w:rPr>
                <w:i/>
                <w:iCs/>
                <w:lang w:eastAsia="lt-LT"/>
              </w:rPr>
              <w:t xml:space="preserve"> </w:t>
            </w:r>
            <w:proofErr w:type="spellStart"/>
            <w:r w:rsidR="00876569" w:rsidRPr="009509E2">
              <w:rPr>
                <w:i/>
                <w:iCs/>
                <w:lang w:eastAsia="lt-LT"/>
              </w:rPr>
              <w:t>eur</w:t>
            </w:r>
            <w:proofErr w:type="spellEnd"/>
          </w:p>
        </w:tc>
      </w:tr>
      <w:tr w:rsidR="00876569" w:rsidRPr="00E33EFF" w14:paraId="44279B81" w14:textId="77777777" w:rsidTr="00921806">
        <w:trPr>
          <w:trHeight w:val="267"/>
          <w:jc w:val="center"/>
        </w:trPr>
        <w:tc>
          <w:tcPr>
            <w:tcW w:w="6200" w:type="dxa"/>
            <w:tcBorders>
              <w:left w:val="single" w:sz="4" w:space="0" w:color="auto"/>
            </w:tcBorders>
          </w:tcPr>
          <w:p w14:paraId="56B3C497" w14:textId="77777777" w:rsidR="00876569" w:rsidRPr="00E33EFF" w:rsidRDefault="00876569" w:rsidP="00921806">
            <w:pPr>
              <w:tabs>
                <w:tab w:val="left" w:pos="567"/>
              </w:tabs>
              <w:jc w:val="right"/>
              <w:rPr>
                <w:iCs/>
                <w:lang w:eastAsia="lt-LT"/>
              </w:rPr>
            </w:pPr>
            <w:r w:rsidRPr="00E33EFF">
              <w:rPr>
                <w:iCs/>
                <w:lang w:eastAsia="lt-LT"/>
              </w:rPr>
              <w:t>Papildomi gyvenimo metai (LY)</w:t>
            </w:r>
          </w:p>
        </w:tc>
        <w:tc>
          <w:tcPr>
            <w:tcW w:w="3238" w:type="dxa"/>
            <w:tcBorders>
              <w:right w:val="single" w:sz="4" w:space="0" w:color="auto"/>
            </w:tcBorders>
          </w:tcPr>
          <w:p w14:paraId="4989BD15" w14:textId="6CD6237B" w:rsidR="00876569" w:rsidRPr="009509E2" w:rsidRDefault="009509E2" w:rsidP="00921806">
            <w:pPr>
              <w:tabs>
                <w:tab w:val="left" w:pos="567"/>
              </w:tabs>
              <w:jc w:val="both"/>
              <w:rPr>
                <w:i/>
                <w:iCs/>
                <w:lang w:eastAsia="lt-LT"/>
              </w:rPr>
            </w:pPr>
            <w:r>
              <w:rPr>
                <w:i/>
                <w:iCs/>
                <w:lang w:eastAsia="lt-LT"/>
              </w:rPr>
              <w:t>****</w:t>
            </w:r>
            <w:r w:rsidR="00876569" w:rsidRPr="009509E2">
              <w:rPr>
                <w:i/>
                <w:iCs/>
                <w:lang w:eastAsia="lt-LT"/>
              </w:rPr>
              <w:t xml:space="preserve"> </w:t>
            </w:r>
          </w:p>
        </w:tc>
      </w:tr>
      <w:tr w:rsidR="00876569" w:rsidRPr="00E33EFF" w14:paraId="66E712DD" w14:textId="77777777" w:rsidTr="00921806">
        <w:trPr>
          <w:trHeight w:val="267"/>
          <w:jc w:val="center"/>
        </w:trPr>
        <w:tc>
          <w:tcPr>
            <w:tcW w:w="6200" w:type="dxa"/>
            <w:tcBorders>
              <w:left w:val="single" w:sz="4" w:space="0" w:color="auto"/>
            </w:tcBorders>
          </w:tcPr>
          <w:p w14:paraId="3E858BA4" w14:textId="77777777" w:rsidR="00876569" w:rsidRPr="00E33EFF" w:rsidRDefault="00876569" w:rsidP="00921806">
            <w:pPr>
              <w:tabs>
                <w:tab w:val="left" w:pos="567"/>
              </w:tabs>
              <w:jc w:val="right"/>
              <w:rPr>
                <w:iCs/>
                <w:lang w:eastAsia="lt-LT"/>
              </w:rPr>
            </w:pPr>
            <w:r w:rsidRPr="00E33EFF">
              <w:rPr>
                <w:iCs/>
                <w:lang w:eastAsia="lt-LT"/>
              </w:rPr>
              <w:t>Papildomi kokybiški gyvenimo metai (QALY)</w:t>
            </w:r>
          </w:p>
        </w:tc>
        <w:tc>
          <w:tcPr>
            <w:tcW w:w="3238" w:type="dxa"/>
            <w:tcBorders>
              <w:right w:val="single" w:sz="4" w:space="0" w:color="auto"/>
            </w:tcBorders>
          </w:tcPr>
          <w:p w14:paraId="244ADC03" w14:textId="03532DFA" w:rsidR="00876569" w:rsidRPr="009509E2" w:rsidRDefault="009509E2" w:rsidP="00921806">
            <w:pPr>
              <w:tabs>
                <w:tab w:val="left" w:pos="567"/>
              </w:tabs>
              <w:jc w:val="both"/>
              <w:rPr>
                <w:i/>
                <w:iCs/>
                <w:lang w:eastAsia="lt-LT"/>
              </w:rPr>
            </w:pPr>
            <w:r>
              <w:rPr>
                <w:i/>
                <w:iCs/>
                <w:lang w:eastAsia="lt-LT"/>
              </w:rPr>
              <w:t>****</w:t>
            </w:r>
          </w:p>
        </w:tc>
      </w:tr>
      <w:tr w:rsidR="00876569" w:rsidRPr="00E33EFF" w14:paraId="05E6213F" w14:textId="77777777" w:rsidTr="00921806">
        <w:trPr>
          <w:trHeight w:val="267"/>
          <w:jc w:val="center"/>
        </w:trPr>
        <w:tc>
          <w:tcPr>
            <w:tcW w:w="6200" w:type="dxa"/>
            <w:tcBorders>
              <w:left w:val="single" w:sz="4" w:space="0" w:color="auto"/>
            </w:tcBorders>
          </w:tcPr>
          <w:p w14:paraId="49CB95D4" w14:textId="77777777" w:rsidR="00876569" w:rsidRPr="00E33EFF" w:rsidRDefault="00876569" w:rsidP="00921806">
            <w:pPr>
              <w:tabs>
                <w:tab w:val="left" w:pos="567"/>
              </w:tabs>
              <w:jc w:val="right"/>
              <w:rPr>
                <w:iCs/>
                <w:lang w:eastAsia="lt-LT"/>
              </w:rPr>
            </w:pPr>
            <w:r w:rsidRPr="00E33EFF">
              <w:rPr>
                <w:iCs/>
                <w:lang w:eastAsia="lt-LT"/>
              </w:rPr>
              <w:t>ICER už LY</w:t>
            </w:r>
          </w:p>
        </w:tc>
        <w:tc>
          <w:tcPr>
            <w:tcW w:w="3238" w:type="dxa"/>
            <w:tcBorders>
              <w:right w:val="single" w:sz="4" w:space="0" w:color="auto"/>
            </w:tcBorders>
          </w:tcPr>
          <w:p w14:paraId="223FD549" w14:textId="15998558" w:rsidR="00876569" w:rsidRPr="009509E2" w:rsidRDefault="009509E2" w:rsidP="00921806">
            <w:pPr>
              <w:tabs>
                <w:tab w:val="left" w:pos="567"/>
              </w:tabs>
              <w:jc w:val="both"/>
              <w:rPr>
                <w:i/>
                <w:iCs/>
                <w:lang w:eastAsia="lt-LT"/>
              </w:rPr>
            </w:pPr>
            <w:r>
              <w:rPr>
                <w:i/>
                <w:iCs/>
                <w:lang w:eastAsia="lt-LT"/>
              </w:rPr>
              <w:t>****</w:t>
            </w:r>
            <w:r w:rsidR="00876569" w:rsidRPr="009509E2">
              <w:rPr>
                <w:i/>
                <w:iCs/>
                <w:lang w:eastAsia="lt-LT"/>
              </w:rPr>
              <w:t xml:space="preserve"> </w:t>
            </w:r>
            <w:proofErr w:type="spellStart"/>
            <w:r w:rsidR="00876569" w:rsidRPr="009509E2">
              <w:rPr>
                <w:i/>
                <w:iCs/>
                <w:lang w:eastAsia="lt-LT"/>
              </w:rPr>
              <w:t>eur</w:t>
            </w:r>
            <w:proofErr w:type="spellEnd"/>
            <w:r w:rsidR="00876569" w:rsidRPr="009509E2">
              <w:rPr>
                <w:i/>
                <w:iCs/>
                <w:lang w:eastAsia="lt-LT"/>
              </w:rPr>
              <w:t>/LY</w:t>
            </w:r>
          </w:p>
        </w:tc>
      </w:tr>
      <w:tr w:rsidR="00876569" w:rsidRPr="00E33EFF" w14:paraId="1521A907" w14:textId="77777777" w:rsidTr="00921806">
        <w:trPr>
          <w:trHeight w:val="267"/>
          <w:jc w:val="center"/>
        </w:trPr>
        <w:tc>
          <w:tcPr>
            <w:tcW w:w="6200" w:type="dxa"/>
            <w:tcBorders>
              <w:left w:val="single" w:sz="4" w:space="0" w:color="auto"/>
            </w:tcBorders>
          </w:tcPr>
          <w:p w14:paraId="68962B8D" w14:textId="77777777" w:rsidR="00876569" w:rsidRPr="00E33EFF" w:rsidRDefault="00876569" w:rsidP="00921806">
            <w:pPr>
              <w:tabs>
                <w:tab w:val="left" w:pos="567"/>
              </w:tabs>
              <w:jc w:val="right"/>
              <w:rPr>
                <w:iCs/>
                <w:lang w:eastAsia="lt-LT"/>
              </w:rPr>
            </w:pPr>
            <w:r w:rsidRPr="00E33EFF">
              <w:rPr>
                <w:iCs/>
                <w:lang w:eastAsia="lt-LT"/>
              </w:rPr>
              <w:t>ICER už QALY</w:t>
            </w:r>
          </w:p>
        </w:tc>
        <w:tc>
          <w:tcPr>
            <w:tcW w:w="3238" w:type="dxa"/>
            <w:tcBorders>
              <w:right w:val="single" w:sz="4" w:space="0" w:color="auto"/>
            </w:tcBorders>
          </w:tcPr>
          <w:p w14:paraId="6411ACDE" w14:textId="0615C1F0" w:rsidR="00876569" w:rsidRPr="009509E2" w:rsidRDefault="009509E2" w:rsidP="00921806">
            <w:pPr>
              <w:tabs>
                <w:tab w:val="left" w:pos="567"/>
              </w:tabs>
              <w:jc w:val="both"/>
              <w:rPr>
                <w:i/>
                <w:iCs/>
                <w:lang w:eastAsia="lt-LT"/>
              </w:rPr>
            </w:pPr>
            <w:r>
              <w:rPr>
                <w:i/>
                <w:iCs/>
                <w:lang w:eastAsia="lt-LT"/>
              </w:rPr>
              <w:t>****</w:t>
            </w:r>
            <w:r w:rsidR="00876569" w:rsidRPr="009509E2">
              <w:rPr>
                <w:i/>
                <w:iCs/>
                <w:lang w:eastAsia="lt-LT"/>
              </w:rPr>
              <w:t xml:space="preserve"> </w:t>
            </w:r>
            <w:proofErr w:type="spellStart"/>
            <w:r w:rsidR="00876569" w:rsidRPr="009509E2">
              <w:rPr>
                <w:i/>
                <w:iCs/>
                <w:lang w:eastAsia="lt-LT"/>
              </w:rPr>
              <w:t>eur</w:t>
            </w:r>
            <w:proofErr w:type="spellEnd"/>
            <w:r w:rsidR="00876569" w:rsidRPr="009509E2">
              <w:rPr>
                <w:i/>
                <w:iCs/>
                <w:lang w:eastAsia="lt-LT"/>
              </w:rPr>
              <w:t>/QALY</w:t>
            </w:r>
          </w:p>
        </w:tc>
      </w:tr>
      <w:tr w:rsidR="00876569" w:rsidRPr="00E33EFF" w14:paraId="3162AF61" w14:textId="77777777" w:rsidTr="00921806">
        <w:trPr>
          <w:trHeight w:val="267"/>
          <w:jc w:val="center"/>
        </w:trPr>
        <w:tc>
          <w:tcPr>
            <w:tcW w:w="6200" w:type="dxa"/>
            <w:tcBorders>
              <w:left w:val="single" w:sz="4" w:space="0" w:color="auto"/>
              <w:bottom w:val="single" w:sz="4" w:space="0" w:color="auto"/>
              <w:right w:val="single" w:sz="4" w:space="0" w:color="auto"/>
            </w:tcBorders>
          </w:tcPr>
          <w:p w14:paraId="475E25FE" w14:textId="77777777" w:rsidR="00876569" w:rsidRPr="00E33EFF" w:rsidRDefault="00876569" w:rsidP="00921806">
            <w:pPr>
              <w:tabs>
                <w:tab w:val="left" w:pos="567"/>
              </w:tabs>
              <w:jc w:val="right"/>
              <w:rPr>
                <w:iCs/>
                <w:lang w:eastAsia="lt-LT"/>
              </w:rPr>
            </w:pPr>
            <w:r w:rsidRPr="00E33EFF">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01E460D0" w14:textId="7F1D43D4" w:rsidR="00876569" w:rsidRPr="009509E2" w:rsidRDefault="009509E2" w:rsidP="00921806">
            <w:pPr>
              <w:tabs>
                <w:tab w:val="left" w:pos="567"/>
              </w:tabs>
              <w:jc w:val="both"/>
              <w:rPr>
                <w:i/>
                <w:iCs/>
                <w:lang w:eastAsia="lt-LT"/>
              </w:rPr>
            </w:pPr>
            <w:r>
              <w:rPr>
                <w:i/>
                <w:iCs/>
                <w:lang w:eastAsia="lt-LT"/>
              </w:rPr>
              <w:t>****</w:t>
            </w:r>
            <w:r w:rsidR="00876569" w:rsidRPr="009509E2">
              <w:rPr>
                <w:i/>
                <w:iCs/>
                <w:lang w:eastAsia="lt-LT"/>
              </w:rPr>
              <w:t xml:space="preserve"> </w:t>
            </w:r>
            <w:proofErr w:type="spellStart"/>
            <w:r w:rsidR="00876569" w:rsidRPr="009509E2">
              <w:rPr>
                <w:i/>
                <w:iCs/>
                <w:lang w:eastAsia="lt-LT"/>
              </w:rPr>
              <w:t>eur</w:t>
            </w:r>
            <w:proofErr w:type="spellEnd"/>
            <w:r w:rsidR="00876569" w:rsidRPr="009509E2">
              <w:rPr>
                <w:i/>
                <w:iCs/>
                <w:lang w:eastAsia="lt-LT"/>
              </w:rPr>
              <w:t>/QALY</w:t>
            </w:r>
          </w:p>
        </w:tc>
      </w:tr>
    </w:tbl>
    <w:p w14:paraId="31EEEF56" w14:textId="77777777" w:rsidR="00876569" w:rsidRPr="00E33EFF" w:rsidRDefault="00876569" w:rsidP="00876569">
      <w:pPr>
        <w:tabs>
          <w:tab w:val="left" w:pos="567"/>
        </w:tabs>
        <w:jc w:val="both"/>
        <w:rPr>
          <w:iCs/>
          <w:sz w:val="20"/>
          <w:lang w:eastAsia="lt-LT"/>
        </w:rPr>
      </w:pPr>
      <w:r w:rsidRPr="00E33EFF">
        <w:rPr>
          <w:iCs/>
          <w:sz w:val="20"/>
          <w:lang w:eastAsia="lt-LT"/>
        </w:rPr>
        <w:t>ICER – (</w:t>
      </w:r>
      <w:r w:rsidRPr="00E33EFF">
        <w:rPr>
          <w:i/>
          <w:sz w:val="20"/>
          <w:lang w:eastAsia="lt-LT"/>
        </w:rPr>
        <w:t xml:space="preserve">angl. </w:t>
      </w:r>
      <w:proofErr w:type="spellStart"/>
      <w:r w:rsidRPr="00E33EFF">
        <w:rPr>
          <w:i/>
          <w:sz w:val="20"/>
          <w:lang w:eastAsia="lt-LT"/>
        </w:rPr>
        <w:t>incremental</w:t>
      </w:r>
      <w:proofErr w:type="spellEnd"/>
      <w:r w:rsidRPr="00E33EFF">
        <w:rPr>
          <w:i/>
          <w:sz w:val="20"/>
          <w:lang w:eastAsia="lt-LT"/>
        </w:rPr>
        <w:t xml:space="preserve"> </w:t>
      </w:r>
      <w:proofErr w:type="spellStart"/>
      <w:r w:rsidRPr="00E33EFF">
        <w:rPr>
          <w:i/>
          <w:sz w:val="20"/>
          <w:lang w:eastAsia="lt-LT"/>
        </w:rPr>
        <w:t>cost-effectiveness</w:t>
      </w:r>
      <w:proofErr w:type="spellEnd"/>
      <w:r w:rsidRPr="00E33EFF">
        <w:rPr>
          <w:i/>
          <w:sz w:val="20"/>
          <w:lang w:eastAsia="lt-LT"/>
        </w:rPr>
        <w:t xml:space="preserve"> </w:t>
      </w:r>
      <w:proofErr w:type="spellStart"/>
      <w:r w:rsidRPr="00E33EFF">
        <w:rPr>
          <w:i/>
          <w:sz w:val="20"/>
          <w:lang w:eastAsia="lt-LT"/>
        </w:rPr>
        <w:t>ratio</w:t>
      </w:r>
      <w:proofErr w:type="spellEnd"/>
      <w:r w:rsidRPr="00E33EFF">
        <w:rPr>
          <w:iCs/>
          <w:sz w:val="20"/>
          <w:lang w:eastAsia="lt-LT"/>
        </w:rPr>
        <w:t xml:space="preserve">) </w:t>
      </w:r>
      <w:proofErr w:type="spellStart"/>
      <w:r w:rsidRPr="00E33EFF">
        <w:rPr>
          <w:iCs/>
          <w:sz w:val="20"/>
          <w:lang w:eastAsia="lt-LT"/>
        </w:rPr>
        <w:t>inkrementinis</w:t>
      </w:r>
      <w:proofErr w:type="spellEnd"/>
      <w:r w:rsidRPr="00E33EFF">
        <w:rPr>
          <w:iCs/>
          <w:sz w:val="20"/>
          <w:lang w:eastAsia="lt-LT"/>
        </w:rPr>
        <w:t xml:space="preserve"> kaštų naudingumo koeficientas; LY – (</w:t>
      </w:r>
      <w:r w:rsidRPr="00E33EFF">
        <w:rPr>
          <w:i/>
          <w:sz w:val="20"/>
          <w:lang w:eastAsia="lt-LT"/>
        </w:rPr>
        <w:t xml:space="preserve">angl. </w:t>
      </w:r>
      <w:proofErr w:type="spellStart"/>
      <w:r w:rsidRPr="00E33EFF">
        <w:rPr>
          <w:i/>
          <w:sz w:val="20"/>
          <w:lang w:eastAsia="lt-LT"/>
        </w:rPr>
        <w:t>life</w:t>
      </w:r>
      <w:proofErr w:type="spellEnd"/>
      <w:r w:rsidRPr="00E33EFF">
        <w:rPr>
          <w:i/>
          <w:sz w:val="20"/>
          <w:lang w:eastAsia="lt-LT"/>
        </w:rPr>
        <w:t xml:space="preserve"> </w:t>
      </w:r>
      <w:proofErr w:type="spellStart"/>
      <w:r w:rsidRPr="00E33EFF">
        <w:rPr>
          <w:i/>
          <w:sz w:val="20"/>
          <w:lang w:eastAsia="lt-LT"/>
        </w:rPr>
        <w:t>years</w:t>
      </w:r>
      <w:proofErr w:type="spellEnd"/>
      <w:r w:rsidRPr="00E33EFF">
        <w:rPr>
          <w:iCs/>
          <w:sz w:val="20"/>
          <w:lang w:eastAsia="lt-LT"/>
        </w:rPr>
        <w:t>) gyvenimo metai; QALY- (</w:t>
      </w:r>
      <w:r w:rsidRPr="00E33EFF">
        <w:rPr>
          <w:i/>
          <w:sz w:val="20"/>
          <w:lang w:eastAsia="lt-LT"/>
        </w:rPr>
        <w:t xml:space="preserve">angl. </w:t>
      </w:r>
      <w:proofErr w:type="spellStart"/>
      <w:r w:rsidRPr="00E33EFF">
        <w:rPr>
          <w:i/>
          <w:sz w:val="20"/>
          <w:lang w:eastAsia="lt-LT"/>
        </w:rPr>
        <w:t>quality</w:t>
      </w:r>
      <w:proofErr w:type="spellEnd"/>
      <w:r w:rsidRPr="00E33EFF">
        <w:rPr>
          <w:i/>
          <w:sz w:val="20"/>
          <w:lang w:eastAsia="lt-LT"/>
        </w:rPr>
        <w:t xml:space="preserve"> </w:t>
      </w:r>
      <w:proofErr w:type="spellStart"/>
      <w:r w:rsidRPr="00E33EFF">
        <w:rPr>
          <w:i/>
          <w:sz w:val="20"/>
          <w:lang w:eastAsia="lt-LT"/>
        </w:rPr>
        <w:t>adjusted</w:t>
      </w:r>
      <w:proofErr w:type="spellEnd"/>
      <w:r w:rsidRPr="00E33EFF">
        <w:rPr>
          <w:i/>
          <w:sz w:val="20"/>
          <w:lang w:eastAsia="lt-LT"/>
        </w:rPr>
        <w:t xml:space="preserve"> </w:t>
      </w:r>
      <w:proofErr w:type="spellStart"/>
      <w:r w:rsidRPr="00E33EFF">
        <w:rPr>
          <w:i/>
          <w:sz w:val="20"/>
          <w:lang w:eastAsia="lt-LT"/>
        </w:rPr>
        <w:t>life</w:t>
      </w:r>
      <w:proofErr w:type="spellEnd"/>
      <w:r w:rsidRPr="00E33EFF">
        <w:rPr>
          <w:i/>
          <w:sz w:val="20"/>
          <w:lang w:eastAsia="lt-LT"/>
        </w:rPr>
        <w:t xml:space="preserve"> </w:t>
      </w:r>
      <w:proofErr w:type="spellStart"/>
      <w:r w:rsidRPr="00E33EFF">
        <w:rPr>
          <w:i/>
          <w:sz w:val="20"/>
          <w:lang w:eastAsia="lt-LT"/>
        </w:rPr>
        <w:t>years</w:t>
      </w:r>
      <w:proofErr w:type="spellEnd"/>
      <w:r w:rsidRPr="00E33EFF">
        <w:rPr>
          <w:i/>
          <w:sz w:val="20"/>
          <w:lang w:eastAsia="lt-LT"/>
        </w:rPr>
        <w:t xml:space="preserve">) </w:t>
      </w:r>
      <w:r w:rsidRPr="00E33EFF">
        <w:rPr>
          <w:iCs/>
          <w:sz w:val="20"/>
          <w:lang w:eastAsia="lt-LT"/>
        </w:rPr>
        <w:t>kokybiški gyvenimo metai.</w:t>
      </w:r>
    </w:p>
    <w:p w14:paraId="11DCFEDA" w14:textId="77777777" w:rsidR="00876569" w:rsidRPr="0087691B" w:rsidRDefault="00876569" w:rsidP="008358C8">
      <w:pPr>
        <w:tabs>
          <w:tab w:val="left" w:pos="567"/>
        </w:tabs>
        <w:rPr>
          <w:b/>
          <w:bCs/>
          <w:caps/>
          <w:highlight w:val="green"/>
        </w:rPr>
      </w:pPr>
    </w:p>
    <w:p w14:paraId="733B947F" w14:textId="4FBCC8AB" w:rsidR="00052634" w:rsidRPr="0087691B" w:rsidRDefault="00052634" w:rsidP="00A93AA6">
      <w:pPr>
        <w:tabs>
          <w:tab w:val="left" w:pos="426"/>
        </w:tabs>
        <w:rPr>
          <w:b/>
          <w:bCs/>
          <w:caps/>
          <w:highlight w:val="yellow"/>
        </w:rPr>
      </w:pPr>
    </w:p>
    <w:p w14:paraId="186B1DC4" w14:textId="77777777" w:rsidR="00052634" w:rsidRPr="0087691B" w:rsidRDefault="00052634" w:rsidP="00A93AA6">
      <w:pPr>
        <w:tabs>
          <w:tab w:val="left" w:pos="426"/>
        </w:tabs>
        <w:rPr>
          <w:b/>
          <w:bCs/>
          <w:caps/>
          <w:highlight w:val="yellow"/>
        </w:rPr>
      </w:pPr>
    </w:p>
    <w:p w14:paraId="4FC424F9" w14:textId="4E767245" w:rsidR="00C62B36" w:rsidRPr="0087691B" w:rsidRDefault="00C62B36" w:rsidP="00CC09D4">
      <w:pPr>
        <w:pStyle w:val="ListParagraph"/>
        <w:numPr>
          <w:ilvl w:val="0"/>
          <w:numId w:val="12"/>
        </w:numPr>
        <w:tabs>
          <w:tab w:val="left" w:pos="567"/>
        </w:tabs>
        <w:ind w:hanging="720"/>
        <w:rPr>
          <w:b/>
          <w:bCs/>
          <w:caps/>
        </w:rPr>
      </w:pPr>
      <w:r w:rsidRPr="0087691B">
        <w:rPr>
          <w:b/>
          <w:bCs/>
          <w:caps/>
        </w:rPr>
        <w:t xml:space="preserve">Pacientų organizacijų pateikti duomenys </w:t>
      </w:r>
    </w:p>
    <w:p w14:paraId="79BCFF40" w14:textId="56C6F427" w:rsidR="00937907" w:rsidRPr="0087691B"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781221" w:rsidRPr="0087691B">
            <w:rPr>
              <w:rStyle w:val="Style2"/>
              <w:rFonts w:ascii="MS Gothic" w:eastAsia="MS Gothic" w:hAnsi="MS Gothic"/>
              <w:sz w:val="24"/>
            </w:rPr>
            <w:t>☐</w:t>
          </w:r>
        </w:sdtContent>
      </w:sdt>
      <w:r w:rsidR="00937907" w:rsidRPr="0087691B">
        <w:t xml:space="preserve"> Pacientų organizacijos pozicija pateikta. Žr. priedą.</w:t>
      </w:r>
    </w:p>
    <w:p w14:paraId="62992180" w14:textId="4B68F0B0" w:rsidR="00937907" w:rsidRPr="0087691B"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781221" w:rsidRPr="0087691B">
            <w:rPr>
              <w:rStyle w:val="Style2"/>
              <w:rFonts w:ascii="MS Gothic" w:eastAsia="MS Gothic" w:hAnsi="MS Gothic"/>
              <w:sz w:val="24"/>
            </w:rPr>
            <w:t>☒</w:t>
          </w:r>
        </w:sdtContent>
      </w:sdt>
      <w:r w:rsidR="00937907" w:rsidRPr="0087691B">
        <w:t xml:space="preserve"> Pacientų organizacijos pozicija </w:t>
      </w:r>
      <w:r w:rsidR="00880A44" w:rsidRPr="0087691B">
        <w:t>ne</w:t>
      </w:r>
      <w:r w:rsidR="00937907" w:rsidRPr="0087691B">
        <w:t>pateikta.</w:t>
      </w:r>
    </w:p>
    <w:p w14:paraId="03E73D82" w14:textId="77777777" w:rsidR="00D417D2" w:rsidRPr="0087691B" w:rsidRDefault="00D417D2" w:rsidP="00937907">
      <w:pPr>
        <w:spacing w:after="120"/>
        <w:jc w:val="both"/>
      </w:pPr>
    </w:p>
    <w:p w14:paraId="3D3277FA" w14:textId="3CEEB2D2" w:rsidR="00C62B36" w:rsidRPr="0087691B" w:rsidRDefault="00C62B36" w:rsidP="00CC09D4">
      <w:pPr>
        <w:pStyle w:val="ListParagraph"/>
        <w:numPr>
          <w:ilvl w:val="0"/>
          <w:numId w:val="12"/>
        </w:numPr>
        <w:tabs>
          <w:tab w:val="left" w:pos="567"/>
        </w:tabs>
        <w:ind w:hanging="720"/>
        <w:rPr>
          <w:b/>
          <w:bCs/>
          <w:caps/>
        </w:rPr>
      </w:pPr>
      <w:r w:rsidRPr="0087691B">
        <w:rPr>
          <w:b/>
          <w:bCs/>
          <w:caps/>
        </w:rPr>
        <w:t>Gydytojų organizacijų pateikti duomenys</w:t>
      </w:r>
    </w:p>
    <w:p w14:paraId="389A346C" w14:textId="2CA77A1F" w:rsidR="00937907" w:rsidRPr="0087691B"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781221" w:rsidRPr="0087691B">
            <w:rPr>
              <w:rStyle w:val="Style2"/>
              <w:rFonts w:ascii="MS Gothic" w:eastAsia="MS Gothic" w:hAnsi="MS Gothic"/>
              <w:sz w:val="24"/>
            </w:rPr>
            <w:t>☐</w:t>
          </w:r>
        </w:sdtContent>
      </w:sdt>
      <w:r w:rsidR="00662983" w:rsidRPr="0087691B">
        <w:t xml:space="preserve"> </w:t>
      </w:r>
      <w:r w:rsidR="00937907" w:rsidRPr="0087691B">
        <w:t xml:space="preserve">Gydytojų specialistų organizacijos pozicija pateikta. </w:t>
      </w:r>
      <w:r w:rsidR="00662983" w:rsidRPr="0087691B">
        <w:t>Žr. priedą</w:t>
      </w:r>
      <w:r w:rsidR="00937907" w:rsidRPr="0087691B">
        <w:t>.</w:t>
      </w:r>
    </w:p>
    <w:p w14:paraId="7EAD48C7" w14:textId="413042A3" w:rsidR="00731BE9" w:rsidRPr="0087691B" w:rsidRDefault="00000000" w:rsidP="00731BE9">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781221" w:rsidRPr="0087691B">
            <w:rPr>
              <w:rStyle w:val="Style2"/>
              <w:rFonts w:ascii="MS Gothic" w:eastAsia="MS Gothic" w:hAnsi="MS Gothic"/>
              <w:sz w:val="24"/>
            </w:rPr>
            <w:t>☒</w:t>
          </w:r>
        </w:sdtContent>
      </w:sdt>
      <w:r w:rsidR="00662983" w:rsidRPr="0087691B">
        <w:t xml:space="preserve"> </w:t>
      </w:r>
      <w:r w:rsidR="00937907" w:rsidRPr="0087691B">
        <w:t xml:space="preserve">Gydytojų specialistų organizacijos pozicija </w:t>
      </w:r>
      <w:r w:rsidR="00880A44" w:rsidRPr="0087691B">
        <w:t>ne</w:t>
      </w:r>
      <w:r w:rsidR="00937907" w:rsidRPr="0087691B">
        <w:t>pateikta.</w:t>
      </w:r>
    </w:p>
    <w:p w14:paraId="2A1FD457" w14:textId="77777777" w:rsidR="00080362" w:rsidRPr="0087691B" w:rsidRDefault="00080362" w:rsidP="00731BE9">
      <w:pPr>
        <w:spacing w:after="120"/>
        <w:jc w:val="both"/>
        <w:rPr>
          <w:highlight w:val="yellow"/>
        </w:rPr>
      </w:pPr>
    </w:p>
    <w:p w14:paraId="08D5B3B6" w14:textId="3BE0B3C0" w:rsidR="0061611B" w:rsidRPr="0087691B" w:rsidRDefault="002F0E4F" w:rsidP="0061611B">
      <w:pPr>
        <w:pStyle w:val="ListParagraph"/>
        <w:numPr>
          <w:ilvl w:val="0"/>
          <w:numId w:val="12"/>
        </w:numPr>
        <w:spacing w:after="120"/>
        <w:ind w:hanging="720"/>
        <w:jc w:val="both"/>
      </w:pPr>
      <w:r w:rsidRPr="0087691B">
        <w:rPr>
          <w:b/>
          <w:bCs/>
          <w:caps/>
        </w:rPr>
        <w:t xml:space="preserve">Išvada </w:t>
      </w:r>
    </w:p>
    <w:p w14:paraId="079D5E2E" w14:textId="77777777" w:rsidR="00781221" w:rsidRPr="0087691B" w:rsidRDefault="00781221" w:rsidP="00781221">
      <w:pPr>
        <w:pStyle w:val="ListParagraph"/>
        <w:spacing w:after="120"/>
        <w:jc w:val="both"/>
      </w:pPr>
    </w:p>
    <w:tbl>
      <w:tblPr>
        <w:tblStyle w:val="TableGrid"/>
        <w:tblW w:w="0" w:type="auto"/>
        <w:tblLook w:val="04A0" w:firstRow="1" w:lastRow="0" w:firstColumn="1" w:lastColumn="0" w:noHBand="0" w:noVBand="1"/>
      </w:tblPr>
      <w:tblGrid>
        <w:gridCol w:w="4815"/>
        <w:gridCol w:w="4814"/>
      </w:tblGrid>
      <w:tr w:rsidR="00876569" w:rsidRPr="00E33EFF" w14:paraId="38505B28" w14:textId="77777777" w:rsidTr="00921806">
        <w:trPr>
          <w:trHeight w:val="510"/>
        </w:trPr>
        <w:tc>
          <w:tcPr>
            <w:tcW w:w="4815" w:type="dxa"/>
            <w:vAlign w:val="center"/>
          </w:tcPr>
          <w:p w14:paraId="077EF490"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2C78FB60"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876569" w:rsidRPr="00E33EFF" w14:paraId="2A3ED0B9" w14:textId="77777777" w:rsidTr="00921806">
        <w:trPr>
          <w:trHeight w:val="510"/>
        </w:trPr>
        <w:tc>
          <w:tcPr>
            <w:tcW w:w="9629" w:type="dxa"/>
            <w:gridSpan w:val="2"/>
            <w:vAlign w:val="center"/>
          </w:tcPr>
          <w:p w14:paraId="7DC5D9BB"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876569" w:rsidRPr="00E33EFF" w14:paraId="55811135" w14:textId="77777777" w:rsidTr="00921806">
        <w:tc>
          <w:tcPr>
            <w:tcW w:w="4815" w:type="dxa"/>
          </w:tcPr>
          <w:p w14:paraId="46DA115D"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876569">
                  <w:rPr>
                    <w:rStyle w:val="Style2"/>
                    <w:rFonts w:ascii="MS Gothic" w:eastAsia="MS Gothic" w:hAnsi="MS Gothic" w:hint="eastAsia"/>
                    <w:sz w:val="24"/>
                  </w:rPr>
                  <w:t>☒</w:t>
                </w:r>
              </w:sdtContent>
            </w:sdt>
            <w:r w:rsidR="00876569" w:rsidRPr="00E33EFF">
              <w:t xml:space="preserve"> 32.1. yra didesnis</w:t>
            </w:r>
          </w:p>
          <w:p w14:paraId="36D8F38E"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C044F1A"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32.1. iš esmės nesiskiria</w:t>
            </w:r>
          </w:p>
        </w:tc>
        <w:tc>
          <w:tcPr>
            <w:tcW w:w="4814" w:type="dxa"/>
          </w:tcPr>
          <w:p w14:paraId="0C5B5AFC"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33.1. yra mažesnis</w:t>
            </w:r>
          </w:p>
          <w:p w14:paraId="27BE346A"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6ED8932"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33.1. yra neįrodytas kaip toks pat</w:t>
            </w:r>
          </w:p>
          <w:p w14:paraId="21B50FF8"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A32578A"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33.1 yra neįrodytas kaip didesnis</w:t>
            </w:r>
          </w:p>
          <w:p w14:paraId="385516AF"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3541157"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33.1. pateikti duomenys apie palyginamąjį efektyvumą yra netinkami vertinti</w:t>
            </w:r>
          </w:p>
          <w:p w14:paraId="3B2A014F"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876569" w:rsidRPr="00E33EFF" w14:paraId="269754DF" w14:textId="77777777" w:rsidTr="00921806">
        <w:trPr>
          <w:trHeight w:val="510"/>
        </w:trPr>
        <w:tc>
          <w:tcPr>
            <w:tcW w:w="9629" w:type="dxa"/>
            <w:gridSpan w:val="2"/>
            <w:vAlign w:val="center"/>
          </w:tcPr>
          <w:p w14:paraId="537E1278"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876569" w:rsidRPr="00E33EFF" w14:paraId="55DCEE12" w14:textId="77777777" w:rsidTr="00921806">
        <w:tc>
          <w:tcPr>
            <w:tcW w:w="4815" w:type="dxa"/>
          </w:tcPr>
          <w:p w14:paraId="169FA93C"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876569">
                  <w:rPr>
                    <w:rStyle w:val="Style2"/>
                    <w:rFonts w:ascii="MS Gothic" w:eastAsia="MS Gothic" w:hAnsi="MS Gothic" w:hint="eastAsia"/>
                    <w:sz w:val="24"/>
                  </w:rPr>
                  <w:t>☒</w:t>
                </w:r>
              </w:sdtContent>
            </w:sdt>
            <w:r w:rsidR="00876569" w:rsidRPr="00E33EFF">
              <w:t xml:space="preserve"> 32.2. yra įvertintas kaip pagrindžiantis papildomos naudos pacientų sveikatai sukūrimą, lyginant su įprasta klinikine praktika</w:t>
            </w:r>
          </w:p>
          <w:p w14:paraId="062C1B72"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25A42D"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32.2. yra įvertintas kaip pagrindžiantis nesiskiriančios naudos pacientų sveikatai sukūrimą, lyginant su įprasta klinikine praktika</w:t>
            </w:r>
          </w:p>
          <w:p w14:paraId="7018424A"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6DB3F8F5" w14:textId="77777777" w:rsidR="00876569" w:rsidRPr="00E33EFF" w:rsidRDefault="00000000" w:rsidP="00921806">
            <w:pPr>
              <w:jc w:val="both"/>
            </w:pPr>
            <w:sdt>
              <w:sdtPr>
                <w:rPr>
                  <w:rStyle w:val="Style2"/>
                  <w:sz w:val="24"/>
                </w:rPr>
                <w:id w:val="-1034573056"/>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33.1. yra įvertintas kaip nepagrindžiantis papildomos naudos pacientų sveikatai sukūrimo, lyginant su  įprasta klinikine praktika</w:t>
            </w:r>
          </w:p>
          <w:p w14:paraId="2C62B462" w14:textId="77777777" w:rsidR="00876569" w:rsidRPr="00E33EFF" w:rsidRDefault="00876569" w:rsidP="00921806">
            <w:pPr>
              <w:jc w:val="both"/>
            </w:pPr>
          </w:p>
          <w:p w14:paraId="61AEE44C" w14:textId="77777777" w:rsidR="00876569" w:rsidRPr="00E33EFF" w:rsidRDefault="00000000" w:rsidP="00921806">
            <w:pPr>
              <w:jc w:val="both"/>
            </w:pPr>
            <w:sdt>
              <w:sdtPr>
                <w:rPr>
                  <w:rStyle w:val="Style2"/>
                  <w:sz w:val="24"/>
                </w:rPr>
                <w:id w:val="1289549109"/>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33.1. yra įvertintas kaip nepagrindžiantis nesiskiriančios naudos pacientų sveikatai sukūrimo, lyginant su įprasta klinikine praktika</w:t>
            </w:r>
          </w:p>
          <w:p w14:paraId="0D792981"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C39F0EF"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876569" w:rsidRPr="00E33EFF" w14:paraId="55C49FC6" w14:textId="77777777" w:rsidTr="00921806">
        <w:trPr>
          <w:trHeight w:val="510"/>
        </w:trPr>
        <w:tc>
          <w:tcPr>
            <w:tcW w:w="9629" w:type="dxa"/>
            <w:gridSpan w:val="2"/>
            <w:vAlign w:val="center"/>
          </w:tcPr>
          <w:p w14:paraId="17A5FC16"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Kaštų naudingumas</w:t>
            </w:r>
          </w:p>
        </w:tc>
      </w:tr>
      <w:tr w:rsidR="00876569" w:rsidRPr="00E33EFF" w14:paraId="6CDEF5E4" w14:textId="77777777" w:rsidTr="00921806">
        <w:tc>
          <w:tcPr>
            <w:tcW w:w="4815" w:type="dxa"/>
          </w:tcPr>
          <w:p w14:paraId="73324937"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876569">
                  <w:rPr>
                    <w:rStyle w:val="Style2"/>
                    <w:rFonts w:ascii="MS Gothic" w:eastAsia="MS Gothic" w:hAnsi="MS Gothic" w:hint="eastAsia"/>
                    <w:sz w:val="24"/>
                  </w:rPr>
                  <w:t>☒</w:t>
                </w:r>
              </w:sdtContent>
            </w:sdt>
            <w:r w:rsidR="00876569" w:rsidRPr="00E33EFF">
              <w:t xml:space="preserve"> 32.3. atitinka referencinę naudingumo vertę, </w:t>
            </w:r>
            <w:r w:rsidR="00876569">
              <w:t>t</w:t>
            </w:r>
            <w:r w:rsidR="00876569" w:rsidRPr="00E33EFF">
              <w:t>aikant</w:t>
            </w:r>
            <w:r w:rsidR="00876569">
              <w:t xml:space="preserve"> PGS</w:t>
            </w:r>
          </w:p>
          <w:p w14:paraId="6B2FBE76"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1AA9BE5"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32.3. gydymo juo kaštai yra mažesni ar tokie patys esant iš esmės nesiskiriančiam palyginamajam efektyvumui, taikant PGS, lyginant su įprasta klinikine praktika</w:t>
            </w:r>
          </w:p>
          <w:p w14:paraId="292B70BE"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0290E69E"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33.3. neatitinka referencinės naudingumo vertės Lietuvos Respublikoje</w:t>
            </w:r>
          </w:p>
          <w:p w14:paraId="0BEBFAB7"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6FE049D"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33.3. gydymo juo kaštai yra didesni esant iš esmės nesiskiriančiam palyginamajam efektyvumui, taikant</w:t>
            </w:r>
            <w:r w:rsidR="00876569">
              <w:t xml:space="preserve"> PGS</w:t>
            </w:r>
            <w:r w:rsidR="00876569" w:rsidRPr="00E33EFF">
              <w:t>, lyginant su įprasta klinikine praktika</w:t>
            </w:r>
          </w:p>
          <w:p w14:paraId="0A03EC79"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3938272" w14:textId="77777777" w:rsidR="00876569" w:rsidRPr="00E33EFF" w:rsidRDefault="00000000"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876569" w:rsidRPr="00E33EFF">
                  <w:rPr>
                    <w:rStyle w:val="Style2"/>
                    <w:rFonts w:ascii="Segoe UI Symbol" w:eastAsia="MS Gothic" w:hAnsi="Segoe UI Symbol" w:cs="Segoe UI Symbol"/>
                    <w:sz w:val="24"/>
                  </w:rPr>
                  <w:t>☐</w:t>
                </w:r>
              </w:sdtContent>
            </w:sdt>
            <w:r w:rsidR="00876569" w:rsidRPr="00E33EFF">
              <w:t xml:space="preserve"> 33.3. pateikti duomenys apie kaštų naudingumą yra netinkami vertinti</w:t>
            </w:r>
          </w:p>
          <w:p w14:paraId="5D003ADC" w14:textId="77777777" w:rsidR="00876569" w:rsidRPr="00E33EFF" w:rsidRDefault="00876569" w:rsidP="00921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0E0954DB" w14:textId="11F994AD" w:rsidR="004C7EAD" w:rsidRPr="0087691B" w:rsidRDefault="004C7EAD" w:rsidP="00381024"/>
    <w:p w14:paraId="2EC96AC5" w14:textId="77777777" w:rsidR="00052634" w:rsidRPr="0087691B" w:rsidRDefault="00052634" w:rsidP="00381024"/>
    <w:p w14:paraId="3B2D1F25" w14:textId="3A80E19F" w:rsidR="000001B0" w:rsidRPr="00876569" w:rsidRDefault="000001B0" w:rsidP="00CC09D4">
      <w:pPr>
        <w:pStyle w:val="ListParagraph"/>
        <w:numPr>
          <w:ilvl w:val="0"/>
          <w:numId w:val="12"/>
        </w:numPr>
        <w:ind w:left="567" w:hanging="567"/>
      </w:pPr>
      <w:r w:rsidRPr="00876569">
        <w:rPr>
          <w:b/>
        </w:rPr>
        <w:t>REKOME</w:t>
      </w:r>
      <w:r w:rsidR="00D83182" w:rsidRPr="00876569">
        <w:rPr>
          <w:b/>
        </w:rPr>
        <w:t>N</w:t>
      </w:r>
      <w:r w:rsidRPr="00876569">
        <w:rPr>
          <w:b/>
        </w:rPr>
        <w:t>DACIJA</w:t>
      </w:r>
    </w:p>
    <w:p w14:paraId="54A39A0C" w14:textId="1AC238A3" w:rsidR="004F3B2B" w:rsidRPr="0087691B" w:rsidRDefault="004F3B2B" w:rsidP="004F3B2B">
      <w:pPr>
        <w:rPr>
          <w:i/>
          <w:highlight w:val="yellow"/>
        </w:rPr>
      </w:pPr>
    </w:p>
    <w:p w14:paraId="56692A72" w14:textId="6C050C59" w:rsidR="006C1089" w:rsidRPr="0087691B" w:rsidRDefault="006C1089" w:rsidP="00FF602D">
      <w:pPr>
        <w:spacing w:line="360" w:lineRule="auto"/>
        <w:ind w:firstLine="720"/>
        <w:jc w:val="both"/>
      </w:pPr>
      <w:r w:rsidRPr="0087691B">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10E813CE" w14:textId="29753FC8" w:rsidR="006C1089" w:rsidRPr="0087691B" w:rsidRDefault="006C1089" w:rsidP="006C1089">
      <w:pPr>
        <w:spacing w:line="360" w:lineRule="auto"/>
        <w:jc w:val="both"/>
      </w:pPr>
      <w:r w:rsidRPr="0087691B">
        <w:t>34.1. rekomenduojama kompensuoti vaistinį preparatą pagal paraiškoje nurodytą indikaciją su skyrimo sąlygomis</w:t>
      </w:r>
      <w:r w:rsidR="006C7458" w:rsidRPr="0087691B">
        <w:t xml:space="preserve">, </w:t>
      </w:r>
      <w:r w:rsidRPr="0087691B">
        <w:t>taikant PGS</w:t>
      </w:r>
      <w:r w:rsidR="006C7458" w:rsidRPr="0087691B">
        <w:t xml:space="preserve">, </w:t>
      </w:r>
      <w:r w:rsidRPr="0087691B">
        <w:t>dėl didesnio palyginamojo efektyvumo ir gydymo sukuriamos papildomos naudos pacientų sveikatai, lyginant su įprasta klinikine praktika, ir atitikties referencinei naudingumo vertei.</w:t>
      </w:r>
    </w:p>
    <w:p w14:paraId="4E7454EF" w14:textId="2221DF5B" w:rsidR="00DF1781" w:rsidRPr="0087691B" w:rsidRDefault="00DF1781" w:rsidP="006C1089">
      <w:pPr>
        <w:spacing w:line="360" w:lineRule="auto"/>
        <w:jc w:val="both"/>
      </w:pPr>
    </w:p>
    <w:p w14:paraId="18B4292E" w14:textId="708A7E8E" w:rsidR="000723FF" w:rsidRPr="0087691B" w:rsidRDefault="00781221" w:rsidP="00BC33C5">
      <w:pPr>
        <w:tabs>
          <w:tab w:val="left" w:pos="567"/>
        </w:tabs>
        <w:spacing w:line="360" w:lineRule="auto"/>
        <w:ind w:left="567" w:hanging="567"/>
        <w:jc w:val="both"/>
        <w:rPr>
          <w:b/>
          <w:color w:val="000000"/>
          <w:lang w:eastAsia="lt-LT"/>
        </w:rPr>
      </w:pPr>
      <w:r w:rsidRPr="0087691B">
        <w:rPr>
          <w:b/>
          <w:color w:val="000000"/>
          <w:lang w:eastAsia="lt-LT"/>
        </w:rPr>
        <w:t>7</w:t>
      </w:r>
      <w:r w:rsidR="00CC09D4" w:rsidRPr="0087691B">
        <w:rPr>
          <w:b/>
          <w:color w:val="000000"/>
          <w:lang w:eastAsia="lt-LT"/>
        </w:rPr>
        <w:t>.</w:t>
      </w:r>
      <w:r w:rsidR="00CC09D4" w:rsidRPr="0087691B">
        <w:rPr>
          <w:b/>
          <w:color w:val="000000"/>
          <w:lang w:eastAsia="lt-LT"/>
        </w:rPr>
        <w:tab/>
      </w:r>
      <w:r w:rsidR="000723FF" w:rsidRPr="0087691B">
        <w:rPr>
          <w:b/>
          <w:color w:val="000000"/>
          <w:lang w:eastAsia="lt-LT"/>
        </w:rPr>
        <w:t xml:space="preserve">SIŪLOMOS KOMPENSUOTI TERAPINĖS INDIKACIJOS IR SKYRIMO SĄLYGOS </w:t>
      </w:r>
    </w:p>
    <w:p w14:paraId="691340BB" w14:textId="77777777" w:rsidR="000723FF" w:rsidRPr="0087691B" w:rsidRDefault="000723FF" w:rsidP="00BC33C5">
      <w:pPr>
        <w:tabs>
          <w:tab w:val="left" w:pos="426"/>
        </w:tabs>
        <w:spacing w:line="360" w:lineRule="auto"/>
        <w:jc w:val="both"/>
        <w:rPr>
          <w:b/>
          <w:color w:val="000000"/>
          <w:lang w:eastAsia="lt-LT"/>
        </w:rPr>
      </w:pPr>
    </w:p>
    <w:p w14:paraId="529C92C4" w14:textId="152E5FB4" w:rsidR="000723FF" w:rsidRPr="0087691B" w:rsidRDefault="000723FF" w:rsidP="00BC33C5">
      <w:pPr>
        <w:spacing w:line="360" w:lineRule="auto"/>
        <w:outlineLvl w:val="0"/>
        <w:rPr>
          <w:b/>
          <w:lang w:eastAsia="lt-LT"/>
        </w:rPr>
      </w:pPr>
      <w:r w:rsidRPr="0087691B">
        <w:rPr>
          <w:b/>
          <w:lang w:eastAsia="lt-LT"/>
        </w:rPr>
        <w:t>Terapinės indikacijos</w:t>
      </w:r>
    </w:p>
    <w:p w14:paraId="2A7FC621" w14:textId="77777777" w:rsidR="008358C8" w:rsidRPr="0087691B" w:rsidRDefault="00000000" w:rsidP="008358C8">
      <w:pPr>
        <w:pStyle w:val="NoSpacing"/>
        <w:spacing w:line="360" w:lineRule="auto"/>
        <w:rPr>
          <w:rFonts w:ascii="Times New Roman" w:hAnsi="Times New Roman"/>
          <w:sz w:val="24"/>
          <w:szCs w:val="24"/>
        </w:rPr>
      </w:pPr>
      <w:sdt>
        <w:sdtPr>
          <w:rPr>
            <w:rStyle w:val="Style2"/>
            <w:rFonts w:ascii="Times New Roman" w:hAnsi="Times New Roman"/>
            <w:sz w:val="24"/>
            <w:szCs w:val="24"/>
          </w:rPr>
          <w:id w:val="1146316688"/>
        </w:sdtPr>
        <w:sdtContent>
          <w:r w:rsidR="008358C8" w:rsidRPr="0087691B">
            <w:rPr>
              <w:rStyle w:val="Style2"/>
              <w:rFonts w:ascii="MS Mincho" w:eastAsia="MS Mincho" w:hAnsi="MS Mincho" w:cs="MS Mincho"/>
              <w:sz w:val="24"/>
              <w:szCs w:val="24"/>
            </w:rPr>
            <w:t>☒</w:t>
          </w:r>
        </w:sdtContent>
      </w:sdt>
      <w:r w:rsidR="008358C8" w:rsidRPr="0087691B">
        <w:rPr>
          <w:rFonts w:ascii="Times New Roman" w:hAnsi="Times New Roman"/>
          <w:sz w:val="24"/>
          <w:szCs w:val="24"/>
        </w:rPr>
        <w:t xml:space="preserve"> Siūloma kompensuoti Pareiškėjo teikiamą indikaciją be pakeitimų.</w:t>
      </w:r>
    </w:p>
    <w:p w14:paraId="02E0AD18" w14:textId="604869E4" w:rsidR="008358C8" w:rsidRPr="0087691B" w:rsidRDefault="00781221" w:rsidP="008358C8">
      <w:pPr>
        <w:pStyle w:val="NoSpacing"/>
        <w:spacing w:line="360" w:lineRule="auto"/>
        <w:rPr>
          <w:rStyle w:val="Style2"/>
          <w:rFonts w:ascii="Times New Roman" w:hAnsi="Times New Roman"/>
          <w:sz w:val="24"/>
          <w:szCs w:val="24"/>
        </w:rPr>
      </w:pPr>
      <w:r w:rsidRPr="0087691B">
        <w:rPr>
          <w:rStyle w:val="Style2"/>
          <w:rFonts w:ascii="Times New Roman" w:hAnsi="Times New Roman"/>
          <w:sz w:val="24"/>
          <w:szCs w:val="24"/>
        </w:rPr>
        <w:t>Forxiga skiriama gydyti suaugusiesiems, sergantiems simptominiu lėtiniu širdies nepakankamumu su sumažėjusia išstūmimo frakcija.</w:t>
      </w:r>
    </w:p>
    <w:p w14:paraId="005D21AD" w14:textId="77777777" w:rsidR="008358C8" w:rsidRPr="0087691B" w:rsidRDefault="00000000" w:rsidP="008358C8">
      <w:pPr>
        <w:pStyle w:val="NoSpacing"/>
        <w:spacing w:line="360" w:lineRule="auto"/>
        <w:rPr>
          <w:rFonts w:ascii="Times New Roman" w:hAnsi="Times New Roman"/>
          <w:sz w:val="24"/>
          <w:szCs w:val="24"/>
        </w:rPr>
      </w:pPr>
      <w:sdt>
        <w:sdtPr>
          <w:rPr>
            <w:rStyle w:val="Style2"/>
            <w:rFonts w:ascii="Times New Roman" w:hAnsi="Times New Roman"/>
            <w:sz w:val="24"/>
            <w:szCs w:val="24"/>
          </w:rPr>
          <w:id w:val="1467245146"/>
        </w:sdtPr>
        <w:sdtContent>
          <w:r w:rsidR="008358C8" w:rsidRPr="0087691B">
            <w:rPr>
              <w:rStyle w:val="Style2"/>
              <w:rFonts w:ascii="MS Mincho" w:eastAsia="MS Mincho" w:hAnsi="MS Mincho" w:cs="MS Mincho"/>
              <w:sz w:val="24"/>
              <w:szCs w:val="24"/>
            </w:rPr>
            <w:t>☐</w:t>
          </w:r>
        </w:sdtContent>
      </w:sdt>
      <w:r w:rsidR="008358C8" w:rsidRPr="0087691B">
        <w:rPr>
          <w:rFonts w:ascii="Times New Roman" w:hAnsi="Times New Roman"/>
          <w:sz w:val="24"/>
          <w:szCs w:val="24"/>
        </w:rPr>
        <w:t xml:space="preserve"> Siūloma kompensuoti Pareiškėjo teikiamą indikaciją su pakeitimais.</w:t>
      </w:r>
    </w:p>
    <w:p w14:paraId="0FE1A6EB" w14:textId="77777777" w:rsidR="008358C8" w:rsidRPr="0087691B" w:rsidRDefault="008358C8" w:rsidP="008358C8">
      <w:pPr>
        <w:pStyle w:val="NoSpacing"/>
        <w:spacing w:line="360" w:lineRule="auto"/>
        <w:rPr>
          <w:rFonts w:ascii="Times New Roman" w:hAnsi="Times New Roman"/>
          <w:sz w:val="24"/>
          <w:szCs w:val="24"/>
          <w:highlight w:val="yellow"/>
        </w:rPr>
      </w:pPr>
    </w:p>
    <w:p w14:paraId="5ECD5144" w14:textId="77777777" w:rsidR="008358C8" w:rsidRPr="0087691B" w:rsidRDefault="008358C8" w:rsidP="008358C8">
      <w:pPr>
        <w:pStyle w:val="NoSpacing"/>
        <w:spacing w:line="360" w:lineRule="auto"/>
        <w:rPr>
          <w:rFonts w:ascii="Times New Roman" w:hAnsi="Times New Roman"/>
          <w:b/>
          <w:sz w:val="24"/>
          <w:szCs w:val="24"/>
        </w:rPr>
      </w:pPr>
      <w:r w:rsidRPr="0087691B">
        <w:rPr>
          <w:rFonts w:ascii="Times New Roman" w:hAnsi="Times New Roman"/>
          <w:b/>
          <w:sz w:val="24"/>
          <w:szCs w:val="24"/>
        </w:rPr>
        <w:t>Skyrimo sąlygos</w:t>
      </w:r>
    </w:p>
    <w:p w14:paraId="05B38DBA" w14:textId="77777777" w:rsidR="008358C8" w:rsidRPr="0087691B" w:rsidRDefault="00000000" w:rsidP="008358C8">
      <w:pPr>
        <w:pStyle w:val="NoSpacing"/>
        <w:spacing w:line="360" w:lineRule="auto"/>
        <w:rPr>
          <w:rFonts w:ascii="Times New Roman" w:hAnsi="Times New Roman"/>
          <w:sz w:val="24"/>
          <w:szCs w:val="24"/>
        </w:rPr>
      </w:pPr>
      <w:sdt>
        <w:sdtPr>
          <w:rPr>
            <w:rStyle w:val="Style2"/>
            <w:rFonts w:ascii="Times New Roman" w:hAnsi="Times New Roman"/>
            <w:sz w:val="24"/>
            <w:szCs w:val="24"/>
          </w:rPr>
          <w:id w:val="222111632"/>
        </w:sdtPr>
        <w:sdtContent>
          <w:r w:rsidR="008358C8" w:rsidRPr="0087691B">
            <w:rPr>
              <w:rStyle w:val="Style2"/>
              <w:rFonts w:ascii="MS Mincho" w:eastAsia="MS Mincho" w:hAnsi="MS Mincho" w:cs="MS Mincho"/>
              <w:sz w:val="24"/>
              <w:szCs w:val="24"/>
            </w:rPr>
            <w:t>☒</w:t>
          </w:r>
        </w:sdtContent>
      </w:sdt>
      <w:r w:rsidR="008358C8" w:rsidRPr="0087691B">
        <w:rPr>
          <w:rFonts w:ascii="Times New Roman" w:hAnsi="Times New Roman"/>
          <w:sz w:val="24"/>
          <w:szCs w:val="24"/>
        </w:rPr>
        <w:t xml:space="preserve"> Pareiškėjo siūlomos skyrimo sąlygos priimtinos. </w:t>
      </w:r>
    </w:p>
    <w:p w14:paraId="3ECBF5F2" w14:textId="6963D77B" w:rsidR="00781221" w:rsidRPr="0087691B" w:rsidRDefault="00781221" w:rsidP="008358C8">
      <w:pPr>
        <w:pStyle w:val="NoSpacing"/>
        <w:spacing w:line="360" w:lineRule="auto"/>
        <w:rPr>
          <w:rFonts w:ascii="Times New Roman" w:hAnsi="Times New Roman"/>
          <w:sz w:val="24"/>
          <w:szCs w:val="24"/>
        </w:rPr>
      </w:pPr>
      <w:r w:rsidRPr="0087691B">
        <w:rPr>
          <w:rFonts w:ascii="Times New Roman" w:hAnsi="Times New Roman"/>
          <w:sz w:val="24"/>
          <w:szCs w:val="24"/>
        </w:rPr>
        <w:t>Širdies nepakankamumas su sumažėjusia išstūmimo frakcija (≤40 proc.).</w:t>
      </w:r>
    </w:p>
    <w:p w14:paraId="717C2107" w14:textId="531D2798" w:rsidR="00781221" w:rsidRPr="0087691B" w:rsidRDefault="00000000" w:rsidP="008358C8">
      <w:pPr>
        <w:pStyle w:val="NoSpacing"/>
        <w:spacing w:line="360" w:lineRule="auto"/>
        <w:rPr>
          <w:rFonts w:ascii="Times New Roman" w:hAnsi="Times New Roman"/>
          <w:sz w:val="24"/>
          <w:szCs w:val="24"/>
        </w:rPr>
      </w:pPr>
      <w:sdt>
        <w:sdtPr>
          <w:rPr>
            <w:rStyle w:val="Style2"/>
            <w:rFonts w:ascii="Times New Roman" w:hAnsi="Times New Roman"/>
            <w:sz w:val="24"/>
            <w:szCs w:val="24"/>
          </w:rPr>
          <w:id w:val="1823936883"/>
        </w:sdtPr>
        <w:sdtContent>
          <w:r w:rsidR="008358C8" w:rsidRPr="0087691B">
            <w:rPr>
              <w:rStyle w:val="Style2"/>
              <w:rFonts w:ascii="MS Mincho" w:eastAsia="MS Mincho" w:hAnsi="MS Mincho" w:cs="MS Mincho"/>
              <w:sz w:val="24"/>
              <w:szCs w:val="24"/>
            </w:rPr>
            <w:t>☐</w:t>
          </w:r>
        </w:sdtContent>
      </w:sdt>
      <w:r w:rsidR="008358C8" w:rsidRPr="0087691B">
        <w:rPr>
          <w:rFonts w:ascii="Times New Roman" w:hAnsi="Times New Roman"/>
          <w:sz w:val="24"/>
          <w:szCs w:val="24"/>
        </w:rPr>
        <w:t xml:space="preserve"> Pareiškėjo siūlomos skyrimo sąlygos nepriimtinos. </w:t>
      </w:r>
    </w:p>
    <w:sectPr w:rsidR="00781221" w:rsidRPr="0087691B"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5C8B" w14:textId="77777777" w:rsidR="004C66AF" w:rsidRDefault="004C66AF">
      <w:r>
        <w:separator/>
      </w:r>
    </w:p>
  </w:endnote>
  <w:endnote w:type="continuationSeparator" w:id="0">
    <w:p w14:paraId="47363BAA" w14:textId="77777777" w:rsidR="004C66AF" w:rsidRDefault="004C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9662" w14:textId="77777777" w:rsidR="00980C37" w:rsidRDefault="00980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9128" w14:textId="77777777" w:rsidR="00980C37" w:rsidRDefault="00980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309F66E" w:rsidR="00347FAA" w:rsidRDefault="00122E01">
    <w:pPr>
      <w:pStyle w:val="Footer"/>
      <w:jc w:val="right"/>
      <w:rPr>
        <w:i/>
        <w:sz w:val="16"/>
        <w:szCs w:val="16"/>
      </w:rPr>
    </w:pPr>
    <w:r>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035D1" w14:textId="77777777" w:rsidR="004C66AF" w:rsidRDefault="004C66AF">
      <w:r>
        <w:separator/>
      </w:r>
    </w:p>
  </w:footnote>
  <w:footnote w:type="continuationSeparator" w:id="0">
    <w:p w14:paraId="041E8599" w14:textId="77777777" w:rsidR="004C66AF" w:rsidRDefault="004C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DB01" w14:textId="78DB7DDC" w:rsidR="00347FAA" w:rsidRDefault="00122E01">
    <w:pPr>
      <w:pStyle w:val="Header"/>
    </w:pP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872E" w14:textId="1778616D" w:rsidR="00347FAA" w:rsidRDefault="00122E01">
    <w:pPr>
      <w:pStyle w:val="Header"/>
    </w:pP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003E59DC" w:rsidR="00347FAA" w:rsidRDefault="00122E01" w:rsidP="00FD793C">
    <w:pPr>
      <w:pStyle w:val="Header"/>
      <w:ind w:left="612"/>
      <w:rPr>
        <w:sz w:val="2"/>
        <w:szCs w:val="2"/>
      </w:rPr>
    </w:pPr>
    <w:r>
      <w:rPr>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F8865C9"/>
    <w:multiLevelType w:val="hybridMultilevel"/>
    <w:tmpl w:val="4B90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A76ED"/>
    <w:multiLevelType w:val="multilevel"/>
    <w:tmpl w:val="656C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E71AB7"/>
    <w:multiLevelType w:val="hybridMultilevel"/>
    <w:tmpl w:val="E3C0C962"/>
    <w:lvl w:ilvl="0" w:tplc="C9AAF4CC">
      <w:start w:val="2021"/>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8D21F9"/>
    <w:multiLevelType w:val="hybridMultilevel"/>
    <w:tmpl w:val="252678CC"/>
    <w:lvl w:ilvl="0" w:tplc="5FFCE39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F05756"/>
    <w:multiLevelType w:val="hybridMultilevel"/>
    <w:tmpl w:val="1FDA5184"/>
    <w:lvl w:ilvl="0" w:tplc="E108B4E4">
      <w:start w:val="20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A380FD3"/>
    <w:multiLevelType w:val="hybridMultilevel"/>
    <w:tmpl w:val="A1DC2302"/>
    <w:lvl w:ilvl="0" w:tplc="B2ECA4B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8" w15:restartNumberingAfterBreak="0">
    <w:nsid w:val="7B2D3830"/>
    <w:multiLevelType w:val="hybridMultilevel"/>
    <w:tmpl w:val="A4DC3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4046513">
    <w:abstractNumId w:val="7"/>
  </w:num>
  <w:num w:numId="2" w16cid:durableId="1660886122">
    <w:abstractNumId w:val="1"/>
  </w:num>
  <w:num w:numId="3" w16cid:durableId="1230112889">
    <w:abstractNumId w:val="11"/>
  </w:num>
  <w:num w:numId="4" w16cid:durableId="1995840174">
    <w:abstractNumId w:val="9"/>
  </w:num>
  <w:num w:numId="5" w16cid:durableId="1233732410">
    <w:abstractNumId w:val="6"/>
  </w:num>
  <w:num w:numId="6" w16cid:durableId="1483542134">
    <w:abstractNumId w:val="5"/>
  </w:num>
  <w:num w:numId="7" w16cid:durableId="2028172584">
    <w:abstractNumId w:val="3"/>
  </w:num>
  <w:num w:numId="8" w16cid:durableId="23292181">
    <w:abstractNumId w:val="15"/>
  </w:num>
  <w:num w:numId="9" w16cid:durableId="864028098">
    <w:abstractNumId w:val="0"/>
  </w:num>
  <w:num w:numId="10" w16cid:durableId="1866216044">
    <w:abstractNumId w:val="12"/>
  </w:num>
  <w:num w:numId="11" w16cid:durableId="1503545582">
    <w:abstractNumId w:val="14"/>
  </w:num>
  <w:num w:numId="12" w16cid:durableId="1103768449">
    <w:abstractNumId w:val="2"/>
  </w:num>
  <w:num w:numId="13" w16cid:durableId="567611277">
    <w:abstractNumId w:val="16"/>
  </w:num>
  <w:num w:numId="14" w16cid:durableId="2042516011">
    <w:abstractNumId w:val="18"/>
  </w:num>
  <w:num w:numId="15" w16cid:durableId="1615550153">
    <w:abstractNumId w:val="4"/>
  </w:num>
  <w:num w:numId="16" w16cid:durableId="1169442360">
    <w:abstractNumId w:val="8"/>
  </w:num>
  <w:num w:numId="17" w16cid:durableId="1351495451">
    <w:abstractNumId w:val="10"/>
  </w:num>
  <w:num w:numId="18" w16cid:durableId="895311091">
    <w:abstractNumId w:val="17"/>
  </w:num>
  <w:num w:numId="19" w16cid:durableId="4888650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06FB"/>
    <w:rsid w:val="00003F5B"/>
    <w:rsid w:val="000114DD"/>
    <w:rsid w:val="000136F7"/>
    <w:rsid w:val="0002686C"/>
    <w:rsid w:val="00031D0E"/>
    <w:rsid w:val="000337E6"/>
    <w:rsid w:val="00033E81"/>
    <w:rsid w:val="0003402E"/>
    <w:rsid w:val="00034EAE"/>
    <w:rsid w:val="00042924"/>
    <w:rsid w:val="00052634"/>
    <w:rsid w:val="00053975"/>
    <w:rsid w:val="00057A2B"/>
    <w:rsid w:val="00060672"/>
    <w:rsid w:val="000606BE"/>
    <w:rsid w:val="000723FF"/>
    <w:rsid w:val="000729E0"/>
    <w:rsid w:val="000736B8"/>
    <w:rsid w:val="00080313"/>
    <w:rsid w:val="00080362"/>
    <w:rsid w:val="00080DF4"/>
    <w:rsid w:val="0008190F"/>
    <w:rsid w:val="00081D77"/>
    <w:rsid w:val="00081D9C"/>
    <w:rsid w:val="00082907"/>
    <w:rsid w:val="0008378D"/>
    <w:rsid w:val="00084EC2"/>
    <w:rsid w:val="000904CE"/>
    <w:rsid w:val="000908A5"/>
    <w:rsid w:val="00092805"/>
    <w:rsid w:val="000A00FE"/>
    <w:rsid w:val="000B4042"/>
    <w:rsid w:val="000C454C"/>
    <w:rsid w:val="000C5F5C"/>
    <w:rsid w:val="000D2FBE"/>
    <w:rsid w:val="000D5038"/>
    <w:rsid w:val="000D5171"/>
    <w:rsid w:val="000E143B"/>
    <w:rsid w:val="000E29D4"/>
    <w:rsid w:val="000E43C6"/>
    <w:rsid w:val="000F11DC"/>
    <w:rsid w:val="000F3540"/>
    <w:rsid w:val="00100491"/>
    <w:rsid w:val="00104E2E"/>
    <w:rsid w:val="00107287"/>
    <w:rsid w:val="00115D29"/>
    <w:rsid w:val="00117406"/>
    <w:rsid w:val="00121EF0"/>
    <w:rsid w:val="00122E01"/>
    <w:rsid w:val="00124A9E"/>
    <w:rsid w:val="00130703"/>
    <w:rsid w:val="0013153F"/>
    <w:rsid w:val="001408B8"/>
    <w:rsid w:val="00142DA4"/>
    <w:rsid w:val="001517E2"/>
    <w:rsid w:val="001521D9"/>
    <w:rsid w:val="001554E2"/>
    <w:rsid w:val="00164146"/>
    <w:rsid w:val="0017155D"/>
    <w:rsid w:val="0017369C"/>
    <w:rsid w:val="00175D57"/>
    <w:rsid w:val="00180C39"/>
    <w:rsid w:val="00180D51"/>
    <w:rsid w:val="00180D96"/>
    <w:rsid w:val="0018388A"/>
    <w:rsid w:val="00184BD3"/>
    <w:rsid w:val="001921F3"/>
    <w:rsid w:val="001B2535"/>
    <w:rsid w:val="001B3C5B"/>
    <w:rsid w:val="001B45CD"/>
    <w:rsid w:val="001C70A0"/>
    <w:rsid w:val="001D746F"/>
    <w:rsid w:val="001E0533"/>
    <w:rsid w:val="001E4BBB"/>
    <w:rsid w:val="001E6304"/>
    <w:rsid w:val="001F7919"/>
    <w:rsid w:val="0020381E"/>
    <w:rsid w:val="00213471"/>
    <w:rsid w:val="00215906"/>
    <w:rsid w:val="0023073E"/>
    <w:rsid w:val="00230A64"/>
    <w:rsid w:val="00233D56"/>
    <w:rsid w:val="00241CD8"/>
    <w:rsid w:val="00244B09"/>
    <w:rsid w:val="002503D0"/>
    <w:rsid w:val="002519CB"/>
    <w:rsid w:val="0025697F"/>
    <w:rsid w:val="00260258"/>
    <w:rsid w:val="0026588E"/>
    <w:rsid w:val="00272428"/>
    <w:rsid w:val="00272948"/>
    <w:rsid w:val="002801C3"/>
    <w:rsid w:val="00281671"/>
    <w:rsid w:val="0028297D"/>
    <w:rsid w:val="00283F59"/>
    <w:rsid w:val="002908C1"/>
    <w:rsid w:val="00292392"/>
    <w:rsid w:val="002946C7"/>
    <w:rsid w:val="00294F05"/>
    <w:rsid w:val="00295C14"/>
    <w:rsid w:val="002A3179"/>
    <w:rsid w:val="002B19BD"/>
    <w:rsid w:val="002B3CC1"/>
    <w:rsid w:val="002C09E0"/>
    <w:rsid w:val="002C1BB1"/>
    <w:rsid w:val="002C1C4B"/>
    <w:rsid w:val="002C2786"/>
    <w:rsid w:val="002C3A10"/>
    <w:rsid w:val="002C4A90"/>
    <w:rsid w:val="002C4ED5"/>
    <w:rsid w:val="002D02EF"/>
    <w:rsid w:val="002D35E2"/>
    <w:rsid w:val="002D3CDB"/>
    <w:rsid w:val="002E0702"/>
    <w:rsid w:val="002E11BC"/>
    <w:rsid w:val="002E57AD"/>
    <w:rsid w:val="002E6F80"/>
    <w:rsid w:val="002F0E4F"/>
    <w:rsid w:val="002F1053"/>
    <w:rsid w:val="002F4171"/>
    <w:rsid w:val="0030593C"/>
    <w:rsid w:val="00316FA8"/>
    <w:rsid w:val="00317B0E"/>
    <w:rsid w:val="0032209C"/>
    <w:rsid w:val="00345069"/>
    <w:rsid w:val="00347FAA"/>
    <w:rsid w:val="0035172D"/>
    <w:rsid w:val="0036187D"/>
    <w:rsid w:val="00364CF9"/>
    <w:rsid w:val="003668C8"/>
    <w:rsid w:val="00367EDB"/>
    <w:rsid w:val="003738DB"/>
    <w:rsid w:val="00381024"/>
    <w:rsid w:val="00385909"/>
    <w:rsid w:val="00386307"/>
    <w:rsid w:val="003874DE"/>
    <w:rsid w:val="00393E9F"/>
    <w:rsid w:val="00394001"/>
    <w:rsid w:val="0039696E"/>
    <w:rsid w:val="003A3C5C"/>
    <w:rsid w:val="003A54A6"/>
    <w:rsid w:val="003B211A"/>
    <w:rsid w:val="003B6ADA"/>
    <w:rsid w:val="003C141F"/>
    <w:rsid w:val="003C6B0E"/>
    <w:rsid w:val="003C7257"/>
    <w:rsid w:val="003C7E35"/>
    <w:rsid w:val="003D1E99"/>
    <w:rsid w:val="003D6208"/>
    <w:rsid w:val="003D75AC"/>
    <w:rsid w:val="003F1CE4"/>
    <w:rsid w:val="003F2CE7"/>
    <w:rsid w:val="0040276D"/>
    <w:rsid w:val="00404E8A"/>
    <w:rsid w:val="0040622F"/>
    <w:rsid w:val="0040738D"/>
    <w:rsid w:val="00413D17"/>
    <w:rsid w:val="00413F24"/>
    <w:rsid w:val="00422853"/>
    <w:rsid w:val="00423160"/>
    <w:rsid w:val="00426F08"/>
    <w:rsid w:val="00427EFA"/>
    <w:rsid w:val="004341D8"/>
    <w:rsid w:val="004349BC"/>
    <w:rsid w:val="004429E2"/>
    <w:rsid w:val="004468B4"/>
    <w:rsid w:val="004532C0"/>
    <w:rsid w:val="00453862"/>
    <w:rsid w:val="0045469B"/>
    <w:rsid w:val="00456E4C"/>
    <w:rsid w:val="00461338"/>
    <w:rsid w:val="004677DB"/>
    <w:rsid w:val="00467F02"/>
    <w:rsid w:val="00476256"/>
    <w:rsid w:val="00481245"/>
    <w:rsid w:val="0048630F"/>
    <w:rsid w:val="004947A1"/>
    <w:rsid w:val="0049482A"/>
    <w:rsid w:val="004979D3"/>
    <w:rsid w:val="004A00E7"/>
    <w:rsid w:val="004A3A61"/>
    <w:rsid w:val="004B3210"/>
    <w:rsid w:val="004B59BA"/>
    <w:rsid w:val="004B5A03"/>
    <w:rsid w:val="004C263A"/>
    <w:rsid w:val="004C66AF"/>
    <w:rsid w:val="004C7EAD"/>
    <w:rsid w:val="004D19E9"/>
    <w:rsid w:val="004D48A6"/>
    <w:rsid w:val="004D7B8F"/>
    <w:rsid w:val="004E05F8"/>
    <w:rsid w:val="004E59B7"/>
    <w:rsid w:val="004E6458"/>
    <w:rsid w:val="004E6E7D"/>
    <w:rsid w:val="004E7FAB"/>
    <w:rsid w:val="004F1AAC"/>
    <w:rsid w:val="004F1AE2"/>
    <w:rsid w:val="004F34F0"/>
    <w:rsid w:val="004F3B2B"/>
    <w:rsid w:val="004F6050"/>
    <w:rsid w:val="005005EF"/>
    <w:rsid w:val="005015FA"/>
    <w:rsid w:val="00502124"/>
    <w:rsid w:val="005123C2"/>
    <w:rsid w:val="0052144B"/>
    <w:rsid w:val="00524066"/>
    <w:rsid w:val="00534E11"/>
    <w:rsid w:val="005378D8"/>
    <w:rsid w:val="005400D9"/>
    <w:rsid w:val="00540F5C"/>
    <w:rsid w:val="005476A4"/>
    <w:rsid w:val="0055019B"/>
    <w:rsid w:val="00552448"/>
    <w:rsid w:val="00556E63"/>
    <w:rsid w:val="005601A4"/>
    <w:rsid w:val="00563D64"/>
    <w:rsid w:val="00566DBB"/>
    <w:rsid w:val="005767DB"/>
    <w:rsid w:val="005815E6"/>
    <w:rsid w:val="0058712F"/>
    <w:rsid w:val="005976CE"/>
    <w:rsid w:val="005A23D4"/>
    <w:rsid w:val="005A2D1E"/>
    <w:rsid w:val="005A4ACE"/>
    <w:rsid w:val="005B3756"/>
    <w:rsid w:val="005C2910"/>
    <w:rsid w:val="005C493F"/>
    <w:rsid w:val="005C6BF7"/>
    <w:rsid w:val="005C71BF"/>
    <w:rsid w:val="005D002C"/>
    <w:rsid w:val="005D30E1"/>
    <w:rsid w:val="005D6555"/>
    <w:rsid w:val="005D78E8"/>
    <w:rsid w:val="005D7BDF"/>
    <w:rsid w:val="005E4870"/>
    <w:rsid w:val="005F0C52"/>
    <w:rsid w:val="005F71D9"/>
    <w:rsid w:val="005F7602"/>
    <w:rsid w:val="00605EF6"/>
    <w:rsid w:val="006062BE"/>
    <w:rsid w:val="006130D8"/>
    <w:rsid w:val="00613143"/>
    <w:rsid w:val="00613501"/>
    <w:rsid w:val="0061611B"/>
    <w:rsid w:val="006166A8"/>
    <w:rsid w:val="006174A1"/>
    <w:rsid w:val="00621D6C"/>
    <w:rsid w:val="00623D7D"/>
    <w:rsid w:val="00633B49"/>
    <w:rsid w:val="0064265E"/>
    <w:rsid w:val="0064297F"/>
    <w:rsid w:val="00645102"/>
    <w:rsid w:val="00646CF3"/>
    <w:rsid w:val="00653D11"/>
    <w:rsid w:val="00662983"/>
    <w:rsid w:val="00662CBF"/>
    <w:rsid w:val="0066510D"/>
    <w:rsid w:val="006669FF"/>
    <w:rsid w:val="006834D3"/>
    <w:rsid w:val="00692625"/>
    <w:rsid w:val="00695CD3"/>
    <w:rsid w:val="006A38B6"/>
    <w:rsid w:val="006A4EA3"/>
    <w:rsid w:val="006A7B74"/>
    <w:rsid w:val="006B1987"/>
    <w:rsid w:val="006B2B86"/>
    <w:rsid w:val="006B5B71"/>
    <w:rsid w:val="006B6CB0"/>
    <w:rsid w:val="006C0296"/>
    <w:rsid w:val="006C1089"/>
    <w:rsid w:val="006C2B64"/>
    <w:rsid w:val="006C4813"/>
    <w:rsid w:val="006C7458"/>
    <w:rsid w:val="006D2BC9"/>
    <w:rsid w:val="006D4C85"/>
    <w:rsid w:val="006D66AC"/>
    <w:rsid w:val="006E33F6"/>
    <w:rsid w:val="006F1251"/>
    <w:rsid w:val="006F1C23"/>
    <w:rsid w:val="00701DB6"/>
    <w:rsid w:val="00702C18"/>
    <w:rsid w:val="00703166"/>
    <w:rsid w:val="007041D4"/>
    <w:rsid w:val="007127F3"/>
    <w:rsid w:val="007163E3"/>
    <w:rsid w:val="007301CF"/>
    <w:rsid w:val="007316FB"/>
    <w:rsid w:val="00731BE9"/>
    <w:rsid w:val="007339D5"/>
    <w:rsid w:val="007374D0"/>
    <w:rsid w:val="00737E2D"/>
    <w:rsid w:val="007424D5"/>
    <w:rsid w:val="007470E7"/>
    <w:rsid w:val="00750A88"/>
    <w:rsid w:val="007523DD"/>
    <w:rsid w:val="00757B7E"/>
    <w:rsid w:val="007656B2"/>
    <w:rsid w:val="0077016F"/>
    <w:rsid w:val="007713AD"/>
    <w:rsid w:val="00781221"/>
    <w:rsid w:val="00787925"/>
    <w:rsid w:val="007910E2"/>
    <w:rsid w:val="0079424A"/>
    <w:rsid w:val="00795DC5"/>
    <w:rsid w:val="00797153"/>
    <w:rsid w:val="007A21F7"/>
    <w:rsid w:val="007A2B68"/>
    <w:rsid w:val="007B09CB"/>
    <w:rsid w:val="007B0DDA"/>
    <w:rsid w:val="007B4CAA"/>
    <w:rsid w:val="007D3347"/>
    <w:rsid w:val="007E31D4"/>
    <w:rsid w:val="007E3EF8"/>
    <w:rsid w:val="007E5466"/>
    <w:rsid w:val="007F1949"/>
    <w:rsid w:val="007F2592"/>
    <w:rsid w:val="007F44FB"/>
    <w:rsid w:val="007F79BE"/>
    <w:rsid w:val="00800A08"/>
    <w:rsid w:val="00804625"/>
    <w:rsid w:val="00813885"/>
    <w:rsid w:val="00815145"/>
    <w:rsid w:val="00817A84"/>
    <w:rsid w:val="008225A4"/>
    <w:rsid w:val="00824B92"/>
    <w:rsid w:val="00826C5A"/>
    <w:rsid w:val="00826D5E"/>
    <w:rsid w:val="00832013"/>
    <w:rsid w:val="00832DB7"/>
    <w:rsid w:val="00834732"/>
    <w:rsid w:val="008358C8"/>
    <w:rsid w:val="00841AC4"/>
    <w:rsid w:val="0085200C"/>
    <w:rsid w:val="00852DFB"/>
    <w:rsid w:val="0085670A"/>
    <w:rsid w:val="00857C52"/>
    <w:rsid w:val="00857F9B"/>
    <w:rsid w:val="00860D5F"/>
    <w:rsid w:val="00863FBB"/>
    <w:rsid w:val="00876569"/>
    <w:rsid w:val="0087691B"/>
    <w:rsid w:val="00880A44"/>
    <w:rsid w:val="0088345E"/>
    <w:rsid w:val="0088656F"/>
    <w:rsid w:val="0088667D"/>
    <w:rsid w:val="00890934"/>
    <w:rsid w:val="00891EF6"/>
    <w:rsid w:val="008A0303"/>
    <w:rsid w:val="008A5FDD"/>
    <w:rsid w:val="008B0057"/>
    <w:rsid w:val="008B6121"/>
    <w:rsid w:val="008B63AB"/>
    <w:rsid w:val="008B76F5"/>
    <w:rsid w:val="008C2D84"/>
    <w:rsid w:val="008C3947"/>
    <w:rsid w:val="008C412A"/>
    <w:rsid w:val="008C4784"/>
    <w:rsid w:val="008D27C7"/>
    <w:rsid w:val="008E473B"/>
    <w:rsid w:val="008E51A6"/>
    <w:rsid w:val="008E51BB"/>
    <w:rsid w:val="008E7329"/>
    <w:rsid w:val="008F0F32"/>
    <w:rsid w:val="008F2ED5"/>
    <w:rsid w:val="00900626"/>
    <w:rsid w:val="0092297E"/>
    <w:rsid w:val="00923651"/>
    <w:rsid w:val="0092396E"/>
    <w:rsid w:val="00927B56"/>
    <w:rsid w:val="009341BF"/>
    <w:rsid w:val="009341F7"/>
    <w:rsid w:val="009352B3"/>
    <w:rsid w:val="00937907"/>
    <w:rsid w:val="00941739"/>
    <w:rsid w:val="009509E2"/>
    <w:rsid w:val="00951573"/>
    <w:rsid w:val="00951853"/>
    <w:rsid w:val="00951DA6"/>
    <w:rsid w:val="00953044"/>
    <w:rsid w:val="00963003"/>
    <w:rsid w:val="00966EEF"/>
    <w:rsid w:val="00971B28"/>
    <w:rsid w:val="00980C37"/>
    <w:rsid w:val="00983471"/>
    <w:rsid w:val="009909AB"/>
    <w:rsid w:val="009956F9"/>
    <w:rsid w:val="009B37DB"/>
    <w:rsid w:val="009C7A8C"/>
    <w:rsid w:val="009D23F9"/>
    <w:rsid w:val="009D4FA8"/>
    <w:rsid w:val="009E15E7"/>
    <w:rsid w:val="009E44AE"/>
    <w:rsid w:val="009E6CD6"/>
    <w:rsid w:val="009F4D66"/>
    <w:rsid w:val="00A00C3C"/>
    <w:rsid w:val="00A01091"/>
    <w:rsid w:val="00A042B9"/>
    <w:rsid w:val="00A06DBB"/>
    <w:rsid w:val="00A13E4E"/>
    <w:rsid w:val="00A20A96"/>
    <w:rsid w:val="00A22ADF"/>
    <w:rsid w:val="00A23219"/>
    <w:rsid w:val="00A31E86"/>
    <w:rsid w:val="00A32861"/>
    <w:rsid w:val="00A354FB"/>
    <w:rsid w:val="00A54054"/>
    <w:rsid w:val="00A54D87"/>
    <w:rsid w:val="00A5553C"/>
    <w:rsid w:val="00A600CE"/>
    <w:rsid w:val="00A701C9"/>
    <w:rsid w:val="00A7706B"/>
    <w:rsid w:val="00A776A1"/>
    <w:rsid w:val="00A81785"/>
    <w:rsid w:val="00A84803"/>
    <w:rsid w:val="00A84C51"/>
    <w:rsid w:val="00A86F2B"/>
    <w:rsid w:val="00A91366"/>
    <w:rsid w:val="00A92D3A"/>
    <w:rsid w:val="00A93AA6"/>
    <w:rsid w:val="00AA4E48"/>
    <w:rsid w:val="00AA6202"/>
    <w:rsid w:val="00AA7B57"/>
    <w:rsid w:val="00AC26FC"/>
    <w:rsid w:val="00AC4A99"/>
    <w:rsid w:val="00AC64D2"/>
    <w:rsid w:val="00AD02E7"/>
    <w:rsid w:val="00AE0FE8"/>
    <w:rsid w:val="00AE1322"/>
    <w:rsid w:val="00AE5B93"/>
    <w:rsid w:val="00AF5A4D"/>
    <w:rsid w:val="00AF60D5"/>
    <w:rsid w:val="00B00959"/>
    <w:rsid w:val="00B04415"/>
    <w:rsid w:val="00B06509"/>
    <w:rsid w:val="00B11D60"/>
    <w:rsid w:val="00B13D65"/>
    <w:rsid w:val="00B1667C"/>
    <w:rsid w:val="00B21805"/>
    <w:rsid w:val="00B22CF3"/>
    <w:rsid w:val="00B2555C"/>
    <w:rsid w:val="00B26AF6"/>
    <w:rsid w:val="00B3072E"/>
    <w:rsid w:val="00B36E15"/>
    <w:rsid w:val="00B37245"/>
    <w:rsid w:val="00B4017A"/>
    <w:rsid w:val="00B4468D"/>
    <w:rsid w:val="00B4474D"/>
    <w:rsid w:val="00B62292"/>
    <w:rsid w:val="00B64ECE"/>
    <w:rsid w:val="00B65FB4"/>
    <w:rsid w:val="00B67617"/>
    <w:rsid w:val="00B71C72"/>
    <w:rsid w:val="00B80666"/>
    <w:rsid w:val="00B81E92"/>
    <w:rsid w:val="00B87E4F"/>
    <w:rsid w:val="00B908D7"/>
    <w:rsid w:val="00B915AB"/>
    <w:rsid w:val="00B935E8"/>
    <w:rsid w:val="00B93B30"/>
    <w:rsid w:val="00B94CB5"/>
    <w:rsid w:val="00BA0DD9"/>
    <w:rsid w:val="00BA5DBC"/>
    <w:rsid w:val="00BA7C96"/>
    <w:rsid w:val="00BB6312"/>
    <w:rsid w:val="00BC33C5"/>
    <w:rsid w:val="00BC4D06"/>
    <w:rsid w:val="00BC656E"/>
    <w:rsid w:val="00BC6ED1"/>
    <w:rsid w:val="00BD24DF"/>
    <w:rsid w:val="00BD585E"/>
    <w:rsid w:val="00BD6919"/>
    <w:rsid w:val="00BE1EA7"/>
    <w:rsid w:val="00BE7489"/>
    <w:rsid w:val="00BF2E0D"/>
    <w:rsid w:val="00BF3927"/>
    <w:rsid w:val="00BF3F8B"/>
    <w:rsid w:val="00BF4796"/>
    <w:rsid w:val="00BF76DA"/>
    <w:rsid w:val="00C07C7B"/>
    <w:rsid w:val="00C15A49"/>
    <w:rsid w:val="00C16245"/>
    <w:rsid w:val="00C17598"/>
    <w:rsid w:val="00C22DC5"/>
    <w:rsid w:val="00C24479"/>
    <w:rsid w:val="00C273F2"/>
    <w:rsid w:val="00C305D1"/>
    <w:rsid w:val="00C36C92"/>
    <w:rsid w:val="00C378B5"/>
    <w:rsid w:val="00C37B53"/>
    <w:rsid w:val="00C468E3"/>
    <w:rsid w:val="00C474FD"/>
    <w:rsid w:val="00C500FD"/>
    <w:rsid w:val="00C517D2"/>
    <w:rsid w:val="00C5772E"/>
    <w:rsid w:val="00C62B36"/>
    <w:rsid w:val="00C7012C"/>
    <w:rsid w:val="00C712EA"/>
    <w:rsid w:val="00C72C7C"/>
    <w:rsid w:val="00C74CA8"/>
    <w:rsid w:val="00C82B21"/>
    <w:rsid w:val="00C86102"/>
    <w:rsid w:val="00CA217D"/>
    <w:rsid w:val="00CC09D4"/>
    <w:rsid w:val="00CC668D"/>
    <w:rsid w:val="00CC7832"/>
    <w:rsid w:val="00CD04D7"/>
    <w:rsid w:val="00CD17BE"/>
    <w:rsid w:val="00CD79B3"/>
    <w:rsid w:val="00CE0B78"/>
    <w:rsid w:val="00CE48C2"/>
    <w:rsid w:val="00CF0C1C"/>
    <w:rsid w:val="00CF1F44"/>
    <w:rsid w:val="00CF27FD"/>
    <w:rsid w:val="00CF5F12"/>
    <w:rsid w:val="00D001A6"/>
    <w:rsid w:val="00D00D8F"/>
    <w:rsid w:val="00D04B0B"/>
    <w:rsid w:val="00D04DB8"/>
    <w:rsid w:val="00D150D6"/>
    <w:rsid w:val="00D21F3A"/>
    <w:rsid w:val="00D23808"/>
    <w:rsid w:val="00D279C5"/>
    <w:rsid w:val="00D3016A"/>
    <w:rsid w:val="00D417D2"/>
    <w:rsid w:val="00D42960"/>
    <w:rsid w:val="00D43BD7"/>
    <w:rsid w:val="00D4485B"/>
    <w:rsid w:val="00D46880"/>
    <w:rsid w:val="00D4708D"/>
    <w:rsid w:val="00D4744C"/>
    <w:rsid w:val="00D479FD"/>
    <w:rsid w:val="00D521DE"/>
    <w:rsid w:val="00D5470B"/>
    <w:rsid w:val="00D56378"/>
    <w:rsid w:val="00D60E57"/>
    <w:rsid w:val="00D63068"/>
    <w:rsid w:val="00D6498C"/>
    <w:rsid w:val="00D76A70"/>
    <w:rsid w:val="00D83182"/>
    <w:rsid w:val="00D8521E"/>
    <w:rsid w:val="00D853DC"/>
    <w:rsid w:val="00D9291C"/>
    <w:rsid w:val="00D93A97"/>
    <w:rsid w:val="00D93AEE"/>
    <w:rsid w:val="00DB1F64"/>
    <w:rsid w:val="00DC1CC4"/>
    <w:rsid w:val="00DC2F53"/>
    <w:rsid w:val="00DC5BAC"/>
    <w:rsid w:val="00DC6816"/>
    <w:rsid w:val="00DC76C2"/>
    <w:rsid w:val="00DD1CF2"/>
    <w:rsid w:val="00DD6246"/>
    <w:rsid w:val="00DE4484"/>
    <w:rsid w:val="00DE5072"/>
    <w:rsid w:val="00DF1781"/>
    <w:rsid w:val="00DF41B7"/>
    <w:rsid w:val="00DF4A4A"/>
    <w:rsid w:val="00DF583C"/>
    <w:rsid w:val="00E03C3F"/>
    <w:rsid w:val="00E06FD7"/>
    <w:rsid w:val="00E07417"/>
    <w:rsid w:val="00E116E2"/>
    <w:rsid w:val="00E24D45"/>
    <w:rsid w:val="00E25ABC"/>
    <w:rsid w:val="00E33DB8"/>
    <w:rsid w:val="00E33EFF"/>
    <w:rsid w:val="00E34387"/>
    <w:rsid w:val="00E348BA"/>
    <w:rsid w:val="00E369FE"/>
    <w:rsid w:val="00E3762A"/>
    <w:rsid w:val="00E37C6F"/>
    <w:rsid w:val="00E449B7"/>
    <w:rsid w:val="00E473F2"/>
    <w:rsid w:val="00E475F8"/>
    <w:rsid w:val="00E50A15"/>
    <w:rsid w:val="00E5102E"/>
    <w:rsid w:val="00E519E5"/>
    <w:rsid w:val="00E54504"/>
    <w:rsid w:val="00E5721C"/>
    <w:rsid w:val="00E619C6"/>
    <w:rsid w:val="00E745A1"/>
    <w:rsid w:val="00E749B6"/>
    <w:rsid w:val="00E81529"/>
    <w:rsid w:val="00E83A13"/>
    <w:rsid w:val="00E908DE"/>
    <w:rsid w:val="00E90F6F"/>
    <w:rsid w:val="00E91A39"/>
    <w:rsid w:val="00E93E19"/>
    <w:rsid w:val="00EB0F54"/>
    <w:rsid w:val="00EB6FC5"/>
    <w:rsid w:val="00EC2356"/>
    <w:rsid w:val="00EC2582"/>
    <w:rsid w:val="00EC337C"/>
    <w:rsid w:val="00EC54CA"/>
    <w:rsid w:val="00ED0CFF"/>
    <w:rsid w:val="00ED24F9"/>
    <w:rsid w:val="00ED31D2"/>
    <w:rsid w:val="00EE0549"/>
    <w:rsid w:val="00EE0EAC"/>
    <w:rsid w:val="00EE3322"/>
    <w:rsid w:val="00EE33CB"/>
    <w:rsid w:val="00EE449A"/>
    <w:rsid w:val="00EF2CFE"/>
    <w:rsid w:val="00EF52BE"/>
    <w:rsid w:val="00F0061A"/>
    <w:rsid w:val="00F02834"/>
    <w:rsid w:val="00F04EEB"/>
    <w:rsid w:val="00F05467"/>
    <w:rsid w:val="00F055D2"/>
    <w:rsid w:val="00F07CD7"/>
    <w:rsid w:val="00F127E9"/>
    <w:rsid w:val="00F12952"/>
    <w:rsid w:val="00F12D8B"/>
    <w:rsid w:val="00F14B5D"/>
    <w:rsid w:val="00F259FC"/>
    <w:rsid w:val="00F36972"/>
    <w:rsid w:val="00F36CF1"/>
    <w:rsid w:val="00F42426"/>
    <w:rsid w:val="00F456BC"/>
    <w:rsid w:val="00F50666"/>
    <w:rsid w:val="00F5096F"/>
    <w:rsid w:val="00F70C9E"/>
    <w:rsid w:val="00F74A74"/>
    <w:rsid w:val="00F7572C"/>
    <w:rsid w:val="00F7785B"/>
    <w:rsid w:val="00F83515"/>
    <w:rsid w:val="00F8382C"/>
    <w:rsid w:val="00F855D7"/>
    <w:rsid w:val="00F862B7"/>
    <w:rsid w:val="00F92035"/>
    <w:rsid w:val="00F92748"/>
    <w:rsid w:val="00FA2257"/>
    <w:rsid w:val="00FA4169"/>
    <w:rsid w:val="00FA7915"/>
    <w:rsid w:val="00FB0D41"/>
    <w:rsid w:val="00FB2030"/>
    <w:rsid w:val="00FD0E46"/>
    <w:rsid w:val="00FD1CF2"/>
    <w:rsid w:val="00FD3EDF"/>
    <w:rsid w:val="00FD4F5A"/>
    <w:rsid w:val="00FD793C"/>
    <w:rsid w:val="00FE0DA2"/>
    <w:rsid w:val="00FE0FD5"/>
    <w:rsid w:val="00FE20E6"/>
    <w:rsid w:val="00FE3E3B"/>
    <w:rsid w:val="00FF3A06"/>
    <w:rsid w:val="00FF4032"/>
    <w:rsid w:val="00FF602D"/>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221"/>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paragraph" w:styleId="Heading3">
    <w:name w:val="heading 3"/>
    <w:basedOn w:val="Normal"/>
    <w:next w:val="Normal"/>
    <w:link w:val="Heading3Char"/>
    <w:semiHidden/>
    <w:unhideWhenUsed/>
    <w:qFormat/>
    <w:rsid w:val="00B64EC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uiPriority w:val="99"/>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uiPriority w:val="99"/>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Use Case List Paragraph Char,List Paragraph1 Char,Body Bullet Char,Ref Char"/>
    <w:link w:val="ListParagraph"/>
    <w:uiPriority w:val="34"/>
    <w:locked/>
    <w:rsid w:val="00D56378"/>
    <w:rPr>
      <w:sz w:val="24"/>
      <w:szCs w:val="24"/>
      <w:lang w:eastAsia="en-US"/>
    </w:rPr>
  </w:style>
  <w:style w:type="character" w:customStyle="1" w:styleId="Heading3Char">
    <w:name w:val="Heading 3 Char"/>
    <w:basedOn w:val="DefaultParagraphFont"/>
    <w:link w:val="Heading3"/>
    <w:semiHidden/>
    <w:rsid w:val="00B64ECE"/>
    <w:rPr>
      <w:rFonts w:asciiTheme="majorHAnsi" w:eastAsiaTheme="majorEastAsia" w:hAnsiTheme="majorHAnsi" w:cstheme="majorBidi"/>
      <w:color w:val="243F60" w:themeColor="accent1" w:themeShade="7F"/>
      <w:sz w:val="24"/>
      <w:szCs w:val="24"/>
      <w:lang w:eastAsia="en-US"/>
    </w:rPr>
  </w:style>
  <w:style w:type="character" w:customStyle="1" w:styleId="toptext">
    <w:name w:val="top__text"/>
    <w:basedOn w:val="DefaultParagraphFont"/>
    <w:rsid w:val="00B64ECE"/>
  </w:style>
  <w:style w:type="character" w:customStyle="1" w:styleId="label">
    <w:name w:val="label"/>
    <w:basedOn w:val="DefaultParagraphFont"/>
    <w:rsid w:val="00B64ECE"/>
  </w:style>
  <w:style w:type="paragraph" w:styleId="EndnoteText">
    <w:name w:val="endnote text"/>
    <w:basedOn w:val="Normal"/>
    <w:link w:val="EndnoteTextChar"/>
    <w:semiHidden/>
    <w:unhideWhenUsed/>
    <w:rsid w:val="00A32861"/>
    <w:rPr>
      <w:sz w:val="20"/>
      <w:szCs w:val="20"/>
    </w:rPr>
  </w:style>
  <w:style w:type="character" w:customStyle="1" w:styleId="EndnoteTextChar">
    <w:name w:val="Endnote Text Char"/>
    <w:basedOn w:val="DefaultParagraphFont"/>
    <w:link w:val="EndnoteText"/>
    <w:semiHidden/>
    <w:rsid w:val="00A32861"/>
    <w:rPr>
      <w:lang w:eastAsia="en-US"/>
    </w:rPr>
  </w:style>
  <w:style w:type="character" w:styleId="EndnoteReference">
    <w:name w:val="endnote reference"/>
    <w:basedOn w:val="DefaultParagraphFont"/>
    <w:semiHidden/>
    <w:unhideWhenUsed/>
    <w:rsid w:val="00A32861"/>
    <w:rPr>
      <w:vertAlign w:val="superscript"/>
    </w:rPr>
  </w:style>
  <w:style w:type="paragraph" w:styleId="FootnoteText">
    <w:name w:val="footnote text"/>
    <w:basedOn w:val="Normal"/>
    <w:link w:val="FootnoteTextChar"/>
    <w:semiHidden/>
    <w:unhideWhenUsed/>
    <w:rsid w:val="00DD6246"/>
    <w:rPr>
      <w:sz w:val="20"/>
      <w:szCs w:val="20"/>
    </w:rPr>
  </w:style>
  <w:style w:type="character" w:customStyle="1" w:styleId="FootnoteTextChar">
    <w:name w:val="Footnote Text Char"/>
    <w:basedOn w:val="DefaultParagraphFont"/>
    <w:link w:val="FootnoteText"/>
    <w:semiHidden/>
    <w:rsid w:val="00DD6246"/>
    <w:rPr>
      <w:lang w:eastAsia="en-US"/>
    </w:rPr>
  </w:style>
  <w:style w:type="character" w:styleId="FootnoteReference">
    <w:name w:val="footnote reference"/>
    <w:basedOn w:val="DefaultParagraphFont"/>
    <w:semiHidden/>
    <w:unhideWhenUsed/>
    <w:rsid w:val="00DD6246"/>
    <w:rPr>
      <w:vertAlign w:val="superscript"/>
    </w:rPr>
  </w:style>
  <w:style w:type="paragraph" w:customStyle="1" w:styleId="Default">
    <w:name w:val="Default"/>
    <w:rsid w:val="002A3179"/>
    <w:pPr>
      <w:autoSpaceDE w:val="0"/>
      <w:autoSpaceDN w:val="0"/>
      <w:adjustRightInd w:val="0"/>
    </w:pPr>
    <w:rPr>
      <w:rFonts w:ascii="Calibri" w:hAnsi="Calibri" w:cs="Calibri"/>
      <w:color w:val="000000"/>
      <w:sz w:val="24"/>
      <w:szCs w:val="24"/>
      <w:lang w:eastAsia="en-US"/>
    </w:rPr>
  </w:style>
  <w:style w:type="paragraph" w:styleId="NormalWeb">
    <w:name w:val="Normal (Web)"/>
    <w:basedOn w:val="Normal"/>
    <w:uiPriority w:val="99"/>
    <w:unhideWhenUsed/>
    <w:rsid w:val="008358C8"/>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9421">
      <w:bodyDiv w:val="1"/>
      <w:marLeft w:val="0"/>
      <w:marRight w:val="0"/>
      <w:marTop w:val="0"/>
      <w:marBottom w:val="0"/>
      <w:divBdr>
        <w:top w:val="none" w:sz="0" w:space="0" w:color="auto"/>
        <w:left w:val="none" w:sz="0" w:space="0" w:color="auto"/>
        <w:bottom w:val="none" w:sz="0" w:space="0" w:color="auto"/>
        <w:right w:val="none" w:sz="0" w:space="0" w:color="auto"/>
      </w:divBdr>
    </w:div>
    <w:div w:id="207376707">
      <w:bodyDiv w:val="1"/>
      <w:marLeft w:val="0"/>
      <w:marRight w:val="0"/>
      <w:marTop w:val="0"/>
      <w:marBottom w:val="0"/>
      <w:divBdr>
        <w:top w:val="none" w:sz="0" w:space="0" w:color="auto"/>
        <w:left w:val="none" w:sz="0" w:space="0" w:color="auto"/>
        <w:bottom w:val="none" w:sz="0" w:space="0" w:color="auto"/>
        <w:right w:val="none" w:sz="0" w:space="0" w:color="auto"/>
      </w:divBdr>
    </w:div>
    <w:div w:id="278463309">
      <w:bodyDiv w:val="1"/>
      <w:marLeft w:val="0"/>
      <w:marRight w:val="0"/>
      <w:marTop w:val="0"/>
      <w:marBottom w:val="0"/>
      <w:divBdr>
        <w:top w:val="none" w:sz="0" w:space="0" w:color="auto"/>
        <w:left w:val="none" w:sz="0" w:space="0" w:color="auto"/>
        <w:bottom w:val="none" w:sz="0" w:space="0" w:color="auto"/>
        <w:right w:val="none" w:sz="0" w:space="0" w:color="auto"/>
      </w:divBdr>
      <w:divsChild>
        <w:div w:id="564607461">
          <w:marLeft w:val="0"/>
          <w:marRight w:val="0"/>
          <w:marTop w:val="150"/>
          <w:marBottom w:val="270"/>
          <w:divBdr>
            <w:top w:val="none" w:sz="0" w:space="0" w:color="auto"/>
            <w:left w:val="none" w:sz="0" w:space="0" w:color="auto"/>
            <w:bottom w:val="none" w:sz="0" w:space="0" w:color="auto"/>
            <w:right w:val="none" w:sz="0" w:space="0" w:color="auto"/>
          </w:divBdr>
          <w:divsChild>
            <w:div w:id="4758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5764">
      <w:bodyDiv w:val="1"/>
      <w:marLeft w:val="0"/>
      <w:marRight w:val="0"/>
      <w:marTop w:val="0"/>
      <w:marBottom w:val="0"/>
      <w:divBdr>
        <w:top w:val="none" w:sz="0" w:space="0" w:color="auto"/>
        <w:left w:val="none" w:sz="0" w:space="0" w:color="auto"/>
        <w:bottom w:val="none" w:sz="0" w:space="0" w:color="auto"/>
        <w:right w:val="none" w:sz="0" w:space="0" w:color="auto"/>
      </w:divBdr>
    </w:div>
    <w:div w:id="510142003">
      <w:bodyDiv w:val="1"/>
      <w:marLeft w:val="0"/>
      <w:marRight w:val="0"/>
      <w:marTop w:val="0"/>
      <w:marBottom w:val="0"/>
      <w:divBdr>
        <w:top w:val="none" w:sz="0" w:space="0" w:color="auto"/>
        <w:left w:val="none" w:sz="0" w:space="0" w:color="auto"/>
        <w:bottom w:val="none" w:sz="0" w:space="0" w:color="auto"/>
        <w:right w:val="none" w:sz="0" w:space="0" w:color="auto"/>
      </w:divBdr>
    </w:div>
    <w:div w:id="1064719310">
      <w:bodyDiv w:val="1"/>
      <w:marLeft w:val="0"/>
      <w:marRight w:val="0"/>
      <w:marTop w:val="0"/>
      <w:marBottom w:val="0"/>
      <w:divBdr>
        <w:top w:val="none" w:sz="0" w:space="0" w:color="auto"/>
        <w:left w:val="none" w:sz="0" w:space="0" w:color="auto"/>
        <w:bottom w:val="none" w:sz="0" w:space="0" w:color="auto"/>
        <w:right w:val="none" w:sz="0" w:space="0" w:color="auto"/>
      </w:divBdr>
    </w:div>
    <w:div w:id="1154685627">
      <w:bodyDiv w:val="1"/>
      <w:marLeft w:val="0"/>
      <w:marRight w:val="0"/>
      <w:marTop w:val="0"/>
      <w:marBottom w:val="0"/>
      <w:divBdr>
        <w:top w:val="none" w:sz="0" w:space="0" w:color="auto"/>
        <w:left w:val="none" w:sz="0" w:space="0" w:color="auto"/>
        <w:bottom w:val="none" w:sz="0" w:space="0" w:color="auto"/>
        <w:right w:val="none" w:sz="0" w:space="0" w:color="auto"/>
      </w:divBdr>
      <w:divsChild>
        <w:div w:id="2049795725">
          <w:marLeft w:val="360"/>
          <w:marRight w:val="0"/>
          <w:marTop w:val="200"/>
          <w:marBottom w:val="0"/>
          <w:divBdr>
            <w:top w:val="none" w:sz="0" w:space="0" w:color="auto"/>
            <w:left w:val="none" w:sz="0" w:space="0" w:color="auto"/>
            <w:bottom w:val="none" w:sz="0" w:space="0" w:color="auto"/>
            <w:right w:val="none" w:sz="0" w:space="0" w:color="auto"/>
          </w:divBdr>
        </w:div>
      </w:divsChild>
    </w:div>
    <w:div w:id="1288123038">
      <w:bodyDiv w:val="1"/>
      <w:marLeft w:val="0"/>
      <w:marRight w:val="0"/>
      <w:marTop w:val="0"/>
      <w:marBottom w:val="0"/>
      <w:divBdr>
        <w:top w:val="none" w:sz="0" w:space="0" w:color="auto"/>
        <w:left w:val="none" w:sz="0" w:space="0" w:color="auto"/>
        <w:bottom w:val="none" w:sz="0" w:space="0" w:color="auto"/>
        <w:right w:val="none" w:sz="0" w:space="0" w:color="auto"/>
      </w:divBdr>
    </w:div>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EA1FF9E4FC4F44B52C97DDF79ACA3E"/>
        <w:category>
          <w:name w:val="General"/>
          <w:gallery w:val="placeholder"/>
        </w:category>
        <w:types>
          <w:type w:val="bbPlcHdr"/>
        </w:types>
        <w:behaviors>
          <w:behavior w:val="content"/>
        </w:behaviors>
        <w:guid w:val="{C4D78A12-042A-4204-847B-6944DD47CF50}"/>
      </w:docPartPr>
      <w:docPartBody>
        <w:p w:rsidR="004D7C53" w:rsidRDefault="006E38D0" w:rsidP="006E38D0">
          <w:pPr>
            <w:pStyle w:val="E5EA1FF9E4FC4F44B52C97DDF79ACA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56C60"/>
    <w:rsid w:val="00061157"/>
    <w:rsid w:val="000937FE"/>
    <w:rsid w:val="000A110E"/>
    <w:rsid w:val="000A559A"/>
    <w:rsid w:val="000C572B"/>
    <w:rsid w:val="000D24D4"/>
    <w:rsid w:val="00186FA5"/>
    <w:rsid w:val="001C1F11"/>
    <w:rsid w:val="001C35A9"/>
    <w:rsid w:val="001D5D71"/>
    <w:rsid w:val="002005FD"/>
    <w:rsid w:val="00237556"/>
    <w:rsid w:val="002627A7"/>
    <w:rsid w:val="00282D5B"/>
    <w:rsid w:val="00285270"/>
    <w:rsid w:val="00314A67"/>
    <w:rsid w:val="00330219"/>
    <w:rsid w:val="0034029B"/>
    <w:rsid w:val="0034696C"/>
    <w:rsid w:val="0039303B"/>
    <w:rsid w:val="003A2477"/>
    <w:rsid w:val="003A5FE7"/>
    <w:rsid w:val="004144A3"/>
    <w:rsid w:val="004160E7"/>
    <w:rsid w:val="004416C6"/>
    <w:rsid w:val="004452C9"/>
    <w:rsid w:val="004B00C0"/>
    <w:rsid w:val="004D7C53"/>
    <w:rsid w:val="004F5AB2"/>
    <w:rsid w:val="005074B9"/>
    <w:rsid w:val="005E40DD"/>
    <w:rsid w:val="006E38D0"/>
    <w:rsid w:val="00701D33"/>
    <w:rsid w:val="0070315A"/>
    <w:rsid w:val="0071258A"/>
    <w:rsid w:val="007219C1"/>
    <w:rsid w:val="00751921"/>
    <w:rsid w:val="00753462"/>
    <w:rsid w:val="007537A8"/>
    <w:rsid w:val="00772325"/>
    <w:rsid w:val="00781450"/>
    <w:rsid w:val="007962A7"/>
    <w:rsid w:val="007A2FE0"/>
    <w:rsid w:val="007B6AFC"/>
    <w:rsid w:val="007C6D1D"/>
    <w:rsid w:val="008146D7"/>
    <w:rsid w:val="00850925"/>
    <w:rsid w:val="00866B4E"/>
    <w:rsid w:val="0090074D"/>
    <w:rsid w:val="0094513F"/>
    <w:rsid w:val="009B1E76"/>
    <w:rsid w:val="009B3BF0"/>
    <w:rsid w:val="009D5E5E"/>
    <w:rsid w:val="009D7AE2"/>
    <w:rsid w:val="009F1BB4"/>
    <w:rsid w:val="00A32DC8"/>
    <w:rsid w:val="00A647A3"/>
    <w:rsid w:val="00A8727A"/>
    <w:rsid w:val="00AB6ED4"/>
    <w:rsid w:val="00B037F5"/>
    <w:rsid w:val="00B14210"/>
    <w:rsid w:val="00B23DC0"/>
    <w:rsid w:val="00B44CAA"/>
    <w:rsid w:val="00B57317"/>
    <w:rsid w:val="00B74027"/>
    <w:rsid w:val="00B96656"/>
    <w:rsid w:val="00BC2CA0"/>
    <w:rsid w:val="00BE29C1"/>
    <w:rsid w:val="00C04D02"/>
    <w:rsid w:val="00C1221D"/>
    <w:rsid w:val="00C2401D"/>
    <w:rsid w:val="00C41CDF"/>
    <w:rsid w:val="00C53A68"/>
    <w:rsid w:val="00CA5BB4"/>
    <w:rsid w:val="00CB4BD1"/>
    <w:rsid w:val="00CC6E1D"/>
    <w:rsid w:val="00CE2DA9"/>
    <w:rsid w:val="00CE44BE"/>
    <w:rsid w:val="00D4356B"/>
    <w:rsid w:val="00D56C10"/>
    <w:rsid w:val="00D7162F"/>
    <w:rsid w:val="00E44A86"/>
    <w:rsid w:val="00E522EB"/>
    <w:rsid w:val="00E60827"/>
    <w:rsid w:val="00E73FF6"/>
    <w:rsid w:val="00EE79F5"/>
    <w:rsid w:val="00EF1933"/>
    <w:rsid w:val="00EF3144"/>
    <w:rsid w:val="00EF6E0C"/>
    <w:rsid w:val="00F55028"/>
    <w:rsid w:val="00F77BEF"/>
    <w:rsid w:val="00FB2D62"/>
    <w:rsid w:val="00FC755C"/>
    <w:rsid w:val="00FC78F4"/>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E38D0"/>
    <w:rPr>
      <w:color w:val="808080"/>
    </w:rPr>
  </w:style>
  <w:style w:type="paragraph" w:customStyle="1" w:styleId="E5EA1FF9E4FC4F44B52C97DDF79ACA3E">
    <w:name w:val="E5EA1FF9E4FC4F44B52C97DDF79ACA3E"/>
    <w:rsid w:val="006E38D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DCDC-8D8F-4073-8349-05328588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9801</Words>
  <Characters>5587</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15358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2023-07-18T13:35:00Z</dcterms:created>
  <dcterms:modified xsi:type="dcterms:W3CDTF">2023-07-21T15:32:00Z</dcterms:modified>
</cp:coreProperties>
</file>