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0D97A99" w14:textId="77777777" w:rsidR="00E94000" w:rsidRPr="00D800EF" w:rsidRDefault="00E94000" w:rsidP="00E94000">
      <w:pPr>
        <w:jc w:val="center"/>
        <w:rPr>
          <w:b/>
        </w:rPr>
      </w:pPr>
      <w:r w:rsidRPr="00D800EF">
        <w:rPr>
          <w:b/>
        </w:rPr>
        <w:t>Evrysdi 0,75 mg/ml milteliai geriamajam tirpalui</w:t>
      </w:r>
    </w:p>
    <w:p w14:paraId="5240F408" w14:textId="77777777" w:rsidR="00E94000" w:rsidRPr="00D800EF" w:rsidRDefault="00E94000" w:rsidP="00E94000">
      <w:pPr>
        <w:jc w:val="center"/>
      </w:pPr>
    </w:p>
    <w:p w14:paraId="20DEB671" w14:textId="77777777" w:rsidR="00E94000" w:rsidRPr="00D800EF" w:rsidRDefault="00E94000" w:rsidP="00E94000">
      <w:pPr>
        <w:jc w:val="center"/>
      </w:pPr>
      <w:r w:rsidRPr="00D800EF">
        <w:t>(</w:t>
      </w:r>
      <w:r w:rsidRPr="00D800EF">
        <w:rPr>
          <w:b/>
        </w:rPr>
        <w:t>Risdiplamas</w:t>
      </w:r>
      <w:r w:rsidRPr="00D800EF">
        <w:t>)</w:t>
      </w:r>
    </w:p>
    <w:p w14:paraId="7245D69E" w14:textId="77777777" w:rsidR="00937907" w:rsidRPr="00E33EFF" w:rsidRDefault="00937907" w:rsidP="00937907">
      <w:pPr>
        <w:jc w:val="center"/>
      </w:pPr>
    </w:p>
    <w:p w14:paraId="5BC2EA5D" w14:textId="72642D84" w:rsidR="00937907" w:rsidRPr="00E33EFF" w:rsidRDefault="00E94000" w:rsidP="003B211A">
      <w:pPr>
        <w:jc w:val="center"/>
        <w:rPr>
          <w:b/>
        </w:rPr>
      </w:pPr>
      <w:r>
        <w:rPr>
          <w:b/>
        </w:rPr>
        <w:t>STV 60</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2829BA6A" w:rsidR="00937907" w:rsidRPr="00E33EFF" w:rsidRDefault="00E94000" w:rsidP="00824B92">
            <w:r w:rsidRPr="00D800EF">
              <w:t>UAB „Roche Lietuva“</w:t>
            </w:r>
          </w:p>
          <w:p w14:paraId="2AAF0D91" w14:textId="77777777" w:rsidR="00B13D65" w:rsidRPr="00E33EFF"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3CBA87D2" w:rsidR="00B13D65" w:rsidRPr="00E33EFF" w:rsidRDefault="00D244C9"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E94000" w:rsidRPr="00E94000">
                  <w:t>2021 kovo 29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4A020878" w:rsidR="00B13D65" w:rsidRPr="00E33EFF" w:rsidRDefault="00D244C9"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D244C9"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D244C9"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D244C9"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824B92">
            <w:pPr>
              <w:rPr>
                <w:bCs/>
                <w:i/>
                <w:color w:val="000000"/>
                <w:lang w:eastAsia="lt-LT"/>
              </w:rPr>
            </w:pPr>
          </w:p>
          <w:p w14:paraId="483071A3" w14:textId="1E357949" w:rsidR="00B13D65" w:rsidRPr="00E33EFF" w:rsidRDefault="00B13D65" w:rsidP="00824B92">
            <w:pPr>
              <w:rPr>
                <w:bCs/>
                <w:color w:val="000000"/>
                <w:lang w:eastAsia="lt-LT"/>
              </w:rPr>
            </w:pPr>
          </w:p>
        </w:tc>
        <w:tc>
          <w:tcPr>
            <w:tcW w:w="5167" w:type="dxa"/>
          </w:tcPr>
          <w:p w14:paraId="05845C60" w14:textId="1E776597" w:rsidR="00B13D65" w:rsidRPr="00E33EFF" w:rsidRDefault="00D244C9" w:rsidP="00824B92">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B13D65" w:rsidRPr="00E33EFF">
              <w:t xml:space="preserve"> Taip</w:t>
            </w:r>
          </w:p>
          <w:p w14:paraId="41D88067" w14:textId="6AA9561C" w:rsidR="00B13D65" w:rsidRDefault="00D244C9" w:rsidP="00824B92">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MS Gothic" w:eastAsia="MS Gothic" w:hAnsi="MS Gothic" w:hint="eastAsia"/>
                    <w:sz w:val="24"/>
                  </w:rPr>
                  <w:t>☐</w:t>
                </w:r>
              </w:sdtContent>
            </w:sdt>
            <w:r w:rsidR="00B13D65" w:rsidRPr="00E33EFF">
              <w:t xml:space="preserve"> Ne</w:t>
            </w:r>
          </w:p>
          <w:p w14:paraId="056C6D4E" w14:textId="77777777" w:rsidR="00E94000" w:rsidRDefault="00D244C9" w:rsidP="00824B92">
            <w:sdt>
              <w:sdtPr>
                <w:rPr>
                  <w:lang w:eastAsia="en-GB"/>
                </w:rPr>
                <w:alias w:val="Nurodykite konkrečią dieną"/>
                <w:tag w:val="Nurodykite pradžios datą"/>
                <w:id w:val="693498901"/>
                <w:placeholder>
                  <w:docPart w:val="193B713664574FC5A890957052165C95"/>
                </w:placeholder>
                <w15:color w:val="FFCC99"/>
                <w:date>
                  <w:dateFormat w:val="yyyy 'm.' MMMM d 'd.'"/>
                  <w:lid w:val="lt-LT"/>
                  <w:storeMappedDataAs w:val="dateTime"/>
                  <w:calendar w:val="gregorian"/>
                </w:date>
              </w:sdtPr>
              <w:sdtEndPr/>
              <w:sdtContent>
                <w:r w:rsidR="00E94000">
                  <w:rPr>
                    <w:lang w:eastAsia="en-GB"/>
                  </w:rPr>
                  <w:t>2021 kovo 29 d.</w:t>
                </w:r>
              </w:sdtContent>
            </w:sdt>
            <w:r w:rsidR="00E94000">
              <w:t xml:space="preserve"> </w:t>
            </w:r>
          </w:p>
          <w:p w14:paraId="3251D4E0" w14:textId="77777777" w:rsidR="00E94000" w:rsidRDefault="00E94000" w:rsidP="00824B92"/>
          <w:p w14:paraId="29C2CBBB" w14:textId="749D7969" w:rsidR="00B13D65" w:rsidRPr="00E94000" w:rsidRDefault="00E94000" w:rsidP="00E94000">
            <w:r>
              <w:t>EU/1/21/1531</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50D03C10" w:rsidR="00D417D2" w:rsidRPr="00E33EFF" w:rsidRDefault="00D244C9"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D244C9"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2853AD3" w14:textId="77777777" w:rsidR="00E94000" w:rsidRPr="00D800EF" w:rsidRDefault="00E94000" w:rsidP="00E94000">
            <w:pPr>
              <w:pStyle w:val="ListParagraph"/>
              <w:spacing w:after="120"/>
              <w:ind w:left="0"/>
              <w:contextualSpacing w:val="0"/>
              <w:jc w:val="both"/>
            </w:pPr>
            <w:r w:rsidRPr="00D800EF">
              <w:t>Evrysdi skirtas 5q spinaline raumenų atrofija (SRA) sergantiems 2 mėnesių ir vyresniems pacientams, kuriems nustatyta klinikinė 1-ojo, 2-ojo ir 3-iojo tipo SRA diagnozė arba kurie turi nuo vienos iki keturių SMN2 geno kopijų, gydyti.</w:t>
            </w:r>
          </w:p>
          <w:p w14:paraId="13F7DFB0" w14:textId="45240B6F" w:rsidR="00B13D65" w:rsidRPr="00E33EFF" w:rsidRDefault="00E94000" w:rsidP="00E94000">
            <w:r w:rsidRPr="00D800EF">
              <w:t>G12.</w:t>
            </w:r>
            <w:r w:rsidRPr="00E33EFF">
              <w:t xml:space="preserve"> </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3C34F2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4D2CDC">
              <w:rPr>
                <w:bCs/>
                <w:color w:val="000000"/>
                <w:lang w:eastAsia="lt-LT"/>
              </w:rPr>
              <w:t>*</w:t>
            </w:r>
            <w:r w:rsidR="005B3756" w:rsidRPr="00E33EFF">
              <w:rPr>
                <w:bCs/>
                <w:color w:val="000000"/>
                <w:lang w:eastAsia="lt-LT"/>
              </w:rPr>
              <w:t xml:space="preserve"> </w:t>
            </w:r>
          </w:p>
        </w:tc>
        <w:tc>
          <w:tcPr>
            <w:tcW w:w="5167" w:type="dxa"/>
          </w:tcPr>
          <w:p w14:paraId="2BED218D" w14:textId="77777777" w:rsidR="004D2CDC" w:rsidRDefault="00E94000" w:rsidP="00824B92">
            <w:r w:rsidRPr="00D800EF">
              <w:t xml:space="preserve">Taikomas apribojimas: gydymą pradedant </w:t>
            </w:r>
          </w:p>
          <w:p w14:paraId="12CCD647" w14:textId="77777777" w:rsidR="00B13D65" w:rsidRDefault="00E94000" w:rsidP="00824B92">
            <w:r w:rsidRPr="00D800EF">
              <w:t>pacientams iki 18 metų amžiaus.</w:t>
            </w:r>
          </w:p>
          <w:p w14:paraId="0579DF58" w14:textId="2C5FF207" w:rsidR="004D2CDC" w:rsidRPr="00E33EFF" w:rsidRDefault="004D2CDC" w:rsidP="004D2CDC">
            <w:pPr>
              <w:jc w:val="both"/>
            </w:pPr>
            <w:r>
              <w:rPr>
                <w:b/>
              </w:rPr>
              <w:lastRenderedPageBreak/>
              <w:t>*</w:t>
            </w:r>
            <w:r w:rsidRPr="004D2CDC">
              <w:rPr>
                <w:b/>
              </w:rPr>
              <w:t>Pastaba:</w:t>
            </w:r>
            <w:r>
              <w:t xml:space="preserve"> </w:t>
            </w:r>
            <w:r>
              <w:rPr>
                <w:rStyle w:val="Strong"/>
                <w:b w:val="0"/>
              </w:rPr>
              <w:t>šio apribojimo 2</w:t>
            </w:r>
            <w:r w:rsidRPr="004D2CDC">
              <w:rPr>
                <w:rStyle w:val="Strong"/>
                <w:b w:val="0"/>
              </w:rPr>
              <w:t>022m. gegužės 26 d. savo rašte Nr. 17 VVKT STV tarnybai Par</w:t>
            </w:r>
            <w:r>
              <w:rPr>
                <w:rStyle w:val="Strong"/>
                <w:b w:val="0"/>
              </w:rPr>
              <w:t>eiškėjas atsisakė</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lastRenderedPageBreak/>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Pr="00E33EFF" w:rsidRDefault="009F4D66" w:rsidP="00824B92">
            <w:pPr>
              <w:rPr>
                <w:bCs/>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6F5ED222" w14:textId="77777777" w:rsidR="00E94000" w:rsidRPr="00EE1D2C" w:rsidRDefault="00D244C9" w:rsidP="00E94000">
            <w:pPr>
              <w:jc w:val="both"/>
            </w:pPr>
            <w:sdt>
              <w:sdtPr>
                <w:rPr>
                  <w:rStyle w:val="Style2"/>
                </w:rPr>
                <w:id w:val="1348903796"/>
                <w15:color w:val="FFCC00"/>
                <w14:checkbox>
                  <w14:checked w14:val="1"/>
                  <w14:checkedState w14:val="2612" w14:font="MS Gothic"/>
                  <w14:uncheckedState w14:val="2610" w14:font="MS Gothic"/>
                </w14:checkbox>
              </w:sdtPr>
              <w:sdtEndPr>
                <w:rPr>
                  <w:rStyle w:val="Style2"/>
                </w:rPr>
              </w:sdtEndPr>
              <w:sdtContent>
                <w:r w:rsidR="00E94000" w:rsidRPr="00D800EF">
                  <w:rPr>
                    <w:rStyle w:val="Style2"/>
                    <w:rFonts w:ascii="MS Gothic" w:eastAsia="MS Gothic" w:hAnsi="MS Gothic"/>
                  </w:rPr>
                  <w:t>☒</w:t>
                </w:r>
              </w:sdtContent>
            </w:sdt>
            <w:r w:rsidR="00E94000" w:rsidRPr="00D800EF">
              <w:t xml:space="preserve"> Tiesioginis palyginimas</w:t>
            </w:r>
            <w:r w:rsidR="00E94000" w:rsidRPr="00EE1D2C">
              <w:t xml:space="preserve"> su natūralia ligos eiga ir placebo</w:t>
            </w:r>
          </w:p>
          <w:p w14:paraId="41B44044" w14:textId="23B04A81" w:rsidR="00B13D65" w:rsidRPr="00E33EFF" w:rsidRDefault="00D244C9" w:rsidP="00E94000">
            <w:sdt>
              <w:sdtPr>
                <w:id w:val="-210416744"/>
                <w15:color w:val="FFCC00"/>
                <w14:checkbox>
                  <w14:checked w14:val="1"/>
                  <w14:checkedState w14:val="2612" w14:font="MS Gothic"/>
                  <w14:uncheckedState w14:val="2610" w14:font="MS Gothic"/>
                </w14:checkbox>
              </w:sdtPr>
              <w:sdtEndPr/>
              <w:sdtContent>
                <w:r w:rsidR="00E94000" w:rsidRPr="00D800EF">
                  <w:rPr>
                    <w:rFonts w:ascii="MS Gothic" w:eastAsia="MS Gothic" w:hAnsi="MS Gothic"/>
                  </w:rPr>
                  <w:t>☒</w:t>
                </w:r>
              </w:sdtContent>
            </w:sdt>
            <w:r w:rsidR="00E94000" w:rsidRPr="00D800EF">
              <w:t xml:space="preserve"> Netiesioginis palyginimas</w:t>
            </w:r>
            <w:r w:rsidR="00E94000" w:rsidRPr="00EE1D2C">
              <w:t xml:space="preserve"> su nusinersenu</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ayout w:type="fixed"/>
        <w:tblLook w:val="04A0" w:firstRow="1" w:lastRow="0" w:firstColumn="1" w:lastColumn="0" w:noHBand="0" w:noVBand="1"/>
      </w:tblPr>
      <w:tblGrid>
        <w:gridCol w:w="2855"/>
        <w:gridCol w:w="1851"/>
        <w:gridCol w:w="2660"/>
        <w:gridCol w:w="2127"/>
      </w:tblGrid>
      <w:tr w:rsidR="00F70C9E" w:rsidRPr="00E33EFF" w14:paraId="7E72828B" w14:textId="77777777" w:rsidTr="009C46FB">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660"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127"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F70C9E" w:rsidRPr="00E33EFF" w14:paraId="129FA8F6" w14:textId="77777777" w:rsidTr="009C46FB">
        <w:trPr>
          <w:trHeight w:val="2267"/>
        </w:trPr>
        <w:tc>
          <w:tcPr>
            <w:tcW w:w="2855" w:type="dxa"/>
          </w:tcPr>
          <w:p w14:paraId="0A070137" w14:textId="77777777" w:rsidR="00F70C9E" w:rsidRPr="00E33EFF" w:rsidRDefault="00F70C9E" w:rsidP="00824B92">
            <w:pPr>
              <w:rPr>
                <w:bCs/>
              </w:rPr>
            </w:pPr>
            <w:r w:rsidRPr="00E33EFF">
              <w:rPr>
                <w:bCs/>
              </w:rPr>
              <w:t>Nacionalinis sveikatos ir klinikinės kompetencijos institutas, Didžioji Britanija</w:t>
            </w:r>
          </w:p>
          <w:p w14:paraId="49C6520D" w14:textId="77777777" w:rsidR="00F70C9E" w:rsidRPr="00E33EFF" w:rsidRDefault="00F70C9E" w:rsidP="00824B92">
            <w:pPr>
              <w:rPr>
                <w:rFonts w:eastAsia="Arial"/>
                <w:lang w:val="en-GB"/>
              </w:rPr>
            </w:pPr>
            <w:r w:rsidRPr="00E33EFF">
              <w:rPr>
                <w:rFonts w:eastAsia="Arial"/>
                <w:lang w:val="en-GB"/>
              </w:rPr>
              <w:t xml:space="preserve">(angl.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77777777" w:rsidR="00F70C9E" w:rsidRPr="00E33EFF" w:rsidRDefault="00D244C9" w:rsidP="00824B92">
            <w:sdt>
              <w:sdtPr>
                <w:rPr>
                  <w:rStyle w:val="Style2"/>
                  <w:sz w:val="24"/>
                </w:rPr>
                <w:id w:val="1558205022"/>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29F3627E" w14:textId="01A07F0F" w:rsidR="00F70C9E" w:rsidRPr="00E33EFF" w:rsidRDefault="00D244C9" w:rsidP="00824B92">
            <w:sdt>
              <w:sdtPr>
                <w:rPr>
                  <w:rStyle w:val="Style2"/>
                  <w:sz w:val="24"/>
                </w:rPr>
                <w:id w:val="866029625"/>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F70C9E" w:rsidRPr="00E33EFF">
              <w:t xml:space="preserve"> Ne</w:t>
            </w:r>
          </w:p>
          <w:p w14:paraId="7916359D" w14:textId="77777777" w:rsidR="00F70C9E" w:rsidRPr="00E33EFF" w:rsidRDefault="00D244C9" w:rsidP="00824B92">
            <w:pPr>
              <w:rPr>
                <w:rFonts w:eastAsia="Arial"/>
              </w:rPr>
            </w:pPr>
            <w:sdt>
              <w:sdtPr>
                <w:alias w:val="Nurodykite konkrečią dieną"/>
                <w:tag w:val="Nurodykite pradžios datą"/>
                <w:id w:val="922837954"/>
                <w:placeholder>
                  <w:docPart w:val="1E86322BB2A046D9AA8EEC8813E5F165"/>
                </w:placeholder>
                <w:showingPlcHdr/>
                <w15:color w:val="FFCC99"/>
                <w:date w:fullDate="2022-05-18T00:00:00Z">
                  <w:dateFormat w:val="yyyy 'm.' MMMM d 'd.'"/>
                  <w:lid w:val="lt-LT"/>
                  <w:storeMappedDataAs w:val="dateTime"/>
                  <w:calendar w:val="gregorian"/>
                </w:date>
              </w:sdtPr>
              <w:sdtEndPr/>
              <w:sdtContent>
                <w:r w:rsidR="00F70C9E" w:rsidRPr="00E33EFF">
                  <w:rPr>
                    <w:rStyle w:val="PlaceholderText"/>
                  </w:rPr>
                  <w:t>Click here to enter a date.</w:t>
                </w:r>
              </w:sdtContent>
            </w:sdt>
          </w:p>
        </w:tc>
        <w:tc>
          <w:tcPr>
            <w:tcW w:w="2660" w:type="dxa"/>
          </w:tcPr>
          <w:p w14:paraId="6413D0ED" w14:textId="77777777" w:rsidR="00F70C9E" w:rsidRPr="00E33EFF" w:rsidRDefault="00F70C9E" w:rsidP="00824B92">
            <w:pPr>
              <w:rPr>
                <w:rFonts w:eastAsia="Arial"/>
              </w:rPr>
            </w:pPr>
          </w:p>
        </w:tc>
        <w:tc>
          <w:tcPr>
            <w:tcW w:w="2127" w:type="dxa"/>
          </w:tcPr>
          <w:p w14:paraId="67430EE7" w14:textId="77777777" w:rsidR="00F70C9E" w:rsidRPr="00E33EFF" w:rsidRDefault="00F70C9E" w:rsidP="00824B92">
            <w:pPr>
              <w:rPr>
                <w:rFonts w:eastAsia="Arial"/>
              </w:rPr>
            </w:pPr>
          </w:p>
        </w:tc>
      </w:tr>
      <w:tr w:rsidR="00E94000" w:rsidRPr="00E33EFF" w14:paraId="1CC31474" w14:textId="77777777" w:rsidTr="009C46FB">
        <w:trPr>
          <w:trHeight w:val="1547"/>
        </w:trPr>
        <w:tc>
          <w:tcPr>
            <w:tcW w:w="2855" w:type="dxa"/>
          </w:tcPr>
          <w:p w14:paraId="12218E35" w14:textId="77777777" w:rsidR="00E94000" w:rsidRPr="00E33EFF" w:rsidRDefault="00E94000" w:rsidP="00E94000">
            <w:pPr>
              <w:rPr>
                <w:rFonts w:eastAsia="Arial"/>
                <w:lang w:val="en-GB"/>
              </w:rPr>
            </w:pPr>
            <w:r w:rsidRPr="00E33EFF">
              <w:rPr>
                <w:rFonts w:eastAsia="Arial"/>
                <w:lang w:val="en-GB"/>
              </w:rPr>
              <w:t>Kanados sveikatos technologijų agentūra</w:t>
            </w:r>
          </w:p>
          <w:p w14:paraId="2C593A82" w14:textId="77777777" w:rsidR="00E94000" w:rsidRPr="00E33EFF" w:rsidRDefault="00E94000" w:rsidP="00E94000">
            <w:pPr>
              <w:rPr>
                <w:rFonts w:eastAsia="Arial"/>
                <w:lang w:val="en-GB"/>
              </w:rPr>
            </w:pPr>
            <w:r w:rsidRPr="00E33EFF">
              <w:rPr>
                <w:rFonts w:eastAsia="Arial"/>
                <w:lang w:val="en-GB"/>
              </w:rPr>
              <w:t xml:space="preserve">(angl.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2C53DE80" w:rsidR="00E94000" w:rsidRPr="00E33EFF" w:rsidRDefault="00D244C9" w:rsidP="00E94000">
            <w:sdt>
              <w:sdtPr>
                <w:rPr>
                  <w:rStyle w:val="Style2"/>
                  <w:sz w:val="24"/>
                </w:rPr>
                <w:id w:val="-372539057"/>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E94000" w:rsidRPr="00E33EFF">
              <w:t xml:space="preserve"> Taip</w:t>
            </w:r>
          </w:p>
          <w:p w14:paraId="35F17B07" w14:textId="77777777" w:rsidR="00E94000" w:rsidRPr="00E33EFF" w:rsidRDefault="00D244C9" w:rsidP="00E94000">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E94000" w:rsidRPr="00E33EFF">
                  <w:rPr>
                    <w:rStyle w:val="Style2"/>
                    <w:rFonts w:ascii="Segoe UI Symbol" w:eastAsia="MS Gothic" w:hAnsi="Segoe UI Symbol" w:cs="Segoe UI Symbol"/>
                    <w:sz w:val="24"/>
                  </w:rPr>
                  <w:t>☐</w:t>
                </w:r>
              </w:sdtContent>
            </w:sdt>
            <w:r w:rsidR="00E94000" w:rsidRPr="00E33EFF">
              <w:t xml:space="preserve"> Ne</w:t>
            </w:r>
          </w:p>
          <w:p w14:paraId="0C0988CC" w14:textId="10D53347" w:rsidR="00E94000" w:rsidRPr="00E33EFF" w:rsidRDefault="00D244C9" w:rsidP="00E94000">
            <w:pPr>
              <w:rPr>
                <w:rFonts w:eastAsia="Arial"/>
              </w:rPr>
            </w:pPr>
            <w:sdt>
              <w:sdtPr>
                <w:alias w:val="Nurodykite konkrečią dieną"/>
                <w:tag w:val="Nurodykite pradžios datą"/>
                <w:id w:val="1072468416"/>
                <w:placeholder>
                  <w:docPart w:val="90332E11AA08466A820537B75C57621E"/>
                </w:placeholder>
                <w15:color w:val="FFCC99"/>
                <w:date>
                  <w:dateFormat w:val="yyyy 'm.' MMMM d 'd.'"/>
                  <w:lid w:val="lt-LT"/>
                  <w:storeMappedDataAs w:val="dateTime"/>
                  <w:calendar w:val="gregorian"/>
                </w:date>
              </w:sdtPr>
              <w:sdtEndPr/>
              <w:sdtContent>
                <w:r w:rsidR="00E94000">
                  <w:t>2021 rugpjūčio 26 d</w:t>
                </w:r>
              </w:sdtContent>
            </w:sdt>
          </w:p>
        </w:tc>
        <w:tc>
          <w:tcPr>
            <w:tcW w:w="2660" w:type="dxa"/>
          </w:tcPr>
          <w:p w14:paraId="5D7CF56E" w14:textId="77777777" w:rsidR="00E94000" w:rsidRPr="00D800EF" w:rsidRDefault="00E94000" w:rsidP="00E94000">
            <w:pPr>
              <w:spacing w:line="276" w:lineRule="auto"/>
              <w:jc w:val="both"/>
              <w:rPr>
                <w:rFonts w:eastAsia="Arial"/>
              </w:rPr>
            </w:pPr>
            <w:r w:rsidRPr="00D800EF">
              <w:rPr>
                <w:rFonts w:eastAsia="Arial"/>
              </w:rPr>
              <w:t>CADTH rekomenduoja kompensuoti Evrysdi spinalinės raumenų atrofijos (SRA) gydymui 2 mėnesių ir vyresniems pacientams, atitinkantiems tam tikras sąlygas. Nustatytos sąlygos: SRA pacientas, kuriam skiriamas Evrysdi, yra prižiūrimas specialisto, turinčio patirties diagnozuojant ir gydant SRA; Evrysdi nebus naudojamas kartu su nusinersenu arba onasemnogeno abeparvoveku; Evrysdi kaina bus sumažinta.</w:t>
            </w:r>
          </w:p>
          <w:p w14:paraId="64D1B800" w14:textId="1DE06E1B" w:rsidR="00E94000" w:rsidRPr="00E33EFF" w:rsidRDefault="00E94000" w:rsidP="00E94000">
            <w:pPr>
              <w:rPr>
                <w:rFonts w:eastAsia="Arial"/>
              </w:rPr>
            </w:pPr>
            <w:r w:rsidRPr="00D800EF">
              <w:rPr>
                <w:rFonts w:eastAsia="Arial"/>
              </w:rPr>
              <w:t xml:space="preserve">Evrysdi kompensuojamas pacientams nuo 2 iki 7 mėnesių amžiaus, turintiems genetiškai nustatytas 2 arba 3 </w:t>
            </w:r>
            <w:r w:rsidRPr="00D800EF">
              <w:rPr>
                <w:rFonts w:eastAsia="Arial"/>
                <w:i/>
                <w:iCs/>
              </w:rPr>
              <w:lastRenderedPageBreak/>
              <w:t>survival motor neuron 2</w:t>
            </w:r>
            <w:r w:rsidRPr="00D800EF">
              <w:rPr>
                <w:rFonts w:eastAsia="Arial"/>
              </w:rPr>
              <w:t xml:space="preserve"> (SMN2) geno kopijas arba ne ambulatoriniems pacientams nuo 8 mėnesių iki 25 metų amžiaus, turintiems genetiškai nustatytas 2 arba 3 (SMN2) geno kopijas. Gydymas nekompensuojamas, jeigu pacientui šiuo metu reikalinga nuolatinė invazinė ventiliacija. Po 12 mėnesių gydymo, turi būti atliekamas paciento vertinimas, siekiant užtikrinti klinikinę gydymo naudą.</w:t>
            </w:r>
          </w:p>
        </w:tc>
        <w:tc>
          <w:tcPr>
            <w:tcW w:w="2127" w:type="dxa"/>
          </w:tcPr>
          <w:p w14:paraId="5C8CB330" w14:textId="4D35976E" w:rsidR="00E94000" w:rsidRPr="00E33EFF" w:rsidRDefault="00E94000" w:rsidP="004D2CDC">
            <w:pPr>
              <w:rPr>
                <w:rFonts w:eastAsia="Arial"/>
              </w:rPr>
            </w:pPr>
            <w:r w:rsidRPr="00D800EF">
              <w:rPr>
                <w:rFonts w:eastAsia="Arial"/>
              </w:rPr>
              <w:lastRenderedPageBreak/>
              <w:t>Gydymo Evrysdi apytikslė vienam p</w:t>
            </w:r>
            <w:r w:rsidR="004D2CDC">
              <w:rPr>
                <w:rFonts w:eastAsia="Arial"/>
              </w:rPr>
              <w:t>acientui kaina yra $....</w:t>
            </w:r>
            <w:r w:rsidRPr="00D800EF">
              <w:rPr>
                <w:rFonts w:eastAsia="Arial"/>
              </w:rPr>
              <w:t xml:space="preserve"> per metus pacientams nuo 2 mėnesių iki 24 mėnesių amžiaus, ir nuo $</w:t>
            </w:r>
            <w:r w:rsidR="004D2CDC">
              <w:rPr>
                <w:rFonts w:eastAsia="Arial"/>
              </w:rPr>
              <w:t>.... iki $...</w:t>
            </w:r>
            <w:r w:rsidRPr="00D800EF">
              <w:rPr>
                <w:rFonts w:eastAsia="Arial"/>
              </w:rPr>
              <w:t xml:space="preserve"> vienam pacientui per metus, vyresniam nei 24 mėnesiai.</w:t>
            </w:r>
          </w:p>
        </w:tc>
      </w:tr>
      <w:tr w:rsidR="00E94000" w:rsidRPr="00E33EFF" w14:paraId="21C94D47" w14:textId="77777777" w:rsidTr="009C46FB">
        <w:trPr>
          <w:trHeight w:val="2160"/>
        </w:trPr>
        <w:tc>
          <w:tcPr>
            <w:tcW w:w="2855" w:type="dxa"/>
          </w:tcPr>
          <w:p w14:paraId="02F45BB8" w14:textId="77777777" w:rsidR="00E94000" w:rsidRPr="00E33EFF" w:rsidRDefault="00E94000" w:rsidP="00E94000">
            <w:pPr>
              <w:rPr>
                <w:rFonts w:eastAsia="Arial"/>
              </w:rPr>
            </w:pPr>
            <w:r w:rsidRPr="00E33EFF">
              <w:rPr>
                <w:rFonts w:eastAsia="Arial"/>
              </w:rPr>
              <w:t>Nacionalinis farmakoekonomikos centras, Airija</w:t>
            </w:r>
          </w:p>
          <w:p w14:paraId="736F5072" w14:textId="77777777" w:rsidR="00E94000" w:rsidRPr="00E33EFF" w:rsidRDefault="00E94000" w:rsidP="00E94000">
            <w:pPr>
              <w:rPr>
                <w:rFonts w:eastAsia="Arial"/>
              </w:rPr>
            </w:pPr>
            <w:r w:rsidRPr="00E33EFF">
              <w:rPr>
                <w:rFonts w:eastAsia="Arial"/>
              </w:rPr>
              <w:t>(angl.</w:t>
            </w:r>
            <w:r w:rsidRPr="00E33EFF">
              <w:rPr>
                <w:rFonts w:eastAsia="Arial"/>
                <w:i/>
              </w:rPr>
              <w:t xml:space="preserve"> National Centre for Pharmacoeconomics, NCPE</w:t>
            </w:r>
            <w:r w:rsidRPr="00E33EFF">
              <w:rPr>
                <w:rFonts w:eastAsia="Arial"/>
              </w:rPr>
              <w:t>)</w:t>
            </w:r>
          </w:p>
        </w:tc>
        <w:tc>
          <w:tcPr>
            <w:tcW w:w="1851" w:type="dxa"/>
          </w:tcPr>
          <w:p w14:paraId="106E24DF" w14:textId="21E6BFE4" w:rsidR="00E94000" w:rsidRPr="00E33EFF" w:rsidRDefault="00D244C9" w:rsidP="00E94000">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E94000" w:rsidRPr="00E33EFF">
              <w:t xml:space="preserve"> Taip</w:t>
            </w:r>
          </w:p>
          <w:p w14:paraId="6C89485D" w14:textId="77777777" w:rsidR="00E94000" w:rsidRPr="00E33EFF" w:rsidRDefault="00D244C9" w:rsidP="00E94000">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E94000" w:rsidRPr="00E33EFF">
                  <w:rPr>
                    <w:rStyle w:val="Style2"/>
                    <w:rFonts w:ascii="Segoe UI Symbol" w:eastAsia="MS Gothic" w:hAnsi="Segoe UI Symbol" w:cs="Segoe UI Symbol"/>
                    <w:sz w:val="24"/>
                  </w:rPr>
                  <w:t>☐</w:t>
                </w:r>
              </w:sdtContent>
            </w:sdt>
            <w:r w:rsidR="00E94000" w:rsidRPr="00E33EFF">
              <w:t xml:space="preserve"> Ne</w:t>
            </w:r>
          </w:p>
          <w:p w14:paraId="69AA1151" w14:textId="4EBE05ED" w:rsidR="00E94000" w:rsidRPr="00E33EFF" w:rsidRDefault="00D244C9" w:rsidP="00E94000">
            <w:pPr>
              <w:rPr>
                <w:rFonts w:eastAsia="Arial"/>
              </w:rPr>
            </w:pPr>
            <w:sdt>
              <w:sdtPr>
                <w:alias w:val="Nurodykite konkrečią dieną"/>
                <w:tag w:val="Nurodykite pradžios datą"/>
                <w:id w:val="-198323198"/>
                <w:placeholder>
                  <w:docPart w:val="40AF3785CE504884855318AE1D0A0756"/>
                </w:placeholder>
                <w15:color w:val="FFCC99"/>
                <w:date>
                  <w:dateFormat w:val="yyyy 'm.' MMMM d 'd.'"/>
                  <w:lid w:val="lt-LT"/>
                  <w:storeMappedDataAs w:val="dateTime"/>
                  <w:calendar w:val="gregorian"/>
                </w:date>
              </w:sdtPr>
              <w:sdtEndPr/>
              <w:sdtContent>
                <w:r w:rsidR="00E94000">
                  <w:t>2022 kovo 31 d.</w:t>
                </w:r>
              </w:sdtContent>
            </w:sdt>
          </w:p>
        </w:tc>
        <w:tc>
          <w:tcPr>
            <w:tcW w:w="4787" w:type="dxa"/>
            <w:gridSpan w:val="2"/>
          </w:tcPr>
          <w:p w14:paraId="60651AFD" w14:textId="682820A0" w:rsidR="00E94000" w:rsidRPr="00E33EFF" w:rsidRDefault="00E94000" w:rsidP="00E94000">
            <w:pPr>
              <w:rPr>
                <w:rFonts w:eastAsia="Arial"/>
              </w:rPr>
            </w:pPr>
            <w:r w:rsidRPr="00D800EF">
              <w:rPr>
                <w:rFonts w:eastAsia="Arial"/>
              </w:rPr>
              <w:t>NPCE rekomenduoja, kad risdiplamo kompensavimas nebūtų svarstomas, kol nebus pasiūlytas geresnis gydymo naudos ir kaštų santykis, lyginant su kitais esamais gydymo metodais.</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688C1828" w:rsidR="00D4485B" w:rsidRDefault="00D4485B" w:rsidP="00A93AA6">
      <w:pPr>
        <w:pStyle w:val="ListParagraph"/>
        <w:tabs>
          <w:tab w:val="left" w:pos="426"/>
        </w:tabs>
        <w:ind w:left="0"/>
        <w:rPr>
          <w:b/>
          <w:bCs/>
          <w:caps/>
        </w:rPr>
      </w:pPr>
    </w:p>
    <w:p w14:paraId="3E3A91B8" w14:textId="77777777" w:rsidR="00E94000" w:rsidRDefault="00E94000" w:rsidP="00E94000">
      <w:pPr>
        <w:tabs>
          <w:tab w:val="left" w:pos="426"/>
        </w:tabs>
        <w:spacing w:line="276" w:lineRule="auto"/>
        <w:jc w:val="both"/>
        <w:rPr>
          <w:rFonts w:eastAsia="Arial"/>
          <w:bCs/>
        </w:rPr>
      </w:pPr>
      <w:r w:rsidRPr="00D800EF">
        <w:rPr>
          <w:rFonts w:eastAsia="Arial"/>
          <w:bCs/>
        </w:rPr>
        <w:t>Spinalinė raumenų atrofija (SRA) yra progresuojanti nervų ir raumenų liga, paveldima autosominiu recesyviniu būdu. SRA dažnis yra apie 1 iš 10 000 gyvų gimusių naujagimių. Visas SRA formas lemia mutacijos SMN1 (</w:t>
      </w:r>
      <w:r w:rsidRPr="00D800EF">
        <w:rPr>
          <w:rFonts w:eastAsia="Arial"/>
          <w:bCs/>
          <w:i/>
          <w:iCs/>
        </w:rPr>
        <w:t>survival motor neuron 1</w:t>
      </w:r>
      <w:r w:rsidRPr="00D800EF">
        <w:rPr>
          <w:rFonts w:eastAsia="Arial"/>
          <w:bCs/>
        </w:rPr>
        <w:t>) gene, 5 chromosomos q11-q13 srityje. Antrasis SMN2 genas, esantis greta SMN1, lemia nepakankamą SMN baltymo, vadinamo motorinio neurono išgyvenamumo baltymu, gamybą. Žmogaus organizme SMN baltymą koduoja du genai: SMN1 ir SMN2. Nors SRA sukelia SMN1 geno mutacijos, įrodyta, kad ligos sunkumą lemia SMN2 genas: kuo daugiau SMN2 geno kopijų turi pacientas, tuo ligos forma bus lengvesnė. SRA sudėtingumas priklauso nuo amžiaus, kai prasideda liga, bei SMN2 geno kopijų skaičiaus. Nustatyta, kad amžius yra tiek prognostinis veiksnys, tiek gydymo poveikio modifikatorius. 1 tipo SRA dažnis yra apie 60% visų SRA pacientų, 2 tipo SRA dažnis yra apie 21% visų SRA pacientų, 3 tipo SRA dažnis yra apie 19% visų SRA sergančiųjų. Bendras SRA paplitimas yra apie 1-2/100000 gyventojų. Tikėtina, kad Lietuvoje per ateinančius 5 metus galėtų būti 12-22 pacientai (skaičiuota 2021-2025 m. laikotarpiui), kurie būtų gydomi risdiplamu pagal paraiškoje numatytą indikaciją.</w:t>
      </w:r>
    </w:p>
    <w:p w14:paraId="67F509B9" w14:textId="20CC68EF" w:rsidR="00E94000" w:rsidRDefault="00E94000" w:rsidP="00E94000">
      <w:pPr>
        <w:tabs>
          <w:tab w:val="left" w:pos="426"/>
        </w:tabs>
        <w:spacing w:line="276" w:lineRule="auto"/>
        <w:jc w:val="both"/>
        <w:rPr>
          <w:rFonts w:eastAsia="Arial"/>
          <w:bCs/>
        </w:rPr>
      </w:pPr>
      <w:r>
        <w:rPr>
          <w:rFonts w:eastAsia="Arial"/>
          <w:bCs/>
        </w:rPr>
        <w:tab/>
      </w:r>
      <w:r w:rsidRPr="00D800EF">
        <w:rPr>
          <w:rFonts w:eastAsia="Arial"/>
          <w:bCs/>
        </w:rPr>
        <w:t xml:space="preserve">Šiuo metu Lietuvoje nėra SRA gydymui </w:t>
      </w:r>
      <w:r>
        <w:rPr>
          <w:rFonts w:eastAsia="Arial"/>
          <w:bCs/>
        </w:rPr>
        <w:t>skiriamo</w:t>
      </w:r>
      <w:r w:rsidRPr="00D800EF">
        <w:rPr>
          <w:rFonts w:eastAsia="Arial"/>
          <w:bCs/>
        </w:rPr>
        <w:t xml:space="preserve"> preparato nei Kompensuojamų vaistų sąraše, nei Rezervinių vaistų sąraše. Dėl kiekvieno individualaus SRA atvejo yra teikiamas prašymas Labai retų žmogaus sveikatos būklių gydymo išlaidų kompensavimo komisijai (RLK) ir kiekvienas atvejis svarstomas atskirai. Labiausiai paplitęs ir ilgiausiai praktikoje naudojamas preparatas </w:t>
      </w:r>
      <w:r w:rsidR="0080770E">
        <w:rPr>
          <w:rFonts w:eastAsia="Arial"/>
          <w:bCs/>
        </w:rPr>
        <w:t xml:space="preserve">yra </w:t>
      </w:r>
      <w:r w:rsidRPr="00D800EF">
        <w:rPr>
          <w:rFonts w:eastAsia="Arial"/>
          <w:bCs/>
        </w:rPr>
        <w:t>nusinersenas. Nusinersenas yra priešprasmis oligonukleotidas (PPO), kuris didina egzono 7 įtraukimą į motoneurono išgyvenamumo geno 2 (angl. survival motor neuron 2, SMN2) informacinės ribonukleorūgšties (iRNR) transkriptus, taip skatindamas funkcionuojančio viso ilgio SMN baltymo sintezę.</w:t>
      </w:r>
      <w:r>
        <w:rPr>
          <w:rFonts w:eastAsia="Arial"/>
          <w:bCs/>
        </w:rPr>
        <w:t xml:space="preserve"> Įvertinus susiklosčiusią situaciją, p</w:t>
      </w:r>
      <w:r w:rsidRPr="00D800EF">
        <w:rPr>
          <w:rFonts w:eastAsia="Arial"/>
          <w:bCs/>
        </w:rPr>
        <w:t>alyginamasis gydymas nusinersenu atitinka Lietuvos Respublikos sveikatos apsaugos ministro 2002 m. balandžio 5 d. įsakymu Nr. V-159 „Dėl vaistinių preparatų ir medicinos pagalbos priemonių įrašymo į kompensavimo sąrašus ir jų keitimo tvarkos aprašo patvirtinimo“ 116 – 119 punktus.</w:t>
      </w:r>
    </w:p>
    <w:p w14:paraId="3E82DBCB" w14:textId="77777777" w:rsidR="00E94000" w:rsidRDefault="00E94000" w:rsidP="00E94000">
      <w:pPr>
        <w:tabs>
          <w:tab w:val="left" w:pos="284"/>
        </w:tabs>
        <w:spacing w:line="276" w:lineRule="auto"/>
        <w:jc w:val="both"/>
        <w:rPr>
          <w:rFonts w:eastAsia="Arial"/>
          <w:bCs/>
        </w:rPr>
      </w:pPr>
      <w:r>
        <w:rPr>
          <w:rFonts w:eastAsia="Arial"/>
          <w:bCs/>
        </w:rPr>
        <w:tab/>
        <w:t>Klinikinis risdiplamo veiksmingumas gydant 1, 2 ir 3 tipo SRA vertintas remiantis FIREFISH, SUNFISH tyrimais tiesioginiam palyginimui su geriausiu palaikomųoju gydymu ir NPA, lyginančia gydymą risdiplamu su gydymu nusinersenu.</w:t>
      </w:r>
    </w:p>
    <w:p w14:paraId="3D36CF91" w14:textId="77777777" w:rsidR="00E94000" w:rsidRPr="00AD1B72" w:rsidRDefault="00E94000" w:rsidP="00E94000">
      <w:pPr>
        <w:tabs>
          <w:tab w:val="left" w:pos="284"/>
        </w:tabs>
        <w:spacing w:line="276" w:lineRule="auto"/>
        <w:jc w:val="both"/>
        <w:rPr>
          <w:rFonts w:eastAsia="Arial"/>
          <w:bCs/>
          <w:i/>
        </w:rPr>
      </w:pPr>
      <w:r w:rsidRPr="00AD1B72">
        <w:rPr>
          <w:rFonts w:eastAsia="Arial"/>
          <w:bCs/>
          <w:i/>
        </w:rPr>
        <w:t>Tiesioginis palyginimas</w:t>
      </w:r>
    </w:p>
    <w:p w14:paraId="7AC5B8D3" w14:textId="77777777" w:rsidR="00E94000" w:rsidRPr="00BB4D15" w:rsidRDefault="00E94000" w:rsidP="00E94000">
      <w:pPr>
        <w:tabs>
          <w:tab w:val="left" w:pos="284"/>
        </w:tabs>
        <w:spacing w:line="276" w:lineRule="auto"/>
        <w:jc w:val="both"/>
        <w:rPr>
          <w:rFonts w:eastAsia="Arial"/>
          <w:bCs/>
          <w:lang w:val="en-US"/>
        </w:rPr>
      </w:pPr>
      <w:r>
        <w:rPr>
          <w:rFonts w:eastAsia="Arial"/>
          <w:bCs/>
        </w:rPr>
        <w:tab/>
        <w:t xml:space="preserve">Tiesioginio palyginimo rezultatai rodo, kad gydymas risdiplamu reikšmingai koreguoja natūralią ligos eigą. Esant natūraliai ligos eigai, </w:t>
      </w:r>
      <w:r w:rsidRPr="00332CF7">
        <w:rPr>
          <w:rFonts w:eastAsia="Arial"/>
          <w:bCs/>
          <w:u w:val="single"/>
        </w:rPr>
        <w:t>1 tipo SRA sergantys pacientai</w:t>
      </w:r>
      <w:r>
        <w:rPr>
          <w:rFonts w:eastAsia="Arial"/>
          <w:bCs/>
        </w:rPr>
        <w:t xml:space="preserve"> neišvysto motorinių įgūdžių ir niekada neišmoksta sėdėti be pagalbos. Remiantis FIREFISH tyrimu, po 12 mėnesių gydymo risdiplamu 29,3% pacientų gebėjo sėdėti be pagalbos bent 5 sekundes, atitikdami 22 punktą BSID-III motorinės funkcijos skalėje, ir tai yra daugiau už 5%, esant natūraliai ligos eigai (p&lt;0,0001). Taip pat risdiplamu gydyti pacientai pasiekė geresnių motorinio vystymosi tikslų pagal HINE-2 skalę, ilgiau išgyveno ir ilgiau gyveno be nuolatinės dirbtinės plaučių ventiliacijos nei esant natūraliai ligos eigai (78,0% lyginant su 12%, p&lt;0,0001, 92,7% ir 60%, p=0,0005, ir 85,4% ir 42%, p&lt;0,0001 atitinkamai). Duomenys po 24 mėnesių paremia pirminius rezultatus ir parodo, kad teigiamas risdiplamo poveikis išlieka ir motoriniai įgūdžiai neprarandami. Remiantis SUNFISH tyrimo rezultatais, </w:t>
      </w:r>
      <w:r w:rsidRPr="00332CF7">
        <w:rPr>
          <w:rFonts w:eastAsia="Arial"/>
          <w:bCs/>
          <w:u w:val="single"/>
        </w:rPr>
        <w:t xml:space="preserve">2 ir 3 </w:t>
      </w:r>
      <w:r>
        <w:rPr>
          <w:rFonts w:eastAsia="Arial"/>
          <w:bCs/>
          <w:u w:val="single"/>
        </w:rPr>
        <w:t xml:space="preserve">tipo </w:t>
      </w:r>
      <w:r w:rsidRPr="00332CF7">
        <w:rPr>
          <w:rFonts w:eastAsia="Arial"/>
          <w:bCs/>
          <w:u w:val="single"/>
        </w:rPr>
        <w:t>SRA pacientai,</w:t>
      </w:r>
      <w:r>
        <w:rPr>
          <w:rFonts w:eastAsia="Arial"/>
          <w:bCs/>
        </w:rPr>
        <w:t xml:space="preserve"> gydomi risdiplamu įgyja daugiau motorinių įgūdžių lyginant su gydymu placebo (MFM32 vidutinis įverčio pokytis nuo pradinio 1,36 lyginant su -0,19, p=0,0156; MFM32 skalės pokytis 3 ir daugiau balo 38,3% lyginant su 23,47%, p=0,0469). Šiuos rezultatus paremia ir RULM skalės įverčio pokytis, kuris buvo didesnis risdiplamo grupėje (1,61 ir 0,02, p=0,0028). Reikšmingų pokyčių pagal HFMSE, CGIC ir SMAIS skales nenustatyta, taip pat nebuvo </w:t>
      </w:r>
      <w:r>
        <w:rPr>
          <w:rFonts w:eastAsia="Arial"/>
          <w:bCs/>
        </w:rPr>
        <w:lastRenderedPageBreak/>
        <w:t>reikšmingo pokyčio kvėpavimo funkcijai. Papildomi duomenys po 24 mėnesių rodo, kad įgyti motoriniai įgūdžiai neprarandami ir papildo risdiplamo veiksmingumo rezultatus.</w:t>
      </w:r>
    </w:p>
    <w:p w14:paraId="0E507DFA" w14:textId="77777777" w:rsidR="00E94000" w:rsidRDefault="00E94000" w:rsidP="00E94000">
      <w:pPr>
        <w:tabs>
          <w:tab w:val="left" w:pos="492"/>
        </w:tabs>
        <w:spacing w:line="276" w:lineRule="auto"/>
        <w:jc w:val="both"/>
        <w:outlineLvl w:val="1"/>
        <w:rPr>
          <w:rFonts w:eastAsia="Arial"/>
          <w:bCs/>
        </w:rPr>
      </w:pPr>
      <w:r>
        <w:rPr>
          <w:rFonts w:eastAsia="Arial"/>
          <w:bCs/>
        </w:rPr>
        <w:tab/>
        <w:t xml:space="preserve">Netiesioginio palyginimo </w:t>
      </w:r>
      <w:r w:rsidRPr="00332CF7">
        <w:rPr>
          <w:rFonts w:eastAsia="Arial"/>
          <w:bCs/>
          <w:u w:val="single"/>
        </w:rPr>
        <w:t>NPA 1 tipo SRA</w:t>
      </w:r>
      <w:r>
        <w:rPr>
          <w:rFonts w:eastAsia="Arial"/>
          <w:bCs/>
        </w:rPr>
        <w:t xml:space="preserve"> rezultatai parodė, kad gydymas risdiplamu galimai prailgina  bendro išgyvenamumo ir išgyvenamumo be įvykių (RS=0,261, 95% pasikliautinas intervalas (PI): 0,030-0,546; RS</w:t>
      </w:r>
      <w:r>
        <w:rPr>
          <w:rFonts w:eastAsia="Arial"/>
          <w:bCs/>
          <w:lang w:val="en-GB"/>
        </w:rPr>
        <w:t>=</w:t>
      </w:r>
      <w:r>
        <w:rPr>
          <w:rFonts w:eastAsia="Arial"/>
          <w:bCs/>
        </w:rPr>
        <w:t xml:space="preserve">0,197, 95% PI: (0,065-0,0370), palyginus su nusinersenu. </w:t>
      </w:r>
    </w:p>
    <w:p w14:paraId="40FD9518" w14:textId="77777777" w:rsidR="00E94000" w:rsidRPr="00666702" w:rsidRDefault="00E94000" w:rsidP="00E94000">
      <w:pPr>
        <w:tabs>
          <w:tab w:val="left" w:pos="492"/>
        </w:tabs>
        <w:spacing w:line="276" w:lineRule="auto"/>
        <w:jc w:val="both"/>
        <w:outlineLvl w:val="1"/>
        <w:rPr>
          <w:rFonts w:eastAsia="Arial"/>
          <w:bCs/>
          <w:i/>
        </w:rPr>
      </w:pPr>
      <w:r w:rsidRPr="00666702">
        <w:rPr>
          <w:rFonts w:eastAsia="Arial"/>
          <w:bCs/>
          <w:i/>
        </w:rPr>
        <w:t>Netiesioginis palyginimas</w:t>
      </w:r>
    </w:p>
    <w:p w14:paraId="5B4D992D" w14:textId="77777777" w:rsidR="00E94000" w:rsidRDefault="00E94000" w:rsidP="00E94000">
      <w:pPr>
        <w:tabs>
          <w:tab w:val="left" w:pos="492"/>
        </w:tabs>
        <w:spacing w:line="276" w:lineRule="auto"/>
        <w:jc w:val="both"/>
        <w:outlineLvl w:val="1"/>
        <w:rPr>
          <w:rFonts w:eastAsia="Arial"/>
          <w:bCs/>
        </w:rPr>
      </w:pPr>
      <w:r>
        <w:rPr>
          <w:rFonts w:eastAsia="Arial"/>
          <w:bCs/>
        </w:rPr>
        <w:tab/>
      </w:r>
      <w:r w:rsidRPr="00332CF7">
        <w:rPr>
          <w:rFonts w:eastAsia="Arial"/>
          <w:bCs/>
          <w:u w:val="single"/>
        </w:rPr>
        <w:t>NPA 2 ir 3 tipo SRA</w:t>
      </w:r>
      <w:r>
        <w:rPr>
          <w:rFonts w:eastAsia="Arial"/>
          <w:bCs/>
        </w:rPr>
        <w:t xml:space="preserve">. Lyginant risdiplamą su nusinersenu, RULM vidutinis pokytis nuo pradinio įverčio buvo -0,60 (95% PI (-2,24;1,22), N=1000 </w:t>
      </w:r>
      <w:r w:rsidRPr="00AA077B">
        <w:rPr>
          <w:rFonts w:eastAsia="Arial"/>
          <w:bCs/>
          <w:i/>
          <w:iCs/>
        </w:rPr>
        <w:t>Bootstrap</w:t>
      </w:r>
      <w:r>
        <w:rPr>
          <w:rFonts w:eastAsia="Arial"/>
          <w:bCs/>
        </w:rPr>
        <w:t xml:space="preserve"> imčių, </w:t>
      </w:r>
      <w:r>
        <w:rPr>
          <w:rFonts w:eastAsia="Arial"/>
          <w:bCs/>
          <w:i/>
          <w:iCs/>
        </w:rPr>
        <w:t>Bucher</w:t>
      </w:r>
      <w:r>
        <w:rPr>
          <w:rFonts w:eastAsia="Arial"/>
          <w:bCs/>
        </w:rPr>
        <w:t xml:space="preserve"> metodas). Risdiplamu gydyti 2 ir 3 tipo SRA sergantys pacientai turėjo didesnę tikimybę RULM įverčiui padidėti 2 ir daugiau balų (galimybių santykis (GS) 2,66 (95% PI (0,76;12,74), N=1000 </w:t>
      </w:r>
      <w:r w:rsidRPr="00AA077B">
        <w:rPr>
          <w:rFonts w:eastAsia="Arial"/>
          <w:bCs/>
          <w:i/>
          <w:iCs/>
        </w:rPr>
        <w:t>Bootstrap</w:t>
      </w:r>
      <w:r>
        <w:rPr>
          <w:rFonts w:eastAsia="Arial"/>
          <w:bCs/>
        </w:rPr>
        <w:t xml:space="preserve"> imčių). Tačiau remiantis šiais rezultatais  risdiplamas nėra pranašesnis už nusinerseną, gydant sergančius  2 ir 3 tipo SRA pacientus, </w:t>
      </w:r>
    </w:p>
    <w:p w14:paraId="4AFA3CEC" w14:textId="3A243E5F" w:rsidR="00E94000" w:rsidRDefault="00E94000" w:rsidP="00E94000">
      <w:pPr>
        <w:tabs>
          <w:tab w:val="left" w:pos="492"/>
        </w:tabs>
        <w:spacing w:line="276" w:lineRule="auto"/>
        <w:jc w:val="both"/>
        <w:outlineLvl w:val="1"/>
        <w:rPr>
          <w:rFonts w:eastAsia="Arial"/>
          <w:bCs/>
        </w:rPr>
      </w:pPr>
      <w:r>
        <w:rPr>
          <w:rFonts w:eastAsia="Arial"/>
          <w:bCs/>
        </w:rPr>
        <w:tab/>
        <w:t>Saugumo analizėje nenustatyta reikšmingų saugumo problemų, tačiau pažymėtina, kad pacientai, kurie gydomi risdiplamu, dažniau sirgo plaučių uždegimu arba jiems pasireiškė plaučių funkcijos nepakankamumas</w:t>
      </w:r>
      <w:r w:rsidR="0080770E">
        <w:rPr>
          <w:rFonts w:eastAsia="Arial"/>
          <w:bCs/>
        </w:rPr>
        <w:t>. Šis nepageidaujamas</w:t>
      </w:r>
      <w:r>
        <w:rPr>
          <w:rFonts w:eastAsia="Arial"/>
          <w:bCs/>
        </w:rPr>
        <w:t xml:space="preserve"> gydymo risdiplamu reiškinys dažniau atsiranda per pirmus gydymo metus, tačiau gydymo trukmei ilgėjant plaučių uždegimo dažnis mažėja. Bendrai, su gydymu susijusių mirčių ir gydymo nutraukimo nebuvo. Rimtų NR dažnis 47,6% vertinant FIREFISH duomenimis, 29,4% SUNFISH tyrimo I dalies duomenimis ir 20,0% II dalies duomenimis. FIREFISH tyrime dažniausi risdiplamo NR buvo viršutinių kvėpavimo takų infekcija, pneumonija, karščiavimas, vidurių užkietėjimas, nazofaringitas ir rinitas. SUNFISH tyrimo I dalyje dažniausi NR buvo karščiavimas, kosulys, vėmimas, viršutinių kvėpavimo takų infekcija, burnaryklės skausmas, nazofaringitas. SUNFISH tyrimo II dalyje dažniausi NR viršutinių kvėpavimo takų infekcija ir nazofaringitas, kurių dažnis tarp risdiplamo ir placebo grupių buvo panašus; karščiavimas, galvos skausmas ir viduriavimas, kurie buvo dažnesni risdiplamo grupėje; vėmimas ir bronchitas, kurie buvo dažnesni placebo grupėje.  JEWELFISH tyrimo duomenys rodo panašų risdiplamo saugumo profilį ir papildo FIREFISH ir SUNFISH tyrimo duomenis. NPA saugumo analizei naudoti saugumo duomenys iš visų aptartų tyrimų. Su gydymu susijusių ir galimai su gydymu susijusių NR dažnis tarp risdiplamo ir nusinerseno grupių buvo panašus, tuo tarpu risdiplamo grupėje nebuvo NR, lėmusių gydymo nutraukimą, nusinerseno grupėje tokių NR dažnis buvo 8%. Atsižvelgiant į pateiktus rezultatus tikėtina, kad risdiplamas ir nusinersenas yra panašaus arba nesiskiriančio saugumo. </w:t>
      </w:r>
    </w:p>
    <w:p w14:paraId="6187B6A8" w14:textId="7546EDB2" w:rsidR="00E94000" w:rsidRDefault="00E94000" w:rsidP="00E94000">
      <w:pPr>
        <w:tabs>
          <w:tab w:val="left" w:pos="492"/>
        </w:tabs>
        <w:spacing w:line="276" w:lineRule="auto"/>
        <w:ind w:firstLine="492"/>
        <w:jc w:val="both"/>
        <w:outlineLvl w:val="1"/>
        <w:rPr>
          <w:rFonts w:eastAsia="Arial"/>
          <w:bCs/>
        </w:rPr>
      </w:pPr>
      <w:r>
        <w:rPr>
          <w:rFonts w:eastAsia="Arial"/>
          <w:color w:val="00B050"/>
        </w:rPr>
        <w:tab/>
      </w:r>
      <w:r>
        <w:rPr>
          <w:rFonts w:eastAsia="Arial"/>
          <w:bCs/>
        </w:rPr>
        <w:t>Apibendrinant, gydymas risdiplamu yra efektyvesnis nei geriausias palaikomasis gydymas ar gydymas placebu. Taip pat tikėtina, kad risdiplamas yra efektyvesnis, nei nusinersenas, gydant 1 tipo SRA sergančius pacientus, tačiau tiesioginio palyginimo tyrimo rezultatų, kurie galėtų patvirtinti netiesioginio palyginimo rezultatais, šiuo metu nėra. Todėl, atsižvelgiant į pateiktus tiesioginio ir netiesioginio palyginimo analizes, tikėtina, kad risdiplamas ir nusinersenas yra panašaus arba nesiskiriančio veiksmingumo vaistiniai preparatai.</w:t>
      </w:r>
    </w:p>
    <w:p w14:paraId="633837E4" w14:textId="1B823D78" w:rsidR="00E2229C" w:rsidRDefault="00E2229C" w:rsidP="00E2229C">
      <w:pPr>
        <w:tabs>
          <w:tab w:val="left" w:pos="492"/>
        </w:tabs>
        <w:spacing w:line="276" w:lineRule="auto"/>
        <w:jc w:val="both"/>
        <w:outlineLvl w:val="1"/>
        <w:rPr>
          <w:rFonts w:eastAsia="Arial"/>
          <w:bCs/>
        </w:rPr>
      </w:pPr>
      <w:r>
        <w:rPr>
          <w:rFonts w:eastAsia="Arial"/>
          <w:bCs/>
        </w:rPr>
        <w:tab/>
        <w:t xml:space="preserve">Gydymas risdiplamu turėtų </w:t>
      </w:r>
      <w:r w:rsidRPr="005838C0">
        <w:t xml:space="preserve">būti </w:t>
      </w:r>
      <w:r>
        <w:t>skirtas</w:t>
      </w:r>
      <w:r w:rsidRPr="005838C0">
        <w:t xml:space="preserve"> atsižvelgiant į ligos </w:t>
      </w:r>
      <w:r>
        <w:t>tipą</w:t>
      </w:r>
      <w:r w:rsidRPr="005838C0">
        <w:t xml:space="preserve">, kuris vertinamas pagal </w:t>
      </w:r>
      <w:r>
        <w:t xml:space="preserve">molekulinius genetinius tyrimus, </w:t>
      </w:r>
      <w:r w:rsidRPr="005838C0">
        <w:t xml:space="preserve">apžiūros </w:t>
      </w:r>
      <w:r>
        <w:t>ir klinikinio</w:t>
      </w:r>
      <w:r w:rsidRPr="005838C0">
        <w:t xml:space="preserve"> </w:t>
      </w:r>
      <w:r>
        <w:t xml:space="preserve">vertinimo </w:t>
      </w:r>
      <w:r w:rsidRPr="005838C0">
        <w:t xml:space="preserve">metodais nustatytais </w:t>
      </w:r>
      <w:r>
        <w:t xml:space="preserve">motorinio vystymosi, </w:t>
      </w:r>
      <w:r w:rsidRPr="005838C0">
        <w:t xml:space="preserve"> </w:t>
      </w:r>
      <w:r>
        <w:t xml:space="preserve">plaučių funkcijos, gebėjimo maitinis, sėdėti ir/arba vaikščioti be pagalbos </w:t>
      </w:r>
      <w:r w:rsidRPr="005838C0">
        <w:t xml:space="preserve">rezultatais ir laikantis atitinkamo vaistinio preparato Preparatų charakteristikų santraukoje išdėstytų dozavimo nurodymų. </w:t>
      </w:r>
    </w:p>
    <w:p w14:paraId="3D19B72E" w14:textId="22D492BC" w:rsidR="00E2229C" w:rsidRDefault="00E2229C" w:rsidP="00E94000">
      <w:pPr>
        <w:tabs>
          <w:tab w:val="left" w:pos="492"/>
        </w:tabs>
        <w:spacing w:line="276" w:lineRule="auto"/>
        <w:ind w:firstLine="492"/>
        <w:jc w:val="both"/>
        <w:outlineLvl w:val="1"/>
        <w:rPr>
          <w:rFonts w:eastAsia="Arial"/>
          <w:bCs/>
        </w:rPr>
      </w:pPr>
    </w:p>
    <w:p w14:paraId="500DEF18" w14:textId="758699C8" w:rsidR="002A1C4F" w:rsidRDefault="002A1C4F" w:rsidP="00E94000">
      <w:pPr>
        <w:tabs>
          <w:tab w:val="left" w:pos="492"/>
        </w:tabs>
        <w:spacing w:line="276" w:lineRule="auto"/>
        <w:ind w:firstLine="492"/>
        <w:jc w:val="both"/>
        <w:outlineLvl w:val="1"/>
        <w:rPr>
          <w:rFonts w:eastAsia="Arial"/>
          <w:bCs/>
        </w:rPr>
      </w:pPr>
    </w:p>
    <w:p w14:paraId="47C68BC3" w14:textId="225C2CB7" w:rsidR="002A1C4F" w:rsidRDefault="002A1C4F" w:rsidP="00E94000">
      <w:pPr>
        <w:tabs>
          <w:tab w:val="left" w:pos="492"/>
        </w:tabs>
        <w:spacing w:line="276" w:lineRule="auto"/>
        <w:ind w:firstLine="492"/>
        <w:jc w:val="both"/>
        <w:outlineLvl w:val="1"/>
        <w:rPr>
          <w:rFonts w:eastAsia="Arial"/>
          <w:bCs/>
        </w:rPr>
      </w:pPr>
    </w:p>
    <w:p w14:paraId="37C5392D" w14:textId="5CA82212" w:rsidR="002A1C4F" w:rsidRPr="00E94000" w:rsidRDefault="002A1C4F" w:rsidP="00E94000">
      <w:pPr>
        <w:tabs>
          <w:tab w:val="left" w:pos="492"/>
        </w:tabs>
        <w:spacing w:line="276" w:lineRule="auto"/>
        <w:ind w:firstLine="492"/>
        <w:jc w:val="both"/>
        <w:outlineLvl w:val="1"/>
        <w:rPr>
          <w:rFonts w:eastAsia="Arial"/>
          <w:bCs/>
        </w:rPr>
      </w:pPr>
    </w:p>
    <w:p w14:paraId="42AAE749" w14:textId="77777777" w:rsidR="00E94000" w:rsidRPr="00E33EFF" w:rsidRDefault="00E94000"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lastRenderedPageBreak/>
        <w:t xml:space="preserve">ekonominio vertinimo </w:t>
      </w:r>
      <w:r w:rsidR="002F0E4F" w:rsidRPr="00E33EFF">
        <w:rPr>
          <w:b/>
          <w:bCs/>
          <w:caps/>
        </w:rPr>
        <w:t>apibendrinimas</w:t>
      </w:r>
    </w:p>
    <w:p w14:paraId="1A900598" w14:textId="5417F495" w:rsidR="00C62B36" w:rsidRDefault="00C62B36" w:rsidP="00A93AA6">
      <w:pPr>
        <w:tabs>
          <w:tab w:val="left" w:pos="426"/>
        </w:tabs>
        <w:rPr>
          <w:i/>
          <w:color w:val="00B050"/>
          <w:sz w:val="22"/>
          <w:szCs w:val="22"/>
        </w:rPr>
      </w:pPr>
    </w:p>
    <w:p w14:paraId="360EEA8C" w14:textId="723393FC" w:rsidR="00E94000" w:rsidRPr="00E94000" w:rsidRDefault="00E94000" w:rsidP="00E94000">
      <w:pPr>
        <w:spacing w:line="280" w:lineRule="atLeast"/>
        <w:jc w:val="both"/>
        <w:rPr>
          <w:lang w:eastAsia="lt-LT"/>
        </w:rPr>
      </w:pPr>
      <w:r>
        <w:rPr>
          <w:iCs/>
          <w:lang w:eastAsia="lt-LT"/>
        </w:rPr>
        <w:t xml:space="preserve">Vertinimui pateikta kaštų mažinimo analizė, kurioje lyginami vaistų įsigijimo ir </w:t>
      </w:r>
      <w:r w:rsidR="002A1C4F">
        <w:rPr>
          <w:iCs/>
          <w:lang w:eastAsia="lt-LT"/>
        </w:rPr>
        <w:t>vartojimo</w:t>
      </w:r>
      <w:r>
        <w:rPr>
          <w:iCs/>
          <w:lang w:eastAsia="lt-LT"/>
        </w:rPr>
        <w:t xml:space="preserve"> kaštai. Vaistų </w:t>
      </w:r>
      <w:r w:rsidR="002A1C4F">
        <w:rPr>
          <w:iCs/>
          <w:lang w:eastAsia="lt-LT"/>
        </w:rPr>
        <w:t>vartojimo</w:t>
      </w:r>
      <w:r>
        <w:rPr>
          <w:iCs/>
          <w:lang w:eastAsia="lt-LT"/>
        </w:rPr>
        <w:t xml:space="preserve"> kaštai taikomi tik nusinersenui, nes nusinersenas vartojamas juosmenine punkcija. Analizėje nenagrinėjami nepageidaujamų reakcijų valdymo kaštai, todėl, nes laikoma, jog nagrinėjamų vaistų saugumo profilis yra panašus. Pareiškėjui pateikus scenarijų, kuriame nepageidaujamų reakcijų kaštai yra įtraukiami – taikoma prielaida pasitvirtina, abiejų palyginamųjų kaštai nepageidaujamų reakcijų valdymui yra panašūs. Tarnyba pateikia analizės rezultato perskaičiavimą taikant atnaujintas kainas, taip pat pritaikius 2023-03-22 d. Pareiškėjo atnaujintą PGS bei su konfidencialia </w:t>
      </w:r>
      <w:r w:rsidRPr="00311D9A">
        <w:rPr>
          <w:iCs/>
          <w:u w:val="single"/>
          <w:lang w:eastAsia="lt-LT"/>
        </w:rPr>
        <w:t>nusinerseno</w:t>
      </w:r>
      <w:r>
        <w:rPr>
          <w:iCs/>
          <w:lang w:eastAsia="lt-LT"/>
        </w:rPr>
        <w:t xml:space="preserve"> kaina. </w:t>
      </w:r>
      <w:r>
        <w:rPr>
          <w:lang w:eastAsia="lt-LT"/>
        </w:rPr>
        <w:t xml:space="preserve">Kadangi remiantis preparatų charakteristikų santraukomis, vaistų vartojimas nėra apribotas – vaistai vartojami visą gyvenimą, o vartojant risdiplamą kaštai yra taupomi tik pirmais metais (dėl nusinerseno dozavimo ypatumų), Tarnyba laiko, jog kaštų taupymas turi būti pasiekiamas </w:t>
      </w:r>
      <w:r w:rsidRPr="004E730F">
        <w:rPr>
          <w:i/>
          <w:lang w:eastAsia="lt-LT"/>
        </w:rPr>
        <w:t>kiekvienais</w:t>
      </w:r>
      <w:r>
        <w:rPr>
          <w:lang w:eastAsia="lt-LT"/>
        </w:rPr>
        <w:t xml:space="preserve"> vaisto skyrimo/vartojimo metais (atsižvelgiant, jog nuo 2-ų vaisto skyrimo metų kaštai nesikeičia). Dėl šios priežasties laikoma, jog kaštų mažinimas analizėje yra nepasiektas ir gydymas risdiplamu yra brangesnis nei gydymas nusinersenu.</w:t>
      </w:r>
    </w:p>
    <w:p w14:paraId="797E4A6F" w14:textId="77777777" w:rsidR="00E94000" w:rsidRPr="00E33EFF" w:rsidRDefault="00E94000"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8"/>
        <w:gridCol w:w="1507"/>
        <w:gridCol w:w="1337"/>
        <w:gridCol w:w="1337"/>
        <w:gridCol w:w="1337"/>
        <w:gridCol w:w="1296"/>
        <w:gridCol w:w="1296"/>
      </w:tblGrid>
      <w:tr w:rsidR="00E94000" w:rsidRPr="00072F5D" w14:paraId="3C52CF39" w14:textId="77777777" w:rsidTr="00905B0C">
        <w:trPr>
          <w:trHeight w:val="364"/>
          <w:jc w:val="center"/>
        </w:trPr>
        <w:tc>
          <w:tcPr>
            <w:tcW w:w="9908" w:type="dxa"/>
            <w:gridSpan w:val="7"/>
            <w:vAlign w:val="center"/>
          </w:tcPr>
          <w:p w14:paraId="1D901A6F" w14:textId="77777777" w:rsidR="00E94000" w:rsidRPr="00856762" w:rsidRDefault="00E94000" w:rsidP="00905B0C">
            <w:pPr>
              <w:tabs>
                <w:tab w:val="left" w:pos="567"/>
              </w:tabs>
              <w:jc w:val="center"/>
              <w:rPr>
                <w:b/>
                <w:i/>
                <w:iCs/>
                <w:color w:val="00B050"/>
                <w:sz w:val="22"/>
                <w:szCs w:val="22"/>
                <w:lang w:eastAsia="lt-LT"/>
              </w:rPr>
            </w:pPr>
            <w:r w:rsidRPr="00856762">
              <w:rPr>
                <w:b/>
                <w:lang w:eastAsia="lt-LT"/>
              </w:rPr>
              <w:t>Kaštai</w:t>
            </w:r>
          </w:p>
        </w:tc>
      </w:tr>
      <w:tr w:rsidR="00E94000" w:rsidRPr="00072F5D" w14:paraId="79C31A23" w14:textId="77777777" w:rsidTr="00905B0C">
        <w:trPr>
          <w:jc w:val="center"/>
        </w:trPr>
        <w:tc>
          <w:tcPr>
            <w:tcW w:w="1798" w:type="dxa"/>
          </w:tcPr>
          <w:p w14:paraId="4FE47F58" w14:textId="77777777" w:rsidR="00E94000" w:rsidRPr="00856762" w:rsidRDefault="00E94000" w:rsidP="00905B0C">
            <w:pPr>
              <w:tabs>
                <w:tab w:val="left" w:pos="567"/>
              </w:tabs>
              <w:jc w:val="both"/>
              <w:rPr>
                <w:color w:val="00B050"/>
                <w:lang w:eastAsia="lt-LT"/>
              </w:rPr>
            </w:pPr>
          </w:p>
        </w:tc>
        <w:tc>
          <w:tcPr>
            <w:tcW w:w="1507" w:type="dxa"/>
          </w:tcPr>
          <w:p w14:paraId="0BF6314F" w14:textId="77777777" w:rsidR="00E94000" w:rsidRPr="00856762" w:rsidRDefault="00E94000" w:rsidP="00905B0C">
            <w:pPr>
              <w:tabs>
                <w:tab w:val="left" w:pos="567"/>
              </w:tabs>
              <w:jc w:val="both"/>
              <w:rPr>
                <w:i/>
                <w:iCs/>
                <w:lang w:eastAsia="lt-LT"/>
              </w:rPr>
            </w:pPr>
            <w:r w:rsidRPr="00856762">
              <w:rPr>
                <w:i/>
                <w:iCs/>
                <w:lang w:eastAsia="lt-LT"/>
              </w:rPr>
              <w:t>1 metai</w:t>
            </w:r>
          </w:p>
        </w:tc>
        <w:tc>
          <w:tcPr>
            <w:tcW w:w="1337" w:type="dxa"/>
          </w:tcPr>
          <w:p w14:paraId="7ECE4B1C" w14:textId="77777777" w:rsidR="00E94000" w:rsidRPr="00856762" w:rsidRDefault="00E94000" w:rsidP="00905B0C">
            <w:pPr>
              <w:tabs>
                <w:tab w:val="left" w:pos="567"/>
              </w:tabs>
              <w:jc w:val="both"/>
              <w:rPr>
                <w:i/>
                <w:iCs/>
                <w:lang w:eastAsia="lt-LT"/>
              </w:rPr>
            </w:pPr>
            <w:r w:rsidRPr="00856762">
              <w:rPr>
                <w:i/>
                <w:iCs/>
                <w:lang w:eastAsia="lt-LT"/>
              </w:rPr>
              <w:t>2 metai</w:t>
            </w:r>
          </w:p>
        </w:tc>
        <w:tc>
          <w:tcPr>
            <w:tcW w:w="1337" w:type="dxa"/>
          </w:tcPr>
          <w:p w14:paraId="4B245FD7" w14:textId="77777777" w:rsidR="00E94000" w:rsidRPr="00856762" w:rsidRDefault="00E94000" w:rsidP="00905B0C">
            <w:pPr>
              <w:tabs>
                <w:tab w:val="left" w:pos="567"/>
              </w:tabs>
              <w:jc w:val="both"/>
              <w:rPr>
                <w:i/>
                <w:lang w:eastAsia="lt-LT"/>
              </w:rPr>
            </w:pPr>
            <w:r w:rsidRPr="00856762">
              <w:rPr>
                <w:i/>
                <w:lang w:eastAsia="lt-LT"/>
              </w:rPr>
              <w:t>3 metai</w:t>
            </w:r>
          </w:p>
        </w:tc>
        <w:tc>
          <w:tcPr>
            <w:tcW w:w="1337" w:type="dxa"/>
          </w:tcPr>
          <w:p w14:paraId="4D7D9FE2" w14:textId="77777777" w:rsidR="00E94000" w:rsidRPr="00856762" w:rsidRDefault="00E94000" w:rsidP="00905B0C">
            <w:pPr>
              <w:tabs>
                <w:tab w:val="left" w:pos="567"/>
              </w:tabs>
              <w:jc w:val="both"/>
              <w:rPr>
                <w:i/>
                <w:lang w:eastAsia="lt-LT"/>
              </w:rPr>
            </w:pPr>
            <w:r w:rsidRPr="00856762">
              <w:rPr>
                <w:i/>
                <w:lang w:eastAsia="lt-LT"/>
              </w:rPr>
              <w:t>4 metai</w:t>
            </w:r>
          </w:p>
        </w:tc>
        <w:tc>
          <w:tcPr>
            <w:tcW w:w="1296" w:type="dxa"/>
          </w:tcPr>
          <w:p w14:paraId="676B86B4" w14:textId="77777777" w:rsidR="00E94000" w:rsidRPr="00856762" w:rsidRDefault="00E94000" w:rsidP="00905B0C">
            <w:pPr>
              <w:tabs>
                <w:tab w:val="left" w:pos="567"/>
              </w:tabs>
              <w:jc w:val="both"/>
              <w:rPr>
                <w:i/>
                <w:lang w:eastAsia="lt-LT"/>
              </w:rPr>
            </w:pPr>
            <w:r w:rsidRPr="00856762">
              <w:rPr>
                <w:i/>
                <w:lang w:eastAsia="lt-LT"/>
              </w:rPr>
              <w:t>5 metai</w:t>
            </w:r>
          </w:p>
          <w:p w14:paraId="231B8CEC" w14:textId="77777777" w:rsidR="00E94000" w:rsidRPr="00856762" w:rsidRDefault="00E94000" w:rsidP="00905B0C">
            <w:pPr>
              <w:tabs>
                <w:tab w:val="left" w:pos="567"/>
              </w:tabs>
              <w:jc w:val="both"/>
              <w:rPr>
                <w:i/>
                <w:lang w:eastAsia="lt-LT"/>
              </w:rPr>
            </w:pPr>
          </w:p>
        </w:tc>
        <w:tc>
          <w:tcPr>
            <w:tcW w:w="1296" w:type="dxa"/>
          </w:tcPr>
          <w:p w14:paraId="72F9F1EE" w14:textId="77777777" w:rsidR="00E94000" w:rsidRPr="00856762" w:rsidRDefault="00E94000" w:rsidP="00905B0C">
            <w:pPr>
              <w:tabs>
                <w:tab w:val="left" w:pos="567"/>
              </w:tabs>
              <w:jc w:val="both"/>
              <w:rPr>
                <w:i/>
                <w:lang w:eastAsia="lt-LT"/>
              </w:rPr>
            </w:pPr>
            <w:r>
              <w:rPr>
                <w:i/>
                <w:lang w:eastAsia="lt-LT"/>
              </w:rPr>
              <w:t>Sekantys metai</w:t>
            </w:r>
          </w:p>
        </w:tc>
      </w:tr>
      <w:tr w:rsidR="00E94000" w:rsidRPr="00072F5D" w14:paraId="73594759" w14:textId="77777777" w:rsidTr="00905B0C">
        <w:trPr>
          <w:jc w:val="center"/>
        </w:trPr>
        <w:tc>
          <w:tcPr>
            <w:tcW w:w="1798" w:type="dxa"/>
          </w:tcPr>
          <w:p w14:paraId="4CCEB975" w14:textId="77777777" w:rsidR="00E94000" w:rsidRPr="00856762" w:rsidRDefault="00E94000" w:rsidP="00905B0C">
            <w:pPr>
              <w:tabs>
                <w:tab w:val="left" w:pos="567"/>
              </w:tabs>
              <w:jc w:val="both"/>
              <w:rPr>
                <w:lang w:eastAsia="lt-LT"/>
              </w:rPr>
            </w:pPr>
            <w:r w:rsidRPr="00856762">
              <w:rPr>
                <w:lang w:eastAsia="lt-LT"/>
              </w:rPr>
              <w:t>Risdiplam</w:t>
            </w:r>
          </w:p>
        </w:tc>
        <w:tc>
          <w:tcPr>
            <w:tcW w:w="1507" w:type="dxa"/>
          </w:tcPr>
          <w:p w14:paraId="31ADAA60" w14:textId="3B718786" w:rsidR="00E94000" w:rsidRPr="00856762" w:rsidRDefault="00045DB2" w:rsidP="00905B0C">
            <w:pPr>
              <w:tabs>
                <w:tab w:val="left" w:pos="567"/>
              </w:tabs>
              <w:jc w:val="both"/>
              <w:rPr>
                <w:i/>
                <w:iCs/>
                <w:lang w:eastAsia="lt-LT"/>
              </w:rPr>
            </w:pPr>
            <w:r>
              <w:rPr>
                <w:i/>
                <w:iCs/>
                <w:lang w:eastAsia="lt-LT"/>
              </w:rPr>
              <w:t>******</w:t>
            </w:r>
          </w:p>
        </w:tc>
        <w:tc>
          <w:tcPr>
            <w:tcW w:w="1337" w:type="dxa"/>
          </w:tcPr>
          <w:p w14:paraId="6E6DFBCA" w14:textId="50C57FB8" w:rsidR="00E94000" w:rsidRPr="00856762" w:rsidRDefault="00045DB2" w:rsidP="00905B0C">
            <w:pPr>
              <w:tabs>
                <w:tab w:val="left" w:pos="567"/>
              </w:tabs>
              <w:jc w:val="both"/>
              <w:rPr>
                <w:i/>
                <w:iCs/>
                <w:lang w:eastAsia="lt-LT"/>
              </w:rPr>
            </w:pPr>
            <w:r>
              <w:rPr>
                <w:i/>
                <w:iCs/>
                <w:lang w:eastAsia="lt-LT"/>
              </w:rPr>
              <w:t>******</w:t>
            </w:r>
          </w:p>
        </w:tc>
        <w:tc>
          <w:tcPr>
            <w:tcW w:w="1337" w:type="dxa"/>
          </w:tcPr>
          <w:p w14:paraId="0C616933" w14:textId="4152B21E" w:rsidR="00E94000" w:rsidRPr="00856762" w:rsidRDefault="00045DB2" w:rsidP="00905B0C">
            <w:pPr>
              <w:tabs>
                <w:tab w:val="left" w:pos="567"/>
              </w:tabs>
              <w:jc w:val="both"/>
              <w:rPr>
                <w:i/>
                <w:lang w:eastAsia="lt-LT"/>
              </w:rPr>
            </w:pPr>
            <w:r>
              <w:rPr>
                <w:i/>
                <w:iCs/>
                <w:lang w:eastAsia="lt-LT"/>
              </w:rPr>
              <w:t>******</w:t>
            </w:r>
          </w:p>
        </w:tc>
        <w:tc>
          <w:tcPr>
            <w:tcW w:w="1337" w:type="dxa"/>
          </w:tcPr>
          <w:p w14:paraId="100D83E6" w14:textId="5529FBA2" w:rsidR="00E94000" w:rsidRPr="00856762" w:rsidRDefault="00045DB2" w:rsidP="00905B0C">
            <w:pPr>
              <w:tabs>
                <w:tab w:val="left" w:pos="567"/>
              </w:tabs>
              <w:jc w:val="both"/>
              <w:rPr>
                <w:i/>
                <w:lang w:eastAsia="lt-LT"/>
              </w:rPr>
            </w:pPr>
            <w:r>
              <w:rPr>
                <w:i/>
                <w:iCs/>
                <w:lang w:eastAsia="lt-LT"/>
              </w:rPr>
              <w:t>******</w:t>
            </w:r>
          </w:p>
        </w:tc>
        <w:tc>
          <w:tcPr>
            <w:tcW w:w="1296" w:type="dxa"/>
          </w:tcPr>
          <w:p w14:paraId="7189D522" w14:textId="23C72BCA" w:rsidR="00E94000" w:rsidRPr="00856762" w:rsidRDefault="00045DB2" w:rsidP="00905B0C">
            <w:pPr>
              <w:tabs>
                <w:tab w:val="left" w:pos="567"/>
              </w:tabs>
              <w:jc w:val="both"/>
              <w:rPr>
                <w:i/>
                <w:lang w:eastAsia="lt-LT"/>
              </w:rPr>
            </w:pPr>
            <w:r>
              <w:rPr>
                <w:i/>
                <w:iCs/>
                <w:lang w:eastAsia="lt-LT"/>
              </w:rPr>
              <w:t>******</w:t>
            </w:r>
          </w:p>
        </w:tc>
        <w:tc>
          <w:tcPr>
            <w:tcW w:w="1296" w:type="dxa"/>
          </w:tcPr>
          <w:p w14:paraId="4FC27D99" w14:textId="7435F17C" w:rsidR="00E94000" w:rsidRPr="00856762" w:rsidRDefault="00045DB2" w:rsidP="00905B0C">
            <w:pPr>
              <w:tabs>
                <w:tab w:val="left" w:pos="567"/>
              </w:tabs>
              <w:jc w:val="both"/>
              <w:rPr>
                <w:i/>
                <w:lang w:eastAsia="lt-LT"/>
              </w:rPr>
            </w:pPr>
            <w:r>
              <w:rPr>
                <w:i/>
                <w:iCs/>
                <w:lang w:eastAsia="lt-LT"/>
              </w:rPr>
              <w:t>******</w:t>
            </w:r>
          </w:p>
        </w:tc>
      </w:tr>
      <w:tr w:rsidR="00724729" w:rsidRPr="00072F5D" w14:paraId="4294067B" w14:textId="77777777" w:rsidTr="00905B0C">
        <w:trPr>
          <w:jc w:val="center"/>
        </w:trPr>
        <w:tc>
          <w:tcPr>
            <w:tcW w:w="1798" w:type="dxa"/>
          </w:tcPr>
          <w:p w14:paraId="43130955" w14:textId="77777777" w:rsidR="00724729" w:rsidRPr="00856762" w:rsidRDefault="00724729" w:rsidP="00724729">
            <w:pPr>
              <w:tabs>
                <w:tab w:val="left" w:pos="567"/>
              </w:tabs>
              <w:jc w:val="both"/>
              <w:rPr>
                <w:lang w:eastAsia="lt-LT"/>
              </w:rPr>
            </w:pPr>
            <w:r w:rsidRPr="00856762">
              <w:rPr>
                <w:lang w:eastAsia="lt-LT"/>
              </w:rPr>
              <w:t>Nusinersen</w:t>
            </w:r>
          </w:p>
        </w:tc>
        <w:tc>
          <w:tcPr>
            <w:tcW w:w="1507" w:type="dxa"/>
          </w:tcPr>
          <w:p w14:paraId="4C59E037" w14:textId="7DE35325" w:rsidR="00724729" w:rsidRPr="00856762" w:rsidRDefault="00724729" w:rsidP="00724729">
            <w:pPr>
              <w:tabs>
                <w:tab w:val="left" w:pos="567"/>
              </w:tabs>
              <w:jc w:val="both"/>
              <w:rPr>
                <w:i/>
                <w:iCs/>
                <w:lang w:eastAsia="lt-LT"/>
              </w:rPr>
            </w:pPr>
            <w:r w:rsidRPr="00614928">
              <w:rPr>
                <w:i/>
                <w:iCs/>
                <w:lang w:eastAsia="lt-LT"/>
              </w:rPr>
              <w:t>******</w:t>
            </w:r>
          </w:p>
        </w:tc>
        <w:tc>
          <w:tcPr>
            <w:tcW w:w="1337" w:type="dxa"/>
          </w:tcPr>
          <w:p w14:paraId="2EFB6BC2" w14:textId="6D282E53" w:rsidR="00724729" w:rsidRPr="00856762" w:rsidRDefault="00724729" w:rsidP="00724729">
            <w:pPr>
              <w:tabs>
                <w:tab w:val="left" w:pos="567"/>
              </w:tabs>
              <w:jc w:val="both"/>
              <w:rPr>
                <w:i/>
                <w:iCs/>
                <w:lang w:eastAsia="lt-LT"/>
              </w:rPr>
            </w:pPr>
            <w:r w:rsidRPr="00614928">
              <w:rPr>
                <w:i/>
                <w:iCs/>
                <w:lang w:eastAsia="lt-LT"/>
              </w:rPr>
              <w:t>******</w:t>
            </w:r>
          </w:p>
        </w:tc>
        <w:tc>
          <w:tcPr>
            <w:tcW w:w="1337" w:type="dxa"/>
          </w:tcPr>
          <w:p w14:paraId="7E61B9C7" w14:textId="4E8EEEDC" w:rsidR="00724729" w:rsidRPr="00856762" w:rsidRDefault="00724729" w:rsidP="00724729">
            <w:pPr>
              <w:tabs>
                <w:tab w:val="left" w:pos="567"/>
              </w:tabs>
              <w:jc w:val="both"/>
              <w:rPr>
                <w:i/>
                <w:iCs/>
                <w:lang w:eastAsia="lt-LT"/>
              </w:rPr>
            </w:pPr>
            <w:r w:rsidRPr="00614928">
              <w:rPr>
                <w:i/>
                <w:iCs/>
                <w:lang w:eastAsia="lt-LT"/>
              </w:rPr>
              <w:t>******</w:t>
            </w:r>
          </w:p>
        </w:tc>
        <w:tc>
          <w:tcPr>
            <w:tcW w:w="1337" w:type="dxa"/>
          </w:tcPr>
          <w:p w14:paraId="0621125D" w14:textId="476B74C9" w:rsidR="00724729" w:rsidRPr="00856762" w:rsidRDefault="00724729" w:rsidP="00724729">
            <w:pPr>
              <w:tabs>
                <w:tab w:val="left" w:pos="567"/>
              </w:tabs>
              <w:jc w:val="both"/>
              <w:rPr>
                <w:i/>
                <w:iCs/>
                <w:lang w:eastAsia="lt-LT"/>
              </w:rPr>
            </w:pPr>
            <w:r w:rsidRPr="00614928">
              <w:rPr>
                <w:i/>
                <w:iCs/>
                <w:lang w:eastAsia="lt-LT"/>
              </w:rPr>
              <w:t>******</w:t>
            </w:r>
          </w:p>
        </w:tc>
        <w:tc>
          <w:tcPr>
            <w:tcW w:w="1296" w:type="dxa"/>
          </w:tcPr>
          <w:p w14:paraId="3DCA320F" w14:textId="5B6D75CB" w:rsidR="00724729" w:rsidRPr="00856762" w:rsidRDefault="00724729" w:rsidP="00724729">
            <w:pPr>
              <w:tabs>
                <w:tab w:val="left" w:pos="567"/>
              </w:tabs>
              <w:jc w:val="both"/>
              <w:rPr>
                <w:i/>
                <w:iCs/>
                <w:lang w:eastAsia="lt-LT"/>
              </w:rPr>
            </w:pPr>
            <w:r w:rsidRPr="00614928">
              <w:rPr>
                <w:i/>
                <w:iCs/>
                <w:lang w:eastAsia="lt-LT"/>
              </w:rPr>
              <w:t>******</w:t>
            </w:r>
          </w:p>
        </w:tc>
        <w:tc>
          <w:tcPr>
            <w:tcW w:w="1296" w:type="dxa"/>
          </w:tcPr>
          <w:p w14:paraId="10EF2CBD" w14:textId="0B7576B5" w:rsidR="00724729" w:rsidRPr="00856762" w:rsidRDefault="00724729" w:rsidP="00724729">
            <w:pPr>
              <w:tabs>
                <w:tab w:val="left" w:pos="567"/>
              </w:tabs>
              <w:jc w:val="both"/>
              <w:rPr>
                <w:i/>
                <w:iCs/>
                <w:lang w:eastAsia="lt-LT"/>
              </w:rPr>
            </w:pPr>
            <w:r w:rsidRPr="00614928">
              <w:rPr>
                <w:i/>
                <w:iCs/>
                <w:lang w:eastAsia="lt-LT"/>
              </w:rPr>
              <w:t>******</w:t>
            </w:r>
          </w:p>
        </w:tc>
      </w:tr>
      <w:tr w:rsidR="00724729" w:rsidRPr="00072F5D" w14:paraId="327104EA" w14:textId="77777777" w:rsidTr="00905B0C">
        <w:trPr>
          <w:jc w:val="center"/>
        </w:trPr>
        <w:tc>
          <w:tcPr>
            <w:tcW w:w="1798" w:type="dxa"/>
          </w:tcPr>
          <w:p w14:paraId="43C982E3" w14:textId="77777777" w:rsidR="00724729" w:rsidRPr="00856762" w:rsidRDefault="00724729" w:rsidP="00724729">
            <w:pPr>
              <w:tabs>
                <w:tab w:val="left" w:pos="567"/>
              </w:tabs>
              <w:jc w:val="right"/>
              <w:rPr>
                <w:lang w:eastAsia="lt-LT"/>
              </w:rPr>
            </w:pPr>
            <w:r w:rsidRPr="00856762">
              <w:rPr>
                <w:lang w:eastAsia="lt-LT"/>
              </w:rPr>
              <w:t>Skirtumas</w:t>
            </w:r>
          </w:p>
        </w:tc>
        <w:tc>
          <w:tcPr>
            <w:tcW w:w="1507" w:type="dxa"/>
          </w:tcPr>
          <w:p w14:paraId="24AF0F04" w14:textId="48B4C7CB" w:rsidR="00724729" w:rsidRPr="00856762" w:rsidRDefault="00724729" w:rsidP="00724729">
            <w:pPr>
              <w:tabs>
                <w:tab w:val="left" w:pos="567"/>
              </w:tabs>
              <w:jc w:val="both"/>
              <w:rPr>
                <w:i/>
                <w:iCs/>
                <w:lang w:eastAsia="lt-LT"/>
              </w:rPr>
            </w:pPr>
            <w:r w:rsidRPr="00614928">
              <w:rPr>
                <w:i/>
                <w:iCs/>
                <w:lang w:eastAsia="lt-LT"/>
              </w:rPr>
              <w:t>******</w:t>
            </w:r>
          </w:p>
        </w:tc>
        <w:tc>
          <w:tcPr>
            <w:tcW w:w="1337" w:type="dxa"/>
          </w:tcPr>
          <w:p w14:paraId="6ADFCA0B" w14:textId="6791C439" w:rsidR="00724729" w:rsidRPr="00856762" w:rsidRDefault="00724729" w:rsidP="00724729">
            <w:pPr>
              <w:tabs>
                <w:tab w:val="left" w:pos="567"/>
              </w:tabs>
              <w:jc w:val="both"/>
              <w:rPr>
                <w:i/>
                <w:iCs/>
                <w:lang w:eastAsia="lt-LT"/>
              </w:rPr>
            </w:pPr>
            <w:r w:rsidRPr="00614928">
              <w:rPr>
                <w:i/>
                <w:iCs/>
                <w:lang w:eastAsia="lt-LT"/>
              </w:rPr>
              <w:t>******</w:t>
            </w:r>
          </w:p>
        </w:tc>
        <w:tc>
          <w:tcPr>
            <w:tcW w:w="1337" w:type="dxa"/>
          </w:tcPr>
          <w:p w14:paraId="2656EDAD" w14:textId="101C9A7C" w:rsidR="00724729" w:rsidRPr="00856762" w:rsidRDefault="00724729" w:rsidP="00724729">
            <w:pPr>
              <w:tabs>
                <w:tab w:val="left" w:pos="567"/>
              </w:tabs>
              <w:jc w:val="both"/>
              <w:rPr>
                <w:b/>
                <w:i/>
                <w:lang w:eastAsia="lt-LT"/>
              </w:rPr>
            </w:pPr>
            <w:r w:rsidRPr="00614928">
              <w:rPr>
                <w:i/>
                <w:iCs/>
                <w:lang w:eastAsia="lt-LT"/>
              </w:rPr>
              <w:t>******</w:t>
            </w:r>
          </w:p>
        </w:tc>
        <w:tc>
          <w:tcPr>
            <w:tcW w:w="1337" w:type="dxa"/>
          </w:tcPr>
          <w:p w14:paraId="6FE8CC0E" w14:textId="512E37FA" w:rsidR="00724729" w:rsidRPr="00856762" w:rsidRDefault="00724729" w:rsidP="00724729">
            <w:pPr>
              <w:tabs>
                <w:tab w:val="left" w:pos="567"/>
              </w:tabs>
              <w:jc w:val="both"/>
              <w:rPr>
                <w:i/>
                <w:lang w:eastAsia="lt-LT"/>
              </w:rPr>
            </w:pPr>
            <w:r w:rsidRPr="00614928">
              <w:rPr>
                <w:i/>
                <w:iCs/>
                <w:lang w:eastAsia="lt-LT"/>
              </w:rPr>
              <w:t>******</w:t>
            </w:r>
          </w:p>
        </w:tc>
        <w:tc>
          <w:tcPr>
            <w:tcW w:w="1296" w:type="dxa"/>
          </w:tcPr>
          <w:p w14:paraId="50E9167E" w14:textId="4BC11F44" w:rsidR="00724729" w:rsidRPr="00856762" w:rsidRDefault="00724729" w:rsidP="00724729">
            <w:pPr>
              <w:tabs>
                <w:tab w:val="left" w:pos="567"/>
              </w:tabs>
              <w:jc w:val="both"/>
              <w:rPr>
                <w:i/>
                <w:lang w:eastAsia="lt-LT"/>
              </w:rPr>
            </w:pPr>
            <w:r w:rsidRPr="00614928">
              <w:rPr>
                <w:i/>
                <w:iCs/>
                <w:lang w:eastAsia="lt-LT"/>
              </w:rPr>
              <w:t>******</w:t>
            </w:r>
          </w:p>
        </w:tc>
        <w:tc>
          <w:tcPr>
            <w:tcW w:w="1296" w:type="dxa"/>
          </w:tcPr>
          <w:p w14:paraId="1910BEB6" w14:textId="2650526A" w:rsidR="00724729" w:rsidRPr="00856762" w:rsidRDefault="00724729" w:rsidP="00724729">
            <w:pPr>
              <w:tabs>
                <w:tab w:val="left" w:pos="567"/>
              </w:tabs>
              <w:jc w:val="both"/>
              <w:rPr>
                <w:i/>
                <w:lang w:eastAsia="lt-LT"/>
              </w:rPr>
            </w:pPr>
            <w:r w:rsidRPr="00614928">
              <w:rPr>
                <w:i/>
                <w:iCs/>
                <w:lang w:eastAsia="lt-LT"/>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71268B8F" w:rsidR="00937907" w:rsidRPr="00E33EFF" w:rsidRDefault="00D244C9"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D244C9"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37CB711C" w:rsidR="00937907" w:rsidRPr="00E33EFF" w:rsidRDefault="00D244C9"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D244C9"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17BAAC66"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4C919F8" w:rsidR="00B13D65" w:rsidRPr="00E33EFF" w:rsidRDefault="00D244C9"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70C15EA4"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03681A15"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D244C9"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D244C9"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4CE459A9" w:rsidR="00B13D65" w:rsidRPr="002F496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w:t>
            </w:r>
            <w:r w:rsidR="00B13D65" w:rsidRPr="002F496F">
              <w:t>32.3. atitinka referencinę naudingumo vertę, taikant</w:t>
            </w:r>
            <w:r w:rsidR="002F496F" w:rsidRPr="002F496F">
              <w:t xml:space="preserve"> PGS</w:t>
            </w:r>
          </w:p>
          <w:p w14:paraId="3F76F153" w14:textId="77777777" w:rsidR="00662983" w:rsidRPr="002F496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3F8C6486"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2F496F">
                  <w:rPr>
                    <w:rStyle w:val="Style2"/>
                    <w:rFonts w:ascii="Segoe UI Symbol" w:eastAsia="MS Gothic" w:hAnsi="Segoe UI Symbol" w:cs="Segoe UI Symbol"/>
                    <w:sz w:val="24"/>
                  </w:rPr>
                  <w:t>☐</w:t>
                </w:r>
              </w:sdtContent>
            </w:sdt>
            <w:r w:rsidR="00B13D65" w:rsidRPr="002F496F">
              <w:t xml:space="preserve"> 32.3. gydymo juo kaštai yra mažesni ar tokie patys esant iš esmės nesiskiriančiam palyginamajam efektyvumui, taikant </w:t>
            </w:r>
            <w:r w:rsidR="002F496F" w:rsidRPr="002F496F">
              <w:t>PGS</w:t>
            </w:r>
            <w:r w:rsidR="00B00959" w:rsidRPr="002F496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C47E9BC"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E94000">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taikant</w:t>
            </w:r>
            <w:r w:rsidR="00E94000">
              <w:t xml:space="preserve">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D244C9"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0736A6E3" w14:textId="600CA2AE" w:rsidR="00E94000" w:rsidRPr="00D800EF" w:rsidRDefault="00E94000" w:rsidP="00345E42">
      <w:pPr>
        <w:spacing w:line="276" w:lineRule="auto"/>
        <w:jc w:val="both"/>
        <w:rPr>
          <w:rFonts w:eastAsia="Arial"/>
        </w:rPr>
      </w:pPr>
      <w:r w:rsidRPr="00D800EF">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w:t>
      </w:r>
      <w:r>
        <w:t xml:space="preserve">os aprašo patvirtinimo“, punktu </w:t>
      </w:r>
      <w:r w:rsidRPr="00D800EF">
        <w:t xml:space="preserve">34.4. rekomenduojama </w:t>
      </w:r>
      <w:r w:rsidRPr="00D800EF">
        <w:rPr>
          <w:i/>
        </w:rPr>
        <w:t xml:space="preserve">nekompensuoti </w:t>
      </w:r>
      <w:r w:rsidRPr="00D800EF">
        <w:t>vaistinio prepa</w:t>
      </w:r>
      <w:r>
        <w:t xml:space="preserve">rato pagal paraiškoje nurodytą indikaciją su skyrimo sąlygomis, </w:t>
      </w:r>
      <w:r w:rsidRPr="00D800EF">
        <w:t>taikant PGS dėl ver</w:t>
      </w:r>
      <w:r>
        <w:t>tinimo išvadų, nurodytų 33.3</w:t>
      </w:r>
      <w:r w:rsidRPr="00D800EF">
        <w:t xml:space="preserve"> papunktyje</w:t>
      </w:r>
      <w:r>
        <w:t xml:space="preserve">, neatitikties </w:t>
      </w:r>
      <w:r w:rsidRPr="00D800EF">
        <w:t>34.3 papunktyje išdėstytoms sąlygoms</w:t>
      </w:r>
      <w:r>
        <w:t>.</w:t>
      </w:r>
      <w:r w:rsidRPr="00D800EF">
        <w:rPr>
          <w:i/>
          <w:color w:val="00B050"/>
        </w:rPr>
        <w:t xml:space="preserve"> </w:t>
      </w:r>
    </w:p>
    <w:p w14:paraId="06BC01EE" w14:textId="4C706304" w:rsidR="000723FF" w:rsidRDefault="000723FF" w:rsidP="00345E42">
      <w:pPr>
        <w:spacing w:line="276" w:lineRule="auto"/>
        <w:jc w:val="both"/>
      </w:pPr>
    </w:p>
    <w:p w14:paraId="5FD61ED3" w14:textId="77777777" w:rsidR="009231D8" w:rsidRDefault="009231D8" w:rsidP="00E62A0A">
      <w:pPr>
        <w:shd w:val="clear" w:color="auto" w:fill="FFFFFF"/>
        <w:spacing w:line="276" w:lineRule="auto"/>
        <w:jc w:val="both"/>
        <w:rPr>
          <w:bCs/>
          <w:i/>
        </w:rPr>
      </w:pPr>
      <w:r>
        <w:rPr>
          <w:bCs/>
          <w:i/>
        </w:rPr>
        <w:t>Papildomos pastabos ir pasiūlymai</w:t>
      </w:r>
    </w:p>
    <w:p w14:paraId="346962D7" w14:textId="77777777" w:rsidR="009231D8" w:rsidRDefault="009231D8" w:rsidP="00345E42">
      <w:pPr>
        <w:spacing w:line="276" w:lineRule="auto"/>
        <w:jc w:val="both"/>
        <w:rPr>
          <w:b/>
        </w:rPr>
      </w:pPr>
    </w:p>
    <w:p w14:paraId="4A0191F2" w14:textId="4E58BA42" w:rsidR="009231D8" w:rsidRDefault="00C361A7" w:rsidP="00345E42">
      <w:pPr>
        <w:spacing w:line="276" w:lineRule="auto"/>
        <w:jc w:val="both"/>
        <w:rPr>
          <w:bCs/>
        </w:rPr>
      </w:pPr>
      <w:r>
        <w:rPr>
          <w:bCs/>
        </w:rPr>
        <w:t xml:space="preserve">Remiantis </w:t>
      </w:r>
      <w:r w:rsidR="009231D8">
        <w:rPr>
          <w:bCs/>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w:t>
      </w:r>
      <w:r>
        <w:rPr>
          <w:bCs/>
        </w:rPr>
        <w:t>me</w:t>
      </w:r>
      <w:r w:rsidR="009231D8">
        <w:rPr>
          <w:bCs/>
        </w:rPr>
        <w:t xml:space="preserve"> </w:t>
      </w:r>
      <w:r w:rsidR="009231D8" w:rsidRPr="009C50E2">
        <w:rPr>
          <w:bCs/>
          <w:i/>
        </w:rPr>
        <w:t>kompensuoti</w:t>
      </w:r>
      <w:r w:rsidR="009231D8">
        <w:rPr>
          <w:bCs/>
        </w:rPr>
        <w:t xml:space="preserve"> vaistinį preparatą </w:t>
      </w:r>
      <w:r w:rsidRPr="009C50E2">
        <w:rPr>
          <w:bCs/>
          <w:i/>
        </w:rPr>
        <w:t xml:space="preserve">Evrysdi </w:t>
      </w:r>
      <w:r w:rsidRPr="009C50E2">
        <w:rPr>
          <w:i/>
        </w:rPr>
        <w:t>0,75 mg/ml milteliai geriamajam tirpalui</w:t>
      </w:r>
      <w:r w:rsidR="00E62A0A">
        <w:rPr>
          <w:b/>
        </w:rPr>
        <w:t xml:space="preserve"> </w:t>
      </w:r>
      <w:r>
        <w:rPr>
          <w:bCs/>
        </w:rPr>
        <w:t>(</w:t>
      </w:r>
      <w:r w:rsidR="009231D8">
        <w:rPr>
          <w:bCs/>
        </w:rPr>
        <w:t xml:space="preserve">risdiplamas) 8 skyriuje nurodytoms indikacijoms, su sąlyga, jog </w:t>
      </w:r>
      <w:r w:rsidR="004D2CDC">
        <w:rPr>
          <w:bCs/>
        </w:rPr>
        <w:t>.........................................</w:t>
      </w:r>
      <w:r w:rsidR="009231D8">
        <w:rPr>
          <w:bCs/>
        </w:rPr>
        <w:t>.</w:t>
      </w:r>
    </w:p>
    <w:p w14:paraId="3948C176" w14:textId="2C8526E1" w:rsidR="009231D8" w:rsidRDefault="009231D8" w:rsidP="00345E42">
      <w:pPr>
        <w:spacing w:line="276" w:lineRule="auto"/>
        <w:jc w:val="both"/>
        <w:rPr>
          <w:b/>
          <w:color w:val="000000"/>
        </w:rPr>
      </w:pPr>
    </w:p>
    <w:p w14:paraId="3C1150D0" w14:textId="7D618031" w:rsidR="00E62A0A" w:rsidRDefault="00E62A0A" w:rsidP="00E62A0A">
      <w:pPr>
        <w:tabs>
          <w:tab w:val="left" w:pos="492"/>
        </w:tabs>
        <w:spacing w:line="276" w:lineRule="auto"/>
        <w:jc w:val="both"/>
        <w:outlineLvl w:val="1"/>
        <w:rPr>
          <w:rFonts w:eastAsia="Arial"/>
          <w:bCs/>
        </w:rPr>
      </w:pPr>
      <w:r w:rsidRPr="003A25DE">
        <w:lastRenderedPageBreak/>
        <w:t xml:space="preserve">Tarnyba </w:t>
      </w:r>
      <w:r w:rsidR="003A25DE">
        <w:t>siūlo</w:t>
      </w:r>
      <w:r w:rsidRPr="003A25DE">
        <w:t xml:space="preserve"> sukurti SRA gydymo tvarkos aprašą, kuriame būtų apibrėžta pacientų populiacija, kuriai tinka gydymas risdiplamu, nusinersenu arba onasemnogenu abeparvoveku</w:t>
      </w:r>
      <w:r w:rsidR="003A25DE" w:rsidRPr="003A25DE">
        <w:t>;</w:t>
      </w:r>
      <w:r w:rsidRPr="003A25DE">
        <w:t xml:space="preserve"> s</w:t>
      </w:r>
      <w:r w:rsidR="009C46FB" w:rsidRPr="003A25DE">
        <w:t>kyrimo sąlygos pradedant gydymą</w:t>
      </w:r>
      <w:r w:rsidR="003A25DE" w:rsidRPr="003A25DE">
        <w:t>;</w:t>
      </w:r>
      <w:r w:rsidRPr="003A25DE">
        <w:t xml:space="preserve"> gydymo veiksmingumo vertinimo kriterijai bei gydymo nutraukimo kriterijai.</w:t>
      </w:r>
    </w:p>
    <w:p w14:paraId="0B315F0E" w14:textId="77777777" w:rsidR="00E62A0A" w:rsidRPr="00215434" w:rsidRDefault="00E62A0A" w:rsidP="009231D8">
      <w:pPr>
        <w:jc w:val="both"/>
        <w:rPr>
          <w:b/>
          <w:color w:val="000000"/>
        </w:rPr>
      </w:pPr>
    </w:p>
    <w:p w14:paraId="0E936ECB" w14:textId="77777777" w:rsidR="009231D8" w:rsidRPr="00E33EFF" w:rsidRDefault="009231D8" w:rsidP="00381024"/>
    <w:p w14:paraId="18B4292E" w14:textId="1CFC46A0"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w:t>
      </w:r>
      <w:r w:rsidR="00E94000">
        <w:rPr>
          <w:b/>
          <w:color w:val="000000"/>
          <w:lang w:eastAsia="lt-LT"/>
        </w:rPr>
        <w:t>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F72129" w:rsidRDefault="000723FF" w:rsidP="00824B92">
      <w:pPr>
        <w:rPr>
          <w:b/>
          <w:lang w:eastAsia="lt-LT"/>
        </w:rPr>
      </w:pPr>
      <w:r w:rsidRPr="00F72129">
        <w:rPr>
          <w:b/>
          <w:lang w:eastAsia="lt-LT"/>
        </w:rPr>
        <w:t>Terapinės indikacijos</w:t>
      </w:r>
    </w:p>
    <w:p w14:paraId="5BB746DD" w14:textId="044AA0D1" w:rsidR="000723FF" w:rsidRPr="00F72129" w:rsidRDefault="00D244C9"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2A1C4F">
            <w:rPr>
              <w:rStyle w:val="Style2"/>
              <w:rFonts w:ascii="MS Gothic" w:eastAsia="MS Gothic" w:hAnsi="MS Gothic" w:hint="eastAsia"/>
            </w:rPr>
            <w:t>☒</w:t>
          </w:r>
        </w:sdtContent>
      </w:sdt>
      <w:r w:rsidR="000723FF" w:rsidRPr="00F72129">
        <w:t xml:space="preserve"> Siūloma kompensuoti Pareiškėjo teikiamą indikaciją be pakeitimų.</w:t>
      </w:r>
    </w:p>
    <w:p w14:paraId="7072D85E" w14:textId="77777777" w:rsidR="00F72129" w:rsidRPr="00F72129" w:rsidRDefault="00F72129" w:rsidP="00F72129">
      <w:pPr>
        <w:pStyle w:val="NoSpacing"/>
        <w:jc w:val="both"/>
        <w:rPr>
          <w:rFonts w:ascii="Times New Roman" w:hAnsi="Times New Roman"/>
          <w:i/>
          <w:sz w:val="24"/>
          <w:szCs w:val="24"/>
        </w:rPr>
      </w:pPr>
      <w:r w:rsidRPr="00F72129">
        <w:rPr>
          <w:rFonts w:ascii="Times New Roman" w:hAnsi="Times New Roman"/>
          <w:i/>
          <w:sz w:val="24"/>
          <w:szCs w:val="24"/>
        </w:rPr>
        <w:t>Evrysdi skirtas 5q spinaline raumenų atrofija (SRA) sergantiems 2 mėnesių ir vyresniems pacientams, kuriems nustatyta klinikinė 1-ojo, 2-ojo ir 3-iojo tipo SRA diagnozė arba kurie turi nuo vienos iki keturių SMN2 geno kopijų, gydyti.</w:t>
      </w:r>
    </w:p>
    <w:p w14:paraId="597367EF" w14:textId="77777777" w:rsidR="000723FF" w:rsidRPr="00F72129" w:rsidRDefault="00D244C9"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F72129">
            <w:rPr>
              <w:rStyle w:val="Style2"/>
              <w:rFonts w:ascii="MS Gothic" w:eastAsia="MS Gothic" w:hAnsi="MS Gothic"/>
            </w:rPr>
            <w:t>☐</w:t>
          </w:r>
        </w:sdtContent>
      </w:sdt>
      <w:r w:rsidR="000723FF" w:rsidRPr="00F72129">
        <w:t xml:space="preserve"> Siūloma kompensuoti Pareiškėjo teikiamą indikaciją su pakeitimais.</w:t>
      </w:r>
    </w:p>
    <w:p w14:paraId="7DD65F7E" w14:textId="77777777" w:rsidR="000723FF" w:rsidRPr="00E94000" w:rsidRDefault="000723FF" w:rsidP="00824B92">
      <w:pPr>
        <w:rPr>
          <w:highlight w:val="yellow"/>
        </w:rPr>
      </w:pPr>
    </w:p>
    <w:p w14:paraId="241A6E6B" w14:textId="77777777" w:rsidR="000723FF" w:rsidRPr="00F72129" w:rsidRDefault="000723FF" w:rsidP="00824B92">
      <w:pPr>
        <w:rPr>
          <w:b/>
        </w:rPr>
      </w:pPr>
      <w:r w:rsidRPr="00F72129">
        <w:rPr>
          <w:b/>
        </w:rPr>
        <w:t>Skyrimo sąlygos</w:t>
      </w:r>
    </w:p>
    <w:p w14:paraId="250ACC46" w14:textId="29F6AA46" w:rsidR="000723FF" w:rsidRPr="00F72129" w:rsidRDefault="00D244C9" w:rsidP="00824B92">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7A2B68" w:rsidRPr="00F72129">
            <w:rPr>
              <w:rStyle w:val="Style2"/>
              <w:rFonts w:ascii="MS Gothic" w:eastAsia="MS Gothic" w:hAnsi="MS Gothic" w:hint="eastAsia"/>
            </w:rPr>
            <w:t>☐</w:t>
          </w:r>
        </w:sdtContent>
      </w:sdt>
      <w:r w:rsidR="000723FF" w:rsidRPr="00F72129">
        <w:t xml:space="preserve"> Pareiškėjo siūlomos skyrimo sąlygos priimtinos. </w:t>
      </w:r>
    </w:p>
    <w:p w14:paraId="0F4BA460" w14:textId="77777777" w:rsidR="00F72129" w:rsidRDefault="00D244C9" w:rsidP="00824B92">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F72129">
            <w:rPr>
              <w:rStyle w:val="Style2"/>
              <w:rFonts w:ascii="MS Gothic" w:eastAsia="MS Gothic" w:hAnsi="MS Gothic" w:hint="eastAsia"/>
            </w:rPr>
            <w:t>☒</w:t>
          </w:r>
        </w:sdtContent>
      </w:sdt>
      <w:r w:rsidR="000723FF" w:rsidRPr="00F72129">
        <w:t xml:space="preserve"> Pareiškėjo siūlomos skyrimo sąlygos nepriimtinos.</w:t>
      </w:r>
    </w:p>
    <w:p w14:paraId="7B309FD0" w14:textId="77777777" w:rsidR="00F72129" w:rsidRDefault="00F72129" w:rsidP="00824B92">
      <w:r>
        <w:t>Siūlomos skyrimo sąlygos:</w:t>
      </w:r>
    </w:p>
    <w:p w14:paraId="6EB7C290" w14:textId="38D5BFC9" w:rsidR="00F72129" w:rsidRPr="00ED7DEE" w:rsidRDefault="00894BB4" w:rsidP="00D07A36">
      <w:pPr>
        <w:pStyle w:val="NoSpacing"/>
        <w:numPr>
          <w:ilvl w:val="0"/>
          <w:numId w:val="13"/>
        </w:numPr>
        <w:spacing w:line="276" w:lineRule="auto"/>
        <w:jc w:val="both"/>
        <w:rPr>
          <w:rFonts w:ascii="Times New Roman" w:hAnsi="Times New Roman"/>
          <w:sz w:val="24"/>
          <w:szCs w:val="24"/>
        </w:rPr>
      </w:pPr>
      <w:r>
        <w:rPr>
          <w:rFonts w:ascii="Times New Roman" w:hAnsi="Times New Roman"/>
          <w:sz w:val="24"/>
          <w:szCs w:val="24"/>
        </w:rPr>
        <w:t>Skiriamas pacientams, kurie</w:t>
      </w:r>
      <w:r w:rsidR="00035041">
        <w:rPr>
          <w:rFonts w:ascii="Times New Roman" w:hAnsi="Times New Roman"/>
          <w:sz w:val="24"/>
          <w:szCs w:val="24"/>
        </w:rPr>
        <w:t>ms netaikomas</w:t>
      </w:r>
      <w:r>
        <w:rPr>
          <w:rFonts w:ascii="Times New Roman" w:hAnsi="Times New Roman"/>
          <w:sz w:val="24"/>
          <w:szCs w:val="24"/>
        </w:rPr>
        <w:t xml:space="preserve"> gydym</w:t>
      </w:r>
      <w:r w:rsidR="00035041">
        <w:rPr>
          <w:rFonts w:ascii="Times New Roman" w:hAnsi="Times New Roman"/>
          <w:sz w:val="24"/>
          <w:szCs w:val="24"/>
        </w:rPr>
        <w:t>as</w:t>
      </w:r>
      <w:r w:rsidR="00F72129" w:rsidRPr="00ED7DEE">
        <w:rPr>
          <w:rFonts w:ascii="Times New Roman" w:hAnsi="Times New Roman"/>
          <w:sz w:val="24"/>
          <w:szCs w:val="24"/>
        </w:rPr>
        <w:t xml:space="preserve"> nusinersenu</w:t>
      </w:r>
      <w:r w:rsidR="00F72129">
        <w:rPr>
          <w:rFonts w:ascii="Times New Roman" w:hAnsi="Times New Roman"/>
          <w:sz w:val="24"/>
          <w:szCs w:val="24"/>
        </w:rPr>
        <w:t xml:space="preserve"> arba onasemnogenu abeparvoveku</w:t>
      </w:r>
      <w:r w:rsidR="00035041">
        <w:rPr>
          <w:rFonts w:ascii="Times New Roman" w:hAnsi="Times New Roman"/>
          <w:sz w:val="24"/>
          <w:szCs w:val="24"/>
        </w:rPr>
        <w:t xml:space="preserve"> ir </w:t>
      </w:r>
      <w:r w:rsidR="00035041" w:rsidRPr="00ED7DEE">
        <w:rPr>
          <w:rFonts w:ascii="Times New Roman" w:hAnsi="Times New Roman"/>
          <w:sz w:val="24"/>
          <w:szCs w:val="24"/>
        </w:rPr>
        <w:t>n</w:t>
      </w:r>
      <w:r w:rsidR="00035041">
        <w:rPr>
          <w:rFonts w:ascii="Times New Roman" w:hAnsi="Times New Roman"/>
          <w:sz w:val="24"/>
          <w:szCs w:val="24"/>
        </w:rPr>
        <w:t>ėra</w:t>
      </w:r>
      <w:r w:rsidR="00035041" w:rsidRPr="00ED7DEE">
        <w:rPr>
          <w:rFonts w:ascii="Times New Roman" w:hAnsi="Times New Roman"/>
          <w:sz w:val="24"/>
          <w:szCs w:val="24"/>
        </w:rPr>
        <w:t xml:space="preserve"> nuolatinė</w:t>
      </w:r>
      <w:r w:rsidR="00035041">
        <w:rPr>
          <w:rFonts w:ascii="Times New Roman" w:hAnsi="Times New Roman"/>
          <w:sz w:val="24"/>
          <w:szCs w:val="24"/>
        </w:rPr>
        <w:t xml:space="preserve">s </w:t>
      </w:r>
      <w:r w:rsidR="00035041" w:rsidRPr="00ED7DEE">
        <w:rPr>
          <w:rFonts w:ascii="Times New Roman" w:hAnsi="Times New Roman"/>
          <w:sz w:val="24"/>
          <w:szCs w:val="24"/>
        </w:rPr>
        <w:t>(daugiau nei 16 val. per parą 21 d. iš eilės</w:t>
      </w:r>
      <w:r w:rsidR="00035041">
        <w:rPr>
          <w:rFonts w:ascii="Times New Roman" w:hAnsi="Times New Roman"/>
          <w:sz w:val="24"/>
          <w:szCs w:val="24"/>
        </w:rPr>
        <w:t xml:space="preserve">) </w:t>
      </w:r>
      <w:r w:rsidR="00035041" w:rsidRPr="00ED7DEE">
        <w:rPr>
          <w:rFonts w:ascii="Times New Roman" w:hAnsi="Times New Roman"/>
          <w:sz w:val="24"/>
          <w:szCs w:val="24"/>
        </w:rPr>
        <w:t>invazinė</w:t>
      </w:r>
      <w:r w:rsidR="00035041">
        <w:rPr>
          <w:rFonts w:ascii="Times New Roman" w:hAnsi="Times New Roman"/>
          <w:sz w:val="24"/>
          <w:szCs w:val="24"/>
        </w:rPr>
        <w:t>s plaučių ventiliacijos poreikio.</w:t>
      </w:r>
    </w:p>
    <w:p w14:paraId="5C623FB7" w14:textId="77777777" w:rsidR="006F55ED" w:rsidRPr="000723FF" w:rsidRDefault="006F55ED" w:rsidP="00824B92">
      <w:pPr>
        <w:rPr>
          <w:b/>
        </w:rPr>
      </w:pPr>
      <w:bookmarkStart w:id="0" w:name="_GoBack"/>
      <w:bookmarkEnd w:id="0"/>
    </w:p>
    <w:sectPr w:rsidR="006F55ED" w:rsidRPr="000723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AC234" w14:textId="77777777" w:rsidR="00D244C9" w:rsidRDefault="00D244C9">
      <w:r>
        <w:separator/>
      </w:r>
    </w:p>
  </w:endnote>
  <w:endnote w:type="continuationSeparator" w:id="0">
    <w:p w14:paraId="2972D45E" w14:textId="77777777" w:rsidR="00D244C9" w:rsidRDefault="00D2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42E6" w14:textId="77777777" w:rsidR="003256BB" w:rsidRDefault="0032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6D79" w14:textId="77777777" w:rsidR="003256BB" w:rsidRDefault="00325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EF9F7" w14:textId="77777777" w:rsidR="00D244C9" w:rsidRDefault="00D244C9">
      <w:r>
        <w:separator/>
      </w:r>
    </w:p>
  </w:footnote>
  <w:footnote w:type="continuationSeparator" w:id="0">
    <w:p w14:paraId="10827C8B" w14:textId="77777777" w:rsidR="00D244C9" w:rsidRDefault="00D2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A8C32CE"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CDC">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5960378"/>
    <w:multiLevelType w:val="hybridMultilevel"/>
    <w:tmpl w:val="CF1CEE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8"/>
  </w:num>
  <w:num w:numId="5">
    <w:abstractNumId w:val="6"/>
  </w:num>
  <w:num w:numId="6">
    <w:abstractNumId w:val="5"/>
  </w:num>
  <w:num w:numId="7">
    <w:abstractNumId w:val="4"/>
  </w:num>
  <w:num w:numId="8">
    <w:abstractNumId w:val="12"/>
  </w:num>
  <w:num w:numId="9">
    <w:abstractNumId w:val="0"/>
  </w:num>
  <w:num w:numId="10">
    <w:abstractNumId w:val="10"/>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35041"/>
    <w:rsid w:val="00042924"/>
    <w:rsid w:val="00045DB2"/>
    <w:rsid w:val="00053975"/>
    <w:rsid w:val="00057A2B"/>
    <w:rsid w:val="000606BE"/>
    <w:rsid w:val="000723FF"/>
    <w:rsid w:val="000736B8"/>
    <w:rsid w:val="0008190F"/>
    <w:rsid w:val="00081D9C"/>
    <w:rsid w:val="00082907"/>
    <w:rsid w:val="0008378D"/>
    <w:rsid w:val="000848F1"/>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A1C4F"/>
    <w:rsid w:val="002B3CC1"/>
    <w:rsid w:val="002C09E0"/>
    <w:rsid w:val="002C1BB1"/>
    <w:rsid w:val="002C2786"/>
    <w:rsid w:val="002C3A10"/>
    <w:rsid w:val="002C4A90"/>
    <w:rsid w:val="002C4ED5"/>
    <w:rsid w:val="002D02EF"/>
    <w:rsid w:val="002E0702"/>
    <w:rsid w:val="002E57AD"/>
    <w:rsid w:val="002E6F80"/>
    <w:rsid w:val="002F0E4F"/>
    <w:rsid w:val="002F1053"/>
    <w:rsid w:val="002F496F"/>
    <w:rsid w:val="00317B0E"/>
    <w:rsid w:val="003256BB"/>
    <w:rsid w:val="00345E42"/>
    <w:rsid w:val="00347FAA"/>
    <w:rsid w:val="0035172D"/>
    <w:rsid w:val="0036187D"/>
    <w:rsid w:val="00367EDB"/>
    <w:rsid w:val="00381024"/>
    <w:rsid w:val="00386307"/>
    <w:rsid w:val="003874DE"/>
    <w:rsid w:val="00393E9F"/>
    <w:rsid w:val="0039696E"/>
    <w:rsid w:val="003A25D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2CDC"/>
    <w:rsid w:val="004D48A6"/>
    <w:rsid w:val="004D7B8F"/>
    <w:rsid w:val="004E6458"/>
    <w:rsid w:val="004E6E7D"/>
    <w:rsid w:val="004F1AAC"/>
    <w:rsid w:val="004F1AE2"/>
    <w:rsid w:val="004F2A30"/>
    <w:rsid w:val="004F34F0"/>
    <w:rsid w:val="004F3B2B"/>
    <w:rsid w:val="004F6050"/>
    <w:rsid w:val="005005EF"/>
    <w:rsid w:val="005123C2"/>
    <w:rsid w:val="005146D7"/>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0EFD"/>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06A5"/>
    <w:rsid w:val="006F1251"/>
    <w:rsid w:val="006F1C23"/>
    <w:rsid w:val="006F55ED"/>
    <w:rsid w:val="00702C18"/>
    <w:rsid w:val="00703166"/>
    <w:rsid w:val="007127F3"/>
    <w:rsid w:val="00724729"/>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0770E"/>
    <w:rsid w:val="00817A84"/>
    <w:rsid w:val="008225A4"/>
    <w:rsid w:val="00824B92"/>
    <w:rsid w:val="00826D5E"/>
    <w:rsid w:val="00832013"/>
    <w:rsid w:val="00832DB7"/>
    <w:rsid w:val="00834732"/>
    <w:rsid w:val="0085200C"/>
    <w:rsid w:val="00857C52"/>
    <w:rsid w:val="00860D5F"/>
    <w:rsid w:val="00877BDC"/>
    <w:rsid w:val="00880A44"/>
    <w:rsid w:val="0088345E"/>
    <w:rsid w:val="0088656F"/>
    <w:rsid w:val="00891EF6"/>
    <w:rsid w:val="00894BB4"/>
    <w:rsid w:val="008A0303"/>
    <w:rsid w:val="008A5FDD"/>
    <w:rsid w:val="008C3947"/>
    <w:rsid w:val="008E473B"/>
    <w:rsid w:val="008E51A6"/>
    <w:rsid w:val="008E7329"/>
    <w:rsid w:val="008F2ED5"/>
    <w:rsid w:val="0092297E"/>
    <w:rsid w:val="009231D8"/>
    <w:rsid w:val="00923651"/>
    <w:rsid w:val="00927B56"/>
    <w:rsid w:val="009341BF"/>
    <w:rsid w:val="00937907"/>
    <w:rsid w:val="00941739"/>
    <w:rsid w:val="00951573"/>
    <w:rsid w:val="00963003"/>
    <w:rsid w:val="00966EEF"/>
    <w:rsid w:val="00971B28"/>
    <w:rsid w:val="00983471"/>
    <w:rsid w:val="009909AB"/>
    <w:rsid w:val="009A55C6"/>
    <w:rsid w:val="009B37DB"/>
    <w:rsid w:val="009C46FB"/>
    <w:rsid w:val="009C50E2"/>
    <w:rsid w:val="009C7A8C"/>
    <w:rsid w:val="009D23F9"/>
    <w:rsid w:val="009D3E7D"/>
    <w:rsid w:val="009D4FA8"/>
    <w:rsid w:val="009E44AE"/>
    <w:rsid w:val="009E6CD6"/>
    <w:rsid w:val="009F4D66"/>
    <w:rsid w:val="00A00C3C"/>
    <w:rsid w:val="00A01091"/>
    <w:rsid w:val="00A042B9"/>
    <w:rsid w:val="00A06DBB"/>
    <w:rsid w:val="00A13EC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3B8"/>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E7ED4"/>
    <w:rsid w:val="00BF2E0D"/>
    <w:rsid w:val="00BF3927"/>
    <w:rsid w:val="00BF3F8B"/>
    <w:rsid w:val="00BF76DA"/>
    <w:rsid w:val="00C07C7B"/>
    <w:rsid w:val="00C16245"/>
    <w:rsid w:val="00C22DC5"/>
    <w:rsid w:val="00C24479"/>
    <w:rsid w:val="00C273F2"/>
    <w:rsid w:val="00C361A7"/>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07A36"/>
    <w:rsid w:val="00D21F3A"/>
    <w:rsid w:val="00D23808"/>
    <w:rsid w:val="00D244C9"/>
    <w:rsid w:val="00D3016A"/>
    <w:rsid w:val="00D317D4"/>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1E90"/>
    <w:rsid w:val="00DC2F53"/>
    <w:rsid w:val="00DC5BAC"/>
    <w:rsid w:val="00DC6816"/>
    <w:rsid w:val="00DC76C2"/>
    <w:rsid w:val="00DD1CF2"/>
    <w:rsid w:val="00DE4484"/>
    <w:rsid w:val="00DF41B7"/>
    <w:rsid w:val="00DF4A4A"/>
    <w:rsid w:val="00DF583C"/>
    <w:rsid w:val="00E03C3F"/>
    <w:rsid w:val="00E06FD7"/>
    <w:rsid w:val="00E07417"/>
    <w:rsid w:val="00E2229C"/>
    <w:rsid w:val="00E24D45"/>
    <w:rsid w:val="00E33DB8"/>
    <w:rsid w:val="00E33EFF"/>
    <w:rsid w:val="00E34387"/>
    <w:rsid w:val="00E348BA"/>
    <w:rsid w:val="00E369FE"/>
    <w:rsid w:val="00E37C6F"/>
    <w:rsid w:val="00E475F8"/>
    <w:rsid w:val="00E5102E"/>
    <w:rsid w:val="00E5721C"/>
    <w:rsid w:val="00E619C6"/>
    <w:rsid w:val="00E62A0A"/>
    <w:rsid w:val="00E745A1"/>
    <w:rsid w:val="00E81529"/>
    <w:rsid w:val="00E83A13"/>
    <w:rsid w:val="00E94000"/>
    <w:rsid w:val="00EB6FC5"/>
    <w:rsid w:val="00EC15D0"/>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2129"/>
    <w:rsid w:val="00F74A74"/>
    <w:rsid w:val="00F7572C"/>
    <w:rsid w:val="00F8382C"/>
    <w:rsid w:val="00F855D7"/>
    <w:rsid w:val="00F92035"/>
    <w:rsid w:val="00F92748"/>
    <w:rsid w:val="00FA4169"/>
    <w:rsid w:val="00FB0D41"/>
    <w:rsid w:val="00FB2030"/>
    <w:rsid w:val="00FD0E46"/>
    <w:rsid w:val="00FD1CF2"/>
    <w:rsid w:val="00FD3EDF"/>
    <w:rsid w:val="00FD5047"/>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
    <w:link w:val="ListParagraph"/>
    <w:uiPriority w:val="34"/>
    <w:rsid w:val="00E94000"/>
    <w:rPr>
      <w:sz w:val="24"/>
      <w:szCs w:val="24"/>
      <w:lang w:eastAsia="en-US"/>
    </w:rPr>
  </w:style>
  <w:style w:type="character" w:styleId="Strong">
    <w:name w:val="Strong"/>
    <w:uiPriority w:val="22"/>
    <w:qFormat/>
    <w:rsid w:val="004D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PlaceholderText"/>
            </w:rPr>
            <w:t>Click here to enter a date.</w:t>
          </w:r>
        </w:p>
      </w:docPartBody>
    </w:docPart>
    <w:docPart>
      <w:docPartPr>
        <w:name w:val="193B713664574FC5A890957052165C95"/>
        <w:category>
          <w:name w:val="General"/>
          <w:gallery w:val="placeholder"/>
        </w:category>
        <w:types>
          <w:type w:val="bbPlcHdr"/>
        </w:types>
        <w:behaviors>
          <w:behavior w:val="content"/>
        </w:behaviors>
        <w:guid w:val="{6F67C168-4841-472F-8CF5-7B03219FD3C1}"/>
      </w:docPartPr>
      <w:docPartBody>
        <w:p w:rsidR="00490CC9" w:rsidRDefault="00CA5F42" w:rsidP="00CA5F42">
          <w:pPr>
            <w:pStyle w:val="193B713664574FC5A890957052165C95"/>
          </w:pPr>
          <w:r>
            <w:rPr>
              <w:rStyle w:val="PlaceholderText"/>
            </w:rPr>
            <w:t>Click here to enter a date.</w:t>
          </w:r>
        </w:p>
      </w:docPartBody>
    </w:docPart>
    <w:docPart>
      <w:docPartPr>
        <w:name w:val="90332E11AA08466A820537B75C57621E"/>
        <w:category>
          <w:name w:val="General"/>
          <w:gallery w:val="placeholder"/>
        </w:category>
        <w:types>
          <w:type w:val="bbPlcHdr"/>
        </w:types>
        <w:behaviors>
          <w:behavior w:val="content"/>
        </w:behaviors>
        <w:guid w:val="{D9420775-A663-4452-B5FA-E6ABE8C0ED2C}"/>
      </w:docPartPr>
      <w:docPartBody>
        <w:p w:rsidR="00490CC9" w:rsidRDefault="00CA5F42" w:rsidP="00CA5F42">
          <w:pPr>
            <w:pStyle w:val="90332E11AA08466A820537B75C57621E"/>
          </w:pPr>
          <w:r>
            <w:rPr>
              <w:rStyle w:val="PlaceholderText"/>
            </w:rPr>
            <w:t>Click here to enter a date.</w:t>
          </w:r>
        </w:p>
      </w:docPartBody>
    </w:docPart>
    <w:docPart>
      <w:docPartPr>
        <w:name w:val="40AF3785CE504884855318AE1D0A0756"/>
        <w:category>
          <w:name w:val="General"/>
          <w:gallery w:val="placeholder"/>
        </w:category>
        <w:types>
          <w:type w:val="bbPlcHdr"/>
        </w:types>
        <w:behaviors>
          <w:behavior w:val="content"/>
        </w:behaviors>
        <w:guid w:val="{0EAA4434-F84B-4DAB-BA83-161CDAEFA2F9}"/>
      </w:docPartPr>
      <w:docPartBody>
        <w:p w:rsidR="00490CC9" w:rsidRDefault="00CA5F42" w:rsidP="00CA5F42">
          <w:pPr>
            <w:pStyle w:val="40AF3785CE504884855318AE1D0A075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294BDE"/>
    <w:rsid w:val="0039303B"/>
    <w:rsid w:val="004144A3"/>
    <w:rsid w:val="004160E7"/>
    <w:rsid w:val="004416C6"/>
    <w:rsid w:val="00490CC9"/>
    <w:rsid w:val="00497085"/>
    <w:rsid w:val="004A263A"/>
    <w:rsid w:val="004F5AB2"/>
    <w:rsid w:val="005074B9"/>
    <w:rsid w:val="005E40DD"/>
    <w:rsid w:val="00673849"/>
    <w:rsid w:val="00685C5C"/>
    <w:rsid w:val="007219C1"/>
    <w:rsid w:val="00724575"/>
    <w:rsid w:val="00753462"/>
    <w:rsid w:val="00765BFB"/>
    <w:rsid w:val="00772325"/>
    <w:rsid w:val="007A2FE0"/>
    <w:rsid w:val="007C6D1D"/>
    <w:rsid w:val="0090074D"/>
    <w:rsid w:val="00901481"/>
    <w:rsid w:val="009B3BF0"/>
    <w:rsid w:val="009D5E5E"/>
    <w:rsid w:val="009F1BB4"/>
    <w:rsid w:val="00AB6ED4"/>
    <w:rsid w:val="00B14210"/>
    <w:rsid w:val="00B23DC0"/>
    <w:rsid w:val="00B96656"/>
    <w:rsid w:val="00BA5088"/>
    <w:rsid w:val="00BE29C1"/>
    <w:rsid w:val="00C2401D"/>
    <w:rsid w:val="00C53A68"/>
    <w:rsid w:val="00C614D0"/>
    <w:rsid w:val="00CA5BB4"/>
    <w:rsid w:val="00CA5F42"/>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5F42"/>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193B713664574FC5A890957052165C95">
    <w:name w:val="193B713664574FC5A890957052165C95"/>
    <w:rsid w:val="00CA5F42"/>
  </w:style>
  <w:style w:type="paragraph" w:customStyle="1" w:styleId="90332E11AA08466A820537B75C57621E">
    <w:name w:val="90332E11AA08466A820537B75C57621E"/>
    <w:rsid w:val="00CA5F42"/>
  </w:style>
  <w:style w:type="paragraph" w:customStyle="1" w:styleId="CCC09E0E76404FBE97D43D48F8276FAE">
    <w:name w:val="CCC09E0E76404FBE97D43D48F8276FAE"/>
    <w:rsid w:val="00CA5F42"/>
  </w:style>
  <w:style w:type="paragraph" w:customStyle="1" w:styleId="85C155E4B5904938BB1CBA39BA090DB5">
    <w:name w:val="85C155E4B5904938BB1CBA39BA090DB5"/>
    <w:rsid w:val="00CA5F42"/>
  </w:style>
  <w:style w:type="paragraph" w:customStyle="1" w:styleId="40AF3785CE504884855318AE1D0A0756">
    <w:name w:val="40AF3785CE504884855318AE1D0A0756"/>
    <w:rsid w:val="00CA5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98A6-ADC9-4BA6-A219-252E7AF4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2023-05-19T11:25:00Z</dcterms:created>
  <dcterms:modified xsi:type="dcterms:W3CDTF">2023-05-19T11:25:00Z</dcterms:modified>
</cp:coreProperties>
</file>