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3E5EB3" w14:textId="1955ADE3" w:rsidR="005F7602" w:rsidRDefault="005F7602" w:rsidP="002946C7">
      <w:pPr>
        <w:ind w:left="5529"/>
      </w:pPr>
    </w:p>
    <w:p w14:paraId="12FA4B9E" w14:textId="77777777" w:rsidR="001B3C5B" w:rsidRDefault="001B3C5B" w:rsidP="001B3C5B">
      <w:pPr>
        <w:ind w:left="6096"/>
      </w:pPr>
      <w:r>
        <w:t>Forma patvirtinta</w:t>
      </w:r>
    </w:p>
    <w:p w14:paraId="7206970B" w14:textId="70E9BD2E" w:rsidR="004C263A" w:rsidRDefault="001B3C5B" w:rsidP="001B3C5B">
      <w:pPr>
        <w:ind w:left="6096"/>
      </w:pPr>
      <w:r>
        <w:t>Valstybinės vaistų kontrolės tarnybos prie Lietuvos Respublikos sveikatos apsaugos ministerijos viršininko 2021 m</w:t>
      </w:r>
      <w:r w:rsidR="004C263A">
        <w:t xml:space="preserve">. lapkričio 12 </w:t>
      </w:r>
      <w:r>
        <w:t>d. įsakymu Nr.</w:t>
      </w:r>
      <w:r w:rsidR="004C263A">
        <w:t xml:space="preserve"> (1.72E)1A-1418</w:t>
      </w:r>
    </w:p>
    <w:p w14:paraId="5B219AA6" w14:textId="520B9136" w:rsidR="001B3C5B" w:rsidRDefault="004C263A" w:rsidP="001B3C5B">
      <w:pPr>
        <w:ind w:left="6096"/>
      </w:pPr>
      <w:r>
        <w:t>(Valstybinės vaistų kontrolės tarnybos prie Lietuvos Respublikos sveikatos apsaugos ministerijos viršininko 2022 m.                         d. įsakymo Nr.                    redakcija)</w:t>
      </w:r>
    </w:p>
    <w:p w14:paraId="3336BD74" w14:textId="77777777" w:rsidR="001B3C5B" w:rsidRPr="000A2492" w:rsidRDefault="001B3C5B" w:rsidP="00FA4169"/>
    <w:p w14:paraId="77AFB67E" w14:textId="30A18499" w:rsidR="00613501" w:rsidRDefault="002F0E4F" w:rsidP="003B211A">
      <w:pPr>
        <w:jc w:val="center"/>
        <w:rPr>
          <w:b/>
          <w:bCs/>
          <w:caps/>
        </w:rPr>
      </w:pPr>
      <w:r>
        <w:rPr>
          <w:b/>
        </w:rPr>
        <w:t xml:space="preserve">REKOMENDACIJA DĖL VAISTINIO PREPARATO </w:t>
      </w:r>
      <w:r w:rsidRPr="002F0E4F">
        <w:rPr>
          <w:b/>
          <w:bCs/>
          <w:caps/>
        </w:rPr>
        <w:t>Lietuvos Respublikos Sveikatos apsaugos ministerijos vaistinių preparatų ir medicinos pagalbos priemonių kompensavimo komisijai</w:t>
      </w:r>
    </w:p>
    <w:p w14:paraId="3F689FFF" w14:textId="2BCEDF3E" w:rsidR="001E3C7E" w:rsidRDefault="001E3C7E" w:rsidP="003B211A">
      <w:pPr>
        <w:jc w:val="center"/>
        <w:rPr>
          <w:b/>
          <w:bCs/>
          <w:caps/>
        </w:rPr>
      </w:pPr>
    </w:p>
    <w:p w14:paraId="17535E03" w14:textId="428D9632" w:rsidR="00BA59C6" w:rsidRPr="00963C8E" w:rsidRDefault="00BA59C6" w:rsidP="00BA59C6">
      <w:pPr>
        <w:pStyle w:val="drug-info"/>
        <w:shd w:val="clear" w:color="auto" w:fill="FFFFFF"/>
        <w:spacing w:before="0" w:beforeAutospacing="0" w:after="150" w:afterAutospacing="0"/>
        <w:jc w:val="center"/>
        <w:rPr>
          <w:b/>
          <w:bCs/>
          <w:color w:val="333333"/>
        </w:rPr>
      </w:pPr>
      <w:r w:rsidRPr="00963C8E">
        <w:rPr>
          <w:b/>
          <w:bCs/>
        </w:rPr>
        <w:t xml:space="preserve">KEYTRUDA </w:t>
      </w:r>
      <w:r w:rsidRPr="00963C8E">
        <w:rPr>
          <w:b/>
          <w:bCs/>
          <w:color w:val="333333"/>
        </w:rPr>
        <w:t>25 mg/ml</w:t>
      </w:r>
      <w:r w:rsidRPr="00963C8E">
        <w:rPr>
          <w:b/>
          <w:bCs/>
          <w:color w:val="333333"/>
          <w:lang w:val="en-US"/>
        </w:rPr>
        <w:t xml:space="preserve"> </w:t>
      </w:r>
      <w:r w:rsidRPr="00963C8E">
        <w:rPr>
          <w:b/>
          <w:bCs/>
          <w:color w:val="333333"/>
        </w:rPr>
        <w:t>koncentratas infuziniam tirpalui</w:t>
      </w:r>
    </w:p>
    <w:p w14:paraId="744A51F5" w14:textId="77777777" w:rsidR="00BA59C6" w:rsidRPr="00963C8E" w:rsidRDefault="00BA59C6" w:rsidP="00BA59C6">
      <w:pPr>
        <w:jc w:val="center"/>
        <w:rPr>
          <w:lang w:val="en-US"/>
        </w:rPr>
      </w:pPr>
      <w:r>
        <w:rPr>
          <w:lang w:val="en-US"/>
        </w:rPr>
        <w:t>Pembrolizumabas</w:t>
      </w:r>
    </w:p>
    <w:p w14:paraId="62371F09" w14:textId="77777777" w:rsidR="00BA59C6" w:rsidRPr="00D05364" w:rsidRDefault="00BA59C6" w:rsidP="00BA59C6">
      <w:pPr>
        <w:jc w:val="center"/>
      </w:pPr>
    </w:p>
    <w:p w14:paraId="6CC65D42" w14:textId="2EC6C4D7" w:rsidR="001E3C7E" w:rsidRPr="00717F80" w:rsidRDefault="00BA59C6" w:rsidP="00717F80">
      <w:pPr>
        <w:jc w:val="center"/>
        <w:rPr>
          <w:lang w:val="en-US"/>
        </w:rPr>
      </w:pPr>
      <w:r w:rsidRPr="005E0604">
        <w:t xml:space="preserve">STV – </w:t>
      </w:r>
      <w:r>
        <w:rPr>
          <w:lang w:val="en-US"/>
        </w:rPr>
        <w:t>62</w:t>
      </w:r>
    </w:p>
    <w:p w14:paraId="34E4395D" w14:textId="15FB10DF" w:rsidR="00B13D65" w:rsidRDefault="00B13D65" w:rsidP="003B211A">
      <w:pPr>
        <w:jc w:val="center"/>
        <w:rPr>
          <w:b/>
        </w:rPr>
      </w:pPr>
    </w:p>
    <w:p w14:paraId="78C89D1C" w14:textId="35EBE8F4" w:rsidR="00D4485B" w:rsidRPr="001E3C7E" w:rsidRDefault="00B13D65" w:rsidP="001E3C7E">
      <w:pPr>
        <w:pStyle w:val="ListParagraph"/>
        <w:numPr>
          <w:ilvl w:val="0"/>
          <w:numId w:val="12"/>
        </w:numPr>
        <w:tabs>
          <w:tab w:val="left" w:pos="284"/>
        </w:tabs>
        <w:rPr>
          <w:b/>
          <w:bCs/>
          <w:caps/>
        </w:rPr>
      </w:pPr>
      <w:r w:rsidRPr="001E3C7E">
        <w:rPr>
          <w:b/>
          <w:bCs/>
          <w:caps/>
        </w:rPr>
        <w:t>Bendroji dalis</w:t>
      </w:r>
    </w:p>
    <w:p w14:paraId="04A7C7A7" w14:textId="77777777" w:rsidR="00B13D65" w:rsidRDefault="00B13D65" w:rsidP="00E03C3F">
      <w:pPr>
        <w:pStyle w:val="ListParagraph"/>
        <w:tabs>
          <w:tab w:val="left" w:pos="284"/>
        </w:tabs>
        <w:ind w:left="0"/>
        <w:rPr>
          <w:b/>
          <w:bCs/>
          <w:caps/>
        </w:rPr>
      </w:pPr>
    </w:p>
    <w:tbl>
      <w:tblPr>
        <w:tblStyle w:val="TableGrid"/>
        <w:tblW w:w="9918" w:type="dxa"/>
        <w:tblLook w:val="04A0" w:firstRow="1" w:lastRow="0" w:firstColumn="1" w:lastColumn="0" w:noHBand="0" w:noVBand="1"/>
      </w:tblPr>
      <w:tblGrid>
        <w:gridCol w:w="705"/>
        <w:gridCol w:w="4117"/>
        <w:gridCol w:w="5096"/>
      </w:tblGrid>
      <w:tr w:rsidR="001E3C7E" w:rsidRPr="00D05364" w14:paraId="45AD6F32" w14:textId="77777777" w:rsidTr="00F414C7">
        <w:trPr>
          <w:trHeight w:val="342"/>
        </w:trPr>
        <w:tc>
          <w:tcPr>
            <w:tcW w:w="705" w:type="dxa"/>
          </w:tcPr>
          <w:p w14:paraId="3842AF06" w14:textId="77777777" w:rsidR="001E3C7E" w:rsidRPr="00D05364" w:rsidRDefault="001E3C7E" w:rsidP="00F414C7">
            <w:pPr>
              <w:tabs>
                <w:tab w:val="left" w:pos="284"/>
              </w:tabs>
              <w:spacing w:line="280" w:lineRule="atLeast"/>
              <w:rPr>
                <w:rFonts w:eastAsia="Arial"/>
                <w:b/>
              </w:rPr>
            </w:pPr>
            <w:r w:rsidRPr="00D05364">
              <w:rPr>
                <w:rFonts w:eastAsia="Arial"/>
                <w:b/>
              </w:rPr>
              <w:t>1.1</w:t>
            </w:r>
          </w:p>
        </w:tc>
        <w:tc>
          <w:tcPr>
            <w:tcW w:w="4117" w:type="dxa"/>
          </w:tcPr>
          <w:p w14:paraId="71413E30" w14:textId="77777777" w:rsidR="001E3C7E" w:rsidRPr="00D05364" w:rsidRDefault="001E3C7E" w:rsidP="00F414C7">
            <w:pPr>
              <w:tabs>
                <w:tab w:val="left" w:pos="284"/>
              </w:tabs>
              <w:spacing w:line="280" w:lineRule="atLeast"/>
              <w:rPr>
                <w:b/>
                <w:bCs/>
                <w:color w:val="000000"/>
                <w:lang w:eastAsia="lt-LT"/>
              </w:rPr>
            </w:pPr>
            <w:r w:rsidRPr="00D05364">
              <w:rPr>
                <w:b/>
                <w:bCs/>
                <w:color w:val="000000"/>
                <w:lang w:eastAsia="lt-LT"/>
              </w:rPr>
              <w:t>Pareiškėjas</w:t>
            </w:r>
          </w:p>
        </w:tc>
        <w:tc>
          <w:tcPr>
            <w:tcW w:w="5096" w:type="dxa"/>
          </w:tcPr>
          <w:p w14:paraId="6EFB9C70" w14:textId="190FA848" w:rsidR="001E3C7E" w:rsidRPr="00BA59C6" w:rsidRDefault="00BA59C6" w:rsidP="00F414C7">
            <w:pPr>
              <w:pStyle w:val="ListParagraph"/>
              <w:spacing w:after="120"/>
              <w:ind w:left="0"/>
              <w:contextualSpacing w:val="0"/>
              <w:jc w:val="both"/>
              <w:rPr>
                <w:lang w:val="en-US"/>
              </w:rPr>
            </w:pPr>
            <w:r w:rsidRPr="003D1B51">
              <w:t>UAB “Merck Sharp &amp; Dohme“</w:t>
            </w:r>
          </w:p>
        </w:tc>
      </w:tr>
      <w:tr w:rsidR="001E3C7E" w:rsidRPr="00D05364" w14:paraId="116DE9AF" w14:textId="77777777" w:rsidTr="00F414C7">
        <w:trPr>
          <w:trHeight w:val="479"/>
        </w:trPr>
        <w:tc>
          <w:tcPr>
            <w:tcW w:w="705" w:type="dxa"/>
          </w:tcPr>
          <w:p w14:paraId="298FAA68" w14:textId="77777777" w:rsidR="001E3C7E" w:rsidRPr="00D05364" w:rsidRDefault="001E3C7E" w:rsidP="00F414C7">
            <w:pPr>
              <w:tabs>
                <w:tab w:val="left" w:pos="284"/>
              </w:tabs>
              <w:spacing w:line="280" w:lineRule="atLeast"/>
              <w:rPr>
                <w:rFonts w:eastAsia="Arial"/>
                <w:b/>
              </w:rPr>
            </w:pPr>
            <w:r w:rsidRPr="00D05364">
              <w:rPr>
                <w:rFonts w:eastAsia="Arial"/>
                <w:b/>
              </w:rPr>
              <w:t>1.2</w:t>
            </w:r>
          </w:p>
        </w:tc>
        <w:tc>
          <w:tcPr>
            <w:tcW w:w="4117" w:type="dxa"/>
          </w:tcPr>
          <w:p w14:paraId="07891813" w14:textId="77777777" w:rsidR="001E3C7E" w:rsidRPr="00D05364" w:rsidRDefault="001E3C7E" w:rsidP="00F414C7">
            <w:pPr>
              <w:tabs>
                <w:tab w:val="left" w:pos="284"/>
              </w:tabs>
              <w:spacing w:line="280" w:lineRule="atLeast"/>
              <w:rPr>
                <w:b/>
                <w:bCs/>
                <w:color w:val="000000"/>
                <w:lang w:eastAsia="lt-LT"/>
              </w:rPr>
            </w:pPr>
            <w:r w:rsidRPr="00D05364">
              <w:rPr>
                <w:b/>
                <w:bCs/>
                <w:color w:val="000000"/>
                <w:lang w:eastAsia="lt-LT"/>
              </w:rPr>
              <w:t>Registracijos data (EVA)</w:t>
            </w:r>
          </w:p>
          <w:p w14:paraId="316D3E89" w14:textId="77777777" w:rsidR="001E3C7E" w:rsidRPr="00D05364" w:rsidRDefault="001E3C7E" w:rsidP="00F414C7">
            <w:pPr>
              <w:tabs>
                <w:tab w:val="left" w:pos="284"/>
              </w:tabs>
              <w:spacing w:line="280" w:lineRule="atLeast"/>
              <w:rPr>
                <w:bCs/>
                <w:color w:val="000000"/>
                <w:lang w:eastAsia="lt-LT"/>
              </w:rPr>
            </w:pPr>
          </w:p>
        </w:tc>
        <w:tc>
          <w:tcPr>
            <w:tcW w:w="5096" w:type="dxa"/>
          </w:tcPr>
          <w:p w14:paraId="20059691" w14:textId="7133C60E" w:rsidR="001E3C7E" w:rsidRPr="006C428F" w:rsidRDefault="00A81452" w:rsidP="00BA59C6">
            <w:pPr>
              <w:rPr>
                <w:rStyle w:val="Style2"/>
                <w:lang w:val="en-US"/>
              </w:rPr>
            </w:pPr>
            <w:sdt>
              <w:sdtPr>
                <w:rPr>
                  <w:sz w:val="32"/>
                </w:rPr>
                <w:alias w:val="Nurodykite konkrečią dieną"/>
                <w:tag w:val="Nurodykite pradžios datą"/>
                <w:id w:val="423238108"/>
                <w:placeholder>
                  <w:docPart w:val="9836E1CD8011654E862FD96753EA7918"/>
                </w:placeholder>
                <w15:color w:val="FFCC99"/>
                <w:date>
                  <w:dateFormat w:val="yyyy 'm.' MMMM d 'd.'"/>
                  <w:lid w:val="lt-LT"/>
                  <w:storeMappedDataAs w:val="dateTime"/>
                  <w:calendar w:val="gregorian"/>
                </w:date>
              </w:sdtPr>
              <w:sdtEndPr/>
              <w:sdtContent>
                <w:r w:rsidR="00BA59C6" w:rsidRPr="007A68A5">
                  <w:t>201</w:t>
                </w:r>
                <w:r w:rsidR="00BA59C6">
                  <w:t>5</w:t>
                </w:r>
                <w:r w:rsidR="00BA59C6" w:rsidRPr="007A68A5">
                  <w:t xml:space="preserve"> m. l</w:t>
                </w:r>
                <w:r w:rsidR="00BA59C6">
                  <w:t>iepos</w:t>
                </w:r>
                <w:r w:rsidR="00BA59C6" w:rsidRPr="007A68A5">
                  <w:t xml:space="preserve"> </w:t>
                </w:r>
                <w:r w:rsidR="00BA59C6">
                  <w:t>17</w:t>
                </w:r>
                <w:r w:rsidR="00BA59C6" w:rsidRPr="007A68A5">
                  <w:t xml:space="preserve"> d.</w:t>
                </w:r>
              </w:sdtContent>
            </w:sdt>
            <w:r w:rsidR="00BA59C6" w:rsidRPr="007A68A5">
              <w:t xml:space="preserve">, </w:t>
            </w:r>
            <w:r w:rsidR="00BA59C6">
              <w:rPr>
                <w:rFonts w:eastAsia="Arial"/>
                <w:color w:val="000000"/>
              </w:rPr>
              <w:t>taikant centralizuotą registracijos procedūrą.</w:t>
            </w:r>
          </w:p>
        </w:tc>
      </w:tr>
      <w:tr w:rsidR="001E3C7E" w:rsidRPr="00D05364" w14:paraId="4AE5C03C" w14:textId="77777777" w:rsidTr="00F414C7">
        <w:trPr>
          <w:trHeight w:val="1328"/>
        </w:trPr>
        <w:tc>
          <w:tcPr>
            <w:tcW w:w="705" w:type="dxa"/>
          </w:tcPr>
          <w:p w14:paraId="40AA8A1C" w14:textId="77777777" w:rsidR="001E3C7E" w:rsidRPr="00D05364" w:rsidRDefault="001E3C7E" w:rsidP="00F414C7">
            <w:pPr>
              <w:tabs>
                <w:tab w:val="left" w:pos="284"/>
              </w:tabs>
              <w:spacing w:line="280" w:lineRule="atLeast"/>
              <w:rPr>
                <w:rFonts w:eastAsia="Arial"/>
                <w:b/>
              </w:rPr>
            </w:pPr>
            <w:r w:rsidRPr="00D05364">
              <w:rPr>
                <w:rFonts w:eastAsia="Arial"/>
                <w:b/>
              </w:rPr>
              <w:t>1.3</w:t>
            </w:r>
          </w:p>
        </w:tc>
        <w:tc>
          <w:tcPr>
            <w:tcW w:w="4117" w:type="dxa"/>
          </w:tcPr>
          <w:p w14:paraId="69811C1A" w14:textId="77777777" w:rsidR="001E3C7E" w:rsidRPr="00D05364" w:rsidRDefault="001E3C7E" w:rsidP="00F414C7">
            <w:pPr>
              <w:pStyle w:val="NoSpacing"/>
              <w:rPr>
                <w:rFonts w:ascii="Times New Roman" w:hAnsi="Times New Roman"/>
                <w:b/>
                <w:sz w:val="24"/>
                <w:szCs w:val="24"/>
              </w:rPr>
            </w:pPr>
            <w:r w:rsidRPr="00D05364">
              <w:rPr>
                <w:rFonts w:ascii="Times New Roman" w:hAnsi="Times New Roman"/>
                <w:b/>
                <w:sz w:val="24"/>
                <w:szCs w:val="24"/>
              </w:rPr>
              <w:t xml:space="preserve">Paraiškos tipas </w:t>
            </w:r>
          </w:p>
          <w:p w14:paraId="191FF9AC" w14:textId="77777777" w:rsidR="001E3C7E" w:rsidRPr="00D05364" w:rsidRDefault="001E3C7E" w:rsidP="00F414C7">
            <w:pPr>
              <w:rPr>
                <w:b/>
              </w:rPr>
            </w:pPr>
            <w:r w:rsidRPr="00D05364">
              <w:rPr>
                <w:b/>
              </w:rPr>
              <w:t xml:space="preserve">(pagal </w:t>
            </w:r>
            <w:r w:rsidRPr="00D05364">
              <w:rPr>
                <w:b/>
                <w:shd w:val="clear" w:color="auto" w:fill="FFFFFF"/>
              </w:rPr>
              <w:t>vaistinio preparato registracijos tipą, įtvirtintą</w:t>
            </w:r>
            <w:r w:rsidRPr="00D05364">
              <w:rPr>
                <w:b/>
              </w:rPr>
              <w:t xml:space="preserve"> Direktyvos 2001/83/EB straipsniuose)</w:t>
            </w:r>
          </w:p>
          <w:p w14:paraId="7ABA085C" w14:textId="77777777" w:rsidR="001E3C7E" w:rsidRPr="00D05364" w:rsidRDefault="001E3C7E" w:rsidP="00F414C7">
            <w:pPr>
              <w:tabs>
                <w:tab w:val="left" w:pos="284"/>
              </w:tabs>
              <w:spacing w:line="280" w:lineRule="atLeast"/>
              <w:rPr>
                <w:b/>
                <w:bCs/>
                <w:color w:val="000000"/>
                <w:lang w:eastAsia="lt-LT"/>
              </w:rPr>
            </w:pPr>
          </w:p>
        </w:tc>
        <w:tc>
          <w:tcPr>
            <w:tcW w:w="5096" w:type="dxa"/>
          </w:tcPr>
          <w:p w14:paraId="4DDF9932" w14:textId="77777777" w:rsidR="001E3C7E" w:rsidRPr="00D05364" w:rsidRDefault="00A81452" w:rsidP="00F414C7">
            <w:sdt>
              <w:sdtPr>
                <w:rPr>
                  <w:rStyle w:val="Style2"/>
                </w:rPr>
                <w:id w:val="-366596377"/>
                <w15:color w:val="FFCC00"/>
                <w14:checkbox>
                  <w14:checked w14:val="1"/>
                  <w14:checkedState w14:val="2612" w14:font="MS Gothic"/>
                  <w14:uncheckedState w14:val="2610" w14:font="MS Gothic"/>
                </w14:checkbox>
              </w:sdtPr>
              <w:sdtEndPr>
                <w:rPr>
                  <w:rStyle w:val="Style2"/>
                </w:rPr>
              </w:sdtEndPr>
              <w:sdtContent>
                <w:r w:rsidR="001E3C7E">
                  <w:rPr>
                    <w:rStyle w:val="Style2"/>
                    <w:rFonts w:ascii="MS Gothic" w:eastAsia="MS Gothic" w:hAnsi="MS Gothic" w:hint="eastAsia"/>
                  </w:rPr>
                  <w:t>☒</w:t>
                </w:r>
              </w:sdtContent>
            </w:sdt>
            <w:r w:rsidR="001E3C7E" w:rsidRPr="00D05364">
              <w:t xml:space="preserve"> 8.3 str. (pilna byla, pagrįsta savais tyrimais) </w:t>
            </w:r>
          </w:p>
          <w:p w14:paraId="16050309" w14:textId="77777777" w:rsidR="001E3C7E" w:rsidRPr="00D05364" w:rsidRDefault="00A81452" w:rsidP="00F414C7">
            <w:sdt>
              <w:sdtPr>
                <w:rPr>
                  <w:rStyle w:val="Style2"/>
                </w:rPr>
                <w:id w:val="675462298"/>
                <w15:color w:val="FFCC00"/>
                <w14:checkbox>
                  <w14:checked w14:val="0"/>
                  <w14:checkedState w14:val="2612" w14:font="MS Gothic"/>
                  <w14:uncheckedState w14:val="2610" w14:font="MS Gothic"/>
                </w14:checkbox>
              </w:sdtPr>
              <w:sdtEndPr>
                <w:rPr>
                  <w:rStyle w:val="Style2"/>
                </w:rPr>
              </w:sdtEndPr>
              <w:sdtContent>
                <w:r w:rsidR="001E3C7E" w:rsidRPr="00D05364">
                  <w:rPr>
                    <w:rStyle w:val="Style2"/>
                    <w:rFonts w:ascii="Segoe UI Symbol" w:eastAsia="MS Gothic" w:hAnsi="Segoe UI Symbol" w:cs="Segoe UI Symbol"/>
                  </w:rPr>
                  <w:t>☐</w:t>
                </w:r>
              </w:sdtContent>
            </w:sdt>
            <w:r w:rsidR="001E3C7E" w:rsidRPr="00D05364">
              <w:t xml:space="preserve"> 10 a str. (pripažintas medicininis vartojimas) </w:t>
            </w:r>
          </w:p>
          <w:p w14:paraId="59522B03" w14:textId="77777777" w:rsidR="001E3C7E" w:rsidRPr="00D05364" w:rsidRDefault="00A81452" w:rsidP="00F414C7">
            <w:sdt>
              <w:sdtPr>
                <w:rPr>
                  <w:rStyle w:val="Style2"/>
                </w:rPr>
                <w:id w:val="-1290435890"/>
                <w15:color w:val="FFCC00"/>
                <w14:checkbox>
                  <w14:checked w14:val="0"/>
                  <w14:checkedState w14:val="2612" w14:font="MS Gothic"/>
                  <w14:uncheckedState w14:val="2610" w14:font="MS Gothic"/>
                </w14:checkbox>
              </w:sdtPr>
              <w:sdtEndPr>
                <w:rPr>
                  <w:rStyle w:val="Style2"/>
                </w:rPr>
              </w:sdtEndPr>
              <w:sdtContent>
                <w:r w:rsidR="001E3C7E" w:rsidRPr="00D05364">
                  <w:rPr>
                    <w:rStyle w:val="Style2"/>
                    <w:rFonts w:ascii="MS Gothic" w:eastAsia="MS Gothic" w:hAnsi="MS Gothic" w:hint="eastAsia"/>
                  </w:rPr>
                  <w:t>☐</w:t>
                </w:r>
              </w:sdtContent>
            </w:sdt>
            <w:r w:rsidR="001E3C7E" w:rsidRPr="00D05364">
              <w:t xml:space="preserve"> 10.1 str. (generinis)</w:t>
            </w:r>
          </w:p>
          <w:p w14:paraId="4048FB84" w14:textId="77777777" w:rsidR="001E3C7E" w:rsidRPr="00D05364" w:rsidRDefault="00A81452" w:rsidP="00F414C7">
            <w:pPr>
              <w:rPr>
                <w:rStyle w:val="Style2"/>
              </w:rPr>
            </w:pPr>
            <w:sdt>
              <w:sdtPr>
                <w:rPr>
                  <w:rStyle w:val="Style2"/>
                </w:rPr>
                <w:id w:val="-124545030"/>
                <w15:color w:val="FFCC00"/>
                <w14:checkbox>
                  <w14:checked w14:val="0"/>
                  <w14:checkedState w14:val="2612" w14:font="MS Gothic"/>
                  <w14:uncheckedState w14:val="2610" w14:font="MS Gothic"/>
                </w14:checkbox>
              </w:sdtPr>
              <w:sdtEndPr>
                <w:rPr>
                  <w:rStyle w:val="Style2"/>
                </w:rPr>
              </w:sdtEndPr>
              <w:sdtContent>
                <w:r w:rsidR="001E3C7E" w:rsidRPr="00D05364">
                  <w:rPr>
                    <w:rStyle w:val="Style2"/>
                    <w:rFonts w:ascii="Segoe UI Symbol" w:eastAsia="MS Gothic" w:hAnsi="Segoe UI Symbol" w:cs="Segoe UI Symbol"/>
                  </w:rPr>
                  <w:t>☐</w:t>
                </w:r>
              </w:sdtContent>
            </w:sdt>
            <w:r w:rsidR="001E3C7E" w:rsidRPr="00D05364">
              <w:t xml:space="preserve"> 10.3 str. (hibridinis)</w:t>
            </w:r>
          </w:p>
        </w:tc>
      </w:tr>
      <w:tr w:rsidR="001E3C7E" w:rsidRPr="00D05364" w14:paraId="0630AB0E" w14:textId="77777777" w:rsidTr="00F414C7">
        <w:trPr>
          <w:trHeight w:val="1109"/>
        </w:trPr>
        <w:tc>
          <w:tcPr>
            <w:tcW w:w="705" w:type="dxa"/>
          </w:tcPr>
          <w:p w14:paraId="6B0C89FF" w14:textId="77777777" w:rsidR="001E3C7E" w:rsidRPr="00D05364" w:rsidRDefault="001E3C7E" w:rsidP="00F414C7">
            <w:pPr>
              <w:tabs>
                <w:tab w:val="left" w:pos="284"/>
              </w:tabs>
              <w:spacing w:line="280" w:lineRule="atLeast"/>
              <w:rPr>
                <w:rFonts w:eastAsia="Arial"/>
                <w:b/>
              </w:rPr>
            </w:pPr>
            <w:r w:rsidRPr="00D05364">
              <w:rPr>
                <w:rFonts w:eastAsia="Arial"/>
                <w:b/>
              </w:rPr>
              <w:t>1.4</w:t>
            </w:r>
          </w:p>
        </w:tc>
        <w:tc>
          <w:tcPr>
            <w:tcW w:w="4117" w:type="dxa"/>
          </w:tcPr>
          <w:p w14:paraId="5B16F16C" w14:textId="77777777" w:rsidR="001E3C7E" w:rsidRPr="00D05364" w:rsidRDefault="001E3C7E" w:rsidP="00F414C7">
            <w:pPr>
              <w:tabs>
                <w:tab w:val="left" w:pos="284"/>
              </w:tabs>
              <w:spacing w:line="280" w:lineRule="atLeast"/>
              <w:rPr>
                <w:b/>
                <w:bCs/>
                <w:color w:val="000000"/>
                <w:lang w:eastAsia="lt-LT"/>
              </w:rPr>
            </w:pPr>
            <w:r w:rsidRPr="00D05364">
              <w:rPr>
                <w:b/>
                <w:bCs/>
                <w:color w:val="000000"/>
                <w:lang w:eastAsia="lt-LT"/>
              </w:rPr>
              <w:t>Ar vaistinis preparatas įrašytas į Bendrijos retųjų vaistinių preparatų registrą?</w:t>
            </w:r>
          </w:p>
          <w:p w14:paraId="1A38AAC2" w14:textId="77777777" w:rsidR="001E3C7E" w:rsidRPr="00D05364" w:rsidRDefault="001E3C7E" w:rsidP="00F414C7">
            <w:pPr>
              <w:tabs>
                <w:tab w:val="left" w:pos="284"/>
              </w:tabs>
              <w:spacing w:line="280" w:lineRule="atLeast"/>
              <w:jc w:val="both"/>
              <w:rPr>
                <w:b/>
                <w:bCs/>
                <w:color w:val="000000"/>
                <w:sz w:val="22"/>
                <w:szCs w:val="22"/>
                <w:lang w:eastAsia="lt-LT"/>
              </w:rPr>
            </w:pPr>
          </w:p>
        </w:tc>
        <w:tc>
          <w:tcPr>
            <w:tcW w:w="5096" w:type="dxa"/>
          </w:tcPr>
          <w:p w14:paraId="0AFB84E2" w14:textId="77777777" w:rsidR="001E3C7E" w:rsidRPr="00D05364" w:rsidRDefault="00A81452" w:rsidP="00F414C7">
            <w:sdt>
              <w:sdtPr>
                <w:rPr>
                  <w:rStyle w:val="Style2"/>
                </w:rPr>
                <w:id w:val="2024432173"/>
                <w15:color w:val="FFCC00"/>
                <w14:checkbox>
                  <w14:checked w14:val="0"/>
                  <w14:checkedState w14:val="2612" w14:font="MS Gothic"/>
                  <w14:uncheckedState w14:val="2610" w14:font="MS Gothic"/>
                </w14:checkbox>
              </w:sdtPr>
              <w:sdtEndPr>
                <w:rPr>
                  <w:rStyle w:val="Style2"/>
                </w:rPr>
              </w:sdtEndPr>
              <w:sdtContent>
                <w:r w:rsidR="001E3C7E" w:rsidRPr="00D05364">
                  <w:rPr>
                    <w:rStyle w:val="Style2"/>
                    <w:rFonts w:ascii="Segoe UI Symbol" w:eastAsia="MS Gothic" w:hAnsi="Segoe UI Symbol" w:cs="Segoe UI Symbol"/>
                  </w:rPr>
                  <w:t>☐</w:t>
                </w:r>
              </w:sdtContent>
            </w:sdt>
            <w:r w:rsidR="001E3C7E" w:rsidRPr="00D05364">
              <w:t xml:space="preserve"> Taip</w:t>
            </w:r>
          </w:p>
          <w:p w14:paraId="6E25929D" w14:textId="77777777" w:rsidR="001E3C7E" w:rsidRPr="00D05364" w:rsidRDefault="00A81452" w:rsidP="00F414C7">
            <w:sdt>
              <w:sdtPr>
                <w:rPr>
                  <w:rStyle w:val="Style2"/>
                </w:rPr>
                <w:id w:val="-970507926"/>
                <w15:color w:val="FFCC00"/>
                <w14:checkbox>
                  <w14:checked w14:val="1"/>
                  <w14:checkedState w14:val="2612" w14:font="MS Gothic"/>
                  <w14:uncheckedState w14:val="2610" w14:font="MS Gothic"/>
                </w14:checkbox>
              </w:sdtPr>
              <w:sdtEndPr>
                <w:rPr>
                  <w:rStyle w:val="Style2"/>
                </w:rPr>
              </w:sdtEndPr>
              <w:sdtContent>
                <w:r w:rsidR="001E3C7E">
                  <w:rPr>
                    <w:rStyle w:val="Style2"/>
                    <w:rFonts w:ascii="MS Gothic" w:eastAsia="MS Gothic" w:hAnsi="MS Gothic" w:hint="eastAsia"/>
                  </w:rPr>
                  <w:t>☒</w:t>
                </w:r>
              </w:sdtContent>
            </w:sdt>
            <w:r w:rsidR="001E3C7E" w:rsidRPr="00D05364">
              <w:t xml:space="preserve"> Ne</w:t>
            </w:r>
          </w:p>
          <w:p w14:paraId="327679F0" w14:textId="77777777" w:rsidR="001E3C7E" w:rsidRPr="00D05364" w:rsidRDefault="001E3C7E" w:rsidP="00F414C7">
            <w:pPr>
              <w:rPr>
                <w:rFonts w:eastAsia="Arial"/>
                <w:b/>
              </w:rPr>
            </w:pPr>
          </w:p>
        </w:tc>
      </w:tr>
      <w:tr w:rsidR="001E3C7E" w:rsidRPr="00D05364" w14:paraId="6BEB1F8D" w14:textId="77777777" w:rsidTr="00F414C7">
        <w:trPr>
          <w:trHeight w:val="958"/>
        </w:trPr>
        <w:tc>
          <w:tcPr>
            <w:tcW w:w="705" w:type="dxa"/>
            <w:tcBorders>
              <w:bottom w:val="single" w:sz="4" w:space="0" w:color="auto"/>
            </w:tcBorders>
          </w:tcPr>
          <w:p w14:paraId="141EFAC6" w14:textId="77777777" w:rsidR="001E3C7E" w:rsidRPr="00D05364" w:rsidRDefault="001E3C7E" w:rsidP="00F414C7">
            <w:pPr>
              <w:tabs>
                <w:tab w:val="left" w:pos="284"/>
              </w:tabs>
              <w:spacing w:line="280" w:lineRule="atLeast"/>
              <w:rPr>
                <w:rFonts w:eastAsia="Arial"/>
                <w:b/>
              </w:rPr>
            </w:pPr>
            <w:r w:rsidRPr="00D05364">
              <w:rPr>
                <w:rFonts w:eastAsia="Arial"/>
                <w:b/>
              </w:rPr>
              <w:t>1.5</w:t>
            </w:r>
          </w:p>
        </w:tc>
        <w:tc>
          <w:tcPr>
            <w:tcW w:w="4117" w:type="dxa"/>
            <w:tcBorders>
              <w:bottom w:val="single" w:sz="4" w:space="0" w:color="auto"/>
            </w:tcBorders>
          </w:tcPr>
          <w:p w14:paraId="03874ABC" w14:textId="77777777" w:rsidR="001E3C7E" w:rsidRPr="00D05364" w:rsidRDefault="001E3C7E" w:rsidP="00F414C7">
            <w:pPr>
              <w:tabs>
                <w:tab w:val="left" w:pos="284"/>
              </w:tabs>
              <w:spacing w:line="280" w:lineRule="atLeast"/>
              <w:rPr>
                <w:b/>
                <w:bCs/>
                <w:color w:val="000000"/>
                <w:lang w:eastAsia="lt-LT"/>
              </w:rPr>
            </w:pPr>
            <w:r w:rsidRPr="00D05364">
              <w:rPr>
                <w:b/>
                <w:bCs/>
                <w:color w:val="000000"/>
                <w:lang w:eastAsia="lt-LT"/>
              </w:rPr>
              <w:t>Pareiškėjo teikiama (-os) kompensuoti preparato indikacija (-os)</w:t>
            </w:r>
          </w:p>
          <w:p w14:paraId="784AC8BD" w14:textId="77777777" w:rsidR="001E3C7E" w:rsidRPr="00D05364" w:rsidRDefault="001E3C7E" w:rsidP="00F414C7">
            <w:pPr>
              <w:tabs>
                <w:tab w:val="left" w:pos="284"/>
              </w:tabs>
              <w:spacing w:line="280" w:lineRule="atLeast"/>
              <w:rPr>
                <w:b/>
                <w:bCs/>
                <w:color w:val="000000"/>
                <w:lang w:eastAsia="lt-LT"/>
              </w:rPr>
            </w:pPr>
            <w:r w:rsidRPr="00D05364">
              <w:rPr>
                <w:b/>
                <w:bCs/>
                <w:color w:val="000000"/>
                <w:lang w:eastAsia="lt-LT"/>
              </w:rPr>
              <w:t xml:space="preserve">Kodas pagal TLK-10 AM  </w:t>
            </w:r>
          </w:p>
        </w:tc>
        <w:tc>
          <w:tcPr>
            <w:tcW w:w="5096" w:type="dxa"/>
            <w:tcBorders>
              <w:bottom w:val="single" w:sz="4" w:space="0" w:color="auto"/>
            </w:tcBorders>
          </w:tcPr>
          <w:p w14:paraId="5A78AD66" w14:textId="77777777" w:rsidR="006C428F" w:rsidRDefault="006C428F" w:rsidP="006C428F">
            <w:pPr>
              <w:pStyle w:val="Tekstas"/>
            </w:pPr>
            <w:r w:rsidRPr="005833CD">
              <w:t>KEYTRUDA monoterapija arba derinyje su chemoterapija, kurios sudėtyje yra platinos preparatų ir 5-fluorouracilo (5-FU), skirta metastazavusios ar nerezekuotinos recidyvavusios galvos ir kaklo plokščialąstelinės karcinomos pirmaeiliam gydymui suaugusiesiems, kurių navikai ekspresuoja PD-L1 ir CPS rodmuo yra ≥ 1</w:t>
            </w:r>
          </w:p>
          <w:p w14:paraId="2AAAA601" w14:textId="77777777" w:rsidR="001E3C7E" w:rsidRDefault="006C428F" w:rsidP="006C428F">
            <w:pPr>
              <w:autoSpaceDE w:val="0"/>
              <w:autoSpaceDN w:val="0"/>
              <w:adjustRightInd w:val="0"/>
              <w:jc w:val="both"/>
            </w:pPr>
            <w:r w:rsidRPr="0096552E">
              <w:t>TLK-10-AM koda</w:t>
            </w:r>
            <w:r>
              <w:t>i</w:t>
            </w:r>
            <w:r w:rsidRPr="0096552E">
              <w:t xml:space="preserve"> – </w:t>
            </w:r>
            <w:r w:rsidRPr="005177BC">
              <w:t>C00-C10, C12-C14, C30-C32</w:t>
            </w:r>
            <w:r w:rsidRPr="0096552E">
              <w:t>.</w:t>
            </w:r>
          </w:p>
          <w:p w14:paraId="6BC7D2B3" w14:textId="520BD301" w:rsidR="006C428F" w:rsidRPr="00D66A73" w:rsidRDefault="006C428F" w:rsidP="006C428F">
            <w:pPr>
              <w:autoSpaceDE w:val="0"/>
              <w:autoSpaceDN w:val="0"/>
              <w:adjustRightInd w:val="0"/>
              <w:jc w:val="both"/>
            </w:pPr>
          </w:p>
        </w:tc>
      </w:tr>
      <w:tr w:rsidR="001E3C7E" w:rsidRPr="00D05364" w14:paraId="634307C0" w14:textId="77777777" w:rsidTr="00F414C7">
        <w:trPr>
          <w:trHeight w:val="479"/>
        </w:trPr>
        <w:tc>
          <w:tcPr>
            <w:tcW w:w="705" w:type="dxa"/>
            <w:tcBorders>
              <w:top w:val="single" w:sz="4" w:space="0" w:color="auto"/>
              <w:left w:val="single" w:sz="4" w:space="0" w:color="auto"/>
              <w:bottom w:val="single" w:sz="4" w:space="0" w:color="auto"/>
              <w:right w:val="single" w:sz="4" w:space="0" w:color="auto"/>
            </w:tcBorders>
          </w:tcPr>
          <w:p w14:paraId="36264E3F" w14:textId="77777777" w:rsidR="001E3C7E" w:rsidRPr="00D05364" w:rsidRDefault="001E3C7E" w:rsidP="00F414C7">
            <w:pPr>
              <w:tabs>
                <w:tab w:val="left" w:pos="284"/>
              </w:tabs>
              <w:spacing w:line="280" w:lineRule="atLeast"/>
              <w:rPr>
                <w:rFonts w:eastAsia="Arial"/>
                <w:b/>
              </w:rPr>
            </w:pPr>
            <w:r w:rsidRPr="00D05364">
              <w:rPr>
                <w:rFonts w:eastAsia="Arial"/>
                <w:b/>
              </w:rPr>
              <w:t>1.6</w:t>
            </w:r>
          </w:p>
        </w:tc>
        <w:tc>
          <w:tcPr>
            <w:tcW w:w="4117" w:type="dxa"/>
            <w:tcBorders>
              <w:top w:val="single" w:sz="4" w:space="0" w:color="auto"/>
              <w:left w:val="single" w:sz="4" w:space="0" w:color="auto"/>
              <w:bottom w:val="single" w:sz="4" w:space="0" w:color="auto"/>
              <w:right w:val="single" w:sz="4" w:space="0" w:color="auto"/>
            </w:tcBorders>
          </w:tcPr>
          <w:p w14:paraId="7694A19F" w14:textId="77777777" w:rsidR="001E3C7E" w:rsidRPr="00D05364" w:rsidRDefault="001E3C7E" w:rsidP="00F414C7">
            <w:pPr>
              <w:tabs>
                <w:tab w:val="left" w:pos="284"/>
              </w:tabs>
              <w:spacing w:line="280" w:lineRule="atLeast"/>
              <w:rPr>
                <w:bCs/>
                <w:color w:val="000000"/>
                <w:u w:val="single"/>
                <w:lang w:eastAsia="lt-LT"/>
              </w:rPr>
            </w:pPr>
            <w:r w:rsidRPr="00D05364">
              <w:rPr>
                <w:b/>
                <w:bCs/>
                <w:color w:val="000000"/>
                <w:lang w:eastAsia="lt-LT"/>
              </w:rPr>
              <w:t xml:space="preserve">Pareiškėjo teikiamos skyrimo sąlygos </w:t>
            </w:r>
          </w:p>
        </w:tc>
        <w:tc>
          <w:tcPr>
            <w:tcW w:w="5096" w:type="dxa"/>
            <w:tcBorders>
              <w:top w:val="single" w:sz="4" w:space="0" w:color="auto"/>
              <w:left w:val="single" w:sz="4" w:space="0" w:color="auto"/>
              <w:bottom w:val="single" w:sz="4" w:space="0" w:color="auto"/>
              <w:right w:val="single" w:sz="4" w:space="0" w:color="auto"/>
            </w:tcBorders>
          </w:tcPr>
          <w:p w14:paraId="3F094FB1" w14:textId="1562261F" w:rsidR="001E3C7E" w:rsidRPr="00D05364" w:rsidRDefault="006C428F" w:rsidP="00F414C7">
            <w:pPr>
              <w:pStyle w:val="ListParagraph"/>
              <w:spacing w:after="120"/>
              <w:ind w:left="0"/>
              <w:contextualSpacing w:val="0"/>
              <w:jc w:val="both"/>
            </w:pPr>
            <w:r>
              <w:t>Skyrimo sąlygos nesiūlomos.</w:t>
            </w:r>
          </w:p>
        </w:tc>
      </w:tr>
      <w:tr w:rsidR="001E3C7E" w:rsidRPr="00D05364" w14:paraId="2E43638E" w14:textId="77777777" w:rsidTr="00F414C7">
        <w:trPr>
          <w:trHeight w:val="479"/>
        </w:trPr>
        <w:tc>
          <w:tcPr>
            <w:tcW w:w="705" w:type="dxa"/>
            <w:tcBorders>
              <w:top w:val="single" w:sz="4" w:space="0" w:color="auto"/>
              <w:left w:val="single" w:sz="4" w:space="0" w:color="auto"/>
              <w:bottom w:val="single" w:sz="4" w:space="0" w:color="auto"/>
              <w:right w:val="single" w:sz="4" w:space="0" w:color="auto"/>
            </w:tcBorders>
          </w:tcPr>
          <w:p w14:paraId="1D8D3169" w14:textId="77777777" w:rsidR="001E3C7E" w:rsidRPr="00D05364" w:rsidRDefault="001E3C7E" w:rsidP="00F414C7">
            <w:pPr>
              <w:tabs>
                <w:tab w:val="left" w:pos="284"/>
              </w:tabs>
              <w:spacing w:line="280" w:lineRule="atLeast"/>
              <w:rPr>
                <w:rFonts w:eastAsia="Arial"/>
                <w:b/>
              </w:rPr>
            </w:pPr>
            <w:r w:rsidRPr="00D05364">
              <w:rPr>
                <w:rFonts w:eastAsia="Arial"/>
                <w:b/>
              </w:rPr>
              <w:t>1.7</w:t>
            </w:r>
          </w:p>
        </w:tc>
        <w:tc>
          <w:tcPr>
            <w:tcW w:w="4117" w:type="dxa"/>
            <w:tcBorders>
              <w:top w:val="single" w:sz="4" w:space="0" w:color="auto"/>
              <w:left w:val="single" w:sz="4" w:space="0" w:color="auto"/>
              <w:bottom w:val="single" w:sz="4" w:space="0" w:color="auto"/>
              <w:right w:val="single" w:sz="4" w:space="0" w:color="auto"/>
            </w:tcBorders>
          </w:tcPr>
          <w:p w14:paraId="4CAD48C2" w14:textId="77777777" w:rsidR="001E3C7E" w:rsidRPr="00D05364" w:rsidRDefault="001E3C7E" w:rsidP="00F414C7">
            <w:pPr>
              <w:tabs>
                <w:tab w:val="left" w:pos="284"/>
              </w:tabs>
              <w:spacing w:line="280" w:lineRule="atLeast"/>
              <w:rPr>
                <w:b/>
                <w:bCs/>
                <w:color w:val="000000"/>
                <w:lang w:eastAsia="lt-LT"/>
              </w:rPr>
            </w:pPr>
            <w:r w:rsidRPr="00D05364">
              <w:rPr>
                <w:b/>
              </w:rPr>
              <w:t>STV paraiškos pobūdis</w:t>
            </w:r>
          </w:p>
        </w:tc>
        <w:tc>
          <w:tcPr>
            <w:tcW w:w="5096" w:type="dxa"/>
            <w:tcBorders>
              <w:top w:val="single" w:sz="4" w:space="0" w:color="auto"/>
              <w:left w:val="single" w:sz="4" w:space="0" w:color="auto"/>
              <w:bottom w:val="single" w:sz="4" w:space="0" w:color="auto"/>
              <w:right w:val="single" w:sz="4" w:space="0" w:color="auto"/>
            </w:tcBorders>
          </w:tcPr>
          <w:p w14:paraId="2ECD1C7C" w14:textId="77777777" w:rsidR="001E3C7E" w:rsidRPr="00D05364" w:rsidRDefault="00A81452" w:rsidP="00F414C7">
            <w:sdt>
              <w:sdtPr>
                <w:rPr>
                  <w:rStyle w:val="Style2"/>
                </w:rPr>
                <w:id w:val="-468433535"/>
                <w15:color w:val="FFCC00"/>
                <w14:checkbox>
                  <w14:checked w14:val="1"/>
                  <w14:checkedState w14:val="2612" w14:font="MS Gothic"/>
                  <w14:uncheckedState w14:val="2610" w14:font="MS Gothic"/>
                </w14:checkbox>
              </w:sdtPr>
              <w:sdtEndPr>
                <w:rPr>
                  <w:rStyle w:val="Style2"/>
                </w:rPr>
              </w:sdtEndPr>
              <w:sdtContent>
                <w:r w:rsidR="001E3C7E">
                  <w:rPr>
                    <w:rStyle w:val="Style2"/>
                    <w:rFonts w:ascii="MS Gothic" w:eastAsia="MS Gothic" w:hAnsi="MS Gothic" w:hint="eastAsia"/>
                  </w:rPr>
                  <w:t>☒</w:t>
                </w:r>
              </w:sdtContent>
            </w:sdt>
            <w:r w:rsidR="001E3C7E" w:rsidRPr="00D05364">
              <w:t xml:space="preserve"> Pilna paraiška</w:t>
            </w:r>
          </w:p>
          <w:p w14:paraId="0DCA8B01" w14:textId="77777777" w:rsidR="001E3C7E" w:rsidRPr="00D05364" w:rsidRDefault="00A81452" w:rsidP="00F414C7">
            <w:pPr>
              <w:rPr>
                <w:rStyle w:val="Style2"/>
              </w:rPr>
            </w:pPr>
            <w:sdt>
              <w:sdtPr>
                <w:rPr>
                  <w:rStyle w:val="Style2"/>
                </w:rPr>
                <w:id w:val="-1489014904"/>
                <w15:color w:val="FFCC00"/>
                <w14:checkbox>
                  <w14:checked w14:val="0"/>
                  <w14:checkedState w14:val="2612" w14:font="MS Gothic"/>
                  <w14:uncheckedState w14:val="2610" w14:font="MS Gothic"/>
                </w14:checkbox>
              </w:sdtPr>
              <w:sdtEndPr>
                <w:rPr>
                  <w:rStyle w:val="Style2"/>
                </w:rPr>
              </w:sdtEndPr>
              <w:sdtContent>
                <w:r w:rsidR="001E3C7E" w:rsidRPr="00D05364">
                  <w:rPr>
                    <w:rStyle w:val="Style2"/>
                    <w:rFonts w:ascii="MS Gothic" w:eastAsia="MS Gothic" w:hAnsi="MS Gothic" w:hint="eastAsia"/>
                  </w:rPr>
                  <w:t>☐</w:t>
                </w:r>
              </w:sdtContent>
            </w:sdt>
            <w:r w:rsidR="001E3C7E" w:rsidRPr="00D05364">
              <w:t xml:space="preserve"> Supaprastinta paraiška</w:t>
            </w:r>
          </w:p>
        </w:tc>
      </w:tr>
      <w:tr w:rsidR="001E3C7E" w:rsidRPr="00D05364" w14:paraId="1137579E" w14:textId="77777777" w:rsidTr="00F414C7">
        <w:trPr>
          <w:trHeight w:val="479"/>
        </w:trPr>
        <w:tc>
          <w:tcPr>
            <w:tcW w:w="705" w:type="dxa"/>
            <w:tcBorders>
              <w:top w:val="single" w:sz="4" w:space="0" w:color="auto"/>
              <w:left w:val="single" w:sz="4" w:space="0" w:color="auto"/>
              <w:bottom w:val="single" w:sz="4" w:space="0" w:color="auto"/>
              <w:right w:val="single" w:sz="4" w:space="0" w:color="auto"/>
            </w:tcBorders>
          </w:tcPr>
          <w:p w14:paraId="6A4F0F48" w14:textId="77777777" w:rsidR="001E3C7E" w:rsidRPr="00D05364" w:rsidRDefault="001E3C7E" w:rsidP="00F414C7">
            <w:pPr>
              <w:tabs>
                <w:tab w:val="left" w:pos="284"/>
              </w:tabs>
              <w:spacing w:line="280" w:lineRule="atLeast"/>
              <w:rPr>
                <w:rFonts w:eastAsia="Arial"/>
                <w:b/>
              </w:rPr>
            </w:pPr>
            <w:r w:rsidRPr="00D05364">
              <w:rPr>
                <w:rFonts w:eastAsia="Arial"/>
                <w:b/>
              </w:rPr>
              <w:lastRenderedPageBreak/>
              <w:t>1.8</w:t>
            </w:r>
          </w:p>
        </w:tc>
        <w:tc>
          <w:tcPr>
            <w:tcW w:w="4117" w:type="dxa"/>
            <w:tcBorders>
              <w:top w:val="single" w:sz="4" w:space="0" w:color="auto"/>
              <w:left w:val="single" w:sz="4" w:space="0" w:color="auto"/>
              <w:bottom w:val="single" w:sz="4" w:space="0" w:color="auto"/>
              <w:right w:val="single" w:sz="4" w:space="0" w:color="auto"/>
            </w:tcBorders>
          </w:tcPr>
          <w:p w14:paraId="2DED35FD" w14:textId="3DC23D97" w:rsidR="001E3C7E" w:rsidRPr="007C1237" w:rsidRDefault="001E3C7E" w:rsidP="00F414C7">
            <w:pPr>
              <w:tabs>
                <w:tab w:val="left" w:pos="284"/>
              </w:tabs>
              <w:spacing w:line="280" w:lineRule="atLeast"/>
              <w:rPr>
                <w:color w:val="000000"/>
                <w:lang w:eastAsia="lt-LT"/>
              </w:rPr>
            </w:pPr>
            <w:r w:rsidRPr="007C1237">
              <w:rPr>
                <w:color w:val="000000"/>
                <w:lang w:eastAsia="lt-LT"/>
              </w:rPr>
              <w:t>Klinikinių tyrimų tipas</w:t>
            </w:r>
            <w:r w:rsidR="003346C8" w:rsidRPr="007C1237">
              <w:rPr>
                <w:color w:val="000000"/>
                <w:lang w:eastAsia="lt-LT"/>
              </w:rPr>
              <w:t>:</w:t>
            </w:r>
            <w:r w:rsidRPr="007C1237">
              <w:rPr>
                <w:color w:val="000000"/>
                <w:lang w:eastAsia="lt-LT"/>
              </w:rPr>
              <w:t xml:space="preserve"> </w:t>
            </w:r>
          </w:p>
          <w:p w14:paraId="24303B5A" w14:textId="180E094D" w:rsidR="00973253" w:rsidRPr="00970309" w:rsidRDefault="00973253" w:rsidP="00973253">
            <w:pPr>
              <w:widowControl w:val="0"/>
              <w:pBdr>
                <w:top w:val="nil"/>
                <w:left w:val="nil"/>
                <w:bottom w:val="nil"/>
                <w:right w:val="nil"/>
                <w:between w:val="nil"/>
              </w:pBdr>
              <w:spacing w:line="280" w:lineRule="atLeast"/>
              <w:rPr>
                <w:u w:val="single"/>
              </w:rPr>
            </w:pPr>
            <w:r w:rsidRPr="00970309">
              <w:rPr>
                <w:u w:val="single"/>
              </w:rPr>
              <w:t>Tiesiogi</w:t>
            </w:r>
            <w:r w:rsidR="007C1237" w:rsidRPr="00970309">
              <w:rPr>
                <w:u w:val="single"/>
              </w:rPr>
              <w:t>nis</w:t>
            </w:r>
            <w:r w:rsidRPr="00970309">
              <w:rPr>
                <w:u w:val="single"/>
              </w:rPr>
              <w:t>:</w:t>
            </w:r>
          </w:p>
          <w:p w14:paraId="3267416B" w14:textId="77777777" w:rsidR="00973253" w:rsidRPr="00973253" w:rsidRDefault="00973253" w:rsidP="00973253">
            <w:pPr>
              <w:pStyle w:val="ListParagraph"/>
              <w:widowControl w:val="0"/>
              <w:numPr>
                <w:ilvl w:val="0"/>
                <w:numId w:val="21"/>
              </w:numPr>
              <w:pBdr>
                <w:top w:val="nil"/>
                <w:left w:val="nil"/>
                <w:bottom w:val="nil"/>
                <w:right w:val="nil"/>
                <w:between w:val="nil"/>
              </w:pBdr>
              <w:spacing w:line="280" w:lineRule="atLeast"/>
              <w:rPr>
                <w:rFonts w:eastAsia="Arial"/>
              </w:rPr>
            </w:pPr>
            <w:r w:rsidRPr="00DB7322">
              <w:t>pembrolizumabo/platinos/</w:t>
            </w:r>
            <w:r w:rsidRPr="00DB7322">
              <w:rPr>
                <w:lang w:val="en-US"/>
              </w:rPr>
              <w:t xml:space="preserve">5-fluorouracilo </w:t>
            </w:r>
            <w:proofErr w:type="spellStart"/>
            <w:r w:rsidRPr="00DB7322">
              <w:rPr>
                <w:lang w:val="en-US"/>
              </w:rPr>
              <w:t>derinys</w:t>
            </w:r>
            <w:proofErr w:type="spellEnd"/>
            <w:r w:rsidRPr="00DB7322">
              <w:rPr>
                <w:lang w:val="en-US"/>
              </w:rPr>
              <w:t xml:space="preserve"> </w:t>
            </w:r>
            <w:proofErr w:type="spellStart"/>
            <w:r w:rsidRPr="00DB7322">
              <w:rPr>
                <w:lang w:val="en-US"/>
              </w:rPr>
              <w:t>su</w:t>
            </w:r>
            <w:proofErr w:type="spellEnd"/>
            <w:r w:rsidRPr="00DB7322">
              <w:rPr>
                <w:lang w:val="en-US"/>
              </w:rPr>
              <w:t xml:space="preserve"> </w:t>
            </w:r>
            <w:r w:rsidRPr="00DB7322">
              <w:rPr>
                <w:color w:val="000000"/>
              </w:rPr>
              <w:t>cetuksimabo/platinos/5-fluorouracilo</w:t>
            </w:r>
            <w:r w:rsidRPr="00DB7322">
              <w:rPr>
                <w:color w:val="000000"/>
                <w:lang w:val="en-US"/>
              </w:rPr>
              <w:t xml:space="preserve"> </w:t>
            </w:r>
            <w:proofErr w:type="spellStart"/>
            <w:r w:rsidRPr="00DB7322">
              <w:rPr>
                <w:color w:val="000000"/>
                <w:lang w:val="en-US"/>
              </w:rPr>
              <w:t>deriniu</w:t>
            </w:r>
            <w:proofErr w:type="spellEnd"/>
          </w:p>
          <w:p w14:paraId="2F05EC94" w14:textId="77777777" w:rsidR="001E3C7E" w:rsidRPr="007C1237" w:rsidRDefault="00973253" w:rsidP="00973253">
            <w:pPr>
              <w:pStyle w:val="ListParagraph"/>
              <w:widowControl w:val="0"/>
              <w:numPr>
                <w:ilvl w:val="0"/>
                <w:numId w:val="21"/>
              </w:numPr>
              <w:pBdr>
                <w:top w:val="nil"/>
                <w:left w:val="nil"/>
                <w:bottom w:val="nil"/>
                <w:right w:val="nil"/>
                <w:between w:val="nil"/>
              </w:pBdr>
              <w:spacing w:line="280" w:lineRule="atLeast"/>
              <w:rPr>
                <w:rFonts w:eastAsia="Arial"/>
              </w:rPr>
            </w:pPr>
            <w:proofErr w:type="spellStart"/>
            <w:r w:rsidRPr="00973253">
              <w:rPr>
                <w:color w:val="000000"/>
                <w:lang w:val="en-US"/>
              </w:rPr>
              <w:t>pembrolizumabo</w:t>
            </w:r>
            <w:proofErr w:type="spellEnd"/>
            <w:r w:rsidRPr="00973253">
              <w:rPr>
                <w:color w:val="000000"/>
                <w:lang w:val="en-US"/>
              </w:rPr>
              <w:t xml:space="preserve"> </w:t>
            </w:r>
            <w:proofErr w:type="spellStart"/>
            <w:r w:rsidRPr="00973253">
              <w:rPr>
                <w:color w:val="000000"/>
                <w:lang w:val="en-US"/>
              </w:rPr>
              <w:t>monoterapija</w:t>
            </w:r>
            <w:proofErr w:type="spellEnd"/>
            <w:r w:rsidRPr="00973253">
              <w:rPr>
                <w:color w:val="000000"/>
                <w:lang w:val="en-US"/>
              </w:rPr>
              <w:t xml:space="preserve"> </w:t>
            </w:r>
            <w:proofErr w:type="spellStart"/>
            <w:r w:rsidRPr="00973253">
              <w:rPr>
                <w:color w:val="000000"/>
                <w:lang w:val="en-US"/>
              </w:rPr>
              <w:t>su</w:t>
            </w:r>
            <w:proofErr w:type="spellEnd"/>
            <w:r w:rsidRPr="00973253">
              <w:rPr>
                <w:color w:val="000000"/>
                <w:lang w:val="en-US"/>
              </w:rPr>
              <w:t xml:space="preserve"> </w:t>
            </w:r>
            <w:r w:rsidRPr="00973253">
              <w:rPr>
                <w:color w:val="000000"/>
              </w:rPr>
              <w:t>cetuksimabo/platinos/5-fluorouracilo</w:t>
            </w:r>
            <w:r w:rsidRPr="00973253">
              <w:rPr>
                <w:color w:val="000000"/>
                <w:lang w:val="en-US"/>
              </w:rPr>
              <w:t xml:space="preserve"> </w:t>
            </w:r>
            <w:proofErr w:type="spellStart"/>
            <w:r w:rsidRPr="00973253">
              <w:rPr>
                <w:color w:val="000000"/>
                <w:lang w:val="en-US"/>
              </w:rPr>
              <w:t>deriniu</w:t>
            </w:r>
            <w:proofErr w:type="spellEnd"/>
            <w:r w:rsidRPr="00973253">
              <w:rPr>
                <w:color w:val="000000"/>
                <w:lang w:val="en-US"/>
              </w:rPr>
              <w:t>.</w:t>
            </w:r>
          </w:p>
          <w:p w14:paraId="760A2F0B" w14:textId="3D7F643B" w:rsidR="007C1237" w:rsidRPr="007C1237" w:rsidRDefault="007C1237" w:rsidP="007C1237">
            <w:pPr>
              <w:widowControl w:val="0"/>
              <w:pBdr>
                <w:top w:val="nil"/>
                <w:left w:val="nil"/>
                <w:bottom w:val="nil"/>
                <w:right w:val="nil"/>
                <w:between w:val="nil"/>
              </w:pBdr>
              <w:spacing w:line="280" w:lineRule="atLeast"/>
              <w:rPr>
                <w:rFonts w:eastAsia="Arial"/>
              </w:rPr>
            </w:pPr>
            <w:r w:rsidRPr="00970309">
              <w:rPr>
                <w:rFonts w:eastAsia="Arial"/>
                <w:u w:val="single"/>
              </w:rPr>
              <w:t>Netiesioginis:</w:t>
            </w:r>
            <w:r>
              <w:rPr>
                <w:rFonts w:eastAsia="Arial"/>
              </w:rPr>
              <w:t xml:space="preserve"> pembrolizumabo/platinos/</w:t>
            </w:r>
            <w:r w:rsidRPr="007C1237">
              <w:rPr>
                <w:rFonts w:eastAsia="Arial"/>
              </w:rPr>
              <w:t>5-fluorouracilo derinys ir pembrolizumabo monoterapija netiesiogiai lyginta su</w:t>
            </w:r>
            <w:r w:rsidRPr="003F5C3D">
              <w:t xml:space="preserve"> cetuksimabo deriniu su platinos preparatais ir 5-FU, su platinos preparatų deriniu su 5-FU, bei su cisplatinos, docetakselio ir cetuksimabo deriniu</w:t>
            </w:r>
          </w:p>
        </w:tc>
        <w:tc>
          <w:tcPr>
            <w:tcW w:w="5096" w:type="dxa"/>
            <w:tcBorders>
              <w:top w:val="single" w:sz="4" w:space="0" w:color="auto"/>
              <w:left w:val="single" w:sz="4" w:space="0" w:color="auto"/>
              <w:bottom w:val="single" w:sz="4" w:space="0" w:color="auto"/>
              <w:right w:val="single" w:sz="4" w:space="0" w:color="auto"/>
            </w:tcBorders>
          </w:tcPr>
          <w:p w14:paraId="7FBBBCCB" w14:textId="77777777" w:rsidR="001E3C7E" w:rsidRPr="00D05364" w:rsidRDefault="00A81452" w:rsidP="00F414C7">
            <w:sdt>
              <w:sdtPr>
                <w:rPr>
                  <w:rStyle w:val="Style2"/>
                </w:rPr>
                <w:id w:val="1348903796"/>
                <w15:color w:val="FFCC00"/>
                <w14:checkbox>
                  <w14:checked w14:val="1"/>
                  <w14:checkedState w14:val="2612" w14:font="MS Gothic"/>
                  <w14:uncheckedState w14:val="2610" w14:font="MS Gothic"/>
                </w14:checkbox>
              </w:sdtPr>
              <w:sdtEndPr>
                <w:rPr>
                  <w:rStyle w:val="Style2"/>
                </w:rPr>
              </w:sdtEndPr>
              <w:sdtContent>
                <w:r w:rsidR="001E3C7E">
                  <w:rPr>
                    <w:rStyle w:val="Style2"/>
                    <w:rFonts w:ascii="MS Gothic" w:eastAsia="MS Gothic" w:hAnsi="MS Gothic" w:hint="eastAsia"/>
                  </w:rPr>
                  <w:t>☒</w:t>
                </w:r>
              </w:sdtContent>
            </w:sdt>
            <w:r w:rsidR="001E3C7E" w:rsidRPr="00D05364">
              <w:t xml:space="preserve"> Tiesioginis palyginimas</w:t>
            </w:r>
          </w:p>
          <w:p w14:paraId="6046A511" w14:textId="27AC8B76" w:rsidR="001E3C7E" w:rsidRPr="00D05364" w:rsidRDefault="00A81452" w:rsidP="00F414C7">
            <w:sdt>
              <w:sdtPr>
                <w:rPr>
                  <w:rStyle w:val="Style2"/>
                </w:rPr>
                <w:id w:val="-2098160998"/>
                <w15:color w:val="FFCC00"/>
                <w14:checkbox>
                  <w14:checked w14:val="1"/>
                  <w14:checkedState w14:val="2612" w14:font="MS Gothic"/>
                  <w14:uncheckedState w14:val="2610" w14:font="MS Gothic"/>
                </w14:checkbox>
              </w:sdtPr>
              <w:sdtEndPr>
                <w:rPr>
                  <w:rStyle w:val="Style2"/>
                </w:rPr>
              </w:sdtEndPr>
              <w:sdtContent>
                <w:r w:rsidR="00717F80">
                  <w:rPr>
                    <w:rStyle w:val="Style2"/>
                    <w:rFonts w:ascii="MS Gothic" w:eastAsia="MS Gothic" w:hAnsi="MS Gothic" w:hint="eastAsia"/>
                  </w:rPr>
                  <w:t>☒</w:t>
                </w:r>
              </w:sdtContent>
            </w:sdt>
            <w:r w:rsidR="00717F80" w:rsidRPr="00D05364">
              <w:t xml:space="preserve"> </w:t>
            </w:r>
            <w:r w:rsidR="001E3C7E" w:rsidRPr="00D05364">
              <w:t>Netiesioginis palyginimas</w:t>
            </w:r>
          </w:p>
        </w:tc>
      </w:tr>
      <w:tr w:rsidR="001E3C7E" w:rsidRPr="00D05364" w14:paraId="0EAAA8BF" w14:textId="77777777" w:rsidTr="00F414C7">
        <w:trPr>
          <w:trHeight w:val="479"/>
        </w:trPr>
        <w:tc>
          <w:tcPr>
            <w:tcW w:w="705" w:type="dxa"/>
            <w:tcBorders>
              <w:top w:val="single" w:sz="4" w:space="0" w:color="auto"/>
              <w:left w:val="single" w:sz="4" w:space="0" w:color="auto"/>
              <w:bottom w:val="single" w:sz="4" w:space="0" w:color="auto"/>
              <w:right w:val="single" w:sz="4" w:space="0" w:color="auto"/>
            </w:tcBorders>
          </w:tcPr>
          <w:p w14:paraId="13290518" w14:textId="77777777" w:rsidR="001E3C7E" w:rsidRPr="00D05364" w:rsidRDefault="001E3C7E" w:rsidP="00F414C7">
            <w:pPr>
              <w:tabs>
                <w:tab w:val="left" w:pos="284"/>
              </w:tabs>
              <w:spacing w:line="280" w:lineRule="atLeast"/>
              <w:rPr>
                <w:rFonts w:eastAsia="Arial"/>
                <w:b/>
              </w:rPr>
            </w:pPr>
            <w:r w:rsidRPr="00D05364">
              <w:rPr>
                <w:rFonts w:eastAsia="Arial"/>
                <w:b/>
              </w:rPr>
              <w:t>1.9</w:t>
            </w:r>
          </w:p>
        </w:tc>
        <w:tc>
          <w:tcPr>
            <w:tcW w:w="4117" w:type="dxa"/>
            <w:tcBorders>
              <w:top w:val="single" w:sz="4" w:space="0" w:color="auto"/>
              <w:left w:val="single" w:sz="4" w:space="0" w:color="auto"/>
              <w:bottom w:val="single" w:sz="4" w:space="0" w:color="auto"/>
              <w:right w:val="single" w:sz="4" w:space="0" w:color="auto"/>
            </w:tcBorders>
          </w:tcPr>
          <w:p w14:paraId="27B52224" w14:textId="77777777" w:rsidR="001E3C7E" w:rsidRPr="00D05364" w:rsidRDefault="001E3C7E" w:rsidP="00F414C7">
            <w:pPr>
              <w:tabs>
                <w:tab w:val="left" w:pos="284"/>
              </w:tabs>
              <w:spacing w:line="280" w:lineRule="atLeast"/>
              <w:rPr>
                <w:b/>
                <w:bCs/>
                <w:color w:val="000000"/>
                <w:lang w:eastAsia="lt-LT"/>
              </w:rPr>
            </w:pPr>
            <w:r w:rsidRPr="00D05364">
              <w:rPr>
                <w:b/>
                <w:bCs/>
                <w:color w:val="000000"/>
                <w:lang w:eastAsia="lt-LT"/>
              </w:rPr>
              <w:t>Ekonominės analizės rūšis</w:t>
            </w:r>
          </w:p>
        </w:tc>
        <w:tc>
          <w:tcPr>
            <w:tcW w:w="5096" w:type="dxa"/>
            <w:tcBorders>
              <w:top w:val="single" w:sz="4" w:space="0" w:color="auto"/>
              <w:left w:val="single" w:sz="4" w:space="0" w:color="auto"/>
              <w:bottom w:val="single" w:sz="4" w:space="0" w:color="auto"/>
              <w:right w:val="single" w:sz="4" w:space="0" w:color="auto"/>
            </w:tcBorders>
          </w:tcPr>
          <w:p w14:paraId="6AEB904C" w14:textId="5EF5A167" w:rsidR="001E3C7E" w:rsidRPr="00D05364" w:rsidRDefault="00A81452" w:rsidP="00F414C7">
            <w:sdt>
              <w:sdtPr>
                <w:rPr>
                  <w:rStyle w:val="Style2"/>
                </w:rPr>
                <w:id w:val="-836689216"/>
                <w15:color w:val="FFCC00"/>
                <w14:checkbox>
                  <w14:checked w14:val="1"/>
                  <w14:checkedState w14:val="2612" w14:font="MS Gothic"/>
                  <w14:uncheckedState w14:val="2610" w14:font="MS Gothic"/>
                </w14:checkbox>
              </w:sdtPr>
              <w:sdtEndPr>
                <w:rPr>
                  <w:rStyle w:val="Style2"/>
                </w:rPr>
              </w:sdtEndPr>
              <w:sdtContent>
                <w:r w:rsidR="00B72341">
                  <w:rPr>
                    <w:rStyle w:val="Style2"/>
                    <w:rFonts w:ascii="MS Gothic" w:eastAsia="MS Gothic" w:hAnsi="MS Gothic" w:hint="eastAsia"/>
                  </w:rPr>
                  <w:t>☒</w:t>
                </w:r>
              </w:sdtContent>
            </w:sdt>
            <w:r w:rsidR="001E3C7E" w:rsidRPr="00D05364">
              <w:t xml:space="preserve"> Kaštų naudingumo analizė</w:t>
            </w:r>
          </w:p>
          <w:p w14:paraId="6A0BAFEA" w14:textId="77777777" w:rsidR="001E3C7E" w:rsidRPr="00D05364" w:rsidRDefault="00A81452" w:rsidP="00F414C7">
            <w:sdt>
              <w:sdtPr>
                <w:rPr>
                  <w:rStyle w:val="Style2"/>
                </w:rPr>
                <w:id w:val="2013950720"/>
                <w15:color w:val="FFCC00"/>
                <w14:checkbox>
                  <w14:checked w14:val="0"/>
                  <w14:checkedState w14:val="2612" w14:font="MS Gothic"/>
                  <w14:uncheckedState w14:val="2610" w14:font="MS Gothic"/>
                </w14:checkbox>
              </w:sdtPr>
              <w:sdtEndPr>
                <w:rPr>
                  <w:rStyle w:val="Style2"/>
                </w:rPr>
              </w:sdtEndPr>
              <w:sdtContent>
                <w:r w:rsidR="001E3C7E" w:rsidRPr="00D05364">
                  <w:rPr>
                    <w:rStyle w:val="Style2"/>
                    <w:rFonts w:ascii="MS Gothic" w:eastAsia="MS Gothic" w:hAnsi="MS Gothic"/>
                  </w:rPr>
                  <w:t>☐</w:t>
                </w:r>
              </w:sdtContent>
            </w:sdt>
            <w:r w:rsidR="001E3C7E" w:rsidRPr="00D05364">
              <w:t xml:space="preserve"> Kaštų mažinimo analizė</w:t>
            </w:r>
          </w:p>
          <w:p w14:paraId="5D688B08" w14:textId="77777777" w:rsidR="001E3C7E" w:rsidRPr="00D05364" w:rsidRDefault="00A81452" w:rsidP="00F414C7">
            <w:sdt>
              <w:sdtPr>
                <w:rPr>
                  <w:rStyle w:val="Style2"/>
                </w:rPr>
                <w:id w:val="362025833"/>
                <w15:color w:val="FFCC00"/>
                <w14:checkbox>
                  <w14:checked w14:val="0"/>
                  <w14:checkedState w14:val="2612" w14:font="MS Gothic"/>
                  <w14:uncheckedState w14:val="2610" w14:font="MS Gothic"/>
                </w14:checkbox>
              </w:sdtPr>
              <w:sdtEndPr>
                <w:rPr>
                  <w:rStyle w:val="Style2"/>
                </w:rPr>
              </w:sdtEndPr>
              <w:sdtContent>
                <w:r w:rsidR="001E3C7E" w:rsidRPr="00D05364">
                  <w:rPr>
                    <w:rStyle w:val="Style2"/>
                    <w:rFonts w:ascii="Segoe UI Symbol" w:eastAsia="MS Gothic" w:hAnsi="Segoe UI Symbol" w:cs="Segoe UI Symbol"/>
                  </w:rPr>
                  <w:t>☐</w:t>
                </w:r>
              </w:sdtContent>
            </w:sdt>
            <w:r w:rsidR="001E3C7E" w:rsidRPr="00D05364">
              <w:t xml:space="preserve"> Kita: </w:t>
            </w:r>
            <w:sdt>
              <w:sdtPr>
                <w:alias w:val="Įrašykite"/>
                <w:tag w:val="Įrašykite"/>
                <w:id w:val="-16472040"/>
                <w:placeholder>
                  <w:docPart w:val="9691A7D77D987F40A9B3B435AFBF91F6"/>
                </w:placeholder>
                <w15:color w:val="FFCC99"/>
              </w:sdtPr>
              <w:sdtEndPr/>
              <w:sdtContent>
                <w:r w:rsidR="001E3C7E" w:rsidRPr="00D05364">
                  <w:t>_________________</w:t>
                </w:r>
              </w:sdtContent>
            </w:sdt>
            <w:r w:rsidR="001E3C7E" w:rsidRPr="00D05364">
              <w:t xml:space="preserve"> </w:t>
            </w:r>
          </w:p>
        </w:tc>
      </w:tr>
    </w:tbl>
    <w:p w14:paraId="108176F7" w14:textId="640C6F75" w:rsidR="00F70C9E" w:rsidRDefault="00F70C9E" w:rsidP="00E03C3F">
      <w:pPr>
        <w:pStyle w:val="ListParagraph"/>
        <w:tabs>
          <w:tab w:val="left" w:pos="426"/>
        </w:tabs>
        <w:ind w:left="0"/>
        <w:rPr>
          <w:b/>
          <w:bCs/>
          <w:caps/>
        </w:rPr>
      </w:pPr>
    </w:p>
    <w:p w14:paraId="2871CA7F" w14:textId="2370BDDB" w:rsidR="00F70C9E" w:rsidRPr="00177C8C" w:rsidRDefault="00F70C9E" w:rsidP="00880A44">
      <w:pPr>
        <w:spacing w:line="276" w:lineRule="auto"/>
        <w:jc w:val="both"/>
        <w:rPr>
          <w:rFonts w:eastAsia="Arial"/>
          <w:b/>
        </w:rPr>
      </w:pPr>
      <w:r w:rsidRPr="00177C8C">
        <w:rPr>
          <w:rFonts w:eastAsia="Arial"/>
          <w:b/>
        </w:rPr>
        <w:t>1.</w:t>
      </w:r>
      <w:r>
        <w:rPr>
          <w:rFonts w:eastAsia="Arial"/>
          <w:b/>
        </w:rPr>
        <w:t>8</w:t>
      </w:r>
      <w:r w:rsidRPr="00177C8C">
        <w:rPr>
          <w:rFonts w:eastAsia="Arial"/>
          <w:b/>
        </w:rPr>
        <w:t xml:space="preserve"> Kitų </w:t>
      </w:r>
      <w:r w:rsidR="00DF583C">
        <w:rPr>
          <w:rFonts w:eastAsia="Arial"/>
          <w:b/>
        </w:rPr>
        <w:t xml:space="preserve">valstybių </w:t>
      </w:r>
      <w:r>
        <w:rPr>
          <w:rFonts w:eastAsia="Arial"/>
          <w:b/>
        </w:rPr>
        <w:t xml:space="preserve">atsakingų institucijų atlikto </w:t>
      </w:r>
      <w:r w:rsidR="00DF583C">
        <w:rPr>
          <w:rFonts w:eastAsia="Arial"/>
          <w:b/>
        </w:rPr>
        <w:t>Sveikatos technologijų vertinimo (toliau – STV)</w:t>
      </w:r>
      <w:r w:rsidRPr="00177C8C">
        <w:rPr>
          <w:rFonts w:eastAsia="Arial"/>
          <w:b/>
        </w:rPr>
        <w:t xml:space="preserve"> išvados</w:t>
      </w:r>
    </w:p>
    <w:p w14:paraId="30721FDD" w14:textId="77777777" w:rsidR="00F70C9E" w:rsidRDefault="00F70C9E" w:rsidP="00F70C9E">
      <w:pPr>
        <w:spacing w:line="276" w:lineRule="auto"/>
        <w:rPr>
          <w:rFonts w:eastAsia="Arial"/>
        </w:rPr>
      </w:pPr>
    </w:p>
    <w:tbl>
      <w:tblPr>
        <w:tblStyle w:val="TableGrid"/>
        <w:tblW w:w="9918" w:type="dxa"/>
        <w:tblLook w:val="04A0" w:firstRow="1" w:lastRow="0" w:firstColumn="1" w:lastColumn="0" w:noHBand="0" w:noVBand="1"/>
      </w:tblPr>
      <w:tblGrid>
        <w:gridCol w:w="2927"/>
        <w:gridCol w:w="1915"/>
        <w:gridCol w:w="2351"/>
        <w:gridCol w:w="2725"/>
      </w:tblGrid>
      <w:tr w:rsidR="003346C8" w:rsidRPr="00D05364" w14:paraId="638B1E5B" w14:textId="77777777" w:rsidTr="00F414C7">
        <w:trPr>
          <w:trHeight w:val="924"/>
        </w:trPr>
        <w:tc>
          <w:tcPr>
            <w:tcW w:w="2927" w:type="dxa"/>
          </w:tcPr>
          <w:p w14:paraId="4E15EC0D" w14:textId="77777777" w:rsidR="003346C8" w:rsidRPr="00D05364" w:rsidRDefault="003346C8" w:rsidP="00F414C7">
            <w:pPr>
              <w:spacing w:line="276" w:lineRule="auto"/>
              <w:rPr>
                <w:rFonts w:eastAsia="Arial"/>
              </w:rPr>
            </w:pPr>
            <w:r w:rsidRPr="00D05364">
              <w:rPr>
                <w:rFonts w:eastAsia="Arial"/>
              </w:rPr>
              <w:t>STV agentūros pavadinimas, šalis</w:t>
            </w:r>
          </w:p>
        </w:tc>
        <w:tc>
          <w:tcPr>
            <w:tcW w:w="1915" w:type="dxa"/>
          </w:tcPr>
          <w:p w14:paraId="3A0D9753" w14:textId="77777777" w:rsidR="003346C8" w:rsidRPr="00D05364" w:rsidRDefault="003346C8" w:rsidP="00F414C7">
            <w:pPr>
              <w:spacing w:line="276" w:lineRule="auto"/>
              <w:rPr>
                <w:rFonts w:eastAsia="Arial"/>
              </w:rPr>
            </w:pPr>
            <w:r w:rsidRPr="00D05364">
              <w:rPr>
                <w:rFonts w:eastAsia="Arial"/>
              </w:rPr>
              <w:t>STV vertinimas atliktas</w:t>
            </w:r>
          </w:p>
        </w:tc>
        <w:tc>
          <w:tcPr>
            <w:tcW w:w="2351" w:type="dxa"/>
          </w:tcPr>
          <w:p w14:paraId="36731482" w14:textId="77777777" w:rsidR="003346C8" w:rsidRPr="00D05364" w:rsidRDefault="003346C8" w:rsidP="00F414C7">
            <w:pPr>
              <w:spacing w:line="276" w:lineRule="auto"/>
              <w:rPr>
                <w:rFonts w:eastAsia="Arial"/>
              </w:rPr>
            </w:pPr>
            <w:r w:rsidRPr="00D05364">
              <w:rPr>
                <w:rFonts w:eastAsia="Arial"/>
              </w:rPr>
              <w:t>Klinikinio vertinimo išvada</w:t>
            </w:r>
          </w:p>
        </w:tc>
        <w:tc>
          <w:tcPr>
            <w:tcW w:w="2725" w:type="dxa"/>
          </w:tcPr>
          <w:p w14:paraId="77E69265" w14:textId="77777777" w:rsidR="003346C8" w:rsidRPr="00D05364" w:rsidRDefault="003346C8" w:rsidP="00F414C7">
            <w:pPr>
              <w:spacing w:line="276" w:lineRule="auto"/>
              <w:rPr>
                <w:rFonts w:eastAsia="Arial"/>
              </w:rPr>
            </w:pPr>
            <w:r w:rsidRPr="00D05364">
              <w:rPr>
                <w:rFonts w:eastAsia="Arial"/>
              </w:rPr>
              <w:t>Farmakoekonominio vertinimo išvada</w:t>
            </w:r>
          </w:p>
        </w:tc>
      </w:tr>
      <w:tr w:rsidR="00717F80" w:rsidRPr="00D05364" w14:paraId="7727E40F" w14:textId="77777777" w:rsidTr="00BD39A0">
        <w:trPr>
          <w:trHeight w:val="1765"/>
        </w:trPr>
        <w:tc>
          <w:tcPr>
            <w:tcW w:w="2927" w:type="dxa"/>
          </w:tcPr>
          <w:p w14:paraId="6B187806" w14:textId="77777777" w:rsidR="00717F80" w:rsidRPr="00D05364" w:rsidRDefault="00717F80" w:rsidP="00F414C7">
            <w:pPr>
              <w:autoSpaceDE w:val="0"/>
              <w:autoSpaceDN w:val="0"/>
              <w:adjustRightInd w:val="0"/>
              <w:rPr>
                <w:bCs/>
              </w:rPr>
            </w:pPr>
            <w:r w:rsidRPr="00D05364">
              <w:rPr>
                <w:bCs/>
              </w:rPr>
              <w:t>Nacionalinis sveikatos ir klinikinės kompetencijos institutas, Didžioji Britanija</w:t>
            </w:r>
          </w:p>
          <w:p w14:paraId="24C17EC2" w14:textId="77777777" w:rsidR="00717F80" w:rsidRPr="00D05364" w:rsidRDefault="00717F80" w:rsidP="00F414C7">
            <w:pPr>
              <w:spacing w:line="276" w:lineRule="auto"/>
              <w:rPr>
                <w:rFonts w:eastAsia="Arial"/>
              </w:rPr>
            </w:pPr>
            <w:r w:rsidRPr="00D05364">
              <w:rPr>
                <w:rFonts w:eastAsia="Arial"/>
              </w:rPr>
              <w:t xml:space="preserve">(angl. </w:t>
            </w:r>
            <w:r w:rsidRPr="00D05364">
              <w:rPr>
                <w:rFonts w:eastAsia="Arial"/>
                <w:i/>
              </w:rPr>
              <w:t>National Institute for Health and Care Excellence, NICE</w:t>
            </w:r>
            <w:r w:rsidRPr="00D05364">
              <w:rPr>
                <w:rFonts w:eastAsia="Arial"/>
              </w:rPr>
              <w:t>)</w:t>
            </w:r>
          </w:p>
        </w:tc>
        <w:tc>
          <w:tcPr>
            <w:tcW w:w="1915" w:type="dxa"/>
          </w:tcPr>
          <w:p w14:paraId="2E28A6A1" w14:textId="77777777" w:rsidR="00717F80" w:rsidRPr="00D05364" w:rsidRDefault="00A81452" w:rsidP="00F414C7">
            <w:sdt>
              <w:sdtPr>
                <w:rPr>
                  <w:rStyle w:val="Style2"/>
                </w:rPr>
                <w:id w:val="1558205022"/>
                <w15:color w:val="FFCC00"/>
                <w14:checkbox>
                  <w14:checked w14:val="1"/>
                  <w14:checkedState w14:val="2612" w14:font="MS Gothic"/>
                  <w14:uncheckedState w14:val="2610" w14:font="MS Gothic"/>
                </w14:checkbox>
              </w:sdtPr>
              <w:sdtEndPr>
                <w:rPr>
                  <w:rStyle w:val="Style2"/>
                </w:rPr>
              </w:sdtEndPr>
              <w:sdtContent>
                <w:r w:rsidR="00717F80">
                  <w:rPr>
                    <w:rStyle w:val="Style2"/>
                    <w:rFonts w:ascii="MS Gothic" w:eastAsia="MS Gothic" w:hAnsi="MS Gothic" w:hint="eastAsia"/>
                  </w:rPr>
                  <w:t>☒</w:t>
                </w:r>
              </w:sdtContent>
            </w:sdt>
            <w:r w:rsidR="00717F80" w:rsidRPr="00D05364">
              <w:t xml:space="preserve"> Taip</w:t>
            </w:r>
          </w:p>
          <w:p w14:paraId="688D3345" w14:textId="77777777" w:rsidR="00717F80" w:rsidRPr="00D05364" w:rsidRDefault="00A81452" w:rsidP="00F414C7">
            <w:sdt>
              <w:sdtPr>
                <w:rPr>
                  <w:rStyle w:val="Style2"/>
                </w:rPr>
                <w:id w:val="866029625"/>
                <w15:color w:val="FFCC00"/>
                <w14:checkbox>
                  <w14:checked w14:val="0"/>
                  <w14:checkedState w14:val="2612" w14:font="MS Gothic"/>
                  <w14:uncheckedState w14:val="2610" w14:font="MS Gothic"/>
                </w14:checkbox>
              </w:sdtPr>
              <w:sdtEndPr>
                <w:rPr>
                  <w:rStyle w:val="Style2"/>
                </w:rPr>
              </w:sdtEndPr>
              <w:sdtContent>
                <w:r w:rsidR="00717F80" w:rsidRPr="00D05364">
                  <w:rPr>
                    <w:rStyle w:val="Style2"/>
                    <w:rFonts w:ascii="MS Gothic" w:eastAsia="MS Gothic" w:hAnsi="MS Gothic" w:hint="eastAsia"/>
                  </w:rPr>
                  <w:t>☐</w:t>
                </w:r>
              </w:sdtContent>
            </w:sdt>
            <w:r w:rsidR="00717F80" w:rsidRPr="00D05364">
              <w:t xml:space="preserve"> Ne</w:t>
            </w:r>
          </w:p>
          <w:p w14:paraId="0BF4D488" w14:textId="093E7942" w:rsidR="00717F80" w:rsidRPr="00D05364" w:rsidRDefault="00A81452" w:rsidP="00F414C7">
            <w:pPr>
              <w:rPr>
                <w:rFonts w:eastAsia="Arial"/>
              </w:rPr>
            </w:pPr>
            <w:sdt>
              <w:sdtPr>
                <w:alias w:val="Nurodykite konkrečią dieną"/>
                <w:tag w:val="Nurodykite pradžios datą"/>
                <w:id w:val="922837954"/>
                <w:placeholder>
                  <w:docPart w:val="E5897305EEE04593AC2ABB6DBB1B7C8B"/>
                </w:placeholder>
                <w15:color w:val="FFCC99"/>
                <w:date>
                  <w:dateFormat w:val="yyyy 'm.' MMMM d 'd.'"/>
                  <w:lid w:val="lt-LT"/>
                  <w:storeMappedDataAs w:val="dateTime"/>
                  <w:calendar w:val="gregorian"/>
                </w:date>
              </w:sdtPr>
              <w:sdtEndPr/>
              <w:sdtContent>
                <w:r w:rsidR="00717F80" w:rsidRPr="00717F80">
                  <w:t>2020</w:t>
                </w:r>
                <w:r w:rsidR="00717F80">
                  <w:t xml:space="preserve"> m. lapkričio 25 d.</w:t>
                </w:r>
              </w:sdtContent>
            </w:sdt>
          </w:p>
        </w:tc>
        <w:tc>
          <w:tcPr>
            <w:tcW w:w="5076" w:type="dxa"/>
            <w:gridSpan w:val="2"/>
            <w:shd w:val="clear" w:color="auto" w:fill="auto"/>
          </w:tcPr>
          <w:p w14:paraId="40A438E8" w14:textId="7FC17E05" w:rsidR="00717F80" w:rsidRPr="00D05364" w:rsidRDefault="00717F80" w:rsidP="00F414C7">
            <w:pPr>
              <w:spacing w:line="276" w:lineRule="auto"/>
              <w:rPr>
                <w:rFonts w:eastAsia="Arial"/>
              </w:rPr>
            </w:pPr>
            <w:r>
              <w:rPr>
                <w:rFonts w:eastAsia="Arial"/>
              </w:rPr>
              <w:t>Siūloma kompensuoti su sąlygomis, kad bus pembrolizumabas bus skiriamas kaip monoterapija, pembrolizumabas bus tiekiamas sutartine kaina, pembrolizumabo gydymo trukmė bus apribota iki 2 metų.</w:t>
            </w:r>
          </w:p>
        </w:tc>
      </w:tr>
      <w:tr w:rsidR="00717F80" w:rsidRPr="00D05364" w14:paraId="733E20CC" w14:textId="77777777" w:rsidTr="003C14B7">
        <w:trPr>
          <w:trHeight w:val="841"/>
        </w:trPr>
        <w:tc>
          <w:tcPr>
            <w:tcW w:w="2927" w:type="dxa"/>
          </w:tcPr>
          <w:p w14:paraId="5065141A" w14:textId="77777777" w:rsidR="00717F80" w:rsidRPr="00D05364" w:rsidRDefault="00717F80" w:rsidP="00F414C7">
            <w:pPr>
              <w:spacing w:line="276" w:lineRule="auto"/>
              <w:rPr>
                <w:rFonts w:eastAsia="Arial"/>
              </w:rPr>
            </w:pPr>
            <w:r w:rsidRPr="00D05364">
              <w:rPr>
                <w:rFonts w:eastAsia="Arial"/>
              </w:rPr>
              <w:t>Kanados sveikatos technologijų agentūra</w:t>
            </w:r>
          </w:p>
          <w:p w14:paraId="50C0FEA3" w14:textId="77777777" w:rsidR="00717F80" w:rsidRPr="00D05364" w:rsidRDefault="00717F80" w:rsidP="00F414C7">
            <w:pPr>
              <w:spacing w:line="276" w:lineRule="auto"/>
              <w:rPr>
                <w:rFonts w:eastAsia="Arial"/>
              </w:rPr>
            </w:pPr>
            <w:r w:rsidRPr="00D05364">
              <w:rPr>
                <w:rFonts w:eastAsia="Arial"/>
              </w:rPr>
              <w:t xml:space="preserve">(angl. </w:t>
            </w:r>
            <w:r w:rsidRPr="00D05364">
              <w:rPr>
                <w:rFonts w:eastAsia="Arial"/>
                <w:i/>
              </w:rPr>
              <w:t>Canadian health Technology Assessment agency, CADTH</w:t>
            </w:r>
            <w:r w:rsidRPr="00D05364">
              <w:rPr>
                <w:rFonts w:eastAsia="Arial"/>
              </w:rPr>
              <w:t>)</w:t>
            </w:r>
          </w:p>
        </w:tc>
        <w:tc>
          <w:tcPr>
            <w:tcW w:w="1915" w:type="dxa"/>
          </w:tcPr>
          <w:p w14:paraId="16F5A136" w14:textId="77777777" w:rsidR="00717F80" w:rsidRPr="00D05364" w:rsidRDefault="00A81452" w:rsidP="00F414C7">
            <w:sdt>
              <w:sdtPr>
                <w:rPr>
                  <w:rStyle w:val="Style2"/>
                </w:rPr>
                <w:id w:val="-372539057"/>
                <w15:color w:val="FFCC00"/>
                <w14:checkbox>
                  <w14:checked w14:val="1"/>
                  <w14:checkedState w14:val="2612" w14:font="MS Gothic"/>
                  <w14:uncheckedState w14:val="2610" w14:font="MS Gothic"/>
                </w14:checkbox>
              </w:sdtPr>
              <w:sdtEndPr>
                <w:rPr>
                  <w:rStyle w:val="Style2"/>
                </w:rPr>
              </w:sdtEndPr>
              <w:sdtContent>
                <w:r w:rsidR="00717F80">
                  <w:rPr>
                    <w:rStyle w:val="Style2"/>
                    <w:rFonts w:ascii="MS Gothic" w:eastAsia="MS Gothic" w:hAnsi="MS Gothic" w:hint="eastAsia"/>
                  </w:rPr>
                  <w:t>☒</w:t>
                </w:r>
              </w:sdtContent>
            </w:sdt>
            <w:r w:rsidR="00717F80" w:rsidRPr="00D05364">
              <w:t xml:space="preserve"> Taip</w:t>
            </w:r>
          </w:p>
          <w:p w14:paraId="683660F8" w14:textId="77777777" w:rsidR="00717F80" w:rsidRPr="00D05364" w:rsidRDefault="00A81452" w:rsidP="00F414C7">
            <w:sdt>
              <w:sdtPr>
                <w:rPr>
                  <w:rStyle w:val="Style2"/>
                </w:rPr>
                <w:id w:val="594442222"/>
                <w15:color w:val="FFCC00"/>
                <w14:checkbox>
                  <w14:checked w14:val="0"/>
                  <w14:checkedState w14:val="2612" w14:font="MS Gothic"/>
                  <w14:uncheckedState w14:val="2610" w14:font="MS Gothic"/>
                </w14:checkbox>
              </w:sdtPr>
              <w:sdtEndPr>
                <w:rPr>
                  <w:rStyle w:val="Style2"/>
                </w:rPr>
              </w:sdtEndPr>
              <w:sdtContent>
                <w:r w:rsidR="00717F80" w:rsidRPr="00D05364">
                  <w:rPr>
                    <w:rStyle w:val="Style2"/>
                    <w:rFonts w:ascii="Segoe UI Symbol" w:eastAsia="MS Gothic" w:hAnsi="Segoe UI Symbol" w:cs="Segoe UI Symbol"/>
                  </w:rPr>
                  <w:t>☐</w:t>
                </w:r>
              </w:sdtContent>
            </w:sdt>
            <w:r w:rsidR="00717F80" w:rsidRPr="00D05364">
              <w:t xml:space="preserve"> Ne</w:t>
            </w:r>
          </w:p>
          <w:p w14:paraId="0932E775" w14:textId="06CFE385" w:rsidR="00717F80" w:rsidRPr="00D05364" w:rsidRDefault="00A81452" w:rsidP="00F414C7">
            <w:pPr>
              <w:spacing w:line="276" w:lineRule="auto"/>
              <w:rPr>
                <w:rFonts w:eastAsia="Arial"/>
              </w:rPr>
            </w:pPr>
            <w:sdt>
              <w:sdtPr>
                <w:alias w:val="Nurodykite konkrečią dieną"/>
                <w:tag w:val="Nurodykite pradžios datą"/>
                <w:id w:val="1072468416"/>
                <w:placeholder>
                  <w:docPart w:val="7BF97DDCE6BA4C80BAB6142AA277E340"/>
                </w:placeholder>
                <w15:color w:val="FFCC99"/>
                <w:date>
                  <w:dateFormat w:val="yyyy 'm.' MMMM d 'd.'"/>
                  <w:lid w:val="lt-LT"/>
                  <w:storeMappedDataAs w:val="dateTime"/>
                  <w:calendar w:val="gregorian"/>
                </w:date>
              </w:sdtPr>
              <w:sdtEndPr/>
              <w:sdtContent>
                <w:r w:rsidR="00717F80">
                  <w:t>202</w:t>
                </w:r>
                <w:r w:rsidR="00AB2DC2">
                  <w:t>0</w:t>
                </w:r>
                <w:r w:rsidR="00717F80">
                  <w:t xml:space="preserve"> m. </w:t>
                </w:r>
                <w:r w:rsidR="00AB2DC2">
                  <w:t>gruodžio 22</w:t>
                </w:r>
                <w:r w:rsidR="00717F80">
                  <w:t xml:space="preserve"> d.</w:t>
                </w:r>
              </w:sdtContent>
            </w:sdt>
          </w:p>
        </w:tc>
        <w:tc>
          <w:tcPr>
            <w:tcW w:w="5076" w:type="dxa"/>
            <w:gridSpan w:val="2"/>
            <w:shd w:val="clear" w:color="auto" w:fill="auto"/>
          </w:tcPr>
          <w:p w14:paraId="1A4F6764" w14:textId="2C2EF320" w:rsidR="00717F80" w:rsidRPr="00D05364" w:rsidRDefault="00717F80" w:rsidP="00F414C7">
            <w:pPr>
              <w:spacing w:line="276" w:lineRule="auto"/>
              <w:rPr>
                <w:rFonts w:eastAsia="Arial"/>
              </w:rPr>
            </w:pPr>
            <w:r>
              <w:rPr>
                <w:rFonts w:eastAsia="Arial"/>
              </w:rPr>
              <w:t>Rekomenduojama kompensuoti tuo atveju, jeigu kaštų efektyvumas bus pagerintas iki tam tikro lygio</w:t>
            </w:r>
            <w:r w:rsidR="00AB2DC2">
              <w:rPr>
                <w:rFonts w:eastAsia="Arial"/>
              </w:rPr>
              <w:t>, nustatoma apribota pembrolizumabo gydymo trukmė iki 2 metų.</w:t>
            </w:r>
          </w:p>
        </w:tc>
      </w:tr>
      <w:tr w:rsidR="00717F80" w:rsidRPr="00D05364" w14:paraId="6D3ECC03" w14:textId="77777777" w:rsidTr="004A2B47">
        <w:trPr>
          <w:trHeight w:val="1927"/>
        </w:trPr>
        <w:tc>
          <w:tcPr>
            <w:tcW w:w="2927" w:type="dxa"/>
          </w:tcPr>
          <w:p w14:paraId="317D23AA" w14:textId="77777777" w:rsidR="00717F80" w:rsidRPr="00D05364" w:rsidRDefault="00717F80" w:rsidP="00F414C7">
            <w:pPr>
              <w:spacing w:line="276" w:lineRule="auto"/>
              <w:rPr>
                <w:rFonts w:eastAsia="Arial"/>
              </w:rPr>
            </w:pPr>
            <w:r w:rsidRPr="00D05364">
              <w:rPr>
                <w:rFonts w:eastAsia="Arial"/>
              </w:rPr>
              <w:t>Nacionalinis farmakoekonomikos centras, Airija</w:t>
            </w:r>
          </w:p>
          <w:p w14:paraId="28CE020F" w14:textId="77777777" w:rsidR="00717F80" w:rsidRPr="00D05364" w:rsidRDefault="00717F80" w:rsidP="00F414C7">
            <w:pPr>
              <w:spacing w:line="276" w:lineRule="auto"/>
              <w:rPr>
                <w:rFonts w:eastAsia="Arial"/>
              </w:rPr>
            </w:pPr>
            <w:r w:rsidRPr="00D05364">
              <w:rPr>
                <w:rFonts w:eastAsia="Arial"/>
              </w:rPr>
              <w:t>(angl.</w:t>
            </w:r>
            <w:r w:rsidRPr="00D05364">
              <w:rPr>
                <w:rFonts w:eastAsia="Arial"/>
                <w:i/>
              </w:rPr>
              <w:t xml:space="preserve"> National Centre for Pharmacoeconomics, NCPE</w:t>
            </w:r>
            <w:r w:rsidRPr="00D05364">
              <w:rPr>
                <w:rFonts w:eastAsia="Arial"/>
              </w:rPr>
              <w:t>)</w:t>
            </w:r>
          </w:p>
        </w:tc>
        <w:tc>
          <w:tcPr>
            <w:tcW w:w="1915" w:type="dxa"/>
          </w:tcPr>
          <w:p w14:paraId="0231B000" w14:textId="77777777" w:rsidR="00717F80" w:rsidRPr="00D05364" w:rsidRDefault="00A81452" w:rsidP="00F414C7">
            <w:sdt>
              <w:sdtPr>
                <w:rPr>
                  <w:rStyle w:val="Style2"/>
                </w:rPr>
                <w:id w:val="-1888403732"/>
                <w15:color w:val="FFCC00"/>
                <w14:checkbox>
                  <w14:checked w14:val="1"/>
                  <w14:checkedState w14:val="2612" w14:font="MS Gothic"/>
                  <w14:uncheckedState w14:val="2610" w14:font="MS Gothic"/>
                </w14:checkbox>
              </w:sdtPr>
              <w:sdtEndPr>
                <w:rPr>
                  <w:rStyle w:val="Style2"/>
                </w:rPr>
              </w:sdtEndPr>
              <w:sdtContent>
                <w:r w:rsidR="00717F80">
                  <w:rPr>
                    <w:rStyle w:val="Style2"/>
                    <w:rFonts w:ascii="MS Gothic" w:eastAsia="MS Gothic" w:hAnsi="MS Gothic" w:hint="eastAsia"/>
                  </w:rPr>
                  <w:t>☒</w:t>
                </w:r>
              </w:sdtContent>
            </w:sdt>
            <w:r w:rsidR="00717F80" w:rsidRPr="00D05364">
              <w:t xml:space="preserve"> Taip</w:t>
            </w:r>
          </w:p>
          <w:p w14:paraId="4739AC78" w14:textId="77777777" w:rsidR="00717F80" w:rsidRPr="00D05364" w:rsidRDefault="00A81452" w:rsidP="00F414C7">
            <w:sdt>
              <w:sdtPr>
                <w:rPr>
                  <w:rStyle w:val="Style2"/>
                </w:rPr>
                <w:id w:val="1092201793"/>
                <w15:color w:val="FFCC00"/>
                <w14:checkbox>
                  <w14:checked w14:val="0"/>
                  <w14:checkedState w14:val="2612" w14:font="MS Gothic"/>
                  <w14:uncheckedState w14:val="2610" w14:font="MS Gothic"/>
                </w14:checkbox>
              </w:sdtPr>
              <w:sdtEndPr>
                <w:rPr>
                  <w:rStyle w:val="Style2"/>
                </w:rPr>
              </w:sdtEndPr>
              <w:sdtContent>
                <w:r w:rsidR="00717F80" w:rsidRPr="00D05364">
                  <w:rPr>
                    <w:rStyle w:val="Style2"/>
                    <w:rFonts w:ascii="Segoe UI Symbol" w:eastAsia="MS Gothic" w:hAnsi="Segoe UI Symbol" w:cs="Segoe UI Symbol"/>
                  </w:rPr>
                  <w:t>☐</w:t>
                </w:r>
              </w:sdtContent>
            </w:sdt>
            <w:r w:rsidR="00717F80" w:rsidRPr="00D05364">
              <w:t xml:space="preserve"> Ne</w:t>
            </w:r>
          </w:p>
          <w:p w14:paraId="0A9A417B" w14:textId="0449077A" w:rsidR="00717F80" w:rsidRPr="00D05364" w:rsidRDefault="00A81452" w:rsidP="00F414C7">
            <w:pPr>
              <w:spacing w:line="276" w:lineRule="auto"/>
              <w:rPr>
                <w:rFonts w:eastAsia="Arial"/>
              </w:rPr>
            </w:pPr>
            <w:sdt>
              <w:sdtPr>
                <w:alias w:val="Nurodykite konkrečią dieną"/>
                <w:tag w:val="Nurodykite pradžios datą"/>
                <w:id w:val="-198323198"/>
                <w:placeholder>
                  <w:docPart w:val="B19ED471DFD2418599D30C43DFFE7915"/>
                </w:placeholder>
                <w15:color w:val="FFCC99"/>
                <w:date>
                  <w:dateFormat w:val="yyyy 'm.' MMMM d 'd.'"/>
                  <w:lid w:val="lt-LT"/>
                  <w:storeMappedDataAs w:val="dateTime"/>
                  <w:calendar w:val="gregorian"/>
                </w:date>
              </w:sdtPr>
              <w:sdtEndPr/>
              <w:sdtContent>
                <w:r w:rsidR="00717F80">
                  <w:t>2021 m. gegužės 18 d.</w:t>
                </w:r>
              </w:sdtContent>
            </w:sdt>
          </w:p>
        </w:tc>
        <w:tc>
          <w:tcPr>
            <w:tcW w:w="5076" w:type="dxa"/>
            <w:gridSpan w:val="2"/>
          </w:tcPr>
          <w:p w14:paraId="46CACD9D" w14:textId="537BBB4B" w:rsidR="00717F80" w:rsidRPr="00D05364" w:rsidRDefault="00717F80" w:rsidP="00F414C7">
            <w:pPr>
              <w:spacing w:line="276" w:lineRule="auto"/>
              <w:rPr>
                <w:rFonts w:eastAsia="Arial"/>
              </w:rPr>
            </w:pPr>
            <w:r>
              <w:rPr>
                <w:rFonts w:eastAsia="Arial"/>
              </w:rPr>
              <w:t>Rekomenduojama kompensuoti tuo atveju, jeigu kaštų efektyvumas bus pagerintas iki tam tikro lygio.</w:t>
            </w:r>
          </w:p>
        </w:tc>
      </w:tr>
    </w:tbl>
    <w:p w14:paraId="5E82BD7C" w14:textId="77777777" w:rsidR="008651E2" w:rsidRDefault="008651E2" w:rsidP="00E03C3F">
      <w:pPr>
        <w:pStyle w:val="ListParagraph"/>
        <w:tabs>
          <w:tab w:val="left" w:pos="426"/>
        </w:tabs>
        <w:ind w:left="0"/>
        <w:rPr>
          <w:b/>
          <w:bCs/>
          <w:caps/>
        </w:rPr>
      </w:pPr>
    </w:p>
    <w:p w14:paraId="5055E8A8" w14:textId="471A9757" w:rsidR="002E6F80" w:rsidRPr="00937907" w:rsidRDefault="00CC7832" w:rsidP="00937907">
      <w:pPr>
        <w:pStyle w:val="ListParagraph"/>
        <w:numPr>
          <w:ilvl w:val="0"/>
          <w:numId w:val="12"/>
        </w:numPr>
        <w:tabs>
          <w:tab w:val="left" w:pos="284"/>
        </w:tabs>
        <w:rPr>
          <w:b/>
          <w:bCs/>
          <w:caps/>
        </w:rPr>
      </w:pPr>
      <w:r w:rsidRPr="00937907">
        <w:rPr>
          <w:b/>
          <w:bCs/>
          <w:caps/>
        </w:rPr>
        <w:t>Klinikinio vertinimo a</w:t>
      </w:r>
      <w:r w:rsidR="00D4485B" w:rsidRPr="00937907">
        <w:rPr>
          <w:b/>
          <w:bCs/>
          <w:caps/>
        </w:rPr>
        <w:t>pibendrinimas</w:t>
      </w:r>
    </w:p>
    <w:p w14:paraId="25F89291" w14:textId="47FFF2FE" w:rsidR="00D4485B" w:rsidRDefault="00D4485B" w:rsidP="00A93AA6">
      <w:pPr>
        <w:pStyle w:val="ListParagraph"/>
        <w:tabs>
          <w:tab w:val="left" w:pos="426"/>
        </w:tabs>
        <w:ind w:left="0"/>
        <w:rPr>
          <w:b/>
          <w:bCs/>
          <w:caps/>
        </w:rPr>
      </w:pPr>
    </w:p>
    <w:p w14:paraId="7B2BE3A6" w14:textId="77777777" w:rsidR="009545AB" w:rsidRPr="00EE2D9F" w:rsidRDefault="009545AB" w:rsidP="00D03AD3">
      <w:pPr>
        <w:spacing w:line="276" w:lineRule="auto"/>
        <w:ind w:firstLine="576"/>
        <w:jc w:val="both"/>
      </w:pPr>
      <w:r w:rsidRPr="00EE2D9F">
        <w:t xml:space="preserve">Pembrolizumabo </w:t>
      </w:r>
      <w:r>
        <w:t xml:space="preserve">monoterapija arba derinyje su chemoterapija, kurios sudėtyje yra platinos preparatų ir 5-fluorouracilo (5-FU), skirta </w:t>
      </w:r>
      <w:r w:rsidRPr="009075E7">
        <w:t>metastazavusios ar nerezekuotinos recidyvavusios galvos</w:t>
      </w:r>
      <w:r>
        <w:t xml:space="preserve"> ir kaklo plokščialąstelinės karcinomos (M/R GKPLK) pirmaeiliam gydymui suaugusiesiems, kurių navikai ekspresuoja PD-L1 ir </w:t>
      </w:r>
      <w:r w:rsidRPr="0093354C">
        <w:t xml:space="preserve">sudėtinis teigiamas </w:t>
      </w:r>
      <w:r w:rsidRPr="005177BC">
        <w:t xml:space="preserve">rodmuo (angl. </w:t>
      </w:r>
      <w:r w:rsidRPr="005177BC">
        <w:rPr>
          <w:i/>
          <w:iCs/>
        </w:rPr>
        <w:t>Combined Positive Score</w:t>
      </w:r>
      <w:r w:rsidRPr="005177BC">
        <w:t>, CPS) yra ≥ 1. Ligos kodai pagal TLK-10-AM klasifikaciją – C00-C10, C12-C14, C30-C32. Atsižvelgiant į siūlomą kompensuoti indikaciją aktuali metastazavusi ar nerezekuotina</w:t>
      </w:r>
      <w:r w:rsidRPr="00AD6959">
        <w:t xml:space="preserve"> recidyvavusi ligos forma.</w:t>
      </w:r>
      <w:r w:rsidRPr="00EE2D9F">
        <w:t xml:space="preserve"> </w:t>
      </w:r>
    </w:p>
    <w:p w14:paraId="5DC96105" w14:textId="77777777" w:rsidR="009545AB" w:rsidRPr="00EE2D9F" w:rsidRDefault="009545AB" w:rsidP="00D03AD3">
      <w:pPr>
        <w:spacing w:line="276" w:lineRule="auto"/>
        <w:ind w:firstLine="576"/>
        <w:jc w:val="both"/>
      </w:pPr>
      <w:r>
        <w:t xml:space="preserve">Galvos ir kaklo navikai – visa eilė piktybinių susirgimų, prasidedančių galvos ir kaklo srityje, įskaitant burnos ertmę, ryklę, gerklas, nories ertmę, prienosiniuose ančiuose, skydliaukėje ir seilių liaukose. GKPLK yra vyraujantis histologinis tipas, sudarantis virš </w:t>
      </w:r>
      <w:r w:rsidRPr="00176739">
        <w:t xml:space="preserve">90% </w:t>
      </w:r>
      <w:r>
        <w:t>visų galvos (ir kaklo navikų</w:t>
      </w:r>
      <w:r w:rsidRPr="00176739">
        <w:t>.</w:t>
      </w:r>
      <w:r>
        <w:t xml:space="preserve"> Apie</w:t>
      </w:r>
      <w:r w:rsidRPr="00EE2D9F">
        <w:t xml:space="preserve"> </w:t>
      </w:r>
      <w:r>
        <w:t>75% - 85% GKPLK išsivysto dėl tabako ir alkoholio vartojimo. Pastaruoju metu ligos patogenezėje taip pat didėja žmogaus papilomos viruso įtaka. Liga prasideda dėl visos eilės molekulinių pokyčių, vykstančių ląstelėje. S</w:t>
      </w:r>
      <w:r w:rsidRPr="003F33EE">
        <w:t xml:space="preserve">uaugusi kamieninė ląstelė </w:t>
      </w:r>
      <w:r>
        <w:t>arba jos p</w:t>
      </w:r>
      <w:r w:rsidRPr="003F33EE">
        <w:t xml:space="preserve">irmtakė </w:t>
      </w:r>
      <w:r>
        <w:t xml:space="preserve">po </w:t>
      </w:r>
      <w:r w:rsidRPr="003F33EE">
        <w:t>vien</w:t>
      </w:r>
      <w:r>
        <w:t>o</w:t>
      </w:r>
      <w:r w:rsidRPr="003F33EE">
        <w:t xml:space="preserve"> (ar daugiau) genetinių p</w:t>
      </w:r>
      <w:r>
        <w:t xml:space="preserve">okyčių </w:t>
      </w:r>
      <w:r w:rsidRPr="003F33EE">
        <w:t>sudaro kloninį vienetą</w:t>
      </w:r>
      <w:r w:rsidRPr="00176739">
        <w:t xml:space="preserve">, </w:t>
      </w:r>
      <w:r>
        <w:t xml:space="preserve">kuris pakeičia sveiką gleivinės epitelį ir palaipsniui išsivysto į invazinę vėžio formą su paskesne progresija ir </w:t>
      </w:r>
      <w:r w:rsidRPr="00176739">
        <w:t>metasta</w:t>
      </w:r>
      <w:r>
        <w:t>zėmis</w:t>
      </w:r>
      <w:r w:rsidRPr="00176739">
        <w:t>.</w:t>
      </w:r>
    </w:p>
    <w:p w14:paraId="119BF7A1" w14:textId="77777777" w:rsidR="009545AB" w:rsidRDefault="009545AB" w:rsidP="00D03AD3">
      <w:pPr>
        <w:spacing w:line="276" w:lineRule="auto"/>
        <w:ind w:firstLine="576"/>
        <w:jc w:val="both"/>
      </w:pPr>
      <w:r>
        <w:t xml:space="preserve">Pagal paplitimą galvos ir kaklo navikai užimą 7-ą vietą pasaulyje. Naujai diagnozuotos metastazavusios GKPLK formos (IVC stadija) stebimos retai (apie 4%). Daugumai (58%) pacientų liga nustatoma esant lokaliam ar regioniniam išplitimui (III – IVB stadijos), pasižyminčiam didele recidyvavimo ir atokiųjų metastazių rizika (~30% - 45%) jau per pirmuosius metus. Esant pažengusiai ligos formai </w:t>
      </w:r>
      <w:r w:rsidRPr="00176739">
        <w:t>5-</w:t>
      </w:r>
      <w:r>
        <w:t xml:space="preserve">erių metų išgyvenamumo rodikliai yra nedideli - </w:t>
      </w:r>
      <w:r w:rsidRPr="00176739">
        <w:t xml:space="preserve">14% </w:t>
      </w:r>
      <w:r>
        <w:t xml:space="preserve">sergant </w:t>
      </w:r>
      <w:r w:rsidRPr="00176739">
        <w:t xml:space="preserve">IVC </w:t>
      </w:r>
      <w:r>
        <w:t xml:space="preserve">stadijos GKPLK (JAV) ir </w:t>
      </w:r>
      <w:r w:rsidRPr="00176739">
        <w:t>3</w:t>
      </w:r>
      <w:r>
        <w:t>,</w:t>
      </w:r>
      <w:r w:rsidRPr="00176739">
        <w:t xml:space="preserve">6% </w:t>
      </w:r>
      <w:r>
        <w:t xml:space="preserve">sergant M/R GKPLK pasauliniu mastu. </w:t>
      </w:r>
    </w:p>
    <w:p w14:paraId="140A4FCC" w14:textId="1260E90F" w:rsidR="009545AB" w:rsidRDefault="009545AB" w:rsidP="00D03AD3">
      <w:pPr>
        <w:pStyle w:val="ListParagraph"/>
        <w:tabs>
          <w:tab w:val="left" w:pos="426"/>
        </w:tabs>
        <w:spacing w:line="276" w:lineRule="auto"/>
        <w:ind w:left="0" w:firstLine="576"/>
        <w:jc w:val="both"/>
      </w:pPr>
      <w:r w:rsidRPr="005177BC">
        <w:t>Remiantis GLOBOCAN  duomenimis, ekstrapoliuotais iš Lietuvos nacionalinio vėžio registro 2015 m. duomenų, 2020 m. galvos ir kaklo karcinoma naujai susirgo 561 suaugęs pacientas (24,45 atv. iš 100,000 gyv.), o iš viso sirgo 1621 suaugęs pacientas (70,66 atv. iš 100,000 gyv.). Pritaikius šiuos rodiklius suaugusiųjų populiacijos prognozei (pagal EUROSTAT) bei atsižvelgiant į Higienos instituto mirties priežasčių registro duomenis pagal indikacijos TLK-10 kodus apskaičiuoti sergamumo, ligotumo ir mirtingumo rodikliai pirmaisiais-penktaisiais metais. Remiantis PSO duomenimis, 90% galvos ir kaklo karcinomos atvejų sudaro ploščialąstelinė karcinoma (GKPLK). Remiantis SEER duomenimis, pacientų proporcija I-II stadijose yra 37%, III-IVB – 59%, IVC – 4%. Remiantis literatūros duomenimis, iš I-II stadijos į metastazavusią ar recidyvavusią GKPLK (M/R GKPLK) pereina 11% pacientų. Iš III-IVB stadijos į R/M GKPLK pereina – po chirurginio gydymo (CH) ir/ar radioterapijos (RT) - 4,5%, po CH ir chemoterapijos (ChT) platinos preparatais ir RT – 7,3%, po ChT platinos preparatais ir RT 8,2%; t.y., viso – 20%. Iš IVC stadijos į R/M GKPLK pereina visi – t.y., 4% pacientų. Tokiu būdu bendras R/M GKPLK pacientų skaičius pirmais-penktais metais – atitinkamai 100, 99, 98, 97 ir 96.</w:t>
      </w:r>
    </w:p>
    <w:p w14:paraId="56BB55D8" w14:textId="701FEE6A" w:rsidR="009545AB" w:rsidRPr="00A77AB8" w:rsidRDefault="009545AB" w:rsidP="00D03AD3">
      <w:pPr>
        <w:pStyle w:val="Tekstas"/>
        <w:spacing w:after="0" w:line="276" w:lineRule="auto"/>
        <w:ind w:firstLine="576"/>
      </w:pPr>
      <w:r w:rsidRPr="0018446D">
        <w:t xml:space="preserve">M/R GKPLK gydymo rekomendacijų, gairių ar SAM patvirtinto </w:t>
      </w:r>
      <w:r w:rsidRPr="005177BC">
        <w:t>tvarkos aprašo nėra. M/R GKPLK I-os eilės sisteminiam  gydymui skiriama cisplatina (arba karboplatina, apie 10</w:t>
      </w:r>
      <w:r>
        <w:t xml:space="preserve"> </w:t>
      </w:r>
      <w:r w:rsidRPr="005177BC">
        <w:t>% pacientų – esant blogai inkstų funkcijai) ir 5-fluorouracilas su cetuksimabu (~75% pacientų) ar be jo (~25% pacientų). Platinos</w:t>
      </w:r>
      <w:r w:rsidRPr="0023321A">
        <w:t xml:space="preserve"> preparat</w:t>
      </w:r>
      <w:r>
        <w:t>ai</w:t>
      </w:r>
      <w:r w:rsidRPr="0023321A">
        <w:t xml:space="preserve"> ir 5-fluorouracil</w:t>
      </w:r>
      <w:r>
        <w:t>as</w:t>
      </w:r>
      <w:r w:rsidRPr="0023321A">
        <w:t xml:space="preserve"> (5-FU)</w:t>
      </w:r>
      <w:r>
        <w:t xml:space="preserve"> įtraukti į k</w:t>
      </w:r>
      <w:r w:rsidRPr="0023321A">
        <w:t>ompensuojamųjų vaistų sąraš</w:t>
      </w:r>
      <w:r>
        <w:t>us</w:t>
      </w:r>
      <w:r w:rsidRPr="0023321A">
        <w:t xml:space="preserve">, </w:t>
      </w:r>
      <w:r>
        <w:rPr>
          <w:color w:val="000000" w:themeColor="text1"/>
        </w:rPr>
        <w:t xml:space="preserve">o cetuksimabas – į </w:t>
      </w:r>
      <w:r w:rsidRPr="00504A9F">
        <w:rPr>
          <w:color w:val="000000" w:themeColor="text1"/>
        </w:rPr>
        <w:t>centralizuotai apmokamų vaistinių preparatų ir medicinos pagalbos priemonių sąrašą</w:t>
      </w:r>
      <w:r w:rsidRPr="00A77AB8">
        <w:t xml:space="preserve"> šiems ligos kodams:</w:t>
      </w:r>
    </w:p>
    <w:p w14:paraId="6BD9213F" w14:textId="77777777" w:rsidR="009545AB" w:rsidRDefault="009545AB" w:rsidP="00D03AD3">
      <w:pPr>
        <w:pStyle w:val="Tekstas"/>
        <w:numPr>
          <w:ilvl w:val="0"/>
          <w:numId w:val="18"/>
        </w:numPr>
        <w:spacing w:after="0" w:line="276" w:lineRule="auto"/>
        <w:ind w:left="0" w:firstLine="576"/>
      </w:pPr>
      <w:r>
        <w:t>C00–C14, C32 – cetuksimabas;</w:t>
      </w:r>
    </w:p>
    <w:p w14:paraId="03DD6FAB" w14:textId="77777777" w:rsidR="009545AB" w:rsidRDefault="009545AB" w:rsidP="00D03AD3">
      <w:pPr>
        <w:pStyle w:val="Tekstas"/>
        <w:numPr>
          <w:ilvl w:val="0"/>
          <w:numId w:val="18"/>
        </w:numPr>
        <w:spacing w:after="0" w:line="276" w:lineRule="auto"/>
        <w:ind w:left="0" w:firstLine="576"/>
      </w:pPr>
      <w:r w:rsidRPr="00AC751E">
        <w:t>C00 – C60</w:t>
      </w:r>
      <w:r>
        <w:t xml:space="preserve"> – cisplatina;</w:t>
      </w:r>
    </w:p>
    <w:p w14:paraId="6111974F" w14:textId="77777777" w:rsidR="009545AB" w:rsidRDefault="009545AB" w:rsidP="00D03AD3">
      <w:pPr>
        <w:pStyle w:val="Tekstas"/>
        <w:numPr>
          <w:ilvl w:val="0"/>
          <w:numId w:val="18"/>
        </w:numPr>
        <w:spacing w:after="0" w:line="276" w:lineRule="auto"/>
        <w:ind w:left="0" w:firstLine="576"/>
      </w:pPr>
      <w:r w:rsidRPr="00AC751E">
        <w:t>C00 – C60</w:t>
      </w:r>
      <w:r>
        <w:t xml:space="preserve"> – </w:t>
      </w:r>
      <w:r>
        <w:rPr>
          <w:lang w:val="en-US"/>
        </w:rPr>
        <w:t>5-</w:t>
      </w:r>
      <w:r>
        <w:t>f</w:t>
      </w:r>
      <w:r w:rsidRPr="00AC751E">
        <w:t>luorouracil</w:t>
      </w:r>
      <w:r>
        <w:t>as.</w:t>
      </w:r>
    </w:p>
    <w:p w14:paraId="7AE6A7A2" w14:textId="1DA9E8F8" w:rsidR="009545AB" w:rsidRDefault="009545AB" w:rsidP="00D03AD3">
      <w:pPr>
        <w:pStyle w:val="Tekstas"/>
        <w:spacing w:after="0" w:line="276" w:lineRule="auto"/>
        <w:ind w:firstLine="576"/>
      </w:pPr>
      <w:r w:rsidRPr="002A61BC">
        <w:lastRenderedPageBreak/>
        <w:t xml:space="preserve">Cetuksimabas nekompensuojamas nosies ertmės ir vidurinės ausies piktybinio naviko (kodas C30) ir prienosinių ančių piktybinio naviko (kodas C31) gydymui, kompensuojamas nosiaryklės piktybinio naviko (kodas C11) gydymui. </w:t>
      </w:r>
    </w:p>
    <w:p w14:paraId="1A5B34DC" w14:textId="022F06C3" w:rsidR="00756DCD" w:rsidRPr="002A61BC" w:rsidRDefault="00756DCD" w:rsidP="00D03AD3">
      <w:pPr>
        <w:pStyle w:val="Tekstas"/>
        <w:spacing w:after="0" w:line="276" w:lineRule="auto"/>
        <w:ind w:firstLine="576"/>
      </w:pPr>
      <w:r w:rsidRPr="006E28A3">
        <w:t xml:space="preserve">Pembrolizumabo preparato charakteristikų santraukoje nenurodyta, kad vaisto negalima skirti pacientams, kuriems diagnozuotas nosiaryklės piktybinis navikas, tačiau ši sritis išskirta ESMO rekomendacijose – šios srities gydymas yra atskirtas nuo kitų galvos ir kaklo lokalizacijų. Taip pat nosiaryklės piktybiniu naviku sergantys pacientai nebuvo įtraukti į klinikinį tyrimą KEYNOTE-048. Ekspertų nuomone, dėl savo biologinių ir genetinių ypatumų nosiaryklės piktybinis navikas neturėtų būti įtrauktas  į visų galvos ir kaklo navikų gydymą. </w:t>
      </w:r>
    </w:p>
    <w:p w14:paraId="7DB9EE4E" w14:textId="77777777" w:rsidR="009545AB" w:rsidRPr="00D03AD3" w:rsidRDefault="009545AB" w:rsidP="00D03AD3">
      <w:pPr>
        <w:pStyle w:val="NormalWeb"/>
        <w:spacing w:before="0" w:beforeAutospacing="0" w:after="0" w:afterAutospacing="0" w:line="276" w:lineRule="auto"/>
        <w:ind w:firstLine="576"/>
        <w:jc w:val="both"/>
        <w:rPr>
          <w:color w:val="000000"/>
          <w:lang w:val="lt-LT"/>
        </w:rPr>
      </w:pPr>
      <w:r w:rsidRPr="00D03AD3">
        <w:rPr>
          <w:lang w:val="lt-LT"/>
        </w:rPr>
        <w:t xml:space="preserve">Remiantis Lietuvos onkologų chemoterapeutų draugijos nuomone, </w:t>
      </w:r>
      <w:r w:rsidRPr="00D03AD3">
        <w:rPr>
          <w:color w:val="000000"/>
          <w:lang w:val="lt-LT"/>
        </w:rPr>
        <w:t>pembrolizumabo/platinos/5-fluorouracilo derinys galėtų pakeisti cetuksimabo/platinos/5-fluorouracilo derinį (išskyrus nazofaringinę karcinomą) pacientams, kurių navikai:</w:t>
      </w:r>
    </w:p>
    <w:p w14:paraId="517D4D05" w14:textId="77777777" w:rsidR="009545AB" w:rsidRPr="00D03AD3" w:rsidRDefault="009545AB" w:rsidP="00D03AD3">
      <w:pPr>
        <w:pStyle w:val="NormalWeb"/>
        <w:numPr>
          <w:ilvl w:val="0"/>
          <w:numId w:val="19"/>
        </w:numPr>
        <w:spacing w:before="0" w:beforeAutospacing="0" w:after="0" w:afterAutospacing="0" w:line="276" w:lineRule="auto"/>
        <w:ind w:left="0" w:firstLine="576"/>
        <w:jc w:val="both"/>
        <w:rPr>
          <w:color w:val="000000"/>
        </w:rPr>
      </w:pPr>
      <w:r w:rsidRPr="00D03AD3">
        <w:rPr>
          <w:color w:val="000000"/>
          <w:lang w:val="lt-LT"/>
        </w:rPr>
        <w:t>E</w:t>
      </w:r>
      <w:proofErr w:type="spellStart"/>
      <w:r w:rsidRPr="00D03AD3">
        <w:rPr>
          <w:color w:val="000000"/>
        </w:rPr>
        <w:t>kspresuoja</w:t>
      </w:r>
      <w:proofErr w:type="spellEnd"/>
      <w:r w:rsidRPr="00D03AD3">
        <w:rPr>
          <w:color w:val="000000"/>
        </w:rPr>
        <w:t xml:space="preserve"> PD-</w:t>
      </w:r>
      <w:proofErr w:type="spellStart"/>
      <w:r w:rsidRPr="00D03AD3">
        <w:rPr>
          <w:color w:val="000000"/>
        </w:rPr>
        <w:t>Ll</w:t>
      </w:r>
      <w:proofErr w:type="spellEnd"/>
      <w:r w:rsidRPr="00D03AD3">
        <w:rPr>
          <w:color w:val="000000"/>
        </w:rPr>
        <w:t xml:space="preserve"> </w:t>
      </w:r>
      <w:proofErr w:type="spellStart"/>
      <w:r w:rsidRPr="00D03AD3">
        <w:rPr>
          <w:color w:val="000000"/>
        </w:rPr>
        <w:t>ir</w:t>
      </w:r>
      <w:proofErr w:type="spellEnd"/>
      <w:r w:rsidRPr="00D03AD3">
        <w:rPr>
          <w:color w:val="000000"/>
        </w:rPr>
        <w:t xml:space="preserve"> CPS </w:t>
      </w:r>
      <w:proofErr w:type="spellStart"/>
      <w:r w:rsidRPr="00D03AD3">
        <w:rPr>
          <w:color w:val="000000"/>
        </w:rPr>
        <w:t>rodmuo</w:t>
      </w:r>
      <w:proofErr w:type="spellEnd"/>
      <w:r w:rsidRPr="00D03AD3">
        <w:rPr>
          <w:color w:val="000000"/>
        </w:rPr>
        <w:t xml:space="preserve"> </w:t>
      </w:r>
      <w:proofErr w:type="spellStart"/>
      <w:r w:rsidRPr="00D03AD3">
        <w:rPr>
          <w:color w:val="000000"/>
        </w:rPr>
        <w:t>yra</w:t>
      </w:r>
      <w:proofErr w:type="spellEnd"/>
      <w:r w:rsidRPr="00D03AD3">
        <w:rPr>
          <w:color w:val="000000"/>
        </w:rPr>
        <w:t xml:space="preserve"> ≥ 1;</w:t>
      </w:r>
    </w:p>
    <w:p w14:paraId="716202F6" w14:textId="290F9C95" w:rsidR="009545AB" w:rsidRPr="00D03AD3" w:rsidRDefault="009545AB" w:rsidP="00D03AD3">
      <w:pPr>
        <w:pStyle w:val="NormalWeb"/>
        <w:numPr>
          <w:ilvl w:val="0"/>
          <w:numId w:val="19"/>
        </w:numPr>
        <w:spacing w:before="0" w:beforeAutospacing="0" w:after="0" w:afterAutospacing="0" w:line="276" w:lineRule="auto"/>
        <w:ind w:left="0" w:firstLine="576"/>
        <w:jc w:val="both"/>
        <w:rPr>
          <w:color w:val="000000"/>
        </w:rPr>
      </w:pPr>
      <w:proofErr w:type="spellStart"/>
      <w:r w:rsidRPr="00D03AD3">
        <w:rPr>
          <w:color w:val="000000"/>
        </w:rPr>
        <w:t>Pacientams</w:t>
      </w:r>
      <w:proofErr w:type="spellEnd"/>
      <w:r w:rsidRPr="00D03AD3">
        <w:rPr>
          <w:color w:val="000000"/>
        </w:rPr>
        <w:t xml:space="preserve">, </w:t>
      </w:r>
      <w:proofErr w:type="spellStart"/>
      <w:r w:rsidRPr="00D03AD3">
        <w:rPr>
          <w:color w:val="000000"/>
        </w:rPr>
        <w:t>kurių</w:t>
      </w:r>
      <w:proofErr w:type="spellEnd"/>
      <w:r w:rsidRPr="00D03AD3">
        <w:rPr>
          <w:color w:val="000000"/>
        </w:rPr>
        <w:t xml:space="preserve"> </w:t>
      </w:r>
      <w:proofErr w:type="spellStart"/>
      <w:r w:rsidRPr="00D03AD3">
        <w:rPr>
          <w:color w:val="000000"/>
        </w:rPr>
        <w:t>navikai</w:t>
      </w:r>
      <w:proofErr w:type="spellEnd"/>
      <w:r w:rsidRPr="00D03AD3">
        <w:rPr>
          <w:color w:val="000000"/>
        </w:rPr>
        <w:t xml:space="preserve"> </w:t>
      </w:r>
      <w:proofErr w:type="spellStart"/>
      <w:r w:rsidRPr="00D03AD3">
        <w:rPr>
          <w:color w:val="000000"/>
        </w:rPr>
        <w:t>ekspresuoja</w:t>
      </w:r>
      <w:proofErr w:type="spellEnd"/>
      <w:r w:rsidRPr="00D03AD3">
        <w:rPr>
          <w:color w:val="000000"/>
        </w:rPr>
        <w:t xml:space="preserve"> PD-L1 ir CPS rodmuo </w:t>
      </w:r>
      <w:proofErr w:type="spellStart"/>
      <w:r w:rsidRPr="00D03AD3">
        <w:rPr>
          <w:color w:val="000000"/>
        </w:rPr>
        <w:t>yra</w:t>
      </w:r>
      <w:proofErr w:type="spellEnd"/>
      <w:r w:rsidRPr="00D03AD3">
        <w:rPr>
          <w:color w:val="000000"/>
        </w:rPr>
        <w:t xml:space="preserve"> ≥ 1 </w:t>
      </w:r>
      <w:proofErr w:type="spellStart"/>
      <w:r w:rsidRPr="00D03AD3">
        <w:rPr>
          <w:color w:val="000000"/>
        </w:rPr>
        <w:t>ir</w:t>
      </w:r>
      <w:proofErr w:type="spellEnd"/>
      <w:r w:rsidRPr="00D03AD3">
        <w:rPr>
          <w:color w:val="000000"/>
        </w:rPr>
        <w:t xml:space="preserve"> </w:t>
      </w:r>
      <w:proofErr w:type="spellStart"/>
      <w:r w:rsidRPr="00D03AD3">
        <w:rPr>
          <w:color w:val="000000"/>
        </w:rPr>
        <w:t>kuriems</w:t>
      </w:r>
      <w:proofErr w:type="spellEnd"/>
      <w:r w:rsidRPr="00D03AD3">
        <w:rPr>
          <w:color w:val="000000"/>
        </w:rPr>
        <w:t xml:space="preserve"> </w:t>
      </w:r>
      <w:proofErr w:type="spellStart"/>
      <w:r w:rsidRPr="00D03AD3">
        <w:rPr>
          <w:color w:val="000000"/>
        </w:rPr>
        <w:t>gydymas</w:t>
      </w:r>
      <w:proofErr w:type="spellEnd"/>
      <w:r w:rsidRPr="00D03AD3">
        <w:rPr>
          <w:color w:val="000000"/>
          <w:lang w:val="lt-LT"/>
        </w:rPr>
        <w:t xml:space="preserve"> </w:t>
      </w:r>
      <w:proofErr w:type="spellStart"/>
      <w:r w:rsidRPr="00D03AD3">
        <w:rPr>
          <w:color w:val="000000"/>
        </w:rPr>
        <w:t>chemoterapija</w:t>
      </w:r>
      <w:proofErr w:type="spellEnd"/>
      <w:r w:rsidRPr="00D03AD3">
        <w:rPr>
          <w:color w:val="000000"/>
        </w:rPr>
        <w:t xml:space="preserve"> </w:t>
      </w:r>
      <w:proofErr w:type="spellStart"/>
      <w:r w:rsidRPr="00D03AD3">
        <w:rPr>
          <w:color w:val="000000"/>
        </w:rPr>
        <w:t>negalimas</w:t>
      </w:r>
      <w:proofErr w:type="spellEnd"/>
      <w:r w:rsidRPr="00D03AD3">
        <w:rPr>
          <w:color w:val="000000"/>
        </w:rPr>
        <w:t xml:space="preserve">, </w:t>
      </w:r>
      <w:proofErr w:type="spellStart"/>
      <w:r w:rsidRPr="00D03AD3">
        <w:rPr>
          <w:color w:val="000000"/>
        </w:rPr>
        <w:t>galėtų</w:t>
      </w:r>
      <w:proofErr w:type="spellEnd"/>
      <w:r w:rsidRPr="00D03AD3">
        <w:rPr>
          <w:color w:val="000000"/>
        </w:rPr>
        <w:t xml:space="preserve"> </w:t>
      </w:r>
      <w:proofErr w:type="spellStart"/>
      <w:r w:rsidRPr="00D03AD3">
        <w:rPr>
          <w:color w:val="000000"/>
        </w:rPr>
        <w:t>būti</w:t>
      </w:r>
      <w:proofErr w:type="spellEnd"/>
      <w:r w:rsidRPr="00D03AD3">
        <w:rPr>
          <w:color w:val="000000"/>
        </w:rPr>
        <w:t xml:space="preserve"> </w:t>
      </w:r>
      <w:proofErr w:type="spellStart"/>
      <w:r w:rsidRPr="00D03AD3">
        <w:rPr>
          <w:color w:val="000000"/>
        </w:rPr>
        <w:t>skiriama</w:t>
      </w:r>
      <w:proofErr w:type="spellEnd"/>
      <w:r w:rsidRPr="00D03AD3">
        <w:rPr>
          <w:color w:val="000000"/>
        </w:rPr>
        <w:t xml:space="preserve"> </w:t>
      </w:r>
      <w:proofErr w:type="spellStart"/>
      <w:r w:rsidRPr="00D03AD3">
        <w:rPr>
          <w:color w:val="000000"/>
        </w:rPr>
        <w:t>monoterapija</w:t>
      </w:r>
      <w:proofErr w:type="spellEnd"/>
      <w:r w:rsidRPr="00D03AD3">
        <w:rPr>
          <w:color w:val="000000"/>
        </w:rPr>
        <w:t xml:space="preserve"> </w:t>
      </w:r>
      <w:proofErr w:type="spellStart"/>
      <w:r w:rsidRPr="00D03AD3">
        <w:rPr>
          <w:color w:val="000000"/>
        </w:rPr>
        <w:t>pembrolizumabu</w:t>
      </w:r>
      <w:proofErr w:type="spellEnd"/>
      <w:r w:rsidRPr="00D03AD3">
        <w:rPr>
          <w:color w:val="000000"/>
        </w:rPr>
        <w:t xml:space="preserve">. </w:t>
      </w:r>
      <w:proofErr w:type="spellStart"/>
      <w:r w:rsidRPr="00D03AD3">
        <w:rPr>
          <w:color w:val="000000"/>
        </w:rPr>
        <w:t>Šis</w:t>
      </w:r>
      <w:proofErr w:type="spellEnd"/>
      <w:r w:rsidRPr="00D03AD3">
        <w:rPr>
          <w:color w:val="000000"/>
          <w:lang w:val="lt-LT"/>
        </w:rPr>
        <w:t xml:space="preserve"> </w:t>
      </w:r>
      <w:proofErr w:type="spellStart"/>
      <w:r w:rsidRPr="00D03AD3">
        <w:rPr>
          <w:color w:val="000000"/>
        </w:rPr>
        <w:t>gydymas</w:t>
      </w:r>
      <w:proofErr w:type="spellEnd"/>
      <w:r w:rsidRPr="00D03AD3">
        <w:rPr>
          <w:color w:val="000000"/>
        </w:rPr>
        <w:t xml:space="preserve"> </w:t>
      </w:r>
      <w:proofErr w:type="spellStart"/>
      <w:r w:rsidRPr="00D03AD3">
        <w:rPr>
          <w:color w:val="000000"/>
        </w:rPr>
        <w:t>galėtų</w:t>
      </w:r>
      <w:proofErr w:type="spellEnd"/>
      <w:r w:rsidRPr="00D03AD3">
        <w:rPr>
          <w:color w:val="000000"/>
        </w:rPr>
        <w:t xml:space="preserve"> </w:t>
      </w:r>
      <w:proofErr w:type="spellStart"/>
      <w:r w:rsidRPr="00D03AD3">
        <w:rPr>
          <w:color w:val="000000"/>
        </w:rPr>
        <w:t>pakeisti</w:t>
      </w:r>
      <w:proofErr w:type="spellEnd"/>
      <w:r w:rsidRPr="00D03AD3">
        <w:rPr>
          <w:color w:val="000000"/>
        </w:rPr>
        <w:t xml:space="preserve"> </w:t>
      </w:r>
      <w:proofErr w:type="spellStart"/>
      <w:r w:rsidRPr="00D03AD3">
        <w:rPr>
          <w:color w:val="000000"/>
        </w:rPr>
        <w:t>cetuksimabo</w:t>
      </w:r>
      <w:proofErr w:type="spellEnd"/>
      <w:r w:rsidRPr="00D03AD3">
        <w:rPr>
          <w:color w:val="000000"/>
        </w:rPr>
        <w:t xml:space="preserve"> </w:t>
      </w:r>
      <w:proofErr w:type="spellStart"/>
      <w:r w:rsidRPr="00D03AD3">
        <w:rPr>
          <w:color w:val="000000"/>
        </w:rPr>
        <w:t>monoterapiją</w:t>
      </w:r>
      <w:proofErr w:type="spellEnd"/>
      <w:r w:rsidRPr="00D03AD3">
        <w:rPr>
          <w:color w:val="000000"/>
        </w:rPr>
        <w:t>.</w:t>
      </w:r>
    </w:p>
    <w:p w14:paraId="3A0B3D2B" w14:textId="77777777" w:rsidR="00C85FB3" w:rsidRDefault="00C85FB3" w:rsidP="00D03AD3">
      <w:pPr>
        <w:pStyle w:val="ListParagraph"/>
        <w:tabs>
          <w:tab w:val="left" w:pos="426"/>
        </w:tabs>
        <w:spacing w:line="276" w:lineRule="auto"/>
        <w:ind w:left="0" w:firstLine="576"/>
        <w:rPr>
          <w:i/>
          <w:iCs/>
          <w:u w:val="single"/>
        </w:rPr>
      </w:pPr>
    </w:p>
    <w:p w14:paraId="5715147B" w14:textId="57E2FCDB" w:rsidR="008075B7" w:rsidRPr="008075B7" w:rsidRDefault="00C85FB3" w:rsidP="00D03AD3">
      <w:pPr>
        <w:pStyle w:val="ListParagraph"/>
        <w:tabs>
          <w:tab w:val="left" w:pos="426"/>
        </w:tabs>
        <w:spacing w:line="276" w:lineRule="auto"/>
        <w:ind w:left="0" w:firstLine="576"/>
        <w:rPr>
          <w:i/>
          <w:iCs/>
          <w:u w:val="single"/>
        </w:rPr>
      </w:pPr>
      <w:r>
        <w:rPr>
          <w:i/>
          <w:iCs/>
          <w:u w:val="single"/>
        </w:rPr>
        <w:t>Tiesioginis palyginimas</w:t>
      </w:r>
    </w:p>
    <w:p w14:paraId="2F9B799D" w14:textId="5A5588A1" w:rsidR="00553E16" w:rsidRDefault="00D134FD" w:rsidP="00D03AD3">
      <w:pPr>
        <w:tabs>
          <w:tab w:val="left" w:pos="426"/>
        </w:tabs>
        <w:spacing w:line="276" w:lineRule="auto"/>
        <w:ind w:firstLine="576"/>
        <w:jc w:val="both"/>
      </w:pPr>
      <w:r>
        <w:tab/>
      </w:r>
      <w:r w:rsidR="002A3421" w:rsidRPr="00B7206C">
        <w:t>Palyginamajam efektyvumui ir klinikiniam veiksmingumui įvertinti</w:t>
      </w:r>
      <w:r w:rsidR="00553E16">
        <w:t xml:space="preserve"> </w:t>
      </w:r>
      <w:r w:rsidR="002A3421" w:rsidRPr="00B7206C">
        <w:t>pateikt</w:t>
      </w:r>
      <w:r w:rsidR="00553E16">
        <w:t xml:space="preserve">as klinikinis tyrimas </w:t>
      </w:r>
      <w:r w:rsidR="002A3421" w:rsidRPr="00B7206C">
        <w:t xml:space="preserve"> </w:t>
      </w:r>
      <w:r w:rsidR="00553E16" w:rsidRPr="00EE2D9F">
        <w:t>KEYNOTE-</w:t>
      </w:r>
      <w:r w:rsidR="00553E16">
        <w:t>0</w:t>
      </w:r>
      <w:r w:rsidR="00553E16" w:rsidRPr="00EE2D9F">
        <w:t>4</w:t>
      </w:r>
      <w:r w:rsidR="00553E16">
        <w:t xml:space="preserve">8. Tai </w:t>
      </w:r>
      <w:r w:rsidR="00553E16" w:rsidRPr="003C3F75">
        <w:t>multicentrinis, atsitiktinių imčių, aktyviu gydymu kontroliuojamas</w:t>
      </w:r>
      <w:r w:rsidR="00553E16" w:rsidRPr="00385D87">
        <w:t xml:space="preserve">, </w:t>
      </w:r>
      <w:r w:rsidR="00553E16">
        <w:t xml:space="preserve">atviras </w:t>
      </w:r>
      <w:r w:rsidR="00553E16" w:rsidRPr="00385D87">
        <w:t>III fazės klinikinis tyrimas</w:t>
      </w:r>
      <w:r w:rsidR="00553E16">
        <w:t xml:space="preserve">, į kurį įtraukti pacientai, sergantys išplitusia </w:t>
      </w:r>
      <w:r w:rsidR="00553E16" w:rsidRPr="005833CD">
        <w:t>metastazavus</w:t>
      </w:r>
      <w:r w:rsidR="00553E16">
        <w:t>ia</w:t>
      </w:r>
      <w:r w:rsidR="00553E16" w:rsidRPr="005833CD">
        <w:t xml:space="preserve"> ar nerezekuotin</w:t>
      </w:r>
      <w:r w:rsidR="00553E16">
        <w:t>a</w:t>
      </w:r>
      <w:r w:rsidR="00553E16" w:rsidRPr="005833CD">
        <w:t xml:space="preserve"> recidyvavusi</w:t>
      </w:r>
      <w:r w:rsidR="00553E16">
        <w:t>a</w:t>
      </w:r>
      <w:r w:rsidR="00553E16" w:rsidRPr="005833CD">
        <w:t xml:space="preserve"> galvos ir kaklo plokščialąstelin</w:t>
      </w:r>
      <w:r w:rsidR="00553E16">
        <w:t>e</w:t>
      </w:r>
      <w:r w:rsidR="00553E16" w:rsidRPr="005833CD">
        <w:t xml:space="preserve"> karcinom</w:t>
      </w:r>
      <w:r w:rsidR="00553E16">
        <w:t xml:space="preserve">a (toliau – R/M GKPLK). Anksčiau sisteminis gydymas šiems pacientams taikytas nebuvo. </w:t>
      </w:r>
      <w:r w:rsidR="00553E16" w:rsidRPr="003C3F75">
        <w:t>KEYNOTE-</w:t>
      </w:r>
      <w:r w:rsidR="00553E16">
        <w:t>0</w:t>
      </w:r>
      <w:r w:rsidR="00553E16" w:rsidRPr="003C3F75">
        <w:t>4</w:t>
      </w:r>
      <w:r w:rsidR="00553E16" w:rsidRPr="007917D0">
        <w:rPr>
          <w:lang w:val="de-DE"/>
        </w:rPr>
        <w:t>8</w:t>
      </w:r>
      <w:r w:rsidR="00553E16">
        <w:rPr>
          <w:lang w:val="de-DE"/>
        </w:rPr>
        <w:t xml:space="preserve"> </w:t>
      </w:r>
      <w:r w:rsidR="00553E16">
        <w:t>t</w:t>
      </w:r>
      <w:r w:rsidR="00553E16" w:rsidRPr="00385D87">
        <w:t xml:space="preserve">yrime pasirinktas palyginamasis gydymas </w:t>
      </w:r>
      <w:r w:rsidR="00553E16">
        <w:t xml:space="preserve">cetuksimabo deriniu su cisplatina </w:t>
      </w:r>
      <w:r w:rsidR="00553E16" w:rsidRPr="00385D87">
        <w:t xml:space="preserve">ir </w:t>
      </w:r>
      <w:r w:rsidR="00553E16">
        <w:t>5-fluorouracilu.</w:t>
      </w:r>
    </w:p>
    <w:p w14:paraId="7A95367A" w14:textId="643B56FD" w:rsidR="00553E16" w:rsidRPr="00D37426" w:rsidRDefault="00553E16" w:rsidP="00D03AD3">
      <w:pPr>
        <w:tabs>
          <w:tab w:val="left" w:pos="426"/>
        </w:tabs>
        <w:spacing w:line="276" w:lineRule="auto"/>
        <w:ind w:firstLine="576"/>
        <w:jc w:val="both"/>
        <w:rPr>
          <w:u w:val="single"/>
          <w:lang w:val="en-US"/>
        </w:rPr>
      </w:pPr>
      <w:r w:rsidRPr="00D37426">
        <w:rPr>
          <w:u w:val="single"/>
        </w:rPr>
        <w:t xml:space="preserve">Įtraukti pacientai buvo atsitiktinai santykiu </w:t>
      </w:r>
      <w:r w:rsidRPr="00D37426">
        <w:rPr>
          <w:u w:val="single"/>
          <w:lang w:val="en-US"/>
        </w:rPr>
        <w:t xml:space="preserve">1:1:1 </w:t>
      </w:r>
      <w:proofErr w:type="spellStart"/>
      <w:r w:rsidRPr="00D37426">
        <w:rPr>
          <w:u w:val="single"/>
          <w:lang w:val="en-US"/>
        </w:rPr>
        <w:t>randomizuoti</w:t>
      </w:r>
      <w:proofErr w:type="spellEnd"/>
      <w:r w:rsidRPr="00D37426">
        <w:rPr>
          <w:u w:val="single"/>
          <w:lang w:val="en-US"/>
        </w:rPr>
        <w:t xml:space="preserve"> </w:t>
      </w:r>
      <w:r w:rsidRPr="00D37426">
        <w:rPr>
          <w:u w:val="single"/>
        </w:rPr>
        <w:t xml:space="preserve">į </w:t>
      </w:r>
      <w:r w:rsidRPr="00D37426">
        <w:rPr>
          <w:u w:val="single"/>
          <w:lang w:val="en-US"/>
        </w:rPr>
        <w:t xml:space="preserve">3 </w:t>
      </w:r>
      <w:proofErr w:type="spellStart"/>
      <w:r w:rsidRPr="00D37426">
        <w:rPr>
          <w:u w:val="single"/>
          <w:lang w:val="en-US"/>
        </w:rPr>
        <w:t>gydymo</w:t>
      </w:r>
      <w:proofErr w:type="spellEnd"/>
      <w:r w:rsidRPr="00D37426">
        <w:rPr>
          <w:u w:val="single"/>
          <w:lang w:val="en-US"/>
        </w:rPr>
        <w:t xml:space="preserve"> </w:t>
      </w:r>
      <w:proofErr w:type="spellStart"/>
      <w:r w:rsidRPr="00D37426">
        <w:rPr>
          <w:u w:val="single"/>
          <w:lang w:val="en-US"/>
        </w:rPr>
        <w:t>grupes</w:t>
      </w:r>
      <w:proofErr w:type="spellEnd"/>
      <w:r w:rsidRPr="00D37426">
        <w:rPr>
          <w:u w:val="single"/>
          <w:lang w:val="en-US"/>
        </w:rPr>
        <w:t>:</w:t>
      </w:r>
    </w:p>
    <w:p w14:paraId="4957DA3C" w14:textId="77777777" w:rsidR="00553E16" w:rsidRDefault="00553E16" w:rsidP="00D03AD3">
      <w:pPr>
        <w:pStyle w:val="ListParagraph"/>
        <w:numPr>
          <w:ilvl w:val="0"/>
          <w:numId w:val="20"/>
        </w:numPr>
        <w:tabs>
          <w:tab w:val="left" w:pos="426"/>
        </w:tabs>
        <w:spacing w:line="276" w:lineRule="auto"/>
        <w:ind w:left="0" w:firstLine="576"/>
        <w:jc w:val="both"/>
      </w:pPr>
      <w:r w:rsidRPr="00467A67">
        <w:rPr>
          <w:lang w:val="en-US"/>
        </w:rPr>
        <w:t xml:space="preserve">1-oji </w:t>
      </w:r>
      <w:proofErr w:type="spellStart"/>
      <w:r w:rsidRPr="00467A67">
        <w:rPr>
          <w:lang w:val="en-US"/>
        </w:rPr>
        <w:t>grup</w:t>
      </w:r>
      <w:proofErr w:type="spellEnd"/>
      <w:r w:rsidRPr="00467A67">
        <w:t xml:space="preserve">ė </w:t>
      </w:r>
      <w:r>
        <w:t>gavo pembrolizumabo monoterapiją (</w:t>
      </w:r>
      <w:r>
        <w:rPr>
          <w:lang w:val="en-US"/>
        </w:rPr>
        <w:t>200 mg kas 3</w:t>
      </w:r>
      <w:r>
        <w:t xml:space="preserve"> sav.</w:t>
      </w:r>
      <w:proofErr w:type="gramStart"/>
      <w:r>
        <w:t>);</w:t>
      </w:r>
      <w:proofErr w:type="gramEnd"/>
    </w:p>
    <w:p w14:paraId="4A5C09A3" w14:textId="77777777" w:rsidR="00553E16" w:rsidRPr="00D37426" w:rsidRDefault="00553E16" w:rsidP="00D03AD3">
      <w:pPr>
        <w:pStyle w:val="ListParagraph"/>
        <w:numPr>
          <w:ilvl w:val="0"/>
          <w:numId w:val="20"/>
        </w:numPr>
        <w:tabs>
          <w:tab w:val="left" w:pos="426"/>
        </w:tabs>
        <w:spacing w:line="276" w:lineRule="auto"/>
        <w:ind w:left="0" w:firstLine="576"/>
        <w:jc w:val="both"/>
      </w:pPr>
      <w:r>
        <w:t xml:space="preserve">2-oji grupė gavo pembrolizumabo ir chemoterapijos derinį </w:t>
      </w:r>
      <w:r w:rsidRPr="00116703">
        <w:rPr>
          <w:noProof/>
          <w:lang w:val="en-US"/>
        </w:rPr>
        <w:t xml:space="preserve">(200 mg </w:t>
      </w:r>
      <w:r>
        <w:rPr>
          <w:noProof/>
          <w:lang w:val="en-US"/>
        </w:rPr>
        <w:t>kas 3 sav.</w:t>
      </w:r>
      <w:r w:rsidRPr="00116703">
        <w:rPr>
          <w:noProof/>
          <w:lang w:val="en-US"/>
        </w:rPr>
        <w:t>) + [</w:t>
      </w:r>
      <w:r>
        <w:rPr>
          <w:noProof/>
          <w:lang w:val="en-US"/>
        </w:rPr>
        <w:t>c</w:t>
      </w:r>
      <w:r w:rsidRPr="00116703">
        <w:rPr>
          <w:noProof/>
          <w:lang w:val="en-US"/>
        </w:rPr>
        <w:t>isplatin</w:t>
      </w:r>
      <w:r>
        <w:rPr>
          <w:noProof/>
          <w:lang w:val="en-US"/>
        </w:rPr>
        <w:t>a</w:t>
      </w:r>
      <w:r w:rsidRPr="00116703">
        <w:rPr>
          <w:noProof/>
          <w:lang w:val="en-US"/>
        </w:rPr>
        <w:t xml:space="preserve"> (100 mg/m2 </w:t>
      </w:r>
      <w:r>
        <w:rPr>
          <w:noProof/>
          <w:lang w:val="en-US"/>
        </w:rPr>
        <w:t>kas 3 sav.</w:t>
      </w:r>
      <w:r w:rsidRPr="00116703">
        <w:rPr>
          <w:noProof/>
          <w:lang w:val="en-US"/>
        </w:rPr>
        <w:t xml:space="preserve">) </w:t>
      </w:r>
      <w:r>
        <w:rPr>
          <w:noProof/>
          <w:lang w:val="en-US"/>
        </w:rPr>
        <w:t>arba</w:t>
      </w:r>
      <w:r w:rsidRPr="00116703">
        <w:rPr>
          <w:noProof/>
          <w:lang w:val="en-US"/>
        </w:rPr>
        <w:t xml:space="preserve"> </w:t>
      </w:r>
      <w:r>
        <w:rPr>
          <w:noProof/>
          <w:lang w:val="en-US"/>
        </w:rPr>
        <w:t>k</w:t>
      </w:r>
      <w:r w:rsidRPr="00116703">
        <w:rPr>
          <w:noProof/>
          <w:lang w:val="en-US"/>
        </w:rPr>
        <w:t>arboplatin</w:t>
      </w:r>
      <w:r>
        <w:rPr>
          <w:noProof/>
          <w:lang w:val="en-US"/>
        </w:rPr>
        <w:t>a</w:t>
      </w:r>
      <w:r w:rsidRPr="00116703">
        <w:rPr>
          <w:noProof/>
          <w:lang w:val="en-US"/>
        </w:rPr>
        <w:t xml:space="preserve"> (AUC 5 </w:t>
      </w:r>
      <w:r>
        <w:rPr>
          <w:noProof/>
          <w:lang w:val="en-US"/>
        </w:rPr>
        <w:t>kas 3 sav.</w:t>
      </w:r>
      <w:r w:rsidRPr="00116703">
        <w:rPr>
          <w:noProof/>
          <w:lang w:val="en-US"/>
        </w:rPr>
        <w:t>)] + 5-FU (1000 mg/m2/day 4-d</w:t>
      </w:r>
      <w:r>
        <w:rPr>
          <w:noProof/>
          <w:lang w:val="en-US"/>
        </w:rPr>
        <w:t>ien</w:t>
      </w:r>
      <w:r>
        <w:rPr>
          <w:noProof/>
        </w:rPr>
        <w:t>ų</w:t>
      </w:r>
      <w:r w:rsidRPr="00116703">
        <w:rPr>
          <w:noProof/>
          <w:lang w:val="en-US"/>
        </w:rPr>
        <w:t xml:space="preserve"> infu</w:t>
      </w:r>
      <w:r>
        <w:rPr>
          <w:noProof/>
          <w:lang w:val="en-US"/>
        </w:rPr>
        <w:t>zija kas 3 sav.</w:t>
      </w:r>
      <w:r w:rsidRPr="00116703">
        <w:rPr>
          <w:noProof/>
          <w:lang w:val="en-US"/>
        </w:rPr>
        <w:t>)</w:t>
      </w:r>
      <w:r>
        <w:rPr>
          <w:noProof/>
          <w:lang w:val="en-US"/>
        </w:rPr>
        <w:t>;</w:t>
      </w:r>
    </w:p>
    <w:p w14:paraId="47EA83E3" w14:textId="377B3374" w:rsidR="00553E16" w:rsidRPr="00553E16" w:rsidRDefault="00553E16" w:rsidP="00D03AD3">
      <w:pPr>
        <w:pStyle w:val="ListParagraph"/>
        <w:numPr>
          <w:ilvl w:val="0"/>
          <w:numId w:val="20"/>
        </w:numPr>
        <w:tabs>
          <w:tab w:val="left" w:pos="426"/>
        </w:tabs>
        <w:spacing w:line="276" w:lineRule="auto"/>
        <w:ind w:left="0" w:firstLine="576"/>
        <w:jc w:val="both"/>
      </w:pPr>
      <w:r w:rsidRPr="00D37426">
        <w:rPr>
          <w:noProof/>
          <w:lang w:val="en-US"/>
        </w:rPr>
        <w:t>3-oji grup</w:t>
      </w:r>
      <w:r w:rsidRPr="00D37426">
        <w:rPr>
          <w:noProof/>
        </w:rPr>
        <w:t xml:space="preserve">ė gavo </w:t>
      </w:r>
      <w:r w:rsidRPr="00D37426">
        <w:rPr>
          <w:noProof/>
          <w:lang w:val="en-US"/>
        </w:rPr>
        <w:t xml:space="preserve">cetuksimabo ir chemoterapijos derinį (400 mg/m2, tada 250 mg/m2 kas 1 sav. + [cisplatina (100 mg/m2 kas 3 sav) </w:t>
      </w:r>
      <w:r>
        <w:rPr>
          <w:noProof/>
          <w:lang w:val="en-US"/>
        </w:rPr>
        <w:t>arba</w:t>
      </w:r>
      <w:r w:rsidRPr="00116703">
        <w:rPr>
          <w:noProof/>
          <w:lang w:val="en-US"/>
        </w:rPr>
        <w:t xml:space="preserve"> </w:t>
      </w:r>
      <w:r>
        <w:rPr>
          <w:noProof/>
          <w:lang w:val="en-US"/>
        </w:rPr>
        <w:t>k</w:t>
      </w:r>
      <w:r w:rsidRPr="00116703">
        <w:rPr>
          <w:noProof/>
          <w:lang w:val="en-US"/>
        </w:rPr>
        <w:t>arboplatin</w:t>
      </w:r>
      <w:r>
        <w:rPr>
          <w:noProof/>
          <w:lang w:val="en-US"/>
        </w:rPr>
        <w:t>a</w:t>
      </w:r>
      <w:r w:rsidRPr="00116703">
        <w:rPr>
          <w:noProof/>
          <w:lang w:val="en-US"/>
        </w:rPr>
        <w:t xml:space="preserve"> (AUC 5 </w:t>
      </w:r>
      <w:r>
        <w:rPr>
          <w:noProof/>
          <w:lang w:val="en-US"/>
        </w:rPr>
        <w:t>kas 3 sav.</w:t>
      </w:r>
      <w:r w:rsidRPr="00116703">
        <w:rPr>
          <w:noProof/>
          <w:lang w:val="en-US"/>
        </w:rPr>
        <w:t>)] + 5-FU (1000 mg/m2/day 4-d</w:t>
      </w:r>
      <w:r>
        <w:rPr>
          <w:noProof/>
          <w:lang w:val="en-US"/>
        </w:rPr>
        <w:t>ien</w:t>
      </w:r>
      <w:r>
        <w:rPr>
          <w:noProof/>
        </w:rPr>
        <w:t>ų</w:t>
      </w:r>
      <w:r w:rsidRPr="00116703">
        <w:rPr>
          <w:noProof/>
          <w:lang w:val="en-US"/>
        </w:rPr>
        <w:t xml:space="preserve"> infu</w:t>
      </w:r>
      <w:r>
        <w:rPr>
          <w:noProof/>
          <w:lang w:val="en-US"/>
        </w:rPr>
        <w:t>zija kas 3 sav.</w:t>
      </w:r>
      <w:r w:rsidRPr="00116703">
        <w:rPr>
          <w:noProof/>
          <w:lang w:val="en-US"/>
        </w:rPr>
        <w:t>)</w:t>
      </w:r>
      <w:r>
        <w:rPr>
          <w:noProof/>
          <w:lang w:val="en-US"/>
        </w:rPr>
        <w:t>.</w:t>
      </w:r>
    </w:p>
    <w:p w14:paraId="7BA5DA61" w14:textId="576A4523" w:rsidR="007C1D16" w:rsidRDefault="007C1D16" w:rsidP="00D03AD3">
      <w:pPr>
        <w:tabs>
          <w:tab w:val="left" w:pos="426"/>
        </w:tabs>
        <w:spacing w:line="276" w:lineRule="auto"/>
        <w:ind w:firstLine="576"/>
        <w:jc w:val="both"/>
      </w:pPr>
      <w:r w:rsidRPr="004A3BED">
        <w:rPr>
          <w:rFonts w:eastAsiaTheme="minorHAnsi"/>
          <w:u w:val="single"/>
        </w:rPr>
        <w:t xml:space="preserve">Pirminė vertinamoji baigtis buvo </w:t>
      </w:r>
      <w:r w:rsidRPr="004A3BED">
        <w:rPr>
          <w:u w:val="single"/>
        </w:rPr>
        <w:t>bendrasis išgyvenamumas (BI)</w:t>
      </w:r>
      <w:r>
        <w:t>, kuris apibrėžiamas kaip laikas nuo randomizacijos iki mirties nuo bet kokios priežasties.</w:t>
      </w:r>
    </w:p>
    <w:p w14:paraId="1A92024C" w14:textId="3749B1CA" w:rsidR="00336488" w:rsidRPr="004A3BED" w:rsidRDefault="00553E16" w:rsidP="00D03AD3">
      <w:pPr>
        <w:spacing w:line="276" w:lineRule="auto"/>
        <w:ind w:right="10" w:firstLine="576"/>
        <w:jc w:val="both"/>
        <w:outlineLvl w:val="0"/>
        <w:rPr>
          <w:rFonts w:eastAsiaTheme="minorHAnsi"/>
          <w:u w:val="single"/>
        </w:rPr>
      </w:pPr>
      <w:r w:rsidRPr="004A3BED">
        <w:rPr>
          <w:u w:val="single"/>
        </w:rPr>
        <w:t>Tyrimo pacientai buvo stratif</w:t>
      </w:r>
      <w:r w:rsidR="007B5334" w:rsidRPr="004A3BED">
        <w:rPr>
          <w:u w:val="single"/>
        </w:rPr>
        <w:t>i</w:t>
      </w:r>
      <w:r w:rsidRPr="004A3BED">
        <w:rPr>
          <w:u w:val="single"/>
        </w:rPr>
        <w:t xml:space="preserve">kuoti pagal CPS </w:t>
      </w:r>
      <w:r w:rsidR="007C1D16" w:rsidRPr="004A3BED">
        <w:rPr>
          <w:u w:val="single"/>
        </w:rPr>
        <w:t>rodmenį</w:t>
      </w:r>
      <w:r w:rsidRPr="004A3BED">
        <w:rPr>
          <w:u w:val="single"/>
        </w:rPr>
        <w:t xml:space="preserve"> į </w:t>
      </w:r>
      <w:r w:rsidRPr="004A3BED">
        <w:rPr>
          <w:color w:val="000000"/>
          <w:u w:val="single"/>
        </w:rPr>
        <w:t xml:space="preserve"> d</w:t>
      </w:r>
      <w:r w:rsidR="00336488" w:rsidRPr="004A3BED">
        <w:rPr>
          <w:color w:val="000000"/>
          <w:u w:val="single"/>
        </w:rPr>
        <w:t>u pogrupius</w:t>
      </w:r>
      <w:r w:rsidRPr="004A3BED">
        <w:rPr>
          <w:color w:val="000000"/>
          <w:u w:val="single"/>
        </w:rPr>
        <w:t>: tie, kurių CPS r</w:t>
      </w:r>
      <w:r w:rsidR="009169B7" w:rsidRPr="004A3BED">
        <w:rPr>
          <w:color w:val="000000"/>
          <w:u w:val="single"/>
        </w:rPr>
        <w:t>odmuo</w:t>
      </w:r>
      <w:r w:rsidRPr="004A3BED">
        <w:rPr>
          <w:color w:val="000000"/>
          <w:u w:val="single"/>
        </w:rPr>
        <w:t xml:space="preserve"> yra ≥ 1 bei į tuos, kurių </w:t>
      </w:r>
      <w:r w:rsidR="00060FF4" w:rsidRPr="004A3BED">
        <w:rPr>
          <w:rFonts w:eastAsiaTheme="minorHAnsi"/>
          <w:u w:val="single"/>
        </w:rPr>
        <w:t>CPS rodmuo ≥ 20</w:t>
      </w:r>
      <w:r w:rsidR="00336488" w:rsidRPr="004A3BED">
        <w:rPr>
          <w:rFonts w:eastAsiaTheme="minorHAnsi"/>
          <w:u w:val="single"/>
        </w:rPr>
        <w:t>:</w:t>
      </w:r>
    </w:p>
    <w:p w14:paraId="05D2FA0A" w14:textId="77777777" w:rsidR="00336488" w:rsidRPr="00336488" w:rsidRDefault="007B5334" w:rsidP="00D03AD3">
      <w:pPr>
        <w:pStyle w:val="ListParagraph"/>
        <w:numPr>
          <w:ilvl w:val="0"/>
          <w:numId w:val="23"/>
        </w:numPr>
        <w:spacing w:line="276" w:lineRule="auto"/>
        <w:ind w:left="0" w:right="10" w:firstLine="576"/>
        <w:jc w:val="both"/>
        <w:outlineLvl w:val="0"/>
        <w:rPr>
          <w:rFonts w:eastAsiaTheme="minorHAnsi"/>
        </w:rPr>
      </w:pPr>
      <w:r>
        <w:t xml:space="preserve">Pacientų </w:t>
      </w:r>
      <w:r w:rsidR="00336488">
        <w:t>pogrupyje</w:t>
      </w:r>
      <w:r>
        <w:t xml:space="preserve">, kurių CPS rodmuo </w:t>
      </w:r>
      <w:r w:rsidRPr="00336488">
        <w:rPr>
          <w:color w:val="000000"/>
        </w:rPr>
        <w:t xml:space="preserve">≥ 1 </w:t>
      </w:r>
      <w:r>
        <w:t xml:space="preserve">pembrolizumabo monoterapijos grupėje BI mediana buvo </w:t>
      </w:r>
      <w:r w:rsidRPr="006A3C39">
        <w:t>12,3</w:t>
      </w:r>
      <w:r w:rsidRPr="00336488">
        <w:rPr>
          <w:spacing w:val="-1"/>
        </w:rPr>
        <w:t xml:space="preserve"> </w:t>
      </w:r>
      <w:r w:rsidRPr="006A3C39">
        <w:t>mėn.</w:t>
      </w:r>
      <w:r w:rsidRPr="00336488">
        <w:rPr>
          <w:spacing w:val="-1"/>
        </w:rPr>
        <w:t xml:space="preserve"> </w:t>
      </w:r>
      <w:r w:rsidRPr="006A3C39">
        <w:t>(95%</w:t>
      </w:r>
      <w:r w:rsidRPr="00336488">
        <w:rPr>
          <w:spacing w:val="-1"/>
        </w:rPr>
        <w:t xml:space="preserve"> </w:t>
      </w:r>
      <w:r w:rsidRPr="006A3C39">
        <w:t>PI:</w:t>
      </w:r>
      <w:r w:rsidRPr="00336488">
        <w:rPr>
          <w:spacing w:val="-1"/>
        </w:rPr>
        <w:t xml:space="preserve"> </w:t>
      </w:r>
      <w:r w:rsidRPr="006A3C39">
        <w:t>10,8-14,3)</w:t>
      </w:r>
      <w:r>
        <w:t xml:space="preserve">, cetuksimabo ir chemoterapijos grupėje BI mediana buvo </w:t>
      </w:r>
      <w:r w:rsidRPr="00336488">
        <w:rPr>
          <w:lang w:val="en-US"/>
        </w:rPr>
        <w:t xml:space="preserve">10,3 </w:t>
      </w:r>
      <w:r>
        <w:t xml:space="preserve">mėn. </w:t>
      </w:r>
      <w:r w:rsidRPr="006A3C39">
        <w:t>(95%</w:t>
      </w:r>
      <w:r w:rsidRPr="00336488">
        <w:rPr>
          <w:spacing w:val="-1"/>
        </w:rPr>
        <w:t xml:space="preserve"> </w:t>
      </w:r>
      <w:r>
        <w:t>P</w:t>
      </w:r>
      <w:r w:rsidRPr="006A3C39">
        <w:t>I:</w:t>
      </w:r>
      <w:r w:rsidRPr="00336488">
        <w:rPr>
          <w:spacing w:val="-1"/>
        </w:rPr>
        <w:t xml:space="preserve"> </w:t>
      </w:r>
      <w:r w:rsidRPr="006A3C39">
        <w:t>9</w:t>
      </w:r>
      <w:r>
        <w:t>,</w:t>
      </w:r>
      <w:r w:rsidRPr="006A3C39">
        <w:t>0</w:t>
      </w:r>
      <w:r>
        <w:t xml:space="preserve"> -</w:t>
      </w:r>
      <w:r w:rsidRPr="006A3C39">
        <w:t>11</w:t>
      </w:r>
      <w:r>
        <w:t>,</w:t>
      </w:r>
      <w:r w:rsidRPr="006A3C39">
        <w:t>5)</w:t>
      </w:r>
      <w:r>
        <w:t xml:space="preserve">, </w:t>
      </w:r>
      <w:r w:rsidR="00336488">
        <w:t>santykinė rizika</w:t>
      </w:r>
      <w:r>
        <w:t xml:space="preserve"> 0,</w:t>
      </w:r>
      <w:r w:rsidRPr="00517CD9">
        <w:t>74 (</w:t>
      </w:r>
      <w:r w:rsidRPr="006A3C39">
        <w:t>0</w:t>
      </w:r>
      <w:r w:rsidRPr="00517CD9">
        <w:t>,</w:t>
      </w:r>
      <w:r w:rsidRPr="006A3C39">
        <w:t>61</w:t>
      </w:r>
      <w:r w:rsidRPr="00517CD9">
        <w:t>-</w:t>
      </w:r>
      <w:r w:rsidRPr="006A3C39">
        <w:t>0</w:t>
      </w:r>
      <w:r w:rsidRPr="00517CD9">
        <w:t>,</w:t>
      </w:r>
      <w:r w:rsidRPr="006A3C39">
        <w:t>90</w:t>
      </w:r>
      <w:r w:rsidRPr="00517CD9">
        <w:t>)</w:t>
      </w:r>
      <w:r w:rsidR="007C1D16">
        <w:t xml:space="preserve">, pembrolizumabo ir chemoterapijos derinys įrodė pranašumą prieš cetuksimabo ir chemoterapijos grupę pagal BI: </w:t>
      </w:r>
      <w:r w:rsidR="007C1D16" w:rsidRPr="006E37E1">
        <w:t>1</w:t>
      </w:r>
      <w:r w:rsidR="007C1D16">
        <w:t xml:space="preserve">3,6 mėn. vs. 10,4 mėn., </w:t>
      </w:r>
      <w:r w:rsidR="00336488">
        <w:t>santykinė rizika</w:t>
      </w:r>
      <w:r w:rsidR="007C1D16">
        <w:t xml:space="preserve"> </w:t>
      </w:r>
      <w:r w:rsidR="007C1D16" w:rsidRPr="00B12D95">
        <w:t>0</w:t>
      </w:r>
      <w:r w:rsidR="007C1D16">
        <w:t xml:space="preserve">,65 (95 % PI 0,53 – 0,80); p=&lt;0,0001. </w:t>
      </w:r>
    </w:p>
    <w:p w14:paraId="2062A97F" w14:textId="77777777" w:rsidR="00336488" w:rsidRDefault="007C1D16" w:rsidP="00D03AD3">
      <w:pPr>
        <w:pStyle w:val="ListParagraph"/>
        <w:numPr>
          <w:ilvl w:val="0"/>
          <w:numId w:val="23"/>
        </w:numPr>
        <w:spacing w:line="276" w:lineRule="auto"/>
        <w:ind w:left="0" w:right="10" w:firstLine="576"/>
        <w:jc w:val="both"/>
        <w:outlineLvl w:val="0"/>
        <w:rPr>
          <w:rFonts w:eastAsiaTheme="minorHAnsi"/>
        </w:rPr>
      </w:pPr>
      <w:r>
        <w:t xml:space="preserve">Pacientų, kurių </w:t>
      </w:r>
      <w:r w:rsidRPr="00336488">
        <w:rPr>
          <w:rFonts w:eastAsiaTheme="minorHAnsi"/>
        </w:rPr>
        <w:t>CPS rodmuo ≥ 20, pembrolizumabo ir chemoterapijos grupės lyginant su cetuksimabo ir chemoterapijos grupe, bendrojo išgyvenamumo santykinė rizika buvo 0,58 (95% PI 0,44-0,78); mediana (95% PI) 14</w:t>
      </w:r>
      <w:r w:rsidR="00336488">
        <w:rPr>
          <w:rFonts w:eastAsiaTheme="minorHAnsi"/>
        </w:rPr>
        <w:t>,</w:t>
      </w:r>
      <w:r w:rsidRPr="00336488">
        <w:rPr>
          <w:rFonts w:eastAsiaTheme="minorHAnsi"/>
        </w:rPr>
        <w:t>8 mėn. (11,5-20,6) vs. 10,7 mėn. (8</w:t>
      </w:r>
      <w:r w:rsidR="00336488">
        <w:rPr>
          <w:rFonts w:eastAsiaTheme="minorHAnsi"/>
        </w:rPr>
        <w:t>,</w:t>
      </w:r>
      <w:r w:rsidRPr="00336488">
        <w:rPr>
          <w:rFonts w:eastAsiaTheme="minorHAnsi"/>
        </w:rPr>
        <w:t>8-12</w:t>
      </w:r>
      <w:r w:rsidR="00336488">
        <w:rPr>
          <w:rFonts w:eastAsiaTheme="minorHAnsi"/>
        </w:rPr>
        <w:t>,</w:t>
      </w:r>
      <w:r w:rsidRPr="00336488">
        <w:rPr>
          <w:rFonts w:eastAsiaTheme="minorHAnsi"/>
        </w:rPr>
        <w:t xml:space="preserve">8). Pembrolizumabo monoterapijos grupę lyginant su cetuksimabo ir chemoterapijos grupe, bendrojo išgyvenamumo </w:t>
      </w:r>
      <w:r w:rsidRPr="00336488">
        <w:rPr>
          <w:rFonts w:eastAsiaTheme="minorHAnsi"/>
        </w:rPr>
        <w:lastRenderedPageBreak/>
        <w:t>santykinė rizika  0,60 (95% PI 0,45-0,82); mediana (95% PI) 14,7 mėn. (10,3-19,3) vs 11,0 mėn. (9,2-13,0).</w:t>
      </w:r>
      <w:r w:rsidR="00336488" w:rsidRPr="00336488">
        <w:rPr>
          <w:rFonts w:eastAsiaTheme="minorHAnsi"/>
        </w:rPr>
        <w:t xml:space="preserve"> </w:t>
      </w:r>
    </w:p>
    <w:p w14:paraId="1D5F33BD" w14:textId="11A54E98" w:rsidR="007C1D16" w:rsidRPr="004F11C8" w:rsidRDefault="00336488" w:rsidP="00D03AD3">
      <w:pPr>
        <w:spacing w:line="276" w:lineRule="auto"/>
        <w:ind w:right="10" w:firstLine="576"/>
        <w:jc w:val="both"/>
        <w:outlineLvl w:val="0"/>
        <w:rPr>
          <w:rFonts w:eastAsiaTheme="minorHAnsi"/>
        </w:rPr>
      </w:pPr>
      <w:r w:rsidRPr="00336488">
        <w:rPr>
          <w:rFonts w:eastAsiaTheme="minorHAnsi"/>
        </w:rPr>
        <w:t xml:space="preserve">Pacientų gyvenimo kokybė </w:t>
      </w:r>
      <w:r>
        <w:rPr>
          <w:rFonts w:eastAsiaTheme="minorHAnsi"/>
        </w:rPr>
        <w:t>tarp grupių nesiskyrė.</w:t>
      </w:r>
      <w:r w:rsidR="007C664B">
        <w:rPr>
          <w:rFonts w:eastAsiaTheme="minorHAnsi"/>
        </w:rPr>
        <w:t xml:space="preserve"> Dažniausios nepageidaujamos reakcijos pembrolizumabo ir chemoterapijos </w:t>
      </w:r>
      <w:r w:rsidR="004F11C8">
        <w:rPr>
          <w:rFonts w:eastAsiaTheme="minorHAnsi"/>
        </w:rPr>
        <w:t>bei</w:t>
      </w:r>
      <w:r w:rsidR="007C664B">
        <w:rPr>
          <w:rFonts w:eastAsiaTheme="minorHAnsi"/>
        </w:rPr>
        <w:t xml:space="preserve"> cetuksimabo ir chemoterapijos grupėse buvo anemija </w:t>
      </w:r>
      <w:r w:rsidR="007C664B" w:rsidRPr="007C664B">
        <w:rPr>
          <w:rFonts w:eastAsiaTheme="minorHAnsi"/>
        </w:rPr>
        <w:t>5</w:t>
      </w:r>
      <w:r w:rsidR="007C664B">
        <w:rPr>
          <w:rFonts w:eastAsiaTheme="minorHAnsi"/>
        </w:rPr>
        <w:t xml:space="preserve">8,3 </w:t>
      </w:r>
      <w:r w:rsidR="007C664B" w:rsidRPr="007C664B">
        <w:rPr>
          <w:rFonts w:eastAsiaTheme="minorHAnsi"/>
        </w:rPr>
        <w:t>%</w:t>
      </w:r>
      <w:r w:rsidR="007C664B">
        <w:rPr>
          <w:rFonts w:eastAsiaTheme="minorHAnsi"/>
        </w:rPr>
        <w:t xml:space="preserve">, pykinimas 51,1 %, vidurių užkietėjimas </w:t>
      </w:r>
      <w:r w:rsidR="007C664B" w:rsidRPr="007C664B">
        <w:rPr>
          <w:rFonts w:eastAsiaTheme="minorHAnsi"/>
        </w:rPr>
        <w:t>37</w:t>
      </w:r>
      <w:r w:rsidR="007C664B">
        <w:rPr>
          <w:rFonts w:eastAsiaTheme="minorHAnsi"/>
        </w:rPr>
        <w:t xml:space="preserve">,0 %, nuovargis </w:t>
      </w:r>
      <w:r w:rsidR="00E93228">
        <w:rPr>
          <w:rFonts w:eastAsiaTheme="minorHAnsi"/>
        </w:rPr>
        <w:t xml:space="preserve">34,4 %, neutropenija 33,7 %. </w:t>
      </w:r>
      <w:r w:rsidR="004F11C8">
        <w:rPr>
          <w:rFonts w:eastAsiaTheme="minorHAnsi"/>
        </w:rPr>
        <w:t xml:space="preserve">Dažniausios nepageidaujamos reakcijos pembrolizumabo monoterapijos grupėje buvo nuovargis </w:t>
      </w:r>
      <w:r w:rsidR="004F11C8" w:rsidRPr="004F11C8">
        <w:rPr>
          <w:rFonts w:eastAsiaTheme="minorHAnsi"/>
        </w:rPr>
        <w:t>27,0 %, anemija 20,7 %, v</w:t>
      </w:r>
      <w:r w:rsidR="004F11C8">
        <w:rPr>
          <w:rFonts w:eastAsiaTheme="minorHAnsi"/>
        </w:rPr>
        <w:t xml:space="preserve">idurių užkietėjimas </w:t>
      </w:r>
      <w:r w:rsidR="004F11C8" w:rsidRPr="004F11C8">
        <w:rPr>
          <w:rFonts w:eastAsiaTheme="minorHAnsi"/>
        </w:rPr>
        <w:t>19</w:t>
      </w:r>
      <w:r w:rsidR="004F11C8">
        <w:rPr>
          <w:rFonts w:eastAsiaTheme="minorHAnsi"/>
        </w:rPr>
        <w:t>,7 %, hipotiroidizmas 18,3 %.</w:t>
      </w:r>
    </w:p>
    <w:p w14:paraId="1B9114D7" w14:textId="6850AE7A" w:rsidR="007B5334" w:rsidRPr="007B5334" w:rsidRDefault="007B5334" w:rsidP="00D03AD3">
      <w:pPr>
        <w:tabs>
          <w:tab w:val="left" w:pos="426"/>
        </w:tabs>
        <w:spacing w:line="276" w:lineRule="auto"/>
        <w:ind w:firstLine="576"/>
        <w:jc w:val="both"/>
        <w:rPr>
          <w:rFonts w:eastAsia="Arial"/>
          <w:iCs/>
          <w:color w:val="000000" w:themeColor="text1"/>
        </w:rPr>
      </w:pPr>
    </w:p>
    <w:p w14:paraId="2A751774" w14:textId="77777777" w:rsidR="00C85FB3" w:rsidRDefault="004A3BED" w:rsidP="00D03AD3">
      <w:pPr>
        <w:tabs>
          <w:tab w:val="left" w:pos="492"/>
        </w:tabs>
        <w:spacing w:line="276" w:lineRule="auto"/>
        <w:ind w:firstLine="576"/>
        <w:jc w:val="both"/>
        <w:outlineLvl w:val="1"/>
        <w:rPr>
          <w:i/>
          <w:iCs/>
          <w:u w:val="single"/>
        </w:rPr>
      </w:pPr>
      <w:r w:rsidRPr="004A3BED">
        <w:rPr>
          <w:i/>
          <w:iCs/>
          <w:u w:val="single"/>
        </w:rPr>
        <w:t>Netiesioginis palyginimas</w:t>
      </w:r>
    </w:p>
    <w:p w14:paraId="1E0BFCD0" w14:textId="7B05FE82" w:rsidR="00D134FD" w:rsidRPr="003F5C3D" w:rsidRDefault="00D134FD" w:rsidP="00D03AD3">
      <w:pPr>
        <w:tabs>
          <w:tab w:val="left" w:pos="492"/>
        </w:tabs>
        <w:spacing w:line="276" w:lineRule="auto"/>
        <w:ind w:firstLine="576"/>
        <w:jc w:val="both"/>
        <w:outlineLvl w:val="1"/>
      </w:pPr>
      <w:r>
        <w:t xml:space="preserve">Pareiškėjas taip pat pateikė netiesioginį </w:t>
      </w:r>
      <w:r w:rsidRPr="00685C1C">
        <w:t xml:space="preserve">pembrolizumabo monoterapijos ir </w:t>
      </w:r>
      <w:r>
        <w:t xml:space="preserve">pembrolizumabo </w:t>
      </w:r>
      <w:r w:rsidRPr="00685C1C">
        <w:t xml:space="preserve">derinio su </w:t>
      </w:r>
      <w:r>
        <w:t xml:space="preserve">chemoterapija </w:t>
      </w:r>
      <w:r w:rsidRPr="00685C1C">
        <w:t>efektyvumo ir saugumo palyginimo apžvalg</w:t>
      </w:r>
      <w:r>
        <w:t>ą su kitais taikomais gydymo būdais M/R GKPLK sergantiems pacientams pirmaeiliam sisteminiam gydymui.</w:t>
      </w:r>
      <w:r w:rsidR="007C1237">
        <w:t xml:space="preserve"> </w:t>
      </w:r>
      <w:r w:rsidR="007C1237">
        <w:rPr>
          <w:b/>
          <w:bCs/>
        </w:rPr>
        <w:t>G</w:t>
      </w:r>
      <w:r w:rsidRPr="003F5C3D">
        <w:rPr>
          <w:b/>
          <w:bCs/>
        </w:rPr>
        <w:t>ydant pembrolizumabo monoterapija</w:t>
      </w:r>
      <w:r w:rsidRPr="003F5C3D">
        <w:t xml:space="preserve">, lyginant su cetuksimabo deriniu su platinos preparatais ir 5-FU arba su platinos preparatų ir 5-FU deriniu, stebėtas statistiškai reikšmingai ilgesnis BI. Be to, gydant pembrolizumabo monoterapija stebėtas statistiškai reikšmingai ilgesnis BI lyginant su gydymu cetuksimabo deriniu su cisplatina ir docetakseliu, 5-FU ir metotreksatu. Lyginant su gydymu cisplatinos ir cetuksimabo, cisplatinos ir paklitakselio, platinos preparatų ir paklitakselio ir cetuksimabo deriniais bei cisplatina, gydant pembrolizumabo monoterapija BI buvo ilgesnis. </w:t>
      </w:r>
      <w:r w:rsidRPr="003F5C3D">
        <w:rPr>
          <w:b/>
          <w:bCs/>
        </w:rPr>
        <w:t xml:space="preserve">Gydant pembrolizumabo deriniu su platinos preparatais ir 5-FU, </w:t>
      </w:r>
      <w:r w:rsidRPr="003F5C3D">
        <w:t xml:space="preserve">lyginant su gydymu cetuksimabo deriniu su platinos preparatais ir 5-FU, su platinos preparatų deriniu su 5-FU, bei su cisplatinos, docetakselio ir cetuksimabo deriniu stebėtas statistiškai reikšmingai ilgesnis BI.   </w:t>
      </w:r>
    </w:p>
    <w:p w14:paraId="6FB2730F" w14:textId="77777777" w:rsidR="002A3421" w:rsidRPr="00756DCD" w:rsidRDefault="002A3421" w:rsidP="002A3421">
      <w:pPr>
        <w:keepNext/>
        <w:tabs>
          <w:tab w:val="left" w:pos="720"/>
        </w:tabs>
        <w:spacing w:line="276" w:lineRule="auto"/>
        <w:jc w:val="both"/>
        <w:rPr>
          <w:lang w:val="en-US"/>
        </w:rPr>
      </w:pPr>
    </w:p>
    <w:p w14:paraId="05435903" w14:textId="77777777" w:rsidR="008651E2" w:rsidRPr="006D4C85" w:rsidRDefault="008651E2" w:rsidP="00A93AA6">
      <w:pPr>
        <w:pStyle w:val="ListParagraph"/>
        <w:tabs>
          <w:tab w:val="left" w:pos="426"/>
        </w:tabs>
        <w:ind w:left="0"/>
        <w:rPr>
          <w:b/>
          <w:bCs/>
          <w:caps/>
        </w:rPr>
      </w:pPr>
    </w:p>
    <w:p w14:paraId="7DE09EB5" w14:textId="04C72FFD" w:rsidR="00E03C3F" w:rsidRPr="00A93AA6" w:rsidRDefault="00CC7832" w:rsidP="00937907">
      <w:pPr>
        <w:pStyle w:val="ListParagraph"/>
        <w:numPr>
          <w:ilvl w:val="0"/>
          <w:numId w:val="12"/>
        </w:numPr>
        <w:tabs>
          <w:tab w:val="left" w:pos="426"/>
        </w:tabs>
        <w:rPr>
          <w:b/>
          <w:bCs/>
          <w:caps/>
        </w:rPr>
      </w:pPr>
      <w:r w:rsidRPr="00A93AA6">
        <w:rPr>
          <w:b/>
          <w:bCs/>
          <w:caps/>
        </w:rPr>
        <w:t>Farmakoekonomin</w:t>
      </w:r>
      <w:r>
        <w:rPr>
          <w:b/>
          <w:bCs/>
          <w:caps/>
        </w:rPr>
        <w:t>io</w:t>
      </w:r>
      <w:r w:rsidRPr="00A93AA6">
        <w:rPr>
          <w:b/>
          <w:bCs/>
          <w:caps/>
        </w:rPr>
        <w:t xml:space="preserve"> vert</w:t>
      </w:r>
      <w:r>
        <w:rPr>
          <w:b/>
          <w:bCs/>
          <w:caps/>
        </w:rPr>
        <w:t xml:space="preserve">inimo </w:t>
      </w:r>
      <w:r w:rsidR="002F0E4F" w:rsidRPr="00A93AA6">
        <w:rPr>
          <w:b/>
          <w:bCs/>
          <w:caps/>
        </w:rPr>
        <w:t>apibendrinimas</w:t>
      </w:r>
    </w:p>
    <w:p w14:paraId="1A900598" w14:textId="65638B29" w:rsidR="00C62B36" w:rsidRDefault="00C62B36" w:rsidP="00A93AA6">
      <w:pPr>
        <w:tabs>
          <w:tab w:val="left" w:pos="426"/>
        </w:tabs>
        <w:rPr>
          <w:i/>
          <w:color w:val="00B050"/>
          <w:sz w:val="22"/>
          <w:szCs w:val="22"/>
        </w:rPr>
      </w:pPr>
    </w:p>
    <w:p w14:paraId="12734B9C" w14:textId="14F14FB2" w:rsidR="00B72341" w:rsidRPr="00785E59" w:rsidRDefault="00B72341" w:rsidP="00785E59">
      <w:pPr>
        <w:spacing w:line="276" w:lineRule="auto"/>
        <w:ind w:firstLine="709"/>
        <w:jc w:val="both"/>
      </w:pPr>
      <w:bookmarkStart w:id="0" w:name="_Hlk141179779"/>
      <w:r w:rsidRPr="00785E59">
        <w:rPr>
          <w:lang w:eastAsia="lt-LT"/>
        </w:rPr>
        <w:t xml:space="preserve">Pateikta kaštų naudingumo analizė kartu pateikiant 4 ekonominius modelius, kuriuose pembrolizumabo monoterapijos arba pembrolizumabo derinio su chemoterapija kaštų naudingumas yra lyginamas su cetuksimabo ir chemoterapijos derinio bei chemoterapijos kaštų naudingumu. </w:t>
      </w:r>
    </w:p>
    <w:p w14:paraId="38D30E45" w14:textId="77777777" w:rsidR="00785E59" w:rsidRPr="00785E59" w:rsidRDefault="00B72341" w:rsidP="00785E59">
      <w:pPr>
        <w:pStyle w:val="VVKT"/>
        <w:rPr>
          <w:lang w:val="lt-LT" w:eastAsia="lt-LT"/>
        </w:rPr>
      </w:pPr>
      <w:r w:rsidRPr="00785E59">
        <w:rPr>
          <w:lang w:val="lt-LT" w:eastAsia="lt-LT"/>
        </w:rPr>
        <w:t>Į ekonominę analizę įtraukti pacientai atitinka kompensacijai teikiamas terapines indikacijas.</w:t>
      </w:r>
      <w:r w:rsidR="00785E59" w:rsidRPr="00785E59">
        <w:rPr>
          <w:lang w:val="lt-LT" w:eastAsia="lt-LT"/>
        </w:rPr>
        <w:t xml:space="preserve"> </w:t>
      </w:r>
      <w:r w:rsidRPr="00785E59">
        <w:rPr>
          <w:lang w:val="lt-LT" w:eastAsia="lt-LT"/>
        </w:rPr>
        <w:t xml:space="preserve">Įtraukta pacientų populiacija ekonominėje analizėje apima negydytus pacientus, kuriems yra pasikartojanti arba metastazinė galvos ir kaklo plokščialąstelinė karcinoma su CPS rodmeniu </w:t>
      </w:r>
      <w:r w:rsidRPr="00785E59">
        <w:rPr>
          <w:lang w:val="lt-LT"/>
        </w:rPr>
        <w:t>≥ 1. Pacientų charakteristikos yra paremtos klinikinio tyrimo KEYNOTE-048 pacientų populiacijos duomenimis.</w:t>
      </w:r>
      <w:r w:rsidR="00785E59" w:rsidRPr="00785E59">
        <w:rPr>
          <w:lang w:val="lt-LT" w:eastAsia="lt-LT"/>
        </w:rPr>
        <w:t xml:space="preserve"> </w:t>
      </w:r>
    </w:p>
    <w:p w14:paraId="41562029" w14:textId="2F8C52EF" w:rsidR="00B72341" w:rsidRPr="00785E59" w:rsidRDefault="00785E59" w:rsidP="00785E59">
      <w:pPr>
        <w:pStyle w:val="VVKT"/>
        <w:rPr>
          <w:lang w:val="lt-LT" w:eastAsia="lt-LT"/>
        </w:rPr>
      </w:pPr>
      <w:r w:rsidRPr="00785E59">
        <w:rPr>
          <w:lang w:val="lt-LT" w:eastAsia="lt-LT"/>
        </w:rPr>
        <w:t xml:space="preserve">Pagrindinis ekonominės analizės klinikinių įrodymų šaltinis yra klinikinis tyrimas KEYNOTE-048: kontroliuojamas monoterapijos ir gydymo deriniu tyrimas GKPLK sergantiems pacientams, kuriems anksčiau dėl jų recidyvavusios ar metastazavusios ligos nebuvo skirtas joks gydymas. Palyginamajam gydymui esant cetuksimabo ir chemoterapijos derinį,  ekonominėje analizėje taikomi tiesioginio palyginimo duomenys. </w:t>
      </w:r>
    </w:p>
    <w:p w14:paraId="39B0E053" w14:textId="42401F3B" w:rsidR="00B72341" w:rsidRPr="00785E59" w:rsidRDefault="00B72341" w:rsidP="00785E59">
      <w:pPr>
        <w:pStyle w:val="VVKT"/>
        <w:rPr>
          <w:rFonts w:eastAsia="Arial"/>
          <w:lang w:val="lt-LT"/>
        </w:rPr>
      </w:pPr>
      <w:r w:rsidRPr="00785E59">
        <w:rPr>
          <w:rFonts w:eastAsia="Arial"/>
          <w:lang w:val="lt-LT"/>
        </w:rPr>
        <w:t xml:space="preserve">Ekonominėje analizėje pateiktas palyginamasis gydymas atitinka įprastą Lietuvos Respublikos klinikinę praktiką. Pareiškėjas pateikė 4 ekonominius modeliuos, kuriuose pembrolizumabas kaip monoterapija arba derinyje su chemoterapija (platinos pagrindu kartu su fluoruracilu) yra lyginamas su chemoterapija (platina + 5-FU) ir su cetuksimabu derinyje su chemoterapija (platina + 5-FU). Laikoma, kad pagrindinis palyginamas gydymas yra gydymas cetuksimabu kartu su chemoterapija (platina + 5-FU), kuris yra laikomas kaip geriausia Lietuvoje prieinama gydymo praktika. Tarnyba toliau vertina tik tas ekonominės analizės dalis, kuriuose pembrolizumabo monoterapija arba derinyje </w:t>
      </w:r>
      <w:r w:rsidRPr="00785E59">
        <w:rPr>
          <w:rFonts w:eastAsia="Arial"/>
          <w:lang w:val="lt-LT"/>
        </w:rPr>
        <w:lastRenderedPageBreak/>
        <w:t>su chemoterapija (platina + 5-FU)  yra lyginamas su cetuksimabu derinyje su chemoterapija (platina + 5-FU).</w:t>
      </w:r>
    </w:p>
    <w:p w14:paraId="652406C8" w14:textId="2C0D3040" w:rsidR="00B72341" w:rsidRPr="00785E59" w:rsidRDefault="00B72341" w:rsidP="00785E59">
      <w:pPr>
        <w:pStyle w:val="VVKT"/>
        <w:rPr>
          <w:lang w:val="lt-LT" w:eastAsia="lt-LT"/>
        </w:rPr>
      </w:pPr>
      <w:r w:rsidRPr="00785E59">
        <w:rPr>
          <w:lang w:val="lt-LT" w:eastAsia="lt-LT"/>
        </w:rPr>
        <w:t>Ekonominėje analizėje taikomi modeliavimo metodai. Taikomas išskaidyto išgyvenamumo (padalintos kohortos) modelio tipas su trimis sveikatos būklėmis – ligos be progresavimo būklė, progresuojančios ligos būklė ir mirtis. Pacientų dalis šiose sveikatos būklėse yra apskaičiuojama remiantis klinikinio tyrimo K</w:t>
      </w:r>
      <w:r w:rsidR="00785E59" w:rsidRPr="00785E59">
        <w:rPr>
          <w:lang w:val="lt-LT" w:eastAsia="lt-LT"/>
        </w:rPr>
        <w:t>EYNOTE</w:t>
      </w:r>
      <w:r w:rsidRPr="00785E59">
        <w:rPr>
          <w:lang w:val="lt-LT" w:eastAsia="lt-LT"/>
        </w:rPr>
        <w:t>-048 klinikinio tyrimo vertinamųjų baigčių rezultatais (išgyvenamumas be ligos progresavimo, IBLP ir bendrasis išgyvenamumas, BI). Ligos be progresavimo ir progresuojančios ligos sveikatos būklės pasižymi skirtinga gyvenimo kokybe ir skirtingu sveikatos priežiūros paslaugų poreikiu. Taikoma ciklo trukmė – 1 savaitė. Modeliavimo tipo pasirinkimas yra pakankamai pagrįstas.</w:t>
      </w:r>
    </w:p>
    <w:p w14:paraId="798467B0" w14:textId="42E38E80" w:rsidR="00B72341" w:rsidRPr="00785E59" w:rsidRDefault="00B72341" w:rsidP="00785E59">
      <w:pPr>
        <w:pStyle w:val="VVKT"/>
        <w:rPr>
          <w:lang w:val="lt-LT"/>
        </w:rPr>
      </w:pPr>
      <w:r w:rsidRPr="00785E59">
        <w:rPr>
          <w:lang w:val="lt-LT"/>
        </w:rPr>
        <w:t>Analizė atlikta iš PSDF biudžeto perspektyvos, įtraukti tiesiogiai su sveikatos sistema susiję kaštai. Tai atitinka teisės aktuose nustatytus paraiškos rengimo taisyklių reikalavimus.</w:t>
      </w:r>
      <w:r w:rsidR="00785E59" w:rsidRPr="00785E59">
        <w:rPr>
          <w:lang w:val="lt-LT"/>
        </w:rPr>
        <w:t xml:space="preserve"> </w:t>
      </w:r>
      <w:r w:rsidRPr="00785E59">
        <w:rPr>
          <w:lang w:val="lt-LT" w:eastAsia="lt-LT"/>
        </w:rPr>
        <w:t>Analizėje taikoma 20 metų</w:t>
      </w:r>
      <w:r w:rsidRPr="00785E59">
        <w:rPr>
          <w:color w:val="00B050"/>
          <w:lang w:val="lt-LT" w:eastAsia="lt-LT"/>
        </w:rPr>
        <w:t xml:space="preserve"> </w:t>
      </w:r>
      <w:r w:rsidRPr="00785E59">
        <w:rPr>
          <w:lang w:val="lt-LT" w:eastAsia="lt-LT"/>
        </w:rPr>
        <w:t xml:space="preserve">laiko perspektyva, kuri atsižvelgiant į nagrinėjamos populiacijos išgyvenamumą iš esmės laikoma viso gyvenimo laiko perspektyva. Pasirinkta laiko perspektyva yra tinkama. </w:t>
      </w:r>
    </w:p>
    <w:p w14:paraId="2E4ADEA6" w14:textId="187ED6E1" w:rsidR="00B72341" w:rsidRPr="00785E59" w:rsidRDefault="00B72341" w:rsidP="00785E59">
      <w:pPr>
        <w:pStyle w:val="VVKT"/>
        <w:rPr>
          <w:lang w:val="lt-LT" w:eastAsia="lt-LT"/>
        </w:rPr>
      </w:pPr>
      <w:r w:rsidRPr="00785E59">
        <w:rPr>
          <w:lang w:val="lt-LT" w:eastAsia="lt-LT"/>
        </w:rPr>
        <w:t>Poveikis sveikatai ekonominėje analizėje vertinamas apskaičiuojant kokybiškus gyvenimo metus (QALY). Vertinant poveikį sveikatai naudojamos gyvenimo kokybės koeficientų reikšmės, kurios gautos taikant regresinį modelį ir naudojant klinikinio tyrimo KEYNOTE-048 baigčių duomenis. Taikoma prielaida, kad gyvenimo kokybės koeficientų reikšmės tarp lyginamų gydymo šakų nesiskiria ir priklauso nuo būklės, o ne nuo taikomo gydymo.</w:t>
      </w:r>
    </w:p>
    <w:p w14:paraId="029237E4" w14:textId="2121C08C" w:rsidR="00B72341" w:rsidRPr="00785E59" w:rsidRDefault="00B72341" w:rsidP="00785E59">
      <w:pPr>
        <w:pStyle w:val="VVKT"/>
        <w:rPr>
          <w:lang w:val="lt-LT" w:eastAsia="lt-LT"/>
        </w:rPr>
      </w:pPr>
      <w:r w:rsidRPr="00785E59">
        <w:rPr>
          <w:lang w:val="lt-LT" w:eastAsia="lt-LT"/>
        </w:rPr>
        <w:t>Pagrindini</w:t>
      </w:r>
      <w:r w:rsidR="00C85FB3">
        <w:rPr>
          <w:lang w:val="lt-LT" w:eastAsia="lt-LT"/>
        </w:rPr>
        <w:t>ai ekonominės analizės trūkumai</w:t>
      </w:r>
    </w:p>
    <w:p w14:paraId="0D965ACE" w14:textId="61D7CEB6" w:rsidR="00B72341" w:rsidRPr="00785E59" w:rsidRDefault="00B72341" w:rsidP="00785E59">
      <w:pPr>
        <w:pStyle w:val="VVKT"/>
        <w:numPr>
          <w:ilvl w:val="0"/>
          <w:numId w:val="24"/>
        </w:numPr>
        <w:ind w:left="0" w:firstLine="360"/>
        <w:rPr>
          <w:lang w:val="lt-LT" w:eastAsia="lt-LT"/>
        </w:rPr>
      </w:pPr>
      <w:r w:rsidRPr="00785E59">
        <w:rPr>
          <w:lang w:val="lt-LT" w:eastAsia="lt-LT"/>
        </w:rPr>
        <w:t>Tarnybos vertinimu pembrolizumabo derinio su chemoterapija ilgalaikis BI yra neapibrėžtas ir galimai pervertinantis ilgalaikę pembrolizumabo naudą. Modeliuojamas 10 metų išgyvenamumas šioje grupėje pagal pareiškėjo pagrindinio atvejo prielaidas siekia daugiau nei 10 proc., todėl Tarnybos nuomone, atsižvelgiant į nagrinėjamą populiaciją, šios grupės ilgalaikis BI gali būti pervertintas.</w:t>
      </w:r>
    </w:p>
    <w:p w14:paraId="71C7927D" w14:textId="7D09E641" w:rsidR="00785E59" w:rsidRPr="00785E59" w:rsidRDefault="00B72341" w:rsidP="00785E59">
      <w:pPr>
        <w:pStyle w:val="VVKT"/>
        <w:numPr>
          <w:ilvl w:val="0"/>
          <w:numId w:val="24"/>
        </w:numPr>
        <w:ind w:left="0" w:firstLine="360"/>
        <w:rPr>
          <w:lang w:val="lt-LT" w:eastAsia="lt-LT"/>
        </w:rPr>
      </w:pPr>
      <w:r w:rsidRPr="00785E59">
        <w:rPr>
          <w:iCs/>
          <w:color w:val="000000" w:themeColor="text1"/>
          <w:lang w:val="lt-LT" w:eastAsia="lt-LT"/>
        </w:rPr>
        <w:t xml:space="preserve">Tarnybos nuomone, atsižvelgiant į ilgalaikį bendrojo išgyvenamumo neapibrėžtumą turi būti taikoma gydomojo efekto mažėjimo prielaida. </w:t>
      </w:r>
    </w:p>
    <w:p w14:paraId="7F69F46F" w14:textId="104BAE2A" w:rsidR="00B72341" w:rsidRPr="00785E59" w:rsidRDefault="00785E59" w:rsidP="00785E59">
      <w:pPr>
        <w:pStyle w:val="VVKT"/>
        <w:numPr>
          <w:ilvl w:val="0"/>
          <w:numId w:val="24"/>
        </w:numPr>
        <w:ind w:left="0" w:firstLine="360"/>
        <w:rPr>
          <w:lang w:val="lt-LT" w:eastAsia="lt-LT"/>
        </w:rPr>
      </w:pPr>
      <w:r w:rsidRPr="00785E59">
        <w:rPr>
          <w:lang w:val="lt-LT" w:eastAsia="lt-LT"/>
        </w:rPr>
        <w:t>T</w:t>
      </w:r>
      <w:r w:rsidR="00B72341" w:rsidRPr="00785E59">
        <w:rPr>
          <w:lang w:val="lt-LT"/>
        </w:rPr>
        <w:t>olimesnio gydymo prielaidos analizėje yra neapibrėžtos ir darančios reikšmingą įtaką apskaičiuojant kaštus. Atsižvelgiant į vėlyvą ligos stadiją, Tarnybos nuomone, turi būti taikoma prielaida, kad pakankamai didelei pacientų daliai ligai toliau progresuojant, dėl prastos funkcinės būklės bus taikomas paliatyvusis gydymas, o ne aktyvus gydymas.</w:t>
      </w:r>
    </w:p>
    <w:p w14:paraId="73BEF27F" w14:textId="77777777" w:rsidR="00B72341" w:rsidRPr="00785E59" w:rsidRDefault="00B72341" w:rsidP="00785E59">
      <w:pPr>
        <w:spacing w:line="276" w:lineRule="auto"/>
        <w:jc w:val="both"/>
        <w:rPr>
          <w:iCs/>
          <w:color w:val="000000" w:themeColor="text1"/>
          <w:lang w:eastAsia="lt-LT"/>
        </w:rPr>
      </w:pPr>
    </w:p>
    <w:p w14:paraId="4DFC8AD1" w14:textId="1F14A8F9" w:rsidR="00785E59" w:rsidRPr="00785E59" w:rsidRDefault="00785E59" w:rsidP="00785E59">
      <w:pPr>
        <w:spacing w:line="276" w:lineRule="auto"/>
        <w:jc w:val="both"/>
        <w:rPr>
          <w:iCs/>
          <w:color w:val="000000" w:themeColor="text1"/>
          <w:lang w:eastAsia="lt-LT"/>
        </w:rPr>
      </w:pPr>
      <w:r w:rsidRPr="00785E59">
        <w:rPr>
          <w:iCs/>
          <w:color w:val="000000" w:themeColor="text1"/>
          <w:lang w:eastAsia="lt-LT"/>
        </w:rPr>
        <w:t>Tarnyba, perskaičiuodama analizės rezultatus atsižvelgia į šiuos nustatytus trūkumus ir taiko kitas, konservatyvesnes ekonominės analizės prielaidas. Perskaičiuojant ekonominės analizės rezultatus, buvo atlikti šie pakeitimai:</w:t>
      </w:r>
    </w:p>
    <w:p w14:paraId="5B579A8B" w14:textId="4A00082C" w:rsidR="00785E59" w:rsidRPr="00785E59" w:rsidRDefault="00785E59" w:rsidP="00785E59">
      <w:pPr>
        <w:pStyle w:val="VVKT"/>
        <w:numPr>
          <w:ilvl w:val="0"/>
          <w:numId w:val="25"/>
        </w:numPr>
        <w:rPr>
          <w:rFonts w:eastAsia="Arial"/>
          <w:lang w:val="lt-LT"/>
        </w:rPr>
      </w:pPr>
      <w:r w:rsidRPr="00785E59">
        <w:rPr>
          <w:rFonts w:eastAsia="Arial"/>
          <w:lang w:val="lt-LT"/>
        </w:rPr>
        <w:t>pembrolizumabui pritaikyta PGS kaina;</w:t>
      </w:r>
    </w:p>
    <w:p w14:paraId="4AD0B2B1" w14:textId="6E7A6818" w:rsidR="00785E59" w:rsidRPr="00785E59" w:rsidRDefault="00785E59" w:rsidP="00785E59">
      <w:pPr>
        <w:pStyle w:val="VVKT"/>
        <w:numPr>
          <w:ilvl w:val="0"/>
          <w:numId w:val="25"/>
        </w:numPr>
        <w:rPr>
          <w:rFonts w:eastAsia="Arial"/>
          <w:lang w:val="lt-LT"/>
        </w:rPr>
      </w:pPr>
      <w:r w:rsidRPr="00785E59">
        <w:rPr>
          <w:rFonts w:eastAsia="Arial"/>
          <w:lang w:val="lt-LT"/>
        </w:rPr>
        <w:t>atnaujinti vaistinių preparatų įsigijimo, sveikatos priežiūros paslaugų, nepageidaujamų poveikių valdymo kaštai;</w:t>
      </w:r>
    </w:p>
    <w:p w14:paraId="4364153B" w14:textId="23EA30F7" w:rsidR="00785E59" w:rsidRPr="00785E59" w:rsidRDefault="00785E59" w:rsidP="00785E59">
      <w:pPr>
        <w:pStyle w:val="VVKT"/>
        <w:numPr>
          <w:ilvl w:val="0"/>
          <w:numId w:val="25"/>
        </w:numPr>
        <w:rPr>
          <w:rFonts w:eastAsia="Arial"/>
          <w:lang w:val="lt-LT"/>
        </w:rPr>
      </w:pPr>
      <w:r w:rsidRPr="00785E59">
        <w:rPr>
          <w:rFonts w:eastAsia="Arial"/>
          <w:lang w:val="lt-LT"/>
        </w:rPr>
        <w:t>pakoreguotos tolimesnio gydymo prielaidos – taikoma prielaida, kad 50 proc. pacientų ligai progresuojant gaus tolimesnį gydymą. Palyginamojo vaisto grupėje 35 proc. pacientų bus gydomi nivolumabu, 15 proc. paklitakseliu;</w:t>
      </w:r>
    </w:p>
    <w:p w14:paraId="718F459B" w14:textId="2D607759" w:rsidR="00785E59" w:rsidRPr="00785E59" w:rsidRDefault="00785E59" w:rsidP="00785E59">
      <w:pPr>
        <w:pStyle w:val="VVKT"/>
        <w:numPr>
          <w:ilvl w:val="0"/>
          <w:numId w:val="25"/>
        </w:numPr>
        <w:rPr>
          <w:rFonts w:eastAsia="Arial"/>
          <w:lang w:val="lt-LT"/>
        </w:rPr>
      </w:pPr>
      <w:r w:rsidRPr="00785E59">
        <w:rPr>
          <w:rFonts w:eastAsia="Arial"/>
          <w:lang w:val="lt-LT"/>
        </w:rPr>
        <w:t>analizėje, kurioje vertinamas pembrolizumabo derinio su chemoterapija kaštų naudingumas, pakeistas pembrolizumabo derinio BI parametrinis skirstinys į exponential, pritaikyta gydomojo poveikio išnykimo prielaida – nuo 5 metų taikomi palyginamojo gydymo rizikos santykiai.</w:t>
      </w:r>
    </w:p>
    <w:p w14:paraId="657580AD" w14:textId="77777777" w:rsidR="00785E59" w:rsidRPr="00785E59" w:rsidRDefault="00785E59" w:rsidP="00785E59">
      <w:pPr>
        <w:pStyle w:val="VVKT"/>
        <w:rPr>
          <w:rFonts w:eastAsia="Arial"/>
          <w:lang w:val="lt-LT"/>
        </w:rPr>
      </w:pPr>
    </w:p>
    <w:p w14:paraId="2D9B3F36" w14:textId="7F46D2E4" w:rsidR="00785E59" w:rsidRDefault="00785E59" w:rsidP="00785E59">
      <w:pPr>
        <w:pStyle w:val="VVKT"/>
        <w:rPr>
          <w:rFonts w:eastAsia="Arial"/>
          <w:lang w:val="lt-LT"/>
        </w:rPr>
      </w:pPr>
      <w:r w:rsidRPr="00785E59">
        <w:rPr>
          <w:rFonts w:eastAsia="Arial"/>
          <w:lang w:val="lt-LT"/>
        </w:rPr>
        <w:lastRenderedPageBreak/>
        <w:t xml:space="preserve">Atliktos ekonominės analizės rezultatai rodo, kad pembrolizumabo monoterapijos ir pembrolizumabo derinio su chemoterapija (platinos pagrindu ir fluoruracilu) kaštų naudingumas lyginant su cetuksimabo ir chemoterapijos deriniu (platinos pagrindu ir fluoruracilu) atitinka referentinę kaštų naudingumo vertę. </w:t>
      </w:r>
      <w:bookmarkEnd w:id="0"/>
    </w:p>
    <w:p w14:paraId="4514AEA8" w14:textId="49D0989A" w:rsidR="005314B5" w:rsidRPr="00785E59" w:rsidRDefault="005314B5" w:rsidP="00785E59">
      <w:pPr>
        <w:pStyle w:val="VVKT"/>
        <w:rPr>
          <w:rFonts w:eastAsia="Arial"/>
          <w:lang w:val="lt-LT"/>
        </w:rPr>
      </w:pPr>
      <w:r>
        <w:rPr>
          <w:rFonts w:eastAsia="Arial"/>
          <w:lang w:val="lt-LT"/>
        </w:rPr>
        <w:t xml:space="preserve">Atsižvelgiant į maksimalią pembrolizumabo skyrimo trukmę KEYTRUDA-048 klinikiniame tyrime (2 metai) ir į tai, kad ekonominė analizė buvo atlikta taip pat taikant šį gydymo trukmės apribojimą, siūloma skyrimo sąlygose nustatyti apribojimą, kad gydymas pembrolizumabu gali būti tęsiamas ne ilgiau nei 2 metus. </w:t>
      </w:r>
    </w:p>
    <w:p w14:paraId="7A429E1F" w14:textId="77777777" w:rsidR="00785E59" w:rsidRDefault="00785E59" w:rsidP="00785E59">
      <w:pPr>
        <w:pStyle w:val="VVKT"/>
        <w:rPr>
          <w:rFonts w:eastAsia="Arial"/>
          <w:lang w:val="lt-LT"/>
        </w:rPr>
      </w:pPr>
    </w:p>
    <w:p w14:paraId="0FE39066" w14:textId="594F0CA4" w:rsidR="00785E59" w:rsidRPr="000203E1" w:rsidRDefault="00785E59" w:rsidP="00785E59">
      <w:pPr>
        <w:tabs>
          <w:tab w:val="left" w:pos="426"/>
        </w:tabs>
        <w:rPr>
          <w:b/>
          <w:lang w:eastAsia="lt-LT"/>
        </w:rPr>
      </w:pPr>
      <w:r>
        <w:rPr>
          <w:b/>
          <w:lang w:eastAsia="lt-LT"/>
        </w:rPr>
        <w:t xml:space="preserve">3.1 </w:t>
      </w:r>
      <w:r w:rsidRPr="000203E1">
        <w:rPr>
          <w:b/>
          <w:lang w:eastAsia="lt-LT"/>
        </w:rPr>
        <w:t>Ekonominės analizės rezultatas</w:t>
      </w:r>
      <w:r>
        <w:rPr>
          <w:b/>
          <w:lang w:eastAsia="lt-LT"/>
        </w:rPr>
        <w:t xml:space="preserve"> – pembrolizumabo monoterapija</w:t>
      </w:r>
    </w:p>
    <w:p w14:paraId="2827572C" w14:textId="77777777" w:rsidR="00785E59" w:rsidRPr="000203E1" w:rsidRDefault="00785E59" w:rsidP="00785E59">
      <w:pPr>
        <w:tabs>
          <w:tab w:val="left" w:pos="426"/>
        </w:tabs>
        <w:rPr>
          <w:b/>
          <w:lang w:eastAsia="lt-LT"/>
        </w:rPr>
      </w:pPr>
    </w:p>
    <w:tbl>
      <w:tblPr>
        <w:tblStyle w:val="Lentelstinklelis1"/>
        <w:tblW w:w="9439" w:type="dxa"/>
        <w:jc w:val="center"/>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200"/>
        <w:gridCol w:w="3239"/>
      </w:tblGrid>
      <w:tr w:rsidR="00785E59" w:rsidRPr="000203E1" w14:paraId="4CB6C821" w14:textId="77777777" w:rsidTr="00366CED">
        <w:trPr>
          <w:trHeight w:val="344"/>
          <w:jc w:val="center"/>
        </w:trPr>
        <w:tc>
          <w:tcPr>
            <w:tcW w:w="9439" w:type="dxa"/>
            <w:gridSpan w:val="2"/>
            <w:tcBorders>
              <w:top w:val="single" w:sz="12" w:space="0" w:color="auto"/>
              <w:left w:val="single" w:sz="4" w:space="0" w:color="auto"/>
              <w:right w:val="single" w:sz="4" w:space="0" w:color="auto"/>
            </w:tcBorders>
            <w:vAlign w:val="center"/>
          </w:tcPr>
          <w:p w14:paraId="0847FCB8" w14:textId="77777777" w:rsidR="00785E59" w:rsidRPr="000203E1" w:rsidRDefault="00785E59" w:rsidP="00366CED">
            <w:pPr>
              <w:tabs>
                <w:tab w:val="left" w:pos="567"/>
              </w:tabs>
              <w:jc w:val="center"/>
              <w:rPr>
                <w:b/>
                <w:bCs/>
                <w:sz w:val="26"/>
                <w:szCs w:val="26"/>
                <w:lang w:eastAsia="lt-LT"/>
              </w:rPr>
            </w:pPr>
            <w:r w:rsidRPr="000203E1">
              <w:rPr>
                <w:b/>
                <w:bCs/>
                <w:sz w:val="26"/>
                <w:szCs w:val="26"/>
                <w:lang w:eastAsia="lt-LT"/>
              </w:rPr>
              <w:t>Rezultatai</w:t>
            </w:r>
          </w:p>
        </w:tc>
      </w:tr>
      <w:tr w:rsidR="00785E59" w:rsidRPr="000203E1" w14:paraId="1B1ACBA1" w14:textId="77777777" w:rsidTr="00D03AD3">
        <w:trPr>
          <w:trHeight w:val="267"/>
          <w:jc w:val="center"/>
        </w:trPr>
        <w:tc>
          <w:tcPr>
            <w:tcW w:w="6200" w:type="dxa"/>
            <w:tcBorders>
              <w:left w:val="single" w:sz="4" w:space="0" w:color="auto"/>
            </w:tcBorders>
          </w:tcPr>
          <w:p w14:paraId="1B28770D" w14:textId="77777777" w:rsidR="00785E59" w:rsidRPr="000203E1" w:rsidRDefault="00785E59" w:rsidP="00366CED">
            <w:pPr>
              <w:tabs>
                <w:tab w:val="left" w:pos="567"/>
              </w:tabs>
              <w:jc w:val="right"/>
              <w:rPr>
                <w:iCs/>
                <w:lang w:eastAsia="lt-LT"/>
              </w:rPr>
            </w:pPr>
            <w:r w:rsidRPr="000203E1">
              <w:rPr>
                <w:iCs/>
                <w:lang w:eastAsia="lt-LT"/>
              </w:rPr>
              <w:t>Kaštų skirtumas</w:t>
            </w:r>
          </w:p>
        </w:tc>
        <w:tc>
          <w:tcPr>
            <w:tcW w:w="3239" w:type="dxa"/>
            <w:tcBorders>
              <w:right w:val="single" w:sz="4" w:space="0" w:color="auto"/>
            </w:tcBorders>
          </w:tcPr>
          <w:p w14:paraId="7A6BF820" w14:textId="4041A118" w:rsidR="00785E59" w:rsidRPr="00D03AD3" w:rsidRDefault="00785E59" w:rsidP="00D03AD3">
            <w:pPr>
              <w:tabs>
                <w:tab w:val="left" w:pos="567"/>
              </w:tabs>
              <w:jc w:val="center"/>
              <w:rPr>
                <w:lang w:eastAsia="lt-LT"/>
              </w:rPr>
            </w:pPr>
          </w:p>
        </w:tc>
      </w:tr>
      <w:tr w:rsidR="00785E59" w:rsidRPr="000203E1" w14:paraId="6E241D65" w14:textId="77777777" w:rsidTr="00D03AD3">
        <w:trPr>
          <w:trHeight w:val="267"/>
          <w:jc w:val="center"/>
        </w:trPr>
        <w:tc>
          <w:tcPr>
            <w:tcW w:w="6200" w:type="dxa"/>
            <w:tcBorders>
              <w:left w:val="single" w:sz="4" w:space="0" w:color="auto"/>
            </w:tcBorders>
          </w:tcPr>
          <w:p w14:paraId="6E029775" w14:textId="77777777" w:rsidR="00785E59" w:rsidRPr="000203E1" w:rsidRDefault="00785E59" w:rsidP="00366CED">
            <w:pPr>
              <w:tabs>
                <w:tab w:val="left" w:pos="567"/>
              </w:tabs>
              <w:jc w:val="right"/>
              <w:rPr>
                <w:iCs/>
                <w:lang w:eastAsia="lt-LT"/>
              </w:rPr>
            </w:pPr>
            <w:r w:rsidRPr="000203E1">
              <w:rPr>
                <w:iCs/>
                <w:lang w:eastAsia="lt-LT"/>
              </w:rPr>
              <w:t>Papildomi gyvenimo metai (LY)</w:t>
            </w:r>
          </w:p>
        </w:tc>
        <w:tc>
          <w:tcPr>
            <w:tcW w:w="3239" w:type="dxa"/>
            <w:tcBorders>
              <w:right w:val="single" w:sz="4" w:space="0" w:color="auto"/>
            </w:tcBorders>
          </w:tcPr>
          <w:p w14:paraId="747957A4" w14:textId="30CDED29" w:rsidR="00785E59" w:rsidRPr="00D03AD3" w:rsidRDefault="00785E59" w:rsidP="00D03AD3">
            <w:pPr>
              <w:tabs>
                <w:tab w:val="left" w:pos="567"/>
              </w:tabs>
              <w:jc w:val="center"/>
              <w:rPr>
                <w:lang w:eastAsia="lt-LT"/>
              </w:rPr>
            </w:pPr>
          </w:p>
        </w:tc>
      </w:tr>
      <w:tr w:rsidR="00785E59" w:rsidRPr="000203E1" w14:paraId="2167004E" w14:textId="77777777" w:rsidTr="00D03AD3">
        <w:trPr>
          <w:trHeight w:val="267"/>
          <w:jc w:val="center"/>
        </w:trPr>
        <w:tc>
          <w:tcPr>
            <w:tcW w:w="6200" w:type="dxa"/>
            <w:tcBorders>
              <w:left w:val="single" w:sz="4" w:space="0" w:color="auto"/>
            </w:tcBorders>
          </w:tcPr>
          <w:p w14:paraId="7A889E67" w14:textId="77777777" w:rsidR="00785E59" w:rsidRPr="000203E1" w:rsidRDefault="00785E59" w:rsidP="00366CED">
            <w:pPr>
              <w:tabs>
                <w:tab w:val="left" w:pos="567"/>
              </w:tabs>
              <w:jc w:val="right"/>
              <w:rPr>
                <w:iCs/>
                <w:lang w:eastAsia="lt-LT"/>
              </w:rPr>
            </w:pPr>
            <w:r w:rsidRPr="000203E1">
              <w:rPr>
                <w:iCs/>
                <w:lang w:eastAsia="lt-LT"/>
              </w:rPr>
              <w:t>Papildomi kokybiški gyvenimo metai (QALY)</w:t>
            </w:r>
          </w:p>
        </w:tc>
        <w:tc>
          <w:tcPr>
            <w:tcW w:w="3239" w:type="dxa"/>
            <w:tcBorders>
              <w:right w:val="single" w:sz="4" w:space="0" w:color="auto"/>
            </w:tcBorders>
          </w:tcPr>
          <w:p w14:paraId="6631D937" w14:textId="671016C2" w:rsidR="00785E59" w:rsidRPr="00D03AD3" w:rsidRDefault="00785E59" w:rsidP="00D03AD3">
            <w:pPr>
              <w:tabs>
                <w:tab w:val="left" w:pos="567"/>
              </w:tabs>
              <w:jc w:val="center"/>
              <w:rPr>
                <w:lang w:eastAsia="lt-LT"/>
              </w:rPr>
            </w:pPr>
          </w:p>
        </w:tc>
      </w:tr>
      <w:tr w:rsidR="00D03AD3" w:rsidRPr="000203E1" w14:paraId="48CB606C" w14:textId="77777777" w:rsidTr="00D03AD3">
        <w:trPr>
          <w:trHeight w:val="267"/>
          <w:jc w:val="center"/>
        </w:trPr>
        <w:tc>
          <w:tcPr>
            <w:tcW w:w="6200" w:type="dxa"/>
            <w:tcBorders>
              <w:left w:val="single" w:sz="4" w:space="0" w:color="auto"/>
            </w:tcBorders>
          </w:tcPr>
          <w:p w14:paraId="07836457" w14:textId="77777777" w:rsidR="00D03AD3" w:rsidRPr="000203E1" w:rsidRDefault="00D03AD3" w:rsidP="00D03AD3">
            <w:pPr>
              <w:tabs>
                <w:tab w:val="left" w:pos="567"/>
              </w:tabs>
              <w:jc w:val="right"/>
              <w:rPr>
                <w:iCs/>
                <w:lang w:eastAsia="lt-LT"/>
              </w:rPr>
            </w:pPr>
            <w:r w:rsidRPr="000203E1">
              <w:rPr>
                <w:iCs/>
                <w:lang w:eastAsia="lt-LT"/>
              </w:rPr>
              <w:t>ICER už LY</w:t>
            </w:r>
          </w:p>
        </w:tc>
        <w:tc>
          <w:tcPr>
            <w:tcW w:w="3239" w:type="dxa"/>
            <w:tcBorders>
              <w:right w:val="single" w:sz="4" w:space="0" w:color="auto"/>
            </w:tcBorders>
          </w:tcPr>
          <w:p w14:paraId="56AD1354" w14:textId="6F45FAA6" w:rsidR="00D03AD3" w:rsidRPr="00D03AD3" w:rsidRDefault="00D03AD3" w:rsidP="00D03AD3">
            <w:pPr>
              <w:tabs>
                <w:tab w:val="left" w:pos="567"/>
              </w:tabs>
              <w:jc w:val="center"/>
              <w:rPr>
                <w:lang w:eastAsia="lt-LT"/>
              </w:rPr>
            </w:pPr>
          </w:p>
        </w:tc>
      </w:tr>
      <w:tr w:rsidR="00D03AD3" w:rsidRPr="000203E1" w14:paraId="7177F0E9" w14:textId="77777777" w:rsidTr="00D03AD3">
        <w:trPr>
          <w:trHeight w:val="267"/>
          <w:jc w:val="center"/>
        </w:trPr>
        <w:tc>
          <w:tcPr>
            <w:tcW w:w="6200" w:type="dxa"/>
            <w:tcBorders>
              <w:left w:val="single" w:sz="4" w:space="0" w:color="auto"/>
            </w:tcBorders>
          </w:tcPr>
          <w:p w14:paraId="3D3EE015" w14:textId="77777777" w:rsidR="00D03AD3" w:rsidRPr="000203E1" w:rsidRDefault="00D03AD3" w:rsidP="00D03AD3">
            <w:pPr>
              <w:tabs>
                <w:tab w:val="left" w:pos="567"/>
              </w:tabs>
              <w:jc w:val="right"/>
              <w:rPr>
                <w:iCs/>
                <w:lang w:eastAsia="lt-LT"/>
              </w:rPr>
            </w:pPr>
            <w:r w:rsidRPr="000203E1">
              <w:rPr>
                <w:iCs/>
                <w:lang w:eastAsia="lt-LT"/>
              </w:rPr>
              <w:t>ICER už QALY</w:t>
            </w:r>
          </w:p>
        </w:tc>
        <w:tc>
          <w:tcPr>
            <w:tcW w:w="3239" w:type="dxa"/>
            <w:tcBorders>
              <w:right w:val="single" w:sz="4" w:space="0" w:color="auto"/>
            </w:tcBorders>
          </w:tcPr>
          <w:p w14:paraId="30275F18" w14:textId="6AAD9AE7" w:rsidR="00D03AD3" w:rsidRPr="00D03AD3" w:rsidRDefault="00D03AD3" w:rsidP="00D03AD3">
            <w:pPr>
              <w:tabs>
                <w:tab w:val="left" w:pos="567"/>
              </w:tabs>
              <w:jc w:val="center"/>
              <w:rPr>
                <w:lang w:eastAsia="lt-LT"/>
              </w:rPr>
            </w:pPr>
          </w:p>
        </w:tc>
      </w:tr>
      <w:tr w:rsidR="00D03AD3" w:rsidRPr="000203E1" w14:paraId="11BE52D3" w14:textId="77777777" w:rsidTr="00D03AD3">
        <w:trPr>
          <w:trHeight w:val="267"/>
          <w:jc w:val="center"/>
        </w:trPr>
        <w:tc>
          <w:tcPr>
            <w:tcW w:w="6200" w:type="dxa"/>
            <w:tcBorders>
              <w:left w:val="single" w:sz="4" w:space="0" w:color="auto"/>
              <w:bottom w:val="single" w:sz="4" w:space="0" w:color="auto"/>
              <w:right w:val="single" w:sz="4" w:space="0" w:color="auto"/>
            </w:tcBorders>
          </w:tcPr>
          <w:p w14:paraId="216208A4" w14:textId="77777777" w:rsidR="00D03AD3" w:rsidRPr="00D03AD3" w:rsidRDefault="00D03AD3" w:rsidP="00D03AD3">
            <w:pPr>
              <w:tabs>
                <w:tab w:val="left" w:pos="567"/>
              </w:tabs>
              <w:jc w:val="right"/>
              <w:rPr>
                <w:b/>
                <w:bCs/>
                <w:iCs/>
                <w:lang w:eastAsia="lt-LT"/>
              </w:rPr>
            </w:pPr>
            <w:r w:rsidRPr="00D03AD3">
              <w:rPr>
                <w:b/>
                <w:bCs/>
                <w:iCs/>
                <w:lang w:eastAsia="lt-LT"/>
              </w:rPr>
              <w:t>Referentinė kaštų naudingumo vertė</w:t>
            </w:r>
          </w:p>
        </w:tc>
        <w:tc>
          <w:tcPr>
            <w:tcW w:w="3239" w:type="dxa"/>
            <w:tcBorders>
              <w:left w:val="single" w:sz="4" w:space="0" w:color="auto"/>
              <w:bottom w:val="single" w:sz="4" w:space="0" w:color="auto"/>
              <w:right w:val="single" w:sz="4" w:space="0" w:color="auto"/>
            </w:tcBorders>
          </w:tcPr>
          <w:p w14:paraId="48F247EE" w14:textId="388F21A5" w:rsidR="00D03AD3" w:rsidRPr="00D03AD3" w:rsidRDefault="00D03AD3" w:rsidP="00D03AD3">
            <w:pPr>
              <w:tabs>
                <w:tab w:val="left" w:pos="567"/>
              </w:tabs>
              <w:jc w:val="center"/>
              <w:rPr>
                <w:b/>
                <w:bCs/>
                <w:lang w:eastAsia="lt-LT"/>
              </w:rPr>
            </w:pPr>
            <w:r w:rsidRPr="00D03AD3">
              <w:rPr>
                <w:b/>
                <w:bCs/>
                <w:lang w:eastAsia="lt-LT"/>
              </w:rPr>
              <w:t>100 020</w:t>
            </w:r>
          </w:p>
        </w:tc>
      </w:tr>
    </w:tbl>
    <w:p w14:paraId="4D7C2891" w14:textId="77777777" w:rsidR="00785E59" w:rsidRPr="000203E1" w:rsidRDefault="00785E59" w:rsidP="00785E59">
      <w:pPr>
        <w:tabs>
          <w:tab w:val="left" w:pos="567"/>
        </w:tabs>
        <w:jc w:val="both"/>
        <w:rPr>
          <w:iCs/>
          <w:sz w:val="20"/>
          <w:lang w:eastAsia="lt-LT"/>
        </w:rPr>
      </w:pPr>
      <w:r w:rsidRPr="000203E1">
        <w:rPr>
          <w:iCs/>
          <w:sz w:val="20"/>
          <w:lang w:eastAsia="lt-LT"/>
        </w:rPr>
        <w:t>ICER – (</w:t>
      </w:r>
      <w:r w:rsidRPr="000203E1">
        <w:rPr>
          <w:i/>
          <w:sz w:val="20"/>
          <w:lang w:eastAsia="lt-LT"/>
        </w:rPr>
        <w:t>angl. incremental cost-effectiveness ratio</w:t>
      </w:r>
      <w:r w:rsidRPr="000203E1">
        <w:rPr>
          <w:iCs/>
          <w:sz w:val="20"/>
          <w:lang w:eastAsia="lt-LT"/>
        </w:rPr>
        <w:t>) inkrementinis kaštų naudingumo koeficientas; LY – (</w:t>
      </w:r>
      <w:r w:rsidRPr="000203E1">
        <w:rPr>
          <w:i/>
          <w:sz w:val="20"/>
          <w:lang w:eastAsia="lt-LT"/>
        </w:rPr>
        <w:t>angl. life years</w:t>
      </w:r>
      <w:r w:rsidRPr="000203E1">
        <w:rPr>
          <w:iCs/>
          <w:sz w:val="20"/>
          <w:lang w:eastAsia="lt-LT"/>
        </w:rPr>
        <w:t>) gyvenimo metai; QALY- (</w:t>
      </w:r>
      <w:r w:rsidRPr="000203E1">
        <w:rPr>
          <w:i/>
          <w:sz w:val="20"/>
          <w:lang w:eastAsia="lt-LT"/>
        </w:rPr>
        <w:t xml:space="preserve">angl. quality adjusted life years) </w:t>
      </w:r>
      <w:r w:rsidRPr="000203E1">
        <w:rPr>
          <w:iCs/>
          <w:sz w:val="20"/>
          <w:lang w:eastAsia="lt-LT"/>
        </w:rPr>
        <w:t>kokybiški gyvenimo metai.</w:t>
      </w:r>
    </w:p>
    <w:p w14:paraId="22EC9967" w14:textId="77777777" w:rsidR="00785E59" w:rsidRDefault="00785E59" w:rsidP="00785E59">
      <w:pPr>
        <w:pStyle w:val="VVKT"/>
        <w:rPr>
          <w:rFonts w:eastAsia="Arial"/>
          <w:lang w:val="lt-LT"/>
        </w:rPr>
      </w:pPr>
    </w:p>
    <w:p w14:paraId="3026F567" w14:textId="33B943B9" w:rsidR="00785E59" w:rsidRPr="000203E1" w:rsidRDefault="00785E59" w:rsidP="00785E59">
      <w:pPr>
        <w:tabs>
          <w:tab w:val="left" w:pos="426"/>
        </w:tabs>
        <w:rPr>
          <w:b/>
          <w:lang w:eastAsia="lt-LT"/>
        </w:rPr>
      </w:pPr>
      <w:r>
        <w:rPr>
          <w:b/>
          <w:lang w:eastAsia="lt-LT"/>
        </w:rPr>
        <w:t xml:space="preserve">3.2 </w:t>
      </w:r>
      <w:r w:rsidRPr="000203E1">
        <w:rPr>
          <w:b/>
          <w:lang w:eastAsia="lt-LT"/>
        </w:rPr>
        <w:t>Ekonominės analizės rezultatas</w:t>
      </w:r>
      <w:r>
        <w:rPr>
          <w:b/>
          <w:lang w:eastAsia="lt-LT"/>
        </w:rPr>
        <w:t xml:space="preserve"> – pembrolizumabo derinys su chemoterapija</w:t>
      </w:r>
    </w:p>
    <w:p w14:paraId="61A137F9" w14:textId="77777777" w:rsidR="00785E59" w:rsidRPr="000203E1" w:rsidRDefault="00785E59" w:rsidP="00785E59">
      <w:pPr>
        <w:tabs>
          <w:tab w:val="left" w:pos="426"/>
        </w:tabs>
        <w:rPr>
          <w:b/>
          <w:lang w:eastAsia="lt-LT"/>
        </w:rPr>
      </w:pPr>
    </w:p>
    <w:tbl>
      <w:tblPr>
        <w:tblStyle w:val="Lentelstinklelis1"/>
        <w:tblW w:w="9439" w:type="dxa"/>
        <w:jc w:val="center"/>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200"/>
        <w:gridCol w:w="3239"/>
      </w:tblGrid>
      <w:tr w:rsidR="00785E59" w:rsidRPr="000203E1" w14:paraId="276BA760" w14:textId="77777777" w:rsidTr="00366CED">
        <w:trPr>
          <w:trHeight w:val="344"/>
          <w:jc w:val="center"/>
        </w:trPr>
        <w:tc>
          <w:tcPr>
            <w:tcW w:w="9439" w:type="dxa"/>
            <w:gridSpan w:val="2"/>
            <w:tcBorders>
              <w:top w:val="single" w:sz="12" w:space="0" w:color="auto"/>
              <w:left w:val="single" w:sz="4" w:space="0" w:color="auto"/>
              <w:right w:val="single" w:sz="4" w:space="0" w:color="auto"/>
            </w:tcBorders>
            <w:vAlign w:val="center"/>
          </w:tcPr>
          <w:p w14:paraId="00ED3735" w14:textId="77777777" w:rsidR="00785E59" w:rsidRPr="000203E1" w:rsidRDefault="00785E59" w:rsidP="00366CED">
            <w:pPr>
              <w:tabs>
                <w:tab w:val="left" w:pos="567"/>
              </w:tabs>
              <w:jc w:val="center"/>
              <w:rPr>
                <w:b/>
                <w:bCs/>
                <w:sz w:val="26"/>
                <w:szCs w:val="26"/>
                <w:lang w:eastAsia="lt-LT"/>
              </w:rPr>
            </w:pPr>
            <w:r w:rsidRPr="000203E1">
              <w:rPr>
                <w:b/>
                <w:bCs/>
                <w:sz w:val="26"/>
                <w:szCs w:val="26"/>
                <w:lang w:eastAsia="lt-LT"/>
              </w:rPr>
              <w:t>Rezultatai</w:t>
            </w:r>
          </w:p>
        </w:tc>
      </w:tr>
      <w:tr w:rsidR="00785E59" w:rsidRPr="000203E1" w14:paraId="6D53A31E" w14:textId="77777777" w:rsidTr="00D03AD3">
        <w:trPr>
          <w:trHeight w:val="267"/>
          <w:jc w:val="center"/>
        </w:trPr>
        <w:tc>
          <w:tcPr>
            <w:tcW w:w="6200" w:type="dxa"/>
            <w:tcBorders>
              <w:left w:val="single" w:sz="4" w:space="0" w:color="auto"/>
            </w:tcBorders>
          </w:tcPr>
          <w:p w14:paraId="6800CD6A" w14:textId="77777777" w:rsidR="00785E59" w:rsidRPr="000203E1" w:rsidRDefault="00785E59" w:rsidP="00366CED">
            <w:pPr>
              <w:tabs>
                <w:tab w:val="left" w:pos="567"/>
              </w:tabs>
              <w:jc w:val="right"/>
              <w:rPr>
                <w:iCs/>
                <w:lang w:eastAsia="lt-LT"/>
              </w:rPr>
            </w:pPr>
            <w:r w:rsidRPr="000203E1">
              <w:rPr>
                <w:iCs/>
                <w:lang w:eastAsia="lt-LT"/>
              </w:rPr>
              <w:t>Kaštų skirtumas</w:t>
            </w:r>
          </w:p>
        </w:tc>
        <w:tc>
          <w:tcPr>
            <w:tcW w:w="3239" w:type="dxa"/>
            <w:tcBorders>
              <w:right w:val="single" w:sz="4" w:space="0" w:color="auto"/>
            </w:tcBorders>
          </w:tcPr>
          <w:p w14:paraId="01D5420D" w14:textId="211C7FA3" w:rsidR="00785E59" w:rsidRPr="00D03AD3" w:rsidRDefault="00785E59" w:rsidP="00D03AD3">
            <w:pPr>
              <w:tabs>
                <w:tab w:val="left" w:pos="567"/>
              </w:tabs>
              <w:jc w:val="center"/>
              <w:rPr>
                <w:i/>
                <w:iCs/>
                <w:lang w:eastAsia="lt-LT"/>
              </w:rPr>
            </w:pPr>
          </w:p>
        </w:tc>
      </w:tr>
      <w:tr w:rsidR="00785E59" w:rsidRPr="000203E1" w14:paraId="4012E4CD" w14:textId="77777777" w:rsidTr="00D03AD3">
        <w:trPr>
          <w:trHeight w:val="267"/>
          <w:jc w:val="center"/>
        </w:trPr>
        <w:tc>
          <w:tcPr>
            <w:tcW w:w="6200" w:type="dxa"/>
            <w:tcBorders>
              <w:left w:val="single" w:sz="4" w:space="0" w:color="auto"/>
            </w:tcBorders>
          </w:tcPr>
          <w:p w14:paraId="3CA5B129" w14:textId="77777777" w:rsidR="00785E59" w:rsidRPr="000203E1" w:rsidRDefault="00785E59" w:rsidP="00366CED">
            <w:pPr>
              <w:tabs>
                <w:tab w:val="left" w:pos="567"/>
              </w:tabs>
              <w:jc w:val="right"/>
              <w:rPr>
                <w:iCs/>
                <w:lang w:eastAsia="lt-LT"/>
              </w:rPr>
            </w:pPr>
            <w:r w:rsidRPr="000203E1">
              <w:rPr>
                <w:iCs/>
                <w:lang w:eastAsia="lt-LT"/>
              </w:rPr>
              <w:t>Papildomi gyvenimo metai (LY)</w:t>
            </w:r>
          </w:p>
        </w:tc>
        <w:tc>
          <w:tcPr>
            <w:tcW w:w="3239" w:type="dxa"/>
            <w:tcBorders>
              <w:right w:val="single" w:sz="4" w:space="0" w:color="auto"/>
            </w:tcBorders>
          </w:tcPr>
          <w:p w14:paraId="3B8A34A8" w14:textId="5D596362" w:rsidR="00785E59" w:rsidRPr="00D03AD3" w:rsidRDefault="00785E59" w:rsidP="00D03AD3">
            <w:pPr>
              <w:tabs>
                <w:tab w:val="left" w:pos="567"/>
              </w:tabs>
              <w:jc w:val="center"/>
              <w:rPr>
                <w:i/>
                <w:iCs/>
                <w:lang w:eastAsia="lt-LT"/>
              </w:rPr>
            </w:pPr>
          </w:p>
        </w:tc>
      </w:tr>
      <w:tr w:rsidR="00785E59" w:rsidRPr="000203E1" w14:paraId="5CB1A988" w14:textId="77777777" w:rsidTr="00D03AD3">
        <w:trPr>
          <w:trHeight w:val="267"/>
          <w:jc w:val="center"/>
        </w:trPr>
        <w:tc>
          <w:tcPr>
            <w:tcW w:w="6200" w:type="dxa"/>
            <w:tcBorders>
              <w:left w:val="single" w:sz="4" w:space="0" w:color="auto"/>
            </w:tcBorders>
          </w:tcPr>
          <w:p w14:paraId="2FE06929" w14:textId="77777777" w:rsidR="00785E59" w:rsidRPr="000203E1" w:rsidRDefault="00785E59" w:rsidP="00366CED">
            <w:pPr>
              <w:tabs>
                <w:tab w:val="left" w:pos="567"/>
              </w:tabs>
              <w:jc w:val="right"/>
              <w:rPr>
                <w:iCs/>
                <w:lang w:eastAsia="lt-LT"/>
              </w:rPr>
            </w:pPr>
            <w:r w:rsidRPr="000203E1">
              <w:rPr>
                <w:iCs/>
                <w:lang w:eastAsia="lt-LT"/>
              </w:rPr>
              <w:t>Papildomi kokybiški gyvenimo metai (QALY)</w:t>
            </w:r>
          </w:p>
        </w:tc>
        <w:tc>
          <w:tcPr>
            <w:tcW w:w="3239" w:type="dxa"/>
            <w:tcBorders>
              <w:right w:val="single" w:sz="4" w:space="0" w:color="auto"/>
            </w:tcBorders>
          </w:tcPr>
          <w:p w14:paraId="4F2F17D2" w14:textId="49469844" w:rsidR="00785E59" w:rsidRPr="00D03AD3" w:rsidRDefault="00785E59" w:rsidP="00D03AD3">
            <w:pPr>
              <w:tabs>
                <w:tab w:val="left" w:pos="567"/>
              </w:tabs>
              <w:jc w:val="center"/>
              <w:rPr>
                <w:i/>
                <w:iCs/>
                <w:lang w:eastAsia="lt-LT"/>
              </w:rPr>
            </w:pPr>
          </w:p>
        </w:tc>
      </w:tr>
      <w:tr w:rsidR="00D03AD3" w:rsidRPr="000203E1" w14:paraId="14CB5B84" w14:textId="77777777" w:rsidTr="00D03AD3">
        <w:trPr>
          <w:trHeight w:val="267"/>
          <w:jc w:val="center"/>
        </w:trPr>
        <w:tc>
          <w:tcPr>
            <w:tcW w:w="6200" w:type="dxa"/>
            <w:tcBorders>
              <w:left w:val="single" w:sz="4" w:space="0" w:color="auto"/>
            </w:tcBorders>
          </w:tcPr>
          <w:p w14:paraId="26C1A2DF" w14:textId="77777777" w:rsidR="00D03AD3" w:rsidRPr="000203E1" w:rsidRDefault="00D03AD3" w:rsidP="00D03AD3">
            <w:pPr>
              <w:tabs>
                <w:tab w:val="left" w:pos="567"/>
              </w:tabs>
              <w:jc w:val="right"/>
              <w:rPr>
                <w:iCs/>
                <w:lang w:eastAsia="lt-LT"/>
              </w:rPr>
            </w:pPr>
            <w:r w:rsidRPr="000203E1">
              <w:rPr>
                <w:iCs/>
                <w:lang w:eastAsia="lt-LT"/>
              </w:rPr>
              <w:t>ICER už LY</w:t>
            </w:r>
          </w:p>
        </w:tc>
        <w:tc>
          <w:tcPr>
            <w:tcW w:w="3239" w:type="dxa"/>
            <w:tcBorders>
              <w:right w:val="single" w:sz="4" w:space="0" w:color="auto"/>
            </w:tcBorders>
          </w:tcPr>
          <w:p w14:paraId="6D91FE08" w14:textId="344C5799" w:rsidR="00D03AD3" w:rsidRPr="00D03AD3" w:rsidRDefault="00D03AD3" w:rsidP="00D03AD3">
            <w:pPr>
              <w:tabs>
                <w:tab w:val="left" w:pos="567"/>
              </w:tabs>
              <w:jc w:val="center"/>
              <w:rPr>
                <w:i/>
                <w:iCs/>
                <w:lang w:eastAsia="lt-LT"/>
              </w:rPr>
            </w:pPr>
          </w:p>
        </w:tc>
      </w:tr>
      <w:tr w:rsidR="00D03AD3" w:rsidRPr="000203E1" w14:paraId="4018B90E" w14:textId="77777777" w:rsidTr="00D03AD3">
        <w:trPr>
          <w:trHeight w:val="267"/>
          <w:jc w:val="center"/>
        </w:trPr>
        <w:tc>
          <w:tcPr>
            <w:tcW w:w="6200" w:type="dxa"/>
            <w:tcBorders>
              <w:left w:val="single" w:sz="4" w:space="0" w:color="auto"/>
            </w:tcBorders>
          </w:tcPr>
          <w:p w14:paraId="58828BED" w14:textId="77777777" w:rsidR="00D03AD3" w:rsidRPr="000203E1" w:rsidRDefault="00D03AD3" w:rsidP="00D03AD3">
            <w:pPr>
              <w:tabs>
                <w:tab w:val="left" w:pos="567"/>
              </w:tabs>
              <w:jc w:val="right"/>
              <w:rPr>
                <w:iCs/>
                <w:lang w:eastAsia="lt-LT"/>
              </w:rPr>
            </w:pPr>
            <w:r w:rsidRPr="000203E1">
              <w:rPr>
                <w:iCs/>
                <w:lang w:eastAsia="lt-LT"/>
              </w:rPr>
              <w:t>ICER už QALY</w:t>
            </w:r>
          </w:p>
        </w:tc>
        <w:tc>
          <w:tcPr>
            <w:tcW w:w="3239" w:type="dxa"/>
            <w:tcBorders>
              <w:right w:val="single" w:sz="4" w:space="0" w:color="auto"/>
            </w:tcBorders>
          </w:tcPr>
          <w:p w14:paraId="233EED0C" w14:textId="6FC95BD3" w:rsidR="00D03AD3" w:rsidRPr="00D03AD3" w:rsidRDefault="00D03AD3" w:rsidP="00D03AD3">
            <w:pPr>
              <w:tabs>
                <w:tab w:val="left" w:pos="567"/>
              </w:tabs>
              <w:jc w:val="center"/>
              <w:rPr>
                <w:i/>
                <w:iCs/>
                <w:lang w:eastAsia="lt-LT"/>
              </w:rPr>
            </w:pPr>
          </w:p>
        </w:tc>
      </w:tr>
      <w:tr w:rsidR="00D03AD3" w:rsidRPr="000203E1" w14:paraId="58A01EF8" w14:textId="77777777" w:rsidTr="00D03AD3">
        <w:trPr>
          <w:trHeight w:val="267"/>
          <w:jc w:val="center"/>
        </w:trPr>
        <w:tc>
          <w:tcPr>
            <w:tcW w:w="6200" w:type="dxa"/>
            <w:tcBorders>
              <w:left w:val="single" w:sz="4" w:space="0" w:color="auto"/>
              <w:bottom w:val="single" w:sz="4" w:space="0" w:color="auto"/>
              <w:right w:val="single" w:sz="4" w:space="0" w:color="auto"/>
            </w:tcBorders>
          </w:tcPr>
          <w:p w14:paraId="0F8023CF" w14:textId="77777777" w:rsidR="00D03AD3" w:rsidRPr="00D03AD3" w:rsidRDefault="00D03AD3" w:rsidP="00D03AD3">
            <w:pPr>
              <w:tabs>
                <w:tab w:val="left" w:pos="567"/>
              </w:tabs>
              <w:jc w:val="right"/>
              <w:rPr>
                <w:b/>
                <w:bCs/>
                <w:iCs/>
                <w:lang w:eastAsia="lt-LT"/>
              </w:rPr>
            </w:pPr>
            <w:r w:rsidRPr="00D03AD3">
              <w:rPr>
                <w:b/>
                <w:bCs/>
                <w:iCs/>
                <w:lang w:eastAsia="lt-LT"/>
              </w:rPr>
              <w:t>Referentinė kaštų naudingumo vertė</w:t>
            </w:r>
          </w:p>
        </w:tc>
        <w:tc>
          <w:tcPr>
            <w:tcW w:w="3239" w:type="dxa"/>
            <w:tcBorders>
              <w:left w:val="single" w:sz="4" w:space="0" w:color="auto"/>
              <w:bottom w:val="single" w:sz="4" w:space="0" w:color="auto"/>
              <w:right w:val="single" w:sz="4" w:space="0" w:color="auto"/>
            </w:tcBorders>
          </w:tcPr>
          <w:p w14:paraId="41EA67E2" w14:textId="4A61FA7A" w:rsidR="00D03AD3" w:rsidRPr="00D03AD3" w:rsidRDefault="00D03AD3" w:rsidP="00D03AD3">
            <w:pPr>
              <w:tabs>
                <w:tab w:val="left" w:pos="567"/>
              </w:tabs>
              <w:jc w:val="center"/>
              <w:rPr>
                <w:b/>
                <w:bCs/>
                <w:i/>
                <w:iCs/>
                <w:lang w:eastAsia="lt-LT"/>
              </w:rPr>
            </w:pPr>
            <w:r w:rsidRPr="00D03AD3">
              <w:rPr>
                <w:b/>
                <w:bCs/>
                <w:lang w:eastAsia="lt-LT"/>
              </w:rPr>
              <w:t>100 020</w:t>
            </w:r>
          </w:p>
        </w:tc>
      </w:tr>
    </w:tbl>
    <w:p w14:paraId="11D0F014" w14:textId="77777777" w:rsidR="00785E59" w:rsidRPr="000203E1" w:rsidRDefault="00785E59" w:rsidP="00785E59">
      <w:pPr>
        <w:tabs>
          <w:tab w:val="left" w:pos="567"/>
        </w:tabs>
        <w:jc w:val="both"/>
        <w:rPr>
          <w:iCs/>
          <w:sz w:val="20"/>
          <w:lang w:eastAsia="lt-LT"/>
        </w:rPr>
      </w:pPr>
      <w:r w:rsidRPr="000203E1">
        <w:rPr>
          <w:iCs/>
          <w:sz w:val="20"/>
          <w:lang w:eastAsia="lt-LT"/>
        </w:rPr>
        <w:t>ICER – (</w:t>
      </w:r>
      <w:r w:rsidRPr="000203E1">
        <w:rPr>
          <w:i/>
          <w:sz w:val="20"/>
          <w:lang w:eastAsia="lt-LT"/>
        </w:rPr>
        <w:t>angl. incremental cost-effectiveness ratio</w:t>
      </w:r>
      <w:r w:rsidRPr="000203E1">
        <w:rPr>
          <w:iCs/>
          <w:sz w:val="20"/>
          <w:lang w:eastAsia="lt-LT"/>
        </w:rPr>
        <w:t>) inkrementinis kaštų naudingumo koeficientas; LY – (</w:t>
      </w:r>
      <w:r w:rsidRPr="000203E1">
        <w:rPr>
          <w:i/>
          <w:sz w:val="20"/>
          <w:lang w:eastAsia="lt-LT"/>
        </w:rPr>
        <w:t>angl. life years</w:t>
      </w:r>
      <w:r w:rsidRPr="000203E1">
        <w:rPr>
          <w:iCs/>
          <w:sz w:val="20"/>
          <w:lang w:eastAsia="lt-LT"/>
        </w:rPr>
        <w:t>) gyvenimo metai; QALY- (</w:t>
      </w:r>
      <w:r w:rsidRPr="000203E1">
        <w:rPr>
          <w:i/>
          <w:sz w:val="20"/>
          <w:lang w:eastAsia="lt-LT"/>
        </w:rPr>
        <w:t xml:space="preserve">angl. quality adjusted life years) </w:t>
      </w:r>
      <w:r w:rsidRPr="000203E1">
        <w:rPr>
          <w:iCs/>
          <w:sz w:val="20"/>
          <w:lang w:eastAsia="lt-LT"/>
        </w:rPr>
        <w:t>kokybiški gyvenimo metai.</w:t>
      </w:r>
    </w:p>
    <w:p w14:paraId="271FD189" w14:textId="77777777" w:rsidR="00B72341" w:rsidRDefault="00B72341" w:rsidP="00D03AD3">
      <w:pPr>
        <w:jc w:val="both"/>
      </w:pPr>
    </w:p>
    <w:p w14:paraId="0EC48A6B" w14:textId="77777777" w:rsidR="00B72341" w:rsidRPr="00AF3EBC" w:rsidRDefault="00B72341" w:rsidP="00AF3EBC">
      <w:pPr>
        <w:ind w:firstLine="709"/>
        <w:jc w:val="both"/>
      </w:pPr>
    </w:p>
    <w:p w14:paraId="4FC424F9" w14:textId="4E767245" w:rsidR="00C62B36" w:rsidRPr="00797153" w:rsidRDefault="00C62B36" w:rsidP="00B72341">
      <w:pPr>
        <w:pStyle w:val="ListParagraph"/>
        <w:numPr>
          <w:ilvl w:val="0"/>
          <w:numId w:val="24"/>
        </w:numPr>
        <w:tabs>
          <w:tab w:val="left" w:pos="284"/>
        </w:tabs>
        <w:rPr>
          <w:b/>
          <w:bCs/>
          <w:caps/>
        </w:rPr>
      </w:pPr>
      <w:r w:rsidRPr="00797153">
        <w:rPr>
          <w:b/>
          <w:bCs/>
          <w:caps/>
        </w:rPr>
        <w:t xml:space="preserve">Pacientų organizacijų pateikti duomenys </w:t>
      </w:r>
    </w:p>
    <w:p w14:paraId="79BCFF40" w14:textId="07C31CDA" w:rsidR="00937907" w:rsidRPr="00797153" w:rsidRDefault="00A81452" w:rsidP="00937907">
      <w:pPr>
        <w:spacing w:after="120"/>
        <w:jc w:val="both"/>
      </w:pPr>
      <w:sdt>
        <w:sdtPr>
          <w:rPr>
            <w:rStyle w:val="Style2"/>
            <w:rFonts w:ascii="MS Gothic" w:eastAsia="MS Gothic" w:hAnsi="MS Gothic"/>
          </w:rPr>
          <w:id w:val="1150014178"/>
          <w15:color w:val="FFCC00"/>
          <w14:checkbox>
            <w14:checked w14:val="1"/>
            <w14:checkedState w14:val="2612" w14:font="MS Gothic"/>
            <w14:uncheckedState w14:val="2610" w14:font="MS Gothic"/>
          </w14:checkbox>
        </w:sdtPr>
        <w:sdtEndPr>
          <w:rPr>
            <w:rStyle w:val="Style2"/>
          </w:rPr>
        </w:sdtEndPr>
        <w:sdtContent>
          <w:r w:rsidR="00341BF0">
            <w:rPr>
              <w:rStyle w:val="Style2"/>
              <w:rFonts w:ascii="MS Gothic" w:eastAsia="MS Gothic" w:hAnsi="MS Gothic" w:hint="eastAsia"/>
            </w:rPr>
            <w:t>☒</w:t>
          </w:r>
        </w:sdtContent>
      </w:sdt>
      <w:r w:rsidR="00937907" w:rsidRPr="00797153">
        <w:t xml:space="preserve"> Pacientų organizacijos pozicija pateikta. Žr. priedą.</w:t>
      </w:r>
    </w:p>
    <w:p w14:paraId="62992180" w14:textId="5B92238A" w:rsidR="00937907" w:rsidRPr="00797153" w:rsidRDefault="00A81452" w:rsidP="00937907">
      <w:pPr>
        <w:spacing w:after="120"/>
        <w:jc w:val="both"/>
      </w:pPr>
      <w:sdt>
        <w:sdtPr>
          <w:rPr>
            <w:rStyle w:val="Style2"/>
            <w:rFonts w:ascii="MS Gothic" w:eastAsia="MS Gothic" w:hAnsi="MS Gothic"/>
          </w:rPr>
          <w:id w:val="-1545513810"/>
          <w15:color w:val="FFCC00"/>
          <w14:checkbox>
            <w14:checked w14:val="0"/>
            <w14:checkedState w14:val="2612" w14:font="MS Gothic"/>
            <w14:uncheckedState w14:val="2610" w14:font="MS Gothic"/>
          </w14:checkbox>
        </w:sdtPr>
        <w:sdtEndPr>
          <w:rPr>
            <w:rStyle w:val="Style2"/>
          </w:rPr>
        </w:sdtEndPr>
        <w:sdtContent>
          <w:r w:rsidR="00341BF0">
            <w:rPr>
              <w:rStyle w:val="Style2"/>
              <w:rFonts w:ascii="MS Gothic" w:eastAsia="MS Gothic" w:hAnsi="MS Gothic" w:hint="eastAsia"/>
            </w:rPr>
            <w:t>☐</w:t>
          </w:r>
        </w:sdtContent>
      </w:sdt>
      <w:r w:rsidR="00937907" w:rsidRPr="00797153">
        <w:t xml:space="preserve"> Pacientų organizacijos pozicija </w:t>
      </w:r>
      <w:r w:rsidR="00880A44">
        <w:t>ne</w:t>
      </w:r>
      <w:r w:rsidR="00937907" w:rsidRPr="00797153">
        <w:t>pateikta.</w:t>
      </w:r>
    </w:p>
    <w:p w14:paraId="3D3277FA" w14:textId="3CEEB2D2" w:rsidR="00C62B36" w:rsidRPr="00797153" w:rsidRDefault="00C62B36" w:rsidP="00B72341">
      <w:pPr>
        <w:pStyle w:val="ListParagraph"/>
        <w:numPr>
          <w:ilvl w:val="0"/>
          <w:numId w:val="24"/>
        </w:numPr>
        <w:tabs>
          <w:tab w:val="left" w:pos="426"/>
        </w:tabs>
        <w:rPr>
          <w:b/>
          <w:bCs/>
          <w:caps/>
        </w:rPr>
      </w:pPr>
      <w:r w:rsidRPr="00797153">
        <w:rPr>
          <w:b/>
          <w:bCs/>
          <w:caps/>
        </w:rPr>
        <w:t>Gydytojų organizacijų pateikti duomenys</w:t>
      </w:r>
    </w:p>
    <w:p w14:paraId="389A346C" w14:textId="3BEED720" w:rsidR="00937907" w:rsidRPr="00797153" w:rsidRDefault="00A81452" w:rsidP="00662983">
      <w:pPr>
        <w:spacing w:after="120"/>
        <w:jc w:val="both"/>
      </w:pPr>
      <w:sdt>
        <w:sdtPr>
          <w:rPr>
            <w:rStyle w:val="Style2"/>
            <w:rFonts w:ascii="MS Gothic" w:eastAsia="MS Gothic" w:hAnsi="MS Gothic"/>
          </w:rPr>
          <w:id w:val="1613862788"/>
          <w15:color w:val="FFCC00"/>
          <w14:checkbox>
            <w14:checked w14:val="1"/>
            <w14:checkedState w14:val="2612" w14:font="MS Gothic"/>
            <w14:uncheckedState w14:val="2610" w14:font="MS Gothic"/>
          </w14:checkbox>
        </w:sdtPr>
        <w:sdtEndPr>
          <w:rPr>
            <w:rStyle w:val="Style2"/>
          </w:rPr>
        </w:sdtEndPr>
        <w:sdtContent>
          <w:r w:rsidR="00341BF0">
            <w:rPr>
              <w:rStyle w:val="Style2"/>
              <w:rFonts w:ascii="MS Gothic" w:eastAsia="MS Gothic" w:hAnsi="MS Gothic" w:hint="eastAsia"/>
            </w:rPr>
            <w:t>☒</w:t>
          </w:r>
        </w:sdtContent>
      </w:sdt>
      <w:r w:rsidR="00662983" w:rsidRPr="00797153">
        <w:t xml:space="preserve"> </w:t>
      </w:r>
      <w:r w:rsidR="00937907" w:rsidRPr="00797153">
        <w:t xml:space="preserve">Gydytojų specialistų organizacijos pozicija pateikta. </w:t>
      </w:r>
      <w:r w:rsidR="00662983" w:rsidRPr="00797153">
        <w:t>Žr. priedą</w:t>
      </w:r>
      <w:r w:rsidR="00937907" w:rsidRPr="00797153">
        <w:t>.</w:t>
      </w:r>
    </w:p>
    <w:p w14:paraId="5D8CC48C" w14:textId="6CDDC79B" w:rsidR="00662983" w:rsidRDefault="00A81452" w:rsidP="00662983">
      <w:pPr>
        <w:spacing w:after="120"/>
        <w:jc w:val="both"/>
      </w:pPr>
      <w:sdt>
        <w:sdtPr>
          <w:rPr>
            <w:rStyle w:val="Style2"/>
            <w:rFonts w:ascii="MS Gothic" w:eastAsia="MS Gothic" w:hAnsi="MS Gothic"/>
          </w:rPr>
          <w:id w:val="-41988141"/>
          <w15:color w:val="FFCC00"/>
          <w14:checkbox>
            <w14:checked w14:val="0"/>
            <w14:checkedState w14:val="2612" w14:font="MS Gothic"/>
            <w14:uncheckedState w14:val="2610" w14:font="MS Gothic"/>
          </w14:checkbox>
        </w:sdtPr>
        <w:sdtEndPr>
          <w:rPr>
            <w:rStyle w:val="Style2"/>
          </w:rPr>
        </w:sdtEndPr>
        <w:sdtContent>
          <w:r w:rsidR="003F441D">
            <w:rPr>
              <w:rStyle w:val="Style2"/>
              <w:rFonts w:ascii="MS Gothic" w:eastAsia="MS Gothic" w:hAnsi="MS Gothic" w:hint="eastAsia"/>
            </w:rPr>
            <w:t>☐</w:t>
          </w:r>
        </w:sdtContent>
      </w:sdt>
      <w:r w:rsidR="00662983" w:rsidRPr="00797153">
        <w:t xml:space="preserve"> </w:t>
      </w:r>
      <w:r w:rsidR="00937907" w:rsidRPr="00797153">
        <w:t xml:space="preserve">Gydytojų specialistų organizacijos pozicija </w:t>
      </w:r>
      <w:r w:rsidR="00880A44">
        <w:t>ne</w:t>
      </w:r>
      <w:r w:rsidR="00937907" w:rsidRPr="00797153">
        <w:t>pateikta.</w:t>
      </w:r>
    </w:p>
    <w:p w14:paraId="59FA6FEC" w14:textId="77777777" w:rsidR="00AB2DC2" w:rsidRPr="006E501F" w:rsidRDefault="00AB2DC2" w:rsidP="00662983">
      <w:pPr>
        <w:spacing w:after="120"/>
        <w:jc w:val="both"/>
      </w:pPr>
    </w:p>
    <w:p w14:paraId="78F23ECB" w14:textId="23A3A002" w:rsidR="002F0E4F" w:rsidRDefault="002F0E4F" w:rsidP="00B72341">
      <w:pPr>
        <w:pStyle w:val="ListParagraph"/>
        <w:numPr>
          <w:ilvl w:val="0"/>
          <w:numId w:val="24"/>
        </w:numPr>
        <w:tabs>
          <w:tab w:val="left" w:pos="426"/>
        </w:tabs>
        <w:rPr>
          <w:b/>
          <w:bCs/>
          <w:caps/>
        </w:rPr>
      </w:pPr>
      <w:r w:rsidRPr="00B4017A">
        <w:rPr>
          <w:b/>
          <w:bCs/>
          <w:caps/>
        </w:rPr>
        <w:t xml:space="preserve">Išvada </w:t>
      </w:r>
    </w:p>
    <w:p w14:paraId="573E407F" w14:textId="77777777" w:rsidR="00797153" w:rsidRPr="00797153" w:rsidRDefault="00797153" w:rsidP="00797153">
      <w:pPr>
        <w:tabs>
          <w:tab w:val="left" w:pos="426"/>
        </w:tabs>
        <w:rPr>
          <w:b/>
          <w:bCs/>
          <w:caps/>
        </w:rPr>
      </w:pPr>
    </w:p>
    <w:tbl>
      <w:tblPr>
        <w:tblStyle w:val="TableGrid"/>
        <w:tblW w:w="0" w:type="auto"/>
        <w:tblLook w:val="04A0" w:firstRow="1" w:lastRow="0" w:firstColumn="1" w:lastColumn="0" w:noHBand="0" w:noVBand="1"/>
      </w:tblPr>
      <w:tblGrid>
        <w:gridCol w:w="4815"/>
        <w:gridCol w:w="4814"/>
      </w:tblGrid>
      <w:tr w:rsidR="00B13D65" w:rsidRPr="00B13D65" w14:paraId="25A2473E" w14:textId="77777777" w:rsidTr="00BD1E5A">
        <w:tc>
          <w:tcPr>
            <w:tcW w:w="4981" w:type="dxa"/>
          </w:tcPr>
          <w:p w14:paraId="7EFE6941" w14:textId="23B8BB6D" w:rsidR="00B13D65" w:rsidRPr="00B13D65" w:rsidRDefault="00662983"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Style2"/>
                <w:rFonts w:eastAsia="MS Gothic"/>
                <w:b/>
                <w:bCs/>
                <w:sz w:val="24"/>
              </w:rPr>
            </w:pPr>
            <w:r>
              <w:rPr>
                <w:rStyle w:val="Style2"/>
                <w:rFonts w:eastAsia="MS Gothic"/>
                <w:b/>
                <w:bCs/>
                <w:sz w:val="24"/>
              </w:rPr>
              <w:t>Rekomenduojama kompensuoti</w:t>
            </w:r>
          </w:p>
        </w:tc>
        <w:tc>
          <w:tcPr>
            <w:tcW w:w="4981" w:type="dxa"/>
          </w:tcPr>
          <w:p w14:paraId="330A1A5E" w14:textId="19247DC1" w:rsidR="00B13D65" w:rsidRPr="00B13D65" w:rsidRDefault="00662983"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Style2"/>
                <w:rFonts w:eastAsia="MS Gothic"/>
                <w:b/>
                <w:bCs/>
                <w:sz w:val="24"/>
              </w:rPr>
            </w:pPr>
            <w:r>
              <w:rPr>
                <w:rStyle w:val="Style2"/>
                <w:rFonts w:eastAsia="MS Gothic"/>
                <w:b/>
                <w:bCs/>
                <w:sz w:val="24"/>
              </w:rPr>
              <w:t>Rekomenduojama nekompensuoti</w:t>
            </w:r>
            <w:r w:rsidRPr="00B13D65">
              <w:rPr>
                <w:rStyle w:val="Style2"/>
                <w:rFonts w:eastAsia="MS Gothic"/>
                <w:b/>
                <w:bCs/>
                <w:sz w:val="24"/>
              </w:rPr>
              <w:t xml:space="preserve"> </w:t>
            </w:r>
          </w:p>
        </w:tc>
      </w:tr>
      <w:tr w:rsidR="00B13D65" w:rsidRPr="00B13D65" w14:paraId="143A7356" w14:textId="77777777" w:rsidTr="00BD1E5A">
        <w:tc>
          <w:tcPr>
            <w:tcW w:w="9962" w:type="dxa"/>
            <w:gridSpan w:val="2"/>
          </w:tcPr>
          <w:p w14:paraId="5D93D240" w14:textId="77777777" w:rsidR="00B13D65" w:rsidRPr="00B13D65" w:rsidRDefault="00B13D65"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Style w:val="Style2"/>
                <w:rFonts w:eastAsia="MS Gothic"/>
                <w:b/>
                <w:bCs/>
                <w:sz w:val="24"/>
              </w:rPr>
            </w:pPr>
            <w:r w:rsidRPr="00B13D65">
              <w:rPr>
                <w:rStyle w:val="Style2"/>
                <w:rFonts w:eastAsia="MS Gothic"/>
                <w:b/>
                <w:bCs/>
                <w:sz w:val="24"/>
              </w:rPr>
              <w:t>Palyginamasis efektyvumas</w:t>
            </w:r>
          </w:p>
          <w:p w14:paraId="0AF5D6B4" w14:textId="77777777" w:rsidR="00B13D65" w:rsidRPr="00B13D65" w:rsidRDefault="00B13D65"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Style w:val="Style2"/>
                <w:rFonts w:eastAsia="MS Gothic"/>
                <w:b/>
                <w:bCs/>
                <w:sz w:val="24"/>
              </w:rPr>
            </w:pPr>
          </w:p>
        </w:tc>
      </w:tr>
      <w:tr w:rsidR="00B13D65" w:rsidRPr="00B13D65" w14:paraId="28A0C814" w14:textId="77777777" w:rsidTr="00BD1E5A">
        <w:tc>
          <w:tcPr>
            <w:tcW w:w="4981" w:type="dxa"/>
          </w:tcPr>
          <w:p w14:paraId="216769B5" w14:textId="5E36DF8B" w:rsidR="00B13D65" w:rsidRDefault="00A81452"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rPr>
                  <w:rStyle w:val="Style2"/>
                  <w:sz w:val="24"/>
                </w:rPr>
                <w:id w:val="1397324644"/>
                <w15:color w:val="FFCC00"/>
                <w14:checkbox>
                  <w14:checked w14:val="1"/>
                  <w14:checkedState w14:val="2612" w14:font="MS Gothic"/>
                  <w14:uncheckedState w14:val="2610" w14:font="MS Gothic"/>
                </w14:checkbox>
              </w:sdtPr>
              <w:sdtEndPr>
                <w:rPr>
                  <w:rStyle w:val="Style2"/>
                </w:rPr>
              </w:sdtEndPr>
              <w:sdtContent>
                <w:r w:rsidR="00D03AD3">
                  <w:rPr>
                    <w:rStyle w:val="Style2"/>
                    <w:rFonts w:ascii="MS Gothic" w:eastAsia="MS Gothic" w:hAnsi="MS Gothic" w:hint="eastAsia"/>
                    <w:sz w:val="24"/>
                  </w:rPr>
                  <w:t>☒</w:t>
                </w:r>
              </w:sdtContent>
            </w:sdt>
            <w:r w:rsidR="00B13D65" w:rsidRPr="00B13D65">
              <w:t xml:space="preserve"> 32.1. yra didesnis</w:t>
            </w:r>
          </w:p>
          <w:p w14:paraId="3B48F372" w14:textId="77777777" w:rsidR="00662983" w:rsidRPr="00B13D65" w:rsidRDefault="00662983"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174F18D4" w14:textId="50982293" w:rsidR="00B13D65" w:rsidRPr="00B13D65" w:rsidRDefault="00A81452" w:rsidP="006629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Style2"/>
                <w:sz w:val="24"/>
              </w:rPr>
            </w:pPr>
            <w:sdt>
              <w:sdtPr>
                <w:rPr>
                  <w:rStyle w:val="Style2"/>
                  <w:sz w:val="24"/>
                </w:rPr>
                <w:id w:val="418297090"/>
                <w15:color w:val="FFCC00"/>
                <w14:checkbox>
                  <w14:checked w14:val="0"/>
                  <w14:checkedState w14:val="2612" w14:font="MS Gothic"/>
                  <w14:uncheckedState w14:val="2610" w14:font="MS Gothic"/>
                </w14:checkbox>
              </w:sdtPr>
              <w:sdtEndPr>
                <w:rPr>
                  <w:rStyle w:val="Style2"/>
                </w:rPr>
              </w:sdtEndPr>
              <w:sdtContent>
                <w:r w:rsidR="00D03AD3">
                  <w:rPr>
                    <w:rStyle w:val="Style2"/>
                    <w:rFonts w:ascii="MS Gothic" w:eastAsia="MS Gothic" w:hAnsi="MS Gothic" w:hint="eastAsia"/>
                    <w:sz w:val="24"/>
                  </w:rPr>
                  <w:t>☐</w:t>
                </w:r>
              </w:sdtContent>
            </w:sdt>
            <w:r w:rsidR="00B13D65" w:rsidRPr="00B13D65">
              <w:t xml:space="preserve"> 32.1. iš esmės nesiskiria</w:t>
            </w:r>
          </w:p>
        </w:tc>
        <w:tc>
          <w:tcPr>
            <w:tcW w:w="4981" w:type="dxa"/>
          </w:tcPr>
          <w:p w14:paraId="507828D9" w14:textId="09AE523F" w:rsidR="00B13D65" w:rsidRDefault="00A81452"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rPr>
                  <w:rStyle w:val="Style2"/>
                  <w:sz w:val="24"/>
                </w:rPr>
                <w:id w:val="-724755596"/>
                <w15:color w:val="FFCC00"/>
                <w14:checkbox>
                  <w14:checked w14:val="0"/>
                  <w14:checkedState w14:val="2612" w14:font="MS Gothic"/>
                  <w14:uncheckedState w14:val="2610" w14:font="MS Gothic"/>
                </w14:checkbox>
              </w:sdtPr>
              <w:sdtEndPr>
                <w:rPr>
                  <w:rStyle w:val="Style2"/>
                </w:rPr>
              </w:sdtEndPr>
              <w:sdtContent>
                <w:r w:rsidR="00B13D65" w:rsidRPr="00B13D65">
                  <w:rPr>
                    <w:rStyle w:val="Style2"/>
                    <w:rFonts w:ascii="Segoe UI Symbol" w:eastAsia="MS Gothic" w:hAnsi="Segoe UI Symbol" w:cs="Segoe UI Symbol"/>
                    <w:sz w:val="24"/>
                  </w:rPr>
                  <w:t>☐</w:t>
                </w:r>
              </w:sdtContent>
            </w:sdt>
            <w:r w:rsidR="00B13D65" w:rsidRPr="00B13D65">
              <w:t xml:space="preserve"> 33.1. yra mažesnis</w:t>
            </w:r>
          </w:p>
          <w:p w14:paraId="7F95DEEC" w14:textId="77777777" w:rsidR="00662983" w:rsidRPr="00B13D65" w:rsidRDefault="00662983"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680682B8" w14:textId="54F77A6C" w:rsidR="00662983" w:rsidRDefault="00A81452"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rPr>
                  <w:rStyle w:val="Style2"/>
                  <w:sz w:val="24"/>
                </w:rPr>
                <w:id w:val="1862168479"/>
                <w15:color w:val="FFCC00"/>
                <w14:checkbox>
                  <w14:checked w14:val="0"/>
                  <w14:checkedState w14:val="2612" w14:font="MS Gothic"/>
                  <w14:uncheckedState w14:val="2610" w14:font="MS Gothic"/>
                </w14:checkbox>
              </w:sdtPr>
              <w:sdtEndPr>
                <w:rPr>
                  <w:rStyle w:val="Style2"/>
                </w:rPr>
              </w:sdtEndPr>
              <w:sdtContent>
                <w:r w:rsidR="00B13D65" w:rsidRPr="00B13D65">
                  <w:rPr>
                    <w:rStyle w:val="Style2"/>
                    <w:rFonts w:ascii="Segoe UI Symbol" w:eastAsia="MS Gothic" w:hAnsi="Segoe UI Symbol" w:cs="Segoe UI Symbol"/>
                    <w:sz w:val="24"/>
                  </w:rPr>
                  <w:t>☐</w:t>
                </w:r>
              </w:sdtContent>
            </w:sdt>
            <w:r w:rsidR="00B13D65" w:rsidRPr="00B13D65">
              <w:t xml:space="preserve"> 33.1. yra neįrodytas kaip toks pat</w:t>
            </w:r>
          </w:p>
          <w:p w14:paraId="35205E85" w14:textId="77777777" w:rsidR="00662983" w:rsidRDefault="00662983"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2CC3F0A3" w14:textId="7FB4ABC3" w:rsidR="00B13D65" w:rsidRDefault="00A81452"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rPr>
                  <w:rStyle w:val="Style2"/>
                  <w:sz w:val="24"/>
                </w:rPr>
                <w:id w:val="-1857960180"/>
                <w15:color w:val="FFCC00"/>
                <w14:checkbox>
                  <w14:checked w14:val="0"/>
                  <w14:checkedState w14:val="2612" w14:font="MS Gothic"/>
                  <w14:uncheckedState w14:val="2610" w14:font="MS Gothic"/>
                </w14:checkbox>
              </w:sdtPr>
              <w:sdtEndPr>
                <w:rPr>
                  <w:rStyle w:val="Style2"/>
                </w:rPr>
              </w:sdtEndPr>
              <w:sdtContent>
                <w:r w:rsidR="00662983" w:rsidRPr="00B13D65">
                  <w:rPr>
                    <w:rStyle w:val="Style2"/>
                    <w:rFonts w:ascii="Segoe UI Symbol" w:eastAsia="MS Gothic" w:hAnsi="Segoe UI Symbol" w:cs="Segoe UI Symbol"/>
                    <w:sz w:val="24"/>
                  </w:rPr>
                  <w:t>☐</w:t>
                </w:r>
              </w:sdtContent>
            </w:sdt>
            <w:r w:rsidR="00662983" w:rsidRPr="00B13D65">
              <w:t xml:space="preserve"> </w:t>
            </w:r>
            <w:r w:rsidR="00662983">
              <w:t xml:space="preserve">33.1 </w:t>
            </w:r>
            <w:r w:rsidR="00B13D65" w:rsidRPr="00B13D65">
              <w:t>neįrodytas kaip didesnis</w:t>
            </w:r>
          </w:p>
          <w:p w14:paraId="512E653B" w14:textId="77777777" w:rsidR="00662983" w:rsidRPr="00B13D65" w:rsidRDefault="00662983"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73F374F4" w14:textId="77777777" w:rsidR="00B13D65" w:rsidRPr="00B13D65" w:rsidRDefault="00A81452"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rPr>
                  <w:rStyle w:val="Style2"/>
                  <w:sz w:val="24"/>
                </w:rPr>
                <w:id w:val="2069842114"/>
                <w15:color w:val="FFCC00"/>
                <w14:checkbox>
                  <w14:checked w14:val="0"/>
                  <w14:checkedState w14:val="2612" w14:font="MS Gothic"/>
                  <w14:uncheckedState w14:val="2610" w14:font="MS Gothic"/>
                </w14:checkbox>
              </w:sdtPr>
              <w:sdtEndPr>
                <w:rPr>
                  <w:rStyle w:val="Style2"/>
                </w:rPr>
              </w:sdtEndPr>
              <w:sdtContent>
                <w:r w:rsidR="00B13D65" w:rsidRPr="00B13D65">
                  <w:rPr>
                    <w:rStyle w:val="Style2"/>
                    <w:rFonts w:ascii="Segoe UI Symbol" w:eastAsia="MS Gothic" w:hAnsi="Segoe UI Symbol" w:cs="Segoe UI Symbol"/>
                    <w:sz w:val="24"/>
                  </w:rPr>
                  <w:t>☐</w:t>
                </w:r>
              </w:sdtContent>
            </w:sdt>
            <w:r w:rsidR="00B13D65" w:rsidRPr="00B13D65">
              <w:t xml:space="preserve"> 33.1. pateikti duomenys apie palyginamąjį efektyvumą yra netinkami vertinti</w:t>
            </w:r>
          </w:p>
          <w:p w14:paraId="5DDAA961" w14:textId="77777777" w:rsidR="00B13D65" w:rsidRPr="00B13D65" w:rsidRDefault="00B13D65"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Style2"/>
                <w:rFonts w:eastAsia="MS Gothic"/>
                <w:sz w:val="24"/>
              </w:rPr>
            </w:pPr>
          </w:p>
        </w:tc>
      </w:tr>
      <w:tr w:rsidR="00B13D65" w:rsidRPr="00B13D65" w14:paraId="161CC3FE" w14:textId="77777777" w:rsidTr="00BD1E5A">
        <w:tc>
          <w:tcPr>
            <w:tcW w:w="9962" w:type="dxa"/>
            <w:gridSpan w:val="2"/>
          </w:tcPr>
          <w:p w14:paraId="3B2878F0" w14:textId="77777777" w:rsidR="00B13D65" w:rsidRPr="00B13D65" w:rsidRDefault="00B13D65"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Style w:val="Style2"/>
                <w:rFonts w:eastAsia="MS Gothic"/>
                <w:b/>
                <w:bCs/>
                <w:sz w:val="24"/>
              </w:rPr>
            </w:pPr>
            <w:r w:rsidRPr="00B13D65">
              <w:rPr>
                <w:rStyle w:val="Style2"/>
                <w:rFonts w:eastAsia="MS Gothic"/>
                <w:b/>
                <w:bCs/>
                <w:sz w:val="24"/>
              </w:rPr>
              <w:t>Klinikinis veiksmingumas</w:t>
            </w:r>
          </w:p>
          <w:p w14:paraId="1AB46894" w14:textId="77777777" w:rsidR="00B13D65" w:rsidRPr="00B13D65" w:rsidRDefault="00B13D65"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Style w:val="Style2"/>
                <w:rFonts w:eastAsia="MS Gothic"/>
                <w:b/>
                <w:bCs/>
                <w:sz w:val="24"/>
              </w:rPr>
            </w:pPr>
          </w:p>
        </w:tc>
      </w:tr>
      <w:tr w:rsidR="00B13D65" w:rsidRPr="00B13D65" w14:paraId="3C60570A" w14:textId="77777777" w:rsidTr="00BD1E5A">
        <w:tc>
          <w:tcPr>
            <w:tcW w:w="4981" w:type="dxa"/>
          </w:tcPr>
          <w:p w14:paraId="6897B306" w14:textId="05863D24" w:rsidR="00B13D65" w:rsidRDefault="00A81452"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rPr>
                  <w:rStyle w:val="Style2"/>
                  <w:sz w:val="24"/>
                </w:rPr>
                <w:id w:val="-481080007"/>
                <w15:color w:val="FFCC00"/>
                <w14:checkbox>
                  <w14:checked w14:val="1"/>
                  <w14:checkedState w14:val="2612" w14:font="MS Gothic"/>
                  <w14:uncheckedState w14:val="2610" w14:font="MS Gothic"/>
                </w14:checkbox>
              </w:sdtPr>
              <w:sdtEndPr>
                <w:rPr>
                  <w:rStyle w:val="Style2"/>
                </w:rPr>
              </w:sdtEndPr>
              <w:sdtContent>
                <w:r w:rsidR="00D03AD3">
                  <w:rPr>
                    <w:rStyle w:val="Style2"/>
                    <w:rFonts w:ascii="MS Gothic" w:eastAsia="MS Gothic" w:hAnsi="MS Gothic" w:hint="eastAsia"/>
                    <w:sz w:val="24"/>
                  </w:rPr>
                  <w:t>☒</w:t>
                </w:r>
              </w:sdtContent>
            </w:sdt>
            <w:r w:rsidR="00B13D65" w:rsidRPr="00B13D65">
              <w:t xml:space="preserve"> 32.2. yra įvertintas kaip pagrindžiantis papildomos naudos pacientų sveikatai sukūrimą, lyginant su įprasta klinikine praktika</w:t>
            </w:r>
          </w:p>
          <w:p w14:paraId="71D57105" w14:textId="77777777" w:rsidR="00662983" w:rsidRPr="00B13D65" w:rsidRDefault="00662983"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1EBBDF86" w14:textId="4615DE5C" w:rsidR="00B13D65" w:rsidRPr="00B13D65" w:rsidRDefault="00A81452"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rPr>
                  <w:rStyle w:val="Style2"/>
                  <w:sz w:val="24"/>
                </w:rPr>
                <w:id w:val="-862061586"/>
                <w15:color w:val="FFCC00"/>
                <w14:checkbox>
                  <w14:checked w14:val="0"/>
                  <w14:checkedState w14:val="2612" w14:font="MS Gothic"/>
                  <w14:uncheckedState w14:val="2610" w14:font="MS Gothic"/>
                </w14:checkbox>
              </w:sdtPr>
              <w:sdtEndPr>
                <w:rPr>
                  <w:rStyle w:val="Style2"/>
                </w:rPr>
              </w:sdtEndPr>
              <w:sdtContent>
                <w:r w:rsidR="00D03AD3">
                  <w:rPr>
                    <w:rStyle w:val="Style2"/>
                    <w:rFonts w:ascii="MS Gothic" w:eastAsia="MS Gothic" w:hAnsi="MS Gothic" w:hint="eastAsia"/>
                    <w:sz w:val="24"/>
                  </w:rPr>
                  <w:t>☐</w:t>
                </w:r>
              </w:sdtContent>
            </w:sdt>
            <w:r w:rsidR="00B13D65" w:rsidRPr="00B13D65">
              <w:t xml:space="preserve"> 32.2. įvertintas kaip pagrindžiantis nesiskiriančios naudos pacientų sveikatai sukūrimą, lyginant su įprasta klinikine praktika</w:t>
            </w:r>
          </w:p>
          <w:p w14:paraId="287AD233" w14:textId="77777777" w:rsidR="00B13D65" w:rsidRPr="00B13D65" w:rsidRDefault="00B13D65"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Style2"/>
                <w:rFonts w:eastAsia="MS Gothic"/>
                <w:sz w:val="24"/>
              </w:rPr>
            </w:pPr>
          </w:p>
        </w:tc>
        <w:tc>
          <w:tcPr>
            <w:tcW w:w="4981" w:type="dxa"/>
          </w:tcPr>
          <w:p w14:paraId="74A2DECF" w14:textId="77777777" w:rsidR="00662983" w:rsidRPr="00B13D65" w:rsidRDefault="00A81452" w:rsidP="00662983">
            <w:pPr>
              <w:jc w:val="both"/>
            </w:pPr>
            <w:sdt>
              <w:sdtPr>
                <w:rPr>
                  <w:rStyle w:val="Style2"/>
                  <w:sz w:val="24"/>
                </w:rPr>
                <w:id w:val="-1034573056"/>
                <w15:color w:val="FFCC00"/>
                <w14:checkbox>
                  <w14:checked w14:val="0"/>
                  <w14:checkedState w14:val="2612" w14:font="MS Gothic"/>
                  <w14:uncheckedState w14:val="2610" w14:font="MS Gothic"/>
                </w14:checkbox>
              </w:sdtPr>
              <w:sdtEndPr>
                <w:rPr>
                  <w:rStyle w:val="Style2"/>
                </w:rPr>
              </w:sdtEndPr>
              <w:sdtContent>
                <w:r w:rsidR="00B13D65" w:rsidRPr="00B13D65">
                  <w:rPr>
                    <w:rStyle w:val="Style2"/>
                    <w:rFonts w:ascii="Segoe UI Symbol" w:eastAsia="MS Gothic" w:hAnsi="Segoe UI Symbol" w:cs="Segoe UI Symbol"/>
                    <w:sz w:val="24"/>
                  </w:rPr>
                  <w:t>☐</w:t>
                </w:r>
              </w:sdtContent>
            </w:sdt>
            <w:r w:rsidR="00B13D65" w:rsidRPr="00B13D65">
              <w:t xml:space="preserve"> 33.1. yra įvertintas kaip nepagrindžiantis papildomos </w:t>
            </w:r>
            <w:r w:rsidR="00662983" w:rsidRPr="00B13D65">
              <w:t>naudos pacientų sveikatai sukūrimo, lyginant su  įprasta klinikine praktika.</w:t>
            </w:r>
          </w:p>
          <w:p w14:paraId="6C70BCFC" w14:textId="77777777" w:rsidR="00662983" w:rsidRDefault="00662983" w:rsidP="00BD1E5A">
            <w:pPr>
              <w:jc w:val="both"/>
            </w:pPr>
          </w:p>
          <w:p w14:paraId="0ADEC30D" w14:textId="25150412" w:rsidR="00B13D65" w:rsidRPr="00B13D65" w:rsidRDefault="00A81452" w:rsidP="00BD1E5A">
            <w:pPr>
              <w:jc w:val="both"/>
            </w:pPr>
            <w:sdt>
              <w:sdtPr>
                <w:rPr>
                  <w:rStyle w:val="Style2"/>
                  <w:sz w:val="24"/>
                </w:rPr>
                <w:id w:val="1289549109"/>
                <w15:color w:val="FFCC00"/>
                <w14:checkbox>
                  <w14:checked w14:val="0"/>
                  <w14:checkedState w14:val="2612" w14:font="MS Gothic"/>
                  <w14:uncheckedState w14:val="2610" w14:font="MS Gothic"/>
                </w14:checkbox>
              </w:sdtPr>
              <w:sdtEndPr>
                <w:rPr>
                  <w:rStyle w:val="Style2"/>
                </w:rPr>
              </w:sdtEndPr>
              <w:sdtContent>
                <w:r w:rsidR="00662983" w:rsidRPr="00B13D65">
                  <w:rPr>
                    <w:rStyle w:val="Style2"/>
                    <w:rFonts w:ascii="Segoe UI Symbol" w:eastAsia="MS Gothic" w:hAnsi="Segoe UI Symbol" w:cs="Segoe UI Symbol"/>
                    <w:sz w:val="24"/>
                  </w:rPr>
                  <w:t>☐</w:t>
                </w:r>
              </w:sdtContent>
            </w:sdt>
            <w:r w:rsidR="00B13D65" w:rsidRPr="00B13D65">
              <w:t xml:space="preserve"> </w:t>
            </w:r>
            <w:r w:rsidR="00662983">
              <w:t xml:space="preserve">33.1. </w:t>
            </w:r>
            <w:r w:rsidR="00B13D65" w:rsidRPr="00B13D65">
              <w:t>nesiskiriančios naudos pacientų sveikatai sukūrimo, lyginant su įprasta klinikine praktika.</w:t>
            </w:r>
          </w:p>
          <w:p w14:paraId="1EED7901" w14:textId="77777777" w:rsidR="00B13D65" w:rsidRPr="00B13D65" w:rsidRDefault="00B13D65"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1747E672" w14:textId="77777777" w:rsidR="00B13D65" w:rsidRPr="00B13D65" w:rsidRDefault="00B13D65"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Style2"/>
                <w:rFonts w:eastAsia="MS Gothic"/>
                <w:sz w:val="24"/>
              </w:rPr>
            </w:pPr>
          </w:p>
        </w:tc>
      </w:tr>
      <w:tr w:rsidR="00B13D65" w:rsidRPr="00B13D65" w14:paraId="1C75AE76" w14:textId="77777777" w:rsidTr="00BD1E5A">
        <w:tc>
          <w:tcPr>
            <w:tcW w:w="9962" w:type="dxa"/>
            <w:gridSpan w:val="2"/>
          </w:tcPr>
          <w:p w14:paraId="56F7FA3E" w14:textId="77777777" w:rsidR="00B13D65" w:rsidRPr="00B13D65" w:rsidRDefault="00B13D65"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Style w:val="Style2"/>
                <w:rFonts w:eastAsia="MS Gothic"/>
                <w:b/>
                <w:bCs/>
                <w:sz w:val="24"/>
              </w:rPr>
            </w:pPr>
            <w:r w:rsidRPr="00B13D65">
              <w:rPr>
                <w:rStyle w:val="Style2"/>
                <w:rFonts w:eastAsia="MS Gothic"/>
                <w:b/>
                <w:bCs/>
                <w:sz w:val="24"/>
              </w:rPr>
              <w:t>Kaštų naudingumas</w:t>
            </w:r>
          </w:p>
          <w:p w14:paraId="0247EDAD" w14:textId="77777777" w:rsidR="00B13D65" w:rsidRPr="00B13D65" w:rsidRDefault="00B13D65"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Style w:val="Style2"/>
                <w:rFonts w:eastAsia="MS Gothic"/>
                <w:b/>
                <w:bCs/>
                <w:sz w:val="24"/>
              </w:rPr>
            </w:pPr>
          </w:p>
        </w:tc>
      </w:tr>
      <w:tr w:rsidR="00B13D65" w:rsidRPr="00B13D65" w14:paraId="7091A05B" w14:textId="77777777" w:rsidTr="00BD1E5A">
        <w:tc>
          <w:tcPr>
            <w:tcW w:w="4981" w:type="dxa"/>
          </w:tcPr>
          <w:p w14:paraId="69B2A994" w14:textId="40E64689" w:rsidR="00B13D65" w:rsidRDefault="00A81452"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rPr>
                  <w:rStyle w:val="Style2"/>
                  <w:sz w:val="24"/>
                </w:rPr>
                <w:id w:val="-1975984416"/>
                <w15:color w:val="FFCC00"/>
                <w14:checkbox>
                  <w14:checked w14:val="1"/>
                  <w14:checkedState w14:val="2612" w14:font="MS Gothic"/>
                  <w14:uncheckedState w14:val="2610" w14:font="MS Gothic"/>
                </w14:checkbox>
              </w:sdtPr>
              <w:sdtEndPr>
                <w:rPr>
                  <w:rStyle w:val="Style2"/>
                </w:rPr>
              </w:sdtEndPr>
              <w:sdtContent>
                <w:r w:rsidR="00DA0CCF">
                  <w:rPr>
                    <w:rStyle w:val="Style2"/>
                    <w:rFonts w:ascii="MS Gothic" w:eastAsia="MS Gothic" w:hAnsi="MS Gothic" w:hint="eastAsia"/>
                    <w:sz w:val="24"/>
                  </w:rPr>
                  <w:t>☒</w:t>
                </w:r>
              </w:sdtContent>
            </w:sdt>
            <w:r w:rsidR="00B13D65" w:rsidRPr="00B13D65">
              <w:t xml:space="preserve"> 32.3. atitinka referencinę naudingumo vertę, taikant</w:t>
            </w:r>
            <w:r w:rsidR="00662983">
              <w:t xml:space="preserve"> PGS</w:t>
            </w:r>
          </w:p>
          <w:p w14:paraId="3F76F153" w14:textId="77777777" w:rsidR="00662983" w:rsidRPr="00B13D65" w:rsidRDefault="00662983"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25E4BD1E" w14:textId="69165115" w:rsidR="00B13D65" w:rsidRPr="00B13D65" w:rsidRDefault="00A81452" w:rsidP="00D03A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Style2"/>
                <w:rFonts w:eastAsia="MS Gothic"/>
                <w:sz w:val="24"/>
              </w:rPr>
            </w:pPr>
            <w:sdt>
              <w:sdtPr>
                <w:rPr>
                  <w:rStyle w:val="Style2"/>
                  <w:sz w:val="24"/>
                </w:rPr>
                <w:id w:val="-1308081728"/>
                <w15:color w:val="FFCC00"/>
                <w14:checkbox>
                  <w14:checked w14:val="0"/>
                  <w14:checkedState w14:val="2612" w14:font="MS Gothic"/>
                  <w14:uncheckedState w14:val="2610" w14:font="MS Gothic"/>
                </w14:checkbox>
              </w:sdtPr>
              <w:sdtEndPr>
                <w:rPr>
                  <w:rStyle w:val="Style2"/>
                </w:rPr>
              </w:sdtEndPr>
              <w:sdtContent>
                <w:r w:rsidR="00DA0CCF">
                  <w:rPr>
                    <w:rStyle w:val="Style2"/>
                    <w:rFonts w:ascii="MS Gothic" w:eastAsia="MS Gothic" w:hAnsi="MS Gothic" w:hint="eastAsia"/>
                    <w:sz w:val="24"/>
                  </w:rPr>
                  <w:t>☐</w:t>
                </w:r>
              </w:sdtContent>
            </w:sdt>
            <w:r w:rsidR="00B13D65" w:rsidRPr="00B13D65">
              <w:t xml:space="preserve"> 32.3. gydymo juo kaštai yra mažesni ar tokie patys esant iš esmės nesiskirian</w:t>
            </w:r>
            <w:r w:rsidR="00B35176">
              <w:t>čiam palyginamajam efektyvumui</w:t>
            </w:r>
          </w:p>
        </w:tc>
        <w:tc>
          <w:tcPr>
            <w:tcW w:w="4981" w:type="dxa"/>
          </w:tcPr>
          <w:p w14:paraId="53380063" w14:textId="07F023EC" w:rsidR="00B13D65" w:rsidRDefault="00A81452"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rPr>
                  <w:rStyle w:val="Style2"/>
                  <w:sz w:val="24"/>
                </w:rPr>
                <w:id w:val="1365405113"/>
                <w15:color w:val="FFCC00"/>
                <w14:checkbox>
                  <w14:checked w14:val="0"/>
                  <w14:checkedState w14:val="2612" w14:font="MS Gothic"/>
                  <w14:uncheckedState w14:val="2610" w14:font="MS Gothic"/>
                </w14:checkbox>
              </w:sdtPr>
              <w:sdtEndPr>
                <w:rPr>
                  <w:rStyle w:val="Style2"/>
                </w:rPr>
              </w:sdtEndPr>
              <w:sdtContent>
                <w:r w:rsidR="00B13D65" w:rsidRPr="00B13D65">
                  <w:rPr>
                    <w:rStyle w:val="Style2"/>
                    <w:rFonts w:ascii="Segoe UI Symbol" w:eastAsia="MS Gothic" w:hAnsi="Segoe UI Symbol" w:cs="Segoe UI Symbol"/>
                    <w:sz w:val="24"/>
                  </w:rPr>
                  <w:t>☐</w:t>
                </w:r>
              </w:sdtContent>
            </w:sdt>
            <w:r w:rsidR="00B13D65" w:rsidRPr="00B13D65">
              <w:t xml:space="preserve"> 33.3. neatitinka referencinės naudingumo vertės Lietuvos Respublikoje;</w:t>
            </w:r>
          </w:p>
          <w:p w14:paraId="229ED51A" w14:textId="77777777" w:rsidR="00662983" w:rsidRPr="00B13D65" w:rsidRDefault="00662983"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2673C3A9" w14:textId="7A51AD61" w:rsidR="00B13D65" w:rsidRDefault="00A81452"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rPr>
            </w:pPr>
            <w:sdt>
              <w:sdtPr>
                <w:rPr>
                  <w:rStyle w:val="Style2"/>
                  <w:sz w:val="24"/>
                </w:rPr>
                <w:id w:val="-1135473618"/>
                <w15:color w:val="FFCC00"/>
                <w14:checkbox>
                  <w14:checked w14:val="0"/>
                  <w14:checkedState w14:val="2612" w14:font="MS Gothic"/>
                  <w14:uncheckedState w14:val="2610" w14:font="MS Gothic"/>
                </w14:checkbox>
              </w:sdtPr>
              <w:sdtEndPr>
                <w:rPr>
                  <w:rStyle w:val="Style2"/>
                </w:rPr>
              </w:sdtEndPr>
              <w:sdtContent>
                <w:r w:rsidR="00B13D65" w:rsidRPr="00B13D65">
                  <w:rPr>
                    <w:rStyle w:val="Style2"/>
                    <w:rFonts w:ascii="Segoe UI Symbol" w:eastAsia="MS Gothic" w:hAnsi="Segoe UI Symbol" w:cs="Segoe UI Symbol"/>
                    <w:sz w:val="24"/>
                  </w:rPr>
                  <w:t>☐</w:t>
                </w:r>
              </w:sdtContent>
            </w:sdt>
            <w:r w:rsidR="00B13D65" w:rsidRPr="00B13D65">
              <w:t xml:space="preserve"> 33.3. gydymo juo kaštai yra didesni esant iš esmės nesiskiriančiam palyginamajam efektyvumui</w:t>
            </w:r>
          </w:p>
          <w:p w14:paraId="4A9C7D2A" w14:textId="77777777" w:rsidR="00662983" w:rsidRPr="00B13D65" w:rsidRDefault="00662983"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4226013D" w14:textId="4020B1AC" w:rsidR="00B13D65" w:rsidRPr="00B13D65" w:rsidRDefault="00A81452"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rPr>
                  <w:rStyle w:val="Style2"/>
                  <w:sz w:val="24"/>
                </w:rPr>
                <w:id w:val="-2008360022"/>
                <w15:color w:val="FFCC00"/>
                <w14:checkbox>
                  <w14:checked w14:val="0"/>
                  <w14:checkedState w14:val="2612" w14:font="MS Gothic"/>
                  <w14:uncheckedState w14:val="2610" w14:font="MS Gothic"/>
                </w14:checkbox>
              </w:sdtPr>
              <w:sdtEndPr>
                <w:rPr>
                  <w:rStyle w:val="Style2"/>
                </w:rPr>
              </w:sdtEndPr>
              <w:sdtContent>
                <w:r w:rsidR="00B13D65" w:rsidRPr="00B13D65">
                  <w:rPr>
                    <w:rStyle w:val="Style2"/>
                    <w:rFonts w:ascii="Segoe UI Symbol" w:eastAsia="MS Gothic" w:hAnsi="Segoe UI Symbol" w:cs="Segoe UI Symbol"/>
                    <w:sz w:val="24"/>
                  </w:rPr>
                  <w:t>☐</w:t>
                </w:r>
              </w:sdtContent>
            </w:sdt>
            <w:r w:rsidR="00B13D65" w:rsidRPr="00B13D65">
              <w:t xml:space="preserve"> 33.3. pateikti duomenys apie kaštų na</w:t>
            </w:r>
            <w:r w:rsidR="00662983">
              <w:t>udingumą yra netinkami vertinti</w:t>
            </w:r>
          </w:p>
          <w:p w14:paraId="470A48A4" w14:textId="77777777" w:rsidR="00B13D65" w:rsidRPr="00B13D65" w:rsidRDefault="00B13D65"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Style2"/>
                <w:rFonts w:eastAsia="MS Gothic"/>
                <w:sz w:val="24"/>
              </w:rPr>
            </w:pPr>
          </w:p>
        </w:tc>
      </w:tr>
    </w:tbl>
    <w:p w14:paraId="6E54D44C" w14:textId="77777777" w:rsidR="0055060B" w:rsidRPr="0055060B" w:rsidRDefault="0055060B" w:rsidP="0055060B">
      <w:pPr>
        <w:rPr>
          <w:b/>
        </w:rPr>
      </w:pPr>
    </w:p>
    <w:p w14:paraId="4761590D" w14:textId="77777777" w:rsidR="0055060B" w:rsidRPr="0055060B" w:rsidRDefault="0055060B" w:rsidP="00B72341">
      <w:pPr>
        <w:pStyle w:val="ListParagraph"/>
        <w:numPr>
          <w:ilvl w:val="0"/>
          <w:numId w:val="24"/>
        </w:numPr>
        <w:ind w:left="567" w:hanging="567"/>
        <w:rPr>
          <w:b/>
        </w:rPr>
      </w:pPr>
      <w:r w:rsidRPr="0055060B">
        <w:rPr>
          <w:b/>
        </w:rPr>
        <w:t>REKOMENDACIJA</w:t>
      </w:r>
    </w:p>
    <w:p w14:paraId="7CA221DC" w14:textId="77777777" w:rsidR="0055060B" w:rsidRPr="008B63AB" w:rsidRDefault="0055060B" w:rsidP="0055060B">
      <w:pPr>
        <w:rPr>
          <w:i/>
          <w:color w:val="00B050"/>
        </w:rPr>
      </w:pPr>
    </w:p>
    <w:p w14:paraId="5EEC5FE7" w14:textId="77777777" w:rsidR="00AB2DC2" w:rsidRPr="00C85FB3" w:rsidRDefault="00AB2DC2" w:rsidP="00AB2DC2">
      <w:pPr>
        <w:pStyle w:val="VVKT"/>
        <w:rPr>
          <w:lang w:val="lt-LT"/>
        </w:rPr>
      </w:pPr>
      <w:r w:rsidRPr="00C85FB3">
        <w:rPr>
          <w:lang w:val="lt-LT"/>
        </w:rPr>
        <w:t xml:space="preserve">Vadovaujantis Vaistinių preparatų ir medicinos pagalbos priemonių įrašymo į kompensavimo sąrašus ir jų keitimo tvarkos aprašo, patvirtinto Lietuvos Respublikos sveikatos apsaugos ministro 2002 m. balandžio 5 d. įsakymu Nr. V-159 „Dėl vaistinių preparatų ir medicinos pagalbos priemonių įrašymo į kompensavimo sąrašus ir jų keitimo tvarkos aprašo patvirtinimo“, punktu 34.1. rekomenduojama </w:t>
      </w:r>
      <w:r w:rsidRPr="00C85FB3">
        <w:rPr>
          <w:i/>
          <w:lang w:val="lt-LT"/>
        </w:rPr>
        <w:t xml:space="preserve">kompensuoti </w:t>
      </w:r>
      <w:r w:rsidRPr="00C85FB3">
        <w:rPr>
          <w:lang w:val="lt-LT"/>
        </w:rPr>
        <w:t>vaistinį preparatą pagal paraiškoje nurodytą indikaciją be skyrimo sąlygų, taikant PGS, dėl didesnio palyginamojo efektyvumo ir gydymo sukuriamos papildomos naudos pacientų sveikatai, lyginant su įprasta klinikine praktika, ir atitikties referencinei naudingumo vertei.</w:t>
      </w:r>
    </w:p>
    <w:p w14:paraId="0D45B677" w14:textId="77777777" w:rsidR="0055060B" w:rsidRPr="00C85FB3" w:rsidRDefault="0055060B" w:rsidP="0055060B">
      <w:pPr>
        <w:jc w:val="both"/>
      </w:pPr>
    </w:p>
    <w:p w14:paraId="4675BD1C" w14:textId="77777777" w:rsidR="0055060B" w:rsidRPr="00C85FB3" w:rsidRDefault="0055060B" w:rsidP="0055060B"/>
    <w:p w14:paraId="2DE4B8C2" w14:textId="77777777" w:rsidR="0055060B" w:rsidRPr="008B63AB" w:rsidRDefault="0055060B" w:rsidP="0055060B">
      <w:pPr>
        <w:tabs>
          <w:tab w:val="left" w:pos="567"/>
        </w:tabs>
        <w:ind w:left="567" w:hanging="567"/>
        <w:jc w:val="both"/>
        <w:rPr>
          <w:b/>
          <w:color w:val="000000"/>
          <w:lang w:eastAsia="lt-LT"/>
        </w:rPr>
      </w:pPr>
      <w:r w:rsidRPr="008B63AB">
        <w:rPr>
          <w:b/>
          <w:color w:val="000000"/>
          <w:lang w:eastAsia="lt-LT"/>
        </w:rPr>
        <w:t>8.</w:t>
      </w:r>
      <w:r w:rsidRPr="008B63AB">
        <w:rPr>
          <w:b/>
          <w:color w:val="000000"/>
          <w:lang w:eastAsia="lt-LT"/>
        </w:rPr>
        <w:tab/>
        <w:t xml:space="preserve">SIŪLOMOS KOMPENSUOTI TERAPINĖS INDIKACIJOS IR SKYRIMO SĄLYGOS </w:t>
      </w:r>
    </w:p>
    <w:p w14:paraId="3A90BF4C" w14:textId="77777777" w:rsidR="0055060B" w:rsidRPr="008B63AB" w:rsidRDefault="0055060B" w:rsidP="0055060B">
      <w:pPr>
        <w:tabs>
          <w:tab w:val="left" w:pos="426"/>
        </w:tabs>
        <w:jc w:val="both"/>
        <w:rPr>
          <w:b/>
          <w:color w:val="000000"/>
          <w:lang w:eastAsia="lt-LT"/>
        </w:rPr>
      </w:pPr>
    </w:p>
    <w:p w14:paraId="5E0791C3" w14:textId="77777777" w:rsidR="0055060B" w:rsidRPr="008B63AB" w:rsidRDefault="0055060B" w:rsidP="0055060B">
      <w:pPr>
        <w:outlineLvl w:val="0"/>
        <w:rPr>
          <w:b/>
          <w:lang w:eastAsia="lt-LT"/>
        </w:rPr>
      </w:pPr>
      <w:r w:rsidRPr="008B63AB">
        <w:rPr>
          <w:b/>
          <w:lang w:eastAsia="lt-LT"/>
        </w:rPr>
        <w:t>Terapinės indikacijos</w:t>
      </w:r>
    </w:p>
    <w:p w14:paraId="636FC6CC" w14:textId="1E457F9D" w:rsidR="0055060B" w:rsidRDefault="00A81452" w:rsidP="0055060B">
      <w:sdt>
        <w:sdtPr>
          <w:rPr>
            <w:rStyle w:val="Style2"/>
          </w:rPr>
          <w:id w:val="1146316688"/>
          <w15:color w:val="FFCC00"/>
          <w14:checkbox>
            <w14:checked w14:val="1"/>
            <w14:checkedState w14:val="2612" w14:font="MS Gothic"/>
            <w14:uncheckedState w14:val="2610" w14:font="MS Gothic"/>
          </w14:checkbox>
        </w:sdtPr>
        <w:sdtEndPr>
          <w:rPr>
            <w:rStyle w:val="Style2"/>
          </w:rPr>
        </w:sdtEndPr>
        <w:sdtContent>
          <w:r w:rsidR="0055060B" w:rsidRPr="008B63AB">
            <w:rPr>
              <w:rStyle w:val="Style2"/>
              <w:rFonts w:ascii="MS Gothic" w:eastAsia="MS Gothic" w:hAnsi="MS Gothic"/>
            </w:rPr>
            <w:t>☒</w:t>
          </w:r>
        </w:sdtContent>
      </w:sdt>
      <w:r w:rsidR="0055060B" w:rsidRPr="008B63AB">
        <w:t xml:space="preserve"> Siūloma kompensuoti Pareiškėjo teikiamą indikaciją </w:t>
      </w:r>
      <w:r w:rsidR="007C1237">
        <w:t xml:space="preserve">su </w:t>
      </w:r>
      <w:r w:rsidR="0055060B" w:rsidRPr="008B63AB">
        <w:t>pakeitim</w:t>
      </w:r>
      <w:r w:rsidR="007C1237">
        <w:t>ais:</w:t>
      </w:r>
    </w:p>
    <w:p w14:paraId="32C29762" w14:textId="58212063" w:rsidR="007C1237" w:rsidRDefault="007C1237" w:rsidP="007C1237">
      <w:pPr>
        <w:pStyle w:val="Tekstas"/>
      </w:pPr>
      <w:r w:rsidRPr="005833CD">
        <w:lastRenderedPageBreak/>
        <w:t xml:space="preserve">KEYTRUDA monoterapija arba derinyje su chemoterapija, kurios sudėtyje yra platinos preparatų ir 5-fluorouracilo (5-FU), skirta metastazavusios ar nerezekuotinos recidyvavusios galvos ir kaklo plokščialąstelinės karcinomos pirmaeiliam gydymui </w:t>
      </w:r>
      <w:r w:rsidRPr="007C1237">
        <w:rPr>
          <w:b/>
          <w:bCs/>
        </w:rPr>
        <w:t xml:space="preserve">(išskyrus </w:t>
      </w:r>
      <w:r w:rsidRPr="007C1237">
        <w:rPr>
          <w:b/>
          <w:bCs/>
          <w:color w:val="000000"/>
        </w:rPr>
        <w:t>nazofaringinę karcinomą)</w:t>
      </w:r>
      <w:r>
        <w:rPr>
          <w:color w:val="000000"/>
        </w:rPr>
        <w:t xml:space="preserve"> </w:t>
      </w:r>
      <w:r w:rsidRPr="005833CD">
        <w:t>suaugusiesiems, kurių navikai ekspresuoja PD-L1 ir CPS rodmuo yra ≥ 1</w:t>
      </w:r>
      <w:r w:rsidRPr="007C1237">
        <w:t xml:space="preserve">. </w:t>
      </w:r>
      <w:r w:rsidRPr="0096552E">
        <w:t>TLK-10-AM koda</w:t>
      </w:r>
      <w:r>
        <w:t>i</w:t>
      </w:r>
      <w:r w:rsidRPr="0096552E">
        <w:t xml:space="preserve"> – </w:t>
      </w:r>
      <w:r w:rsidRPr="005177BC">
        <w:t>C00-C10, C12-C14, C30-C32</w:t>
      </w:r>
      <w:r w:rsidRPr="0096552E">
        <w:t>.</w:t>
      </w:r>
    </w:p>
    <w:p w14:paraId="17992EA8" w14:textId="77777777" w:rsidR="0055060B" w:rsidRPr="00AF3EBC" w:rsidRDefault="0055060B" w:rsidP="0055060B">
      <w:pPr>
        <w:rPr>
          <w:b/>
          <w:i/>
          <w:iCs/>
        </w:rPr>
      </w:pPr>
    </w:p>
    <w:p w14:paraId="3E1DD4C1" w14:textId="77777777" w:rsidR="00FD24CB" w:rsidRPr="00CF1F44" w:rsidRDefault="00FD24CB" w:rsidP="00FD24CB">
      <w:pPr>
        <w:outlineLvl w:val="0"/>
        <w:rPr>
          <w:b/>
        </w:rPr>
      </w:pPr>
      <w:r w:rsidRPr="00CF1F44">
        <w:rPr>
          <w:b/>
        </w:rPr>
        <w:t>Skyrimo sąlygos</w:t>
      </w:r>
    </w:p>
    <w:p w14:paraId="070B9FBF" w14:textId="1CE8BD06" w:rsidR="00FD24CB" w:rsidRPr="00FD24CB" w:rsidRDefault="00FD24CB" w:rsidP="00FD24CB">
      <w:pPr>
        <w:rPr>
          <w:lang w:val="en-GB"/>
        </w:rPr>
      </w:pPr>
      <w:r w:rsidRPr="00CF1F44">
        <w:t>Pareiškėj</w:t>
      </w:r>
      <w:r>
        <w:t>as</w:t>
      </w:r>
      <w:r w:rsidRPr="00CF1F44">
        <w:t xml:space="preserve"> </w:t>
      </w:r>
      <w:r>
        <w:t>skyrimo sąlygų ne</w:t>
      </w:r>
      <w:r w:rsidR="00C85FB3">
        <w:t>teikia</w:t>
      </w:r>
      <w:r>
        <w:t xml:space="preserve">. </w:t>
      </w:r>
    </w:p>
    <w:p w14:paraId="63FC1F27" w14:textId="77777777" w:rsidR="00FD24CB" w:rsidRDefault="00FD24CB" w:rsidP="00FD24CB"/>
    <w:p w14:paraId="5A4400EB" w14:textId="182C73D3" w:rsidR="00FD24CB" w:rsidRPr="00C85FB3" w:rsidRDefault="00C85FB3" w:rsidP="00FD24CB">
      <w:pPr>
        <w:rPr>
          <w:i/>
        </w:rPr>
      </w:pPr>
      <w:r w:rsidRPr="00C85FB3">
        <w:rPr>
          <w:i/>
        </w:rPr>
        <w:t>Siūlomos skyrimo sąlygos</w:t>
      </w:r>
    </w:p>
    <w:p w14:paraId="7DE42AD5" w14:textId="77777777" w:rsidR="00FD24CB" w:rsidRDefault="00FD24CB" w:rsidP="00FD24CB"/>
    <w:p w14:paraId="1AF31936" w14:textId="1201C00E" w:rsidR="00FD24CB" w:rsidRDefault="00C85FB3" w:rsidP="00FD24CB">
      <w:pPr>
        <w:jc w:val="both"/>
      </w:pPr>
      <w:r>
        <w:t xml:space="preserve">Gydymo </w:t>
      </w:r>
      <w:r w:rsidR="00FD24CB">
        <w:t xml:space="preserve">trukmė </w:t>
      </w:r>
      <w:r>
        <w:t xml:space="preserve">ne ilgesnė kaip </w:t>
      </w:r>
      <w:r w:rsidR="00FD24CB">
        <w:t>2 met</w:t>
      </w:r>
      <w:r>
        <w:t>ai</w:t>
      </w:r>
      <w:r w:rsidR="00FD24CB">
        <w:t xml:space="preserve">. Gydymas tęsiamas iki nepriimtino toksinio poveikio atsiradimo, ligos progresavimo arba planuoto gydymo užbaigimo. </w:t>
      </w:r>
    </w:p>
    <w:p w14:paraId="7C076A4D" w14:textId="77777777" w:rsidR="00FD24CB" w:rsidRPr="00AF3EBC" w:rsidRDefault="00FD24CB" w:rsidP="00381024">
      <w:pPr>
        <w:rPr>
          <w:i/>
          <w:iCs/>
          <w:lang w:val="en-US"/>
        </w:rPr>
      </w:pPr>
    </w:p>
    <w:sectPr w:rsidR="00FD24CB" w:rsidRPr="00AF3EBC" w:rsidSect="005D30E1">
      <w:headerReference w:type="even" r:id="rId11"/>
      <w:headerReference w:type="default" r:id="rId12"/>
      <w:headerReference w:type="first" r:id="rId13"/>
      <w:footerReference w:type="first" r:id="rId14"/>
      <w:pgSz w:w="11907" w:h="16840" w:code="9"/>
      <w:pgMar w:top="1134" w:right="567" w:bottom="1134" w:left="1701" w:header="646" w:footer="0"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E909AC" w14:textId="77777777" w:rsidR="001C2732" w:rsidRDefault="001C2732">
      <w:r>
        <w:separator/>
      </w:r>
    </w:p>
  </w:endnote>
  <w:endnote w:type="continuationSeparator" w:id="0">
    <w:p w14:paraId="0342C396" w14:textId="77777777" w:rsidR="001C2732" w:rsidRDefault="001C27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DD3368" w14:textId="77777777" w:rsidR="00347FAA" w:rsidRDefault="00347FAA">
    <w:pPr>
      <w:pStyle w:val="Footer"/>
      <w:jc w:val="right"/>
      <w:rPr>
        <w: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5CD673" w14:textId="77777777" w:rsidR="001C2732" w:rsidRDefault="001C2732">
      <w:r>
        <w:separator/>
      </w:r>
    </w:p>
  </w:footnote>
  <w:footnote w:type="continuationSeparator" w:id="0">
    <w:p w14:paraId="009ED43A" w14:textId="77777777" w:rsidR="001C2732" w:rsidRDefault="001C27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186FB2" w14:textId="77777777" w:rsidR="00347FAA" w:rsidRDefault="00347FAA">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E81DB01" w14:textId="77777777" w:rsidR="00347FAA" w:rsidRDefault="00347FA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1BD5F9" w14:textId="2B680947" w:rsidR="00347FAA" w:rsidRDefault="00347FAA">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CC2715">
      <w:rPr>
        <w:rStyle w:val="PageNumber"/>
        <w:noProof/>
      </w:rPr>
      <w:t>9</w:t>
    </w:r>
    <w:r>
      <w:rPr>
        <w:rStyle w:val="PageNumber"/>
      </w:rPr>
      <w:fldChar w:fldCharType="end"/>
    </w:r>
  </w:p>
  <w:p w14:paraId="13EC872E" w14:textId="77777777" w:rsidR="00347FAA" w:rsidRDefault="00347FA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4E1C8F" w14:textId="77777777" w:rsidR="00347FAA" w:rsidRDefault="00347FAA" w:rsidP="00FD793C">
    <w:pPr>
      <w:pStyle w:val="Header"/>
      <w:ind w:left="612"/>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17D8E"/>
    <w:multiLevelType w:val="hybridMultilevel"/>
    <w:tmpl w:val="10FAC1CC"/>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 w15:restartNumberingAfterBreak="0">
    <w:nsid w:val="022A31C1"/>
    <w:multiLevelType w:val="hybridMultilevel"/>
    <w:tmpl w:val="DA00F420"/>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 w15:restartNumberingAfterBreak="0">
    <w:nsid w:val="073B1625"/>
    <w:multiLevelType w:val="hybridMultilevel"/>
    <w:tmpl w:val="5B00A4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E0081E"/>
    <w:multiLevelType w:val="multilevel"/>
    <w:tmpl w:val="0427001F"/>
    <w:lvl w:ilvl="0">
      <w:start w:val="1"/>
      <w:numFmt w:val="decimal"/>
      <w:lvlText w:val="%1."/>
      <w:lvlJc w:val="left"/>
      <w:pPr>
        <w:ind w:left="360" w:hanging="360"/>
      </w:pPr>
      <w:rPr>
        <w:rFonts w:hint="default"/>
        <w:b w:val="0"/>
        <w:bCs w:val="0"/>
      </w:rPr>
    </w:lvl>
    <w:lvl w:ilvl="1">
      <w:start w:val="1"/>
      <w:numFmt w:val="decimal"/>
      <w:lvlText w:val="%1.%2."/>
      <w:lvlJc w:val="left"/>
      <w:pPr>
        <w:ind w:left="284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2AD2E58"/>
    <w:multiLevelType w:val="hybridMultilevel"/>
    <w:tmpl w:val="74F0AFD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A101C59"/>
    <w:multiLevelType w:val="hybridMultilevel"/>
    <w:tmpl w:val="64544F3A"/>
    <w:lvl w:ilvl="0" w:tplc="04270001">
      <w:start w:val="1"/>
      <w:numFmt w:val="bullet"/>
      <w:lvlText w:val=""/>
      <w:lvlJc w:val="left"/>
      <w:pPr>
        <w:ind w:left="2160" w:hanging="360"/>
      </w:pPr>
      <w:rPr>
        <w:rFonts w:ascii="Symbol" w:hAnsi="Symbol" w:hint="default"/>
      </w:rPr>
    </w:lvl>
    <w:lvl w:ilvl="1" w:tplc="04270003" w:tentative="1">
      <w:start w:val="1"/>
      <w:numFmt w:val="bullet"/>
      <w:lvlText w:val="o"/>
      <w:lvlJc w:val="left"/>
      <w:pPr>
        <w:ind w:left="2880" w:hanging="360"/>
      </w:pPr>
      <w:rPr>
        <w:rFonts w:ascii="Courier New" w:hAnsi="Courier New" w:cs="Courier New" w:hint="default"/>
      </w:rPr>
    </w:lvl>
    <w:lvl w:ilvl="2" w:tplc="04270005" w:tentative="1">
      <w:start w:val="1"/>
      <w:numFmt w:val="bullet"/>
      <w:lvlText w:val=""/>
      <w:lvlJc w:val="left"/>
      <w:pPr>
        <w:ind w:left="3600" w:hanging="360"/>
      </w:pPr>
      <w:rPr>
        <w:rFonts w:ascii="Wingdings" w:hAnsi="Wingdings" w:hint="default"/>
      </w:rPr>
    </w:lvl>
    <w:lvl w:ilvl="3" w:tplc="04270001" w:tentative="1">
      <w:start w:val="1"/>
      <w:numFmt w:val="bullet"/>
      <w:lvlText w:val=""/>
      <w:lvlJc w:val="left"/>
      <w:pPr>
        <w:ind w:left="4320" w:hanging="360"/>
      </w:pPr>
      <w:rPr>
        <w:rFonts w:ascii="Symbol" w:hAnsi="Symbol" w:hint="default"/>
      </w:rPr>
    </w:lvl>
    <w:lvl w:ilvl="4" w:tplc="04270003" w:tentative="1">
      <w:start w:val="1"/>
      <w:numFmt w:val="bullet"/>
      <w:lvlText w:val="o"/>
      <w:lvlJc w:val="left"/>
      <w:pPr>
        <w:ind w:left="5040" w:hanging="360"/>
      </w:pPr>
      <w:rPr>
        <w:rFonts w:ascii="Courier New" w:hAnsi="Courier New" w:cs="Courier New" w:hint="default"/>
      </w:rPr>
    </w:lvl>
    <w:lvl w:ilvl="5" w:tplc="04270005" w:tentative="1">
      <w:start w:val="1"/>
      <w:numFmt w:val="bullet"/>
      <w:lvlText w:val=""/>
      <w:lvlJc w:val="left"/>
      <w:pPr>
        <w:ind w:left="5760" w:hanging="360"/>
      </w:pPr>
      <w:rPr>
        <w:rFonts w:ascii="Wingdings" w:hAnsi="Wingdings" w:hint="default"/>
      </w:rPr>
    </w:lvl>
    <w:lvl w:ilvl="6" w:tplc="04270001" w:tentative="1">
      <w:start w:val="1"/>
      <w:numFmt w:val="bullet"/>
      <w:lvlText w:val=""/>
      <w:lvlJc w:val="left"/>
      <w:pPr>
        <w:ind w:left="6480" w:hanging="360"/>
      </w:pPr>
      <w:rPr>
        <w:rFonts w:ascii="Symbol" w:hAnsi="Symbol" w:hint="default"/>
      </w:rPr>
    </w:lvl>
    <w:lvl w:ilvl="7" w:tplc="04270003" w:tentative="1">
      <w:start w:val="1"/>
      <w:numFmt w:val="bullet"/>
      <w:lvlText w:val="o"/>
      <w:lvlJc w:val="left"/>
      <w:pPr>
        <w:ind w:left="7200" w:hanging="360"/>
      </w:pPr>
      <w:rPr>
        <w:rFonts w:ascii="Courier New" w:hAnsi="Courier New" w:cs="Courier New" w:hint="default"/>
      </w:rPr>
    </w:lvl>
    <w:lvl w:ilvl="8" w:tplc="04270005" w:tentative="1">
      <w:start w:val="1"/>
      <w:numFmt w:val="bullet"/>
      <w:lvlText w:val=""/>
      <w:lvlJc w:val="left"/>
      <w:pPr>
        <w:ind w:left="7920" w:hanging="360"/>
      </w:pPr>
      <w:rPr>
        <w:rFonts w:ascii="Wingdings" w:hAnsi="Wingdings" w:hint="default"/>
      </w:rPr>
    </w:lvl>
  </w:abstractNum>
  <w:abstractNum w:abstractNumId="6" w15:restartNumberingAfterBreak="0">
    <w:nsid w:val="1F343E14"/>
    <w:multiLevelType w:val="hybridMultilevel"/>
    <w:tmpl w:val="51882046"/>
    <w:lvl w:ilvl="0" w:tplc="86C222F4">
      <w:start w:val="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57B1B10"/>
    <w:multiLevelType w:val="hybridMultilevel"/>
    <w:tmpl w:val="BCF0D8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5816174"/>
    <w:multiLevelType w:val="hybridMultilevel"/>
    <w:tmpl w:val="DBD4DC0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3975004F"/>
    <w:multiLevelType w:val="hybridMultilevel"/>
    <w:tmpl w:val="13E46078"/>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0" w15:restartNumberingAfterBreak="0">
    <w:nsid w:val="3BCC4222"/>
    <w:multiLevelType w:val="multilevel"/>
    <w:tmpl w:val="C9C6278E"/>
    <w:lvl w:ilvl="0">
      <w:start w:val="2"/>
      <w:numFmt w:val="decimal"/>
      <w:lvlText w:val="%1."/>
      <w:lvlJc w:val="left"/>
      <w:pPr>
        <w:ind w:left="360" w:hanging="360"/>
      </w:pPr>
      <w:rPr>
        <w:rFonts w:eastAsia="Arial Unicode MS" w:hint="default"/>
      </w:rPr>
    </w:lvl>
    <w:lvl w:ilvl="1">
      <w:start w:val="7"/>
      <w:numFmt w:val="decimal"/>
      <w:lvlText w:val="%1.%2."/>
      <w:lvlJc w:val="left"/>
      <w:pPr>
        <w:ind w:left="720" w:hanging="360"/>
      </w:pPr>
      <w:rPr>
        <w:rFonts w:eastAsia="Arial Unicode MS" w:hint="default"/>
      </w:rPr>
    </w:lvl>
    <w:lvl w:ilvl="2">
      <w:start w:val="1"/>
      <w:numFmt w:val="decimal"/>
      <w:lvlText w:val="%1.%2.%3."/>
      <w:lvlJc w:val="left"/>
      <w:pPr>
        <w:ind w:left="1440" w:hanging="720"/>
      </w:pPr>
      <w:rPr>
        <w:rFonts w:eastAsia="Arial Unicode MS" w:hint="default"/>
      </w:rPr>
    </w:lvl>
    <w:lvl w:ilvl="3">
      <w:start w:val="1"/>
      <w:numFmt w:val="decimal"/>
      <w:lvlText w:val="%1.%2.%3.%4."/>
      <w:lvlJc w:val="left"/>
      <w:pPr>
        <w:ind w:left="1800" w:hanging="720"/>
      </w:pPr>
      <w:rPr>
        <w:rFonts w:eastAsia="Arial Unicode MS" w:hint="default"/>
      </w:rPr>
    </w:lvl>
    <w:lvl w:ilvl="4">
      <w:start w:val="1"/>
      <w:numFmt w:val="decimal"/>
      <w:lvlText w:val="%1.%2.%3.%4.%5."/>
      <w:lvlJc w:val="left"/>
      <w:pPr>
        <w:ind w:left="2520" w:hanging="1080"/>
      </w:pPr>
      <w:rPr>
        <w:rFonts w:eastAsia="Arial Unicode MS" w:hint="default"/>
      </w:rPr>
    </w:lvl>
    <w:lvl w:ilvl="5">
      <w:start w:val="1"/>
      <w:numFmt w:val="decimal"/>
      <w:lvlText w:val="%1.%2.%3.%4.%5.%6."/>
      <w:lvlJc w:val="left"/>
      <w:pPr>
        <w:ind w:left="2880" w:hanging="1080"/>
      </w:pPr>
      <w:rPr>
        <w:rFonts w:eastAsia="Arial Unicode MS" w:hint="default"/>
      </w:rPr>
    </w:lvl>
    <w:lvl w:ilvl="6">
      <w:start w:val="1"/>
      <w:numFmt w:val="decimal"/>
      <w:lvlText w:val="%1.%2.%3.%4.%5.%6.%7."/>
      <w:lvlJc w:val="left"/>
      <w:pPr>
        <w:ind w:left="3600" w:hanging="1440"/>
      </w:pPr>
      <w:rPr>
        <w:rFonts w:eastAsia="Arial Unicode MS" w:hint="default"/>
      </w:rPr>
    </w:lvl>
    <w:lvl w:ilvl="7">
      <w:start w:val="1"/>
      <w:numFmt w:val="decimal"/>
      <w:lvlText w:val="%1.%2.%3.%4.%5.%6.%7.%8."/>
      <w:lvlJc w:val="left"/>
      <w:pPr>
        <w:ind w:left="3960" w:hanging="1440"/>
      </w:pPr>
      <w:rPr>
        <w:rFonts w:eastAsia="Arial Unicode MS" w:hint="default"/>
      </w:rPr>
    </w:lvl>
    <w:lvl w:ilvl="8">
      <w:start w:val="1"/>
      <w:numFmt w:val="decimal"/>
      <w:lvlText w:val="%1.%2.%3.%4.%5.%6.%7.%8.%9."/>
      <w:lvlJc w:val="left"/>
      <w:pPr>
        <w:ind w:left="4680" w:hanging="1800"/>
      </w:pPr>
      <w:rPr>
        <w:rFonts w:eastAsia="Arial Unicode MS" w:hint="default"/>
      </w:rPr>
    </w:lvl>
  </w:abstractNum>
  <w:abstractNum w:abstractNumId="11" w15:restartNumberingAfterBreak="0">
    <w:nsid w:val="41953EAB"/>
    <w:multiLevelType w:val="hybridMultilevel"/>
    <w:tmpl w:val="D0F01B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09B0191"/>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19D4C60"/>
    <w:multiLevelType w:val="hybridMultilevel"/>
    <w:tmpl w:val="0770C08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9B83C1B"/>
    <w:multiLevelType w:val="multilevel"/>
    <w:tmpl w:val="5F384374"/>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hint="default"/>
        <w:b w:val="0"/>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080" w:hanging="72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440" w:hanging="108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1800" w:hanging="1440"/>
      </w:pPr>
      <w:rPr>
        <w:rFonts w:hint="default"/>
        <w:i w:val="0"/>
      </w:rPr>
    </w:lvl>
    <w:lvl w:ilvl="8">
      <w:start w:val="1"/>
      <w:numFmt w:val="decimal"/>
      <w:isLgl/>
      <w:lvlText w:val="%1.%2.%3.%4.%5.%6.%7.%8.%9."/>
      <w:lvlJc w:val="left"/>
      <w:pPr>
        <w:ind w:left="2160" w:hanging="1800"/>
      </w:pPr>
      <w:rPr>
        <w:rFonts w:hint="default"/>
        <w:i w:val="0"/>
      </w:rPr>
    </w:lvl>
  </w:abstractNum>
  <w:abstractNum w:abstractNumId="15" w15:restartNumberingAfterBreak="0">
    <w:nsid w:val="5A0D73F3"/>
    <w:multiLevelType w:val="hybridMultilevel"/>
    <w:tmpl w:val="CA9A2AC8"/>
    <w:lvl w:ilvl="0" w:tplc="0427000F">
      <w:start w:val="8"/>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609F0317"/>
    <w:multiLevelType w:val="hybridMultilevel"/>
    <w:tmpl w:val="645ED0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A1538D"/>
    <w:multiLevelType w:val="hybridMultilevel"/>
    <w:tmpl w:val="2F7C20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AB27E1E"/>
    <w:multiLevelType w:val="hybridMultilevel"/>
    <w:tmpl w:val="3D568A5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6D5D5412"/>
    <w:multiLevelType w:val="hybridMultilevel"/>
    <w:tmpl w:val="59A0DE02"/>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0" w15:restartNumberingAfterBreak="0">
    <w:nsid w:val="71E77D60"/>
    <w:multiLevelType w:val="hybridMultilevel"/>
    <w:tmpl w:val="1E90F5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2266018"/>
    <w:multiLevelType w:val="hybridMultilevel"/>
    <w:tmpl w:val="AA9C989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751F7883"/>
    <w:multiLevelType w:val="hybridMultilevel"/>
    <w:tmpl w:val="87B21B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81D32FE"/>
    <w:multiLevelType w:val="hybridMultilevel"/>
    <w:tmpl w:val="B4825392"/>
    <w:lvl w:ilvl="0" w:tplc="76FC19B0">
      <w:start w:val="2"/>
      <w:numFmt w:val="bullet"/>
      <w:lvlText w:val="-"/>
      <w:lvlJc w:val="left"/>
      <w:pPr>
        <w:ind w:left="1080" w:hanging="360"/>
      </w:pPr>
      <w:rPr>
        <w:rFonts w:ascii="Times New Roman" w:eastAsiaTheme="minorHAnsi"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7FE12046"/>
    <w:multiLevelType w:val="hybridMultilevel"/>
    <w:tmpl w:val="AF5275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64547521">
    <w:abstractNumId w:val="11"/>
  </w:num>
  <w:num w:numId="2" w16cid:durableId="1641420892">
    <w:abstractNumId w:val="3"/>
  </w:num>
  <w:num w:numId="3" w16cid:durableId="315185103">
    <w:abstractNumId w:val="14"/>
  </w:num>
  <w:num w:numId="4" w16cid:durableId="969823891">
    <w:abstractNumId w:val="12"/>
  </w:num>
  <w:num w:numId="5" w16cid:durableId="1335261151">
    <w:abstractNumId w:val="10"/>
  </w:num>
  <w:num w:numId="6" w16cid:durableId="765541586">
    <w:abstractNumId w:val="9"/>
  </w:num>
  <w:num w:numId="7" w16cid:durableId="1552187140">
    <w:abstractNumId w:val="5"/>
  </w:num>
  <w:num w:numId="8" w16cid:durableId="2088527962">
    <w:abstractNumId w:val="21"/>
  </w:num>
  <w:num w:numId="9" w16cid:durableId="762534656">
    <w:abstractNumId w:val="0"/>
  </w:num>
  <w:num w:numId="10" w16cid:durableId="743265067">
    <w:abstractNumId w:val="15"/>
  </w:num>
  <w:num w:numId="11" w16cid:durableId="263654511">
    <w:abstractNumId w:val="18"/>
  </w:num>
  <w:num w:numId="12" w16cid:durableId="1319728478">
    <w:abstractNumId w:val="4"/>
  </w:num>
  <w:num w:numId="13" w16cid:durableId="757216412">
    <w:abstractNumId w:val="2"/>
  </w:num>
  <w:num w:numId="14" w16cid:durableId="642658658">
    <w:abstractNumId w:val="17"/>
  </w:num>
  <w:num w:numId="15" w16cid:durableId="1721396345">
    <w:abstractNumId w:val="24"/>
  </w:num>
  <w:num w:numId="16" w16cid:durableId="513030922">
    <w:abstractNumId w:val="19"/>
  </w:num>
  <w:num w:numId="17" w16cid:durableId="1003554027">
    <w:abstractNumId w:val="1"/>
  </w:num>
  <w:num w:numId="18" w16cid:durableId="1785230204">
    <w:abstractNumId w:val="20"/>
  </w:num>
  <w:num w:numId="19" w16cid:durableId="1783766550">
    <w:abstractNumId w:val="6"/>
  </w:num>
  <w:num w:numId="20" w16cid:durableId="1285192099">
    <w:abstractNumId w:val="22"/>
  </w:num>
  <w:num w:numId="21" w16cid:durableId="1820531762">
    <w:abstractNumId w:val="8"/>
  </w:num>
  <w:num w:numId="22" w16cid:durableId="1460998742">
    <w:abstractNumId w:val="16"/>
  </w:num>
  <w:num w:numId="23" w16cid:durableId="1388917038">
    <w:abstractNumId w:val="7"/>
  </w:num>
  <w:num w:numId="24" w16cid:durableId="987594084">
    <w:abstractNumId w:val="13"/>
  </w:num>
  <w:num w:numId="25" w16cid:durableId="549465180">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rawingGridVerticalSpacing w:val="163"/>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00E7"/>
    <w:rsid w:val="00002A74"/>
    <w:rsid w:val="00003F5B"/>
    <w:rsid w:val="000114DD"/>
    <w:rsid w:val="000136F7"/>
    <w:rsid w:val="0002686C"/>
    <w:rsid w:val="00031D0E"/>
    <w:rsid w:val="000337E6"/>
    <w:rsid w:val="0003402E"/>
    <w:rsid w:val="00034EAE"/>
    <w:rsid w:val="000606BE"/>
    <w:rsid w:val="00060FF4"/>
    <w:rsid w:val="000736B8"/>
    <w:rsid w:val="0008190F"/>
    <w:rsid w:val="00081D9C"/>
    <w:rsid w:val="00082907"/>
    <w:rsid w:val="0008378D"/>
    <w:rsid w:val="000908A5"/>
    <w:rsid w:val="00092805"/>
    <w:rsid w:val="000C454C"/>
    <w:rsid w:val="000D5038"/>
    <w:rsid w:val="000E29D4"/>
    <w:rsid w:val="000F3540"/>
    <w:rsid w:val="00100491"/>
    <w:rsid w:val="00104E2E"/>
    <w:rsid w:val="00107287"/>
    <w:rsid w:val="00117406"/>
    <w:rsid w:val="00121EF0"/>
    <w:rsid w:val="00124A9E"/>
    <w:rsid w:val="00130703"/>
    <w:rsid w:val="0013153F"/>
    <w:rsid w:val="001408B8"/>
    <w:rsid w:val="001521D9"/>
    <w:rsid w:val="001554E2"/>
    <w:rsid w:val="00164146"/>
    <w:rsid w:val="0017369C"/>
    <w:rsid w:val="00180C39"/>
    <w:rsid w:val="00180D96"/>
    <w:rsid w:val="001921F3"/>
    <w:rsid w:val="001B3C5B"/>
    <w:rsid w:val="001C2732"/>
    <w:rsid w:val="001E3C7E"/>
    <w:rsid w:val="001E4BBB"/>
    <w:rsid w:val="001E6304"/>
    <w:rsid w:val="0020381E"/>
    <w:rsid w:val="00213471"/>
    <w:rsid w:val="00214F6C"/>
    <w:rsid w:val="00215906"/>
    <w:rsid w:val="0025697F"/>
    <w:rsid w:val="00260258"/>
    <w:rsid w:val="00272428"/>
    <w:rsid w:val="00272948"/>
    <w:rsid w:val="002946C7"/>
    <w:rsid w:val="002A3421"/>
    <w:rsid w:val="002A6B73"/>
    <w:rsid w:val="002B3CC1"/>
    <w:rsid w:val="002C09E0"/>
    <w:rsid w:val="002C3A10"/>
    <w:rsid w:val="002C4A90"/>
    <w:rsid w:val="002D02EF"/>
    <w:rsid w:val="002E0702"/>
    <w:rsid w:val="002E6F80"/>
    <w:rsid w:val="002F0E4F"/>
    <w:rsid w:val="002F1053"/>
    <w:rsid w:val="00306D00"/>
    <w:rsid w:val="00317B0E"/>
    <w:rsid w:val="00333B00"/>
    <w:rsid w:val="003346C8"/>
    <w:rsid w:val="00336488"/>
    <w:rsid w:val="00341BF0"/>
    <w:rsid w:val="00347FAA"/>
    <w:rsid w:val="0035172D"/>
    <w:rsid w:val="0036187D"/>
    <w:rsid w:val="00381024"/>
    <w:rsid w:val="00386307"/>
    <w:rsid w:val="003874DE"/>
    <w:rsid w:val="00390F3E"/>
    <w:rsid w:val="00393E9F"/>
    <w:rsid w:val="0039696E"/>
    <w:rsid w:val="003B211A"/>
    <w:rsid w:val="003C12B3"/>
    <w:rsid w:val="003C141F"/>
    <w:rsid w:val="003C6B0E"/>
    <w:rsid w:val="003C7257"/>
    <w:rsid w:val="003C7E35"/>
    <w:rsid w:val="003E5FCD"/>
    <w:rsid w:val="003F441D"/>
    <w:rsid w:val="00404E8A"/>
    <w:rsid w:val="0040622F"/>
    <w:rsid w:val="00423160"/>
    <w:rsid w:val="00453862"/>
    <w:rsid w:val="00461338"/>
    <w:rsid w:val="004677DB"/>
    <w:rsid w:val="0048630F"/>
    <w:rsid w:val="004947A1"/>
    <w:rsid w:val="0049482A"/>
    <w:rsid w:val="004979D3"/>
    <w:rsid w:val="004A00E7"/>
    <w:rsid w:val="004A3A61"/>
    <w:rsid w:val="004A3BED"/>
    <w:rsid w:val="004B59BA"/>
    <w:rsid w:val="004C263A"/>
    <w:rsid w:val="004D7B8F"/>
    <w:rsid w:val="004E6458"/>
    <w:rsid w:val="004E6E7D"/>
    <w:rsid w:val="004F11C8"/>
    <w:rsid w:val="004F1AAC"/>
    <w:rsid w:val="004F1AE2"/>
    <w:rsid w:val="004F34F0"/>
    <w:rsid w:val="005005EF"/>
    <w:rsid w:val="005270F1"/>
    <w:rsid w:val="005314B5"/>
    <w:rsid w:val="00534E11"/>
    <w:rsid w:val="005400D9"/>
    <w:rsid w:val="005476A4"/>
    <w:rsid w:val="0055019B"/>
    <w:rsid w:val="0055060B"/>
    <w:rsid w:val="00553E16"/>
    <w:rsid w:val="00556E63"/>
    <w:rsid w:val="005601A4"/>
    <w:rsid w:val="00566DBB"/>
    <w:rsid w:val="00577D3A"/>
    <w:rsid w:val="005976CE"/>
    <w:rsid w:val="005A23D4"/>
    <w:rsid w:val="005A2D1E"/>
    <w:rsid w:val="005C493F"/>
    <w:rsid w:val="005C6BF7"/>
    <w:rsid w:val="005C71BF"/>
    <w:rsid w:val="005D002C"/>
    <w:rsid w:val="005D30E1"/>
    <w:rsid w:val="005D6555"/>
    <w:rsid w:val="005D7BDF"/>
    <w:rsid w:val="005F71D9"/>
    <w:rsid w:val="005F7602"/>
    <w:rsid w:val="006108BA"/>
    <w:rsid w:val="00613501"/>
    <w:rsid w:val="006166A8"/>
    <w:rsid w:val="006174A1"/>
    <w:rsid w:val="00633B49"/>
    <w:rsid w:val="0064297F"/>
    <w:rsid w:val="00646CF3"/>
    <w:rsid w:val="00662983"/>
    <w:rsid w:val="006661F8"/>
    <w:rsid w:val="006705B8"/>
    <w:rsid w:val="006834D3"/>
    <w:rsid w:val="00692625"/>
    <w:rsid w:val="00695CD3"/>
    <w:rsid w:val="006A38B6"/>
    <w:rsid w:val="006A7628"/>
    <w:rsid w:val="006B1987"/>
    <w:rsid w:val="006B5B71"/>
    <w:rsid w:val="006B6CB0"/>
    <w:rsid w:val="006C1D30"/>
    <w:rsid w:val="006C2B64"/>
    <w:rsid w:val="006C428F"/>
    <w:rsid w:val="006D4C85"/>
    <w:rsid w:val="006E33F6"/>
    <w:rsid w:val="006F1251"/>
    <w:rsid w:val="006F1C23"/>
    <w:rsid w:val="00703166"/>
    <w:rsid w:val="007127F3"/>
    <w:rsid w:val="00717F80"/>
    <w:rsid w:val="007301CF"/>
    <w:rsid w:val="007316FB"/>
    <w:rsid w:val="00737E2D"/>
    <w:rsid w:val="007424D5"/>
    <w:rsid w:val="007523DD"/>
    <w:rsid w:val="00756DCD"/>
    <w:rsid w:val="00757B7E"/>
    <w:rsid w:val="00785E59"/>
    <w:rsid w:val="00795DC5"/>
    <w:rsid w:val="00797153"/>
    <w:rsid w:val="007B0DDA"/>
    <w:rsid w:val="007B5334"/>
    <w:rsid w:val="007C1237"/>
    <w:rsid w:val="007C1D16"/>
    <w:rsid w:val="007C664B"/>
    <w:rsid w:val="007D6482"/>
    <w:rsid w:val="007E5466"/>
    <w:rsid w:val="007F1949"/>
    <w:rsid w:val="00802956"/>
    <w:rsid w:val="008075B7"/>
    <w:rsid w:val="00817A84"/>
    <w:rsid w:val="008225A4"/>
    <w:rsid w:val="00826D5E"/>
    <w:rsid w:val="00832013"/>
    <w:rsid w:val="00834732"/>
    <w:rsid w:val="00843554"/>
    <w:rsid w:val="0085200C"/>
    <w:rsid w:val="00857C52"/>
    <w:rsid w:val="008651E2"/>
    <w:rsid w:val="00880A44"/>
    <w:rsid w:val="0088345E"/>
    <w:rsid w:val="0088577F"/>
    <w:rsid w:val="0088656F"/>
    <w:rsid w:val="008A0303"/>
    <w:rsid w:val="008A5FDD"/>
    <w:rsid w:val="008C3947"/>
    <w:rsid w:val="008E7329"/>
    <w:rsid w:val="008F2ED5"/>
    <w:rsid w:val="009145D2"/>
    <w:rsid w:val="00916202"/>
    <w:rsid w:val="009169B7"/>
    <w:rsid w:val="0092297E"/>
    <w:rsid w:val="0093069F"/>
    <w:rsid w:val="009341BF"/>
    <w:rsid w:val="00937907"/>
    <w:rsid w:val="00941739"/>
    <w:rsid w:val="00951573"/>
    <w:rsid w:val="009545AB"/>
    <w:rsid w:val="00963003"/>
    <w:rsid w:val="00970309"/>
    <w:rsid w:val="00973253"/>
    <w:rsid w:val="00983471"/>
    <w:rsid w:val="009909AB"/>
    <w:rsid w:val="009B37DB"/>
    <w:rsid w:val="009C7A8C"/>
    <w:rsid w:val="009D23F9"/>
    <w:rsid w:val="009D4FA8"/>
    <w:rsid w:val="009E6CD6"/>
    <w:rsid w:val="00A00C3C"/>
    <w:rsid w:val="00A01091"/>
    <w:rsid w:val="00A06DBB"/>
    <w:rsid w:val="00A31E86"/>
    <w:rsid w:val="00A54D87"/>
    <w:rsid w:val="00A5553C"/>
    <w:rsid w:val="00A71554"/>
    <w:rsid w:val="00A81452"/>
    <w:rsid w:val="00A81785"/>
    <w:rsid w:val="00A84803"/>
    <w:rsid w:val="00A84C51"/>
    <w:rsid w:val="00A86F2B"/>
    <w:rsid w:val="00A91366"/>
    <w:rsid w:val="00A93AA6"/>
    <w:rsid w:val="00AA4E48"/>
    <w:rsid w:val="00AA6202"/>
    <w:rsid w:val="00AB2DC2"/>
    <w:rsid w:val="00AC4A99"/>
    <w:rsid w:val="00AC64D2"/>
    <w:rsid w:val="00AE0FE8"/>
    <w:rsid w:val="00AF3EBC"/>
    <w:rsid w:val="00AF60D5"/>
    <w:rsid w:val="00B04415"/>
    <w:rsid w:val="00B11D60"/>
    <w:rsid w:val="00B11E4B"/>
    <w:rsid w:val="00B13D65"/>
    <w:rsid w:val="00B35176"/>
    <w:rsid w:val="00B351ED"/>
    <w:rsid w:val="00B37245"/>
    <w:rsid w:val="00B4017A"/>
    <w:rsid w:val="00B4468D"/>
    <w:rsid w:val="00B71C72"/>
    <w:rsid w:val="00B72341"/>
    <w:rsid w:val="00B81E92"/>
    <w:rsid w:val="00B93B30"/>
    <w:rsid w:val="00B94CB5"/>
    <w:rsid w:val="00BA0DD9"/>
    <w:rsid w:val="00BA4F88"/>
    <w:rsid w:val="00BA59C6"/>
    <w:rsid w:val="00BB6312"/>
    <w:rsid w:val="00BC4D06"/>
    <w:rsid w:val="00BD585E"/>
    <w:rsid w:val="00BF2E0D"/>
    <w:rsid w:val="00BF3F8B"/>
    <w:rsid w:val="00BF76DA"/>
    <w:rsid w:val="00C07C7B"/>
    <w:rsid w:val="00C24479"/>
    <w:rsid w:val="00C37B53"/>
    <w:rsid w:val="00C517D2"/>
    <w:rsid w:val="00C62B36"/>
    <w:rsid w:val="00C638D6"/>
    <w:rsid w:val="00C7012C"/>
    <w:rsid w:val="00C85FB3"/>
    <w:rsid w:val="00C96915"/>
    <w:rsid w:val="00CB1C5E"/>
    <w:rsid w:val="00CC2715"/>
    <w:rsid w:val="00CC668D"/>
    <w:rsid w:val="00CC7832"/>
    <w:rsid w:val="00CF0C1C"/>
    <w:rsid w:val="00CF1FFA"/>
    <w:rsid w:val="00D03AD3"/>
    <w:rsid w:val="00D134FD"/>
    <w:rsid w:val="00D2102A"/>
    <w:rsid w:val="00D23808"/>
    <w:rsid w:val="00D2781D"/>
    <w:rsid w:val="00D3016A"/>
    <w:rsid w:val="00D42960"/>
    <w:rsid w:val="00D43BD7"/>
    <w:rsid w:val="00D4485B"/>
    <w:rsid w:val="00D4708D"/>
    <w:rsid w:val="00D4744C"/>
    <w:rsid w:val="00D63068"/>
    <w:rsid w:val="00D6498C"/>
    <w:rsid w:val="00D8521E"/>
    <w:rsid w:val="00D9291C"/>
    <w:rsid w:val="00D93A97"/>
    <w:rsid w:val="00DA0CCF"/>
    <w:rsid w:val="00DB1F64"/>
    <w:rsid w:val="00DC2F53"/>
    <w:rsid w:val="00DC6816"/>
    <w:rsid w:val="00DC6E78"/>
    <w:rsid w:val="00DC76C2"/>
    <w:rsid w:val="00DD1CF2"/>
    <w:rsid w:val="00DF41B7"/>
    <w:rsid w:val="00DF4A4A"/>
    <w:rsid w:val="00DF583C"/>
    <w:rsid w:val="00E03C3F"/>
    <w:rsid w:val="00E24D45"/>
    <w:rsid w:val="00E33DB8"/>
    <w:rsid w:val="00E34387"/>
    <w:rsid w:val="00E369FE"/>
    <w:rsid w:val="00E37C6F"/>
    <w:rsid w:val="00E475F8"/>
    <w:rsid w:val="00E5102E"/>
    <w:rsid w:val="00E5721C"/>
    <w:rsid w:val="00E619C6"/>
    <w:rsid w:val="00E745A1"/>
    <w:rsid w:val="00E81529"/>
    <w:rsid w:val="00E83A13"/>
    <w:rsid w:val="00E84FAD"/>
    <w:rsid w:val="00E93228"/>
    <w:rsid w:val="00EB1A3E"/>
    <w:rsid w:val="00EC2356"/>
    <w:rsid w:val="00EC2582"/>
    <w:rsid w:val="00EC337C"/>
    <w:rsid w:val="00ED0CFF"/>
    <w:rsid w:val="00ED31D2"/>
    <w:rsid w:val="00EE0ACF"/>
    <w:rsid w:val="00EE0EAC"/>
    <w:rsid w:val="00EE33CB"/>
    <w:rsid w:val="00F0061A"/>
    <w:rsid w:val="00F02834"/>
    <w:rsid w:val="00F07CD7"/>
    <w:rsid w:val="00F127E9"/>
    <w:rsid w:val="00F174C8"/>
    <w:rsid w:val="00F36972"/>
    <w:rsid w:val="00F42426"/>
    <w:rsid w:val="00F456BC"/>
    <w:rsid w:val="00F50666"/>
    <w:rsid w:val="00F60C95"/>
    <w:rsid w:val="00F70C9E"/>
    <w:rsid w:val="00F74A74"/>
    <w:rsid w:val="00F8382C"/>
    <w:rsid w:val="00F855D7"/>
    <w:rsid w:val="00F92035"/>
    <w:rsid w:val="00F92748"/>
    <w:rsid w:val="00F953C7"/>
    <w:rsid w:val="00FA4169"/>
    <w:rsid w:val="00FB0D41"/>
    <w:rsid w:val="00FB2030"/>
    <w:rsid w:val="00FD1CF2"/>
    <w:rsid w:val="00FD24CB"/>
    <w:rsid w:val="00FD3EDF"/>
    <w:rsid w:val="00FD793C"/>
    <w:rsid w:val="00FE20E6"/>
    <w:rsid w:val="00FE3E3B"/>
    <w:rsid w:val="00FF4032"/>
  </w:rsids>
  <m:mathPr>
    <m:mathFont m:val="Cambria Math"/>
    <m:brkBin m:val="before"/>
    <m:brkBinSub m:val="--"/>
    <m:smallFrac m:val="0"/>
    <m:dispDef/>
    <m:lMargin m:val="0"/>
    <m:rMargin m:val="0"/>
    <m:defJc m:val="centerGroup"/>
    <m:wrapIndent m:val="1440"/>
    <m:intLim m:val="subSup"/>
    <m:naryLim m:val="undOvr"/>
  </m:mathPr>
  <w:themeFontLang w:val="lt-LT"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DFE6E56"/>
  <w15:docId w15:val="{EAE663F4-E9D4-4801-9B3D-DF722035B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81529"/>
    <w:rPr>
      <w:sz w:val="24"/>
      <w:szCs w:val="24"/>
      <w:lang w:eastAsia="en-US"/>
    </w:rPr>
  </w:style>
  <w:style w:type="paragraph" w:styleId="Heading1">
    <w:name w:val="heading 1"/>
    <w:basedOn w:val="Normal"/>
    <w:next w:val="Normal"/>
    <w:qFormat/>
    <w:rsid w:val="00A84C51"/>
    <w:pPr>
      <w:keepNext/>
      <w:jc w:val="center"/>
      <w:outlineLvl w:val="0"/>
    </w:pPr>
    <w:rPr>
      <w:b/>
      <w:bCs/>
      <w:caps/>
    </w:rPr>
  </w:style>
  <w:style w:type="paragraph" w:styleId="Heading2">
    <w:name w:val="heading 2"/>
    <w:basedOn w:val="Normal"/>
    <w:next w:val="Normal"/>
    <w:qFormat/>
    <w:rsid w:val="00A84C51"/>
    <w:pPr>
      <w:keepNext/>
      <w:jc w:val="center"/>
      <w:outlineLvl w:val="1"/>
    </w:pPr>
    <w:rPr>
      <w:b/>
      <w:bCs/>
      <w:cap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A84C51"/>
    <w:pPr>
      <w:tabs>
        <w:tab w:val="center" w:pos="4986"/>
        <w:tab w:val="right" w:pos="9972"/>
      </w:tabs>
    </w:pPr>
  </w:style>
  <w:style w:type="paragraph" w:styleId="Footer">
    <w:name w:val="footer"/>
    <w:basedOn w:val="Normal"/>
    <w:link w:val="FooterChar"/>
    <w:rsid w:val="00A84C51"/>
    <w:pPr>
      <w:tabs>
        <w:tab w:val="center" w:pos="4986"/>
        <w:tab w:val="right" w:pos="9972"/>
      </w:tabs>
    </w:pPr>
  </w:style>
  <w:style w:type="character" w:styleId="PageNumber">
    <w:name w:val="page number"/>
    <w:basedOn w:val="DefaultParagraphFont"/>
    <w:rsid w:val="00A84C51"/>
  </w:style>
  <w:style w:type="character" w:styleId="Hyperlink">
    <w:name w:val="Hyperlink"/>
    <w:basedOn w:val="DefaultParagraphFont"/>
    <w:uiPriority w:val="99"/>
    <w:rsid w:val="00A84C51"/>
    <w:rPr>
      <w:color w:val="0000FF"/>
      <w:u w:val="single"/>
    </w:rPr>
  </w:style>
  <w:style w:type="paragraph" w:styleId="BalloonText">
    <w:name w:val="Balloon Text"/>
    <w:basedOn w:val="Normal"/>
    <w:semiHidden/>
    <w:rsid w:val="00EC2356"/>
    <w:rPr>
      <w:rFonts w:ascii="Tahoma" w:hAnsi="Tahoma" w:cs="Tahoma"/>
      <w:sz w:val="16"/>
      <w:szCs w:val="16"/>
    </w:rPr>
  </w:style>
  <w:style w:type="character" w:customStyle="1" w:styleId="FooterChar">
    <w:name w:val="Footer Char"/>
    <w:basedOn w:val="DefaultParagraphFont"/>
    <w:link w:val="Footer"/>
    <w:rsid w:val="00737E2D"/>
    <w:rPr>
      <w:sz w:val="24"/>
      <w:szCs w:val="24"/>
      <w:lang w:eastAsia="en-US"/>
    </w:rPr>
  </w:style>
  <w:style w:type="character" w:customStyle="1" w:styleId="Neapdorotaspaminjimas1">
    <w:name w:val="Neapdorotas paminėjimas1"/>
    <w:basedOn w:val="DefaultParagraphFont"/>
    <w:uiPriority w:val="99"/>
    <w:semiHidden/>
    <w:unhideWhenUsed/>
    <w:rsid w:val="00A31E86"/>
    <w:rPr>
      <w:color w:val="605E5C"/>
      <w:shd w:val="clear" w:color="auto" w:fill="E1DFDD"/>
    </w:rPr>
  </w:style>
  <w:style w:type="character" w:styleId="FollowedHyperlink">
    <w:name w:val="FollowedHyperlink"/>
    <w:basedOn w:val="DefaultParagraphFont"/>
    <w:semiHidden/>
    <w:unhideWhenUsed/>
    <w:rsid w:val="00A31E86"/>
    <w:rPr>
      <w:color w:val="800080" w:themeColor="followedHyperlink"/>
      <w:u w:val="single"/>
    </w:rPr>
  </w:style>
  <w:style w:type="table" w:styleId="TableGrid">
    <w:name w:val="Table Grid"/>
    <w:basedOn w:val="TableNormal"/>
    <w:rsid w:val="00D429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unhideWhenUsed/>
    <w:rsid w:val="00C7012C"/>
    <w:rPr>
      <w:sz w:val="16"/>
      <w:szCs w:val="16"/>
    </w:rPr>
  </w:style>
  <w:style w:type="paragraph" w:styleId="CommentText">
    <w:name w:val="annotation text"/>
    <w:basedOn w:val="Normal"/>
    <w:link w:val="CommentTextChar"/>
    <w:unhideWhenUsed/>
    <w:rsid w:val="00C7012C"/>
    <w:rPr>
      <w:sz w:val="20"/>
      <w:szCs w:val="20"/>
    </w:rPr>
  </w:style>
  <w:style w:type="character" w:customStyle="1" w:styleId="CommentTextChar">
    <w:name w:val="Comment Text Char"/>
    <w:basedOn w:val="DefaultParagraphFont"/>
    <w:link w:val="CommentText"/>
    <w:rsid w:val="00C7012C"/>
    <w:rPr>
      <w:lang w:eastAsia="en-US"/>
    </w:rPr>
  </w:style>
  <w:style w:type="paragraph" w:styleId="CommentSubject">
    <w:name w:val="annotation subject"/>
    <w:basedOn w:val="CommentText"/>
    <w:next w:val="CommentText"/>
    <w:link w:val="CommentSubjectChar"/>
    <w:semiHidden/>
    <w:unhideWhenUsed/>
    <w:rsid w:val="00C7012C"/>
    <w:rPr>
      <w:b/>
      <w:bCs/>
    </w:rPr>
  </w:style>
  <w:style w:type="character" w:customStyle="1" w:styleId="CommentSubjectChar">
    <w:name w:val="Comment Subject Char"/>
    <w:basedOn w:val="CommentTextChar"/>
    <w:link w:val="CommentSubject"/>
    <w:semiHidden/>
    <w:rsid w:val="00C7012C"/>
    <w:rPr>
      <w:b/>
      <w:bCs/>
      <w:lang w:eastAsia="en-US"/>
    </w:rPr>
  </w:style>
  <w:style w:type="paragraph" w:styleId="ListParagraph">
    <w:name w:val="List Paragraph"/>
    <w:aliases w:val="Bullets Points,Table Header Row,Bullet Paragraph,Bullet Point,Dairy Paragraphe,Table Legend,Bullet List,Bullet1,Bullet 1,1. Bullet Blank,Bulleted - 2,Use Case List Paragraph,List Paragraph1,Body Bullet,Table Number Paragraph,Ref,B1,bu1"/>
    <w:basedOn w:val="Normal"/>
    <w:link w:val="ListParagraphChar"/>
    <w:uiPriority w:val="34"/>
    <w:qFormat/>
    <w:rsid w:val="00104E2E"/>
    <w:pPr>
      <w:ind w:left="720"/>
      <w:contextualSpacing/>
    </w:pPr>
  </w:style>
  <w:style w:type="character" w:customStyle="1" w:styleId="Style2">
    <w:name w:val="Style2"/>
    <w:basedOn w:val="DefaultParagraphFont"/>
    <w:uiPriority w:val="1"/>
    <w:rsid w:val="00D6498C"/>
    <w:rPr>
      <w:sz w:val="32"/>
    </w:rPr>
  </w:style>
  <w:style w:type="character" w:styleId="PlaceholderText">
    <w:name w:val="Placeholder Text"/>
    <w:basedOn w:val="DefaultParagraphFont"/>
    <w:uiPriority w:val="99"/>
    <w:rsid w:val="00B13D65"/>
    <w:rPr>
      <w:color w:val="808080"/>
    </w:rPr>
  </w:style>
  <w:style w:type="paragraph" w:styleId="NoSpacing">
    <w:name w:val="No Spacing"/>
    <w:uiPriority w:val="1"/>
    <w:qFormat/>
    <w:rsid w:val="00B13D65"/>
    <w:rPr>
      <w:rFonts w:ascii="Calibri" w:eastAsia="Calibri" w:hAnsi="Calibri"/>
      <w:sz w:val="22"/>
      <w:szCs w:val="22"/>
      <w:lang w:eastAsia="en-US"/>
    </w:rPr>
  </w:style>
  <w:style w:type="character" w:customStyle="1" w:styleId="ListParagraphChar">
    <w:name w:val="List Paragraph Char"/>
    <w:aliases w:val="Bullets Points Char,Table Header Row Char,Bullet Paragraph Char,Bullet Point Char,Dairy Paragraphe Char,Table Legend Char,Bullet List Char,Bullet1 Char,Bullet 1 Char,1. Bullet Blank Char,Bulleted - 2 Char,Use Case List Paragraph Char"/>
    <w:link w:val="ListParagraph"/>
    <w:uiPriority w:val="34"/>
    <w:locked/>
    <w:rsid w:val="0055060B"/>
    <w:rPr>
      <w:sz w:val="24"/>
      <w:szCs w:val="24"/>
      <w:lang w:eastAsia="en-US"/>
    </w:rPr>
  </w:style>
  <w:style w:type="paragraph" w:styleId="EndnoteText">
    <w:name w:val="endnote text"/>
    <w:basedOn w:val="Normal"/>
    <w:link w:val="EndnoteTextChar"/>
    <w:semiHidden/>
    <w:unhideWhenUsed/>
    <w:rsid w:val="0055060B"/>
    <w:rPr>
      <w:sz w:val="20"/>
      <w:szCs w:val="20"/>
    </w:rPr>
  </w:style>
  <w:style w:type="character" w:customStyle="1" w:styleId="EndnoteTextChar">
    <w:name w:val="Endnote Text Char"/>
    <w:basedOn w:val="DefaultParagraphFont"/>
    <w:link w:val="EndnoteText"/>
    <w:semiHidden/>
    <w:rsid w:val="0055060B"/>
    <w:rPr>
      <w:lang w:eastAsia="en-US"/>
    </w:rPr>
  </w:style>
  <w:style w:type="character" w:styleId="EndnoteReference">
    <w:name w:val="endnote reference"/>
    <w:basedOn w:val="DefaultParagraphFont"/>
    <w:semiHidden/>
    <w:unhideWhenUsed/>
    <w:rsid w:val="0055060B"/>
    <w:rPr>
      <w:vertAlign w:val="superscript"/>
    </w:rPr>
  </w:style>
  <w:style w:type="paragraph" w:styleId="HTMLPreformatted">
    <w:name w:val="HTML Preformatted"/>
    <w:basedOn w:val="Normal"/>
    <w:link w:val="HTMLPreformattedChar"/>
    <w:uiPriority w:val="99"/>
    <w:unhideWhenUsed/>
    <w:rsid w:val="008651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en-GB"/>
    </w:rPr>
  </w:style>
  <w:style w:type="character" w:customStyle="1" w:styleId="HTMLPreformattedChar">
    <w:name w:val="HTML Preformatted Char"/>
    <w:basedOn w:val="DefaultParagraphFont"/>
    <w:link w:val="HTMLPreformatted"/>
    <w:uiPriority w:val="99"/>
    <w:rsid w:val="008651E2"/>
    <w:rPr>
      <w:rFonts w:ascii="Courier New" w:hAnsi="Courier New" w:cs="Courier New"/>
      <w:lang w:eastAsia="en-GB"/>
    </w:rPr>
  </w:style>
  <w:style w:type="character" w:customStyle="1" w:styleId="y2iqfc">
    <w:name w:val="y2iqfc"/>
    <w:basedOn w:val="DefaultParagraphFont"/>
    <w:rsid w:val="008651E2"/>
  </w:style>
  <w:style w:type="paragraph" w:styleId="NormalWeb">
    <w:name w:val="Normal (Web)"/>
    <w:basedOn w:val="Normal"/>
    <w:uiPriority w:val="99"/>
    <w:unhideWhenUsed/>
    <w:rsid w:val="003C12B3"/>
    <w:pPr>
      <w:spacing w:before="100" w:beforeAutospacing="1" w:after="100" w:afterAutospacing="1"/>
    </w:pPr>
    <w:rPr>
      <w:lang w:val="en-US"/>
    </w:rPr>
  </w:style>
  <w:style w:type="paragraph" w:customStyle="1" w:styleId="drug-info">
    <w:name w:val="drug-info"/>
    <w:basedOn w:val="Normal"/>
    <w:rsid w:val="00BA59C6"/>
    <w:pPr>
      <w:spacing w:before="100" w:beforeAutospacing="1" w:after="100" w:afterAutospacing="1"/>
    </w:pPr>
    <w:rPr>
      <w:lang w:eastAsia="en-GB"/>
    </w:rPr>
  </w:style>
  <w:style w:type="paragraph" w:customStyle="1" w:styleId="Tekstas">
    <w:name w:val="Tekstas"/>
    <w:basedOn w:val="Normal"/>
    <w:link w:val="TekstasChar"/>
    <w:qFormat/>
    <w:rsid w:val="006C428F"/>
    <w:pPr>
      <w:spacing w:after="120"/>
      <w:jc w:val="both"/>
    </w:pPr>
    <w:rPr>
      <w:lang w:eastAsia="lt-LT"/>
    </w:rPr>
  </w:style>
  <w:style w:type="character" w:customStyle="1" w:styleId="TekstasChar">
    <w:name w:val="Tekstas Char"/>
    <w:link w:val="Tekstas"/>
    <w:rsid w:val="006C428F"/>
    <w:rPr>
      <w:sz w:val="24"/>
      <w:szCs w:val="24"/>
    </w:rPr>
  </w:style>
  <w:style w:type="paragraph" w:customStyle="1" w:styleId="VVKT">
    <w:name w:val="VVKT"/>
    <w:basedOn w:val="Normal"/>
    <w:link w:val="VVKTChar"/>
    <w:qFormat/>
    <w:rsid w:val="00B72341"/>
    <w:pPr>
      <w:spacing w:line="276" w:lineRule="auto"/>
      <w:ind w:firstLine="576"/>
      <w:jc w:val="both"/>
    </w:pPr>
    <w:rPr>
      <w:lang w:val="en-GB"/>
    </w:rPr>
  </w:style>
  <w:style w:type="character" w:customStyle="1" w:styleId="VVKTChar">
    <w:name w:val="VVKT Char"/>
    <w:link w:val="VVKT"/>
    <w:rsid w:val="00B72341"/>
    <w:rPr>
      <w:sz w:val="24"/>
      <w:szCs w:val="24"/>
      <w:lang w:val="en-GB" w:eastAsia="en-US"/>
    </w:rPr>
  </w:style>
  <w:style w:type="table" w:customStyle="1" w:styleId="Lentelstinklelis1">
    <w:name w:val="Lentelės tinklelis1"/>
    <w:basedOn w:val="TableNormal"/>
    <w:next w:val="TableGrid"/>
    <w:rsid w:val="00785E59"/>
    <w:rPr>
      <w:sz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7787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poceviciute\Documents\VVKT%20rastams.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691A7D77D987F40A9B3B435AFBF91F6"/>
        <w:category>
          <w:name w:val="General"/>
          <w:gallery w:val="placeholder"/>
        </w:category>
        <w:types>
          <w:type w:val="bbPlcHdr"/>
        </w:types>
        <w:behaviors>
          <w:behavior w:val="content"/>
        </w:behaviors>
        <w:guid w:val="{6839AF33-A846-3241-8F66-EBF58AE81E3D}"/>
      </w:docPartPr>
      <w:docPartBody>
        <w:p w:rsidR="00D274F7" w:rsidRDefault="00E70FD5" w:rsidP="00E70FD5">
          <w:pPr>
            <w:pStyle w:val="9691A7D77D987F40A9B3B435AFBF91F6"/>
          </w:pPr>
          <w:r w:rsidRPr="00546469">
            <w:rPr>
              <w:rStyle w:val="PlaceholderText"/>
            </w:rPr>
            <w:t>Click or tap here to enter text.</w:t>
          </w:r>
        </w:p>
      </w:docPartBody>
    </w:docPart>
    <w:docPart>
      <w:docPartPr>
        <w:name w:val="9836E1CD8011654E862FD96753EA7918"/>
        <w:category>
          <w:name w:val="General"/>
          <w:gallery w:val="placeholder"/>
        </w:category>
        <w:types>
          <w:type w:val="bbPlcHdr"/>
        </w:types>
        <w:behaviors>
          <w:behavior w:val="content"/>
        </w:behaviors>
        <w:guid w:val="{522F3629-7FEB-BA4B-A53A-BA516642A5ED}"/>
      </w:docPartPr>
      <w:docPartBody>
        <w:p w:rsidR="0024428D" w:rsidRDefault="00D274F7" w:rsidP="00D274F7">
          <w:pPr>
            <w:pStyle w:val="9836E1CD8011654E862FD96753EA7918"/>
          </w:pPr>
          <w:r>
            <w:rPr>
              <w:rStyle w:val="PlaceholderText"/>
            </w:rPr>
            <w:t>Click here to enter a date.</w:t>
          </w:r>
        </w:p>
      </w:docPartBody>
    </w:docPart>
    <w:docPart>
      <w:docPartPr>
        <w:name w:val="E5897305EEE04593AC2ABB6DBB1B7C8B"/>
        <w:category>
          <w:name w:val="General"/>
          <w:gallery w:val="placeholder"/>
        </w:category>
        <w:types>
          <w:type w:val="bbPlcHdr"/>
        </w:types>
        <w:behaviors>
          <w:behavior w:val="content"/>
        </w:behaviors>
        <w:guid w:val="{3EB192F4-22D2-499A-B566-A55C3198D33C}"/>
      </w:docPartPr>
      <w:docPartBody>
        <w:p w:rsidR="00D461E6" w:rsidRDefault="0024428D" w:rsidP="0024428D">
          <w:pPr>
            <w:pStyle w:val="E5897305EEE04593AC2ABB6DBB1B7C8B"/>
          </w:pPr>
          <w:r>
            <w:rPr>
              <w:rStyle w:val="PlaceholderText"/>
            </w:rPr>
            <w:t>Click here to enter a date.</w:t>
          </w:r>
        </w:p>
      </w:docPartBody>
    </w:docPart>
    <w:docPart>
      <w:docPartPr>
        <w:name w:val="7BF97DDCE6BA4C80BAB6142AA277E340"/>
        <w:category>
          <w:name w:val="General"/>
          <w:gallery w:val="placeholder"/>
        </w:category>
        <w:types>
          <w:type w:val="bbPlcHdr"/>
        </w:types>
        <w:behaviors>
          <w:behavior w:val="content"/>
        </w:behaviors>
        <w:guid w:val="{BFC7045D-5549-438F-A4E6-E596F013D8F0}"/>
      </w:docPartPr>
      <w:docPartBody>
        <w:p w:rsidR="00D461E6" w:rsidRDefault="0024428D" w:rsidP="0024428D">
          <w:pPr>
            <w:pStyle w:val="7BF97DDCE6BA4C80BAB6142AA277E340"/>
          </w:pPr>
          <w:r>
            <w:rPr>
              <w:rStyle w:val="PlaceholderText"/>
            </w:rPr>
            <w:t>Click here to enter a date.</w:t>
          </w:r>
        </w:p>
      </w:docPartBody>
    </w:docPart>
    <w:docPart>
      <w:docPartPr>
        <w:name w:val="B19ED471DFD2418599D30C43DFFE7915"/>
        <w:category>
          <w:name w:val="General"/>
          <w:gallery w:val="placeholder"/>
        </w:category>
        <w:types>
          <w:type w:val="bbPlcHdr"/>
        </w:types>
        <w:behaviors>
          <w:behavior w:val="content"/>
        </w:behaviors>
        <w:guid w:val="{4A66C30C-67DC-4848-9816-7035C23F43D8}"/>
      </w:docPartPr>
      <w:docPartBody>
        <w:p w:rsidR="00D461E6" w:rsidRDefault="0024428D" w:rsidP="0024428D">
          <w:pPr>
            <w:pStyle w:val="B19ED471DFD2418599D30C43DFFE7915"/>
          </w:pPr>
          <w:r>
            <w:rPr>
              <w:rStyle w:val="PlaceholderText"/>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MS Mincho"/>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40DD"/>
    <w:rsid w:val="000937FE"/>
    <w:rsid w:val="000A559A"/>
    <w:rsid w:val="001227E4"/>
    <w:rsid w:val="0024428D"/>
    <w:rsid w:val="003A2F2A"/>
    <w:rsid w:val="003C1AE1"/>
    <w:rsid w:val="004144A3"/>
    <w:rsid w:val="004160E7"/>
    <w:rsid w:val="005074B9"/>
    <w:rsid w:val="00550315"/>
    <w:rsid w:val="005E40DD"/>
    <w:rsid w:val="007C6D1D"/>
    <w:rsid w:val="00843AE5"/>
    <w:rsid w:val="008C49D4"/>
    <w:rsid w:val="008F566D"/>
    <w:rsid w:val="00936288"/>
    <w:rsid w:val="009B3BF0"/>
    <w:rsid w:val="009D5E5E"/>
    <w:rsid w:val="00B23DC0"/>
    <w:rsid w:val="00B766C7"/>
    <w:rsid w:val="00CB4BD1"/>
    <w:rsid w:val="00CE2DA9"/>
    <w:rsid w:val="00CE44BE"/>
    <w:rsid w:val="00CE49F2"/>
    <w:rsid w:val="00D274F7"/>
    <w:rsid w:val="00D461E6"/>
    <w:rsid w:val="00E44A86"/>
    <w:rsid w:val="00E70FD5"/>
    <w:rsid w:val="00EF6E0C"/>
    <w:rsid w:val="00FE0D4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24428D"/>
    <w:rPr>
      <w:color w:val="808080"/>
    </w:rPr>
  </w:style>
  <w:style w:type="paragraph" w:customStyle="1" w:styleId="9836E1CD8011654E862FD96753EA7918">
    <w:name w:val="9836E1CD8011654E862FD96753EA7918"/>
    <w:rsid w:val="00D274F7"/>
    <w:pPr>
      <w:spacing w:after="0" w:line="240" w:lineRule="auto"/>
    </w:pPr>
    <w:rPr>
      <w:sz w:val="24"/>
      <w:szCs w:val="24"/>
      <w:lang w:eastAsia="en-GB"/>
    </w:rPr>
  </w:style>
  <w:style w:type="paragraph" w:customStyle="1" w:styleId="E5897305EEE04593AC2ABB6DBB1B7C8B">
    <w:name w:val="E5897305EEE04593AC2ABB6DBB1B7C8B"/>
    <w:rsid w:val="0024428D"/>
    <w:rPr>
      <w:kern w:val="2"/>
      <w:lang w:val="en-GB" w:eastAsia="en-GB"/>
      <w14:ligatures w14:val="standardContextual"/>
    </w:rPr>
  </w:style>
  <w:style w:type="paragraph" w:customStyle="1" w:styleId="9691A7D77D987F40A9B3B435AFBF91F6">
    <w:name w:val="9691A7D77D987F40A9B3B435AFBF91F6"/>
    <w:rsid w:val="00E70FD5"/>
    <w:pPr>
      <w:spacing w:after="0" w:line="240" w:lineRule="auto"/>
    </w:pPr>
    <w:rPr>
      <w:sz w:val="24"/>
      <w:szCs w:val="24"/>
      <w:lang w:eastAsia="en-GB"/>
    </w:rPr>
  </w:style>
  <w:style w:type="paragraph" w:customStyle="1" w:styleId="7BF97DDCE6BA4C80BAB6142AA277E340">
    <w:name w:val="7BF97DDCE6BA4C80BAB6142AA277E340"/>
    <w:rsid w:val="0024428D"/>
    <w:rPr>
      <w:kern w:val="2"/>
      <w:lang w:val="en-GB" w:eastAsia="en-GB"/>
      <w14:ligatures w14:val="standardContextual"/>
    </w:rPr>
  </w:style>
  <w:style w:type="paragraph" w:customStyle="1" w:styleId="B19ED471DFD2418599D30C43DFFE7915">
    <w:name w:val="B19ED471DFD2418599D30C43DFFE7915"/>
    <w:rsid w:val="0024428D"/>
    <w:rPr>
      <w:kern w:val="2"/>
      <w:lang w:val="en-GB" w:eastAsia="en-GB"/>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E3B67235628E7F46AF2BA15FF369754F" ma:contentTypeVersion="12" ma:contentTypeDescription="Kurkite naują dokumentą." ma:contentTypeScope="" ma:versionID="7896cec6a881105de0b62eeda7f7519d">
  <xsd:schema xmlns:xsd="http://www.w3.org/2001/XMLSchema" xmlns:xs="http://www.w3.org/2001/XMLSchema" xmlns:p="http://schemas.microsoft.com/office/2006/metadata/properties" xmlns:ns2="0cbfc325-95d3-4267-a4df-efb99666e73f" xmlns:ns3="58c78cca-ba62-460a-8b2d-a5f76cdde1ab" targetNamespace="http://schemas.microsoft.com/office/2006/metadata/properties" ma:root="true" ma:fieldsID="bff511d3fd5ce467215635241e287862" ns2:_="" ns3:_="">
    <xsd:import namespace="0cbfc325-95d3-4267-a4df-efb99666e73f"/>
    <xsd:import namespace="58c78cca-ba62-460a-8b2d-a5f76cdde1a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bfc325-95d3-4267-a4df-efb99666e73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8c78cca-ba62-460a-8b2d-a5f76cdde1ab" elementFormDefault="qualified">
    <xsd:import namespace="http://schemas.microsoft.com/office/2006/documentManagement/types"/>
    <xsd:import namespace="http://schemas.microsoft.com/office/infopath/2007/PartnerControls"/>
    <xsd:element name="SharedWithUsers" ma:index="16"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50CEA3-6378-4095-9F5D-B11A517684E3}">
  <ds:schemaRefs>
    <ds:schemaRef ds:uri="http://schemas.microsoft.com/sharepoint/v3/contenttype/forms"/>
  </ds:schemaRefs>
</ds:datastoreItem>
</file>

<file path=customXml/itemProps2.xml><?xml version="1.0" encoding="utf-8"?>
<ds:datastoreItem xmlns:ds="http://schemas.openxmlformats.org/officeDocument/2006/customXml" ds:itemID="{E52D15DB-29AC-4619-86CC-8EC99F50D06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36F4A4C-3AA2-45D0-B907-E8A8DC638D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bfc325-95d3-4267-a4df-efb99666e73f"/>
    <ds:schemaRef ds:uri="58c78cca-ba62-460a-8b2d-a5f76cdde1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52CA49C-B13D-4245-9131-5D08F3D5A2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VVKT rastams.dotx</Template>
  <TotalTime>46</TotalTime>
  <Pages>9</Pages>
  <Words>3325</Words>
  <Characters>18953</Characters>
  <Application>Microsoft Office Word</Application>
  <DocSecurity>0</DocSecurity>
  <Lines>157</Lines>
  <Paragraphs>44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S.M.C.A.</Company>
  <LinksUpToDate>false</LinksUpToDate>
  <CharactersWithSpaces>22234</CharactersWithSpaces>
  <SharedDoc>false</SharedDoc>
  <HLinks>
    <vt:vector size="6" baseType="variant">
      <vt:variant>
        <vt:i4>5308539</vt:i4>
      </vt:variant>
      <vt:variant>
        <vt:i4>6</vt:i4>
      </vt:variant>
      <vt:variant>
        <vt:i4>0</vt:i4>
      </vt:variant>
      <vt:variant>
        <vt:i4>5</vt:i4>
      </vt:variant>
      <vt:variant>
        <vt:lpwstr>mailto:vvkt@vvkt.lt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Simona Kudelienė</dc:creator>
  <cp:keywords/>
  <dc:description/>
  <cp:lastModifiedBy>Greblikas, Martynas</cp:lastModifiedBy>
  <cp:revision>8</cp:revision>
  <cp:lastPrinted>2015-11-17T07:39:00Z</cp:lastPrinted>
  <dcterms:created xsi:type="dcterms:W3CDTF">2023-07-25T09:22:00Z</dcterms:created>
  <dcterms:modified xsi:type="dcterms:W3CDTF">2023-08-11T12:17:00Z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0x010100E3B67235628E7F46AF2BA15FF369754F</vt:lpwstr>
  </property>
  <property fmtid="{D5CDD505-2E9C-101B-9397-08002B2CF9AE}" pid="3" name="MSIP_Label_e81acc0d-dcc4-4dc9-a2c5-be70b05a2fe6_Enabled">
    <vt:lpwstr>true</vt:lpwstr>
  </property>
  <property fmtid="{D5CDD505-2E9C-101B-9397-08002B2CF9AE}" pid="4" name="MSIP_Label_e81acc0d-dcc4-4dc9-a2c5-be70b05a2fe6_SetDate">
    <vt:lpwstr>2023-08-11T12:17:38Z</vt:lpwstr>
  </property>
  <property fmtid="{D5CDD505-2E9C-101B-9397-08002B2CF9AE}" pid="5" name="MSIP_Label_e81acc0d-dcc4-4dc9-a2c5-be70b05a2fe6_Method">
    <vt:lpwstr>Privileged</vt:lpwstr>
  </property>
  <property fmtid="{D5CDD505-2E9C-101B-9397-08002B2CF9AE}" pid="6" name="MSIP_Label_e81acc0d-dcc4-4dc9-a2c5-be70b05a2fe6_Name">
    <vt:lpwstr>e81acc0d-dcc4-4dc9-a2c5-be70b05a2fe6</vt:lpwstr>
  </property>
  <property fmtid="{D5CDD505-2E9C-101B-9397-08002B2CF9AE}" pid="7" name="MSIP_Label_e81acc0d-dcc4-4dc9-a2c5-be70b05a2fe6_SiteId">
    <vt:lpwstr>a00de4ec-48a8-43a6-be74-e31274e2060d</vt:lpwstr>
  </property>
  <property fmtid="{D5CDD505-2E9C-101B-9397-08002B2CF9AE}" pid="8" name="MSIP_Label_e81acc0d-dcc4-4dc9-a2c5-be70b05a2fe6_ActionId">
    <vt:lpwstr>3b81922b-b8c5-44e6-a67a-9a395f0ab338</vt:lpwstr>
  </property>
  <property fmtid="{D5CDD505-2E9C-101B-9397-08002B2CF9AE}" pid="9" name="MSIP_Label_e81acc0d-dcc4-4dc9-a2c5-be70b05a2fe6_ContentBits">
    <vt:lpwstr>0</vt:lpwstr>
  </property>
  <property fmtid="{D5CDD505-2E9C-101B-9397-08002B2CF9AE}" pid="10" name="MerckAIPLabel">
    <vt:lpwstr>NotClassified</vt:lpwstr>
  </property>
  <property fmtid="{D5CDD505-2E9C-101B-9397-08002B2CF9AE}" pid="11" name="MerckAIPDataExchange">
    <vt:lpwstr>!MRKMIP@NotClassified</vt:lpwstr>
  </property>
  <property fmtid="{D5CDD505-2E9C-101B-9397-08002B2CF9AE}" pid="13" name="_NewReviewCycle">
    <vt:lpwstr/>
  </property>
</Properties>
</file>