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5EB3" w14:textId="1955ADE3" w:rsidR="005F7602" w:rsidRDefault="005F7602" w:rsidP="000A2C4C">
      <w:pPr>
        <w:spacing w:line="360" w:lineRule="auto"/>
        <w:ind w:left="5529"/>
      </w:pPr>
    </w:p>
    <w:p w14:paraId="12FA4B9E" w14:textId="77777777" w:rsidR="001B3C5B" w:rsidRPr="00E33EFF" w:rsidRDefault="001B3C5B" w:rsidP="000A2C4C">
      <w:pPr>
        <w:spacing w:line="360" w:lineRule="auto"/>
        <w:ind w:left="6096"/>
      </w:pPr>
      <w:r w:rsidRPr="00E33EFF">
        <w:t>Forma patvirtinta</w:t>
      </w:r>
    </w:p>
    <w:p w14:paraId="7206970B" w14:textId="70E9BD2E" w:rsidR="004C263A" w:rsidRPr="00E33EFF" w:rsidRDefault="001B3C5B" w:rsidP="000A2C4C">
      <w:pPr>
        <w:spacing w:line="360" w:lineRule="auto"/>
        <w:ind w:left="6096"/>
      </w:pPr>
      <w:r w:rsidRPr="00E33EFF">
        <w:t>Valstybinės vaistų kontrolės tarnybos prie Lietuvos Respublikos sveikatos apsaugos ministerijos viršininko 2021 m</w:t>
      </w:r>
      <w:r w:rsidR="004C263A" w:rsidRPr="00E33EFF">
        <w:t xml:space="preserve">. lapkričio 12 </w:t>
      </w:r>
      <w:r w:rsidRPr="00E33EFF">
        <w:t>d. įsakymu Nr.</w:t>
      </w:r>
      <w:r w:rsidR="004C263A" w:rsidRPr="00E33EFF">
        <w:t xml:space="preserve"> (1.72E)1A-1418</w:t>
      </w:r>
    </w:p>
    <w:p w14:paraId="5B219AA6" w14:textId="520B9136" w:rsidR="001B3C5B" w:rsidRPr="00E33EFF" w:rsidRDefault="004C263A" w:rsidP="000A2C4C">
      <w:pPr>
        <w:spacing w:line="360" w:lineRule="auto"/>
        <w:ind w:left="6096"/>
      </w:pPr>
      <w:r w:rsidRPr="00E33EFF">
        <w:t>(Valstybinės vaistų kontrolės tarnybos prie Lietuvos Respublikos sveikatos apsaugos ministerijos viršininko 2022 m.                         d. įsakymo Nr.                    redakcija)</w:t>
      </w:r>
    </w:p>
    <w:p w14:paraId="3336BD74" w14:textId="77777777" w:rsidR="001B3C5B" w:rsidRPr="00E33EFF" w:rsidRDefault="001B3C5B" w:rsidP="000A2C4C">
      <w:pPr>
        <w:spacing w:line="360" w:lineRule="auto"/>
      </w:pPr>
    </w:p>
    <w:p w14:paraId="77AFB67E" w14:textId="16397257" w:rsidR="00613501" w:rsidRPr="00E33EFF" w:rsidRDefault="002F0E4F" w:rsidP="000A2C4C">
      <w:pPr>
        <w:spacing w:line="360" w:lineRule="auto"/>
        <w:jc w:val="center"/>
        <w:rPr>
          <w:b/>
          <w:bCs/>
          <w:caps/>
        </w:rPr>
      </w:pPr>
      <w:r w:rsidRPr="00E33EFF">
        <w:rPr>
          <w:b/>
        </w:rPr>
        <w:t xml:space="preserve">REKOMENDACIJA DĖL VAISTINIO PREPARATO </w:t>
      </w:r>
      <w:r w:rsidRPr="00E33EFF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E33EFF" w:rsidRDefault="00B13D65" w:rsidP="000A2C4C">
      <w:pPr>
        <w:spacing w:line="360" w:lineRule="auto"/>
        <w:jc w:val="center"/>
        <w:rPr>
          <w:b/>
        </w:rPr>
      </w:pPr>
    </w:p>
    <w:p w14:paraId="79588DEC" w14:textId="77777777" w:rsidR="00BB72F9" w:rsidRPr="00467ED9" w:rsidRDefault="00BB72F9" w:rsidP="000A2C4C">
      <w:pPr>
        <w:spacing w:line="360" w:lineRule="auto"/>
        <w:jc w:val="center"/>
        <w:rPr>
          <w:rFonts w:eastAsia="Arial"/>
          <w:color w:val="000000"/>
          <w:highlight w:val="yellow"/>
        </w:rPr>
      </w:pPr>
    </w:p>
    <w:p w14:paraId="0428E1E1" w14:textId="75534240" w:rsidR="003A7298" w:rsidRDefault="003A7298" w:rsidP="000A2C4C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Brukinsa</w:t>
      </w:r>
      <w:proofErr w:type="spellEnd"/>
      <w:r>
        <w:rPr>
          <w:b/>
        </w:rPr>
        <w:t xml:space="preserve"> 80mg kietosios kapsulės</w:t>
      </w:r>
    </w:p>
    <w:p w14:paraId="033326BC" w14:textId="77777777" w:rsidR="00BB72F9" w:rsidRPr="00467ED9" w:rsidRDefault="00BB72F9" w:rsidP="000A2C4C">
      <w:pPr>
        <w:spacing w:line="360" w:lineRule="auto"/>
        <w:jc w:val="center"/>
        <w:rPr>
          <w:highlight w:val="yellow"/>
        </w:rPr>
      </w:pPr>
    </w:p>
    <w:p w14:paraId="5C61A933" w14:textId="35F4F067" w:rsidR="00BB72F9" w:rsidRDefault="003A7298" w:rsidP="000A2C4C">
      <w:pPr>
        <w:spacing w:line="360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Zanubrutinibas</w:t>
      </w:r>
      <w:proofErr w:type="spellEnd"/>
    </w:p>
    <w:p w14:paraId="29A4FE7F" w14:textId="77777777" w:rsidR="00BB72F9" w:rsidRPr="00467ED9" w:rsidRDefault="00BB72F9" w:rsidP="000A2C4C">
      <w:pPr>
        <w:spacing w:line="360" w:lineRule="auto"/>
        <w:jc w:val="center"/>
        <w:rPr>
          <w:highlight w:val="yellow"/>
        </w:rPr>
      </w:pPr>
    </w:p>
    <w:p w14:paraId="39C40702" w14:textId="74CF0F5F" w:rsidR="00BB72F9" w:rsidRPr="00467ED9" w:rsidRDefault="00BB72F9" w:rsidP="000A2C4C">
      <w:pPr>
        <w:spacing w:line="360" w:lineRule="auto"/>
        <w:jc w:val="center"/>
        <w:outlineLvl w:val="0"/>
        <w:rPr>
          <w:b/>
        </w:rPr>
      </w:pPr>
      <w:r w:rsidRPr="00467ED9">
        <w:rPr>
          <w:b/>
        </w:rPr>
        <w:t>STV-</w:t>
      </w:r>
      <w:r w:rsidR="003A7298">
        <w:rPr>
          <w:b/>
        </w:rPr>
        <w:t>14</w:t>
      </w:r>
      <w:r w:rsidR="00A755C8">
        <w:rPr>
          <w:b/>
        </w:rPr>
        <w:t>8</w:t>
      </w:r>
    </w:p>
    <w:p w14:paraId="304DAC66" w14:textId="77777777" w:rsidR="00BB72F9" w:rsidRPr="00467ED9" w:rsidRDefault="00BB72F9" w:rsidP="000A2C4C">
      <w:pPr>
        <w:spacing w:line="360" w:lineRule="auto"/>
        <w:rPr>
          <w:rFonts w:eastAsia="Arial"/>
          <w:highlight w:val="yellow"/>
        </w:rPr>
      </w:pPr>
    </w:p>
    <w:p w14:paraId="2EDB8246" w14:textId="77777777" w:rsidR="00BB72F9" w:rsidRPr="00467ED9" w:rsidRDefault="00BB72F9" w:rsidP="000A2C4C">
      <w:pPr>
        <w:tabs>
          <w:tab w:val="left" w:pos="284"/>
        </w:tabs>
        <w:spacing w:line="360" w:lineRule="auto"/>
        <w:jc w:val="center"/>
        <w:outlineLvl w:val="0"/>
        <w:rPr>
          <w:rFonts w:eastAsia="Arial"/>
          <w:b/>
        </w:rPr>
      </w:pPr>
      <w:r w:rsidRPr="00467ED9">
        <w:rPr>
          <w:rFonts w:eastAsia="Arial"/>
          <w:b/>
        </w:rPr>
        <w:t>I. BENDROJI DALIS</w:t>
      </w:r>
    </w:p>
    <w:p w14:paraId="36217A44" w14:textId="77777777" w:rsidR="00BB72F9" w:rsidRPr="00467ED9" w:rsidRDefault="00BB72F9" w:rsidP="000A2C4C">
      <w:pPr>
        <w:spacing w:line="360" w:lineRule="auto"/>
        <w:rPr>
          <w:rFonts w:eastAsia="Arial"/>
          <w:highlight w:val="yellow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05"/>
        <w:gridCol w:w="4117"/>
        <w:gridCol w:w="5096"/>
      </w:tblGrid>
      <w:tr w:rsidR="00BB72F9" w:rsidRPr="00467ED9" w14:paraId="236C64C0" w14:textId="77777777" w:rsidTr="00782016">
        <w:trPr>
          <w:trHeight w:val="342"/>
        </w:trPr>
        <w:tc>
          <w:tcPr>
            <w:tcW w:w="705" w:type="dxa"/>
          </w:tcPr>
          <w:p w14:paraId="3D5C5D71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bookmarkStart w:id="0" w:name="_Hlk146871901"/>
            <w:r w:rsidRPr="00E7241C">
              <w:rPr>
                <w:rFonts w:eastAsia="Arial"/>
                <w:b/>
              </w:rPr>
              <w:t>1.1</w:t>
            </w:r>
          </w:p>
        </w:tc>
        <w:tc>
          <w:tcPr>
            <w:tcW w:w="4117" w:type="dxa"/>
          </w:tcPr>
          <w:p w14:paraId="1B79909E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color w:val="000000"/>
                <w:lang w:eastAsia="lt-LT"/>
              </w:rPr>
            </w:pPr>
            <w:r w:rsidRPr="00E7241C">
              <w:rPr>
                <w:b/>
                <w:bCs/>
                <w:color w:val="000000"/>
                <w:lang w:eastAsia="lt-LT"/>
              </w:rPr>
              <w:t>Pareiškėjas</w:t>
            </w:r>
          </w:p>
        </w:tc>
        <w:tc>
          <w:tcPr>
            <w:tcW w:w="5096" w:type="dxa"/>
          </w:tcPr>
          <w:p w14:paraId="21ADCBB3" w14:textId="6ECD3830" w:rsidR="00BB72F9" w:rsidRPr="003A7298" w:rsidRDefault="003A7298" w:rsidP="000A2C4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7298">
              <w:rPr>
                <w:rFonts w:ascii="Times New Roman" w:hAnsi="Times New Roman" w:cs="Times New Roman"/>
              </w:rPr>
              <w:t>BeiGene</w:t>
            </w:r>
            <w:proofErr w:type="spellEnd"/>
            <w:r w:rsidRPr="003A7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298">
              <w:rPr>
                <w:rFonts w:ascii="Times New Roman" w:hAnsi="Times New Roman" w:cs="Times New Roman"/>
              </w:rPr>
              <w:t>Switzerland</w:t>
            </w:r>
            <w:proofErr w:type="spellEnd"/>
            <w:r w:rsidRPr="003A7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298">
              <w:rPr>
                <w:rFonts w:ascii="Times New Roman" w:hAnsi="Times New Roman" w:cs="Times New Roman"/>
              </w:rPr>
              <w:t>GmbH</w:t>
            </w:r>
            <w:proofErr w:type="spellEnd"/>
          </w:p>
        </w:tc>
      </w:tr>
      <w:tr w:rsidR="00BB72F9" w:rsidRPr="00467ED9" w14:paraId="704EC4E2" w14:textId="77777777" w:rsidTr="00782016">
        <w:trPr>
          <w:trHeight w:val="90"/>
        </w:trPr>
        <w:tc>
          <w:tcPr>
            <w:tcW w:w="705" w:type="dxa"/>
          </w:tcPr>
          <w:p w14:paraId="1061E19C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r w:rsidRPr="00E7241C">
              <w:rPr>
                <w:rFonts w:eastAsia="Arial"/>
                <w:b/>
              </w:rPr>
              <w:t>1.2</w:t>
            </w:r>
          </w:p>
        </w:tc>
        <w:tc>
          <w:tcPr>
            <w:tcW w:w="4117" w:type="dxa"/>
          </w:tcPr>
          <w:p w14:paraId="1618D892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color w:val="000000"/>
                <w:lang w:eastAsia="lt-LT"/>
              </w:rPr>
            </w:pPr>
            <w:r w:rsidRPr="00E7241C">
              <w:rPr>
                <w:b/>
                <w:bCs/>
                <w:color w:val="000000"/>
                <w:lang w:eastAsia="lt-LT"/>
              </w:rPr>
              <w:t>Registracijos data (EVA)</w:t>
            </w:r>
          </w:p>
        </w:tc>
        <w:tc>
          <w:tcPr>
            <w:tcW w:w="5096" w:type="dxa"/>
          </w:tcPr>
          <w:p w14:paraId="523903AC" w14:textId="0FEB2976" w:rsidR="00BB72F9" w:rsidRPr="00E7241C" w:rsidRDefault="00000000" w:rsidP="000A2C4C">
            <w:pPr>
              <w:pStyle w:val="Sraopastraipa"/>
              <w:spacing w:after="120" w:line="360" w:lineRule="auto"/>
              <w:ind w:left="0"/>
              <w:contextualSpacing w:val="0"/>
              <w:jc w:val="both"/>
              <w:rPr>
                <w:rStyle w:val="Style2"/>
              </w:rPr>
            </w:pPr>
            <w:sdt>
              <w:sdtPr>
                <w:rPr>
                  <w:color w:val="000000"/>
                  <w:sz w:val="32"/>
                </w:rPr>
                <w:alias w:val="Nurodykite konkrečią dieną"/>
                <w:tag w:val="Nurodykite pradžios datą"/>
                <w:id w:val="423238108"/>
                <w:placeholder>
                  <w:docPart w:val="9DFBB7EFEA6241ABBC1E9096234C94D7"/>
                </w:placeholder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3A7298" w:rsidRPr="003A7298">
                  <w:rPr>
                    <w:color w:val="000000"/>
                  </w:rPr>
                  <w:t>2021 m. lapkričio 22 d..</w:t>
                </w:r>
              </w:sdtContent>
            </w:sdt>
          </w:p>
        </w:tc>
      </w:tr>
      <w:tr w:rsidR="00BB72F9" w:rsidRPr="00467ED9" w14:paraId="58148565" w14:textId="77777777" w:rsidTr="00782016">
        <w:trPr>
          <w:trHeight w:val="1328"/>
        </w:trPr>
        <w:tc>
          <w:tcPr>
            <w:tcW w:w="705" w:type="dxa"/>
          </w:tcPr>
          <w:p w14:paraId="18E4056B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r w:rsidRPr="00E7241C">
              <w:rPr>
                <w:rFonts w:eastAsia="Arial"/>
                <w:b/>
              </w:rPr>
              <w:t>1.3</w:t>
            </w:r>
          </w:p>
        </w:tc>
        <w:tc>
          <w:tcPr>
            <w:tcW w:w="4117" w:type="dxa"/>
            <w:shd w:val="clear" w:color="auto" w:fill="auto"/>
          </w:tcPr>
          <w:p w14:paraId="7EB0A253" w14:textId="77777777" w:rsidR="00BB72F9" w:rsidRPr="00E7241C" w:rsidRDefault="00BB72F9" w:rsidP="000A2C4C">
            <w:pPr>
              <w:pStyle w:val="Betarp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241C">
              <w:rPr>
                <w:rFonts w:ascii="Times New Roman" w:hAnsi="Times New Roman"/>
                <w:b/>
                <w:sz w:val="24"/>
                <w:szCs w:val="24"/>
              </w:rPr>
              <w:t xml:space="preserve">Paraiškos tipas </w:t>
            </w:r>
          </w:p>
          <w:p w14:paraId="59503CCB" w14:textId="73890364" w:rsidR="00BB72F9" w:rsidRPr="00E7241C" w:rsidRDefault="00BB72F9" w:rsidP="000A2C4C">
            <w:pPr>
              <w:spacing w:line="360" w:lineRule="auto"/>
              <w:rPr>
                <w:b/>
              </w:rPr>
            </w:pPr>
            <w:r w:rsidRPr="00E7241C">
              <w:rPr>
                <w:b/>
              </w:rPr>
              <w:t>(pagal</w:t>
            </w:r>
            <w:r w:rsidR="00E8338F">
              <w:rPr>
                <w:b/>
              </w:rPr>
              <w:t xml:space="preserve"> </w:t>
            </w:r>
            <w:r w:rsidRPr="00E7241C">
              <w:rPr>
                <w:b/>
                <w:shd w:val="clear" w:color="auto" w:fill="FFFFFF"/>
              </w:rPr>
              <w:t>vaistinio preparato registracijos tipą, įtvirtintą</w:t>
            </w:r>
            <w:r w:rsidRPr="00E7241C">
              <w:rPr>
                <w:b/>
              </w:rPr>
              <w:t xml:space="preserve"> Direktyvos 2001/83/EB straipsniuose)</w:t>
            </w:r>
          </w:p>
          <w:p w14:paraId="76390E49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5096" w:type="dxa"/>
            <w:shd w:val="clear" w:color="auto" w:fill="auto"/>
          </w:tcPr>
          <w:p w14:paraId="05E5FEDC" w14:textId="77777777" w:rsidR="00BB72F9" w:rsidRPr="00E7241C" w:rsidRDefault="00BB72F9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Pr="00E7241C">
              <w:t xml:space="preserve"> 8.3 str. (pilna byla, pagrįsta savais tyrimais) </w:t>
            </w:r>
          </w:p>
          <w:p w14:paraId="636EE69B" w14:textId="77777777" w:rsidR="00BB72F9" w:rsidRPr="00E7241C" w:rsidRDefault="00BB72F9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☐</w:t>
            </w:r>
            <w:r w:rsidRPr="00E7241C">
              <w:t xml:space="preserve"> 10 a str. (pripažintas medicininis vartojimas) </w:t>
            </w:r>
          </w:p>
          <w:p w14:paraId="3091BA5A" w14:textId="77777777" w:rsidR="00BB72F9" w:rsidRPr="00E7241C" w:rsidRDefault="00BB72F9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☐</w:t>
            </w:r>
            <w:r w:rsidRPr="00E7241C">
              <w:t xml:space="preserve"> 10.1 str. (</w:t>
            </w:r>
            <w:proofErr w:type="spellStart"/>
            <w:r w:rsidRPr="00E7241C">
              <w:t>generinis</w:t>
            </w:r>
            <w:proofErr w:type="spellEnd"/>
            <w:r w:rsidRPr="00E7241C">
              <w:t>)</w:t>
            </w:r>
          </w:p>
          <w:p w14:paraId="61A6D3B4" w14:textId="77777777" w:rsidR="00BB72F9" w:rsidRPr="00E7241C" w:rsidRDefault="00BB72F9" w:rsidP="000A2C4C">
            <w:pPr>
              <w:spacing w:line="360" w:lineRule="auto"/>
              <w:rPr>
                <w:rStyle w:val="Style2"/>
              </w:rPr>
            </w:pPr>
            <w:r w:rsidRPr="00E7241C">
              <w:rPr>
                <w:rStyle w:val="Style2"/>
                <w:rFonts w:ascii="MS Mincho" w:eastAsia="MS Mincho" w:hAnsi="MS Mincho" w:cs="MS Mincho"/>
              </w:rPr>
              <w:t>☐</w:t>
            </w:r>
            <w:r w:rsidRPr="00E7241C">
              <w:t xml:space="preserve"> 10.3 str. (hibridinis)</w:t>
            </w:r>
          </w:p>
        </w:tc>
      </w:tr>
      <w:tr w:rsidR="00BB72F9" w:rsidRPr="00467ED9" w14:paraId="6BA22B67" w14:textId="77777777" w:rsidTr="00782016">
        <w:trPr>
          <w:trHeight w:val="90"/>
        </w:trPr>
        <w:tc>
          <w:tcPr>
            <w:tcW w:w="705" w:type="dxa"/>
          </w:tcPr>
          <w:p w14:paraId="264E47D6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r w:rsidRPr="00E7241C">
              <w:rPr>
                <w:rFonts w:eastAsia="Arial"/>
                <w:b/>
              </w:rPr>
              <w:lastRenderedPageBreak/>
              <w:t>1.4</w:t>
            </w:r>
          </w:p>
        </w:tc>
        <w:tc>
          <w:tcPr>
            <w:tcW w:w="4117" w:type="dxa"/>
          </w:tcPr>
          <w:p w14:paraId="2426B5E9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lang w:eastAsia="lt-LT"/>
              </w:rPr>
            </w:pPr>
            <w:r w:rsidRPr="00E7241C">
              <w:rPr>
                <w:b/>
                <w:bCs/>
                <w:lang w:eastAsia="lt-LT"/>
              </w:rPr>
              <w:t>Ar vaistinis preparatas įrašytas į Bendrijos retųjų vaistinių preparatų registrą?</w:t>
            </w:r>
          </w:p>
          <w:p w14:paraId="7C1D64F6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bCs/>
                <w:i/>
                <w:lang w:eastAsia="lt-LT"/>
              </w:rPr>
            </w:pPr>
          </w:p>
          <w:p w14:paraId="0EB72FD9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color w:val="000000"/>
                <w:lang w:eastAsia="lt-LT"/>
              </w:rPr>
            </w:pPr>
            <w:r w:rsidRPr="00E7241C">
              <w:rPr>
                <w:bCs/>
                <w:i/>
                <w:lang w:eastAsia="lt-LT"/>
              </w:rPr>
              <w:t>Jei taip, nurodykite įrašymo datą ir numerį</w:t>
            </w:r>
          </w:p>
        </w:tc>
        <w:tc>
          <w:tcPr>
            <w:tcW w:w="5096" w:type="dxa"/>
          </w:tcPr>
          <w:p w14:paraId="24B362B0" w14:textId="77777777" w:rsidR="00BB72F9" w:rsidRPr="00E7241C" w:rsidRDefault="00BB72F9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☐</w:t>
            </w:r>
            <w:r w:rsidRPr="00E7241C">
              <w:t xml:space="preserve"> Taip</w:t>
            </w:r>
          </w:p>
          <w:p w14:paraId="10DDBF06" w14:textId="77777777" w:rsidR="00BB72F9" w:rsidRPr="00E7241C" w:rsidRDefault="00BB72F9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Pr="00E7241C">
              <w:t xml:space="preserve"> Ne</w:t>
            </w:r>
          </w:p>
          <w:p w14:paraId="25F60ECA" w14:textId="77777777" w:rsidR="00BB72F9" w:rsidRPr="00E7241C" w:rsidRDefault="00000000" w:rsidP="000A2C4C">
            <w:pPr>
              <w:spacing w:line="360" w:lineRule="auto"/>
              <w:rPr>
                <w:rFonts w:eastAsia="Arial"/>
                <w:b/>
              </w:rPr>
            </w:pPr>
            <w:sdt>
              <w:sdtPr>
                <w:alias w:val="Nurodykite konkrečią dieną"/>
                <w:tag w:val="Nurodykite pradžios datą"/>
                <w:id w:val="693498901"/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BB72F9" w:rsidRPr="00E7241C">
                  <w:rPr>
                    <w:rStyle w:val="Vietosrezervavimoenklotekstas"/>
                  </w:rPr>
                  <w:t>Click here to enter a date.</w:t>
                </w:r>
              </w:sdtContent>
            </w:sdt>
          </w:p>
        </w:tc>
      </w:tr>
      <w:tr w:rsidR="00BB72F9" w:rsidRPr="00467ED9" w14:paraId="7414E1BA" w14:textId="77777777" w:rsidTr="00782016">
        <w:trPr>
          <w:trHeight w:val="90"/>
        </w:trPr>
        <w:tc>
          <w:tcPr>
            <w:tcW w:w="705" w:type="dxa"/>
            <w:tcBorders>
              <w:bottom w:val="single" w:sz="4" w:space="0" w:color="auto"/>
            </w:tcBorders>
          </w:tcPr>
          <w:p w14:paraId="47680E52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r w:rsidRPr="00E7241C">
              <w:rPr>
                <w:rFonts w:eastAsia="Arial"/>
                <w:b/>
              </w:rPr>
              <w:t>1.5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14:paraId="7DFA3C06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color w:val="000000"/>
                <w:lang w:eastAsia="lt-LT"/>
              </w:rPr>
            </w:pPr>
            <w:r w:rsidRPr="00E7241C">
              <w:rPr>
                <w:b/>
                <w:bCs/>
                <w:color w:val="000000"/>
                <w:lang w:eastAsia="lt-LT"/>
              </w:rPr>
              <w:t>Pareiškėjo teikiama (-</w:t>
            </w:r>
            <w:proofErr w:type="spellStart"/>
            <w:r w:rsidRPr="00E7241C">
              <w:rPr>
                <w:b/>
                <w:bCs/>
                <w:color w:val="000000"/>
                <w:lang w:eastAsia="lt-LT"/>
              </w:rPr>
              <w:t>os</w:t>
            </w:r>
            <w:proofErr w:type="spellEnd"/>
            <w:r w:rsidRPr="00E7241C">
              <w:rPr>
                <w:b/>
                <w:bCs/>
                <w:color w:val="000000"/>
                <w:lang w:eastAsia="lt-LT"/>
              </w:rPr>
              <w:t>) kompensuoti preparato indikacija (-</w:t>
            </w:r>
            <w:proofErr w:type="spellStart"/>
            <w:r w:rsidRPr="00E7241C">
              <w:rPr>
                <w:b/>
                <w:bCs/>
                <w:color w:val="000000"/>
                <w:lang w:eastAsia="lt-LT"/>
              </w:rPr>
              <w:t>os</w:t>
            </w:r>
            <w:proofErr w:type="spellEnd"/>
            <w:r w:rsidRPr="00E7241C">
              <w:rPr>
                <w:b/>
                <w:bCs/>
                <w:color w:val="000000"/>
                <w:lang w:eastAsia="lt-LT"/>
              </w:rPr>
              <w:t>)</w:t>
            </w:r>
          </w:p>
          <w:p w14:paraId="03DDA307" w14:textId="77777777" w:rsidR="00BB72F9" w:rsidRPr="00E7241C" w:rsidRDefault="00BB72F9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color w:val="000000"/>
                <w:lang w:eastAsia="lt-LT"/>
              </w:rPr>
            </w:pPr>
            <w:r w:rsidRPr="00E7241C">
              <w:rPr>
                <w:b/>
                <w:bCs/>
                <w:color w:val="000000"/>
                <w:lang w:eastAsia="lt-LT"/>
              </w:rPr>
              <w:t xml:space="preserve">Kodas pagal TLK-10 AM 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4FC17ADB" w14:textId="77777777" w:rsidR="003A7298" w:rsidRDefault="003A7298" w:rsidP="000A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BRUKINSA kaip </w:t>
            </w:r>
            <w:proofErr w:type="spellStart"/>
            <w:r>
              <w:rPr>
                <w:color w:val="000000"/>
              </w:rPr>
              <w:t>monoterapija</w:t>
            </w:r>
            <w:proofErr w:type="spellEnd"/>
            <w:r>
              <w:rPr>
                <w:color w:val="000000"/>
              </w:rPr>
              <w:t xml:space="preserve"> yra skirta gydyti suaugusiems pacientams, sergantiems lėtine </w:t>
            </w:r>
            <w:proofErr w:type="spellStart"/>
            <w:r>
              <w:rPr>
                <w:color w:val="000000"/>
              </w:rPr>
              <w:t>limfocitine</w:t>
            </w:r>
            <w:proofErr w:type="spellEnd"/>
            <w:r>
              <w:rPr>
                <w:color w:val="000000"/>
              </w:rPr>
              <w:t xml:space="preserve"> leukemija (LLL).</w:t>
            </w:r>
          </w:p>
          <w:p w14:paraId="3E58E9FA" w14:textId="718913C3" w:rsidR="00BB72F9" w:rsidRPr="003A7298" w:rsidRDefault="003A7298" w:rsidP="000A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TLK kodas: C91.1</w:t>
            </w:r>
          </w:p>
        </w:tc>
      </w:tr>
      <w:tr w:rsidR="003A7298" w:rsidRPr="00E7241C" w14:paraId="52C814AB" w14:textId="77777777" w:rsidTr="00782016">
        <w:trPr>
          <w:trHeight w:val="4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877" w14:textId="77777777" w:rsidR="003A7298" w:rsidRPr="00E7241C" w:rsidRDefault="003A7298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r w:rsidRPr="00E7241C">
              <w:rPr>
                <w:rFonts w:eastAsia="Arial"/>
                <w:b/>
              </w:rPr>
              <w:t>1.6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CA5" w14:textId="77777777" w:rsidR="003A7298" w:rsidRPr="00E7241C" w:rsidRDefault="003A7298" w:rsidP="000A2C4C">
            <w:pPr>
              <w:tabs>
                <w:tab w:val="left" w:pos="284"/>
              </w:tabs>
              <w:spacing w:line="360" w:lineRule="auto"/>
              <w:rPr>
                <w:bCs/>
                <w:color w:val="000000"/>
                <w:u w:val="single"/>
                <w:lang w:eastAsia="lt-LT"/>
              </w:rPr>
            </w:pPr>
            <w:r w:rsidRPr="00E7241C">
              <w:rPr>
                <w:b/>
                <w:bCs/>
                <w:color w:val="000000"/>
                <w:lang w:eastAsia="lt-LT"/>
              </w:rPr>
              <w:t xml:space="preserve">Pareiškėjo teikiamos skyrimo sąlygos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9F6" w14:textId="7EED63DD" w:rsidR="003A7298" w:rsidRPr="00D277E1" w:rsidRDefault="00A755C8" w:rsidP="000A2C4C">
            <w:pPr>
              <w:pStyle w:val="Sraopastraipa"/>
              <w:spacing w:after="120" w:line="360" w:lineRule="auto"/>
              <w:ind w:left="0"/>
              <w:contextualSpacing w:val="0"/>
              <w:jc w:val="both"/>
            </w:pPr>
            <w:r w:rsidRPr="00E07293">
              <w:t xml:space="preserve">LLL sergantiems suaugusiems pacientams, kuriems yra LLL gydymo indikacijos, kurie anksčiau nebuvo gydyti ir kuriems netinka </w:t>
            </w:r>
            <w:proofErr w:type="spellStart"/>
            <w:r w:rsidRPr="00E07293">
              <w:t>chemoimunoterapija</w:t>
            </w:r>
            <w:proofErr w:type="spellEnd"/>
            <w:r w:rsidRPr="00E07293">
              <w:t xml:space="preserve">. </w:t>
            </w:r>
          </w:p>
        </w:tc>
      </w:tr>
      <w:tr w:rsidR="003A7298" w:rsidRPr="00E7241C" w14:paraId="114486EC" w14:textId="77777777" w:rsidTr="00782016">
        <w:trPr>
          <w:trHeight w:val="4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92A" w14:textId="77777777" w:rsidR="003A7298" w:rsidRPr="00E7241C" w:rsidRDefault="003A7298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r w:rsidRPr="00E7241C">
              <w:rPr>
                <w:rFonts w:eastAsia="Arial"/>
                <w:b/>
              </w:rPr>
              <w:t>1.7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051" w14:textId="77777777" w:rsidR="003A7298" w:rsidRPr="00E7241C" w:rsidRDefault="003A7298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color w:val="000000"/>
                <w:lang w:eastAsia="lt-LT"/>
              </w:rPr>
            </w:pPr>
            <w:r w:rsidRPr="00E7241C">
              <w:rPr>
                <w:b/>
              </w:rPr>
              <w:t>STV paraiškos pobūdis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05" w14:textId="77777777" w:rsidR="003A7298" w:rsidRPr="00E7241C" w:rsidRDefault="003A7298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Pr="00E7241C">
              <w:t xml:space="preserve"> Pilna paraiška</w:t>
            </w:r>
          </w:p>
          <w:p w14:paraId="3D48146E" w14:textId="77777777" w:rsidR="003A7298" w:rsidRPr="00E7241C" w:rsidRDefault="003A7298" w:rsidP="000A2C4C">
            <w:pPr>
              <w:spacing w:line="360" w:lineRule="auto"/>
              <w:rPr>
                <w:rStyle w:val="Style2"/>
              </w:rPr>
            </w:pPr>
            <w:r w:rsidRPr="00E7241C">
              <w:rPr>
                <w:rStyle w:val="Style2"/>
                <w:rFonts w:ascii="MS Mincho" w:eastAsia="MS Mincho" w:hAnsi="MS Mincho" w:cs="MS Mincho"/>
              </w:rPr>
              <w:t>☐</w:t>
            </w:r>
            <w:r w:rsidRPr="00E7241C">
              <w:t xml:space="preserve"> Supaprastinta paraiška</w:t>
            </w:r>
          </w:p>
        </w:tc>
      </w:tr>
      <w:tr w:rsidR="003A7298" w:rsidRPr="00E7241C" w14:paraId="0C7D075F" w14:textId="77777777" w:rsidTr="00782016">
        <w:trPr>
          <w:trHeight w:val="4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BFBD" w14:textId="77777777" w:rsidR="003A7298" w:rsidRPr="00E7241C" w:rsidRDefault="003A7298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r w:rsidRPr="00E7241C">
              <w:rPr>
                <w:rFonts w:eastAsia="Arial"/>
                <w:b/>
              </w:rPr>
              <w:t>1.8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6B62" w14:textId="77777777" w:rsidR="003A7298" w:rsidRPr="00E7241C" w:rsidRDefault="003A7298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color w:val="000000"/>
                <w:lang w:eastAsia="lt-LT"/>
              </w:rPr>
            </w:pPr>
            <w:r w:rsidRPr="00E7241C">
              <w:rPr>
                <w:b/>
                <w:bCs/>
                <w:lang w:eastAsia="lt-LT"/>
              </w:rPr>
              <w:t xml:space="preserve">Klinikinių tyrimų tipas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7181" w14:textId="77777777" w:rsidR="003A7298" w:rsidRPr="00E7241C" w:rsidRDefault="003A7298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Pr="00E7241C">
              <w:t xml:space="preserve"> Tiesioginis palyginimas</w:t>
            </w:r>
          </w:p>
          <w:p w14:paraId="25035913" w14:textId="7AB74B72" w:rsidR="003A7298" w:rsidRPr="00E7241C" w:rsidRDefault="00A755C8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="003A7298" w:rsidRPr="00E7241C">
              <w:t xml:space="preserve"> Netiesioginis palyginimas</w:t>
            </w:r>
          </w:p>
        </w:tc>
      </w:tr>
      <w:tr w:rsidR="003A7298" w:rsidRPr="00467ED9" w14:paraId="00A728C6" w14:textId="77777777" w:rsidTr="00782016">
        <w:trPr>
          <w:trHeight w:val="4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7658" w14:textId="77777777" w:rsidR="003A7298" w:rsidRPr="00281B11" w:rsidRDefault="003A7298" w:rsidP="000A2C4C">
            <w:pPr>
              <w:tabs>
                <w:tab w:val="left" w:pos="284"/>
              </w:tabs>
              <w:spacing w:line="360" w:lineRule="auto"/>
              <w:rPr>
                <w:rFonts w:eastAsia="Arial"/>
                <w:b/>
              </w:rPr>
            </w:pPr>
            <w:r w:rsidRPr="00281B11">
              <w:rPr>
                <w:rFonts w:eastAsia="Arial"/>
                <w:b/>
              </w:rPr>
              <w:t>1.9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D59A" w14:textId="77777777" w:rsidR="003A7298" w:rsidRPr="00281B11" w:rsidRDefault="003A7298" w:rsidP="000A2C4C">
            <w:pPr>
              <w:tabs>
                <w:tab w:val="left" w:pos="284"/>
              </w:tabs>
              <w:spacing w:line="360" w:lineRule="auto"/>
              <w:rPr>
                <w:b/>
                <w:bCs/>
                <w:color w:val="000000"/>
                <w:lang w:eastAsia="lt-LT"/>
              </w:rPr>
            </w:pPr>
            <w:r w:rsidRPr="00281B11">
              <w:rPr>
                <w:b/>
                <w:bCs/>
                <w:lang w:eastAsia="lt-LT"/>
              </w:rPr>
              <w:t>Ekonominės analizės rūšis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414B" w14:textId="604A0029" w:rsidR="003A7298" w:rsidRPr="00A847B9" w:rsidRDefault="003A7298" w:rsidP="000A2C4C">
            <w:pPr>
              <w:spacing w:line="360" w:lineRule="auto"/>
            </w:pPr>
            <w:r w:rsidRPr="00A847B9">
              <w:rPr>
                <w:rStyle w:val="Style2"/>
                <w:rFonts w:ascii="MS Mincho" w:eastAsia="MS Mincho" w:hAnsi="MS Mincho" w:cs="MS Mincho"/>
              </w:rPr>
              <w:t>☐</w:t>
            </w:r>
            <w:r w:rsidRPr="00A847B9">
              <w:t xml:space="preserve"> Kaštų naudingumo analizė</w:t>
            </w:r>
          </w:p>
          <w:p w14:paraId="2620DDF9" w14:textId="4E0D3695" w:rsidR="003A7298" w:rsidRPr="00A847B9" w:rsidRDefault="003A7298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Pr="00E7241C">
              <w:t xml:space="preserve"> </w:t>
            </w:r>
            <w:r w:rsidRPr="00A847B9">
              <w:t>Kaštų mažinimo analizė</w:t>
            </w:r>
          </w:p>
          <w:p w14:paraId="55F05985" w14:textId="77777777" w:rsidR="003A7298" w:rsidRPr="00467ED9" w:rsidRDefault="003A7298" w:rsidP="000A2C4C">
            <w:pPr>
              <w:spacing w:line="360" w:lineRule="auto"/>
              <w:rPr>
                <w:highlight w:val="yellow"/>
              </w:rPr>
            </w:pPr>
            <w:r w:rsidRPr="00A847B9">
              <w:rPr>
                <w:rStyle w:val="Style2"/>
                <w:rFonts w:ascii="MS Mincho" w:eastAsia="MS Mincho" w:hAnsi="MS Mincho" w:cs="MS Mincho"/>
              </w:rPr>
              <w:t>☐</w:t>
            </w:r>
            <w:r w:rsidRPr="00A847B9">
              <w:t xml:space="preserve"> Kita: </w:t>
            </w:r>
            <w:sdt>
              <w:sdtPr>
                <w:alias w:val="Įrašykite"/>
                <w:tag w:val="Įrašykite"/>
                <w:id w:val="-16472040"/>
                <w15:color w:val="FFCC99"/>
              </w:sdtPr>
              <w:sdtContent>
                <w:r w:rsidRPr="00A847B9">
                  <w:t>_________________</w:t>
                </w:r>
              </w:sdtContent>
            </w:sdt>
            <w:r w:rsidRPr="00A847B9">
              <w:t xml:space="preserve"> </w:t>
            </w:r>
          </w:p>
        </w:tc>
      </w:tr>
      <w:bookmarkEnd w:id="0"/>
    </w:tbl>
    <w:p w14:paraId="27D3E529" w14:textId="77777777" w:rsidR="00BB72F9" w:rsidRPr="00467ED9" w:rsidRDefault="00BB72F9" w:rsidP="000A2C4C">
      <w:pPr>
        <w:spacing w:line="360" w:lineRule="auto"/>
        <w:rPr>
          <w:rFonts w:eastAsia="Arial"/>
          <w:highlight w:val="yellow"/>
        </w:rPr>
      </w:pPr>
    </w:p>
    <w:p w14:paraId="070B1656" w14:textId="77777777" w:rsidR="00BB72F9" w:rsidRPr="00E7241C" w:rsidRDefault="00BB72F9" w:rsidP="000A2C4C">
      <w:pPr>
        <w:spacing w:line="360" w:lineRule="auto"/>
        <w:rPr>
          <w:rFonts w:eastAsia="Arial"/>
          <w:b/>
        </w:rPr>
      </w:pPr>
      <w:r w:rsidRPr="00E7241C">
        <w:rPr>
          <w:rFonts w:eastAsia="Arial"/>
          <w:b/>
        </w:rPr>
        <w:t>1.10 Kitų valstybių atsakingų institucijų atlikto Sveikatos technologijų vertinimo (toliau – STV)</w:t>
      </w:r>
      <w:r>
        <w:rPr>
          <w:rFonts w:eastAsia="Arial"/>
          <w:b/>
        </w:rPr>
        <w:t xml:space="preserve"> </w:t>
      </w:r>
      <w:r w:rsidRPr="00E7241C">
        <w:rPr>
          <w:rFonts w:eastAsia="Arial"/>
          <w:b/>
        </w:rPr>
        <w:t>vertinimo išvados</w:t>
      </w:r>
    </w:p>
    <w:p w14:paraId="4F64A850" w14:textId="77777777" w:rsidR="00BB72F9" w:rsidRPr="00467ED9" w:rsidRDefault="00BB72F9" w:rsidP="000A2C4C">
      <w:pPr>
        <w:spacing w:line="360" w:lineRule="auto"/>
        <w:rPr>
          <w:rFonts w:eastAsia="Arial"/>
          <w:highlight w:val="yellow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625"/>
        <w:gridCol w:w="2117"/>
        <w:gridCol w:w="2736"/>
        <w:gridCol w:w="2440"/>
      </w:tblGrid>
      <w:tr w:rsidR="00BB72F9" w:rsidRPr="00F54753" w14:paraId="3A8FF348" w14:textId="77777777" w:rsidTr="00FB1B19">
        <w:trPr>
          <w:trHeight w:val="924"/>
        </w:trPr>
        <w:tc>
          <w:tcPr>
            <w:tcW w:w="2625" w:type="dxa"/>
          </w:tcPr>
          <w:p w14:paraId="6399D6B2" w14:textId="77777777" w:rsidR="00BB72F9" w:rsidRPr="00F54753" w:rsidRDefault="00BB72F9" w:rsidP="000A2C4C">
            <w:pPr>
              <w:spacing w:line="360" w:lineRule="auto"/>
              <w:rPr>
                <w:rFonts w:eastAsia="Arial"/>
              </w:rPr>
            </w:pPr>
            <w:r w:rsidRPr="00F54753">
              <w:rPr>
                <w:rFonts w:eastAsia="Arial"/>
              </w:rPr>
              <w:t>STV agentūros pavadinimas, šalis</w:t>
            </w:r>
          </w:p>
        </w:tc>
        <w:tc>
          <w:tcPr>
            <w:tcW w:w="2117" w:type="dxa"/>
          </w:tcPr>
          <w:p w14:paraId="1FCE53B7" w14:textId="77777777" w:rsidR="00BB72F9" w:rsidRPr="00F54753" w:rsidRDefault="00BB72F9" w:rsidP="000A2C4C">
            <w:pPr>
              <w:spacing w:line="360" w:lineRule="auto"/>
              <w:rPr>
                <w:rFonts w:eastAsia="Arial"/>
              </w:rPr>
            </w:pPr>
            <w:r w:rsidRPr="00F54753">
              <w:rPr>
                <w:rFonts w:eastAsia="Arial"/>
              </w:rPr>
              <w:t>STV vertinimas atliktas</w:t>
            </w:r>
          </w:p>
        </w:tc>
        <w:tc>
          <w:tcPr>
            <w:tcW w:w="2736" w:type="dxa"/>
          </w:tcPr>
          <w:p w14:paraId="496E6048" w14:textId="77777777" w:rsidR="00BB72F9" w:rsidRPr="00F54753" w:rsidRDefault="00BB72F9" w:rsidP="000A2C4C">
            <w:pPr>
              <w:spacing w:line="360" w:lineRule="auto"/>
              <w:rPr>
                <w:rFonts w:eastAsia="Arial"/>
              </w:rPr>
            </w:pPr>
            <w:r w:rsidRPr="00F54753">
              <w:rPr>
                <w:rFonts w:eastAsia="Arial"/>
              </w:rPr>
              <w:t>Klinikinio vertinimo išvada</w:t>
            </w:r>
          </w:p>
        </w:tc>
        <w:tc>
          <w:tcPr>
            <w:tcW w:w="2440" w:type="dxa"/>
          </w:tcPr>
          <w:p w14:paraId="2A708AF7" w14:textId="77777777" w:rsidR="00BB72F9" w:rsidRPr="00F54753" w:rsidRDefault="00BB72F9" w:rsidP="000A2C4C">
            <w:pPr>
              <w:spacing w:line="360" w:lineRule="auto"/>
              <w:rPr>
                <w:rFonts w:eastAsia="Arial"/>
              </w:rPr>
            </w:pPr>
            <w:r w:rsidRPr="00F54753">
              <w:rPr>
                <w:rFonts w:eastAsia="Arial"/>
              </w:rPr>
              <w:t>Ekonominio vertinimo išvada</w:t>
            </w:r>
          </w:p>
        </w:tc>
      </w:tr>
      <w:tr w:rsidR="00BB72F9" w:rsidRPr="00F54753" w14:paraId="2E7C7867" w14:textId="77777777" w:rsidTr="00FB1B19">
        <w:trPr>
          <w:trHeight w:val="97"/>
        </w:trPr>
        <w:tc>
          <w:tcPr>
            <w:tcW w:w="2625" w:type="dxa"/>
            <w:shd w:val="clear" w:color="auto" w:fill="auto"/>
          </w:tcPr>
          <w:p w14:paraId="3F74EAEC" w14:textId="77777777" w:rsidR="00BB72F9" w:rsidRPr="00F17FB1" w:rsidRDefault="00BB72F9" w:rsidP="000A2C4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F17FB1">
              <w:rPr>
                <w:bCs/>
              </w:rPr>
              <w:t xml:space="preserve">Nacionalinis sveikatos ir klinikinės kompetencijos </w:t>
            </w:r>
            <w:r w:rsidRPr="00F17FB1">
              <w:rPr>
                <w:bCs/>
              </w:rPr>
              <w:lastRenderedPageBreak/>
              <w:t>institutas, Didžioji Britanija</w:t>
            </w:r>
          </w:p>
          <w:p w14:paraId="03652A71" w14:textId="77777777" w:rsidR="00BB72F9" w:rsidRPr="00F17FB1" w:rsidRDefault="00BB72F9" w:rsidP="000A2C4C">
            <w:pPr>
              <w:spacing w:line="360" w:lineRule="auto"/>
              <w:rPr>
                <w:rFonts w:eastAsia="Arial"/>
              </w:rPr>
            </w:pPr>
            <w:r w:rsidRPr="00F17FB1">
              <w:rPr>
                <w:rFonts w:eastAsia="Arial"/>
              </w:rPr>
              <w:t xml:space="preserve">(angl. </w:t>
            </w:r>
            <w:proofErr w:type="spellStart"/>
            <w:r w:rsidRPr="00F17FB1">
              <w:rPr>
                <w:rFonts w:eastAsia="Arial"/>
                <w:i/>
              </w:rPr>
              <w:t>National</w:t>
            </w:r>
            <w:proofErr w:type="spellEnd"/>
            <w:r w:rsidRPr="00F17FB1">
              <w:rPr>
                <w:rFonts w:eastAsia="Arial"/>
                <w:i/>
              </w:rPr>
              <w:t xml:space="preserve"> Institute </w:t>
            </w:r>
            <w:proofErr w:type="spellStart"/>
            <w:r w:rsidRPr="00F17FB1">
              <w:rPr>
                <w:rFonts w:eastAsia="Arial"/>
                <w:i/>
              </w:rPr>
              <w:t>for</w:t>
            </w:r>
            <w:proofErr w:type="spellEnd"/>
            <w:r w:rsidRPr="00F17FB1">
              <w:rPr>
                <w:rFonts w:eastAsia="Arial"/>
                <w:i/>
              </w:rPr>
              <w:t xml:space="preserve"> </w:t>
            </w:r>
            <w:proofErr w:type="spellStart"/>
            <w:r w:rsidRPr="00F17FB1">
              <w:rPr>
                <w:rFonts w:eastAsia="Arial"/>
                <w:i/>
              </w:rPr>
              <w:t>Health</w:t>
            </w:r>
            <w:proofErr w:type="spellEnd"/>
            <w:r w:rsidRPr="00F17FB1">
              <w:rPr>
                <w:rFonts w:eastAsia="Arial"/>
                <w:i/>
              </w:rPr>
              <w:t xml:space="preserve"> </w:t>
            </w:r>
            <w:proofErr w:type="spellStart"/>
            <w:r w:rsidRPr="00F17FB1">
              <w:rPr>
                <w:rFonts w:eastAsia="Arial"/>
                <w:i/>
              </w:rPr>
              <w:t>and</w:t>
            </w:r>
            <w:proofErr w:type="spellEnd"/>
            <w:r w:rsidRPr="00F17FB1">
              <w:rPr>
                <w:rFonts w:eastAsia="Arial"/>
                <w:i/>
              </w:rPr>
              <w:t xml:space="preserve"> Care </w:t>
            </w:r>
            <w:proofErr w:type="spellStart"/>
            <w:r w:rsidRPr="00F17FB1">
              <w:rPr>
                <w:rFonts w:eastAsia="Arial"/>
                <w:i/>
              </w:rPr>
              <w:t>Excellence</w:t>
            </w:r>
            <w:proofErr w:type="spellEnd"/>
            <w:r w:rsidRPr="00F17FB1">
              <w:rPr>
                <w:rFonts w:eastAsia="Arial"/>
                <w:i/>
              </w:rPr>
              <w:t>, NICE</w:t>
            </w:r>
            <w:r w:rsidRPr="00F17FB1">
              <w:rPr>
                <w:rFonts w:eastAsia="Arial"/>
              </w:rPr>
              <w:t>)</w:t>
            </w:r>
          </w:p>
        </w:tc>
        <w:tc>
          <w:tcPr>
            <w:tcW w:w="2117" w:type="dxa"/>
            <w:shd w:val="clear" w:color="auto" w:fill="auto"/>
          </w:tcPr>
          <w:p w14:paraId="5B19E832" w14:textId="3272D2F1" w:rsidR="00BB72F9" w:rsidRPr="00F17FB1" w:rsidRDefault="00FB1B19" w:rsidP="000A2C4C">
            <w:pPr>
              <w:spacing w:line="360" w:lineRule="auto"/>
            </w:pPr>
            <w:r w:rsidRPr="00F17FB1">
              <w:rPr>
                <w:rStyle w:val="Style2"/>
                <w:rFonts w:ascii="MS Gothic" w:eastAsia="MS Gothic" w:hAnsi="MS Gothic" w:hint="eastAsia"/>
              </w:rPr>
              <w:lastRenderedPageBreak/>
              <w:t>☐</w:t>
            </w:r>
            <w:r w:rsidR="00BB72F9">
              <w:rPr>
                <w:rStyle w:val="Style2"/>
                <w:rFonts w:ascii="MS Gothic" w:eastAsia="MS Gothic" w:hAnsi="MS Gothic" w:hint="eastAsia"/>
              </w:rPr>
              <w:t xml:space="preserve"> </w:t>
            </w:r>
            <w:r w:rsidR="00BB72F9" w:rsidRPr="00F17FB1">
              <w:t>Taip</w:t>
            </w:r>
          </w:p>
          <w:p w14:paraId="0BEDBA62" w14:textId="082DB54F" w:rsidR="00BB72F9" w:rsidRPr="00F17FB1" w:rsidRDefault="00FB1B19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Pr="00E7241C">
              <w:t xml:space="preserve"> </w:t>
            </w:r>
            <w:r>
              <w:t xml:space="preserve">  </w:t>
            </w:r>
            <w:r w:rsidR="00BB72F9">
              <w:t>Ne</w:t>
            </w:r>
          </w:p>
          <w:p w14:paraId="3A13EA83" w14:textId="6F5E4C93" w:rsidR="00BB72F9" w:rsidRPr="00F17FB1" w:rsidRDefault="00000000" w:rsidP="000A2C4C">
            <w:pPr>
              <w:spacing w:line="360" w:lineRule="auto"/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922837954"/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FB1B19">
                  <w:t xml:space="preserve">2023 m. rugpjūčio </w:t>
                </w:r>
                <w:r w:rsidR="00BB72F9">
                  <w:t>1 d.</w:t>
                </w:r>
              </w:sdtContent>
            </w:sdt>
          </w:p>
        </w:tc>
        <w:tc>
          <w:tcPr>
            <w:tcW w:w="2736" w:type="dxa"/>
            <w:shd w:val="clear" w:color="auto" w:fill="auto"/>
          </w:tcPr>
          <w:p w14:paraId="2918842D" w14:textId="30F5AC39" w:rsidR="00BB72F9" w:rsidRPr="00F17FB1" w:rsidRDefault="00FB1B19" w:rsidP="000A2C4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-</w:t>
            </w:r>
          </w:p>
        </w:tc>
        <w:tc>
          <w:tcPr>
            <w:tcW w:w="2440" w:type="dxa"/>
          </w:tcPr>
          <w:p w14:paraId="2C936AFF" w14:textId="062CBA35" w:rsidR="00BB72F9" w:rsidRPr="00F54753" w:rsidRDefault="00FB1B19" w:rsidP="000A2C4C">
            <w:pPr>
              <w:spacing w:line="360" w:lineRule="auto"/>
              <w:rPr>
                <w:rFonts w:eastAsia="Arial"/>
                <w:highlight w:val="yellow"/>
              </w:rPr>
            </w:pPr>
            <w:r>
              <w:rPr>
                <w:rFonts w:eastAsia="Arial"/>
              </w:rPr>
              <w:t>-</w:t>
            </w:r>
          </w:p>
        </w:tc>
      </w:tr>
      <w:tr w:rsidR="00FB1B19" w:rsidRPr="00F54753" w14:paraId="2287743B" w14:textId="77777777" w:rsidTr="00FB1B19">
        <w:trPr>
          <w:trHeight w:val="97"/>
        </w:trPr>
        <w:tc>
          <w:tcPr>
            <w:tcW w:w="2625" w:type="dxa"/>
          </w:tcPr>
          <w:p w14:paraId="7823D0FF" w14:textId="77777777" w:rsidR="00FB1B19" w:rsidRPr="00F17FB1" w:rsidRDefault="00FB1B19" w:rsidP="000A2C4C">
            <w:pPr>
              <w:spacing w:line="360" w:lineRule="auto"/>
              <w:rPr>
                <w:rFonts w:eastAsia="Arial"/>
              </w:rPr>
            </w:pPr>
            <w:r w:rsidRPr="00F17FB1">
              <w:rPr>
                <w:rFonts w:eastAsia="Arial"/>
              </w:rPr>
              <w:t>Kanados sveikatos technologijų agentūra</w:t>
            </w:r>
          </w:p>
          <w:p w14:paraId="1115AEB7" w14:textId="77777777" w:rsidR="00FB1B19" w:rsidRPr="00F17FB1" w:rsidRDefault="00FB1B19" w:rsidP="000A2C4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F17FB1">
              <w:rPr>
                <w:rFonts w:eastAsia="Arial"/>
              </w:rPr>
              <w:t xml:space="preserve">(angl. </w:t>
            </w:r>
            <w:proofErr w:type="spellStart"/>
            <w:r w:rsidRPr="00F17FB1">
              <w:rPr>
                <w:rFonts w:eastAsia="Arial"/>
                <w:i/>
              </w:rPr>
              <w:t>Canadian</w:t>
            </w:r>
            <w:proofErr w:type="spellEnd"/>
            <w:r w:rsidRPr="00F17FB1">
              <w:rPr>
                <w:rFonts w:eastAsia="Arial"/>
                <w:i/>
              </w:rPr>
              <w:t xml:space="preserve"> </w:t>
            </w:r>
            <w:proofErr w:type="spellStart"/>
            <w:r w:rsidRPr="00F17FB1">
              <w:rPr>
                <w:rFonts w:eastAsia="Arial"/>
                <w:i/>
              </w:rPr>
              <w:t>health</w:t>
            </w:r>
            <w:proofErr w:type="spellEnd"/>
            <w:r w:rsidRPr="00F17FB1">
              <w:rPr>
                <w:rFonts w:eastAsia="Arial"/>
                <w:i/>
              </w:rPr>
              <w:t xml:space="preserve"> </w:t>
            </w:r>
            <w:proofErr w:type="spellStart"/>
            <w:r w:rsidRPr="00F17FB1">
              <w:rPr>
                <w:rFonts w:eastAsia="Arial"/>
                <w:i/>
              </w:rPr>
              <w:t>Technology</w:t>
            </w:r>
            <w:proofErr w:type="spellEnd"/>
            <w:r w:rsidRPr="00F17FB1">
              <w:rPr>
                <w:rFonts w:eastAsia="Arial"/>
                <w:i/>
              </w:rPr>
              <w:t xml:space="preserve"> </w:t>
            </w:r>
            <w:proofErr w:type="spellStart"/>
            <w:r w:rsidRPr="00F17FB1">
              <w:rPr>
                <w:rFonts w:eastAsia="Arial"/>
                <w:i/>
              </w:rPr>
              <w:t>Assessment</w:t>
            </w:r>
            <w:proofErr w:type="spellEnd"/>
            <w:r w:rsidRPr="00F17FB1">
              <w:rPr>
                <w:rFonts w:eastAsia="Arial"/>
                <w:i/>
              </w:rPr>
              <w:t xml:space="preserve"> </w:t>
            </w:r>
            <w:proofErr w:type="spellStart"/>
            <w:r w:rsidRPr="00F17FB1">
              <w:rPr>
                <w:rFonts w:eastAsia="Arial"/>
                <w:i/>
              </w:rPr>
              <w:t>agency</w:t>
            </w:r>
            <w:proofErr w:type="spellEnd"/>
            <w:r w:rsidRPr="00F17FB1">
              <w:rPr>
                <w:rFonts w:eastAsia="Arial"/>
                <w:i/>
              </w:rPr>
              <w:t>, CADTH</w:t>
            </w:r>
            <w:r w:rsidRPr="00F17FB1">
              <w:rPr>
                <w:rFonts w:eastAsia="Arial"/>
              </w:rPr>
              <w:t>)</w:t>
            </w:r>
          </w:p>
        </w:tc>
        <w:tc>
          <w:tcPr>
            <w:tcW w:w="2117" w:type="dxa"/>
          </w:tcPr>
          <w:p w14:paraId="07DC6180" w14:textId="5E46AFDA" w:rsidR="00FB1B19" w:rsidRPr="00F17FB1" w:rsidRDefault="00FB1B19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Pr="00E7241C">
              <w:t xml:space="preserve"> </w:t>
            </w:r>
            <w:r w:rsidRPr="00F17FB1">
              <w:t xml:space="preserve"> Taip</w:t>
            </w:r>
          </w:p>
          <w:p w14:paraId="2C9515C3" w14:textId="66B4BD58" w:rsidR="00FB1B19" w:rsidRPr="00F17FB1" w:rsidRDefault="00FB1B19" w:rsidP="000A2C4C">
            <w:pPr>
              <w:spacing w:line="360" w:lineRule="auto"/>
            </w:pPr>
            <w:r w:rsidRPr="00F17FB1">
              <w:rPr>
                <w:rStyle w:val="Style2"/>
                <w:rFonts w:ascii="MS Gothic" w:eastAsia="MS Gothic" w:hAnsi="MS Gothic" w:hint="eastAsia"/>
              </w:rPr>
              <w:t>☐</w:t>
            </w:r>
            <w:r>
              <w:rPr>
                <w:rStyle w:val="Style2"/>
                <w:rFonts w:ascii="MS Gothic" w:eastAsia="MS Gothic" w:hAnsi="MS Gothic" w:hint="eastAsia"/>
              </w:rPr>
              <w:t xml:space="preserve"> </w:t>
            </w:r>
            <w:r w:rsidRPr="00F17FB1">
              <w:t>Ne</w:t>
            </w:r>
          </w:p>
          <w:p w14:paraId="6E709E66" w14:textId="2FD9FC03" w:rsidR="00FB1B19" w:rsidRPr="00F17FB1" w:rsidRDefault="00000000" w:rsidP="000A2C4C">
            <w:pPr>
              <w:spacing w:line="360" w:lineRule="auto"/>
              <w:rPr>
                <w:rStyle w:val="Style2"/>
                <w:rFonts w:ascii="MS Gothic" w:eastAsia="MS Gothic" w:hAnsi="MS Gothic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1386605124"/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4"/>
                </w:rPr>
              </w:sdtEndPr>
              <w:sdtContent>
                <w:r w:rsidR="00FB1B19" w:rsidRPr="00FB1B19">
                  <w:t>2023 m. rugpjūčio 3  d.</w:t>
                </w:r>
              </w:sdtContent>
            </w:sdt>
          </w:p>
        </w:tc>
        <w:tc>
          <w:tcPr>
            <w:tcW w:w="5176" w:type="dxa"/>
            <w:gridSpan w:val="2"/>
          </w:tcPr>
          <w:p w14:paraId="5104B4CC" w14:textId="77777777" w:rsidR="00FB1B19" w:rsidRDefault="00FB1B19" w:rsidP="000A2C4C">
            <w:pPr>
              <w:spacing w:line="360" w:lineRule="auto"/>
            </w:pPr>
            <w:r>
              <w:t xml:space="preserve">Rekomenduoja kompensuoti </w:t>
            </w:r>
            <w:proofErr w:type="spellStart"/>
            <w:r>
              <w:t>zanubrutinibo</w:t>
            </w:r>
            <w:proofErr w:type="spellEnd"/>
            <w:r>
              <w:t xml:space="preserve"> vartojimą suaugusiems pacientams, sergantiems LLL:</w:t>
            </w:r>
          </w:p>
          <w:p w14:paraId="3C98D1AC" w14:textId="77777777" w:rsidR="00FB1B19" w:rsidRDefault="00FB1B19" w:rsidP="000A2C4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kurie anksčiau nebuvo gydyti ir kuriems gydymas </w:t>
            </w:r>
            <w:proofErr w:type="spellStart"/>
            <w:r>
              <w:rPr>
                <w:color w:val="000000"/>
              </w:rPr>
              <w:t>fludarabinu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kontraindikuotinas</w:t>
            </w:r>
            <w:proofErr w:type="spellEnd"/>
            <w:r>
              <w:rPr>
                <w:color w:val="000000"/>
              </w:rPr>
              <w:t xml:space="preserve"> ARBA</w:t>
            </w:r>
          </w:p>
          <w:p w14:paraId="4DB08BF9" w14:textId="77777777" w:rsidR="00FB1B19" w:rsidRDefault="00FB1B19" w:rsidP="000A2C4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kurie yra gavę bent 1 sisteminį medikamentą ir</w:t>
            </w:r>
          </w:p>
          <w:p w14:paraId="08F6BD28" w14:textId="77777777" w:rsidR="00FB1B19" w:rsidRDefault="00FB1B19" w:rsidP="000A2C4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pacientas turi būti geros funkcinės būklės bei</w:t>
            </w:r>
          </w:p>
          <w:p w14:paraId="7CC35802" w14:textId="77777777" w:rsidR="00FB1B19" w:rsidRDefault="00FB1B19" w:rsidP="000A2C4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pacientas nepatyręs ligos progreso vartojant BKT inhibitorius ir</w:t>
            </w:r>
          </w:p>
          <w:p w14:paraId="5FAD9DB1" w14:textId="6D143292" w:rsidR="00FB1B19" w:rsidRPr="00F54753" w:rsidRDefault="00FB1B19" w:rsidP="000A2C4C">
            <w:pPr>
              <w:spacing w:line="360" w:lineRule="auto"/>
              <w:rPr>
                <w:rFonts w:eastAsia="Arial"/>
                <w:highlight w:val="yellow"/>
              </w:rPr>
            </w:pPr>
            <w:r>
              <w:rPr>
                <w:color w:val="000000"/>
              </w:rPr>
              <w:t xml:space="preserve">pacientui nėra diagnozuota </w:t>
            </w:r>
            <w:proofErr w:type="spellStart"/>
            <w:r>
              <w:rPr>
                <w:color w:val="000000"/>
              </w:rPr>
              <w:t>prolimfocitinė</w:t>
            </w:r>
            <w:proofErr w:type="spellEnd"/>
            <w:r>
              <w:rPr>
                <w:color w:val="000000"/>
              </w:rPr>
              <w:t xml:space="preserve"> leukemija arba </w:t>
            </w:r>
            <w:proofErr w:type="spellStart"/>
            <w:r>
              <w:rPr>
                <w:color w:val="000000"/>
              </w:rPr>
              <w:t>Richterio</w:t>
            </w:r>
            <w:proofErr w:type="spellEnd"/>
            <w:r>
              <w:rPr>
                <w:color w:val="000000"/>
              </w:rPr>
              <w:t xml:space="preserve"> transformacija.</w:t>
            </w:r>
          </w:p>
        </w:tc>
      </w:tr>
      <w:tr w:rsidR="00FB1B19" w:rsidRPr="00467ED9" w14:paraId="65231E24" w14:textId="77777777" w:rsidTr="00C62887">
        <w:trPr>
          <w:trHeight w:val="1556"/>
        </w:trPr>
        <w:tc>
          <w:tcPr>
            <w:tcW w:w="2625" w:type="dxa"/>
          </w:tcPr>
          <w:p w14:paraId="4182C89C" w14:textId="77777777" w:rsidR="00FB1B19" w:rsidRPr="00F17FB1" w:rsidRDefault="00FB1B19" w:rsidP="000A2C4C">
            <w:pPr>
              <w:spacing w:line="360" w:lineRule="auto"/>
              <w:rPr>
                <w:rFonts w:eastAsia="Arial"/>
              </w:rPr>
            </w:pPr>
            <w:r w:rsidRPr="00F17FB1">
              <w:rPr>
                <w:rFonts w:eastAsia="Arial"/>
              </w:rPr>
              <w:t xml:space="preserve">Nacionalinis </w:t>
            </w:r>
            <w:proofErr w:type="spellStart"/>
            <w:r w:rsidRPr="00F17FB1">
              <w:rPr>
                <w:rFonts w:eastAsia="Arial"/>
              </w:rPr>
              <w:t>farmakoekonomikos</w:t>
            </w:r>
            <w:proofErr w:type="spellEnd"/>
            <w:r w:rsidRPr="00F17FB1">
              <w:rPr>
                <w:rFonts w:eastAsia="Arial"/>
              </w:rPr>
              <w:t xml:space="preserve"> centras, Airija</w:t>
            </w:r>
          </w:p>
          <w:p w14:paraId="5156E5F5" w14:textId="77777777" w:rsidR="00FB1B19" w:rsidRPr="00F17FB1" w:rsidRDefault="00FB1B19" w:rsidP="000A2C4C">
            <w:pPr>
              <w:spacing w:line="360" w:lineRule="auto"/>
              <w:rPr>
                <w:rFonts w:eastAsia="Arial"/>
              </w:rPr>
            </w:pPr>
            <w:r w:rsidRPr="00F17FB1">
              <w:rPr>
                <w:rFonts w:eastAsia="Arial"/>
              </w:rPr>
              <w:t>(angl.</w:t>
            </w:r>
            <w:r w:rsidRPr="00F17FB1">
              <w:rPr>
                <w:rFonts w:eastAsia="Arial"/>
                <w:i/>
              </w:rPr>
              <w:t xml:space="preserve"> </w:t>
            </w:r>
            <w:proofErr w:type="spellStart"/>
            <w:r w:rsidRPr="00F17FB1">
              <w:rPr>
                <w:rFonts w:eastAsia="Arial"/>
                <w:i/>
              </w:rPr>
              <w:t>National</w:t>
            </w:r>
            <w:proofErr w:type="spellEnd"/>
            <w:r w:rsidRPr="00F17FB1">
              <w:rPr>
                <w:rFonts w:eastAsia="Arial"/>
                <w:i/>
              </w:rPr>
              <w:t xml:space="preserve"> Centre </w:t>
            </w:r>
            <w:proofErr w:type="spellStart"/>
            <w:r w:rsidRPr="00F17FB1">
              <w:rPr>
                <w:rFonts w:eastAsia="Arial"/>
                <w:i/>
              </w:rPr>
              <w:t>for</w:t>
            </w:r>
            <w:proofErr w:type="spellEnd"/>
            <w:r w:rsidRPr="00F17FB1">
              <w:rPr>
                <w:rFonts w:eastAsia="Arial"/>
                <w:i/>
              </w:rPr>
              <w:t xml:space="preserve"> </w:t>
            </w:r>
            <w:proofErr w:type="spellStart"/>
            <w:r w:rsidRPr="00F17FB1">
              <w:rPr>
                <w:rFonts w:eastAsia="Arial"/>
                <w:i/>
              </w:rPr>
              <w:t>Pharmacoeconomics</w:t>
            </w:r>
            <w:proofErr w:type="spellEnd"/>
            <w:r w:rsidRPr="00F17FB1">
              <w:rPr>
                <w:rFonts w:eastAsia="Arial"/>
                <w:i/>
              </w:rPr>
              <w:t>, NCPE</w:t>
            </w:r>
            <w:r w:rsidRPr="00F17FB1">
              <w:rPr>
                <w:rFonts w:eastAsia="Arial"/>
              </w:rPr>
              <w:t>)</w:t>
            </w:r>
          </w:p>
        </w:tc>
        <w:tc>
          <w:tcPr>
            <w:tcW w:w="2117" w:type="dxa"/>
          </w:tcPr>
          <w:p w14:paraId="0DC0C751" w14:textId="70CAAFE3" w:rsidR="00FB1B19" w:rsidRPr="00F17FB1" w:rsidRDefault="00FB1B19" w:rsidP="000A2C4C">
            <w:pPr>
              <w:spacing w:line="360" w:lineRule="auto"/>
            </w:pPr>
            <w:r w:rsidRPr="00E7241C">
              <w:rPr>
                <w:rStyle w:val="Style2"/>
                <w:rFonts w:ascii="MS Mincho" w:eastAsia="MS Mincho" w:hAnsi="MS Mincho" w:cs="MS Mincho"/>
              </w:rPr>
              <w:t>☒</w:t>
            </w:r>
            <w:r w:rsidRPr="00F17FB1">
              <w:t xml:space="preserve"> Taip</w:t>
            </w:r>
          </w:p>
          <w:p w14:paraId="37AB23B3" w14:textId="4314CD60" w:rsidR="00FB1B19" w:rsidRPr="00F17FB1" w:rsidRDefault="00FB1B19" w:rsidP="000A2C4C">
            <w:pPr>
              <w:spacing w:line="360" w:lineRule="auto"/>
            </w:pPr>
            <w:r w:rsidRPr="00F17FB1">
              <w:rPr>
                <w:rStyle w:val="Style2"/>
                <w:rFonts w:ascii="MS Gothic" w:eastAsia="MS Gothic" w:hAnsi="MS Gothic" w:hint="eastAsia"/>
              </w:rPr>
              <w:t>☐</w:t>
            </w:r>
            <w:r>
              <w:rPr>
                <w:rStyle w:val="Style2"/>
                <w:rFonts w:ascii="MS Gothic" w:eastAsia="MS Gothic" w:hAnsi="MS Gothic" w:hint="eastAsia"/>
              </w:rPr>
              <w:t xml:space="preserve"> </w:t>
            </w:r>
            <w:r w:rsidRPr="00F17FB1">
              <w:t>Ne</w:t>
            </w:r>
          </w:p>
          <w:p w14:paraId="3B85697D" w14:textId="64CD1F47" w:rsidR="00FB1B19" w:rsidRPr="00F54753" w:rsidRDefault="00000000" w:rsidP="000A2C4C">
            <w:pPr>
              <w:spacing w:line="360" w:lineRule="auto"/>
              <w:rPr>
                <w:highlight w:val="yellow"/>
              </w:rPr>
            </w:pPr>
            <w:sdt>
              <w:sdtPr>
                <w:alias w:val="Nurodykite konkrečią dieną"/>
                <w:tag w:val="Nurodykite pradžios datą"/>
                <w:id w:val="-1342466213"/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FB1B19">
                  <w:t>2023 kovo 23 d.</w:t>
                </w:r>
              </w:sdtContent>
            </w:sdt>
          </w:p>
        </w:tc>
        <w:tc>
          <w:tcPr>
            <w:tcW w:w="5176" w:type="dxa"/>
            <w:gridSpan w:val="2"/>
          </w:tcPr>
          <w:p w14:paraId="33F93319" w14:textId="77777777" w:rsidR="00FB1B19" w:rsidRDefault="00FB1B19" w:rsidP="000A2C4C">
            <w:pPr>
              <w:spacing w:line="360" w:lineRule="auto"/>
            </w:pPr>
            <w:r>
              <w:t xml:space="preserve">Indikuojama kaip </w:t>
            </w:r>
            <w:proofErr w:type="spellStart"/>
            <w:r>
              <w:t>monoterpaija</w:t>
            </w:r>
            <w:proofErr w:type="spellEnd"/>
            <w:r>
              <w:t xml:space="preserve"> suaugusiems, sergantiems LLL. Pareiškėjo pasiūlyta gydyti vieta yra siauresnė nei licencijuota populiacija, </w:t>
            </w:r>
            <w:proofErr w:type="spellStart"/>
            <w:r>
              <w:t>t.y</w:t>
            </w:r>
            <w:proofErr w:type="spellEnd"/>
            <w:r>
              <w:t xml:space="preserve">. </w:t>
            </w:r>
            <w:proofErr w:type="spellStart"/>
            <w:r>
              <w:t>monoterapija</w:t>
            </w:r>
            <w:proofErr w:type="spellEnd"/>
            <w:r>
              <w:t xml:space="preserve"> pacientams, sergantiems LLL:</w:t>
            </w:r>
          </w:p>
          <w:p w14:paraId="7A2A27DC" w14:textId="77777777" w:rsidR="00FB1B19" w:rsidRDefault="00FB1B19" w:rsidP="000A2C4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kurie anksčiau negydyti ir turi </w:t>
            </w:r>
            <w:proofErr w:type="spellStart"/>
            <w:r>
              <w:rPr>
                <w:color w:val="000000"/>
              </w:rPr>
              <w:t>del</w:t>
            </w:r>
            <w:proofErr w:type="spellEnd"/>
            <w:r>
              <w:rPr>
                <w:color w:val="000000"/>
              </w:rPr>
              <w:t>(17p) ir (arba) TP53 mutacijų arba</w:t>
            </w:r>
          </w:p>
          <w:p w14:paraId="338DE1FB" w14:textId="3E4824B3" w:rsidR="00FB1B19" w:rsidRPr="00F54753" w:rsidRDefault="00FB1B19" w:rsidP="000A2C4C">
            <w:pPr>
              <w:spacing w:line="360" w:lineRule="auto"/>
              <w:jc w:val="both"/>
              <w:rPr>
                <w:rFonts w:eastAsia="Arial"/>
                <w:highlight w:val="yellow"/>
              </w:rPr>
            </w:pPr>
            <w:r>
              <w:t>pacientams, kuriems pasireiškė gydymui atspari ar pasikartojanti liga.</w:t>
            </w:r>
          </w:p>
        </w:tc>
      </w:tr>
    </w:tbl>
    <w:p w14:paraId="0F48419E" w14:textId="77777777" w:rsidR="00BB72F9" w:rsidRPr="00467ED9" w:rsidRDefault="00BB72F9" w:rsidP="00E67F63">
      <w:pPr>
        <w:spacing w:line="360" w:lineRule="auto"/>
        <w:rPr>
          <w:rFonts w:eastAsia="Arial"/>
          <w:highlight w:val="yellow"/>
        </w:rPr>
      </w:pPr>
    </w:p>
    <w:p w14:paraId="73290081" w14:textId="77777777" w:rsidR="007A2B68" w:rsidRDefault="007A2B68" w:rsidP="00E67F63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5055E8A8" w14:textId="471A9757" w:rsidR="002E6F80" w:rsidRPr="00E33EFF" w:rsidRDefault="00CC7832" w:rsidP="00E67F63">
      <w:pPr>
        <w:pStyle w:val="Sraopastraipa"/>
        <w:numPr>
          <w:ilvl w:val="0"/>
          <w:numId w:val="12"/>
        </w:numPr>
        <w:tabs>
          <w:tab w:val="left" w:pos="567"/>
        </w:tabs>
        <w:spacing w:line="360" w:lineRule="auto"/>
        <w:ind w:hanging="720"/>
        <w:rPr>
          <w:b/>
          <w:bCs/>
          <w:caps/>
        </w:rPr>
      </w:pPr>
      <w:r w:rsidRPr="00E33EFF">
        <w:rPr>
          <w:b/>
          <w:bCs/>
          <w:caps/>
        </w:rPr>
        <w:lastRenderedPageBreak/>
        <w:t>Klinikinio vertinimo a</w:t>
      </w:r>
      <w:r w:rsidR="00D4485B" w:rsidRPr="00E33EFF">
        <w:rPr>
          <w:b/>
          <w:bCs/>
          <w:caps/>
        </w:rPr>
        <w:t>pibendrinimas</w:t>
      </w:r>
    </w:p>
    <w:p w14:paraId="2A77BF59" w14:textId="77777777" w:rsidR="00BB72F9" w:rsidRDefault="00BB72F9" w:rsidP="00E67F63">
      <w:pPr>
        <w:spacing w:line="360" w:lineRule="auto"/>
        <w:ind w:firstLine="720"/>
        <w:jc w:val="both"/>
        <w:rPr>
          <w:rFonts w:eastAsia="Arial"/>
        </w:rPr>
      </w:pPr>
    </w:p>
    <w:p w14:paraId="1EBC33DF" w14:textId="77777777" w:rsidR="008F569F" w:rsidRPr="00C20517" w:rsidRDefault="000474B4" w:rsidP="00E67F63">
      <w:pPr>
        <w:spacing w:line="360" w:lineRule="auto"/>
        <w:ind w:firstLine="720"/>
        <w:jc w:val="both"/>
        <w:rPr>
          <w:rFonts w:eastAsia="Arial"/>
          <w:i/>
          <w:color w:val="00B050"/>
        </w:rPr>
      </w:pPr>
      <w:r>
        <w:tab/>
      </w:r>
      <w:r w:rsidR="008F569F">
        <w:t xml:space="preserve">Lėtinė </w:t>
      </w:r>
      <w:proofErr w:type="spellStart"/>
      <w:r w:rsidR="008F569F">
        <w:t>limfocitinė</w:t>
      </w:r>
      <w:proofErr w:type="spellEnd"/>
      <w:r w:rsidR="008F569F">
        <w:t xml:space="preserve"> leukemija (LLL) yra piktybinė kraujo liga, kuriai būdinga nekontroliuojama </w:t>
      </w:r>
      <w:proofErr w:type="spellStart"/>
      <w:r w:rsidR="008F569F">
        <w:t>monokloninių</w:t>
      </w:r>
      <w:proofErr w:type="spellEnd"/>
      <w:r w:rsidR="008F569F">
        <w:t xml:space="preserve"> B limfocitų gamyba ir jų kaupimasis kraujyje, kaulų čiulpuose ir blužnyje. LLL yra neišgydoma, todėl gydymo tikslas yra pasiekti atsaką į gydymą, išlaikyti kuo ilgesnį laikotarpį be ligos progresavimo, kontroliuoti ligos eigą, palengvinti ligos simptomus ir taip prailginti išgyvenamumą. </w:t>
      </w:r>
      <w:r w:rsidR="008F569F" w:rsidRPr="00DB7DE0">
        <w:t xml:space="preserve">Lietuvoje LLL gydymui šiuo metu kompensuojami </w:t>
      </w:r>
      <w:proofErr w:type="spellStart"/>
      <w:r w:rsidR="008F569F" w:rsidRPr="00DB7DE0">
        <w:t>ibrutinibas</w:t>
      </w:r>
      <w:proofErr w:type="spellEnd"/>
      <w:r w:rsidR="008F569F" w:rsidRPr="00DB7DE0">
        <w:t xml:space="preserve"> ar </w:t>
      </w:r>
      <w:proofErr w:type="spellStart"/>
      <w:r w:rsidR="008F569F" w:rsidRPr="00DB7DE0">
        <w:t>akalabrutinibas</w:t>
      </w:r>
      <w:proofErr w:type="spellEnd"/>
      <w:r w:rsidR="008F569F" w:rsidRPr="00DB7DE0">
        <w:t xml:space="preserve"> (pirmo pasirinkimo gydymas), </w:t>
      </w:r>
      <w:proofErr w:type="spellStart"/>
      <w:r w:rsidR="008F569F" w:rsidRPr="00DB7DE0">
        <w:t>venetoklaksas</w:t>
      </w:r>
      <w:proofErr w:type="spellEnd"/>
      <w:r w:rsidR="008F569F" w:rsidRPr="00DB7DE0">
        <w:t xml:space="preserve">, </w:t>
      </w:r>
      <w:proofErr w:type="spellStart"/>
      <w:r w:rsidR="008F569F" w:rsidRPr="00DB7DE0">
        <w:t>chlorambucilas</w:t>
      </w:r>
      <w:proofErr w:type="spellEnd"/>
      <w:r w:rsidR="008F569F" w:rsidRPr="00DB7DE0">
        <w:t xml:space="preserve">, </w:t>
      </w:r>
      <w:proofErr w:type="spellStart"/>
      <w:r w:rsidR="008F569F" w:rsidRPr="00DB7DE0">
        <w:t>ciklofosfamidas</w:t>
      </w:r>
      <w:proofErr w:type="spellEnd"/>
      <w:r w:rsidR="008F569F" w:rsidRPr="00DB7DE0">
        <w:t xml:space="preserve">, </w:t>
      </w:r>
      <w:proofErr w:type="spellStart"/>
      <w:r w:rsidR="008F569F" w:rsidRPr="00DB7DE0">
        <w:t>rituksimabas</w:t>
      </w:r>
      <w:proofErr w:type="spellEnd"/>
      <w:r w:rsidR="008F569F" w:rsidRPr="00DB7DE0">
        <w:t xml:space="preserve"> ir </w:t>
      </w:r>
      <w:proofErr w:type="spellStart"/>
      <w:r w:rsidR="008F569F" w:rsidRPr="00DB7DE0">
        <w:t>fludarabinas</w:t>
      </w:r>
      <w:proofErr w:type="spellEnd"/>
      <w:r w:rsidR="008F569F" w:rsidRPr="00DB7DE0">
        <w:t xml:space="preserve"> (antro pasirinkimo gydymas). </w:t>
      </w:r>
      <w:r w:rsidR="008F569F">
        <w:t xml:space="preserve">Šiuo metu Lietuvoje nėra patvirtinto LLL gydymo aprašo, LLL pacientai gydomi pagal A kompensuojamųjų vaistų sąraše nurodytas skyrimo sąlygas </w:t>
      </w:r>
      <w:proofErr w:type="spellStart"/>
      <w:r w:rsidR="008F569F" w:rsidRPr="00CB3BC2">
        <w:rPr>
          <w:i/>
        </w:rPr>
        <w:t>monoterapija</w:t>
      </w:r>
      <w:proofErr w:type="spellEnd"/>
      <w:r w:rsidR="008F569F" w:rsidRPr="00CB3BC2">
        <w:rPr>
          <w:i/>
        </w:rPr>
        <w:t xml:space="preserve"> BTK inhibitoriumi</w:t>
      </w:r>
      <w:r w:rsidR="008F569F">
        <w:t xml:space="preserve"> ( skirtas gydyti suaugusius pacientus, sergančius LLL, kurie anksčiau nebuvo gydyti ir kuriems netinka </w:t>
      </w:r>
      <w:proofErr w:type="spellStart"/>
      <w:r w:rsidR="008F569F">
        <w:t>chemoimunoterapija</w:t>
      </w:r>
      <w:proofErr w:type="spellEnd"/>
      <w:r w:rsidR="008F569F">
        <w:t xml:space="preserve">) arba </w:t>
      </w:r>
      <w:proofErr w:type="spellStart"/>
      <w:r w:rsidR="008F569F" w:rsidRPr="00CB3BC2">
        <w:rPr>
          <w:i/>
        </w:rPr>
        <w:t>venetoklaso</w:t>
      </w:r>
      <w:proofErr w:type="spellEnd"/>
      <w:r w:rsidR="008F569F" w:rsidRPr="00CB3BC2">
        <w:rPr>
          <w:i/>
        </w:rPr>
        <w:t xml:space="preserve"> ir </w:t>
      </w:r>
      <w:proofErr w:type="spellStart"/>
      <w:r w:rsidR="008F569F" w:rsidRPr="00CB3BC2">
        <w:rPr>
          <w:i/>
        </w:rPr>
        <w:t>obinituzumabu</w:t>
      </w:r>
      <w:proofErr w:type="spellEnd"/>
      <w:r w:rsidR="008F569F" w:rsidRPr="00CB3BC2">
        <w:rPr>
          <w:i/>
        </w:rPr>
        <w:t xml:space="preserve"> deriniu</w:t>
      </w:r>
      <w:r w:rsidR="008F569F">
        <w:t xml:space="preserve"> (skirtas gydyti suaugusius pacientus, sergančius LLL, kurie anksčiau nebuvo gydyti ir kuriems</w:t>
      </w:r>
      <w:r w:rsidR="008F569F" w:rsidRPr="00DF2410">
        <w:t xml:space="preserve"> netinka </w:t>
      </w:r>
      <w:proofErr w:type="spellStart"/>
      <w:r w:rsidR="008F569F" w:rsidRPr="00DF2410">
        <w:t>chemoimun</w:t>
      </w:r>
      <w:r w:rsidR="008F569F">
        <w:t>oterapija</w:t>
      </w:r>
      <w:proofErr w:type="spellEnd"/>
      <w:r w:rsidR="008F569F">
        <w:t xml:space="preserve"> </w:t>
      </w:r>
      <w:proofErr w:type="spellStart"/>
      <w:r w:rsidR="008F569F">
        <w:t>fludarabino</w:t>
      </w:r>
      <w:proofErr w:type="spellEnd"/>
      <w:r w:rsidR="008F569F">
        <w:t xml:space="preserve"> pagrindu ar kuomet </w:t>
      </w:r>
      <w:r w:rsidR="008F569F" w:rsidRPr="00DF2410">
        <w:t xml:space="preserve">nustatyta 17p </w:t>
      </w:r>
      <w:proofErr w:type="spellStart"/>
      <w:r w:rsidR="008F569F" w:rsidRPr="00DF2410">
        <w:t>delecija</w:t>
      </w:r>
      <w:proofErr w:type="spellEnd"/>
      <w:r w:rsidR="008F569F" w:rsidRPr="00DF2410">
        <w:t xml:space="preserve"> ir (ar) TP53 mutacija ir netinka gydymas </w:t>
      </w:r>
      <w:proofErr w:type="spellStart"/>
      <w:r w:rsidR="008F569F" w:rsidRPr="00DF2410">
        <w:t>brutono</w:t>
      </w:r>
      <w:proofErr w:type="spellEnd"/>
      <w:r w:rsidR="008F569F">
        <w:t xml:space="preserve"> </w:t>
      </w:r>
      <w:proofErr w:type="spellStart"/>
      <w:r w:rsidR="008F569F">
        <w:t>tirozino</w:t>
      </w:r>
      <w:proofErr w:type="spellEnd"/>
      <w:r w:rsidR="008F569F">
        <w:t xml:space="preserve"> </w:t>
      </w:r>
      <w:proofErr w:type="spellStart"/>
      <w:r w:rsidR="008F569F">
        <w:t>kinazės</w:t>
      </w:r>
      <w:proofErr w:type="spellEnd"/>
      <w:r w:rsidR="008F569F">
        <w:t xml:space="preserve"> inhibitoriais</w:t>
      </w:r>
      <w:r w:rsidR="008F569F" w:rsidRPr="00591B13">
        <w:t xml:space="preserve">). Lietuvoje LLL gydymui šiuo metu kompensuojami </w:t>
      </w:r>
      <w:proofErr w:type="spellStart"/>
      <w:r w:rsidR="008F569F" w:rsidRPr="00591B13">
        <w:t>ibrutinibas</w:t>
      </w:r>
      <w:proofErr w:type="spellEnd"/>
      <w:r w:rsidR="008F569F" w:rsidRPr="00591B13">
        <w:t xml:space="preserve"> ar </w:t>
      </w:r>
      <w:proofErr w:type="spellStart"/>
      <w:r w:rsidR="008F569F" w:rsidRPr="00591B13">
        <w:t>akalabrutinibas</w:t>
      </w:r>
      <w:proofErr w:type="spellEnd"/>
      <w:r w:rsidR="008F569F" w:rsidRPr="00591B13">
        <w:t xml:space="preserve"> (pirmo pasirinkimo gydymas), </w:t>
      </w:r>
      <w:proofErr w:type="spellStart"/>
      <w:r w:rsidR="008F569F" w:rsidRPr="00591B13">
        <w:t>venetoklaksas</w:t>
      </w:r>
      <w:proofErr w:type="spellEnd"/>
      <w:r w:rsidR="008F569F" w:rsidRPr="00591B13">
        <w:t xml:space="preserve">, </w:t>
      </w:r>
      <w:proofErr w:type="spellStart"/>
      <w:r w:rsidR="008F569F" w:rsidRPr="00591B13">
        <w:t>chlorambucilas</w:t>
      </w:r>
      <w:proofErr w:type="spellEnd"/>
      <w:r w:rsidR="008F569F" w:rsidRPr="00591B13">
        <w:t xml:space="preserve">, </w:t>
      </w:r>
      <w:proofErr w:type="spellStart"/>
      <w:r w:rsidR="008F569F" w:rsidRPr="00591B13">
        <w:t>ciklofosfamidas</w:t>
      </w:r>
      <w:proofErr w:type="spellEnd"/>
      <w:r w:rsidR="008F569F" w:rsidRPr="00591B13">
        <w:t xml:space="preserve">, </w:t>
      </w:r>
      <w:proofErr w:type="spellStart"/>
      <w:r w:rsidR="008F569F" w:rsidRPr="00591B13">
        <w:t>rituksimabas</w:t>
      </w:r>
      <w:proofErr w:type="spellEnd"/>
      <w:r w:rsidR="008F569F" w:rsidRPr="00591B13">
        <w:t xml:space="preserve"> ir </w:t>
      </w:r>
      <w:proofErr w:type="spellStart"/>
      <w:r w:rsidR="008F569F" w:rsidRPr="00591B13">
        <w:t>fludarabinas</w:t>
      </w:r>
      <w:proofErr w:type="spellEnd"/>
      <w:r w:rsidR="008F569F" w:rsidRPr="00591B13">
        <w:t xml:space="preserve"> (antro pasirinkimo gydymas). </w:t>
      </w:r>
      <w:r w:rsidR="008F569F">
        <w:t xml:space="preserve">Paraiškoje pateikti </w:t>
      </w:r>
      <w:r w:rsidR="008F569F">
        <w:rPr>
          <w:lang w:val="en-US"/>
        </w:rPr>
        <w:t xml:space="preserve">3 </w:t>
      </w:r>
      <w:proofErr w:type="spellStart"/>
      <w:r w:rsidR="008F569F">
        <w:rPr>
          <w:lang w:val="en-US"/>
        </w:rPr>
        <w:t>faz</w:t>
      </w:r>
      <w:proofErr w:type="spellEnd"/>
      <w:r w:rsidR="008F569F">
        <w:t xml:space="preserve">ės klinikinių tyrimų SEQUOIA, ELEVATE-TN ir ALLIANCE duomenys apie vaistinį preparatą </w:t>
      </w:r>
      <w:proofErr w:type="spellStart"/>
      <w:r w:rsidR="008F569F">
        <w:t>zanubrutinibą</w:t>
      </w:r>
      <w:proofErr w:type="spellEnd"/>
      <w:r w:rsidR="008F569F">
        <w:t xml:space="preserve">, kuris siūlomas kompensuoti suaugusių pacientų lėtinei </w:t>
      </w:r>
      <w:proofErr w:type="spellStart"/>
      <w:r w:rsidR="008F569F">
        <w:t>limfocitinei</w:t>
      </w:r>
      <w:proofErr w:type="spellEnd"/>
      <w:r w:rsidR="008F569F">
        <w:t xml:space="preserve"> leukemijai (LLL) gydyti, kuomet anksčiau nebuvo gydyti arba netinka </w:t>
      </w:r>
      <w:proofErr w:type="spellStart"/>
      <w:r w:rsidR="008F569F">
        <w:t>chemoimunoterapinis</w:t>
      </w:r>
      <w:proofErr w:type="spellEnd"/>
      <w:r w:rsidR="008F569F">
        <w:t xml:space="preserve"> gydymas.</w:t>
      </w:r>
    </w:p>
    <w:p w14:paraId="74AFB5E9" w14:textId="44534536" w:rsidR="000603F2" w:rsidRDefault="008F569F" w:rsidP="00E67F63">
      <w:pPr>
        <w:spacing w:after="120" w:line="360" w:lineRule="auto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ab/>
        <w:t xml:space="preserve">Palyginamasis gydymas – </w:t>
      </w:r>
      <w:proofErr w:type="spellStart"/>
      <w:r w:rsidR="003C292E">
        <w:rPr>
          <w:color w:val="000000"/>
          <w:lang w:eastAsia="lt-LT"/>
        </w:rPr>
        <w:t>brutono</w:t>
      </w:r>
      <w:proofErr w:type="spellEnd"/>
      <w:r w:rsidR="003C292E">
        <w:rPr>
          <w:color w:val="000000"/>
          <w:lang w:eastAsia="lt-LT"/>
        </w:rPr>
        <w:t xml:space="preserve"> </w:t>
      </w:r>
      <w:proofErr w:type="spellStart"/>
      <w:r w:rsidR="003C292E">
        <w:rPr>
          <w:color w:val="000000"/>
          <w:lang w:eastAsia="lt-LT"/>
        </w:rPr>
        <w:t>tirozino</w:t>
      </w:r>
      <w:proofErr w:type="spellEnd"/>
      <w:r w:rsidR="003C292E">
        <w:rPr>
          <w:color w:val="000000"/>
          <w:lang w:eastAsia="lt-LT"/>
        </w:rPr>
        <w:t xml:space="preserve"> </w:t>
      </w:r>
      <w:proofErr w:type="spellStart"/>
      <w:r w:rsidR="003C292E">
        <w:rPr>
          <w:color w:val="000000"/>
          <w:lang w:eastAsia="lt-LT"/>
        </w:rPr>
        <w:t>kinazės</w:t>
      </w:r>
      <w:proofErr w:type="spellEnd"/>
      <w:r w:rsidR="003C292E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 inhibitorius</w:t>
      </w:r>
      <w:r w:rsidR="003C292E">
        <w:rPr>
          <w:color w:val="000000"/>
          <w:lang w:eastAsia="lt-LT"/>
        </w:rPr>
        <w:t xml:space="preserve"> (</w:t>
      </w:r>
      <w:proofErr w:type="spellStart"/>
      <w:r w:rsidR="003C292E">
        <w:rPr>
          <w:color w:val="000000"/>
          <w:lang w:eastAsia="lt-LT"/>
        </w:rPr>
        <w:t>BTKi</w:t>
      </w:r>
      <w:proofErr w:type="spellEnd"/>
      <w:r w:rsidR="003C292E">
        <w:rPr>
          <w:color w:val="000000"/>
          <w:lang w:eastAsia="lt-LT"/>
        </w:rPr>
        <w:t>)</w:t>
      </w:r>
      <w:r>
        <w:rPr>
          <w:color w:val="000000"/>
          <w:lang w:eastAsia="lt-LT"/>
        </w:rPr>
        <w:t xml:space="preserve">. Lietuvoje šių pacientų populiacijai gali būti skiriami šie </w:t>
      </w:r>
      <w:proofErr w:type="spellStart"/>
      <w:r w:rsidR="003C292E">
        <w:rPr>
          <w:color w:val="000000"/>
          <w:lang w:eastAsia="lt-LT"/>
        </w:rPr>
        <w:t>BTKi</w:t>
      </w:r>
      <w:proofErr w:type="spellEnd"/>
      <w:r w:rsidR="003C292E">
        <w:rPr>
          <w:color w:val="000000"/>
          <w:lang w:eastAsia="lt-LT"/>
        </w:rPr>
        <w:t xml:space="preserve"> grupės vaistiniai </w:t>
      </w:r>
      <w:r>
        <w:rPr>
          <w:color w:val="000000"/>
          <w:lang w:eastAsia="lt-LT"/>
        </w:rPr>
        <w:t xml:space="preserve">preparatai: </w:t>
      </w:r>
      <w:proofErr w:type="spellStart"/>
      <w:r>
        <w:rPr>
          <w:color w:val="000000"/>
          <w:lang w:eastAsia="lt-LT"/>
        </w:rPr>
        <w:t>ibrutinibas</w:t>
      </w:r>
      <w:proofErr w:type="spellEnd"/>
      <w:r>
        <w:rPr>
          <w:color w:val="000000"/>
          <w:lang w:eastAsia="lt-LT"/>
        </w:rPr>
        <w:t xml:space="preserve"> ir </w:t>
      </w:r>
      <w:proofErr w:type="spellStart"/>
      <w:r>
        <w:rPr>
          <w:color w:val="000000"/>
          <w:lang w:eastAsia="lt-LT"/>
        </w:rPr>
        <w:t>akalabrutinibas</w:t>
      </w:r>
      <w:proofErr w:type="spellEnd"/>
      <w:r w:rsidR="003C292E">
        <w:rPr>
          <w:color w:val="000000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051783A0" w14:textId="77777777" w:rsidR="000603F2" w:rsidRDefault="000603F2" w:rsidP="000603F2">
      <w:pPr>
        <w:spacing w:after="120" w:line="360" w:lineRule="auto"/>
        <w:jc w:val="both"/>
        <w:rPr>
          <w:color w:val="000000"/>
          <w:lang w:eastAsia="lt-LT"/>
        </w:rPr>
      </w:pPr>
      <w:r w:rsidRPr="002236A9">
        <w:rPr>
          <w:rFonts w:eastAsia="Arial"/>
          <w:i/>
          <w:color w:val="000000" w:themeColor="text1"/>
        </w:rPr>
        <w:t>Tiesioginis palyginimas</w:t>
      </w:r>
      <w:r>
        <w:rPr>
          <w:color w:val="000000"/>
          <w:lang w:eastAsia="lt-LT"/>
        </w:rPr>
        <w:t xml:space="preserve"> </w:t>
      </w:r>
    </w:p>
    <w:p w14:paraId="7377A150" w14:textId="76785A6B" w:rsidR="008F569F" w:rsidRPr="002236A9" w:rsidRDefault="008F569F" w:rsidP="000A2C4C">
      <w:pPr>
        <w:spacing w:after="120" w:line="360" w:lineRule="auto"/>
        <w:jc w:val="both"/>
        <w:rPr>
          <w:rFonts w:eastAsia="Arial"/>
          <w:i/>
          <w:color w:val="000000" w:themeColor="text1"/>
        </w:rPr>
      </w:pPr>
      <w:proofErr w:type="spellStart"/>
      <w:r>
        <w:rPr>
          <w:color w:val="000000"/>
          <w:lang w:eastAsia="lt-LT"/>
        </w:rPr>
        <w:t>Zanubrutinibo</w:t>
      </w:r>
      <w:proofErr w:type="spellEnd"/>
      <w:r>
        <w:rPr>
          <w:color w:val="000000"/>
          <w:lang w:eastAsia="lt-LT"/>
        </w:rPr>
        <w:t xml:space="preserve"> palyginamasis veiksmingumas grindžiamas III fazės klinikini</w:t>
      </w:r>
      <w:r w:rsidR="000603F2">
        <w:rPr>
          <w:color w:val="000000"/>
          <w:lang w:eastAsia="lt-LT"/>
        </w:rPr>
        <w:t>o</w:t>
      </w:r>
      <w:r>
        <w:rPr>
          <w:color w:val="000000"/>
          <w:lang w:eastAsia="lt-LT"/>
        </w:rPr>
        <w:t xml:space="preserve"> tyrimu SEQUOIA rezultatais. Tačiau šiame tyrime palyginamasis gydymas </w:t>
      </w:r>
      <w:proofErr w:type="spellStart"/>
      <w:r>
        <w:rPr>
          <w:color w:val="000000"/>
          <w:lang w:eastAsia="lt-LT"/>
        </w:rPr>
        <w:t>bendamustino</w:t>
      </w:r>
      <w:proofErr w:type="spellEnd"/>
      <w:r>
        <w:rPr>
          <w:color w:val="000000"/>
          <w:lang w:eastAsia="lt-LT"/>
        </w:rPr>
        <w:t xml:space="preserve"> ir </w:t>
      </w:r>
      <w:proofErr w:type="spellStart"/>
      <w:r>
        <w:rPr>
          <w:color w:val="000000"/>
          <w:lang w:eastAsia="lt-LT"/>
        </w:rPr>
        <w:t>rituksimabo</w:t>
      </w:r>
      <w:proofErr w:type="spellEnd"/>
      <w:r>
        <w:rPr>
          <w:color w:val="000000"/>
          <w:lang w:eastAsia="lt-LT"/>
        </w:rPr>
        <w:t xml:space="preserve"> (BR) derinys</w:t>
      </w:r>
      <w:r w:rsidR="003C292E" w:rsidRPr="003C292E">
        <w:rPr>
          <w:color w:val="000000"/>
          <w:lang w:eastAsia="lt-LT"/>
        </w:rPr>
        <w:t xml:space="preserve"> </w:t>
      </w:r>
      <w:r w:rsidR="003C292E">
        <w:rPr>
          <w:color w:val="000000"/>
          <w:lang w:eastAsia="lt-LT"/>
        </w:rPr>
        <w:t>nėra kompensuojamas ir</w:t>
      </w:r>
      <w:r>
        <w:rPr>
          <w:color w:val="000000"/>
          <w:lang w:eastAsia="lt-LT"/>
        </w:rPr>
        <w:t xml:space="preserve"> vertinamas, kaip neatitinkantis įprastinės </w:t>
      </w:r>
      <w:r w:rsidR="000603F2">
        <w:rPr>
          <w:color w:val="000000"/>
          <w:lang w:eastAsia="lt-LT"/>
        </w:rPr>
        <w:t xml:space="preserve">Lietuvos </w:t>
      </w:r>
      <w:r>
        <w:rPr>
          <w:color w:val="000000"/>
          <w:lang w:eastAsia="lt-LT"/>
        </w:rPr>
        <w:t>klinikinės praktikos</w:t>
      </w:r>
      <w:r w:rsidR="003C292E">
        <w:rPr>
          <w:color w:val="000000"/>
          <w:lang w:eastAsia="lt-LT"/>
        </w:rPr>
        <w:t xml:space="preserve"> todėl</w:t>
      </w:r>
      <w:r w:rsidR="000603F2">
        <w:rPr>
          <w:color w:val="000000"/>
          <w:lang w:eastAsia="lt-LT"/>
        </w:rPr>
        <w:t xml:space="preserve"> vertinamas kaip papildoma informacija</w:t>
      </w:r>
      <w:r>
        <w:rPr>
          <w:color w:val="000000"/>
          <w:lang w:eastAsia="lt-LT"/>
        </w:rPr>
        <w:t xml:space="preserve">. </w:t>
      </w:r>
    </w:p>
    <w:p w14:paraId="40A349F9" w14:textId="77777777" w:rsidR="008F569F" w:rsidRDefault="008F569F" w:rsidP="00E67F63">
      <w:pPr>
        <w:spacing w:line="360" w:lineRule="auto"/>
        <w:ind w:firstLine="720"/>
        <w:jc w:val="both"/>
      </w:pPr>
    </w:p>
    <w:p w14:paraId="5359AC86" w14:textId="080F5436" w:rsidR="008F569F" w:rsidRDefault="00E67F63" w:rsidP="00E67F63">
      <w:pPr>
        <w:spacing w:line="360" w:lineRule="auto"/>
        <w:jc w:val="both"/>
        <w:rPr>
          <w:i/>
        </w:rPr>
      </w:pPr>
      <w:r>
        <w:rPr>
          <w:i/>
        </w:rPr>
        <w:t>Netiesioginis palyginimas</w:t>
      </w:r>
    </w:p>
    <w:p w14:paraId="4F1E467A" w14:textId="3A4A6D88" w:rsidR="000603F2" w:rsidRDefault="000603F2" w:rsidP="000A2C4C">
      <w:pPr>
        <w:spacing w:line="360" w:lineRule="auto"/>
        <w:ind w:firstLine="720"/>
        <w:jc w:val="both"/>
        <w:rPr>
          <w:i/>
        </w:rPr>
      </w:pPr>
      <w:r>
        <w:rPr>
          <w:color w:val="000000"/>
          <w:lang w:eastAsia="lt-LT"/>
        </w:rPr>
        <w:t>Kadangi tiesioginio palyginimo tyrime taikytas palyginamasis gydymas neatitinka įprastinės Lietuvos klinikinės praktikos</w:t>
      </w:r>
      <w:r w:rsidR="003C292E">
        <w:rPr>
          <w:color w:val="000000"/>
          <w:lang w:eastAsia="lt-LT"/>
        </w:rPr>
        <w:t>,</w:t>
      </w:r>
      <w:r>
        <w:rPr>
          <w:color w:val="000000"/>
          <w:lang w:eastAsia="lt-LT"/>
        </w:rPr>
        <w:t xml:space="preserve"> klinikinis veiksmingumas</w:t>
      </w:r>
      <w:r w:rsidRPr="002373CF">
        <w:rPr>
          <w:color w:val="000000"/>
          <w:lang w:eastAsia="lt-LT"/>
        </w:rPr>
        <w:t xml:space="preserve"> grind</w:t>
      </w:r>
      <w:r>
        <w:rPr>
          <w:color w:val="000000"/>
          <w:lang w:eastAsia="lt-LT"/>
        </w:rPr>
        <w:t>ž</w:t>
      </w:r>
      <w:r w:rsidRPr="002373CF">
        <w:rPr>
          <w:color w:val="000000"/>
          <w:lang w:eastAsia="lt-LT"/>
        </w:rPr>
        <w:t>iamas netiesiogini</w:t>
      </w:r>
      <w:r>
        <w:rPr>
          <w:color w:val="000000"/>
          <w:lang w:eastAsia="lt-LT"/>
        </w:rPr>
        <w:t>o</w:t>
      </w:r>
      <w:r w:rsidRPr="002373CF">
        <w:rPr>
          <w:color w:val="000000"/>
          <w:lang w:eastAsia="lt-LT"/>
        </w:rPr>
        <w:t xml:space="preserve"> palygin</w:t>
      </w:r>
      <w:r>
        <w:rPr>
          <w:color w:val="000000"/>
          <w:lang w:eastAsia="lt-LT"/>
        </w:rPr>
        <w:t xml:space="preserve">imo </w:t>
      </w:r>
      <w:r>
        <w:rPr>
          <w:color w:val="000000"/>
          <w:lang w:eastAsia="lt-LT"/>
        </w:rPr>
        <w:lastRenderedPageBreak/>
        <w:t xml:space="preserve">analizės, kurioje palyginamasis gydymas </w:t>
      </w:r>
      <w:proofErr w:type="spellStart"/>
      <w:r>
        <w:rPr>
          <w:color w:val="000000"/>
          <w:lang w:eastAsia="lt-LT"/>
        </w:rPr>
        <w:t>B</w:t>
      </w:r>
      <w:r w:rsidR="003C292E">
        <w:rPr>
          <w:color w:val="000000"/>
          <w:lang w:eastAsia="lt-LT"/>
        </w:rPr>
        <w:t>TKi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akalabrutinibu</w:t>
      </w:r>
      <w:proofErr w:type="spellEnd"/>
      <w:r>
        <w:rPr>
          <w:color w:val="000000"/>
          <w:lang w:eastAsia="lt-LT"/>
        </w:rPr>
        <w:t xml:space="preserve"> ir </w:t>
      </w:r>
      <w:proofErr w:type="spellStart"/>
      <w:r>
        <w:rPr>
          <w:color w:val="000000"/>
          <w:lang w:eastAsia="lt-LT"/>
        </w:rPr>
        <w:t>ibrutinibu</w:t>
      </w:r>
      <w:proofErr w:type="spellEnd"/>
      <w:r>
        <w:rPr>
          <w:color w:val="000000"/>
          <w:lang w:eastAsia="lt-LT"/>
        </w:rPr>
        <w:t xml:space="preserve"> laikomas atitinkančiu įprastinę Lietuvos klinikinę praktiką.  </w:t>
      </w:r>
    </w:p>
    <w:p w14:paraId="3A0C0391" w14:textId="77777777" w:rsidR="000603F2" w:rsidRDefault="000603F2" w:rsidP="00E67F63">
      <w:pPr>
        <w:tabs>
          <w:tab w:val="left" w:pos="492"/>
        </w:tabs>
        <w:spacing w:line="360" w:lineRule="auto"/>
        <w:jc w:val="both"/>
        <w:outlineLvl w:val="1"/>
        <w:rPr>
          <w:rFonts w:eastAsia="Arial"/>
          <w:color w:val="000000" w:themeColor="text1"/>
          <w:u w:val="single"/>
        </w:rPr>
      </w:pPr>
    </w:p>
    <w:p w14:paraId="323C6D11" w14:textId="3D6A820D" w:rsidR="008F569F" w:rsidRPr="00F824A7" w:rsidRDefault="008F569F" w:rsidP="00E67F63">
      <w:pPr>
        <w:tabs>
          <w:tab w:val="left" w:pos="492"/>
        </w:tabs>
        <w:spacing w:line="360" w:lineRule="auto"/>
        <w:jc w:val="both"/>
        <w:outlineLvl w:val="1"/>
        <w:rPr>
          <w:rFonts w:eastAsia="Arial"/>
          <w:color w:val="000000" w:themeColor="text1"/>
          <w:u w:val="single"/>
        </w:rPr>
      </w:pPr>
      <w:r w:rsidRPr="00F824A7">
        <w:rPr>
          <w:rFonts w:eastAsia="Arial"/>
          <w:color w:val="000000" w:themeColor="text1"/>
          <w:u w:val="single"/>
        </w:rPr>
        <w:t>SEQUOIA ir ELEVATE-TN tyrimų sutapatinimo rezultatai</w:t>
      </w:r>
      <w:r w:rsidRPr="00F824A7">
        <w:rPr>
          <w:rFonts w:eastAsia="Arial"/>
          <w:color w:val="000000" w:themeColor="text1"/>
          <w:u w:val="single"/>
        </w:rPr>
        <w:tab/>
      </w:r>
    </w:p>
    <w:p w14:paraId="5330FD97" w14:textId="0231B9BB" w:rsidR="008F569F" w:rsidRDefault="008F569F" w:rsidP="00E67F63">
      <w:pPr>
        <w:tabs>
          <w:tab w:val="left" w:pos="492"/>
        </w:tabs>
        <w:spacing w:line="360" w:lineRule="auto"/>
        <w:jc w:val="both"/>
        <w:outlineLvl w:val="1"/>
        <w:rPr>
          <w:bCs/>
        </w:rPr>
      </w:pPr>
      <w:r>
        <w:rPr>
          <w:rFonts w:eastAsia="Arial"/>
          <w:color w:val="000000" w:themeColor="text1"/>
        </w:rPr>
        <w:tab/>
        <w:t xml:space="preserve">Tyrėjų vertintas </w:t>
      </w:r>
      <w:r w:rsidR="000603F2">
        <w:rPr>
          <w:rFonts w:eastAsia="Arial"/>
          <w:color w:val="000000" w:themeColor="text1"/>
        </w:rPr>
        <w:t>išgyvenamumas be ligos progresavimo (</w:t>
      </w:r>
      <w:r>
        <w:rPr>
          <w:rFonts w:eastAsia="Arial"/>
          <w:color w:val="000000" w:themeColor="text1"/>
        </w:rPr>
        <w:t>IBPL</w:t>
      </w:r>
      <w:r w:rsidR="000603F2">
        <w:rPr>
          <w:rFonts w:eastAsia="Arial"/>
          <w:color w:val="000000" w:themeColor="text1"/>
        </w:rPr>
        <w:t>)</w:t>
      </w:r>
      <w:r>
        <w:rPr>
          <w:rFonts w:eastAsia="Arial"/>
          <w:color w:val="000000" w:themeColor="text1"/>
        </w:rPr>
        <w:t xml:space="preserve"> rizikos santykis (RS) buvo vertinamas remiantis abiejų tyrimų ITT populiacijų duomenimis ir atlikus koregavimą dėl pacientų populiacijų sutapatinimo. Remiantis nekoreguotais IBPL duomenimis, RS=0,94 (</w:t>
      </w:r>
      <w:r>
        <w:rPr>
          <w:rFonts w:eastAsia="Arial"/>
          <w:bCs/>
        </w:rPr>
        <w:t>9</w:t>
      </w:r>
      <w:r>
        <w:rPr>
          <w:rFonts w:eastAsia="Arial"/>
          <w:bCs/>
          <w:lang w:val="en-US"/>
        </w:rPr>
        <w:t>5% PI: 0,60-1,48, p=0,7804)</w:t>
      </w:r>
      <w:r>
        <w:rPr>
          <w:rFonts w:eastAsia="Arial"/>
          <w:color w:val="000000" w:themeColor="text1"/>
        </w:rPr>
        <w:t xml:space="preserve"> statistiškai reikšmingo pranašumo nebuvo nustatyta. Atlikus sutapatinimo korekciją, RS buvo nuo </w:t>
      </w:r>
      <w:r>
        <w:rPr>
          <w:rFonts w:eastAsia="Arial"/>
          <w:color w:val="000000" w:themeColor="text1"/>
          <w:lang w:val="en-US"/>
        </w:rPr>
        <w:t xml:space="preserve">0,89 </w:t>
      </w:r>
      <w:proofErr w:type="spellStart"/>
      <w:r>
        <w:rPr>
          <w:rFonts w:eastAsia="Arial"/>
          <w:color w:val="000000" w:themeColor="text1"/>
          <w:lang w:val="en-US"/>
        </w:rPr>
        <w:t>iki</w:t>
      </w:r>
      <w:proofErr w:type="spellEnd"/>
      <w:r>
        <w:rPr>
          <w:rFonts w:eastAsia="Arial"/>
          <w:color w:val="000000" w:themeColor="text1"/>
          <w:lang w:val="en-US"/>
        </w:rPr>
        <w:t xml:space="preserve"> 1,17, bet </w:t>
      </w:r>
      <w:proofErr w:type="spellStart"/>
      <w:r>
        <w:rPr>
          <w:rFonts w:eastAsia="Arial"/>
          <w:color w:val="000000" w:themeColor="text1"/>
          <w:lang w:val="en-US"/>
        </w:rPr>
        <w:t>statististinis</w:t>
      </w:r>
      <w:proofErr w:type="spellEnd"/>
      <w:r>
        <w:rPr>
          <w:rFonts w:eastAsia="Arial"/>
          <w:color w:val="000000" w:themeColor="text1"/>
          <w:lang w:val="en-US"/>
        </w:rPr>
        <w:t xml:space="preserve"> </w:t>
      </w:r>
      <w:proofErr w:type="spellStart"/>
      <w:r>
        <w:rPr>
          <w:rFonts w:eastAsia="Arial"/>
          <w:color w:val="000000" w:themeColor="text1"/>
          <w:lang w:val="en-US"/>
        </w:rPr>
        <w:t>reikšmingumas</w:t>
      </w:r>
      <w:proofErr w:type="spellEnd"/>
      <w:r>
        <w:rPr>
          <w:rFonts w:eastAsia="Arial"/>
          <w:color w:val="000000" w:themeColor="text1"/>
          <w:lang w:val="en-US"/>
        </w:rPr>
        <w:t xml:space="preserve"> </w:t>
      </w:r>
      <w:proofErr w:type="spellStart"/>
      <w:r>
        <w:rPr>
          <w:rFonts w:eastAsia="Arial"/>
          <w:color w:val="000000" w:themeColor="text1"/>
          <w:lang w:val="en-US"/>
        </w:rPr>
        <w:t>nepasiektas</w:t>
      </w:r>
      <w:proofErr w:type="spellEnd"/>
      <w:r>
        <w:rPr>
          <w:rFonts w:eastAsia="Arial"/>
          <w:color w:val="000000" w:themeColor="text1"/>
          <w:lang w:val="en-US"/>
        </w:rPr>
        <w:t xml:space="preserve">. </w:t>
      </w:r>
      <w:proofErr w:type="spellStart"/>
      <w:r>
        <w:rPr>
          <w:rFonts w:eastAsia="Arial"/>
          <w:color w:val="000000" w:themeColor="text1"/>
          <w:lang w:val="en-US"/>
        </w:rPr>
        <w:t>Bendro</w:t>
      </w:r>
      <w:proofErr w:type="spellEnd"/>
      <w:r>
        <w:rPr>
          <w:rFonts w:eastAsia="Arial"/>
          <w:color w:val="000000" w:themeColor="text1"/>
          <w:lang w:val="en-US"/>
        </w:rPr>
        <w:t xml:space="preserve"> </w:t>
      </w:r>
      <w:proofErr w:type="spellStart"/>
      <w:r>
        <w:rPr>
          <w:rFonts w:eastAsia="Arial"/>
          <w:color w:val="000000" w:themeColor="text1"/>
          <w:lang w:val="en-US"/>
        </w:rPr>
        <w:t>i</w:t>
      </w:r>
      <w:r>
        <w:rPr>
          <w:rFonts w:eastAsia="Arial"/>
          <w:color w:val="000000" w:themeColor="text1"/>
        </w:rPr>
        <w:t>šgyvenamumo</w:t>
      </w:r>
      <w:proofErr w:type="spellEnd"/>
      <w:r>
        <w:rPr>
          <w:rFonts w:eastAsia="Arial"/>
          <w:color w:val="000000" w:themeColor="text1"/>
        </w:rPr>
        <w:t xml:space="preserve"> duomenys SEQUOIA ir ELEVATE-TN tyrimuose buvo nebrandūs dėl trumpo stebėjimo laikotarpio (mediana apie </w:t>
      </w:r>
      <w:r>
        <w:rPr>
          <w:rFonts w:eastAsia="Arial"/>
          <w:color w:val="000000" w:themeColor="text1"/>
          <w:lang w:val="en-US"/>
        </w:rPr>
        <w:t>27 m</w:t>
      </w:r>
      <w:proofErr w:type="spellStart"/>
      <w:r>
        <w:rPr>
          <w:rFonts w:eastAsia="Arial"/>
          <w:color w:val="000000" w:themeColor="text1"/>
        </w:rPr>
        <w:t>ėn</w:t>
      </w:r>
      <w:proofErr w:type="spellEnd"/>
      <w:r>
        <w:rPr>
          <w:rFonts w:eastAsia="Arial"/>
          <w:color w:val="000000" w:themeColor="text1"/>
        </w:rPr>
        <w:t xml:space="preserve">.), kas </w:t>
      </w:r>
      <w:r w:rsidR="000603F2">
        <w:rPr>
          <w:rFonts w:eastAsia="Arial"/>
          <w:color w:val="000000" w:themeColor="text1"/>
        </w:rPr>
        <w:t xml:space="preserve">lemia </w:t>
      </w:r>
      <w:r>
        <w:rPr>
          <w:rFonts w:eastAsia="Arial"/>
          <w:color w:val="000000" w:themeColor="text1"/>
        </w:rPr>
        <w:t>didelį santykinio veiksmingumo įvertinimo neapibrėžtumą.</w:t>
      </w:r>
      <w:r>
        <w:rPr>
          <w:bCs/>
        </w:rPr>
        <w:t xml:space="preserve"> </w:t>
      </w:r>
    </w:p>
    <w:p w14:paraId="197D7096" w14:textId="77777777" w:rsidR="008F569F" w:rsidRPr="00F824A7" w:rsidRDefault="008F569F" w:rsidP="00E67F63">
      <w:pPr>
        <w:tabs>
          <w:tab w:val="left" w:pos="492"/>
        </w:tabs>
        <w:spacing w:line="360" w:lineRule="auto"/>
        <w:jc w:val="both"/>
        <w:outlineLvl w:val="1"/>
        <w:rPr>
          <w:bCs/>
          <w:u w:val="single"/>
        </w:rPr>
      </w:pPr>
    </w:p>
    <w:p w14:paraId="7C54DF17" w14:textId="77777777" w:rsidR="008F569F" w:rsidRPr="00F824A7" w:rsidRDefault="008F569F" w:rsidP="00E67F63">
      <w:pPr>
        <w:tabs>
          <w:tab w:val="left" w:pos="492"/>
        </w:tabs>
        <w:spacing w:line="360" w:lineRule="auto"/>
        <w:jc w:val="both"/>
        <w:outlineLvl w:val="1"/>
        <w:rPr>
          <w:bCs/>
          <w:u w:val="single"/>
        </w:rPr>
      </w:pPr>
      <w:r w:rsidRPr="00F824A7">
        <w:rPr>
          <w:bCs/>
          <w:u w:val="single"/>
        </w:rPr>
        <w:t>SEQUOIA ir ALLIANCE tyrimų sutapatinimo rezultatai</w:t>
      </w:r>
    </w:p>
    <w:p w14:paraId="067F2108" w14:textId="02DE9838" w:rsidR="008F569F" w:rsidRDefault="008F569F" w:rsidP="00E67F63">
      <w:pPr>
        <w:tabs>
          <w:tab w:val="left" w:pos="492"/>
        </w:tabs>
        <w:spacing w:line="360" w:lineRule="auto"/>
        <w:jc w:val="both"/>
        <w:outlineLvl w:val="1"/>
        <w:rPr>
          <w:bCs/>
        </w:rPr>
      </w:pPr>
      <w:r>
        <w:rPr>
          <w:rFonts w:eastAsia="Arial"/>
          <w:color w:val="000000" w:themeColor="text1"/>
        </w:rPr>
        <w:tab/>
        <w:t>Tyrėj</w:t>
      </w:r>
      <w:r w:rsidR="000603F2">
        <w:rPr>
          <w:rFonts w:eastAsia="Arial"/>
          <w:color w:val="000000" w:themeColor="text1"/>
        </w:rPr>
        <w:t>ų</w:t>
      </w:r>
      <w:r>
        <w:rPr>
          <w:rFonts w:eastAsia="Arial"/>
          <w:color w:val="000000" w:themeColor="text1"/>
        </w:rPr>
        <w:t xml:space="preserve"> vertintas IBPL RS buvo vertinamas remiantis abiejų tyrimų ITT populiacijų duomenimis ir atlikus koregavimą dėl pacientų populiacijų sutapatinimo. Remiantis nekoreguotais IBPL duomenimis, RS=1,04 (95% PI: 0,64-1,70, p=0,8758) statistiškai reikšmingumo pranašumo nebuvo nustatyta. Atlikus sutapatinimo korekciją, RS</w:t>
      </w:r>
      <w:r>
        <w:rPr>
          <w:rFonts w:eastAsia="Arial"/>
          <w:color w:val="000000" w:themeColor="text1"/>
          <w:lang w:val="en-US"/>
        </w:rPr>
        <w:t xml:space="preserve"> </w:t>
      </w:r>
      <w:proofErr w:type="spellStart"/>
      <w:r>
        <w:rPr>
          <w:rFonts w:eastAsia="Arial"/>
          <w:color w:val="000000" w:themeColor="text1"/>
          <w:lang w:val="en-US"/>
        </w:rPr>
        <w:t>buvo</w:t>
      </w:r>
      <w:proofErr w:type="spellEnd"/>
      <w:r>
        <w:rPr>
          <w:rFonts w:eastAsia="Arial"/>
          <w:color w:val="000000" w:themeColor="text1"/>
          <w:lang w:val="en-US"/>
        </w:rPr>
        <w:t xml:space="preserve"> </w:t>
      </w:r>
      <w:proofErr w:type="spellStart"/>
      <w:r>
        <w:rPr>
          <w:rFonts w:eastAsia="Arial"/>
          <w:color w:val="000000" w:themeColor="text1"/>
          <w:lang w:val="en-US"/>
        </w:rPr>
        <w:t>nuo</w:t>
      </w:r>
      <w:proofErr w:type="spellEnd"/>
      <w:r>
        <w:rPr>
          <w:rFonts w:eastAsia="Arial"/>
          <w:color w:val="000000" w:themeColor="text1"/>
          <w:lang w:val="en-US"/>
        </w:rPr>
        <w:t xml:space="preserve"> 0,64 </w:t>
      </w:r>
      <w:proofErr w:type="spellStart"/>
      <w:r>
        <w:rPr>
          <w:rFonts w:eastAsia="Arial"/>
          <w:color w:val="000000" w:themeColor="text1"/>
          <w:lang w:val="en-US"/>
        </w:rPr>
        <w:t>iki</w:t>
      </w:r>
      <w:proofErr w:type="spellEnd"/>
      <w:r>
        <w:rPr>
          <w:rFonts w:eastAsia="Arial"/>
          <w:color w:val="000000" w:themeColor="text1"/>
          <w:lang w:val="en-US"/>
        </w:rPr>
        <w:t xml:space="preserve"> 1,04, bet </w:t>
      </w:r>
      <w:proofErr w:type="spellStart"/>
      <w:r>
        <w:rPr>
          <w:rFonts w:eastAsia="Arial"/>
          <w:color w:val="000000" w:themeColor="text1"/>
          <w:lang w:val="en-US"/>
        </w:rPr>
        <w:t>statistinis</w:t>
      </w:r>
      <w:proofErr w:type="spellEnd"/>
      <w:r>
        <w:rPr>
          <w:rFonts w:eastAsia="Arial"/>
          <w:color w:val="000000" w:themeColor="text1"/>
          <w:lang w:val="en-US"/>
        </w:rPr>
        <w:t xml:space="preserve"> </w:t>
      </w:r>
      <w:proofErr w:type="spellStart"/>
      <w:r>
        <w:rPr>
          <w:rFonts w:eastAsia="Arial"/>
          <w:color w:val="000000" w:themeColor="text1"/>
          <w:lang w:val="en-US"/>
        </w:rPr>
        <w:t>reik</w:t>
      </w:r>
      <w:proofErr w:type="spellEnd"/>
      <w:r>
        <w:rPr>
          <w:rFonts w:eastAsia="Arial"/>
          <w:color w:val="000000" w:themeColor="text1"/>
        </w:rPr>
        <w:t>š</w:t>
      </w:r>
      <w:proofErr w:type="spellStart"/>
      <w:r>
        <w:rPr>
          <w:rFonts w:eastAsia="Arial"/>
          <w:color w:val="000000" w:themeColor="text1"/>
          <w:lang w:val="en-US"/>
        </w:rPr>
        <w:t>mingumas</w:t>
      </w:r>
      <w:proofErr w:type="spellEnd"/>
      <w:r>
        <w:rPr>
          <w:rFonts w:eastAsia="Arial"/>
          <w:color w:val="000000" w:themeColor="text1"/>
          <w:lang w:val="en-US"/>
        </w:rPr>
        <w:t xml:space="preserve"> </w:t>
      </w:r>
      <w:proofErr w:type="spellStart"/>
      <w:r>
        <w:rPr>
          <w:rFonts w:eastAsia="Arial"/>
          <w:color w:val="000000" w:themeColor="text1"/>
          <w:lang w:val="en-US"/>
        </w:rPr>
        <w:t>nebuvo</w:t>
      </w:r>
      <w:proofErr w:type="spellEnd"/>
      <w:r>
        <w:rPr>
          <w:rFonts w:eastAsia="Arial"/>
          <w:color w:val="000000" w:themeColor="text1"/>
          <w:lang w:val="en-US"/>
        </w:rPr>
        <w:t xml:space="preserve"> </w:t>
      </w:r>
      <w:proofErr w:type="spellStart"/>
      <w:r>
        <w:rPr>
          <w:rFonts w:eastAsia="Arial"/>
          <w:color w:val="000000" w:themeColor="text1"/>
          <w:lang w:val="en-US"/>
        </w:rPr>
        <w:t>nustatytas</w:t>
      </w:r>
      <w:proofErr w:type="spellEnd"/>
      <w:r>
        <w:rPr>
          <w:rFonts w:eastAsia="Arial"/>
          <w:color w:val="000000" w:themeColor="text1"/>
          <w:lang w:val="en-US"/>
        </w:rPr>
        <w:t xml:space="preserve">. </w:t>
      </w:r>
      <w:r w:rsidR="005F6701" w:rsidRPr="00C721AB">
        <w:rPr>
          <w:rFonts w:eastAsia="Arial"/>
          <w:bCs/>
        </w:rPr>
        <w:t>Vertinant BI</w:t>
      </w:r>
      <w:r w:rsidR="005F6701">
        <w:rPr>
          <w:rFonts w:eastAsia="Arial"/>
          <w:bCs/>
        </w:rPr>
        <w:t xml:space="preserve"> </w:t>
      </w:r>
      <w:r w:rsidR="005F6701">
        <w:rPr>
          <w:rFonts w:eastAsia="Arial"/>
          <w:color w:val="000000" w:themeColor="text1"/>
        </w:rPr>
        <w:t>SEQUOIA ir ALLIANCE tyrim</w:t>
      </w:r>
      <w:r w:rsidR="000603F2">
        <w:rPr>
          <w:rFonts w:eastAsia="Arial"/>
          <w:color w:val="000000" w:themeColor="text1"/>
        </w:rPr>
        <w:t>ų duomenis</w:t>
      </w:r>
      <w:r w:rsidR="005F6701" w:rsidRPr="00C721AB">
        <w:rPr>
          <w:rFonts w:eastAsia="Arial"/>
          <w:bCs/>
        </w:rPr>
        <w:t xml:space="preserve">, statistiškai </w:t>
      </w:r>
      <w:r w:rsidR="00581449">
        <w:rPr>
          <w:rFonts w:eastAsia="Arial"/>
          <w:bCs/>
        </w:rPr>
        <w:t xml:space="preserve">reikšmingo </w:t>
      </w:r>
      <w:r w:rsidR="00581449" w:rsidRPr="00C721AB">
        <w:rPr>
          <w:rFonts w:eastAsia="Arial"/>
          <w:bCs/>
        </w:rPr>
        <w:t>skirtumo</w:t>
      </w:r>
      <w:r w:rsidR="005F6701" w:rsidRPr="00C721AB">
        <w:rPr>
          <w:rFonts w:eastAsia="Arial"/>
          <w:bCs/>
        </w:rPr>
        <w:t xml:space="preserve"> tarp dviejų grupių nebuvo</w:t>
      </w:r>
      <w:r w:rsidR="000603F2">
        <w:rPr>
          <w:rFonts w:eastAsia="Arial"/>
          <w:bCs/>
        </w:rPr>
        <w:t xml:space="preserve"> nustatyta</w:t>
      </w:r>
      <w:r w:rsidR="004066B5">
        <w:rPr>
          <w:bCs/>
        </w:rPr>
        <w:t>.</w:t>
      </w:r>
    </w:p>
    <w:p w14:paraId="5622E45B" w14:textId="56587BCA" w:rsidR="008F569F" w:rsidRDefault="008F569F" w:rsidP="00E67F63">
      <w:pPr>
        <w:tabs>
          <w:tab w:val="left" w:pos="492"/>
        </w:tabs>
        <w:spacing w:line="360" w:lineRule="auto"/>
        <w:jc w:val="both"/>
        <w:outlineLvl w:val="1"/>
        <w:rPr>
          <w:bCs/>
        </w:rPr>
      </w:pPr>
      <w:r>
        <w:rPr>
          <w:bCs/>
        </w:rPr>
        <w:tab/>
        <w:t xml:space="preserve">Tačiau remiantis klinikinių tyrimų SEQUOIA, ELEVATE-TN, ALLIANCE rezultatais, galima stebėti klinikinio poveikio panašumą </w:t>
      </w:r>
      <w:r w:rsidR="000603F2">
        <w:rPr>
          <w:bCs/>
        </w:rPr>
        <w:t>į k</w:t>
      </w:r>
      <w:r w:rsidR="003C292E">
        <w:rPr>
          <w:bCs/>
        </w:rPr>
        <w:t>i</w:t>
      </w:r>
      <w:r w:rsidR="000603F2">
        <w:rPr>
          <w:bCs/>
        </w:rPr>
        <w:t xml:space="preserve">tų </w:t>
      </w:r>
      <w:proofErr w:type="spellStart"/>
      <w:r w:rsidR="003C292E">
        <w:rPr>
          <w:bCs/>
        </w:rPr>
        <w:t>BTKi</w:t>
      </w:r>
      <w:proofErr w:type="spellEnd"/>
      <w:r w:rsidR="003C292E">
        <w:rPr>
          <w:bCs/>
        </w:rPr>
        <w:t>, įskai</w:t>
      </w:r>
      <w:r w:rsidR="00121708">
        <w:rPr>
          <w:bCs/>
        </w:rPr>
        <w:t>tant</w:t>
      </w:r>
      <w:r w:rsidR="003C292E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zanubrutinib</w:t>
      </w:r>
      <w:r w:rsidR="003C292E">
        <w:rPr>
          <w:bCs/>
        </w:rPr>
        <w:t>ą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akalabrutinib</w:t>
      </w:r>
      <w:r w:rsidR="003C292E">
        <w:rPr>
          <w:bCs/>
        </w:rPr>
        <w:t>ą</w:t>
      </w:r>
      <w:proofErr w:type="spellEnd"/>
      <w:r>
        <w:rPr>
          <w:bCs/>
        </w:rPr>
        <w:t xml:space="preserve"> ir </w:t>
      </w:r>
      <w:proofErr w:type="spellStart"/>
      <w:r>
        <w:rPr>
          <w:bCs/>
        </w:rPr>
        <w:t>ibrutinib</w:t>
      </w:r>
      <w:r w:rsidR="003C292E">
        <w:rPr>
          <w:bCs/>
        </w:rPr>
        <w:t>ą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BKTi</w:t>
      </w:r>
      <w:proofErr w:type="spellEnd"/>
      <w:r>
        <w:rPr>
          <w:bCs/>
        </w:rPr>
        <w:t xml:space="preserve"> grupės </w:t>
      </w:r>
      <w:r w:rsidR="00121708">
        <w:rPr>
          <w:bCs/>
        </w:rPr>
        <w:t xml:space="preserve">vaistiniai </w:t>
      </w:r>
      <w:r>
        <w:rPr>
          <w:bCs/>
        </w:rPr>
        <w:t xml:space="preserve">preparatai (tiek </w:t>
      </w:r>
      <w:proofErr w:type="spellStart"/>
      <w:r>
        <w:rPr>
          <w:bCs/>
        </w:rPr>
        <w:t>akalabrutinibas</w:t>
      </w:r>
      <w:proofErr w:type="spellEnd"/>
      <w:r>
        <w:rPr>
          <w:bCs/>
        </w:rPr>
        <w:t xml:space="preserve"> ir </w:t>
      </w:r>
      <w:proofErr w:type="spellStart"/>
      <w:r>
        <w:rPr>
          <w:bCs/>
        </w:rPr>
        <w:t>ibrutinibas</w:t>
      </w:r>
      <w:proofErr w:type="spellEnd"/>
      <w:r>
        <w:rPr>
          <w:bCs/>
        </w:rPr>
        <w:t xml:space="preserve">, tiek paraiškoje teiktas vaistinis preparatas </w:t>
      </w:r>
      <w:proofErr w:type="spellStart"/>
      <w:r>
        <w:rPr>
          <w:bCs/>
        </w:rPr>
        <w:t>zanubrutinibas</w:t>
      </w:r>
      <w:proofErr w:type="spellEnd"/>
      <w:r>
        <w:rPr>
          <w:bCs/>
        </w:rPr>
        <w:t>) yra pirmos eilės LLL gydym</w:t>
      </w:r>
      <w:r w:rsidR="00121708">
        <w:rPr>
          <w:bCs/>
        </w:rPr>
        <w:t>ui skirti vaistiniai preparatai</w:t>
      </w:r>
      <w:r>
        <w:rPr>
          <w:bCs/>
        </w:rPr>
        <w:t xml:space="preserve">, </w:t>
      </w:r>
      <w:r w:rsidR="00121708">
        <w:rPr>
          <w:bCs/>
        </w:rPr>
        <w:t>vartojami</w:t>
      </w:r>
      <w:r>
        <w:rPr>
          <w:bCs/>
        </w:rPr>
        <w:t xml:space="preserve"> naujai </w:t>
      </w:r>
      <w:proofErr w:type="spellStart"/>
      <w:r>
        <w:rPr>
          <w:bCs/>
        </w:rPr>
        <w:t>diagnoz</w:t>
      </w:r>
      <w:r w:rsidR="00121708">
        <w:rPr>
          <w:bCs/>
        </w:rPr>
        <w:t>uotaiLLL</w:t>
      </w:r>
      <w:proofErr w:type="spellEnd"/>
      <w:r w:rsidR="00121708">
        <w:rPr>
          <w:bCs/>
        </w:rPr>
        <w:t xml:space="preserve">, </w:t>
      </w:r>
      <w:r>
        <w:rPr>
          <w:bCs/>
        </w:rPr>
        <w:t xml:space="preserve"> k</w:t>
      </w:r>
      <w:r w:rsidR="00121708">
        <w:rPr>
          <w:bCs/>
        </w:rPr>
        <w:t>ai</w:t>
      </w:r>
      <w:r>
        <w:rPr>
          <w:bCs/>
        </w:rPr>
        <w:t xml:space="preserve"> prieš tai nebuvo taikytas joks gydymas.</w:t>
      </w:r>
      <w:r w:rsidR="00121708">
        <w:rPr>
          <w:bCs/>
        </w:rPr>
        <w:t xml:space="preserve"> Atsižvelgiant į tai, kad</w:t>
      </w:r>
      <w:r>
        <w:rPr>
          <w:bCs/>
        </w:rPr>
        <w:t xml:space="preserve"> </w:t>
      </w:r>
      <w:proofErr w:type="spellStart"/>
      <w:r>
        <w:rPr>
          <w:bCs/>
        </w:rPr>
        <w:t>akalabrutinibas</w:t>
      </w:r>
      <w:proofErr w:type="spellEnd"/>
      <w:r w:rsidR="00121708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ibrutinibas</w:t>
      </w:r>
      <w:proofErr w:type="spellEnd"/>
      <w:r w:rsidR="00121708">
        <w:rPr>
          <w:bCs/>
        </w:rPr>
        <w:t xml:space="preserve"> ir </w:t>
      </w:r>
      <w:proofErr w:type="spellStart"/>
      <w:r w:rsidR="00121708">
        <w:rPr>
          <w:bCs/>
        </w:rPr>
        <w:t>zanabrutinibas</w:t>
      </w:r>
      <w:proofErr w:type="spellEnd"/>
      <w:r w:rsidR="00121708">
        <w:rPr>
          <w:bCs/>
        </w:rPr>
        <w:t xml:space="preserve"> yra tos pačios </w:t>
      </w:r>
      <w:proofErr w:type="spellStart"/>
      <w:r>
        <w:rPr>
          <w:bCs/>
        </w:rPr>
        <w:t>BKTigrupės</w:t>
      </w:r>
      <w:proofErr w:type="spellEnd"/>
      <w:r w:rsidR="00121708">
        <w:rPr>
          <w:bCs/>
        </w:rPr>
        <w:t xml:space="preserve"> vaistiniai </w:t>
      </w:r>
      <w:proofErr w:type="spellStart"/>
      <w:r w:rsidR="00121708">
        <w:rPr>
          <w:bCs/>
        </w:rPr>
        <w:t>preparatai,</w:t>
      </w:r>
      <w:r>
        <w:rPr>
          <w:bCs/>
        </w:rPr>
        <w:t>tikėtina</w:t>
      </w:r>
      <w:proofErr w:type="spellEnd"/>
      <w:r>
        <w:rPr>
          <w:bCs/>
        </w:rPr>
        <w:t xml:space="preserve">, </w:t>
      </w:r>
      <w:r w:rsidR="00121708">
        <w:rPr>
          <w:bCs/>
        </w:rPr>
        <w:t>jų</w:t>
      </w:r>
      <w:r>
        <w:rPr>
          <w:bCs/>
        </w:rPr>
        <w:t xml:space="preserve"> klinikinis veiksmingumas panašus.</w:t>
      </w:r>
    </w:p>
    <w:p w14:paraId="63F38A24" w14:textId="1F6DE180" w:rsidR="000474B4" w:rsidRPr="005F1856" w:rsidRDefault="008F569F" w:rsidP="00E67F63">
      <w:pPr>
        <w:tabs>
          <w:tab w:val="left" w:pos="426"/>
        </w:tabs>
        <w:spacing w:line="360" w:lineRule="auto"/>
        <w:jc w:val="both"/>
        <w:rPr>
          <w:i/>
        </w:rPr>
      </w:pPr>
      <w:r>
        <w:rPr>
          <w:bCs/>
        </w:rPr>
        <w:tab/>
        <w:t>Apibendrinant paraiškoje pateiktus tiesioginio ir netiesioginio palyginimo klinikinius duomen</w:t>
      </w:r>
      <w:r w:rsidR="00121708">
        <w:rPr>
          <w:bCs/>
        </w:rPr>
        <w:t>i</w:t>
      </w:r>
      <w:r>
        <w:rPr>
          <w:bCs/>
        </w:rPr>
        <w:t xml:space="preserve">s, </w:t>
      </w:r>
      <w:proofErr w:type="spellStart"/>
      <w:r>
        <w:rPr>
          <w:bCs/>
        </w:rPr>
        <w:t>zanubrutinibo</w:t>
      </w:r>
      <w:proofErr w:type="spellEnd"/>
      <w:r>
        <w:rPr>
          <w:bCs/>
        </w:rPr>
        <w:t xml:space="preserve"> palyginamasis efektyvumas ir </w:t>
      </w:r>
      <w:r w:rsidR="00121708">
        <w:rPr>
          <w:bCs/>
        </w:rPr>
        <w:t xml:space="preserve">klinikinis </w:t>
      </w:r>
      <w:r>
        <w:rPr>
          <w:bCs/>
        </w:rPr>
        <w:t>veiksmingumas laikom</w:t>
      </w:r>
      <w:r w:rsidR="00121708">
        <w:rPr>
          <w:bCs/>
        </w:rPr>
        <w:t>i</w:t>
      </w:r>
      <w:r>
        <w:rPr>
          <w:bCs/>
        </w:rPr>
        <w:t xml:space="preserve"> nesiskirian</w:t>
      </w:r>
      <w:r w:rsidR="00121708">
        <w:rPr>
          <w:bCs/>
        </w:rPr>
        <w:t>tys</w:t>
      </w:r>
      <w:r>
        <w:rPr>
          <w:bCs/>
        </w:rPr>
        <w:t xml:space="preserve"> nuo </w:t>
      </w:r>
      <w:proofErr w:type="spellStart"/>
      <w:r>
        <w:rPr>
          <w:bCs/>
        </w:rPr>
        <w:t>akalabrutinibo</w:t>
      </w:r>
      <w:proofErr w:type="spellEnd"/>
      <w:r>
        <w:rPr>
          <w:bCs/>
        </w:rPr>
        <w:t xml:space="preserve"> ir </w:t>
      </w:r>
      <w:proofErr w:type="spellStart"/>
      <w:r>
        <w:rPr>
          <w:bCs/>
        </w:rPr>
        <w:t>ibrutinibo</w:t>
      </w:r>
      <w:proofErr w:type="spellEnd"/>
      <w:r>
        <w:rPr>
          <w:bCs/>
        </w:rPr>
        <w:t>.</w:t>
      </w:r>
    </w:p>
    <w:p w14:paraId="6C3F443D" w14:textId="77777777" w:rsidR="00BB72F9" w:rsidRPr="00E33EFF" w:rsidRDefault="00BB72F9" w:rsidP="00E67F63">
      <w:pPr>
        <w:pStyle w:val="Sraopastraipa"/>
        <w:tabs>
          <w:tab w:val="left" w:pos="426"/>
        </w:tabs>
        <w:spacing w:line="360" w:lineRule="auto"/>
        <w:ind w:left="0"/>
        <w:jc w:val="both"/>
        <w:rPr>
          <w:b/>
          <w:bCs/>
          <w:caps/>
        </w:rPr>
      </w:pPr>
    </w:p>
    <w:p w14:paraId="7DE09EB5" w14:textId="6F1980E0" w:rsidR="00E03C3F" w:rsidRDefault="00CC7832" w:rsidP="00E67F63">
      <w:pPr>
        <w:pStyle w:val="Sraopastraipa"/>
        <w:numPr>
          <w:ilvl w:val="0"/>
          <w:numId w:val="12"/>
        </w:numPr>
        <w:tabs>
          <w:tab w:val="left" w:pos="567"/>
        </w:tabs>
        <w:spacing w:line="360" w:lineRule="auto"/>
        <w:ind w:hanging="720"/>
        <w:jc w:val="both"/>
        <w:rPr>
          <w:b/>
          <w:bCs/>
          <w:caps/>
        </w:rPr>
      </w:pPr>
      <w:r w:rsidRPr="00E33EFF">
        <w:rPr>
          <w:b/>
          <w:bCs/>
          <w:caps/>
        </w:rPr>
        <w:t xml:space="preserve">ekonominio vertinimo </w:t>
      </w:r>
      <w:r w:rsidR="002F0E4F" w:rsidRPr="00E33EFF">
        <w:rPr>
          <w:b/>
          <w:bCs/>
          <w:caps/>
        </w:rPr>
        <w:t>apibendrinimas</w:t>
      </w:r>
    </w:p>
    <w:p w14:paraId="40720F08" w14:textId="77777777" w:rsidR="00F80372" w:rsidRDefault="00F80372" w:rsidP="00E67F63">
      <w:pPr>
        <w:pStyle w:val="Sraopastraipa"/>
        <w:tabs>
          <w:tab w:val="left" w:pos="567"/>
        </w:tabs>
        <w:spacing w:line="360" w:lineRule="auto"/>
        <w:jc w:val="both"/>
        <w:rPr>
          <w:b/>
          <w:bCs/>
          <w:caps/>
        </w:rPr>
      </w:pPr>
    </w:p>
    <w:p w14:paraId="7892536E" w14:textId="77777777" w:rsidR="00F80372" w:rsidRDefault="00F80372" w:rsidP="00E67F63">
      <w:pPr>
        <w:shd w:val="clear" w:color="auto" w:fill="FFFFFF"/>
        <w:spacing w:line="360" w:lineRule="auto"/>
        <w:jc w:val="both"/>
      </w:pPr>
      <w:r>
        <w:t xml:space="preserve">Pateikta kaštų mažinimo analizė, lyginant </w:t>
      </w:r>
      <w:proofErr w:type="spellStart"/>
      <w:r>
        <w:t>zanubrutinibo</w:t>
      </w:r>
      <w:proofErr w:type="spellEnd"/>
      <w:r>
        <w:t xml:space="preserve"> ir </w:t>
      </w:r>
      <w:proofErr w:type="spellStart"/>
      <w:r>
        <w:t>ibrutinibo</w:t>
      </w:r>
      <w:proofErr w:type="spellEnd"/>
      <w:r>
        <w:t xml:space="preserve"> kaštus. Dėl analizės paprastumo, Tarnyba mano, jog atlikti pilną STV netikslinga, o sprendimą dėl vaisto kompensavimo galima priimti pagal VLK atliekamo įtakos PSDF biudžetui vertinimo rezultatus. Vis dėlto, Tarnyba </w:t>
      </w:r>
      <w:r>
        <w:lastRenderedPageBreak/>
        <w:t xml:space="preserve">pateikia ekonominės analizės rezultatą. Pritaikius konfidencialią </w:t>
      </w:r>
      <w:proofErr w:type="spellStart"/>
      <w:r>
        <w:t>ibrutinibo</w:t>
      </w:r>
      <w:proofErr w:type="spellEnd"/>
      <w:r>
        <w:t xml:space="preserve"> kainą, </w:t>
      </w:r>
      <w:proofErr w:type="spellStart"/>
      <w:r>
        <w:t>zanubrutinibas</w:t>
      </w:r>
      <w:proofErr w:type="spellEnd"/>
      <w:r>
        <w:t xml:space="preserve"> yra brangesnė gydymo alternatyva, nei </w:t>
      </w:r>
      <w:proofErr w:type="spellStart"/>
      <w:r>
        <w:t>ibrutinibas</w:t>
      </w:r>
      <w:proofErr w:type="spellEnd"/>
      <w:r>
        <w:t>.</w:t>
      </w:r>
    </w:p>
    <w:p w14:paraId="2097AC02" w14:textId="77777777" w:rsidR="00F80372" w:rsidRPr="00F80372" w:rsidRDefault="00F80372" w:rsidP="00E67F63">
      <w:pPr>
        <w:tabs>
          <w:tab w:val="left" w:pos="426"/>
        </w:tabs>
        <w:spacing w:line="360" w:lineRule="auto"/>
        <w:rPr>
          <w:b/>
          <w:bCs/>
          <w:caps/>
        </w:rPr>
      </w:pPr>
    </w:p>
    <w:p w14:paraId="75AE84BE" w14:textId="77777777" w:rsidR="00F80372" w:rsidRPr="00F80372" w:rsidRDefault="00F80372" w:rsidP="00E67F63">
      <w:pPr>
        <w:pStyle w:val="Sraopastraipa"/>
        <w:tabs>
          <w:tab w:val="left" w:pos="426"/>
        </w:tabs>
        <w:spacing w:line="360" w:lineRule="auto"/>
        <w:rPr>
          <w:b/>
          <w:lang w:eastAsia="lt-LT"/>
        </w:rPr>
      </w:pPr>
      <w:r w:rsidRPr="00F80372">
        <w:rPr>
          <w:b/>
          <w:lang w:eastAsia="lt-LT"/>
        </w:rPr>
        <w:t>Ekonominės analizės rezultatas</w:t>
      </w:r>
    </w:p>
    <w:p w14:paraId="432759D2" w14:textId="77777777" w:rsidR="00F80372" w:rsidRPr="009A229B" w:rsidRDefault="00F80372" w:rsidP="00E67F63">
      <w:pPr>
        <w:tabs>
          <w:tab w:val="left" w:pos="426"/>
        </w:tabs>
        <w:spacing w:line="360" w:lineRule="auto"/>
        <w:rPr>
          <w:b/>
          <w:lang w:eastAsia="lt-LT"/>
        </w:rPr>
      </w:pPr>
    </w:p>
    <w:tbl>
      <w:tblPr>
        <w:tblStyle w:val="Lentelstinklelis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1697"/>
        <w:gridCol w:w="2004"/>
        <w:gridCol w:w="3528"/>
      </w:tblGrid>
      <w:tr w:rsidR="00F80372" w:rsidRPr="00D05364" w14:paraId="3A75FFBB" w14:textId="77777777" w:rsidTr="00541B56">
        <w:trPr>
          <w:trHeight w:val="36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AD9D3D" w14:textId="77777777" w:rsidR="00F80372" w:rsidRPr="00D05364" w:rsidRDefault="00F80372" w:rsidP="00E67F63">
            <w:pPr>
              <w:tabs>
                <w:tab w:val="left" w:pos="567"/>
              </w:tabs>
              <w:spacing w:line="360" w:lineRule="auto"/>
              <w:jc w:val="center"/>
              <w:rPr>
                <w:b/>
                <w:i/>
                <w:iCs/>
                <w:color w:val="00B050"/>
                <w:sz w:val="22"/>
                <w:szCs w:val="22"/>
                <w:lang w:eastAsia="lt-LT"/>
              </w:rPr>
            </w:pPr>
            <w:r w:rsidRPr="00D05364">
              <w:rPr>
                <w:b/>
                <w:lang w:eastAsia="lt-LT"/>
              </w:rPr>
              <w:t>Kaštai</w:t>
            </w:r>
          </w:p>
        </w:tc>
      </w:tr>
      <w:tr w:rsidR="00F80372" w:rsidRPr="00D05364" w14:paraId="7D051614" w14:textId="77777777" w:rsidTr="00541B56">
        <w:trPr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5BE08937" w14:textId="77777777" w:rsidR="00F80372" w:rsidRPr="00D05364" w:rsidRDefault="00F80372" w:rsidP="000A2C4C">
            <w:pPr>
              <w:tabs>
                <w:tab w:val="left" w:pos="567"/>
              </w:tabs>
              <w:spacing w:line="360" w:lineRule="auto"/>
              <w:jc w:val="both"/>
              <w:rPr>
                <w:color w:val="00B050"/>
                <w:lang w:eastAsia="lt-LT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FFCEC7B" w14:textId="77777777" w:rsidR="00F80372" w:rsidRPr="00D05364" w:rsidRDefault="00F80372" w:rsidP="000A2C4C">
            <w:pPr>
              <w:tabs>
                <w:tab w:val="left" w:pos="567"/>
              </w:tabs>
              <w:spacing w:line="360" w:lineRule="auto"/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Zanubrutinibas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3508FAEF" w14:textId="77777777" w:rsidR="00F80372" w:rsidRPr="00D05364" w:rsidRDefault="00F80372" w:rsidP="000A2C4C">
            <w:pPr>
              <w:tabs>
                <w:tab w:val="left" w:pos="567"/>
              </w:tabs>
              <w:spacing w:line="360" w:lineRule="auto"/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Ibrutinibas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348F6AE8" w14:textId="77777777" w:rsidR="00F80372" w:rsidRPr="00D05364" w:rsidRDefault="00F80372" w:rsidP="000A2C4C">
            <w:pPr>
              <w:tabs>
                <w:tab w:val="left" w:pos="567"/>
              </w:tabs>
              <w:spacing w:line="360" w:lineRule="auto"/>
              <w:jc w:val="both"/>
              <w:rPr>
                <w:i/>
                <w:lang w:eastAsia="lt-LT"/>
              </w:rPr>
            </w:pPr>
            <w:r w:rsidRPr="00D05364">
              <w:rPr>
                <w:i/>
                <w:lang w:eastAsia="lt-LT"/>
              </w:rPr>
              <w:t>Skirtumas</w:t>
            </w:r>
          </w:p>
        </w:tc>
      </w:tr>
      <w:tr w:rsidR="00F80372" w:rsidRPr="00D05364" w14:paraId="2D3C7051" w14:textId="77777777" w:rsidTr="00541B56">
        <w:trPr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472CE843" w14:textId="77777777" w:rsidR="00F80372" w:rsidRPr="00D05364" w:rsidRDefault="00F80372" w:rsidP="000A2C4C">
            <w:pPr>
              <w:tabs>
                <w:tab w:val="left" w:pos="567"/>
              </w:tabs>
              <w:spacing w:line="360" w:lineRule="auto"/>
              <w:rPr>
                <w:iCs/>
                <w:color w:val="00000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>Vaistinių preparatų įsigijimo kaštai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0D73ADE" w14:textId="3B51632B" w:rsidR="00F80372" w:rsidRPr="00D05364" w:rsidRDefault="00F90EB5" w:rsidP="000A2C4C">
            <w:pPr>
              <w:tabs>
                <w:tab w:val="left" w:pos="567"/>
              </w:tabs>
              <w:spacing w:line="360" w:lineRule="auto"/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******</w:t>
            </w:r>
            <w:r w:rsidR="00F80372"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F80372">
              <w:rPr>
                <w:i/>
                <w:iCs/>
                <w:lang w:eastAsia="lt-LT"/>
              </w:rPr>
              <w:t>eur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BFA1908" w14:textId="13EC03DE" w:rsidR="00F80372" w:rsidRPr="00D05364" w:rsidRDefault="007B15DF" w:rsidP="000A2C4C">
            <w:pPr>
              <w:tabs>
                <w:tab w:val="left" w:pos="567"/>
              </w:tabs>
              <w:spacing w:line="360" w:lineRule="auto"/>
              <w:jc w:val="both"/>
              <w:rPr>
                <w:i/>
                <w:iCs/>
                <w:lang w:eastAsia="lt-LT"/>
              </w:rPr>
            </w:pPr>
            <w:r>
              <w:rPr>
                <w:i/>
                <w:color w:val="000000"/>
              </w:rPr>
              <w:t>******</w:t>
            </w:r>
            <w:proofErr w:type="spellStart"/>
            <w:r w:rsidR="00F80372">
              <w:rPr>
                <w:i/>
                <w:iCs/>
                <w:lang w:eastAsia="lt-LT"/>
              </w:rPr>
              <w:t>eur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449F4590" w14:textId="5F40F955" w:rsidR="00F80372" w:rsidRPr="00D05364" w:rsidRDefault="007B15DF" w:rsidP="000A2C4C">
            <w:pPr>
              <w:tabs>
                <w:tab w:val="left" w:pos="567"/>
              </w:tabs>
              <w:spacing w:line="360" w:lineRule="auto"/>
              <w:jc w:val="both"/>
              <w:rPr>
                <w:lang w:eastAsia="lt-LT"/>
              </w:rPr>
            </w:pPr>
            <w:r>
              <w:rPr>
                <w:i/>
                <w:color w:val="000000"/>
              </w:rPr>
              <w:t>******</w:t>
            </w:r>
            <w:proofErr w:type="spellStart"/>
            <w:r w:rsidR="00F80372">
              <w:rPr>
                <w:lang w:eastAsia="lt-LT"/>
              </w:rPr>
              <w:t>eur</w:t>
            </w:r>
            <w:proofErr w:type="spellEnd"/>
          </w:p>
        </w:tc>
      </w:tr>
    </w:tbl>
    <w:p w14:paraId="02ADA673" w14:textId="77777777" w:rsidR="00F80372" w:rsidRPr="00F80372" w:rsidRDefault="00F80372" w:rsidP="000A2C4C">
      <w:pPr>
        <w:pStyle w:val="Sraopastraipa"/>
        <w:tabs>
          <w:tab w:val="left" w:pos="567"/>
        </w:tabs>
        <w:spacing w:line="360" w:lineRule="auto"/>
        <w:jc w:val="both"/>
        <w:rPr>
          <w:iCs/>
          <w:sz w:val="20"/>
          <w:lang w:eastAsia="lt-LT"/>
        </w:rPr>
      </w:pPr>
    </w:p>
    <w:p w14:paraId="32162B10" w14:textId="48859546" w:rsidR="000474B4" w:rsidRDefault="000474B4" w:rsidP="000A2C4C">
      <w:pPr>
        <w:tabs>
          <w:tab w:val="left" w:pos="567"/>
        </w:tabs>
        <w:spacing w:line="360" w:lineRule="auto"/>
        <w:jc w:val="both"/>
        <w:rPr>
          <w:b/>
          <w:bCs/>
          <w:caps/>
        </w:rPr>
      </w:pPr>
    </w:p>
    <w:p w14:paraId="4FC424F9" w14:textId="4E767245" w:rsidR="00C62B36" w:rsidRPr="00E33EFF" w:rsidRDefault="00C62B36" w:rsidP="000A2C4C">
      <w:pPr>
        <w:pStyle w:val="Sraopastraipa"/>
        <w:numPr>
          <w:ilvl w:val="0"/>
          <w:numId w:val="12"/>
        </w:numPr>
        <w:tabs>
          <w:tab w:val="left" w:pos="567"/>
        </w:tabs>
        <w:spacing w:line="360" w:lineRule="auto"/>
        <w:ind w:hanging="720"/>
        <w:rPr>
          <w:b/>
          <w:bCs/>
          <w:caps/>
        </w:rPr>
      </w:pPr>
      <w:bookmarkStart w:id="1" w:name="_heading=h.gjdgxs" w:colFirst="0" w:colLast="0"/>
      <w:bookmarkEnd w:id="1"/>
      <w:r w:rsidRPr="00E33EFF">
        <w:rPr>
          <w:b/>
          <w:bCs/>
          <w:caps/>
        </w:rPr>
        <w:t xml:space="preserve">Pacientų organizacijų pateikti duomenys </w:t>
      </w:r>
    </w:p>
    <w:p w14:paraId="79BCFF40" w14:textId="1992DF4A" w:rsidR="00937907" w:rsidRPr="00E33EFF" w:rsidRDefault="00000000" w:rsidP="000A2C4C">
      <w:pPr>
        <w:spacing w:after="120" w:line="360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907" w:rsidRPr="00E33EFF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937907" w:rsidRPr="00E33EFF">
        <w:t xml:space="preserve"> Pacientų organizacijos pozicija pateikta. Žr. priedą.</w:t>
      </w:r>
    </w:p>
    <w:p w14:paraId="62992180" w14:textId="25547735" w:rsidR="00937907" w:rsidRPr="00E33EFF" w:rsidRDefault="00000000" w:rsidP="000A2C4C">
      <w:pPr>
        <w:spacing w:after="120" w:line="360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72F9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937907" w:rsidRPr="00E33EFF">
        <w:t xml:space="preserve"> Pacientų organizacijos pozicija </w:t>
      </w:r>
      <w:r w:rsidR="00880A44" w:rsidRPr="00E33EFF">
        <w:t>ne</w:t>
      </w:r>
      <w:r w:rsidR="00937907" w:rsidRPr="00E33EFF">
        <w:t>pateikta.</w:t>
      </w:r>
    </w:p>
    <w:p w14:paraId="03E73D82" w14:textId="77777777" w:rsidR="00D417D2" w:rsidRPr="00E33EFF" w:rsidRDefault="00D417D2" w:rsidP="000A2C4C">
      <w:pPr>
        <w:spacing w:after="120" w:line="360" w:lineRule="auto"/>
        <w:jc w:val="both"/>
      </w:pPr>
    </w:p>
    <w:p w14:paraId="3D3277FA" w14:textId="3CEEB2D2" w:rsidR="00C62B36" w:rsidRPr="009A62B3" w:rsidRDefault="00C62B36" w:rsidP="000A2C4C">
      <w:pPr>
        <w:pStyle w:val="Sraopastraipa"/>
        <w:numPr>
          <w:ilvl w:val="0"/>
          <w:numId w:val="12"/>
        </w:numPr>
        <w:tabs>
          <w:tab w:val="left" w:pos="567"/>
        </w:tabs>
        <w:spacing w:line="360" w:lineRule="auto"/>
        <w:ind w:hanging="720"/>
        <w:rPr>
          <w:b/>
          <w:bCs/>
          <w:caps/>
        </w:rPr>
      </w:pPr>
      <w:r w:rsidRPr="009A62B3">
        <w:rPr>
          <w:b/>
          <w:bCs/>
          <w:caps/>
        </w:rPr>
        <w:t>Gydytojų organizacijų pateikti duomenys</w:t>
      </w:r>
    </w:p>
    <w:p w14:paraId="389A346C" w14:textId="48076FA5" w:rsidR="00937907" w:rsidRPr="009A62B3" w:rsidRDefault="00000000" w:rsidP="000A2C4C">
      <w:pPr>
        <w:spacing w:after="120" w:line="360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710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662983" w:rsidRPr="009A62B3">
        <w:t xml:space="preserve"> </w:t>
      </w:r>
      <w:r w:rsidR="00937907" w:rsidRPr="009A62B3">
        <w:t xml:space="preserve">Gydytojų specialistų organizacijos pozicija pateikta. </w:t>
      </w:r>
      <w:r w:rsidR="00662983" w:rsidRPr="009A62B3">
        <w:t>Žr. priedą</w:t>
      </w:r>
      <w:r w:rsidR="00937907" w:rsidRPr="009A62B3">
        <w:t>.</w:t>
      </w:r>
    </w:p>
    <w:p w14:paraId="5D8CC48C" w14:textId="448D0F44" w:rsidR="00662983" w:rsidRPr="00E33EFF" w:rsidRDefault="00000000" w:rsidP="000A2C4C">
      <w:pPr>
        <w:spacing w:after="120" w:line="360" w:lineRule="auto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E0710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662983" w:rsidRPr="009A62B3">
        <w:t xml:space="preserve"> </w:t>
      </w:r>
      <w:r w:rsidR="00937907" w:rsidRPr="009A62B3">
        <w:t xml:space="preserve">Gydytojų specialistų organizacijos pozicija </w:t>
      </w:r>
      <w:r w:rsidR="00880A44" w:rsidRPr="009A62B3">
        <w:t>ne</w:t>
      </w:r>
      <w:r w:rsidR="00937907" w:rsidRPr="009A62B3">
        <w:t>pateikta.</w:t>
      </w:r>
    </w:p>
    <w:p w14:paraId="3701D46A" w14:textId="77777777" w:rsidR="00A042B9" w:rsidRPr="00E33EFF" w:rsidRDefault="00A042B9" w:rsidP="000A2C4C">
      <w:pPr>
        <w:spacing w:after="120" w:line="360" w:lineRule="auto"/>
        <w:jc w:val="both"/>
      </w:pPr>
    </w:p>
    <w:p w14:paraId="78F23ECB" w14:textId="23A3A002" w:rsidR="002F0E4F" w:rsidRPr="00E33EFF" w:rsidRDefault="002F0E4F" w:rsidP="000A2C4C">
      <w:pPr>
        <w:pStyle w:val="Sraopastraipa"/>
        <w:numPr>
          <w:ilvl w:val="0"/>
          <w:numId w:val="12"/>
        </w:numPr>
        <w:tabs>
          <w:tab w:val="left" w:pos="567"/>
        </w:tabs>
        <w:spacing w:line="360" w:lineRule="auto"/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Išvada </w:t>
      </w:r>
    </w:p>
    <w:p w14:paraId="08D5B3B6" w14:textId="0901279C" w:rsidR="0061611B" w:rsidRPr="00E33EFF" w:rsidRDefault="0061611B" w:rsidP="000A2C4C">
      <w:pPr>
        <w:spacing w:line="360" w:lineRule="auto"/>
        <w:rPr>
          <w:i/>
          <w:color w:val="00B050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B13D65" w:rsidRPr="00E33EFF" w14:paraId="25A2473E" w14:textId="77777777" w:rsidTr="00C16245">
        <w:trPr>
          <w:trHeight w:val="510"/>
        </w:trPr>
        <w:tc>
          <w:tcPr>
            <w:tcW w:w="4815" w:type="dxa"/>
            <w:vAlign w:val="center"/>
          </w:tcPr>
          <w:p w14:paraId="7EFE6941" w14:textId="23B8BB6D" w:rsidR="00B13D65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Rekomenduojama kompensuoti</w:t>
            </w:r>
          </w:p>
        </w:tc>
        <w:tc>
          <w:tcPr>
            <w:tcW w:w="4814" w:type="dxa"/>
            <w:vAlign w:val="center"/>
          </w:tcPr>
          <w:p w14:paraId="330A1A5E" w14:textId="19247DC1" w:rsidR="00B13D65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 xml:space="preserve">Rekomenduojama nekompensuoti </w:t>
            </w:r>
          </w:p>
        </w:tc>
      </w:tr>
      <w:tr w:rsidR="00B13D65" w:rsidRPr="00E33EFF" w14:paraId="143A7356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0AF5D6B4" w14:textId="6D8B6C59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Palyginamasis efektyvumas</w:t>
            </w:r>
          </w:p>
        </w:tc>
      </w:tr>
      <w:tr w:rsidR="00B13D65" w:rsidRPr="00E33EFF" w14:paraId="28A0C814" w14:textId="77777777" w:rsidTr="0061611B">
        <w:tc>
          <w:tcPr>
            <w:tcW w:w="4815" w:type="dxa"/>
          </w:tcPr>
          <w:p w14:paraId="216769B5" w14:textId="256840D0" w:rsidR="00B13D65" w:rsidRPr="00E33EFF" w:rsidRDefault="000474B4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rPr>
                <w:rStyle w:val="Style2"/>
                <w:rFonts w:ascii="MS Gothic" w:eastAsia="MS Gothic" w:hAnsi="MS Gothic" w:hint="eastAsia"/>
                <w:sz w:val="24"/>
              </w:rPr>
              <w:t>☐</w:t>
            </w:r>
            <w:r w:rsidR="00B13D65" w:rsidRPr="00E33EFF">
              <w:t xml:space="preserve"> 32.1. yra didesnis</w:t>
            </w:r>
          </w:p>
          <w:p w14:paraId="3B48F372" w14:textId="77777777" w:rsidR="00662983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174F18D4" w14:textId="4C8F935F" w:rsidR="00401B43" w:rsidRDefault="00000000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</w:rPr>
                <w:id w:val="-204273534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73107">
                  <w:rPr>
                    <w:rStyle w:val="Style2"/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373107" w:rsidRPr="00D05364">
              <w:t xml:space="preserve"> </w:t>
            </w:r>
            <w:r w:rsidR="00B13D65" w:rsidRPr="00E33EFF">
              <w:t>32.1. iš esmės nesiskiria</w:t>
            </w:r>
          </w:p>
          <w:p w14:paraId="57D75097" w14:textId="77777777" w:rsidR="00401B43" w:rsidRPr="00401B43" w:rsidRDefault="00401B43" w:rsidP="000A2C4C">
            <w:pPr>
              <w:spacing w:line="360" w:lineRule="auto"/>
            </w:pPr>
          </w:p>
          <w:p w14:paraId="272C35ED" w14:textId="792A14EE" w:rsidR="00401B43" w:rsidRDefault="00401B43" w:rsidP="000A2C4C">
            <w:pPr>
              <w:spacing w:line="360" w:lineRule="auto"/>
            </w:pPr>
          </w:p>
          <w:p w14:paraId="5E71E140" w14:textId="77777777" w:rsidR="00B13D65" w:rsidRPr="00401B43" w:rsidRDefault="00B13D65" w:rsidP="000A2C4C">
            <w:pPr>
              <w:spacing w:line="360" w:lineRule="auto"/>
              <w:jc w:val="right"/>
            </w:pPr>
          </w:p>
        </w:tc>
        <w:tc>
          <w:tcPr>
            <w:tcW w:w="4814" w:type="dxa"/>
          </w:tcPr>
          <w:p w14:paraId="507828D9" w14:textId="5075336E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E33EFF">
              <w:rPr>
                <w:rStyle w:val="Style2"/>
                <w:rFonts w:ascii="Segoe UI Symbol" w:eastAsia="MS Gothic" w:hAnsi="Segoe UI Symbol" w:cs="Segoe UI Symbol"/>
                <w:sz w:val="24"/>
              </w:rPr>
              <w:t>☐</w:t>
            </w:r>
            <w:r w:rsidRPr="00E33EFF">
              <w:t xml:space="preserve"> 33.1. yra mažesnis</w:t>
            </w:r>
          </w:p>
          <w:p w14:paraId="7F95DEEC" w14:textId="77777777" w:rsidR="00662983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680682B8" w14:textId="0CAB63D1" w:rsidR="00662983" w:rsidRPr="00E33EFF" w:rsidRDefault="00E80A8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rPr>
                <w:rStyle w:val="Style2"/>
                <w:rFonts w:ascii="MS Gothic" w:eastAsia="MS Gothic" w:hAnsi="MS Gothic" w:hint="eastAsia"/>
                <w:sz w:val="24"/>
              </w:rPr>
              <w:t>☐</w:t>
            </w:r>
            <w:r w:rsidR="00B13D65" w:rsidRPr="00E33EFF">
              <w:t xml:space="preserve"> 33.1. yra neįrodytas kaip toks pat</w:t>
            </w:r>
          </w:p>
          <w:p w14:paraId="35205E85" w14:textId="77777777" w:rsidR="00662983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2CC3F0A3" w14:textId="0AB1770C" w:rsidR="00B13D65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E33EFF">
              <w:rPr>
                <w:rStyle w:val="Style2"/>
                <w:rFonts w:ascii="Segoe UI Symbol" w:eastAsia="MS Gothic" w:hAnsi="Segoe UI Symbol" w:cs="Segoe UI Symbol"/>
                <w:sz w:val="24"/>
              </w:rPr>
              <w:t>☐</w:t>
            </w:r>
            <w:r w:rsidRPr="00E33EFF">
              <w:t xml:space="preserve"> 33.1 </w:t>
            </w:r>
            <w:r w:rsidR="00B00959" w:rsidRPr="00E33EFF">
              <w:t xml:space="preserve">yra </w:t>
            </w:r>
            <w:r w:rsidR="00B13D65" w:rsidRPr="00E33EFF">
              <w:t>neįrodytas kaip didesnis</w:t>
            </w:r>
          </w:p>
          <w:p w14:paraId="512E653B" w14:textId="77777777" w:rsidR="00662983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73F374F4" w14:textId="2106FB43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E33EFF">
              <w:rPr>
                <w:rStyle w:val="Style2"/>
                <w:rFonts w:ascii="Segoe UI Symbol" w:eastAsia="MS Gothic" w:hAnsi="Segoe UI Symbol" w:cs="Segoe UI Symbol"/>
                <w:sz w:val="24"/>
              </w:rPr>
              <w:t>☐</w:t>
            </w:r>
            <w:r w:rsidRPr="00E33EFF">
              <w:t xml:space="preserve"> 33.1. pateikti duomenys apie palyginamąjį efektyvumą yra netinkami vertinti</w:t>
            </w:r>
          </w:p>
          <w:p w14:paraId="5DDAA961" w14:textId="77777777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  <w:tr w:rsidR="00B13D65" w:rsidRPr="00E33EFF" w14:paraId="161CC3FE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1AB46894" w14:textId="3E765638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lastRenderedPageBreak/>
              <w:t>Klinikinis veiksmingumas</w:t>
            </w:r>
          </w:p>
        </w:tc>
      </w:tr>
      <w:tr w:rsidR="00B13D65" w:rsidRPr="00E33EFF" w14:paraId="3C60570A" w14:textId="77777777" w:rsidTr="0061611B">
        <w:tc>
          <w:tcPr>
            <w:tcW w:w="4815" w:type="dxa"/>
          </w:tcPr>
          <w:p w14:paraId="6897B306" w14:textId="2D1F0C94" w:rsidR="00B13D65" w:rsidRPr="00E33EFF" w:rsidRDefault="00000000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sdt>
              <w:sdtPr>
                <w:rPr>
                  <w:rStyle w:val="Style2"/>
                  <w:sz w:val="24"/>
                </w:rPr>
                <w:id w:val="-4810800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E54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32.2. yra įvertintas kaip pagrindžiantis papildomos naudos pacientų sveikatai sukūrimą, lyginant su įprasta klinikine praktika</w:t>
            </w:r>
          </w:p>
          <w:p w14:paraId="71D57105" w14:textId="77777777" w:rsidR="00662983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1EBBDF86" w14:textId="695D350F" w:rsidR="00B13D65" w:rsidRPr="00E33EFF" w:rsidRDefault="00000000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sdt>
              <w:sdtPr>
                <w:rPr>
                  <w:rStyle w:val="Style2"/>
                  <w:sz w:val="24"/>
                </w:rPr>
                <w:id w:val="-86206158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73107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32.2. </w:t>
            </w:r>
            <w:r w:rsidR="00B00959" w:rsidRPr="00E33EFF">
              <w:t xml:space="preserve">yra </w:t>
            </w:r>
            <w:r w:rsidR="00B13D65" w:rsidRPr="00E33EFF">
              <w:t>įvertintas kaip pagrindžiantis nesiskiriančios naudos pacientų sveikatai sukūrimą, lyginant su įprasta klinikine praktika</w:t>
            </w:r>
          </w:p>
          <w:p w14:paraId="287AD233" w14:textId="77777777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Style w:val="Style2"/>
                <w:rFonts w:eastAsia="MS Gothic"/>
                <w:sz w:val="24"/>
              </w:rPr>
            </w:pPr>
          </w:p>
        </w:tc>
        <w:tc>
          <w:tcPr>
            <w:tcW w:w="4814" w:type="dxa"/>
          </w:tcPr>
          <w:p w14:paraId="74A2DECF" w14:textId="682BFC3B" w:rsidR="00662983" w:rsidRPr="00E33EFF" w:rsidRDefault="00000000" w:rsidP="000A2C4C">
            <w:pPr>
              <w:spacing w:line="360" w:lineRule="auto"/>
              <w:jc w:val="both"/>
            </w:pPr>
            <w:sdt>
              <w:sdtPr>
                <w:rPr>
                  <w:rStyle w:val="Style2"/>
                  <w:sz w:val="24"/>
                </w:rPr>
                <w:id w:val="-103457305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yra įvertintas kaip nepagrindžiantis papildomos </w:t>
            </w:r>
            <w:r w:rsidR="00662983" w:rsidRPr="00E33EFF">
              <w:t>naudos pacientų sveikatai sukūrimo, lyginant su  įprasta klinikine praktika</w:t>
            </w:r>
          </w:p>
          <w:p w14:paraId="6C70BCFC" w14:textId="77777777" w:rsidR="00662983" w:rsidRPr="00E33EFF" w:rsidRDefault="00662983" w:rsidP="000A2C4C">
            <w:pPr>
              <w:spacing w:line="360" w:lineRule="auto"/>
              <w:jc w:val="both"/>
            </w:pPr>
          </w:p>
          <w:p w14:paraId="0ADEC30D" w14:textId="1353964F" w:rsidR="00B13D65" w:rsidRPr="00E33EFF" w:rsidRDefault="00000000" w:rsidP="000A2C4C">
            <w:pPr>
              <w:spacing w:line="360" w:lineRule="auto"/>
              <w:jc w:val="both"/>
            </w:pPr>
            <w:sdt>
              <w:sdtPr>
                <w:rPr>
                  <w:rStyle w:val="Style2"/>
                  <w:sz w:val="24"/>
                </w:rPr>
                <w:id w:val="128954910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983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</w:t>
            </w:r>
            <w:r w:rsidR="00662983" w:rsidRPr="00E33EFF">
              <w:t xml:space="preserve">33.1. </w:t>
            </w:r>
            <w:r w:rsidR="00B00959" w:rsidRPr="00E33EFF">
              <w:t xml:space="preserve">yra įvertintas kaip nepagrindžiantis </w:t>
            </w:r>
            <w:r w:rsidR="00B13D65" w:rsidRPr="00E33EFF">
              <w:t>nesiskiriančios naudos pacientų sveikatai sukūrimo, lyginant su įprasta klinikine praktika</w:t>
            </w:r>
          </w:p>
          <w:p w14:paraId="1EED7901" w14:textId="77777777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1747E672" w14:textId="77777777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  <w:tr w:rsidR="00B13D65" w:rsidRPr="00E33EFF" w14:paraId="1C75AE76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0247EDAD" w14:textId="7FBBB759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Kaštų naudingumas</w:t>
            </w:r>
          </w:p>
        </w:tc>
      </w:tr>
      <w:tr w:rsidR="00B13D65" w:rsidRPr="00E33EFF" w14:paraId="7091A05B" w14:textId="77777777" w:rsidTr="0061611B">
        <w:tc>
          <w:tcPr>
            <w:tcW w:w="4815" w:type="dxa"/>
          </w:tcPr>
          <w:p w14:paraId="69B2A994" w14:textId="1B6502FD" w:rsidR="00B13D65" w:rsidRPr="00E33EFF" w:rsidRDefault="00000000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sdt>
              <w:sdtPr>
                <w:rPr>
                  <w:rStyle w:val="Style2"/>
                  <w:sz w:val="24"/>
                </w:rPr>
                <w:id w:val="-197598441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DBB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32.3. atitinka referencinę naudingumo vertę, </w:t>
            </w:r>
          </w:p>
          <w:p w14:paraId="3F76F153" w14:textId="77777777" w:rsidR="00662983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062072E7" w14:textId="57767697" w:rsidR="00B13D65" w:rsidRPr="00E33EFF" w:rsidRDefault="00000000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 w:themeColor="text1"/>
              </w:rPr>
            </w:pPr>
            <w:sdt>
              <w:sdtPr>
                <w:rPr>
                  <w:rStyle w:val="Style2"/>
                  <w:sz w:val="24"/>
                </w:rPr>
                <w:id w:val="-13080817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F7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32.3. gydymo juo kaštai yra mažesni ar tokie patys esant iš esmės nesiskiriančiam palyginamajam efektyvumui, </w:t>
            </w:r>
            <w:r w:rsidR="00B00959" w:rsidRPr="00E33EFF">
              <w:t>lyginant su įprasta klinikine praktika</w:t>
            </w:r>
          </w:p>
          <w:p w14:paraId="25E4BD1E" w14:textId="77777777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Style w:val="Style2"/>
                <w:rFonts w:eastAsia="MS Gothic"/>
                <w:sz w:val="24"/>
              </w:rPr>
            </w:pPr>
          </w:p>
        </w:tc>
        <w:tc>
          <w:tcPr>
            <w:tcW w:w="4814" w:type="dxa"/>
          </w:tcPr>
          <w:p w14:paraId="53380063" w14:textId="5EB8488A" w:rsidR="00B13D65" w:rsidRPr="00E33EFF" w:rsidRDefault="00000000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sdt>
              <w:sdtPr>
                <w:rPr>
                  <w:rStyle w:val="Style2"/>
                  <w:sz w:val="24"/>
                </w:rPr>
                <w:id w:val="136540511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33.3. neatitinka referencinės naudingumo vertės Lietuvos Respublikoje</w:t>
            </w:r>
          </w:p>
          <w:p w14:paraId="229ED51A" w14:textId="77777777" w:rsidR="00662983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2673C3A9" w14:textId="50BAAE66" w:rsidR="00B13D65" w:rsidRPr="00E33EFF" w:rsidRDefault="00000000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 w:themeColor="text1"/>
              </w:rPr>
            </w:pPr>
            <w:sdt>
              <w:sdtPr>
                <w:rPr>
                  <w:rStyle w:val="Style2"/>
                  <w:sz w:val="24"/>
                </w:rPr>
                <w:id w:val="-113547361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0372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33.3. gydymo juo kaštai yra didesni esant iš esmės nesiskiriančiam palyginamajam efektyvumui, </w:t>
            </w:r>
            <w:r w:rsidR="00B00959" w:rsidRPr="00E33EFF">
              <w:t>lyginant su įprasta klinikine praktika</w:t>
            </w:r>
          </w:p>
          <w:p w14:paraId="4A9C7D2A" w14:textId="77777777" w:rsidR="00662983" w:rsidRPr="00E33EFF" w:rsidRDefault="00662983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14:paraId="4226013D" w14:textId="4020B1AC" w:rsidR="00B13D65" w:rsidRPr="00E33EFF" w:rsidRDefault="00000000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sdt>
              <w:sdtPr>
                <w:rPr>
                  <w:rStyle w:val="Style2"/>
                  <w:sz w:val="24"/>
                </w:rPr>
                <w:id w:val="-20083600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33.3. pateikti duomenys apie kaštų na</w:t>
            </w:r>
            <w:r w:rsidR="00662983" w:rsidRPr="00E33EFF">
              <w:t>udingumą yra netinkami vertinti</w:t>
            </w:r>
          </w:p>
          <w:p w14:paraId="470A48A4" w14:textId="77777777" w:rsidR="00B13D65" w:rsidRPr="00E33EFF" w:rsidRDefault="00B13D65" w:rsidP="000A2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</w:tbl>
    <w:p w14:paraId="65ACA3C5" w14:textId="76C604A1" w:rsidR="004A3A61" w:rsidRPr="00E33EFF" w:rsidRDefault="004A3A61" w:rsidP="000A2C4C">
      <w:pPr>
        <w:spacing w:line="360" w:lineRule="auto"/>
      </w:pPr>
    </w:p>
    <w:p w14:paraId="3B2D1F25" w14:textId="3A80E19F" w:rsidR="000001B0" w:rsidRPr="00E33EFF" w:rsidRDefault="000001B0" w:rsidP="000A2C4C">
      <w:pPr>
        <w:pStyle w:val="Sraopastraipa"/>
        <w:numPr>
          <w:ilvl w:val="0"/>
          <w:numId w:val="12"/>
        </w:numPr>
        <w:spacing w:line="360" w:lineRule="auto"/>
        <w:ind w:left="567" w:hanging="567"/>
      </w:pPr>
      <w:r w:rsidRPr="00E33EFF">
        <w:rPr>
          <w:b/>
        </w:rPr>
        <w:t>REKOME</w:t>
      </w:r>
      <w:r w:rsidR="00D83182" w:rsidRPr="00E33EFF">
        <w:rPr>
          <w:b/>
        </w:rPr>
        <w:t>N</w:t>
      </w:r>
      <w:r w:rsidRPr="00E33EFF">
        <w:rPr>
          <w:b/>
        </w:rPr>
        <w:t>DACIJA</w:t>
      </w:r>
    </w:p>
    <w:p w14:paraId="0C7FC5A4" w14:textId="77777777" w:rsidR="00F80372" w:rsidRPr="00F80372" w:rsidRDefault="00F80372" w:rsidP="000A2C4C">
      <w:pPr>
        <w:spacing w:line="360" w:lineRule="auto"/>
        <w:jc w:val="both"/>
        <w:rPr>
          <w:color w:val="000000" w:themeColor="text1"/>
        </w:rPr>
      </w:pPr>
      <w:r w:rsidRPr="00F80372">
        <w:rPr>
          <w:color w:val="000000" w:themeColor="text1"/>
        </w:rPr>
        <w:t xml:space="preserve">Vadovaujantis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patvirtinimo“, punktu </w:t>
      </w:r>
    </w:p>
    <w:p w14:paraId="6BB79DAD" w14:textId="66E23510" w:rsidR="000474B4" w:rsidRDefault="00F80372" w:rsidP="000A2C4C">
      <w:pPr>
        <w:spacing w:line="360" w:lineRule="auto"/>
        <w:jc w:val="both"/>
        <w:rPr>
          <w:b/>
        </w:rPr>
      </w:pPr>
      <w:r w:rsidRPr="00F80372">
        <w:rPr>
          <w:color w:val="000000" w:themeColor="text1"/>
        </w:rPr>
        <w:t xml:space="preserve">34.4. rekomenduojama </w:t>
      </w:r>
      <w:r w:rsidRPr="00F80372">
        <w:rPr>
          <w:i/>
          <w:color w:val="000000" w:themeColor="text1"/>
        </w:rPr>
        <w:t xml:space="preserve">nekompensuoti </w:t>
      </w:r>
      <w:r w:rsidRPr="00F80372">
        <w:rPr>
          <w:color w:val="000000" w:themeColor="text1"/>
        </w:rPr>
        <w:t>vaistinio preparato pagal paraiškoje nurodytą indikaciją su skyrimo sąlygomis, taikant PGS dėl vertinimo išvadų, nurodytų 33.3 papunktyje (žr. 6 skyrių),  neatitikties 34.3 papunktyje išdėstytoms sąlygoms.</w:t>
      </w:r>
    </w:p>
    <w:p w14:paraId="06BC01EE" w14:textId="74496242" w:rsidR="000723FF" w:rsidRPr="00BB72F9" w:rsidRDefault="000723FF" w:rsidP="000A2C4C">
      <w:pPr>
        <w:spacing w:line="360" w:lineRule="auto"/>
        <w:rPr>
          <w:rFonts w:eastAsia="Arial"/>
        </w:rPr>
      </w:pPr>
    </w:p>
    <w:p w14:paraId="1594D5C7" w14:textId="46198B6D" w:rsidR="00523465" w:rsidRPr="000474B4" w:rsidRDefault="00523465" w:rsidP="00E67F63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</w:p>
    <w:sectPr w:rsidR="00523465" w:rsidRPr="000474B4" w:rsidSect="006F4B83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D4D2" w14:textId="77777777" w:rsidR="006F4B83" w:rsidRDefault="006F4B83">
      <w:r>
        <w:separator/>
      </w:r>
    </w:p>
  </w:endnote>
  <w:endnote w:type="continuationSeparator" w:id="0">
    <w:p w14:paraId="2E6124E5" w14:textId="77777777" w:rsidR="006F4B83" w:rsidRDefault="006F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3368" w14:textId="77777777" w:rsidR="00347FAA" w:rsidRDefault="00347FA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D5F6" w14:textId="77777777" w:rsidR="006F4B83" w:rsidRDefault="006F4B83">
      <w:r>
        <w:separator/>
      </w:r>
    </w:p>
  </w:footnote>
  <w:footnote w:type="continuationSeparator" w:id="0">
    <w:p w14:paraId="72AFFE7D" w14:textId="77777777" w:rsidR="006F4B83" w:rsidRDefault="006F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6FB2" w14:textId="77777777" w:rsidR="00347FAA" w:rsidRDefault="00347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81DB01" w14:textId="77777777" w:rsidR="00347FAA" w:rsidRDefault="00347F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D5F9" w14:textId="35489E45" w:rsidR="00347FAA" w:rsidRDefault="00347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15D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3EC872E" w14:textId="77777777" w:rsidR="00347FAA" w:rsidRDefault="00347FA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1C8F" w14:textId="77777777" w:rsidR="00347FAA" w:rsidRDefault="00347FAA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5085"/>
    <w:multiLevelType w:val="hybridMultilevel"/>
    <w:tmpl w:val="A636D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8228A2"/>
    <w:multiLevelType w:val="multilevel"/>
    <w:tmpl w:val="2E224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8A4E1B"/>
    <w:multiLevelType w:val="hybridMultilevel"/>
    <w:tmpl w:val="65280FA4"/>
    <w:lvl w:ilvl="0" w:tplc="0D9A42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9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07E52"/>
    <w:multiLevelType w:val="multilevel"/>
    <w:tmpl w:val="CDACD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25315">
    <w:abstractNumId w:val="9"/>
  </w:num>
  <w:num w:numId="2" w16cid:durableId="1208907215">
    <w:abstractNumId w:val="1"/>
  </w:num>
  <w:num w:numId="3" w16cid:durableId="129858351">
    <w:abstractNumId w:val="11"/>
  </w:num>
  <w:num w:numId="4" w16cid:durableId="398097926">
    <w:abstractNumId w:val="10"/>
  </w:num>
  <w:num w:numId="5" w16cid:durableId="825823690">
    <w:abstractNumId w:val="8"/>
  </w:num>
  <w:num w:numId="6" w16cid:durableId="1214192975">
    <w:abstractNumId w:val="7"/>
  </w:num>
  <w:num w:numId="7" w16cid:durableId="464200183">
    <w:abstractNumId w:val="4"/>
  </w:num>
  <w:num w:numId="8" w16cid:durableId="1303080891">
    <w:abstractNumId w:val="15"/>
  </w:num>
  <w:num w:numId="9" w16cid:durableId="606087042">
    <w:abstractNumId w:val="0"/>
  </w:num>
  <w:num w:numId="10" w16cid:durableId="1094397033">
    <w:abstractNumId w:val="12"/>
  </w:num>
  <w:num w:numId="11" w16cid:durableId="1833133842">
    <w:abstractNumId w:val="14"/>
  </w:num>
  <w:num w:numId="12" w16cid:durableId="1919748536">
    <w:abstractNumId w:val="2"/>
  </w:num>
  <w:num w:numId="13" w16cid:durableId="1468662925">
    <w:abstractNumId w:val="6"/>
  </w:num>
  <w:num w:numId="14" w16cid:durableId="1505432942">
    <w:abstractNumId w:val="3"/>
  </w:num>
  <w:num w:numId="15" w16cid:durableId="1545632793">
    <w:abstractNumId w:val="13"/>
  </w:num>
  <w:num w:numId="16" w16cid:durableId="702444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21F1D"/>
    <w:rsid w:val="0002686C"/>
    <w:rsid w:val="00031D0E"/>
    <w:rsid w:val="000337E6"/>
    <w:rsid w:val="0003402E"/>
    <w:rsid w:val="00034EAE"/>
    <w:rsid w:val="00042924"/>
    <w:rsid w:val="000474B4"/>
    <w:rsid w:val="00053975"/>
    <w:rsid w:val="00057A2B"/>
    <w:rsid w:val="000603F2"/>
    <w:rsid w:val="000606BE"/>
    <w:rsid w:val="000723FF"/>
    <w:rsid w:val="000736B8"/>
    <w:rsid w:val="0008190F"/>
    <w:rsid w:val="00081D9C"/>
    <w:rsid w:val="00082907"/>
    <w:rsid w:val="0008378D"/>
    <w:rsid w:val="000908A5"/>
    <w:rsid w:val="00092805"/>
    <w:rsid w:val="000A2C4C"/>
    <w:rsid w:val="000C454C"/>
    <w:rsid w:val="000D1B59"/>
    <w:rsid w:val="000D5038"/>
    <w:rsid w:val="000E29D4"/>
    <w:rsid w:val="000E7253"/>
    <w:rsid w:val="000F3540"/>
    <w:rsid w:val="00100491"/>
    <w:rsid w:val="00104E2E"/>
    <w:rsid w:val="00107287"/>
    <w:rsid w:val="00117406"/>
    <w:rsid w:val="00121708"/>
    <w:rsid w:val="00121EF0"/>
    <w:rsid w:val="00124A9E"/>
    <w:rsid w:val="00130703"/>
    <w:rsid w:val="0013153F"/>
    <w:rsid w:val="001408B8"/>
    <w:rsid w:val="001517E2"/>
    <w:rsid w:val="001521D9"/>
    <w:rsid w:val="001554E2"/>
    <w:rsid w:val="00164146"/>
    <w:rsid w:val="0017369C"/>
    <w:rsid w:val="00175D57"/>
    <w:rsid w:val="00180C39"/>
    <w:rsid w:val="00180D96"/>
    <w:rsid w:val="00184BD3"/>
    <w:rsid w:val="001921F3"/>
    <w:rsid w:val="001B3C5B"/>
    <w:rsid w:val="001D746F"/>
    <w:rsid w:val="001E4BBB"/>
    <w:rsid w:val="001E6304"/>
    <w:rsid w:val="0020381E"/>
    <w:rsid w:val="00213471"/>
    <w:rsid w:val="00215906"/>
    <w:rsid w:val="00241CD8"/>
    <w:rsid w:val="00244B09"/>
    <w:rsid w:val="002519CB"/>
    <w:rsid w:val="0025697F"/>
    <w:rsid w:val="00260258"/>
    <w:rsid w:val="00260F90"/>
    <w:rsid w:val="0026588E"/>
    <w:rsid w:val="00272428"/>
    <w:rsid w:val="00272948"/>
    <w:rsid w:val="00292392"/>
    <w:rsid w:val="002946C7"/>
    <w:rsid w:val="002B1FA1"/>
    <w:rsid w:val="002B3CC1"/>
    <w:rsid w:val="002C09E0"/>
    <w:rsid w:val="002C1BB1"/>
    <w:rsid w:val="002C2786"/>
    <w:rsid w:val="002C3A10"/>
    <w:rsid w:val="002C4A90"/>
    <w:rsid w:val="002C4ED5"/>
    <w:rsid w:val="002D02EF"/>
    <w:rsid w:val="002E0702"/>
    <w:rsid w:val="002E57AD"/>
    <w:rsid w:val="002E6257"/>
    <w:rsid w:val="002E6F80"/>
    <w:rsid w:val="002F0E4F"/>
    <w:rsid w:val="002F1053"/>
    <w:rsid w:val="00317B0E"/>
    <w:rsid w:val="00326000"/>
    <w:rsid w:val="00347FAA"/>
    <w:rsid w:val="0035172D"/>
    <w:rsid w:val="0036187D"/>
    <w:rsid w:val="00363A9F"/>
    <w:rsid w:val="00367EDB"/>
    <w:rsid w:val="00373107"/>
    <w:rsid w:val="00375B36"/>
    <w:rsid w:val="00381024"/>
    <w:rsid w:val="00386307"/>
    <w:rsid w:val="003874DE"/>
    <w:rsid w:val="00393E9F"/>
    <w:rsid w:val="0039696E"/>
    <w:rsid w:val="003A7298"/>
    <w:rsid w:val="003B211A"/>
    <w:rsid w:val="003C141F"/>
    <w:rsid w:val="003C292E"/>
    <w:rsid w:val="003C6B0E"/>
    <w:rsid w:val="003C7257"/>
    <w:rsid w:val="003C7E35"/>
    <w:rsid w:val="003D1E99"/>
    <w:rsid w:val="003D6208"/>
    <w:rsid w:val="00401B43"/>
    <w:rsid w:val="00404E8A"/>
    <w:rsid w:val="0040622F"/>
    <w:rsid w:val="004066B5"/>
    <w:rsid w:val="00413F24"/>
    <w:rsid w:val="00422853"/>
    <w:rsid w:val="00423160"/>
    <w:rsid w:val="004277F5"/>
    <w:rsid w:val="00453862"/>
    <w:rsid w:val="0045469B"/>
    <w:rsid w:val="00461338"/>
    <w:rsid w:val="004677DB"/>
    <w:rsid w:val="00476256"/>
    <w:rsid w:val="0048630F"/>
    <w:rsid w:val="004947A1"/>
    <w:rsid w:val="0049482A"/>
    <w:rsid w:val="004979D3"/>
    <w:rsid w:val="004A00E7"/>
    <w:rsid w:val="004A3A61"/>
    <w:rsid w:val="004A3C83"/>
    <w:rsid w:val="004B59BA"/>
    <w:rsid w:val="004B5A03"/>
    <w:rsid w:val="004C263A"/>
    <w:rsid w:val="004D48A6"/>
    <w:rsid w:val="004D5EB6"/>
    <w:rsid w:val="004D7B8F"/>
    <w:rsid w:val="004E6458"/>
    <w:rsid w:val="004E6E7D"/>
    <w:rsid w:val="004F1AAC"/>
    <w:rsid w:val="004F1AE2"/>
    <w:rsid w:val="004F34F0"/>
    <w:rsid w:val="004F3B2B"/>
    <w:rsid w:val="004F6050"/>
    <w:rsid w:val="005005EF"/>
    <w:rsid w:val="00505CC8"/>
    <w:rsid w:val="005123C2"/>
    <w:rsid w:val="0052144B"/>
    <w:rsid w:val="00523465"/>
    <w:rsid w:val="00524066"/>
    <w:rsid w:val="00534E11"/>
    <w:rsid w:val="005378D8"/>
    <w:rsid w:val="005400D9"/>
    <w:rsid w:val="005459CA"/>
    <w:rsid w:val="005476A4"/>
    <w:rsid w:val="0055019B"/>
    <w:rsid w:val="00556E63"/>
    <w:rsid w:val="005601A4"/>
    <w:rsid w:val="00566DBB"/>
    <w:rsid w:val="005767DB"/>
    <w:rsid w:val="00581449"/>
    <w:rsid w:val="005815E6"/>
    <w:rsid w:val="00582347"/>
    <w:rsid w:val="00586D32"/>
    <w:rsid w:val="0058712F"/>
    <w:rsid w:val="005976CE"/>
    <w:rsid w:val="005A23D4"/>
    <w:rsid w:val="005A2D1E"/>
    <w:rsid w:val="005A72E4"/>
    <w:rsid w:val="005B3756"/>
    <w:rsid w:val="005C493F"/>
    <w:rsid w:val="005C6B63"/>
    <w:rsid w:val="005C6BF7"/>
    <w:rsid w:val="005C71BF"/>
    <w:rsid w:val="005D002C"/>
    <w:rsid w:val="005D30E1"/>
    <w:rsid w:val="005D531C"/>
    <w:rsid w:val="005D6555"/>
    <w:rsid w:val="005D79DF"/>
    <w:rsid w:val="005D7BDF"/>
    <w:rsid w:val="005E0710"/>
    <w:rsid w:val="005E4870"/>
    <w:rsid w:val="005F1856"/>
    <w:rsid w:val="005F5914"/>
    <w:rsid w:val="005F6701"/>
    <w:rsid w:val="005F71D9"/>
    <w:rsid w:val="005F7602"/>
    <w:rsid w:val="005F7DAC"/>
    <w:rsid w:val="006062BE"/>
    <w:rsid w:val="00613143"/>
    <w:rsid w:val="00613501"/>
    <w:rsid w:val="0061611B"/>
    <w:rsid w:val="006166A8"/>
    <w:rsid w:val="006174A1"/>
    <w:rsid w:val="00621D6C"/>
    <w:rsid w:val="00630FD2"/>
    <w:rsid w:val="00633B49"/>
    <w:rsid w:val="0064297F"/>
    <w:rsid w:val="00645102"/>
    <w:rsid w:val="00646CF3"/>
    <w:rsid w:val="00653D11"/>
    <w:rsid w:val="00662983"/>
    <w:rsid w:val="00676FAA"/>
    <w:rsid w:val="006834D3"/>
    <w:rsid w:val="00692625"/>
    <w:rsid w:val="00695CD3"/>
    <w:rsid w:val="006A38B6"/>
    <w:rsid w:val="006B1987"/>
    <w:rsid w:val="006B5B71"/>
    <w:rsid w:val="006B6CB0"/>
    <w:rsid w:val="006C0296"/>
    <w:rsid w:val="006C2B64"/>
    <w:rsid w:val="006D4C85"/>
    <w:rsid w:val="006D66AC"/>
    <w:rsid w:val="006E33F6"/>
    <w:rsid w:val="006F1251"/>
    <w:rsid w:val="006F1C23"/>
    <w:rsid w:val="006F4B83"/>
    <w:rsid w:val="00702C18"/>
    <w:rsid w:val="00703166"/>
    <w:rsid w:val="007127F3"/>
    <w:rsid w:val="007301CF"/>
    <w:rsid w:val="007316FB"/>
    <w:rsid w:val="007374D0"/>
    <w:rsid w:val="00737E2D"/>
    <w:rsid w:val="007424D5"/>
    <w:rsid w:val="00750A88"/>
    <w:rsid w:val="007523DD"/>
    <w:rsid w:val="00757B7E"/>
    <w:rsid w:val="007656B2"/>
    <w:rsid w:val="0077016F"/>
    <w:rsid w:val="007713AD"/>
    <w:rsid w:val="00790B85"/>
    <w:rsid w:val="00795DC5"/>
    <w:rsid w:val="00797153"/>
    <w:rsid w:val="007A21F7"/>
    <w:rsid w:val="007A2B68"/>
    <w:rsid w:val="007B0DDA"/>
    <w:rsid w:val="007B15DF"/>
    <w:rsid w:val="007B4635"/>
    <w:rsid w:val="007D3347"/>
    <w:rsid w:val="007E5466"/>
    <w:rsid w:val="007F1949"/>
    <w:rsid w:val="007F2592"/>
    <w:rsid w:val="00800A08"/>
    <w:rsid w:val="00802DF2"/>
    <w:rsid w:val="00817A84"/>
    <w:rsid w:val="008225A4"/>
    <w:rsid w:val="00824B92"/>
    <w:rsid w:val="00824BF7"/>
    <w:rsid w:val="00826D5E"/>
    <w:rsid w:val="00832013"/>
    <w:rsid w:val="00832DB7"/>
    <w:rsid w:val="00834732"/>
    <w:rsid w:val="008450C2"/>
    <w:rsid w:val="008501B4"/>
    <w:rsid w:val="0085200C"/>
    <w:rsid w:val="00857C52"/>
    <w:rsid w:val="00860D5F"/>
    <w:rsid w:val="00871AF9"/>
    <w:rsid w:val="00880A44"/>
    <w:rsid w:val="0088345E"/>
    <w:rsid w:val="00885ECF"/>
    <w:rsid w:val="0088656F"/>
    <w:rsid w:val="00891EF6"/>
    <w:rsid w:val="008A0303"/>
    <w:rsid w:val="008A5FDD"/>
    <w:rsid w:val="008C1E54"/>
    <w:rsid w:val="008C3947"/>
    <w:rsid w:val="008E473B"/>
    <w:rsid w:val="008E51A6"/>
    <w:rsid w:val="008E7329"/>
    <w:rsid w:val="008F2880"/>
    <w:rsid w:val="008F2ED5"/>
    <w:rsid w:val="008F569F"/>
    <w:rsid w:val="0092297E"/>
    <w:rsid w:val="00923651"/>
    <w:rsid w:val="00927B56"/>
    <w:rsid w:val="009341BF"/>
    <w:rsid w:val="00937907"/>
    <w:rsid w:val="00941739"/>
    <w:rsid w:val="00951573"/>
    <w:rsid w:val="00963003"/>
    <w:rsid w:val="00966EEF"/>
    <w:rsid w:val="00971B28"/>
    <w:rsid w:val="00983471"/>
    <w:rsid w:val="009909AB"/>
    <w:rsid w:val="009A229B"/>
    <w:rsid w:val="009A62B3"/>
    <w:rsid w:val="009B37DB"/>
    <w:rsid w:val="009C7A8C"/>
    <w:rsid w:val="009D23F9"/>
    <w:rsid w:val="009D4FA8"/>
    <w:rsid w:val="009D7394"/>
    <w:rsid w:val="009E44AE"/>
    <w:rsid w:val="009E6CD6"/>
    <w:rsid w:val="009F4D66"/>
    <w:rsid w:val="00A00C3C"/>
    <w:rsid w:val="00A01091"/>
    <w:rsid w:val="00A042B9"/>
    <w:rsid w:val="00A06DBB"/>
    <w:rsid w:val="00A22ADF"/>
    <w:rsid w:val="00A31E86"/>
    <w:rsid w:val="00A54D87"/>
    <w:rsid w:val="00A5553C"/>
    <w:rsid w:val="00A701C9"/>
    <w:rsid w:val="00A755C8"/>
    <w:rsid w:val="00A81785"/>
    <w:rsid w:val="00A84803"/>
    <w:rsid w:val="00A84C51"/>
    <w:rsid w:val="00A86F2B"/>
    <w:rsid w:val="00A91366"/>
    <w:rsid w:val="00A91695"/>
    <w:rsid w:val="00A93AA6"/>
    <w:rsid w:val="00AA4E48"/>
    <w:rsid w:val="00AA6202"/>
    <w:rsid w:val="00AA7B57"/>
    <w:rsid w:val="00AC26FC"/>
    <w:rsid w:val="00AC4A99"/>
    <w:rsid w:val="00AC64D2"/>
    <w:rsid w:val="00AD02E7"/>
    <w:rsid w:val="00AE0FE8"/>
    <w:rsid w:val="00AE1322"/>
    <w:rsid w:val="00AF60D5"/>
    <w:rsid w:val="00B00959"/>
    <w:rsid w:val="00B04415"/>
    <w:rsid w:val="00B06509"/>
    <w:rsid w:val="00B11D60"/>
    <w:rsid w:val="00B13D65"/>
    <w:rsid w:val="00B21805"/>
    <w:rsid w:val="00B3072E"/>
    <w:rsid w:val="00B36E15"/>
    <w:rsid w:val="00B37245"/>
    <w:rsid w:val="00B4017A"/>
    <w:rsid w:val="00B4468D"/>
    <w:rsid w:val="00B71C72"/>
    <w:rsid w:val="00B76DCB"/>
    <w:rsid w:val="00B81E92"/>
    <w:rsid w:val="00B908D7"/>
    <w:rsid w:val="00B915AB"/>
    <w:rsid w:val="00B935E8"/>
    <w:rsid w:val="00B93B30"/>
    <w:rsid w:val="00B94CB5"/>
    <w:rsid w:val="00BA0DD9"/>
    <w:rsid w:val="00BA5DBC"/>
    <w:rsid w:val="00BB6312"/>
    <w:rsid w:val="00BB72F9"/>
    <w:rsid w:val="00BC4D06"/>
    <w:rsid w:val="00BD585E"/>
    <w:rsid w:val="00BD6919"/>
    <w:rsid w:val="00BE1EA7"/>
    <w:rsid w:val="00BE7489"/>
    <w:rsid w:val="00BF2E0D"/>
    <w:rsid w:val="00BF3927"/>
    <w:rsid w:val="00BF3F8B"/>
    <w:rsid w:val="00BF76DA"/>
    <w:rsid w:val="00C07C7B"/>
    <w:rsid w:val="00C16245"/>
    <w:rsid w:val="00C22DC5"/>
    <w:rsid w:val="00C24479"/>
    <w:rsid w:val="00C271D1"/>
    <w:rsid w:val="00C273F2"/>
    <w:rsid w:val="00C37B53"/>
    <w:rsid w:val="00C517D2"/>
    <w:rsid w:val="00C5772E"/>
    <w:rsid w:val="00C62B36"/>
    <w:rsid w:val="00C7012C"/>
    <w:rsid w:val="00C712EA"/>
    <w:rsid w:val="00CA217D"/>
    <w:rsid w:val="00CB7041"/>
    <w:rsid w:val="00CC09D4"/>
    <w:rsid w:val="00CC668D"/>
    <w:rsid w:val="00CC7832"/>
    <w:rsid w:val="00CF0C1C"/>
    <w:rsid w:val="00CF27FD"/>
    <w:rsid w:val="00CF5F12"/>
    <w:rsid w:val="00D00D8F"/>
    <w:rsid w:val="00D21F3A"/>
    <w:rsid w:val="00D23808"/>
    <w:rsid w:val="00D277E1"/>
    <w:rsid w:val="00D3016A"/>
    <w:rsid w:val="00D417D2"/>
    <w:rsid w:val="00D42960"/>
    <w:rsid w:val="00D43BD7"/>
    <w:rsid w:val="00D4485B"/>
    <w:rsid w:val="00D4708D"/>
    <w:rsid w:val="00D4744C"/>
    <w:rsid w:val="00D521DE"/>
    <w:rsid w:val="00D52608"/>
    <w:rsid w:val="00D5470B"/>
    <w:rsid w:val="00D57FAF"/>
    <w:rsid w:val="00D63068"/>
    <w:rsid w:val="00D6498C"/>
    <w:rsid w:val="00D76A70"/>
    <w:rsid w:val="00D83182"/>
    <w:rsid w:val="00D8521E"/>
    <w:rsid w:val="00D9291C"/>
    <w:rsid w:val="00D93A97"/>
    <w:rsid w:val="00DA31FE"/>
    <w:rsid w:val="00DB1F64"/>
    <w:rsid w:val="00DC2F53"/>
    <w:rsid w:val="00DC5BAC"/>
    <w:rsid w:val="00DC6816"/>
    <w:rsid w:val="00DC76C2"/>
    <w:rsid w:val="00DD0BC4"/>
    <w:rsid w:val="00DD1625"/>
    <w:rsid w:val="00DD1CF2"/>
    <w:rsid w:val="00DE4484"/>
    <w:rsid w:val="00DF41B7"/>
    <w:rsid w:val="00DF4A4A"/>
    <w:rsid w:val="00DF583C"/>
    <w:rsid w:val="00E03C3F"/>
    <w:rsid w:val="00E06FD7"/>
    <w:rsid w:val="00E07417"/>
    <w:rsid w:val="00E12692"/>
    <w:rsid w:val="00E24D45"/>
    <w:rsid w:val="00E32B65"/>
    <w:rsid w:val="00E33DB8"/>
    <w:rsid w:val="00E33EFF"/>
    <w:rsid w:val="00E34387"/>
    <w:rsid w:val="00E348BA"/>
    <w:rsid w:val="00E369FE"/>
    <w:rsid w:val="00E37C6F"/>
    <w:rsid w:val="00E41929"/>
    <w:rsid w:val="00E475F8"/>
    <w:rsid w:val="00E5102E"/>
    <w:rsid w:val="00E5721C"/>
    <w:rsid w:val="00E619C6"/>
    <w:rsid w:val="00E66E20"/>
    <w:rsid w:val="00E67F63"/>
    <w:rsid w:val="00E745A1"/>
    <w:rsid w:val="00E80A85"/>
    <w:rsid w:val="00E81529"/>
    <w:rsid w:val="00E8338F"/>
    <w:rsid w:val="00E83A13"/>
    <w:rsid w:val="00EB6FC5"/>
    <w:rsid w:val="00EC2356"/>
    <w:rsid w:val="00EC2582"/>
    <w:rsid w:val="00EC337C"/>
    <w:rsid w:val="00ED0CFF"/>
    <w:rsid w:val="00ED31D2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B5D"/>
    <w:rsid w:val="00F259FC"/>
    <w:rsid w:val="00F36972"/>
    <w:rsid w:val="00F42426"/>
    <w:rsid w:val="00F456BC"/>
    <w:rsid w:val="00F50666"/>
    <w:rsid w:val="00F650F0"/>
    <w:rsid w:val="00F701DC"/>
    <w:rsid w:val="00F70C9E"/>
    <w:rsid w:val="00F74A74"/>
    <w:rsid w:val="00F7572C"/>
    <w:rsid w:val="00F80372"/>
    <w:rsid w:val="00F8382C"/>
    <w:rsid w:val="00F855D7"/>
    <w:rsid w:val="00F90EB5"/>
    <w:rsid w:val="00F90EBE"/>
    <w:rsid w:val="00F92035"/>
    <w:rsid w:val="00F92748"/>
    <w:rsid w:val="00FA4169"/>
    <w:rsid w:val="00FB0D41"/>
    <w:rsid w:val="00FB1B19"/>
    <w:rsid w:val="00FB2030"/>
    <w:rsid w:val="00FD0E46"/>
    <w:rsid w:val="00FD1CF2"/>
    <w:rsid w:val="00FD3EDF"/>
    <w:rsid w:val="00FD793C"/>
    <w:rsid w:val="00FE0FD5"/>
    <w:rsid w:val="00FE20E6"/>
    <w:rsid w:val="00FE3E3B"/>
    <w:rsid w:val="00FF4032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5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31E86"/>
    <w:rPr>
      <w:color w:val="800080" w:themeColor="followedHyperlink"/>
      <w:u w:val="single"/>
    </w:rPr>
  </w:style>
  <w:style w:type="table" w:styleId="Lentelstinklelis">
    <w:name w:val="Table Grid"/>
    <w:aliases w:val="Summary box,Dossier Table"/>
    <w:basedOn w:val="prastojilentel"/>
    <w:uiPriority w:val="59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C70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1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0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012C"/>
    <w:rPr>
      <w:b/>
      <w:bCs/>
      <w:lang w:eastAsia="en-US"/>
    </w:rPr>
  </w:style>
  <w:style w:type="paragraph" w:styleId="Sraopastraipa">
    <w:name w:val="List Paragraph"/>
    <w:aliases w:val="Bullets Points,Table Header Row,Bullet Paragraph,Bullet Point,Dairy Paragraphe,Table Legend,Bullet List,Bullet1,Use Case List Paragraph,List Paragraph1,Body Bullet,Table Number Paragraph,Colorful List - Accent 11,List Paragraph 1,Ref,B1"/>
    <w:basedOn w:val="prastasis"/>
    <w:link w:val="SraopastraipaDiagrama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D6498C"/>
    <w:rPr>
      <w:sz w:val="32"/>
    </w:rPr>
  </w:style>
  <w:style w:type="character" w:styleId="Vietosrezervavimoenklotekstas">
    <w:name w:val="Placeholder Text"/>
    <w:basedOn w:val="Numatytasispastraiposriftas"/>
    <w:uiPriority w:val="99"/>
    <w:rsid w:val="00B13D65"/>
    <w:rPr>
      <w:color w:val="808080"/>
    </w:rPr>
  </w:style>
  <w:style w:type="paragraph" w:styleId="Betarp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Bullets Points Diagrama,Table Header Row Diagrama,Bullet Paragraph Diagrama,Bullet Point Diagrama,Dairy Paragraphe Diagrama,Table Legend Diagrama,Bullet List Diagrama,Bullet1 Diagrama,Use Case List Paragraph Diagrama"/>
    <w:link w:val="Sraopastraipa"/>
    <w:uiPriority w:val="34"/>
    <w:rsid w:val="004277F5"/>
    <w:rPr>
      <w:sz w:val="24"/>
      <w:szCs w:val="24"/>
      <w:lang w:eastAsia="en-US"/>
    </w:rPr>
  </w:style>
  <w:style w:type="paragraph" w:customStyle="1" w:styleId="Default">
    <w:name w:val="Default"/>
    <w:rsid w:val="00BB72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3A7298"/>
    <w:rPr>
      <w:sz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3A7298"/>
    <w:rPr>
      <w:szCs w:val="24"/>
    </w:rPr>
  </w:style>
  <w:style w:type="table" w:customStyle="1" w:styleId="3">
    <w:name w:val="3"/>
    <w:basedOn w:val="prastojilentel"/>
    <w:rsid w:val="00B76DCB"/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FBB7EFEA6241ABBC1E9096234C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45C99-08E0-45B3-8E38-909EF37FE5A1}"/>
      </w:docPartPr>
      <w:docPartBody>
        <w:p w:rsidR="002D13D9" w:rsidRDefault="00BA330D" w:rsidP="00BA330D">
          <w:pPr>
            <w:pStyle w:val="9DFBB7EFEA6241ABBC1E9096234C94D7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D"/>
    <w:rsid w:val="0001247F"/>
    <w:rsid w:val="000377F4"/>
    <w:rsid w:val="00041315"/>
    <w:rsid w:val="00061157"/>
    <w:rsid w:val="000937FE"/>
    <w:rsid w:val="000A559A"/>
    <w:rsid w:val="000D24D4"/>
    <w:rsid w:val="000D44E6"/>
    <w:rsid w:val="001C35A9"/>
    <w:rsid w:val="00232362"/>
    <w:rsid w:val="00237556"/>
    <w:rsid w:val="00263B3C"/>
    <w:rsid w:val="002B1C7F"/>
    <w:rsid w:val="002D13D9"/>
    <w:rsid w:val="00343F94"/>
    <w:rsid w:val="0039303B"/>
    <w:rsid w:val="004144A3"/>
    <w:rsid w:val="004160E7"/>
    <w:rsid w:val="004416C6"/>
    <w:rsid w:val="004F3A5E"/>
    <w:rsid w:val="004F5AB2"/>
    <w:rsid w:val="005074B9"/>
    <w:rsid w:val="005E40DD"/>
    <w:rsid w:val="00655024"/>
    <w:rsid w:val="00720A6D"/>
    <w:rsid w:val="007219C1"/>
    <w:rsid w:val="00753462"/>
    <w:rsid w:val="00772325"/>
    <w:rsid w:val="007A2FE0"/>
    <w:rsid w:val="007B74EA"/>
    <w:rsid w:val="007C6D1D"/>
    <w:rsid w:val="008165AF"/>
    <w:rsid w:val="0084257A"/>
    <w:rsid w:val="00875760"/>
    <w:rsid w:val="008A4BB0"/>
    <w:rsid w:val="0090074D"/>
    <w:rsid w:val="009134F6"/>
    <w:rsid w:val="009B3BF0"/>
    <w:rsid w:val="009D5E5E"/>
    <w:rsid w:val="009F1BB4"/>
    <w:rsid w:val="00AB6ED4"/>
    <w:rsid w:val="00B14210"/>
    <w:rsid w:val="00B23DC0"/>
    <w:rsid w:val="00B96656"/>
    <w:rsid w:val="00BA330D"/>
    <w:rsid w:val="00BE29C1"/>
    <w:rsid w:val="00C2401D"/>
    <w:rsid w:val="00C53A68"/>
    <w:rsid w:val="00CA5BB4"/>
    <w:rsid w:val="00CB4BD1"/>
    <w:rsid w:val="00CE2DA9"/>
    <w:rsid w:val="00CE44BE"/>
    <w:rsid w:val="00D4356B"/>
    <w:rsid w:val="00D7162F"/>
    <w:rsid w:val="00D728C0"/>
    <w:rsid w:val="00E44A86"/>
    <w:rsid w:val="00E522EB"/>
    <w:rsid w:val="00E60827"/>
    <w:rsid w:val="00E73FF6"/>
    <w:rsid w:val="00EF6E0C"/>
    <w:rsid w:val="00F55028"/>
    <w:rsid w:val="00F77BEF"/>
    <w:rsid w:val="00FC755C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BA330D"/>
    <w:rPr>
      <w:color w:val="808080"/>
    </w:rPr>
  </w:style>
  <w:style w:type="paragraph" w:customStyle="1" w:styleId="9DFBB7EFEA6241ABBC1E9096234C94D7">
    <w:name w:val="9DFBB7EFEA6241ABBC1E9096234C94D7"/>
    <w:rsid w:val="00BA330D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224D-F80F-4BB9-8683-2A66E0BF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7012</Words>
  <Characters>3998</Characters>
  <Application>Microsoft Office Word</Application>
  <DocSecurity>0</DocSecurity>
  <Lines>33</Lines>
  <Paragraphs>21</Paragraphs>
  <ScaleCrop>false</ScaleCrop>
  <Company/>
  <LinksUpToDate>false</LinksUpToDate>
  <CharactersWithSpaces>10989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2023-12-22T07:51:00Z</dcterms:created>
  <dcterms:modified xsi:type="dcterms:W3CDTF">2024-01-12T09:41:00Z</dcterms:modified>
</cp:coreProperties>
</file>