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4B25813A" w:rsidR="004C263A" w:rsidRPr="008B63AB" w:rsidRDefault="001B3C5B" w:rsidP="001B3C5B">
      <w:pPr>
        <w:ind w:left="6096"/>
      </w:pPr>
      <w:r w:rsidRPr="00E33EFF">
        <w:t>Valstybinės vaistų ko</w:t>
      </w:r>
      <w:r w:rsidR="00122E01">
        <w:t xml:space="preserve"> </w:t>
      </w:r>
      <w:r w:rsidRPr="00E33EFF">
        <w:t>trolės tarnybos prie Lietuvos Respublikos sveikatos apsaugos ministerijos viršininko 2021 m</w:t>
      </w:r>
      <w:r w:rsidR="004C263A" w:rsidRPr="00E33EFF">
        <w:t xml:space="preserve">. lapkričio 12 </w:t>
      </w:r>
      <w:r w:rsidRPr="00E33EFF">
        <w:t xml:space="preserve">d. </w:t>
      </w:r>
      <w:r w:rsidRPr="008B63AB">
        <w:t>įsakymu Nr.</w:t>
      </w:r>
      <w:r w:rsidR="004C263A" w:rsidRPr="008B63AB">
        <w:t xml:space="preserve"> (1.72E)1A-1418</w:t>
      </w:r>
    </w:p>
    <w:p w14:paraId="5B219AA6" w14:textId="4FE0F7BA" w:rsidR="001B3C5B" w:rsidRPr="008B63AB" w:rsidRDefault="004C263A" w:rsidP="001B3C5B">
      <w:pPr>
        <w:ind w:left="6096"/>
      </w:pPr>
      <w:r w:rsidRPr="008B63AB">
        <w:t>(Valstybinės vaistų kontrolės tarnybos prie Lietuvos Respublikos sveikatos apsaugos ministerijos viršininko 2022 m.</w:t>
      </w:r>
      <w:r w:rsidR="00122E01">
        <w:t xml:space="preserve">            </w:t>
      </w:r>
      <w:r w:rsidRPr="008B63AB">
        <w:t xml:space="preserve"> d. įsakymo Nr.</w:t>
      </w:r>
      <w:r w:rsidR="00122E01">
        <w:t xml:space="preserve">          </w:t>
      </w:r>
      <w:r w:rsidRPr="008B63AB">
        <w:t>redakcija)</w:t>
      </w:r>
    </w:p>
    <w:p w14:paraId="3336BD74" w14:textId="77777777" w:rsidR="001B3C5B" w:rsidRPr="008B63AB" w:rsidRDefault="001B3C5B" w:rsidP="00FA4169"/>
    <w:p w14:paraId="77AFB67E" w14:textId="16397257" w:rsidR="00613501" w:rsidRPr="008B63AB" w:rsidRDefault="002F0E4F" w:rsidP="003B211A">
      <w:pPr>
        <w:jc w:val="center"/>
        <w:rPr>
          <w:b/>
          <w:bCs/>
          <w:caps/>
        </w:rPr>
      </w:pPr>
      <w:r w:rsidRPr="008B63AB">
        <w:rPr>
          <w:b/>
        </w:rPr>
        <w:t xml:space="preserve">REKOMENDACIJA DĖL VAISTINIO PREPARATO </w:t>
      </w:r>
      <w:r w:rsidRPr="008B63AB">
        <w:rPr>
          <w:b/>
          <w:bCs/>
          <w:caps/>
        </w:rPr>
        <w:t>Lietuvos Respublikos Sveikatos apsaugos ministerijos vaistinių preparatų ir medicinos pagalbos priemonių kompensavimo komisijai</w:t>
      </w:r>
    </w:p>
    <w:p w14:paraId="34E4395D" w14:textId="15FB10DF" w:rsidR="00B13D65" w:rsidRPr="008B63AB" w:rsidRDefault="00B13D65" w:rsidP="003B211A">
      <w:pPr>
        <w:jc w:val="center"/>
        <w:rPr>
          <w:b/>
        </w:rPr>
      </w:pPr>
    </w:p>
    <w:p w14:paraId="35CAB891" w14:textId="0D1B6A0E" w:rsidR="002A3179" w:rsidRPr="006C4813" w:rsidRDefault="00662CBF" w:rsidP="002A3179">
      <w:pPr>
        <w:jc w:val="center"/>
        <w:rPr>
          <w:b/>
        </w:rPr>
      </w:pPr>
      <w:r w:rsidRPr="006C4813">
        <w:rPr>
          <w:b/>
        </w:rPr>
        <w:t xml:space="preserve">Tecentriq </w:t>
      </w:r>
      <w:r w:rsidR="002A3179" w:rsidRPr="006C4813">
        <w:rPr>
          <w:b/>
        </w:rPr>
        <w:t>840/1200 mg koncentratas infuziniam tirpalui</w:t>
      </w:r>
    </w:p>
    <w:p w14:paraId="3D1754B0" w14:textId="77777777" w:rsidR="002A3179" w:rsidRPr="006C4813" w:rsidRDefault="002A3179" w:rsidP="002A3179">
      <w:pPr>
        <w:jc w:val="center"/>
        <w:rPr>
          <w:b/>
          <w:highlight w:val="yellow"/>
        </w:rPr>
      </w:pPr>
    </w:p>
    <w:p w14:paraId="7245D69E" w14:textId="59B6DB6D" w:rsidR="00937907" w:rsidRPr="006C4813" w:rsidRDefault="002A3179" w:rsidP="002A3179">
      <w:pPr>
        <w:jc w:val="center"/>
        <w:rPr>
          <w:b/>
        </w:rPr>
      </w:pPr>
      <w:r w:rsidRPr="006C4813">
        <w:rPr>
          <w:b/>
        </w:rPr>
        <w:t>Atezolizumabas</w:t>
      </w:r>
    </w:p>
    <w:p w14:paraId="570CBEE3" w14:textId="77777777" w:rsidR="002A3179" w:rsidRPr="006C4813" w:rsidRDefault="002A3179" w:rsidP="002A3179">
      <w:pPr>
        <w:jc w:val="center"/>
      </w:pPr>
    </w:p>
    <w:p w14:paraId="5BC2EA5D" w14:textId="6E78BDEA" w:rsidR="00937907" w:rsidRPr="006C4813" w:rsidRDefault="00937907" w:rsidP="00122E01">
      <w:pPr>
        <w:jc w:val="center"/>
        <w:outlineLvl w:val="0"/>
        <w:rPr>
          <w:b/>
        </w:rPr>
      </w:pPr>
      <w:r w:rsidRPr="006C4813">
        <w:rPr>
          <w:b/>
        </w:rPr>
        <w:t>Paraiškos numeris</w:t>
      </w:r>
      <w:r w:rsidR="00A13E4E" w:rsidRPr="006C4813">
        <w:rPr>
          <w:b/>
        </w:rPr>
        <w:t xml:space="preserve"> STV</w:t>
      </w:r>
      <w:r w:rsidR="006C4813" w:rsidRPr="006C4813">
        <w:rPr>
          <w:b/>
        </w:rPr>
        <w:t>-117</w:t>
      </w:r>
    </w:p>
    <w:p w14:paraId="453197C8" w14:textId="77777777" w:rsidR="00D4708D" w:rsidRPr="006C4813" w:rsidRDefault="00D4708D" w:rsidP="003B211A">
      <w:pPr>
        <w:jc w:val="center"/>
        <w:rPr>
          <w:b/>
        </w:rPr>
      </w:pPr>
    </w:p>
    <w:p w14:paraId="78C89D1C" w14:textId="0DEFFAA5" w:rsidR="00D4485B" w:rsidRPr="006C4813" w:rsidRDefault="00B13D65" w:rsidP="00CC09D4">
      <w:pPr>
        <w:pStyle w:val="Sraopastraipa"/>
        <w:numPr>
          <w:ilvl w:val="0"/>
          <w:numId w:val="12"/>
        </w:numPr>
        <w:tabs>
          <w:tab w:val="left" w:pos="567"/>
        </w:tabs>
        <w:ind w:left="567" w:hanging="567"/>
        <w:rPr>
          <w:b/>
          <w:bCs/>
          <w:caps/>
        </w:rPr>
      </w:pPr>
      <w:r w:rsidRPr="006C4813">
        <w:rPr>
          <w:b/>
          <w:bCs/>
          <w:caps/>
        </w:rPr>
        <w:t>Bendroji dalis</w:t>
      </w:r>
    </w:p>
    <w:p w14:paraId="04A7C7A7" w14:textId="77777777" w:rsidR="00B13D65" w:rsidRPr="006C4813"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6C4813" w:rsidRPr="006C4813" w14:paraId="18A83EC2" w14:textId="77777777" w:rsidTr="006C4813">
        <w:trPr>
          <w:trHeight w:val="99"/>
        </w:trPr>
        <w:tc>
          <w:tcPr>
            <w:tcW w:w="632" w:type="dxa"/>
          </w:tcPr>
          <w:p w14:paraId="0646FBEA" w14:textId="77777777" w:rsidR="006C4813" w:rsidRPr="006C4813" w:rsidRDefault="006C4813" w:rsidP="00824B92">
            <w:pPr>
              <w:rPr>
                <w:rFonts w:eastAsia="Arial"/>
              </w:rPr>
            </w:pPr>
            <w:r w:rsidRPr="006C4813">
              <w:rPr>
                <w:rFonts w:eastAsia="Arial"/>
              </w:rPr>
              <w:t>1.1</w:t>
            </w:r>
          </w:p>
        </w:tc>
        <w:tc>
          <w:tcPr>
            <w:tcW w:w="3694" w:type="dxa"/>
          </w:tcPr>
          <w:p w14:paraId="2AF240DC" w14:textId="35B76415" w:rsidR="006C4813" w:rsidRPr="006C4813" w:rsidRDefault="006C4813" w:rsidP="00824B92">
            <w:pPr>
              <w:rPr>
                <w:rFonts w:eastAsia="Arial"/>
              </w:rPr>
            </w:pPr>
            <w:r w:rsidRPr="006C4813">
              <w:rPr>
                <w:rFonts w:eastAsia="Arial"/>
              </w:rPr>
              <w:t>Pareiškėjas</w:t>
            </w:r>
          </w:p>
        </w:tc>
        <w:tc>
          <w:tcPr>
            <w:tcW w:w="5167" w:type="dxa"/>
          </w:tcPr>
          <w:p w14:paraId="2AAF0D91" w14:textId="422E7A80" w:rsidR="006C4813" w:rsidRPr="00385909" w:rsidRDefault="006C4813" w:rsidP="00824B92">
            <w:pPr>
              <w:rPr>
                <w:rFonts w:eastAsia="Arial"/>
              </w:rPr>
            </w:pPr>
            <w:r w:rsidRPr="00385909">
              <w:t xml:space="preserve">Roche Registration GmbH </w:t>
            </w:r>
          </w:p>
        </w:tc>
      </w:tr>
      <w:tr w:rsidR="006C4813" w:rsidRPr="006C4813" w14:paraId="31998B0D" w14:textId="77777777" w:rsidTr="006C4813">
        <w:trPr>
          <w:trHeight w:val="99"/>
        </w:trPr>
        <w:tc>
          <w:tcPr>
            <w:tcW w:w="632" w:type="dxa"/>
          </w:tcPr>
          <w:p w14:paraId="2005EC67" w14:textId="662300D0" w:rsidR="006C4813" w:rsidRPr="006C4813" w:rsidRDefault="006C4813" w:rsidP="00824B92">
            <w:pPr>
              <w:rPr>
                <w:rFonts w:eastAsia="Arial"/>
              </w:rPr>
            </w:pPr>
            <w:r w:rsidRPr="006C4813">
              <w:rPr>
                <w:rFonts w:eastAsia="Arial"/>
              </w:rPr>
              <w:t>1.2</w:t>
            </w:r>
          </w:p>
        </w:tc>
        <w:tc>
          <w:tcPr>
            <w:tcW w:w="3694" w:type="dxa"/>
          </w:tcPr>
          <w:p w14:paraId="3A0DC096" w14:textId="638FBB91" w:rsidR="006C4813" w:rsidRPr="006C4813" w:rsidRDefault="006C4813" w:rsidP="00824B92">
            <w:pPr>
              <w:rPr>
                <w:bCs/>
                <w:color w:val="000000"/>
                <w:lang w:eastAsia="lt-LT"/>
              </w:rPr>
            </w:pPr>
            <w:r w:rsidRPr="006C4813">
              <w:rPr>
                <w:bCs/>
                <w:color w:val="000000"/>
                <w:lang w:eastAsia="lt-LT"/>
              </w:rPr>
              <w:t xml:space="preserve">Registracijos data </w:t>
            </w:r>
          </w:p>
        </w:tc>
        <w:tc>
          <w:tcPr>
            <w:tcW w:w="5167" w:type="dxa"/>
          </w:tcPr>
          <w:p w14:paraId="3CA218AD" w14:textId="01BC2175" w:rsidR="006C4813" w:rsidRPr="00385909" w:rsidRDefault="00000000" w:rsidP="00824B92">
            <w:pPr>
              <w:rPr>
                <w:rStyle w:val="Style2"/>
                <w:sz w:val="24"/>
              </w:rPr>
            </w:pPr>
            <w:sdt>
              <w:sdtPr>
                <w:rPr>
                  <w:sz w:val="32"/>
                </w:rPr>
                <w:alias w:val="Nurodykite konkrečią dieną"/>
                <w:tag w:val="Nurodykite pradžios datą"/>
                <w:id w:val="423238108"/>
                <w:placeholder>
                  <w:docPart w:val="93F6B3B0F838E044AA3AB5E8293F9726"/>
                </w:placeholder>
                <w:date>
                  <w:dateFormat w:val="yyyy 'm.' MMMM d 'd.'"/>
                  <w:lid w:val="lt-LT"/>
                  <w:storeMappedDataAs w:val="dateTime"/>
                  <w:calendar w:val="gregorian"/>
                </w:date>
              </w:sdtPr>
              <w:sdtEndPr>
                <w:rPr>
                  <w:sz w:val="24"/>
                </w:rPr>
              </w:sdtEndPr>
              <w:sdtContent>
                <w:r w:rsidR="006C4813" w:rsidRPr="00385909">
                  <w:t>2017 m. rugsėjo 20 d.</w:t>
                </w:r>
              </w:sdtContent>
            </w:sdt>
          </w:p>
        </w:tc>
      </w:tr>
      <w:tr w:rsidR="006C4813" w:rsidRPr="006C4813" w14:paraId="15968AE1" w14:textId="77777777" w:rsidTr="006C4813">
        <w:trPr>
          <w:trHeight w:val="665"/>
        </w:trPr>
        <w:tc>
          <w:tcPr>
            <w:tcW w:w="632" w:type="dxa"/>
          </w:tcPr>
          <w:p w14:paraId="6A784245" w14:textId="1E461489" w:rsidR="006C4813" w:rsidRPr="006C4813" w:rsidRDefault="006C4813" w:rsidP="00824B92">
            <w:pPr>
              <w:rPr>
                <w:rFonts w:eastAsia="Arial"/>
              </w:rPr>
            </w:pPr>
            <w:r w:rsidRPr="006C4813">
              <w:rPr>
                <w:rFonts w:eastAsia="Arial"/>
              </w:rPr>
              <w:t>1.3</w:t>
            </w:r>
          </w:p>
        </w:tc>
        <w:tc>
          <w:tcPr>
            <w:tcW w:w="3694" w:type="dxa"/>
          </w:tcPr>
          <w:p w14:paraId="22933506" w14:textId="77777777" w:rsidR="006C4813" w:rsidRPr="006C4813" w:rsidRDefault="006C4813" w:rsidP="00824B92">
            <w:r w:rsidRPr="006C4813">
              <w:t xml:space="preserve">Paraiškos tipas </w:t>
            </w:r>
          </w:p>
          <w:p w14:paraId="77089D80" w14:textId="64992E3D" w:rsidR="006C4813" w:rsidRPr="006C4813" w:rsidRDefault="006C4813" w:rsidP="00824B92">
            <w:r w:rsidRPr="006C4813">
              <w:t xml:space="preserve">(pagal </w:t>
            </w:r>
            <w:r w:rsidRPr="006C4813">
              <w:rPr>
                <w:color w:val="333333"/>
                <w:shd w:val="clear" w:color="auto" w:fill="FFFFFF"/>
              </w:rPr>
              <w:t>vaistinio preparato registracijos tipą, įtvirtintą</w:t>
            </w:r>
            <w:r w:rsidRPr="006C4813">
              <w:t xml:space="preserve"> Direktyvos 2001/83/EB straipsiuose)</w:t>
            </w:r>
          </w:p>
        </w:tc>
        <w:tc>
          <w:tcPr>
            <w:tcW w:w="5167" w:type="dxa"/>
          </w:tcPr>
          <w:p w14:paraId="208F40EC" w14:textId="2A692DE9" w:rsidR="006C4813" w:rsidRPr="00385909"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 xml:space="preserve">8.3 str. (pilna byla, pagrįsta savais tyrimais) </w:t>
            </w:r>
          </w:p>
          <w:p w14:paraId="32BA564E" w14:textId="6F1B495D" w:rsidR="006C4813" w:rsidRPr="00385909"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 xml:space="preserve">10 a str. (pripažintas medicininis vartojimas) </w:t>
            </w:r>
          </w:p>
          <w:p w14:paraId="318DCD7F" w14:textId="63EA3CD6" w:rsidR="006C4813" w:rsidRPr="00385909"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10.1 str. (generinis)</w:t>
            </w:r>
          </w:p>
          <w:p w14:paraId="3B0A4F72" w14:textId="54CED2F8" w:rsidR="006C4813" w:rsidRPr="00385909"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10.3 str. (hibridinis)</w:t>
            </w:r>
          </w:p>
        </w:tc>
      </w:tr>
      <w:tr w:rsidR="006C4813" w:rsidRPr="006C4813" w14:paraId="310E9662" w14:textId="77777777" w:rsidTr="006C4813">
        <w:trPr>
          <w:trHeight w:val="395"/>
        </w:trPr>
        <w:tc>
          <w:tcPr>
            <w:tcW w:w="632" w:type="dxa"/>
          </w:tcPr>
          <w:p w14:paraId="4B5A91A2" w14:textId="561B5E5F" w:rsidR="006C4813" w:rsidRPr="006C4813" w:rsidRDefault="006C4813" w:rsidP="00824B92">
            <w:pPr>
              <w:rPr>
                <w:rFonts w:eastAsia="Arial"/>
              </w:rPr>
            </w:pPr>
            <w:r w:rsidRPr="006C4813">
              <w:rPr>
                <w:rFonts w:eastAsia="Arial"/>
              </w:rPr>
              <w:t>1.4</w:t>
            </w:r>
          </w:p>
        </w:tc>
        <w:tc>
          <w:tcPr>
            <w:tcW w:w="3694" w:type="dxa"/>
          </w:tcPr>
          <w:p w14:paraId="483071A3" w14:textId="57873AF7" w:rsidR="006C4813" w:rsidRPr="006C4813" w:rsidRDefault="006C4813" w:rsidP="00824B92">
            <w:pPr>
              <w:rPr>
                <w:bCs/>
                <w:color w:val="000000"/>
                <w:lang w:eastAsia="lt-LT"/>
              </w:rPr>
            </w:pPr>
            <w:r w:rsidRPr="006C4813">
              <w:rPr>
                <w:bCs/>
                <w:color w:val="000000"/>
                <w:lang w:eastAsia="lt-LT"/>
              </w:rPr>
              <w:t xml:space="preserve">Ar vaistinis preparatas įrašytas į Bendrijos retųjų vaistinių preparatų registrą? </w:t>
            </w:r>
          </w:p>
        </w:tc>
        <w:tc>
          <w:tcPr>
            <w:tcW w:w="5167" w:type="dxa"/>
          </w:tcPr>
          <w:p w14:paraId="05845C60" w14:textId="22CFD997" w:rsidR="006C4813" w:rsidRPr="00385909"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 xml:space="preserve"> Taip</w:t>
            </w:r>
          </w:p>
          <w:p w14:paraId="41D88067" w14:textId="4E8B5B02" w:rsidR="006C4813" w:rsidRPr="00385909"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 xml:space="preserve"> Ne</w:t>
            </w:r>
          </w:p>
          <w:p w14:paraId="29C2CBBB" w14:textId="32D70ACB" w:rsidR="006C4813" w:rsidRPr="00385909" w:rsidRDefault="00000000" w:rsidP="00824B92">
            <w:pPr>
              <w:rPr>
                <w:rFonts w:eastAsia="Arial"/>
              </w:rPr>
            </w:pPr>
            <w:sdt>
              <w:sdtPr>
                <w:alias w:val="Nurodykite konkrečią dieną"/>
                <w:tag w:val="Nurodykite pradžios datą"/>
                <w:id w:val="693498901"/>
                <w:showingPlcHdr/>
                <w15:color w:val="FFCC99"/>
                <w:date w:fullDate="2022-05-18T00:00:00Z">
                  <w:dateFormat w:val="yyyy 'm.' MMMM d 'd.'"/>
                  <w:lid w:val="lt-LT"/>
                  <w:storeMappedDataAs w:val="dateTime"/>
                  <w:calendar w:val="gregorian"/>
                </w:date>
              </w:sdtPr>
              <w:sdtContent>
                <w:r w:rsidR="006C4813" w:rsidRPr="00385909">
                  <w:rPr>
                    <w:rStyle w:val="Vietosrezervavimoenklotekstas"/>
                  </w:rPr>
                  <w:t>Click here to enter a date.</w:t>
                </w:r>
              </w:sdtContent>
            </w:sdt>
          </w:p>
        </w:tc>
      </w:tr>
      <w:tr w:rsidR="006C4813" w:rsidRPr="006C4813" w14:paraId="7841E5F8" w14:textId="77777777" w:rsidTr="006C4813">
        <w:trPr>
          <w:trHeight w:val="99"/>
        </w:trPr>
        <w:tc>
          <w:tcPr>
            <w:tcW w:w="632" w:type="dxa"/>
          </w:tcPr>
          <w:p w14:paraId="109D2861" w14:textId="73BF27DF" w:rsidR="006C4813" w:rsidRPr="006C4813" w:rsidRDefault="006C4813" w:rsidP="00824B92">
            <w:pPr>
              <w:rPr>
                <w:rFonts w:eastAsia="Arial"/>
              </w:rPr>
            </w:pPr>
            <w:r w:rsidRPr="006C4813">
              <w:rPr>
                <w:rFonts w:eastAsia="Arial"/>
              </w:rPr>
              <w:t>1.5</w:t>
            </w:r>
          </w:p>
        </w:tc>
        <w:tc>
          <w:tcPr>
            <w:tcW w:w="3694" w:type="dxa"/>
          </w:tcPr>
          <w:p w14:paraId="7822D63E" w14:textId="68C38334" w:rsidR="006C4813" w:rsidRPr="006C4813" w:rsidRDefault="006C4813" w:rsidP="00824B92">
            <w:pPr>
              <w:rPr>
                <w:bCs/>
                <w:color w:val="000000"/>
                <w:lang w:eastAsia="lt-LT"/>
              </w:rPr>
            </w:pPr>
            <w:r w:rsidRPr="006C4813">
              <w:t>STV paraiškos pobūdis</w:t>
            </w:r>
          </w:p>
        </w:tc>
        <w:tc>
          <w:tcPr>
            <w:tcW w:w="5167" w:type="dxa"/>
          </w:tcPr>
          <w:p w14:paraId="403461B9" w14:textId="69596D63" w:rsidR="006C4813" w:rsidRPr="00385909"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 xml:space="preserve"> Pilna paraiška</w:t>
            </w:r>
          </w:p>
          <w:p w14:paraId="6B8213E3" w14:textId="07B38C72" w:rsidR="006C4813" w:rsidRPr="00385909"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 xml:space="preserve"> Supaprastinta paraiška</w:t>
            </w:r>
          </w:p>
        </w:tc>
      </w:tr>
      <w:tr w:rsidR="006C4813" w:rsidRPr="006C4813" w14:paraId="274D1DAF" w14:textId="77777777" w:rsidTr="00BE7489">
        <w:trPr>
          <w:trHeight w:val="1922"/>
        </w:trPr>
        <w:tc>
          <w:tcPr>
            <w:tcW w:w="632" w:type="dxa"/>
          </w:tcPr>
          <w:p w14:paraId="17ABF217" w14:textId="14AC00D7" w:rsidR="006C4813" w:rsidRPr="006C4813" w:rsidRDefault="006C4813" w:rsidP="00824B92">
            <w:pPr>
              <w:rPr>
                <w:rFonts w:eastAsia="Arial"/>
              </w:rPr>
            </w:pPr>
            <w:r w:rsidRPr="006C4813">
              <w:rPr>
                <w:rFonts w:eastAsia="Arial"/>
              </w:rPr>
              <w:t>1.6</w:t>
            </w:r>
          </w:p>
        </w:tc>
        <w:tc>
          <w:tcPr>
            <w:tcW w:w="3694" w:type="dxa"/>
          </w:tcPr>
          <w:p w14:paraId="4D49DBF5" w14:textId="77777777" w:rsidR="006C4813" w:rsidRPr="006C4813" w:rsidRDefault="006C4813" w:rsidP="00824B92">
            <w:pPr>
              <w:rPr>
                <w:bCs/>
                <w:color w:val="000000"/>
                <w:lang w:eastAsia="lt-LT"/>
              </w:rPr>
            </w:pPr>
            <w:r w:rsidRPr="006C4813">
              <w:rPr>
                <w:bCs/>
                <w:color w:val="000000"/>
                <w:lang w:eastAsia="lt-LT"/>
              </w:rPr>
              <w:t>Pareiškėjo teikiama (-os) kompensuoti vaistinio preparato indikacija (-os)</w:t>
            </w:r>
          </w:p>
          <w:p w14:paraId="3FB07EE5" w14:textId="77777777" w:rsidR="006C4813" w:rsidRPr="006C4813" w:rsidRDefault="006C4813" w:rsidP="00824B92">
            <w:pPr>
              <w:rPr>
                <w:bCs/>
                <w:color w:val="000000"/>
                <w:lang w:eastAsia="lt-LT"/>
              </w:rPr>
            </w:pPr>
          </w:p>
          <w:p w14:paraId="3A6B054C" w14:textId="77777777" w:rsidR="006C4813" w:rsidRPr="006C4813" w:rsidRDefault="006C4813" w:rsidP="00824B92">
            <w:pPr>
              <w:rPr>
                <w:bCs/>
                <w:color w:val="000000"/>
                <w:lang w:eastAsia="lt-LT"/>
              </w:rPr>
            </w:pPr>
          </w:p>
          <w:p w14:paraId="6B4FEEC1" w14:textId="378668B0" w:rsidR="006C4813" w:rsidRPr="006C4813" w:rsidRDefault="006C4813" w:rsidP="00824B92">
            <w:pPr>
              <w:rPr>
                <w:bCs/>
                <w:color w:val="000000"/>
                <w:lang w:eastAsia="lt-LT"/>
              </w:rPr>
            </w:pPr>
            <w:r w:rsidRPr="006C4813">
              <w:rPr>
                <w:bCs/>
                <w:color w:val="000000"/>
                <w:lang w:eastAsia="lt-LT"/>
              </w:rPr>
              <w:t>Kodas pagal TLK-10 AM</w:t>
            </w:r>
          </w:p>
        </w:tc>
        <w:tc>
          <w:tcPr>
            <w:tcW w:w="5167" w:type="dxa"/>
          </w:tcPr>
          <w:p w14:paraId="3279CAC7" w14:textId="77777777" w:rsidR="006C4813" w:rsidRPr="00385909" w:rsidRDefault="006C4813" w:rsidP="006C4813">
            <w:pPr>
              <w:pStyle w:val="Default"/>
              <w:jc w:val="both"/>
              <w:rPr>
                <w:rFonts w:ascii="Times New Roman" w:hAnsi="Times New Roman" w:cs="Times New Roman"/>
              </w:rPr>
            </w:pPr>
            <w:r w:rsidRPr="00385909">
              <w:rPr>
                <w:rFonts w:ascii="Times New Roman" w:hAnsi="Times New Roman" w:cs="Times New Roman"/>
              </w:rPr>
              <w:t>Tecentriq monoterapija skirta NSLPV sergančių suaugusių pacientų adjuvantiniam gydymui po radikalios naviko rezekcijos ir chemoterapijos su platinos preparatais, kai pacientams yra didelė ligos recidyvo rizika, kai ≥ 50 proc. naviko ląstelių (NL) yra nustatyta PD-L1 raiška ir kai nėra nustatyta EGFR mutacijų arba ALK teigiamas NSLPV (atrankos kriterijai nurodyti žr. 5.1 skyriuje).</w:t>
            </w:r>
          </w:p>
          <w:p w14:paraId="0C6F72FB" w14:textId="77777777" w:rsidR="006C4813" w:rsidRPr="00385909" w:rsidRDefault="006C4813" w:rsidP="006C4813">
            <w:pPr>
              <w:pStyle w:val="Default"/>
              <w:jc w:val="both"/>
              <w:rPr>
                <w:rFonts w:ascii="Times New Roman" w:hAnsi="Times New Roman" w:cs="Times New Roman"/>
              </w:rPr>
            </w:pPr>
          </w:p>
          <w:p w14:paraId="13F7DFB0" w14:textId="0564F09D" w:rsidR="006C4813" w:rsidRPr="00385909" w:rsidRDefault="006C4813" w:rsidP="006C4813">
            <w:r w:rsidRPr="00385909">
              <w:t>TLK kodas – C34.</w:t>
            </w:r>
          </w:p>
        </w:tc>
      </w:tr>
      <w:tr w:rsidR="006C4813" w:rsidRPr="006C4813" w14:paraId="2F79DC08" w14:textId="77777777" w:rsidTr="00BE7489">
        <w:trPr>
          <w:trHeight w:val="378"/>
        </w:trPr>
        <w:tc>
          <w:tcPr>
            <w:tcW w:w="632" w:type="dxa"/>
          </w:tcPr>
          <w:p w14:paraId="547885A2" w14:textId="08AA8055" w:rsidR="006C4813" w:rsidRPr="006C4813" w:rsidRDefault="006C4813" w:rsidP="00824B92">
            <w:pPr>
              <w:rPr>
                <w:rFonts w:eastAsia="Arial"/>
              </w:rPr>
            </w:pPr>
            <w:r w:rsidRPr="006C4813">
              <w:rPr>
                <w:rFonts w:eastAsia="Arial"/>
              </w:rPr>
              <w:t>1.6</w:t>
            </w:r>
          </w:p>
        </w:tc>
        <w:tc>
          <w:tcPr>
            <w:tcW w:w="3694" w:type="dxa"/>
          </w:tcPr>
          <w:p w14:paraId="2EAB877F" w14:textId="39A36941" w:rsidR="006C4813" w:rsidRPr="006C4813" w:rsidRDefault="006C4813" w:rsidP="00824B92">
            <w:pPr>
              <w:rPr>
                <w:bCs/>
                <w:color w:val="000000"/>
                <w:u w:val="single"/>
                <w:lang w:eastAsia="lt-LT"/>
              </w:rPr>
            </w:pPr>
            <w:r w:rsidRPr="006C4813">
              <w:rPr>
                <w:bCs/>
                <w:color w:val="000000"/>
                <w:lang w:eastAsia="lt-LT"/>
              </w:rPr>
              <w:t xml:space="preserve">Pareiškėjo teikiamos skyrimo sąlygos </w:t>
            </w:r>
          </w:p>
        </w:tc>
        <w:tc>
          <w:tcPr>
            <w:tcW w:w="5167" w:type="dxa"/>
          </w:tcPr>
          <w:p w14:paraId="0579DF58" w14:textId="6F83C5DA" w:rsidR="006C4813" w:rsidRPr="00385909" w:rsidRDefault="00D93AEE" w:rsidP="00D93AEE">
            <w:pPr>
              <w:pStyle w:val="Betarp"/>
              <w:spacing w:line="276" w:lineRule="auto"/>
              <w:rPr>
                <w:rFonts w:ascii="Times New Roman" w:hAnsi="Times New Roman"/>
                <w:sz w:val="24"/>
                <w:szCs w:val="24"/>
              </w:rPr>
            </w:pPr>
            <w:r w:rsidRPr="00385909">
              <w:rPr>
                <w:rFonts w:ascii="Times New Roman" w:eastAsia="Times New Roman" w:hAnsi="Times New Roman"/>
                <w:sz w:val="24"/>
                <w:szCs w:val="24"/>
              </w:rPr>
              <w:t>Prašoma vertinti pagal registruotą vaistinio preparato indikaciją, nurodytą vaistinio preparato charakteristikų santraukoje.</w:t>
            </w:r>
          </w:p>
        </w:tc>
      </w:tr>
      <w:tr w:rsidR="006C4813" w:rsidRPr="006C4813" w14:paraId="3B125269" w14:textId="77777777" w:rsidTr="00BE7489">
        <w:trPr>
          <w:trHeight w:val="378"/>
        </w:trPr>
        <w:tc>
          <w:tcPr>
            <w:tcW w:w="632" w:type="dxa"/>
          </w:tcPr>
          <w:p w14:paraId="0058E11F" w14:textId="77777777" w:rsidR="006C4813" w:rsidRPr="006C4813" w:rsidRDefault="006C4813" w:rsidP="00824B92">
            <w:pPr>
              <w:rPr>
                <w:rFonts w:eastAsia="Arial"/>
              </w:rPr>
            </w:pPr>
            <w:r w:rsidRPr="006C4813">
              <w:rPr>
                <w:rFonts w:eastAsia="Arial"/>
              </w:rPr>
              <w:lastRenderedPageBreak/>
              <w:t>1.7</w:t>
            </w:r>
          </w:p>
        </w:tc>
        <w:tc>
          <w:tcPr>
            <w:tcW w:w="3694" w:type="dxa"/>
          </w:tcPr>
          <w:p w14:paraId="1BAAD642" w14:textId="5C6DB89F" w:rsidR="006C4813" w:rsidRPr="006C4813" w:rsidRDefault="006C4813" w:rsidP="00824B92">
            <w:pPr>
              <w:rPr>
                <w:bCs/>
                <w:color w:val="000000"/>
                <w:lang w:eastAsia="lt-LT"/>
              </w:rPr>
            </w:pPr>
            <w:r w:rsidRPr="006C4813">
              <w:rPr>
                <w:bCs/>
                <w:color w:val="000000"/>
                <w:lang w:eastAsia="lt-LT"/>
              </w:rPr>
              <w:t xml:space="preserve">Pareiškėjo teikiamas palyginamasis gydymas: </w:t>
            </w:r>
          </w:p>
          <w:p w14:paraId="6CC1022E" w14:textId="65FFF747" w:rsidR="006C4813" w:rsidRPr="006C4813" w:rsidRDefault="006C4813" w:rsidP="006C4813">
            <w:pPr>
              <w:pStyle w:val="Sraopastraipa"/>
              <w:numPr>
                <w:ilvl w:val="0"/>
                <w:numId w:val="15"/>
              </w:numPr>
              <w:rPr>
                <w:bCs/>
                <w:color w:val="000000"/>
                <w:lang w:eastAsia="lt-LT"/>
              </w:rPr>
            </w:pPr>
            <w:r w:rsidRPr="006C4813">
              <w:rPr>
                <w:bCs/>
                <w:color w:val="000000"/>
                <w:lang w:eastAsia="lt-LT"/>
              </w:rPr>
              <w:t>tiesioginiame palyginime – geriausias palaikomasis gydymas;</w:t>
            </w:r>
          </w:p>
        </w:tc>
        <w:tc>
          <w:tcPr>
            <w:tcW w:w="5167" w:type="dxa"/>
          </w:tcPr>
          <w:p w14:paraId="0DF29E7C" w14:textId="77777777" w:rsidR="006C4813" w:rsidRPr="00385909" w:rsidRDefault="006C4813" w:rsidP="00824B92">
            <w:pPr>
              <w:rPr>
                <w:rStyle w:val="Style2"/>
                <w:sz w:val="24"/>
              </w:rPr>
            </w:pPr>
          </w:p>
          <w:p w14:paraId="1F113AC0" w14:textId="3540572D" w:rsidR="006C4813" w:rsidRPr="00385909"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 xml:space="preserve"> Tinkamas</w:t>
            </w:r>
          </w:p>
          <w:p w14:paraId="41B44044" w14:textId="225071BF" w:rsidR="006C4813" w:rsidRPr="00385909"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6C4813" w:rsidRPr="00385909">
                  <w:rPr>
                    <w:rStyle w:val="Style2"/>
                    <w:rFonts w:ascii="MS Mincho" w:eastAsia="MS Mincho" w:hAnsi="MS Mincho" w:cs="MS Mincho"/>
                    <w:sz w:val="24"/>
                  </w:rPr>
                  <w:t>☐</w:t>
                </w:r>
              </w:sdtContent>
            </w:sdt>
            <w:r w:rsidR="006C4813" w:rsidRPr="00385909">
              <w:t xml:space="preserve"> Netinkamas</w:t>
            </w:r>
          </w:p>
        </w:tc>
      </w:tr>
    </w:tbl>
    <w:p w14:paraId="108176F7" w14:textId="640C6F75" w:rsidR="00F70C9E" w:rsidRPr="006C4813" w:rsidRDefault="00F70C9E" w:rsidP="00E03C3F">
      <w:pPr>
        <w:pStyle w:val="Sraopastraipa"/>
        <w:tabs>
          <w:tab w:val="left" w:pos="426"/>
        </w:tabs>
        <w:ind w:left="0"/>
        <w:rPr>
          <w:b/>
          <w:bCs/>
          <w:caps/>
        </w:rPr>
      </w:pPr>
    </w:p>
    <w:p w14:paraId="2871CA7F" w14:textId="2370BDDB" w:rsidR="00F70C9E" w:rsidRPr="006C4813" w:rsidRDefault="00F70C9E" w:rsidP="00880A44">
      <w:pPr>
        <w:spacing w:line="276" w:lineRule="auto"/>
        <w:jc w:val="both"/>
        <w:rPr>
          <w:rFonts w:eastAsia="Arial"/>
          <w:b/>
        </w:rPr>
      </w:pPr>
      <w:r w:rsidRPr="006C4813">
        <w:rPr>
          <w:rFonts w:eastAsia="Arial"/>
          <w:b/>
        </w:rPr>
        <w:t xml:space="preserve">1.8 Kitų </w:t>
      </w:r>
      <w:r w:rsidR="00DF583C" w:rsidRPr="006C4813">
        <w:rPr>
          <w:rFonts w:eastAsia="Arial"/>
          <w:b/>
        </w:rPr>
        <w:t xml:space="preserve">valstybių </w:t>
      </w:r>
      <w:r w:rsidRPr="006C4813">
        <w:rPr>
          <w:rFonts w:eastAsia="Arial"/>
          <w:b/>
        </w:rPr>
        <w:t xml:space="preserve">atsakingų institucijų atlikto </w:t>
      </w:r>
      <w:r w:rsidR="00DF583C" w:rsidRPr="006C4813">
        <w:rPr>
          <w:rFonts w:eastAsia="Arial"/>
          <w:b/>
        </w:rPr>
        <w:t>Sveikatos technologijų vertinimo (toliau – STV)</w:t>
      </w:r>
      <w:r w:rsidRPr="006C4813">
        <w:rPr>
          <w:rFonts w:eastAsia="Arial"/>
          <w:b/>
        </w:rPr>
        <w:t xml:space="preserve"> išvados</w:t>
      </w:r>
    </w:p>
    <w:p w14:paraId="30721FDD" w14:textId="77777777" w:rsidR="00F70C9E" w:rsidRPr="006C4813" w:rsidRDefault="00F70C9E" w:rsidP="00F70C9E">
      <w:pPr>
        <w:spacing w:line="276" w:lineRule="auto"/>
        <w:rPr>
          <w:rFonts w:eastAsia="Arial"/>
          <w:highlight w:val="yellow"/>
        </w:rPr>
      </w:pPr>
    </w:p>
    <w:tbl>
      <w:tblPr>
        <w:tblStyle w:val="Lentelstinklelis"/>
        <w:tblW w:w="9493" w:type="dxa"/>
        <w:tblLook w:val="04A0" w:firstRow="1" w:lastRow="0" w:firstColumn="1" w:lastColumn="0" w:noHBand="0" w:noVBand="1"/>
      </w:tblPr>
      <w:tblGrid>
        <w:gridCol w:w="2794"/>
        <w:gridCol w:w="1785"/>
        <w:gridCol w:w="2251"/>
        <w:gridCol w:w="2663"/>
      </w:tblGrid>
      <w:tr w:rsidR="00F70C9E" w:rsidRPr="006C4813" w14:paraId="7E72828B" w14:textId="77777777" w:rsidTr="006C4813">
        <w:trPr>
          <w:trHeight w:val="924"/>
        </w:trPr>
        <w:tc>
          <w:tcPr>
            <w:tcW w:w="2794" w:type="dxa"/>
          </w:tcPr>
          <w:p w14:paraId="253D1DD4" w14:textId="5B2616C0" w:rsidR="00F70C9E" w:rsidRPr="006C4813" w:rsidRDefault="00F70C9E" w:rsidP="00824B92">
            <w:pPr>
              <w:rPr>
                <w:rFonts w:eastAsia="Arial"/>
              </w:rPr>
            </w:pPr>
            <w:r w:rsidRPr="006C4813">
              <w:rPr>
                <w:rFonts w:eastAsia="Arial"/>
              </w:rPr>
              <w:t>ST</w:t>
            </w:r>
            <w:r w:rsidR="00DF583C" w:rsidRPr="006C4813">
              <w:rPr>
                <w:rFonts w:eastAsia="Arial"/>
              </w:rPr>
              <w:t>V</w:t>
            </w:r>
            <w:r w:rsidRPr="006C4813">
              <w:rPr>
                <w:rFonts w:eastAsia="Arial"/>
              </w:rPr>
              <w:t xml:space="preserve"> agentūros pavadinimas, šalis</w:t>
            </w:r>
          </w:p>
        </w:tc>
        <w:tc>
          <w:tcPr>
            <w:tcW w:w="1785" w:type="dxa"/>
          </w:tcPr>
          <w:p w14:paraId="34AE1EDD" w14:textId="77777777" w:rsidR="00F70C9E" w:rsidRPr="006C4813" w:rsidRDefault="00F70C9E" w:rsidP="00824B92">
            <w:pPr>
              <w:rPr>
                <w:rFonts w:eastAsia="Arial"/>
              </w:rPr>
            </w:pPr>
            <w:r w:rsidRPr="006C4813">
              <w:rPr>
                <w:rFonts w:eastAsia="Arial"/>
              </w:rPr>
              <w:t>STV vertinimas atliktas</w:t>
            </w:r>
          </w:p>
        </w:tc>
        <w:tc>
          <w:tcPr>
            <w:tcW w:w="2251" w:type="dxa"/>
          </w:tcPr>
          <w:p w14:paraId="16E2DDC1" w14:textId="77777777" w:rsidR="00F70C9E" w:rsidRPr="006C4813" w:rsidRDefault="00F70C9E" w:rsidP="00824B92">
            <w:pPr>
              <w:rPr>
                <w:rFonts w:eastAsia="Arial"/>
              </w:rPr>
            </w:pPr>
            <w:r w:rsidRPr="006C4813">
              <w:rPr>
                <w:rFonts w:eastAsia="Arial"/>
              </w:rPr>
              <w:t>Klinikinio vertinimo išvada</w:t>
            </w:r>
          </w:p>
        </w:tc>
        <w:tc>
          <w:tcPr>
            <w:tcW w:w="2663" w:type="dxa"/>
          </w:tcPr>
          <w:p w14:paraId="1861E3F2" w14:textId="74803B5B" w:rsidR="00F70C9E" w:rsidRPr="006C4813" w:rsidRDefault="00F70C9E" w:rsidP="00824B92">
            <w:pPr>
              <w:rPr>
                <w:rFonts w:eastAsia="Arial"/>
              </w:rPr>
            </w:pPr>
            <w:r w:rsidRPr="006C4813">
              <w:rPr>
                <w:rFonts w:eastAsia="Arial"/>
              </w:rPr>
              <w:t>Farmako</w:t>
            </w:r>
            <w:r w:rsidR="00CA217D" w:rsidRPr="006C4813">
              <w:rPr>
                <w:rFonts w:eastAsia="Arial"/>
              </w:rPr>
              <w:t>e</w:t>
            </w:r>
            <w:r w:rsidR="00476256" w:rsidRPr="006C4813">
              <w:rPr>
                <w:rFonts w:eastAsia="Arial"/>
              </w:rPr>
              <w:t>ko</w:t>
            </w:r>
            <w:r w:rsidRPr="006C4813">
              <w:rPr>
                <w:rFonts w:eastAsia="Arial"/>
              </w:rPr>
              <w:t>nominio vertinimo išvada</w:t>
            </w:r>
          </w:p>
        </w:tc>
      </w:tr>
      <w:tr w:rsidR="006C4813" w:rsidRPr="006C4813" w14:paraId="129FA8F6" w14:textId="77777777" w:rsidTr="006C4813">
        <w:trPr>
          <w:trHeight w:val="2267"/>
        </w:trPr>
        <w:tc>
          <w:tcPr>
            <w:tcW w:w="2794" w:type="dxa"/>
          </w:tcPr>
          <w:p w14:paraId="3E080F34" w14:textId="77777777" w:rsidR="006C4813" w:rsidRPr="0042693C" w:rsidRDefault="006C4813" w:rsidP="00153AD0">
            <w:pPr>
              <w:autoSpaceDE w:val="0"/>
              <w:autoSpaceDN w:val="0"/>
              <w:adjustRightInd w:val="0"/>
              <w:rPr>
                <w:bCs/>
              </w:rPr>
            </w:pPr>
            <w:r w:rsidRPr="0042693C">
              <w:rPr>
                <w:bCs/>
              </w:rPr>
              <w:t>Nacionalinis sveikatos ir klinikinės kompetencijos institutas, Didžioji Britanija</w:t>
            </w:r>
          </w:p>
          <w:p w14:paraId="49C6520D" w14:textId="563C042C" w:rsidR="006C4813" w:rsidRPr="006C4813" w:rsidRDefault="006C4813" w:rsidP="002A3179">
            <w:pPr>
              <w:rPr>
                <w:rFonts w:eastAsia="Arial"/>
                <w:highlight w:val="yellow"/>
              </w:rPr>
            </w:pPr>
            <w:r w:rsidRPr="0042693C">
              <w:rPr>
                <w:rFonts w:eastAsia="Arial"/>
              </w:rPr>
              <w:t xml:space="preserve">(angl. </w:t>
            </w:r>
            <w:r w:rsidRPr="0042693C">
              <w:rPr>
                <w:rFonts w:eastAsia="Arial"/>
                <w:i/>
              </w:rPr>
              <w:t>National Institute for Health and Care Excellence, NICE</w:t>
            </w:r>
            <w:r w:rsidRPr="0042693C">
              <w:rPr>
                <w:rFonts w:eastAsia="Arial"/>
              </w:rPr>
              <w:t>)</w:t>
            </w:r>
          </w:p>
        </w:tc>
        <w:tc>
          <w:tcPr>
            <w:tcW w:w="1785" w:type="dxa"/>
          </w:tcPr>
          <w:p w14:paraId="5643483C" w14:textId="77777777" w:rsidR="006C4813" w:rsidRPr="0042693C" w:rsidRDefault="006C4813" w:rsidP="00153AD0">
            <w:r w:rsidRPr="0042693C">
              <w:rPr>
                <w:rStyle w:val="Style2"/>
                <w:rFonts w:ascii="MS Gothic" w:eastAsia="MS Gothic" w:hAnsi="MS Gothic" w:hint="eastAsia"/>
              </w:rPr>
              <w:t>☒</w:t>
            </w:r>
            <w:r w:rsidRPr="0042693C">
              <w:t xml:space="preserve"> Taip</w:t>
            </w:r>
          </w:p>
          <w:p w14:paraId="6E370554" w14:textId="77777777" w:rsidR="006C4813" w:rsidRPr="0042693C" w:rsidRDefault="006C4813" w:rsidP="00153AD0">
            <w:r w:rsidRPr="0042693C">
              <w:rPr>
                <w:rStyle w:val="Style2"/>
                <w:rFonts w:ascii="MS Gothic" w:eastAsia="MS Gothic" w:hAnsi="MS Gothic" w:hint="eastAsia"/>
              </w:rPr>
              <w:t>☐</w:t>
            </w:r>
            <w:r w:rsidRPr="0042693C">
              <w:t xml:space="preserve"> Ne</w:t>
            </w:r>
          </w:p>
          <w:p w14:paraId="7916359D" w14:textId="4FD4580F" w:rsidR="006C4813" w:rsidRPr="006C4813" w:rsidRDefault="00000000" w:rsidP="002A3179">
            <w:pPr>
              <w:rPr>
                <w:rFonts w:eastAsia="Arial"/>
                <w:highlight w:val="yellow"/>
              </w:rPr>
            </w:pPr>
            <w:sdt>
              <w:sdtPr>
                <w:alias w:val="Nurodykite konkrečią dieną"/>
                <w:tag w:val="Nurodykite pradžios datą"/>
                <w:id w:val="922837954"/>
                <w15:color w:val="FFCC99"/>
                <w:date>
                  <w:dateFormat w:val="yyyy 'm.' MMMM d 'd.'"/>
                  <w:lid w:val="lt-LT"/>
                  <w:storeMappedDataAs w:val="dateTime"/>
                  <w:calendar w:val="gregorian"/>
                </w:date>
              </w:sdtPr>
              <w:sdtContent>
                <w:r w:rsidR="006C4813" w:rsidRPr="0042693C">
                  <w:t>202</w:t>
                </w:r>
                <w:r w:rsidR="006C4813" w:rsidRPr="0042693C">
                  <w:rPr>
                    <w:lang w:val="en-GB"/>
                  </w:rPr>
                  <w:t>2</w:t>
                </w:r>
                <w:r w:rsidR="006C4813" w:rsidRPr="0042693C">
                  <w:t xml:space="preserve"> m. rugsėjo 2</w:t>
                </w:r>
                <w:r w:rsidR="006C4813" w:rsidRPr="0042693C">
                  <w:rPr>
                    <w:lang w:val="en-GB"/>
                  </w:rPr>
                  <w:t>8</w:t>
                </w:r>
                <w:r w:rsidR="006C4813" w:rsidRPr="0042693C">
                  <w:t xml:space="preserve"> d.</w:t>
                </w:r>
              </w:sdtContent>
            </w:sdt>
          </w:p>
        </w:tc>
        <w:tc>
          <w:tcPr>
            <w:tcW w:w="2251" w:type="dxa"/>
          </w:tcPr>
          <w:p w14:paraId="46FE20EF" w14:textId="77777777" w:rsidR="006C4813" w:rsidRPr="0042693C" w:rsidRDefault="006C4813" w:rsidP="00D150D6">
            <w:pPr>
              <w:pStyle w:val="Default"/>
              <w:rPr>
                <w:rFonts w:ascii="Times New Roman" w:hAnsi="Times New Roman" w:cs="Times New Roman"/>
                <w:szCs w:val="20"/>
              </w:rPr>
            </w:pPr>
            <w:r w:rsidRPr="0042693C">
              <w:rPr>
                <w:rFonts w:ascii="Times New Roman" w:hAnsi="Times New Roman" w:cs="Times New Roman"/>
                <w:szCs w:val="20"/>
              </w:rPr>
              <w:t xml:space="preserve">Atezolizumabą rekomenduojama naudoti kaip papildomą gydymą po </w:t>
            </w:r>
            <w:r>
              <w:rPr>
                <w:rFonts w:ascii="Times New Roman" w:hAnsi="Times New Roman" w:cs="Times New Roman"/>
                <w:szCs w:val="20"/>
              </w:rPr>
              <w:t>visiškos</w:t>
            </w:r>
            <w:r w:rsidRPr="0042693C">
              <w:rPr>
                <w:rFonts w:ascii="Times New Roman" w:hAnsi="Times New Roman" w:cs="Times New Roman"/>
                <w:szCs w:val="20"/>
              </w:rPr>
              <w:t xml:space="preserve"> naviko rezekcijos su</w:t>
            </w:r>
            <w:r>
              <w:rPr>
                <w:rFonts w:ascii="Times New Roman" w:hAnsi="Times New Roman" w:cs="Times New Roman"/>
                <w:szCs w:val="20"/>
              </w:rPr>
              <w:t>augusiems žmonėms, sergantiems II–IIIA</w:t>
            </w:r>
            <w:r w:rsidRPr="0042693C">
              <w:rPr>
                <w:rFonts w:ascii="Times New Roman" w:hAnsi="Times New Roman" w:cs="Times New Roman"/>
                <w:szCs w:val="20"/>
              </w:rPr>
              <w:t xml:space="preserve"> stadijos nesmulkialąsteliniu plaučių vėžiu (NSLPV), kuriems:</w:t>
            </w:r>
          </w:p>
          <w:p w14:paraId="1E425B99" w14:textId="77777777" w:rsidR="006C4813" w:rsidRPr="0042693C" w:rsidRDefault="006C4813" w:rsidP="00D150D6">
            <w:pPr>
              <w:pStyle w:val="Default"/>
              <w:rPr>
                <w:rFonts w:ascii="Times New Roman" w:hAnsi="Times New Roman" w:cs="Times New Roman"/>
                <w:szCs w:val="20"/>
              </w:rPr>
            </w:pPr>
            <w:r>
              <w:rPr>
                <w:rFonts w:ascii="Times New Roman" w:hAnsi="Times New Roman" w:cs="Times New Roman"/>
                <w:szCs w:val="20"/>
              </w:rPr>
              <w:t>a. navikai turi PD-L1</w:t>
            </w:r>
            <w:r w:rsidRPr="00CF4F87">
              <w:rPr>
                <w:rFonts w:ascii="Times New Roman" w:hAnsi="Times New Roman" w:cs="Times New Roman"/>
                <w:szCs w:val="20"/>
              </w:rPr>
              <w:t>≥</w:t>
            </w:r>
            <w:r>
              <w:rPr>
                <w:rFonts w:ascii="Times New Roman" w:hAnsi="Times New Roman" w:cs="Times New Roman"/>
                <w:szCs w:val="20"/>
              </w:rPr>
              <w:t xml:space="preserve"> 50 proc. NL</w:t>
            </w:r>
            <w:r w:rsidRPr="0042693C">
              <w:rPr>
                <w:rFonts w:ascii="Times New Roman" w:hAnsi="Times New Roman" w:cs="Times New Roman"/>
                <w:szCs w:val="20"/>
              </w:rPr>
              <w:t xml:space="preserve"> ir</w:t>
            </w:r>
          </w:p>
          <w:p w14:paraId="5F46A6FC" w14:textId="72C0D033" w:rsidR="006C4813" w:rsidRPr="006C4813" w:rsidRDefault="006C4813" w:rsidP="00D150D6">
            <w:pPr>
              <w:rPr>
                <w:rFonts w:eastAsia="Arial"/>
                <w:highlight w:val="yellow"/>
              </w:rPr>
            </w:pPr>
            <w:r>
              <w:rPr>
                <w:szCs w:val="20"/>
              </w:rPr>
              <w:t xml:space="preserve">b. </w:t>
            </w:r>
            <w:r w:rsidRPr="0042693C">
              <w:rPr>
                <w:szCs w:val="20"/>
              </w:rPr>
              <w:t>kurių liga neprogresavo po platinos</w:t>
            </w:r>
            <w:r>
              <w:rPr>
                <w:szCs w:val="20"/>
              </w:rPr>
              <w:t xml:space="preserve"> pagrindo</w:t>
            </w:r>
            <w:r w:rsidRPr="0042693C">
              <w:rPr>
                <w:szCs w:val="20"/>
              </w:rPr>
              <w:t xml:space="preserve"> adjuvantinės chemoterapijos.</w:t>
            </w:r>
          </w:p>
        </w:tc>
        <w:tc>
          <w:tcPr>
            <w:tcW w:w="2663" w:type="dxa"/>
          </w:tcPr>
          <w:p w14:paraId="113EAF6A" w14:textId="7C6B9082" w:rsidR="00D150D6" w:rsidRPr="00D150D6" w:rsidRDefault="00D150D6" w:rsidP="00D150D6">
            <w:pPr>
              <w:pStyle w:val="Default"/>
              <w:rPr>
                <w:rFonts w:ascii="Times New Roman" w:hAnsi="Times New Roman" w:cs="Times New Roman"/>
                <w:szCs w:val="20"/>
              </w:rPr>
            </w:pPr>
            <w:r w:rsidRPr="00D150D6">
              <w:rPr>
                <w:rFonts w:ascii="Times New Roman" w:eastAsia="Arial" w:hAnsi="Times New Roman" w:cs="Times New Roman"/>
              </w:rPr>
              <w:t xml:space="preserve">Pripažįstama, kad atezolizumabas yra daug žadantis gydymo pasirinkimas, tačiau šiuo metu trūksta duomenų kaštų naudingumo analizei paremti rutininį atezolizumabo skyrimą. Tačiau atezolizumabas yra rekomenduojamas vartojimui finansuojant Priešvėžinių vaistų fondo (angl. </w:t>
            </w:r>
            <w:r w:rsidRPr="00D150D6">
              <w:rPr>
                <w:rFonts w:ascii="Times New Roman" w:eastAsia="Arial" w:hAnsi="Times New Roman" w:cs="Times New Roman"/>
                <w:i/>
                <w:iCs/>
              </w:rPr>
              <w:t>Cancer Drugs Fund)</w:t>
            </w:r>
            <w:r w:rsidRPr="00D150D6">
              <w:rPr>
                <w:rFonts w:ascii="Times New Roman" w:eastAsia="Arial" w:hAnsi="Times New Roman" w:cs="Times New Roman"/>
              </w:rPr>
              <w:t xml:space="preserve"> lėšomis </w:t>
            </w:r>
            <w:r w:rsidRPr="00D150D6">
              <w:rPr>
                <w:rFonts w:ascii="Times New Roman" w:hAnsi="Times New Roman" w:cs="Times New Roman"/>
                <w:szCs w:val="20"/>
              </w:rPr>
              <w:t>po visiškos naviko rezekcijos suaugusiems žmonėms, sergantiems II–IIIA stadijos nesmulkialąsteliniu plaučių vėžiu (NSLPV), kuriems:</w:t>
            </w:r>
          </w:p>
          <w:p w14:paraId="2CDC38DF" w14:textId="77777777" w:rsidR="00D150D6" w:rsidRPr="00D150D6" w:rsidRDefault="00D150D6" w:rsidP="00D150D6">
            <w:pPr>
              <w:pStyle w:val="Default"/>
              <w:rPr>
                <w:rFonts w:ascii="Times New Roman" w:hAnsi="Times New Roman" w:cs="Times New Roman"/>
                <w:szCs w:val="20"/>
              </w:rPr>
            </w:pPr>
            <w:r w:rsidRPr="00D150D6">
              <w:rPr>
                <w:rFonts w:ascii="Times New Roman" w:hAnsi="Times New Roman" w:cs="Times New Roman"/>
                <w:szCs w:val="20"/>
              </w:rPr>
              <w:t>a. navikai turi PD-L1≥ 50 proc. NL ir</w:t>
            </w:r>
          </w:p>
          <w:p w14:paraId="5C361EA9" w14:textId="177E81CE" w:rsidR="00D150D6" w:rsidRPr="00D150D6" w:rsidRDefault="00D150D6" w:rsidP="00D150D6">
            <w:pPr>
              <w:rPr>
                <w:rFonts w:eastAsia="Arial"/>
              </w:rPr>
            </w:pPr>
            <w:r w:rsidRPr="00D150D6">
              <w:rPr>
                <w:szCs w:val="20"/>
              </w:rPr>
              <w:t>b. kurių liga neprogresavo po platinos pagrindo adjuvantinės chemoterapijos.</w:t>
            </w:r>
          </w:p>
          <w:p w14:paraId="67430EE7" w14:textId="2F5A5929" w:rsidR="006C4813" w:rsidRPr="00467F02" w:rsidRDefault="006C4813" w:rsidP="00D150D6">
            <w:pPr>
              <w:rPr>
                <w:rFonts w:eastAsia="Arial"/>
                <w:b/>
                <w:bCs/>
                <w:highlight w:val="yellow"/>
              </w:rPr>
            </w:pPr>
          </w:p>
        </w:tc>
      </w:tr>
      <w:tr w:rsidR="006C4813" w:rsidRPr="006C4813" w14:paraId="1CC31474" w14:textId="77777777" w:rsidTr="006C4813">
        <w:trPr>
          <w:trHeight w:val="476"/>
        </w:trPr>
        <w:tc>
          <w:tcPr>
            <w:tcW w:w="2794" w:type="dxa"/>
          </w:tcPr>
          <w:p w14:paraId="234A4ED3" w14:textId="77777777" w:rsidR="006C4813" w:rsidRPr="00AA5CF3" w:rsidRDefault="006C4813" w:rsidP="00153AD0">
            <w:pPr>
              <w:spacing w:line="276" w:lineRule="auto"/>
              <w:rPr>
                <w:rFonts w:eastAsia="Arial"/>
              </w:rPr>
            </w:pPr>
            <w:r w:rsidRPr="00AA5CF3">
              <w:rPr>
                <w:rFonts w:eastAsia="Arial"/>
              </w:rPr>
              <w:t>Kanados sveikatos technologijų agentūra</w:t>
            </w:r>
          </w:p>
          <w:p w14:paraId="2C593A82" w14:textId="74BEAABF" w:rsidR="006C4813" w:rsidRPr="006C4813" w:rsidRDefault="006C4813" w:rsidP="00824B92">
            <w:pPr>
              <w:rPr>
                <w:rFonts w:eastAsia="Arial"/>
                <w:highlight w:val="yellow"/>
              </w:rPr>
            </w:pPr>
            <w:r w:rsidRPr="00AA5CF3">
              <w:rPr>
                <w:rFonts w:eastAsia="Arial"/>
              </w:rPr>
              <w:t xml:space="preserve">(angl. </w:t>
            </w:r>
            <w:r w:rsidRPr="00AA5CF3">
              <w:rPr>
                <w:rFonts w:eastAsia="Arial"/>
                <w:i/>
              </w:rPr>
              <w:t>Canadian health Technology Assessment agency, CADTH</w:t>
            </w:r>
            <w:r w:rsidRPr="00AA5CF3">
              <w:rPr>
                <w:rFonts w:eastAsia="Arial"/>
              </w:rPr>
              <w:t>)</w:t>
            </w:r>
          </w:p>
        </w:tc>
        <w:tc>
          <w:tcPr>
            <w:tcW w:w="1785" w:type="dxa"/>
          </w:tcPr>
          <w:p w14:paraId="6AE66608" w14:textId="77777777" w:rsidR="006C4813" w:rsidRPr="00AA5CF3" w:rsidRDefault="006C4813" w:rsidP="00153AD0">
            <w:r w:rsidRPr="00AA5CF3">
              <w:rPr>
                <w:rStyle w:val="Style2"/>
                <w:rFonts w:ascii="MS Gothic" w:eastAsia="MS Gothic" w:hAnsi="MS Gothic" w:hint="eastAsia"/>
              </w:rPr>
              <w:t>☒</w:t>
            </w:r>
            <w:r w:rsidRPr="00AA5CF3">
              <w:t xml:space="preserve"> Taip</w:t>
            </w:r>
          </w:p>
          <w:p w14:paraId="23E52337" w14:textId="77777777" w:rsidR="006C4813" w:rsidRPr="00AA5CF3" w:rsidRDefault="006C4813" w:rsidP="00153AD0">
            <w:r w:rsidRPr="00AA5CF3">
              <w:t xml:space="preserve"> Ne</w:t>
            </w:r>
          </w:p>
          <w:p w14:paraId="0C0988CC" w14:textId="2884B472" w:rsidR="006C4813" w:rsidRPr="006C4813" w:rsidRDefault="00000000" w:rsidP="00824B92">
            <w:pPr>
              <w:rPr>
                <w:rFonts w:eastAsia="Arial"/>
                <w:highlight w:val="yellow"/>
              </w:rPr>
            </w:pPr>
            <w:sdt>
              <w:sdtPr>
                <w:alias w:val="Nurodykite konkrečią dieną"/>
                <w:tag w:val="Nurodykite pradžios datą"/>
                <w:id w:val="1991669253"/>
                <w15:color w:val="FFCC99"/>
                <w:date>
                  <w:dateFormat w:val="yyyy 'm.' MMMM d 'd.'"/>
                  <w:lid w:val="lt-LT"/>
                  <w:storeMappedDataAs w:val="dateTime"/>
                  <w:calendar w:val="gregorian"/>
                </w:date>
              </w:sdtPr>
              <w:sdtContent>
                <w:r w:rsidR="006C4813" w:rsidRPr="00AA5CF3">
                  <w:t>202</w:t>
                </w:r>
                <w:r w:rsidR="006C4813" w:rsidRPr="00AA5CF3">
                  <w:rPr>
                    <w:lang w:val="en-GB"/>
                  </w:rPr>
                  <w:t>2</w:t>
                </w:r>
                <w:r w:rsidR="006C4813" w:rsidRPr="00AA5CF3">
                  <w:t xml:space="preserve"> m. rugsėjo 1 d.</w:t>
                </w:r>
              </w:sdtContent>
            </w:sdt>
          </w:p>
        </w:tc>
        <w:tc>
          <w:tcPr>
            <w:tcW w:w="2251" w:type="dxa"/>
          </w:tcPr>
          <w:p w14:paraId="093355C7" w14:textId="7AA8603D" w:rsidR="006C4813" w:rsidRPr="006C4813" w:rsidRDefault="006C4813" w:rsidP="00824B92">
            <w:pPr>
              <w:rPr>
                <w:rFonts w:eastAsia="Arial"/>
                <w:highlight w:val="yellow"/>
              </w:rPr>
            </w:pPr>
            <w:r w:rsidRPr="00AA5CF3">
              <w:rPr>
                <w:szCs w:val="20"/>
              </w:rPr>
              <w:t xml:space="preserve">Atezolizumabas kaip monoterapija adjuvantiniam gydymui po rezekcijos ir platina pagrįstos chemoterapijos pacientams, sergantiems II-IIIA stadijos NSLPV, kurių navikų PD-≥ </w:t>
            </w:r>
            <w:r w:rsidRPr="00AA5CF3">
              <w:rPr>
                <w:szCs w:val="20"/>
              </w:rPr>
              <w:lastRenderedPageBreak/>
              <w:t>50 proc. NL ir nėra nustatyta EGFR arba ALK genomo naviko aberacijų</w:t>
            </w:r>
          </w:p>
        </w:tc>
        <w:tc>
          <w:tcPr>
            <w:tcW w:w="2663" w:type="dxa"/>
          </w:tcPr>
          <w:p w14:paraId="624C70DC" w14:textId="33BDA28E" w:rsidR="00D46880" w:rsidRDefault="00D46880" w:rsidP="00D46880">
            <w:pPr>
              <w:rPr>
                <w:rFonts w:eastAsia="Arial"/>
              </w:rPr>
            </w:pPr>
            <w:r>
              <w:rPr>
                <w:rFonts w:eastAsia="Arial"/>
              </w:rPr>
              <w:lastRenderedPageBreak/>
              <w:t xml:space="preserve">Rekomenduojama kompensuoti su tam tikromis sąlygomis, įskaitant kainos sumažinimą siekiant pagerinti kaštų naudingumą. </w:t>
            </w:r>
          </w:p>
          <w:p w14:paraId="7699A1B5" w14:textId="77777777" w:rsidR="00D46880" w:rsidRDefault="00D46880" w:rsidP="00D46880">
            <w:pPr>
              <w:rPr>
                <w:rFonts w:eastAsia="Arial"/>
              </w:rPr>
            </w:pPr>
          </w:p>
          <w:p w14:paraId="5C8CB330" w14:textId="0D11F775" w:rsidR="006C4813" w:rsidRPr="006C4813" w:rsidRDefault="006C4813" w:rsidP="00D46880">
            <w:pPr>
              <w:rPr>
                <w:rFonts w:eastAsia="Arial"/>
                <w:highlight w:val="yellow"/>
              </w:rPr>
            </w:pPr>
          </w:p>
        </w:tc>
      </w:tr>
      <w:tr w:rsidR="006C4813" w:rsidRPr="006C4813" w14:paraId="21E43995" w14:textId="77777777" w:rsidTr="006C4813">
        <w:trPr>
          <w:trHeight w:val="1927"/>
        </w:trPr>
        <w:tc>
          <w:tcPr>
            <w:tcW w:w="2794" w:type="dxa"/>
          </w:tcPr>
          <w:p w14:paraId="0CD21066" w14:textId="77777777" w:rsidR="006C4813" w:rsidRPr="00CF0422" w:rsidRDefault="006C4813" w:rsidP="00153AD0">
            <w:pPr>
              <w:spacing w:line="276" w:lineRule="auto"/>
              <w:rPr>
                <w:rFonts w:eastAsia="Arial"/>
              </w:rPr>
            </w:pPr>
            <w:r w:rsidRPr="00CF0422">
              <w:rPr>
                <w:rFonts w:eastAsia="Arial"/>
              </w:rPr>
              <w:t>Nacionalinis farmakoekonomikos centras, Airija</w:t>
            </w:r>
          </w:p>
          <w:p w14:paraId="75B25705" w14:textId="71CBDCB6" w:rsidR="006C4813" w:rsidRPr="006C4813" w:rsidRDefault="006C4813" w:rsidP="00B53FC4">
            <w:pPr>
              <w:spacing w:line="276" w:lineRule="auto"/>
              <w:rPr>
                <w:rFonts w:eastAsia="Arial"/>
                <w:highlight w:val="yellow"/>
              </w:rPr>
            </w:pPr>
            <w:r w:rsidRPr="00CF0422">
              <w:rPr>
                <w:rFonts w:eastAsia="Arial"/>
              </w:rPr>
              <w:t>(angl.</w:t>
            </w:r>
            <w:r w:rsidRPr="00CF0422">
              <w:rPr>
                <w:rFonts w:eastAsia="Arial"/>
                <w:i/>
              </w:rPr>
              <w:t xml:space="preserve"> National Centre for Pharmacoeconomics, NCPE</w:t>
            </w:r>
            <w:r w:rsidRPr="00CF0422">
              <w:rPr>
                <w:rFonts w:eastAsia="Arial"/>
              </w:rPr>
              <w:t>)</w:t>
            </w:r>
          </w:p>
        </w:tc>
        <w:tc>
          <w:tcPr>
            <w:tcW w:w="1785" w:type="dxa"/>
          </w:tcPr>
          <w:p w14:paraId="34DF3325" w14:textId="77777777" w:rsidR="006C4813" w:rsidRPr="00CF0422" w:rsidRDefault="006C4813" w:rsidP="00153AD0">
            <w:r w:rsidRPr="00CF0422">
              <w:rPr>
                <w:rStyle w:val="Style2"/>
                <w:rFonts w:ascii="MS Gothic" w:eastAsia="MS Gothic" w:hAnsi="MS Gothic" w:hint="eastAsia"/>
              </w:rPr>
              <w:t>☐</w:t>
            </w:r>
            <w:r w:rsidRPr="00CF0422">
              <w:t xml:space="preserve"> Taip</w:t>
            </w:r>
          </w:p>
          <w:p w14:paraId="71B9E42F" w14:textId="77777777" w:rsidR="006C4813" w:rsidRPr="00CF0422" w:rsidRDefault="006C4813" w:rsidP="00153AD0">
            <w:r w:rsidRPr="00CF0422">
              <w:rPr>
                <w:rStyle w:val="Style2"/>
                <w:rFonts w:ascii="MS Gothic" w:eastAsia="MS Gothic" w:hAnsi="MS Gothic" w:hint="eastAsia"/>
              </w:rPr>
              <w:t>☒</w:t>
            </w:r>
            <w:r w:rsidRPr="00CF0422">
              <w:t xml:space="preserve"> Ne</w:t>
            </w:r>
          </w:p>
          <w:p w14:paraId="0373E5CD" w14:textId="77777777" w:rsidR="006C4813" w:rsidRPr="00CF0422" w:rsidRDefault="006C4813" w:rsidP="00153AD0">
            <w:pPr>
              <w:rPr>
                <w:rStyle w:val="Style2"/>
              </w:rPr>
            </w:pPr>
          </w:p>
          <w:p w14:paraId="53E74F43" w14:textId="77777777" w:rsidR="006C4813" w:rsidRPr="006C4813" w:rsidRDefault="006C4813" w:rsidP="00B53FC4">
            <w:pPr>
              <w:spacing w:line="276" w:lineRule="auto"/>
              <w:rPr>
                <w:rFonts w:eastAsia="Arial"/>
                <w:highlight w:val="yellow"/>
              </w:rPr>
            </w:pPr>
          </w:p>
        </w:tc>
        <w:tc>
          <w:tcPr>
            <w:tcW w:w="2251" w:type="dxa"/>
          </w:tcPr>
          <w:p w14:paraId="6BD890A8" w14:textId="10438D5E" w:rsidR="006C4813" w:rsidRPr="006C4813" w:rsidRDefault="006C4813" w:rsidP="00B53FC4">
            <w:pPr>
              <w:spacing w:line="276" w:lineRule="auto"/>
              <w:jc w:val="both"/>
              <w:rPr>
                <w:rFonts w:eastAsia="Arial"/>
                <w:highlight w:val="yellow"/>
              </w:rPr>
            </w:pPr>
          </w:p>
        </w:tc>
        <w:tc>
          <w:tcPr>
            <w:tcW w:w="2663" w:type="dxa"/>
          </w:tcPr>
          <w:p w14:paraId="6E327CA2" w14:textId="0A9302DA" w:rsidR="006C4813" w:rsidRPr="006C4813" w:rsidRDefault="006C4813" w:rsidP="00B53FC4">
            <w:pPr>
              <w:spacing w:line="276" w:lineRule="auto"/>
              <w:jc w:val="both"/>
              <w:rPr>
                <w:rFonts w:eastAsia="Arial"/>
                <w:highlight w:val="yellow"/>
              </w:rPr>
            </w:pPr>
          </w:p>
        </w:tc>
      </w:tr>
    </w:tbl>
    <w:p w14:paraId="4FF85587" w14:textId="77777777" w:rsidR="00B62292" w:rsidRDefault="00B62292">
      <w:pPr>
        <w:rPr>
          <w:b/>
          <w:bCs/>
          <w:caps/>
          <w:highlight w:val="yellow"/>
        </w:rPr>
      </w:pPr>
    </w:p>
    <w:p w14:paraId="626FE67D" w14:textId="77777777" w:rsidR="00080362" w:rsidRPr="006C4813" w:rsidRDefault="00080362">
      <w:pPr>
        <w:rPr>
          <w:b/>
          <w:bCs/>
          <w:caps/>
          <w:highlight w:val="yellow"/>
        </w:rPr>
      </w:pPr>
    </w:p>
    <w:p w14:paraId="5055E8A8" w14:textId="09A31708" w:rsidR="002E6F80" w:rsidRPr="00FF602D" w:rsidRDefault="00CC7832" w:rsidP="00CC09D4">
      <w:pPr>
        <w:pStyle w:val="Sraopastraipa"/>
        <w:numPr>
          <w:ilvl w:val="0"/>
          <w:numId w:val="12"/>
        </w:numPr>
        <w:tabs>
          <w:tab w:val="left" w:pos="567"/>
        </w:tabs>
        <w:ind w:hanging="720"/>
        <w:rPr>
          <w:b/>
          <w:bCs/>
          <w:caps/>
        </w:rPr>
      </w:pPr>
      <w:r w:rsidRPr="00FF602D">
        <w:rPr>
          <w:b/>
          <w:bCs/>
          <w:caps/>
        </w:rPr>
        <w:t>Klinikinio vertinimo a</w:t>
      </w:r>
      <w:r w:rsidR="00D4485B" w:rsidRPr="00FF602D">
        <w:rPr>
          <w:b/>
          <w:bCs/>
          <w:caps/>
        </w:rPr>
        <w:t>pibendrinimas</w:t>
      </w:r>
    </w:p>
    <w:p w14:paraId="5423F716" w14:textId="77777777" w:rsidR="002A3179" w:rsidRPr="006C4813" w:rsidRDefault="002A3179" w:rsidP="002A3179">
      <w:pPr>
        <w:tabs>
          <w:tab w:val="left" w:pos="284"/>
        </w:tabs>
        <w:rPr>
          <w:b/>
          <w:bCs/>
          <w:caps/>
          <w:highlight w:val="yellow"/>
        </w:rPr>
      </w:pPr>
    </w:p>
    <w:p w14:paraId="6A8DB564" w14:textId="1DBE2D73" w:rsidR="006C4813" w:rsidRPr="00D3501E" w:rsidRDefault="008F0F32" w:rsidP="008F0F32">
      <w:pPr>
        <w:tabs>
          <w:tab w:val="left" w:pos="426"/>
        </w:tabs>
        <w:spacing w:line="276" w:lineRule="auto"/>
        <w:jc w:val="both"/>
        <w:rPr>
          <w:color w:val="000000"/>
          <w:lang w:eastAsia="lt-LT"/>
        </w:rPr>
      </w:pPr>
      <w:r>
        <w:rPr>
          <w:rFonts w:eastAsia="Arial"/>
        </w:rPr>
        <w:tab/>
      </w:r>
      <w:r>
        <w:rPr>
          <w:rFonts w:eastAsia="Arial"/>
        </w:rPr>
        <w:tab/>
      </w:r>
      <w:r w:rsidR="006C4813">
        <w:rPr>
          <w:color w:val="000000"/>
          <w:lang w:eastAsia="lt-LT"/>
        </w:rPr>
        <w:t xml:space="preserve">Plaučių vėžys </w:t>
      </w:r>
      <w:r w:rsidR="006C4813" w:rsidRPr="00D3501E">
        <w:rPr>
          <w:color w:val="000000"/>
          <w:lang w:eastAsia="lt-LT"/>
        </w:rPr>
        <w:t>yra viena labiausiai paplitusių onkologinių ligų pasaulyje, nulemianti didžiausią mirtingumą. Plaučių vėžys yra dažniausia vyrų mirties nuo onkologinių ligų priežastis Lietuvoje.</w:t>
      </w:r>
      <w:r w:rsidR="006C4813">
        <w:rPr>
          <w:color w:val="000000"/>
          <w:lang w:eastAsia="lt-LT"/>
        </w:rPr>
        <w:t xml:space="preserve"> </w:t>
      </w:r>
      <w:r w:rsidR="006C4813" w:rsidRPr="00D3501E">
        <w:rPr>
          <w:color w:val="000000"/>
          <w:lang w:eastAsia="lt-LT"/>
        </w:rPr>
        <w:t xml:space="preserve">Klinikinėje praktikoje atsižvelgiant į plaučių vėžio biologiją, prognozę ir gydymo taktiką plaučių piktybiniai navikai klasifikuojami į nesmulkiųjų ir smulkiųjų ląstelių plaučių vėžį. Molekulinių pažaidų nustatymas vis plačiau taikomas molekulinei plaučių vėžio diagnostikai, nes jis nulemia vaistinių preparatų </w:t>
      </w:r>
      <w:r w:rsidR="003A3C5C">
        <w:rPr>
          <w:color w:val="000000"/>
          <w:lang w:eastAsia="lt-LT"/>
        </w:rPr>
        <w:t>parinkimą</w:t>
      </w:r>
      <w:r w:rsidR="006C4813" w:rsidRPr="00D3501E">
        <w:rPr>
          <w:color w:val="000000"/>
          <w:lang w:eastAsia="lt-LT"/>
        </w:rPr>
        <w:t xml:space="preserve">. </w:t>
      </w:r>
    </w:p>
    <w:p w14:paraId="5974A10E" w14:textId="64AE12C7" w:rsidR="006C4813" w:rsidRPr="00D3501E" w:rsidRDefault="006C4813" w:rsidP="008F0F32">
      <w:pPr>
        <w:spacing w:line="276" w:lineRule="auto"/>
        <w:jc w:val="both"/>
        <w:rPr>
          <w:rFonts w:eastAsia="Arial"/>
        </w:rPr>
      </w:pPr>
      <w:r w:rsidRPr="00D3501E">
        <w:rPr>
          <w:color w:val="000000"/>
          <w:lang w:eastAsia="lt-LT"/>
        </w:rPr>
        <w:tab/>
      </w:r>
      <w:r w:rsidRPr="00D3501E">
        <w:rPr>
          <w:rFonts w:eastAsia="Arial"/>
        </w:rPr>
        <w:t>Nesmulkiųjų ląstelių plaučių vėžio (NSLPV) atvejai sudaro 85-88 proc. visų susirgimų, kurie histologiškai skirsto</w:t>
      </w:r>
      <w:r>
        <w:rPr>
          <w:rFonts w:eastAsia="Arial"/>
        </w:rPr>
        <w:t>mi į plokščiųjų ląstelių NSLPV</w:t>
      </w:r>
      <w:r w:rsidRPr="00D3501E">
        <w:rPr>
          <w:rFonts w:eastAsia="Arial"/>
        </w:rPr>
        <w:t>, ir ne plok</w:t>
      </w:r>
      <w:r>
        <w:rPr>
          <w:rFonts w:eastAsia="Arial"/>
        </w:rPr>
        <w:t>ščiųjų ląstelių NSLPV</w:t>
      </w:r>
      <w:r w:rsidRPr="00D3501E">
        <w:rPr>
          <w:rFonts w:eastAsia="Arial"/>
        </w:rPr>
        <w:t>. NSLPV gydymo pirmojo pasirinkimo būdas – išgydomosios intencijos chirurgija (lobektomija), kuri gali būti papildyta adjuvantine chemoterapija. Genetiniai tyrimai EGFR geno mutacijų, ALK geno translokacijų ir ROS1 geno translokacijų nustatymui rekomenduojami visiems ligoniams. Tačiau III–IV stadijos nesmulkiųjų ląstelių plaučių vėžiu sergantiems</w:t>
      </w:r>
      <w:r>
        <w:rPr>
          <w:rFonts w:eastAsia="Arial"/>
        </w:rPr>
        <w:t xml:space="preserve"> </w:t>
      </w:r>
      <w:r w:rsidRPr="00D3501E">
        <w:rPr>
          <w:rFonts w:eastAsia="Arial"/>
        </w:rPr>
        <w:t>pacientams,</w:t>
      </w:r>
      <w:r>
        <w:rPr>
          <w:rFonts w:eastAsia="Arial"/>
        </w:rPr>
        <w:t xml:space="preserve"> </w:t>
      </w:r>
      <w:r w:rsidRPr="00D3501E">
        <w:rPr>
          <w:rFonts w:eastAsia="Arial"/>
        </w:rPr>
        <w:t>neturintiems diagnozuotų EGFR ir ALK pažaidų, taip pat svarbu atlikti savalaikės ląstelių žūties baltymo ligando (angl. programmed death-ligand 1, PD-L1) testavimą, nes jis yra svarbus kriterijus, tikintis teigiamo atsako į anti-PD-1 ar anti-PD-L1 imunoterapiją. PD-L1 raiškai nustatyti naudojami komerciniai PD-L1 antikūno klonai, tačiau dėl pakankamai aukšto analitinio rekomenduojama naudoti 22C3 ir SP263 klonus. Navikinių ląstelių membranose PD-L1</w:t>
      </w:r>
      <w:r w:rsidR="00385909">
        <w:rPr>
          <w:rFonts w:eastAsia="Arial"/>
        </w:rPr>
        <w:t xml:space="preserve"> raiška vertinama procentais: &lt;</w:t>
      </w:r>
      <w:r w:rsidRPr="00D3501E">
        <w:rPr>
          <w:rFonts w:eastAsia="Arial"/>
        </w:rPr>
        <w:t>1 proc. – neigiama reakcija; 1–49 proc. – teigiama reakcija; &gt; 50 proc. – aukšto laipsnio ekspresija</w:t>
      </w:r>
      <w:r>
        <w:rPr>
          <w:rFonts w:eastAsia="Arial"/>
        </w:rPr>
        <w:t>.</w:t>
      </w:r>
    </w:p>
    <w:p w14:paraId="6A538D38" w14:textId="77777777" w:rsidR="006C4813" w:rsidRDefault="006C4813" w:rsidP="008F0F32">
      <w:pPr>
        <w:tabs>
          <w:tab w:val="left" w:pos="426"/>
        </w:tabs>
        <w:spacing w:line="276" w:lineRule="auto"/>
        <w:jc w:val="both"/>
      </w:pPr>
      <w:r w:rsidRPr="00D3501E">
        <w:tab/>
      </w:r>
      <w:r w:rsidRPr="00D3501E">
        <w:tab/>
        <w:t>Atezolizumabas yra humanizuotas imunoglobulinų G1 (IgG1) klasės monokloninis antikūnas su aktyvuotu Fc fragmentu, kuris tiesiogiai prisijungia prie PD-L1 ir kartu blokuoja tiek PD-1, tiek B7.1 receptorius, tokiu būdu išjungdamas PD-L1/PD-1 reguliuojamą imuninio atsako slopinimą ir aktyvuodamas antinavikinį imuninį atsaką, tačiau neskatindamas nuo antikūnų priklausomo ląstelinio citotoksiškumo. Atezolizumabas neveikia PD-L2/PD-1 sąveikos, tokiu būdu leisdamas plisti nuo PD-L2/PD-1 priklausomiems slopinamiesiems signalams.</w:t>
      </w:r>
    </w:p>
    <w:p w14:paraId="225D9635" w14:textId="2BE45654" w:rsidR="006C4813" w:rsidRDefault="006C4813" w:rsidP="008F0F32">
      <w:pPr>
        <w:tabs>
          <w:tab w:val="left" w:pos="426"/>
        </w:tabs>
        <w:spacing w:line="276" w:lineRule="auto"/>
        <w:jc w:val="both"/>
      </w:pPr>
      <w:r>
        <w:tab/>
      </w:r>
      <w:r>
        <w:tab/>
      </w:r>
      <w:r w:rsidR="003A3C5C">
        <w:rPr>
          <w:rFonts w:eastAsia="Arial"/>
        </w:rPr>
        <w:t>P</w:t>
      </w:r>
      <w:r w:rsidRPr="00D3501E">
        <w:rPr>
          <w:rFonts w:eastAsia="Arial"/>
        </w:rPr>
        <w:t>araiško</w:t>
      </w:r>
      <w:r w:rsidR="003A3C5C">
        <w:rPr>
          <w:rFonts w:eastAsia="Arial"/>
        </w:rPr>
        <w:t>je teikiama</w:t>
      </w:r>
      <w:r w:rsidRPr="00D3501E">
        <w:rPr>
          <w:rFonts w:eastAsia="Arial"/>
        </w:rPr>
        <w:t xml:space="preserve"> </w:t>
      </w:r>
      <w:r w:rsidRPr="00E66ABE">
        <w:rPr>
          <w:rFonts w:eastAsia="Arial"/>
        </w:rPr>
        <w:t xml:space="preserve">indikacija - </w:t>
      </w:r>
      <w:r w:rsidRPr="00E66ABE">
        <w:rPr>
          <w:rFonts w:eastAsia="Arial"/>
          <w:bCs/>
        </w:rPr>
        <w:t>a</w:t>
      </w:r>
      <w:r w:rsidRPr="00E66ABE">
        <w:t xml:space="preserve">tezolizumabo monoterapija skirta </w:t>
      </w:r>
      <w:r w:rsidR="00033E81">
        <w:t xml:space="preserve">ankstyvos stadijos </w:t>
      </w:r>
      <w:r w:rsidRPr="00E66ABE">
        <w:t>NSLPV sergančių suaugusių pacientų adjuvantiniam gyd</w:t>
      </w:r>
      <w:r w:rsidRPr="00D3501E">
        <w:t xml:space="preserve">ymui po radikalios naviko rezekcijos ir chemoterapijos su platinos preparatais, kai pacientams yra didelė ligos recidyvo rizika, kai ≥ 50 </w:t>
      </w:r>
      <w:r>
        <w:t>proc.</w:t>
      </w:r>
      <w:r w:rsidRPr="00D3501E">
        <w:t xml:space="preserve"> naviko ląstelių (NL) yra nustatyta PD-L1 raiška ir kai nėra nustatyta EGFR mutacijų arba ALK teigiamas NSLPV.</w:t>
      </w:r>
      <w:r w:rsidRPr="00D3501E">
        <w:rPr>
          <w:rFonts w:eastAsia="Arial"/>
        </w:rPr>
        <w:t xml:space="preserve"> Didelė ligos recidyvo rizika buvo apibrėžta Tecentriq </w:t>
      </w:r>
      <w:r w:rsidR="003A3C5C">
        <w:rPr>
          <w:rFonts w:eastAsia="Arial"/>
        </w:rPr>
        <w:t xml:space="preserve">Preparato </w:t>
      </w:r>
      <w:r w:rsidRPr="00D3501E">
        <w:rPr>
          <w:rFonts w:eastAsia="Arial"/>
        </w:rPr>
        <w:t>ch</w:t>
      </w:r>
      <w:r>
        <w:rPr>
          <w:rFonts w:eastAsia="Arial"/>
        </w:rPr>
        <w:t>arakteristikų santraukoje (PCS).</w:t>
      </w:r>
    </w:p>
    <w:p w14:paraId="7B582234" w14:textId="50C59146" w:rsidR="006C4813" w:rsidRPr="00D3501E" w:rsidRDefault="006C4813" w:rsidP="008F0F32">
      <w:pPr>
        <w:tabs>
          <w:tab w:val="left" w:pos="426"/>
        </w:tabs>
        <w:spacing w:line="276" w:lineRule="auto"/>
        <w:jc w:val="both"/>
        <w:rPr>
          <w:i/>
          <w:iCs/>
        </w:rPr>
      </w:pPr>
      <w:r>
        <w:rPr>
          <w:rFonts w:eastAsia="Arial"/>
        </w:rPr>
        <w:tab/>
      </w:r>
      <w:r>
        <w:rPr>
          <w:rFonts w:eastAsia="Arial"/>
        </w:rPr>
        <w:tab/>
      </w:r>
      <w:r w:rsidR="00BF4796">
        <w:rPr>
          <w:rFonts w:eastAsia="Arial"/>
        </w:rPr>
        <w:t xml:space="preserve">Vadovaujantis </w:t>
      </w:r>
      <w:r w:rsidRPr="00E46439">
        <w:rPr>
          <w:rFonts w:eastAsia="Arial"/>
        </w:rPr>
        <w:t>Lietuvo</w:t>
      </w:r>
      <w:r w:rsidR="00BF4796">
        <w:rPr>
          <w:rFonts w:eastAsia="Arial"/>
        </w:rPr>
        <w:t>s respublikos sveikatos apsaugos ministro</w:t>
      </w:r>
      <w:r w:rsidR="009956F9">
        <w:rPr>
          <w:rFonts w:eastAsia="Arial"/>
        </w:rPr>
        <w:t xml:space="preserve"> </w:t>
      </w:r>
      <w:r w:rsidR="009956F9" w:rsidRPr="009956F9">
        <w:rPr>
          <w:color w:val="000000"/>
        </w:rPr>
        <w:t xml:space="preserve">2009 m. vasario 20 d. </w:t>
      </w:r>
      <w:r w:rsidR="00BF4796" w:rsidRPr="009956F9">
        <w:rPr>
          <w:rFonts w:eastAsia="Arial"/>
        </w:rPr>
        <w:t>įsakym</w:t>
      </w:r>
      <w:r w:rsidR="00BF4796">
        <w:rPr>
          <w:rFonts w:eastAsia="Arial"/>
        </w:rPr>
        <w:t xml:space="preserve">u </w:t>
      </w:r>
      <w:r w:rsidR="004E59B7" w:rsidRPr="009956F9">
        <w:rPr>
          <w:color w:val="000000"/>
        </w:rPr>
        <w:t>Nr. V-127</w:t>
      </w:r>
      <w:r w:rsidRPr="00E46439">
        <w:rPr>
          <w:rFonts w:eastAsia="Arial"/>
        </w:rPr>
        <w:t xml:space="preserve"> „Dėl plaučių vėžio ambulatorinio gydymo, kurio išlaidos kompensuojamos iš </w:t>
      </w:r>
      <w:r w:rsidRPr="00E46439">
        <w:rPr>
          <w:rFonts w:eastAsia="Arial"/>
        </w:rPr>
        <w:lastRenderedPageBreak/>
        <w:t xml:space="preserve">privalomojo sveikatos draudimo fondo biudžeto, tvarkos aprašo patvirtinimo“ </w:t>
      </w:r>
      <w:r w:rsidR="00BF4796">
        <w:rPr>
          <w:rFonts w:eastAsia="Arial"/>
        </w:rPr>
        <w:t xml:space="preserve">pacientams atitinkamiems teikiamą </w:t>
      </w:r>
      <w:r w:rsidRPr="00E46439">
        <w:rPr>
          <w:rFonts w:eastAsia="Arial"/>
        </w:rPr>
        <w:t>kompensuoti indikacij</w:t>
      </w:r>
      <w:r w:rsidR="00BF4796">
        <w:rPr>
          <w:rFonts w:eastAsia="Arial"/>
        </w:rPr>
        <w:t>ai</w:t>
      </w:r>
      <w:r w:rsidRPr="00E46439">
        <w:rPr>
          <w:rFonts w:eastAsia="Arial"/>
        </w:rPr>
        <w:t xml:space="preserve"> nėra skiriam</w:t>
      </w:r>
      <w:r w:rsidR="00BF4796">
        <w:rPr>
          <w:rFonts w:eastAsia="Arial"/>
        </w:rPr>
        <w:t>as</w:t>
      </w:r>
      <w:r w:rsidRPr="00E46439">
        <w:rPr>
          <w:rFonts w:eastAsia="Arial"/>
        </w:rPr>
        <w:t xml:space="preserve"> </w:t>
      </w:r>
      <w:r w:rsidR="00BF4796">
        <w:rPr>
          <w:rFonts w:eastAsia="Arial"/>
        </w:rPr>
        <w:t>gydymas</w:t>
      </w:r>
      <w:r w:rsidRPr="00E46439">
        <w:rPr>
          <w:rFonts w:eastAsia="Arial"/>
        </w:rPr>
        <w:t>, t.y. šiuo metu Lietuvoje tokiems pacientams taikomas aktyvus stebėjimas.</w:t>
      </w:r>
      <w:r>
        <w:t xml:space="preserve"> </w:t>
      </w:r>
      <w:r w:rsidRPr="00D3501E">
        <w:t xml:space="preserve">2022 m. </w:t>
      </w:r>
      <w:r w:rsidR="00080362">
        <w:t xml:space="preserve">Jungtinės Amerikos Valstijų nacionalinės vėžio draugijos </w:t>
      </w:r>
      <w:r w:rsidR="004E59B7">
        <w:t xml:space="preserve">(angl. </w:t>
      </w:r>
      <w:r w:rsidR="004E59B7" w:rsidRPr="00D3501E">
        <w:t>National Comprehensive Cancer Network</w:t>
      </w:r>
      <w:r w:rsidR="004E59B7">
        <w:t>,</w:t>
      </w:r>
      <w:r w:rsidR="004E59B7" w:rsidRPr="00D3501E">
        <w:t xml:space="preserve"> </w:t>
      </w:r>
      <w:r w:rsidRPr="00D3501E">
        <w:t>NCCN</w:t>
      </w:r>
      <w:r w:rsidR="004E59B7">
        <w:t>)</w:t>
      </w:r>
      <w:r w:rsidRPr="00D3501E">
        <w:t xml:space="preserve"> gairės nurodo, kad atezolizumabas gali būti skiriamas IIB-IIIA ar didelės rizikos IIA NSLPV, kai PD-L1 ≥ 1 proc.,</w:t>
      </w:r>
      <w:r w:rsidR="00BF4796">
        <w:t xml:space="preserve"> pacientams, kuriems</w:t>
      </w:r>
      <w:r w:rsidRPr="00D3501E">
        <w:t xml:space="preserve"> prieš tai buvo skirta adjuvantinė chemoterapija. </w:t>
      </w:r>
      <w:r w:rsidRPr="00D3501E">
        <w:rPr>
          <w:lang w:val="en-US"/>
        </w:rPr>
        <w:t xml:space="preserve">2022 m. Lietuvoje parengtos </w:t>
      </w:r>
      <w:r w:rsidRPr="00D3501E">
        <w:t>„Plaučių vėžio diagnostikos ir gydymo rekomendacijos“</w:t>
      </w:r>
      <w:r w:rsidR="00A92D3A">
        <w:t xml:space="preserve"> (Kaunas, 20</w:t>
      </w:r>
      <w:r w:rsidR="00385909">
        <w:t>22</w:t>
      </w:r>
      <w:r w:rsidR="00A92D3A">
        <w:t>)</w:t>
      </w:r>
      <w:r w:rsidRPr="00D3501E">
        <w:t xml:space="preserve"> visiškai atitinka šiuo metu aktualias </w:t>
      </w:r>
      <w:r w:rsidR="00F12D8B">
        <w:t xml:space="preserve">gydymo </w:t>
      </w:r>
      <w:r w:rsidRPr="00D3501E">
        <w:t>gaires ir nurodo, kad „</w:t>
      </w:r>
      <w:r w:rsidRPr="00D3501E">
        <w:rPr>
          <w:i/>
          <w:iCs/>
        </w:rPr>
        <w:t>Atezolizumabas 840 mg kas 2 sav. arba 1200 mg kas 3 sav. arba 1680 mg kas 4 sav. iki 1 metų arba iki ligos progresavimo, ar gydymo netoleravimo suaugusių II–IIIA stadijos nesmulkiųjų ląstelių plaučių vėžio adjuvantiniam gydymui po radikalios naviko rezekcijos ir chemoterapijos su platinos preparatais, kai nustatyta PD-L1 raiška lygi 50 proc. ar didesnė</w:t>
      </w:r>
      <w:r w:rsidRPr="00D3501E">
        <w:t>“</w:t>
      </w:r>
      <w:r w:rsidRPr="00D3501E">
        <w:rPr>
          <w:i/>
          <w:iCs/>
        </w:rPr>
        <w:t xml:space="preserve">. </w:t>
      </w:r>
    </w:p>
    <w:p w14:paraId="7F251282" w14:textId="77777777" w:rsidR="006C4813" w:rsidRDefault="006C4813" w:rsidP="008F0F32">
      <w:pPr>
        <w:tabs>
          <w:tab w:val="left" w:pos="426"/>
        </w:tabs>
        <w:spacing w:line="276" w:lineRule="auto"/>
        <w:jc w:val="both"/>
      </w:pPr>
    </w:p>
    <w:p w14:paraId="4C43FB8A" w14:textId="77777777" w:rsidR="006C4813" w:rsidRPr="00850527" w:rsidRDefault="006C4813" w:rsidP="008F0F32">
      <w:pPr>
        <w:spacing w:line="276" w:lineRule="auto"/>
        <w:jc w:val="both"/>
        <w:rPr>
          <w:i/>
          <w:lang w:eastAsia="lt-LT"/>
        </w:rPr>
      </w:pPr>
      <w:r w:rsidRPr="000B1562">
        <w:rPr>
          <w:rFonts w:eastAsia="Arial"/>
          <w:i/>
        </w:rPr>
        <w:t>Tiesioginis palyginimas</w:t>
      </w:r>
    </w:p>
    <w:p w14:paraId="6715AFC7" w14:textId="21AB1C34" w:rsidR="006C4813" w:rsidRDefault="006C4813" w:rsidP="008F0F32">
      <w:pPr>
        <w:widowControl w:val="0"/>
        <w:pBdr>
          <w:top w:val="nil"/>
          <w:left w:val="nil"/>
          <w:bottom w:val="nil"/>
          <w:right w:val="nil"/>
          <w:between w:val="nil"/>
        </w:pBdr>
        <w:spacing w:line="276" w:lineRule="auto"/>
        <w:ind w:firstLine="720"/>
        <w:jc w:val="both"/>
      </w:pPr>
      <w:r w:rsidRPr="00C11BB9">
        <w:t>IMpower110</w:t>
      </w:r>
      <w:r>
        <w:t xml:space="preserve"> – atsitiktinių imčių, atviras</w:t>
      </w:r>
      <w:r w:rsidR="00A92D3A">
        <w:t>is</w:t>
      </w:r>
      <w:r w:rsidRPr="00C11BB9">
        <w:t>, daugiacentris III fazės klinikinis tyrimas, kuriems buvo atlikta chirurginė NSLPV rezekcija ir skirta chemoterapija su cisplatinos preparatais.</w:t>
      </w:r>
      <w:r>
        <w:t xml:space="preserve"> </w:t>
      </w:r>
      <w:r w:rsidRPr="000B1562">
        <w:rPr>
          <w:rFonts w:eastAsia="Arial"/>
        </w:rPr>
        <w:t xml:space="preserve">Siūlomą </w:t>
      </w:r>
      <w:r>
        <w:rPr>
          <w:rFonts w:eastAsia="Arial"/>
        </w:rPr>
        <w:t>kompensuoti indikaciją atitinka 23 proc.</w:t>
      </w:r>
      <w:r w:rsidRPr="000B1562">
        <w:rPr>
          <w:rFonts w:eastAsia="Arial"/>
        </w:rPr>
        <w:t xml:space="preserve"> klinikiniame tyrime dalyvavusių pacientų (n</w:t>
      </w:r>
      <w:r w:rsidRPr="000B1562">
        <w:rPr>
          <w:rFonts w:eastAsia="Arial"/>
          <w:lang w:val="en-US"/>
        </w:rPr>
        <w:t>=</w:t>
      </w:r>
      <w:r>
        <w:rPr>
          <w:rFonts w:eastAsia="Arial"/>
        </w:rPr>
        <w:t xml:space="preserve"> 229</w:t>
      </w:r>
      <w:r w:rsidRPr="000B1562">
        <w:rPr>
          <w:rFonts w:eastAsia="Arial"/>
        </w:rPr>
        <w:t>).</w:t>
      </w:r>
      <w:r>
        <w:t xml:space="preserve"> Tyrime dalyvavę pacientai buvo suskirstyti į dvi grupe</w:t>
      </w:r>
      <w:r w:rsidR="00385909">
        <w:t>s: atezolizumabo arba geriausio palaikomojo gydymo</w:t>
      </w:r>
      <w:r>
        <w:t xml:space="preserve"> (GPG). Atrenkant pacientus, kuriems</w:t>
      </w:r>
      <w:r w:rsidRPr="00246D8A">
        <w:t xml:space="preserve"> PD-L1 raišk</w:t>
      </w:r>
      <w:r w:rsidR="00A92D3A">
        <w:t>a</w:t>
      </w:r>
      <w:r w:rsidRPr="00246D8A">
        <w:t xml:space="preserve"> ≥ 50 proc. </w:t>
      </w:r>
    </w:p>
    <w:p w14:paraId="46054C8B" w14:textId="6A7B1550" w:rsidR="006C4813" w:rsidRPr="00001C73" w:rsidRDefault="006C4813" w:rsidP="008F0F32">
      <w:pPr>
        <w:widowControl w:val="0"/>
        <w:pBdr>
          <w:top w:val="nil"/>
          <w:left w:val="nil"/>
          <w:bottom w:val="nil"/>
          <w:right w:val="nil"/>
          <w:between w:val="nil"/>
        </w:pBdr>
        <w:spacing w:line="276" w:lineRule="auto"/>
        <w:ind w:firstLine="720"/>
        <w:jc w:val="both"/>
      </w:pPr>
      <w:r w:rsidRPr="000B1562">
        <w:t xml:space="preserve">Tyrimo </w:t>
      </w:r>
      <w:r>
        <w:t>pagrindinė</w:t>
      </w:r>
      <w:r w:rsidRPr="000B1562">
        <w:t xml:space="preserve"> vertinamoji baigtis –</w:t>
      </w:r>
      <w:r>
        <w:t xml:space="preserve"> išgyvenamumas be ligos (IBL). </w:t>
      </w:r>
      <w:r w:rsidRPr="00AA5EF2">
        <w:rPr>
          <w:rFonts w:eastAsia="Arial"/>
          <w:color w:val="000000" w:themeColor="text1"/>
        </w:rPr>
        <w:t>IBL rodmens duomenų analizė rodo, kad pacient</w:t>
      </w:r>
      <w:r w:rsidR="00A92D3A">
        <w:rPr>
          <w:rFonts w:eastAsia="Arial"/>
          <w:color w:val="000000" w:themeColor="text1"/>
        </w:rPr>
        <w:t>ams</w:t>
      </w:r>
      <w:r w:rsidRPr="00AA5EF2">
        <w:rPr>
          <w:rFonts w:eastAsia="Arial"/>
          <w:color w:val="000000" w:themeColor="text1"/>
        </w:rPr>
        <w:t xml:space="preserve">, </w:t>
      </w:r>
      <w:r w:rsidR="00A92D3A">
        <w:rPr>
          <w:rFonts w:eastAsia="Arial"/>
          <w:color w:val="000000" w:themeColor="text1"/>
        </w:rPr>
        <w:t xml:space="preserve">su </w:t>
      </w:r>
      <w:r>
        <w:rPr>
          <w:rFonts w:eastAsia="Arial"/>
          <w:color w:val="000000" w:themeColor="text1"/>
        </w:rPr>
        <w:t>didel</w:t>
      </w:r>
      <w:r w:rsidR="00A92D3A">
        <w:rPr>
          <w:rFonts w:eastAsia="Arial"/>
          <w:color w:val="000000" w:themeColor="text1"/>
        </w:rPr>
        <w:t>e</w:t>
      </w:r>
      <w:r>
        <w:rPr>
          <w:rFonts w:eastAsia="Arial"/>
          <w:color w:val="000000" w:themeColor="text1"/>
        </w:rPr>
        <w:t xml:space="preserve"> PD-L1 raiška</w:t>
      </w:r>
      <w:r w:rsidR="00A92D3A">
        <w:rPr>
          <w:rFonts w:eastAsia="Arial"/>
          <w:color w:val="000000" w:themeColor="text1"/>
        </w:rPr>
        <w:t xml:space="preserve"> buvo nustatytas</w:t>
      </w:r>
      <w:r w:rsidRPr="00AA5EF2">
        <w:rPr>
          <w:rFonts w:eastAsia="Arial"/>
          <w:color w:val="000000" w:themeColor="text1"/>
        </w:rPr>
        <w:t xml:space="preserve"> statistiškai reikšmingas </w:t>
      </w:r>
      <w:r>
        <w:rPr>
          <w:rFonts w:eastAsia="Arial"/>
          <w:color w:val="000000" w:themeColor="text1"/>
        </w:rPr>
        <w:t>IBL</w:t>
      </w:r>
      <w:r w:rsidRPr="00AA5EF2">
        <w:rPr>
          <w:rFonts w:eastAsia="Arial"/>
          <w:color w:val="000000" w:themeColor="text1"/>
        </w:rPr>
        <w:t xml:space="preserve"> pagerėjimas atezolizumabą vartojusiųjų </w:t>
      </w:r>
      <w:r>
        <w:rPr>
          <w:rFonts w:eastAsia="Arial"/>
          <w:color w:val="000000" w:themeColor="text1"/>
        </w:rPr>
        <w:t>grupėje</w:t>
      </w:r>
      <w:r w:rsidRPr="00AA5EF2">
        <w:rPr>
          <w:rFonts w:eastAsia="Arial"/>
          <w:color w:val="000000" w:themeColor="text1"/>
        </w:rPr>
        <w:t>, ly</w:t>
      </w:r>
      <w:r>
        <w:rPr>
          <w:rFonts w:eastAsia="Arial"/>
          <w:color w:val="000000" w:themeColor="text1"/>
        </w:rPr>
        <w:t>ginant su chemoterapijos grupe (rizikos santykis (RS)</w:t>
      </w:r>
      <w:r w:rsidRPr="00AA5EF2">
        <w:rPr>
          <w:rFonts w:eastAsia="Arial"/>
          <w:color w:val="000000" w:themeColor="text1"/>
        </w:rPr>
        <w:t xml:space="preserve"> - 0,</w:t>
      </w:r>
      <w:r w:rsidRPr="00AA5EF2">
        <w:rPr>
          <w:rFonts w:eastAsia="Arial"/>
          <w:color w:val="000000" w:themeColor="text1"/>
          <w:lang w:val="en-US"/>
        </w:rPr>
        <w:t>43</w:t>
      </w:r>
      <w:r w:rsidRPr="00AA5EF2">
        <w:rPr>
          <w:rFonts w:eastAsia="Arial"/>
          <w:color w:val="000000" w:themeColor="text1"/>
        </w:rPr>
        <w:t>; 95 proc. PI: 0,26-0,71). BI mediana GPG grupėje – 37,3, o atezolizumabo grupėje ji nebuvo įvertinta</w:t>
      </w:r>
      <w:r>
        <w:rPr>
          <w:rFonts w:eastAsia="Arial"/>
          <w:color w:val="000000" w:themeColor="text1"/>
        </w:rPr>
        <w:t>.</w:t>
      </w:r>
    </w:p>
    <w:p w14:paraId="545655E0" w14:textId="21865100" w:rsidR="006C4813" w:rsidRPr="00E66ABE" w:rsidRDefault="006C4813" w:rsidP="008F0F32">
      <w:pPr>
        <w:tabs>
          <w:tab w:val="left" w:pos="426"/>
        </w:tabs>
        <w:spacing w:line="276" w:lineRule="auto"/>
        <w:jc w:val="both"/>
      </w:pPr>
      <w:r>
        <w:tab/>
      </w:r>
      <w:r>
        <w:tab/>
        <w:t xml:space="preserve">Paraiškoje buvo pateikta ir </w:t>
      </w:r>
      <w:r w:rsidR="00A92D3A">
        <w:t>bendro išgyvenamumo (</w:t>
      </w:r>
      <w:r>
        <w:t>BI</w:t>
      </w:r>
      <w:r w:rsidR="00A92D3A">
        <w:t>)</w:t>
      </w:r>
      <w:r>
        <w:t xml:space="preserve"> analizė. 2022 m. balandžio 18 d. tyrimo duomenimis, BI analizė parod</w:t>
      </w:r>
      <w:r w:rsidR="00A92D3A">
        <w:t>ė</w:t>
      </w:r>
      <w:r>
        <w:t xml:space="preserve"> išsilaikančią </w:t>
      </w:r>
      <w:r w:rsidR="00A92D3A">
        <w:t xml:space="preserve">geresnio </w:t>
      </w:r>
      <w:r>
        <w:t>BI tendenciją – RS išlik</w:t>
      </w:r>
      <w:r w:rsidR="00A92D3A">
        <w:t>o</w:t>
      </w:r>
      <w:r>
        <w:t xml:space="preserve"> </w:t>
      </w:r>
      <w:r w:rsidRPr="00921D14">
        <w:t>reikšmingas</w:t>
      </w:r>
      <w:r>
        <w:t xml:space="preserve"> –</w:t>
      </w:r>
      <w:r w:rsidRPr="00001C73">
        <w:rPr>
          <w:lang w:val="en-US"/>
        </w:rPr>
        <w:t xml:space="preserve"> </w:t>
      </w:r>
      <w:r w:rsidRPr="00921D14">
        <w:t>0,</w:t>
      </w:r>
      <w:r>
        <w:t>42</w:t>
      </w:r>
      <w:r w:rsidRPr="00921D14">
        <w:t xml:space="preserve"> (95 </w:t>
      </w:r>
      <w:r>
        <w:t>proc.</w:t>
      </w:r>
      <w:r w:rsidRPr="00921D14">
        <w:t xml:space="preserve"> PI: 0,</w:t>
      </w:r>
      <w:r>
        <w:t>23</w:t>
      </w:r>
      <w:r w:rsidRPr="00921D14">
        <w:t>; 0,</w:t>
      </w:r>
      <w:r>
        <w:t>7</w:t>
      </w:r>
      <w:r w:rsidRPr="00921D14">
        <w:t>8)</w:t>
      </w:r>
      <w:r>
        <w:t xml:space="preserve"> atezolizumabo </w:t>
      </w:r>
      <w:r w:rsidR="00A92D3A">
        <w:t>grupėje</w:t>
      </w:r>
      <w:r w:rsidRPr="00921D14">
        <w:t>.</w:t>
      </w:r>
      <w:r>
        <w:t xml:space="preserve"> </w:t>
      </w:r>
      <w:r w:rsidR="00A92D3A">
        <w:t>S</w:t>
      </w:r>
      <w:r w:rsidR="00A92D3A" w:rsidRPr="008E7BE3">
        <w:rPr>
          <w:rFonts w:eastAsia="Arial"/>
          <w:color w:val="000000" w:themeColor="text1"/>
        </w:rPr>
        <w:t>iekiant ištirti ligos atkryčio dažnį</w:t>
      </w:r>
      <w:r w:rsidR="00A92D3A">
        <w:t xml:space="preserve"> </w:t>
      </w:r>
      <w:r>
        <w:t>b</w:t>
      </w:r>
      <w:r w:rsidRPr="008E7BE3">
        <w:rPr>
          <w:rFonts w:eastAsia="Arial"/>
          <w:color w:val="000000" w:themeColor="text1"/>
        </w:rPr>
        <w:t xml:space="preserve">uvo atlikta </w:t>
      </w:r>
      <w:r w:rsidRPr="008E7BE3">
        <w:rPr>
          <w:rFonts w:eastAsia="Arial"/>
          <w:i/>
          <w:color w:val="000000" w:themeColor="text1"/>
        </w:rPr>
        <w:t>post-hoc</w:t>
      </w:r>
      <w:r w:rsidR="00385909">
        <w:rPr>
          <w:rFonts w:eastAsia="Arial"/>
          <w:color w:val="000000" w:themeColor="text1"/>
        </w:rPr>
        <w:t xml:space="preserve"> analizė</w:t>
      </w:r>
      <w:r w:rsidRPr="008E7BE3">
        <w:rPr>
          <w:rFonts w:eastAsia="Arial"/>
          <w:color w:val="000000" w:themeColor="text1"/>
        </w:rPr>
        <w:t xml:space="preserve">. </w:t>
      </w:r>
      <w:r w:rsidR="00E908DE">
        <w:rPr>
          <w:rFonts w:eastAsia="Arial"/>
          <w:color w:val="000000" w:themeColor="text1"/>
        </w:rPr>
        <w:t>P</w:t>
      </w:r>
      <w:r w:rsidR="00E908DE" w:rsidRPr="008E7BE3">
        <w:rPr>
          <w:rFonts w:eastAsia="Arial"/>
          <w:color w:val="000000" w:themeColor="text1"/>
        </w:rPr>
        <w:t>er tyrimo laikotarpį</w:t>
      </w:r>
      <w:r w:rsidR="00E908DE">
        <w:rPr>
          <w:rFonts w:eastAsia="Arial"/>
          <w:color w:val="000000" w:themeColor="text1"/>
        </w:rPr>
        <w:t xml:space="preserve"> t</w:t>
      </w:r>
      <w:r>
        <w:rPr>
          <w:rFonts w:eastAsia="Arial"/>
          <w:color w:val="000000" w:themeColor="text1"/>
        </w:rPr>
        <w:t xml:space="preserve">iriamojoje </w:t>
      </w:r>
      <w:r w:rsidR="00E908DE">
        <w:rPr>
          <w:rFonts w:eastAsia="Arial"/>
          <w:color w:val="000000" w:themeColor="text1"/>
        </w:rPr>
        <w:t xml:space="preserve">populiacijoje </w:t>
      </w:r>
      <w:r>
        <w:rPr>
          <w:rFonts w:eastAsia="Arial"/>
          <w:color w:val="000000" w:themeColor="text1"/>
        </w:rPr>
        <w:t>(</w:t>
      </w:r>
      <w:r w:rsidRPr="008E7BE3">
        <w:rPr>
          <w:rFonts w:eastAsia="Arial"/>
          <w:color w:val="000000" w:themeColor="text1"/>
        </w:rPr>
        <w:t>PD-L1 ≥ 50 proc. II–IIIA stadijos NSLPV</w:t>
      </w:r>
      <w:r>
        <w:rPr>
          <w:rFonts w:eastAsia="Arial"/>
          <w:color w:val="000000" w:themeColor="text1"/>
        </w:rPr>
        <w:t>)</w:t>
      </w:r>
      <w:r w:rsidRPr="008E7BE3">
        <w:rPr>
          <w:rFonts w:eastAsia="Arial"/>
          <w:color w:val="000000" w:themeColor="text1"/>
        </w:rPr>
        <w:t xml:space="preserve"> </w:t>
      </w:r>
      <w:r w:rsidR="00E908DE" w:rsidRPr="008E7BE3">
        <w:rPr>
          <w:rFonts w:eastAsia="Arial"/>
          <w:color w:val="000000" w:themeColor="text1"/>
        </w:rPr>
        <w:t xml:space="preserve">atezolizumabo grupėje atkrytis pasireiškė </w:t>
      </w:r>
      <w:r w:rsidR="00385909">
        <w:rPr>
          <w:rFonts w:eastAsia="Arial"/>
          <w:color w:val="000000" w:themeColor="text1"/>
        </w:rPr>
        <w:t>22 proc. (n=25) pacientų</w:t>
      </w:r>
      <w:r w:rsidRPr="008E7BE3">
        <w:rPr>
          <w:rFonts w:eastAsia="Arial"/>
          <w:color w:val="000000" w:themeColor="text1"/>
        </w:rPr>
        <w:t>, o GPG grupėje – 44 proc. (n=50) pacientų</w:t>
      </w:r>
      <w:r>
        <w:rPr>
          <w:rFonts w:eastAsia="Arial"/>
          <w:color w:val="000000" w:themeColor="text1"/>
        </w:rPr>
        <w:t>.</w:t>
      </w:r>
    </w:p>
    <w:p w14:paraId="2EBA1E82" w14:textId="77777777" w:rsidR="006C4813" w:rsidRPr="006C4813" w:rsidRDefault="006C4813" w:rsidP="00A93AA6">
      <w:pPr>
        <w:pStyle w:val="Sraopastraipa"/>
        <w:tabs>
          <w:tab w:val="left" w:pos="426"/>
        </w:tabs>
        <w:ind w:left="0"/>
        <w:rPr>
          <w:b/>
          <w:bCs/>
          <w:caps/>
          <w:highlight w:val="yellow"/>
        </w:rPr>
      </w:pPr>
    </w:p>
    <w:p w14:paraId="7DE09EB5" w14:textId="6B47C2B4" w:rsidR="00E03C3F" w:rsidRPr="0092396E" w:rsidRDefault="0092396E" w:rsidP="0092396E">
      <w:pPr>
        <w:tabs>
          <w:tab w:val="left" w:pos="567"/>
        </w:tabs>
        <w:rPr>
          <w:b/>
          <w:bCs/>
          <w:caps/>
          <w:highlight w:val="yellow"/>
        </w:rPr>
      </w:pPr>
      <w:r>
        <w:rPr>
          <w:b/>
          <w:bCs/>
          <w:caps/>
        </w:rPr>
        <w:t xml:space="preserve">3.      </w:t>
      </w:r>
      <w:r w:rsidR="00CC7832" w:rsidRPr="0092396E">
        <w:rPr>
          <w:b/>
          <w:bCs/>
          <w:caps/>
        </w:rPr>
        <w:t xml:space="preserve">ekonominio vertinimo </w:t>
      </w:r>
      <w:r w:rsidR="002F0E4F" w:rsidRPr="0092396E">
        <w:rPr>
          <w:b/>
          <w:bCs/>
          <w:caps/>
        </w:rPr>
        <w:t>apibendrinimas</w:t>
      </w:r>
    </w:p>
    <w:p w14:paraId="2FC05D7E" w14:textId="6126B70A" w:rsidR="002E6F80" w:rsidRDefault="002E6F80" w:rsidP="002E6F80">
      <w:pPr>
        <w:tabs>
          <w:tab w:val="left" w:pos="284"/>
        </w:tabs>
        <w:rPr>
          <w:bCs/>
          <w:i/>
          <w:caps/>
          <w:sz w:val="22"/>
          <w:szCs w:val="22"/>
          <w:highlight w:val="yellow"/>
        </w:rPr>
      </w:pPr>
    </w:p>
    <w:p w14:paraId="79EA3C7F" w14:textId="77777777" w:rsidR="00080362" w:rsidRPr="006C4813" w:rsidRDefault="00080362" w:rsidP="002E6F80">
      <w:pPr>
        <w:tabs>
          <w:tab w:val="left" w:pos="284"/>
        </w:tabs>
        <w:rPr>
          <w:bCs/>
          <w:i/>
          <w:caps/>
          <w:sz w:val="22"/>
          <w:szCs w:val="22"/>
          <w:highlight w:val="yellow"/>
        </w:rPr>
      </w:pPr>
    </w:p>
    <w:p w14:paraId="44E6C38B" w14:textId="07B5D7A5" w:rsidR="0092396E" w:rsidRDefault="006C7458" w:rsidP="006C7458">
      <w:pPr>
        <w:tabs>
          <w:tab w:val="left" w:pos="284"/>
        </w:tabs>
        <w:spacing w:line="276" w:lineRule="auto"/>
        <w:jc w:val="both"/>
        <w:rPr>
          <w:bCs/>
        </w:rPr>
      </w:pPr>
      <w:r>
        <w:rPr>
          <w:bCs/>
        </w:rPr>
        <w:tab/>
      </w:r>
      <w:r>
        <w:rPr>
          <w:bCs/>
        </w:rPr>
        <w:tab/>
      </w:r>
      <w:bookmarkStart w:id="0" w:name="_Hlk130982266"/>
      <w:r w:rsidR="0092396E" w:rsidRPr="0092396E">
        <w:rPr>
          <w:bCs/>
        </w:rPr>
        <w:t>Pa</w:t>
      </w:r>
      <w:r w:rsidR="0092396E">
        <w:rPr>
          <w:bCs/>
        </w:rPr>
        <w:t xml:space="preserve">teikta kaštų naudingumo analizė. </w:t>
      </w:r>
      <w:r w:rsidR="0092396E" w:rsidRPr="0092396E">
        <w:rPr>
          <w:bCs/>
        </w:rPr>
        <w:t xml:space="preserve">Ekonominėje analizėje nagrinėjama pacientų populiacija yra II-IIIA stadijos NSLPV sergantieji suaugę pacientai po radikalios naviko rezekcijos ir chemoterapijos su platinos preparatais, kai yra didelė ligos recidyvo rizika, kai ≥ 50 % naviko ląstelių (NL) yra nustatyta PD-L1 raiška ir kai nėra nustatyta EGFR mutacijų arba ALK teigiamo NSLPV. </w:t>
      </w:r>
      <w:r w:rsidR="0092396E">
        <w:rPr>
          <w:bCs/>
        </w:rPr>
        <w:t xml:space="preserve">Nagrinėjama pacientų populiacija </w:t>
      </w:r>
      <w:r w:rsidR="0092396E" w:rsidRPr="0092396E">
        <w:rPr>
          <w:bCs/>
        </w:rPr>
        <w:t>atitinka kompensacijai teikiamas terapines indikacijas</w:t>
      </w:r>
      <w:r w:rsidR="0092396E">
        <w:rPr>
          <w:bCs/>
        </w:rPr>
        <w:t>.</w:t>
      </w:r>
    </w:p>
    <w:p w14:paraId="3FCF2115" w14:textId="19B8C1DE" w:rsidR="006C4813" w:rsidRDefault="006C7458" w:rsidP="006C7458">
      <w:pPr>
        <w:tabs>
          <w:tab w:val="left" w:pos="284"/>
        </w:tabs>
        <w:spacing w:line="276" w:lineRule="auto"/>
        <w:jc w:val="both"/>
        <w:rPr>
          <w:bCs/>
        </w:rPr>
      </w:pPr>
      <w:r>
        <w:rPr>
          <w:bCs/>
        </w:rPr>
        <w:tab/>
      </w:r>
      <w:r>
        <w:rPr>
          <w:bCs/>
        </w:rPr>
        <w:tab/>
      </w:r>
      <w:r w:rsidR="0092396E" w:rsidRPr="0092396E">
        <w:rPr>
          <w:bCs/>
        </w:rPr>
        <w:t>Ekonominėje analizėje pateiktas palyginamasis gydymas atitinka klinikinio paraiškos vertinimo dalyje pateiktą palyginamąjį gydymą</w:t>
      </w:r>
      <w:r w:rsidR="0092396E">
        <w:rPr>
          <w:bCs/>
        </w:rPr>
        <w:t xml:space="preserve"> – tai </w:t>
      </w:r>
      <w:r w:rsidR="0092396E" w:rsidRPr="0092396E">
        <w:rPr>
          <w:bCs/>
        </w:rPr>
        <w:t xml:space="preserve">atitinka įprastą Lietuvos Respublikos klinikinę praktiką. Įprasta klinikinė praktika Lietuvoje laikoma stebėjimo taktika. </w:t>
      </w:r>
      <w:r w:rsidR="0092396E">
        <w:rPr>
          <w:bCs/>
        </w:rPr>
        <w:t xml:space="preserve"> </w:t>
      </w:r>
    </w:p>
    <w:p w14:paraId="0A7784B2" w14:textId="671847AA" w:rsidR="0092396E" w:rsidRPr="0092396E" w:rsidRDefault="006C7458" w:rsidP="006C7458">
      <w:pPr>
        <w:tabs>
          <w:tab w:val="left" w:pos="284"/>
        </w:tabs>
        <w:spacing w:line="276" w:lineRule="auto"/>
        <w:jc w:val="both"/>
        <w:rPr>
          <w:bCs/>
        </w:rPr>
      </w:pPr>
      <w:r>
        <w:rPr>
          <w:bCs/>
        </w:rPr>
        <w:tab/>
      </w:r>
      <w:r>
        <w:rPr>
          <w:bCs/>
        </w:rPr>
        <w:tab/>
      </w:r>
      <w:r w:rsidR="0092396E" w:rsidRPr="0092396E">
        <w:rPr>
          <w:bCs/>
        </w:rPr>
        <w:t>Analizėje taikomas modeliavimas naudojant Markovo modelio tipą. Modelyje naudojamos 5 sveikatos būklės:</w:t>
      </w:r>
    </w:p>
    <w:p w14:paraId="262A68BF" w14:textId="51AAC2A2" w:rsidR="0092396E" w:rsidRPr="0092396E" w:rsidRDefault="00C86102" w:rsidP="006C7458">
      <w:pPr>
        <w:tabs>
          <w:tab w:val="left" w:pos="284"/>
        </w:tabs>
        <w:spacing w:line="276" w:lineRule="auto"/>
        <w:jc w:val="both"/>
        <w:rPr>
          <w:bCs/>
        </w:rPr>
      </w:pPr>
      <w:r>
        <w:rPr>
          <w:bCs/>
        </w:rPr>
        <w:tab/>
      </w:r>
      <w:r w:rsidR="0092396E" w:rsidRPr="0092396E">
        <w:rPr>
          <w:bCs/>
        </w:rPr>
        <w:t>•</w:t>
      </w:r>
      <w:r w:rsidR="0092396E" w:rsidRPr="0092396E">
        <w:rPr>
          <w:bCs/>
        </w:rPr>
        <w:tab/>
      </w:r>
      <w:r w:rsidR="004349BC">
        <w:rPr>
          <w:bCs/>
        </w:rPr>
        <w:t>b</w:t>
      </w:r>
      <w:r w:rsidR="0092396E" w:rsidRPr="0092396E">
        <w:rPr>
          <w:bCs/>
        </w:rPr>
        <w:t>ūklė be ligos pasireiškimo (angl</w:t>
      </w:r>
      <w:r w:rsidR="0092396E" w:rsidRPr="004349BC">
        <w:rPr>
          <w:bCs/>
          <w:i/>
          <w:iCs/>
        </w:rPr>
        <w:t>. disease free survival</w:t>
      </w:r>
      <w:r w:rsidR="0092396E" w:rsidRPr="0092396E">
        <w:rPr>
          <w:bCs/>
        </w:rPr>
        <w:t xml:space="preserve">) </w:t>
      </w:r>
    </w:p>
    <w:p w14:paraId="4401372F" w14:textId="1EF9A34F" w:rsidR="0092396E" w:rsidRPr="0092396E" w:rsidRDefault="00C86102" w:rsidP="006C7458">
      <w:pPr>
        <w:tabs>
          <w:tab w:val="left" w:pos="284"/>
        </w:tabs>
        <w:spacing w:line="276" w:lineRule="auto"/>
        <w:jc w:val="both"/>
        <w:rPr>
          <w:bCs/>
        </w:rPr>
      </w:pPr>
      <w:r>
        <w:rPr>
          <w:bCs/>
        </w:rPr>
        <w:tab/>
      </w:r>
      <w:r w:rsidR="0092396E" w:rsidRPr="0092396E">
        <w:rPr>
          <w:bCs/>
        </w:rPr>
        <w:t>•</w:t>
      </w:r>
      <w:r w:rsidR="0092396E" w:rsidRPr="0092396E">
        <w:rPr>
          <w:bCs/>
        </w:rPr>
        <w:tab/>
      </w:r>
      <w:r w:rsidR="004349BC">
        <w:rPr>
          <w:bCs/>
        </w:rPr>
        <w:t>l</w:t>
      </w:r>
      <w:r w:rsidR="0092396E" w:rsidRPr="0092396E">
        <w:rPr>
          <w:bCs/>
        </w:rPr>
        <w:t xml:space="preserve">okoregioninis atsinaujinimas (angl. </w:t>
      </w:r>
      <w:r w:rsidR="0092396E" w:rsidRPr="004349BC">
        <w:rPr>
          <w:bCs/>
          <w:i/>
          <w:iCs/>
        </w:rPr>
        <w:t>locoregional recurrence</w:t>
      </w:r>
      <w:r w:rsidR="0092396E" w:rsidRPr="0092396E">
        <w:rPr>
          <w:bCs/>
        </w:rPr>
        <w:t xml:space="preserve">) </w:t>
      </w:r>
    </w:p>
    <w:p w14:paraId="7DAEF112" w14:textId="69FADB19" w:rsidR="0092396E" w:rsidRPr="0092396E" w:rsidRDefault="00C86102" w:rsidP="006C7458">
      <w:pPr>
        <w:tabs>
          <w:tab w:val="left" w:pos="284"/>
        </w:tabs>
        <w:spacing w:line="276" w:lineRule="auto"/>
        <w:jc w:val="both"/>
        <w:rPr>
          <w:bCs/>
        </w:rPr>
      </w:pPr>
      <w:r>
        <w:rPr>
          <w:bCs/>
        </w:rPr>
        <w:lastRenderedPageBreak/>
        <w:tab/>
      </w:r>
      <w:r w:rsidR="0092396E" w:rsidRPr="0092396E">
        <w:rPr>
          <w:bCs/>
        </w:rPr>
        <w:t>•</w:t>
      </w:r>
      <w:r w:rsidR="0092396E" w:rsidRPr="0092396E">
        <w:rPr>
          <w:bCs/>
        </w:rPr>
        <w:tab/>
      </w:r>
      <w:r w:rsidR="004349BC">
        <w:rPr>
          <w:bCs/>
        </w:rPr>
        <w:t>m</w:t>
      </w:r>
      <w:r w:rsidR="0092396E" w:rsidRPr="0092396E">
        <w:rPr>
          <w:bCs/>
        </w:rPr>
        <w:t xml:space="preserve">etastazinis atsinaujinimas, pirmos eilės gydymas (angl. </w:t>
      </w:r>
      <w:r w:rsidR="0092396E" w:rsidRPr="004349BC">
        <w:rPr>
          <w:bCs/>
          <w:i/>
          <w:iCs/>
        </w:rPr>
        <w:t>1L Metastatic recurrence</w:t>
      </w:r>
      <w:r w:rsidR="0092396E">
        <w:rPr>
          <w:bCs/>
        </w:rPr>
        <w:t>)</w:t>
      </w:r>
    </w:p>
    <w:p w14:paraId="3B632811" w14:textId="57B44046" w:rsidR="0092396E" w:rsidRPr="0092396E" w:rsidRDefault="00C86102" w:rsidP="006C7458">
      <w:pPr>
        <w:tabs>
          <w:tab w:val="left" w:pos="284"/>
        </w:tabs>
        <w:spacing w:line="276" w:lineRule="auto"/>
        <w:jc w:val="both"/>
        <w:rPr>
          <w:bCs/>
        </w:rPr>
      </w:pPr>
      <w:r>
        <w:rPr>
          <w:bCs/>
        </w:rPr>
        <w:tab/>
      </w:r>
      <w:r w:rsidR="0092396E" w:rsidRPr="0092396E">
        <w:rPr>
          <w:bCs/>
        </w:rPr>
        <w:t>•</w:t>
      </w:r>
      <w:r w:rsidR="0092396E" w:rsidRPr="0092396E">
        <w:rPr>
          <w:bCs/>
        </w:rPr>
        <w:tab/>
      </w:r>
      <w:r w:rsidR="004349BC">
        <w:rPr>
          <w:bCs/>
        </w:rPr>
        <w:t>m</w:t>
      </w:r>
      <w:r w:rsidR="0092396E" w:rsidRPr="0092396E">
        <w:rPr>
          <w:bCs/>
        </w:rPr>
        <w:t xml:space="preserve">etastazinis atsinaujinimas, antros eilės gydymas (angl. </w:t>
      </w:r>
      <w:r w:rsidR="0092396E" w:rsidRPr="004349BC">
        <w:rPr>
          <w:bCs/>
          <w:i/>
          <w:iCs/>
        </w:rPr>
        <w:t>2L Metastatic recurrence</w:t>
      </w:r>
      <w:r w:rsidR="0092396E" w:rsidRPr="0092396E">
        <w:rPr>
          <w:bCs/>
        </w:rPr>
        <w:t xml:space="preserve">) </w:t>
      </w:r>
    </w:p>
    <w:p w14:paraId="62AB0979" w14:textId="39129060" w:rsidR="0092396E" w:rsidRPr="0092396E" w:rsidRDefault="00C86102" w:rsidP="006C7458">
      <w:pPr>
        <w:tabs>
          <w:tab w:val="left" w:pos="284"/>
        </w:tabs>
        <w:spacing w:line="276" w:lineRule="auto"/>
        <w:jc w:val="both"/>
        <w:rPr>
          <w:bCs/>
        </w:rPr>
      </w:pPr>
      <w:r>
        <w:rPr>
          <w:bCs/>
        </w:rPr>
        <w:tab/>
      </w:r>
      <w:r w:rsidR="0092396E" w:rsidRPr="0092396E">
        <w:rPr>
          <w:bCs/>
        </w:rPr>
        <w:t>•</w:t>
      </w:r>
      <w:r w:rsidR="0092396E" w:rsidRPr="0092396E">
        <w:rPr>
          <w:bCs/>
        </w:rPr>
        <w:tab/>
      </w:r>
      <w:r w:rsidR="004349BC">
        <w:rPr>
          <w:bCs/>
        </w:rPr>
        <w:t>m</w:t>
      </w:r>
      <w:r w:rsidR="0092396E" w:rsidRPr="0092396E">
        <w:rPr>
          <w:bCs/>
        </w:rPr>
        <w:t>irties būklė</w:t>
      </w:r>
      <w:r w:rsidR="0092396E">
        <w:rPr>
          <w:bCs/>
        </w:rPr>
        <w:t>.</w:t>
      </w:r>
    </w:p>
    <w:p w14:paraId="7806DCF9" w14:textId="00F378B7" w:rsidR="0092396E" w:rsidRDefault="006C7458" w:rsidP="006C7458">
      <w:pPr>
        <w:tabs>
          <w:tab w:val="left" w:pos="284"/>
        </w:tabs>
        <w:spacing w:line="276" w:lineRule="auto"/>
        <w:jc w:val="both"/>
        <w:rPr>
          <w:bCs/>
        </w:rPr>
      </w:pPr>
      <w:r>
        <w:rPr>
          <w:bCs/>
        </w:rPr>
        <w:tab/>
      </w:r>
      <w:r>
        <w:rPr>
          <w:bCs/>
        </w:rPr>
        <w:tab/>
      </w:r>
      <w:r w:rsidR="0092396E" w:rsidRPr="0092396E">
        <w:rPr>
          <w:bCs/>
        </w:rPr>
        <w:t>Pasirinkta ciklo trukmė modelyje yra 1 mėnuo, taikoma vidurio ciklo korekcija. Šališkumas analizės struktūroje nejaučiamas.</w:t>
      </w:r>
      <w:r w:rsidR="0092396E">
        <w:rPr>
          <w:bCs/>
        </w:rPr>
        <w:t xml:space="preserve"> </w:t>
      </w:r>
      <w:r w:rsidR="0092396E" w:rsidRPr="0092396E">
        <w:rPr>
          <w:bCs/>
        </w:rPr>
        <w:t>Modelio struktūra yra tinkama nagrinėjamos indikacijos gydymo kaštų naudingumo analizės atlikimui.</w:t>
      </w:r>
    </w:p>
    <w:p w14:paraId="1C19B47C" w14:textId="532598B4" w:rsidR="0092396E" w:rsidRDefault="006C7458" w:rsidP="006C7458">
      <w:pPr>
        <w:tabs>
          <w:tab w:val="left" w:pos="284"/>
        </w:tabs>
        <w:spacing w:line="276" w:lineRule="auto"/>
        <w:jc w:val="both"/>
        <w:rPr>
          <w:bCs/>
        </w:rPr>
      </w:pPr>
      <w:r>
        <w:rPr>
          <w:bCs/>
        </w:rPr>
        <w:tab/>
      </w:r>
      <w:r>
        <w:rPr>
          <w:bCs/>
        </w:rPr>
        <w:tab/>
      </w:r>
      <w:r w:rsidR="0092396E" w:rsidRPr="0092396E">
        <w:rPr>
          <w:bCs/>
        </w:rPr>
        <w:t>Pagrindinis klinikinių duomenų šaltinis – klinikinis tyrimas IMpower010. Vėlesnių ligos stadijų eigą informuoja IMpower150/110 tyrimai (metastazavusi liga), sistemingos literatūros apžvalgos, gydymo gairės, ir terapinės srities specialistų konsultacijos (ang</w:t>
      </w:r>
      <w:r w:rsidR="004349BC">
        <w:rPr>
          <w:bCs/>
        </w:rPr>
        <w:t>l</w:t>
      </w:r>
      <w:r w:rsidR="0092396E" w:rsidRPr="0092396E">
        <w:rPr>
          <w:bCs/>
        </w:rPr>
        <w:t xml:space="preserve">. </w:t>
      </w:r>
      <w:r w:rsidR="0092396E" w:rsidRPr="004349BC">
        <w:rPr>
          <w:bCs/>
          <w:i/>
          <w:iCs/>
        </w:rPr>
        <w:t>therapeutic area experts</w:t>
      </w:r>
      <w:r w:rsidR="0092396E" w:rsidRPr="0092396E">
        <w:rPr>
          <w:bCs/>
        </w:rPr>
        <w:t xml:space="preserve"> - TAEs). IMpower010 tyrimo pacientų stebėsenos mediana duomenų pjūvio metu – 32 mėnesiai.</w:t>
      </w:r>
    </w:p>
    <w:p w14:paraId="059C7BC2" w14:textId="3E11AEB8" w:rsidR="0092396E" w:rsidRDefault="0092396E" w:rsidP="006C7458">
      <w:pPr>
        <w:tabs>
          <w:tab w:val="left" w:pos="284"/>
        </w:tabs>
        <w:spacing w:line="276" w:lineRule="auto"/>
        <w:jc w:val="both"/>
        <w:rPr>
          <w:bCs/>
        </w:rPr>
      </w:pPr>
      <w:r w:rsidRPr="0092396E">
        <w:rPr>
          <w:bCs/>
        </w:rPr>
        <w:t>Modelyje taikoma ilgesnė laiko perspektyva, besitęsianti po klinikinio tyrimo stebėsenos pabaigos, todėl taikomi ekstrapoliacijos metodai.</w:t>
      </w:r>
    </w:p>
    <w:p w14:paraId="476896C5" w14:textId="55E8ED98" w:rsidR="0092396E" w:rsidRDefault="006C7458" w:rsidP="006C7458">
      <w:pPr>
        <w:tabs>
          <w:tab w:val="left" w:pos="284"/>
        </w:tabs>
        <w:spacing w:line="276" w:lineRule="auto"/>
        <w:jc w:val="both"/>
        <w:rPr>
          <w:bCs/>
        </w:rPr>
      </w:pPr>
      <w:r>
        <w:rPr>
          <w:bCs/>
        </w:rPr>
        <w:tab/>
      </w:r>
      <w:r>
        <w:rPr>
          <w:bCs/>
        </w:rPr>
        <w:tab/>
      </w:r>
      <w:r w:rsidR="0092396E" w:rsidRPr="0092396E">
        <w:rPr>
          <w:bCs/>
        </w:rPr>
        <w:t>Analizė atlikta iš PSDF biudžeto perspektyvos, įtraukti tiesiogiai su sveikatos sistema susiję kaštai. Tai atitinka teisės aktuose nustatytus paraiškos rengimo taisyklių reikalavimus.</w:t>
      </w:r>
    </w:p>
    <w:p w14:paraId="66D10911" w14:textId="7E90C551" w:rsidR="0092396E" w:rsidRDefault="006C7458" w:rsidP="006C7458">
      <w:pPr>
        <w:tabs>
          <w:tab w:val="left" w:pos="284"/>
        </w:tabs>
        <w:spacing w:line="276" w:lineRule="auto"/>
        <w:jc w:val="both"/>
        <w:rPr>
          <w:bCs/>
        </w:rPr>
      </w:pPr>
      <w:r>
        <w:rPr>
          <w:bCs/>
        </w:rPr>
        <w:tab/>
      </w:r>
      <w:r>
        <w:rPr>
          <w:bCs/>
        </w:rPr>
        <w:tab/>
      </w:r>
      <w:r w:rsidR="0092396E" w:rsidRPr="0092396E">
        <w:rPr>
          <w:bCs/>
        </w:rPr>
        <w:t>Analizėje taikoma 39 metų laiko perspektyva, iš esmės tai viso gyvenimo laiko perspektyva atsižvelgiant į klinikinio tyrimo IMpower010 vidutinį įtrauktų pacientų amžių. Pasirinkta laiko perspektyva yra  tinkama, nes modeliuojant apima iš esmės visą gaunamą naudą ir patiriamus kaštus.</w:t>
      </w:r>
    </w:p>
    <w:p w14:paraId="79A0524B" w14:textId="69834272" w:rsidR="0092396E" w:rsidRDefault="006C7458" w:rsidP="006C7458">
      <w:pPr>
        <w:tabs>
          <w:tab w:val="left" w:pos="284"/>
        </w:tabs>
        <w:spacing w:line="276" w:lineRule="auto"/>
        <w:jc w:val="both"/>
        <w:rPr>
          <w:bCs/>
        </w:rPr>
      </w:pPr>
      <w:r>
        <w:rPr>
          <w:bCs/>
        </w:rPr>
        <w:tab/>
      </w:r>
      <w:r>
        <w:rPr>
          <w:bCs/>
        </w:rPr>
        <w:tab/>
      </w:r>
      <w:r w:rsidR="00080DF4" w:rsidRPr="00080DF4">
        <w:rPr>
          <w:bCs/>
        </w:rPr>
        <w:t>Sveikatai sukuriama nauda ekonominėje analizėje vertinama apskaičiuojant gydymo alternatyvų sukuriamus kokybiškus gyvenimo metus. Apskaičiuojant buvo taikomi skirtingoms sveikatos būklėms būdingi gyvenimo kokybės įverčiai. IMpower010 klinikiniame tyrime gyvenimo kokybės vertinimas nebuvo atliekamas, todėl buvo taikomi kiti gyvenimo kokybės įverčių šaltiniai.</w:t>
      </w:r>
    </w:p>
    <w:p w14:paraId="29A63555" w14:textId="77777777" w:rsidR="00B62292" w:rsidRDefault="006C7458" w:rsidP="00B62292">
      <w:pPr>
        <w:tabs>
          <w:tab w:val="left" w:pos="284"/>
        </w:tabs>
        <w:spacing w:line="276" w:lineRule="auto"/>
        <w:jc w:val="both"/>
        <w:rPr>
          <w:bCs/>
        </w:rPr>
      </w:pPr>
      <w:r>
        <w:rPr>
          <w:bCs/>
        </w:rPr>
        <w:tab/>
      </w:r>
      <w:r>
        <w:rPr>
          <w:bCs/>
        </w:rPr>
        <w:tab/>
      </w:r>
      <w:r w:rsidR="00080DF4" w:rsidRPr="00080DF4">
        <w:rPr>
          <w:bCs/>
        </w:rPr>
        <w:t>Į ekonominę analizę įtraukiami</w:t>
      </w:r>
      <w:r w:rsidR="00080DF4">
        <w:rPr>
          <w:bCs/>
        </w:rPr>
        <w:t xml:space="preserve"> </w:t>
      </w:r>
      <w:r w:rsidR="00080DF4" w:rsidRPr="00080DF4">
        <w:rPr>
          <w:bCs/>
        </w:rPr>
        <w:t>vaistinių preparatų įsigijimo</w:t>
      </w:r>
      <w:r w:rsidR="00080DF4">
        <w:rPr>
          <w:bCs/>
        </w:rPr>
        <w:t xml:space="preserve">, </w:t>
      </w:r>
      <w:r w:rsidR="00080DF4" w:rsidRPr="00080DF4">
        <w:rPr>
          <w:bCs/>
        </w:rPr>
        <w:t xml:space="preserve">vaistų </w:t>
      </w:r>
      <w:r w:rsidR="00E908DE">
        <w:rPr>
          <w:bCs/>
        </w:rPr>
        <w:t xml:space="preserve">vartojimo </w:t>
      </w:r>
      <w:r w:rsidR="00080DF4" w:rsidRPr="00080DF4">
        <w:rPr>
          <w:bCs/>
        </w:rPr>
        <w:t>(leidim</w:t>
      </w:r>
      <w:r w:rsidR="00080DF4">
        <w:rPr>
          <w:bCs/>
        </w:rPr>
        <w:t xml:space="preserve">o), </w:t>
      </w:r>
      <w:r w:rsidR="00080DF4" w:rsidRPr="00080DF4">
        <w:rPr>
          <w:bCs/>
        </w:rPr>
        <w:t>sveikatos priežiūros paslaugų</w:t>
      </w:r>
      <w:r w:rsidR="00080DF4">
        <w:rPr>
          <w:bCs/>
        </w:rPr>
        <w:t xml:space="preserve">, </w:t>
      </w:r>
      <w:r w:rsidR="00080DF4" w:rsidRPr="00080DF4">
        <w:rPr>
          <w:bCs/>
        </w:rPr>
        <w:t>gyvenimo pabaigos kaštai.</w:t>
      </w:r>
      <w:r w:rsidR="00080DF4">
        <w:rPr>
          <w:bCs/>
        </w:rPr>
        <w:t xml:space="preserve"> </w:t>
      </w:r>
      <w:r w:rsidR="00080DF4" w:rsidRPr="00080DF4">
        <w:rPr>
          <w:bCs/>
        </w:rPr>
        <w:t>Taikoma prielaida, kad atezolizumabo grupės pacientai gauna gydymą esant būklėje be ligos požymių ir tęsia iki 16 ciklų. Pacientai gali nutraukti gydymą anksčiau dėl ligos atsinaujinimo, mirties ar kitų priežasčių. Pareiškėjo pateiktoje analizėje atezolizumabo gydymo trukmė nustatoma remiantis klinikinio tyrimo IMpower010 duomenimis.</w:t>
      </w:r>
      <w:r w:rsidR="00080DF4">
        <w:rPr>
          <w:bCs/>
        </w:rPr>
        <w:t xml:space="preserve"> </w:t>
      </w:r>
      <w:r w:rsidR="00080DF4" w:rsidRPr="00080DF4">
        <w:rPr>
          <w:bCs/>
        </w:rPr>
        <w:t>Analizėje taikomas atezolizumabo vartojimo režimas yra 1200</w:t>
      </w:r>
      <w:r w:rsidR="00E908DE">
        <w:rPr>
          <w:bCs/>
        </w:rPr>
        <w:t xml:space="preserve"> </w:t>
      </w:r>
      <w:r w:rsidR="00080DF4" w:rsidRPr="00080DF4">
        <w:rPr>
          <w:bCs/>
        </w:rPr>
        <w:t>mg kas 3 savaites, nes toks gydymo režimas buvo skiriamas tiriamiesiems klinikiniame tyrime IMpower010.</w:t>
      </w:r>
      <w:r w:rsidR="00080DF4">
        <w:rPr>
          <w:bCs/>
        </w:rPr>
        <w:t xml:space="preserve"> Tarnybos vertinimu, kaštų apskaičiavimas yra iš esmės tinkamas, o trūkumai, tikėtina, nedaro esminės įtakos analizės rezultatams. </w:t>
      </w:r>
    </w:p>
    <w:p w14:paraId="3CE3EB25" w14:textId="09B7BF8C" w:rsidR="00B62292" w:rsidRDefault="00B62292" w:rsidP="00B62292">
      <w:pPr>
        <w:tabs>
          <w:tab w:val="left" w:pos="284"/>
        </w:tabs>
        <w:spacing w:line="276" w:lineRule="auto"/>
        <w:jc w:val="both"/>
        <w:rPr>
          <w:bCs/>
        </w:rPr>
      </w:pPr>
      <w:r>
        <w:rPr>
          <w:bCs/>
        </w:rPr>
        <w:tab/>
      </w:r>
      <w:r>
        <w:rPr>
          <w:bCs/>
        </w:rPr>
        <w:tab/>
      </w:r>
      <w:r w:rsidR="00080DF4">
        <w:rPr>
          <w:bCs/>
        </w:rPr>
        <w:t>Pagrindiniai analizės trūkumai yra susiję su klinikinių prielaidų neapibrėžtumu ilgalaikėje perspektyvoje</w:t>
      </w:r>
      <w:r>
        <w:rPr>
          <w:bCs/>
        </w:rPr>
        <w:t xml:space="preserve">. </w:t>
      </w:r>
      <w:r w:rsidRPr="00B62292">
        <w:rPr>
          <w:bCs/>
        </w:rPr>
        <w:t xml:space="preserve">Tarnyba, perskaičiuodama analizės rezultatus, klinikinių prielaidų neapibrėžtumą sprendžia pritaikydama nebūtinai kliniškai pagrįstas, tačiau konservatyvesnes prielaidas. Pakeistos prielaidos aprašytos ekonominio vertinimo protokole. </w:t>
      </w:r>
    </w:p>
    <w:p w14:paraId="773A7FB7" w14:textId="7EAC0810" w:rsidR="00B62292" w:rsidRPr="00080362" w:rsidRDefault="00B62292" w:rsidP="006C7458">
      <w:pPr>
        <w:tabs>
          <w:tab w:val="left" w:pos="284"/>
        </w:tabs>
        <w:spacing w:line="276" w:lineRule="auto"/>
        <w:jc w:val="both"/>
        <w:rPr>
          <w:bCs/>
          <w:lang w:val="en-US"/>
        </w:rPr>
      </w:pPr>
      <w:r>
        <w:rPr>
          <w:bCs/>
        </w:rPr>
        <w:tab/>
      </w:r>
      <w:r>
        <w:rPr>
          <w:bCs/>
        </w:rPr>
        <w:tab/>
        <w:t xml:space="preserve">Apskaičiuotas ligos naštos dydis </w:t>
      </w:r>
      <w:r w:rsidR="00E91A39">
        <w:rPr>
          <w:bCs/>
        </w:rPr>
        <w:t xml:space="preserve">yra </w:t>
      </w:r>
      <w:r w:rsidR="00B24BD7">
        <w:rPr>
          <w:bCs/>
        </w:rPr>
        <w:t>***</w:t>
      </w:r>
      <w:r w:rsidR="00E91A39">
        <w:rPr>
          <w:bCs/>
        </w:rPr>
        <w:t xml:space="preserve">, ligos našta yra laikoma vidutinė, o </w:t>
      </w:r>
      <w:r w:rsidR="00E91A39" w:rsidRPr="00E91A39">
        <w:rPr>
          <w:bCs/>
        </w:rPr>
        <w:t xml:space="preserve">referencinės kaštų naudingumo vertės dydis yra </w:t>
      </w:r>
      <w:r w:rsidR="00B24BD7">
        <w:rPr>
          <w:bCs/>
        </w:rPr>
        <w:t xml:space="preserve">*** </w:t>
      </w:r>
      <w:r w:rsidR="00E91A39">
        <w:rPr>
          <w:bCs/>
        </w:rPr>
        <w:t xml:space="preserve">Eur. </w:t>
      </w:r>
    </w:p>
    <w:p w14:paraId="2FE53F2E" w14:textId="22259360" w:rsidR="0092396E" w:rsidRDefault="0092396E" w:rsidP="006C7458">
      <w:pPr>
        <w:tabs>
          <w:tab w:val="left" w:pos="284"/>
        </w:tabs>
        <w:spacing w:line="276" w:lineRule="auto"/>
        <w:jc w:val="both"/>
        <w:rPr>
          <w:bCs/>
        </w:rPr>
      </w:pPr>
    </w:p>
    <w:bookmarkEnd w:id="0"/>
    <w:p w14:paraId="3BDB57A9" w14:textId="77777777" w:rsidR="00B1667C" w:rsidRPr="0035172D" w:rsidRDefault="00B1667C" w:rsidP="00B1667C">
      <w:pPr>
        <w:tabs>
          <w:tab w:val="left" w:pos="426"/>
        </w:tabs>
        <w:rPr>
          <w:b/>
          <w:lang w:eastAsia="lt-LT"/>
        </w:rPr>
      </w:pPr>
      <w:r w:rsidRPr="0035172D">
        <w:rPr>
          <w:b/>
          <w:lang w:eastAsia="lt-LT"/>
        </w:rPr>
        <w:t>Ekonominės analizės rezultatas</w:t>
      </w:r>
    </w:p>
    <w:p w14:paraId="68BEC2B0" w14:textId="77777777" w:rsidR="00B1667C" w:rsidRDefault="00B1667C" w:rsidP="00B1667C">
      <w:pPr>
        <w:tabs>
          <w:tab w:val="left" w:pos="426"/>
        </w:tabs>
        <w:rPr>
          <w:lang w:eastAsia="lt-LT"/>
        </w:rPr>
      </w:pPr>
    </w:p>
    <w:tbl>
      <w:tblPr>
        <w:tblStyle w:val="Lentelstinklelis"/>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6"/>
        <w:gridCol w:w="5513"/>
      </w:tblGrid>
      <w:tr w:rsidR="00B1667C" w:rsidRPr="0035172D" w14:paraId="1DDD7414" w14:textId="77777777" w:rsidTr="00E306CF">
        <w:tc>
          <w:tcPr>
            <w:tcW w:w="9609" w:type="dxa"/>
            <w:gridSpan w:val="2"/>
            <w:tcBorders>
              <w:top w:val="single" w:sz="12" w:space="0" w:color="auto"/>
            </w:tcBorders>
          </w:tcPr>
          <w:p w14:paraId="793FC109" w14:textId="77777777" w:rsidR="00B1667C" w:rsidRPr="00052634" w:rsidRDefault="00B1667C" w:rsidP="00E306CF">
            <w:pPr>
              <w:tabs>
                <w:tab w:val="left" w:pos="567"/>
              </w:tabs>
              <w:jc w:val="center"/>
              <w:rPr>
                <w:b/>
                <w:bCs/>
                <w:lang w:eastAsia="lt-LT"/>
              </w:rPr>
            </w:pPr>
            <w:r w:rsidRPr="00052634">
              <w:rPr>
                <w:b/>
                <w:bCs/>
                <w:lang w:eastAsia="lt-LT"/>
              </w:rPr>
              <w:t>Rezultatai</w:t>
            </w:r>
          </w:p>
        </w:tc>
      </w:tr>
      <w:tr w:rsidR="00B1667C" w:rsidRPr="0035172D" w14:paraId="4686775E" w14:textId="77777777" w:rsidTr="00E306CF">
        <w:tc>
          <w:tcPr>
            <w:tcW w:w="4096" w:type="dxa"/>
          </w:tcPr>
          <w:p w14:paraId="53BAD5D7" w14:textId="77777777" w:rsidR="00B1667C" w:rsidRPr="00052634" w:rsidRDefault="00B1667C" w:rsidP="00E306CF">
            <w:pPr>
              <w:tabs>
                <w:tab w:val="left" w:pos="567"/>
              </w:tabs>
              <w:jc w:val="right"/>
              <w:rPr>
                <w:iCs/>
                <w:lang w:eastAsia="lt-LT"/>
              </w:rPr>
            </w:pPr>
            <w:r w:rsidRPr="00052634">
              <w:rPr>
                <w:iCs/>
                <w:lang w:eastAsia="lt-LT"/>
              </w:rPr>
              <w:t>ICER už LY</w:t>
            </w:r>
          </w:p>
        </w:tc>
        <w:tc>
          <w:tcPr>
            <w:tcW w:w="5513" w:type="dxa"/>
          </w:tcPr>
          <w:p w14:paraId="41AA8A3F" w14:textId="0289DA84" w:rsidR="00B1667C" w:rsidRPr="00052634" w:rsidRDefault="00B24BD7" w:rsidP="006C7458">
            <w:pPr>
              <w:tabs>
                <w:tab w:val="left" w:pos="284"/>
              </w:tabs>
              <w:jc w:val="center"/>
              <w:rPr>
                <w:bCs/>
                <w:caps/>
              </w:rPr>
            </w:pPr>
            <w:r>
              <w:rPr>
                <w:bCs/>
                <w:caps/>
              </w:rPr>
              <w:t>***</w:t>
            </w:r>
          </w:p>
        </w:tc>
      </w:tr>
      <w:tr w:rsidR="00B1667C" w:rsidRPr="0035172D" w14:paraId="65612806" w14:textId="77777777" w:rsidTr="00E306CF">
        <w:tc>
          <w:tcPr>
            <w:tcW w:w="4096" w:type="dxa"/>
          </w:tcPr>
          <w:p w14:paraId="2F9E1AE1" w14:textId="77777777" w:rsidR="00B1667C" w:rsidRPr="00052634" w:rsidRDefault="00B1667C" w:rsidP="00E306CF">
            <w:pPr>
              <w:tabs>
                <w:tab w:val="left" w:pos="567"/>
              </w:tabs>
              <w:jc w:val="right"/>
              <w:rPr>
                <w:iCs/>
                <w:lang w:eastAsia="lt-LT"/>
              </w:rPr>
            </w:pPr>
            <w:r w:rsidRPr="00052634">
              <w:rPr>
                <w:iCs/>
                <w:lang w:eastAsia="lt-LT"/>
              </w:rPr>
              <w:t>ICER už QALY</w:t>
            </w:r>
          </w:p>
        </w:tc>
        <w:tc>
          <w:tcPr>
            <w:tcW w:w="5513" w:type="dxa"/>
          </w:tcPr>
          <w:p w14:paraId="5F79F963" w14:textId="471AF771" w:rsidR="00B1667C" w:rsidRPr="00052634" w:rsidRDefault="00B24BD7" w:rsidP="006C7458">
            <w:pPr>
              <w:tabs>
                <w:tab w:val="left" w:pos="284"/>
              </w:tabs>
              <w:jc w:val="center"/>
              <w:rPr>
                <w:bCs/>
                <w:caps/>
                <w:highlight w:val="yellow"/>
              </w:rPr>
            </w:pPr>
            <w:r w:rsidRPr="00B24BD7">
              <w:rPr>
                <w:bCs/>
                <w:caps/>
              </w:rPr>
              <w:t>***</w:t>
            </w:r>
          </w:p>
        </w:tc>
      </w:tr>
      <w:tr w:rsidR="00B1667C" w:rsidRPr="00884E65" w14:paraId="416F5C58" w14:textId="77777777" w:rsidTr="00E306CF">
        <w:tc>
          <w:tcPr>
            <w:tcW w:w="4096" w:type="dxa"/>
          </w:tcPr>
          <w:p w14:paraId="5B495EF2" w14:textId="77777777" w:rsidR="00B1667C" w:rsidRPr="00052634" w:rsidRDefault="00B1667C" w:rsidP="00E306CF">
            <w:pPr>
              <w:tabs>
                <w:tab w:val="left" w:pos="567"/>
              </w:tabs>
              <w:jc w:val="right"/>
              <w:rPr>
                <w:iCs/>
                <w:lang w:eastAsia="lt-LT"/>
              </w:rPr>
            </w:pPr>
            <w:r w:rsidRPr="00052634">
              <w:rPr>
                <w:iCs/>
                <w:lang w:eastAsia="lt-LT"/>
              </w:rPr>
              <w:t>Referentinė kaštų naudingumo vertė</w:t>
            </w:r>
          </w:p>
        </w:tc>
        <w:tc>
          <w:tcPr>
            <w:tcW w:w="5513" w:type="dxa"/>
          </w:tcPr>
          <w:p w14:paraId="28CC51EB" w14:textId="5FC26A95" w:rsidR="00B1667C" w:rsidRPr="00052634" w:rsidRDefault="001E1C0B" w:rsidP="006C7458">
            <w:pPr>
              <w:tabs>
                <w:tab w:val="left" w:pos="567"/>
              </w:tabs>
              <w:jc w:val="center"/>
              <w:rPr>
                <w:b/>
                <w:bCs/>
                <w:lang w:eastAsia="lt-LT"/>
              </w:rPr>
            </w:pPr>
            <w:r>
              <w:rPr>
                <w:b/>
                <w:bCs/>
                <w:lang w:eastAsia="lt-LT"/>
              </w:rPr>
              <w:t>***</w:t>
            </w:r>
          </w:p>
        </w:tc>
      </w:tr>
    </w:tbl>
    <w:p w14:paraId="683669BE" w14:textId="77777777" w:rsidR="00B1667C" w:rsidRPr="00E5102E" w:rsidRDefault="00B1667C" w:rsidP="00B1667C">
      <w:pPr>
        <w:tabs>
          <w:tab w:val="left" w:pos="567"/>
        </w:tabs>
        <w:jc w:val="both"/>
        <w:rPr>
          <w:iCs/>
          <w:sz w:val="20"/>
          <w:lang w:eastAsia="lt-LT"/>
        </w:rPr>
      </w:pPr>
      <w:r w:rsidRPr="00C37B53">
        <w:rPr>
          <w:iCs/>
          <w:sz w:val="20"/>
          <w:lang w:eastAsia="lt-LT"/>
        </w:rPr>
        <w:t>ICER – (</w:t>
      </w:r>
      <w:r w:rsidRPr="00C37B53">
        <w:rPr>
          <w:i/>
          <w:sz w:val="20"/>
          <w:lang w:eastAsia="lt-LT"/>
        </w:rPr>
        <w:t>angl. incremental cost-effectiveness ratio</w:t>
      </w:r>
      <w:r w:rsidRPr="00C37B53">
        <w:rPr>
          <w:iCs/>
          <w:sz w:val="20"/>
          <w:lang w:eastAsia="lt-LT"/>
        </w:rPr>
        <w:t>) inkrementinis kaštų naudingumo koeficientas; LY – (</w:t>
      </w:r>
      <w:r w:rsidRPr="00C37B53">
        <w:rPr>
          <w:i/>
          <w:sz w:val="20"/>
          <w:lang w:eastAsia="lt-LT"/>
        </w:rPr>
        <w:t>angl. life years</w:t>
      </w:r>
      <w:r w:rsidRPr="00C37B53">
        <w:rPr>
          <w:iCs/>
          <w:sz w:val="20"/>
          <w:lang w:eastAsia="lt-LT"/>
        </w:rPr>
        <w:t>) gyvenimo metai; QALY- (</w:t>
      </w:r>
      <w:r w:rsidRPr="00C37B53">
        <w:rPr>
          <w:i/>
          <w:sz w:val="20"/>
          <w:lang w:eastAsia="lt-LT"/>
        </w:rPr>
        <w:t xml:space="preserve">angl. quality adjusted life years) </w:t>
      </w:r>
      <w:r w:rsidRPr="00C37B53">
        <w:rPr>
          <w:iCs/>
          <w:sz w:val="20"/>
          <w:lang w:eastAsia="lt-LT"/>
        </w:rPr>
        <w:t>kokybiški gyvenimo metai.</w:t>
      </w:r>
    </w:p>
    <w:p w14:paraId="2C6C2166" w14:textId="533A00BF" w:rsidR="00C378B5" w:rsidRDefault="00C378B5" w:rsidP="00A93AA6">
      <w:pPr>
        <w:tabs>
          <w:tab w:val="left" w:pos="426"/>
        </w:tabs>
        <w:rPr>
          <w:b/>
          <w:bCs/>
          <w:caps/>
          <w:highlight w:val="yellow"/>
          <w:lang w:val="en-GB"/>
        </w:rPr>
      </w:pPr>
    </w:p>
    <w:p w14:paraId="733B947F" w14:textId="4FBCC8AB" w:rsidR="00052634" w:rsidRDefault="00052634" w:rsidP="00A93AA6">
      <w:pPr>
        <w:tabs>
          <w:tab w:val="left" w:pos="426"/>
        </w:tabs>
        <w:rPr>
          <w:b/>
          <w:bCs/>
          <w:caps/>
          <w:highlight w:val="yellow"/>
          <w:lang w:val="en-GB"/>
        </w:rPr>
      </w:pPr>
    </w:p>
    <w:p w14:paraId="186B1DC4" w14:textId="77777777" w:rsidR="00052634" w:rsidRPr="006C4813" w:rsidRDefault="00052634" w:rsidP="00A93AA6">
      <w:pPr>
        <w:tabs>
          <w:tab w:val="left" w:pos="426"/>
        </w:tabs>
        <w:rPr>
          <w:b/>
          <w:bCs/>
          <w:caps/>
          <w:highlight w:val="yellow"/>
          <w:lang w:val="en-GB"/>
        </w:rPr>
      </w:pPr>
    </w:p>
    <w:p w14:paraId="4FC424F9" w14:textId="4E767245" w:rsidR="00C62B36" w:rsidRPr="006C4813" w:rsidRDefault="00C62B36" w:rsidP="00CC09D4">
      <w:pPr>
        <w:pStyle w:val="Sraopastraipa"/>
        <w:numPr>
          <w:ilvl w:val="0"/>
          <w:numId w:val="12"/>
        </w:numPr>
        <w:tabs>
          <w:tab w:val="left" w:pos="567"/>
        </w:tabs>
        <w:ind w:hanging="720"/>
        <w:rPr>
          <w:b/>
          <w:bCs/>
          <w:caps/>
        </w:rPr>
      </w:pPr>
      <w:r w:rsidRPr="006C4813">
        <w:rPr>
          <w:b/>
          <w:bCs/>
          <w:caps/>
        </w:rPr>
        <w:t xml:space="preserve">Pacientų organizacijų pateikti duomenys </w:t>
      </w:r>
    </w:p>
    <w:p w14:paraId="79BCFF40" w14:textId="7B5EEA40" w:rsidR="00937907" w:rsidRPr="006C4813" w:rsidRDefault="00000000"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Content>
          <w:r w:rsidR="006C4813" w:rsidRPr="006C4813">
            <w:rPr>
              <w:rStyle w:val="Style2"/>
              <w:rFonts w:ascii="MS Gothic" w:eastAsia="MS Gothic" w:hAnsi="MS Gothic" w:hint="eastAsia"/>
              <w:sz w:val="24"/>
            </w:rPr>
            <w:t>☒</w:t>
          </w:r>
        </w:sdtContent>
      </w:sdt>
      <w:r w:rsidR="00937907" w:rsidRPr="006C4813">
        <w:t xml:space="preserve"> Pacientų organizacijos pozicija pateikta. Žr. priedą.</w:t>
      </w:r>
    </w:p>
    <w:p w14:paraId="62992180" w14:textId="42E47EEB" w:rsidR="00937907" w:rsidRPr="006C4813" w:rsidRDefault="00000000"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Content>
          <w:r w:rsidR="004C7EAD" w:rsidRPr="006C4813">
            <w:rPr>
              <w:rStyle w:val="Style2"/>
              <w:rFonts w:ascii="MS Gothic" w:eastAsia="MS Gothic" w:hAnsi="MS Gothic"/>
              <w:sz w:val="24"/>
            </w:rPr>
            <w:t>☐</w:t>
          </w:r>
        </w:sdtContent>
      </w:sdt>
      <w:r w:rsidR="00937907" w:rsidRPr="006C4813">
        <w:t xml:space="preserve"> Pacientų organizacijos pozicija </w:t>
      </w:r>
      <w:r w:rsidR="00880A44" w:rsidRPr="006C4813">
        <w:t>ne</w:t>
      </w:r>
      <w:r w:rsidR="00937907" w:rsidRPr="006C4813">
        <w:t>pateikta.</w:t>
      </w:r>
    </w:p>
    <w:p w14:paraId="03E73D82" w14:textId="77777777" w:rsidR="00D417D2" w:rsidRPr="006C4813" w:rsidRDefault="00D417D2" w:rsidP="00937907">
      <w:pPr>
        <w:spacing w:after="120"/>
        <w:jc w:val="both"/>
      </w:pPr>
    </w:p>
    <w:p w14:paraId="3D3277FA" w14:textId="3CEEB2D2" w:rsidR="00C62B36" w:rsidRPr="006C4813" w:rsidRDefault="00C62B36" w:rsidP="00CC09D4">
      <w:pPr>
        <w:pStyle w:val="Sraopastraipa"/>
        <w:numPr>
          <w:ilvl w:val="0"/>
          <w:numId w:val="12"/>
        </w:numPr>
        <w:tabs>
          <w:tab w:val="left" w:pos="567"/>
        </w:tabs>
        <w:ind w:hanging="720"/>
        <w:rPr>
          <w:b/>
          <w:bCs/>
          <w:caps/>
        </w:rPr>
      </w:pPr>
      <w:r w:rsidRPr="006C4813">
        <w:rPr>
          <w:b/>
          <w:bCs/>
          <w:caps/>
        </w:rPr>
        <w:t>Gydytojų organizacijų pateikti duomenys</w:t>
      </w:r>
    </w:p>
    <w:p w14:paraId="389A346C" w14:textId="76FD21B3" w:rsidR="00937907" w:rsidRPr="006C4813"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6C4813" w:rsidRPr="006C4813">
            <w:rPr>
              <w:rStyle w:val="Style2"/>
              <w:rFonts w:ascii="MS Gothic" w:eastAsia="MS Gothic" w:hAnsi="MS Gothic" w:hint="eastAsia"/>
              <w:sz w:val="24"/>
            </w:rPr>
            <w:t>☒</w:t>
          </w:r>
        </w:sdtContent>
      </w:sdt>
      <w:r w:rsidR="00662983" w:rsidRPr="006C4813">
        <w:t xml:space="preserve"> </w:t>
      </w:r>
      <w:r w:rsidR="00937907" w:rsidRPr="006C4813">
        <w:t xml:space="preserve">Gydytojų specialistų organizacijos pozicija pateikta. </w:t>
      </w:r>
      <w:r w:rsidR="00662983" w:rsidRPr="006C4813">
        <w:t>Žr. priedą</w:t>
      </w:r>
      <w:r w:rsidR="00937907" w:rsidRPr="006C4813">
        <w:t>.</w:t>
      </w:r>
    </w:p>
    <w:p w14:paraId="7EAD48C7" w14:textId="77777777" w:rsidR="00731BE9" w:rsidRPr="006C4813" w:rsidRDefault="00000000" w:rsidP="00731BE9">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6C4813">
            <w:rPr>
              <w:rStyle w:val="Style2"/>
              <w:rFonts w:ascii="MS Gothic" w:eastAsia="MS Gothic" w:hAnsi="MS Gothic"/>
              <w:sz w:val="24"/>
            </w:rPr>
            <w:t>☐</w:t>
          </w:r>
        </w:sdtContent>
      </w:sdt>
      <w:r w:rsidR="00662983" w:rsidRPr="006C4813">
        <w:t xml:space="preserve"> </w:t>
      </w:r>
      <w:r w:rsidR="00937907" w:rsidRPr="006C4813">
        <w:t xml:space="preserve">Gydytojų specialistų organizacijos pozicija </w:t>
      </w:r>
      <w:r w:rsidR="00880A44" w:rsidRPr="006C4813">
        <w:t>ne</w:t>
      </w:r>
      <w:r w:rsidR="00937907" w:rsidRPr="006C4813">
        <w:t>pateikta.</w:t>
      </w:r>
    </w:p>
    <w:p w14:paraId="2A1FD457" w14:textId="77777777" w:rsidR="00080362" w:rsidRPr="006C4813" w:rsidRDefault="00080362" w:rsidP="00731BE9">
      <w:pPr>
        <w:spacing w:after="120"/>
        <w:jc w:val="both"/>
        <w:rPr>
          <w:highlight w:val="yellow"/>
        </w:rPr>
      </w:pPr>
    </w:p>
    <w:p w14:paraId="08D5B3B6" w14:textId="3BE0B3C0" w:rsidR="0061611B" w:rsidRPr="006C4813" w:rsidRDefault="002F0E4F" w:rsidP="0061611B">
      <w:pPr>
        <w:pStyle w:val="Sraopastraipa"/>
        <w:numPr>
          <w:ilvl w:val="0"/>
          <w:numId w:val="12"/>
        </w:numPr>
        <w:spacing w:after="120"/>
        <w:ind w:hanging="720"/>
        <w:jc w:val="both"/>
      </w:pPr>
      <w:r w:rsidRPr="006C4813">
        <w:rPr>
          <w:b/>
          <w:bCs/>
          <w:caps/>
        </w:rPr>
        <w:t xml:space="preserve">Išvada </w:t>
      </w:r>
    </w:p>
    <w:tbl>
      <w:tblPr>
        <w:tblStyle w:val="Lentelstinklelis"/>
        <w:tblW w:w="0" w:type="auto"/>
        <w:tblLook w:val="04A0" w:firstRow="1" w:lastRow="0" w:firstColumn="1" w:lastColumn="0" w:noHBand="0" w:noVBand="1"/>
      </w:tblPr>
      <w:tblGrid>
        <w:gridCol w:w="4815"/>
        <w:gridCol w:w="4814"/>
      </w:tblGrid>
      <w:tr w:rsidR="00B13D65" w:rsidRPr="006C4813" w14:paraId="25A2473E" w14:textId="77777777" w:rsidTr="00C16245">
        <w:trPr>
          <w:trHeight w:val="510"/>
        </w:trPr>
        <w:tc>
          <w:tcPr>
            <w:tcW w:w="4815" w:type="dxa"/>
            <w:vAlign w:val="center"/>
          </w:tcPr>
          <w:p w14:paraId="7EFE6941" w14:textId="23B8BB6D" w:rsidR="00B13D65"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6C4813">
              <w:rPr>
                <w:rStyle w:val="Style2"/>
                <w:rFonts w:eastAsia="MS Gothic"/>
                <w:b/>
                <w:bCs/>
                <w:sz w:val="24"/>
              </w:rPr>
              <w:t>Rekomenduojama kompensuoti</w:t>
            </w:r>
          </w:p>
        </w:tc>
        <w:tc>
          <w:tcPr>
            <w:tcW w:w="4814" w:type="dxa"/>
            <w:vAlign w:val="center"/>
          </w:tcPr>
          <w:p w14:paraId="330A1A5E" w14:textId="19247DC1" w:rsidR="00B13D65"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6C4813">
              <w:rPr>
                <w:rStyle w:val="Style2"/>
                <w:rFonts w:eastAsia="MS Gothic"/>
                <w:b/>
                <w:bCs/>
                <w:sz w:val="24"/>
              </w:rPr>
              <w:t xml:space="preserve">Rekomenduojama nekompensuoti </w:t>
            </w:r>
          </w:p>
        </w:tc>
      </w:tr>
      <w:tr w:rsidR="00B13D65" w:rsidRPr="006C4813" w14:paraId="143A7356" w14:textId="77777777" w:rsidTr="00C16245">
        <w:trPr>
          <w:trHeight w:val="510"/>
        </w:trPr>
        <w:tc>
          <w:tcPr>
            <w:tcW w:w="9629" w:type="dxa"/>
            <w:gridSpan w:val="2"/>
            <w:vAlign w:val="center"/>
          </w:tcPr>
          <w:p w14:paraId="0AF5D6B4" w14:textId="6D8B6C59" w:rsidR="00B13D65" w:rsidRPr="006C481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C4813">
              <w:rPr>
                <w:rStyle w:val="Style2"/>
                <w:rFonts w:eastAsia="MS Gothic"/>
                <w:b/>
                <w:bCs/>
                <w:sz w:val="24"/>
              </w:rPr>
              <w:t>Palyginamasis efektyvumas</w:t>
            </w:r>
          </w:p>
        </w:tc>
      </w:tr>
      <w:tr w:rsidR="00B13D65" w:rsidRPr="006C4813" w14:paraId="28A0C814" w14:textId="77777777" w:rsidTr="0061611B">
        <w:tc>
          <w:tcPr>
            <w:tcW w:w="4815" w:type="dxa"/>
          </w:tcPr>
          <w:p w14:paraId="216769B5" w14:textId="3D521EBB"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6C4813" w:rsidRPr="006C4813">
                  <w:rPr>
                    <w:rStyle w:val="Style2"/>
                    <w:rFonts w:ascii="MS Gothic" w:eastAsia="MS Gothic" w:hAnsi="MS Gothic" w:hint="eastAsia"/>
                    <w:sz w:val="24"/>
                  </w:rPr>
                  <w:t>☒</w:t>
                </w:r>
              </w:sdtContent>
            </w:sdt>
            <w:r w:rsidR="00B13D65" w:rsidRPr="006C4813">
              <w:t xml:space="preserve"> 32.1. yra didesnis</w:t>
            </w:r>
          </w:p>
          <w:p w14:paraId="3B48F372"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314FD384" w:rsidR="00B13D65" w:rsidRPr="006C4813" w:rsidRDefault="00000000" w:rsidP="00F83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6C4813" w:rsidRPr="006C4813">
                  <w:rPr>
                    <w:rStyle w:val="Style2"/>
                    <w:rFonts w:ascii="MS Gothic" w:eastAsia="MS Gothic" w:hAnsi="MS Gothic" w:hint="eastAsia"/>
                    <w:sz w:val="24"/>
                  </w:rPr>
                  <w:t>☐</w:t>
                </w:r>
              </w:sdtContent>
            </w:sdt>
            <w:r w:rsidR="00B13D65" w:rsidRPr="006C4813">
              <w:t xml:space="preserve"> 32.1. iš esmės nesiskiria</w:t>
            </w:r>
          </w:p>
        </w:tc>
        <w:tc>
          <w:tcPr>
            <w:tcW w:w="4814" w:type="dxa"/>
          </w:tcPr>
          <w:p w14:paraId="507828D9" w14:textId="029A1B2C"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6C4813">
                  <w:rPr>
                    <w:rStyle w:val="Style2"/>
                    <w:rFonts w:ascii="Segoe UI Symbol" w:eastAsia="MS Gothic" w:hAnsi="Segoe UI Symbol" w:cs="Segoe UI Symbol"/>
                    <w:sz w:val="24"/>
                  </w:rPr>
                  <w:t>☐</w:t>
                </w:r>
              </w:sdtContent>
            </w:sdt>
            <w:r w:rsidR="00B13D65" w:rsidRPr="006C4813">
              <w:t xml:space="preserve"> 33.1. yra mažesnis</w:t>
            </w:r>
          </w:p>
          <w:p w14:paraId="7F95DEEC"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53F67A6" w:rsidR="00662983"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6C4813">
                  <w:rPr>
                    <w:rStyle w:val="Style2"/>
                    <w:rFonts w:ascii="Segoe UI Symbol" w:eastAsia="MS Gothic" w:hAnsi="Segoe UI Symbol" w:cs="Segoe UI Symbol"/>
                    <w:sz w:val="24"/>
                  </w:rPr>
                  <w:t>☐</w:t>
                </w:r>
              </w:sdtContent>
            </w:sdt>
            <w:r w:rsidR="00B13D65" w:rsidRPr="006C4813">
              <w:t xml:space="preserve"> 33.1. yra neįrodytas kaip toks pat</w:t>
            </w:r>
          </w:p>
          <w:p w14:paraId="35205E85"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5AF8F0D2"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6C4813">
                  <w:rPr>
                    <w:rStyle w:val="Style2"/>
                    <w:rFonts w:ascii="Segoe UI Symbol" w:eastAsia="MS Gothic" w:hAnsi="Segoe UI Symbol" w:cs="Segoe UI Symbol"/>
                    <w:sz w:val="24"/>
                  </w:rPr>
                  <w:t>☐</w:t>
                </w:r>
              </w:sdtContent>
            </w:sdt>
            <w:r w:rsidR="00662983" w:rsidRPr="006C4813">
              <w:t xml:space="preserve"> 33.1 </w:t>
            </w:r>
            <w:r w:rsidR="00B00959" w:rsidRPr="006C4813">
              <w:t xml:space="preserve">yra </w:t>
            </w:r>
            <w:r w:rsidR="00B13D65" w:rsidRPr="006C4813">
              <w:t>neįrodytas kaip didesnis</w:t>
            </w:r>
          </w:p>
          <w:p w14:paraId="512E653B"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330C1A6D"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6C4813">
                  <w:rPr>
                    <w:rStyle w:val="Style2"/>
                    <w:rFonts w:ascii="Segoe UI Symbol" w:eastAsia="MS Gothic" w:hAnsi="Segoe UI Symbol" w:cs="Segoe UI Symbol"/>
                    <w:sz w:val="24"/>
                  </w:rPr>
                  <w:t>☐</w:t>
                </w:r>
              </w:sdtContent>
            </w:sdt>
            <w:r w:rsidR="00B13D65" w:rsidRPr="006C4813">
              <w:t xml:space="preserve"> 33.1. pateikti duomenys apie palyginamąjį efektyvumą yra netinkami vertinti</w:t>
            </w:r>
          </w:p>
          <w:p w14:paraId="5DDAA961"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6C4813" w14:paraId="161CC3FE" w14:textId="77777777" w:rsidTr="00C16245">
        <w:trPr>
          <w:trHeight w:val="510"/>
        </w:trPr>
        <w:tc>
          <w:tcPr>
            <w:tcW w:w="9629" w:type="dxa"/>
            <w:gridSpan w:val="2"/>
            <w:vAlign w:val="center"/>
          </w:tcPr>
          <w:p w14:paraId="1AB46894" w14:textId="3E765638" w:rsidR="00B13D65" w:rsidRPr="006C481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C4813">
              <w:rPr>
                <w:rStyle w:val="Style2"/>
                <w:rFonts w:eastAsia="MS Gothic"/>
                <w:b/>
                <w:bCs/>
                <w:sz w:val="24"/>
              </w:rPr>
              <w:t>Klinikinis veiksmingumas</w:t>
            </w:r>
          </w:p>
        </w:tc>
      </w:tr>
      <w:tr w:rsidR="00B13D65" w:rsidRPr="006C4813" w14:paraId="3C60570A" w14:textId="77777777" w:rsidTr="0061611B">
        <w:tc>
          <w:tcPr>
            <w:tcW w:w="4815" w:type="dxa"/>
          </w:tcPr>
          <w:p w14:paraId="6897B306" w14:textId="61C6E0C3"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6C4813" w:rsidRPr="006C4813">
                  <w:rPr>
                    <w:rStyle w:val="Style2"/>
                    <w:rFonts w:ascii="MS Gothic" w:eastAsia="MS Gothic" w:hAnsi="MS Gothic" w:hint="eastAsia"/>
                    <w:sz w:val="24"/>
                  </w:rPr>
                  <w:t>☒</w:t>
                </w:r>
              </w:sdtContent>
            </w:sdt>
            <w:r w:rsidR="00B13D65" w:rsidRPr="006C4813">
              <w:t xml:space="preserve"> 32.2. yra įvertintas kaip pagrindžiantis papildomos naudos pacientų sveikatai sukūrimą, lyginant su įprasta klinikine praktika</w:t>
            </w:r>
          </w:p>
          <w:p w14:paraId="71D57105"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715386DD"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6C4813" w:rsidRPr="006C4813">
                  <w:rPr>
                    <w:rStyle w:val="Style2"/>
                    <w:rFonts w:ascii="MS Gothic" w:eastAsia="MS Gothic" w:hAnsi="MS Gothic" w:hint="eastAsia"/>
                    <w:sz w:val="24"/>
                  </w:rPr>
                  <w:t>☐</w:t>
                </w:r>
              </w:sdtContent>
            </w:sdt>
            <w:r w:rsidR="00B13D65" w:rsidRPr="006C4813">
              <w:t xml:space="preserve"> 32.2. </w:t>
            </w:r>
            <w:r w:rsidR="00B00959" w:rsidRPr="006C4813">
              <w:t xml:space="preserve">yra </w:t>
            </w:r>
            <w:r w:rsidR="00B13D65" w:rsidRPr="006C4813">
              <w:t>įvertintas kaip pagrindžiantis nesiskiriančios naudos pacientų sveikatai sukūrimą, lyginant su įprasta klinikine praktika</w:t>
            </w:r>
          </w:p>
          <w:p w14:paraId="287AD233"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535D24F0" w:rsidR="00662983" w:rsidRPr="006C4813"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6C4813">
                  <w:rPr>
                    <w:rStyle w:val="Style2"/>
                    <w:rFonts w:ascii="Segoe UI Symbol" w:eastAsia="MS Gothic" w:hAnsi="Segoe UI Symbol" w:cs="Segoe UI Symbol"/>
                    <w:sz w:val="24"/>
                  </w:rPr>
                  <w:t>☐</w:t>
                </w:r>
              </w:sdtContent>
            </w:sdt>
            <w:r w:rsidR="00B13D65" w:rsidRPr="006C4813">
              <w:t xml:space="preserve"> 33.1. yra įvertintas kaip nepagrindžiantis papildomos </w:t>
            </w:r>
            <w:r w:rsidR="00662983" w:rsidRPr="006C4813">
              <w:t>naudos pacientų sveikatai sukūrimo, lyginant su</w:t>
            </w:r>
            <w:r w:rsidR="00122E01" w:rsidRPr="006C4813">
              <w:t xml:space="preserve"> </w:t>
            </w:r>
            <w:r w:rsidR="00662983" w:rsidRPr="006C4813">
              <w:t>įprasta klinikine praktika</w:t>
            </w:r>
          </w:p>
          <w:p w14:paraId="6C70BCFC" w14:textId="77777777" w:rsidR="00662983" w:rsidRPr="006C4813" w:rsidRDefault="00662983" w:rsidP="00BD1E5A">
            <w:pPr>
              <w:jc w:val="both"/>
            </w:pPr>
          </w:p>
          <w:p w14:paraId="0ADEC30D" w14:textId="17661DBD" w:rsidR="00B13D65" w:rsidRPr="006C4813"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6C4813">
                  <w:rPr>
                    <w:rStyle w:val="Style2"/>
                    <w:rFonts w:ascii="Segoe UI Symbol" w:eastAsia="MS Gothic" w:hAnsi="Segoe UI Symbol" w:cs="Segoe UI Symbol"/>
                    <w:sz w:val="24"/>
                  </w:rPr>
                  <w:t>☐</w:t>
                </w:r>
              </w:sdtContent>
            </w:sdt>
            <w:r w:rsidR="00B13D65" w:rsidRPr="006C4813">
              <w:t xml:space="preserve"> </w:t>
            </w:r>
            <w:r w:rsidR="00662983" w:rsidRPr="006C4813">
              <w:t xml:space="preserve">33.1. </w:t>
            </w:r>
            <w:r w:rsidR="00B00959" w:rsidRPr="006C4813">
              <w:t xml:space="preserve">yra įvertintas kaip nepagrindžiantis </w:t>
            </w:r>
            <w:r w:rsidR="00B13D65" w:rsidRPr="006C4813">
              <w:t>nesiskiriančios naudos pacientų sveikatai sukūrimo, lyginant su įprasta klinikine praktika</w:t>
            </w:r>
          </w:p>
          <w:p w14:paraId="1EED7901"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6C4813" w14:paraId="1C75AE76" w14:textId="77777777" w:rsidTr="00C16245">
        <w:trPr>
          <w:trHeight w:val="510"/>
        </w:trPr>
        <w:tc>
          <w:tcPr>
            <w:tcW w:w="9629" w:type="dxa"/>
            <w:gridSpan w:val="2"/>
            <w:vAlign w:val="center"/>
          </w:tcPr>
          <w:p w14:paraId="0247EDAD" w14:textId="7FBBB759" w:rsidR="00B13D65" w:rsidRPr="006C481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C4813">
              <w:rPr>
                <w:rStyle w:val="Style2"/>
                <w:rFonts w:eastAsia="MS Gothic"/>
                <w:b/>
                <w:bCs/>
                <w:sz w:val="24"/>
              </w:rPr>
              <w:t>Kaštų naudingumas</w:t>
            </w:r>
          </w:p>
        </w:tc>
      </w:tr>
      <w:tr w:rsidR="00B13D65" w:rsidRPr="006C4813" w14:paraId="7091A05B" w14:textId="77777777" w:rsidTr="0061611B">
        <w:tc>
          <w:tcPr>
            <w:tcW w:w="4815" w:type="dxa"/>
          </w:tcPr>
          <w:p w14:paraId="69B2A994" w14:textId="7A250746"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92396E">
                  <w:rPr>
                    <w:rStyle w:val="Style2"/>
                    <w:rFonts w:ascii="MS Gothic" w:eastAsia="MS Gothic" w:hAnsi="MS Gothic" w:hint="eastAsia"/>
                    <w:sz w:val="24"/>
                  </w:rPr>
                  <w:t>☒</w:t>
                </w:r>
              </w:sdtContent>
            </w:sdt>
            <w:r w:rsidR="00B13D65" w:rsidRPr="006C4813">
              <w:t xml:space="preserve"> 32.3. atitinka referencinę naudingumo vertę, </w:t>
            </w:r>
          </w:p>
          <w:p w14:paraId="3F76F153"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6DF9D5A4"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6C4813" w:rsidRPr="006C4813">
                  <w:rPr>
                    <w:rStyle w:val="Style2"/>
                    <w:rFonts w:ascii="MS Gothic" w:eastAsia="MS Gothic" w:hAnsi="MS Gothic" w:hint="eastAsia"/>
                    <w:sz w:val="24"/>
                  </w:rPr>
                  <w:t>☐</w:t>
                </w:r>
              </w:sdtContent>
            </w:sdt>
            <w:r w:rsidR="00B13D65" w:rsidRPr="006C4813">
              <w:t xml:space="preserve"> 32.3. gydymo juo kaštai yra mažesni ar tokie patys esant iš esmės nesiskiriančiam palyginamajam efektyvumui, </w:t>
            </w:r>
            <w:r w:rsidR="00B00959" w:rsidRPr="006C4813">
              <w:t>lyginant su įprasta klinikine praktika</w:t>
            </w:r>
          </w:p>
          <w:p w14:paraId="25E4BD1E"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7F33840A"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6C4813">
                  <w:rPr>
                    <w:rStyle w:val="Style2"/>
                    <w:rFonts w:ascii="Segoe UI Symbol" w:eastAsia="MS Gothic" w:hAnsi="Segoe UI Symbol" w:cs="Segoe UI Symbol"/>
                    <w:sz w:val="24"/>
                  </w:rPr>
                  <w:t>☐</w:t>
                </w:r>
              </w:sdtContent>
            </w:sdt>
            <w:r w:rsidR="00B13D65" w:rsidRPr="006C4813">
              <w:t xml:space="preserve"> 33.3. neatitinka referencinės naudingumo vertės Lietuvos Respublikoje</w:t>
            </w:r>
          </w:p>
          <w:p w14:paraId="229ED51A"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26025D4"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6C4813">
                  <w:rPr>
                    <w:rStyle w:val="Style2"/>
                    <w:rFonts w:ascii="Segoe UI Symbol" w:eastAsia="MS Gothic" w:hAnsi="Segoe UI Symbol" w:cs="Segoe UI Symbol"/>
                    <w:sz w:val="24"/>
                  </w:rPr>
                  <w:t>☐</w:t>
                </w:r>
              </w:sdtContent>
            </w:sdt>
            <w:r w:rsidR="00B13D65" w:rsidRPr="006C4813">
              <w:t xml:space="preserve"> 33.3. gydymo juo kaštai yra didesni esant iš esmės nesiskiriančiam palyginamajam efektyvumui</w:t>
            </w:r>
            <w:r w:rsidR="00B00959" w:rsidRPr="006C4813">
              <w:t>, lyginant su įprasta klinikine praktika</w:t>
            </w:r>
          </w:p>
          <w:p w14:paraId="4A9C7D2A"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6DB9C16B" w:rsidR="00B13D65" w:rsidRPr="006C481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85670A" w:rsidRPr="006C4813">
                  <w:rPr>
                    <w:rStyle w:val="Style2"/>
                    <w:rFonts w:ascii="MS Gothic" w:eastAsia="MS Gothic" w:hAnsi="MS Gothic"/>
                    <w:sz w:val="24"/>
                  </w:rPr>
                  <w:t>☐</w:t>
                </w:r>
              </w:sdtContent>
            </w:sdt>
            <w:r w:rsidR="00B13D65" w:rsidRPr="006C4813">
              <w:t xml:space="preserve"> 33.3. pateikti duomenys apie kaštų na</w:t>
            </w:r>
            <w:r w:rsidR="00662983" w:rsidRPr="006C4813">
              <w:t>udingumą yra netinkami vertinti</w:t>
            </w:r>
          </w:p>
          <w:p w14:paraId="470A48A4"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0E0954DB" w14:textId="11F994AD" w:rsidR="004C7EAD" w:rsidRDefault="004C7EAD" w:rsidP="00381024"/>
    <w:p w14:paraId="2EC96AC5" w14:textId="77777777" w:rsidR="00052634" w:rsidRPr="006C7458" w:rsidRDefault="00052634" w:rsidP="00381024"/>
    <w:p w14:paraId="3B2D1F25" w14:textId="3A80E19F" w:rsidR="000001B0" w:rsidRPr="006C7458" w:rsidRDefault="000001B0" w:rsidP="00CC09D4">
      <w:pPr>
        <w:pStyle w:val="Sraopastraipa"/>
        <w:numPr>
          <w:ilvl w:val="0"/>
          <w:numId w:val="12"/>
        </w:numPr>
        <w:ind w:left="567" w:hanging="567"/>
      </w:pPr>
      <w:r w:rsidRPr="006C7458">
        <w:rPr>
          <w:b/>
        </w:rPr>
        <w:t>REKOME</w:t>
      </w:r>
      <w:r w:rsidR="00D83182" w:rsidRPr="006C7458">
        <w:rPr>
          <w:b/>
        </w:rPr>
        <w:t>N</w:t>
      </w:r>
      <w:r w:rsidRPr="006C7458">
        <w:rPr>
          <w:b/>
        </w:rPr>
        <w:t>DACIJA</w:t>
      </w:r>
    </w:p>
    <w:p w14:paraId="54A39A0C" w14:textId="1AC238A3" w:rsidR="004F3B2B" w:rsidRPr="00B62292" w:rsidRDefault="004F3B2B" w:rsidP="004F3B2B">
      <w:pPr>
        <w:rPr>
          <w:i/>
          <w:highlight w:val="yellow"/>
        </w:rPr>
      </w:pPr>
    </w:p>
    <w:p w14:paraId="56692A72" w14:textId="6C050C59" w:rsidR="006C1089" w:rsidRDefault="006C1089" w:rsidP="00FF602D">
      <w:pPr>
        <w:spacing w:line="360" w:lineRule="auto"/>
        <w:ind w:firstLine="720"/>
        <w:jc w:val="both"/>
      </w:pPr>
      <w:r>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10E813CE" w14:textId="29753FC8" w:rsidR="006C1089" w:rsidRDefault="006C1089" w:rsidP="006C1089">
      <w:pPr>
        <w:spacing w:line="360" w:lineRule="auto"/>
        <w:jc w:val="both"/>
      </w:pPr>
      <w:r>
        <w:t>34.1. rekomenduojama kompensuoti vaistinį preparatą pagal paraiškoje nurodytą indikaciją su skyrimo sąlygomis</w:t>
      </w:r>
      <w:r w:rsidR="006C7458">
        <w:t xml:space="preserve">, </w:t>
      </w:r>
      <w:r>
        <w:t>taikant PGS</w:t>
      </w:r>
      <w:r w:rsidR="006C7458">
        <w:t xml:space="preserve">, </w:t>
      </w:r>
      <w:r>
        <w:t>dėl didesnio palyginamojo efektyvumo ir gydymo sukuriamos papildomos naudos pacientų sveikatai, lyginant su įprasta klinikine praktika, ir atitikties referencinei naudingumo vertei.</w:t>
      </w:r>
    </w:p>
    <w:p w14:paraId="4E7454EF" w14:textId="2221DF5B" w:rsidR="00DF1781" w:rsidRPr="006C1089" w:rsidRDefault="00DF1781" w:rsidP="006C1089">
      <w:pPr>
        <w:spacing w:line="360" w:lineRule="auto"/>
        <w:jc w:val="both"/>
      </w:pPr>
    </w:p>
    <w:p w14:paraId="18B4292E" w14:textId="699118B7" w:rsidR="000723FF" w:rsidRPr="00CF1F44" w:rsidRDefault="00CC09D4" w:rsidP="00BC33C5">
      <w:pPr>
        <w:tabs>
          <w:tab w:val="left" w:pos="567"/>
        </w:tabs>
        <w:spacing w:line="360" w:lineRule="auto"/>
        <w:ind w:left="567" w:hanging="567"/>
        <w:jc w:val="both"/>
        <w:rPr>
          <w:b/>
          <w:color w:val="000000"/>
          <w:lang w:eastAsia="lt-LT"/>
        </w:rPr>
      </w:pPr>
      <w:r w:rsidRPr="00CF1F44">
        <w:rPr>
          <w:b/>
          <w:color w:val="000000"/>
          <w:lang w:eastAsia="lt-LT"/>
        </w:rPr>
        <w:t>8.</w:t>
      </w:r>
      <w:r w:rsidRPr="00CF1F44">
        <w:rPr>
          <w:b/>
          <w:color w:val="000000"/>
          <w:lang w:eastAsia="lt-LT"/>
        </w:rPr>
        <w:tab/>
      </w:r>
      <w:r w:rsidR="000723FF" w:rsidRPr="00CF1F44">
        <w:rPr>
          <w:b/>
          <w:color w:val="000000"/>
          <w:lang w:eastAsia="lt-LT"/>
        </w:rPr>
        <w:t xml:space="preserve">SIŪLOMOS KOMPENSUOTI TERAPINĖS INDIKACIJOS IR SKYRIMO SĄLYGOS </w:t>
      </w:r>
    </w:p>
    <w:p w14:paraId="691340BB" w14:textId="77777777" w:rsidR="000723FF" w:rsidRPr="00CF1F44" w:rsidRDefault="000723FF" w:rsidP="00BC33C5">
      <w:pPr>
        <w:tabs>
          <w:tab w:val="left" w:pos="426"/>
        </w:tabs>
        <w:spacing w:line="360" w:lineRule="auto"/>
        <w:jc w:val="both"/>
        <w:rPr>
          <w:b/>
          <w:color w:val="000000"/>
          <w:lang w:eastAsia="lt-LT"/>
        </w:rPr>
      </w:pPr>
    </w:p>
    <w:p w14:paraId="529C92C4" w14:textId="152E5FB4" w:rsidR="000723FF" w:rsidRPr="00CF1F44" w:rsidRDefault="000723FF" w:rsidP="00BC33C5">
      <w:pPr>
        <w:spacing w:line="360" w:lineRule="auto"/>
        <w:outlineLvl w:val="0"/>
        <w:rPr>
          <w:b/>
          <w:lang w:eastAsia="lt-LT"/>
        </w:rPr>
      </w:pPr>
      <w:r w:rsidRPr="00CF1F44">
        <w:rPr>
          <w:b/>
          <w:lang w:eastAsia="lt-LT"/>
        </w:rPr>
        <w:t>Terapinės indikacijos</w:t>
      </w:r>
    </w:p>
    <w:p w14:paraId="5BB746DD" w14:textId="6061074A" w:rsidR="000723FF" w:rsidRPr="00CF1F44" w:rsidRDefault="00000000" w:rsidP="00BC33C5">
      <w:pPr>
        <w:spacing w:line="360" w:lineRule="auto"/>
      </w:pPr>
      <w:sdt>
        <w:sdtPr>
          <w:rPr>
            <w:rStyle w:val="Style2"/>
          </w:rPr>
          <w:id w:val="1146316688"/>
          <w15:color w:val="FFCC00"/>
          <w14:checkbox>
            <w14:checked w14:val="1"/>
            <w14:checkedState w14:val="2612" w14:font="MS Gothic"/>
            <w14:uncheckedState w14:val="2610" w14:font="MS Gothic"/>
          </w14:checkbox>
        </w:sdtPr>
        <w:sdtContent>
          <w:r w:rsidR="005A4ACE" w:rsidRPr="00CF1F44">
            <w:rPr>
              <w:rStyle w:val="Style2"/>
              <w:rFonts w:ascii="MS Gothic" w:eastAsia="MS Gothic" w:hAnsi="MS Gothic"/>
            </w:rPr>
            <w:t>☒</w:t>
          </w:r>
        </w:sdtContent>
      </w:sdt>
      <w:r w:rsidR="000723FF" w:rsidRPr="00CF1F44">
        <w:t xml:space="preserve"> Siūloma kompensuoti Pareiškėjo teikiamą indikaciją be pakeitimų.</w:t>
      </w:r>
    </w:p>
    <w:p w14:paraId="2B1279A4" w14:textId="77777777" w:rsidR="006C4813" w:rsidRPr="00CF1F44" w:rsidRDefault="006C4813" w:rsidP="006C4813">
      <w:pPr>
        <w:pStyle w:val="Betarp"/>
        <w:spacing w:line="360" w:lineRule="auto"/>
        <w:jc w:val="both"/>
        <w:rPr>
          <w:rFonts w:ascii="Times New Roman" w:hAnsi="Times New Roman"/>
          <w:i/>
          <w:sz w:val="24"/>
          <w:szCs w:val="24"/>
        </w:rPr>
      </w:pPr>
      <w:r w:rsidRPr="00CF1F44">
        <w:rPr>
          <w:rFonts w:ascii="Times New Roman" w:hAnsi="Times New Roman"/>
          <w:i/>
          <w:sz w:val="24"/>
          <w:szCs w:val="24"/>
        </w:rPr>
        <w:t>Tecentriq monoterapija skirta NSLPV sergančių suaugusių pacientų adjuvantiniam gydymui po radikalios naviko rezekcijos ir chemoterapijos su platinos preparatais, kai pacientams yra didelė ligos recidyvo rizika, kai ≥ 50 proc. naviko ląstelių (NL) yra nustatyta PD-L1 raiška ir kai nėra nustatyta EGFR mutacijų arba ALK teigiamas NSLPV (atrankos kriterijai nurodyti žr. 5.1 skyriuje).</w:t>
      </w:r>
    </w:p>
    <w:p w14:paraId="597367EF" w14:textId="520CCC8A" w:rsidR="000723FF" w:rsidRPr="00CF1F44" w:rsidRDefault="00000000" w:rsidP="00BC33C5">
      <w:pPr>
        <w:spacing w:line="276" w:lineRule="auto"/>
      </w:pPr>
      <w:sdt>
        <w:sdtPr>
          <w:rPr>
            <w:rStyle w:val="Style2"/>
          </w:rPr>
          <w:id w:val="1467245146"/>
          <w15:color w:val="FFCC00"/>
          <w14:checkbox>
            <w14:checked w14:val="0"/>
            <w14:checkedState w14:val="2612" w14:font="MS Gothic"/>
            <w14:uncheckedState w14:val="2610" w14:font="MS Gothic"/>
          </w14:checkbox>
        </w:sdtPr>
        <w:sdtContent>
          <w:r w:rsidR="005A4ACE" w:rsidRPr="00CF1F44">
            <w:rPr>
              <w:rStyle w:val="Style2"/>
              <w:rFonts w:ascii="MS Gothic" w:eastAsia="MS Gothic" w:hAnsi="MS Gothic"/>
            </w:rPr>
            <w:t>☐</w:t>
          </w:r>
        </w:sdtContent>
      </w:sdt>
      <w:r w:rsidR="000723FF" w:rsidRPr="00CF1F44">
        <w:t xml:space="preserve"> Siūloma kompensuoti Pareiškėjo teikiamą indikaciją su pakeitimais.</w:t>
      </w:r>
    </w:p>
    <w:p w14:paraId="0E03C7B2" w14:textId="77777777" w:rsidR="00C305D1" w:rsidRPr="00CF1F44" w:rsidRDefault="00C305D1" w:rsidP="00824B92">
      <w:pPr>
        <w:rPr>
          <w:b/>
        </w:rPr>
      </w:pPr>
    </w:p>
    <w:p w14:paraId="241A6E6B" w14:textId="339248E8" w:rsidR="000723FF" w:rsidRPr="00CF1F44" w:rsidRDefault="000723FF" w:rsidP="00122E01">
      <w:pPr>
        <w:outlineLvl w:val="0"/>
        <w:rPr>
          <w:b/>
        </w:rPr>
      </w:pPr>
      <w:r w:rsidRPr="00CF1F44">
        <w:rPr>
          <w:b/>
        </w:rPr>
        <w:t>Skyrimo sąlygos</w:t>
      </w:r>
    </w:p>
    <w:p w14:paraId="65107FDA" w14:textId="0882600F" w:rsidR="00B65FB4" w:rsidRPr="000A00FE" w:rsidRDefault="00000000" w:rsidP="00824B92">
      <w:pPr>
        <w:rPr>
          <w:lang w:val="en-GB"/>
        </w:rPr>
      </w:pPr>
      <w:sdt>
        <w:sdtPr>
          <w:rPr>
            <w:rStyle w:val="Style2"/>
          </w:rPr>
          <w:id w:val="169305347"/>
          <w15:color w:val="FFCC00"/>
          <w14:checkbox>
            <w14:checked w14:val="0"/>
            <w14:checkedState w14:val="2612" w14:font="MS Gothic"/>
            <w14:uncheckedState w14:val="2610" w14:font="MS Gothic"/>
          </w14:checkbox>
        </w:sdtPr>
        <w:sdtContent>
          <w:r w:rsidR="006A7B74">
            <w:rPr>
              <w:rStyle w:val="Style2"/>
              <w:rFonts w:ascii="MS Gothic" w:eastAsia="MS Gothic" w:hAnsi="MS Gothic" w:hint="eastAsia"/>
            </w:rPr>
            <w:t>☐</w:t>
          </w:r>
        </w:sdtContent>
      </w:sdt>
      <w:r w:rsidR="000723FF" w:rsidRPr="00CF1F44">
        <w:t xml:space="preserve"> Pareiškėjo siūlomos skyrimo sąlygos priimtinos. </w:t>
      </w:r>
    </w:p>
    <w:p w14:paraId="0D14809E" w14:textId="77777777" w:rsidR="006A7B74" w:rsidRPr="00CF1F44" w:rsidRDefault="006A7B74" w:rsidP="00824B92"/>
    <w:p w14:paraId="297867ED" w14:textId="5513E1EA" w:rsidR="000723FF" w:rsidRDefault="00000000" w:rsidP="00824B92">
      <w:sdt>
        <w:sdtPr>
          <w:rPr>
            <w:rStyle w:val="Style2"/>
          </w:rPr>
          <w:id w:val="1823936883"/>
          <w15:color w:val="FFCC00"/>
          <w14:checkbox>
            <w14:checked w14:val="1"/>
            <w14:checkedState w14:val="2612" w14:font="MS Gothic"/>
            <w14:uncheckedState w14:val="2610" w14:font="MS Gothic"/>
          </w14:checkbox>
        </w:sdtPr>
        <w:sdtContent>
          <w:r w:rsidR="006A7B74">
            <w:rPr>
              <w:rStyle w:val="Style2"/>
              <w:rFonts w:ascii="MS Gothic" w:eastAsia="MS Gothic" w:hAnsi="MS Gothic" w:hint="eastAsia"/>
            </w:rPr>
            <w:t>☒</w:t>
          </w:r>
        </w:sdtContent>
      </w:sdt>
      <w:r w:rsidR="000723FF" w:rsidRPr="00CF1F44">
        <w:t xml:space="preserve"> Pareiškėjo siūlomos skyrimo sąlygos nepriimtinos.</w:t>
      </w:r>
      <w:r w:rsidR="000723FF" w:rsidRPr="008B63AB">
        <w:t xml:space="preserve"> </w:t>
      </w:r>
    </w:p>
    <w:p w14:paraId="616AE86F" w14:textId="77777777" w:rsidR="00F12D8B" w:rsidRDefault="00F12D8B" w:rsidP="00824B92"/>
    <w:p w14:paraId="76CE9F74" w14:textId="46631008" w:rsidR="006A7B74" w:rsidRDefault="006A7B74" w:rsidP="00824B92">
      <w:r>
        <w:t>Siūlomos skyrimo sąlygos:</w:t>
      </w:r>
    </w:p>
    <w:p w14:paraId="1451FCE6" w14:textId="77777777" w:rsidR="00D04DB8" w:rsidRDefault="00D04DB8" w:rsidP="00D04DB8"/>
    <w:p w14:paraId="186C6E4D" w14:textId="285FAEB7" w:rsidR="00D04DB8" w:rsidRDefault="00D04DB8" w:rsidP="00D04DB8">
      <w:r>
        <w:t>Skiriama ne daugiau kaip 16 gydymo ciklų, vartojant 1200 mg atezolizumabo dozę kas tris savaites. Gydymas tęsiamas iki nepriimtino toksinio poveikio atsiradimo, ligos progresavimo arba planuoto gydymo užbaigimo.</w:t>
      </w:r>
    </w:p>
    <w:p w14:paraId="5B0A3527" w14:textId="31A5F2B5" w:rsidR="00D04DB8" w:rsidRDefault="00D04DB8" w:rsidP="00824B92"/>
    <w:p w14:paraId="7CDFF220" w14:textId="0E474C11" w:rsidR="000723FF" w:rsidRPr="008B63AB" w:rsidRDefault="006A7B74" w:rsidP="000B4042">
      <w:pPr>
        <w:spacing w:line="276" w:lineRule="auto"/>
        <w:rPr>
          <w:b/>
        </w:rPr>
      </w:pPr>
      <w:r>
        <w:rPr>
          <w:b/>
        </w:rPr>
        <w:t xml:space="preserve"> </w:t>
      </w:r>
    </w:p>
    <w:sectPr w:rsidR="000723FF" w:rsidRPr="008B63AB" w:rsidSect="00D85A23">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1110" w14:textId="77777777" w:rsidR="00D85A23" w:rsidRDefault="00D85A23">
      <w:r>
        <w:separator/>
      </w:r>
    </w:p>
  </w:endnote>
  <w:endnote w:type="continuationSeparator" w:id="0">
    <w:p w14:paraId="45E93063" w14:textId="77777777" w:rsidR="00D85A23" w:rsidRDefault="00D8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309F66E" w:rsidR="00347FAA" w:rsidRDefault="00122E01">
    <w:pPr>
      <w:pStyle w:val="Porat"/>
      <w:jc w:val="right"/>
      <w:rPr>
        <w:i/>
        <w:sz w:val="16"/>
        <w:szCs w:val="16"/>
      </w:rPr>
    </w:pPr>
    <w:r>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20B9" w14:textId="77777777" w:rsidR="00D85A23" w:rsidRDefault="00D85A23">
      <w:r>
        <w:separator/>
      </w:r>
    </w:p>
  </w:footnote>
  <w:footnote w:type="continuationSeparator" w:id="0">
    <w:p w14:paraId="2AF5FFAD" w14:textId="77777777" w:rsidR="00D85A23" w:rsidRDefault="00D8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DB01" w14:textId="78DB7DDC" w:rsidR="00347FAA" w:rsidRDefault="00122E01">
    <w:pPr>
      <w:pStyle w:val="Antrats"/>
    </w:pPr>
    <w:r>
      <w:rPr>
        <w:rStyle w:val="Puslapionumeri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872E" w14:textId="1778616D" w:rsidR="00347FAA" w:rsidRDefault="00122E01">
    <w:pPr>
      <w:pStyle w:val="Antrats"/>
    </w:pPr>
    <w:r>
      <w:rPr>
        <w:rStyle w:val="Puslapionumeri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003E59DC" w:rsidR="00347FAA" w:rsidRDefault="00122E01" w:rsidP="00FD793C">
    <w:pPr>
      <w:pStyle w:val="Antrats"/>
      <w:ind w:left="612"/>
      <w:rPr>
        <w:sz w:val="2"/>
        <w:szCs w:val="2"/>
      </w:rPr>
    </w:pPr>
    <w:r>
      <w:rPr>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F8865C9"/>
    <w:multiLevelType w:val="hybridMultilevel"/>
    <w:tmpl w:val="4B90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A76ED"/>
    <w:multiLevelType w:val="multilevel"/>
    <w:tmpl w:val="656C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E71AB7"/>
    <w:multiLevelType w:val="hybridMultilevel"/>
    <w:tmpl w:val="E3C0C962"/>
    <w:lvl w:ilvl="0" w:tplc="C9AAF4CC">
      <w:start w:val="2021"/>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D21F9"/>
    <w:multiLevelType w:val="hybridMultilevel"/>
    <w:tmpl w:val="252678CC"/>
    <w:lvl w:ilvl="0" w:tplc="5FFCE39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F05756"/>
    <w:multiLevelType w:val="hybridMultilevel"/>
    <w:tmpl w:val="1FDA5184"/>
    <w:lvl w:ilvl="0" w:tplc="E108B4E4">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A380FD3"/>
    <w:multiLevelType w:val="hybridMultilevel"/>
    <w:tmpl w:val="A1DC2302"/>
    <w:lvl w:ilvl="0" w:tplc="B2ECA4B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7B2D3830"/>
    <w:multiLevelType w:val="hybridMultilevel"/>
    <w:tmpl w:val="A4DC3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5570206">
    <w:abstractNumId w:val="7"/>
  </w:num>
  <w:num w:numId="2" w16cid:durableId="1614745310">
    <w:abstractNumId w:val="1"/>
  </w:num>
  <w:num w:numId="3" w16cid:durableId="1872104293">
    <w:abstractNumId w:val="11"/>
  </w:num>
  <w:num w:numId="4" w16cid:durableId="277756692">
    <w:abstractNumId w:val="9"/>
  </w:num>
  <w:num w:numId="5" w16cid:durableId="535460022">
    <w:abstractNumId w:val="6"/>
  </w:num>
  <w:num w:numId="6" w16cid:durableId="1257253162">
    <w:abstractNumId w:val="5"/>
  </w:num>
  <w:num w:numId="7" w16cid:durableId="2111314594">
    <w:abstractNumId w:val="3"/>
  </w:num>
  <w:num w:numId="8" w16cid:durableId="69622940">
    <w:abstractNumId w:val="15"/>
  </w:num>
  <w:num w:numId="9" w16cid:durableId="1295940419">
    <w:abstractNumId w:val="0"/>
  </w:num>
  <w:num w:numId="10" w16cid:durableId="2131701812">
    <w:abstractNumId w:val="12"/>
  </w:num>
  <w:num w:numId="11" w16cid:durableId="1838223795">
    <w:abstractNumId w:val="14"/>
  </w:num>
  <w:num w:numId="12" w16cid:durableId="930818460">
    <w:abstractNumId w:val="2"/>
  </w:num>
  <w:num w:numId="13" w16cid:durableId="1838306452">
    <w:abstractNumId w:val="16"/>
  </w:num>
  <w:num w:numId="14" w16cid:durableId="1781949916">
    <w:abstractNumId w:val="18"/>
  </w:num>
  <w:num w:numId="15" w16cid:durableId="1309942035">
    <w:abstractNumId w:val="4"/>
  </w:num>
  <w:num w:numId="16" w16cid:durableId="1259675113">
    <w:abstractNumId w:val="8"/>
  </w:num>
  <w:num w:numId="17" w16cid:durableId="242104375">
    <w:abstractNumId w:val="10"/>
  </w:num>
  <w:num w:numId="18" w16cid:durableId="2147117328">
    <w:abstractNumId w:val="17"/>
  </w:num>
  <w:num w:numId="19" w16cid:durableId="1427380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06FB"/>
    <w:rsid w:val="00003F5B"/>
    <w:rsid w:val="000114DD"/>
    <w:rsid w:val="000136F7"/>
    <w:rsid w:val="0002686C"/>
    <w:rsid w:val="00031D0E"/>
    <w:rsid w:val="000337E6"/>
    <w:rsid w:val="00033E81"/>
    <w:rsid w:val="0003402E"/>
    <w:rsid w:val="00034EAE"/>
    <w:rsid w:val="00042924"/>
    <w:rsid w:val="00052634"/>
    <w:rsid w:val="00053975"/>
    <w:rsid w:val="00057A2B"/>
    <w:rsid w:val="000606BE"/>
    <w:rsid w:val="000723FF"/>
    <w:rsid w:val="000729E0"/>
    <w:rsid w:val="000736B8"/>
    <w:rsid w:val="00080362"/>
    <w:rsid w:val="00080DF4"/>
    <w:rsid w:val="0008190F"/>
    <w:rsid w:val="00081D77"/>
    <w:rsid w:val="00081D9C"/>
    <w:rsid w:val="00082907"/>
    <w:rsid w:val="0008378D"/>
    <w:rsid w:val="00084EC2"/>
    <w:rsid w:val="000904CE"/>
    <w:rsid w:val="000908A5"/>
    <w:rsid w:val="00092805"/>
    <w:rsid w:val="000A00FE"/>
    <w:rsid w:val="000B4042"/>
    <w:rsid w:val="000C454C"/>
    <w:rsid w:val="000C5F5C"/>
    <w:rsid w:val="000D2FBE"/>
    <w:rsid w:val="000D5038"/>
    <w:rsid w:val="000D5171"/>
    <w:rsid w:val="000E143B"/>
    <w:rsid w:val="000E29D4"/>
    <w:rsid w:val="000E43C6"/>
    <w:rsid w:val="000F11DC"/>
    <w:rsid w:val="000F3540"/>
    <w:rsid w:val="00100491"/>
    <w:rsid w:val="00104E2E"/>
    <w:rsid w:val="00107287"/>
    <w:rsid w:val="00115D29"/>
    <w:rsid w:val="00117406"/>
    <w:rsid w:val="00121EF0"/>
    <w:rsid w:val="00122E01"/>
    <w:rsid w:val="00124A9E"/>
    <w:rsid w:val="00130703"/>
    <w:rsid w:val="0013153F"/>
    <w:rsid w:val="001408B8"/>
    <w:rsid w:val="00142DA4"/>
    <w:rsid w:val="001517E2"/>
    <w:rsid w:val="001521D9"/>
    <w:rsid w:val="001554E2"/>
    <w:rsid w:val="00164146"/>
    <w:rsid w:val="0017369C"/>
    <w:rsid w:val="00175D57"/>
    <w:rsid w:val="00180C39"/>
    <w:rsid w:val="00180D51"/>
    <w:rsid w:val="00180D96"/>
    <w:rsid w:val="0018388A"/>
    <w:rsid w:val="00184BD3"/>
    <w:rsid w:val="001921F3"/>
    <w:rsid w:val="001B2535"/>
    <w:rsid w:val="001B3C5B"/>
    <w:rsid w:val="001B45CD"/>
    <w:rsid w:val="001C70A0"/>
    <w:rsid w:val="001D746F"/>
    <w:rsid w:val="001E0533"/>
    <w:rsid w:val="001E1C0B"/>
    <w:rsid w:val="001E4BBB"/>
    <w:rsid w:val="001E6304"/>
    <w:rsid w:val="001F7919"/>
    <w:rsid w:val="0020381E"/>
    <w:rsid w:val="00213471"/>
    <w:rsid w:val="00215906"/>
    <w:rsid w:val="0023073E"/>
    <w:rsid w:val="00230A64"/>
    <w:rsid w:val="00233D56"/>
    <w:rsid w:val="00241CD8"/>
    <w:rsid w:val="00244B09"/>
    <w:rsid w:val="002503D0"/>
    <w:rsid w:val="002519CB"/>
    <w:rsid w:val="0025697F"/>
    <w:rsid w:val="00260258"/>
    <w:rsid w:val="0026588E"/>
    <w:rsid w:val="00272428"/>
    <w:rsid w:val="00272948"/>
    <w:rsid w:val="002801C3"/>
    <w:rsid w:val="00281671"/>
    <w:rsid w:val="0028297D"/>
    <w:rsid w:val="00283F59"/>
    <w:rsid w:val="002908C1"/>
    <w:rsid w:val="00292392"/>
    <w:rsid w:val="002946C7"/>
    <w:rsid w:val="00294F05"/>
    <w:rsid w:val="00295C14"/>
    <w:rsid w:val="002A3179"/>
    <w:rsid w:val="002B3CC1"/>
    <w:rsid w:val="002C09E0"/>
    <w:rsid w:val="002C1BB1"/>
    <w:rsid w:val="002C1C4B"/>
    <w:rsid w:val="002C2786"/>
    <w:rsid w:val="002C3A10"/>
    <w:rsid w:val="002C4A90"/>
    <w:rsid w:val="002C4ED5"/>
    <w:rsid w:val="002D02EF"/>
    <w:rsid w:val="002D35E2"/>
    <w:rsid w:val="002D3CDB"/>
    <w:rsid w:val="002E0702"/>
    <w:rsid w:val="002E11BC"/>
    <w:rsid w:val="002E57AD"/>
    <w:rsid w:val="002E6F80"/>
    <w:rsid w:val="002F0E4F"/>
    <w:rsid w:val="002F1053"/>
    <w:rsid w:val="002F4171"/>
    <w:rsid w:val="0030593C"/>
    <w:rsid w:val="00316FA8"/>
    <w:rsid w:val="00317B0E"/>
    <w:rsid w:val="0032209C"/>
    <w:rsid w:val="00345069"/>
    <w:rsid w:val="00347FAA"/>
    <w:rsid w:val="0035172D"/>
    <w:rsid w:val="0036187D"/>
    <w:rsid w:val="00364CF9"/>
    <w:rsid w:val="003668C8"/>
    <w:rsid w:val="00367EDB"/>
    <w:rsid w:val="003738DB"/>
    <w:rsid w:val="00381024"/>
    <w:rsid w:val="00385909"/>
    <w:rsid w:val="00386307"/>
    <w:rsid w:val="003874DE"/>
    <w:rsid w:val="00393E9F"/>
    <w:rsid w:val="00394001"/>
    <w:rsid w:val="0039696E"/>
    <w:rsid w:val="003A3C5C"/>
    <w:rsid w:val="003A54A6"/>
    <w:rsid w:val="003B211A"/>
    <w:rsid w:val="003B6ADA"/>
    <w:rsid w:val="003C141F"/>
    <w:rsid w:val="003C6B0E"/>
    <w:rsid w:val="003C7257"/>
    <w:rsid w:val="003C7E35"/>
    <w:rsid w:val="003D1E99"/>
    <w:rsid w:val="003D6208"/>
    <w:rsid w:val="003D75AC"/>
    <w:rsid w:val="003F1CE4"/>
    <w:rsid w:val="003F2CE7"/>
    <w:rsid w:val="0040276D"/>
    <w:rsid w:val="00404E8A"/>
    <w:rsid w:val="0040622F"/>
    <w:rsid w:val="0040738D"/>
    <w:rsid w:val="00413D17"/>
    <w:rsid w:val="00413F24"/>
    <w:rsid w:val="00422853"/>
    <w:rsid w:val="00423160"/>
    <w:rsid w:val="00426F08"/>
    <w:rsid w:val="00427EFA"/>
    <w:rsid w:val="004341D8"/>
    <w:rsid w:val="004349BC"/>
    <w:rsid w:val="004429E2"/>
    <w:rsid w:val="004468B4"/>
    <w:rsid w:val="004532C0"/>
    <w:rsid w:val="00453862"/>
    <w:rsid w:val="0045469B"/>
    <w:rsid w:val="00456E4C"/>
    <w:rsid w:val="00461338"/>
    <w:rsid w:val="004677DB"/>
    <w:rsid w:val="00467F02"/>
    <w:rsid w:val="00476256"/>
    <w:rsid w:val="00481245"/>
    <w:rsid w:val="0048630F"/>
    <w:rsid w:val="004947A1"/>
    <w:rsid w:val="0049482A"/>
    <w:rsid w:val="004979D3"/>
    <w:rsid w:val="004A00E7"/>
    <w:rsid w:val="004A3A61"/>
    <w:rsid w:val="004B3210"/>
    <w:rsid w:val="004B59BA"/>
    <w:rsid w:val="004B5A03"/>
    <w:rsid w:val="004C263A"/>
    <w:rsid w:val="004C7EAD"/>
    <w:rsid w:val="004D19E9"/>
    <w:rsid w:val="004D48A6"/>
    <w:rsid w:val="004D7B8F"/>
    <w:rsid w:val="004E05F8"/>
    <w:rsid w:val="004E59B7"/>
    <w:rsid w:val="004E6458"/>
    <w:rsid w:val="004E6E7D"/>
    <w:rsid w:val="004F1AAC"/>
    <w:rsid w:val="004F1AE2"/>
    <w:rsid w:val="004F34F0"/>
    <w:rsid w:val="004F3B2B"/>
    <w:rsid w:val="004F6050"/>
    <w:rsid w:val="005005EF"/>
    <w:rsid w:val="005015FA"/>
    <w:rsid w:val="00502124"/>
    <w:rsid w:val="005123C2"/>
    <w:rsid w:val="0052144B"/>
    <w:rsid w:val="00524066"/>
    <w:rsid w:val="00534E11"/>
    <w:rsid w:val="005378D8"/>
    <w:rsid w:val="005400D9"/>
    <w:rsid w:val="00540F5C"/>
    <w:rsid w:val="005476A4"/>
    <w:rsid w:val="0055019B"/>
    <w:rsid w:val="00556E63"/>
    <w:rsid w:val="005601A4"/>
    <w:rsid w:val="00563D64"/>
    <w:rsid w:val="00566DBB"/>
    <w:rsid w:val="005767DB"/>
    <w:rsid w:val="005815E6"/>
    <w:rsid w:val="0058712F"/>
    <w:rsid w:val="005976CE"/>
    <w:rsid w:val="005A23D4"/>
    <w:rsid w:val="005A2D1E"/>
    <w:rsid w:val="005A4ACE"/>
    <w:rsid w:val="005B3756"/>
    <w:rsid w:val="005C2910"/>
    <w:rsid w:val="005C493F"/>
    <w:rsid w:val="005C6BF7"/>
    <w:rsid w:val="005C71BF"/>
    <w:rsid w:val="005D002C"/>
    <w:rsid w:val="005D30E1"/>
    <w:rsid w:val="005D6555"/>
    <w:rsid w:val="005D78E8"/>
    <w:rsid w:val="005D7BDF"/>
    <w:rsid w:val="005E4870"/>
    <w:rsid w:val="005F0C52"/>
    <w:rsid w:val="005F71D9"/>
    <w:rsid w:val="005F7602"/>
    <w:rsid w:val="00605EF6"/>
    <w:rsid w:val="006062BE"/>
    <w:rsid w:val="00613143"/>
    <w:rsid w:val="00613501"/>
    <w:rsid w:val="0061611B"/>
    <w:rsid w:val="006166A8"/>
    <w:rsid w:val="006174A1"/>
    <w:rsid w:val="00621D6C"/>
    <w:rsid w:val="00623D7D"/>
    <w:rsid w:val="00633B49"/>
    <w:rsid w:val="0064265E"/>
    <w:rsid w:val="0064297F"/>
    <w:rsid w:val="00645102"/>
    <w:rsid w:val="00646CF3"/>
    <w:rsid w:val="00653D11"/>
    <w:rsid w:val="00662983"/>
    <w:rsid w:val="00662CBF"/>
    <w:rsid w:val="0066510D"/>
    <w:rsid w:val="006669FF"/>
    <w:rsid w:val="006834D3"/>
    <w:rsid w:val="00692625"/>
    <w:rsid w:val="00695CD3"/>
    <w:rsid w:val="006A38B6"/>
    <w:rsid w:val="006A4EA3"/>
    <w:rsid w:val="006A7B74"/>
    <w:rsid w:val="006B1987"/>
    <w:rsid w:val="006B2B86"/>
    <w:rsid w:val="006B5B71"/>
    <w:rsid w:val="006B6CB0"/>
    <w:rsid w:val="006C0296"/>
    <w:rsid w:val="006C1089"/>
    <w:rsid w:val="006C2B64"/>
    <w:rsid w:val="006C4813"/>
    <w:rsid w:val="006C7458"/>
    <w:rsid w:val="006D2BC9"/>
    <w:rsid w:val="006D4C85"/>
    <w:rsid w:val="006D66AC"/>
    <w:rsid w:val="006E33F6"/>
    <w:rsid w:val="006F1251"/>
    <w:rsid w:val="006F1C23"/>
    <w:rsid w:val="00701DB6"/>
    <w:rsid w:val="00702C18"/>
    <w:rsid w:val="00703166"/>
    <w:rsid w:val="007041D4"/>
    <w:rsid w:val="007127F3"/>
    <w:rsid w:val="007163E3"/>
    <w:rsid w:val="007301CF"/>
    <w:rsid w:val="007316FB"/>
    <w:rsid w:val="00731BE9"/>
    <w:rsid w:val="007339D5"/>
    <w:rsid w:val="007374D0"/>
    <w:rsid w:val="00737E2D"/>
    <w:rsid w:val="007424D5"/>
    <w:rsid w:val="007470E7"/>
    <w:rsid w:val="00750A88"/>
    <w:rsid w:val="007523DD"/>
    <w:rsid w:val="00757B7E"/>
    <w:rsid w:val="007656B2"/>
    <w:rsid w:val="0077016F"/>
    <w:rsid w:val="007713AD"/>
    <w:rsid w:val="00787925"/>
    <w:rsid w:val="007910E2"/>
    <w:rsid w:val="0079424A"/>
    <w:rsid w:val="00795DC5"/>
    <w:rsid w:val="00797153"/>
    <w:rsid w:val="007A21F7"/>
    <w:rsid w:val="007A2B68"/>
    <w:rsid w:val="007B09CB"/>
    <w:rsid w:val="007B0DDA"/>
    <w:rsid w:val="007B4CAA"/>
    <w:rsid w:val="007D3347"/>
    <w:rsid w:val="007E31D4"/>
    <w:rsid w:val="007E3EF8"/>
    <w:rsid w:val="007E5466"/>
    <w:rsid w:val="007F1949"/>
    <w:rsid w:val="007F2592"/>
    <w:rsid w:val="007F44FB"/>
    <w:rsid w:val="00800A08"/>
    <w:rsid w:val="00804625"/>
    <w:rsid w:val="00815145"/>
    <w:rsid w:val="00817A84"/>
    <w:rsid w:val="008225A4"/>
    <w:rsid w:val="00824B92"/>
    <w:rsid w:val="00826C5A"/>
    <w:rsid w:val="00826D5E"/>
    <w:rsid w:val="00832013"/>
    <w:rsid w:val="00832DB7"/>
    <w:rsid w:val="00834732"/>
    <w:rsid w:val="00841AC4"/>
    <w:rsid w:val="0085200C"/>
    <w:rsid w:val="00852DFB"/>
    <w:rsid w:val="0085670A"/>
    <w:rsid w:val="00857C52"/>
    <w:rsid w:val="00857F9B"/>
    <w:rsid w:val="00860D5F"/>
    <w:rsid w:val="00863FBB"/>
    <w:rsid w:val="00880A44"/>
    <w:rsid w:val="0088345E"/>
    <w:rsid w:val="0088656F"/>
    <w:rsid w:val="0088667D"/>
    <w:rsid w:val="00890934"/>
    <w:rsid w:val="00891EF6"/>
    <w:rsid w:val="008A0303"/>
    <w:rsid w:val="008A5FDD"/>
    <w:rsid w:val="008B0057"/>
    <w:rsid w:val="008B6121"/>
    <w:rsid w:val="008B63AB"/>
    <w:rsid w:val="008B76F5"/>
    <w:rsid w:val="008C2D84"/>
    <w:rsid w:val="008C3947"/>
    <w:rsid w:val="008C412A"/>
    <w:rsid w:val="008C4784"/>
    <w:rsid w:val="008D27C7"/>
    <w:rsid w:val="008E473B"/>
    <w:rsid w:val="008E51A6"/>
    <w:rsid w:val="008E51BB"/>
    <w:rsid w:val="008E7329"/>
    <w:rsid w:val="008F0F32"/>
    <w:rsid w:val="008F2ED5"/>
    <w:rsid w:val="00900626"/>
    <w:rsid w:val="0092297E"/>
    <w:rsid w:val="00923651"/>
    <w:rsid w:val="0092396E"/>
    <w:rsid w:val="00927B56"/>
    <w:rsid w:val="009341BF"/>
    <w:rsid w:val="009341F7"/>
    <w:rsid w:val="009352B3"/>
    <w:rsid w:val="00937907"/>
    <w:rsid w:val="00941739"/>
    <w:rsid w:val="00951573"/>
    <w:rsid w:val="00951853"/>
    <w:rsid w:val="00951DA6"/>
    <w:rsid w:val="00953044"/>
    <w:rsid w:val="00963003"/>
    <w:rsid w:val="00966EEF"/>
    <w:rsid w:val="00971B28"/>
    <w:rsid w:val="00983471"/>
    <w:rsid w:val="009909AB"/>
    <w:rsid w:val="009956F9"/>
    <w:rsid w:val="009B37DB"/>
    <w:rsid w:val="009C7A8C"/>
    <w:rsid w:val="009D23F9"/>
    <w:rsid w:val="009D4FA8"/>
    <w:rsid w:val="009E15E7"/>
    <w:rsid w:val="009E44AE"/>
    <w:rsid w:val="009E6CD6"/>
    <w:rsid w:val="009F4D66"/>
    <w:rsid w:val="009F6528"/>
    <w:rsid w:val="00A00C3C"/>
    <w:rsid w:val="00A01091"/>
    <w:rsid w:val="00A042B9"/>
    <w:rsid w:val="00A06DBB"/>
    <w:rsid w:val="00A13E4E"/>
    <w:rsid w:val="00A22ADF"/>
    <w:rsid w:val="00A23219"/>
    <w:rsid w:val="00A31E86"/>
    <w:rsid w:val="00A32861"/>
    <w:rsid w:val="00A354FB"/>
    <w:rsid w:val="00A54054"/>
    <w:rsid w:val="00A54D87"/>
    <w:rsid w:val="00A5553C"/>
    <w:rsid w:val="00A600CE"/>
    <w:rsid w:val="00A701C9"/>
    <w:rsid w:val="00A7706B"/>
    <w:rsid w:val="00A776A1"/>
    <w:rsid w:val="00A81785"/>
    <w:rsid w:val="00A84803"/>
    <w:rsid w:val="00A84C51"/>
    <w:rsid w:val="00A86F2B"/>
    <w:rsid w:val="00A91366"/>
    <w:rsid w:val="00A92D3A"/>
    <w:rsid w:val="00A93AA6"/>
    <w:rsid w:val="00AA4E48"/>
    <w:rsid w:val="00AA6202"/>
    <w:rsid w:val="00AA7B57"/>
    <w:rsid w:val="00AC26FC"/>
    <w:rsid w:val="00AC4A99"/>
    <w:rsid w:val="00AC64D2"/>
    <w:rsid w:val="00AD02E7"/>
    <w:rsid w:val="00AE0FE8"/>
    <w:rsid w:val="00AE1322"/>
    <w:rsid w:val="00AE5B93"/>
    <w:rsid w:val="00AF5A4D"/>
    <w:rsid w:val="00AF60D5"/>
    <w:rsid w:val="00B00959"/>
    <w:rsid w:val="00B04415"/>
    <w:rsid w:val="00B06509"/>
    <w:rsid w:val="00B11D60"/>
    <w:rsid w:val="00B13D65"/>
    <w:rsid w:val="00B1667C"/>
    <w:rsid w:val="00B21805"/>
    <w:rsid w:val="00B22CF3"/>
    <w:rsid w:val="00B24BD7"/>
    <w:rsid w:val="00B2555C"/>
    <w:rsid w:val="00B26AF6"/>
    <w:rsid w:val="00B3072E"/>
    <w:rsid w:val="00B36E15"/>
    <w:rsid w:val="00B37245"/>
    <w:rsid w:val="00B4017A"/>
    <w:rsid w:val="00B4468D"/>
    <w:rsid w:val="00B4474D"/>
    <w:rsid w:val="00B62292"/>
    <w:rsid w:val="00B64ECE"/>
    <w:rsid w:val="00B65FB4"/>
    <w:rsid w:val="00B67617"/>
    <w:rsid w:val="00B71C72"/>
    <w:rsid w:val="00B80666"/>
    <w:rsid w:val="00B81E92"/>
    <w:rsid w:val="00B87E4F"/>
    <w:rsid w:val="00B908D7"/>
    <w:rsid w:val="00B915AB"/>
    <w:rsid w:val="00B935E8"/>
    <w:rsid w:val="00B93B30"/>
    <w:rsid w:val="00B94CB5"/>
    <w:rsid w:val="00BA0DD9"/>
    <w:rsid w:val="00BA5DBC"/>
    <w:rsid w:val="00BA7C96"/>
    <w:rsid w:val="00BB6312"/>
    <w:rsid w:val="00BC33C5"/>
    <w:rsid w:val="00BC4D06"/>
    <w:rsid w:val="00BC656E"/>
    <w:rsid w:val="00BC6ED1"/>
    <w:rsid w:val="00BD24DF"/>
    <w:rsid w:val="00BD585E"/>
    <w:rsid w:val="00BD6919"/>
    <w:rsid w:val="00BE1EA7"/>
    <w:rsid w:val="00BE7489"/>
    <w:rsid w:val="00BF2E0D"/>
    <w:rsid w:val="00BF3927"/>
    <w:rsid w:val="00BF3F8B"/>
    <w:rsid w:val="00BF4796"/>
    <w:rsid w:val="00BF76DA"/>
    <w:rsid w:val="00C07C7B"/>
    <w:rsid w:val="00C15A49"/>
    <w:rsid w:val="00C16245"/>
    <w:rsid w:val="00C17598"/>
    <w:rsid w:val="00C22DC5"/>
    <w:rsid w:val="00C24479"/>
    <w:rsid w:val="00C273F2"/>
    <w:rsid w:val="00C305D1"/>
    <w:rsid w:val="00C36C92"/>
    <w:rsid w:val="00C378B5"/>
    <w:rsid w:val="00C37B53"/>
    <w:rsid w:val="00C468E3"/>
    <w:rsid w:val="00C474FD"/>
    <w:rsid w:val="00C500FD"/>
    <w:rsid w:val="00C517D2"/>
    <w:rsid w:val="00C5772E"/>
    <w:rsid w:val="00C62B36"/>
    <w:rsid w:val="00C7012C"/>
    <w:rsid w:val="00C712EA"/>
    <w:rsid w:val="00C74CA8"/>
    <w:rsid w:val="00C82B21"/>
    <w:rsid w:val="00C86102"/>
    <w:rsid w:val="00CA217D"/>
    <w:rsid w:val="00CC09D4"/>
    <w:rsid w:val="00CC668D"/>
    <w:rsid w:val="00CC7832"/>
    <w:rsid w:val="00CD04D7"/>
    <w:rsid w:val="00CD17BE"/>
    <w:rsid w:val="00CD79B3"/>
    <w:rsid w:val="00CE0B78"/>
    <w:rsid w:val="00CE48C2"/>
    <w:rsid w:val="00CF0C1C"/>
    <w:rsid w:val="00CF1F44"/>
    <w:rsid w:val="00CF27FD"/>
    <w:rsid w:val="00CF5F12"/>
    <w:rsid w:val="00D001A6"/>
    <w:rsid w:val="00D00D8F"/>
    <w:rsid w:val="00D04B0B"/>
    <w:rsid w:val="00D04DB8"/>
    <w:rsid w:val="00D150D6"/>
    <w:rsid w:val="00D21F3A"/>
    <w:rsid w:val="00D23808"/>
    <w:rsid w:val="00D279C5"/>
    <w:rsid w:val="00D3016A"/>
    <w:rsid w:val="00D417D2"/>
    <w:rsid w:val="00D42960"/>
    <w:rsid w:val="00D43BD7"/>
    <w:rsid w:val="00D4485B"/>
    <w:rsid w:val="00D46880"/>
    <w:rsid w:val="00D4708D"/>
    <w:rsid w:val="00D4744C"/>
    <w:rsid w:val="00D479FD"/>
    <w:rsid w:val="00D521DE"/>
    <w:rsid w:val="00D5470B"/>
    <w:rsid w:val="00D56378"/>
    <w:rsid w:val="00D63068"/>
    <w:rsid w:val="00D6498C"/>
    <w:rsid w:val="00D76A70"/>
    <w:rsid w:val="00D83182"/>
    <w:rsid w:val="00D8521E"/>
    <w:rsid w:val="00D853DC"/>
    <w:rsid w:val="00D85A23"/>
    <w:rsid w:val="00D9291C"/>
    <w:rsid w:val="00D93A97"/>
    <w:rsid w:val="00D93AEE"/>
    <w:rsid w:val="00DB1F64"/>
    <w:rsid w:val="00DC1CC4"/>
    <w:rsid w:val="00DC2F53"/>
    <w:rsid w:val="00DC5BAC"/>
    <w:rsid w:val="00DC6816"/>
    <w:rsid w:val="00DC76C2"/>
    <w:rsid w:val="00DD1CF2"/>
    <w:rsid w:val="00DD6246"/>
    <w:rsid w:val="00DE4484"/>
    <w:rsid w:val="00DE5072"/>
    <w:rsid w:val="00DF1781"/>
    <w:rsid w:val="00DF41B7"/>
    <w:rsid w:val="00DF4A4A"/>
    <w:rsid w:val="00DF583C"/>
    <w:rsid w:val="00E03C3F"/>
    <w:rsid w:val="00E06FD7"/>
    <w:rsid w:val="00E07417"/>
    <w:rsid w:val="00E116E2"/>
    <w:rsid w:val="00E24D45"/>
    <w:rsid w:val="00E33DB8"/>
    <w:rsid w:val="00E33EFF"/>
    <w:rsid w:val="00E34387"/>
    <w:rsid w:val="00E348BA"/>
    <w:rsid w:val="00E369FE"/>
    <w:rsid w:val="00E3762A"/>
    <w:rsid w:val="00E37C6F"/>
    <w:rsid w:val="00E449B7"/>
    <w:rsid w:val="00E473F2"/>
    <w:rsid w:val="00E475F8"/>
    <w:rsid w:val="00E50A15"/>
    <w:rsid w:val="00E5102E"/>
    <w:rsid w:val="00E519E5"/>
    <w:rsid w:val="00E54504"/>
    <w:rsid w:val="00E5721C"/>
    <w:rsid w:val="00E619C6"/>
    <w:rsid w:val="00E745A1"/>
    <w:rsid w:val="00E749B6"/>
    <w:rsid w:val="00E81529"/>
    <w:rsid w:val="00E83A13"/>
    <w:rsid w:val="00E908DE"/>
    <w:rsid w:val="00E90F6F"/>
    <w:rsid w:val="00E91A39"/>
    <w:rsid w:val="00E93E19"/>
    <w:rsid w:val="00EB0F54"/>
    <w:rsid w:val="00EB6FC5"/>
    <w:rsid w:val="00EC2356"/>
    <w:rsid w:val="00EC2582"/>
    <w:rsid w:val="00EC337C"/>
    <w:rsid w:val="00EC54CA"/>
    <w:rsid w:val="00ED0CFF"/>
    <w:rsid w:val="00ED31D2"/>
    <w:rsid w:val="00EE0549"/>
    <w:rsid w:val="00EE0EAC"/>
    <w:rsid w:val="00EE3322"/>
    <w:rsid w:val="00EE33CB"/>
    <w:rsid w:val="00EE449A"/>
    <w:rsid w:val="00EF2CFE"/>
    <w:rsid w:val="00EF52BE"/>
    <w:rsid w:val="00F0061A"/>
    <w:rsid w:val="00F02834"/>
    <w:rsid w:val="00F04EEB"/>
    <w:rsid w:val="00F05467"/>
    <w:rsid w:val="00F055D2"/>
    <w:rsid w:val="00F07CD7"/>
    <w:rsid w:val="00F127E9"/>
    <w:rsid w:val="00F12952"/>
    <w:rsid w:val="00F12D8B"/>
    <w:rsid w:val="00F14B5D"/>
    <w:rsid w:val="00F259FC"/>
    <w:rsid w:val="00F36972"/>
    <w:rsid w:val="00F36CF1"/>
    <w:rsid w:val="00F42426"/>
    <w:rsid w:val="00F456BC"/>
    <w:rsid w:val="00F50666"/>
    <w:rsid w:val="00F5096F"/>
    <w:rsid w:val="00F70C9E"/>
    <w:rsid w:val="00F74A74"/>
    <w:rsid w:val="00F7572C"/>
    <w:rsid w:val="00F7785B"/>
    <w:rsid w:val="00F83515"/>
    <w:rsid w:val="00F8382C"/>
    <w:rsid w:val="00F855D7"/>
    <w:rsid w:val="00F862B7"/>
    <w:rsid w:val="00F92035"/>
    <w:rsid w:val="00F92748"/>
    <w:rsid w:val="00FA2257"/>
    <w:rsid w:val="00FA4169"/>
    <w:rsid w:val="00FA7915"/>
    <w:rsid w:val="00FB0D41"/>
    <w:rsid w:val="00FB2030"/>
    <w:rsid w:val="00FD0E46"/>
    <w:rsid w:val="00FD1CF2"/>
    <w:rsid w:val="00FD3EDF"/>
    <w:rsid w:val="00FD4F5A"/>
    <w:rsid w:val="00FD793C"/>
    <w:rsid w:val="00FE0DA2"/>
    <w:rsid w:val="00FE0FD5"/>
    <w:rsid w:val="00FE20E6"/>
    <w:rsid w:val="00FE3E3B"/>
    <w:rsid w:val="00FF3A06"/>
    <w:rsid w:val="00FF4032"/>
    <w:rsid w:val="00FF602D"/>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paragraph" w:styleId="Antrat3">
    <w:name w:val="heading 3"/>
    <w:basedOn w:val="prastasis"/>
    <w:next w:val="prastasis"/>
    <w:link w:val="Antrat3Diagrama"/>
    <w:semiHidden/>
    <w:unhideWhenUsed/>
    <w:qFormat/>
    <w:rsid w:val="00B64ECE"/>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uiPriority w:val="99"/>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uiPriority w:val="99"/>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
    <w:link w:val="Sraopastraipa"/>
    <w:uiPriority w:val="34"/>
    <w:locked/>
    <w:rsid w:val="00D56378"/>
    <w:rPr>
      <w:sz w:val="24"/>
      <w:szCs w:val="24"/>
      <w:lang w:eastAsia="en-US"/>
    </w:rPr>
  </w:style>
  <w:style w:type="character" w:customStyle="1" w:styleId="Antrat3Diagrama">
    <w:name w:val="Antraštė 3 Diagrama"/>
    <w:basedOn w:val="Numatytasispastraiposriftas"/>
    <w:link w:val="Antrat3"/>
    <w:semiHidden/>
    <w:rsid w:val="00B64ECE"/>
    <w:rPr>
      <w:rFonts w:asciiTheme="majorHAnsi" w:eastAsiaTheme="majorEastAsia" w:hAnsiTheme="majorHAnsi" w:cstheme="majorBidi"/>
      <w:color w:val="243F60" w:themeColor="accent1" w:themeShade="7F"/>
      <w:sz w:val="24"/>
      <w:szCs w:val="24"/>
      <w:lang w:eastAsia="en-US"/>
    </w:rPr>
  </w:style>
  <w:style w:type="character" w:customStyle="1" w:styleId="toptext">
    <w:name w:val="top__text"/>
    <w:basedOn w:val="Numatytasispastraiposriftas"/>
    <w:rsid w:val="00B64ECE"/>
  </w:style>
  <w:style w:type="character" w:customStyle="1" w:styleId="label">
    <w:name w:val="label"/>
    <w:basedOn w:val="Numatytasispastraiposriftas"/>
    <w:rsid w:val="00B64ECE"/>
  </w:style>
  <w:style w:type="paragraph" w:styleId="Dokumentoinaostekstas">
    <w:name w:val="endnote text"/>
    <w:basedOn w:val="prastasis"/>
    <w:link w:val="DokumentoinaostekstasDiagrama"/>
    <w:semiHidden/>
    <w:unhideWhenUsed/>
    <w:rsid w:val="00A32861"/>
    <w:rPr>
      <w:sz w:val="20"/>
      <w:szCs w:val="20"/>
    </w:rPr>
  </w:style>
  <w:style w:type="character" w:customStyle="1" w:styleId="DokumentoinaostekstasDiagrama">
    <w:name w:val="Dokumento išnašos tekstas Diagrama"/>
    <w:basedOn w:val="Numatytasispastraiposriftas"/>
    <w:link w:val="Dokumentoinaostekstas"/>
    <w:semiHidden/>
    <w:rsid w:val="00A32861"/>
    <w:rPr>
      <w:lang w:eastAsia="en-US"/>
    </w:rPr>
  </w:style>
  <w:style w:type="character" w:styleId="Dokumentoinaosnumeris">
    <w:name w:val="endnote reference"/>
    <w:basedOn w:val="Numatytasispastraiposriftas"/>
    <w:semiHidden/>
    <w:unhideWhenUsed/>
    <w:rsid w:val="00A32861"/>
    <w:rPr>
      <w:vertAlign w:val="superscript"/>
    </w:rPr>
  </w:style>
  <w:style w:type="paragraph" w:styleId="Puslapioinaostekstas">
    <w:name w:val="footnote text"/>
    <w:basedOn w:val="prastasis"/>
    <w:link w:val="PuslapioinaostekstasDiagrama"/>
    <w:semiHidden/>
    <w:unhideWhenUsed/>
    <w:rsid w:val="00DD6246"/>
    <w:rPr>
      <w:sz w:val="20"/>
      <w:szCs w:val="20"/>
    </w:rPr>
  </w:style>
  <w:style w:type="character" w:customStyle="1" w:styleId="PuslapioinaostekstasDiagrama">
    <w:name w:val="Puslapio išnašos tekstas Diagrama"/>
    <w:basedOn w:val="Numatytasispastraiposriftas"/>
    <w:link w:val="Puslapioinaostekstas"/>
    <w:semiHidden/>
    <w:rsid w:val="00DD6246"/>
    <w:rPr>
      <w:lang w:eastAsia="en-US"/>
    </w:rPr>
  </w:style>
  <w:style w:type="character" w:styleId="Puslapioinaosnuoroda">
    <w:name w:val="footnote reference"/>
    <w:basedOn w:val="Numatytasispastraiposriftas"/>
    <w:semiHidden/>
    <w:unhideWhenUsed/>
    <w:rsid w:val="00DD6246"/>
    <w:rPr>
      <w:vertAlign w:val="superscript"/>
    </w:rPr>
  </w:style>
  <w:style w:type="paragraph" w:customStyle="1" w:styleId="Default">
    <w:name w:val="Default"/>
    <w:rsid w:val="002A3179"/>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9421">
      <w:bodyDiv w:val="1"/>
      <w:marLeft w:val="0"/>
      <w:marRight w:val="0"/>
      <w:marTop w:val="0"/>
      <w:marBottom w:val="0"/>
      <w:divBdr>
        <w:top w:val="none" w:sz="0" w:space="0" w:color="auto"/>
        <w:left w:val="none" w:sz="0" w:space="0" w:color="auto"/>
        <w:bottom w:val="none" w:sz="0" w:space="0" w:color="auto"/>
        <w:right w:val="none" w:sz="0" w:space="0" w:color="auto"/>
      </w:divBdr>
    </w:div>
    <w:div w:id="207376707">
      <w:bodyDiv w:val="1"/>
      <w:marLeft w:val="0"/>
      <w:marRight w:val="0"/>
      <w:marTop w:val="0"/>
      <w:marBottom w:val="0"/>
      <w:divBdr>
        <w:top w:val="none" w:sz="0" w:space="0" w:color="auto"/>
        <w:left w:val="none" w:sz="0" w:space="0" w:color="auto"/>
        <w:bottom w:val="none" w:sz="0" w:space="0" w:color="auto"/>
        <w:right w:val="none" w:sz="0" w:space="0" w:color="auto"/>
      </w:divBdr>
    </w:div>
    <w:div w:id="278463309">
      <w:bodyDiv w:val="1"/>
      <w:marLeft w:val="0"/>
      <w:marRight w:val="0"/>
      <w:marTop w:val="0"/>
      <w:marBottom w:val="0"/>
      <w:divBdr>
        <w:top w:val="none" w:sz="0" w:space="0" w:color="auto"/>
        <w:left w:val="none" w:sz="0" w:space="0" w:color="auto"/>
        <w:bottom w:val="none" w:sz="0" w:space="0" w:color="auto"/>
        <w:right w:val="none" w:sz="0" w:space="0" w:color="auto"/>
      </w:divBdr>
      <w:divsChild>
        <w:div w:id="564607461">
          <w:marLeft w:val="0"/>
          <w:marRight w:val="0"/>
          <w:marTop w:val="150"/>
          <w:marBottom w:val="270"/>
          <w:divBdr>
            <w:top w:val="none" w:sz="0" w:space="0" w:color="auto"/>
            <w:left w:val="none" w:sz="0" w:space="0" w:color="auto"/>
            <w:bottom w:val="none" w:sz="0" w:space="0" w:color="auto"/>
            <w:right w:val="none" w:sz="0" w:space="0" w:color="auto"/>
          </w:divBdr>
          <w:divsChild>
            <w:div w:id="4758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5764">
      <w:bodyDiv w:val="1"/>
      <w:marLeft w:val="0"/>
      <w:marRight w:val="0"/>
      <w:marTop w:val="0"/>
      <w:marBottom w:val="0"/>
      <w:divBdr>
        <w:top w:val="none" w:sz="0" w:space="0" w:color="auto"/>
        <w:left w:val="none" w:sz="0" w:space="0" w:color="auto"/>
        <w:bottom w:val="none" w:sz="0" w:space="0" w:color="auto"/>
        <w:right w:val="none" w:sz="0" w:space="0" w:color="auto"/>
      </w:divBdr>
    </w:div>
    <w:div w:id="510142003">
      <w:bodyDiv w:val="1"/>
      <w:marLeft w:val="0"/>
      <w:marRight w:val="0"/>
      <w:marTop w:val="0"/>
      <w:marBottom w:val="0"/>
      <w:divBdr>
        <w:top w:val="none" w:sz="0" w:space="0" w:color="auto"/>
        <w:left w:val="none" w:sz="0" w:space="0" w:color="auto"/>
        <w:bottom w:val="none" w:sz="0" w:space="0" w:color="auto"/>
        <w:right w:val="none" w:sz="0" w:space="0" w:color="auto"/>
      </w:divBdr>
    </w:div>
    <w:div w:id="1064719310">
      <w:bodyDiv w:val="1"/>
      <w:marLeft w:val="0"/>
      <w:marRight w:val="0"/>
      <w:marTop w:val="0"/>
      <w:marBottom w:val="0"/>
      <w:divBdr>
        <w:top w:val="none" w:sz="0" w:space="0" w:color="auto"/>
        <w:left w:val="none" w:sz="0" w:space="0" w:color="auto"/>
        <w:bottom w:val="none" w:sz="0" w:space="0" w:color="auto"/>
        <w:right w:val="none" w:sz="0" w:space="0" w:color="auto"/>
      </w:divBdr>
    </w:div>
    <w:div w:id="1154685627">
      <w:bodyDiv w:val="1"/>
      <w:marLeft w:val="0"/>
      <w:marRight w:val="0"/>
      <w:marTop w:val="0"/>
      <w:marBottom w:val="0"/>
      <w:divBdr>
        <w:top w:val="none" w:sz="0" w:space="0" w:color="auto"/>
        <w:left w:val="none" w:sz="0" w:space="0" w:color="auto"/>
        <w:bottom w:val="none" w:sz="0" w:space="0" w:color="auto"/>
        <w:right w:val="none" w:sz="0" w:space="0" w:color="auto"/>
      </w:divBdr>
      <w:divsChild>
        <w:div w:id="2049795725">
          <w:marLeft w:val="360"/>
          <w:marRight w:val="0"/>
          <w:marTop w:val="200"/>
          <w:marBottom w:val="0"/>
          <w:divBdr>
            <w:top w:val="none" w:sz="0" w:space="0" w:color="auto"/>
            <w:left w:val="none" w:sz="0" w:space="0" w:color="auto"/>
            <w:bottom w:val="none" w:sz="0" w:space="0" w:color="auto"/>
            <w:right w:val="none" w:sz="0" w:space="0" w:color="auto"/>
          </w:divBdr>
        </w:div>
      </w:divsChild>
    </w:div>
    <w:div w:id="1288123038">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6B3B0F838E044AA3AB5E8293F9726"/>
        <w:category>
          <w:name w:val="General"/>
          <w:gallery w:val="placeholder"/>
        </w:category>
        <w:types>
          <w:type w:val="bbPlcHdr"/>
        </w:types>
        <w:behaviors>
          <w:behavior w:val="content"/>
        </w:behaviors>
        <w:guid w:val="{65FABD6B-6454-FC43-B931-21EAF8F22E59}"/>
      </w:docPartPr>
      <w:docPartBody>
        <w:p w:rsidR="0034696C" w:rsidRDefault="00282D5B" w:rsidP="00282D5B">
          <w:pPr>
            <w:pStyle w:val="93F6B3B0F838E044AA3AB5E8293F9726"/>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56C60"/>
    <w:rsid w:val="00061157"/>
    <w:rsid w:val="000937FE"/>
    <w:rsid w:val="000A110E"/>
    <w:rsid w:val="000A559A"/>
    <w:rsid w:val="000C572B"/>
    <w:rsid w:val="000D24D4"/>
    <w:rsid w:val="001C1F11"/>
    <w:rsid w:val="001C35A9"/>
    <w:rsid w:val="001D5D71"/>
    <w:rsid w:val="002005FD"/>
    <w:rsid w:val="00237556"/>
    <w:rsid w:val="002627A7"/>
    <w:rsid w:val="00282D5B"/>
    <w:rsid w:val="00314A67"/>
    <w:rsid w:val="00330219"/>
    <w:rsid w:val="0034029B"/>
    <w:rsid w:val="0034696C"/>
    <w:rsid w:val="0039303B"/>
    <w:rsid w:val="003A2477"/>
    <w:rsid w:val="003A5FE7"/>
    <w:rsid w:val="004144A3"/>
    <w:rsid w:val="004160E7"/>
    <w:rsid w:val="004416C6"/>
    <w:rsid w:val="004B00C0"/>
    <w:rsid w:val="004F5AB2"/>
    <w:rsid w:val="005074B9"/>
    <w:rsid w:val="005E40DD"/>
    <w:rsid w:val="00701D33"/>
    <w:rsid w:val="0070315A"/>
    <w:rsid w:val="0071258A"/>
    <w:rsid w:val="007219C1"/>
    <w:rsid w:val="00726CB6"/>
    <w:rsid w:val="00751921"/>
    <w:rsid w:val="00753462"/>
    <w:rsid w:val="007537A8"/>
    <w:rsid w:val="00772325"/>
    <w:rsid w:val="007962A7"/>
    <w:rsid w:val="007A2FE0"/>
    <w:rsid w:val="007B6AFC"/>
    <w:rsid w:val="007C6D1D"/>
    <w:rsid w:val="008146D7"/>
    <w:rsid w:val="00866B4E"/>
    <w:rsid w:val="0090074D"/>
    <w:rsid w:val="0094513F"/>
    <w:rsid w:val="009B3BF0"/>
    <w:rsid w:val="009D5E5E"/>
    <w:rsid w:val="009D7AE2"/>
    <w:rsid w:val="009F1BB4"/>
    <w:rsid w:val="00A32DC8"/>
    <w:rsid w:val="00A647A3"/>
    <w:rsid w:val="00A8727A"/>
    <w:rsid w:val="00AB6ED4"/>
    <w:rsid w:val="00B037F5"/>
    <w:rsid w:val="00B14210"/>
    <w:rsid w:val="00B23DC0"/>
    <w:rsid w:val="00B44CAA"/>
    <w:rsid w:val="00B57317"/>
    <w:rsid w:val="00B96656"/>
    <w:rsid w:val="00BC2CA0"/>
    <w:rsid w:val="00BE29C1"/>
    <w:rsid w:val="00C04D02"/>
    <w:rsid w:val="00C1221D"/>
    <w:rsid w:val="00C2401D"/>
    <w:rsid w:val="00C41CDF"/>
    <w:rsid w:val="00C53A68"/>
    <w:rsid w:val="00CA5BB4"/>
    <w:rsid w:val="00CB4BD1"/>
    <w:rsid w:val="00CE2DA9"/>
    <w:rsid w:val="00CE44BE"/>
    <w:rsid w:val="00D4356B"/>
    <w:rsid w:val="00D56C10"/>
    <w:rsid w:val="00D7162F"/>
    <w:rsid w:val="00E44A86"/>
    <w:rsid w:val="00E522EB"/>
    <w:rsid w:val="00E60827"/>
    <w:rsid w:val="00E73FF6"/>
    <w:rsid w:val="00EE79F5"/>
    <w:rsid w:val="00EF1933"/>
    <w:rsid w:val="00EF6E0C"/>
    <w:rsid w:val="00F55028"/>
    <w:rsid w:val="00F77BEF"/>
    <w:rsid w:val="00FB2D62"/>
    <w:rsid w:val="00FC755C"/>
    <w:rsid w:val="00FC78F4"/>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282D5B"/>
    <w:rPr>
      <w:color w:val="808080"/>
    </w:rPr>
  </w:style>
  <w:style w:type="paragraph" w:customStyle="1" w:styleId="93F6B3B0F838E044AA3AB5E8293F9726">
    <w:name w:val="93F6B3B0F838E044AA3AB5E8293F9726"/>
    <w:rsid w:val="00282D5B"/>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EC26-1DDF-4106-A001-8756273D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10815</Words>
  <Characters>6166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2023-04-10T20:08:00Z</dcterms:created>
  <dcterms:modified xsi:type="dcterms:W3CDTF">2024-02-07T20:07:00Z</dcterms:modified>
</cp:coreProperties>
</file>