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79588DEC" w14:textId="77777777" w:rsidR="00BB72F9" w:rsidRPr="00467ED9" w:rsidRDefault="00BB72F9" w:rsidP="00BB72F9">
      <w:pPr>
        <w:spacing w:line="280" w:lineRule="atLeast"/>
        <w:jc w:val="center"/>
        <w:rPr>
          <w:rFonts w:eastAsia="Arial"/>
          <w:color w:val="000000"/>
          <w:highlight w:val="yellow"/>
        </w:rPr>
      </w:pPr>
    </w:p>
    <w:p w14:paraId="0428E1E1" w14:textId="75534240" w:rsidR="003A7298" w:rsidRDefault="003A7298" w:rsidP="003A7298">
      <w:pPr>
        <w:spacing w:line="276" w:lineRule="auto"/>
        <w:jc w:val="center"/>
        <w:rPr>
          <w:b/>
        </w:rPr>
      </w:pPr>
      <w:r>
        <w:rPr>
          <w:b/>
        </w:rPr>
        <w:t>Brukinsa 80mg kietosios kapsulės</w:t>
      </w:r>
    </w:p>
    <w:p w14:paraId="033326BC" w14:textId="77777777" w:rsidR="00BB72F9" w:rsidRPr="00467ED9" w:rsidRDefault="00BB72F9" w:rsidP="00BB72F9">
      <w:pPr>
        <w:jc w:val="center"/>
        <w:rPr>
          <w:highlight w:val="yellow"/>
        </w:rPr>
      </w:pPr>
    </w:p>
    <w:p w14:paraId="5C61A933" w14:textId="35F4F067" w:rsidR="00BB72F9" w:rsidRDefault="003A7298" w:rsidP="00BB72F9">
      <w:pPr>
        <w:jc w:val="center"/>
        <w:rPr>
          <w:b/>
          <w:color w:val="000000"/>
        </w:rPr>
      </w:pPr>
      <w:r>
        <w:rPr>
          <w:b/>
          <w:color w:val="000000"/>
        </w:rPr>
        <w:t>Zanubrutinibas</w:t>
      </w:r>
    </w:p>
    <w:p w14:paraId="29A4FE7F" w14:textId="77777777" w:rsidR="00BB72F9" w:rsidRPr="00467ED9" w:rsidRDefault="00BB72F9" w:rsidP="00BB72F9">
      <w:pPr>
        <w:jc w:val="center"/>
        <w:rPr>
          <w:highlight w:val="yellow"/>
        </w:rPr>
      </w:pPr>
    </w:p>
    <w:p w14:paraId="39C40702" w14:textId="2B4F5712" w:rsidR="00BB72F9" w:rsidRPr="00467ED9" w:rsidRDefault="00BB72F9" w:rsidP="00BB72F9">
      <w:pPr>
        <w:jc w:val="center"/>
        <w:outlineLvl w:val="0"/>
        <w:rPr>
          <w:b/>
        </w:rPr>
      </w:pPr>
      <w:r w:rsidRPr="00467ED9">
        <w:rPr>
          <w:b/>
        </w:rPr>
        <w:t>STV-</w:t>
      </w:r>
      <w:r w:rsidR="003A7298">
        <w:rPr>
          <w:b/>
        </w:rPr>
        <w:t>149</w:t>
      </w:r>
    </w:p>
    <w:p w14:paraId="304DAC66" w14:textId="77777777" w:rsidR="00BB72F9" w:rsidRPr="00467ED9" w:rsidRDefault="00BB72F9" w:rsidP="00BB72F9">
      <w:pPr>
        <w:spacing w:line="280" w:lineRule="atLeast"/>
        <w:rPr>
          <w:rFonts w:eastAsia="Arial"/>
          <w:highlight w:val="yellow"/>
        </w:rPr>
      </w:pPr>
    </w:p>
    <w:p w14:paraId="2EDB8246" w14:textId="77777777" w:rsidR="00BB72F9" w:rsidRPr="00467ED9" w:rsidRDefault="00BB72F9" w:rsidP="00BB72F9">
      <w:pPr>
        <w:tabs>
          <w:tab w:val="left" w:pos="284"/>
        </w:tabs>
        <w:spacing w:line="280" w:lineRule="atLeast"/>
        <w:jc w:val="center"/>
        <w:outlineLvl w:val="0"/>
        <w:rPr>
          <w:rFonts w:eastAsia="Arial"/>
          <w:b/>
        </w:rPr>
      </w:pPr>
      <w:r w:rsidRPr="00467ED9">
        <w:rPr>
          <w:rFonts w:eastAsia="Arial"/>
          <w:b/>
        </w:rPr>
        <w:t>I. BENDROJI DALIS</w:t>
      </w:r>
    </w:p>
    <w:p w14:paraId="36217A44" w14:textId="77777777" w:rsidR="00BB72F9" w:rsidRPr="00467ED9" w:rsidRDefault="00BB72F9" w:rsidP="00BB72F9">
      <w:pPr>
        <w:spacing w:line="280" w:lineRule="atLeast"/>
        <w:rPr>
          <w:rFonts w:eastAsia="Arial"/>
          <w:highlight w:val="yellow"/>
        </w:rPr>
      </w:pPr>
    </w:p>
    <w:tbl>
      <w:tblPr>
        <w:tblStyle w:val="Lentelstinklelis"/>
        <w:tblW w:w="9918" w:type="dxa"/>
        <w:tblLook w:val="04A0" w:firstRow="1" w:lastRow="0" w:firstColumn="1" w:lastColumn="0" w:noHBand="0" w:noVBand="1"/>
      </w:tblPr>
      <w:tblGrid>
        <w:gridCol w:w="705"/>
        <w:gridCol w:w="4117"/>
        <w:gridCol w:w="5096"/>
      </w:tblGrid>
      <w:tr w:rsidR="00BB72F9" w:rsidRPr="00467ED9" w14:paraId="236C64C0" w14:textId="77777777" w:rsidTr="00782016">
        <w:trPr>
          <w:trHeight w:val="342"/>
        </w:trPr>
        <w:tc>
          <w:tcPr>
            <w:tcW w:w="705" w:type="dxa"/>
          </w:tcPr>
          <w:p w14:paraId="3D5C5D71" w14:textId="77777777" w:rsidR="00BB72F9" w:rsidRPr="00E7241C" w:rsidRDefault="00BB72F9" w:rsidP="00782016">
            <w:pPr>
              <w:tabs>
                <w:tab w:val="left" w:pos="284"/>
              </w:tabs>
              <w:spacing w:line="280" w:lineRule="atLeast"/>
              <w:rPr>
                <w:rFonts w:eastAsia="Arial"/>
                <w:b/>
              </w:rPr>
            </w:pPr>
            <w:bookmarkStart w:id="0" w:name="_Hlk146871901"/>
            <w:r w:rsidRPr="00E7241C">
              <w:rPr>
                <w:rFonts w:eastAsia="Arial"/>
                <w:b/>
              </w:rPr>
              <w:t>1.1</w:t>
            </w:r>
          </w:p>
        </w:tc>
        <w:tc>
          <w:tcPr>
            <w:tcW w:w="4117" w:type="dxa"/>
          </w:tcPr>
          <w:p w14:paraId="1B79909E" w14:textId="77777777" w:rsidR="00BB72F9" w:rsidRPr="00E7241C" w:rsidRDefault="00BB72F9" w:rsidP="00782016">
            <w:pPr>
              <w:tabs>
                <w:tab w:val="left" w:pos="284"/>
              </w:tabs>
              <w:spacing w:line="280" w:lineRule="atLeast"/>
              <w:rPr>
                <w:b/>
                <w:bCs/>
                <w:color w:val="000000"/>
                <w:lang w:eastAsia="lt-LT"/>
              </w:rPr>
            </w:pPr>
            <w:r w:rsidRPr="00E7241C">
              <w:rPr>
                <w:b/>
                <w:bCs/>
                <w:color w:val="000000"/>
                <w:lang w:eastAsia="lt-LT"/>
              </w:rPr>
              <w:t>Pareiškėjas</w:t>
            </w:r>
          </w:p>
        </w:tc>
        <w:tc>
          <w:tcPr>
            <w:tcW w:w="5096" w:type="dxa"/>
          </w:tcPr>
          <w:p w14:paraId="21ADCBB3" w14:textId="6ECD3830" w:rsidR="00BB72F9" w:rsidRPr="003A7298" w:rsidRDefault="003A7298" w:rsidP="00782016">
            <w:pPr>
              <w:pStyle w:val="Default"/>
              <w:jc w:val="both"/>
              <w:rPr>
                <w:rFonts w:ascii="Times New Roman" w:hAnsi="Times New Roman" w:cs="Times New Roman"/>
              </w:rPr>
            </w:pPr>
            <w:r w:rsidRPr="003A7298">
              <w:rPr>
                <w:rFonts w:ascii="Times New Roman" w:hAnsi="Times New Roman" w:cs="Times New Roman"/>
              </w:rPr>
              <w:t>BeiGene Switzerland GmbH</w:t>
            </w:r>
          </w:p>
        </w:tc>
      </w:tr>
      <w:tr w:rsidR="00BB72F9" w:rsidRPr="00467ED9" w14:paraId="704EC4E2" w14:textId="77777777" w:rsidTr="00782016">
        <w:trPr>
          <w:trHeight w:val="90"/>
        </w:trPr>
        <w:tc>
          <w:tcPr>
            <w:tcW w:w="705" w:type="dxa"/>
          </w:tcPr>
          <w:p w14:paraId="1061E19C" w14:textId="77777777" w:rsidR="00BB72F9" w:rsidRPr="00E7241C" w:rsidRDefault="00BB72F9" w:rsidP="00782016">
            <w:pPr>
              <w:tabs>
                <w:tab w:val="left" w:pos="284"/>
              </w:tabs>
              <w:spacing w:line="280" w:lineRule="atLeast"/>
              <w:rPr>
                <w:rFonts w:eastAsia="Arial"/>
                <w:b/>
              </w:rPr>
            </w:pPr>
            <w:r w:rsidRPr="00E7241C">
              <w:rPr>
                <w:rFonts w:eastAsia="Arial"/>
                <w:b/>
              </w:rPr>
              <w:t>1.2</w:t>
            </w:r>
          </w:p>
        </w:tc>
        <w:tc>
          <w:tcPr>
            <w:tcW w:w="4117" w:type="dxa"/>
          </w:tcPr>
          <w:p w14:paraId="1618D892" w14:textId="77777777" w:rsidR="00BB72F9" w:rsidRPr="00E7241C" w:rsidRDefault="00BB72F9" w:rsidP="00782016">
            <w:pPr>
              <w:tabs>
                <w:tab w:val="left" w:pos="284"/>
              </w:tabs>
              <w:spacing w:line="280" w:lineRule="atLeast"/>
              <w:rPr>
                <w:b/>
                <w:bCs/>
                <w:color w:val="000000"/>
                <w:lang w:eastAsia="lt-LT"/>
              </w:rPr>
            </w:pPr>
            <w:r w:rsidRPr="00E7241C">
              <w:rPr>
                <w:b/>
                <w:bCs/>
                <w:color w:val="000000"/>
                <w:lang w:eastAsia="lt-LT"/>
              </w:rPr>
              <w:t>Registracijos data (EVA)</w:t>
            </w:r>
          </w:p>
        </w:tc>
        <w:tc>
          <w:tcPr>
            <w:tcW w:w="5096" w:type="dxa"/>
          </w:tcPr>
          <w:p w14:paraId="523903AC" w14:textId="0FEB2976" w:rsidR="00BB72F9" w:rsidRPr="00E7241C" w:rsidRDefault="00000000" w:rsidP="003A7298">
            <w:pPr>
              <w:pStyle w:val="Sraopastraipa"/>
              <w:spacing w:after="120"/>
              <w:ind w:left="0"/>
              <w:contextualSpacing w:val="0"/>
              <w:jc w:val="both"/>
              <w:rPr>
                <w:rStyle w:val="Style2"/>
              </w:rPr>
            </w:pPr>
            <w:sdt>
              <w:sdtPr>
                <w:rPr>
                  <w:color w:val="000000"/>
                  <w:sz w:val="32"/>
                </w:rPr>
                <w:alias w:val="Nurodykite konkrečią dieną"/>
                <w:tag w:val="Nurodykite pradžios datą"/>
                <w:id w:val="423238108"/>
                <w:placeholder>
                  <w:docPart w:val="9DFBB7EFEA6241ABBC1E9096234C94D7"/>
                </w:placeholder>
                <w:date>
                  <w:dateFormat w:val="yyyy 'm.' MMMM d 'd.'"/>
                  <w:lid w:val="lt-LT"/>
                  <w:storeMappedDataAs w:val="dateTime"/>
                  <w:calendar w:val="gregorian"/>
                </w:date>
              </w:sdtPr>
              <w:sdtContent>
                <w:r w:rsidR="003A7298" w:rsidRPr="003A7298">
                  <w:rPr>
                    <w:color w:val="000000"/>
                  </w:rPr>
                  <w:t>2021 m. lapkričio 22 d..</w:t>
                </w:r>
              </w:sdtContent>
            </w:sdt>
          </w:p>
        </w:tc>
      </w:tr>
      <w:tr w:rsidR="00BB72F9" w:rsidRPr="00467ED9" w14:paraId="58148565" w14:textId="77777777" w:rsidTr="00782016">
        <w:trPr>
          <w:trHeight w:val="1328"/>
        </w:trPr>
        <w:tc>
          <w:tcPr>
            <w:tcW w:w="705" w:type="dxa"/>
          </w:tcPr>
          <w:p w14:paraId="18E4056B" w14:textId="77777777" w:rsidR="00BB72F9" w:rsidRPr="00E7241C" w:rsidRDefault="00BB72F9" w:rsidP="00782016">
            <w:pPr>
              <w:tabs>
                <w:tab w:val="left" w:pos="284"/>
              </w:tabs>
              <w:spacing w:line="280" w:lineRule="atLeast"/>
              <w:rPr>
                <w:rFonts w:eastAsia="Arial"/>
                <w:b/>
              </w:rPr>
            </w:pPr>
            <w:r w:rsidRPr="00E7241C">
              <w:rPr>
                <w:rFonts w:eastAsia="Arial"/>
                <w:b/>
              </w:rPr>
              <w:t>1.3</w:t>
            </w:r>
          </w:p>
        </w:tc>
        <w:tc>
          <w:tcPr>
            <w:tcW w:w="4117" w:type="dxa"/>
            <w:shd w:val="clear" w:color="auto" w:fill="auto"/>
          </w:tcPr>
          <w:p w14:paraId="7EB0A253" w14:textId="77777777" w:rsidR="00BB72F9" w:rsidRPr="00E7241C" w:rsidRDefault="00BB72F9" w:rsidP="00782016">
            <w:pPr>
              <w:pStyle w:val="Betarp"/>
              <w:rPr>
                <w:rFonts w:ascii="Times New Roman" w:hAnsi="Times New Roman"/>
                <w:b/>
                <w:sz w:val="24"/>
                <w:szCs w:val="24"/>
              </w:rPr>
            </w:pPr>
            <w:r w:rsidRPr="00E7241C">
              <w:rPr>
                <w:rFonts w:ascii="Times New Roman" w:hAnsi="Times New Roman"/>
                <w:b/>
                <w:sz w:val="24"/>
                <w:szCs w:val="24"/>
              </w:rPr>
              <w:t xml:space="preserve">Paraiškos tipas </w:t>
            </w:r>
          </w:p>
          <w:p w14:paraId="59503CCB" w14:textId="73890364" w:rsidR="00BB72F9" w:rsidRPr="00E7241C" w:rsidRDefault="00BB72F9" w:rsidP="00782016">
            <w:pPr>
              <w:rPr>
                <w:b/>
              </w:rPr>
            </w:pPr>
            <w:r w:rsidRPr="00E7241C">
              <w:rPr>
                <w:b/>
              </w:rPr>
              <w:t>(pagal</w:t>
            </w:r>
            <w:r w:rsidR="00E8338F">
              <w:rPr>
                <w:b/>
              </w:rPr>
              <w:t xml:space="preserve"> </w:t>
            </w:r>
            <w:r w:rsidRPr="00E7241C">
              <w:rPr>
                <w:b/>
                <w:shd w:val="clear" w:color="auto" w:fill="FFFFFF"/>
              </w:rPr>
              <w:t>vaistinio preparato registracijos tipą, įtvirtintą</w:t>
            </w:r>
            <w:r w:rsidRPr="00E7241C">
              <w:rPr>
                <w:b/>
              </w:rPr>
              <w:t xml:space="preserve"> Direktyvos 2001/83/EB straipsniuose)</w:t>
            </w:r>
          </w:p>
          <w:p w14:paraId="76390E49" w14:textId="77777777" w:rsidR="00BB72F9" w:rsidRPr="00E7241C" w:rsidRDefault="00BB72F9" w:rsidP="00782016">
            <w:pPr>
              <w:tabs>
                <w:tab w:val="left" w:pos="284"/>
              </w:tabs>
              <w:spacing w:line="280" w:lineRule="atLeast"/>
              <w:rPr>
                <w:b/>
                <w:bCs/>
                <w:color w:val="000000"/>
                <w:lang w:eastAsia="lt-LT"/>
              </w:rPr>
            </w:pPr>
          </w:p>
        </w:tc>
        <w:tc>
          <w:tcPr>
            <w:tcW w:w="5096" w:type="dxa"/>
            <w:shd w:val="clear" w:color="auto" w:fill="auto"/>
          </w:tcPr>
          <w:p w14:paraId="05E5FEDC" w14:textId="77777777" w:rsidR="00BB72F9" w:rsidRPr="00E7241C" w:rsidRDefault="00BB72F9" w:rsidP="00782016">
            <w:r w:rsidRPr="00E7241C">
              <w:rPr>
                <w:rStyle w:val="Style2"/>
                <w:rFonts w:ascii="MS Mincho" w:eastAsia="MS Mincho" w:hAnsi="MS Mincho" w:cs="MS Mincho"/>
              </w:rPr>
              <w:t>☒</w:t>
            </w:r>
            <w:r w:rsidRPr="00E7241C">
              <w:t xml:space="preserve"> 8.3 str. (pilna byla, pagrįsta savais tyrimais) </w:t>
            </w:r>
          </w:p>
          <w:p w14:paraId="636EE69B" w14:textId="77777777" w:rsidR="00BB72F9" w:rsidRPr="00E7241C" w:rsidRDefault="00BB72F9" w:rsidP="00782016">
            <w:r w:rsidRPr="00E7241C">
              <w:rPr>
                <w:rStyle w:val="Style2"/>
                <w:rFonts w:ascii="MS Mincho" w:eastAsia="MS Mincho" w:hAnsi="MS Mincho" w:cs="MS Mincho"/>
              </w:rPr>
              <w:t>☐</w:t>
            </w:r>
            <w:r w:rsidRPr="00E7241C">
              <w:t xml:space="preserve"> 10 a str. (pripažintas medicininis vartojimas) </w:t>
            </w:r>
          </w:p>
          <w:p w14:paraId="3091BA5A" w14:textId="77777777" w:rsidR="00BB72F9" w:rsidRPr="00E7241C" w:rsidRDefault="00BB72F9" w:rsidP="00782016">
            <w:r w:rsidRPr="00E7241C">
              <w:rPr>
                <w:rStyle w:val="Style2"/>
                <w:rFonts w:ascii="MS Mincho" w:eastAsia="MS Mincho" w:hAnsi="MS Mincho" w:cs="MS Mincho"/>
              </w:rPr>
              <w:t>☐</w:t>
            </w:r>
            <w:r w:rsidRPr="00E7241C">
              <w:t xml:space="preserve"> 10.1 str. (generinis)</w:t>
            </w:r>
          </w:p>
          <w:p w14:paraId="61A6D3B4" w14:textId="77777777" w:rsidR="00BB72F9" w:rsidRPr="00E7241C" w:rsidRDefault="00BB72F9" w:rsidP="00782016">
            <w:pPr>
              <w:rPr>
                <w:rStyle w:val="Style2"/>
              </w:rPr>
            </w:pPr>
            <w:r w:rsidRPr="00E7241C">
              <w:rPr>
                <w:rStyle w:val="Style2"/>
                <w:rFonts w:ascii="MS Mincho" w:eastAsia="MS Mincho" w:hAnsi="MS Mincho" w:cs="MS Mincho"/>
              </w:rPr>
              <w:t>☐</w:t>
            </w:r>
            <w:r w:rsidRPr="00E7241C">
              <w:t xml:space="preserve"> 10.3 str. (hibridinis)</w:t>
            </w:r>
          </w:p>
        </w:tc>
      </w:tr>
      <w:tr w:rsidR="00BB72F9" w:rsidRPr="00467ED9" w14:paraId="6BA22B67" w14:textId="77777777" w:rsidTr="00782016">
        <w:trPr>
          <w:trHeight w:val="90"/>
        </w:trPr>
        <w:tc>
          <w:tcPr>
            <w:tcW w:w="705" w:type="dxa"/>
          </w:tcPr>
          <w:p w14:paraId="264E47D6" w14:textId="77777777" w:rsidR="00BB72F9" w:rsidRPr="00E7241C" w:rsidRDefault="00BB72F9" w:rsidP="00782016">
            <w:pPr>
              <w:tabs>
                <w:tab w:val="left" w:pos="284"/>
              </w:tabs>
              <w:spacing w:line="280" w:lineRule="atLeast"/>
              <w:rPr>
                <w:rFonts w:eastAsia="Arial"/>
                <w:b/>
              </w:rPr>
            </w:pPr>
            <w:r w:rsidRPr="00E7241C">
              <w:rPr>
                <w:rFonts w:eastAsia="Arial"/>
                <w:b/>
              </w:rPr>
              <w:t>1.4</w:t>
            </w:r>
          </w:p>
        </w:tc>
        <w:tc>
          <w:tcPr>
            <w:tcW w:w="4117" w:type="dxa"/>
          </w:tcPr>
          <w:p w14:paraId="2426B5E9" w14:textId="77777777" w:rsidR="00BB72F9" w:rsidRPr="00E7241C" w:rsidRDefault="00BB72F9" w:rsidP="00782016">
            <w:pPr>
              <w:tabs>
                <w:tab w:val="left" w:pos="284"/>
              </w:tabs>
              <w:spacing w:line="280" w:lineRule="atLeast"/>
              <w:rPr>
                <w:b/>
                <w:bCs/>
                <w:lang w:eastAsia="lt-LT"/>
              </w:rPr>
            </w:pPr>
            <w:r w:rsidRPr="00E7241C">
              <w:rPr>
                <w:b/>
                <w:bCs/>
                <w:lang w:eastAsia="lt-LT"/>
              </w:rPr>
              <w:t>Ar vaistinis preparatas įrašytas į Bendrijos retųjų vaistinių preparatų registrą?</w:t>
            </w:r>
          </w:p>
          <w:p w14:paraId="7C1D64F6" w14:textId="77777777" w:rsidR="00BB72F9" w:rsidRPr="00E7241C" w:rsidRDefault="00BB72F9" w:rsidP="00782016">
            <w:pPr>
              <w:tabs>
                <w:tab w:val="left" w:pos="284"/>
              </w:tabs>
              <w:spacing w:line="280" w:lineRule="atLeast"/>
              <w:rPr>
                <w:bCs/>
                <w:i/>
                <w:lang w:eastAsia="lt-LT"/>
              </w:rPr>
            </w:pPr>
          </w:p>
          <w:p w14:paraId="0EB72FD9" w14:textId="77777777" w:rsidR="00BB72F9" w:rsidRPr="00E7241C" w:rsidRDefault="00BB72F9" w:rsidP="00782016">
            <w:pPr>
              <w:tabs>
                <w:tab w:val="left" w:pos="284"/>
              </w:tabs>
              <w:spacing w:line="280" w:lineRule="atLeast"/>
              <w:jc w:val="both"/>
              <w:rPr>
                <w:b/>
                <w:bCs/>
                <w:color w:val="000000"/>
                <w:lang w:eastAsia="lt-LT"/>
              </w:rPr>
            </w:pPr>
            <w:r w:rsidRPr="00E7241C">
              <w:rPr>
                <w:bCs/>
                <w:i/>
                <w:lang w:eastAsia="lt-LT"/>
              </w:rPr>
              <w:t>Jei taip, nurodykite įrašymo datą ir numerį</w:t>
            </w:r>
          </w:p>
        </w:tc>
        <w:tc>
          <w:tcPr>
            <w:tcW w:w="5096" w:type="dxa"/>
          </w:tcPr>
          <w:p w14:paraId="24B362B0" w14:textId="77777777" w:rsidR="00BB72F9" w:rsidRPr="00E7241C" w:rsidRDefault="00BB72F9" w:rsidP="00782016">
            <w:r w:rsidRPr="00E7241C">
              <w:rPr>
                <w:rStyle w:val="Style2"/>
                <w:rFonts w:ascii="MS Mincho" w:eastAsia="MS Mincho" w:hAnsi="MS Mincho" w:cs="MS Mincho"/>
              </w:rPr>
              <w:t>☐</w:t>
            </w:r>
            <w:r w:rsidRPr="00E7241C">
              <w:t xml:space="preserve"> Taip</w:t>
            </w:r>
          </w:p>
          <w:p w14:paraId="10DDBF06" w14:textId="77777777" w:rsidR="00BB72F9" w:rsidRPr="00E7241C" w:rsidRDefault="00BB72F9" w:rsidP="00782016">
            <w:r w:rsidRPr="00E7241C">
              <w:rPr>
                <w:rStyle w:val="Style2"/>
                <w:rFonts w:ascii="MS Mincho" w:eastAsia="MS Mincho" w:hAnsi="MS Mincho" w:cs="MS Mincho"/>
              </w:rPr>
              <w:t>☒</w:t>
            </w:r>
            <w:r w:rsidRPr="00E7241C">
              <w:t xml:space="preserve"> Ne</w:t>
            </w:r>
          </w:p>
          <w:p w14:paraId="25F60ECA" w14:textId="77777777" w:rsidR="00BB72F9" w:rsidRPr="00E7241C" w:rsidRDefault="00000000" w:rsidP="00782016">
            <w:pPr>
              <w:rPr>
                <w:rFonts w:eastAsia="Arial"/>
                <w:b/>
              </w:rPr>
            </w:pPr>
            <w:sdt>
              <w:sdtPr>
                <w:alias w:val="Nurodykite konkrečią dieną"/>
                <w:tag w:val="Nurodykite pradžios datą"/>
                <w:id w:val="693498901"/>
                <w:showingPlcHdr/>
                <w15:color w:val="FFCC99"/>
                <w:date w:fullDate="2022-05-18T00:00:00Z">
                  <w:dateFormat w:val="yyyy 'm.' MMMM d 'd.'"/>
                  <w:lid w:val="lt-LT"/>
                  <w:storeMappedDataAs w:val="dateTime"/>
                  <w:calendar w:val="gregorian"/>
                </w:date>
              </w:sdtPr>
              <w:sdtContent>
                <w:r w:rsidR="00BB72F9" w:rsidRPr="00E7241C">
                  <w:rPr>
                    <w:rStyle w:val="Vietosrezervavimoenklotekstas"/>
                  </w:rPr>
                  <w:t>Click here to enter a date.</w:t>
                </w:r>
              </w:sdtContent>
            </w:sdt>
          </w:p>
        </w:tc>
      </w:tr>
      <w:tr w:rsidR="00BB72F9" w:rsidRPr="00467ED9" w14:paraId="7414E1BA" w14:textId="77777777" w:rsidTr="00782016">
        <w:trPr>
          <w:trHeight w:val="90"/>
        </w:trPr>
        <w:tc>
          <w:tcPr>
            <w:tcW w:w="705" w:type="dxa"/>
            <w:tcBorders>
              <w:bottom w:val="single" w:sz="4" w:space="0" w:color="auto"/>
            </w:tcBorders>
          </w:tcPr>
          <w:p w14:paraId="47680E52" w14:textId="77777777" w:rsidR="00BB72F9" w:rsidRPr="00E7241C" w:rsidRDefault="00BB72F9" w:rsidP="00782016">
            <w:pPr>
              <w:tabs>
                <w:tab w:val="left" w:pos="284"/>
              </w:tabs>
              <w:spacing w:line="280" w:lineRule="atLeast"/>
              <w:rPr>
                <w:rFonts w:eastAsia="Arial"/>
                <w:b/>
              </w:rPr>
            </w:pPr>
            <w:r w:rsidRPr="00E7241C">
              <w:rPr>
                <w:rFonts w:eastAsia="Arial"/>
                <w:b/>
              </w:rPr>
              <w:t>1.5</w:t>
            </w:r>
          </w:p>
        </w:tc>
        <w:tc>
          <w:tcPr>
            <w:tcW w:w="4117" w:type="dxa"/>
            <w:tcBorders>
              <w:bottom w:val="single" w:sz="4" w:space="0" w:color="auto"/>
            </w:tcBorders>
          </w:tcPr>
          <w:p w14:paraId="7DFA3C06" w14:textId="77777777" w:rsidR="00BB72F9" w:rsidRPr="00E7241C" w:rsidRDefault="00BB72F9" w:rsidP="00782016">
            <w:pPr>
              <w:tabs>
                <w:tab w:val="left" w:pos="284"/>
              </w:tabs>
              <w:spacing w:line="280" w:lineRule="atLeast"/>
              <w:rPr>
                <w:b/>
                <w:bCs/>
                <w:color w:val="000000"/>
                <w:lang w:eastAsia="lt-LT"/>
              </w:rPr>
            </w:pPr>
            <w:r w:rsidRPr="00E7241C">
              <w:rPr>
                <w:b/>
                <w:bCs/>
                <w:color w:val="000000"/>
                <w:lang w:eastAsia="lt-LT"/>
              </w:rPr>
              <w:t>Pareiškėjo teikiama (-os) kompensuoti preparato indikacija (-os)</w:t>
            </w:r>
          </w:p>
          <w:p w14:paraId="03DDA307" w14:textId="77777777" w:rsidR="00BB72F9" w:rsidRPr="00E7241C" w:rsidRDefault="00BB72F9" w:rsidP="00782016">
            <w:pPr>
              <w:tabs>
                <w:tab w:val="left" w:pos="284"/>
              </w:tabs>
              <w:spacing w:line="280" w:lineRule="atLeast"/>
              <w:rPr>
                <w:b/>
                <w:bCs/>
                <w:color w:val="000000"/>
                <w:lang w:eastAsia="lt-LT"/>
              </w:rPr>
            </w:pPr>
            <w:r w:rsidRPr="00E7241C">
              <w:rPr>
                <w:b/>
                <w:bCs/>
                <w:color w:val="000000"/>
                <w:lang w:eastAsia="lt-LT"/>
              </w:rPr>
              <w:t xml:space="preserve">Kodas pagal TLK-10 AM </w:t>
            </w:r>
          </w:p>
        </w:tc>
        <w:tc>
          <w:tcPr>
            <w:tcW w:w="5096" w:type="dxa"/>
            <w:tcBorders>
              <w:bottom w:val="single" w:sz="4" w:space="0" w:color="auto"/>
            </w:tcBorders>
          </w:tcPr>
          <w:p w14:paraId="4FC17ADB" w14:textId="77777777" w:rsidR="003A7298" w:rsidRDefault="003A7298" w:rsidP="003A7298">
            <w:pPr>
              <w:pBdr>
                <w:top w:val="nil"/>
                <w:left w:val="nil"/>
                <w:bottom w:val="nil"/>
                <w:right w:val="nil"/>
                <w:between w:val="nil"/>
              </w:pBdr>
              <w:spacing w:after="120" w:line="276" w:lineRule="auto"/>
              <w:jc w:val="both"/>
              <w:rPr>
                <w:color w:val="000000"/>
              </w:rPr>
            </w:pPr>
            <w:r>
              <w:rPr>
                <w:color w:val="000000"/>
              </w:rPr>
              <w:t>BRUKINSA kaip monoterapija yra skirta gydyti suaugusiems pacientams, sergantiems lėtine limfocitine leukemija (LLL).</w:t>
            </w:r>
          </w:p>
          <w:p w14:paraId="3E58E9FA" w14:textId="718913C3" w:rsidR="00BB72F9" w:rsidRPr="003A7298" w:rsidRDefault="003A7298" w:rsidP="003A7298">
            <w:pPr>
              <w:pBdr>
                <w:top w:val="nil"/>
                <w:left w:val="nil"/>
                <w:bottom w:val="nil"/>
                <w:right w:val="nil"/>
                <w:between w:val="nil"/>
              </w:pBdr>
              <w:spacing w:after="120" w:line="276" w:lineRule="auto"/>
              <w:jc w:val="both"/>
              <w:rPr>
                <w:color w:val="000000"/>
                <w:sz w:val="28"/>
                <w:szCs w:val="28"/>
              </w:rPr>
            </w:pPr>
            <w:r>
              <w:rPr>
                <w:color w:val="000000"/>
              </w:rPr>
              <w:t>TLK kodas: C91.1</w:t>
            </w:r>
          </w:p>
        </w:tc>
      </w:tr>
      <w:tr w:rsidR="003A7298" w:rsidRPr="00E7241C" w14:paraId="52C814AB" w14:textId="77777777" w:rsidTr="00782016">
        <w:trPr>
          <w:trHeight w:val="479"/>
        </w:trPr>
        <w:tc>
          <w:tcPr>
            <w:tcW w:w="705" w:type="dxa"/>
            <w:tcBorders>
              <w:top w:val="single" w:sz="4" w:space="0" w:color="auto"/>
              <w:left w:val="single" w:sz="4" w:space="0" w:color="auto"/>
              <w:bottom w:val="single" w:sz="4" w:space="0" w:color="auto"/>
              <w:right w:val="single" w:sz="4" w:space="0" w:color="auto"/>
            </w:tcBorders>
          </w:tcPr>
          <w:p w14:paraId="60248877" w14:textId="77777777" w:rsidR="003A7298" w:rsidRPr="00E7241C" w:rsidRDefault="003A7298" w:rsidP="003A7298">
            <w:pPr>
              <w:tabs>
                <w:tab w:val="left" w:pos="284"/>
              </w:tabs>
              <w:spacing w:line="280" w:lineRule="atLeast"/>
              <w:rPr>
                <w:rFonts w:eastAsia="Arial"/>
                <w:b/>
              </w:rPr>
            </w:pPr>
            <w:r w:rsidRPr="00E7241C">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74942CA5" w14:textId="77777777" w:rsidR="003A7298" w:rsidRPr="00E7241C" w:rsidRDefault="003A7298" w:rsidP="003A7298">
            <w:pPr>
              <w:tabs>
                <w:tab w:val="left" w:pos="284"/>
              </w:tabs>
              <w:spacing w:line="280" w:lineRule="atLeast"/>
              <w:rPr>
                <w:bCs/>
                <w:color w:val="000000"/>
                <w:u w:val="single"/>
                <w:lang w:eastAsia="lt-LT"/>
              </w:rPr>
            </w:pPr>
            <w:r w:rsidRPr="00E7241C">
              <w:rPr>
                <w:b/>
                <w:bCs/>
                <w:color w:val="000000"/>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7D5C8317" w14:textId="77777777" w:rsidR="003A7298" w:rsidRDefault="003A7298" w:rsidP="003A7298">
            <w:pPr>
              <w:widowControl w:val="0"/>
              <w:spacing w:line="276" w:lineRule="auto"/>
              <w:jc w:val="both"/>
              <w:rPr>
                <w:color w:val="000000"/>
              </w:rPr>
            </w:pPr>
            <w:r>
              <w:t>Suaugusiems pacientams, kuriems jau buvo taikytas bent vienas LLL gydymas, neatkartojant ankstesnės eilės gydymo schemos, ligos atkryčiui pasireiškus per 36 mėnesius po taikyto pirmos eilės gydymo.</w:t>
            </w:r>
          </w:p>
          <w:p w14:paraId="7381B9F6" w14:textId="611DF7CC" w:rsidR="003A7298" w:rsidRPr="00D277E1" w:rsidRDefault="003A7298" w:rsidP="003A7298">
            <w:pPr>
              <w:pStyle w:val="Default"/>
              <w:jc w:val="both"/>
              <w:rPr>
                <w:rFonts w:ascii="Times New Roman" w:hAnsi="Times New Roman" w:cs="Times New Roman"/>
              </w:rPr>
            </w:pPr>
            <w:r w:rsidRPr="00D277E1">
              <w:rPr>
                <w:rFonts w:ascii="Times New Roman" w:hAnsi="Times New Roman" w:cs="Times New Roman"/>
              </w:rPr>
              <w:lastRenderedPageBreak/>
              <w:t>Skiriamas gydytojo hematologo, teikiančio tretinio lygio asmens sveikatos priežiūros paslaugas.</w:t>
            </w:r>
          </w:p>
        </w:tc>
      </w:tr>
      <w:tr w:rsidR="003A7298" w:rsidRPr="00E7241C" w14:paraId="114486EC" w14:textId="77777777" w:rsidTr="00782016">
        <w:trPr>
          <w:trHeight w:val="479"/>
        </w:trPr>
        <w:tc>
          <w:tcPr>
            <w:tcW w:w="705" w:type="dxa"/>
            <w:tcBorders>
              <w:top w:val="single" w:sz="4" w:space="0" w:color="auto"/>
              <w:left w:val="single" w:sz="4" w:space="0" w:color="auto"/>
              <w:bottom w:val="single" w:sz="4" w:space="0" w:color="auto"/>
              <w:right w:val="single" w:sz="4" w:space="0" w:color="auto"/>
            </w:tcBorders>
          </w:tcPr>
          <w:p w14:paraId="60CDB92A" w14:textId="77777777" w:rsidR="003A7298" w:rsidRPr="00E7241C" w:rsidRDefault="003A7298" w:rsidP="003A7298">
            <w:pPr>
              <w:tabs>
                <w:tab w:val="left" w:pos="284"/>
              </w:tabs>
              <w:spacing w:line="280" w:lineRule="atLeast"/>
              <w:rPr>
                <w:rFonts w:eastAsia="Arial"/>
                <w:b/>
              </w:rPr>
            </w:pPr>
            <w:r w:rsidRPr="00E7241C">
              <w:rPr>
                <w:rFonts w:eastAsia="Arial"/>
                <w:b/>
              </w:rPr>
              <w:lastRenderedPageBreak/>
              <w:t>1.7</w:t>
            </w:r>
          </w:p>
        </w:tc>
        <w:tc>
          <w:tcPr>
            <w:tcW w:w="4117" w:type="dxa"/>
            <w:tcBorders>
              <w:top w:val="single" w:sz="4" w:space="0" w:color="auto"/>
              <w:left w:val="single" w:sz="4" w:space="0" w:color="auto"/>
              <w:bottom w:val="single" w:sz="4" w:space="0" w:color="auto"/>
              <w:right w:val="single" w:sz="4" w:space="0" w:color="auto"/>
            </w:tcBorders>
          </w:tcPr>
          <w:p w14:paraId="4F456051" w14:textId="77777777" w:rsidR="003A7298" w:rsidRPr="00E7241C" w:rsidRDefault="003A7298" w:rsidP="003A7298">
            <w:pPr>
              <w:tabs>
                <w:tab w:val="left" w:pos="284"/>
              </w:tabs>
              <w:spacing w:line="280" w:lineRule="atLeast"/>
              <w:rPr>
                <w:b/>
                <w:bCs/>
                <w:color w:val="000000"/>
                <w:lang w:eastAsia="lt-LT"/>
              </w:rPr>
            </w:pPr>
            <w:r w:rsidRPr="00E7241C">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338CD805" w14:textId="77777777" w:rsidR="003A7298" w:rsidRPr="00E7241C" w:rsidRDefault="003A7298" w:rsidP="003A7298">
            <w:r w:rsidRPr="00E7241C">
              <w:rPr>
                <w:rStyle w:val="Style2"/>
                <w:rFonts w:ascii="MS Mincho" w:eastAsia="MS Mincho" w:hAnsi="MS Mincho" w:cs="MS Mincho"/>
              </w:rPr>
              <w:t>☒</w:t>
            </w:r>
            <w:r w:rsidRPr="00E7241C">
              <w:t xml:space="preserve"> Pilna paraiška</w:t>
            </w:r>
          </w:p>
          <w:p w14:paraId="3D48146E" w14:textId="77777777" w:rsidR="003A7298" w:rsidRPr="00E7241C" w:rsidRDefault="003A7298" w:rsidP="003A7298">
            <w:pPr>
              <w:rPr>
                <w:rStyle w:val="Style2"/>
              </w:rPr>
            </w:pPr>
            <w:r w:rsidRPr="00E7241C">
              <w:rPr>
                <w:rStyle w:val="Style2"/>
                <w:rFonts w:ascii="MS Mincho" w:eastAsia="MS Mincho" w:hAnsi="MS Mincho" w:cs="MS Mincho"/>
              </w:rPr>
              <w:t>☐</w:t>
            </w:r>
            <w:r w:rsidRPr="00E7241C">
              <w:t xml:space="preserve"> Supaprastinta paraiška</w:t>
            </w:r>
          </w:p>
        </w:tc>
      </w:tr>
      <w:tr w:rsidR="003A7298" w:rsidRPr="00E7241C" w14:paraId="0C7D075F" w14:textId="77777777" w:rsidTr="00782016">
        <w:trPr>
          <w:trHeight w:val="479"/>
        </w:trPr>
        <w:tc>
          <w:tcPr>
            <w:tcW w:w="705" w:type="dxa"/>
            <w:tcBorders>
              <w:top w:val="single" w:sz="4" w:space="0" w:color="auto"/>
              <w:left w:val="single" w:sz="4" w:space="0" w:color="auto"/>
              <w:bottom w:val="single" w:sz="4" w:space="0" w:color="auto"/>
              <w:right w:val="single" w:sz="4" w:space="0" w:color="auto"/>
            </w:tcBorders>
            <w:shd w:val="clear" w:color="auto" w:fill="auto"/>
          </w:tcPr>
          <w:p w14:paraId="0CF8BFBD" w14:textId="77777777" w:rsidR="003A7298" w:rsidRPr="00E7241C" w:rsidRDefault="003A7298" w:rsidP="003A7298">
            <w:pPr>
              <w:tabs>
                <w:tab w:val="left" w:pos="284"/>
              </w:tabs>
              <w:spacing w:line="280" w:lineRule="atLeast"/>
              <w:rPr>
                <w:rFonts w:eastAsia="Arial"/>
                <w:b/>
              </w:rPr>
            </w:pPr>
            <w:r w:rsidRPr="00E7241C">
              <w:rPr>
                <w:rFonts w:eastAsia="Arial"/>
                <w:b/>
              </w:rPr>
              <w:t>1.8</w:t>
            </w:r>
          </w:p>
        </w:tc>
        <w:tc>
          <w:tcPr>
            <w:tcW w:w="4117" w:type="dxa"/>
            <w:tcBorders>
              <w:top w:val="single" w:sz="4" w:space="0" w:color="auto"/>
              <w:left w:val="single" w:sz="4" w:space="0" w:color="auto"/>
              <w:bottom w:val="single" w:sz="4" w:space="0" w:color="auto"/>
              <w:right w:val="single" w:sz="4" w:space="0" w:color="auto"/>
            </w:tcBorders>
            <w:shd w:val="clear" w:color="auto" w:fill="auto"/>
          </w:tcPr>
          <w:p w14:paraId="3DE06B62" w14:textId="77777777" w:rsidR="003A7298" w:rsidRPr="00E7241C" w:rsidRDefault="003A7298" w:rsidP="003A7298">
            <w:pPr>
              <w:tabs>
                <w:tab w:val="left" w:pos="284"/>
              </w:tabs>
              <w:spacing w:line="280" w:lineRule="atLeast"/>
              <w:rPr>
                <w:b/>
                <w:bCs/>
                <w:color w:val="000000"/>
                <w:lang w:eastAsia="lt-LT"/>
              </w:rPr>
            </w:pPr>
            <w:r w:rsidRPr="00E7241C">
              <w:rPr>
                <w:b/>
                <w:bCs/>
                <w:lang w:eastAsia="lt-LT"/>
              </w:rPr>
              <w:t xml:space="preserve">Klinikinių tyrimų tipas </w:t>
            </w:r>
          </w:p>
        </w:tc>
        <w:tc>
          <w:tcPr>
            <w:tcW w:w="5096" w:type="dxa"/>
            <w:tcBorders>
              <w:top w:val="single" w:sz="4" w:space="0" w:color="auto"/>
              <w:left w:val="single" w:sz="4" w:space="0" w:color="auto"/>
              <w:bottom w:val="single" w:sz="4" w:space="0" w:color="auto"/>
              <w:right w:val="single" w:sz="4" w:space="0" w:color="auto"/>
            </w:tcBorders>
            <w:shd w:val="clear" w:color="auto" w:fill="auto"/>
          </w:tcPr>
          <w:p w14:paraId="65847181" w14:textId="77777777" w:rsidR="003A7298" w:rsidRPr="00E7241C" w:rsidRDefault="003A7298" w:rsidP="003A7298">
            <w:r w:rsidRPr="00E7241C">
              <w:rPr>
                <w:rStyle w:val="Style2"/>
                <w:rFonts w:ascii="MS Mincho" w:eastAsia="MS Mincho" w:hAnsi="MS Mincho" w:cs="MS Mincho"/>
              </w:rPr>
              <w:t>☒</w:t>
            </w:r>
            <w:r w:rsidRPr="00E7241C">
              <w:t xml:space="preserve"> Tiesioginis palyginimas</w:t>
            </w:r>
          </w:p>
          <w:p w14:paraId="25035913" w14:textId="77777777" w:rsidR="003A7298" w:rsidRPr="00E7241C" w:rsidRDefault="003A7298" w:rsidP="003A7298">
            <w:r w:rsidRPr="00E7241C">
              <w:rPr>
                <w:rFonts w:ascii="MS Mincho" w:eastAsia="MS Mincho" w:hAnsi="MS Mincho" w:cs="MS Mincho"/>
              </w:rPr>
              <w:t>☐</w:t>
            </w:r>
            <w:r w:rsidRPr="00E7241C">
              <w:t xml:space="preserve"> Netiesioginis palyginimas</w:t>
            </w:r>
          </w:p>
        </w:tc>
      </w:tr>
      <w:tr w:rsidR="003A7298" w:rsidRPr="00467ED9" w14:paraId="00A728C6" w14:textId="77777777" w:rsidTr="00782016">
        <w:trPr>
          <w:trHeight w:val="479"/>
        </w:trPr>
        <w:tc>
          <w:tcPr>
            <w:tcW w:w="705" w:type="dxa"/>
            <w:tcBorders>
              <w:top w:val="single" w:sz="4" w:space="0" w:color="auto"/>
              <w:left w:val="single" w:sz="4" w:space="0" w:color="auto"/>
              <w:bottom w:val="single" w:sz="4" w:space="0" w:color="auto"/>
              <w:right w:val="single" w:sz="4" w:space="0" w:color="auto"/>
            </w:tcBorders>
            <w:shd w:val="clear" w:color="auto" w:fill="auto"/>
          </w:tcPr>
          <w:p w14:paraId="33907658" w14:textId="77777777" w:rsidR="003A7298" w:rsidRPr="00281B11" w:rsidRDefault="003A7298" w:rsidP="003A7298">
            <w:pPr>
              <w:tabs>
                <w:tab w:val="left" w:pos="284"/>
              </w:tabs>
              <w:spacing w:line="280" w:lineRule="atLeast"/>
              <w:rPr>
                <w:rFonts w:eastAsia="Arial"/>
                <w:b/>
              </w:rPr>
            </w:pPr>
            <w:r w:rsidRPr="00281B11">
              <w:rPr>
                <w:rFonts w:eastAsia="Arial"/>
                <w:b/>
              </w:rPr>
              <w:t>1.9</w:t>
            </w:r>
          </w:p>
        </w:tc>
        <w:tc>
          <w:tcPr>
            <w:tcW w:w="4117" w:type="dxa"/>
            <w:tcBorders>
              <w:top w:val="single" w:sz="4" w:space="0" w:color="auto"/>
              <w:left w:val="single" w:sz="4" w:space="0" w:color="auto"/>
              <w:bottom w:val="single" w:sz="4" w:space="0" w:color="auto"/>
              <w:right w:val="single" w:sz="4" w:space="0" w:color="auto"/>
            </w:tcBorders>
            <w:shd w:val="clear" w:color="auto" w:fill="auto"/>
          </w:tcPr>
          <w:p w14:paraId="4818D59A" w14:textId="77777777" w:rsidR="003A7298" w:rsidRPr="00281B11" w:rsidRDefault="003A7298" w:rsidP="003A7298">
            <w:pPr>
              <w:tabs>
                <w:tab w:val="left" w:pos="284"/>
              </w:tabs>
              <w:spacing w:line="280" w:lineRule="atLeast"/>
              <w:rPr>
                <w:b/>
                <w:bCs/>
                <w:color w:val="000000"/>
                <w:lang w:eastAsia="lt-LT"/>
              </w:rPr>
            </w:pPr>
            <w:r w:rsidRPr="00281B11">
              <w:rPr>
                <w:b/>
                <w:bCs/>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shd w:val="clear" w:color="auto" w:fill="auto"/>
          </w:tcPr>
          <w:p w14:paraId="7BC7414B" w14:textId="604A0029" w:rsidR="003A7298" w:rsidRPr="00A847B9" w:rsidRDefault="003A7298" w:rsidP="003A7298">
            <w:r w:rsidRPr="00A847B9">
              <w:rPr>
                <w:rStyle w:val="Style2"/>
                <w:rFonts w:ascii="MS Mincho" w:eastAsia="MS Mincho" w:hAnsi="MS Mincho" w:cs="MS Mincho"/>
              </w:rPr>
              <w:t>☐</w:t>
            </w:r>
            <w:r w:rsidRPr="00A847B9">
              <w:t xml:space="preserve"> Kaštų naudingumo analizė</w:t>
            </w:r>
          </w:p>
          <w:p w14:paraId="2620DDF9" w14:textId="4E0D3695" w:rsidR="003A7298" w:rsidRPr="00A847B9" w:rsidRDefault="003A7298" w:rsidP="003A7298">
            <w:r w:rsidRPr="00E7241C">
              <w:rPr>
                <w:rStyle w:val="Style2"/>
                <w:rFonts w:ascii="MS Mincho" w:eastAsia="MS Mincho" w:hAnsi="MS Mincho" w:cs="MS Mincho"/>
              </w:rPr>
              <w:t>☒</w:t>
            </w:r>
            <w:r w:rsidRPr="00E7241C">
              <w:t xml:space="preserve"> </w:t>
            </w:r>
            <w:r w:rsidRPr="00A847B9">
              <w:t>Kaštų mažinimo analizė</w:t>
            </w:r>
          </w:p>
          <w:p w14:paraId="55F05985" w14:textId="77777777" w:rsidR="003A7298" w:rsidRPr="00467ED9" w:rsidRDefault="003A7298" w:rsidP="003A7298">
            <w:pPr>
              <w:rPr>
                <w:highlight w:val="yellow"/>
              </w:rPr>
            </w:pPr>
            <w:r w:rsidRPr="00A847B9">
              <w:rPr>
                <w:rStyle w:val="Style2"/>
                <w:rFonts w:ascii="MS Mincho" w:eastAsia="MS Mincho" w:hAnsi="MS Mincho" w:cs="MS Mincho"/>
              </w:rPr>
              <w:t>☐</w:t>
            </w:r>
            <w:r w:rsidRPr="00A847B9">
              <w:t xml:space="preserve"> Kita: </w:t>
            </w:r>
            <w:sdt>
              <w:sdtPr>
                <w:alias w:val="Įrašykite"/>
                <w:tag w:val="Įrašykite"/>
                <w:id w:val="-16472040"/>
                <w15:color w:val="FFCC99"/>
              </w:sdtPr>
              <w:sdtContent>
                <w:r w:rsidRPr="00A847B9">
                  <w:t>_________________</w:t>
                </w:r>
              </w:sdtContent>
            </w:sdt>
            <w:r w:rsidRPr="00A847B9">
              <w:t xml:space="preserve"> </w:t>
            </w:r>
          </w:p>
        </w:tc>
      </w:tr>
      <w:bookmarkEnd w:id="0"/>
    </w:tbl>
    <w:p w14:paraId="27D3E529" w14:textId="77777777" w:rsidR="00BB72F9" w:rsidRPr="00467ED9" w:rsidRDefault="00BB72F9" w:rsidP="00BB72F9">
      <w:pPr>
        <w:spacing w:line="276" w:lineRule="auto"/>
        <w:rPr>
          <w:rFonts w:eastAsia="Arial"/>
          <w:highlight w:val="yellow"/>
        </w:rPr>
      </w:pPr>
    </w:p>
    <w:p w14:paraId="070B1656" w14:textId="77777777" w:rsidR="00BB72F9" w:rsidRPr="00E7241C" w:rsidRDefault="00BB72F9" w:rsidP="00BB72F9">
      <w:pPr>
        <w:spacing w:line="276" w:lineRule="auto"/>
        <w:rPr>
          <w:rFonts w:eastAsia="Arial"/>
          <w:b/>
        </w:rPr>
      </w:pPr>
      <w:r w:rsidRPr="00E7241C">
        <w:rPr>
          <w:rFonts w:eastAsia="Arial"/>
          <w:b/>
        </w:rPr>
        <w:t>1.10 Kitų valstybių atsakingų institucijų atlikto Sveikatos technologijų vertinimo (toliau – STV)</w:t>
      </w:r>
      <w:r>
        <w:rPr>
          <w:rFonts w:eastAsia="Arial"/>
          <w:b/>
        </w:rPr>
        <w:t xml:space="preserve"> </w:t>
      </w:r>
      <w:r w:rsidRPr="00E7241C">
        <w:rPr>
          <w:rFonts w:eastAsia="Arial"/>
          <w:b/>
        </w:rPr>
        <w:t>vertinimo išvados</w:t>
      </w:r>
    </w:p>
    <w:p w14:paraId="4F64A850" w14:textId="77777777" w:rsidR="00BB72F9" w:rsidRPr="00467ED9" w:rsidRDefault="00BB72F9" w:rsidP="00BB72F9">
      <w:pPr>
        <w:spacing w:line="276" w:lineRule="auto"/>
        <w:rPr>
          <w:rFonts w:eastAsia="Arial"/>
          <w:highlight w:val="yellow"/>
        </w:rPr>
      </w:pPr>
    </w:p>
    <w:tbl>
      <w:tblPr>
        <w:tblStyle w:val="Lentelstinklelis"/>
        <w:tblW w:w="9918" w:type="dxa"/>
        <w:tblLook w:val="04A0" w:firstRow="1" w:lastRow="0" w:firstColumn="1" w:lastColumn="0" w:noHBand="0" w:noVBand="1"/>
      </w:tblPr>
      <w:tblGrid>
        <w:gridCol w:w="2625"/>
        <w:gridCol w:w="2117"/>
        <w:gridCol w:w="2736"/>
        <w:gridCol w:w="2440"/>
      </w:tblGrid>
      <w:tr w:rsidR="00BB72F9" w:rsidRPr="00F54753" w14:paraId="3A8FF348" w14:textId="77777777" w:rsidTr="00FB1B19">
        <w:trPr>
          <w:trHeight w:val="924"/>
        </w:trPr>
        <w:tc>
          <w:tcPr>
            <w:tcW w:w="2625" w:type="dxa"/>
          </w:tcPr>
          <w:p w14:paraId="6399D6B2" w14:textId="77777777" w:rsidR="00BB72F9" w:rsidRPr="00F54753" w:rsidRDefault="00BB72F9" w:rsidP="00782016">
            <w:pPr>
              <w:spacing w:line="276" w:lineRule="auto"/>
              <w:rPr>
                <w:rFonts w:eastAsia="Arial"/>
              </w:rPr>
            </w:pPr>
            <w:r w:rsidRPr="00F54753">
              <w:rPr>
                <w:rFonts w:eastAsia="Arial"/>
              </w:rPr>
              <w:t>STV agentūros pavadinimas, šalis</w:t>
            </w:r>
          </w:p>
        </w:tc>
        <w:tc>
          <w:tcPr>
            <w:tcW w:w="2117" w:type="dxa"/>
          </w:tcPr>
          <w:p w14:paraId="1FCE53B7" w14:textId="77777777" w:rsidR="00BB72F9" w:rsidRPr="00F54753" w:rsidRDefault="00BB72F9" w:rsidP="00782016">
            <w:pPr>
              <w:spacing w:line="276" w:lineRule="auto"/>
              <w:rPr>
                <w:rFonts w:eastAsia="Arial"/>
              </w:rPr>
            </w:pPr>
            <w:r w:rsidRPr="00F54753">
              <w:rPr>
                <w:rFonts w:eastAsia="Arial"/>
              </w:rPr>
              <w:t>STV vertinimas atliktas</w:t>
            </w:r>
          </w:p>
        </w:tc>
        <w:tc>
          <w:tcPr>
            <w:tcW w:w="2736" w:type="dxa"/>
          </w:tcPr>
          <w:p w14:paraId="496E6048" w14:textId="77777777" w:rsidR="00BB72F9" w:rsidRPr="00F54753" w:rsidRDefault="00BB72F9" w:rsidP="00782016">
            <w:pPr>
              <w:spacing w:line="276" w:lineRule="auto"/>
              <w:rPr>
                <w:rFonts w:eastAsia="Arial"/>
              </w:rPr>
            </w:pPr>
            <w:r w:rsidRPr="00F54753">
              <w:rPr>
                <w:rFonts w:eastAsia="Arial"/>
              </w:rPr>
              <w:t>Klinikinio vertinimo išvada</w:t>
            </w:r>
          </w:p>
        </w:tc>
        <w:tc>
          <w:tcPr>
            <w:tcW w:w="2440" w:type="dxa"/>
          </w:tcPr>
          <w:p w14:paraId="2A708AF7" w14:textId="77777777" w:rsidR="00BB72F9" w:rsidRPr="00F54753" w:rsidRDefault="00BB72F9" w:rsidP="00782016">
            <w:pPr>
              <w:spacing w:line="276" w:lineRule="auto"/>
              <w:rPr>
                <w:rFonts w:eastAsia="Arial"/>
              </w:rPr>
            </w:pPr>
            <w:r w:rsidRPr="00F54753">
              <w:rPr>
                <w:rFonts w:eastAsia="Arial"/>
              </w:rPr>
              <w:t>Ekonominio vertinimo išvada</w:t>
            </w:r>
          </w:p>
        </w:tc>
      </w:tr>
      <w:tr w:rsidR="00BB72F9" w:rsidRPr="00F54753" w14:paraId="2E7C7867" w14:textId="77777777" w:rsidTr="00FB1B19">
        <w:trPr>
          <w:trHeight w:val="97"/>
        </w:trPr>
        <w:tc>
          <w:tcPr>
            <w:tcW w:w="2625" w:type="dxa"/>
            <w:shd w:val="clear" w:color="auto" w:fill="auto"/>
          </w:tcPr>
          <w:p w14:paraId="3F74EAEC" w14:textId="77777777" w:rsidR="00BB72F9" w:rsidRPr="00F17FB1" w:rsidRDefault="00BB72F9" w:rsidP="00782016">
            <w:pPr>
              <w:autoSpaceDE w:val="0"/>
              <w:autoSpaceDN w:val="0"/>
              <w:adjustRightInd w:val="0"/>
              <w:rPr>
                <w:bCs/>
              </w:rPr>
            </w:pPr>
            <w:r w:rsidRPr="00F17FB1">
              <w:rPr>
                <w:bCs/>
              </w:rPr>
              <w:t>Nacionalinis sveikatos ir klinikinės kompetencijos institutas, Didžioji Britanija</w:t>
            </w:r>
          </w:p>
          <w:p w14:paraId="03652A71" w14:textId="77777777" w:rsidR="00BB72F9" w:rsidRPr="00F17FB1" w:rsidRDefault="00BB72F9" w:rsidP="00782016">
            <w:pPr>
              <w:spacing w:line="276" w:lineRule="auto"/>
              <w:rPr>
                <w:rFonts w:eastAsia="Arial"/>
              </w:rPr>
            </w:pPr>
            <w:r w:rsidRPr="00F17FB1">
              <w:rPr>
                <w:rFonts w:eastAsia="Arial"/>
              </w:rPr>
              <w:t xml:space="preserve">(angl. </w:t>
            </w:r>
            <w:r w:rsidRPr="00F17FB1">
              <w:rPr>
                <w:rFonts w:eastAsia="Arial"/>
                <w:i/>
              </w:rPr>
              <w:t>National Institute for Health and Care Excellence, NICE</w:t>
            </w:r>
            <w:r w:rsidRPr="00F17FB1">
              <w:rPr>
                <w:rFonts w:eastAsia="Arial"/>
              </w:rPr>
              <w:t>)</w:t>
            </w:r>
          </w:p>
        </w:tc>
        <w:tc>
          <w:tcPr>
            <w:tcW w:w="2117" w:type="dxa"/>
            <w:shd w:val="clear" w:color="auto" w:fill="auto"/>
          </w:tcPr>
          <w:p w14:paraId="5B19E832" w14:textId="3272D2F1" w:rsidR="00BB72F9" w:rsidRPr="00F17FB1" w:rsidRDefault="00FB1B19" w:rsidP="00782016">
            <w:r w:rsidRPr="00F17FB1">
              <w:rPr>
                <w:rStyle w:val="Style2"/>
                <w:rFonts w:ascii="MS Gothic" w:eastAsia="MS Gothic" w:hAnsi="MS Gothic" w:hint="eastAsia"/>
              </w:rPr>
              <w:t>☐</w:t>
            </w:r>
            <w:r w:rsidR="00BB72F9">
              <w:rPr>
                <w:rStyle w:val="Style2"/>
                <w:rFonts w:ascii="MS Gothic" w:eastAsia="MS Gothic" w:hAnsi="MS Gothic" w:hint="eastAsia"/>
              </w:rPr>
              <w:t xml:space="preserve"> </w:t>
            </w:r>
            <w:r w:rsidR="00BB72F9" w:rsidRPr="00F17FB1">
              <w:t>Taip</w:t>
            </w:r>
          </w:p>
          <w:p w14:paraId="0BEDBA62" w14:textId="082DB54F" w:rsidR="00BB72F9" w:rsidRPr="00F17FB1" w:rsidRDefault="00FB1B19" w:rsidP="00782016">
            <w:r w:rsidRPr="00E7241C">
              <w:rPr>
                <w:rStyle w:val="Style2"/>
                <w:rFonts w:ascii="MS Mincho" w:eastAsia="MS Mincho" w:hAnsi="MS Mincho" w:cs="MS Mincho"/>
              </w:rPr>
              <w:t>☒</w:t>
            </w:r>
            <w:r w:rsidRPr="00E7241C">
              <w:t xml:space="preserve"> </w:t>
            </w:r>
            <w:r>
              <w:t xml:space="preserve">  </w:t>
            </w:r>
            <w:r w:rsidR="00BB72F9">
              <w:t>Ne</w:t>
            </w:r>
          </w:p>
          <w:p w14:paraId="3A13EA83" w14:textId="6F5E4C93" w:rsidR="00BB72F9" w:rsidRPr="00F17FB1" w:rsidRDefault="00000000" w:rsidP="00782016">
            <w:pPr>
              <w:rPr>
                <w:rFonts w:eastAsia="Arial"/>
              </w:rPr>
            </w:pPr>
            <w:sdt>
              <w:sdtPr>
                <w:alias w:val="Nurodykite konkrečią dieną"/>
                <w:tag w:val="Nurodykite pradžios datą"/>
                <w:id w:val="922837954"/>
                <w15:color w:val="FFCC99"/>
                <w:date>
                  <w:dateFormat w:val="yyyy 'm.' MMMM d 'd.'"/>
                  <w:lid w:val="lt-LT"/>
                  <w:storeMappedDataAs w:val="dateTime"/>
                  <w:calendar w:val="gregorian"/>
                </w:date>
              </w:sdtPr>
              <w:sdtContent>
                <w:r w:rsidR="00FB1B19">
                  <w:t xml:space="preserve">2023 m. rugpjūčio </w:t>
                </w:r>
                <w:r w:rsidR="00BB72F9">
                  <w:t>1 d.</w:t>
                </w:r>
              </w:sdtContent>
            </w:sdt>
          </w:p>
        </w:tc>
        <w:tc>
          <w:tcPr>
            <w:tcW w:w="2736" w:type="dxa"/>
            <w:shd w:val="clear" w:color="auto" w:fill="auto"/>
          </w:tcPr>
          <w:p w14:paraId="2918842D" w14:textId="30F5AC39" w:rsidR="00BB72F9" w:rsidRPr="00F17FB1" w:rsidRDefault="00FB1B19" w:rsidP="00782016">
            <w:pPr>
              <w:pStyle w:val="Default"/>
              <w:jc w:val="both"/>
              <w:rPr>
                <w:rFonts w:ascii="Times New Roman" w:hAnsi="Times New Roman" w:cs="Times New Roman"/>
                <w:szCs w:val="20"/>
              </w:rPr>
            </w:pPr>
            <w:r>
              <w:rPr>
                <w:rFonts w:ascii="Times New Roman" w:hAnsi="Times New Roman" w:cs="Times New Roman"/>
                <w:szCs w:val="20"/>
              </w:rPr>
              <w:t>-</w:t>
            </w:r>
          </w:p>
        </w:tc>
        <w:tc>
          <w:tcPr>
            <w:tcW w:w="2440" w:type="dxa"/>
          </w:tcPr>
          <w:p w14:paraId="2C936AFF" w14:textId="062CBA35" w:rsidR="00BB72F9" w:rsidRPr="00F54753" w:rsidRDefault="00FB1B19" w:rsidP="00782016">
            <w:pPr>
              <w:spacing w:line="276" w:lineRule="auto"/>
              <w:rPr>
                <w:rFonts w:eastAsia="Arial"/>
                <w:highlight w:val="yellow"/>
              </w:rPr>
            </w:pPr>
            <w:r>
              <w:rPr>
                <w:rFonts w:eastAsia="Arial"/>
              </w:rPr>
              <w:t>-</w:t>
            </w:r>
          </w:p>
        </w:tc>
      </w:tr>
      <w:tr w:rsidR="00FB1B19" w:rsidRPr="00F54753" w14:paraId="2287743B" w14:textId="77777777" w:rsidTr="00FB1B19">
        <w:trPr>
          <w:trHeight w:val="97"/>
        </w:trPr>
        <w:tc>
          <w:tcPr>
            <w:tcW w:w="2625" w:type="dxa"/>
          </w:tcPr>
          <w:p w14:paraId="7823D0FF" w14:textId="77777777" w:rsidR="00FB1B19" w:rsidRPr="00F17FB1" w:rsidRDefault="00FB1B19" w:rsidP="00782016">
            <w:pPr>
              <w:spacing w:line="276" w:lineRule="auto"/>
              <w:rPr>
                <w:rFonts w:eastAsia="Arial"/>
              </w:rPr>
            </w:pPr>
            <w:r w:rsidRPr="00F17FB1">
              <w:rPr>
                <w:rFonts w:eastAsia="Arial"/>
              </w:rPr>
              <w:t>Kanados sveikatos technologijų agentūra</w:t>
            </w:r>
          </w:p>
          <w:p w14:paraId="1115AEB7" w14:textId="77777777" w:rsidR="00FB1B19" w:rsidRPr="00F17FB1" w:rsidRDefault="00FB1B19" w:rsidP="00782016">
            <w:pPr>
              <w:autoSpaceDE w:val="0"/>
              <w:autoSpaceDN w:val="0"/>
              <w:adjustRightInd w:val="0"/>
              <w:rPr>
                <w:bCs/>
              </w:rPr>
            </w:pPr>
            <w:r w:rsidRPr="00F17FB1">
              <w:rPr>
                <w:rFonts w:eastAsia="Arial"/>
              </w:rPr>
              <w:t xml:space="preserve">(angl. </w:t>
            </w:r>
            <w:r w:rsidRPr="00F17FB1">
              <w:rPr>
                <w:rFonts w:eastAsia="Arial"/>
                <w:i/>
              </w:rPr>
              <w:t>Canadian health Technology Assessment agency, CADTH</w:t>
            </w:r>
            <w:r w:rsidRPr="00F17FB1">
              <w:rPr>
                <w:rFonts w:eastAsia="Arial"/>
              </w:rPr>
              <w:t>)</w:t>
            </w:r>
          </w:p>
        </w:tc>
        <w:tc>
          <w:tcPr>
            <w:tcW w:w="2117" w:type="dxa"/>
          </w:tcPr>
          <w:p w14:paraId="07DC6180" w14:textId="5E46AFDA" w:rsidR="00FB1B19" w:rsidRPr="00F17FB1" w:rsidRDefault="00FB1B19" w:rsidP="00782016">
            <w:r w:rsidRPr="00E7241C">
              <w:rPr>
                <w:rStyle w:val="Style2"/>
                <w:rFonts w:ascii="MS Mincho" w:eastAsia="MS Mincho" w:hAnsi="MS Mincho" w:cs="MS Mincho"/>
              </w:rPr>
              <w:t>☒</w:t>
            </w:r>
            <w:r w:rsidRPr="00E7241C">
              <w:t xml:space="preserve"> </w:t>
            </w:r>
            <w:r w:rsidRPr="00F17FB1">
              <w:t xml:space="preserve"> Taip</w:t>
            </w:r>
          </w:p>
          <w:p w14:paraId="2C9515C3" w14:textId="66B4BD58" w:rsidR="00FB1B19" w:rsidRPr="00F17FB1" w:rsidRDefault="00FB1B19" w:rsidP="00782016">
            <w:r w:rsidRPr="00F17FB1">
              <w:rPr>
                <w:rStyle w:val="Style2"/>
                <w:rFonts w:ascii="MS Gothic" w:eastAsia="MS Gothic" w:hAnsi="MS Gothic" w:hint="eastAsia"/>
              </w:rPr>
              <w:t>☐</w:t>
            </w:r>
            <w:r>
              <w:rPr>
                <w:rStyle w:val="Style2"/>
                <w:rFonts w:ascii="MS Gothic" w:eastAsia="MS Gothic" w:hAnsi="MS Gothic" w:hint="eastAsia"/>
              </w:rPr>
              <w:t xml:space="preserve"> </w:t>
            </w:r>
            <w:r w:rsidRPr="00F17FB1">
              <w:t>Ne</w:t>
            </w:r>
          </w:p>
          <w:p w14:paraId="6E709E66" w14:textId="2FD9FC03" w:rsidR="00FB1B19" w:rsidRPr="00F17FB1" w:rsidRDefault="00000000" w:rsidP="00782016">
            <w:pPr>
              <w:rPr>
                <w:rStyle w:val="Style2"/>
                <w:rFonts w:ascii="MS Gothic" w:eastAsia="MS Gothic" w:hAnsi="MS Gothic"/>
              </w:rPr>
            </w:pPr>
            <w:sdt>
              <w:sdtPr>
                <w:rPr>
                  <w:sz w:val="32"/>
                </w:rPr>
                <w:alias w:val="Nurodykite konkrečią dieną"/>
                <w:tag w:val="Nurodykite pradžios datą"/>
                <w:id w:val="1386605124"/>
                <w15:color w:val="FFCC99"/>
                <w:date>
                  <w:dateFormat w:val="yyyy 'm.' MMMM d 'd.'"/>
                  <w:lid w:val="lt-LT"/>
                  <w:storeMappedDataAs w:val="dateTime"/>
                  <w:calendar w:val="gregorian"/>
                </w:date>
              </w:sdtPr>
              <w:sdtEndPr>
                <w:rPr>
                  <w:sz w:val="24"/>
                </w:rPr>
              </w:sdtEndPr>
              <w:sdtContent>
                <w:r w:rsidR="00FB1B19" w:rsidRPr="00FB1B19">
                  <w:t>2023 m. rugpjūčio 3  d.</w:t>
                </w:r>
              </w:sdtContent>
            </w:sdt>
          </w:p>
        </w:tc>
        <w:tc>
          <w:tcPr>
            <w:tcW w:w="5176" w:type="dxa"/>
            <w:gridSpan w:val="2"/>
          </w:tcPr>
          <w:p w14:paraId="5104B4CC" w14:textId="77777777" w:rsidR="00FB1B19" w:rsidRDefault="00FB1B19" w:rsidP="00FB1B19">
            <w:pPr>
              <w:spacing w:line="276" w:lineRule="auto"/>
            </w:pPr>
            <w:r>
              <w:t>Rekomenduoja kompensuoti zanubrutinibo vartojimą suaugusiems pacientams, sergantiems LLL:</w:t>
            </w:r>
          </w:p>
          <w:p w14:paraId="3C98D1AC" w14:textId="77777777" w:rsidR="00FB1B19" w:rsidRDefault="00FB1B19" w:rsidP="00FB1B19">
            <w:pPr>
              <w:numPr>
                <w:ilvl w:val="0"/>
                <w:numId w:val="15"/>
              </w:numPr>
              <w:pBdr>
                <w:top w:val="nil"/>
                <w:left w:val="nil"/>
                <w:bottom w:val="nil"/>
                <w:right w:val="nil"/>
                <w:between w:val="nil"/>
              </w:pBdr>
              <w:spacing w:line="276" w:lineRule="auto"/>
              <w:rPr>
                <w:color w:val="000000"/>
              </w:rPr>
            </w:pPr>
            <w:r>
              <w:rPr>
                <w:color w:val="000000"/>
              </w:rPr>
              <w:t>kurie anksčiau nebuvo gydyti ir kuriems gydymas fludarabinu kontraindikuotinas ARBA</w:t>
            </w:r>
          </w:p>
          <w:p w14:paraId="4DB08BF9" w14:textId="77777777" w:rsidR="00FB1B19" w:rsidRDefault="00FB1B19" w:rsidP="00FB1B19">
            <w:pPr>
              <w:numPr>
                <w:ilvl w:val="0"/>
                <w:numId w:val="15"/>
              </w:numPr>
              <w:pBdr>
                <w:top w:val="nil"/>
                <w:left w:val="nil"/>
                <w:bottom w:val="nil"/>
                <w:right w:val="nil"/>
                <w:between w:val="nil"/>
              </w:pBdr>
              <w:spacing w:line="276" w:lineRule="auto"/>
              <w:rPr>
                <w:color w:val="000000"/>
              </w:rPr>
            </w:pPr>
            <w:r>
              <w:rPr>
                <w:color w:val="000000"/>
              </w:rPr>
              <w:t>kurie yra gavę bent 1 sisteminį medikamentą ir</w:t>
            </w:r>
          </w:p>
          <w:p w14:paraId="08F6BD28" w14:textId="77777777" w:rsidR="00FB1B19" w:rsidRDefault="00FB1B19" w:rsidP="00FB1B19">
            <w:pPr>
              <w:numPr>
                <w:ilvl w:val="0"/>
                <w:numId w:val="15"/>
              </w:numPr>
              <w:pBdr>
                <w:top w:val="nil"/>
                <w:left w:val="nil"/>
                <w:bottom w:val="nil"/>
                <w:right w:val="nil"/>
                <w:between w:val="nil"/>
              </w:pBdr>
              <w:spacing w:line="276" w:lineRule="auto"/>
              <w:rPr>
                <w:color w:val="000000"/>
              </w:rPr>
            </w:pPr>
            <w:r>
              <w:rPr>
                <w:color w:val="000000"/>
              </w:rPr>
              <w:t>pacientas turi būti geros funkcinės būklės bei</w:t>
            </w:r>
          </w:p>
          <w:p w14:paraId="7CC35802" w14:textId="77777777" w:rsidR="00FB1B19" w:rsidRDefault="00FB1B19" w:rsidP="00FB1B19">
            <w:pPr>
              <w:numPr>
                <w:ilvl w:val="0"/>
                <w:numId w:val="15"/>
              </w:numPr>
              <w:pBdr>
                <w:top w:val="nil"/>
                <w:left w:val="nil"/>
                <w:bottom w:val="nil"/>
                <w:right w:val="nil"/>
                <w:between w:val="nil"/>
              </w:pBdr>
              <w:spacing w:line="276" w:lineRule="auto"/>
              <w:rPr>
                <w:color w:val="000000"/>
              </w:rPr>
            </w:pPr>
            <w:r>
              <w:rPr>
                <w:color w:val="000000"/>
              </w:rPr>
              <w:t>pacientas nepatyręs ligos progreso vartojant BKT inhibitorius ir</w:t>
            </w:r>
          </w:p>
          <w:p w14:paraId="5FAD9DB1" w14:textId="6D143292" w:rsidR="00FB1B19" w:rsidRPr="00F54753" w:rsidRDefault="00FB1B19" w:rsidP="00782016">
            <w:pPr>
              <w:spacing w:line="276" w:lineRule="auto"/>
              <w:rPr>
                <w:rFonts w:eastAsia="Arial"/>
                <w:highlight w:val="yellow"/>
              </w:rPr>
            </w:pPr>
            <w:r>
              <w:rPr>
                <w:color w:val="000000"/>
              </w:rPr>
              <w:t>pacientui nėra diagnozuota prolimfocitinė leukemija arba Richterio transformacija.</w:t>
            </w:r>
          </w:p>
        </w:tc>
      </w:tr>
      <w:tr w:rsidR="00FB1B19" w:rsidRPr="00467ED9" w14:paraId="65231E24" w14:textId="77777777" w:rsidTr="00C62887">
        <w:trPr>
          <w:trHeight w:val="1556"/>
        </w:trPr>
        <w:tc>
          <w:tcPr>
            <w:tcW w:w="2625" w:type="dxa"/>
          </w:tcPr>
          <w:p w14:paraId="4182C89C" w14:textId="77777777" w:rsidR="00FB1B19" w:rsidRPr="00F17FB1" w:rsidRDefault="00FB1B19" w:rsidP="00782016">
            <w:pPr>
              <w:spacing w:line="276" w:lineRule="auto"/>
              <w:rPr>
                <w:rFonts w:eastAsia="Arial"/>
              </w:rPr>
            </w:pPr>
            <w:r w:rsidRPr="00F17FB1">
              <w:rPr>
                <w:rFonts w:eastAsia="Arial"/>
              </w:rPr>
              <w:t>Nacionalinis farmakoekonomikos centras, Airija</w:t>
            </w:r>
          </w:p>
          <w:p w14:paraId="5156E5F5" w14:textId="77777777" w:rsidR="00FB1B19" w:rsidRPr="00F17FB1" w:rsidRDefault="00FB1B19" w:rsidP="00782016">
            <w:pPr>
              <w:spacing w:line="276" w:lineRule="auto"/>
              <w:rPr>
                <w:rFonts w:eastAsia="Arial"/>
              </w:rPr>
            </w:pPr>
            <w:r w:rsidRPr="00F17FB1">
              <w:rPr>
                <w:rFonts w:eastAsia="Arial"/>
              </w:rPr>
              <w:t>(angl.</w:t>
            </w:r>
            <w:r w:rsidRPr="00F17FB1">
              <w:rPr>
                <w:rFonts w:eastAsia="Arial"/>
                <w:i/>
              </w:rPr>
              <w:t xml:space="preserve"> National Centre for Pharmacoeconomics, NCPE</w:t>
            </w:r>
            <w:r w:rsidRPr="00F17FB1">
              <w:rPr>
                <w:rFonts w:eastAsia="Arial"/>
              </w:rPr>
              <w:t>)</w:t>
            </w:r>
          </w:p>
        </w:tc>
        <w:tc>
          <w:tcPr>
            <w:tcW w:w="2117" w:type="dxa"/>
          </w:tcPr>
          <w:p w14:paraId="0DC0C751" w14:textId="70CAAFE3" w:rsidR="00FB1B19" w:rsidRPr="00F17FB1" w:rsidRDefault="00FB1B19" w:rsidP="00782016">
            <w:r w:rsidRPr="00E7241C">
              <w:rPr>
                <w:rStyle w:val="Style2"/>
                <w:rFonts w:ascii="MS Mincho" w:eastAsia="MS Mincho" w:hAnsi="MS Mincho" w:cs="MS Mincho"/>
              </w:rPr>
              <w:t>☒</w:t>
            </w:r>
            <w:r w:rsidRPr="00F17FB1">
              <w:t xml:space="preserve"> Taip</w:t>
            </w:r>
          </w:p>
          <w:p w14:paraId="37AB23B3" w14:textId="4314CD60" w:rsidR="00FB1B19" w:rsidRPr="00F17FB1" w:rsidRDefault="00FB1B19" w:rsidP="00782016">
            <w:r w:rsidRPr="00F17FB1">
              <w:rPr>
                <w:rStyle w:val="Style2"/>
                <w:rFonts w:ascii="MS Gothic" w:eastAsia="MS Gothic" w:hAnsi="MS Gothic" w:hint="eastAsia"/>
              </w:rPr>
              <w:t>☐</w:t>
            </w:r>
            <w:r>
              <w:rPr>
                <w:rStyle w:val="Style2"/>
                <w:rFonts w:ascii="MS Gothic" w:eastAsia="MS Gothic" w:hAnsi="MS Gothic" w:hint="eastAsia"/>
              </w:rPr>
              <w:t xml:space="preserve"> </w:t>
            </w:r>
            <w:r w:rsidRPr="00F17FB1">
              <w:t>Ne</w:t>
            </w:r>
          </w:p>
          <w:p w14:paraId="3B85697D" w14:textId="64CD1F47" w:rsidR="00FB1B19" w:rsidRPr="00F54753" w:rsidRDefault="00000000" w:rsidP="00782016">
            <w:pPr>
              <w:spacing w:line="276" w:lineRule="auto"/>
              <w:rPr>
                <w:highlight w:val="yellow"/>
              </w:rPr>
            </w:pPr>
            <w:sdt>
              <w:sdtPr>
                <w:alias w:val="Nurodykite konkrečią dieną"/>
                <w:tag w:val="Nurodykite pradžios datą"/>
                <w:id w:val="-1342466213"/>
                <w15:color w:val="FFCC99"/>
                <w:date>
                  <w:dateFormat w:val="yyyy 'm.' MMMM d 'd.'"/>
                  <w:lid w:val="lt-LT"/>
                  <w:storeMappedDataAs w:val="dateTime"/>
                  <w:calendar w:val="gregorian"/>
                </w:date>
              </w:sdtPr>
              <w:sdtContent>
                <w:r w:rsidR="00FB1B19">
                  <w:t>2023 kovo 23 d.</w:t>
                </w:r>
              </w:sdtContent>
            </w:sdt>
          </w:p>
        </w:tc>
        <w:tc>
          <w:tcPr>
            <w:tcW w:w="5176" w:type="dxa"/>
            <w:gridSpan w:val="2"/>
          </w:tcPr>
          <w:p w14:paraId="33F93319" w14:textId="77777777" w:rsidR="00FB1B19" w:rsidRDefault="00FB1B19" w:rsidP="00FB1B19">
            <w:pPr>
              <w:spacing w:line="312" w:lineRule="auto"/>
            </w:pPr>
            <w:r>
              <w:t>Indikuojama kaip monoterpaija suaugusiems, sergantiems LLL. Pareiškėjo pasiūlyta gydyti vieta yra siauresnė nei licencijuota populiacija, t.y. monoterapija pacientams, sergantiems LLL:</w:t>
            </w:r>
          </w:p>
          <w:p w14:paraId="7A2A27DC" w14:textId="77777777" w:rsidR="00FB1B19" w:rsidRDefault="00FB1B19" w:rsidP="00FB1B19">
            <w:pPr>
              <w:numPr>
                <w:ilvl w:val="0"/>
                <w:numId w:val="16"/>
              </w:numPr>
              <w:pBdr>
                <w:top w:val="nil"/>
                <w:left w:val="nil"/>
                <w:bottom w:val="nil"/>
                <w:right w:val="nil"/>
                <w:between w:val="nil"/>
              </w:pBdr>
              <w:spacing w:line="312" w:lineRule="auto"/>
              <w:rPr>
                <w:color w:val="000000"/>
              </w:rPr>
            </w:pPr>
            <w:r>
              <w:rPr>
                <w:color w:val="000000"/>
              </w:rPr>
              <w:t>kurie anksčiau negydyti ir turi del(17p) ir (arba) TP53 mutacijų arba</w:t>
            </w:r>
          </w:p>
          <w:p w14:paraId="338DE1FB" w14:textId="3E4824B3" w:rsidR="00FB1B19" w:rsidRPr="00F54753" w:rsidRDefault="00FB1B19" w:rsidP="00FB1B19">
            <w:pPr>
              <w:spacing w:line="276" w:lineRule="auto"/>
              <w:jc w:val="both"/>
              <w:rPr>
                <w:rFonts w:eastAsia="Arial"/>
                <w:highlight w:val="yellow"/>
              </w:rPr>
            </w:pPr>
            <w:r>
              <w:lastRenderedPageBreak/>
              <w:t>pacientams, kuriems pasireiškė gydymui atspari ar pasikartojanti liga.</w:t>
            </w:r>
          </w:p>
        </w:tc>
      </w:tr>
    </w:tbl>
    <w:p w14:paraId="0F48419E" w14:textId="77777777" w:rsidR="00BB72F9" w:rsidRPr="00467ED9" w:rsidRDefault="00BB72F9" w:rsidP="00BB72F9">
      <w:pPr>
        <w:spacing w:line="276" w:lineRule="auto"/>
        <w:rPr>
          <w:rFonts w:eastAsia="Arial"/>
          <w:highlight w:val="yellow"/>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A77BF59" w14:textId="77777777" w:rsidR="00BB72F9" w:rsidRDefault="00BB72F9" w:rsidP="00BB72F9">
      <w:pPr>
        <w:ind w:firstLine="720"/>
        <w:jc w:val="both"/>
        <w:rPr>
          <w:rFonts w:eastAsia="Arial"/>
        </w:rPr>
      </w:pPr>
    </w:p>
    <w:p w14:paraId="4C6071E4" w14:textId="77777777" w:rsidR="000474B4" w:rsidRDefault="000474B4" w:rsidP="000474B4">
      <w:pPr>
        <w:tabs>
          <w:tab w:val="left" w:pos="426"/>
        </w:tabs>
        <w:spacing w:line="319" w:lineRule="auto"/>
        <w:jc w:val="both"/>
      </w:pPr>
      <w:r>
        <w:tab/>
        <w:t xml:space="preserve">Lėtinė limfocitinė leukemija (LLL) yra piktybinė kraujo liga, kuriai būdinga nekontroliuojama monokloninių B limfocitų gamyba ir jų kaupimasis kraujyje, kaulų čiulpuose ir blužnyje. LLL yra neišgydoma, todėl gydymo tikslas yra pasiekti atsaką į gydymą, išlaikyti kuo ilgesnį laikotarpį be ligos progresavimo, kontroliuoti ligos eigą, palengvinti ligos simptomus ir taip prailginti išgyvenamumą. </w:t>
      </w:r>
      <w:r w:rsidRPr="00DB7DE0">
        <w:t xml:space="preserve">Lietuvoje LLL gydymui šiuo metu kompensuojami ibrutinibas ar akalabrutinibas (pirmo pasirinkimo gydymas), venetoklaksas, chlorambucilas, ciklofosfamidas, rituksimabas ir fludarabinas (antro pasirinkimo gydymas). Šiuo metu Lietuvoje nėra patvirtinto LLL gydymo aprašo, LLL pacientai gydomi monoterapija BTK inhibitoriumi arba venetoklaso ir rituksimabo deriniu pagal A kompensuojamųjų vaistų sąraše nurodytas skyrimo sąlygas: aktyviai recidyvinei arba gydymui nepasiduodančiai LLL gydyti pacientams, kuriems jau buvo taikytas bent vienas LLL gydymas, neatkartojant ankstesnės eilės gydymo schemos, ligos atkryčiui pasireiškus per 36 mėnesius po taikyto pirmos eilės gydymo. </w:t>
      </w:r>
      <w:r>
        <w:t xml:space="preserve">Paraiškoje pateikti 3 fazės klinikinio tyrimo ALPINE duomenys apie vaistinį preparatą zanubrutinibą, kuris siūlomas kompensuoti suaugusių pacientų lėtinei limfocitinei leukemijai (LLL) gydyti, kuomet anksčiau buvo gydyta bent vienu vaistu. </w:t>
      </w:r>
    </w:p>
    <w:p w14:paraId="2AFE28D2" w14:textId="5C690793" w:rsidR="000474B4" w:rsidRDefault="000474B4" w:rsidP="000474B4">
      <w:pPr>
        <w:tabs>
          <w:tab w:val="left" w:pos="426"/>
        </w:tabs>
        <w:spacing w:line="319" w:lineRule="auto"/>
        <w:jc w:val="both"/>
      </w:pPr>
      <w:r>
        <w:tab/>
        <w:t>Palyginamasis gydymas – BTK inhibitorius. Lietuvoje šiai pacientų populiacij</w:t>
      </w:r>
      <w:r w:rsidR="00E8338F">
        <w:t xml:space="preserve">ai gali </w:t>
      </w:r>
      <w:r>
        <w:t>būti skiriami du vaistiniai preparatai: ibrutinibas ir akalabrutinibas. Pareiškėjas pateikė tiesioginiame palyginime klinikinius duomenis, lyginant su ibrutinibu, o netiesioginiame – lyginant su akalabrutinibu. Remiantis šia informacija, palyginamasis gydymas – BTK inhibitoriumi – laikomas tinkamu.</w:t>
      </w:r>
    </w:p>
    <w:p w14:paraId="7370D6D4" w14:textId="77777777" w:rsidR="000474B4" w:rsidRDefault="000474B4" w:rsidP="000474B4">
      <w:pPr>
        <w:tabs>
          <w:tab w:val="left" w:pos="426"/>
        </w:tabs>
        <w:spacing w:line="319" w:lineRule="auto"/>
        <w:jc w:val="both"/>
      </w:pPr>
    </w:p>
    <w:p w14:paraId="4AEE7B5A" w14:textId="6FF1C7DF" w:rsidR="000474B4" w:rsidRDefault="000474B4" w:rsidP="000474B4">
      <w:pPr>
        <w:tabs>
          <w:tab w:val="left" w:pos="426"/>
        </w:tabs>
        <w:spacing w:line="319" w:lineRule="auto"/>
        <w:jc w:val="both"/>
      </w:pPr>
      <w:r w:rsidRPr="00846D0C">
        <w:rPr>
          <w:i/>
        </w:rPr>
        <w:t>Tiesioginis palyginimas</w:t>
      </w:r>
      <w:r>
        <w:t xml:space="preserve"> </w:t>
      </w:r>
    </w:p>
    <w:p w14:paraId="39FEFABF" w14:textId="77777777" w:rsidR="000474B4" w:rsidRDefault="000474B4" w:rsidP="000474B4">
      <w:pPr>
        <w:tabs>
          <w:tab w:val="left" w:pos="426"/>
        </w:tabs>
        <w:spacing w:line="319" w:lineRule="auto"/>
        <w:jc w:val="both"/>
      </w:pPr>
      <w:r>
        <w:tab/>
        <w:t>Palyginamuoju gydymu buvo pasirinktas vaistinis preparatas ibrutinibas, kuris yra kompensuojamas antros eilės LLL pacientų gydymui su atitinkamomis skyrimo sąlygomis (analogiškos sąlygos siūlomos ir tos pačios farmakoterapinės grupės preparatui zanubrutinibui). Šie vaistiniai preparatai buvo tiesiogiai palyginti III fazės atsitiktinių imčių tyrime ALPINE, kuriame įrodyta, kad zanubrutinibo klinikinis veiksmingumas yra panašus  ibrutinibui. Zanubrutinibui taip pat nustatytas ir geresnis saugumo profilis – retesni širdies ir kraujagyslių bei su kitomis sistemomis susiję NR.</w:t>
      </w:r>
    </w:p>
    <w:p w14:paraId="05E63D11" w14:textId="4A90D539" w:rsidR="000474B4" w:rsidRDefault="000474B4" w:rsidP="000474B4">
      <w:pPr>
        <w:spacing w:line="319" w:lineRule="auto"/>
        <w:ind w:right="10" w:firstLine="720"/>
        <w:jc w:val="both"/>
      </w:pPr>
      <w:r>
        <w:t>Vertinant ALPINE tyrimo pirminę ir antrinę vertinamąsias baigtis (nepriklausomo tyrėjų komiteto įvertintą baigties atvejų dažnį ir įvertintą išgyvenamumą be ligos progresavimo), zanubr</w:t>
      </w:r>
      <w:r w:rsidR="00E8338F">
        <w:t>utinibas efektyvumu yra panašus</w:t>
      </w:r>
      <w:r>
        <w:rPr>
          <w:i/>
        </w:rPr>
        <w:t xml:space="preserve"> </w:t>
      </w:r>
      <w:r>
        <w:t>ibrutinibui (RS: 0,65 [95</w:t>
      </w:r>
      <w:r w:rsidR="005C6B63">
        <w:t xml:space="preserve"> </w:t>
      </w:r>
      <w:r>
        <w:t>% PI 0,49 – 0,86]). Analizuojant pacientų, kuriems nustatytos aktualios genų mutacijos, zanubrutinibo ir ibrutinibo klinikinis efektyvumas skyrėsi,  esant del17p ir TP53 mutacijai vartojant zanubrutinibą išgyvenamumas be ligos progresavimo buvo ilgesnis (RS 0,52 [95</w:t>
      </w:r>
      <w:r w:rsidR="005C6B63">
        <w:t xml:space="preserve"> </w:t>
      </w:r>
      <w:r>
        <w:t>% PI 0,30 – 0,88). 24-ių mėnesių pacientų be ligos progreso proporcija buvo didesnė zanubrutinibo grupėje (78</w:t>
      </w:r>
      <w:r w:rsidR="005C6B63">
        <w:t>,</w:t>
      </w:r>
      <w:r>
        <w:t>4</w:t>
      </w:r>
      <w:r w:rsidR="005C6B63">
        <w:t xml:space="preserve"> </w:t>
      </w:r>
      <w:r>
        <w:t>%) lyginant su ibrutinibo grupe (65</w:t>
      </w:r>
      <w:r w:rsidR="005C6B63">
        <w:t>,</w:t>
      </w:r>
      <w:r>
        <w:t>9</w:t>
      </w:r>
      <w:r w:rsidR="005C6B63">
        <w:t xml:space="preserve"> </w:t>
      </w:r>
      <w:r>
        <w:t>%).  IBLP mediana zanubrutinibo grupėje nebuvo pasiekta (95</w:t>
      </w:r>
      <w:r w:rsidR="005C6B63">
        <w:t xml:space="preserve"> </w:t>
      </w:r>
      <w:r>
        <w:t>% PI: 34</w:t>
      </w:r>
      <w:r w:rsidR="005C6B63">
        <w:t>,</w:t>
      </w:r>
      <w:r>
        <w:t>3 mėn. - NE); mediana ibrutinibo grupėje buvo 34</w:t>
      </w:r>
      <w:r w:rsidR="005C6B63">
        <w:t>,</w:t>
      </w:r>
      <w:r>
        <w:t>2 mėn. (95</w:t>
      </w:r>
      <w:r w:rsidR="005C6B63">
        <w:t xml:space="preserve"> </w:t>
      </w:r>
      <w:r>
        <w:t>% PI: 33</w:t>
      </w:r>
      <w:r w:rsidR="005C6B63">
        <w:t>,</w:t>
      </w:r>
      <w:r>
        <w:t>3 mėn. - NE). Pareiš</w:t>
      </w:r>
      <w:r w:rsidR="00E8338F">
        <w:t>kėjas pateikė taip pat papildomą tarpinę analizę</w:t>
      </w:r>
      <w:r>
        <w:t xml:space="preserve">, kurioje buvo įvertintas </w:t>
      </w:r>
      <w:r w:rsidR="002E6257">
        <w:t>išgyvenamumas be ligos progresavimo (</w:t>
      </w:r>
      <w:r>
        <w:t>IBLP</w:t>
      </w:r>
      <w:r w:rsidR="002E6257">
        <w:t>)</w:t>
      </w:r>
      <w:r>
        <w:t xml:space="preserve"> bei </w:t>
      </w:r>
      <w:r w:rsidR="002E6257">
        <w:t xml:space="preserve">bendrasis </w:t>
      </w:r>
      <w:r w:rsidR="002E6257">
        <w:lastRenderedPageBreak/>
        <w:t>išgyvenamumas (</w:t>
      </w:r>
      <w:r>
        <w:t>BI</w:t>
      </w:r>
      <w:r w:rsidR="002E6257">
        <w:t>)</w:t>
      </w:r>
      <w:r>
        <w:t>. Lyginant su gydymu ibrutinibu, zanubrutinibu gydytų pacientų ligos progresavimo arba mirties rizikos santykis buvo 33% mažesnis (RS: 0,67; 95</w:t>
      </w:r>
      <w:r w:rsidR="005C6B63">
        <w:t xml:space="preserve"> </w:t>
      </w:r>
      <w:r>
        <w:t>% PI: 0,52 – 0,86; p=0,0016), duomenų brandumas mažiau nei apie 40 proc. Zanubrutinibo grupėje IBLP mediana buvo 45,5 mėn., ibrutinibo grupėje - 38,9 mėn. Pagal pateiktus papildomus IBLP duomenis bei vertinant atskirą pacientų pogrupį (nustatyta 17p delecija arba TP53 mutacija, apie 50 %), nustatyta, kad zanubrutinibo klinikinis veiksmingumas yra pranašesnis už ibrutinibą šiame pacientų pogrupyje pagal pasiektą statistinį reikšmingumą. Pažymėtina, kad IBLP baigčių rezultatai buvo panašūs į pirminė</w:t>
      </w:r>
      <w:r w:rsidR="00E8338F">
        <w:t>s</w:t>
      </w:r>
      <w:r>
        <w:t xml:space="preserve"> tarpinės analizės rezultatus.</w:t>
      </w:r>
    </w:p>
    <w:p w14:paraId="6CC17A2F" w14:textId="7E15834E" w:rsidR="000474B4" w:rsidRDefault="000474B4" w:rsidP="000474B4">
      <w:pPr>
        <w:widowControl w:val="0"/>
        <w:spacing w:line="319" w:lineRule="auto"/>
        <w:ind w:firstLine="720"/>
        <w:jc w:val="both"/>
      </w:pPr>
      <w:r>
        <w:t xml:space="preserve">Pirminė ALPINE tyrimo </w:t>
      </w:r>
      <w:r w:rsidR="005C6B63">
        <w:t xml:space="preserve">vertinamoji </w:t>
      </w:r>
      <w:r>
        <w:t xml:space="preserve">baigtis buvo bendras atsakas į gydymą (BAD), o </w:t>
      </w:r>
      <w:r w:rsidR="002E6257">
        <w:t>IBLP</w:t>
      </w:r>
      <w:r>
        <w:t xml:space="preserve"> – pagrindinė antrinė</w:t>
      </w:r>
      <w:r w:rsidR="005C6B63">
        <w:t xml:space="preserve"> vertinamoji </w:t>
      </w:r>
      <w:r>
        <w:t>baigtis bei bendras išgyven</w:t>
      </w:r>
      <w:r w:rsidR="00E8338F">
        <w:t>am</w:t>
      </w:r>
      <w:r>
        <w:t xml:space="preserve">umas – kita antrinė </w:t>
      </w:r>
      <w:r w:rsidR="005C6B63">
        <w:t xml:space="preserve">vertinamoji </w:t>
      </w:r>
      <w:r>
        <w:t xml:space="preserve">baigtis. Nepaisant pirminės </w:t>
      </w:r>
      <w:r w:rsidR="002E6257">
        <w:t xml:space="preserve">vertinamosios </w:t>
      </w:r>
      <w:r>
        <w:t>baigties (BAD) pranašumo zanubrutinibo grupėje, atkreipti</w:t>
      </w:r>
      <w:r w:rsidR="005C6B63">
        <w:t>nas</w:t>
      </w:r>
      <w:r>
        <w:t xml:space="preserve"> dėmes</w:t>
      </w:r>
      <w:r w:rsidR="005C6B63">
        <w:t>ys</w:t>
      </w:r>
      <w:r>
        <w:t xml:space="preserve">, kad </w:t>
      </w:r>
      <w:r w:rsidR="00260F90">
        <w:t xml:space="preserve">pagal pareiškėjo teikiamas skyrimo sąlygas  vaistinis preparatas yra </w:t>
      </w:r>
      <w:r>
        <w:t>skirta</w:t>
      </w:r>
      <w:r w:rsidR="00260F90">
        <w:t>s</w:t>
      </w:r>
      <w:r>
        <w:t xml:space="preserve"> pacientams, sergantiems atsinaujinusia /gydymui atsparia LLL, po bent vieno ankstesnio sisteminio gydymo. Todėl </w:t>
      </w:r>
      <w:r w:rsidR="002E6257">
        <w:t>BI</w:t>
      </w:r>
      <w:r>
        <w:t xml:space="preserve"> duomenys yra svarbi vertinamoji baigt</w:t>
      </w:r>
      <w:r w:rsidR="007B4635">
        <w:t xml:space="preserve">is ir reikalinga palyginamajam </w:t>
      </w:r>
      <w:r>
        <w:t xml:space="preserve">veiksmingumui įvertinti. </w:t>
      </w:r>
      <w:r w:rsidR="002E6257">
        <w:t>Vertinimo metu n</w:t>
      </w:r>
      <w:r>
        <w:t>ustatyta, kad lyginant su gydymu ibrutinibu, zanubrutinibu gydytų pacientų mirties rizikos santykis neparodė zanubrutinibo pranašumo (RS: 0,76; 95% PI: 0,54 – 1,08; p=0,1293). Abiejose pacientų grupėse BI mediana nebuvo pasiekta. BI duomenys yra nebrandūs (apie 20 proc.), stebėjimas tęsiamas.</w:t>
      </w:r>
    </w:p>
    <w:p w14:paraId="55794214" w14:textId="201A62C5" w:rsidR="000474B4" w:rsidRDefault="000474B4" w:rsidP="000474B4">
      <w:pPr>
        <w:widowControl w:val="0"/>
        <w:spacing w:line="319" w:lineRule="auto"/>
        <w:ind w:firstLine="720"/>
        <w:jc w:val="both"/>
      </w:pPr>
      <w:r>
        <w:t xml:space="preserve">Pacientų praneštų baigčių vertinimas parodė, kad pasiekus 13 ciklą abejose grupėse pacientų savijauta pagerėjo. Šiek tiek geresni rezultatai buvo užfiksuoti zanubrutinibo grupėje 7 ir 13 gydymo </w:t>
      </w:r>
      <w:r w:rsidR="00260F90">
        <w:t>c</w:t>
      </w:r>
      <w:r>
        <w:t>iklų vertinimo metu.</w:t>
      </w:r>
    </w:p>
    <w:p w14:paraId="27E8CD69" w14:textId="64C26A7B" w:rsidR="000474B4" w:rsidRDefault="000474B4" w:rsidP="000474B4">
      <w:pPr>
        <w:widowControl w:val="0"/>
        <w:spacing w:line="319" w:lineRule="auto"/>
        <w:ind w:firstLine="720"/>
        <w:jc w:val="both"/>
      </w:pPr>
      <w:r>
        <w:t xml:space="preserve">Vertinant saugumo profilį, vartojant zanubrutinibą rečiau </w:t>
      </w:r>
      <w:r w:rsidR="00260F90">
        <w:t xml:space="preserve">pasitaikė </w:t>
      </w:r>
      <w:r>
        <w:t>viduriavimas</w:t>
      </w:r>
      <w:r w:rsidR="00586D32">
        <w:t>,</w:t>
      </w:r>
      <w:r>
        <w:t xml:space="preserve"> hipertenzija, neutropenija ir viršutinių kvėpavimo takų infekcijos. Zanubrutinibo grupėje (21,3 %) buvo nustatytas mažesnis širdies sutrikimų dažnis nei ibrutinibo grupėje (29,6 %). Bet kokio laipsnio prieširdžių virpėjimo ar plazdėjimo (antrinė vertinamoji baigtis) dažnis zanubrutinibo grupėje buvo mažesnis nei ibrutinibo grupėje. Pacientų, patyrusių 3-io sunkumo laipsnio ir sunkesnes </w:t>
      </w:r>
      <w:r w:rsidR="002E6257">
        <w:t>nepageidaujamas reakcijas (</w:t>
      </w:r>
      <w:r>
        <w:t>NR</w:t>
      </w:r>
      <w:r w:rsidR="002E6257">
        <w:t>)</w:t>
      </w:r>
      <w:r>
        <w:t xml:space="preserve">, pavojingas NR, mirtį ar gydymo nutraukimą nulemiančias NR, su gydymu susijusias NR, </w:t>
      </w:r>
      <w:r w:rsidR="002E6257">
        <w:t xml:space="preserve">zanubrutinibo grupėje </w:t>
      </w:r>
      <w:r>
        <w:t xml:space="preserve"> buvo maž</w:t>
      </w:r>
      <w:r w:rsidR="002E6257">
        <w:t>iau</w:t>
      </w:r>
      <w:r>
        <w:t xml:space="preserve"> </w:t>
      </w:r>
      <w:r w:rsidR="007B4635">
        <w:t xml:space="preserve">nei ibrutinibo grupėje. </w:t>
      </w:r>
    </w:p>
    <w:p w14:paraId="291D0E50" w14:textId="77777777" w:rsidR="000474B4" w:rsidRDefault="000474B4" w:rsidP="000474B4">
      <w:pPr>
        <w:spacing w:line="319" w:lineRule="auto"/>
        <w:ind w:firstLine="720"/>
        <w:jc w:val="both"/>
      </w:pPr>
    </w:p>
    <w:p w14:paraId="5ABACC62" w14:textId="08E93A13" w:rsidR="000474B4" w:rsidRDefault="000474B4" w:rsidP="000474B4">
      <w:pPr>
        <w:spacing w:line="319" w:lineRule="auto"/>
        <w:jc w:val="both"/>
        <w:rPr>
          <w:i/>
          <w:color w:val="000000"/>
        </w:rPr>
      </w:pPr>
      <w:r>
        <w:rPr>
          <w:i/>
          <w:color w:val="000000"/>
        </w:rPr>
        <w:t>Netiesioginis palyginimas</w:t>
      </w:r>
    </w:p>
    <w:p w14:paraId="4B3FA3B8" w14:textId="609DC691" w:rsidR="000474B4" w:rsidRDefault="000474B4" w:rsidP="000474B4">
      <w:pPr>
        <w:spacing w:line="319" w:lineRule="auto"/>
        <w:ind w:firstLine="720"/>
        <w:jc w:val="both"/>
      </w:pPr>
      <w:r>
        <w:rPr>
          <w:color w:val="000000"/>
        </w:rPr>
        <w:t>Tyrėjų vertintas IBLP rizikos santykis (RS) buvo vertinamas remiantis abiejų tyrimų ITT populiacijų duomenimis bei atlikus koregavimo dėl pacientų populiacijų sutapatinimo. Remiantis nekoreguotais IBLP duomenimis, RS=0,73 (95% PI: 0</w:t>
      </w:r>
      <w:r w:rsidR="002E6257">
        <w:rPr>
          <w:color w:val="000000"/>
        </w:rPr>
        <w:t>,</w:t>
      </w:r>
      <w:r>
        <w:rPr>
          <w:color w:val="000000"/>
        </w:rPr>
        <w:t>36-1</w:t>
      </w:r>
      <w:r w:rsidR="002E6257">
        <w:rPr>
          <w:color w:val="000000"/>
        </w:rPr>
        <w:t>,</w:t>
      </w:r>
      <w:r>
        <w:rPr>
          <w:color w:val="000000"/>
        </w:rPr>
        <w:t>50; p=0</w:t>
      </w:r>
      <w:r w:rsidR="00802DF2">
        <w:rPr>
          <w:color w:val="000000"/>
        </w:rPr>
        <w:t>,</w:t>
      </w:r>
      <w:r>
        <w:rPr>
          <w:color w:val="000000"/>
        </w:rPr>
        <w:t>3992) statistiškai reikšmingo zanubrutinibo pranašumo nebuvo nustatyta. Atlikus sutapatinimo korekciją, RS buvo nuo 0,63 iki 0,67, bet statistiškai reikšmingumas nepasiektas. B</w:t>
      </w:r>
      <w:r w:rsidR="00363A9F">
        <w:rPr>
          <w:color w:val="000000"/>
        </w:rPr>
        <w:t>I</w:t>
      </w:r>
      <w:r>
        <w:rPr>
          <w:color w:val="000000"/>
        </w:rPr>
        <w:t xml:space="preserve"> duomenys ALPINE tyrime buvo nebrandūs dėl trumpo stebėjimo laikotarpio: stebėjimo mediana ALPINE tyrime yra beveik dvigubai mažesnė nei ELEVATE-RR tyrime. Dėl šios priežasties BI duomenų palyginimas yra negalutinis ir reikalingi ilgesnio stebėjimo duomenis.</w:t>
      </w:r>
      <w:r>
        <w:t xml:space="preserve"> </w:t>
      </w:r>
    </w:p>
    <w:p w14:paraId="637894B2" w14:textId="48C62D01" w:rsidR="000474B4" w:rsidRDefault="000474B4" w:rsidP="000474B4">
      <w:pPr>
        <w:spacing w:line="319" w:lineRule="auto"/>
        <w:ind w:firstLine="720"/>
        <w:jc w:val="both"/>
      </w:pPr>
      <w:r>
        <w:lastRenderedPageBreak/>
        <w:t xml:space="preserve">Netiesioginiame palyginime </w:t>
      </w:r>
      <w:r w:rsidR="00363A9F">
        <w:t xml:space="preserve">zanubrutinibu ir akalabrutinibu gydytiems pacientams </w:t>
      </w:r>
      <w:r>
        <w:t>statistiškai reikšming</w:t>
      </w:r>
      <w:r w:rsidR="00363A9F">
        <w:t>o</w:t>
      </w:r>
      <w:r>
        <w:t xml:space="preserve"> IBLP</w:t>
      </w:r>
      <w:r w:rsidR="005F1856">
        <w:t xml:space="preserve"> </w:t>
      </w:r>
      <w:r>
        <w:t>skirtum</w:t>
      </w:r>
      <w:r w:rsidR="005F1856">
        <w:t xml:space="preserve">o </w:t>
      </w:r>
      <w:r>
        <w:t>nebuvo. BI duomenys neįvertinti dėl trumpo stebėjimo laikotarpio, gydant pacientus zanubrutinibu.</w:t>
      </w:r>
      <w:r w:rsidRPr="00D01510">
        <w:t xml:space="preserve"> </w:t>
      </w:r>
      <w:r w:rsidR="00790B85">
        <w:t>Netiesioginių z</w:t>
      </w:r>
      <w:r>
        <w:t>anubrutinibo</w:t>
      </w:r>
      <w:r w:rsidR="005F1856">
        <w:t xml:space="preserve"> </w:t>
      </w:r>
      <w:r w:rsidR="00790B85">
        <w:t>ir</w:t>
      </w:r>
      <w:r>
        <w:t xml:space="preserve"> akalabrutinib</w:t>
      </w:r>
      <w:r w:rsidR="005F1856">
        <w:t>o</w:t>
      </w:r>
      <w:r>
        <w:t xml:space="preserve"> </w:t>
      </w:r>
      <w:r w:rsidR="00790B85">
        <w:t xml:space="preserve">palyginamojo saugumo duomenų nebuvo pateikta. </w:t>
      </w:r>
    </w:p>
    <w:p w14:paraId="63F38A24" w14:textId="4914DF55" w:rsidR="000474B4" w:rsidRPr="005F1856" w:rsidRDefault="000474B4" w:rsidP="005F1856">
      <w:pPr>
        <w:tabs>
          <w:tab w:val="left" w:pos="426"/>
        </w:tabs>
        <w:spacing w:line="319" w:lineRule="auto"/>
        <w:jc w:val="both"/>
        <w:rPr>
          <w:i/>
        </w:rPr>
      </w:pPr>
      <w:r>
        <w:rPr>
          <w:color w:val="00B050"/>
        </w:rPr>
        <w:tab/>
      </w:r>
      <w:r w:rsidRPr="00846D0C">
        <w:t xml:space="preserve">Apibendrinant paraiškoje pateiktus tiesioginio ir netiesioginio palyginimo klinikinius duomenys bei atnaujintos IBLP ir BI analizės rezultatus, zanubrutunibo palyginamasis efektyvumas ir </w:t>
      </w:r>
      <w:r w:rsidR="00790B85">
        <w:t xml:space="preserve">klinikinis </w:t>
      </w:r>
      <w:r w:rsidRPr="00846D0C">
        <w:t xml:space="preserve">veiksmingumas laikomas nesiskiriančiu nuo ibrutinibo. </w:t>
      </w:r>
    </w:p>
    <w:p w14:paraId="6C3F443D" w14:textId="77777777" w:rsidR="00BB72F9" w:rsidRPr="00E33EFF" w:rsidRDefault="00BB72F9" w:rsidP="00BB72F9">
      <w:pPr>
        <w:pStyle w:val="Sraopastraipa"/>
        <w:tabs>
          <w:tab w:val="left" w:pos="426"/>
        </w:tabs>
        <w:ind w:left="0"/>
        <w:jc w:val="both"/>
        <w:rPr>
          <w:b/>
          <w:bCs/>
          <w:caps/>
        </w:rPr>
      </w:pPr>
    </w:p>
    <w:p w14:paraId="7DE09EB5" w14:textId="4F70B680" w:rsidR="00E03C3F" w:rsidRDefault="00CC7832" w:rsidP="00BB72F9">
      <w:pPr>
        <w:pStyle w:val="Sraopastraipa"/>
        <w:numPr>
          <w:ilvl w:val="0"/>
          <w:numId w:val="12"/>
        </w:numPr>
        <w:tabs>
          <w:tab w:val="left" w:pos="567"/>
        </w:tabs>
        <w:ind w:hanging="720"/>
        <w:jc w:val="both"/>
        <w:rPr>
          <w:b/>
          <w:bCs/>
          <w:caps/>
        </w:rPr>
      </w:pPr>
      <w:r w:rsidRPr="00E33EFF">
        <w:rPr>
          <w:b/>
          <w:bCs/>
          <w:caps/>
        </w:rPr>
        <w:t xml:space="preserve">ekonominio vertinimo </w:t>
      </w:r>
      <w:r w:rsidR="002F0E4F" w:rsidRPr="00E33EFF">
        <w:rPr>
          <w:b/>
          <w:bCs/>
          <w:caps/>
        </w:rPr>
        <w:t>apibendrinimas</w:t>
      </w:r>
    </w:p>
    <w:p w14:paraId="32162B10" w14:textId="48859546" w:rsidR="000474B4" w:rsidRDefault="000474B4" w:rsidP="000474B4">
      <w:pPr>
        <w:tabs>
          <w:tab w:val="left" w:pos="567"/>
        </w:tabs>
        <w:jc w:val="both"/>
        <w:rPr>
          <w:b/>
          <w:bCs/>
          <w:caps/>
        </w:rPr>
      </w:pPr>
    </w:p>
    <w:p w14:paraId="6C578296" w14:textId="77777777" w:rsidR="008A2AB7" w:rsidRDefault="000474B4" w:rsidP="000474B4">
      <w:pPr>
        <w:shd w:val="clear" w:color="auto" w:fill="FFFFFF"/>
        <w:spacing w:line="276" w:lineRule="auto"/>
        <w:jc w:val="both"/>
      </w:pPr>
      <w:r>
        <w:t xml:space="preserve">Pateikta kaštų mažinimo analizė, lyginant zanubrutinibo ir ibrutinibo kaštus. Dėl analizės paprastumo, Tarnyba </w:t>
      </w:r>
      <w:r w:rsidR="00E66E20">
        <w:t>mano, jog atlikti pilną STV yra netikslinga ir</w:t>
      </w:r>
      <w:r>
        <w:t xml:space="preserve"> sprendimą </w:t>
      </w:r>
      <w:r w:rsidR="00E66E20">
        <w:t xml:space="preserve">dėl vaisto kompensavimo </w:t>
      </w:r>
      <w:r>
        <w:t xml:space="preserve">priimti </w:t>
      </w:r>
      <w:r w:rsidR="00E66E20">
        <w:t xml:space="preserve">galima </w:t>
      </w:r>
      <w:r>
        <w:t xml:space="preserve">pagal VLK atliekamo įtakos PSDF biudžetui vertinimo rezultatus. Vis dėlto, Tarnyba </w:t>
      </w:r>
      <w:r w:rsidR="008A2AB7">
        <w:t xml:space="preserve">atlieka ekonominę analizė ir </w:t>
      </w:r>
      <w:r>
        <w:t xml:space="preserve">pateikia ekonominės analizės rezultatą. </w:t>
      </w:r>
    </w:p>
    <w:p w14:paraId="5C26D01F" w14:textId="77777777" w:rsidR="008A2AB7" w:rsidRDefault="008A2AB7" w:rsidP="000474B4">
      <w:pPr>
        <w:shd w:val="clear" w:color="auto" w:fill="FFFFFF"/>
        <w:spacing w:line="276" w:lineRule="auto"/>
        <w:jc w:val="both"/>
      </w:pPr>
    </w:p>
    <w:p w14:paraId="6EEF5706" w14:textId="599DC064" w:rsidR="000474B4" w:rsidRDefault="000474B4" w:rsidP="000474B4">
      <w:pPr>
        <w:shd w:val="clear" w:color="auto" w:fill="FFFFFF"/>
        <w:spacing w:line="276" w:lineRule="auto"/>
        <w:jc w:val="both"/>
      </w:pPr>
      <w:r>
        <w:t xml:space="preserve">Pritaikius </w:t>
      </w:r>
      <w:r w:rsidR="00C922BB">
        <w:t>***</w:t>
      </w:r>
    </w:p>
    <w:p w14:paraId="6EEA843A" w14:textId="3AE0253E" w:rsidR="000474B4" w:rsidRDefault="000474B4" w:rsidP="000474B4">
      <w:pPr>
        <w:shd w:val="clear" w:color="auto" w:fill="FFFFFF"/>
        <w:spacing w:line="276" w:lineRule="auto"/>
        <w:jc w:val="both"/>
      </w:pPr>
    </w:p>
    <w:tbl>
      <w:tblPr>
        <w:tblStyle w:val="3"/>
        <w:tblW w:w="990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669"/>
        <w:gridCol w:w="1697"/>
        <w:gridCol w:w="2006"/>
        <w:gridCol w:w="3536"/>
      </w:tblGrid>
      <w:tr w:rsidR="00B76DCB" w14:paraId="1EB3B16C" w14:textId="77777777" w:rsidTr="006E3E0B">
        <w:trPr>
          <w:trHeight w:val="364"/>
          <w:jc w:val="center"/>
        </w:trPr>
        <w:tc>
          <w:tcPr>
            <w:tcW w:w="9908" w:type="dxa"/>
            <w:gridSpan w:val="4"/>
            <w:tcBorders>
              <w:top w:val="single" w:sz="12" w:space="0" w:color="000000"/>
              <w:bottom w:val="single" w:sz="4" w:space="0" w:color="000000"/>
            </w:tcBorders>
            <w:vAlign w:val="center"/>
          </w:tcPr>
          <w:p w14:paraId="74CE0571" w14:textId="77777777" w:rsidR="00B76DCB" w:rsidRDefault="00B76DCB" w:rsidP="006E3E0B">
            <w:pPr>
              <w:tabs>
                <w:tab w:val="left" w:pos="567"/>
              </w:tabs>
              <w:spacing w:line="276" w:lineRule="auto"/>
              <w:jc w:val="center"/>
              <w:rPr>
                <w:b/>
                <w:i/>
                <w:color w:val="00B050"/>
                <w:sz w:val="22"/>
                <w:szCs w:val="22"/>
              </w:rPr>
            </w:pPr>
            <w:r>
              <w:rPr>
                <w:b/>
              </w:rPr>
              <w:t>Kaštai</w:t>
            </w:r>
          </w:p>
        </w:tc>
      </w:tr>
      <w:tr w:rsidR="00B76DCB" w14:paraId="487A07C5" w14:textId="77777777" w:rsidTr="006E3E0B">
        <w:trPr>
          <w:jc w:val="center"/>
        </w:trPr>
        <w:tc>
          <w:tcPr>
            <w:tcW w:w="2669" w:type="dxa"/>
            <w:tcBorders>
              <w:top w:val="single" w:sz="4" w:space="0" w:color="000000"/>
              <w:bottom w:val="single" w:sz="4" w:space="0" w:color="000000"/>
            </w:tcBorders>
          </w:tcPr>
          <w:p w14:paraId="6EAA3FE4" w14:textId="77777777" w:rsidR="00B76DCB" w:rsidRDefault="00B76DCB" w:rsidP="006E3E0B">
            <w:pPr>
              <w:tabs>
                <w:tab w:val="left" w:pos="567"/>
              </w:tabs>
              <w:spacing w:line="276" w:lineRule="auto"/>
              <w:jc w:val="both"/>
              <w:rPr>
                <w:color w:val="00B050"/>
              </w:rPr>
            </w:pPr>
          </w:p>
        </w:tc>
        <w:tc>
          <w:tcPr>
            <w:tcW w:w="1697" w:type="dxa"/>
            <w:tcBorders>
              <w:top w:val="single" w:sz="4" w:space="0" w:color="000000"/>
              <w:bottom w:val="single" w:sz="4" w:space="0" w:color="000000"/>
            </w:tcBorders>
          </w:tcPr>
          <w:p w14:paraId="14620EDC" w14:textId="77777777" w:rsidR="00B76DCB" w:rsidRDefault="00B76DCB" w:rsidP="006E3E0B">
            <w:pPr>
              <w:tabs>
                <w:tab w:val="left" w:pos="567"/>
              </w:tabs>
              <w:spacing w:line="276" w:lineRule="auto"/>
              <w:jc w:val="both"/>
              <w:rPr>
                <w:i/>
              </w:rPr>
            </w:pPr>
            <w:r>
              <w:rPr>
                <w:i/>
              </w:rPr>
              <w:t>Zanubrutinibas</w:t>
            </w:r>
          </w:p>
        </w:tc>
        <w:tc>
          <w:tcPr>
            <w:tcW w:w="2006" w:type="dxa"/>
            <w:tcBorders>
              <w:top w:val="single" w:sz="4" w:space="0" w:color="000000"/>
              <w:bottom w:val="single" w:sz="4" w:space="0" w:color="000000"/>
            </w:tcBorders>
          </w:tcPr>
          <w:p w14:paraId="10E0B94F" w14:textId="77777777" w:rsidR="00B76DCB" w:rsidRDefault="00B76DCB" w:rsidP="006E3E0B">
            <w:pPr>
              <w:tabs>
                <w:tab w:val="left" w:pos="567"/>
              </w:tabs>
              <w:spacing w:line="276" w:lineRule="auto"/>
              <w:jc w:val="both"/>
              <w:rPr>
                <w:i/>
              </w:rPr>
            </w:pPr>
            <w:r>
              <w:rPr>
                <w:i/>
              </w:rPr>
              <w:t>Ibrutinibas</w:t>
            </w:r>
          </w:p>
        </w:tc>
        <w:tc>
          <w:tcPr>
            <w:tcW w:w="3536" w:type="dxa"/>
            <w:tcBorders>
              <w:top w:val="single" w:sz="4" w:space="0" w:color="000000"/>
              <w:bottom w:val="single" w:sz="4" w:space="0" w:color="000000"/>
            </w:tcBorders>
          </w:tcPr>
          <w:p w14:paraId="1831C5B2" w14:textId="77777777" w:rsidR="00B76DCB" w:rsidRDefault="00B76DCB" w:rsidP="006E3E0B">
            <w:pPr>
              <w:tabs>
                <w:tab w:val="left" w:pos="567"/>
              </w:tabs>
              <w:spacing w:line="276" w:lineRule="auto"/>
              <w:jc w:val="both"/>
              <w:rPr>
                <w:i/>
              </w:rPr>
            </w:pPr>
            <w:r>
              <w:rPr>
                <w:i/>
              </w:rPr>
              <w:t>Skirtumas</w:t>
            </w:r>
          </w:p>
        </w:tc>
      </w:tr>
      <w:tr w:rsidR="00B76DCB" w14:paraId="767750D1" w14:textId="77777777" w:rsidTr="006E3E0B">
        <w:trPr>
          <w:jc w:val="center"/>
        </w:trPr>
        <w:tc>
          <w:tcPr>
            <w:tcW w:w="2669" w:type="dxa"/>
            <w:tcBorders>
              <w:top w:val="single" w:sz="4" w:space="0" w:color="000000"/>
              <w:bottom w:val="single" w:sz="4" w:space="0" w:color="000000"/>
            </w:tcBorders>
          </w:tcPr>
          <w:p w14:paraId="0C88DCB2" w14:textId="77777777" w:rsidR="00B76DCB" w:rsidRDefault="00B76DCB" w:rsidP="006E3E0B">
            <w:pPr>
              <w:tabs>
                <w:tab w:val="left" w:pos="567"/>
              </w:tabs>
              <w:spacing w:line="276" w:lineRule="auto"/>
              <w:rPr>
                <w:color w:val="000000"/>
              </w:rPr>
            </w:pPr>
            <w:r>
              <w:rPr>
                <w:color w:val="000000"/>
              </w:rPr>
              <w:t>Vaistinių preparatų įsigijimo kaštai</w:t>
            </w:r>
          </w:p>
        </w:tc>
        <w:tc>
          <w:tcPr>
            <w:tcW w:w="1697" w:type="dxa"/>
            <w:tcBorders>
              <w:top w:val="single" w:sz="4" w:space="0" w:color="000000"/>
              <w:bottom w:val="single" w:sz="4" w:space="0" w:color="000000"/>
            </w:tcBorders>
          </w:tcPr>
          <w:p w14:paraId="7987611E" w14:textId="2B4AEFDC" w:rsidR="00B76DCB" w:rsidRDefault="00C922BB" w:rsidP="006E3E0B">
            <w:pPr>
              <w:tabs>
                <w:tab w:val="left" w:pos="567"/>
              </w:tabs>
              <w:spacing w:line="276" w:lineRule="auto"/>
              <w:jc w:val="both"/>
              <w:rPr>
                <w:i/>
              </w:rPr>
            </w:pPr>
            <w:r>
              <w:rPr>
                <w:i/>
              </w:rPr>
              <w:t>***</w:t>
            </w:r>
          </w:p>
        </w:tc>
        <w:tc>
          <w:tcPr>
            <w:tcW w:w="2006" w:type="dxa"/>
            <w:tcBorders>
              <w:top w:val="single" w:sz="4" w:space="0" w:color="000000"/>
              <w:bottom w:val="single" w:sz="4" w:space="0" w:color="000000"/>
            </w:tcBorders>
          </w:tcPr>
          <w:p w14:paraId="708752DF" w14:textId="77777777" w:rsidR="008A2AB7" w:rsidRDefault="008A2AB7" w:rsidP="008A2AB7">
            <w:pPr>
              <w:tabs>
                <w:tab w:val="left" w:pos="567"/>
              </w:tabs>
              <w:spacing w:line="276" w:lineRule="auto"/>
              <w:jc w:val="both"/>
              <w:rPr>
                <w:color w:val="000000"/>
              </w:rPr>
            </w:pPr>
            <w:r>
              <w:rPr>
                <w:color w:val="000000"/>
              </w:rPr>
              <w:t>*****</w:t>
            </w:r>
          </w:p>
          <w:p w14:paraId="59A5AE8A" w14:textId="3CED23E8" w:rsidR="00B76DCB" w:rsidRDefault="00B76DCB" w:rsidP="006E3E0B">
            <w:pPr>
              <w:tabs>
                <w:tab w:val="left" w:pos="567"/>
              </w:tabs>
              <w:spacing w:line="276" w:lineRule="auto"/>
              <w:jc w:val="both"/>
              <w:rPr>
                <w:i/>
              </w:rPr>
            </w:pPr>
          </w:p>
        </w:tc>
        <w:tc>
          <w:tcPr>
            <w:tcW w:w="3536" w:type="dxa"/>
            <w:tcBorders>
              <w:top w:val="single" w:sz="4" w:space="0" w:color="000000"/>
              <w:bottom w:val="single" w:sz="4" w:space="0" w:color="000000"/>
            </w:tcBorders>
          </w:tcPr>
          <w:p w14:paraId="21758942" w14:textId="77777777" w:rsidR="008A2AB7" w:rsidRDefault="008A2AB7" w:rsidP="008A2AB7">
            <w:pPr>
              <w:tabs>
                <w:tab w:val="left" w:pos="567"/>
              </w:tabs>
              <w:spacing w:line="276" w:lineRule="auto"/>
              <w:jc w:val="both"/>
              <w:rPr>
                <w:color w:val="000000"/>
              </w:rPr>
            </w:pPr>
            <w:r>
              <w:rPr>
                <w:color w:val="000000"/>
              </w:rPr>
              <w:t>*****</w:t>
            </w:r>
          </w:p>
          <w:p w14:paraId="4425BAAD" w14:textId="3B254FDC" w:rsidR="00B76DCB" w:rsidRDefault="00B76DCB" w:rsidP="006E3E0B">
            <w:pPr>
              <w:tabs>
                <w:tab w:val="left" w:pos="567"/>
              </w:tabs>
              <w:spacing w:line="276" w:lineRule="auto"/>
              <w:jc w:val="both"/>
            </w:pPr>
          </w:p>
        </w:tc>
      </w:tr>
      <w:tr w:rsidR="00B76DCB" w14:paraId="5671B09E" w14:textId="77777777" w:rsidTr="006E3E0B">
        <w:trPr>
          <w:trHeight w:val="347"/>
          <w:jc w:val="center"/>
        </w:trPr>
        <w:tc>
          <w:tcPr>
            <w:tcW w:w="9908" w:type="dxa"/>
            <w:gridSpan w:val="4"/>
            <w:tcBorders>
              <w:top w:val="single" w:sz="12" w:space="0" w:color="000000"/>
            </w:tcBorders>
            <w:vAlign w:val="center"/>
          </w:tcPr>
          <w:p w14:paraId="5A645730" w14:textId="77777777" w:rsidR="00B76DCB" w:rsidRDefault="00B76DCB" w:rsidP="006E3E0B">
            <w:pPr>
              <w:tabs>
                <w:tab w:val="left" w:pos="567"/>
              </w:tabs>
              <w:spacing w:line="276" w:lineRule="auto"/>
              <w:jc w:val="center"/>
              <w:rPr>
                <w:b/>
                <w:sz w:val="26"/>
                <w:szCs w:val="26"/>
              </w:rPr>
            </w:pPr>
            <w:r>
              <w:rPr>
                <w:b/>
                <w:sz w:val="26"/>
                <w:szCs w:val="26"/>
              </w:rPr>
              <w:t>Rezultatai</w:t>
            </w:r>
          </w:p>
        </w:tc>
      </w:tr>
      <w:tr w:rsidR="00B76DCB" w14:paraId="77F52EF7" w14:textId="77777777" w:rsidTr="006E3E0B">
        <w:trPr>
          <w:jc w:val="center"/>
        </w:trPr>
        <w:tc>
          <w:tcPr>
            <w:tcW w:w="6372" w:type="dxa"/>
            <w:gridSpan w:val="3"/>
          </w:tcPr>
          <w:p w14:paraId="6291719E" w14:textId="77777777" w:rsidR="00B76DCB" w:rsidRDefault="00B76DCB" w:rsidP="006E3E0B">
            <w:pPr>
              <w:tabs>
                <w:tab w:val="left" w:pos="567"/>
              </w:tabs>
              <w:spacing w:line="276" w:lineRule="auto"/>
              <w:jc w:val="right"/>
            </w:pPr>
            <w:r>
              <w:t>Kaštų skirtumas</w:t>
            </w:r>
          </w:p>
        </w:tc>
        <w:tc>
          <w:tcPr>
            <w:tcW w:w="3536" w:type="dxa"/>
          </w:tcPr>
          <w:p w14:paraId="00C09A89" w14:textId="2DD32887" w:rsidR="00B76DCB" w:rsidRPr="008A2AB7" w:rsidRDefault="008A2AB7" w:rsidP="006E3E0B">
            <w:pPr>
              <w:tabs>
                <w:tab w:val="left" w:pos="567"/>
              </w:tabs>
              <w:spacing w:line="276" w:lineRule="auto"/>
              <w:jc w:val="both"/>
              <w:rPr>
                <w:color w:val="000000"/>
              </w:rPr>
            </w:pPr>
            <w:r>
              <w:rPr>
                <w:color w:val="000000"/>
              </w:rPr>
              <w:t>*****</w:t>
            </w:r>
            <w:r w:rsidR="00B76DCB">
              <w:rPr>
                <w:i/>
              </w:rPr>
              <w:t xml:space="preserve">eur </w:t>
            </w:r>
          </w:p>
        </w:tc>
      </w:tr>
    </w:tbl>
    <w:p w14:paraId="44018EFE" w14:textId="77777777" w:rsidR="00B76DCB" w:rsidRDefault="00B76DCB" w:rsidP="000474B4">
      <w:pPr>
        <w:shd w:val="clear" w:color="auto" w:fill="FFFFFF"/>
        <w:spacing w:line="276" w:lineRule="auto"/>
        <w:jc w:val="both"/>
      </w:pPr>
    </w:p>
    <w:p w14:paraId="1A900598" w14:textId="1A4DD94C" w:rsidR="00C62B36" w:rsidRPr="000474B4" w:rsidRDefault="000474B4" w:rsidP="000474B4">
      <w:pPr>
        <w:shd w:val="clear" w:color="auto" w:fill="FFFFFF"/>
        <w:spacing w:line="276" w:lineRule="auto"/>
        <w:jc w:val="both"/>
      </w:pPr>
      <w:bookmarkStart w:id="1" w:name="_heading=h.gjdgxs" w:colFirst="0" w:colLast="0"/>
      <w:bookmarkEnd w:id="1"/>
      <w:r>
        <w:t>Reikalinga</w:t>
      </w:r>
      <w:r w:rsidR="00C922BB">
        <w:rPr>
          <w:u w:val="single"/>
        </w:rPr>
        <w:t xml:space="preserve"> ***, </w:t>
      </w:r>
      <w:r w:rsidR="005D79DF">
        <w:t>kad gydymo</w:t>
      </w:r>
      <w:r w:rsidR="00C922BB">
        <w:t>***</w:t>
      </w:r>
      <w:r>
        <w:t xml:space="preserve">. </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5547735"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BB72F9">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9A62B3" w:rsidRDefault="00C62B36" w:rsidP="00CC09D4">
      <w:pPr>
        <w:pStyle w:val="Sraopastraipa"/>
        <w:numPr>
          <w:ilvl w:val="0"/>
          <w:numId w:val="12"/>
        </w:numPr>
        <w:tabs>
          <w:tab w:val="left" w:pos="567"/>
        </w:tabs>
        <w:ind w:hanging="720"/>
        <w:rPr>
          <w:b/>
          <w:bCs/>
          <w:caps/>
        </w:rPr>
      </w:pPr>
      <w:r w:rsidRPr="009A62B3">
        <w:rPr>
          <w:b/>
          <w:bCs/>
          <w:caps/>
        </w:rPr>
        <w:t>Gydytojų organizacijų pateikti duomenys</w:t>
      </w:r>
    </w:p>
    <w:p w14:paraId="389A346C" w14:textId="0AD507BA" w:rsidR="00937907" w:rsidRPr="009A62B3"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0474B4">
            <w:rPr>
              <w:rStyle w:val="Style2"/>
              <w:rFonts w:ascii="MS Gothic" w:eastAsia="MS Gothic" w:hAnsi="MS Gothic" w:hint="eastAsia"/>
              <w:sz w:val="24"/>
            </w:rPr>
            <w:t>☒</w:t>
          </w:r>
        </w:sdtContent>
      </w:sdt>
      <w:r w:rsidR="00662983" w:rsidRPr="009A62B3">
        <w:t xml:space="preserve"> </w:t>
      </w:r>
      <w:r w:rsidR="00937907" w:rsidRPr="009A62B3">
        <w:t xml:space="preserve">Gydytojų specialistų organizacijos pozicija pateikta. </w:t>
      </w:r>
      <w:r w:rsidR="00662983" w:rsidRPr="009A62B3">
        <w:t>Žr. priedą</w:t>
      </w:r>
      <w:r w:rsidR="00937907" w:rsidRPr="009A62B3">
        <w:t>.</w:t>
      </w:r>
    </w:p>
    <w:p w14:paraId="5D8CC48C" w14:textId="29C7FF77"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0474B4">
            <w:rPr>
              <w:rStyle w:val="Style2"/>
              <w:rFonts w:ascii="MS Gothic" w:eastAsia="MS Gothic" w:hAnsi="MS Gothic" w:hint="eastAsia"/>
              <w:sz w:val="24"/>
            </w:rPr>
            <w:t>☐</w:t>
          </w:r>
        </w:sdtContent>
      </w:sdt>
      <w:r w:rsidR="00662983" w:rsidRPr="009A62B3">
        <w:t xml:space="preserve"> </w:t>
      </w:r>
      <w:r w:rsidR="00937907" w:rsidRPr="009A62B3">
        <w:t xml:space="preserve">Gydytojų specialistų organizacijos pozicija </w:t>
      </w:r>
      <w:r w:rsidR="00880A44" w:rsidRPr="009A62B3">
        <w:t>ne</w:t>
      </w:r>
      <w:r w:rsidR="00937907" w:rsidRPr="009A62B3">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08D5B3B6" w14:textId="0901279C"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22B34F02"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0474B4">
                  <w:rPr>
                    <w:rStyle w:val="Style2"/>
                    <w:rFonts w:ascii="MS Gothic" w:eastAsia="MS Gothic" w:hAnsi="MS Gothic" w:hint="eastAsia"/>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6797ED6F"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0474B4">
                  <w:rPr>
                    <w:rStyle w:val="Style2"/>
                    <w:rFonts w:ascii="MS Gothic" w:eastAsia="MS Gothic" w:hAnsi="MS Gothic" w:hint="eastAsia"/>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Klinikinis veiksmingumas</w:t>
            </w:r>
          </w:p>
        </w:tc>
      </w:tr>
      <w:tr w:rsidR="00B13D65" w:rsidRPr="00E33EFF" w14:paraId="3C60570A" w14:textId="77777777" w:rsidTr="0061611B">
        <w:tc>
          <w:tcPr>
            <w:tcW w:w="4815" w:type="dxa"/>
          </w:tcPr>
          <w:p w14:paraId="6897B306" w14:textId="2D1F0C9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8C1E54">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BF7D94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8C1E54">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1B6502FD"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776769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824BF7">
                  <w:rPr>
                    <w:rStyle w:val="Style2"/>
                    <w:rFonts w:ascii="MS Gothic" w:eastAsia="MS Gothic" w:hAnsi="MS Gothic" w:hint="eastAsia"/>
                    <w:sz w:val="24"/>
                  </w:rPr>
                  <w:t>☐</w:t>
                </w:r>
              </w:sdtContent>
            </w:sdt>
            <w:r w:rsidR="00B13D65" w:rsidRPr="00E33EFF">
              <w:t xml:space="preserve"> 32.3. gydymo juo kaštai yra mažesni ar tokie patys esant iš esmės nesiskiriančiam palyginamajam efektyvumui, </w:t>
            </w:r>
            <w:r w:rsidR="00B00959" w:rsidRPr="00E33EFF">
              <w:t>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5B3EBB8E"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Content>
                <w:r w:rsidR="000474B4">
                  <w:rPr>
                    <w:rStyle w:val="Style2"/>
                    <w:rFonts w:ascii="MS Gothic" w:eastAsia="MS Gothic" w:hAnsi="MS Gothic" w:hint="eastAsia"/>
                    <w:sz w:val="24"/>
                  </w:rPr>
                  <w:t>☒</w:t>
                </w:r>
              </w:sdtContent>
            </w:sdt>
            <w:r w:rsidR="00B13D65" w:rsidRPr="00E33EFF">
              <w:t xml:space="preserve"> 33.3. gydymo juo kaštai yra didesni esant iš esmės nesiskiriančiam palyginamajam efektyvumui, </w:t>
            </w:r>
            <w:r w:rsidR="00B00959" w:rsidRPr="00E33EFF">
              <w:t>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6BB79DAD" w14:textId="0CD22B26" w:rsidR="000474B4" w:rsidRDefault="000474B4" w:rsidP="000474B4">
      <w:pPr>
        <w:spacing w:line="276" w:lineRule="auto"/>
        <w:rPr>
          <w:b/>
        </w:rPr>
      </w:pPr>
    </w:p>
    <w:p w14:paraId="7E28ECFB" w14:textId="393175DA" w:rsidR="000474B4" w:rsidRDefault="000474B4" w:rsidP="000474B4">
      <w:pPr>
        <w:spacing w:line="276" w:lineRule="auto"/>
        <w:jc w:val="both"/>
        <w:rPr>
          <w:i/>
        </w:rPr>
      </w:pPr>
      <w:r w:rsidRPr="00B76DCB">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34.4. rekomenduojama </w:t>
      </w:r>
      <w:r w:rsidRPr="00B76DCB">
        <w:rPr>
          <w:i/>
        </w:rPr>
        <w:t xml:space="preserve">nekompensuoti </w:t>
      </w:r>
      <w:r w:rsidRPr="00B76DCB">
        <w:t>vaistinio prepa</w:t>
      </w:r>
      <w:r w:rsidR="00B76DCB" w:rsidRPr="00B76DCB">
        <w:t xml:space="preserve">rato pagal paraiškoje nurodytą </w:t>
      </w:r>
      <w:r w:rsidRPr="00B76DCB">
        <w:t>indikaciją</w:t>
      </w:r>
      <w:r w:rsidR="00B76DCB" w:rsidRPr="00B76DCB">
        <w:t xml:space="preserve"> </w:t>
      </w:r>
      <w:r w:rsidRPr="00B76DCB">
        <w:t xml:space="preserve">su skyrimo sąlygomis, taikant PGS dėl vertinimo išvadų, nurodytų 33.3 </w:t>
      </w:r>
      <w:r w:rsidR="00B76DCB" w:rsidRPr="00B76DCB">
        <w:t>papunktyje</w:t>
      </w:r>
      <w:r w:rsidRPr="00B76DCB">
        <w:t>, neatitikties 34.3 papunktyje išdėstytoms sąlygoms.</w:t>
      </w:r>
      <w:r>
        <w:t xml:space="preserve"> </w:t>
      </w:r>
    </w:p>
    <w:p w14:paraId="06BC01EE" w14:textId="74496242" w:rsidR="000723FF" w:rsidRPr="00BB72F9" w:rsidRDefault="000723FF" w:rsidP="00381024">
      <w:pPr>
        <w:rPr>
          <w:rFonts w:eastAsia="Arial"/>
        </w:rPr>
      </w:pPr>
    </w:p>
    <w:p w14:paraId="1594D5C7" w14:textId="46198B6D" w:rsidR="00523465" w:rsidRPr="000474B4" w:rsidRDefault="00523465" w:rsidP="00523465">
      <w:pPr>
        <w:pStyle w:val="Betarp"/>
        <w:spacing w:line="360" w:lineRule="auto"/>
        <w:rPr>
          <w:rFonts w:ascii="Times New Roman" w:hAnsi="Times New Roman"/>
          <w:sz w:val="24"/>
          <w:szCs w:val="24"/>
        </w:rPr>
      </w:pPr>
    </w:p>
    <w:sectPr w:rsidR="00523465" w:rsidRPr="000474B4" w:rsidSect="001D4C55">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7140" w14:textId="77777777" w:rsidR="001D4C55" w:rsidRDefault="001D4C55">
      <w:r>
        <w:separator/>
      </w:r>
    </w:p>
  </w:endnote>
  <w:endnote w:type="continuationSeparator" w:id="0">
    <w:p w14:paraId="066BF56A" w14:textId="77777777" w:rsidR="001D4C55" w:rsidRDefault="001D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F633" w14:textId="77777777" w:rsidR="001D4C55" w:rsidRDefault="001D4C55">
      <w:r>
        <w:separator/>
      </w:r>
    </w:p>
  </w:footnote>
  <w:footnote w:type="continuationSeparator" w:id="0">
    <w:p w14:paraId="4AD381DC" w14:textId="77777777" w:rsidR="001D4C55" w:rsidRDefault="001D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07FD1CEC"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D4ECB">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915085"/>
    <w:multiLevelType w:val="hybridMultilevel"/>
    <w:tmpl w:val="A636D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08228A2"/>
    <w:multiLevelType w:val="multilevel"/>
    <w:tmpl w:val="2E224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8A4E1B"/>
    <w:multiLevelType w:val="hybridMultilevel"/>
    <w:tmpl w:val="65280FA4"/>
    <w:lvl w:ilvl="0" w:tplc="0D9A428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807E52"/>
    <w:multiLevelType w:val="multilevel"/>
    <w:tmpl w:val="CDACD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7009413">
    <w:abstractNumId w:val="9"/>
  </w:num>
  <w:num w:numId="2" w16cid:durableId="427045857">
    <w:abstractNumId w:val="1"/>
  </w:num>
  <w:num w:numId="3" w16cid:durableId="1269003632">
    <w:abstractNumId w:val="11"/>
  </w:num>
  <w:num w:numId="4" w16cid:durableId="1205486452">
    <w:abstractNumId w:val="10"/>
  </w:num>
  <w:num w:numId="5" w16cid:durableId="568855320">
    <w:abstractNumId w:val="8"/>
  </w:num>
  <w:num w:numId="6" w16cid:durableId="2120098604">
    <w:abstractNumId w:val="7"/>
  </w:num>
  <w:num w:numId="7" w16cid:durableId="1706058881">
    <w:abstractNumId w:val="4"/>
  </w:num>
  <w:num w:numId="8" w16cid:durableId="1705255504">
    <w:abstractNumId w:val="15"/>
  </w:num>
  <w:num w:numId="9" w16cid:durableId="1827547545">
    <w:abstractNumId w:val="0"/>
  </w:num>
  <w:num w:numId="10" w16cid:durableId="1183056785">
    <w:abstractNumId w:val="12"/>
  </w:num>
  <w:num w:numId="11" w16cid:durableId="1070808293">
    <w:abstractNumId w:val="14"/>
  </w:num>
  <w:num w:numId="12" w16cid:durableId="661398897">
    <w:abstractNumId w:val="2"/>
  </w:num>
  <w:num w:numId="13" w16cid:durableId="1998458037">
    <w:abstractNumId w:val="6"/>
  </w:num>
  <w:num w:numId="14" w16cid:durableId="2145539222">
    <w:abstractNumId w:val="3"/>
  </w:num>
  <w:num w:numId="15" w16cid:durableId="1666123743">
    <w:abstractNumId w:val="13"/>
  </w:num>
  <w:num w:numId="16" w16cid:durableId="2116169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1F1D"/>
    <w:rsid w:val="0002686C"/>
    <w:rsid w:val="00031D0E"/>
    <w:rsid w:val="000337E6"/>
    <w:rsid w:val="0003402E"/>
    <w:rsid w:val="00034EAE"/>
    <w:rsid w:val="00042924"/>
    <w:rsid w:val="000474B4"/>
    <w:rsid w:val="00053975"/>
    <w:rsid w:val="00057A2B"/>
    <w:rsid w:val="000606BE"/>
    <w:rsid w:val="000723FF"/>
    <w:rsid w:val="000736B8"/>
    <w:rsid w:val="0008190F"/>
    <w:rsid w:val="00081D9C"/>
    <w:rsid w:val="00082907"/>
    <w:rsid w:val="0008378D"/>
    <w:rsid w:val="000908A5"/>
    <w:rsid w:val="00092805"/>
    <w:rsid w:val="000C454C"/>
    <w:rsid w:val="000D1B59"/>
    <w:rsid w:val="000D4ECB"/>
    <w:rsid w:val="000D5038"/>
    <w:rsid w:val="000E29D4"/>
    <w:rsid w:val="000E7253"/>
    <w:rsid w:val="000F3540"/>
    <w:rsid w:val="00100491"/>
    <w:rsid w:val="00104E2E"/>
    <w:rsid w:val="00107287"/>
    <w:rsid w:val="00117406"/>
    <w:rsid w:val="001178D8"/>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4C55"/>
    <w:rsid w:val="001D746F"/>
    <w:rsid w:val="001E4BBB"/>
    <w:rsid w:val="001E6304"/>
    <w:rsid w:val="0020381E"/>
    <w:rsid w:val="00213471"/>
    <w:rsid w:val="00215906"/>
    <w:rsid w:val="00241CD8"/>
    <w:rsid w:val="00244B09"/>
    <w:rsid w:val="002519CB"/>
    <w:rsid w:val="0025697F"/>
    <w:rsid w:val="00260258"/>
    <w:rsid w:val="00260F90"/>
    <w:rsid w:val="0026588E"/>
    <w:rsid w:val="00272428"/>
    <w:rsid w:val="00272948"/>
    <w:rsid w:val="00292392"/>
    <w:rsid w:val="002946C7"/>
    <w:rsid w:val="002B1FA1"/>
    <w:rsid w:val="002B3CC1"/>
    <w:rsid w:val="002C09E0"/>
    <w:rsid w:val="002C1BB1"/>
    <w:rsid w:val="002C2786"/>
    <w:rsid w:val="002C3A10"/>
    <w:rsid w:val="002C4A90"/>
    <w:rsid w:val="002C4ED5"/>
    <w:rsid w:val="002D02EF"/>
    <w:rsid w:val="002E0702"/>
    <w:rsid w:val="002E57AD"/>
    <w:rsid w:val="002E6257"/>
    <w:rsid w:val="002E6F80"/>
    <w:rsid w:val="002F0E4F"/>
    <w:rsid w:val="002F1053"/>
    <w:rsid w:val="00317B0E"/>
    <w:rsid w:val="00347FAA"/>
    <w:rsid w:val="0035172D"/>
    <w:rsid w:val="0036187D"/>
    <w:rsid w:val="00363A9F"/>
    <w:rsid w:val="00367EDB"/>
    <w:rsid w:val="00375B36"/>
    <w:rsid w:val="00381024"/>
    <w:rsid w:val="00386307"/>
    <w:rsid w:val="003874DE"/>
    <w:rsid w:val="00393E9F"/>
    <w:rsid w:val="0039696E"/>
    <w:rsid w:val="003A7298"/>
    <w:rsid w:val="003B211A"/>
    <w:rsid w:val="003C141F"/>
    <w:rsid w:val="003C6B0E"/>
    <w:rsid w:val="003C7257"/>
    <w:rsid w:val="003C7E35"/>
    <w:rsid w:val="003D1E99"/>
    <w:rsid w:val="003D6208"/>
    <w:rsid w:val="003F6DAA"/>
    <w:rsid w:val="00404E8A"/>
    <w:rsid w:val="0040622F"/>
    <w:rsid w:val="00413F24"/>
    <w:rsid w:val="00422853"/>
    <w:rsid w:val="00423160"/>
    <w:rsid w:val="004277F5"/>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3465"/>
    <w:rsid w:val="00524066"/>
    <w:rsid w:val="00534E11"/>
    <w:rsid w:val="005378D8"/>
    <w:rsid w:val="005400D9"/>
    <w:rsid w:val="005459CA"/>
    <w:rsid w:val="005476A4"/>
    <w:rsid w:val="0055019B"/>
    <w:rsid w:val="00556E63"/>
    <w:rsid w:val="005601A4"/>
    <w:rsid w:val="00566DBB"/>
    <w:rsid w:val="005767DB"/>
    <w:rsid w:val="005815E6"/>
    <w:rsid w:val="00582347"/>
    <w:rsid w:val="00586D32"/>
    <w:rsid w:val="0058712F"/>
    <w:rsid w:val="005976CE"/>
    <w:rsid w:val="005A23D4"/>
    <w:rsid w:val="005A2D1E"/>
    <w:rsid w:val="005A72E4"/>
    <w:rsid w:val="005B3756"/>
    <w:rsid w:val="005C493F"/>
    <w:rsid w:val="005C6B63"/>
    <w:rsid w:val="005C6BF7"/>
    <w:rsid w:val="005C71BF"/>
    <w:rsid w:val="005D002C"/>
    <w:rsid w:val="005D30E1"/>
    <w:rsid w:val="005D6555"/>
    <w:rsid w:val="005D79DF"/>
    <w:rsid w:val="005D7BDF"/>
    <w:rsid w:val="005E4870"/>
    <w:rsid w:val="005F1856"/>
    <w:rsid w:val="005F5914"/>
    <w:rsid w:val="005F71D9"/>
    <w:rsid w:val="005F7602"/>
    <w:rsid w:val="005F7DAC"/>
    <w:rsid w:val="006062BE"/>
    <w:rsid w:val="00613143"/>
    <w:rsid w:val="00613501"/>
    <w:rsid w:val="0061611B"/>
    <w:rsid w:val="006166A8"/>
    <w:rsid w:val="006174A1"/>
    <w:rsid w:val="00621D6C"/>
    <w:rsid w:val="00630FD2"/>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90B85"/>
    <w:rsid w:val="00795DC5"/>
    <w:rsid w:val="00797153"/>
    <w:rsid w:val="007A21F7"/>
    <w:rsid w:val="007A2B68"/>
    <w:rsid w:val="007B0DDA"/>
    <w:rsid w:val="007B4635"/>
    <w:rsid w:val="007D3347"/>
    <w:rsid w:val="007E5466"/>
    <w:rsid w:val="007F1949"/>
    <w:rsid w:val="007F2592"/>
    <w:rsid w:val="00800A08"/>
    <w:rsid w:val="00802DF2"/>
    <w:rsid w:val="00817A84"/>
    <w:rsid w:val="008225A4"/>
    <w:rsid w:val="00824B92"/>
    <w:rsid w:val="00824BF7"/>
    <w:rsid w:val="00826D5E"/>
    <w:rsid w:val="00832013"/>
    <w:rsid w:val="00832DB7"/>
    <w:rsid w:val="00834732"/>
    <w:rsid w:val="00834742"/>
    <w:rsid w:val="008501B4"/>
    <w:rsid w:val="0085200C"/>
    <w:rsid w:val="00857C52"/>
    <w:rsid w:val="00860D5F"/>
    <w:rsid w:val="00871AF9"/>
    <w:rsid w:val="00880A44"/>
    <w:rsid w:val="0088345E"/>
    <w:rsid w:val="00885ECF"/>
    <w:rsid w:val="0088656F"/>
    <w:rsid w:val="00891EF6"/>
    <w:rsid w:val="008A0303"/>
    <w:rsid w:val="008A2AB7"/>
    <w:rsid w:val="008A5FDD"/>
    <w:rsid w:val="008C1E54"/>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A62B3"/>
    <w:rsid w:val="009B37DB"/>
    <w:rsid w:val="009C7A8C"/>
    <w:rsid w:val="009D23F9"/>
    <w:rsid w:val="009D4FA8"/>
    <w:rsid w:val="009E44AE"/>
    <w:rsid w:val="009E6CD6"/>
    <w:rsid w:val="009F4D66"/>
    <w:rsid w:val="00A00C3C"/>
    <w:rsid w:val="00A01091"/>
    <w:rsid w:val="00A042B9"/>
    <w:rsid w:val="00A06DBB"/>
    <w:rsid w:val="00A22ADF"/>
    <w:rsid w:val="00A31E86"/>
    <w:rsid w:val="00A45D68"/>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76DCB"/>
    <w:rsid w:val="00B81E92"/>
    <w:rsid w:val="00B908D7"/>
    <w:rsid w:val="00B915AB"/>
    <w:rsid w:val="00B935E8"/>
    <w:rsid w:val="00B93B30"/>
    <w:rsid w:val="00B94CB5"/>
    <w:rsid w:val="00BA0DD9"/>
    <w:rsid w:val="00BA5DBC"/>
    <w:rsid w:val="00BB6312"/>
    <w:rsid w:val="00BB72F9"/>
    <w:rsid w:val="00BC4D06"/>
    <w:rsid w:val="00BD585E"/>
    <w:rsid w:val="00BD6919"/>
    <w:rsid w:val="00BE1EA7"/>
    <w:rsid w:val="00BE7489"/>
    <w:rsid w:val="00BF2E0D"/>
    <w:rsid w:val="00BF3927"/>
    <w:rsid w:val="00BF3F8B"/>
    <w:rsid w:val="00BF76DA"/>
    <w:rsid w:val="00C07C7B"/>
    <w:rsid w:val="00C16245"/>
    <w:rsid w:val="00C22DC5"/>
    <w:rsid w:val="00C24479"/>
    <w:rsid w:val="00C271D1"/>
    <w:rsid w:val="00C273F2"/>
    <w:rsid w:val="00C3000D"/>
    <w:rsid w:val="00C37B53"/>
    <w:rsid w:val="00C517D2"/>
    <w:rsid w:val="00C5772E"/>
    <w:rsid w:val="00C62B36"/>
    <w:rsid w:val="00C7012C"/>
    <w:rsid w:val="00C712EA"/>
    <w:rsid w:val="00C922BB"/>
    <w:rsid w:val="00CA217D"/>
    <w:rsid w:val="00CC09D4"/>
    <w:rsid w:val="00CC668D"/>
    <w:rsid w:val="00CC7832"/>
    <w:rsid w:val="00CF0C1C"/>
    <w:rsid w:val="00CF27FD"/>
    <w:rsid w:val="00CF5F12"/>
    <w:rsid w:val="00D00D8F"/>
    <w:rsid w:val="00D21F3A"/>
    <w:rsid w:val="00D23808"/>
    <w:rsid w:val="00D277E1"/>
    <w:rsid w:val="00D3016A"/>
    <w:rsid w:val="00D417D2"/>
    <w:rsid w:val="00D42960"/>
    <w:rsid w:val="00D43BD7"/>
    <w:rsid w:val="00D4485B"/>
    <w:rsid w:val="00D4708D"/>
    <w:rsid w:val="00D4744C"/>
    <w:rsid w:val="00D521DE"/>
    <w:rsid w:val="00D52608"/>
    <w:rsid w:val="00D5470B"/>
    <w:rsid w:val="00D57FAF"/>
    <w:rsid w:val="00D63068"/>
    <w:rsid w:val="00D6498C"/>
    <w:rsid w:val="00D76A70"/>
    <w:rsid w:val="00D83182"/>
    <w:rsid w:val="00D8521E"/>
    <w:rsid w:val="00D9291C"/>
    <w:rsid w:val="00D93A97"/>
    <w:rsid w:val="00DA31FE"/>
    <w:rsid w:val="00DB1F64"/>
    <w:rsid w:val="00DC2F53"/>
    <w:rsid w:val="00DC5BAC"/>
    <w:rsid w:val="00DC6816"/>
    <w:rsid w:val="00DC76C2"/>
    <w:rsid w:val="00DD1CF2"/>
    <w:rsid w:val="00DE4484"/>
    <w:rsid w:val="00DF41B7"/>
    <w:rsid w:val="00DF4A4A"/>
    <w:rsid w:val="00DF583C"/>
    <w:rsid w:val="00E03C3F"/>
    <w:rsid w:val="00E06FD7"/>
    <w:rsid w:val="00E07417"/>
    <w:rsid w:val="00E12692"/>
    <w:rsid w:val="00E24D45"/>
    <w:rsid w:val="00E32B65"/>
    <w:rsid w:val="00E33DB8"/>
    <w:rsid w:val="00E33EFF"/>
    <w:rsid w:val="00E34387"/>
    <w:rsid w:val="00E348BA"/>
    <w:rsid w:val="00E369FE"/>
    <w:rsid w:val="00E37C6F"/>
    <w:rsid w:val="00E41929"/>
    <w:rsid w:val="00E475F8"/>
    <w:rsid w:val="00E5102E"/>
    <w:rsid w:val="00E5721C"/>
    <w:rsid w:val="00E619C6"/>
    <w:rsid w:val="00E66E20"/>
    <w:rsid w:val="00E745A1"/>
    <w:rsid w:val="00E81529"/>
    <w:rsid w:val="00E8338F"/>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650F0"/>
    <w:rsid w:val="00F70C9E"/>
    <w:rsid w:val="00F74A74"/>
    <w:rsid w:val="00F7572C"/>
    <w:rsid w:val="00F8382C"/>
    <w:rsid w:val="00F855D7"/>
    <w:rsid w:val="00F90EBE"/>
    <w:rsid w:val="00F92035"/>
    <w:rsid w:val="00F92748"/>
    <w:rsid w:val="00FA4169"/>
    <w:rsid w:val="00FB0D41"/>
    <w:rsid w:val="00FB1B19"/>
    <w:rsid w:val="00FB2030"/>
    <w:rsid w:val="00FD0E46"/>
    <w:rsid w:val="00FD1CF2"/>
    <w:rsid w:val="00FD24F9"/>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Use Case List Paragraph Diagrama"/>
    <w:link w:val="Sraopastraipa"/>
    <w:uiPriority w:val="34"/>
    <w:rsid w:val="004277F5"/>
    <w:rPr>
      <w:sz w:val="24"/>
      <w:szCs w:val="24"/>
      <w:lang w:eastAsia="en-US"/>
    </w:rPr>
  </w:style>
  <w:style w:type="paragraph" w:customStyle="1" w:styleId="Default">
    <w:name w:val="Default"/>
    <w:rsid w:val="00BB72F9"/>
    <w:pPr>
      <w:autoSpaceDE w:val="0"/>
      <w:autoSpaceDN w:val="0"/>
      <w:adjustRightInd w:val="0"/>
    </w:pPr>
    <w:rPr>
      <w:rFonts w:ascii="Calibri" w:hAnsi="Calibri" w:cs="Calibri"/>
      <w:color w:val="000000"/>
      <w:sz w:val="24"/>
      <w:szCs w:val="24"/>
      <w:lang w:eastAsia="en-US"/>
    </w:rPr>
  </w:style>
  <w:style w:type="paragraph" w:styleId="Dokumentoinaostekstas">
    <w:name w:val="endnote text"/>
    <w:basedOn w:val="prastasis"/>
    <w:link w:val="DokumentoinaostekstasDiagrama"/>
    <w:semiHidden/>
    <w:unhideWhenUsed/>
    <w:rsid w:val="003A7298"/>
    <w:rPr>
      <w:sz w:val="20"/>
      <w:lang w:eastAsia="lt-LT"/>
    </w:rPr>
  </w:style>
  <w:style w:type="character" w:customStyle="1" w:styleId="DokumentoinaostekstasDiagrama">
    <w:name w:val="Dokumento išnašos tekstas Diagrama"/>
    <w:basedOn w:val="Numatytasispastraiposriftas"/>
    <w:link w:val="Dokumentoinaostekstas"/>
    <w:semiHidden/>
    <w:rsid w:val="003A7298"/>
    <w:rPr>
      <w:szCs w:val="24"/>
    </w:rPr>
  </w:style>
  <w:style w:type="table" w:customStyle="1" w:styleId="3">
    <w:name w:val="3"/>
    <w:basedOn w:val="prastojilentel"/>
    <w:rsid w:val="00B76DCB"/>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BB7EFEA6241ABBC1E9096234C94D7"/>
        <w:category>
          <w:name w:val="General"/>
          <w:gallery w:val="placeholder"/>
        </w:category>
        <w:types>
          <w:type w:val="bbPlcHdr"/>
        </w:types>
        <w:behaviors>
          <w:behavior w:val="content"/>
        </w:behaviors>
        <w:guid w:val="{3E645C99-08E0-45B3-8E38-909EF37FE5A1}"/>
      </w:docPartPr>
      <w:docPartBody>
        <w:p w:rsidR="002D13D9" w:rsidRDefault="00BA330D" w:rsidP="00BA330D">
          <w:pPr>
            <w:pStyle w:val="9DFBB7EFEA6241ABBC1E9096234C94D7"/>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1315"/>
    <w:rsid w:val="00061157"/>
    <w:rsid w:val="000937FE"/>
    <w:rsid w:val="000A559A"/>
    <w:rsid w:val="000D24D4"/>
    <w:rsid w:val="000D44E6"/>
    <w:rsid w:val="001C35A9"/>
    <w:rsid w:val="00232362"/>
    <w:rsid w:val="00237556"/>
    <w:rsid w:val="002D13D9"/>
    <w:rsid w:val="00343F94"/>
    <w:rsid w:val="0039303B"/>
    <w:rsid w:val="003C130F"/>
    <w:rsid w:val="004144A3"/>
    <w:rsid w:val="004160E7"/>
    <w:rsid w:val="004416C6"/>
    <w:rsid w:val="004F3A5E"/>
    <w:rsid w:val="004F5AB2"/>
    <w:rsid w:val="005074B9"/>
    <w:rsid w:val="005D6266"/>
    <w:rsid w:val="005E40DD"/>
    <w:rsid w:val="00720A6D"/>
    <w:rsid w:val="007219C1"/>
    <w:rsid w:val="00753462"/>
    <w:rsid w:val="00772325"/>
    <w:rsid w:val="007A2FE0"/>
    <w:rsid w:val="007B74EA"/>
    <w:rsid w:val="007C6D1D"/>
    <w:rsid w:val="00875760"/>
    <w:rsid w:val="0090074D"/>
    <w:rsid w:val="009134F6"/>
    <w:rsid w:val="009B3BF0"/>
    <w:rsid w:val="009D5E5E"/>
    <w:rsid w:val="009F1BB4"/>
    <w:rsid w:val="00A458D1"/>
    <w:rsid w:val="00A460B1"/>
    <w:rsid w:val="00AB6ED4"/>
    <w:rsid w:val="00B14210"/>
    <w:rsid w:val="00B23DC0"/>
    <w:rsid w:val="00B96656"/>
    <w:rsid w:val="00BA330D"/>
    <w:rsid w:val="00BE29C1"/>
    <w:rsid w:val="00C2401D"/>
    <w:rsid w:val="00C53A68"/>
    <w:rsid w:val="00CA5BB4"/>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BA330D"/>
    <w:rPr>
      <w:color w:val="808080"/>
    </w:rPr>
  </w:style>
  <w:style w:type="paragraph" w:customStyle="1" w:styleId="9DFBB7EFEA6241ABBC1E9096234C94D7">
    <w:name w:val="9DFBB7EFEA6241ABBC1E9096234C94D7"/>
    <w:rsid w:val="00BA330D"/>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52400-CAFE-45E3-92EF-8F6ECA52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8638</Words>
  <Characters>4924</Characters>
  <Application>Microsoft Office Word</Application>
  <DocSecurity>0</DocSecurity>
  <Lines>41</Lines>
  <Paragraphs>27</Paragraphs>
  <ScaleCrop>false</ScaleCrop>
  <Company/>
  <LinksUpToDate>false</LinksUpToDate>
  <CharactersWithSpaces>13535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2023-11-14T09:45:00Z</dcterms:created>
  <dcterms:modified xsi:type="dcterms:W3CDTF">2024-02-06T20:48:00Z</dcterms:modified>
</cp:coreProperties>
</file>