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437439B" w14:textId="0B13BDAF" w:rsidR="00CC1DEF" w:rsidRPr="00D05364" w:rsidRDefault="00CC1DEF" w:rsidP="00CC1DEF">
      <w:pPr>
        <w:jc w:val="center"/>
        <w:rPr>
          <w:b/>
        </w:rPr>
      </w:pPr>
      <w:r w:rsidRPr="0093627A">
        <w:rPr>
          <w:b/>
        </w:rPr>
        <w:t>Talzenna</w:t>
      </w:r>
      <w:r>
        <w:rPr>
          <w:b/>
        </w:rPr>
        <w:t xml:space="preserve"> </w:t>
      </w:r>
      <w:r w:rsidRPr="0093627A">
        <w:rPr>
          <w:b/>
        </w:rPr>
        <w:t>0,25 mg</w:t>
      </w:r>
      <w:r>
        <w:rPr>
          <w:b/>
        </w:rPr>
        <w:t xml:space="preserve"> </w:t>
      </w:r>
      <w:r w:rsidRPr="0093627A">
        <w:rPr>
          <w:b/>
        </w:rPr>
        <w:t>1 mg kietosios kapsulės</w:t>
      </w:r>
    </w:p>
    <w:p w14:paraId="27295844" w14:textId="77777777" w:rsidR="00CC1DEF" w:rsidRPr="00D05364" w:rsidRDefault="00CC1DEF" w:rsidP="00CC1DEF">
      <w:pPr>
        <w:jc w:val="center"/>
      </w:pPr>
    </w:p>
    <w:p w14:paraId="782C0310" w14:textId="7013A978" w:rsidR="00CC1DEF" w:rsidRPr="00D05364" w:rsidRDefault="00CC1DEF" w:rsidP="00CC1DEF">
      <w:pPr>
        <w:jc w:val="center"/>
      </w:pPr>
      <w:r w:rsidRPr="0093627A">
        <w:rPr>
          <w:b/>
        </w:rPr>
        <w:t>Talazoparibas</w:t>
      </w:r>
    </w:p>
    <w:p w14:paraId="4B7E7F43" w14:textId="77777777" w:rsidR="00CC1DEF" w:rsidRPr="00D05364" w:rsidRDefault="00CC1DEF" w:rsidP="00CC1DEF">
      <w:pPr>
        <w:jc w:val="center"/>
      </w:pPr>
    </w:p>
    <w:p w14:paraId="4EE51052" w14:textId="77777777" w:rsidR="00CC1DEF" w:rsidRPr="00D05364" w:rsidRDefault="00CC1DEF" w:rsidP="00CC1DEF">
      <w:pPr>
        <w:jc w:val="center"/>
        <w:rPr>
          <w:b/>
        </w:rPr>
      </w:pPr>
      <w:r>
        <w:rPr>
          <w:b/>
        </w:rPr>
        <w:t>STV-67</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398A5C7A" w:rsidR="00B13D65" w:rsidRPr="00023621" w:rsidRDefault="00023621" w:rsidP="00824B92">
            <w:r w:rsidRPr="005A578B">
              <w:t>Pfizer Luxembourg SARL filialas</w:t>
            </w: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5C52B47C" w:rsidR="00B13D65" w:rsidRPr="00E33EFF" w:rsidRDefault="00000000" w:rsidP="00824B92">
            <w:pPr>
              <w:rPr>
                <w:rStyle w:val="Style2"/>
              </w:rPr>
            </w:pPr>
            <w:sdt>
              <w:sdtPr>
                <w:rPr>
                  <w:sz w:val="32"/>
                </w:rPr>
                <w:alias w:val="Nurodykite konkrečią dieną"/>
                <w:tag w:val="Nurodykite pradžios datą"/>
                <w:id w:val="423238108"/>
                <w:placeholder>
                  <w:docPart w:val="0283B9D8514E7649A9C885876037FB0E"/>
                </w:placeholder>
                <w15:color w:val="FFCC99"/>
                <w:date w:fullDate="2019-06-20T00:00:00Z">
                  <w:dateFormat w:val="yyyy 'm.' MMMM d 'd.'"/>
                  <w:lid w:val="lt-LT"/>
                  <w:storeMappedDataAs w:val="dateTime"/>
                  <w:calendar w:val="gregorian"/>
                </w:date>
              </w:sdtPr>
              <w:sdtEndPr>
                <w:rPr>
                  <w:sz w:val="24"/>
                </w:rPr>
              </w:sdtEndPr>
              <w:sdtContent>
                <w:r w:rsidR="00023621">
                  <w:t>2019 m. birželio 20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77089D80" w14:textId="369BECC9" w:rsidR="00B13D65" w:rsidRPr="00023621"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tc>
        <w:tc>
          <w:tcPr>
            <w:tcW w:w="5167" w:type="dxa"/>
          </w:tcPr>
          <w:p w14:paraId="208F40EC" w14:textId="1EF0602E"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023621">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023621">
        <w:trPr>
          <w:trHeight w:val="1077"/>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483071A3" w14:textId="409CA53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29C2CBBB" w14:textId="547B0645" w:rsidR="00B13D65" w:rsidRPr="00023621"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023621">
                  <w:rPr>
                    <w:rStyle w:val="Style2"/>
                    <w:rFonts w:ascii="MS Gothic" w:eastAsia="MS Gothic" w:hAnsi="MS Gothic" w:hint="eastAsia"/>
                    <w:sz w:val="24"/>
                  </w:rPr>
                  <w:t>☒</w:t>
                </w:r>
              </w:sdtContent>
            </w:sdt>
            <w:r w:rsidR="00B13D65" w:rsidRPr="00E33EFF">
              <w:t xml:space="preserve"> Ne</w:t>
            </w: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28FCCC"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023621">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023621">
        <w:trPr>
          <w:trHeight w:val="1690"/>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6412FBE0" w14:textId="4755AB86" w:rsidR="00023621" w:rsidRDefault="00023621" w:rsidP="00824B92">
            <w:pPr>
              <w:rPr>
                <w:bCs/>
                <w:color w:val="000000"/>
                <w:lang w:eastAsia="lt-LT"/>
              </w:rPr>
            </w:pPr>
          </w:p>
          <w:p w14:paraId="6B4FEEC1" w14:textId="6B2173D1"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7B9A8FF9" w14:textId="77777777" w:rsidR="00023621" w:rsidRDefault="00023621" w:rsidP="00D47BA4">
            <w:pPr>
              <w:pStyle w:val="Sraopastraipa"/>
              <w:spacing w:after="120" w:line="276" w:lineRule="auto"/>
              <w:ind w:left="0"/>
              <w:contextualSpacing w:val="0"/>
              <w:jc w:val="both"/>
            </w:pPr>
            <w:r w:rsidRPr="00341B16">
              <w:t xml:space="preserve">Talzenna monoterapija skirta suaugusiesiems, turintiems gonocitų (germinacinių ląstelių) linijos </w:t>
            </w:r>
            <w:r w:rsidRPr="003B745E">
              <w:t xml:space="preserve">BRCA1/2 genų mutacijų ir sergantiems HER2 atžvilgiu neigiamu, lokaliai pažengusiu arba metastazavusiu krūties vėžiu. Pacientai turi būti anksčiau gydyti taikant antraciklino ir (arba) taksano (neo)adjuvantinę lokaliai pažengusios arba metastazavusios stadijos vėžio terapiją, išskyrus atvejus, kai pacientui toks gydymas netiko. Pacientams, kuriems diagnozuotas hormonų </w:t>
            </w:r>
            <w:r w:rsidRPr="003B745E">
              <w:lastRenderedPageBreak/>
              <w:t>receptorių (HR) atžvilgiu teigiamas krūties vėžys</w:t>
            </w:r>
            <w:r w:rsidRPr="00341B16">
              <w:t>, turi būti anksčiau taikyta endokrininė terapija arba jie turi būti pripažinti netinkamais endokrininei terapijai.</w:t>
            </w:r>
          </w:p>
          <w:p w14:paraId="683676E6" w14:textId="77777777" w:rsidR="00023621" w:rsidRDefault="00023621" w:rsidP="00824B92">
            <w:pPr>
              <w:rPr>
                <w:color w:val="000000"/>
                <w:lang w:eastAsia="lt-LT"/>
              </w:rPr>
            </w:pPr>
          </w:p>
          <w:p w14:paraId="13F7DFB0" w14:textId="0D21E40D" w:rsidR="00023621" w:rsidRPr="00E33EFF" w:rsidRDefault="00023621" w:rsidP="00824B92">
            <w:r w:rsidRPr="00E231F7">
              <w:rPr>
                <w:color w:val="000000"/>
                <w:lang w:eastAsia="lt-LT"/>
              </w:rPr>
              <w:t>TLK-10 AM kodas</w:t>
            </w:r>
            <w:r>
              <w:rPr>
                <w:color w:val="000000"/>
                <w:lang w:eastAsia="lt-LT"/>
              </w:rPr>
              <w:t xml:space="preserve"> –</w:t>
            </w:r>
            <w:r w:rsidRPr="00E231F7">
              <w:rPr>
                <w:color w:val="000000"/>
                <w:lang w:eastAsia="lt-LT"/>
              </w:rPr>
              <w:t xml:space="preserve"> C50</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62C7A350" w:rsidR="00B13D65" w:rsidRPr="00E33EFF" w:rsidRDefault="00023621" w:rsidP="00824B92">
            <w:r w:rsidRPr="00341B16">
              <w:t>Netaikoma.</w:t>
            </w:r>
          </w:p>
        </w:tc>
      </w:tr>
      <w:tr w:rsidR="00B13D65" w:rsidRPr="00E33EFF" w14:paraId="3B125269" w14:textId="77777777" w:rsidTr="00023621">
        <w:trPr>
          <w:trHeight w:val="842"/>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44D74832"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11F97F1B" w14:textId="2D85ABA9" w:rsidR="00413ACB" w:rsidRPr="00E33EFF" w:rsidRDefault="00413ACB" w:rsidP="00824B92">
            <w:pPr>
              <w:rPr>
                <w:bCs/>
                <w:color w:val="000000"/>
                <w:lang w:eastAsia="lt-LT"/>
              </w:rPr>
            </w:pPr>
            <w:r>
              <w:rPr>
                <w:bCs/>
                <w:color w:val="000000"/>
                <w:lang w:eastAsia="lt-LT"/>
              </w:rPr>
              <w:t>Tiesiogiai talazoparibas buvo lyintas su</w:t>
            </w:r>
            <w:r w:rsidR="00DA6E00">
              <w:rPr>
                <w:bCs/>
                <w:color w:val="000000"/>
                <w:lang w:eastAsia="lt-LT"/>
              </w:rPr>
              <w:t xml:space="preserve"> </w:t>
            </w:r>
            <w:r w:rsidR="00DA6E00" w:rsidRPr="001A316E">
              <w:t>gydym</w:t>
            </w:r>
            <w:r w:rsidR="00DA6E00">
              <w:t>u</w:t>
            </w:r>
            <w:r w:rsidR="00DA6E00" w:rsidRPr="001A316E">
              <w:t xml:space="preserve"> kapecitabinu, eribulino mesilatu, gemcitabinu arba vinorelbinu</w:t>
            </w:r>
            <w:r w:rsidR="00DA6E00">
              <w:t>.</w:t>
            </w:r>
          </w:p>
          <w:p w14:paraId="6CC1022E" w14:textId="2B6BCEE1" w:rsidR="009F4D66" w:rsidRPr="00E33EFF" w:rsidRDefault="009F4D66" w:rsidP="00824B92">
            <w:pPr>
              <w:rPr>
                <w:bCs/>
                <w:color w:val="000000"/>
                <w:lang w:eastAsia="lt-LT"/>
              </w:rPr>
            </w:pPr>
          </w:p>
        </w:tc>
        <w:tc>
          <w:tcPr>
            <w:tcW w:w="5167" w:type="dxa"/>
          </w:tcPr>
          <w:p w14:paraId="1F113AC0" w14:textId="2D9F3B1C" w:rsidR="009F4D66" w:rsidRPr="00E33EFF"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023621">
                  <w:rPr>
                    <w:rStyle w:val="Style2"/>
                    <w:rFonts w:ascii="MS Gothic" w:eastAsia="MS Gothic" w:hAnsi="MS Gothic" w:hint="eastAsia"/>
                    <w:sz w:val="24"/>
                  </w:rPr>
                  <w:t>☒</w:t>
                </w:r>
              </w:sdtContent>
            </w:sdt>
            <w:r w:rsidR="009F4D66" w:rsidRPr="00E33EFF">
              <w:t xml:space="preserve"> Tinkamas</w:t>
            </w:r>
          </w:p>
          <w:p w14:paraId="41B44044" w14:textId="5DE335E0" w:rsidR="00B13D65" w:rsidRPr="00E33EFF"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E33EFF">
                  <w:rPr>
                    <w:rStyle w:val="Style2"/>
                    <w:rFonts w:ascii="MS Gothic" w:eastAsia="MS Gothic" w:hAnsi="MS Gothic" w:hint="eastAsia"/>
                    <w:sz w:val="24"/>
                  </w:rPr>
                  <w:t>☐</w:t>
                </w:r>
              </w:sdtContent>
            </w:sdt>
            <w:r w:rsidR="009F4D66" w:rsidRPr="00E33EFF">
              <w:t xml:space="preserve"> Netinkama</w:t>
            </w:r>
            <w:r w:rsidR="00023621">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9493" w:type="dxa"/>
        <w:tblLook w:val="04A0" w:firstRow="1" w:lastRow="0" w:firstColumn="1" w:lastColumn="0" w:noHBand="0" w:noVBand="1"/>
      </w:tblPr>
      <w:tblGrid>
        <w:gridCol w:w="2927"/>
        <w:gridCol w:w="1915"/>
        <w:gridCol w:w="2351"/>
        <w:gridCol w:w="2300"/>
      </w:tblGrid>
      <w:tr w:rsidR="00023621" w:rsidRPr="00D05364" w14:paraId="58744BF9" w14:textId="77777777" w:rsidTr="005A1EB1">
        <w:trPr>
          <w:trHeight w:val="924"/>
        </w:trPr>
        <w:tc>
          <w:tcPr>
            <w:tcW w:w="2927" w:type="dxa"/>
          </w:tcPr>
          <w:p w14:paraId="48F22F9D" w14:textId="77777777" w:rsidR="00023621" w:rsidRPr="00D05364" w:rsidRDefault="00023621" w:rsidP="000A7808">
            <w:pPr>
              <w:spacing w:line="276" w:lineRule="auto"/>
              <w:rPr>
                <w:rFonts w:eastAsia="Arial"/>
              </w:rPr>
            </w:pPr>
            <w:r w:rsidRPr="00D05364">
              <w:rPr>
                <w:rFonts w:eastAsia="Arial"/>
              </w:rPr>
              <w:t>STV agentūros pavadinimas, šalis</w:t>
            </w:r>
          </w:p>
        </w:tc>
        <w:tc>
          <w:tcPr>
            <w:tcW w:w="1915" w:type="dxa"/>
          </w:tcPr>
          <w:p w14:paraId="0E197E98" w14:textId="77777777" w:rsidR="00023621" w:rsidRPr="00D05364" w:rsidRDefault="00023621" w:rsidP="000A7808">
            <w:pPr>
              <w:spacing w:line="276" w:lineRule="auto"/>
              <w:rPr>
                <w:rFonts w:eastAsia="Arial"/>
              </w:rPr>
            </w:pPr>
            <w:r w:rsidRPr="00D05364">
              <w:rPr>
                <w:rFonts w:eastAsia="Arial"/>
              </w:rPr>
              <w:t>STV vertinimas atliktas</w:t>
            </w:r>
          </w:p>
        </w:tc>
        <w:tc>
          <w:tcPr>
            <w:tcW w:w="2351" w:type="dxa"/>
          </w:tcPr>
          <w:p w14:paraId="031A378F" w14:textId="77777777" w:rsidR="00023621" w:rsidRPr="00D05364" w:rsidRDefault="00023621" w:rsidP="000A7808">
            <w:pPr>
              <w:spacing w:line="276" w:lineRule="auto"/>
              <w:rPr>
                <w:rFonts w:eastAsia="Arial"/>
              </w:rPr>
            </w:pPr>
            <w:r w:rsidRPr="00D05364">
              <w:rPr>
                <w:rFonts w:eastAsia="Arial"/>
              </w:rPr>
              <w:t>Klinikinio vertinimo išvada</w:t>
            </w:r>
          </w:p>
        </w:tc>
        <w:tc>
          <w:tcPr>
            <w:tcW w:w="2300" w:type="dxa"/>
          </w:tcPr>
          <w:p w14:paraId="1FD20E1E" w14:textId="77777777" w:rsidR="00023621" w:rsidRPr="00D05364" w:rsidRDefault="00023621" w:rsidP="000A7808">
            <w:pPr>
              <w:spacing w:line="276" w:lineRule="auto"/>
              <w:rPr>
                <w:rFonts w:eastAsia="Arial"/>
              </w:rPr>
            </w:pPr>
            <w:r w:rsidRPr="00D05364">
              <w:rPr>
                <w:rFonts w:eastAsia="Arial"/>
              </w:rPr>
              <w:t>Farmakoekonominio vertinimo išvada</w:t>
            </w:r>
          </w:p>
        </w:tc>
      </w:tr>
      <w:tr w:rsidR="000761CA" w:rsidRPr="00D05364" w14:paraId="45EC09BB" w14:textId="77777777" w:rsidTr="003E383D">
        <w:trPr>
          <w:trHeight w:val="1765"/>
        </w:trPr>
        <w:tc>
          <w:tcPr>
            <w:tcW w:w="2927" w:type="dxa"/>
          </w:tcPr>
          <w:p w14:paraId="00936D59" w14:textId="77777777" w:rsidR="000761CA" w:rsidRPr="00D05364" w:rsidRDefault="000761CA" w:rsidP="000A7808">
            <w:pPr>
              <w:autoSpaceDE w:val="0"/>
              <w:autoSpaceDN w:val="0"/>
              <w:adjustRightInd w:val="0"/>
              <w:rPr>
                <w:bCs/>
              </w:rPr>
            </w:pPr>
            <w:r w:rsidRPr="00D05364">
              <w:rPr>
                <w:bCs/>
              </w:rPr>
              <w:t>Nacionalinis sveikatos ir klinikinės kompetencijos institutas, Didžioji Britanija</w:t>
            </w:r>
          </w:p>
          <w:p w14:paraId="32D6934C" w14:textId="77777777" w:rsidR="000761CA" w:rsidRPr="00D05364" w:rsidRDefault="000761CA" w:rsidP="000A7808">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6CDDABA4" w14:textId="77777777" w:rsidR="000761CA" w:rsidRPr="00D05364" w:rsidRDefault="00000000" w:rsidP="000A7808">
            <w:sdt>
              <w:sdtPr>
                <w:rPr>
                  <w:rStyle w:val="Style2"/>
                </w:rPr>
                <w:id w:val="1558205022"/>
                <w15:color w:val="FFCC00"/>
                <w14:checkbox>
                  <w14:checked w14:val="0"/>
                  <w14:checkedState w14:val="2612" w14:font="MS Gothic"/>
                  <w14:uncheckedState w14:val="2610" w14:font="MS Gothic"/>
                </w14:checkbox>
              </w:sdtPr>
              <w:sdtContent>
                <w:r w:rsidR="000761CA">
                  <w:rPr>
                    <w:rStyle w:val="Style2"/>
                    <w:rFonts w:ascii="MS Gothic" w:eastAsia="MS Gothic" w:hAnsi="MS Gothic" w:hint="eastAsia"/>
                  </w:rPr>
                  <w:t>☐</w:t>
                </w:r>
              </w:sdtContent>
            </w:sdt>
            <w:r w:rsidR="000761CA" w:rsidRPr="00D05364">
              <w:t xml:space="preserve"> Taip</w:t>
            </w:r>
          </w:p>
          <w:p w14:paraId="0F0EA08A" w14:textId="77777777" w:rsidR="000761CA" w:rsidRPr="00D05364" w:rsidRDefault="00000000" w:rsidP="000A7808">
            <w:sdt>
              <w:sdtPr>
                <w:rPr>
                  <w:rStyle w:val="Style2"/>
                </w:rPr>
                <w:id w:val="866029625"/>
                <w15:color w:val="FFCC00"/>
                <w14:checkbox>
                  <w14:checked w14:val="1"/>
                  <w14:checkedState w14:val="2612" w14:font="MS Gothic"/>
                  <w14:uncheckedState w14:val="2610" w14:font="MS Gothic"/>
                </w14:checkbox>
              </w:sdtPr>
              <w:sdtContent>
                <w:r w:rsidR="000761CA">
                  <w:rPr>
                    <w:rStyle w:val="Style2"/>
                    <w:rFonts w:ascii="MS Gothic" w:eastAsia="MS Gothic" w:hAnsi="MS Gothic" w:hint="eastAsia"/>
                  </w:rPr>
                  <w:t>☒</w:t>
                </w:r>
              </w:sdtContent>
            </w:sdt>
            <w:r w:rsidR="000761CA" w:rsidRPr="00D05364">
              <w:t xml:space="preserve"> Ne</w:t>
            </w:r>
          </w:p>
          <w:p w14:paraId="3F3183DB" w14:textId="77777777" w:rsidR="000761CA" w:rsidRPr="00D05364" w:rsidRDefault="000761CA" w:rsidP="000A7808">
            <w:pPr>
              <w:rPr>
                <w:rFonts w:eastAsia="Arial"/>
              </w:rPr>
            </w:pPr>
          </w:p>
        </w:tc>
        <w:tc>
          <w:tcPr>
            <w:tcW w:w="4651" w:type="dxa"/>
            <w:gridSpan w:val="2"/>
          </w:tcPr>
          <w:p w14:paraId="2C07E514" w14:textId="47ABB056" w:rsidR="000761CA" w:rsidRPr="00D05364" w:rsidRDefault="000761CA" w:rsidP="000A7808">
            <w:pPr>
              <w:spacing w:line="276" w:lineRule="auto"/>
              <w:rPr>
                <w:rFonts w:eastAsia="Arial"/>
              </w:rPr>
            </w:pPr>
            <w:r>
              <w:rPr>
                <w:rFonts w:eastAsia="Arial"/>
              </w:rPr>
              <w:t>–</w:t>
            </w:r>
          </w:p>
        </w:tc>
      </w:tr>
      <w:tr w:rsidR="000761CA" w:rsidRPr="00D05364" w14:paraId="5E966A6A" w14:textId="77777777" w:rsidTr="00264A0B">
        <w:trPr>
          <w:trHeight w:val="1547"/>
        </w:trPr>
        <w:tc>
          <w:tcPr>
            <w:tcW w:w="2927" w:type="dxa"/>
          </w:tcPr>
          <w:p w14:paraId="0B3E2021" w14:textId="77777777" w:rsidR="000761CA" w:rsidRPr="00D05364" w:rsidRDefault="000761CA" w:rsidP="000A7808">
            <w:pPr>
              <w:spacing w:line="276" w:lineRule="auto"/>
              <w:rPr>
                <w:rFonts w:eastAsia="Arial"/>
              </w:rPr>
            </w:pPr>
            <w:r w:rsidRPr="00D05364">
              <w:rPr>
                <w:rFonts w:eastAsia="Arial"/>
              </w:rPr>
              <w:t>Kanados sveikatos technologijų agentūra</w:t>
            </w:r>
          </w:p>
          <w:p w14:paraId="6963599E" w14:textId="77777777" w:rsidR="000761CA" w:rsidRPr="00D05364" w:rsidRDefault="000761CA" w:rsidP="000A7808">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2371F51E" w14:textId="77777777" w:rsidR="000761CA" w:rsidRPr="00D05364" w:rsidRDefault="00000000" w:rsidP="000A7808">
            <w:sdt>
              <w:sdtPr>
                <w:rPr>
                  <w:rStyle w:val="Style2"/>
                </w:rPr>
                <w:id w:val="-372539057"/>
                <w15:color w:val="FFCC00"/>
                <w14:checkbox>
                  <w14:checked w14:val="0"/>
                  <w14:checkedState w14:val="2612" w14:font="MS Gothic"/>
                  <w14:uncheckedState w14:val="2610" w14:font="MS Gothic"/>
                </w14:checkbox>
              </w:sdtPr>
              <w:sdtContent>
                <w:r w:rsidR="000761CA" w:rsidRPr="00D05364">
                  <w:rPr>
                    <w:rStyle w:val="Style2"/>
                    <w:rFonts w:ascii="Segoe UI Symbol" w:eastAsia="MS Gothic" w:hAnsi="Segoe UI Symbol" w:cs="Segoe UI Symbol"/>
                  </w:rPr>
                  <w:t>☐</w:t>
                </w:r>
              </w:sdtContent>
            </w:sdt>
            <w:r w:rsidR="000761CA" w:rsidRPr="00D05364">
              <w:t xml:space="preserve"> Taip</w:t>
            </w:r>
          </w:p>
          <w:p w14:paraId="65D536E5" w14:textId="77777777" w:rsidR="000761CA" w:rsidRPr="00D05364" w:rsidRDefault="00000000" w:rsidP="000A7808">
            <w:sdt>
              <w:sdtPr>
                <w:rPr>
                  <w:rStyle w:val="Style2"/>
                </w:rPr>
                <w:id w:val="594442222"/>
                <w15:color w:val="FFCC00"/>
                <w14:checkbox>
                  <w14:checked w14:val="1"/>
                  <w14:checkedState w14:val="2612" w14:font="MS Gothic"/>
                  <w14:uncheckedState w14:val="2610" w14:font="MS Gothic"/>
                </w14:checkbox>
              </w:sdtPr>
              <w:sdtContent>
                <w:r w:rsidR="000761CA">
                  <w:rPr>
                    <w:rStyle w:val="Style2"/>
                    <w:rFonts w:ascii="MS Gothic" w:eastAsia="MS Gothic" w:hAnsi="MS Gothic" w:hint="eastAsia"/>
                  </w:rPr>
                  <w:t>☒</w:t>
                </w:r>
              </w:sdtContent>
            </w:sdt>
            <w:r w:rsidR="000761CA" w:rsidRPr="00D05364">
              <w:t xml:space="preserve"> Ne</w:t>
            </w:r>
          </w:p>
          <w:p w14:paraId="3FA7D578" w14:textId="77777777" w:rsidR="000761CA" w:rsidRPr="00D05364" w:rsidRDefault="000761CA" w:rsidP="000A7808">
            <w:pPr>
              <w:spacing w:line="276" w:lineRule="auto"/>
              <w:rPr>
                <w:rFonts w:eastAsia="Arial"/>
              </w:rPr>
            </w:pPr>
          </w:p>
        </w:tc>
        <w:tc>
          <w:tcPr>
            <w:tcW w:w="4651" w:type="dxa"/>
            <w:gridSpan w:val="2"/>
          </w:tcPr>
          <w:p w14:paraId="569CF601" w14:textId="5B7CCA99" w:rsidR="000761CA" w:rsidRPr="00D05364" w:rsidRDefault="000761CA" w:rsidP="000A7808">
            <w:pPr>
              <w:spacing w:line="276" w:lineRule="auto"/>
              <w:rPr>
                <w:rFonts w:eastAsia="Arial"/>
              </w:rPr>
            </w:pPr>
            <w:r>
              <w:rPr>
                <w:rFonts w:eastAsia="Arial"/>
              </w:rPr>
              <w:t>–</w:t>
            </w:r>
          </w:p>
        </w:tc>
      </w:tr>
      <w:tr w:rsidR="00023621" w:rsidRPr="00D05364" w14:paraId="5952342C" w14:textId="77777777" w:rsidTr="005A1EB1">
        <w:trPr>
          <w:trHeight w:val="1927"/>
        </w:trPr>
        <w:tc>
          <w:tcPr>
            <w:tcW w:w="2927" w:type="dxa"/>
          </w:tcPr>
          <w:p w14:paraId="4B7D4D7B" w14:textId="77777777" w:rsidR="00023621" w:rsidRPr="00D05364" w:rsidRDefault="00023621" w:rsidP="000A7808">
            <w:pPr>
              <w:spacing w:line="276" w:lineRule="auto"/>
              <w:rPr>
                <w:rFonts w:eastAsia="Arial"/>
              </w:rPr>
            </w:pPr>
            <w:r w:rsidRPr="00D05364">
              <w:rPr>
                <w:rFonts w:eastAsia="Arial"/>
              </w:rPr>
              <w:t>Nacionalinis farmakoekonomikos centras, Airija</w:t>
            </w:r>
          </w:p>
          <w:p w14:paraId="211253E2" w14:textId="77777777" w:rsidR="00023621" w:rsidRPr="00D05364" w:rsidRDefault="00023621" w:rsidP="000A7808">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5728C3AA" w14:textId="77777777" w:rsidR="00023621" w:rsidRPr="00D05364" w:rsidRDefault="00000000" w:rsidP="000A7808">
            <w:sdt>
              <w:sdtPr>
                <w:rPr>
                  <w:rStyle w:val="Style2"/>
                </w:rPr>
                <w:id w:val="-1888403732"/>
                <w15:color w:val="FFCC00"/>
                <w14:checkbox>
                  <w14:checked w14:val="1"/>
                  <w14:checkedState w14:val="2612" w14:font="MS Gothic"/>
                  <w14:uncheckedState w14:val="2610" w14:font="MS Gothic"/>
                </w14:checkbox>
              </w:sdtPr>
              <w:sdtContent>
                <w:r w:rsidR="00023621">
                  <w:rPr>
                    <w:rStyle w:val="Style2"/>
                    <w:rFonts w:ascii="MS Gothic" w:eastAsia="MS Gothic" w:hAnsi="MS Gothic" w:hint="eastAsia"/>
                  </w:rPr>
                  <w:t>☒</w:t>
                </w:r>
              </w:sdtContent>
            </w:sdt>
            <w:r w:rsidR="00023621" w:rsidRPr="00D05364">
              <w:t xml:space="preserve"> Taip</w:t>
            </w:r>
          </w:p>
          <w:p w14:paraId="51E7444C" w14:textId="77777777" w:rsidR="00023621" w:rsidRPr="00D05364" w:rsidRDefault="00000000" w:rsidP="000A7808">
            <w:sdt>
              <w:sdtPr>
                <w:rPr>
                  <w:rStyle w:val="Style2"/>
                </w:rPr>
                <w:id w:val="1092201793"/>
                <w15:color w:val="FFCC00"/>
                <w14:checkbox>
                  <w14:checked w14:val="0"/>
                  <w14:checkedState w14:val="2612" w14:font="MS Gothic"/>
                  <w14:uncheckedState w14:val="2610" w14:font="MS Gothic"/>
                </w14:checkbox>
              </w:sdtPr>
              <w:sdtContent>
                <w:r w:rsidR="00023621" w:rsidRPr="00D05364">
                  <w:rPr>
                    <w:rStyle w:val="Style2"/>
                    <w:rFonts w:ascii="Segoe UI Symbol" w:eastAsia="MS Gothic" w:hAnsi="Segoe UI Symbol" w:cs="Segoe UI Symbol"/>
                  </w:rPr>
                  <w:t>☐</w:t>
                </w:r>
              </w:sdtContent>
            </w:sdt>
            <w:r w:rsidR="00023621" w:rsidRPr="00D05364">
              <w:t xml:space="preserve"> Ne</w:t>
            </w:r>
          </w:p>
          <w:p w14:paraId="3033F4E5" w14:textId="77777777" w:rsidR="00023621" w:rsidRPr="00D05364" w:rsidRDefault="00000000" w:rsidP="000A7808">
            <w:pPr>
              <w:spacing w:line="276" w:lineRule="auto"/>
              <w:rPr>
                <w:rFonts w:eastAsia="Arial"/>
              </w:rPr>
            </w:pPr>
            <w:sdt>
              <w:sdtPr>
                <w:alias w:val="Nurodykite konkrečią dieną"/>
                <w:tag w:val="Nurodykite pradžios datą"/>
                <w:id w:val="-198323198"/>
                <w:placeholder>
                  <w:docPart w:val="FE668B47097AAE4E88041003440B5FD7"/>
                </w:placeholder>
                <w15:color w:val="FFCC99"/>
                <w:date w:fullDate="2019-09-09T00:00:00Z">
                  <w:dateFormat w:val="yyyy 'm.' MMMM d 'd.'"/>
                  <w:lid w:val="lt-LT"/>
                  <w:storeMappedDataAs w:val="dateTime"/>
                  <w:calendar w:val="gregorian"/>
                </w:date>
              </w:sdtPr>
              <w:sdtContent>
                <w:r w:rsidR="00023621">
                  <w:t>2019 m. rugsėjo 9 d.</w:t>
                </w:r>
              </w:sdtContent>
            </w:sdt>
          </w:p>
        </w:tc>
        <w:tc>
          <w:tcPr>
            <w:tcW w:w="2351" w:type="dxa"/>
          </w:tcPr>
          <w:p w14:paraId="5446D480" w14:textId="77777777" w:rsidR="00023621" w:rsidRPr="00D05364" w:rsidRDefault="00023621" w:rsidP="000A7808">
            <w:pPr>
              <w:spacing w:line="276" w:lineRule="auto"/>
              <w:rPr>
                <w:rFonts w:eastAsia="Arial"/>
              </w:rPr>
            </w:pPr>
            <w:r>
              <w:rPr>
                <w:rFonts w:eastAsia="Arial"/>
              </w:rPr>
              <w:t xml:space="preserve">Talazoparibas </w:t>
            </w:r>
            <w:r w:rsidRPr="003B745E">
              <w:rPr>
                <w:rFonts w:eastAsia="Arial"/>
              </w:rPr>
              <w:t>(Talzenna)</w:t>
            </w:r>
            <w:r>
              <w:rPr>
                <w:rFonts w:eastAsia="Arial"/>
              </w:rPr>
              <w:t xml:space="preserve"> nerekomenduojamas kompensuoti.</w:t>
            </w:r>
          </w:p>
        </w:tc>
        <w:tc>
          <w:tcPr>
            <w:tcW w:w="2300" w:type="dxa"/>
          </w:tcPr>
          <w:p w14:paraId="3C530E23" w14:textId="689CD1C5" w:rsidR="00023621" w:rsidRPr="00D05364" w:rsidRDefault="000761CA" w:rsidP="000A7808">
            <w:pPr>
              <w:spacing w:line="276" w:lineRule="auto"/>
              <w:rPr>
                <w:rFonts w:eastAsia="Arial"/>
              </w:rPr>
            </w:pPr>
            <w:r>
              <w:rPr>
                <w:rFonts w:eastAsia="Arial"/>
              </w:rPr>
              <w:t>Kaštų naudingumas neatitinka nustatyto referencinio kaštų naudingumo dydžio.</w:t>
            </w: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rsidP="008E5757">
      <w:pPr>
        <w:spacing w:line="276" w:lineRule="auto"/>
        <w:rPr>
          <w:b/>
          <w:bCs/>
          <w:caps/>
        </w:rPr>
      </w:pPr>
      <w:r>
        <w:rPr>
          <w:b/>
          <w:bCs/>
          <w:caps/>
        </w:rPr>
        <w:br w:type="page"/>
      </w:r>
    </w:p>
    <w:p w14:paraId="5055E8A8" w14:textId="471A9757" w:rsidR="002E6F80" w:rsidRPr="00E33EFF" w:rsidRDefault="00CC7832" w:rsidP="008E5757">
      <w:pPr>
        <w:pStyle w:val="Sraopastraipa"/>
        <w:numPr>
          <w:ilvl w:val="0"/>
          <w:numId w:val="12"/>
        </w:numPr>
        <w:tabs>
          <w:tab w:val="left" w:pos="567"/>
        </w:tabs>
        <w:spacing w:line="276" w:lineRule="auto"/>
        <w:ind w:hanging="720"/>
        <w:rPr>
          <w:b/>
          <w:bCs/>
          <w:caps/>
        </w:rPr>
      </w:pPr>
      <w:r w:rsidRPr="00E33EFF">
        <w:rPr>
          <w:b/>
          <w:bCs/>
          <w:caps/>
        </w:rPr>
        <w:lastRenderedPageBreak/>
        <w:t>Klinikinio vertinimo a</w:t>
      </w:r>
      <w:r w:rsidR="00D4485B" w:rsidRPr="00E33EFF">
        <w:rPr>
          <w:b/>
          <w:bCs/>
          <w:caps/>
        </w:rPr>
        <w:t>pibendrinimas</w:t>
      </w:r>
    </w:p>
    <w:p w14:paraId="0191BE20" w14:textId="77777777" w:rsidR="000761CA" w:rsidRDefault="000761CA" w:rsidP="000761CA">
      <w:pPr>
        <w:spacing w:line="276" w:lineRule="auto"/>
        <w:ind w:firstLine="720"/>
        <w:jc w:val="both"/>
      </w:pPr>
    </w:p>
    <w:p w14:paraId="7B80A813" w14:textId="4920921A" w:rsidR="005A1EB1" w:rsidRDefault="005A1EB1" w:rsidP="000761CA">
      <w:pPr>
        <w:spacing w:line="276" w:lineRule="auto"/>
        <w:ind w:firstLine="720"/>
        <w:jc w:val="both"/>
      </w:pPr>
      <w:r w:rsidRPr="001A316E">
        <w:t xml:space="preserve">Krūties vėžys Lietuvoje yra dažniausia moterų onkologinė liga pagal sergamumą ir moterų mirčių skaičių nuo vėžio. </w:t>
      </w:r>
    </w:p>
    <w:p w14:paraId="11BCCC5A" w14:textId="1947E045" w:rsidR="005A1EB1" w:rsidRPr="001A316E" w:rsidRDefault="005A1EB1" w:rsidP="008E5757">
      <w:pPr>
        <w:spacing w:line="276" w:lineRule="auto"/>
        <w:jc w:val="both"/>
      </w:pPr>
      <w:r>
        <w:tab/>
      </w:r>
      <w:r w:rsidRPr="001A316E">
        <w:t>Apie 5–10 % krūties vėžio atvejų</w:t>
      </w:r>
      <w:r>
        <w:t xml:space="preserve"> </w:t>
      </w:r>
      <w:r w:rsidRPr="001A316E">
        <w:t>siejama su BRCA1 ir BRCA2 mutacijomis. Didžioji dalis krūtų navikų, išsivysčiusių BRCA1 mutacijų nešiotojoms, neturi hormonų receptorių ir HER2 raiškos. Apie 70 % BRCA1 nešiotojoms išsivysčiusių navikų būna trejopai neigiami.</w:t>
      </w:r>
      <w:r>
        <w:t xml:space="preserve"> </w:t>
      </w:r>
      <w:r w:rsidR="00C162B8">
        <w:t>Hormonams neigiamas</w:t>
      </w:r>
      <w:r w:rsidRPr="001A316E">
        <w:t xml:space="preserve"> ir HER2 neigiamas navikas siejamas su bloga prognoze.</w:t>
      </w:r>
    </w:p>
    <w:p w14:paraId="12F85E75" w14:textId="4427571D" w:rsidR="005A1EB1" w:rsidRPr="001A316E" w:rsidRDefault="005A1EB1" w:rsidP="008E5757">
      <w:pPr>
        <w:spacing w:line="276" w:lineRule="auto"/>
        <w:jc w:val="both"/>
      </w:pPr>
      <w:r>
        <w:tab/>
      </w:r>
      <w:r w:rsidRPr="001A316E">
        <w:t>Išplitusiu HER2</w:t>
      </w:r>
      <w:r w:rsidR="00C162B8">
        <w:t xml:space="preserve"> neigiamu</w:t>
      </w:r>
      <w:r w:rsidRPr="001A316E">
        <w:t xml:space="preserve"> krūties vėžiu sergančioms pacientėms skiriama chemoterapija antraciklinu ar taksanu, jei šie vaistai nebuvo skirti (neo)adjuvantinei  ar metastazavusio vėžio terapijai. Pacientės, kurios jau buvo gydytos antraciklinu ar taksanu, gali būti gydomos kapecitabinu, vinorelbinu, eribulinu</w:t>
      </w:r>
      <w:r>
        <w:t>,</w:t>
      </w:r>
      <w:r w:rsidRPr="001A316E">
        <w:t xml:space="preserve"> gemcitabin</w:t>
      </w:r>
      <w:r>
        <w:t>u</w:t>
      </w:r>
      <w:r w:rsidRPr="001A316E">
        <w:t>, platinos preparatai</w:t>
      </w:r>
      <w:r>
        <w:t>s</w:t>
      </w:r>
      <w:r w:rsidRPr="001A316E">
        <w:t>.</w:t>
      </w:r>
    </w:p>
    <w:p w14:paraId="5D4C6619" w14:textId="3B1F687A" w:rsidR="005A1EB1" w:rsidRPr="001A316E" w:rsidRDefault="005A1EB1" w:rsidP="008E5757">
      <w:pPr>
        <w:spacing w:line="276" w:lineRule="auto"/>
        <w:jc w:val="both"/>
      </w:pPr>
      <w:r>
        <w:tab/>
        <w:t>Siūlomas kompensuoti vaistinis preparatas – t</w:t>
      </w:r>
      <w:r w:rsidRPr="001A316E">
        <w:t xml:space="preserve">alazoparibas </w:t>
      </w:r>
      <w:r>
        <w:t xml:space="preserve">– </w:t>
      </w:r>
      <w:r w:rsidRPr="001A316E">
        <w:t>yra PARP fermentų (PARP1 ir PARP2) inhibitorius. Talazoparib</w:t>
      </w:r>
      <w:r w:rsidR="00C162B8">
        <w:t>as</w:t>
      </w:r>
      <w:r w:rsidRPr="001A316E">
        <w:t xml:space="preserve"> skirta</w:t>
      </w:r>
      <w:r w:rsidR="00C162B8">
        <w:t>s</w:t>
      </w:r>
      <w:r w:rsidRPr="001A316E">
        <w:t xml:space="preserve"> suaugusiesiems, turintiems gonocitų (germinacinių ląstelių) linijos BRCA1/2 genų mutacijų ir sergantiems HER2 atžvilgiu neigiamu, lokaliai pažengusiu arba metastazavusiu krūties vėžiu. Pacientai turi būti anksčiau gydyti taikant antraciklino ir (arba) taksano (neo)adjuvantinę lokaliai pažengusios arba metastazavusios stadijos vėžio terapiją, išskyrus atvejus, kai pacientui toks gydymas netiko. Pacientams, kuriems diagnozuotas hormonų receptorių (HR) atžvilgiu teigiamas krūties vėžys, turi būti anksčiau taikyta endokrininė terapija arba jie turi būti pripažinti netinkamais endokrininei terapijai.</w:t>
      </w:r>
    </w:p>
    <w:p w14:paraId="56F5C4BE" w14:textId="5C32E677" w:rsidR="005A1EB1" w:rsidRPr="001A316E" w:rsidRDefault="005A1EB1" w:rsidP="008E5757">
      <w:pPr>
        <w:spacing w:line="276" w:lineRule="auto"/>
        <w:jc w:val="both"/>
      </w:pPr>
      <w:r>
        <w:tab/>
      </w:r>
      <w:r w:rsidRPr="001A316E">
        <w:t xml:space="preserve">Paraiškoje pateiktas klinikinis tyrimas </w:t>
      </w:r>
      <w:r w:rsidRPr="001A316E">
        <w:rPr>
          <w:rFonts w:eastAsia="Arial"/>
        </w:rPr>
        <w:t>EMBRACA</w:t>
      </w:r>
      <w:r w:rsidRPr="001A316E">
        <w:t>, kuriame talazoparibo veiksmingumas lyginamas su gydym</w:t>
      </w:r>
      <w:r w:rsidR="00032F1A">
        <w:t>o</w:t>
      </w:r>
      <w:r w:rsidRPr="001A316E">
        <w:t xml:space="preserve"> kapecitabinu, eribulino mesilatu, gemcitabinu arba vinorelbinu</w:t>
      </w:r>
      <w:r w:rsidR="00032F1A">
        <w:t xml:space="preserve"> veiksmingumu</w:t>
      </w:r>
      <w:r w:rsidRPr="001A316E">
        <w:t xml:space="preserve">. </w:t>
      </w:r>
      <w:r>
        <w:t xml:space="preserve">Nepateiktas palyginimas su platinos preparatais. </w:t>
      </w:r>
      <w:r w:rsidRPr="001A316E">
        <w:t>Į</w:t>
      </w:r>
      <w:r w:rsidRPr="001A316E">
        <w:rPr>
          <w:rFonts w:eastAsia="Arial"/>
        </w:rPr>
        <w:t xml:space="preserve"> tyrimą EMBRACA </w:t>
      </w:r>
      <w:r>
        <w:rPr>
          <w:rFonts w:eastAsia="Arial"/>
        </w:rPr>
        <w:t xml:space="preserve">buvo </w:t>
      </w:r>
      <w:r w:rsidRPr="001A316E">
        <w:rPr>
          <w:rFonts w:eastAsia="Arial"/>
        </w:rPr>
        <w:t xml:space="preserve">įtraukti </w:t>
      </w:r>
      <w:r w:rsidRPr="001A316E">
        <w:t>431 pacientai</w:t>
      </w:r>
      <w:r>
        <w:t xml:space="preserve">, </w:t>
      </w:r>
      <w:r w:rsidRPr="001A316E">
        <w:t>anksčiau gydyti antraciklinu ir (arba) taksanu. Iš viso 431 pacientas buvo suskirstytas santykiu 2:1</w:t>
      </w:r>
      <w:r>
        <w:t>.</w:t>
      </w:r>
      <w:r w:rsidRPr="001A316E">
        <w:t xml:space="preserve"> 287 buvo įtraukti į talazoparibo grupę, o 144 – į kontrolinę grupę.</w:t>
      </w:r>
    </w:p>
    <w:p w14:paraId="2D8989F0" w14:textId="5A243D3A" w:rsidR="005A1EB1" w:rsidRPr="001A316E" w:rsidRDefault="005A1EB1" w:rsidP="008E5757">
      <w:pPr>
        <w:spacing w:line="276" w:lineRule="auto"/>
        <w:jc w:val="both"/>
      </w:pPr>
      <w:r>
        <w:rPr>
          <w:rFonts w:eastAsia="Arial"/>
        </w:rPr>
        <w:tab/>
      </w:r>
      <w:r w:rsidRPr="001A316E">
        <w:rPr>
          <w:rFonts w:eastAsia="Arial"/>
        </w:rPr>
        <w:t xml:space="preserve">Talazoparibo grupėje IBLP mediana buvo 3 mėn. ilgesnė, nei kontrolinėje grupėje. </w:t>
      </w:r>
      <w:r w:rsidRPr="005A1EB1">
        <w:rPr>
          <w:rFonts w:eastAsia="Arial"/>
          <w:b/>
          <w:bCs/>
        </w:rPr>
        <w:t xml:space="preserve">Galutinėje analizėje </w:t>
      </w:r>
      <w:r w:rsidRPr="005A1EB1">
        <w:rPr>
          <w:b/>
          <w:bCs/>
        </w:rPr>
        <w:t>BI rezultatai talazoparibo ir kontrolinėje grupėje statistiškai reikšmingai nesiskyrė.</w:t>
      </w:r>
      <w:r w:rsidRPr="001A316E">
        <w:t xml:space="preserve"> </w:t>
      </w:r>
      <w:r w:rsidRPr="005B578A">
        <w:t>BI mediana talazoparibo grupėje buvo 19,3 mėn. (95% PI 16,6–22,5), o kontrolinėje grupėje – 19,5 mėn. (95% PI 17,4–22,4)</w:t>
      </w:r>
      <w:r w:rsidR="008E5757">
        <w:t xml:space="preserve">. </w:t>
      </w:r>
      <w:r w:rsidRPr="005B578A">
        <w:t>Nustatytas RS 0,85 (95% PI 0,67–1,07;</w:t>
      </w:r>
      <w:r>
        <w:t xml:space="preserve"> p = 0,17). </w:t>
      </w:r>
      <w:r w:rsidRPr="001A316E">
        <w:t xml:space="preserve">Talazoparibo grupėje pasiekti kiek geresni </w:t>
      </w:r>
      <w:r w:rsidRPr="001A316E">
        <w:rPr>
          <w:rFonts w:eastAsia="Arial"/>
        </w:rPr>
        <w:t xml:space="preserve">OAD rezultatai ir nustatyta 2,3 mėn. ilgesnė </w:t>
      </w:r>
      <w:r w:rsidRPr="001A316E">
        <w:t>atsako trukmės mediana.</w:t>
      </w:r>
    </w:p>
    <w:p w14:paraId="243CE920" w14:textId="0987CE67" w:rsidR="005A1EB1" w:rsidRPr="005A1EB1" w:rsidRDefault="005A1EB1" w:rsidP="008E5757">
      <w:pPr>
        <w:spacing w:line="276" w:lineRule="auto"/>
        <w:jc w:val="both"/>
      </w:pPr>
      <w:r>
        <w:rPr>
          <w:rFonts w:eastAsia="Arial"/>
        </w:rPr>
        <w:tab/>
      </w:r>
      <w:r w:rsidRPr="001A316E">
        <w:rPr>
          <w:rFonts w:eastAsia="Arial"/>
        </w:rPr>
        <w:t xml:space="preserve">Nepageidaujamų reiškinių dažnis, taip pat </w:t>
      </w:r>
      <w:r w:rsidR="009A6ABD">
        <w:rPr>
          <w:rFonts w:eastAsia="Arial"/>
        </w:rPr>
        <w:t>sunkių</w:t>
      </w:r>
      <w:r w:rsidRPr="001A316E">
        <w:rPr>
          <w:rFonts w:eastAsia="Arial"/>
        </w:rPr>
        <w:t xml:space="preserve"> ir su gydymu susijusių nepageidaujamų reiškinių dažnis buvo panašus abejose grupėse.</w:t>
      </w:r>
      <w:r w:rsidRPr="001A316E">
        <w:t xml:space="preserve"> </w:t>
      </w:r>
      <w:r w:rsidRPr="001A316E">
        <w:rPr>
          <w:rFonts w:eastAsia="Arial"/>
        </w:rPr>
        <w:t xml:space="preserve">Talazoparibo grupėje </w:t>
      </w:r>
      <w:r w:rsidR="009A6ABD">
        <w:rPr>
          <w:rFonts w:eastAsia="Arial"/>
        </w:rPr>
        <w:t>sunkių</w:t>
      </w:r>
      <w:r w:rsidRPr="001A316E">
        <w:rPr>
          <w:rFonts w:eastAsia="Arial"/>
        </w:rPr>
        <w:t xml:space="preserve"> ir su gydymu susijusių nepageidaujamų reiškinių dažnis buvo 9,1 %, o kontrolinėje – 8,7 %. Nepageidaujamų reiškinių, susijusių su mirtimi, dažnis talazoparibo grupėje buvo 2,1 %, o kontrolinėje grupėje – 3,2 %. </w:t>
      </w:r>
      <w:r w:rsidRPr="001A316E">
        <w:t>Dažniausiai pasireiškęs nepageidaujamas reiškinys talazoparibo grupėje buvo anemija (38,8 %)</w:t>
      </w:r>
      <w:r>
        <w:t>.</w:t>
      </w:r>
    </w:p>
    <w:p w14:paraId="4D1ABFBC" w14:textId="77777777" w:rsidR="005A1EB1" w:rsidRPr="00E33EFF" w:rsidRDefault="005A1EB1"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Pr="009A6ABD" w:rsidRDefault="00C62B36" w:rsidP="00A93AA6">
      <w:pPr>
        <w:tabs>
          <w:tab w:val="left" w:pos="426"/>
        </w:tabs>
        <w:rPr>
          <w:i/>
          <w:sz w:val="22"/>
          <w:szCs w:val="22"/>
        </w:rPr>
      </w:pPr>
    </w:p>
    <w:p w14:paraId="0F50BF66" w14:textId="16C981B0" w:rsidR="000761CA" w:rsidRDefault="000761CA" w:rsidP="000761CA">
      <w:pPr>
        <w:pStyle w:val="VVKT"/>
        <w:rPr>
          <w:lang w:eastAsia="lt-LT"/>
        </w:rPr>
      </w:pPr>
      <w:r>
        <w:rPr>
          <w:iCs/>
          <w:color w:val="00B050"/>
          <w:sz w:val="22"/>
        </w:rPr>
        <w:tab/>
      </w:r>
      <w:r w:rsidRPr="000761CA">
        <w:rPr>
          <w:iCs/>
          <w:szCs w:val="24"/>
        </w:rPr>
        <w:t xml:space="preserve">Pateikta kaštų naudingumo analizė. </w:t>
      </w:r>
      <w:r w:rsidRPr="000061B4">
        <w:rPr>
          <w:lang w:eastAsia="lt-LT"/>
        </w:rPr>
        <w:t>Analizės populiaciją sudaro lokaliai pažengusiu arba metastazavusiu HER2 neigiamu krūties vėžiu sergantys pacientai, esant gonocitų linijos BRCA mutacijoms, kai pacientams jau buvo taikyti ne daugiau kaip 3 ankstesni citotoksinės chemoterapijos kursai metastazavusiai arba lokaliai pažengusiai ligai gydyti. Analizės populiacija atitinka klinikinio tyrimo EMBRACA populiaciją.</w:t>
      </w:r>
      <w:r>
        <w:rPr>
          <w:lang w:eastAsia="lt-LT"/>
        </w:rPr>
        <w:t xml:space="preserve"> </w:t>
      </w:r>
      <w:r w:rsidRPr="000061B4">
        <w:rPr>
          <w:lang w:eastAsia="lt-LT"/>
        </w:rPr>
        <w:t>Į ekonominę analizę įtraukti pacientai atitinka kompensacijai teikiamas terapines indikacijas.</w:t>
      </w:r>
    </w:p>
    <w:p w14:paraId="595668D8" w14:textId="77777777" w:rsidR="000761CA" w:rsidRPr="000061B4" w:rsidRDefault="000761CA" w:rsidP="000761CA">
      <w:pPr>
        <w:pStyle w:val="VVKT"/>
      </w:pPr>
      <w:r w:rsidRPr="000061B4">
        <w:lastRenderedPageBreak/>
        <w:t>Ekonominėje analizėje pateiktas palyginamasis gydymas atitinka klinikinio paraiškos vertinimo dalyje pateiktą palyginamąjį gydymą (žr. šio vertinimo protokolo 2.3 punktą).</w:t>
      </w:r>
    </w:p>
    <w:p w14:paraId="6301016E" w14:textId="77777777" w:rsidR="000761CA" w:rsidRPr="000061B4" w:rsidRDefault="000761CA" w:rsidP="000761CA">
      <w:pPr>
        <w:pStyle w:val="VVKT"/>
      </w:pPr>
      <w:r w:rsidRPr="000061B4">
        <w:t xml:space="preserve">Gydymas talazoparibu palygintas su chemoterapija gydytojo pasirinkimu (Physician’s choice therapy, PCT), galėjo būti skiriami kapecitabinas, eribulinas, gemcitabinas arba vinorelbinas. </w:t>
      </w:r>
      <w:r w:rsidRPr="000061B4">
        <w:rPr>
          <w:bCs/>
        </w:rPr>
        <w:t>Daroma prielaida, kad PCT skiriami vaistai turi panašų efektyvumą, todėl modelyje naudoti jungtinės PCT analizės rezultatai.</w:t>
      </w:r>
      <w:r>
        <w:rPr>
          <w:bCs/>
        </w:rPr>
        <w:t xml:space="preserve"> </w:t>
      </w:r>
      <w:r w:rsidRPr="000061B4">
        <w:rPr>
          <w:bCs/>
        </w:rPr>
        <w:t xml:space="preserve">Ekonominėje analizėje pateiktas palyginamasis gydymas </w:t>
      </w:r>
      <w:r>
        <w:rPr>
          <w:bCs/>
        </w:rPr>
        <w:t xml:space="preserve">iš esmės </w:t>
      </w:r>
      <w:r w:rsidRPr="000061B4">
        <w:rPr>
          <w:bCs/>
        </w:rPr>
        <w:t>atitinka įprastą Lietuvos Respublikos klinikinę praktiką.</w:t>
      </w:r>
    </w:p>
    <w:p w14:paraId="5980C523" w14:textId="77777777" w:rsidR="000761CA" w:rsidRPr="000061B4" w:rsidRDefault="000761CA" w:rsidP="000761CA">
      <w:pPr>
        <w:pStyle w:val="VVKT"/>
        <w:rPr>
          <w:lang w:eastAsia="lt-LT"/>
        </w:rPr>
      </w:pPr>
      <w:r w:rsidRPr="000061B4">
        <w:rPr>
          <w:lang w:eastAsia="lt-LT"/>
        </w:rPr>
        <w:t>Atliekant analizę taikomi modeliavimo metodai. Taikomas išskaidyto išgyvenamumo populiacijos modelis, modeliuojamos trys sveikatos būklės:</w:t>
      </w:r>
    </w:p>
    <w:p w14:paraId="3C17B9AA" w14:textId="77777777" w:rsidR="000761CA" w:rsidRPr="000061B4" w:rsidRDefault="000761CA" w:rsidP="000761CA">
      <w:pPr>
        <w:numPr>
          <w:ilvl w:val="0"/>
          <w:numId w:val="13"/>
        </w:numPr>
        <w:jc w:val="both"/>
      </w:pPr>
      <w:r w:rsidRPr="000061B4">
        <w:rPr>
          <w:bCs/>
          <w:iCs/>
          <w:lang w:eastAsia="lt-LT"/>
        </w:rPr>
        <w:t xml:space="preserve">būklė be ligos progresavimo (angl. </w:t>
      </w:r>
      <w:r w:rsidRPr="000061B4">
        <w:rPr>
          <w:i/>
          <w:iCs/>
        </w:rPr>
        <w:t>progression-free</w:t>
      </w:r>
      <w:r w:rsidRPr="000061B4">
        <w:t xml:space="preserve">). </w:t>
      </w:r>
      <w:r w:rsidRPr="000061B4">
        <w:rPr>
          <w:bCs/>
          <w:iCs/>
          <w:lang w:eastAsia="lt-LT"/>
        </w:rPr>
        <w:t>Ši būklė dar išskiriama į dvi dalis pagal tai, ar pacientui skiriamas gydymas ar ne;</w:t>
      </w:r>
    </w:p>
    <w:p w14:paraId="753A8273" w14:textId="77777777" w:rsidR="000761CA" w:rsidRPr="000061B4" w:rsidRDefault="000761CA" w:rsidP="000761CA">
      <w:pPr>
        <w:numPr>
          <w:ilvl w:val="0"/>
          <w:numId w:val="13"/>
        </w:numPr>
        <w:jc w:val="both"/>
      </w:pPr>
      <w:r w:rsidRPr="000061B4">
        <w:rPr>
          <w:bCs/>
          <w:iCs/>
          <w:lang w:eastAsia="lt-LT"/>
        </w:rPr>
        <w:t xml:space="preserve">progresuojančios ligos būklė (angl. </w:t>
      </w:r>
      <w:r w:rsidRPr="000061B4">
        <w:rPr>
          <w:bCs/>
          <w:i/>
          <w:lang w:eastAsia="lt-LT"/>
        </w:rPr>
        <w:t>post-progression</w:t>
      </w:r>
      <w:r w:rsidRPr="000061B4">
        <w:rPr>
          <w:bCs/>
          <w:iCs/>
          <w:lang w:eastAsia="lt-LT"/>
        </w:rPr>
        <w:t>). Šioje būklėje esantys pacientai yra gydomi sekančių gydymo eilių terapija;</w:t>
      </w:r>
    </w:p>
    <w:p w14:paraId="60AB71DB" w14:textId="77777777" w:rsidR="000761CA" w:rsidRPr="000061B4" w:rsidRDefault="000761CA" w:rsidP="000761CA">
      <w:pPr>
        <w:numPr>
          <w:ilvl w:val="0"/>
          <w:numId w:val="13"/>
        </w:numPr>
        <w:jc w:val="both"/>
      </w:pPr>
      <w:r w:rsidRPr="000061B4">
        <w:rPr>
          <w:bCs/>
          <w:iCs/>
          <w:lang w:eastAsia="lt-LT"/>
        </w:rPr>
        <w:t xml:space="preserve">mirties būklė. </w:t>
      </w:r>
    </w:p>
    <w:p w14:paraId="2F2EC62D" w14:textId="267537AC" w:rsidR="000761CA" w:rsidRPr="000061B4" w:rsidRDefault="000761CA" w:rsidP="000761CA">
      <w:pPr>
        <w:pStyle w:val="VVKT"/>
        <w:rPr>
          <w:lang w:eastAsia="lt-LT"/>
        </w:rPr>
      </w:pPr>
      <w:r>
        <w:rPr>
          <w:lang w:eastAsia="lt-LT"/>
        </w:rPr>
        <w:t xml:space="preserve">Pagrindinis kaštų naudingumo analizės klinikinių įrodymų šaltinis buvo klinikinis tyrimas EMBRACA, </w:t>
      </w:r>
      <w:r w:rsidRPr="000061B4">
        <w:t>atvirasis, atsitiktinių imčių, 2 lygiagrečių grupių daugiacentris tyrimas, kuriuo Talzenna lygintas su chemoterapija (kapecitabinu, eribulinu, gemcitabinu, vinorelbinu) pacientams, sergantiems lokaliai pažengusiu arba metastazavusiu HER2 neigiamu krūties vėžiu esant gonocitų linijos BRCA mutacijoms, kai pacientams jau buvo taikyti ne daugiau kaip 3 ankstesni citotoksinės chemoterapijos kursai metastazavusiai arba lokaliai pažengusiai ligai gydyti.</w:t>
      </w:r>
    </w:p>
    <w:p w14:paraId="34465CAF" w14:textId="77777777" w:rsidR="000761CA" w:rsidRPr="000061B4" w:rsidRDefault="000761CA" w:rsidP="000761CA">
      <w:pPr>
        <w:pStyle w:val="VVKT"/>
        <w:rPr>
          <w:b/>
          <w:sz w:val="28"/>
        </w:rPr>
      </w:pPr>
      <w:r>
        <w:rPr>
          <w:iCs/>
          <w:color w:val="00B050"/>
        </w:rPr>
        <w:tab/>
      </w:r>
      <w:r w:rsidRPr="000061B4">
        <w:t>Analizė atlikta iš PSDF biudžeto perspektyvos, įtraukti tiesiogiai su sveikatos sistema susiję kaštai. Tai atitinka teisės aktuose nustatytus paraiškos rengimo taisyklių reikalavimus.</w:t>
      </w:r>
      <w:r>
        <w:t xml:space="preserve"> </w:t>
      </w:r>
      <w:r w:rsidRPr="000061B4">
        <w:rPr>
          <w:lang w:eastAsia="lt-LT"/>
        </w:rPr>
        <w:t>Analizėje taikoma 15 metų</w:t>
      </w:r>
      <w:r w:rsidRPr="000061B4">
        <w:rPr>
          <w:color w:val="00B050"/>
          <w:lang w:eastAsia="lt-LT"/>
        </w:rPr>
        <w:t xml:space="preserve"> </w:t>
      </w:r>
      <w:r w:rsidRPr="000061B4">
        <w:rPr>
          <w:lang w:eastAsia="lt-LT"/>
        </w:rPr>
        <w:t xml:space="preserve">laiko perspektyva. Pasirinkta laiko perspektyva, atsižvelgiant į pacientų išgyvenamumą, yra </w:t>
      </w:r>
      <w:r w:rsidRPr="000061B4">
        <w:rPr>
          <w:iCs/>
          <w:lang w:eastAsia="lt-LT"/>
        </w:rPr>
        <w:t xml:space="preserve">tinkama. </w:t>
      </w:r>
    </w:p>
    <w:p w14:paraId="63BADD01" w14:textId="7522B6DD" w:rsidR="000761CA" w:rsidRPr="000061B4" w:rsidRDefault="000761CA" w:rsidP="000761CA">
      <w:pPr>
        <w:pStyle w:val="VVKT"/>
      </w:pPr>
      <w:r w:rsidRPr="000761CA">
        <w:t>Pareiškėjo taikomos prielaidos, vertinant efektyvumo skirtumus tarp siūlomo ir palyginamojo gydymo ilgajame laikotarpyje yra nepakankamai pagrįstos. Pareiškėjo naudojamoje analizėje yra modeliuojamas skirtingas talazoparibo ir palyginamojo gydymo bendrasis išgyvenamumas. Pažymėtina, kad bendrojo išgyvenamumo pranašumo prielaida sukuria daugiau nei pusę visų sukuriamų papildomų kokybiškų gyvenimo metų ir tai iš esmės nulemia analizės rezultatą. Tarnybos nuomone, atsižvelgiant į tai, kad atliekant klinikinį tyrimą EMBRACE nebuvo nustatyta statistiškai reikšmingo bendrojo išgyvenamumo skirtumo bei į tai, kad Kaplain-Meier kreivės tarpusavyje ne vienoje vietoje susikerta, bendrojo išgyvenamumo pranašumas analizėje yra labai neapibrėžtas ir šis neapibrėžtumas dėl nedidelio sukuriamų kokybiškų gyvenimo metų skirtumo stipriai įtakoja analizės rezultatą</w:t>
      </w:r>
      <w:r>
        <w:t>.</w:t>
      </w:r>
    </w:p>
    <w:p w14:paraId="210C4ACC" w14:textId="0D6F1D77" w:rsidR="000761CA" w:rsidRDefault="000761CA" w:rsidP="000761CA">
      <w:pPr>
        <w:pStyle w:val="VVKT"/>
      </w:pPr>
      <w:r>
        <w:t>Atsižvelgiant į klinikinės vertinimo dalies išvadą, esant nesiskiriančiam</w:t>
      </w:r>
      <w:r w:rsidRPr="001827EA">
        <w:t xml:space="preserve"> palyginam</w:t>
      </w:r>
      <w:r>
        <w:t xml:space="preserve">ajam </w:t>
      </w:r>
      <w:r w:rsidRPr="001827EA">
        <w:t>efektyv</w:t>
      </w:r>
      <w:r>
        <w:t xml:space="preserve">umui,  atliekant ekonominį vertinimą yra vertinama tik kaštų naudingumo analizės kaštų skaičiavimo dalis. Į ekonominę analizę įtraukiami vaistų įsigijimo, vaistų administravimo, sveikatos priežiūros paslaugų, nepageidaujamų reiškinių valdymo kaštai. </w:t>
      </w:r>
    </w:p>
    <w:p w14:paraId="04EAA513" w14:textId="0779CE25" w:rsidR="000761CA" w:rsidRPr="000761CA" w:rsidRDefault="000761CA" w:rsidP="000761CA">
      <w:pPr>
        <w:pStyle w:val="VVKT"/>
      </w:pPr>
      <w:r>
        <w:t xml:space="preserve">Perskaičiuodama analizės rezultatus Tarnyba atnaujino vaistinių preparatų įsigijimo, nepageidaujamų reiškinių valdymo, sveikatos priežiūros paslaugų įkainius. Analizės rezultatas rodo, kad </w:t>
      </w:r>
      <w:r w:rsidRPr="000061B4">
        <w:t>gydymo juo kaštai yra didesni esant iš esmės nesiskiriančiam palyginamajam efektyvumui, netaikant PGS</w:t>
      </w:r>
      <w:r>
        <w:t>.</w:t>
      </w:r>
    </w:p>
    <w:p w14:paraId="73CEEA4D" w14:textId="77777777" w:rsidR="000761CA" w:rsidRDefault="000761CA" w:rsidP="00A93AA6">
      <w:pPr>
        <w:tabs>
          <w:tab w:val="left" w:pos="426"/>
        </w:tabs>
        <w:rPr>
          <w:i/>
          <w:color w:val="00B050"/>
          <w:sz w:val="22"/>
          <w:szCs w:val="22"/>
        </w:rPr>
      </w:pPr>
    </w:p>
    <w:p w14:paraId="5C137EB7" w14:textId="77777777" w:rsidR="000761CA" w:rsidRDefault="000761CA" w:rsidP="00A93AA6">
      <w:pPr>
        <w:tabs>
          <w:tab w:val="left" w:pos="426"/>
        </w:tabs>
        <w:rPr>
          <w:i/>
          <w:color w:val="00B050"/>
          <w:sz w:val="22"/>
          <w:szCs w:val="22"/>
        </w:rPr>
      </w:pPr>
    </w:p>
    <w:p w14:paraId="281E6D2C" w14:textId="77777777" w:rsidR="000761CA" w:rsidRDefault="000761CA" w:rsidP="00A93AA6">
      <w:pPr>
        <w:tabs>
          <w:tab w:val="left" w:pos="426"/>
        </w:tabs>
        <w:rPr>
          <w:b/>
          <w:bCs/>
          <w:caps/>
        </w:rPr>
      </w:pPr>
    </w:p>
    <w:p w14:paraId="28E1DD4E" w14:textId="77777777" w:rsidR="000761CA" w:rsidRDefault="000761CA" w:rsidP="00A93AA6">
      <w:pPr>
        <w:tabs>
          <w:tab w:val="left" w:pos="426"/>
        </w:tabs>
        <w:rPr>
          <w:b/>
          <w:bCs/>
          <w:caps/>
        </w:rPr>
      </w:pPr>
    </w:p>
    <w:p w14:paraId="5CD99999" w14:textId="77777777" w:rsidR="000761CA" w:rsidRDefault="000761CA" w:rsidP="00A93AA6">
      <w:pPr>
        <w:tabs>
          <w:tab w:val="left" w:pos="426"/>
        </w:tabs>
        <w:rPr>
          <w:b/>
          <w:bCs/>
          <w:caps/>
        </w:rPr>
      </w:pPr>
    </w:p>
    <w:p w14:paraId="1E61DA7C" w14:textId="77777777" w:rsidR="000761CA" w:rsidRPr="00E33EFF" w:rsidRDefault="000761CA" w:rsidP="00A93AA6">
      <w:pPr>
        <w:tabs>
          <w:tab w:val="left" w:pos="426"/>
        </w:tabs>
        <w:rPr>
          <w:b/>
          <w:bCs/>
          <w:caps/>
        </w:rPr>
      </w:pPr>
    </w:p>
    <w:p w14:paraId="0FEBCC5F" w14:textId="22E66F88" w:rsidR="000761CA" w:rsidRDefault="0035172D" w:rsidP="00A93AA6">
      <w:pPr>
        <w:tabs>
          <w:tab w:val="left" w:pos="426"/>
        </w:tabs>
        <w:rPr>
          <w:b/>
          <w:lang w:eastAsia="lt-LT"/>
        </w:rPr>
      </w:pPr>
      <w:r w:rsidRPr="00E33EFF">
        <w:rPr>
          <w:b/>
          <w:lang w:eastAsia="lt-LT"/>
        </w:rPr>
        <w:t>Ekonominės analizės rezultatas</w:t>
      </w:r>
    </w:p>
    <w:p w14:paraId="400ED9BC" w14:textId="77777777" w:rsidR="000761CA" w:rsidRDefault="000761CA" w:rsidP="00A93AA6">
      <w:pPr>
        <w:tabs>
          <w:tab w:val="left" w:pos="426"/>
        </w:tabs>
        <w:rPr>
          <w:b/>
          <w:lang w:eastAsia="lt-LT"/>
        </w:rPr>
      </w:pPr>
    </w:p>
    <w:tbl>
      <w:tblPr>
        <w:tblStyle w:val="Lentelstinklelis"/>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60"/>
        <w:gridCol w:w="1629"/>
        <w:gridCol w:w="2542"/>
        <w:gridCol w:w="2778"/>
      </w:tblGrid>
      <w:tr w:rsidR="000761CA" w:rsidRPr="000061B4" w14:paraId="43ADCEA1" w14:textId="77777777" w:rsidTr="006B4F60">
        <w:tc>
          <w:tcPr>
            <w:tcW w:w="9942" w:type="dxa"/>
            <w:gridSpan w:val="4"/>
            <w:tcBorders>
              <w:top w:val="single" w:sz="12" w:space="0" w:color="auto"/>
              <w:bottom w:val="single" w:sz="4" w:space="0" w:color="auto"/>
            </w:tcBorders>
            <w:shd w:val="clear" w:color="auto" w:fill="BFBFBF" w:themeFill="background1" w:themeFillShade="BF"/>
          </w:tcPr>
          <w:p w14:paraId="2FC56B30" w14:textId="77777777" w:rsidR="000761CA" w:rsidRPr="000061B4" w:rsidRDefault="000761CA" w:rsidP="006B4F60">
            <w:pPr>
              <w:tabs>
                <w:tab w:val="left" w:pos="567"/>
              </w:tabs>
              <w:jc w:val="center"/>
              <w:rPr>
                <w:b/>
                <w:i/>
                <w:iCs/>
                <w:color w:val="00B050"/>
                <w:sz w:val="22"/>
                <w:szCs w:val="22"/>
                <w:lang w:eastAsia="lt-LT"/>
              </w:rPr>
            </w:pPr>
            <w:bookmarkStart w:id="0" w:name="_Hlk146892554"/>
            <w:r w:rsidRPr="000061B4">
              <w:rPr>
                <w:b/>
                <w:lang w:eastAsia="lt-LT"/>
              </w:rPr>
              <w:t>Kaštai</w:t>
            </w:r>
          </w:p>
        </w:tc>
      </w:tr>
      <w:tr w:rsidR="000761CA" w:rsidRPr="000061B4" w14:paraId="25458C43" w14:textId="77777777" w:rsidTr="006B4F60">
        <w:trPr>
          <w:trHeight w:val="341"/>
        </w:trPr>
        <w:tc>
          <w:tcPr>
            <w:tcW w:w="2740" w:type="dxa"/>
            <w:tcBorders>
              <w:top w:val="single" w:sz="4" w:space="0" w:color="auto"/>
              <w:bottom w:val="single" w:sz="4" w:space="0" w:color="auto"/>
            </w:tcBorders>
          </w:tcPr>
          <w:p w14:paraId="7DDCC72F" w14:textId="77777777" w:rsidR="000761CA" w:rsidRPr="000061B4" w:rsidRDefault="000761CA" w:rsidP="006B4F60">
            <w:pPr>
              <w:tabs>
                <w:tab w:val="left" w:pos="567"/>
              </w:tabs>
              <w:jc w:val="both"/>
              <w:rPr>
                <w:color w:val="00B050"/>
                <w:lang w:eastAsia="lt-LT"/>
              </w:rPr>
            </w:pPr>
          </w:p>
        </w:tc>
        <w:tc>
          <w:tcPr>
            <w:tcW w:w="1632" w:type="dxa"/>
            <w:tcBorders>
              <w:top w:val="single" w:sz="4" w:space="0" w:color="auto"/>
              <w:bottom w:val="single" w:sz="4" w:space="0" w:color="auto"/>
            </w:tcBorders>
            <w:vAlign w:val="center"/>
          </w:tcPr>
          <w:p w14:paraId="19D247F8" w14:textId="77777777" w:rsidR="000761CA" w:rsidRPr="000061B4" w:rsidRDefault="000761CA" w:rsidP="006B4F60">
            <w:pPr>
              <w:tabs>
                <w:tab w:val="left" w:pos="567"/>
              </w:tabs>
              <w:jc w:val="center"/>
              <w:rPr>
                <w:i/>
                <w:iCs/>
                <w:lang w:eastAsia="lt-LT"/>
              </w:rPr>
            </w:pPr>
            <w:r>
              <w:rPr>
                <w:i/>
                <w:iCs/>
                <w:lang w:eastAsia="lt-LT"/>
              </w:rPr>
              <w:t>Talazoparibas</w:t>
            </w:r>
          </w:p>
        </w:tc>
        <w:tc>
          <w:tcPr>
            <w:tcW w:w="2633" w:type="dxa"/>
            <w:tcBorders>
              <w:top w:val="single" w:sz="4" w:space="0" w:color="auto"/>
              <w:bottom w:val="single" w:sz="4" w:space="0" w:color="auto"/>
            </w:tcBorders>
            <w:vAlign w:val="center"/>
          </w:tcPr>
          <w:p w14:paraId="331FAC2B" w14:textId="77777777" w:rsidR="000761CA" w:rsidRPr="000061B4" w:rsidRDefault="000761CA" w:rsidP="006B4F60">
            <w:pPr>
              <w:tabs>
                <w:tab w:val="left" w:pos="567"/>
              </w:tabs>
              <w:jc w:val="center"/>
              <w:rPr>
                <w:i/>
                <w:iCs/>
                <w:lang w:eastAsia="lt-LT"/>
              </w:rPr>
            </w:pPr>
            <w:r w:rsidRPr="000061B4">
              <w:rPr>
                <w:i/>
                <w:iCs/>
                <w:lang w:eastAsia="lt-LT"/>
              </w:rPr>
              <w:t>Palyginamasis vaistas</w:t>
            </w:r>
          </w:p>
        </w:tc>
        <w:tc>
          <w:tcPr>
            <w:tcW w:w="2937" w:type="dxa"/>
            <w:tcBorders>
              <w:top w:val="single" w:sz="4" w:space="0" w:color="auto"/>
              <w:bottom w:val="single" w:sz="4" w:space="0" w:color="auto"/>
            </w:tcBorders>
            <w:vAlign w:val="center"/>
          </w:tcPr>
          <w:p w14:paraId="611CB480" w14:textId="77777777" w:rsidR="000761CA" w:rsidRPr="000061B4" w:rsidRDefault="000761CA" w:rsidP="006B4F60">
            <w:pPr>
              <w:tabs>
                <w:tab w:val="left" w:pos="567"/>
              </w:tabs>
              <w:jc w:val="center"/>
              <w:rPr>
                <w:i/>
                <w:lang w:eastAsia="lt-LT"/>
              </w:rPr>
            </w:pPr>
            <w:r w:rsidRPr="000061B4">
              <w:rPr>
                <w:i/>
                <w:lang w:eastAsia="lt-LT"/>
              </w:rPr>
              <w:t>Skirtumas</w:t>
            </w:r>
          </w:p>
        </w:tc>
      </w:tr>
      <w:tr w:rsidR="000761CA" w:rsidRPr="000061B4" w14:paraId="7CC4E594" w14:textId="77777777" w:rsidTr="006B4F60">
        <w:trPr>
          <w:trHeight w:val="323"/>
        </w:trPr>
        <w:tc>
          <w:tcPr>
            <w:tcW w:w="2740" w:type="dxa"/>
            <w:tcBorders>
              <w:top w:val="single" w:sz="4" w:space="0" w:color="auto"/>
              <w:bottom w:val="single" w:sz="4" w:space="0" w:color="auto"/>
            </w:tcBorders>
          </w:tcPr>
          <w:p w14:paraId="7822A02E" w14:textId="77777777" w:rsidR="000761CA" w:rsidRPr="000061B4" w:rsidRDefault="000761CA" w:rsidP="006B4F60">
            <w:pPr>
              <w:tabs>
                <w:tab w:val="left" w:pos="567"/>
              </w:tabs>
              <w:jc w:val="both"/>
              <w:rPr>
                <w:iCs/>
                <w:color w:val="00B050"/>
                <w:lang w:eastAsia="lt-LT"/>
              </w:rPr>
            </w:pPr>
            <w:r w:rsidRPr="00CF7B8C">
              <w:t>Gydymo kaštai</w:t>
            </w:r>
          </w:p>
        </w:tc>
        <w:tc>
          <w:tcPr>
            <w:tcW w:w="1632" w:type="dxa"/>
            <w:tcBorders>
              <w:top w:val="single" w:sz="4" w:space="0" w:color="auto"/>
              <w:bottom w:val="single" w:sz="4" w:space="0" w:color="auto"/>
            </w:tcBorders>
            <w:vAlign w:val="center"/>
          </w:tcPr>
          <w:p w14:paraId="63680D9A" w14:textId="23ED22B3" w:rsidR="000761CA" w:rsidRPr="000061B4" w:rsidRDefault="008B5097" w:rsidP="006B4F60">
            <w:pPr>
              <w:tabs>
                <w:tab w:val="left" w:pos="567"/>
              </w:tabs>
              <w:jc w:val="center"/>
              <w:rPr>
                <w:i/>
                <w:iCs/>
                <w:lang w:eastAsia="lt-LT"/>
              </w:rPr>
            </w:pPr>
            <w:r>
              <w:t>***</w:t>
            </w:r>
          </w:p>
        </w:tc>
        <w:tc>
          <w:tcPr>
            <w:tcW w:w="2633" w:type="dxa"/>
            <w:tcBorders>
              <w:top w:val="single" w:sz="4" w:space="0" w:color="auto"/>
              <w:bottom w:val="single" w:sz="4" w:space="0" w:color="auto"/>
            </w:tcBorders>
            <w:vAlign w:val="center"/>
          </w:tcPr>
          <w:p w14:paraId="29DEC7C1" w14:textId="7813F0B6" w:rsidR="000761CA" w:rsidRPr="000061B4" w:rsidRDefault="00982D5B" w:rsidP="006B4F60">
            <w:pPr>
              <w:tabs>
                <w:tab w:val="left" w:pos="567"/>
              </w:tabs>
              <w:jc w:val="center"/>
              <w:rPr>
                <w:i/>
                <w:iCs/>
                <w:lang w:eastAsia="lt-LT"/>
              </w:rPr>
            </w:pPr>
            <w:r>
              <w:t>***</w:t>
            </w:r>
          </w:p>
        </w:tc>
        <w:tc>
          <w:tcPr>
            <w:tcW w:w="2937" w:type="dxa"/>
            <w:tcBorders>
              <w:top w:val="single" w:sz="4" w:space="0" w:color="auto"/>
              <w:bottom w:val="single" w:sz="4" w:space="0" w:color="auto"/>
            </w:tcBorders>
            <w:vAlign w:val="center"/>
          </w:tcPr>
          <w:p w14:paraId="62A205C9" w14:textId="4A294851" w:rsidR="000761CA" w:rsidRPr="000061B4" w:rsidRDefault="008B5097" w:rsidP="006B4F60">
            <w:pPr>
              <w:tabs>
                <w:tab w:val="left" w:pos="567"/>
              </w:tabs>
              <w:jc w:val="center"/>
              <w:rPr>
                <w:lang w:eastAsia="lt-LT"/>
              </w:rPr>
            </w:pPr>
            <w:r>
              <w:t>***</w:t>
            </w:r>
          </w:p>
        </w:tc>
      </w:tr>
      <w:tr w:rsidR="000761CA" w:rsidRPr="000061B4" w14:paraId="171D1923" w14:textId="77777777" w:rsidTr="006B4F60">
        <w:tc>
          <w:tcPr>
            <w:tcW w:w="2740" w:type="dxa"/>
            <w:tcBorders>
              <w:top w:val="single" w:sz="4" w:space="0" w:color="auto"/>
              <w:bottom w:val="single" w:sz="4" w:space="0" w:color="auto"/>
            </w:tcBorders>
          </w:tcPr>
          <w:p w14:paraId="28A85EBF" w14:textId="77777777" w:rsidR="000761CA" w:rsidRPr="000061B4" w:rsidRDefault="000761CA" w:rsidP="006B4F60">
            <w:pPr>
              <w:tabs>
                <w:tab w:val="left" w:pos="567"/>
              </w:tabs>
              <w:rPr>
                <w:iCs/>
                <w:color w:val="000000"/>
                <w:lang w:eastAsia="lt-LT"/>
              </w:rPr>
            </w:pPr>
            <w:r w:rsidRPr="00CF7B8C">
              <w:t>Vaistinių preparatų įsigijimo kaštai</w:t>
            </w:r>
          </w:p>
        </w:tc>
        <w:tc>
          <w:tcPr>
            <w:tcW w:w="1632" w:type="dxa"/>
            <w:tcBorders>
              <w:top w:val="single" w:sz="4" w:space="0" w:color="auto"/>
              <w:bottom w:val="single" w:sz="4" w:space="0" w:color="auto"/>
            </w:tcBorders>
            <w:vAlign w:val="center"/>
          </w:tcPr>
          <w:p w14:paraId="5E478227" w14:textId="12330D2A" w:rsidR="000761CA" w:rsidRPr="004625F1" w:rsidRDefault="002A4714" w:rsidP="006B4F60">
            <w:pPr>
              <w:tabs>
                <w:tab w:val="left" w:pos="567"/>
              </w:tabs>
              <w:jc w:val="center"/>
              <w:rPr>
                <w:i/>
                <w:iCs/>
                <w:u w:val="single"/>
                <w:lang w:eastAsia="lt-LT"/>
              </w:rPr>
            </w:pPr>
            <w:r>
              <w:rPr>
                <w:u w:val="single"/>
              </w:rPr>
              <w:t>***</w:t>
            </w:r>
          </w:p>
        </w:tc>
        <w:tc>
          <w:tcPr>
            <w:tcW w:w="2633" w:type="dxa"/>
            <w:tcBorders>
              <w:top w:val="single" w:sz="4" w:space="0" w:color="auto"/>
              <w:bottom w:val="single" w:sz="4" w:space="0" w:color="auto"/>
            </w:tcBorders>
            <w:vAlign w:val="center"/>
          </w:tcPr>
          <w:p w14:paraId="7858F7EB" w14:textId="1ADD1824" w:rsidR="000761CA" w:rsidRPr="000061B4" w:rsidRDefault="00982D5B" w:rsidP="006B4F60">
            <w:pPr>
              <w:tabs>
                <w:tab w:val="left" w:pos="567"/>
              </w:tabs>
              <w:jc w:val="center"/>
              <w:rPr>
                <w:i/>
                <w:iCs/>
                <w:lang w:eastAsia="lt-LT"/>
              </w:rPr>
            </w:pPr>
            <w:r>
              <w:t>***</w:t>
            </w:r>
          </w:p>
        </w:tc>
        <w:tc>
          <w:tcPr>
            <w:tcW w:w="2937" w:type="dxa"/>
            <w:tcBorders>
              <w:top w:val="single" w:sz="4" w:space="0" w:color="auto"/>
              <w:bottom w:val="single" w:sz="4" w:space="0" w:color="auto"/>
            </w:tcBorders>
            <w:vAlign w:val="center"/>
          </w:tcPr>
          <w:p w14:paraId="082BE5D7" w14:textId="5D04E7D7" w:rsidR="000761CA" w:rsidRPr="004625F1" w:rsidRDefault="002A4714" w:rsidP="006B4F60">
            <w:pPr>
              <w:tabs>
                <w:tab w:val="left" w:pos="567"/>
              </w:tabs>
              <w:jc w:val="center"/>
              <w:rPr>
                <w:u w:val="single"/>
                <w:lang w:eastAsia="lt-LT"/>
              </w:rPr>
            </w:pPr>
            <w:r>
              <w:rPr>
                <w:u w:val="single"/>
              </w:rPr>
              <w:t>***</w:t>
            </w:r>
          </w:p>
        </w:tc>
      </w:tr>
      <w:tr w:rsidR="000761CA" w:rsidRPr="000061B4" w14:paraId="6432D153" w14:textId="77777777" w:rsidTr="006B4F60">
        <w:tc>
          <w:tcPr>
            <w:tcW w:w="2740" w:type="dxa"/>
            <w:tcBorders>
              <w:top w:val="single" w:sz="4" w:space="0" w:color="auto"/>
              <w:bottom w:val="single" w:sz="4" w:space="0" w:color="auto"/>
            </w:tcBorders>
          </w:tcPr>
          <w:p w14:paraId="525A17C0" w14:textId="77777777" w:rsidR="000761CA" w:rsidRPr="000061B4" w:rsidRDefault="000761CA" w:rsidP="006B4F60">
            <w:pPr>
              <w:tabs>
                <w:tab w:val="left" w:pos="567"/>
              </w:tabs>
              <w:jc w:val="both"/>
              <w:rPr>
                <w:iCs/>
                <w:color w:val="00B050"/>
                <w:lang w:eastAsia="lt-LT"/>
              </w:rPr>
            </w:pPr>
            <w:r w:rsidRPr="00CF7B8C">
              <w:t>Nepageidaujamų reiškinių valdymo kaštai</w:t>
            </w:r>
          </w:p>
        </w:tc>
        <w:tc>
          <w:tcPr>
            <w:tcW w:w="1632" w:type="dxa"/>
            <w:tcBorders>
              <w:top w:val="single" w:sz="4" w:space="0" w:color="auto"/>
              <w:bottom w:val="single" w:sz="4" w:space="0" w:color="auto"/>
            </w:tcBorders>
            <w:vAlign w:val="center"/>
          </w:tcPr>
          <w:p w14:paraId="654DF7E4" w14:textId="3AAF2249" w:rsidR="000761CA" w:rsidRPr="000061B4" w:rsidRDefault="008B5097" w:rsidP="006B4F60">
            <w:pPr>
              <w:tabs>
                <w:tab w:val="left" w:pos="567"/>
              </w:tabs>
              <w:jc w:val="center"/>
              <w:rPr>
                <w:i/>
                <w:iCs/>
                <w:lang w:eastAsia="lt-LT"/>
              </w:rPr>
            </w:pPr>
            <w:r>
              <w:t>***</w:t>
            </w:r>
          </w:p>
        </w:tc>
        <w:tc>
          <w:tcPr>
            <w:tcW w:w="2633" w:type="dxa"/>
            <w:tcBorders>
              <w:top w:val="single" w:sz="4" w:space="0" w:color="auto"/>
              <w:bottom w:val="single" w:sz="4" w:space="0" w:color="auto"/>
            </w:tcBorders>
            <w:vAlign w:val="center"/>
          </w:tcPr>
          <w:p w14:paraId="7B2BC92E" w14:textId="56ED098B" w:rsidR="000761CA" w:rsidRPr="000061B4" w:rsidRDefault="00982D5B" w:rsidP="006B4F60">
            <w:pPr>
              <w:tabs>
                <w:tab w:val="left" w:pos="567"/>
              </w:tabs>
              <w:jc w:val="center"/>
              <w:rPr>
                <w:i/>
                <w:iCs/>
                <w:lang w:eastAsia="lt-LT"/>
              </w:rPr>
            </w:pPr>
            <w:r>
              <w:t>***</w:t>
            </w:r>
          </w:p>
        </w:tc>
        <w:tc>
          <w:tcPr>
            <w:tcW w:w="2937" w:type="dxa"/>
            <w:tcBorders>
              <w:top w:val="single" w:sz="4" w:space="0" w:color="auto"/>
              <w:bottom w:val="single" w:sz="4" w:space="0" w:color="auto"/>
            </w:tcBorders>
            <w:vAlign w:val="center"/>
          </w:tcPr>
          <w:p w14:paraId="59D1E45E" w14:textId="3FE69812" w:rsidR="000761CA" w:rsidRPr="000061B4" w:rsidRDefault="008B5097" w:rsidP="006B4F60">
            <w:pPr>
              <w:tabs>
                <w:tab w:val="left" w:pos="567"/>
              </w:tabs>
              <w:jc w:val="center"/>
              <w:rPr>
                <w:i/>
                <w:iCs/>
                <w:lang w:eastAsia="lt-LT"/>
              </w:rPr>
            </w:pPr>
            <w:r>
              <w:rPr>
                <w:i/>
                <w:iCs/>
              </w:rPr>
              <w:t>***</w:t>
            </w:r>
          </w:p>
        </w:tc>
      </w:tr>
      <w:tr w:rsidR="000761CA" w:rsidRPr="000061B4" w14:paraId="3259B793" w14:textId="77777777" w:rsidTr="006B4F60">
        <w:tc>
          <w:tcPr>
            <w:tcW w:w="2740" w:type="dxa"/>
            <w:tcBorders>
              <w:top w:val="single" w:sz="4" w:space="0" w:color="auto"/>
              <w:bottom w:val="single" w:sz="4" w:space="0" w:color="auto"/>
            </w:tcBorders>
          </w:tcPr>
          <w:p w14:paraId="0C953B91" w14:textId="77777777" w:rsidR="000761CA" w:rsidRPr="000061B4" w:rsidRDefault="000761CA" w:rsidP="006B4F60">
            <w:pPr>
              <w:tabs>
                <w:tab w:val="left" w:pos="567"/>
              </w:tabs>
              <w:rPr>
                <w:iCs/>
                <w:color w:val="000000"/>
                <w:lang w:eastAsia="lt-LT"/>
              </w:rPr>
            </w:pPr>
            <w:r w:rsidRPr="00CF7B8C">
              <w:t>Vaistų administravimo ir sekančių terapijų kaštai</w:t>
            </w:r>
          </w:p>
        </w:tc>
        <w:tc>
          <w:tcPr>
            <w:tcW w:w="1632" w:type="dxa"/>
            <w:tcBorders>
              <w:top w:val="single" w:sz="4" w:space="0" w:color="auto"/>
              <w:bottom w:val="single" w:sz="4" w:space="0" w:color="auto"/>
            </w:tcBorders>
            <w:vAlign w:val="center"/>
          </w:tcPr>
          <w:p w14:paraId="541AD80E" w14:textId="7E78405D" w:rsidR="000761CA" w:rsidRPr="000061B4" w:rsidRDefault="008B5097" w:rsidP="006B4F60">
            <w:pPr>
              <w:tabs>
                <w:tab w:val="left" w:pos="567"/>
              </w:tabs>
              <w:jc w:val="center"/>
              <w:rPr>
                <w:i/>
                <w:iCs/>
                <w:lang w:eastAsia="lt-LT"/>
              </w:rPr>
            </w:pPr>
            <w:r>
              <w:rPr>
                <w:i/>
                <w:iCs/>
              </w:rPr>
              <w:t>***</w:t>
            </w:r>
          </w:p>
        </w:tc>
        <w:tc>
          <w:tcPr>
            <w:tcW w:w="2633" w:type="dxa"/>
            <w:tcBorders>
              <w:top w:val="single" w:sz="4" w:space="0" w:color="auto"/>
              <w:bottom w:val="single" w:sz="4" w:space="0" w:color="auto"/>
            </w:tcBorders>
            <w:vAlign w:val="center"/>
          </w:tcPr>
          <w:p w14:paraId="24DF7BA3" w14:textId="2204B590" w:rsidR="000761CA" w:rsidRPr="000061B4" w:rsidRDefault="00982D5B" w:rsidP="006B4F60">
            <w:pPr>
              <w:tabs>
                <w:tab w:val="left" w:pos="567"/>
              </w:tabs>
              <w:jc w:val="center"/>
              <w:rPr>
                <w:i/>
                <w:iCs/>
                <w:lang w:eastAsia="lt-LT"/>
              </w:rPr>
            </w:pPr>
            <w:r>
              <w:t>***</w:t>
            </w:r>
          </w:p>
        </w:tc>
        <w:tc>
          <w:tcPr>
            <w:tcW w:w="2937" w:type="dxa"/>
            <w:tcBorders>
              <w:top w:val="single" w:sz="4" w:space="0" w:color="auto"/>
              <w:bottom w:val="single" w:sz="4" w:space="0" w:color="auto"/>
            </w:tcBorders>
            <w:vAlign w:val="center"/>
          </w:tcPr>
          <w:p w14:paraId="2C96DAEE" w14:textId="7CA9E020" w:rsidR="000761CA" w:rsidRPr="000061B4" w:rsidRDefault="008B5097" w:rsidP="006B4F60">
            <w:pPr>
              <w:tabs>
                <w:tab w:val="left" w:pos="567"/>
              </w:tabs>
              <w:jc w:val="center"/>
              <w:rPr>
                <w:i/>
                <w:iCs/>
                <w:lang w:eastAsia="lt-LT"/>
              </w:rPr>
            </w:pPr>
            <w:r>
              <w:rPr>
                <w:i/>
                <w:iCs/>
              </w:rPr>
              <w:t>***</w:t>
            </w:r>
          </w:p>
        </w:tc>
      </w:tr>
      <w:tr w:rsidR="000761CA" w:rsidRPr="000061B4" w14:paraId="206D97A6" w14:textId="77777777" w:rsidTr="006B4F60">
        <w:trPr>
          <w:trHeight w:val="323"/>
        </w:trPr>
        <w:tc>
          <w:tcPr>
            <w:tcW w:w="2740" w:type="dxa"/>
            <w:tcBorders>
              <w:top w:val="single" w:sz="4" w:space="0" w:color="auto"/>
              <w:bottom w:val="single" w:sz="12" w:space="0" w:color="auto"/>
            </w:tcBorders>
            <w:vAlign w:val="center"/>
          </w:tcPr>
          <w:p w14:paraId="36E45772" w14:textId="77777777" w:rsidR="000761CA" w:rsidRPr="009C1B29" w:rsidRDefault="000761CA" w:rsidP="006B4F60">
            <w:pPr>
              <w:tabs>
                <w:tab w:val="left" w:pos="567"/>
              </w:tabs>
              <w:jc w:val="right"/>
              <w:rPr>
                <w:b/>
                <w:bCs/>
                <w:iCs/>
                <w:lang w:eastAsia="lt-LT"/>
              </w:rPr>
            </w:pPr>
            <w:r w:rsidRPr="009C1B29">
              <w:rPr>
                <w:b/>
                <w:bCs/>
              </w:rPr>
              <w:t>VISO</w:t>
            </w:r>
          </w:p>
        </w:tc>
        <w:tc>
          <w:tcPr>
            <w:tcW w:w="1632" w:type="dxa"/>
            <w:tcBorders>
              <w:top w:val="single" w:sz="4" w:space="0" w:color="auto"/>
              <w:bottom w:val="single" w:sz="12" w:space="0" w:color="auto"/>
            </w:tcBorders>
            <w:vAlign w:val="center"/>
          </w:tcPr>
          <w:p w14:paraId="70FB9078" w14:textId="11990540" w:rsidR="000761CA" w:rsidRPr="004625F1" w:rsidRDefault="002A4714" w:rsidP="006B4F60">
            <w:pPr>
              <w:tabs>
                <w:tab w:val="left" w:pos="567"/>
              </w:tabs>
              <w:jc w:val="center"/>
              <w:rPr>
                <w:b/>
                <w:bCs/>
                <w:i/>
                <w:iCs/>
                <w:u w:val="single"/>
                <w:lang w:eastAsia="lt-LT"/>
              </w:rPr>
            </w:pPr>
            <w:r>
              <w:rPr>
                <w:b/>
                <w:bCs/>
                <w:u w:val="single"/>
              </w:rPr>
              <w:t>***</w:t>
            </w:r>
          </w:p>
        </w:tc>
        <w:tc>
          <w:tcPr>
            <w:tcW w:w="2633" w:type="dxa"/>
            <w:tcBorders>
              <w:top w:val="single" w:sz="4" w:space="0" w:color="auto"/>
              <w:bottom w:val="single" w:sz="12" w:space="0" w:color="auto"/>
            </w:tcBorders>
            <w:vAlign w:val="center"/>
          </w:tcPr>
          <w:p w14:paraId="7DE2468C" w14:textId="05CBBF18" w:rsidR="000761CA" w:rsidRPr="009C1B29" w:rsidRDefault="00982D5B" w:rsidP="006B4F60">
            <w:pPr>
              <w:tabs>
                <w:tab w:val="left" w:pos="567"/>
              </w:tabs>
              <w:jc w:val="center"/>
              <w:rPr>
                <w:b/>
                <w:bCs/>
                <w:i/>
                <w:iCs/>
                <w:lang w:eastAsia="lt-LT"/>
              </w:rPr>
            </w:pPr>
            <w:r>
              <w:rPr>
                <w:b/>
                <w:bCs/>
                <w:i/>
                <w:iCs/>
              </w:rPr>
              <w:t>***</w:t>
            </w:r>
          </w:p>
        </w:tc>
        <w:tc>
          <w:tcPr>
            <w:tcW w:w="2937" w:type="dxa"/>
            <w:tcBorders>
              <w:top w:val="single" w:sz="4" w:space="0" w:color="auto"/>
              <w:bottom w:val="single" w:sz="12" w:space="0" w:color="auto"/>
            </w:tcBorders>
            <w:vAlign w:val="center"/>
          </w:tcPr>
          <w:p w14:paraId="6CB96BE8" w14:textId="10DB53E1" w:rsidR="000761CA" w:rsidRPr="004625F1" w:rsidRDefault="002A4714" w:rsidP="006B4F60">
            <w:pPr>
              <w:tabs>
                <w:tab w:val="left" w:pos="567"/>
              </w:tabs>
              <w:jc w:val="center"/>
              <w:rPr>
                <w:b/>
                <w:bCs/>
                <w:i/>
                <w:iCs/>
                <w:u w:val="single"/>
                <w:lang w:eastAsia="lt-LT"/>
              </w:rPr>
            </w:pPr>
            <w:r>
              <w:rPr>
                <w:b/>
                <w:bCs/>
                <w:u w:val="single"/>
              </w:rPr>
              <w:t>***</w:t>
            </w:r>
          </w:p>
        </w:tc>
      </w:tr>
      <w:bookmarkEnd w:id="0"/>
    </w:tbl>
    <w:p w14:paraId="3705B30C" w14:textId="77777777" w:rsidR="000761CA" w:rsidRDefault="000761CA" w:rsidP="00A93AA6">
      <w:pPr>
        <w:tabs>
          <w:tab w:val="left" w:pos="426"/>
        </w:tabs>
        <w:rPr>
          <w:b/>
          <w:lang w:eastAsia="lt-LT"/>
        </w:rPr>
      </w:pP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24DDE4DA" w:rsidR="00937907"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0D04C9">
            <w:rPr>
              <w:rStyle w:val="Style2"/>
              <w:rFonts w:ascii="MS Gothic" w:eastAsia="MS Gothic" w:hAnsi="MS Gothic" w:hint="eastAsia"/>
              <w:sz w:val="24"/>
            </w:rPr>
            <w:t>☒</w:t>
          </w:r>
        </w:sdtContent>
      </w:sdt>
      <w:r w:rsidR="00937907" w:rsidRPr="00E33EFF">
        <w:t xml:space="preserve"> Pacientų organizacijos pozicija pateikta. Žr. priedą.</w:t>
      </w:r>
    </w:p>
    <w:p w14:paraId="18244B02" w14:textId="25760D92" w:rsidR="000D04C9" w:rsidRPr="000D04C9" w:rsidRDefault="000D04C9" w:rsidP="000D04C9">
      <w:pPr>
        <w:spacing w:after="120"/>
        <w:jc w:val="both"/>
        <w:rPr>
          <w:i/>
          <w:iCs/>
        </w:rPr>
      </w:pPr>
      <w:r>
        <w:tab/>
      </w:r>
      <w:r w:rsidRPr="000D04C9">
        <w:rPr>
          <w:i/>
          <w:iCs/>
        </w:rPr>
        <w:t>Pagalbos onkologiniams ligoniams asociacija (POLA)</w:t>
      </w:r>
    </w:p>
    <w:p w14:paraId="62992180" w14:textId="2531D5E3"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48B0B0F4"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0D04C9">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2B078F48"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67581D6"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5A1EB1">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5EFD825"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5A1EB1">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Kaštų naudingumas</w:t>
            </w:r>
          </w:p>
        </w:tc>
      </w:tr>
      <w:tr w:rsidR="00B13D65" w:rsidRPr="00E33EFF" w14:paraId="7091A05B" w14:textId="77777777" w:rsidTr="0061611B">
        <w:tc>
          <w:tcPr>
            <w:tcW w:w="4815" w:type="dxa"/>
          </w:tcPr>
          <w:p w14:paraId="69B2A994" w14:textId="68E30321"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6B29B4E"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984793B"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Content>
                <w:r w:rsidR="000761CA">
                  <w:rPr>
                    <w:rStyle w:val="Style2"/>
                    <w:rFonts w:ascii="MS Gothic" w:eastAsia="MS Gothic" w:hAnsi="MS Gothic" w:hint="eastAsia"/>
                    <w:sz w:val="24"/>
                  </w:rPr>
                  <w:t>☒</w:t>
                </w:r>
              </w:sdtContent>
            </w:sdt>
            <w:r w:rsidR="00B13D65" w:rsidRPr="00E33EFF">
              <w:t xml:space="preserve"> 33.3. gydymo juo kaštai yra didesni esant iš esmės nesiskiriančiam palyginamajam efektyvumui,</w:t>
            </w:r>
            <w:r w:rsidR="000761CA">
              <w:t xml:space="preserve"> </w:t>
            </w:r>
            <w:r w:rsidR="00B13D65" w:rsidRPr="00E33EFF">
              <w:t>netaikant PGS</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7C0B75A5" w:rsidR="009E44AE" w:rsidRDefault="009E44AE" w:rsidP="00381024"/>
    <w:p w14:paraId="5EAD26E9" w14:textId="77777777" w:rsidR="008A6D90" w:rsidRPr="00E33EFF" w:rsidRDefault="008A6D90"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22325210" w14:textId="4A2B9F74" w:rsidR="004F3B2B" w:rsidRPr="00E33EFF" w:rsidRDefault="004F3B2B" w:rsidP="000761CA">
      <w:pPr>
        <w:spacing w:line="276" w:lineRule="auto"/>
        <w:ind w:firstLine="567"/>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w:t>
      </w:r>
    </w:p>
    <w:p w14:paraId="6339AEC7" w14:textId="4E2486F8" w:rsidR="00CF27FD" w:rsidRPr="000761CA" w:rsidRDefault="004F3B2B" w:rsidP="000761CA">
      <w:pPr>
        <w:spacing w:line="276" w:lineRule="auto"/>
        <w:jc w:val="both"/>
      </w:pPr>
      <w:r w:rsidRPr="00E33EFF">
        <w:t xml:space="preserve">34.4. rekomenduojama </w:t>
      </w:r>
      <w:r w:rsidRPr="00E33EFF">
        <w:rPr>
          <w:i/>
        </w:rPr>
        <w:t xml:space="preserve">nekompensuoti </w:t>
      </w:r>
      <w:r w:rsidRPr="00E33EFF">
        <w:t>vaistinio preparato pagal paraiškoje nurodytą indikaciją</w:t>
      </w:r>
      <w:r w:rsidR="000761CA">
        <w:t xml:space="preserve">, </w:t>
      </w:r>
      <w:r w:rsidRPr="00E33EFF">
        <w:t>be skyrimo sąlygų, netaikant PGS dėl vertinimo išvadų</w:t>
      </w:r>
      <w:r w:rsidR="00613143">
        <w:t>, nurodytų 33.3 papunk</w:t>
      </w:r>
      <w:r w:rsidR="00E348BA">
        <w:t xml:space="preserve">tyje (žr. 6 skyrių), </w:t>
      </w:r>
      <w:r w:rsidRPr="00E33EFF">
        <w:t xml:space="preserve"> neatitikties</w:t>
      </w:r>
      <w:r w:rsidR="000761CA">
        <w:t xml:space="preserve"> </w:t>
      </w:r>
      <w:r w:rsidRPr="003D6208">
        <w:t>34.3 papunktyje išdėstyt</w:t>
      </w:r>
      <w:r w:rsidR="00CF27FD" w:rsidRPr="003D6208">
        <w:t>oms</w:t>
      </w:r>
      <w:r w:rsidRPr="003D6208">
        <w:t xml:space="preserve"> sąlyg</w:t>
      </w:r>
      <w:r w:rsidR="00CF27FD" w:rsidRPr="003D6208">
        <w:t>oms</w:t>
      </w:r>
      <w:r w:rsidR="00BF3927">
        <w:t>.</w:t>
      </w:r>
    </w:p>
    <w:sectPr w:rsidR="00CF27FD" w:rsidRPr="000761CA" w:rsidSect="00423C4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F269" w14:textId="77777777" w:rsidR="00423C46" w:rsidRDefault="00423C46">
      <w:r>
        <w:separator/>
      </w:r>
    </w:p>
  </w:endnote>
  <w:endnote w:type="continuationSeparator" w:id="0">
    <w:p w14:paraId="3ECEF254" w14:textId="77777777" w:rsidR="00423C46" w:rsidRDefault="0042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F815" w14:textId="77777777" w:rsidR="00B74746" w:rsidRDefault="00B747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A18A" w14:textId="77777777" w:rsidR="00B74746" w:rsidRDefault="00B747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E3C1" w14:textId="77777777" w:rsidR="00423C46" w:rsidRDefault="00423C46">
      <w:r>
        <w:separator/>
      </w:r>
    </w:p>
  </w:footnote>
  <w:footnote w:type="continuationSeparator" w:id="0">
    <w:p w14:paraId="6BD7E7BB" w14:textId="77777777" w:rsidR="00423C46" w:rsidRDefault="0042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46CE8D9B"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4746">
      <w:rPr>
        <w:rStyle w:val="Puslapionumeris"/>
        <w:noProof/>
      </w:rPr>
      <w:t>6</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E0353"/>
    <w:multiLevelType w:val="hybridMultilevel"/>
    <w:tmpl w:val="716A73C0"/>
    <w:lvl w:ilvl="0" w:tplc="04270001">
      <w:start w:val="1"/>
      <w:numFmt w:val="bullet"/>
      <w:lvlText w:val=""/>
      <w:lvlJc w:val="left"/>
      <w:pPr>
        <w:ind w:left="1340" w:hanging="360"/>
      </w:pPr>
      <w:rPr>
        <w:rFonts w:ascii="Symbol" w:hAnsi="Symbol" w:hint="default"/>
      </w:rPr>
    </w:lvl>
    <w:lvl w:ilvl="1" w:tplc="04270003">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6784475">
    <w:abstractNumId w:val="7"/>
  </w:num>
  <w:num w:numId="2" w16cid:durableId="1239900931">
    <w:abstractNumId w:val="1"/>
  </w:num>
  <w:num w:numId="3" w16cid:durableId="702049943">
    <w:abstractNumId w:val="9"/>
  </w:num>
  <w:num w:numId="4" w16cid:durableId="1233395597">
    <w:abstractNumId w:val="8"/>
  </w:num>
  <w:num w:numId="5" w16cid:durableId="840894843">
    <w:abstractNumId w:val="6"/>
  </w:num>
  <w:num w:numId="6" w16cid:durableId="130638043">
    <w:abstractNumId w:val="5"/>
  </w:num>
  <w:num w:numId="7" w16cid:durableId="634062437">
    <w:abstractNumId w:val="4"/>
  </w:num>
  <w:num w:numId="8" w16cid:durableId="1211453184">
    <w:abstractNumId w:val="12"/>
  </w:num>
  <w:num w:numId="9" w16cid:durableId="1076047683">
    <w:abstractNumId w:val="0"/>
  </w:num>
  <w:num w:numId="10" w16cid:durableId="285160703">
    <w:abstractNumId w:val="10"/>
  </w:num>
  <w:num w:numId="11" w16cid:durableId="843322232">
    <w:abstractNumId w:val="11"/>
  </w:num>
  <w:num w:numId="12" w16cid:durableId="680084930">
    <w:abstractNumId w:val="2"/>
  </w:num>
  <w:num w:numId="13" w16cid:durableId="613947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3621"/>
    <w:rsid w:val="0002686C"/>
    <w:rsid w:val="00031D0E"/>
    <w:rsid w:val="00032F1A"/>
    <w:rsid w:val="000337E6"/>
    <w:rsid w:val="0003402E"/>
    <w:rsid w:val="00034EAE"/>
    <w:rsid w:val="00042924"/>
    <w:rsid w:val="00053975"/>
    <w:rsid w:val="00057A2B"/>
    <w:rsid w:val="000606BE"/>
    <w:rsid w:val="000723FF"/>
    <w:rsid w:val="000736B8"/>
    <w:rsid w:val="000761CA"/>
    <w:rsid w:val="0008190F"/>
    <w:rsid w:val="00081D9C"/>
    <w:rsid w:val="00082907"/>
    <w:rsid w:val="0008378D"/>
    <w:rsid w:val="000908A5"/>
    <w:rsid w:val="00092805"/>
    <w:rsid w:val="000C454C"/>
    <w:rsid w:val="000D04C9"/>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85D3F"/>
    <w:rsid w:val="001921F3"/>
    <w:rsid w:val="001B3C5B"/>
    <w:rsid w:val="001D746F"/>
    <w:rsid w:val="001E4BBB"/>
    <w:rsid w:val="001E6304"/>
    <w:rsid w:val="0020381E"/>
    <w:rsid w:val="00213471"/>
    <w:rsid w:val="00215906"/>
    <w:rsid w:val="00230826"/>
    <w:rsid w:val="00241CD8"/>
    <w:rsid w:val="00244B09"/>
    <w:rsid w:val="0025188B"/>
    <w:rsid w:val="002519CB"/>
    <w:rsid w:val="0025697F"/>
    <w:rsid w:val="00260258"/>
    <w:rsid w:val="0026588E"/>
    <w:rsid w:val="00272428"/>
    <w:rsid w:val="00272948"/>
    <w:rsid w:val="0028715E"/>
    <w:rsid w:val="00292392"/>
    <w:rsid w:val="002946C7"/>
    <w:rsid w:val="002A4714"/>
    <w:rsid w:val="002B278D"/>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A6009"/>
    <w:rsid w:val="003B211A"/>
    <w:rsid w:val="003C141F"/>
    <w:rsid w:val="003C6B0E"/>
    <w:rsid w:val="003C7257"/>
    <w:rsid w:val="003C7E35"/>
    <w:rsid w:val="003D1E99"/>
    <w:rsid w:val="003D6208"/>
    <w:rsid w:val="00404E8A"/>
    <w:rsid w:val="0040622F"/>
    <w:rsid w:val="00413ACB"/>
    <w:rsid w:val="00413F24"/>
    <w:rsid w:val="00422853"/>
    <w:rsid w:val="00423160"/>
    <w:rsid w:val="00423C46"/>
    <w:rsid w:val="00453862"/>
    <w:rsid w:val="0045469B"/>
    <w:rsid w:val="00461338"/>
    <w:rsid w:val="004625F1"/>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1EB1"/>
    <w:rsid w:val="005A23D4"/>
    <w:rsid w:val="005A2D1E"/>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18C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A6D90"/>
    <w:rsid w:val="008B5097"/>
    <w:rsid w:val="008C3947"/>
    <w:rsid w:val="008E473B"/>
    <w:rsid w:val="008E51A6"/>
    <w:rsid w:val="008E5757"/>
    <w:rsid w:val="008E7329"/>
    <w:rsid w:val="008F2ED5"/>
    <w:rsid w:val="0092297E"/>
    <w:rsid w:val="00923651"/>
    <w:rsid w:val="00927B56"/>
    <w:rsid w:val="0093322C"/>
    <w:rsid w:val="009341BF"/>
    <w:rsid w:val="00937907"/>
    <w:rsid w:val="00941739"/>
    <w:rsid w:val="00951573"/>
    <w:rsid w:val="0096182C"/>
    <w:rsid w:val="00963003"/>
    <w:rsid w:val="00966EEF"/>
    <w:rsid w:val="00971B28"/>
    <w:rsid w:val="00982D5B"/>
    <w:rsid w:val="00983471"/>
    <w:rsid w:val="009909AB"/>
    <w:rsid w:val="009A6ABD"/>
    <w:rsid w:val="009B37DB"/>
    <w:rsid w:val="009C7A8C"/>
    <w:rsid w:val="009D23F9"/>
    <w:rsid w:val="009D4FA8"/>
    <w:rsid w:val="009E44AE"/>
    <w:rsid w:val="009E6CD6"/>
    <w:rsid w:val="009F4D66"/>
    <w:rsid w:val="00A00C3C"/>
    <w:rsid w:val="00A01091"/>
    <w:rsid w:val="00A042B9"/>
    <w:rsid w:val="00A06DBB"/>
    <w:rsid w:val="00A17695"/>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74746"/>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162B8"/>
    <w:rsid w:val="00C22DC5"/>
    <w:rsid w:val="00C24479"/>
    <w:rsid w:val="00C273F2"/>
    <w:rsid w:val="00C37B53"/>
    <w:rsid w:val="00C517D2"/>
    <w:rsid w:val="00C5772E"/>
    <w:rsid w:val="00C62B36"/>
    <w:rsid w:val="00C7012C"/>
    <w:rsid w:val="00C712EA"/>
    <w:rsid w:val="00CA217D"/>
    <w:rsid w:val="00CB1A66"/>
    <w:rsid w:val="00CC09D4"/>
    <w:rsid w:val="00CC1DEF"/>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47BA4"/>
    <w:rsid w:val="00D521DE"/>
    <w:rsid w:val="00D5470B"/>
    <w:rsid w:val="00D63068"/>
    <w:rsid w:val="00D6498C"/>
    <w:rsid w:val="00D65CEC"/>
    <w:rsid w:val="00D76A70"/>
    <w:rsid w:val="00D83182"/>
    <w:rsid w:val="00D8521E"/>
    <w:rsid w:val="00D9291C"/>
    <w:rsid w:val="00D93A97"/>
    <w:rsid w:val="00DA6E00"/>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paragraph" w:customStyle="1" w:styleId="VVKT">
    <w:name w:val="VVKT"/>
    <w:basedOn w:val="prastasis"/>
    <w:link w:val="VVKTChar"/>
    <w:qFormat/>
    <w:rsid w:val="000761CA"/>
    <w:pPr>
      <w:tabs>
        <w:tab w:val="center" w:pos="4819"/>
        <w:tab w:val="right" w:pos="9638"/>
      </w:tabs>
      <w:spacing w:line="276" w:lineRule="auto"/>
      <w:ind w:firstLine="432"/>
      <w:jc w:val="both"/>
    </w:pPr>
    <w:rPr>
      <w:rFonts w:eastAsia="Arial" w:cs="Arial"/>
      <w:szCs w:val="22"/>
    </w:rPr>
  </w:style>
  <w:style w:type="character" w:customStyle="1" w:styleId="VVKTChar">
    <w:name w:val="VVKT Char"/>
    <w:basedOn w:val="Numatytasispastraiposriftas"/>
    <w:link w:val="VVKT"/>
    <w:rsid w:val="000761CA"/>
    <w:rPr>
      <w:rFonts w:eastAsia="Arial" w:cs="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83B9D8514E7649A9C885876037FB0E"/>
        <w:category>
          <w:name w:val="General"/>
          <w:gallery w:val="placeholder"/>
        </w:category>
        <w:types>
          <w:type w:val="bbPlcHdr"/>
        </w:types>
        <w:behaviors>
          <w:behavior w:val="content"/>
        </w:behaviors>
        <w:guid w:val="{8D342BE4-DA4E-484B-99E0-41CFB85D211B}"/>
      </w:docPartPr>
      <w:docPartBody>
        <w:p w:rsidR="000476B9" w:rsidRDefault="006A2A0D" w:rsidP="006A2A0D">
          <w:pPr>
            <w:pStyle w:val="0283B9D8514E7649A9C885876037FB0E"/>
          </w:pPr>
          <w:r>
            <w:rPr>
              <w:rStyle w:val="Vietosrezervavimoenklotekstas"/>
            </w:rPr>
            <w:t>Click here to enter a date.</w:t>
          </w:r>
        </w:p>
      </w:docPartBody>
    </w:docPart>
    <w:docPart>
      <w:docPartPr>
        <w:name w:val="FE668B47097AAE4E88041003440B5FD7"/>
        <w:category>
          <w:name w:val="General"/>
          <w:gallery w:val="placeholder"/>
        </w:category>
        <w:types>
          <w:type w:val="bbPlcHdr"/>
        </w:types>
        <w:behaviors>
          <w:behavior w:val="content"/>
        </w:behaviors>
        <w:guid w:val="{70417B7F-4005-6648-B9AF-9B01A5EC39E7}"/>
      </w:docPartPr>
      <w:docPartBody>
        <w:p w:rsidR="000476B9" w:rsidRDefault="006A2A0D" w:rsidP="006A2A0D">
          <w:pPr>
            <w:pStyle w:val="FE668B47097AAE4E88041003440B5FD7"/>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63A3"/>
    <w:rsid w:val="000476B9"/>
    <w:rsid w:val="00061157"/>
    <w:rsid w:val="000937FE"/>
    <w:rsid w:val="000A559A"/>
    <w:rsid w:val="000D24D4"/>
    <w:rsid w:val="001C35A9"/>
    <w:rsid w:val="001E6036"/>
    <w:rsid w:val="00237556"/>
    <w:rsid w:val="0032171C"/>
    <w:rsid w:val="0039303B"/>
    <w:rsid w:val="004144A3"/>
    <w:rsid w:val="004160E7"/>
    <w:rsid w:val="00435BA0"/>
    <w:rsid w:val="004416C6"/>
    <w:rsid w:val="004F5AB2"/>
    <w:rsid w:val="00500A10"/>
    <w:rsid w:val="005074B9"/>
    <w:rsid w:val="00511A43"/>
    <w:rsid w:val="005E40DD"/>
    <w:rsid w:val="006A2A0D"/>
    <w:rsid w:val="007219C1"/>
    <w:rsid w:val="00753462"/>
    <w:rsid w:val="00772325"/>
    <w:rsid w:val="007A2FE0"/>
    <w:rsid w:val="007C6D1D"/>
    <w:rsid w:val="0090074D"/>
    <w:rsid w:val="0093481C"/>
    <w:rsid w:val="009B3BF0"/>
    <w:rsid w:val="009B468F"/>
    <w:rsid w:val="009D5E5E"/>
    <w:rsid w:val="009F1BB4"/>
    <w:rsid w:val="00AB6ED4"/>
    <w:rsid w:val="00AE11A5"/>
    <w:rsid w:val="00B14210"/>
    <w:rsid w:val="00B23DC0"/>
    <w:rsid w:val="00B96656"/>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A2A0D"/>
    <w:rPr>
      <w:color w:val="808080"/>
    </w:rPr>
  </w:style>
  <w:style w:type="paragraph" w:customStyle="1" w:styleId="0283B9D8514E7649A9C885876037FB0E">
    <w:name w:val="0283B9D8514E7649A9C885876037FB0E"/>
    <w:rsid w:val="006A2A0D"/>
    <w:pPr>
      <w:spacing w:after="0" w:line="240" w:lineRule="auto"/>
    </w:pPr>
    <w:rPr>
      <w:sz w:val="24"/>
      <w:szCs w:val="24"/>
      <w:lang w:eastAsia="en-GB"/>
    </w:rPr>
  </w:style>
  <w:style w:type="paragraph" w:customStyle="1" w:styleId="FE668B47097AAE4E88041003440B5FD7">
    <w:name w:val="FE668B47097AAE4E88041003440B5FD7"/>
    <w:rsid w:val="006A2A0D"/>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180A7-5A5A-4009-8430-553177C8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8136</Words>
  <Characters>4638</Characters>
  <Application>Microsoft Office Word</Application>
  <DocSecurity>0</DocSecurity>
  <Lines>38</Lines>
  <Paragraphs>25</Paragraphs>
  <ScaleCrop>false</ScaleCrop>
  <Company/>
  <LinksUpToDate>false</LinksUpToDate>
  <CharactersWithSpaces>12749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2023-10-23T12:35:00Z</dcterms:created>
  <dcterms:modified xsi:type="dcterms:W3CDTF">2024-02-07T15:16:00Z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2023-10-23T12:35:21Z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77316fea-ff74-4fd0-9d6d-0dc55c0cd3c3</vt:lpwstr>
  </property>
  <property fmtid="{D5CDD505-2E9C-101B-9397-08002B2CF9AE}" pid="8" name="MSIP_Label_68f72598-90ab-4748-9618-88402b5e95d2_ContentBits">
    <vt:lpwstr>0</vt:lpwstr>
  </property>
</Properties>
</file>